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478F" w14:textId="77777777" w:rsidR="00295605" w:rsidRPr="00071A04" w:rsidRDefault="00071A0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71A04">
        <w:rPr>
          <w:rFonts w:ascii="Times New Roman" w:hAnsi="Times New Roman" w:cs="Times New Roman"/>
          <w:b/>
        </w:rPr>
        <w:t xml:space="preserve">Høringsnotat – bekendtgørelse om offentliggørelse af oplysninger om virksomheders arbejdsmiljø </w:t>
      </w:r>
    </w:p>
    <w:p w14:paraId="3CDA2359" w14:textId="55EB6C09" w:rsidR="00071A04" w:rsidRPr="00071A04" w:rsidRDefault="00071A04">
      <w:pPr>
        <w:rPr>
          <w:rFonts w:ascii="Times New Roman" w:hAnsi="Times New Roman" w:cs="Times New Roman"/>
        </w:rPr>
      </w:pPr>
      <w:r w:rsidRPr="00071A04">
        <w:rPr>
          <w:rFonts w:ascii="Times New Roman" w:hAnsi="Times New Roman" w:cs="Times New Roman"/>
        </w:rPr>
        <w:t>Høringssvarene fremgår i en forkortet udgave i nedenstående skema</w:t>
      </w:r>
      <w:r w:rsidR="00353117">
        <w:rPr>
          <w:rFonts w:ascii="Times New Roman" w:hAnsi="Times New Roman" w:cs="Times New Roman"/>
        </w:rPr>
        <w:t xml:space="preserve"> og med Arbejdstilsynets bemærkninger, hvor det er fundet relevant</w:t>
      </w:r>
      <w:r w:rsidRPr="00071A04">
        <w:rPr>
          <w:rFonts w:ascii="Times New Roman" w:hAnsi="Times New Roman" w:cs="Times New Roman"/>
        </w:rPr>
        <w:t xml:space="preserve">. </w:t>
      </w:r>
    </w:p>
    <w:tbl>
      <w:tblPr>
        <w:tblStyle w:val="Tabel-Gitter"/>
        <w:tblW w:w="132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2976"/>
        <w:gridCol w:w="2268"/>
        <w:gridCol w:w="3261"/>
        <w:gridCol w:w="3118"/>
      </w:tblGrid>
      <w:tr w:rsidR="00E805CB" w:rsidRPr="004F78AD" w14:paraId="483EE02F" w14:textId="77777777" w:rsidTr="002B4C00">
        <w:trPr>
          <w:trHeight w:val="1043"/>
        </w:trPr>
        <w:tc>
          <w:tcPr>
            <w:tcW w:w="1589" w:type="dxa"/>
          </w:tcPr>
          <w:p w14:paraId="178AE47A" w14:textId="77777777" w:rsidR="00E805CB" w:rsidRPr="004F78AD" w:rsidRDefault="00E805CB" w:rsidP="00CA64B4">
            <w:pPr>
              <w:rPr>
                <w:rFonts w:ascii="Times New Roman" w:hAnsi="Times New Roman" w:cs="Times New Roman"/>
                <w:b/>
              </w:rPr>
            </w:pPr>
            <w:r w:rsidRPr="004F78AD">
              <w:rPr>
                <w:rFonts w:ascii="Times New Roman" w:hAnsi="Times New Roman" w:cs="Times New Roman"/>
                <w:b/>
              </w:rPr>
              <w:t>Hovedorganisation i AMR</w:t>
            </w:r>
          </w:p>
        </w:tc>
        <w:tc>
          <w:tcPr>
            <w:tcW w:w="2976" w:type="dxa"/>
          </w:tcPr>
          <w:p w14:paraId="466BD950" w14:textId="77777777" w:rsidR="00E805CB" w:rsidRPr="004F78AD" w:rsidRDefault="00E805CB" w:rsidP="00E805CB">
            <w:pPr>
              <w:rPr>
                <w:rFonts w:ascii="Times New Roman" w:hAnsi="Times New Roman" w:cs="Times New Roman"/>
                <w:b/>
              </w:rPr>
            </w:pPr>
            <w:r w:rsidRPr="004F78AD">
              <w:rPr>
                <w:rFonts w:ascii="Times New Roman" w:hAnsi="Times New Roman" w:cs="Times New Roman"/>
                <w:b/>
              </w:rPr>
              <w:t>Generelle bemærkninger til de foreslåede ændringer i bekendtgørelsesudkastet</w:t>
            </w:r>
          </w:p>
        </w:tc>
        <w:tc>
          <w:tcPr>
            <w:tcW w:w="2268" w:type="dxa"/>
          </w:tcPr>
          <w:p w14:paraId="327CA65C" w14:textId="77777777" w:rsidR="00E805CB" w:rsidRPr="004F78AD" w:rsidRDefault="00E805CB" w:rsidP="00CA64B4">
            <w:pPr>
              <w:rPr>
                <w:rFonts w:ascii="Times New Roman" w:hAnsi="Times New Roman" w:cs="Times New Roman"/>
                <w:b/>
              </w:rPr>
            </w:pPr>
            <w:r w:rsidRPr="004F78AD">
              <w:rPr>
                <w:rFonts w:ascii="Times New Roman" w:hAnsi="Times New Roman" w:cs="Times New Roman"/>
                <w:b/>
              </w:rPr>
              <w:t>Ændringsforslag til bekendtgørelsestekst</w:t>
            </w:r>
          </w:p>
        </w:tc>
        <w:tc>
          <w:tcPr>
            <w:tcW w:w="3261" w:type="dxa"/>
          </w:tcPr>
          <w:p w14:paraId="7306D828" w14:textId="77777777" w:rsidR="00E805CB" w:rsidRPr="004F78AD" w:rsidRDefault="00E805CB" w:rsidP="00E805CB">
            <w:pPr>
              <w:rPr>
                <w:rFonts w:ascii="Times New Roman" w:hAnsi="Times New Roman" w:cs="Times New Roman"/>
                <w:b/>
              </w:rPr>
            </w:pPr>
            <w:r w:rsidRPr="004F78AD">
              <w:rPr>
                <w:rFonts w:ascii="Times New Roman" w:hAnsi="Times New Roman" w:cs="Times New Roman"/>
                <w:b/>
              </w:rPr>
              <w:t>Eventuelle uddybende bemærkninger til ændringsforslag(ene)</w:t>
            </w:r>
          </w:p>
        </w:tc>
        <w:tc>
          <w:tcPr>
            <w:tcW w:w="3118" w:type="dxa"/>
          </w:tcPr>
          <w:p w14:paraId="689F7455" w14:textId="77777777" w:rsidR="00E805CB" w:rsidRPr="004F78AD" w:rsidRDefault="00E805CB" w:rsidP="00CA64B4">
            <w:pPr>
              <w:rPr>
                <w:rFonts w:ascii="Times New Roman" w:hAnsi="Times New Roman" w:cs="Times New Roman"/>
                <w:b/>
              </w:rPr>
            </w:pPr>
            <w:r w:rsidRPr="004F78AD">
              <w:rPr>
                <w:rFonts w:ascii="Times New Roman" w:hAnsi="Times New Roman" w:cs="Times New Roman"/>
                <w:b/>
              </w:rPr>
              <w:t>AT’s bemærkninger</w:t>
            </w:r>
          </w:p>
        </w:tc>
      </w:tr>
      <w:tr w:rsidR="00E805CB" w:rsidRPr="004F78AD" w14:paraId="37C81172" w14:textId="77777777" w:rsidTr="002B4C00">
        <w:trPr>
          <w:trHeight w:val="258"/>
        </w:trPr>
        <w:tc>
          <w:tcPr>
            <w:tcW w:w="1589" w:type="dxa"/>
          </w:tcPr>
          <w:p w14:paraId="2F2B35DB" w14:textId="77777777" w:rsidR="00E805CB" w:rsidRPr="004F78AD" w:rsidRDefault="00E805CB" w:rsidP="00071A0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</w:tcPr>
          <w:p w14:paraId="60B0C222" w14:textId="751FA084" w:rsidR="004F78AD" w:rsidRDefault="004F78AD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 xml:space="preserve">DA har oplyst, at bekendtgørelsesudkastet på tilfredsstillende vis udmønter den politiske aftale om en ny, faktabaseret visningsordning </w:t>
            </w:r>
            <w:r>
              <w:rPr>
                <w:rFonts w:ascii="Times New Roman" w:hAnsi="Times New Roman" w:cs="Times New Roman"/>
              </w:rPr>
              <w:t xml:space="preserve">som erstatning for smileyordningen. </w:t>
            </w:r>
          </w:p>
          <w:p w14:paraId="4689974E" w14:textId="77777777" w:rsidR="004F78AD" w:rsidRDefault="004F78AD" w:rsidP="00CA64B4">
            <w:pPr>
              <w:rPr>
                <w:rFonts w:ascii="Times New Roman" w:hAnsi="Times New Roman" w:cs="Times New Roman"/>
              </w:rPr>
            </w:pPr>
          </w:p>
          <w:p w14:paraId="27BDD0AD" w14:textId="5D25261D" w:rsidR="00E805CB" w:rsidRPr="004F78AD" w:rsidRDefault="004F78AD" w:rsidP="0035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</w:t>
            </w:r>
            <w:r w:rsidR="00353117">
              <w:rPr>
                <w:rFonts w:ascii="Times New Roman" w:hAnsi="Times New Roman" w:cs="Times New Roman"/>
              </w:rPr>
              <w:t xml:space="preserve">har </w:t>
            </w:r>
            <w:r>
              <w:rPr>
                <w:rFonts w:ascii="Times New Roman" w:hAnsi="Times New Roman" w:cs="Times New Roman"/>
              </w:rPr>
              <w:t>på den baggrund ikke</w:t>
            </w:r>
            <w:r w:rsidR="00353117">
              <w:rPr>
                <w:rFonts w:ascii="Times New Roman" w:hAnsi="Times New Roman" w:cs="Times New Roman"/>
              </w:rPr>
              <w:t xml:space="preserve"> flere</w:t>
            </w:r>
            <w:r>
              <w:rPr>
                <w:rFonts w:ascii="Times New Roman" w:hAnsi="Times New Roman" w:cs="Times New Roman"/>
              </w:rPr>
              <w:t xml:space="preserve"> bemærkninger. </w:t>
            </w:r>
          </w:p>
        </w:tc>
        <w:tc>
          <w:tcPr>
            <w:tcW w:w="2268" w:type="dxa"/>
          </w:tcPr>
          <w:p w14:paraId="37FB4694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CF6B6A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589E91" w14:textId="49F42286" w:rsidR="00E805CB" w:rsidRPr="004F78AD" w:rsidRDefault="003D6376" w:rsidP="00CA6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Ingen bemærkninger. </w:t>
            </w:r>
          </w:p>
        </w:tc>
      </w:tr>
      <w:tr w:rsidR="00E805CB" w:rsidRPr="004F78AD" w14:paraId="0F476E67" w14:textId="77777777" w:rsidTr="002B4C00">
        <w:trPr>
          <w:trHeight w:val="258"/>
        </w:trPr>
        <w:tc>
          <w:tcPr>
            <w:tcW w:w="1589" w:type="dxa"/>
          </w:tcPr>
          <w:p w14:paraId="1152040E" w14:textId="77777777" w:rsidR="00E805CB" w:rsidRPr="004F78AD" w:rsidRDefault="00E805CB" w:rsidP="00071A0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Landbrug &amp; Fødevarer</w:t>
            </w:r>
          </w:p>
        </w:tc>
        <w:tc>
          <w:tcPr>
            <w:tcW w:w="2976" w:type="dxa"/>
          </w:tcPr>
          <w:p w14:paraId="1272450F" w14:textId="1C8A9470" w:rsidR="00E805CB" w:rsidRPr="004F78AD" w:rsidRDefault="00D739F1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2268" w:type="dxa"/>
          </w:tcPr>
          <w:p w14:paraId="44D01E3A" w14:textId="7A5470A4" w:rsidR="00E805CB" w:rsidRPr="004F78AD" w:rsidRDefault="00D739F1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261" w:type="dxa"/>
          </w:tcPr>
          <w:p w14:paraId="7F245F5F" w14:textId="6946830A" w:rsidR="00E805CB" w:rsidRPr="004F78AD" w:rsidRDefault="00D739F1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118" w:type="dxa"/>
          </w:tcPr>
          <w:p w14:paraId="316BCA94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</w:p>
        </w:tc>
      </w:tr>
      <w:tr w:rsidR="00E805CB" w:rsidRPr="004F78AD" w14:paraId="08CDE734" w14:textId="77777777" w:rsidTr="002B4C00">
        <w:trPr>
          <w:trHeight w:val="269"/>
        </w:trPr>
        <w:tc>
          <w:tcPr>
            <w:tcW w:w="1589" w:type="dxa"/>
          </w:tcPr>
          <w:p w14:paraId="426328B4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F og P Arbejdsgiver</w:t>
            </w:r>
          </w:p>
        </w:tc>
        <w:tc>
          <w:tcPr>
            <w:tcW w:w="2976" w:type="dxa"/>
          </w:tcPr>
          <w:p w14:paraId="711D5F93" w14:textId="07116655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  <w:p w14:paraId="0EE8709C" w14:textId="77777777" w:rsidR="00E805CB" w:rsidRPr="004F78AD" w:rsidRDefault="00E805CB" w:rsidP="00CA64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34BADC" w14:textId="7C250775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261" w:type="dxa"/>
          </w:tcPr>
          <w:p w14:paraId="2FF14784" w14:textId="0884A083" w:rsidR="00E805CB" w:rsidRPr="004F78AD" w:rsidRDefault="00D739F1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118" w:type="dxa"/>
          </w:tcPr>
          <w:p w14:paraId="56515244" w14:textId="77777777" w:rsidR="00E805CB" w:rsidRPr="004F78AD" w:rsidRDefault="00E805CB" w:rsidP="00071A04">
            <w:pPr>
              <w:rPr>
                <w:rFonts w:ascii="Times New Roman" w:hAnsi="Times New Roman" w:cs="Times New Roman"/>
              </w:rPr>
            </w:pPr>
          </w:p>
        </w:tc>
      </w:tr>
      <w:tr w:rsidR="00E805CB" w:rsidRPr="004F78AD" w14:paraId="2C03A05B" w14:textId="77777777" w:rsidTr="002B4C00">
        <w:trPr>
          <w:trHeight w:val="258"/>
        </w:trPr>
        <w:tc>
          <w:tcPr>
            <w:tcW w:w="1589" w:type="dxa"/>
          </w:tcPr>
          <w:p w14:paraId="5E2B69F7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Lederne</w:t>
            </w:r>
          </w:p>
        </w:tc>
        <w:tc>
          <w:tcPr>
            <w:tcW w:w="2976" w:type="dxa"/>
          </w:tcPr>
          <w:p w14:paraId="428D0BC9" w14:textId="24E23777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2268" w:type="dxa"/>
          </w:tcPr>
          <w:p w14:paraId="3809FCCE" w14:textId="4BF6D235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261" w:type="dxa"/>
          </w:tcPr>
          <w:p w14:paraId="72343C0E" w14:textId="6EF3BFB2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118" w:type="dxa"/>
          </w:tcPr>
          <w:p w14:paraId="58F0E164" w14:textId="77777777" w:rsidR="00E805CB" w:rsidRPr="004F78AD" w:rsidRDefault="00E805CB" w:rsidP="00071A0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805CB" w:rsidRPr="004F78AD" w14:paraId="375A72A1" w14:textId="77777777" w:rsidTr="002B4C00">
        <w:trPr>
          <w:trHeight w:val="258"/>
        </w:trPr>
        <w:tc>
          <w:tcPr>
            <w:tcW w:w="1589" w:type="dxa"/>
          </w:tcPr>
          <w:p w14:paraId="222B9389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KL</w:t>
            </w:r>
          </w:p>
        </w:tc>
        <w:tc>
          <w:tcPr>
            <w:tcW w:w="2976" w:type="dxa"/>
          </w:tcPr>
          <w:p w14:paraId="7BE77C47" w14:textId="1222B81A" w:rsidR="00431E2A" w:rsidRPr="00431E2A" w:rsidRDefault="00431E2A" w:rsidP="00431E2A">
            <w:pPr>
              <w:spacing w:before="120"/>
              <w:rPr>
                <w:rFonts w:ascii="Times New Roman" w:hAnsi="Times New Roman" w:cs="Times New Roman"/>
              </w:rPr>
            </w:pPr>
            <w:r w:rsidRPr="00431E2A">
              <w:rPr>
                <w:rFonts w:ascii="Times New Roman" w:hAnsi="Times New Roman" w:cs="Times New Roman"/>
              </w:rPr>
              <w:t>KL</w:t>
            </w:r>
            <w:r w:rsidR="00032628">
              <w:rPr>
                <w:rFonts w:ascii="Times New Roman" w:hAnsi="Times New Roman" w:cs="Times New Roman"/>
              </w:rPr>
              <w:t xml:space="preserve"> oplyser i sit høringssvar, at KL</w:t>
            </w:r>
            <w:r w:rsidRPr="00431E2A">
              <w:rPr>
                <w:rFonts w:ascii="Times New Roman" w:hAnsi="Times New Roman" w:cs="Times New Roman"/>
              </w:rPr>
              <w:t xml:space="preserve"> forstår § 7, stk. 5 i</w:t>
            </w:r>
            <w:r w:rsidR="00032628">
              <w:rPr>
                <w:rFonts w:ascii="Times New Roman" w:hAnsi="Times New Roman" w:cs="Times New Roman"/>
              </w:rPr>
              <w:t xml:space="preserve"> bekendtgørelses</w:t>
            </w:r>
            <w:r w:rsidRPr="00431E2A">
              <w:rPr>
                <w:rFonts w:ascii="Times New Roman" w:hAnsi="Times New Roman" w:cs="Times New Roman"/>
              </w:rPr>
              <w:t xml:space="preserve">udkastet således, at offentliggørelse i de tilfælde, hvor en afgørelse er påklaget til Arbejdsmiljøklagenævnet, først kan ske, når Arbejdsmiljøklagenævnet har truffet afgørelse i klagesagen og helt eller delvist fastholdt Arbejdstilsynets afgørelse. Hvis sagen hjemvises til </w:t>
            </w:r>
            <w:r w:rsidRPr="00431E2A">
              <w:rPr>
                <w:rFonts w:ascii="Times New Roman" w:hAnsi="Times New Roman" w:cs="Times New Roman"/>
              </w:rPr>
              <w:lastRenderedPageBreak/>
              <w:t>Arbejdstilsynet, må en evt. visning bero på en ny afgørelse fra Arbejdstilsynet.</w:t>
            </w:r>
          </w:p>
          <w:p w14:paraId="0288660D" w14:textId="77777777" w:rsidR="00431E2A" w:rsidRPr="00431E2A" w:rsidRDefault="00431E2A" w:rsidP="00431E2A">
            <w:pPr>
              <w:spacing w:before="120"/>
              <w:rPr>
                <w:rFonts w:ascii="Times New Roman" w:hAnsi="Times New Roman" w:cs="Times New Roman"/>
              </w:rPr>
            </w:pPr>
            <w:r w:rsidRPr="00431E2A">
              <w:rPr>
                <w:rFonts w:ascii="Times New Roman" w:hAnsi="Times New Roman" w:cs="Times New Roman"/>
              </w:rPr>
              <w:t>I de tilfælde, hvor en afgørelse fra Arbejdstilsynet rettidigt påklages, og hvor Arbejdstilsynet under remonstrationsfasen frafalder afgørelsen, er der ikke grundlag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E2A">
              <w:rPr>
                <w:rFonts w:ascii="Times New Roman" w:hAnsi="Times New Roman" w:cs="Times New Roman"/>
              </w:rPr>
              <w:t>offentliggørelse. Hvis Arbejdstilsynet i øvrigt ændrer den oprindelige afgørelse, må den ændrede afgørelse betragtes som en ny afgørelse, herunder med henblik på evt. fornyet klage til Arbejdsmiljøklagenævnet.</w:t>
            </w:r>
          </w:p>
          <w:p w14:paraId="7CC7A564" w14:textId="16595D9E" w:rsidR="00E805CB" w:rsidRPr="004F78AD" w:rsidRDefault="00431E2A" w:rsidP="00483574">
            <w:pPr>
              <w:spacing w:before="120"/>
              <w:rPr>
                <w:rFonts w:ascii="Times New Roman" w:hAnsi="Times New Roman" w:cs="Times New Roman"/>
              </w:rPr>
            </w:pPr>
            <w:r w:rsidRPr="00431E2A">
              <w:rPr>
                <w:rFonts w:ascii="Times New Roman" w:hAnsi="Times New Roman" w:cs="Times New Roman"/>
              </w:rPr>
              <w:t xml:space="preserve">Herudover har KL ikke bemærkninger til </w:t>
            </w:r>
            <w:r w:rsidR="00483574">
              <w:rPr>
                <w:rFonts w:ascii="Times New Roman" w:hAnsi="Times New Roman" w:cs="Times New Roman"/>
              </w:rPr>
              <w:t>bekendtgørelsesudkastet</w:t>
            </w:r>
            <w:r w:rsidRPr="00431E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220D721" w14:textId="77777777" w:rsidR="00E805CB" w:rsidRPr="004F78AD" w:rsidRDefault="00E805CB" w:rsidP="00CA64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E9D2C0" w14:textId="77777777" w:rsidR="00E805CB" w:rsidRPr="004F78AD" w:rsidRDefault="00E805CB" w:rsidP="00CA64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306980" w14:textId="0B0883F9" w:rsidR="002B4C00" w:rsidRDefault="00561EDA" w:rsidP="002B4C0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Arbejdstilsynet </w:t>
            </w:r>
            <w:r w:rsidR="00CD5FB6">
              <w:rPr>
                <w:rFonts w:ascii="Times New Roman" w:hAnsi="Times New Roman" w:cs="Times New Roman"/>
              </w:rPr>
              <w:t>kan bekræfte</w:t>
            </w:r>
            <w:r>
              <w:rPr>
                <w:rFonts w:ascii="Times New Roman" w:hAnsi="Times New Roman" w:cs="Times New Roman"/>
              </w:rPr>
              <w:t>, at</w:t>
            </w:r>
            <w:r w:rsidR="002B4C00">
              <w:rPr>
                <w:rFonts w:ascii="Times New Roman" w:hAnsi="Times New Roman" w:cs="Times New Roman"/>
              </w:rPr>
              <w:t xml:space="preserve"> KLs forståelse </w:t>
            </w:r>
            <w:r w:rsidR="00CD5FB6">
              <w:rPr>
                <w:rFonts w:ascii="Times New Roman" w:hAnsi="Times New Roman" w:cs="Times New Roman"/>
              </w:rPr>
              <w:t xml:space="preserve">af </w:t>
            </w:r>
            <w:r w:rsidR="002B4C00">
              <w:rPr>
                <w:rFonts w:ascii="Times New Roman" w:hAnsi="Times New Roman" w:cs="Times New Roman"/>
              </w:rPr>
              <w:t>bekendtgørelsesudkastets § 7, stk. 5, 1. pkt.</w:t>
            </w:r>
            <w:r w:rsidR="00CD5FB6">
              <w:rPr>
                <w:rFonts w:ascii="Times New Roman" w:hAnsi="Times New Roman" w:cs="Times New Roman"/>
              </w:rPr>
              <w:t xml:space="preserve"> –</w:t>
            </w:r>
            <w:r w:rsidR="00D52B88">
              <w:rPr>
                <w:rFonts w:ascii="Times New Roman" w:hAnsi="Times New Roman" w:cs="Times New Roman"/>
              </w:rPr>
              <w:t xml:space="preserve"> dvs. om </w:t>
            </w:r>
            <w:r w:rsidR="002B4C00">
              <w:rPr>
                <w:rFonts w:ascii="Times New Roman" w:hAnsi="Times New Roman" w:cs="Times New Roman"/>
              </w:rPr>
              <w:t>påbud</w:t>
            </w:r>
            <w:r w:rsidR="00CD5FB6">
              <w:rPr>
                <w:rFonts w:ascii="Times New Roman" w:hAnsi="Times New Roman" w:cs="Times New Roman"/>
              </w:rPr>
              <w:t xml:space="preserve"> </w:t>
            </w:r>
            <w:r w:rsidR="00176035">
              <w:rPr>
                <w:rFonts w:ascii="Times New Roman" w:hAnsi="Times New Roman" w:cs="Times New Roman"/>
              </w:rPr>
              <w:t xml:space="preserve">med frist </w:t>
            </w:r>
            <w:r w:rsidR="00CD5FB6">
              <w:rPr>
                <w:rFonts w:ascii="Times New Roman" w:hAnsi="Times New Roman" w:cs="Times New Roman"/>
              </w:rPr>
              <w:t>–</w:t>
            </w:r>
            <w:r w:rsidR="002B4C00">
              <w:rPr>
                <w:rFonts w:ascii="Times New Roman" w:hAnsi="Times New Roman" w:cs="Times New Roman"/>
              </w:rPr>
              <w:t xml:space="preserve"> er korrekt.</w:t>
            </w:r>
            <w:r w:rsidR="00CD5FB6">
              <w:rPr>
                <w:rFonts w:ascii="Times New Roman" w:hAnsi="Times New Roman" w:cs="Times New Roman"/>
              </w:rPr>
              <w:t xml:space="preserve"> </w:t>
            </w:r>
            <w:r w:rsidR="00D52B88">
              <w:rPr>
                <w:rFonts w:ascii="Times New Roman" w:hAnsi="Times New Roman" w:cs="Times New Roman"/>
              </w:rPr>
              <w:t>Det vil sige</w:t>
            </w:r>
            <w:r w:rsidR="00CD5FB6">
              <w:rPr>
                <w:rFonts w:ascii="Times New Roman" w:hAnsi="Times New Roman" w:cs="Times New Roman"/>
              </w:rPr>
              <w:t>,</w:t>
            </w:r>
            <w:r w:rsidR="00D52B88">
              <w:rPr>
                <w:rFonts w:ascii="Times New Roman" w:hAnsi="Times New Roman" w:cs="Times New Roman"/>
              </w:rPr>
              <w:t xml:space="preserve"> at afgørelser om påbud </w:t>
            </w:r>
            <w:r w:rsidR="00D52B88" w:rsidRPr="00D52B88">
              <w:rPr>
                <w:rFonts w:ascii="Times New Roman" w:hAnsi="Times New Roman" w:cs="Times New Roman"/>
              </w:rPr>
              <w:t>vises</w:t>
            </w:r>
            <w:r w:rsidR="00205CAA">
              <w:rPr>
                <w:rFonts w:ascii="Times New Roman" w:hAnsi="Times New Roman" w:cs="Times New Roman"/>
              </w:rPr>
              <w:t>,</w:t>
            </w:r>
            <w:r w:rsidR="00D52B88" w:rsidRPr="00D52B88">
              <w:rPr>
                <w:rFonts w:ascii="Times New Roman" w:hAnsi="Times New Roman" w:cs="Times New Roman"/>
              </w:rPr>
              <w:t xml:space="preserve"> når klagefristen for afgør</w:t>
            </w:r>
            <w:r w:rsidR="00D52B88">
              <w:rPr>
                <w:rFonts w:ascii="Times New Roman" w:hAnsi="Times New Roman" w:cs="Times New Roman"/>
              </w:rPr>
              <w:t>elsen er udløbet</w:t>
            </w:r>
            <w:r w:rsidR="00176035">
              <w:rPr>
                <w:rFonts w:ascii="Times New Roman" w:hAnsi="Times New Roman" w:cs="Times New Roman"/>
              </w:rPr>
              <w:t xml:space="preserve"> og afgørelsen ikke er påklaget</w:t>
            </w:r>
            <w:r w:rsidR="00D52B88">
              <w:rPr>
                <w:rFonts w:ascii="Times New Roman" w:hAnsi="Times New Roman" w:cs="Times New Roman"/>
              </w:rPr>
              <w:t>.</w:t>
            </w:r>
            <w:r w:rsidR="00D52B88" w:rsidRPr="00D52B88">
              <w:rPr>
                <w:rFonts w:ascii="Times New Roman" w:hAnsi="Times New Roman" w:cs="Times New Roman"/>
              </w:rPr>
              <w:t xml:space="preserve"> </w:t>
            </w:r>
            <w:r w:rsidR="00D52B88">
              <w:rPr>
                <w:rFonts w:ascii="Times New Roman" w:hAnsi="Times New Roman" w:cs="Times New Roman"/>
              </w:rPr>
              <w:t xml:space="preserve">Vælger en </w:t>
            </w:r>
            <w:r w:rsidR="00D52B88" w:rsidRPr="00D52B88">
              <w:rPr>
                <w:rFonts w:ascii="Times New Roman" w:hAnsi="Times New Roman" w:cs="Times New Roman"/>
              </w:rPr>
              <w:t>virksomhed at klage over en afgørelse, vise</w:t>
            </w:r>
            <w:r w:rsidR="00D52B88">
              <w:rPr>
                <w:rFonts w:ascii="Times New Roman" w:hAnsi="Times New Roman" w:cs="Times New Roman"/>
              </w:rPr>
              <w:t>s</w:t>
            </w:r>
            <w:r w:rsidR="00D52B88" w:rsidRPr="00D52B88">
              <w:rPr>
                <w:rFonts w:ascii="Times New Roman" w:hAnsi="Times New Roman" w:cs="Times New Roman"/>
              </w:rPr>
              <w:t xml:space="preserve"> afgørelsen ikke</w:t>
            </w:r>
            <w:r w:rsidR="00205CAA">
              <w:rPr>
                <w:rFonts w:ascii="Times New Roman" w:hAnsi="Times New Roman" w:cs="Times New Roman"/>
              </w:rPr>
              <w:t xml:space="preserve"> før der er taget endelig stilling til klagen, og </w:t>
            </w:r>
            <w:r w:rsidR="00205CAA">
              <w:rPr>
                <w:rFonts w:ascii="Times New Roman" w:hAnsi="Times New Roman" w:cs="Times New Roman"/>
              </w:rPr>
              <w:lastRenderedPageBreak/>
              <w:t>kun i tilfælde, hvor afgørelsen helt eller delvist opretholdes</w:t>
            </w:r>
            <w:r w:rsidR="00D52B88" w:rsidRPr="00D52B88">
              <w:rPr>
                <w:rFonts w:ascii="Times New Roman" w:hAnsi="Times New Roman" w:cs="Times New Roman"/>
              </w:rPr>
              <w:t>.</w:t>
            </w:r>
          </w:p>
          <w:p w14:paraId="7546C758" w14:textId="4448AE1A" w:rsidR="00E805CB" w:rsidRPr="004F78AD" w:rsidRDefault="002B4C00" w:rsidP="0017603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så vidt angår strakspåbud, jf. § 7, stk. 5, 2. pkt., bemærker Arbejdstilsynet, at klager ikke har opsættende virkning. Det betyder, at oplysningerne </w:t>
            </w:r>
            <w:r w:rsidR="00886091">
              <w:rPr>
                <w:rFonts w:ascii="Times New Roman" w:hAnsi="Times New Roman" w:cs="Times New Roman"/>
              </w:rPr>
              <w:t>om afgørelser om strakspåbud</w:t>
            </w:r>
            <w:r w:rsidR="00D52B88">
              <w:rPr>
                <w:rFonts w:ascii="Times New Roman" w:hAnsi="Times New Roman" w:cs="Times New Roman"/>
              </w:rPr>
              <w:t xml:space="preserve"> vil blive </w:t>
            </w:r>
            <w:r>
              <w:rPr>
                <w:rFonts w:ascii="Times New Roman" w:hAnsi="Times New Roman" w:cs="Times New Roman"/>
              </w:rPr>
              <w:t>offentligg</w:t>
            </w:r>
            <w:r w:rsidR="00D52B88">
              <w:rPr>
                <w:rFonts w:ascii="Times New Roman" w:hAnsi="Times New Roman" w:cs="Times New Roman"/>
              </w:rPr>
              <w:t xml:space="preserve">jort </w:t>
            </w:r>
            <w:r>
              <w:rPr>
                <w:rFonts w:ascii="Times New Roman" w:hAnsi="Times New Roman" w:cs="Times New Roman"/>
              </w:rPr>
              <w:t xml:space="preserve">straks på </w:t>
            </w:r>
            <w:r w:rsidR="0017603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rbejdstilsynets hjemmeside. I tilfælde af, at en virksomhed klager over et strakspåbud, </w:t>
            </w:r>
            <w:r w:rsidR="005D78F8">
              <w:rPr>
                <w:rFonts w:ascii="Times New Roman" w:hAnsi="Times New Roman" w:cs="Times New Roman"/>
              </w:rPr>
              <w:t xml:space="preserve">vises det, at </w:t>
            </w:r>
            <w:r>
              <w:rPr>
                <w:rFonts w:ascii="Times New Roman" w:hAnsi="Times New Roman" w:cs="Times New Roman"/>
              </w:rPr>
              <w:t>afgørelsen er påklaget.</w:t>
            </w:r>
            <w:r w:rsidR="000326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05CB" w:rsidRPr="004F78AD" w14:paraId="1EC180D8" w14:textId="77777777" w:rsidTr="002B4C00">
        <w:trPr>
          <w:trHeight w:val="258"/>
        </w:trPr>
        <w:tc>
          <w:tcPr>
            <w:tcW w:w="1589" w:type="dxa"/>
          </w:tcPr>
          <w:p w14:paraId="23EC677A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lastRenderedPageBreak/>
              <w:t>Danske Regioner</w:t>
            </w:r>
          </w:p>
        </w:tc>
        <w:tc>
          <w:tcPr>
            <w:tcW w:w="2976" w:type="dxa"/>
          </w:tcPr>
          <w:p w14:paraId="22E77601" w14:textId="261ED633" w:rsidR="00666446" w:rsidRPr="00666446" w:rsidRDefault="00666446" w:rsidP="00666446">
            <w:pPr>
              <w:spacing w:before="120"/>
              <w:rPr>
                <w:rFonts w:ascii="Times New Roman" w:hAnsi="Times New Roman" w:cs="Times New Roman"/>
              </w:rPr>
            </w:pPr>
            <w:r w:rsidRPr="00666446">
              <w:rPr>
                <w:rFonts w:ascii="Times New Roman" w:hAnsi="Times New Roman" w:cs="Times New Roman"/>
              </w:rPr>
              <w:t>Danske Regioner</w:t>
            </w:r>
            <w:r w:rsidR="00FC441E">
              <w:rPr>
                <w:rFonts w:ascii="Times New Roman" w:hAnsi="Times New Roman" w:cs="Times New Roman"/>
              </w:rPr>
              <w:t xml:space="preserve"> oplyser, at de</w:t>
            </w:r>
            <w:r w:rsidRPr="00666446">
              <w:rPr>
                <w:rFonts w:ascii="Times New Roman" w:hAnsi="Times New Roman" w:cs="Times New Roman"/>
              </w:rPr>
              <w:t xml:space="preserve"> – i lighed med KL </w:t>
            </w:r>
            <w:r w:rsidR="00FC441E">
              <w:rPr>
                <w:rFonts w:ascii="Times New Roman" w:hAnsi="Times New Roman" w:cs="Times New Roman"/>
              </w:rPr>
              <w:t>–</w:t>
            </w:r>
            <w:r w:rsidRPr="00666446">
              <w:rPr>
                <w:rFonts w:ascii="Times New Roman" w:hAnsi="Times New Roman" w:cs="Times New Roman"/>
              </w:rPr>
              <w:t xml:space="preserve"> </w:t>
            </w:r>
            <w:r w:rsidR="00FC441E">
              <w:rPr>
                <w:rFonts w:ascii="Times New Roman" w:hAnsi="Times New Roman" w:cs="Times New Roman"/>
              </w:rPr>
              <w:t xml:space="preserve">forstår </w:t>
            </w:r>
            <w:r w:rsidRPr="00666446">
              <w:rPr>
                <w:rFonts w:ascii="Times New Roman" w:hAnsi="Times New Roman" w:cs="Times New Roman"/>
              </w:rPr>
              <w:t xml:space="preserve">§ 7, stk. 5, i </w:t>
            </w:r>
            <w:r w:rsidR="00FC441E">
              <w:rPr>
                <w:rFonts w:ascii="Times New Roman" w:hAnsi="Times New Roman" w:cs="Times New Roman"/>
              </w:rPr>
              <w:t>bekendtgørelses</w:t>
            </w:r>
            <w:r w:rsidRPr="00666446">
              <w:rPr>
                <w:rFonts w:ascii="Times New Roman" w:hAnsi="Times New Roman" w:cs="Times New Roman"/>
              </w:rPr>
              <w:t xml:space="preserve">udkastet således, at offentliggørelse i de tilfælde, hvor en afgørelse er påklaget til Arbejdsmiljøklagenævnet, først kan ske, når Arbejdsmiljøklagenævnet har truffet afgørelse i klagesagen og helt eller delvist fastholdt Arbejdstilsynets afgørelse. Hvis sagen hjemvises til Arbejdstilsynet, må en </w:t>
            </w:r>
            <w:r w:rsidRPr="00666446">
              <w:rPr>
                <w:rFonts w:ascii="Times New Roman" w:hAnsi="Times New Roman" w:cs="Times New Roman"/>
              </w:rPr>
              <w:lastRenderedPageBreak/>
              <w:t>eventuel visning bero på en ny afgørelse fra Arbejdstilsynet.</w:t>
            </w:r>
          </w:p>
          <w:p w14:paraId="3BB474E5" w14:textId="77777777" w:rsidR="00666446" w:rsidRDefault="00666446" w:rsidP="00666446">
            <w:pPr>
              <w:spacing w:before="120"/>
              <w:rPr>
                <w:rFonts w:ascii="Times New Roman" w:hAnsi="Times New Roman" w:cs="Times New Roman"/>
              </w:rPr>
            </w:pPr>
            <w:r w:rsidRPr="00666446">
              <w:rPr>
                <w:rFonts w:ascii="Times New Roman" w:hAnsi="Times New Roman" w:cs="Times New Roman"/>
              </w:rPr>
              <w:t>I de tilfælde, hvor en afgørelse fra Arbejdstilsynet rettidigt påklages, og hvor Arbejdstilsynet under remonstrationsfasen frafalder afgørelsen, er der ikke grundlag for offentliggørelse. Hvis Arbejdstilsynet i øvrigt ændrer den oprindelige afgørelse, må den ændrede afgørelse betragtes som en ny afgørelse, herunder med henblik på evt. fornyet klage til Arbejdsmiljøklagenævnet.</w:t>
            </w:r>
          </w:p>
          <w:p w14:paraId="3F4A76C2" w14:textId="45696D39" w:rsidR="00E805CB" w:rsidRPr="004F78AD" w:rsidRDefault="00666446" w:rsidP="00A16ADE">
            <w:pPr>
              <w:spacing w:before="120"/>
              <w:rPr>
                <w:rFonts w:ascii="Times New Roman" w:hAnsi="Times New Roman" w:cs="Times New Roman"/>
              </w:rPr>
            </w:pPr>
            <w:r w:rsidRPr="00666446">
              <w:rPr>
                <w:rFonts w:ascii="Times New Roman" w:hAnsi="Times New Roman" w:cs="Times New Roman"/>
              </w:rPr>
              <w:t xml:space="preserve">Herudover har Danske Regioner ikke bemærkninger til </w:t>
            </w:r>
            <w:r w:rsidR="00FC441E">
              <w:rPr>
                <w:rFonts w:ascii="Times New Roman" w:hAnsi="Times New Roman" w:cs="Times New Roman"/>
              </w:rPr>
              <w:t>bekendtgørelse</w:t>
            </w:r>
            <w:r w:rsidR="00A16ADE">
              <w:rPr>
                <w:rFonts w:ascii="Times New Roman" w:hAnsi="Times New Roman" w:cs="Times New Roman"/>
              </w:rPr>
              <w:t>sudkastet</w:t>
            </w:r>
            <w:r w:rsidRPr="00666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6BAB63D" w14:textId="77777777" w:rsidR="00E805CB" w:rsidRPr="004F78AD" w:rsidRDefault="00E805CB" w:rsidP="00CA64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EDF9C1" w14:textId="77777777" w:rsidR="00E805CB" w:rsidRPr="004F78AD" w:rsidRDefault="00E805CB" w:rsidP="00CA64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B9358C6" w14:textId="083153DD" w:rsidR="00E805CB" w:rsidRPr="004F78AD" w:rsidRDefault="00886091" w:rsidP="00071A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Arbejdstilsynet henviser til ovenstående bemærkning </w:t>
            </w:r>
            <w:r w:rsidR="00550E76">
              <w:rPr>
                <w:rFonts w:ascii="Times New Roman" w:hAnsi="Times New Roman" w:cs="Times New Roman"/>
              </w:rPr>
              <w:t xml:space="preserve">afgivet </w:t>
            </w:r>
            <w:r>
              <w:rPr>
                <w:rFonts w:ascii="Times New Roman" w:hAnsi="Times New Roman" w:cs="Times New Roman"/>
              </w:rPr>
              <w:t>til KL</w:t>
            </w:r>
            <w:r w:rsidR="00550E76">
              <w:rPr>
                <w:rFonts w:ascii="Times New Roman" w:hAnsi="Times New Roman" w:cs="Times New Roman"/>
              </w:rPr>
              <w:t>s høringssvar</w:t>
            </w:r>
            <w:r w:rsidR="00FC441E">
              <w:rPr>
                <w:rFonts w:ascii="Times New Roman" w:hAnsi="Times New Roman" w:cs="Times New Roman"/>
              </w:rPr>
              <w:t>.</w:t>
            </w:r>
          </w:p>
        </w:tc>
      </w:tr>
      <w:tr w:rsidR="00E805CB" w:rsidRPr="004F78AD" w14:paraId="0BCCA513" w14:textId="77777777" w:rsidTr="002B4C00">
        <w:trPr>
          <w:trHeight w:val="258"/>
        </w:trPr>
        <w:tc>
          <w:tcPr>
            <w:tcW w:w="1589" w:type="dxa"/>
          </w:tcPr>
          <w:p w14:paraId="00789AF1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FH</w:t>
            </w:r>
          </w:p>
        </w:tc>
        <w:tc>
          <w:tcPr>
            <w:tcW w:w="2976" w:type="dxa"/>
          </w:tcPr>
          <w:p w14:paraId="4BB71E91" w14:textId="1AEC7B35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 xml:space="preserve">FH </w:t>
            </w:r>
            <w:r>
              <w:rPr>
                <w:rFonts w:ascii="Times New Roman" w:hAnsi="Times New Roman" w:cs="Times New Roman"/>
              </w:rPr>
              <w:t xml:space="preserve">oplyser, at de </w:t>
            </w:r>
            <w:r w:rsidRPr="00D753E4">
              <w:rPr>
                <w:rFonts w:ascii="Times New Roman" w:hAnsi="Times New Roman" w:cs="Times New Roman"/>
              </w:rPr>
              <w:t>noterer sig</w:t>
            </w:r>
            <w:r w:rsidR="00526D08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at Arbejdstilsynet i høringsbrevet af 3. juni skriver</w:t>
            </w:r>
            <w:r w:rsidR="00C44806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at ”Følgegruppens ønsker og forslag er med bekendtgørelsesudkastet er blevet fulgt”.</w:t>
            </w:r>
          </w:p>
          <w:p w14:paraId="2DDCB311" w14:textId="570E84A6" w:rsidR="00E805CB" w:rsidRPr="004F78AD" w:rsidRDefault="00D753E4" w:rsidP="00C44806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 xml:space="preserve">FH </w:t>
            </w:r>
            <w:r w:rsidR="00C44806">
              <w:rPr>
                <w:rFonts w:ascii="Times New Roman" w:hAnsi="Times New Roman" w:cs="Times New Roman"/>
              </w:rPr>
              <w:t>tilslutter sig,</w:t>
            </w:r>
            <w:r w:rsidRPr="00D753E4">
              <w:rPr>
                <w:rFonts w:ascii="Times New Roman" w:hAnsi="Times New Roman" w:cs="Times New Roman"/>
              </w:rPr>
              <w:t xml:space="preserve"> med nedenstående bemærkning</w:t>
            </w:r>
            <w:r w:rsidR="00C44806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udkast til bekendtgørelse om offentliggørelse af oplysninger om virksomheders arbejdsmiljø.</w:t>
            </w:r>
          </w:p>
        </w:tc>
        <w:tc>
          <w:tcPr>
            <w:tcW w:w="2268" w:type="dxa"/>
          </w:tcPr>
          <w:p w14:paraId="4E135F59" w14:textId="7F6B7C14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FH foreslår, at der under § 7 stk. 4 tilføjes en ny sætning til sidst i stk.</w:t>
            </w:r>
            <w:r w:rsidR="00C44806">
              <w:rPr>
                <w:rFonts w:ascii="Times New Roman" w:hAnsi="Times New Roman" w:cs="Times New Roman"/>
              </w:rPr>
              <w:t xml:space="preserve"> </w:t>
            </w:r>
            <w:r w:rsidRPr="00D753E4">
              <w:rPr>
                <w:rFonts w:ascii="Times New Roman" w:hAnsi="Times New Roman" w:cs="Times New Roman"/>
              </w:rPr>
              <w:t>4: ”Gives en afgørelse på ét arbejdsmiljøproblememne, offentliggøres alle afgørelser afgivet inden for samme arbejdsmiljøgruppe i løbet af de seneste to år”</w:t>
            </w:r>
          </w:p>
          <w:p w14:paraId="06CE70C4" w14:textId="224B9AFB" w:rsidR="00E805CB" w:rsidRPr="004F78AD" w:rsidRDefault="00D753E4" w:rsidP="00C44806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 xml:space="preserve">FH foreslår </w:t>
            </w:r>
            <w:r w:rsidR="00C44806">
              <w:rPr>
                <w:rFonts w:ascii="Times New Roman" w:hAnsi="Times New Roman" w:cs="Times New Roman"/>
              </w:rPr>
              <w:t xml:space="preserve">derudover, </w:t>
            </w:r>
            <w:r w:rsidRPr="00D753E4">
              <w:rPr>
                <w:rFonts w:ascii="Times New Roman" w:hAnsi="Times New Roman" w:cs="Times New Roman"/>
              </w:rPr>
              <w:t xml:space="preserve">at der i bekendtgørelsen gives en definition af begrebet </w:t>
            </w:r>
            <w:r w:rsidR="00C44806">
              <w:rPr>
                <w:rFonts w:ascii="Times New Roman" w:hAnsi="Times New Roman" w:cs="Times New Roman"/>
              </w:rPr>
              <w:t>”a</w:t>
            </w:r>
            <w:r w:rsidRPr="00D753E4">
              <w:rPr>
                <w:rFonts w:ascii="Times New Roman" w:hAnsi="Times New Roman" w:cs="Times New Roman"/>
              </w:rPr>
              <w:t>rbejdsmiljøproblem</w:t>
            </w:r>
            <w:r w:rsidR="00C44806">
              <w:rPr>
                <w:rFonts w:ascii="Times New Roman" w:hAnsi="Times New Roman" w:cs="Times New Roman"/>
              </w:rPr>
              <w:t>”</w:t>
            </w:r>
            <w:r w:rsidRPr="00D753E4">
              <w:rPr>
                <w:rFonts w:ascii="Times New Roman" w:hAnsi="Times New Roman" w:cs="Times New Roman"/>
              </w:rPr>
              <w:t>, og at det her tydeliggøres</w:t>
            </w:r>
            <w:r w:rsidR="00526D08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at der ifm. offentliggørelse af afgørelser opereres med arbejdsmiljøemner og arbejdsmiljøgruppe.</w:t>
            </w:r>
          </w:p>
        </w:tc>
        <w:tc>
          <w:tcPr>
            <w:tcW w:w="3261" w:type="dxa"/>
          </w:tcPr>
          <w:p w14:paraId="65193C91" w14:textId="77777777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§ 7 stk. 4. er i udkast til bekendtgørelse formuleret på følgende måde:</w:t>
            </w:r>
          </w:p>
          <w:p w14:paraId="14357C64" w14:textId="77777777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”Hvis virksomheden inden for de seneste to år har modtaget en eller flere afgørelser om samme arbejdsmiljøproblem, som afgørelsen eller afgørelserne nævnt i stk. 1, offentliggøres oplysninger herom.”</w:t>
            </w:r>
          </w:p>
          <w:p w14:paraId="62F1C984" w14:textId="6F5D3DC6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FH noterer sig</w:t>
            </w:r>
            <w:r w:rsidR="00C44806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at Arbejdstilsynet i høringsbrevet af 3. juni skriver at ”Følgegruppens ønsker og forslag er med bekendtgørelsesudkastet er blevet fulgt”. Der var i AMR-følgegruppen enighed om at ”når der gives en afgørelse, så vil der blive vist alle afgørelser (AMP-emne) afgivet inden for samme AMP-gruppe i løbet af de seneste to år”, jf mail fra Arbejdstilsynet af 9. maj 2022.</w:t>
            </w:r>
          </w:p>
          <w:p w14:paraId="5966A489" w14:textId="77777777" w:rsid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FH ønsker denne enighed afspejlet i bekendtgørelsen, og ønsker derfor tilføjet en ny sætning til sidst i stk. 4: ”Gives en afgørelse på ét arbejdsmiljøproblememne, offentliggøres alle afgørelser afgivet inden for samme arbejdsmiljøgruppe i løbet af de seneste to år”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FC4B7B" w14:textId="77777777" w:rsidR="00D753E4" w:rsidRP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På AT’s hjemmeside under Tilsyn i tal kan man under data vedr. ”Reaktioner fordelt på arbejdsmiljøproblem” få oplyst reaktioner fordelt på de emner som er placeret under AMP-grupper. F.eks. er der fem emner inden for AMP-gruppen ’Muskel- og skeletbesvær (MSB)’: Arbejdsstillinger 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3E4">
              <w:rPr>
                <w:rFonts w:ascii="Times New Roman" w:hAnsi="Times New Roman" w:cs="Times New Roman"/>
              </w:rPr>
              <w:t>bevægelser, Bæring, Løft, Personforflytning, Træk og skub</w:t>
            </w:r>
          </w:p>
          <w:p w14:paraId="65B0A5CA" w14:textId="3A314689" w:rsid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Med den nye bekendtgørelse skal det sikres</w:t>
            </w:r>
            <w:r w:rsidR="00C44806">
              <w:rPr>
                <w:rFonts w:ascii="Times New Roman" w:hAnsi="Times New Roman" w:cs="Times New Roman"/>
              </w:rPr>
              <w:t>,</w:t>
            </w:r>
            <w:r w:rsidRPr="00D753E4">
              <w:rPr>
                <w:rFonts w:ascii="Times New Roman" w:hAnsi="Times New Roman" w:cs="Times New Roman"/>
              </w:rPr>
              <w:t xml:space="preserve"> at når der f.eks. er givet en reaktion inden for AMP-gruppen ’Muskel- og skeletbesvær’ så skal alle reaktioner givet inden for de fem emner, inden for de sidste 2 år, offentliggøres. Det vil i dette eksempel betyde reaktioner/afgørelser inden for Arbejdsstillinger- og -bevægelser, Bæring, Løft, Personforflytning, Træk og skub.</w:t>
            </w:r>
          </w:p>
          <w:p w14:paraId="4D78566F" w14:textId="00533FC6" w:rsidR="00D753E4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146FC09A" wp14:editId="52A4A7B6">
                  <wp:extent cx="1929669" cy="1289050"/>
                  <wp:effectExtent l="0" t="0" r="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941" cy="132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8C929" w14:textId="7CE06B51" w:rsidR="00E805CB" w:rsidRPr="004F78AD" w:rsidRDefault="00D753E4" w:rsidP="00D753E4">
            <w:pPr>
              <w:spacing w:before="120"/>
              <w:rPr>
                <w:rFonts w:ascii="Times New Roman" w:hAnsi="Times New Roman" w:cs="Times New Roman"/>
              </w:rPr>
            </w:pPr>
            <w:r w:rsidRPr="00D753E4">
              <w:rPr>
                <w:rFonts w:ascii="Times New Roman" w:hAnsi="Times New Roman" w:cs="Times New Roman"/>
              </w:rPr>
              <w:t>Tilsvarende skal det gælde for de øvrige AMP-grupper.</w:t>
            </w:r>
          </w:p>
        </w:tc>
        <w:tc>
          <w:tcPr>
            <w:tcW w:w="3118" w:type="dxa"/>
          </w:tcPr>
          <w:p w14:paraId="5FB7FCBF" w14:textId="2DB8196A" w:rsidR="00E66E9F" w:rsidRDefault="00E66E9F" w:rsidP="00071A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Arbejdstilsynet har </w:t>
            </w:r>
            <w:r w:rsidR="00780E25">
              <w:rPr>
                <w:rFonts w:ascii="Times New Roman" w:hAnsi="Times New Roman" w:cs="Times New Roman"/>
              </w:rPr>
              <w:t>imødekommet</w:t>
            </w:r>
            <w:r>
              <w:rPr>
                <w:rFonts w:ascii="Times New Roman" w:hAnsi="Times New Roman" w:cs="Times New Roman"/>
              </w:rPr>
              <w:t xml:space="preserve"> FHs forslag om at tilføje et sidste punktum i § 7, stk. 4. Det følger derfor nu også af bestemmelsen, at </w:t>
            </w:r>
            <w:r w:rsidRPr="00CC7F3A">
              <w:rPr>
                <w:rFonts w:ascii="Times New Roman" w:hAnsi="Times New Roman" w:cs="Times New Roman"/>
              </w:rPr>
              <w:t>”Gives en afgørelse på ét arbejdsmiljøproblememne, offentliggøres alle afgørelser afgivet inden for samme arbejdsmiljø</w:t>
            </w:r>
            <w:r w:rsidR="00B95413">
              <w:rPr>
                <w:rFonts w:ascii="Times New Roman" w:hAnsi="Times New Roman" w:cs="Times New Roman"/>
              </w:rPr>
              <w:t>problem</w:t>
            </w:r>
            <w:r w:rsidRPr="00CC7F3A">
              <w:rPr>
                <w:rFonts w:ascii="Times New Roman" w:hAnsi="Times New Roman" w:cs="Times New Roman"/>
              </w:rPr>
              <w:t>gruppe i løbet af de seneste to år</w:t>
            </w:r>
            <w:r>
              <w:rPr>
                <w:rFonts w:ascii="Times New Roman" w:hAnsi="Times New Roman" w:cs="Times New Roman"/>
              </w:rPr>
              <w:t>.</w:t>
            </w:r>
            <w:r w:rsidRPr="00CC7F3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73EF60" w14:textId="0B644EC8" w:rsidR="00780E25" w:rsidRDefault="00E66E9F" w:rsidP="00071A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E83B78">
              <w:rPr>
                <w:rFonts w:ascii="Times New Roman" w:hAnsi="Times New Roman" w:cs="Times New Roman"/>
              </w:rPr>
              <w:t>For så vidt angår FHs ønske om</w:t>
            </w:r>
            <w:r w:rsidR="00622B19">
              <w:rPr>
                <w:rFonts w:ascii="Times New Roman" w:hAnsi="Times New Roman" w:cs="Times New Roman"/>
              </w:rPr>
              <w:t>,</w:t>
            </w:r>
            <w:r w:rsidR="00E83B78">
              <w:rPr>
                <w:rFonts w:ascii="Times New Roman" w:hAnsi="Times New Roman" w:cs="Times New Roman"/>
              </w:rPr>
              <w:t xml:space="preserve"> at </w:t>
            </w:r>
            <w:r w:rsidR="00622B19">
              <w:rPr>
                <w:rFonts w:ascii="Times New Roman" w:hAnsi="Times New Roman" w:cs="Times New Roman"/>
              </w:rPr>
              <w:t xml:space="preserve">der </w:t>
            </w:r>
            <w:r w:rsidR="00E83B78">
              <w:rPr>
                <w:rFonts w:ascii="Times New Roman" w:hAnsi="Times New Roman" w:cs="Times New Roman"/>
              </w:rPr>
              <w:t>tilføje</w:t>
            </w:r>
            <w:r w:rsidR="00622B19">
              <w:rPr>
                <w:rFonts w:ascii="Times New Roman" w:hAnsi="Times New Roman" w:cs="Times New Roman"/>
              </w:rPr>
              <w:t>s</w:t>
            </w:r>
            <w:r w:rsidR="00E83B78">
              <w:rPr>
                <w:rFonts w:ascii="Times New Roman" w:hAnsi="Times New Roman" w:cs="Times New Roman"/>
              </w:rPr>
              <w:t xml:space="preserve"> en definition af begrebet ”arbejdsmiljøproblem”, bemærker </w:t>
            </w:r>
            <w:r w:rsidR="00CC7F3A">
              <w:rPr>
                <w:rFonts w:ascii="Times New Roman" w:hAnsi="Times New Roman" w:cs="Times New Roman"/>
              </w:rPr>
              <w:t>Arbejdstilsynet</w:t>
            </w:r>
            <w:r w:rsidR="00E83B78">
              <w:rPr>
                <w:rFonts w:ascii="Times New Roman" w:hAnsi="Times New Roman" w:cs="Times New Roman"/>
              </w:rPr>
              <w:t xml:space="preserve">, at </w:t>
            </w:r>
            <w:r w:rsidR="00176035">
              <w:rPr>
                <w:rFonts w:ascii="Times New Roman" w:hAnsi="Times New Roman" w:cs="Times New Roman"/>
              </w:rPr>
              <w:t>man</w:t>
            </w:r>
            <w:r w:rsidR="00CC7F3A">
              <w:rPr>
                <w:rFonts w:ascii="Times New Roman" w:hAnsi="Times New Roman" w:cs="Times New Roman"/>
              </w:rPr>
              <w:t xml:space="preserve"> </w:t>
            </w:r>
            <w:r w:rsidR="00D840E0">
              <w:rPr>
                <w:rFonts w:ascii="Times New Roman" w:hAnsi="Times New Roman" w:cs="Times New Roman"/>
              </w:rPr>
              <w:t xml:space="preserve">finder </w:t>
            </w:r>
            <w:r w:rsidR="002A3C90">
              <w:rPr>
                <w:rFonts w:ascii="Times New Roman" w:hAnsi="Times New Roman" w:cs="Times New Roman"/>
              </w:rPr>
              <w:t>det u</w:t>
            </w:r>
            <w:r w:rsidR="00D840E0">
              <w:rPr>
                <w:rFonts w:ascii="Times New Roman" w:hAnsi="Times New Roman" w:cs="Times New Roman"/>
              </w:rPr>
              <w:t xml:space="preserve">hensigtsmæssigt at </w:t>
            </w:r>
            <w:r w:rsidR="00780E25">
              <w:rPr>
                <w:rFonts w:ascii="Times New Roman" w:hAnsi="Times New Roman" w:cs="Times New Roman"/>
              </w:rPr>
              <w:t xml:space="preserve">indsætte en definition heraf i </w:t>
            </w:r>
            <w:r w:rsidR="00A67D5A">
              <w:rPr>
                <w:rFonts w:ascii="Times New Roman" w:hAnsi="Times New Roman" w:cs="Times New Roman"/>
              </w:rPr>
              <w:t>bekendtgørelse</w:t>
            </w:r>
            <w:r w:rsidR="00780E25">
              <w:rPr>
                <w:rFonts w:ascii="Times New Roman" w:hAnsi="Times New Roman" w:cs="Times New Roman"/>
              </w:rPr>
              <w:t>n, da begrebet anvendes i forskellige sammenhænge.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E7EE41" w14:textId="302F3715" w:rsidR="00780E25" w:rsidRDefault="00780E25" w:rsidP="00071A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 fremgår </w:t>
            </w:r>
            <w:r w:rsidR="004452CF">
              <w:rPr>
                <w:rFonts w:ascii="Times New Roman" w:hAnsi="Times New Roman" w:cs="Times New Roman"/>
              </w:rPr>
              <w:t xml:space="preserve">desuden </w:t>
            </w:r>
            <w:r>
              <w:rPr>
                <w:rFonts w:ascii="Times New Roman" w:hAnsi="Times New Roman" w:cs="Times New Roman"/>
              </w:rPr>
              <w:t xml:space="preserve">nu af bekendtgørelsen, at man </w:t>
            </w:r>
            <w:r w:rsidR="004452CF">
              <w:rPr>
                <w:rFonts w:ascii="Times New Roman" w:hAnsi="Times New Roman" w:cs="Times New Roman"/>
              </w:rPr>
              <w:t>opererer med både ”arbejdsmiljøproblemgrupper” og ”arbejdsmiljøproblememner”.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CC3879" w14:textId="77777777" w:rsidR="00CC7F3A" w:rsidRDefault="00CC7F3A" w:rsidP="00071A04">
            <w:pPr>
              <w:spacing w:before="120"/>
              <w:rPr>
                <w:rFonts w:ascii="Times New Roman" w:hAnsi="Times New Roman" w:cs="Times New Roman"/>
              </w:rPr>
            </w:pPr>
          </w:p>
          <w:p w14:paraId="09DA03B3" w14:textId="28601574" w:rsidR="00E805CB" w:rsidRPr="004F78AD" w:rsidRDefault="00E805CB" w:rsidP="00071A0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805CB" w:rsidRPr="004F78AD" w14:paraId="41FC0972" w14:textId="77777777" w:rsidTr="002B4C00">
        <w:trPr>
          <w:trHeight w:val="258"/>
        </w:trPr>
        <w:tc>
          <w:tcPr>
            <w:tcW w:w="1589" w:type="dxa"/>
          </w:tcPr>
          <w:p w14:paraId="44E58279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Akademikerne</w:t>
            </w:r>
          </w:p>
        </w:tc>
        <w:tc>
          <w:tcPr>
            <w:tcW w:w="2976" w:type="dxa"/>
          </w:tcPr>
          <w:p w14:paraId="33CB3B1E" w14:textId="4D5B4D19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2268" w:type="dxa"/>
          </w:tcPr>
          <w:p w14:paraId="16A7BB9A" w14:textId="66D24642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261" w:type="dxa"/>
          </w:tcPr>
          <w:p w14:paraId="3BD4C449" w14:textId="1D0FB54B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118" w:type="dxa"/>
          </w:tcPr>
          <w:p w14:paraId="6C7AE6FB" w14:textId="77777777" w:rsidR="00E805CB" w:rsidRPr="004F78AD" w:rsidRDefault="00E805CB" w:rsidP="00071A0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805CB" w:rsidRPr="004F78AD" w14:paraId="29163F0E" w14:textId="77777777" w:rsidTr="002B4C00">
        <w:trPr>
          <w:trHeight w:val="258"/>
        </w:trPr>
        <w:tc>
          <w:tcPr>
            <w:tcW w:w="1589" w:type="dxa"/>
          </w:tcPr>
          <w:p w14:paraId="7D03215E" w14:textId="77777777" w:rsidR="00E805CB" w:rsidRPr="004F78AD" w:rsidRDefault="00E805CB" w:rsidP="00CA64B4">
            <w:pPr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 xml:space="preserve">Medarbejder- og Kompetencestyrelsen </w:t>
            </w:r>
          </w:p>
        </w:tc>
        <w:tc>
          <w:tcPr>
            <w:tcW w:w="2976" w:type="dxa"/>
          </w:tcPr>
          <w:p w14:paraId="7C2413DF" w14:textId="632D0CBA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2268" w:type="dxa"/>
          </w:tcPr>
          <w:p w14:paraId="0F1B549D" w14:textId="1749F892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261" w:type="dxa"/>
          </w:tcPr>
          <w:p w14:paraId="2689D597" w14:textId="644F4B97" w:rsidR="00E805CB" w:rsidRPr="004F78AD" w:rsidRDefault="00D739F1" w:rsidP="00CA64B4">
            <w:pPr>
              <w:spacing w:before="120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Ingen bemærkninger</w:t>
            </w:r>
          </w:p>
        </w:tc>
        <w:tc>
          <w:tcPr>
            <w:tcW w:w="3118" w:type="dxa"/>
          </w:tcPr>
          <w:p w14:paraId="10D3D16F" w14:textId="77777777" w:rsidR="00E805CB" w:rsidRPr="004F78AD" w:rsidRDefault="00E805CB" w:rsidP="00071A04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557DCA9C" w14:textId="77777777" w:rsidR="00071A04" w:rsidRPr="004F78AD" w:rsidRDefault="00071A04" w:rsidP="00071A04">
      <w:pPr>
        <w:rPr>
          <w:rFonts w:ascii="Times New Roman" w:hAnsi="Times New Roman" w:cs="Times New Roman"/>
        </w:rPr>
      </w:pPr>
    </w:p>
    <w:p w14:paraId="55D2AA4C" w14:textId="77777777" w:rsidR="00071A04" w:rsidRPr="004F78AD" w:rsidRDefault="00071A04" w:rsidP="00071A04">
      <w:pPr>
        <w:rPr>
          <w:rFonts w:ascii="Times New Roman" w:hAnsi="Times New Roman" w:cs="Times New Roman"/>
        </w:rPr>
      </w:pPr>
    </w:p>
    <w:p w14:paraId="0DDC0778" w14:textId="77777777" w:rsidR="00071A04" w:rsidRDefault="00071A04" w:rsidP="00071A04"/>
    <w:p w14:paraId="4D17429C" w14:textId="77777777" w:rsidR="00071A04" w:rsidRDefault="00071A04" w:rsidP="00071A04"/>
    <w:p w14:paraId="10634779" w14:textId="77777777" w:rsidR="00071A04" w:rsidRDefault="00071A04" w:rsidP="00071A04"/>
    <w:p w14:paraId="4BB9968B" w14:textId="77777777" w:rsidR="00071A04" w:rsidRDefault="00071A04" w:rsidP="00071A04"/>
    <w:p w14:paraId="29D12512" w14:textId="77777777" w:rsidR="00071A04" w:rsidRDefault="00071A04" w:rsidP="00071A04"/>
    <w:p w14:paraId="56E7C315" w14:textId="77777777" w:rsidR="00071A04" w:rsidRDefault="00071A04" w:rsidP="00071A04"/>
    <w:p w14:paraId="1433D0A0" w14:textId="77777777" w:rsidR="00071A04" w:rsidRDefault="00071A04"/>
    <w:sectPr w:rsidR="00071A04" w:rsidSect="00071A0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4C4"/>
    <w:multiLevelType w:val="hybridMultilevel"/>
    <w:tmpl w:val="4704CBF8"/>
    <w:lvl w:ilvl="0" w:tplc="8F402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5A9C"/>
    <w:multiLevelType w:val="hybridMultilevel"/>
    <w:tmpl w:val="47F02338"/>
    <w:lvl w:ilvl="0" w:tplc="396A25F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4"/>
    <w:rsid w:val="0000334E"/>
    <w:rsid w:val="00032628"/>
    <w:rsid w:val="00071A04"/>
    <w:rsid w:val="00176035"/>
    <w:rsid w:val="00183C12"/>
    <w:rsid w:val="001A5438"/>
    <w:rsid w:val="001D4DA8"/>
    <w:rsid w:val="0020582D"/>
    <w:rsid w:val="00205CAA"/>
    <w:rsid w:val="00231BF4"/>
    <w:rsid w:val="00293BBC"/>
    <w:rsid w:val="00295605"/>
    <w:rsid w:val="002A0641"/>
    <w:rsid w:val="002A3C90"/>
    <w:rsid w:val="002B4C00"/>
    <w:rsid w:val="002C54FA"/>
    <w:rsid w:val="003105F6"/>
    <w:rsid w:val="00353117"/>
    <w:rsid w:val="003D6376"/>
    <w:rsid w:val="00431E2A"/>
    <w:rsid w:val="004452CF"/>
    <w:rsid w:val="00454625"/>
    <w:rsid w:val="00473372"/>
    <w:rsid w:val="00483574"/>
    <w:rsid w:val="004A556B"/>
    <w:rsid w:val="004F78AD"/>
    <w:rsid w:val="00502A82"/>
    <w:rsid w:val="00526D08"/>
    <w:rsid w:val="00550E76"/>
    <w:rsid w:val="00561EDA"/>
    <w:rsid w:val="005B5150"/>
    <w:rsid w:val="005D78F8"/>
    <w:rsid w:val="005F6446"/>
    <w:rsid w:val="00601026"/>
    <w:rsid w:val="00622B19"/>
    <w:rsid w:val="00666446"/>
    <w:rsid w:val="007035C0"/>
    <w:rsid w:val="00720F04"/>
    <w:rsid w:val="00780E25"/>
    <w:rsid w:val="007E075F"/>
    <w:rsid w:val="007F2551"/>
    <w:rsid w:val="00850B57"/>
    <w:rsid w:val="00886091"/>
    <w:rsid w:val="008B702E"/>
    <w:rsid w:val="008C2EA1"/>
    <w:rsid w:val="00946391"/>
    <w:rsid w:val="00946F9F"/>
    <w:rsid w:val="0096268D"/>
    <w:rsid w:val="00A16ADE"/>
    <w:rsid w:val="00A66AC0"/>
    <w:rsid w:val="00A67D5A"/>
    <w:rsid w:val="00A727DD"/>
    <w:rsid w:val="00AC5F00"/>
    <w:rsid w:val="00B9075D"/>
    <w:rsid w:val="00B95413"/>
    <w:rsid w:val="00BD3ECC"/>
    <w:rsid w:val="00BF4868"/>
    <w:rsid w:val="00C13A11"/>
    <w:rsid w:val="00C44806"/>
    <w:rsid w:val="00CC7F3A"/>
    <w:rsid w:val="00CD5FB6"/>
    <w:rsid w:val="00D22905"/>
    <w:rsid w:val="00D52B88"/>
    <w:rsid w:val="00D678B0"/>
    <w:rsid w:val="00D739F1"/>
    <w:rsid w:val="00D753E4"/>
    <w:rsid w:val="00D840E0"/>
    <w:rsid w:val="00DC360C"/>
    <w:rsid w:val="00E66E9F"/>
    <w:rsid w:val="00E75A8C"/>
    <w:rsid w:val="00E805CB"/>
    <w:rsid w:val="00E83B78"/>
    <w:rsid w:val="00EC6D8F"/>
    <w:rsid w:val="00EE2F56"/>
    <w:rsid w:val="00F32AB1"/>
    <w:rsid w:val="00F40083"/>
    <w:rsid w:val="00F80D61"/>
    <w:rsid w:val="00FC441E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6B9D"/>
  <w15:chartTrackingRefBased/>
  <w15:docId w15:val="{8A93FF3D-CD9D-4D17-88D8-2FEC0E0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7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1A04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26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326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326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26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262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http://schemas.microsoft.com/sharepoint/v3" xsi:nil="true"/>
    <RecipientsLookup xmlns="http://schemas.microsoft.com/sharepoint/v3"/>
    <Status xmlns="http://schemas.microsoft.com/sharepoint/v3">Journaliseret</Status>
    <CCMMeetingCaseLink xmlns="http://schemas.microsoft.com/sharepoint/v3">
      <Url xsi:nil="true"/>
      <Description xsi:nil="true"/>
    </CCMMeetingCaseLink>
    <CCMAgendaItemId xmlns="http://schemas.microsoft.com/sharepoint/v3" xsi:nil="true"/>
    <Arkiveringsform xmlns="096361C7-50CF-4952-B237-5090485217AC">01 Lagret fuldt elektronisk i GO</Arkiveringsform>
    <Korrespondance xmlns="http://schemas.microsoft.com/sharepoint/v3">Intern</Korrespondance>
    <CCMDescription xmlns="096361C7-50CF-4952-B237-5090485217AC" xsi:nil="true"/>
    <CCMCognitiveType xmlns="http://schemas.microsoft.com/sharepoint/v3" xsi:nil="true"/>
    <Beskrivelse xmlns="096361C7-50CF-4952-B237-5090485217AC" xsi:nil="true"/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Stefanie Emilie Nielsen</DisplayName>
        <AccountId>97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2024-06-24T12:04:35+00:00</Dato>
    <CCMMeetingCaseId xmlns="http://schemas.microsoft.com/sharepoint/v3" xsi:nil="true"/>
    <BatchId xmlns="096361C7-50CF-4952-B237-5090485217AC" xsi:nil="true"/>
    <CCMAgendaStatus xmlns="http://schemas.microsoft.com/sharepoint/v3" xsi:nil="true"/>
    <TaxCatchAll xmlns="e74208ba-504a-4831-9a4e-42d91f94706a">
      <Value>3</Value>
    </TaxCatchAll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587169d6-a954-4482-abac-4e855a7b599d</CCMSystemID>
    <CCMVisualId xmlns="http://schemas.microsoft.com/sharepoint/v3">20235000001</CCMVisualId>
    <Finalized xmlns="http://schemas.microsoft.com/sharepoint/v3">false</Finalized>
    <DocID xmlns="http://schemas.microsoft.com/sharepoint/v3">7230015</DocID>
    <CaseRecordNumber xmlns="http://schemas.microsoft.com/sharepoint/v3">13</CaseRecordNumber>
    <CaseID xmlns="http://schemas.microsoft.com/sharepoint/v3">20235000001</CaseID>
    <RegistrationDate xmlns="http://schemas.microsoft.com/sharepoint/v3">2024-07-08T08:41:45+00:00</RegistrationDate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CBA2E000F8E4E4C9C22C0C809BEDBCB" ma:contentTypeVersion="0" ma:contentTypeDescription="GetOrganized dokument" ma:contentTypeScope="" ma:versionID="ea9086fe4a046d180069feaaf1c13cc6">
  <xsd:schema xmlns:xsd="http://www.w3.org/2001/XMLSchema" xmlns:xs="http://www.w3.org/2001/XMLSchema" xmlns:p="http://schemas.microsoft.com/office/2006/metadata/properties" xmlns:ns1="http://schemas.microsoft.com/sharepoint/v3" xmlns:ns2="096361C7-50CF-4952-B237-5090485217AC" xmlns:ns3="e74208ba-504a-4831-9a4e-42d91f94706a" targetNamespace="http://schemas.microsoft.com/office/2006/metadata/properties" ma:root="true" ma:fieldsID="c3027d30d225c54a34b241502461b573" ns1:_="" ns2:_="" ns3:_="">
    <xsd:import namespace="http://schemas.microsoft.com/sharepoint/v3"/>
    <xsd:import namespace="096361C7-50CF-4952-B237-5090485217AC"/>
    <xsd:import namespace="e74208ba-504a-4831-9a4e-42d91f94706a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4124743A-69A2-45D0-8926-36B7C06B9F68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4124743A-69A2-45D0-8926-36B7C06B9F68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096361C7-50CF-4952-B237-5090485217AC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61C7-50CF-4952-B237-5090485217AC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208ba-504a-4831-9a4e-42d91f94706a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e2d44fea-b897-41fd-bd30-b5a918c277d1}" ma:internalName="TaxCatchAll" ma:showField="CatchAllData" ma:web="e74208ba-504a-4831-9a4e-42d91f947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82B7-5D53-402C-939C-E6CCEA0F7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4208ba-504a-4831-9a4e-42d91f94706a"/>
    <ds:schemaRef ds:uri="http://schemas.microsoft.com/sharepoint/v3"/>
    <ds:schemaRef ds:uri="096361C7-50CF-4952-B237-5090485217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69FB8F-4892-4203-A67E-BBEB21667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60CE2-A8DB-47F0-B73D-A7B88998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6361C7-50CF-4952-B237-5090485217AC"/>
    <ds:schemaRef ds:uri="e74208ba-504a-4831-9a4e-42d91f947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Høringsnotat i skemaform - tilsynsindblikket</vt:lpstr>
    </vt:vector>
  </TitlesOfParts>
  <Company>Statens It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Høringsnotat i skemaform - tilsynsindblikket</dc:title>
  <dc:subject/>
  <dc:creator>Stefanie Emilie Nielsen</dc:creator>
  <cp:keywords/>
  <dc:description/>
  <cp:lastModifiedBy>Laila Damtoft Pedersen</cp:lastModifiedBy>
  <cp:revision>2</cp:revision>
  <dcterms:created xsi:type="dcterms:W3CDTF">2024-07-09T10:54:00Z</dcterms:created>
  <dcterms:modified xsi:type="dcterms:W3CDTF">2024-07-09T10:54:00Z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0x010100AC085CFC53BC46CEA2EADE194AD9D48200ACBA2E000F8E4E4C9C22C0C809BEDBCB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heckoutUser">
    <vt:lpwstr>97</vt:lpwstr>
  </property>
  <property fmtid="{D5CDD505-2E9C-101B-9397-08002B2CF9AE}" pid="8" name="Dokumenttype2">
    <vt:lpwstr>3;#Notat|91120ae2-a3c6-48b2-91f1-5d58ffc23d4e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CCMReplyToDocCacheId_AA145BE6-B859-401A-B2E0-03BB3E7048FC_2e3f6116-b967-4aea-997f-bd1696e6bb62</vt:lpwstr>
  </property>
  <property fmtid="{D5CDD505-2E9C-101B-9397-08002B2CF9AE}" pid="11" name="CCMEventContext">
    <vt:lpwstr>10f1f033-0f66-49be-ab27-f74525dce05d</vt:lpwstr>
  </property>
  <property fmtid="{D5CDD505-2E9C-101B-9397-08002B2CF9AE}" pid="12" name="kFormat">
    <vt:i4>0</vt:i4>
  </property>
</Properties>
</file>