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A13723" w14:paraId="4BAA05F3" w14:textId="77777777" w:rsidTr="003F319A">
        <w:trPr>
          <w:cantSplit/>
          <w:trHeight w:val="2600"/>
        </w:trPr>
        <w:tc>
          <w:tcPr>
            <w:tcW w:w="7116" w:type="dxa"/>
          </w:tcPr>
          <w:p w14:paraId="550CDA5B" w14:textId="77777777" w:rsidR="007F73B3" w:rsidRPr="00A13723" w:rsidRDefault="007F73B3" w:rsidP="006C156D">
            <w:pPr>
              <w:jc w:val="both"/>
            </w:pPr>
            <w:bookmarkStart w:id="0" w:name="_GoBack"/>
            <w:bookmarkEnd w:id="0"/>
          </w:p>
        </w:tc>
        <w:tc>
          <w:tcPr>
            <w:tcW w:w="1939" w:type="dxa"/>
          </w:tcPr>
          <w:p w14:paraId="6921AB00" w14:textId="77777777" w:rsidR="005271D6" w:rsidRPr="00A13723" w:rsidRDefault="005271D6" w:rsidP="006C156D">
            <w:pPr>
              <w:jc w:val="both"/>
            </w:pPr>
          </w:p>
        </w:tc>
      </w:tr>
      <w:tr w:rsidR="00541D1B" w:rsidRPr="00A13723" w14:paraId="7F8A30DF" w14:textId="77777777" w:rsidTr="003F319A">
        <w:trPr>
          <w:cantSplit/>
        </w:trPr>
        <w:tc>
          <w:tcPr>
            <w:tcW w:w="7116" w:type="dxa"/>
          </w:tcPr>
          <w:p w14:paraId="54B32B25" w14:textId="77777777" w:rsidR="00A13723" w:rsidRPr="00A13723" w:rsidRDefault="00A13723" w:rsidP="006C156D">
            <w:pPr>
              <w:jc w:val="both"/>
              <w:rPr>
                <w:rFonts w:cs="Arial"/>
                <w:b/>
                <w:bCs/>
                <w:sz w:val="22"/>
                <w:szCs w:val="32"/>
              </w:rPr>
            </w:pPr>
            <w:r w:rsidRPr="00A13723">
              <w:rPr>
                <w:rFonts w:cs="Arial"/>
                <w:b/>
                <w:bCs/>
                <w:sz w:val="22"/>
                <w:szCs w:val="32"/>
              </w:rPr>
              <w:t>Høring af ændringer i</w:t>
            </w:r>
          </w:p>
          <w:p w14:paraId="788B0B8C" w14:textId="2D933F4D" w:rsidR="00541D1B" w:rsidRPr="00A13723" w:rsidRDefault="00A13723" w:rsidP="006C156D">
            <w:pPr>
              <w:jc w:val="both"/>
            </w:pPr>
            <w:r w:rsidRPr="00A13723">
              <w:rPr>
                <w:rFonts w:cs="Arial"/>
                <w:b/>
                <w:bCs/>
                <w:sz w:val="22"/>
                <w:szCs w:val="32"/>
              </w:rPr>
              <w:t>husdyrgodkendelsesbekendtgørelse</w:t>
            </w:r>
            <w:r w:rsidR="003F648F">
              <w:rPr>
                <w:rFonts w:cs="Arial"/>
                <w:b/>
                <w:bCs/>
                <w:sz w:val="22"/>
                <w:szCs w:val="32"/>
              </w:rPr>
              <w:t>n</w:t>
            </w:r>
          </w:p>
        </w:tc>
        <w:tc>
          <w:tcPr>
            <w:tcW w:w="1939" w:type="dxa"/>
          </w:tcPr>
          <w:p w14:paraId="0946E34A" w14:textId="77777777" w:rsidR="00541D1B" w:rsidRPr="00A13723" w:rsidRDefault="00541D1B" w:rsidP="006C156D">
            <w:pPr>
              <w:jc w:val="both"/>
            </w:pPr>
          </w:p>
        </w:tc>
      </w:tr>
    </w:tbl>
    <w:p w14:paraId="7381D48B" w14:textId="77777777" w:rsidR="00A13723" w:rsidRDefault="00A13723" w:rsidP="006C156D">
      <w:pPr>
        <w:jc w:val="both"/>
      </w:pPr>
    </w:p>
    <w:p w14:paraId="0BAAE5D5" w14:textId="77777777" w:rsidR="005D7AEE" w:rsidRDefault="00A13723" w:rsidP="00682AB8">
      <w:pPr>
        <w:jc w:val="both"/>
      </w:pPr>
      <w:r>
        <w:t>Miljø- og Fødevareministeriet sender hermed udkast til husdyrgodkendelsesbekendtgørelsen i</w:t>
      </w:r>
      <w:r w:rsidR="00445F0A">
        <w:t xml:space="preserve"> </w:t>
      </w:r>
      <w:r>
        <w:t>offentlig høring.</w:t>
      </w:r>
      <w:r w:rsidR="00445F0A">
        <w:t xml:space="preserve"> </w:t>
      </w:r>
      <w:r w:rsidR="00291FBE">
        <w:t>D</w:t>
      </w:r>
      <w:r w:rsidR="0056120B">
        <w:t>e for</w:t>
      </w:r>
      <w:r w:rsidR="00301D15">
        <w:t>eslåede ændringer foretages med henblik på at gennemføre VVM-direktivet i lyset af EU-Kommissionens åbningsskrivelse nr. 2019/2221 af 10. oktober 2019</w:t>
      </w:r>
      <w:r w:rsidR="00301D15" w:rsidRPr="00301D15">
        <w:t xml:space="preserve"> vedrørende den danske i</w:t>
      </w:r>
      <w:r w:rsidR="00445F0A">
        <w:t>mplementering af VVM direktivet</w:t>
      </w:r>
      <w:r w:rsidR="00682AB8">
        <w:t xml:space="preserve">. </w:t>
      </w:r>
    </w:p>
    <w:p w14:paraId="0AB59E09" w14:textId="77777777" w:rsidR="005D7AEE" w:rsidRDefault="005D7AEE" w:rsidP="00682AB8">
      <w:pPr>
        <w:jc w:val="both"/>
      </w:pPr>
    </w:p>
    <w:p w14:paraId="5DA5BA3B" w14:textId="40CE8CDE" w:rsidR="005D7AEE" w:rsidRDefault="00682AB8" w:rsidP="00682AB8">
      <w:pPr>
        <w:jc w:val="both"/>
      </w:pPr>
      <w:r>
        <w:t>De foreslåede ændringer sker endvidere i overensstemmelse med lovforslag om ændring af lov om miljøvurdering af planer og programmer og af konkrete projekter (VVM) og ændring af lov om husdyrbru</w:t>
      </w:r>
      <w:r w:rsidR="005D7AEE">
        <w:t>g og anvendelse af gødning m.v. (</w:t>
      </w:r>
      <w:r>
        <w:t>Implementering af VVM direktivet og ændring af my</w:t>
      </w:r>
      <w:r w:rsidR="005D7AEE">
        <w:t>ndighedskompetencen for havbrug)</w:t>
      </w:r>
      <w:r w:rsidR="00CA7664">
        <w:t>, som har været i ekstern høring i perioden 24. juni til 20. august 2020, og som forventes fremsat i Folketingets åbningsuge</w:t>
      </w:r>
      <w:r w:rsidR="00445F0A">
        <w:t xml:space="preserve">. </w:t>
      </w:r>
    </w:p>
    <w:p w14:paraId="6B2AAEA9" w14:textId="77777777" w:rsidR="005D7AEE" w:rsidRDefault="005D7AEE" w:rsidP="00682AB8">
      <w:pPr>
        <w:jc w:val="both"/>
      </w:pPr>
    </w:p>
    <w:p w14:paraId="56C3CA50" w14:textId="248A5D51" w:rsidR="0048071C" w:rsidRDefault="00445F0A" w:rsidP="00682AB8">
      <w:pPr>
        <w:jc w:val="both"/>
        <w:rPr>
          <w:rFonts w:cs="TimesNewRomanPSMT"/>
        </w:rPr>
      </w:pPr>
      <w:r>
        <w:t>Ændringerne angår følgende:</w:t>
      </w:r>
    </w:p>
    <w:p w14:paraId="3035359B" w14:textId="77777777" w:rsidR="00875FFE" w:rsidRDefault="00875FFE" w:rsidP="006C156D">
      <w:pPr>
        <w:jc w:val="both"/>
      </w:pPr>
    </w:p>
    <w:p w14:paraId="04564D49" w14:textId="77777777" w:rsidR="00875FFE" w:rsidRDefault="005B16F8" w:rsidP="006C156D">
      <w:pPr>
        <w:pStyle w:val="Listeafsnit"/>
        <w:numPr>
          <w:ilvl w:val="0"/>
          <w:numId w:val="15"/>
        </w:numPr>
        <w:jc w:val="both"/>
      </w:pPr>
      <w:r>
        <w:t>Udvidelse af definitionsbestemmelse med hhv. miljø</w:t>
      </w:r>
      <w:r w:rsidR="00F10D14">
        <w:t>konsekvens</w:t>
      </w:r>
      <w:r>
        <w:t>vurdering og ansøger (§ 2, nr. 13-14)</w:t>
      </w:r>
    </w:p>
    <w:p w14:paraId="7DDF920D" w14:textId="250EEE0A" w:rsidR="005B16F8" w:rsidRDefault="005B16F8" w:rsidP="006C156D">
      <w:pPr>
        <w:pStyle w:val="Listeafsnit"/>
        <w:numPr>
          <w:ilvl w:val="0"/>
          <w:numId w:val="15"/>
        </w:numPr>
        <w:jc w:val="both"/>
      </w:pPr>
      <w:r>
        <w:t>Præcisering</w:t>
      </w:r>
      <w:r w:rsidR="00382E56">
        <w:t xml:space="preserve"> og </w:t>
      </w:r>
      <w:r w:rsidR="00414559">
        <w:t xml:space="preserve">uddybning </w:t>
      </w:r>
      <w:r>
        <w:t>af regler for udarbejdelse af miljøkonsekvensrapport (§ 4 samt bilag 1)</w:t>
      </w:r>
    </w:p>
    <w:p w14:paraId="04F30732" w14:textId="01DB8B07" w:rsidR="005B16F8" w:rsidRDefault="00414559" w:rsidP="006C156D">
      <w:pPr>
        <w:pStyle w:val="Listeafsnit"/>
        <w:numPr>
          <w:ilvl w:val="0"/>
          <w:numId w:val="15"/>
        </w:numPr>
        <w:jc w:val="both"/>
      </w:pPr>
      <w:r>
        <w:t xml:space="preserve">Præcisering og </w:t>
      </w:r>
      <w:proofErr w:type="spellStart"/>
      <w:r>
        <w:t>omformulering</w:t>
      </w:r>
      <w:proofErr w:type="spellEnd"/>
      <w:r>
        <w:t xml:space="preserve"> af r</w:t>
      </w:r>
      <w:r w:rsidR="001F2E74">
        <w:t>egler om inddragelse af berørte myndigheder og offentligheden (§§ 59-61)</w:t>
      </w:r>
      <w:r>
        <w:t xml:space="preserve">, som </w:t>
      </w:r>
      <w:r w:rsidR="009E38F6">
        <w:t>indsættes til</w:t>
      </w:r>
      <w:r>
        <w:t xml:space="preserve"> erstat</w:t>
      </w:r>
      <w:r w:rsidR="009E38F6">
        <w:t>ning for</w:t>
      </w:r>
      <w:r w:rsidR="001F2E74">
        <w:t xml:space="preserve"> husdyrbruglovens § 55, stk. 2-5.</w:t>
      </w:r>
    </w:p>
    <w:p w14:paraId="7A67B00C" w14:textId="77777777" w:rsidR="00382E56" w:rsidRDefault="00C53821" w:rsidP="006C156D">
      <w:pPr>
        <w:pStyle w:val="Listeafsnit"/>
        <w:numPr>
          <w:ilvl w:val="0"/>
          <w:numId w:val="15"/>
        </w:numPr>
        <w:jc w:val="both"/>
      </w:pPr>
      <w:r>
        <w:t xml:space="preserve">Præcisering og </w:t>
      </w:r>
      <w:proofErr w:type="spellStart"/>
      <w:r>
        <w:t>omformulering</w:t>
      </w:r>
      <w:proofErr w:type="spellEnd"/>
      <w:r>
        <w:t xml:space="preserve"> af regler om vurdering og</w:t>
      </w:r>
      <w:r w:rsidR="00382E56">
        <w:t xml:space="preserve"> begrundelse (§§ 62 og 63)</w:t>
      </w:r>
    </w:p>
    <w:p w14:paraId="76D9C6F9" w14:textId="5243BC48" w:rsidR="00C53821" w:rsidRDefault="00382E56" w:rsidP="006C156D">
      <w:pPr>
        <w:pStyle w:val="Listeafsnit"/>
        <w:numPr>
          <w:ilvl w:val="0"/>
          <w:numId w:val="15"/>
        </w:numPr>
        <w:jc w:val="both"/>
      </w:pPr>
      <w:r>
        <w:t xml:space="preserve">Præcisering og </w:t>
      </w:r>
      <w:r w:rsidR="00414559">
        <w:t xml:space="preserve">uddybning </w:t>
      </w:r>
      <w:r>
        <w:t>af reg</w:t>
      </w:r>
      <w:r w:rsidR="00414559">
        <w:t>ler</w:t>
      </w:r>
      <w:r>
        <w:t xml:space="preserve"> om offentliggørelse af informationer og afgørelser (§ 64)</w:t>
      </w:r>
    </w:p>
    <w:p w14:paraId="1BB34029" w14:textId="77777777" w:rsidR="00382E56" w:rsidRDefault="00382E56" w:rsidP="006C156D">
      <w:pPr>
        <w:pStyle w:val="Listeafsnit"/>
        <w:numPr>
          <w:ilvl w:val="0"/>
          <w:numId w:val="15"/>
        </w:numPr>
        <w:jc w:val="both"/>
      </w:pPr>
      <w:r>
        <w:t xml:space="preserve">Præcisering og </w:t>
      </w:r>
      <w:proofErr w:type="spellStart"/>
      <w:r>
        <w:t>omformulering</w:t>
      </w:r>
      <w:proofErr w:type="spellEnd"/>
      <w:r>
        <w:t xml:space="preserve"> af regel om grænseoverskridende indvirkninger på miljøet (§ 65)</w:t>
      </w:r>
    </w:p>
    <w:p w14:paraId="46B1288E" w14:textId="77777777" w:rsidR="0056120B" w:rsidRDefault="0056120B" w:rsidP="006C156D">
      <w:pPr>
        <w:jc w:val="both"/>
      </w:pPr>
    </w:p>
    <w:p w14:paraId="156DAA41" w14:textId="321A1782" w:rsidR="005B16F8" w:rsidRDefault="005B16F8" w:rsidP="006C156D">
      <w:pPr>
        <w:jc w:val="both"/>
      </w:pPr>
      <w:r>
        <w:t>Derudover foretages mindre justering</w:t>
      </w:r>
      <w:r w:rsidR="00414559">
        <w:t>er</w:t>
      </w:r>
      <w:r>
        <w:t xml:space="preserve"> af</w:t>
      </w:r>
      <w:r w:rsidR="00414559">
        <w:t xml:space="preserve"> hhv.</w:t>
      </w:r>
      <w:r>
        <w:t xml:space="preserve"> §</w:t>
      </w:r>
      <w:r w:rsidR="004E6239">
        <w:t>§</w:t>
      </w:r>
      <w:r>
        <w:t xml:space="preserve"> 50 </w:t>
      </w:r>
      <w:r w:rsidR="004E6239">
        <w:t xml:space="preserve">og 55 </w:t>
      </w:r>
      <w:r>
        <w:t xml:space="preserve">som opfølgning på den seneste ændring af husdyrgodkendelsesbekendtgørelsen. </w:t>
      </w:r>
    </w:p>
    <w:p w14:paraId="2B292AD9" w14:textId="77777777" w:rsidR="005B16F8" w:rsidRDefault="005B16F8" w:rsidP="006C156D">
      <w:pPr>
        <w:jc w:val="both"/>
      </w:pPr>
    </w:p>
    <w:p w14:paraId="655D9940" w14:textId="77777777" w:rsidR="005B16F8" w:rsidRDefault="00875FFE" w:rsidP="006C156D">
      <w:pPr>
        <w:jc w:val="both"/>
      </w:pPr>
      <w:r>
        <w:t xml:space="preserve">De foreslåede ændringer beskrives nærmere nedenfor. </w:t>
      </w:r>
      <w:r w:rsidR="005B16F8">
        <w:t>Rettelser, der har karakter af ren korrektur og lignende, omtales ikke.</w:t>
      </w:r>
    </w:p>
    <w:p w14:paraId="52CD24F5" w14:textId="77777777" w:rsidR="005B16F8" w:rsidRDefault="005B16F8" w:rsidP="006C156D">
      <w:pPr>
        <w:jc w:val="both"/>
      </w:pPr>
    </w:p>
    <w:p w14:paraId="230FBCBF" w14:textId="4EFEE8E1" w:rsidR="00445F0A" w:rsidRDefault="00A13723" w:rsidP="006C156D">
      <w:pPr>
        <w:jc w:val="both"/>
      </w:pPr>
      <w:r>
        <w:t xml:space="preserve">Høringssvar bedes sendt den </w:t>
      </w:r>
      <w:r w:rsidR="00CA7664">
        <w:t>22. oktober 2020</w:t>
      </w:r>
      <w:r w:rsidR="005B16F8">
        <w:t xml:space="preserve"> </w:t>
      </w:r>
      <w:r>
        <w:t>pr. e-mail til mfvm@mfvm.dk med cc til</w:t>
      </w:r>
      <w:r w:rsidR="00445F0A">
        <w:t xml:space="preserve"> </w:t>
      </w:r>
      <w:r>
        <w:t>jubra@mfvm.dk samt med angivelse af j.nr. 2020-2676.</w:t>
      </w:r>
    </w:p>
    <w:p w14:paraId="2DC8BAE3" w14:textId="77777777" w:rsidR="00445F0A" w:rsidRDefault="00445F0A" w:rsidP="006C156D">
      <w:pPr>
        <w:jc w:val="both"/>
      </w:pPr>
    </w:p>
    <w:p w14:paraId="08B66598" w14:textId="77777777" w:rsidR="00A13723" w:rsidRDefault="00A13723" w:rsidP="006C156D">
      <w:pPr>
        <w:jc w:val="both"/>
      </w:pPr>
      <w:r>
        <w:t>Miljø- og Fødevareministeriet gør opmærksom på, at man ved afgivelse af høringssvar giver samtykke</w:t>
      </w:r>
      <w:r w:rsidR="00445F0A">
        <w:t xml:space="preserve"> </w:t>
      </w:r>
      <w:r>
        <w:t>til, at svaret, herunder afsenders navn og adresse, offentliggøres på Høringsportalen efterfølgende.</w:t>
      </w:r>
    </w:p>
    <w:p w14:paraId="58642480" w14:textId="77777777" w:rsidR="00A13723" w:rsidRDefault="00A13723" w:rsidP="006C156D">
      <w:pPr>
        <w:jc w:val="both"/>
      </w:pPr>
    </w:p>
    <w:p w14:paraId="14D929C1" w14:textId="77777777" w:rsidR="00A13723" w:rsidRDefault="00A13723" w:rsidP="006C156D">
      <w:pPr>
        <w:jc w:val="both"/>
      </w:pPr>
      <w:r>
        <w:t>Den ændrede bekendtgørelse forventes at træde i kraft den 1. januar 202</w:t>
      </w:r>
      <w:r w:rsidR="005B16F8">
        <w:t>1</w:t>
      </w:r>
      <w:r>
        <w:t xml:space="preserve">. </w:t>
      </w:r>
    </w:p>
    <w:p w14:paraId="6A239020" w14:textId="77777777" w:rsidR="00A13723" w:rsidRDefault="00A13723" w:rsidP="006C156D">
      <w:pPr>
        <w:jc w:val="both"/>
      </w:pPr>
    </w:p>
    <w:p w14:paraId="715D129C" w14:textId="77777777" w:rsidR="00A13723" w:rsidRDefault="00A13723" w:rsidP="006C156D">
      <w:pPr>
        <w:jc w:val="both"/>
      </w:pPr>
      <w:r>
        <w:lastRenderedPageBreak/>
        <w:t>Miljø- og Fødevareministeriet gennemfører i henhold til lovbekendtgørelse nr. 1225 af 25. oktober</w:t>
      </w:r>
      <w:r w:rsidR="00445F0A">
        <w:t xml:space="preserve"> </w:t>
      </w:r>
      <w:r>
        <w:t>2018 en screening af de relevante ændringer. Screeningsafgørelsen vil inden udstedelsen af</w:t>
      </w:r>
      <w:r w:rsidR="00445F0A">
        <w:t xml:space="preserve"> </w:t>
      </w:r>
      <w:r>
        <w:t>bekendtgørelsen blive offentliggjort på Høringsportalen.dk.</w:t>
      </w:r>
    </w:p>
    <w:p w14:paraId="1A9FD599" w14:textId="77777777" w:rsidR="00A13723" w:rsidRDefault="00A13723" w:rsidP="006C156D">
      <w:pPr>
        <w:jc w:val="both"/>
      </w:pPr>
    </w:p>
    <w:p w14:paraId="00D209DB" w14:textId="77777777" w:rsidR="00A13723" w:rsidRDefault="00A13723" w:rsidP="006C156D">
      <w:pPr>
        <w:jc w:val="both"/>
      </w:pPr>
      <w:r>
        <w:t>Eventuelle spørgsmål til bekendtgørelsesudkastet kan rettes til Marie Elisabeth Sakse eller Julia Brandt-Jensen.</w:t>
      </w:r>
    </w:p>
    <w:p w14:paraId="14D0BDAD" w14:textId="77777777" w:rsidR="00A13723" w:rsidRDefault="00A13723" w:rsidP="006C156D">
      <w:pPr>
        <w:jc w:val="both"/>
      </w:pPr>
    </w:p>
    <w:p w14:paraId="27094248" w14:textId="77777777" w:rsidR="00A13723" w:rsidRDefault="00A13723" w:rsidP="006C156D">
      <w:pPr>
        <w:jc w:val="both"/>
      </w:pPr>
      <w:r>
        <w:t>Med venlig hilsen</w:t>
      </w:r>
    </w:p>
    <w:p w14:paraId="29409E7C" w14:textId="0D9530C6" w:rsidR="00BD7584" w:rsidRDefault="00A13723" w:rsidP="006C156D">
      <w:pPr>
        <w:jc w:val="both"/>
      </w:pPr>
      <w:r>
        <w:t>Julia Brandt-Jensen</w:t>
      </w:r>
    </w:p>
    <w:p w14:paraId="2F7CDAB9" w14:textId="77777777" w:rsidR="00BD7584" w:rsidRDefault="00BD7584" w:rsidP="006C156D">
      <w:pPr>
        <w:jc w:val="both"/>
      </w:pPr>
      <w:r>
        <w:br w:type="page"/>
      </w:r>
    </w:p>
    <w:p w14:paraId="2F0CC078" w14:textId="77777777" w:rsidR="00EC71D9" w:rsidRPr="00EC71D9" w:rsidRDefault="00EC71D9" w:rsidP="006C156D">
      <w:pPr>
        <w:pStyle w:val="Opstilling-talellerbogst"/>
        <w:jc w:val="both"/>
        <w:rPr>
          <w:b/>
        </w:rPr>
      </w:pPr>
      <w:r w:rsidRPr="00EC71D9">
        <w:rPr>
          <w:b/>
        </w:rPr>
        <w:lastRenderedPageBreak/>
        <w:t xml:space="preserve">Generelt </w:t>
      </w:r>
    </w:p>
    <w:p w14:paraId="17408D61" w14:textId="77777777" w:rsidR="00EC71D9" w:rsidRDefault="00EC71D9" w:rsidP="006C156D">
      <w:pPr>
        <w:pStyle w:val="Opstilling-talellerbogst"/>
        <w:numPr>
          <w:ilvl w:val="0"/>
          <w:numId w:val="0"/>
        </w:numPr>
        <w:ind w:left="454"/>
        <w:jc w:val="both"/>
      </w:pPr>
    </w:p>
    <w:p w14:paraId="227C92E7" w14:textId="77777777" w:rsidR="00EC71D9" w:rsidRDefault="00EC71D9" w:rsidP="006C156D">
      <w:pPr>
        <w:jc w:val="both"/>
      </w:pPr>
      <w:r>
        <w:t>Udkast til ny husdyrgodkendelsesbekendtgørelse skal med ikrafttræden den 1. januar 2021 erstatte den gældende husdyrgodkendelsesbekendtgørelse. Bekendtgørelsen indeholder reglerne om tilladelse og godkendelse af husdyrbrug efter husdyrbruglovens §§ 16 a og 16 b.</w:t>
      </w:r>
    </w:p>
    <w:p w14:paraId="201C5CC8" w14:textId="77777777" w:rsidR="00EC71D9" w:rsidRDefault="00EC71D9" w:rsidP="006C156D">
      <w:pPr>
        <w:jc w:val="both"/>
      </w:pPr>
    </w:p>
    <w:p w14:paraId="7B2030F8" w14:textId="2E04AF18" w:rsidR="00382E56" w:rsidRDefault="00EC71D9" w:rsidP="006C156D">
      <w:pPr>
        <w:jc w:val="both"/>
      </w:pPr>
      <w:r>
        <w:t xml:space="preserve">Størstedelen af bekendtgørelsen er en genudstedelse. Bekendtgørelsesudkastet indeholder dog en række </w:t>
      </w:r>
      <w:r w:rsidR="00445F0A">
        <w:t>præciseringer</w:t>
      </w:r>
      <w:r w:rsidR="009E38F6">
        <w:t>, uddybninger</w:t>
      </w:r>
      <w:r w:rsidR="00445F0A">
        <w:t xml:space="preserve"> og </w:t>
      </w:r>
      <w:proofErr w:type="spellStart"/>
      <w:r w:rsidR="00445F0A">
        <w:t>omformuleringer</w:t>
      </w:r>
      <w:proofErr w:type="spellEnd"/>
      <w:r w:rsidR="009E38F6">
        <w:t xml:space="preserve"> af de gældende regler</w:t>
      </w:r>
      <w:r>
        <w:t xml:space="preserve"> angående </w:t>
      </w:r>
      <w:r w:rsidR="00382E56">
        <w:t>miljøvurdering</w:t>
      </w:r>
      <w:r w:rsidR="0048071C">
        <w:t xml:space="preserve">, offentlighed, begrundelse mv. </w:t>
      </w:r>
      <w:r w:rsidR="00382E56">
        <w:t xml:space="preserve"> i medfør VVM-direktivet. </w:t>
      </w:r>
    </w:p>
    <w:p w14:paraId="1D038728" w14:textId="77777777" w:rsidR="00382E56" w:rsidRDefault="00382E56" w:rsidP="006C156D">
      <w:pPr>
        <w:jc w:val="both"/>
      </w:pPr>
    </w:p>
    <w:p w14:paraId="2B64B85D" w14:textId="77777777" w:rsidR="00445F0A" w:rsidRDefault="00445F0A" w:rsidP="006C156D">
      <w:pPr>
        <w:jc w:val="both"/>
      </w:pPr>
      <w:r>
        <w:t>De nævnte ændringer foretages med henblik på at gennemføre VVM-direktivet i lyset af EU-Kommissionens åbningsskrivelse nr. 2019/2221 af 10. oktober 2019</w:t>
      </w:r>
      <w:r w:rsidRPr="00301D15">
        <w:t xml:space="preserve"> vedrørende den danske implementering af VVM direktivet i miljøvurderingsloven og navnlig ændringen af VVM direktivet (Europa-Parlamentets og Rådets direktiv 2014/52/EU af 16. april 2014 om ændring af direktiv 2011/92/EU af 13. december 2011 om vurdering af visse offentlige og private projekters indvirkning på miljøet, EU-Tidende 2014, nr. 124, side 1, og Europa-Parlamentets og Rådets direktiv 2011/92/EU af 13. december 2011 om vurdering af visse offentlige og private projekters indvirkning på miljøet (VVM-direktivet), EU-Tidende 2012, nr. L 26, side 1).</w:t>
      </w:r>
    </w:p>
    <w:p w14:paraId="52018F6A" w14:textId="77777777" w:rsidR="00445F0A" w:rsidRDefault="00445F0A" w:rsidP="006C156D">
      <w:pPr>
        <w:jc w:val="both"/>
      </w:pPr>
    </w:p>
    <w:p w14:paraId="2E09BCEC" w14:textId="2E3EEC28" w:rsidR="005D7AEE" w:rsidRDefault="00445F0A" w:rsidP="006C156D">
      <w:pPr>
        <w:jc w:val="both"/>
      </w:pPr>
      <w:r w:rsidRPr="00291FBE">
        <w:t>EU-Kommissionens åbningsskrivelse var særligt rettet mod implemen</w:t>
      </w:r>
      <w:r>
        <w:t xml:space="preserve">teringen i miljøvurderingsloven og omfatter ikke husdyrreguleringen, som indeholder en selvstændig implementering af VVM-direktivet. </w:t>
      </w:r>
      <w:r w:rsidR="0023212C">
        <w:t>EU-Kommissionen kritiserer i åbningsskrivelsen bl.a., at enkelte bestemmelser i miljøvurderingsloven ikke indeholder en præcis gengivelse af direktivets bestemmelse</w:t>
      </w:r>
      <w:r w:rsidR="006426C2">
        <w:t>r eller at de indbyrdes krydsreferencer i direktivet ikke er gengivet i den danske implementering. Kommissionen har også peget på, at implementeringen er mang</w:t>
      </w:r>
      <w:r w:rsidR="00D0081C">
        <w:t>e</w:t>
      </w:r>
      <w:r w:rsidR="006426C2">
        <w:t>lfuld</w:t>
      </w:r>
      <w:r w:rsidR="007A2913">
        <w:t xml:space="preserve">, selvom de manglende oplysninger fremgår af bemærkninger i forslaget til miljøvurderingsloven, jf. lovforslag nr. L 147 af 3. marts 2016 om forslag til lov om miljøvurdering af planer og programmer og af konkrete projekter (VVM). Endelig har kommissionen peget på, at implementeringen ikke er korrekt, hvilket navnlig gælder definitionen af offentlighed i miljøvurderingslovens § 5, nr. 1, og høringsbestemmelserne i miljøvurderingslovens §§ 35-38. </w:t>
      </w:r>
    </w:p>
    <w:p w14:paraId="3981A55D" w14:textId="77777777" w:rsidR="005D7AEE" w:rsidRDefault="005D7AEE" w:rsidP="006C156D">
      <w:pPr>
        <w:jc w:val="both"/>
      </w:pPr>
    </w:p>
    <w:p w14:paraId="76F91011" w14:textId="63D4F7FC" w:rsidR="00445F0A" w:rsidRDefault="00445F0A" w:rsidP="006C156D">
      <w:pPr>
        <w:jc w:val="both"/>
        <w:rPr>
          <w:rFonts w:cs="TimesNewRomanPSMT"/>
        </w:rPr>
      </w:pPr>
      <w:r>
        <w:t xml:space="preserve">Husdyrreguleringen skal </w:t>
      </w:r>
      <w:r w:rsidRPr="00DD61D8">
        <w:t>forstås og fortolkes i overensstemmelse med miljøvurderingsloven.</w:t>
      </w:r>
      <w:r>
        <w:t xml:space="preserve"> Regeringen ønsker derfor at gennemføre en ændring af husdyrreguleringen, der </w:t>
      </w:r>
      <w:r w:rsidRPr="00DD61D8">
        <w:rPr>
          <w:u w:val="single"/>
        </w:rPr>
        <w:t>dels</w:t>
      </w:r>
      <w:r>
        <w:t xml:space="preserve"> skal</w:t>
      </w:r>
      <w:r>
        <w:rPr>
          <w:rFonts w:cs="TimesNewRomanPSMT"/>
        </w:rPr>
        <w:t xml:space="preserve"> imødekomme</w:t>
      </w:r>
      <w:r w:rsidRPr="005B0E4F">
        <w:rPr>
          <w:rFonts w:cs="TimesNewRomanPSMT"/>
        </w:rPr>
        <w:t xml:space="preserve"> kommissionens kritikpunkter i overensstemmelse med Danmarks be</w:t>
      </w:r>
      <w:r>
        <w:rPr>
          <w:rFonts w:cs="TimesNewRomanPSMT"/>
        </w:rPr>
        <w:t xml:space="preserve">svarelse heraf og </w:t>
      </w:r>
      <w:r w:rsidRPr="00DD61D8">
        <w:rPr>
          <w:rFonts w:cs="TimesNewRomanPSMT"/>
          <w:u w:val="single"/>
        </w:rPr>
        <w:t>dels</w:t>
      </w:r>
      <w:r>
        <w:rPr>
          <w:rFonts w:cs="TimesNewRomanPSMT"/>
        </w:rPr>
        <w:t xml:space="preserve"> sikre</w:t>
      </w:r>
      <w:r w:rsidRPr="005B0E4F">
        <w:rPr>
          <w:rFonts w:cs="TimesNewRomanPSMT"/>
        </w:rPr>
        <w:t>, at husdyrreguleringen fortsat afspejler den forståelse og fortolkning af VVM-direktivet, der følger af miljøvurderingsloven.</w:t>
      </w:r>
      <w:r>
        <w:rPr>
          <w:rFonts w:cs="TimesNewRomanPSMT"/>
        </w:rPr>
        <w:t xml:space="preserve"> </w:t>
      </w:r>
    </w:p>
    <w:p w14:paraId="4BEA4274" w14:textId="77777777" w:rsidR="00445F0A" w:rsidRDefault="00445F0A" w:rsidP="006C156D">
      <w:pPr>
        <w:jc w:val="both"/>
        <w:rPr>
          <w:rFonts w:cs="TimesNewRomanPSMT"/>
        </w:rPr>
      </w:pPr>
    </w:p>
    <w:p w14:paraId="750433BB" w14:textId="3C76B1AC" w:rsidR="00445F0A" w:rsidRDefault="00445F0A" w:rsidP="006C156D">
      <w:pPr>
        <w:jc w:val="both"/>
        <w:rPr>
          <w:rFonts w:cs="TimesNewRomanPSMT"/>
        </w:rPr>
      </w:pPr>
      <w:r>
        <w:rPr>
          <w:rFonts w:cs="TimesNewRomanPSMT"/>
        </w:rPr>
        <w:t>Regeringen</w:t>
      </w:r>
      <w:r w:rsidR="00130B2D">
        <w:rPr>
          <w:rFonts w:cs="TimesNewRomanPSMT"/>
        </w:rPr>
        <w:t xml:space="preserve"> forventer derfor at fremsætte</w:t>
      </w:r>
      <w:r>
        <w:rPr>
          <w:rFonts w:cs="TimesNewRomanPSMT"/>
        </w:rPr>
        <w:t xml:space="preserve"> samlelovforslag om ændring af lov om miljøvurdering af planer og programmer og af konkrete projekter (VVM) og ændring af lov om husdyrbrug og anvendelse af gødningen m.v. (implementering af VVM-direktivet og ændring af myndighedskompetencen for havbrug)</w:t>
      </w:r>
      <w:r w:rsidR="00130B2D">
        <w:rPr>
          <w:rFonts w:cs="TimesNewRomanPSMT"/>
        </w:rPr>
        <w:t xml:space="preserve"> i Folketingets åbningsuge</w:t>
      </w:r>
      <w:r>
        <w:rPr>
          <w:rFonts w:cs="TimesNewRomanPSMT"/>
        </w:rPr>
        <w:t xml:space="preserve">. Lovforslaget indebærer, at husdyrbruglovens regler om høring af offentligheden og berørte myndigheder, om offentliggørelse og om tidsfrister, og som har til formål at implementere VVM-direktivet ophæves med henblik på at overføre og samle VVM-reglerne i husdyrgodkendelsesbekendtgørelsen. </w:t>
      </w:r>
    </w:p>
    <w:p w14:paraId="3D4173BC" w14:textId="77777777" w:rsidR="00022945" w:rsidRDefault="00022945" w:rsidP="006C156D">
      <w:pPr>
        <w:jc w:val="both"/>
        <w:rPr>
          <w:rFonts w:cs="TimesNewRomanPSMT"/>
        </w:rPr>
      </w:pPr>
    </w:p>
    <w:p w14:paraId="1A7C8F9E" w14:textId="77777777" w:rsidR="005D7AEE" w:rsidRDefault="00022945" w:rsidP="006C156D">
      <w:pPr>
        <w:jc w:val="both"/>
      </w:pPr>
      <w:r>
        <w:rPr>
          <w:rFonts w:cs="TimesNewRomanPSMT"/>
        </w:rPr>
        <w:t xml:space="preserve">Ændringerne angår – foruden høring, offentliggørelse og tidsfrister – særligt regler om miljøkonsekvensrapport, kommunalbestyrelsens vurdering og begrundelse samt </w:t>
      </w:r>
      <w:r>
        <w:t>grænseoverskri</w:t>
      </w:r>
      <w:r w:rsidR="00017174">
        <w:t xml:space="preserve">dende indvirkninger på miljøet. </w:t>
      </w:r>
    </w:p>
    <w:p w14:paraId="55822881" w14:textId="77777777" w:rsidR="005D7AEE" w:rsidRDefault="005D7AEE" w:rsidP="006C156D">
      <w:pPr>
        <w:jc w:val="both"/>
      </w:pPr>
    </w:p>
    <w:p w14:paraId="1301D53B" w14:textId="7EB68456" w:rsidR="00022945" w:rsidRDefault="00017174" w:rsidP="006C156D">
      <w:pPr>
        <w:jc w:val="both"/>
        <w:rPr>
          <w:rFonts w:cs="TimesNewRomanPSMT"/>
        </w:rPr>
      </w:pPr>
      <w:r>
        <w:lastRenderedPageBreak/>
        <w:t xml:space="preserve">EU-Kommissionens åbningsskrivelse forstås sådan, at der som udgangspunkt skal gennemføres en meget tekstnær implementering af VVM-direktivet. Ændringerne i bekendtgørelsen er dermed dels udtryk for en sådan tekstnær implementering, dels for et ønske om at sikre overensstemmelse med miljøvurderingsloven. </w:t>
      </w:r>
      <w:r w:rsidR="00022945">
        <w:t xml:space="preserve">Det er ministeriets vurdering, at den ændrede bekendtgørelse viderefører den gældende retstilstand, da de nye bestemmelser regelfastsætter bl.a. almindelige forvaltningsretlige principper. Det er derfor også ministeriets vurdering, at ændringerne ikke er forbundet med miljømæssige konsekvenser, men at miljøbeskyttelsen fastholdes på samme niveau som i dag. </w:t>
      </w:r>
    </w:p>
    <w:p w14:paraId="485DFB6B" w14:textId="77777777" w:rsidR="00445F0A" w:rsidRDefault="00445F0A" w:rsidP="006C156D">
      <w:pPr>
        <w:jc w:val="both"/>
      </w:pPr>
    </w:p>
    <w:p w14:paraId="5883208B" w14:textId="77777777" w:rsidR="00EC71D9" w:rsidRDefault="00445F0A" w:rsidP="006C156D">
      <w:pPr>
        <w:jc w:val="both"/>
      </w:pPr>
      <w:r>
        <w:t>Derudover har ministeriet som opfølgning på den seneste ændring af husdyrgodkendelsesbekendtgørelsen</w:t>
      </w:r>
      <w:r w:rsidR="00A569A5">
        <w:t>,</w:t>
      </w:r>
      <w:r>
        <w:t xml:space="preserve"> som særligt havde til formål at implementere </w:t>
      </w:r>
      <w:r w:rsidR="00A569A5">
        <w:t xml:space="preserve">BAT-konklusioner for intensivt opdræt af fjerkræ og svin, foretaget en mindre ændring af § 50. Bestemmelsen fastsætter en pligt for </w:t>
      </w:r>
      <w:r w:rsidR="00153C28">
        <w:t>IE-husdyrbrug til årligt at indberette en række oplysninger</w:t>
      </w:r>
      <w:r w:rsidR="00A569A5">
        <w:t>.</w:t>
      </w:r>
      <w:r w:rsidR="00153C28">
        <w:t xml:space="preserve"> Bestemmelsen skal medvirke til at opfylde IE-direktivet og BAT-konklusionernes krav om monitering af emissioner.</w:t>
      </w:r>
      <w:r w:rsidR="00A569A5">
        <w:t xml:space="preserve"> På baggrund af bemærkningerne fra </w:t>
      </w:r>
      <w:r w:rsidR="00153C28">
        <w:t>de kommuner, som deltog på ministeriets workshop om BAT-konklusioner og implementeringen heraf,</w:t>
      </w:r>
      <w:r w:rsidR="00A569A5">
        <w:t xml:space="preserve"> tilpasses bestemmelsen med henblik på at sikre bestemmelsen virker efter formålet og i øvrigt er hensigtsmæssig. </w:t>
      </w:r>
    </w:p>
    <w:p w14:paraId="39846B2F" w14:textId="77777777" w:rsidR="00EC71D9" w:rsidRDefault="00EC71D9" w:rsidP="006C156D">
      <w:pPr>
        <w:jc w:val="both"/>
      </w:pPr>
    </w:p>
    <w:p w14:paraId="2810B920" w14:textId="77777777" w:rsidR="00EC71D9" w:rsidRDefault="00EC71D9" w:rsidP="006C156D">
      <w:pPr>
        <w:jc w:val="both"/>
      </w:pPr>
      <w:r>
        <w:t>Nedenfor beskrives de væsentligste ændringsforslag.</w:t>
      </w:r>
    </w:p>
    <w:p w14:paraId="249ACC4E" w14:textId="77777777" w:rsidR="00EC71D9" w:rsidRPr="00EC71D9" w:rsidRDefault="00EC71D9" w:rsidP="006C156D">
      <w:pPr>
        <w:jc w:val="both"/>
        <w:rPr>
          <w:b/>
        </w:rPr>
      </w:pPr>
    </w:p>
    <w:p w14:paraId="619C9158" w14:textId="77777777" w:rsidR="00EC71D9" w:rsidRPr="00EC71D9" w:rsidRDefault="00EC71D9" w:rsidP="006C156D">
      <w:pPr>
        <w:pStyle w:val="Opstilling-talellerbogst"/>
        <w:jc w:val="both"/>
        <w:rPr>
          <w:b/>
        </w:rPr>
      </w:pPr>
      <w:r w:rsidRPr="00EC71D9">
        <w:rPr>
          <w:b/>
        </w:rPr>
        <w:t>Ændringer til gennemførelse af VVM-direktivet og som følge af EU-Kommissionens åbningsskrivelse</w:t>
      </w:r>
    </w:p>
    <w:p w14:paraId="4E80C1F9" w14:textId="77777777" w:rsidR="00EC71D9" w:rsidRDefault="00EC71D9" w:rsidP="006C156D">
      <w:pPr>
        <w:pStyle w:val="Opstilling-talellerbogst"/>
        <w:numPr>
          <w:ilvl w:val="0"/>
          <w:numId w:val="0"/>
        </w:numPr>
        <w:ind w:left="454"/>
        <w:jc w:val="both"/>
      </w:pPr>
    </w:p>
    <w:p w14:paraId="3C9E419A" w14:textId="1B103945" w:rsidR="00EC71D9" w:rsidRPr="009162E9" w:rsidRDefault="00EC71D9" w:rsidP="006C156D">
      <w:pPr>
        <w:pStyle w:val="Opstilling-talellerbogst"/>
        <w:numPr>
          <w:ilvl w:val="1"/>
          <w:numId w:val="6"/>
        </w:numPr>
        <w:jc w:val="both"/>
        <w:rPr>
          <w:b/>
        </w:rPr>
      </w:pPr>
      <w:r w:rsidRPr="009162E9">
        <w:rPr>
          <w:b/>
        </w:rPr>
        <w:t xml:space="preserve">Definition af </w:t>
      </w:r>
      <w:r w:rsidR="00153C28" w:rsidRPr="009162E9">
        <w:rPr>
          <w:b/>
        </w:rPr>
        <w:t>miljø</w:t>
      </w:r>
      <w:r w:rsidR="009162E9">
        <w:rPr>
          <w:b/>
        </w:rPr>
        <w:t>konsekvens</w:t>
      </w:r>
      <w:r w:rsidR="00153C28" w:rsidRPr="009162E9">
        <w:rPr>
          <w:b/>
        </w:rPr>
        <w:t>vurdering (§ 2, stk. 1, nr. 13)</w:t>
      </w:r>
    </w:p>
    <w:p w14:paraId="1E478A1D" w14:textId="77777777" w:rsidR="00EC71D9" w:rsidRDefault="00EC71D9" w:rsidP="006C156D">
      <w:pPr>
        <w:pStyle w:val="Opstilling-talellerbogst"/>
        <w:numPr>
          <w:ilvl w:val="0"/>
          <w:numId w:val="0"/>
        </w:numPr>
        <w:jc w:val="both"/>
      </w:pPr>
    </w:p>
    <w:p w14:paraId="398A33DB" w14:textId="77777777" w:rsidR="00195964" w:rsidRDefault="00195964" w:rsidP="006C156D">
      <w:pPr>
        <w:pStyle w:val="Opstilling-talellerbogst"/>
        <w:numPr>
          <w:ilvl w:val="0"/>
          <w:numId w:val="0"/>
        </w:numPr>
        <w:jc w:val="both"/>
      </w:pPr>
      <w:r>
        <w:t>Der indsættes en definition af miljø</w:t>
      </w:r>
      <w:r w:rsidR="0076722A">
        <w:t>konsekvens</w:t>
      </w:r>
      <w:r>
        <w:t xml:space="preserve">vurdering svarende til VVM-direktivets </w:t>
      </w:r>
      <w:r w:rsidR="0076722A">
        <w:t xml:space="preserve">artikel 1, stk. 2, litra g. </w:t>
      </w:r>
    </w:p>
    <w:p w14:paraId="05F430AE" w14:textId="77777777" w:rsidR="00EC71D9" w:rsidRDefault="00EC71D9" w:rsidP="006C156D">
      <w:pPr>
        <w:pStyle w:val="Opstilling-talellerbogst"/>
        <w:numPr>
          <w:ilvl w:val="0"/>
          <w:numId w:val="0"/>
        </w:numPr>
        <w:jc w:val="both"/>
      </w:pPr>
    </w:p>
    <w:p w14:paraId="03FC27B4" w14:textId="16BF8E88" w:rsidR="00EC71D9" w:rsidRDefault="0076722A" w:rsidP="006C156D">
      <w:pPr>
        <w:pStyle w:val="Opstilling-talellerbogst"/>
        <w:numPr>
          <w:ilvl w:val="0"/>
          <w:numId w:val="0"/>
        </w:numPr>
        <w:jc w:val="both"/>
      </w:pPr>
      <w:r>
        <w:t xml:space="preserve">Med definitionen fastslås </w:t>
      </w:r>
      <w:r w:rsidR="00F10D14">
        <w:t>den proces, som skal gennemføres med henblik på at iagttage VVM-direktivet, og forud for godkendelse eller tilladelse efter §§ 16 a og 16 b</w:t>
      </w:r>
      <w:r w:rsidR="009162E9">
        <w:t xml:space="preserve"> af en ansøgning, som er omfattet af krav om miljøkonsekvensvurdering, jf. udkastets § 4, stk. 4. Af definitionen følger det, at processen</w:t>
      </w:r>
      <w:r w:rsidR="00F10D14">
        <w:t xml:space="preserve"> omfatte</w:t>
      </w:r>
      <w:r w:rsidR="009162E9">
        <w:t>r</w:t>
      </w:r>
      <w:r w:rsidR="00F10D14">
        <w:t xml:space="preserve"> udfærdigelse af en miljøkonsekvensrapport (</w:t>
      </w:r>
      <w:r w:rsidR="009162E9">
        <w:t xml:space="preserve">udkastets </w:t>
      </w:r>
      <w:r w:rsidR="00F10D14">
        <w:t>§</w:t>
      </w:r>
      <w:r w:rsidR="009162E9">
        <w:t xml:space="preserve"> </w:t>
      </w:r>
      <w:r w:rsidR="00F10D14">
        <w:t>4, stk. 4), gennemførelse af høringer (</w:t>
      </w:r>
      <w:r w:rsidR="009162E9">
        <w:t xml:space="preserve">udkastets </w:t>
      </w:r>
      <w:r w:rsidR="00F10D14">
        <w:t>§§ 60 og 65), kommunalbestyrelsens undersøgelse og vurdering af de fremlagte oplysninger</w:t>
      </w:r>
      <w:r w:rsidR="009516CC">
        <w:t xml:space="preserve"> og høringssvar (</w:t>
      </w:r>
      <w:r w:rsidR="009162E9">
        <w:t xml:space="preserve">udkastets </w:t>
      </w:r>
      <w:r w:rsidR="009516CC">
        <w:t>§ 62)</w:t>
      </w:r>
      <w:r w:rsidR="00F10D14">
        <w:t>,</w:t>
      </w:r>
      <w:r w:rsidR="009516CC">
        <w:t xml:space="preserve"> og den begrundede konklusion (</w:t>
      </w:r>
      <w:r w:rsidR="009162E9">
        <w:t xml:space="preserve">udkastets </w:t>
      </w:r>
      <w:r w:rsidR="009516CC">
        <w:t xml:space="preserve">§ 63), som skal indarbejdes i kommunalbestyrelsens afgørelse. </w:t>
      </w:r>
    </w:p>
    <w:p w14:paraId="28CBB9E4" w14:textId="7BB6CB16" w:rsidR="009162E9" w:rsidRDefault="009162E9" w:rsidP="006C156D">
      <w:pPr>
        <w:pStyle w:val="Opstilling-talellerbogst"/>
        <w:numPr>
          <w:ilvl w:val="0"/>
          <w:numId w:val="0"/>
        </w:numPr>
        <w:jc w:val="both"/>
      </w:pPr>
    </w:p>
    <w:p w14:paraId="2E9A026E" w14:textId="217E195C" w:rsidR="009162E9" w:rsidRDefault="009162E9" w:rsidP="006C156D">
      <w:pPr>
        <w:pStyle w:val="Opstilling-talellerbogst"/>
        <w:numPr>
          <w:ilvl w:val="0"/>
          <w:numId w:val="0"/>
        </w:numPr>
        <w:jc w:val="both"/>
      </w:pPr>
      <w:r>
        <w:t>Definitionen beskriver således de respektive trin, som kommunalbestyrelsen og ansøger skal iagttage, hvis en ansøgning er omfattet af krav om miljøkonsekvensvurdering</w:t>
      </w:r>
      <w:r w:rsidR="009B7D4C">
        <w:t>, jf. bekendtgørelsesudkastets § 4, stk. 4</w:t>
      </w:r>
      <w:r>
        <w:t xml:space="preserve">. </w:t>
      </w:r>
    </w:p>
    <w:p w14:paraId="25EFCAD7" w14:textId="2B8BCDE2" w:rsidR="009162E9" w:rsidRDefault="009162E9" w:rsidP="006C156D">
      <w:pPr>
        <w:pStyle w:val="Opstilling-talellerbogst"/>
        <w:numPr>
          <w:ilvl w:val="0"/>
          <w:numId w:val="0"/>
        </w:numPr>
        <w:jc w:val="both"/>
      </w:pPr>
    </w:p>
    <w:p w14:paraId="2D6623D4" w14:textId="1DE721FD" w:rsidR="009162E9" w:rsidRDefault="009162E9" w:rsidP="006C156D">
      <w:pPr>
        <w:pStyle w:val="Opstilling-talellerbogst"/>
        <w:numPr>
          <w:ilvl w:val="0"/>
          <w:numId w:val="0"/>
        </w:numPr>
        <w:jc w:val="both"/>
      </w:pPr>
      <w:r>
        <w:t xml:space="preserve">Definitionen indebærer ikke en ændring af retstilstanden, da den proces, som følger af definitionen, svarer til den proces, som gennemføres i overensstemmelse med den gældende husdyrgodkendelsesbekendtgørelse, når ansøgningen er omfattet af den nugældende § 4, stk. 3. </w:t>
      </w:r>
    </w:p>
    <w:p w14:paraId="470FADF1" w14:textId="769298DC" w:rsidR="00EE3A97" w:rsidRDefault="00EE3A97" w:rsidP="006C156D">
      <w:pPr>
        <w:pStyle w:val="Opstilling-talellerbogst"/>
        <w:numPr>
          <w:ilvl w:val="0"/>
          <w:numId w:val="0"/>
        </w:numPr>
        <w:jc w:val="both"/>
      </w:pPr>
      <w:r>
        <w:br/>
        <w:t>Definitionen indsætte</w:t>
      </w:r>
      <w:r w:rsidR="00E54030">
        <w:t>s</w:t>
      </w:r>
      <w:r>
        <w:t xml:space="preserve"> med henblik på at imødekomme EU-Kommissionens bemærkninger til implementeringen af artikel 1, stk. 2, litra g, nr. v, i miljøvurderingsloven. </w:t>
      </w:r>
    </w:p>
    <w:p w14:paraId="314C551B" w14:textId="49262662" w:rsidR="009162E9" w:rsidRDefault="009162E9" w:rsidP="006C156D">
      <w:pPr>
        <w:pStyle w:val="Opstilling-talellerbogst"/>
        <w:numPr>
          <w:ilvl w:val="0"/>
          <w:numId w:val="0"/>
        </w:numPr>
        <w:jc w:val="both"/>
      </w:pPr>
    </w:p>
    <w:p w14:paraId="579B508C" w14:textId="1F46064C" w:rsidR="009162E9" w:rsidRPr="00A3011D" w:rsidRDefault="009162E9" w:rsidP="006C156D">
      <w:pPr>
        <w:pStyle w:val="Opstilling-talellerbogst"/>
        <w:numPr>
          <w:ilvl w:val="1"/>
          <w:numId w:val="6"/>
        </w:numPr>
        <w:jc w:val="both"/>
        <w:rPr>
          <w:b/>
        </w:rPr>
      </w:pPr>
      <w:r w:rsidRPr="00A3011D">
        <w:rPr>
          <w:b/>
        </w:rPr>
        <w:t>Definition af ansøger</w:t>
      </w:r>
      <w:r w:rsidR="002A3549">
        <w:rPr>
          <w:b/>
        </w:rPr>
        <w:t xml:space="preserve"> (§ 2, stk. 1, nr. 14)</w:t>
      </w:r>
    </w:p>
    <w:p w14:paraId="7B8BE979" w14:textId="77777777" w:rsidR="00EC71D9" w:rsidRDefault="00EC71D9" w:rsidP="006C156D">
      <w:pPr>
        <w:pStyle w:val="Opstilling-talellerbogst"/>
        <w:numPr>
          <w:ilvl w:val="0"/>
          <w:numId w:val="0"/>
        </w:numPr>
        <w:ind w:left="454" w:hanging="454"/>
        <w:jc w:val="both"/>
      </w:pPr>
    </w:p>
    <w:p w14:paraId="53CFF717" w14:textId="77777777" w:rsidR="0047710E" w:rsidRDefault="0047710E" w:rsidP="006C156D">
      <w:pPr>
        <w:spacing w:line="240" w:lineRule="auto"/>
        <w:jc w:val="both"/>
      </w:pPr>
      <w:r>
        <w:t>Der indsættes en definition af begrebet a</w:t>
      </w:r>
      <w:r w:rsidR="00F10D14" w:rsidRPr="00F10D14">
        <w:t>nsøger</w:t>
      </w:r>
      <w:r>
        <w:t xml:space="preserve">, som i dag anvendes flere steder i bekendtgørelsen. </w:t>
      </w:r>
    </w:p>
    <w:p w14:paraId="57EE4296" w14:textId="77777777" w:rsidR="0047710E" w:rsidRDefault="0047710E" w:rsidP="006C156D">
      <w:pPr>
        <w:spacing w:line="240" w:lineRule="auto"/>
        <w:jc w:val="both"/>
      </w:pPr>
    </w:p>
    <w:p w14:paraId="4188B2EE" w14:textId="3713B52D" w:rsidR="00F10D14" w:rsidRDefault="0047710E" w:rsidP="006C156D">
      <w:pPr>
        <w:spacing w:line="240" w:lineRule="auto"/>
        <w:jc w:val="both"/>
      </w:pPr>
      <w:r>
        <w:lastRenderedPageBreak/>
        <w:t>Ansøger defineres som d</w:t>
      </w:r>
      <w:r w:rsidR="00F10D14" w:rsidRPr="00F10D14">
        <w:t>en fysiske eller juridiske person, der ansøger om godkendelse eller tilladelse til at etablere, ændre eller udvide et husdyrbrug efter §§ 16 a eller 16 b i husdyrbrugloven.</w:t>
      </w:r>
    </w:p>
    <w:p w14:paraId="0A1A5957" w14:textId="77777777" w:rsidR="0047710E" w:rsidRPr="00F10D14" w:rsidRDefault="0047710E" w:rsidP="006C156D">
      <w:pPr>
        <w:spacing w:line="240" w:lineRule="auto"/>
        <w:jc w:val="both"/>
      </w:pPr>
    </w:p>
    <w:p w14:paraId="3445248F" w14:textId="6636C499" w:rsidR="00F10D14" w:rsidRDefault="0047710E" w:rsidP="006C156D">
      <w:pPr>
        <w:pStyle w:val="Opstilling-talellerbogst"/>
        <w:numPr>
          <w:ilvl w:val="0"/>
          <w:numId w:val="0"/>
        </w:numPr>
        <w:jc w:val="both"/>
        <w:rPr>
          <w:i/>
        </w:rPr>
      </w:pPr>
      <w:r>
        <w:t xml:space="preserve">Definitionen svarer i let tilpasset form til VVM-direktivets definition af begrebet bygherre, jf. artikel 1, stk. 2, </w:t>
      </w:r>
      <w:r w:rsidR="00A3011D">
        <w:t xml:space="preserve">og </w:t>
      </w:r>
      <w:r w:rsidR="002A3549">
        <w:t xml:space="preserve">som har følgende ordlyd: </w:t>
      </w:r>
      <w:r w:rsidR="002A3549" w:rsidRPr="002A3549">
        <w:rPr>
          <w:i/>
        </w:rPr>
        <w:t>”»bygherre«: enten den person, der ansøger om godkendelse af et privat projekt, eller den offentlige myndighed, som tager initiativ til et projekt”.</w:t>
      </w:r>
    </w:p>
    <w:p w14:paraId="5E211113" w14:textId="68BB52B5" w:rsidR="002A3549" w:rsidRDefault="002A3549" w:rsidP="006C156D">
      <w:pPr>
        <w:pStyle w:val="Opstilling-talellerbogst"/>
        <w:numPr>
          <w:ilvl w:val="0"/>
          <w:numId w:val="0"/>
        </w:numPr>
        <w:jc w:val="both"/>
        <w:rPr>
          <w:i/>
        </w:rPr>
      </w:pPr>
    </w:p>
    <w:p w14:paraId="5C2ECDB4" w14:textId="00AA6D6D" w:rsidR="002A3549" w:rsidRPr="00BD7584" w:rsidRDefault="002A3549" w:rsidP="006C156D">
      <w:pPr>
        <w:pStyle w:val="Opstilling-talellerbogst"/>
        <w:numPr>
          <w:ilvl w:val="1"/>
          <w:numId w:val="6"/>
        </w:numPr>
        <w:jc w:val="both"/>
        <w:rPr>
          <w:b/>
        </w:rPr>
      </w:pPr>
      <w:r w:rsidRPr="00BD7584">
        <w:rPr>
          <w:b/>
        </w:rPr>
        <w:t>Valgfri</w:t>
      </w:r>
      <w:r w:rsidR="00750D71">
        <w:rPr>
          <w:b/>
        </w:rPr>
        <w:t xml:space="preserve"> </w:t>
      </w:r>
      <w:r w:rsidRPr="00BD7584">
        <w:rPr>
          <w:b/>
        </w:rPr>
        <w:t>beskrivelse</w:t>
      </w:r>
      <w:r w:rsidR="00BD7584">
        <w:rPr>
          <w:b/>
        </w:rPr>
        <w:t xml:space="preserve"> af særkender og foranstaltninger</w:t>
      </w:r>
      <w:r w:rsidRPr="00BD7584">
        <w:rPr>
          <w:b/>
        </w:rPr>
        <w:t xml:space="preserve"> (§ 4, stk. 2)</w:t>
      </w:r>
    </w:p>
    <w:p w14:paraId="5B986275" w14:textId="5D4CEF15" w:rsidR="00EC71D9" w:rsidRDefault="00EC71D9" w:rsidP="006C156D">
      <w:pPr>
        <w:pStyle w:val="Opstilling-talellerbogst"/>
        <w:numPr>
          <w:ilvl w:val="0"/>
          <w:numId w:val="0"/>
        </w:numPr>
        <w:ind w:left="454" w:hanging="454"/>
        <w:jc w:val="both"/>
      </w:pPr>
    </w:p>
    <w:p w14:paraId="6B7CD5C4" w14:textId="57B1BFE8" w:rsidR="002A3549" w:rsidRDefault="00BD7584" w:rsidP="006C156D">
      <w:pPr>
        <w:pStyle w:val="Opstilling-talellerbogst"/>
        <w:numPr>
          <w:ilvl w:val="0"/>
          <w:numId w:val="0"/>
        </w:numPr>
        <w:jc w:val="both"/>
      </w:pPr>
      <w:r>
        <w:t>I overensstemmelse med</w:t>
      </w:r>
      <w:r w:rsidR="0093191A">
        <w:t xml:space="preserve"> VVM-direktivets artikel </w:t>
      </w:r>
      <w:r w:rsidR="00800951">
        <w:t xml:space="preserve">4, stk. 4, sidste pkt., </w:t>
      </w:r>
      <w:r w:rsidR="0093191A">
        <w:t>indsættes bestemmelse om, at</w:t>
      </w:r>
      <w:r>
        <w:t xml:space="preserve"> </w:t>
      </w:r>
      <w:r w:rsidR="0093191A">
        <w:t>e</w:t>
      </w:r>
      <w:r w:rsidRPr="00BD7584">
        <w:t>n ansøgning</w:t>
      </w:r>
      <w:r w:rsidR="0093191A">
        <w:t xml:space="preserve"> om godkendelse eller tilladelse efter husdyrbruglovens §§ 16 a og 16 b, </w:t>
      </w:r>
      <w:r w:rsidRPr="00BD7584">
        <w:t>tillige</w:t>
      </w:r>
      <w:r w:rsidR="0093191A">
        <w:t xml:space="preserve"> kan</w:t>
      </w:r>
      <w:r w:rsidRPr="00BD7584">
        <w:t xml:space="preserve"> indeholde en beskrivelse af særkender ved projektet og de foranstaltninger, der påtænkes truffet for at undgå eller forebygge, hvad der ellers kunne have været væsentlige skadelige indvirkninger på miljøet.</w:t>
      </w:r>
    </w:p>
    <w:p w14:paraId="2640A619" w14:textId="7350C91F" w:rsidR="0093191A" w:rsidRDefault="0093191A" w:rsidP="006C156D">
      <w:pPr>
        <w:pStyle w:val="Opstilling-talellerbogst"/>
        <w:numPr>
          <w:ilvl w:val="0"/>
          <w:numId w:val="0"/>
        </w:numPr>
        <w:jc w:val="both"/>
      </w:pPr>
    </w:p>
    <w:p w14:paraId="3A1176EF" w14:textId="7F8EE8F9" w:rsidR="00885F5F" w:rsidRDefault="000F756C" w:rsidP="006C156D">
      <w:pPr>
        <w:pStyle w:val="Opstilling-talellerbogst"/>
        <w:numPr>
          <w:ilvl w:val="0"/>
          <w:numId w:val="0"/>
        </w:numPr>
        <w:jc w:val="both"/>
      </w:pPr>
      <w:r>
        <w:t>Det er ikke et krav, at ansøger fremsender en beskrivelse efter § 4, stk. 2. Bestemmelsen foreskriver således en mulighed for ansøger til yderligere at begrunde, at den</w:t>
      </w:r>
      <w:r w:rsidR="0093191A" w:rsidRPr="0093191A">
        <w:t xml:space="preserve"> konkrete </w:t>
      </w:r>
      <w:r>
        <w:t>ansøgning</w:t>
      </w:r>
      <w:r w:rsidR="0093191A" w:rsidRPr="0093191A">
        <w:t xml:space="preserve"> ikke forventes at få væsentlige indvirkninger på miljøet. </w:t>
      </w:r>
      <w:r>
        <w:t xml:space="preserve">Beskrivelsen kan således være særlig relevant i de situationer, hvor ansøgningen er omfattet af udkastets § 4, stk. 4, nr. 3, og hvor kommunalbestyrelsen – på baggrund af </w:t>
      </w:r>
      <w:r w:rsidR="00885F5F">
        <w:t xml:space="preserve">bl.a. </w:t>
      </w:r>
      <w:r>
        <w:t xml:space="preserve">en vurdering af, om det ansøgte </w:t>
      </w:r>
      <w:r w:rsidRPr="000F756C">
        <w:t>på grund af art, dimensioner eller placering kan forventes at få væsentlige indvirkninger på miljøet</w:t>
      </w:r>
      <w:r w:rsidR="00885F5F">
        <w:t xml:space="preserve"> og </w:t>
      </w:r>
      <w:r w:rsidR="00885F5F" w:rsidRPr="000F756C">
        <w:t>på baggrund af de oplysninger i ansøgningen, som ansøger skal indlevere i medfør af § 4, stk. 1 og 2</w:t>
      </w:r>
      <w:r w:rsidR="00885F5F">
        <w:t>, samt</w:t>
      </w:r>
      <w:r w:rsidR="00885F5F" w:rsidRPr="000F756C">
        <w:t xml:space="preserve"> under hensyntagen til de kriterier, der følger af bilag 1, pkt. D</w:t>
      </w:r>
      <w:r w:rsidR="00885F5F">
        <w:t xml:space="preserve"> – skal træffe afgørelse om, hvorvidt</w:t>
      </w:r>
      <w:r w:rsidR="00885F5F" w:rsidRPr="000F756C">
        <w:t xml:space="preserve"> det ansøgte er omfattet af krav om miljøkonsekvensrapport og proceduren om offentlighedens inddragelse i § 60.</w:t>
      </w:r>
    </w:p>
    <w:p w14:paraId="288C821C" w14:textId="77777777" w:rsidR="00885F5F" w:rsidRDefault="00885F5F" w:rsidP="006C156D">
      <w:pPr>
        <w:pStyle w:val="Opstilling-talellerbogst"/>
        <w:numPr>
          <w:ilvl w:val="0"/>
          <w:numId w:val="0"/>
        </w:numPr>
        <w:jc w:val="both"/>
      </w:pPr>
    </w:p>
    <w:p w14:paraId="0C7F72C4" w14:textId="23AA6310" w:rsidR="000F756C" w:rsidRDefault="00C954C5" w:rsidP="006C156D">
      <w:pPr>
        <w:pStyle w:val="Opstilling-talellerbogst"/>
        <w:numPr>
          <w:ilvl w:val="0"/>
          <w:numId w:val="0"/>
        </w:numPr>
        <w:jc w:val="both"/>
      </w:pPr>
      <w:r>
        <w:t xml:space="preserve">Beskrivelsen vil dog også kunne være et relevant bidrag ift. kommunalbestyrelsens vurdering af, om det ansøgte har væsentlige virkninger på miljøet, jf. §§ 34-36. </w:t>
      </w:r>
    </w:p>
    <w:p w14:paraId="5AA7256B" w14:textId="77777777" w:rsidR="00885F5F" w:rsidRDefault="00885F5F" w:rsidP="006C156D">
      <w:pPr>
        <w:pStyle w:val="Opstilling-talellerbogst"/>
        <w:numPr>
          <w:ilvl w:val="0"/>
          <w:numId w:val="0"/>
        </w:numPr>
        <w:jc w:val="both"/>
      </w:pPr>
    </w:p>
    <w:p w14:paraId="73C634A7" w14:textId="7FE20348" w:rsidR="0093191A" w:rsidRDefault="0093191A" w:rsidP="006C156D">
      <w:pPr>
        <w:pStyle w:val="Opstilling-talellerbogst"/>
        <w:numPr>
          <w:ilvl w:val="0"/>
          <w:numId w:val="0"/>
        </w:numPr>
        <w:jc w:val="both"/>
      </w:pPr>
      <w:r w:rsidRPr="0093191A">
        <w:t xml:space="preserve">Det forudsættes, at disse oplysninger fremgår på det tidspunkt, hvor ansøgningen fremsendes af </w:t>
      </w:r>
      <w:r w:rsidR="000F756C">
        <w:t>ansøger</w:t>
      </w:r>
      <w:r w:rsidRPr="0093191A">
        <w:t>. Oplysningerne kan afspejle indhold</w:t>
      </w:r>
      <w:r w:rsidR="000F756C">
        <w:t>et af de justeringer</w:t>
      </w:r>
      <w:r w:rsidRPr="0093191A">
        <w:t xml:space="preserve">, som </w:t>
      </w:r>
      <w:r w:rsidR="000F756C">
        <w:t>ansøger</w:t>
      </w:r>
      <w:r w:rsidRPr="0093191A">
        <w:t xml:space="preserve"> i sin udformning af </w:t>
      </w:r>
      <w:r w:rsidR="000F756C">
        <w:t>det ansøgte</w:t>
      </w:r>
      <w:r w:rsidR="00C954C5">
        <w:t xml:space="preserve"> husdyrbrug</w:t>
      </w:r>
      <w:r w:rsidRPr="0093191A">
        <w:t xml:space="preserve"> har forudsat. Det er således ikke foranstaltninger, som den kompetente VVM-myndighed kan sti</w:t>
      </w:r>
      <w:r w:rsidR="00C954C5">
        <w:t xml:space="preserve">lle som vilkår for en afgørelse. </w:t>
      </w:r>
    </w:p>
    <w:p w14:paraId="1CA4E808" w14:textId="2C156CA6" w:rsidR="00885F5F" w:rsidRPr="006861AB" w:rsidRDefault="00885F5F" w:rsidP="006C156D">
      <w:pPr>
        <w:pStyle w:val="Opstilling-talellerbogst"/>
        <w:numPr>
          <w:ilvl w:val="0"/>
          <w:numId w:val="0"/>
        </w:numPr>
        <w:jc w:val="both"/>
        <w:rPr>
          <w:b/>
        </w:rPr>
      </w:pPr>
    </w:p>
    <w:p w14:paraId="4CF5DEC4" w14:textId="7AA52722" w:rsidR="00885F5F" w:rsidRPr="006861AB" w:rsidRDefault="002E00A1" w:rsidP="006C156D">
      <w:pPr>
        <w:pStyle w:val="Opstilling-talellerbogst"/>
        <w:numPr>
          <w:ilvl w:val="1"/>
          <w:numId w:val="6"/>
        </w:numPr>
        <w:jc w:val="both"/>
        <w:rPr>
          <w:b/>
        </w:rPr>
      </w:pPr>
      <w:r w:rsidRPr="006861AB">
        <w:rPr>
          <w:b/>
        </w:rPr>
        <w:t>Krav om miljøkonsekvensrapport (</w:t>
      </w:r>
      <w:r w:rsidR="00885F5F" w:rsidRPr="006861AB">
        <w:rPr>
          <w:b/>
        </w:rPr>
        <w:t>§ 4, stk. 4</w:t>
      </w:r>
      <w:r w:rsidRPr="006861AB">
        <w:rPr>
          <w:b/>
        </w:rPr>
        <w:t>)</w:t>
      </w:r>
      <w:r w:rsidR="003A01AF">
        <w:rPr>
          <w:b/>
        </w:rPr>
        <w:t xml:space="preserve"> og bilag D</w:t>
      </w:r>
      <w:r w:rsidR="000D4004">
        <w:rPr>
          <w:b/>
        </w:rPr>
        <w:t xml:space="preserve"> samt E-F</w:t>
      </w:r>
    </w:p>
    <w:p w14:paraId="3F0C147F" w14:textId="275EE1D6" w:rsidR="00885F5F" w:rsidRDefault="00885F5F" w:rsidP="006C156D">
      <w:pPr>
        <w:pStyle w:val="Opstilling-talellerbogst"/>
        <w:numPr>
          <w:ilvl w:val="0"/>
          <w:numId w:val="0"/>
        </w:numPr>
        <w:ind w:left="680"/>
        <w:jc w:val="both"/>
      </w:pPr>
    </w:p>
    <w:p w14:paraId="3446C1CC" w14:textId="670D2EE1" w:rsidR="00885F5F" w:rsidRDefault="00885F5F" w:rsidP="006C156D">
      <w:pPr>
        <w:pStyle w:val="Opstilling-talellerbogst"/>
        <w:numPr>
          <w:ilvl w:val="0"/>
          <w:numId w:val="0"/>
        </w:numPr>
        <w:jc w:val="both"/>
      </w:pPr>
      <w:r>
        <w:t xml:space="preserve">§ 4, stk. 4, fastsætter, hvornår en ansøgning om godkendelse eller tilladelse efter §§ 16 a eller 16 b i husdyrbrugloven også skal omfatte en miljøkonsekvensrapport i overensstemmelse med VVM-direktivets regler. </w:t>
      </w:r>
    </w:p>
    <w:p w14:paraId="7FCC5DD4" w14:textId="77777777" w:rsidR="00CF471C" w:rsidRDefault="00CF471C" w:rsidP="006C156D">
      <w:pPr>
        <w:pStyle w:val="Opstilling-talellerbogst"/>
        <w:numPr>
          <w:ilvl w:val="0"/>
          <w:numId w:val="0"/>
        </w:numPr>
        <w:jc w:val="both"/>
      </w:pPr>
    </w:p>
    <w:p w14:paraId="7E0AA55B" w14:textId="5EF70846" w:rsidR="00885F5F" w:rsidRDefault="00885F5F" w:rsidP="006C156D">
      <w:pPr>
        <w:pStyle w:val="Opstilling-talellerbogst"/>
        <w:numPr>
          <w:ilvl w:val="0"/>
          <w:numId w:val="0"/>
        </w:numPr>
        <w:jc w:val="both"/>
      </w:pPr>
      <w:r>
        <w:t xml:space="preserve">I overensstemmelse med EU-Kommissionens bemærkninger i åbningsskrivelsen, er det præciseret i </w:t>
      </w:r>
      <w:r w:rsidR="00CF471C">
        <w:t>bestemmelsen, at kravet om miljøkonsekvensrapport</w:t>
      </w:r>
      <w:r w:rsidR="00035275">
        <w:t xml:space="preserve"> skal iagttages, når en ansøgning bl.a. på grund af det ansøgtes art, dimensioner eller placeringer kan forventes at få væsentlige indvirkninger på miljøet, inden kommunalbestyrelsen meddeler godkendelse eller tilladelse. </w:t>
      </w:r>
      <w:r w:rsidR="006861AB">
        <w:t>Bestemmelsen sikrer dermed</w:t>
      </w:r>
      <w:r w:rsidR="003B3C83">
        <w:t>, at</w:t>
      </w:r>
      <w:r w:rsidR="006861AB">
        <w:t xml:space="preserve"> </w:t>
      </w:r>
      <w:r w:rsidR="00035275">
        <w:t xml:space="preserve">VVM-direktivets artikel 2, stk. 1, gennemføres. </w:t>
      </w:r>
    </w:p>
    <w:p w14:paraId="7302E7A0" w14:textId="2FEA834D" w:rsidR="000D4004" w:rsidRDefault="000D4004" w:rsidP="006C156D">
      <w:pPr>
        <w:pStyle w:val="Opstilling-talellerbogst"/>
        <w:numPr>
          <w:ilvl w:val="0"/>
          <w:numId w:val="0"/>
        </w:numPr>
        <w:jc w:val="both"/>
      </w:pPr>
    </w:p>
    <w:p w14:paraId="52BC000E" w14:textId="49226886" w:rsidR="000D4004" w:rsidRDefault="000D4004" w:rsidP="006C156D">
      <w:pPr>
        <w:pStyle w:val="Opstilling-talellerbogst"/>
        <w:numPr>
          <w:ilvl w:val="0"/>
          <w:numId w:val="0"/>
        </w:numPr>
        <w:jc w:val="both"/>
      </w:pPr>
      <w:r>
        <w:t>Miljøkonsekvensrapporten skal endvidere omfatte de oplysninger, der følger af bilag 1, pkt. E (den nugældende bekendtgørelses bilag I, pkt. D) samt bilag 1, litra F, som implementerer VVM-direktivets bilag IV</w:t>
      </w:r>
      <w:r w:rsidR="00484836">
        <w:t xml:space="preserve">. Det er ministeriets opfattelse, at anvendelsen og fortolkningen af de gældende regler svarer til den præciserede bestemmelse, og at de nævnte ændringer dermed ikke indebærer en ændring af retstilstanden.  </w:t>
      </w:r>
    </w:p>
    <w:p w14:paraId="7127EAAA" w14:textId="565091E9" w:rsidR="003A01AF" w:rsidRDefault="003A01AF" w:rsidP="006C156D">
      <w:pPr>
        <w:pStyle w:val="Opstilling-talellerbogst"/>
        <w:numPr>
          <w:ilvl w:val="0"/>
          <w:numId w:val="0"/>
        </w:numPr>
        <w:jc w:val="both"/>
      </w:pPr>
    </w:p>
    <w:p w14:paraId="6BFA7620" w14:textId="0036FD32" w:rsidR="003A01AF" w:rsidRDefault="003A01AF" w:rsidP="006C156D">
      <w:pPr>
        <w:pStyle w:val="Opstilling-talellerbogst"/>
        <w:numPr>
          <w:ilvl w:val="0"/>
          <w:numId w:val="0"/>
        </w:numPr>
        <w:jc w:val="both"/>
      </w:pPr>
      <w:r>
        <w:lastRenderedPageBreak/>
        <w:t xml:space="preserve">Bestemmelsen foreskriver </w:t>
      </w:r>
      <w:r w:rsidR="00484836">
        <w:t xml:space="preserve">endvidere </w:t>
      </w:r>
      <w:r>
        <w:t>fortsat obligatorisk VVM-pligt</w:t>
      </w:r>
      <w:r w:rsidRPr="003A01AF">
        <w:t xml:space="preserve"> </w:t>
      </w:r>
      <w:r>
        <w:t>for ansøgning om godkendelse efter lovens § 16 a, stk. 1 og 2, samt ansøgning ændringer eller udvidelser, der i sig selv overstiger en af de tærskelværdier, der fremgår af § 16 a, stk. 1 og 2.</w:t>
      </w:r>
    </w:p>
    <w:p w14:paraId="378F53DC" w14:textId="5B5A5937" w:rsidR="00AD5595" w:rsidRDefault="00AD5595" w:rsidP="006C156D">
      <w:pPr>
        <w:pStyle w:val="Opstilling-talellerbogst"/>
        <w:numPr>
          <w:ilvl w:val="0"/>
          <w:numId w:val="0"/>
        </w:numPr>
        <w:jc w:val="both"/>
      </w:pPr>
    </w:p>
    <w:p w14:paraId="445B6946" w14:textId="36D2D5B7" w:rsidR="003A01AF" w:rsidRDefault="003A01AF" w:rsidP="006C156D">
      <w:pPr>
        <w:pStyle w:val="Opstilling-talellerbogst"/>
        <w:numPr>
          <w:ilvl w:val="0"/>
          <w:numId w:val="0"/>
        </w:numPr>
        <w:jc w:val="both"/>
      </w:pPr>
      <w:r>
        <w:t>Bestemmelsen</w:t>
      </w:r>
      <w:r w:rsidR="003B3C83">
        <w:t>s</w:t>
      </w:r>
      <w:r>
        <w:t xml:space="preserve"> nr. 3, omhandler ansøgning om godkendelse efter </w:t>
      </w:r>
      <w:r w:rsidRPr="003A01AF">
        <w:t>§ 16 a, stk. 4, eller tilladelse efter § 16 b, i husdyrbrugloven</w:t>
      </w:r>
      <w:r>
        <w:t xml:space="preserve">, og som i medfør af VVM-direktivet er omfattet af screeningspligt. </w:t>
      </w:r>
    </w:p>
    <w:p w14:paraId="0B2DCE88" w14:textId="77777777" w:rsidR="00B11564" w:rsidRDefault="00B11564" w:rsidP="006C156D">
      <w:pPr>
        <w:pStyle w:val="Opstilling-talellerbogst"/>
        <w:numPr>
          <w:ilvl w:val="0"/>
          <w:numId w:val="0"/>
        </w:numPr>
        <w:jc w:val="both"/>
      </w:pPr>
    </w:p>
    <w:p w14:paraId="341D6F71" w14:textId="21E08232" w:rsidR="00AD5595" w:rsidRDefault="003A01AF" w:rsidP="006C156D">
      <w:pPr>
        <w:pStyle w:val="Opstilling-talellerbogst"/>
        <w:numPr>
          <w:ilvl w:val="0"/>
          <w:numId w:val="0"/>
        </w:numPr>
        <w:jc w:val="both"/>
      </w:pPr>
      <w:r>
        <w:t>Bestemmelsen</w:t>
      </w:r>
      <w:r w:rsidR="00B11564">
        <w:t>s ordlyd foreslås ændret med udkastet således, at</w:t>
      </w:r>
      <w:r>
        <w:t xml:space="preserve"> ansøgninger</w:t>
      </w:r>
      <w:r w:rsidR="00B11564">
        <w:t xml:space="preserve"> af ovennævnte karakter e</w:t>
      </w:r>
      <w:r>
        <w:t>r omfattet af krav om miljøkonsekvensrapport,</w:t>
      </w:r>
      <w:r w:rsidRPr="003A01AF">
        <w:t xml:space="preserve"> hvor kommunalbestyrelsen på baggrund af de oplysninger i ansøgningen, som ansøger skal indlevere i medfør af § 4, stk. 1 og 2, og under hensyntagen til de kriterier, der følger af bilag 1, pkt. D, træffer afgørelse om, at det ansøgte er omfattet af krav om miljøkonsekvensrapport og proceduren om offentlighedens inddragelse i § 60.</w:t>
      </w:r>
      <w:r>
        <w:t xml:space="preserve"> </w:t>
      </w:r>
    </w:p>
    <w:p w14:paraId="4786F1D6" w14:textId="6BBC250B" w:rsidR="003A01AF" w:rsidRDefault="003A01AF" w:rsidP="006C156D">
      <w:pPr>
        <w:pStyle w:val="Opstilling-talellerbogst"/>
        <w:numPr>
          <w:ilvl w:val="0"/>
          <w:numId w:val="0"/>
        </w:numPr>
        <w:jc w:val="both"/>
      </w:pPr>
    </w:p>
    <w:p w14:paraId="2BE61387" w14:textId="2004D036" w:rsidR="003A01AF" w:rsidRDefault="003A01AF" w:rsidP="006C156D">
      <w:pPr>
        <w:pStyle w:val="Opstilling-talellerbogst"/>
        <w:numPr>
          <w:ilvl w:val="0"/>
          <w:numId w:val="0"/>
        </w:numPr>
        <w:jc w:val="both"/>
      </w:pPr>
      <w:r>
        <w:t>Ændringen har til formål at bringe ordlyden i overensstemmelse med VVM-direktivets artikel 4, stk. 2</w:t>
      </w:r>
      <w:r w:rsidR="000E00E1">
        <w:t>,</w:t>
      </w:r>
      <w:r>
        <w:t xml:space="preserve"> samt at implementere direktivets bilag II a. </w:t>
      </w:r>
    </w:p>
    <w:p w14:paraId="2B06EC96" w14:textId="70A43F82" w:rsidR="003A01AF" w:rsidRDefault="003A01AF" w:rsidP="006C156D">
      <w:pPr>
        <w:pStyle w:val="Opstilling-talellerbogst"/>
        <w:numPr>
          <w:ilvl w:val="0"/>
          <w:numId w:val="0"/>
        </w:numPr>
        <w:jc w:val="both"/>
      </w:pPr>
    </w:p>
    <w:p w14:paraId="7A6A1EF9" w14:textId="325D584E" w:rsidR="003A01AF" w:rsidRDefault="003A01AF" w:rsidP="006C156D">
      <w:pPr>
        <w:pStyle w:val="Opstilling-talellerbogst"/>
        <w:numPr>
          <w:ilvl w:val="0"/>
          <w:numId w:val="0"/>
        </w:numPr>
        <w:jc w:val="both"/>
      </w:pPr>
      <w:r>
        <w:t>Ændringen har ikke til formål at ændre på den gældende retstilstand. Det vil således fortsat kun</w:t>
      </w:r>
      <w:r w:rsidR="00B11564">
        <w:t xml:space="preserve"> gælde et krav om miljøkonsekvensvurdering, hvis</w:t>
      </w:r>
      <w:r>
        <w:t xml:space="preserve"> det ansøgte bl.a. på grund af art, dimensioner eller placering kan forventes at få væsen</w:t>
      </w:r>
      <w:r w:rsidR="00EE3A97">
        <w:t xml:space="preserve">tlige indvirkninger på miljøet. </w:t>
      </w:r>
      <w:r w:rsidR="00B11564">
        <w:t>Denne vurdering skal fortsat</w:t>
      </w:r>
      <w:r>
        <w:t xml:space="preserve"> foretages i lyset af, at VVM-direktivets bilag II, pkt. 1 e, alene omfatter anlæg til intensiv husdyravl. Direktivet</w:t>
      </w:r>
      <w:r w:rsidR="009F0037">
        <w:t xml:space="preserve"> må under henvisning hertil</w:t>
      </w:r>
      <w:r>
        <w:t xml:space="preserve"> </w:t>
      </w:r>
      <w:r w:rsidR="00B11564">
        <w:t xml:space="preserve">fortolkes </w:t>
      </w:r>
      <w:r>
        <w:t>således, at ansøgning om godkendelse efter § 16 a, stk. 4, og tilladelse efter § 16 b, kun i helt særlige tilfælde, herunder hvor flere udvidelser eller ændringer tilsammen medfører, at en af de tærskelværdier, der fremgår af § 16 a, stk. 1 og 2, overskrides, vil udløse VVM-pligt.</w:t>
      </w:r>
    </w:p>
    <w:p w14:paraId="302DB7A7" w14:textId="77777777" w:rsidR="00885F5F" w:rsidRDefault="00885F5F" w:rsidP="006C156D">
      <w:pPr>
        <w:pStyle w:val="Opstilling-talellerbogst"/>
        <w:numPr>
          <w:ilvl w:val="0"/>
          <w:numId w:val="0"/>
        </w:numPr>
        <w:ind w:left="680"/>
        <w:jc w:val="both"/>
      </w:pPr>
    </w:p>
    <w:p w14:paraId="3147C9AD" w14:textId="6D3D00BD" w:rsidR="00827DB1" w:rsidRDefault="00827DB1" w:rsidP="006C156D">
      <w:pPr>
        <w:pStyle w:val="Opstilling-talellerbogst"/>
        <w:numPr>
          <w:ilvl w:val="1"/>
          <w:numId w:val="6"/>
        </w:numPr>
        <w:jc w:val="both"/>
        <w:rPr>
          <w:b/>
        </w:rPr>
      </w:pPr>
      <w:r>
        <w:rPr>
          <w:b/>
        </w:rPr>
        <w:t>Miljøkonsekvensrapportens indhold og kvalitet</w:t>
      </w:r>
    </w:p>
    <w:p w14:paraId="58523B8F" w14:textId="3496C66D" w:rsidR="00827DB1" w:rsidRDefault="00827DB1" w:rsidP="00AC505D"/>
    <w:p w14:paraId="5297FE7A" w14:textId="5E201BF9" w:rsidR="00827DB1" w:rsidRDefault="00827DB1" w:rsidP="00AC505D">
      <w:r>
        <w:t>Bestemmelsen suppleres med krav om, at m</w:t>
      </w:r>
      <w:r w:rsidRPr="00827DB1">
        <w:t>iljøkonsekvensrapporten skal indeholde de oplysninger, der med rimelighed kan kræves, for at der kan nås frem til en begrundet konklusion om projektets væsentlige indvirkninger på miljøet, idet der tages hensyn til gældende viden og vurderingsmetoder</w:t>
      </w:r>
      <w:r>
        <w:t>.</w:t>
      </w:r>
    </w:p>
    <w:p w14:paraId="7C1276E1" w14:textId="75DC875D" w:rsidR="00827DB1" w:rsidRDefault="00827DB1" w:rsidP="00AC505D"/>
    <w:p w14:paraId="2841EC61" w14:textId="0D63F242" w:rsidR="00827DB1" w:rsidRDefault="00827DB1" w:rsidP="00AC505D">
      <w:r>
        <w:t>Bestemmelsen indsættes med henblik på at sikre overensstemmelse med miljøvurderingsloven, jf. det foreliggende lovforslag om ændring af miljøvurderingsloven</w:t>
      </w:r>
      <w:r w:rsidR="00130B2D">
        <w:t xml:space="preserve"> og husdyrbrugloven, som forventes fremsat i Folketingets åbningsuge</w:t>
      </w:r>
      <w:r>
        <w:t xml:space="preserve">. </w:t>
      </w:r>
    </w:p>
    <w:p w14:paraId="1657BBEB" w14:textId="3C5477EE" w:rsidR="00827DB1" w:rsidRDefault="00827DB1" w:rsidP="00AC505D"/>
    <w:p w14:paraId="0F89A90D" w14:textId="47B965AD" w:rsidR="00827DB1" w:rsidRDefault="00827DB1" w:rsidP="00AC505D">
      <w:r>
        <w:t xml:space="preserve">Det vurderes, at bestemmelsen ikke ændrer på den gældende retstilstand, men at bestemmelsen alene præciserer, at der alene kan kræves oplysninger til brug for, at kommunalbestyrelsen kan foretage en begrundet vurdering af de væsentlige miljøpåvirkninger, som det ansøgte måtte give anledning til. Det vurderes, at denne retsstilling allerede følger af de almindelige forvaltningsretlige regler om </w:t>
      </w:r>
      <w:proofErr w:type="spellStart"/>
      <w:r>
        <w:t>sagsoplysning</w:t>
      </w:r>
      <w:proofErr w:type="spellEnd"/>
      <w:r>
        <w:t xml:space="preserve">. </w:t>
      </w:r>
    </w:p>
    <w:p w14:paraId="18318982" w14:textId="77777777" w:rsidR="00827DB1" w:rsidRDefault="00827DB1" w:rsidP="00AC505D"/>
    <w:p w14:paraId="475C1D81" w14:textId="3E4D29C2" w:rsidR="00885F5F" w:rsidRPr="006861AB" w:rsidRDefault="00CF471C" w:rsidP="006C156D">
      <w:pPr>
        <w:pStyle w:val="Opstilling-talellerbogst"/>
        <w:numPr>
          <w:ilvl w:val="1"/>
          <w:numId w:val="6"/>
        </w:numPr>
        <w:jc w:val="both"/>
        <w:rPr>
          <w:b/>
        </w:rPr>
      </w:pPr>
      <w:r w:rsidRPr="006861AB">
        <w:rPr>
          <w:b/>
        </w:rPr>
        <w:t>Krav til oplysningernes karakter ift. begrundet konklusion (</w:t>
      </w:r>
      <w:r w:rsidR="00885F5F" w:rsidRPr="006861AB">
        <w:rPr>
          <w:b/>
        </w:rPr>
        <w:t>§</w:t>
      </w:r>
      <w:r w:rsidR="002E00A1" w:rsidRPr="006861AB">
        <w:rPr>
          <w:b/>
        </w:rPr>
        <w:t xml:space="preserve"> 4, stk. 5</w:t>
      </w:r>
      <w:r w:rsidRPr="006861AB">
        <w:rPr>
          <w:b/>
        </w:rPr>
        <w:t>)</w:t>
      </w:r>
    </w:p>
    <w:p w14:paraId="150729BE" w14:textId="77777777" w:rsidR="004270BA" w:rsidRDefault="004270BA" w:rsidP="006C156D">
      <w:pPr>
        <w:pStyle w:val="Opstilling-talellerbogst"/>
        <w:numPr>
          <w:ilvl w:val="0"/>
          <w:numId w:val="0"/>
        </w:numPr>
        <w:jc w:val="both"/>
      </w:pPr>
    </w:p>
    <w:p w14:paraId="461FE014" w14:textId="11D78B49" w:rsidR="00544B8B" w:rsidRDefault="000D4004" w:rsidP="006C156D">
      <w:pPr>
        <w:pStyle w:val="Opstilling-talellerbogst"/>
        <w:numPr>
          <w:ilvl w:val="0"/>
          <w:numId w:val="0"/>
        </w:numPr>
        <w:jc w:val="both"/>
      </w:pPr>
      <w:r>
        <w:t>Der indsættes en præciserende regel om, at m</w:t>
      </w:r>
      <w:r w:rsidR="00544B8B" w:rsidRPr="00544B8B">
        <w:t xml:space="preserve">iljøkonsekvensrapporten skal indeholde de oplysninger, der med rimelighed kan kræves for, at kommunalbestyrelsen kan nå frem til en begrundet konklusion om projektets væsentlige indvirkninger på miljøet, jf. </w:t>
      </w:r>
      <w:r>
        <w:t xml:space="preserve">forslagets </w:t>
      </w:r>
      <w:r w:rsidR="00544B8B" w:rsidRPr="00544B8B">
        <w:t>§ 63, idet der tages hensyn til gældende viden og vurderingsmetoder.</w:t>
      </w:r>
    </w:p>
    <w:p w14:paraId="6B1BB7B1" w14:textId="6AE7FB81" w:rsidR="000D4004" w:rsidRDefault="000D4004" w:rsidP="006C156D">
      <w:pPr>
        <w:pStyle w:val="Opstilling-talellerbogst"/>
        <w:numPr>
          <w:ilvl w:val="0"/>
          <w:numId w:val="0"/>
        </w:numPr>
        <w:jc w:val="both"/>
      </w:pPr>
    </w:p>
    <w:p w14:paraId="7178F9DC" w14:textId="32EF0551" w:rsidR="00EE3A97" w:rsidRDefault="000D4004" w:rsidP="006C156D">
      <w:pPr>
        <w:pStyle w:val="Opstilling-talellerbogst"/>
        <w:numPr>
          <w:ilvl w:val="0"/>
          <w:numId w:val="0"/>
        </w:numPr>
        <w:jc w:val="both"/>
      </w:pPr>
      <w:r>
        <w:t xml:space="preserve">Bestemmelsen har til formål at gennemføre direktivets artikel 5, stk. 1, 2. pkt. Det vurderes, at bestemmelsen ikke ændrer den gældende retstilstand, men at der alene er tale om regelfastsættelse af gældende praksis. </w:t>
      </w:r>
    </w:p>
    <w:p w14:paraId="1310FA32" w14:textId="77777777" w:rsidR="00544B8B" w:rsidRDefault="00544B8B" w:rsidP="006C156D">
      <w:pPr>
        <w:pStyle w:val="Opstilling-talellerbogst"/>
        <w:numPr>
          <w:ilvl w:val="0"/>
          <w:numId w:val="0"/>
        </w:numPr>
        <w:jc w:val="both"/>
      </w:pPr>
    </w:p>
    <w:p w14:paraId="5F10A345" w14:textId="0DF31A72" w:rsidR="00544B8B" w:rsidRDefault="00CF471C" w:rsidP="004270BA">
      <w:pPr>
        <w:pStyle w:val="Opstilling-talellerbogst"/>
        <w:numPr>
          <w:ilvl w:val="1"/>
          <w:numId w:val="6"/>
        </w:numPr>
        <w:jc w:val="both"/>
        <w:rPr>
          <w:b/>
        </w:rPr>
      </w:pPr>
      <w:r w:rsidRPr="000D4004">
        <w:rPr>
          <w:b/>
        </w:rPr>
        <w:t xml:space="preserve">Krav til oplysninger ift. væsentlige virkninger </w:t>
      </w:r>
      <w:r w:rsidR="00885F5F" w:rsidRPr="000D4004">
        <w:rPr>
          <w:b/>
        </w:rPr>
        <w:t>§</w:t>
      </w:r>
      <w:r w:rsidR="002E00A1" w:rsidRPr="000D4004">
        <w:rPr>
          <w:b/>
        </w:rPr>
        <w:t xml:space="preserve"> 4, stk. 8</w:t>
      </w:r>
    </w:p>
    <w:p w14:paraId="424A3C3D" w14:textId="77777777" w:rsidR="004270BA" w:rsidRPr="004270BA" w:rsidRDefault="004270BA" w:rsidP="004270BA">
      <w:pPr>
        <w:pStyle w:val="Opstilling-talellerbogst"/>
        <w:numPr>
          <w:ilvl w:val="0"/>
          <w:numId w:val="0"/>
        </w:numPr>
        <w:ind w:left="680"/>
        <w:jc w:val="both"/>
        <w:rPr>
          <w:b/>
        </w:rPr>
      </w:pPr>
    </w:p>
    <w:p w14:paraId="32032754" w14:textId="421184CC" w:rsidR="00544B8B" w:rsidRDefault="0000365C" w:rsidP="006C156D">
      <w:pPr>
        <w:spacing w:line="240" w:lineRule="auto"/>
        <w:jc w:val="both"/>
      </w:pPr>
      <w:r>
        <w:t>Bestemmelsen</w:t>
      </w:r>
      <w:r w:rsidR="00556FA0">
        <w:t xml:space="preserve"> i § 4, stk. 8,</w:t>
      </w:r>
      <w:r w:rsidR="00CF471C">
        <w:t xml:space="preserve"> præciseres i overensstemmelse med VVM-direktivets </w:t>
      </w:r>
      <w:r w:rsidR="00484836">
        <w:t xml:space="preserve">3, stk. 1. Det tilføjes således, at </w:t>
      </w:r>
      <w:r w:rsidR="00484836" w:rsidRPr="00484836">
        <w:rPr>
          <w:i/>
        </w:rPr>
        <w:t>m</w:t>
      </w:r>
      <w:r w:rsidR="00544B8B" w:rsidRPr="00484836">
        <w:rPr>
          <w:i/>
        </w:rPr>
        <w:t>iljøkonsekvensrapporten</w:t>
      </w:r>
      <w:r w:rsidR="00544B8B" w:rsidRPr="00544B8B">
        <w:t>, herunder de oplysninger, som ansøger skal give efter bilag 1, pkt. E og F, skal på en passende måde påvise, beskrive og vurdere det ansøgtes væsentlige direkte og indirekte virkninger i forhold til</w:t>
      </w:r>
      <w:r w:rsidR="00484836">
        <w:t xml:space="preserve"> de faktorer, der følger af bestemmelsen. </w:t>
      </w:r>
    </w:p>
    <w:p w14:paraId="23078BA1" w14:textId="407B8339" w:rsidR="00484836" w:rsidRDefault="00484836" w:rsidP="006C156D">
      <w:pPr>
        <w:spacing w:line="240" w:lineRule="auto"/>
        <w:jc w:val="both"/>
      </w:pPr>
    </w:p>
    <w:p w14:paraId="5D65EBE2" w14:textId="1CDC37D5" w:rsidR="00484836" w:rsidRPr="00544B8B" w:rsidRDefault="00484836" w:rsidP="006C156D">
      <w:pPr>
        <w:spacing w:line="240" w:lineRule="auto"/>
        <w:jc w:val="both"/>
      </w:pPr>
      <w:r>
        <w:t xml:space="preserve">Der er alene tale om en præcisering, hvorfor retstilstanden ikke ændres herved. </w:t>
      </w:r>
    </w:p>
    <w:p w14:paraId="6216E560" w14:textId="77777777" w:rsidR="00544B8B" w:rsidRPr="00C0396B" w:rsidRDefault="00544B8B" w:rsidP="006C156D">
      <w:pPr>
        <w:pStyle w:val="Opstilling-talellerbogst"/>
        <w:numPr>
          <w:ilvl w:val="0"/>
          <w:numId w:val="0"/>
        </w:numPr>
        <w:jc w:val="both"/>
        <w:rPr>
          <w:b/>
        </w:rPr>
      </w:pPr>
    </w:p>
    <w:p w14:paraId="78D297EC" w14:textId="418E208C" w:rsidR="00885F5F" w:rsidRPr="00C0396B" w:rsidRDefault="00C0396B" w:rsidP="006C156D">
      <w:pPr>
        <w:pStyle w:val="Opstilling-talellerbogst"/>
        <w:numPr>
          <w:ilvl w:val="1"/>
          <w:numId w:val="6"/>
        </w:numPr>
        <w:jc w:val="both"/>
        <w:rPr>
          <w:b/>
        </w:rPr>
      </w:pPr>
      <w:r w:rsidRPr="00C0396B">
        <w:rPr>
          <w:b/>
        </w:rPr>
        <w:t>Ansøgers ønske om miljøvurdering (</w:t>
      </w:r>
      <w:r w:rsidR="00885F5F" w:rsidRPr="00C0396B">
        <w:rPr>
          <w:b/>
        </w:rPr>
        <w:t>§</w:t>
      </w:r>
      <w:r w:rsidR="00CF471C" w:rsidRPr="00C0396B">
        <w:rPr>
          <w:b/>
        </w:rPr>
        <w:t xml:space="preserve"> 4, stk. 9</w:t>
      </w:r>
      <w:r w:rsidRPr="00C0396B">
        <w:rPr>
          <w:b/>
        </w:rPr>
        <w:t>)</w:t>
      </w:r>
    </w:p>
    <w:p w14:paraId="4FD3A331" w14:textId="77777777" w:rsidR="004270BA" w:rsidRDefault="004270BA" w:rsidP="006C156D">
      <w:pPr>
        <w:pStyle w:val="Opstilling-talellerbogst"/>
        <w:numPr>
          <w:ilvl w:val="0"/>
          <w:numId w:val="0"/>
        </w:numPr>
        <w:jc w:val="both"/>
      </w:pPr>
    </w:p>
    <w:p w14:paraId="58797E79" w14:textId="43CDF8EE" w:rsidR="00CF471C" w:rsidRDefault="00C0396B" w:rsidP="006C156D">
      <w:pPr>
        <w:pStyle w:val="Opstilling-talellerbogst"/>
        <w:numPr>
          <w:ilvl w:val="0"/>
          <w:numId w:val="0"/>
        </w:numPr>
        <w:jc w:val="both"/>
      </w:pPr>
      <w:r>
        <w:t xml:space="preserve">Der indsættes </w:t>
      </w:r>
      <w:r w:rsidR="001C0F0D">
        <w:t xml:space="preserve">udtrykkelig </w:t>
      </w:r>
      <w:r w:rsidR="00D7520C">
        <w:t>bestemmelse om, at h</w:t>
      </w:r>
      <w:r w:rsidR="00CF471C" w:rsidRPr="00CF471C">
        <w:t xml:space="preserve">vis ansøger ønsker, at en ansøgning omfattet af </w:t>
      </w:r>
      <w:r w:rsidR="00D7520C">
        <w:t xml:space="preserve">§ 4, </w:t>
      </w:r>
      <w:r w:rsidR="00CF471C" w:rsidRPr="00CF471C">
        <w:t>stk. 4, nr. 3, skal undergå en miljøvurdering, herunder fordi ansøgningen på grund af dets art, dimensioner eller placering kan forventes at få væsentlige indvirkninger på miljøet, skal ansøgning indeholde oplysning herom.</w:t>
      </w:r>
    </w:p>
    <w:p w14:paraId="69DB965A" w14:textId="009176C3" w:rsidR="00C0396B" w:rsidRDefault="00C0396B" w:rsidP="006C156D">
      <w:pPr>
        <w:pStyle w:val="Opstilling-talellerbogst"/>
        <w:numPr>
          <w:ilvl w:val="0"/>
          <w:numId w:val="0"/>
        </w:numPr>
        <w:jc w:val="both"/>
      </w:pPr>
    </w:p>
    <w:p w14:paraId="6785B9AE" w14:textId="0A7E1D09" w:rsidR="00C0396B" w:rsidRDefault="00C0396B" w:rsidP="006C156D">
      <w:pPr>
        <w:pStyle w:val="Opstilling-talellerbogst"/>
        <w:numPr>
          <w:ilvl w:val="0"/>
          <w:numId w:val="0"/>
        </w:numPr>
        <w:jc w:val="both"/>
      </w:pPr>
      <w:r>
        <w:t xml:space="preserve">Det vurderes, at bestemmelsen udgør en regelfastsættelse af administrativ praksis. </w:t>
      </w:r>
    </w:p>
    <w:p w14:paraId="2EC0ADE6" w14:textId="77777777" w:rsidR="00CF471C" w:rsidRDefault="00CF471C" w:rsidP="006C156D">
      <w:pPr>
        <w:pStyle w:val="Opstilling-talellerbogst"/>
        <w:numPr>
          <w:ilvl w:val="0"/>
          <w:numId w:val="0"/>
        </w:numPr>
        <w:jc w:val="both"/>
      </w:pPr>
    </w:p>
    <w:p w14:paraId="711E03F4" w14:textId="13FF1511" w:rsidR="00885F5F" w:rsidRPr="00BA4785" w:rsidRDefault="007733AB" w:rsidP="006C156D">
      <w:pPr>
        <w:pStyle w:val="Opstilling-talellerbogst"/>
        <w:numPr>
          <w:ilvl w:val="1"/>
          <w:numId w:val="6"/>
        </w:numPr>
        <w:jc w:val="both"/>
        <w:rPr>
          <w:b/>
        </w:rPr>
      </w:pPr>
      <w:r w:rsidRPr="00BA4785">
        <w:rPr>
          <w:b/>
        </w:rPr>
        <w:t xml:space="preserve">Forbud mod igangsættelse </w:t>
      </w:r>
      <w:r w:rsidR="00BA4785" w:rsidRPr="00BA4785">
        <w:rPr>
          <w:b/>
        </w:rPr>
        <w:t>forud for godkendelse eller tilladelse (</w:t>
      </w:r>
      <w:r w:rsidR="00885F5F" w:rsidRPr="00BA4785">
        <w:rPr>
          <w:b/>
        </w:rPr>
        <w:t>§</w:t>
      </w:r>
      <w:r w:rsidR="00CF471C" w:rsidRPr="00BA4785">
        <w:rPr>
          <w:b/>
        </w:rPr>
        <w:t xml:space="preserve"> 4, stk. 10</w:t>
      </w:r>
      <w:r w:rsidR="00BA4785" w:rsidRPr="00BA4785">
        <w:rPr>
          <w:b/>
        </w:rPr>
        <w:t>)</w:t>
      </w:r>
    </w:p>
    <w:p w14:paraId="3F7F370C" w14:textId="280A68EE" w:rsidR="00484836" w:rsidRDefault="00484836" w:rsidP="006C156D">
      <w:pPr>
        <w:pStyle w:val="Opstilling-talellerbogst"/>
        <w:numPr>
          <w:ilvl w:val="0"/>
          <w:numId w:val="0"/>
        </w:numPr>
        <w:jc w:val="both"/>
      </w:pPr>
    </w:p>
    <w:p w14:paraId="51EB5984" w14:textId="607CFEBF" w:rsidR="00685EEA" w:rsidRDefault="00BA4785" w:rsidP="006C156D">
      <w:pPr>
        <w:pStyle w:val="Opstilling-talellerbogst"/>
        <w:numPr>
          <w:ilvl w:val="0"/>
          <w:numId w:val="0"/>
        </w:numPr>
        <w:jc w:val="both"/>
      </w:pPr>
      <w:r>
        <w:t xml:space="preserve">Der indsættes i overensstemmelse med VVM-direktivets artikel </w:t>
      </w:r>
      <w:r w:rsidR="00E271CB" w:rsidRPr="00E271CB">
        <w:t>2, stk. 1</w:t>
      </w:r>
      <w:r w:rsidR="00113324">
        <w:t>, udtrykkelig</w:t>
      </w:r>
      <w:r>
        <w:t xml:space="preserve"> bestemmelse om, </w:t>
      </w:r>
      <w:r w:rsidR="00685EEA">
        <w:t>at a</w:t>
      </w:r>
      <w:r w:rsidR="00685EEA" w:rsidRPr="00685EEA">
        <w:t>nsøgning</w:t>
      </w:r>
      <w:r w:rsidR="00685EEA">
        <w:t>er</w:t>
      </w:r>
      <w:r w:rsidR="00685EEA" w:rsidRPr="00685EEA">
        <w:t>, jf. stk. 1-3, skal indgives til kommunalbestyrelsen før etablering, udvidelse af eller ændring af et husdyrbrug.</w:t>
      </w:r>
    </w:p>
    <w:p w14:paraId="74CBC817" w14:textId="77777777" w:rsidR="00685EEA" w:rsidRDefault="00685EEA" w:rsidP="006C156D">
      <w:pPr>
        <w:pStyle w:val="Opstilling-talellerbogst"/>
        <w:numPr>
          <w:ilvl w:val="0"/>
          <w:numId w:val="0"/>
        </w:numPr>
        <w:jc w:val="both"/>
      </w:pPr>
    </w:p>
    <w:p w14:paraId="326845DB" w14:textId="36E27561" w:rsidR="00484836" w:rsidRDefault="00685EEA" w:rsidP="006C156D">
      <w:pPr>
        <w:pStyle w:val="Opstilling-talellerbogst"/>
        <w:numPr>
          <w:ilvl w:val="0"/>
          <w:numId w:val="0"/>
        </w:numPr>
        <w:jc w:val="both"/>
      </w:pPr>
      <w:r>
        <w:t>A</w:t>
      </w:r>
      <w:r w:rsidR="00484836">
        <w:t>nsøgninger, der på grund af deres art, dimensioner eller placering kan forventes at</w:t>
      </w:r>
      <w:r w:rsidR="004270BA">
        <w:t xml:space="preserve"> få</w:t>
      </w:r>
      <w:r w:rsidR="00484836">
        <w:t xml:space="preserve"> væsentlige indvirkninger på miljøet, </w:t>
      </w:r>
      <w:r w:rsidR="00BA4785">
        <w:t xml:space="preserve">må </w:t>
      </w:r>
      <w:r>
        <w:t xml:space="preserve">endvidere ikke </w:t>
      </w:r>
      <w:r w:rsidR="00484836">
        <w:t>påbegyndes, før kommunalbestyrelsen skriftligt har meddelt godkendelse eller tilladelse efter husdyrbruglovens §§ 16 a eller 16 b, til at påbegynde projektet efter en miljøvurdering af projektets indvirkning på miljøet.</w:t>
      </w:r>
      <w:r w:rsidR="00BA4785">
        <w:t xml:space="preserve"> Det gælder både i </w:t>
      </w:r>
      <w:r w:rsidR="004270BA">
        <w:t>forhold til</w:t>
      </w:r>
      <w:r w:rsidR="00BA4785">
        <w:t xml:space="preserve"> a</w:t>
      </w:r>
      <w:r w:rsidR="00484836">
        <w:t>nsøgnin</w:t>
      </w:r>
      <w:r w:rsidR="00BA4785">
        <w:t>ger omfattet af stk. 4, nr. 1-3 samt a</w:t>
      </w:r>
      <w:r w:rsidR="00484836">
        <w:t>nsøgninger, hvor ansøger har anmodet om, at ansøgningen skal undergå en miljøvurdering, jf. stk. 9.</w:t>
      </w:r>
    </w:p>
    <w:p w14:paraId="17F982DF" w14:textId="41916788" w:rsidR="00685EEA" w:rsidRDefault="00685EEA" w:rsidP="006C156D">
      <w:pPr>
        <w:pStyle w:val="Opstilling-talellerbogst"/>
        <w:numPr>
          <w:ilvl w:val="0"/>
          <w:numId w:val="0"/>
        </w:numPr>
        <w:jc w:val="both"/>
      </w:pPr>
      <w:r>
        <w:t xml:space="preserve">Formålet med bestemmelsen er at sikre, at miljøkonsekvensvurdering, hvor en sådan er påkrævet, gennemføres forud for, at der meddeles godkendelse eller tilladelse. </w:t>
      </w:r>
    </w:p>
    <w:p w14:paraId="023DAB0B" w14:textId="101F8ACF" w:rsidR="00C255BC" w:rsidRDefault="00C255BC" w:rsidP="006C156D">
      <w:pPr>
        <w:pStyle w:val="Opstilling-talellerbogst"/>
        <w:numPr>
          <w:ilvl w:val="0"/>
          <w:numId w:val="0"/>
        </w:numPr>
        <w:jc w:val="both"/>
      </w:pPr>
    </w:p>
    <w:p w14:paraId="251CEE02" w14:textId="1BD4DD39" w:rsidR="00C255BC" w:rsidRDefault="00C255BC" w:rsidP="006C156D">
      <w:pPr>
        <w:pStyle w:val="Opstilling-talellerbogst"/>
        <w:numPr>
          <w:ilvl w:val="0"/>
          <w:numId w:val="0"/>
        </w:numPr>
        <w:jc w:val="both"/>
      </w:pPr>
      <w:r>
        <w:t xml:space="preserve">Bestemmelsen viderefører gældende retstilstand. </w:t>
      </w:r>
    </w:p>
    <w:p w14:paraId="69563F49" w14:textId="77777777" w:rsidR="00484836" w:rsidRDefault="00484836" w:rsidP="006C156D">
      <w:pPr>
        <w:pStyle w:val="Opstilling-talellerbogst"/>
        <w:numPr>
          <w:ilvl w:val="0"/>
          <w:numId w:val="0"/>
        </w:numPr>
        <w:jc w:val="both"/>
      </w:pPr>
    </w:p>
    <w:p w14:paraId="701CB6B2" w14:textId="31C8EB74" w:rsidR="00885F5F" w:rsidRPr="00772E56" w:rsidRDefault="00772E56" w:rsidP="006C156D">
      <w:pPr>
        <w:pStyle w:val="Opstilling-talellerbogst"/>
        <w:numPr>
          <w:ilvl w:val="1"/>
          <w:numId w:val="6"/>
        </w:numPr>
        <w:jc w:val="both"/>
        <w:rPr>
          <w:b/>
        </w:rPr>
      </w:pPr>
      <w:r w:rsidRPr="00772E56">
        <w:rPr>
          <w:b/>
        </w:rPr>
        <w:t>Kommunens relevante miljøoplysninger (</w:t>
      </w:r>
      <w:r w:rsidR="00885F5F" w:rsidRPr="00772E56">
        <w:rPr>
          <w:b/>
        </w:rPr>
        <w:t>§</w:t>
      </w:r>
      <w:r w:rsidR="00CF471C" w:rsidRPr="00772E56">
        <w:rPr>
          <w:b/>
        </w:rPr>
        <w:t xml:space="preserve"> 4, stk. 11</w:t>
      </w:r>
      <w:r w:rsidRPr="00772E56">
        <w:rPr>
          <w:b/>
        </w:rPr>
        <w:t>)</w:t>
      </w:r>
    </w:p>
    <w:p w14:paraId="07BA7410" w14:textId="77777777" w:rsidR="00772E56" w:rsidRDefault="00772E56" w:rsidP="006C156D">
      <w:pPr>
        <w:jc w:val="both"/>
      </w:pPr>
    </w:p>
    <w:p w14:paraId="39AC6F8D" w14:textId="181D225B" w:rsidR="00484836" w:rsidRDefault="00364463" w:rsidP="006C156D">
      <w:pPr>
        <w:jc w:val="both"/>
      </w:pPr>
      <w:r>
        <w:t xml:space="preserve">Der indsættes i overensstemmelse med VVM-direktivets artikel 5, stk. 4, </w:t>
      </w:r>
      <w:r w:rsidR="00FE483F">
        <w:t xml:space="preserve">udtrykkelig </w:t>
      </w:r>
      <w:r>
        <w:t>bestemmelse om, at k</w:t>
      </w:r>
      <w:r w:rsidR="006F7986">
        <w:t xml:space="preserve">ommunalbestyrelsen </w:t>
      </w:r>
      <w:r w:rsidR="00484836">
        <w:t>skal stille relevante miljøoplysninger til rådighed for bygherrens udarbejdelse af miljøkonsekvensrapporten</w:t>
      </w:r>
      <w:r>
        <w:t>. Kravet omfatter de relevante miljøoplysninger, som</w:t>
      </w:r>
      <w:r w:rsidR="00484836">
        <w:t xml:space="preserve"> kommunalbestyrelsen er i besiddelse af.</w:t>
      </w:r>
    </w:p>
    <w:p w14:paraId="5C4DD04C" w14:textId="12DD4D3F" w:rsidR="00364463" w:rsidRDefault="00364463" w:rsidP="006C156D">
      <w:pPr>
        <w:jc w:val="both"/>
      </w:pPr>
    </w:p>
    <w:p w14:paraId="0715154A" w14:textId="12FEFFBF" w:rsidR="006960B0" w:rsidRDefault="006960B0" w:rsidP="006C156D">
      <w:pPr>
        <w:jc w:val="both"/>
      </w:pPr>
      <w:r>
        <w:t>Bestemmelsen betyder, at den gældende retstilstand præciseres. Heraf følger det, at myndighederne har ansvar for at oplyse en sag tilstrækkeligt, inden de træffer afgørelse, jf. princippet om officialmaksimen. Formålet med officialprincippet er at understøtte</w:t>
      </w:r>
      <w:r w:rsidR="0086365B">
        <w:t xml:space="preserve">, at der træffes materielt lovlige og rigtige afgørelser. Officialprincippet </w:t>
      </w:r>
      <w:r w:rsidR="00A710F7">
        <w:t xml:space="preserve">kan bl.a. indebære, at ansøger skal stilles relevante oplysninger til rådighed. </w:t>
      </w:r>
    </w:p>
    <w:p w14:paraId="117A7C37" w14:textId="77777777" w:rsidR="00A710F7" w:rsidRDefault="00A710F7" w:rsidP="006C156D">
      <w:pPr>
        <w:jc w:val="both"/>
      </w:pPr>
    </w:p>
    <w:p w14:paraId="5B075FC8" w14:textId="661F9182" w:rsidR="00A710F7" w:rsidRDefault="00364463" w:rsidP="006C156D">
      <w:pPr>
        <w:jc w:val="both"/>
      </w:pPr>
      <w:r>
        <w:t>De</w:t>
      </w:r>
      <w:r w:rsidR="00A710F7">
        <w:t>rudover kan ansøger også</w:t>
      </w:r>
      <w:r>
        <w:t xml:space="preserve"> kræve oplysningerne udleveret i medfør af forvaltningslovens regler om partsaktindsigt samt hhv. miljøoplysningslovens og offentlighedslovens regler om aktindsigt. </w:t>
      </w:r>
      <w:r w:rsidR="00A710F7">
        <w:lastRenderedPageBreak/>
        <w:t>Tilsvarende vil vejledningspligten og almindelig god forvaltningsskik</w:t>
      </w:r>
      <w:r w:rsidR="00BD26E2">
        <w:t xml:space="preserve"> kunne </w:t>
      </w:r>
      <w:r w:rsidR="00A710F7">
        <w:t>føre til, at kommunen af egen drift</w:t>
      </w:r>
      <w:r w:rsidR="009F0037">
        <w:t xml:space="preserve"> skal</w:t>
      </w:r>
      <w:r w:rsidR="00A710F7">
        <w:t xml:space="preserve"> stille de pågældende oplysninger til rådighed. </w:t>
      </w:r>
    </w:p>
    <w:p w14:paraId="4BC410C7" w14:textId="77777777" w:rsidR="00A710F7" w:rsidRDefault="00A710F7" w:rsidP="006C156D">
      <w:pPr>
        <w:jc w:val="both"/>
      </w:pPr>
    </w:p>
    <w:p w14:paraId="15A0E30A" w14:textId="2BC89A7C" w:rsidR="00364463" w:rsidRDefault="00A710F7" w:rsidP="006C156D">
      <w:pPr>
        <w:jc w:val="both"/>
      </w:pPr>
      <w:r>
        <w:t>Ansøger har også adgang til Danmarks Miljøportal, som er en platform til opsamling og opbevaring af natur- og miljødata, der sikrer, at data kan del</w:t>
      </w:r>
      <w:r w:rsidR="00492BFB">
        <w:t>e</w:t>
      </w:r>
      <w:r>
        <w:t xml:space="preserve">s mellem myndigheder, borgere, organisationer og virksomheder. Miljøportalen understøtter den digitale miljøforvaltning og skaber rammerne for en effektiv håndtering af miljøopgaverne i Danmark. </w:t>
      </w:r>
    </w:p>
    <w:p w14:paraId="207EC85F" w14:textId="77777777" w:rsidR="00484836" w:rsidRDefault="00484836" w:rsidP="006C156D">
      <w:pPr>
        <w:pStyle w:val="Opstilling-talellerbogst"/>
        <w:numPr>
          <w:ilvl w:val="0"/>
          <w:numId w:val="0"/>
        </w:numPr>
        <w:jc w:val="both"/>
      </w:pPr>
    </w:p>
    <w:p w14:paraId="7128A491" w14:textId="2DC4C07E" w:rsidR="00885F5F" w:rsidRDefault="00F505C7" w:rsidP="006C156D">
      <w:pPr>
        <w:pStyle w:val="Opstilling-talellerbogst"/>
        <w:numPr>
          <w:ilvl w:val="1"/>
          <w:numId w:val="6"/>
        </w:numPr>
        <w:jc w:val="both"/>
        <w:rPr>
          <w:b/>
        </w:rPr>
      </w:pPr>
      <w:r w:rsidRPr="00E70759">
        <w:rPr>
          <w:b/>
        </w:rPr>
        <w:t>Afgrænsende udtalelse om den påkrævede miljøkonsekvensrapport (</w:t>
      </w:r>
      <w:r w:rsidR="00885F5F" w:rsidRPr="00E70759">
        <w:rPr>
          <w:b/>
        </w:rPr>
        <w:t>§</w:t>
      </w:r>
      <w:r w:rsidR="00CF471C" w:rsidRPr="00E70759">
        <w:rPr>
          <w:b/>
        </w:rPr>
        <w:t xml:space="preserve"> 4, stk. </w:t>
      </w:r>
      <w:r w:rsidR="008E5CFC">
        <w:rPr>
          <w:b/>
        </w:rPr>
        <w:t xml:space="preserve">12 og </w:t>
      </w:r>
      <w:r w:rsidR="00CF471C" w:rsidRPr="00E70759">
        <w:rPr>
          <w:b/>
        </w:rPr>
        <w:t>13</w:t>
      </w:r>
      <w:r w:rsidRPr="00E70759">
        <w:rPr>
          <w:b/>
        </w:rPr>
        <w:t>)</w:t>
      </w:r>
    </w:p>
    <w:p w14:paraId="3720F356" w14:textId="77777777" w:rsidR="00E70759" w:rsidRPr="00E70759" w:rsidRDefault="00E70759" w:rsidP="006C156D">
      <w:pPr>
        <w:pStyle w:val="Opstilling-talellerbogst"/>
        <w:numPr>
          <w:ilvl w:val="0"/>
          <w:numId w:val="0"/>
        </w:numPr>
        <w:jc w:val="both"/>
        <w:rPr>
          <w:b/>
        </w:rPr>
      </w:pPr>
    </w:p>
    <w:p w14:paraId="5D9308A8" w14:textId="641E08F5" w:rsidR="00147DE2" w:rsidRDefault="00147DE2" w:rsidP="006C156D">
      <w:pPr>
        <w:jc w:val="both"/>
      </w:pPr>
      <w:r>
        <w:t xml:space="preserve">Med henblik på at gennemføre artikel 5, stk. 2 og 3, og med henblik på at imødekomme EU-Kommissionens bemærkninger i åbningsskrivelsen indsættes bestemmelser om kommunalbestyrelsens afgrænsende udtalelse om </w:t>
      </w:r>
      <w:r w:rsidR="007B08FE" w:rsidRPr="007B08FE">
        <w:t xml:space="preserve">den påkrævede </w:t>
      </w:r>
      <w:r>
        <w:t>miljøkonsekvensrapport.</w:t>
      </w:r>
    </w:p>
    <w:p w14:paraId="61E37CE4" w14:textId="30CED3B4" w:rsidR="00147DE2" w:rsidRDefault="00147DE2" w:rsidP="006C156D">
      <w:pPr>
        <w:jc w:val="both"/>
      </w:pPr>
    </w:p>
    <w:p w14:paraId="099C5F69" w14:textId="6ABAADC1" w:rsidR="00147DE2" w:rsidRDefault="00147DE2" w:rsidP="006C156D">
      <w:pPr>
        <w:jc w:val="both"/>
      </w:pPr>
      <w:r>
        <w:t>Af bekendtgørelsesudkastets § 4, stk. 12, følger det således, at kommunalbestyrelsen – hvis ansøger anmoder herom – skal af</w:t>
      </w:r>
      <w:r w:rsidRPr="00484836">
        <w:t>give en udtalelse om, hvor omfattende og detaljerede de oplysninger, som skal fremlægges i miljøkonsekvensvurderingsrapporten, skal være</w:t>
      </w:r>
      <w:r>
        <w:t xml:space="preserve">. Udtalelsen skal </w:t>
      </w:r>
      <w:r w:rsidRPr="00484836">
        <w:t>afgives under hensyntagen til de af bygherren fremlagte oplysninger, jf. § 4, stk. 1, navnlig oplysningerne om projektets særlige karakteristika, herunder dets placering og tekniske kapacitet, og dets forventede indvirkning på miljøet.</w:t>
      </w:r>
    </w:p>
    <w:p w14:paraId="004ECA09" w14:textId="7065DC92" w:rsidR="00147DE2" w:rsidRDefault="00147DE2" w:rsidP="006C156D">
      <w:pPr>
        <w:jc w:val="both"/>
      </w:pPr>
    </w:p>
    <w:p w14:paraId="0ECBB1D2" w14:textId="4C09A38A" w:rsidR="0003263D" w:rsidRDefault="0003263D" w:rsidP="006C156D">
      <w:pPr>
        <w:jc w:val="both"/>
      </w:pPr>
      <w:r w:rsidRPr="0003263D">
        <w:t xml:space="preserve">Kommunalbestyrelsen skal </w:t>
      </w:r>
      <w:r w:rsidR="00613F16">
        <w:t>gennemføre høring af offentligheden, berørte myndigheder og berørte stater i overensstemmelse med § 60, stk. 3, nr. 4</w:t>
      </w:r>
      <w:r w:rsidRPr="0003263D">
        <w:t>, før kommunalbestyrelsen afgiver sin udtalelse.</w:t>
      </w:r>
      <w:r w:rsidR="00613F16">
        <w:t xml:space="preserve"> Kommunalbestyrelsen skal i forbindelse med høringen sikre adgang til ansøgning samt eventuelle supplerende oplysninger, herunder miljøoplysninger, rapporter mv.</w:t>
      </w:r>
      <w:r w:rsidR="006F7986">
        <w:t xml:space="preserve">, jf. § 60, stk. 4. </w:t>
      </w:r>
      <w:r w:rsidR="00613F16">
        <w:t>Høringsfristen skal mindst fastsættes til 14 dage, jf. § 60, stk. 6.</w:t>
      </w:r>
    </w:p>
    <w:p w14:paraId="294EDF7F" w14:textId="77777777" w:rsidR="0003263D" w:rsidRDefault="0003263D" w:rsidP="006C156D">
      <w:pPr>
        <w:jc w:val="both"/>
      </w:pPr>
    </w:p>
    <w:p w14:paraId="2B534BAB" w14:textId="60D6F528" w:rsidR="008E5CFC" w:rsidRDefault="008E5CFC" w:rsidP="006C156D">
      <w:pPr>
        <w:jc w:val="both"/>
      </w:pPr>
      <w:r>
        <w:t xml:space="preserve">Det vurderes, at bestemmelsen reelt ikke indebærer en realitetsændring. Der henvises til, at kommunalbestyrelsen er forpligtet til at bistå ansøger med </w:t>
      </w:r>
      <w:r w:rsidR="007B08FE">
        <w:t xml:space="preserve">at </w:t>
      </w:r>
      <w:r>
        <w:t xml:space="preserve">afgrænse miljøkonsekvensrapporten som følge af forvaltningsretlige regler og principper om bl.a. vejledning og god forvaltningsskik. </w:t>
      </w:r>
    </w:p>
    <w:p w14:paraId="14ACA462" w14:textId="77777777" w:rsidR="00147DE2" w:rsidRDefault="00147DE2" w:rsidP="006C156D">
      <w:pPr>
        <w:jc w:val="both"/>
      </w:pPr>
    </w:p>
    <w:p w14:paraId="3597A892" w14:textId="6F4A8BF2" w:rsidR="008E5CFC" w:rsidRDefault="008E5CFC" w:rsidP="006C156D">
      <w:pPr>
        <w:jc w:val="both"/>
      </w:pPr>
      <w:r>
        <w:t>Af bekendtgørelsesudkastets § 4, stk. 13, følger det, at i de tilfælde, hvor en ansøger anmoder om en udtalelse efter § 4, stk. 12, skal</w:t>
      </w:r>
      <w:r w:rsidR="00484836" w:rsidRPr="00484836">
        <w:t xml:space="preserve"> miljøkonsekvensvurderingen</w:t>
      </w:r>
      <w:r>
        <w:t xml:space="preserve"> </w:t>
      </w:r>
      <w:r w:rsidR="00484836" w:rsidRPr="00484836">
        <w:t>være baseret på denne udtalelse og indeholde de oplysninger, der med rimelighed kan kræves, for at kommunalbestyrelsen kan nå frem til en begrundet konklusion om det ansøgtes væsentlige indvirkning på miljøet.</w:t>
      </w:r>
    </w:p>
    <w:p w14:paraId="4B94F502" w14:textId="77777777" w:rsidR="00484836" w:rsidRPr="007079FE" w:rsidRDefault="00484836" w:rsidP="006C156D">
      <w:pPr>
        <w:jc w:val="both"/>
        <w:rPr>
          <w:b/>
        </w:rPr>
      </w:pPr>
    </w:p>
    <w:p w14:paraId="6F4FC7AD" w14:textId="428EB4DC" w:rsidR="00885F5F" w:rsidRPr="007079FE" w:rsidRDefault="007079FE" w:rsidP="006C156D">
      <w:pPr>
        <w:pStyle w:val="Opstilling-talellerbogst"/>
        <w:numPr>
          <w:ilvl w:val="1"/>
          <w:numId w:val="6"/>
        </w:numPr>
        <w:jc w:val="both"/>
        <w:rPr>
          <w:b/>
        </w:rPr>
      </w:pPr>
      <w:r w:rsidRPr="007079FE">
        <w:rPr>
          <w:b/>
        </w:rPr>
        <w:t>Hensyn til andre relevante vurderinger (</w:t>
      </w:r>
      <w:r w:rsidR="00885F5F" w:rsidRPr="007079FE">
        <w:rPr>
          <w:b/>
        </w:rPr>
        <w:t>§</w:t>
      </w:r>
      <w:r w:rsidR="00CF471C" w:rsidRPr="007079FE">
        <w:rPr>
          <w:b/>
        </w:rPr>
        <w:t xml:space="preserve"> 4, stk. 14</w:t>
      </w:r>
      <w:r w:rsidRPr="007079FE">
        <w:rPr>
          <w:b/>
        </w:rPr>
        <w:t>)</w:t>
      </w:r>
    </w:p>
    <w:p w14:paraId="19CFD102" w14:textId="77777777" w:rsidR="007079FE" w:rsidRDefault="007079FE" w:rsidP="006C156D">
      <w:pPr>
        <w:jc w:val="both"/>
      </w:pPr>
    </w:p>
    <w:p w14:paraId="7E5C05E5" w14:textId="1E1DCBC7" w:rsidR="00484836" w:rsidRDefault="007079FE" w:rsidP="006C156D">
      <w:pPr>
        <w:jc w:val="both"/>
      </w:pPr>
      <w:r>
        <w:t>Med henblik på at gennemføre</w:t>
      </w:r>
      <w:r w:rsidR="00E54030">
        <w:t xml:space="preserve"> </w:t>
      </w:r>
      <w:r w:rsidR="0046768C">
        <w:t xml:space="preserve">VVM-direktivets </w:t>
      </w:r>
      <w:r w:rsidR="00E54030">
        <w:t>artikel</w:t>
      </w:r>
      <w:r>
        <w:t xml:space="preserve"> 5, stk. 1, 3. pkt., indsættes udtrykkelig bestemmelse om, at a</w:t>
      </w:r>
      <w:r w:rsidR="00484836" w:rsidRPr="00484836">
        <w:t xml:space="preserve">nsøger ved udarbejdelse af miljøkonsekvensvurderingsrapporten </w:t>
      </w:r>
      <w:r>
        <w:t xml:space="preserve">skal </w:t>
      </w:r>
      <w:r w:rsidR="00484836" w:rsidRPr="00484836">
        <w:t>tage hensyn til tilgængelige resultater af andre relevante vurdering</w:t>
      </w:r>
      <w:r w:rsidR="0046768C">
        <w:t>er</w:t>
      </w:r>
      <w:r w:rsidR="00484836" w:rsidRPr="00484836">
        <w:t xml:space="preserve"> foretaget i henhold til anden lovgivning, herunder EU-lovgivning.</w:t>
      </w:r>
    </w:p>
    <w:p w14:paraId="5991A095" w14:textId="5BB9FC30" w:rsidR="007079FE" w:rsidRDefault="007079FE" w:rsidP="006C156D">
      <w:pPr>
        <w:jc w:val="both"/>
      </w:pPr>
    </w:p>
    <w:p w14:paraId="23A3821E" w14:textId="7E0B4CDE" w:rsidR="000B553E" w:rsidRDefault="000B553E" w:rsidP="006C156D">
      <w:pPr>
        <w:pStyle w:val="Opstilling-talellerbogst"/>
        <w:numPr>
          <w:ilvl w:val="0"/>
          <w:numId w:val="0"/>
        </w:numPr>
        <w:jc w:val="both"/>
      </w:pPr>
      <w:r>
        <w:t xml:space="preserve">Det vurderes, at bestemmelsen udgør en regelfastsættelse af gældende praksis. </w:t>
      </w:r>
    </w:p>
    <w:p w14:paraId="090CAEA8" w14:textId="77777777" w:rsidR="007079FE" w:rsidRDefault="007079FE" w:rsidP="006C156D">
      <w:pPr>
        <w:jc w:val="both"/>
      </w:pPr>
    </w:p>
    <w:p w14:paraId="26837EAD" w14:textId="0DF44678" w:rsidR="00885F5F" w:rsidRPr="00FE483F" w:rsidRDefault="00FE483F" w:rsidP="006C156D">
      <w:pPr>
        <w:pStyle w:val="Opstilling-talellerbogst"/>
        <w:numPr>
          <w:ilvl w:val="1"/>
          <w:numId w:val="6"/>
        </w:numPr>
        <w:jc w:val="both"/>
        <w:rPr>
          <w:b/>
        </w:rPr>
      </w:pPr>
      <w:r w:rsidRPr="00FE483F">
        <w:rPr>
          <w:b/>
        </w:rPr>
        <w:t>Afgørelse efter høring (</w:t>
      </w:r>
      <w:r w:rsidR="00885F5F" w:rsidRPr="00FE483F">
        <w:rPr>
          <w:b/>
        </w:rPr>
        <w:t>§</w:t>
      </w:r>
      <w:r w:rsidR="00CF471C" w:rsidRPr="00FE483F">
        <w:rPr>
          <w:b/>
        </w:rPr>
        <w:t xml:space="preserve"> 4, stk. 15</w:t>
      </w:r>
      <w:r w:rsidRPr="00FE483F">
        <w:rPr>
          <w:b/>
        </w:rPr>
        <w:t>)</w:t>
      </w:r>
    </w:p>
    <w:p w14:paraId="1ACA5FBE" w14:textId="77777777" w:rsidR="00FE483F" w:rsidRDefault="00FE483F" w:rsidP="00E271CB">
      <w:pPr>
        <w:jc w:val="both"/>
      </w:pPr>
    </w:p>
    <w:p w14:paraId="26681607" w14:textId="34191B65" w:rsidR="00017174" w:rsidRDefault="001A39DE" w:rsidP="00E271CB">
      <w:pPr>
        <w:jc w:val="both"/>
      </w:pPr>
      <w:r>
        <w:t>I bekendtgørelsesudkastets § 4, stk. 5,</w:t>
      </w:r>
      <w:r w:rsidR="00FE483F">
        <w:t xml:space="preserve"> fastsætte</w:t>
      </w:r>
      <w:r>
        <w:t>s</w:t>
      </w:r>
      <w:r w:rsidR="00FE483F">
        <w:t xml:space="preserve"> en udtrykke</w:t>
      </w:r>
      <w:r w:rsidR="001A6AFE">
        <w:t xml:space="preserve">lig bestemmelse om, at kommunalbestyrelsen efter høring, jf. §§ 60 og 65, skal </w:t>
      </w:r>
      <w:r w:rsidR="00E271CB">
        <w:t>træffe afgørelse</w:t>
      </w:r>
      <w:r w:rsidR="00017174" w:rsidRPr="00017174">
        <w:t xml:space="preserve"> om</w:t>
      </w:r>
      <w:r w:rsidR="00E271CB">
        <w:t>, hvorvidt</w:t>
      </w:r>
      <w:r w:rsidR="00017174" w:rsidRPr="00017174">
        <w:t xml:space="preserve"> en ansøgning </w:t>
      </w:r>
      <w:r w:rsidR="00017174" w:rsidRPr="00017174">
        <w:lastRenderedPageBreak/>
        <w:t>omfattet af</w:t>
      </w:r>
      <w:r w:rsidR="009F0037">
        <w:t xml:space="preserve"> udkastets</w:t>
      </w:r>
      <w:r w:rsidR="00017174" w:rsidRPr="00017174">
        <w:t xml:space="preserve"> </w:t>
      </w:r>
      <w:r w:rsidR="009F0037">
        <w:t xml:space="preserve">§ 4, </w:t>
      </w:r>
      <w:r w:rsidR="00017174" w:rsidRPr="00017174">
        <w:t>stk. 4, kan imødekommes</w:t>
      </w:r>
      <w:r w:rsidR="00E271CB">
        <w:t>, jf. §§ 16 a og 16 b i husdyrbrugloven</w:t>
      </w:r>
      <w:r w:rsidR="00017174" w:rsidRPr="00017174">
        <w:t>. Afgørelsen træffes på grundlag af ansøgningen, miljøkonsekvensrapporten, eventuelle supplerende oplysninger og resultatet af de høringer, der er foretaget. Såfremt projektet kan få væsentlig indvirkning på miljøet i en anden stat, kan myndigheden først træffe afgørelse om tilladelse til projektet, når miljø- og fødevareministerens samtykke efter § 38 foreligger.</w:t>
      </w:r>
    </w:p>
    <w:p w14:paraId="1E6326AC" w14:textId="0F649B65" w:rsidR="00DC0692" w:rsidRDefault="00DC0692" w:rsidP="00E271CB">
      <w:pPr>
        <w:jc w:val="both"/>
      </w:pPr>
    </w:p>
    <w:p w14:paraId="47DA5848" w14:textId="075A416D" w:rsidR="00DC0692" w:rsidRDefault="00DC0692" w:rsidP="00DC0692">
      <w:pPr>
        <w:jc w:val="both"/>
      </w:pPr>
      <w:r>
        <w:t xml:space="preserve">Bestemmelsen har – i overensstemmelse med miljøvurderingslovens § 25, stk. 1 – til formål at fastslå, at kommunalbestyrelsen ikke kan undlade at træffe afgørelse, når sagen er oplyst/opdateret til det niveau, hvorefter der kan træffes afgørelse. </w:t>
      </w:r>
      <w:r w:rsidR="009F0037">
        <w:t>Bestemmelsen indebærer også</w:t>
      </w:r>
      <w:r>
        <w:t>, at kommunalbestyrelsen skal påse, at navnlig miljøkonsekvensrapporten er opdateret og tidssvarende</w:t>
      </w:r>
      <w:r w:rsidR="009F0037">
        <w:t>. Dette gælder særligt i de tilfælde</w:t>
      </w:r>
      <w:r>
        <w:t xml:space="preserve">, </w:t>
      </w:r>
      <w:r w:rsidR="009F0037">
        <w:t xml:space="preserve">hvor </w:t>
      </w:r>
      <w:r>
        <w:t xml:space="preserve">den tidsmæssige udstrækning fra </w:t>
      </w:r>
      <w:r w:rsidR="009F0037">
        <w:t>ansøgers</w:t>
      </w:r>
      <w:r>
        <w:t xml:space="preserve"> fremlæggelse af rapporten til myndighedens afgørelse har været lang og/eller præget af ændrede forudsætninger, fornyede høringer mv.</w:t>
      </w:r>
    </w:p>
    <w:p w14:paraId="195F9909" w14:textId="77777777" w:rsidR="00DC0692" w:rsidRDefault="00DC0692" w:rsidP="00DC0692">
      <w:pPr>
        <w:jc w:val="both"/>
      </w:pPr>
    </w:p>
    <w:p w14:paraId="3BFA84F2" w14:textId="7569B7C8" w:rsidR="00DC0692" w:rsidRDefault="00DC0692" w:rsidP="00DC0692">
      <w:pPr>
        <w:jc w:val="both"/>
      </w:pPr>
      <w:r>
        <w:t>Afgørelsen, som myndigheden skal træffe, er i lighed med gældende ret i dag mere end blot en konstatering af de nødvendige undersøgelser og beskrivelser af projektet. Kommunalbestyrelsen skal foretage sin egen selvstændige vurdering af miljøkonsekvensrapportens beskrivelse af projektet</w:t>
      </w:r>
      <w:r w:rsidR="000F73C7">
        <w:t>.</w:t>
      </w:r>
    </w:p>
    <w:p w14:paraId="28930851" w14:textId="77777777" w:rsidR="005F7404" w:rsidRDefault="005F7404" w:rsidP="006C156D">
      <w:pPr>
        <w:pStyle w:val="Opstilling-talellerbogst"/>
        <w:numPr>
          <w:ilvl w:val="0"/>
          <w:numId w:val="0"/>
        </w:numPr>
        <w:ind w:left="680"/>
        <w:jc w:val="both"/>
      </w:pPr>
    </w:p>
    <w:p w14:paraId="11E2B050" w14:textId="5DD9AF02" w:rsidR="00CF471C" w:rsidRPr="005F7404" w:rsidRDefault="00CF471C" w:rsidP="006C156D">
      <w:pPr>
        <w:pStyle w:val="Opstilling-talellerbogst"/>
        <w:numPr>
          <w:ilvl w:val="1"/>
          <w:numId w:val="6"/>
        </w:numPr>
        <w:jc w:val="both"/>
        <w:rPr>
          <w:b/>
        </w:rPr>
      </w:pPr>
      <w:r w:rsidRPr="005F7404">
        <w:rPr>
          <w:b/>
        </w:rPr>
        <w:t>Identifikation af berørte myndigheder (§ 59)</w:t>
      </w:r>
    </w:p>
    <w:p w14:paraId="5DB571FF" w14:textId="77777777" w:rsidR="005F7404" w:rsidRDefault="005F7404" w:rsidP="006C156D">
      <w:pPr>
        <w:jc w:val="both"/>
      </w:pPr>
    </w:p>
    <w:p w14:paraId="69DDC8C6" w14:textId="1CD88D7E" w:rsidR="00AA09FF" w:rsidRPr="00AA09FF" w:rsidRDefault="005F7404" w:rsidP="006C156D">
      <w:pPr>
        <w:spacing w:line="240" w:lineRule="auto"/>
        <w:jc w:val="both"/>
      </w:pPr>
      <w:r>
        <w:t xml:space="preserve">I overensstemmelse med VVM-direktivets artikel 6, stk. 1, </w:t>
      </w:r>
      <w:r w:rsidR="00AA09FF">
        <w:t>fastsætter bestemmelsen</w:t>
      </w:r>
      <w:r w:rsidR="004102E8">
        <w:t xml:space="preserve"> i § 59 i bekendtgørelsesudkastet</w:t>
      </w:r>
      <w:r w:rsidR="00AA09FF">
        <w:t xml:space="preserve">, at kommunalbestyrelsen skal identificere de relevante berørte myndigheder, som skal inddrages i overensstemmelse med reglerne om høring i bekendtgørelsesudkastets § 60. </w:t>
      </w:r>
    </w:p>
    <w:p w14:paraId="2DD20A8C" w14:textId="77777777" w:rsidR="00AA09FF" w:rsidRPr="00AA09FF" w:rsidRDefault="00AA09FF" w:rsidP="006C156D">
      <w:pPr>
        <w:spacing w:line="240" w:lineRule="auto"/>
        <w:jc w:val="both"/>
      </w:pPr>
    </w:p>
    <w:p w14:paraId="656BE425" w14:textId="2B83F04D" w:rsidR="00AA09FF" w:rsidRDefault="00AA09FF" w:rsidP="006C156D">
      <w:pPr>
        <w:spacing w:line="240" w:lineRule="auto"/>
        <w:jc w:val="both"/>
      </w:pPr>
      <w:r w:rsidRPr="00AA09FF">
        <w:t>Af bestemmelsen følger det, at kommunalbestyrelsen tidligt i beslutningsproceduren identificere</w:t>
      </w:r>
      <w:r w:rsidR="002D6CB1">
        <w:t>r</w:t>
      </w:r>
      <w:r w:rsidRPr="00AA09FF">
        <w:t xml:space="preserve"> de relevante berørte myndigheder, hvorved forstås myndigheder som på grund af deres særlige ansvar på miljøområdet eller lokale eller regionale kompetencer kan forventes at blive berørt af en ansøgt etablering, udvidelse eller ændring af et husdyrbrug.</w:t>
      </w:r>
    </w:p>
    <w:p w14:paraId="7622D4F7" w14:textId="2E4D004F" w:rsidR="00AA09FF" w:rsidRDefault="00AA09FF" w:rsidP="006C156D">
      <w:pPr>
        <w:spacing w:line="240" w:lineRule="auto"/>
        <w:jc w:val="both"/>
      </w:pPr>
    </w:p>
    <w:p w14:paraId="5B119796" w14:textId="23490AA9" w:rsidR="00AA09FF" w:rsidRPr="00AA09FF" w:rsidRDefault="00AA09FF" w:rsidP="006C156D">
      <w:pPr>
        <w:spacing w:line="240" w:lineRule="auto"/>
        <w:jc w:val="both"/>
      </w:pPr>
      <w:r>
        <w:t xml:space="preserve">Bestemmelsen viderefører den gældende retstilstand, således som den følger af den nugældende § 55, stk. 2-3, i husdyrbrugloven samt § 59 i den nugældende husdyrgodkendelsesbekendtgørelse. </w:t>
      </w:r>
    </w:p>
    <w:p w14:paraId="031BCEB3" w14:textId="3DBABF44" w:rsidR="002154D4" w:rsidRDefault="002154D4" w:rsidP="006C156D">
      <w:pPr>
        <w:jc w:val="both"/>
      </w:pPr>
    </w:p>
    <w:p w14:paraId="61EB1320" w14:textId="550F6877" w:rsidR="00061B79" w:rsidRPr="00061B79" w:rsidRDefault="00061B79" w:rsidP="006C156D">
      <w:pPr>
        <w:pStyle w:val="Opstilling-talellerbogst"/>
        <w:numPr>
          <w:ilvl w:val="1"/>
          <w:numId w:val="6"/>
        </w:numPr>
        <w:jc w:val="both"/>
        <w:rPr>
          <w:b/>
        </w:rPr>
      </w:pPr>
      <w:r w:rsidRPr="00061B79">
        <w:rPr>
          <w:b/>
        </w:rPr>
        <w:t>Inddragelse af offentligheden § 60</w:t>
      </w:r>
    </w:p>
    <w:p w14:paraId="4B278707" w14:textId="77777777" w:rsidR="00061B79" w:rsidRDefault="00061B79" w:rsidP="006C156D">
      <w:pPr>
        <w:pStyle w:val="Opstilling-talellerbogst"/>
        <w:numPr>
          <w:ilvl w:val="0"/>
          <w:numId w:val="0"/>
        </w:numPr>
        <w:ind w:left="680"/>
        <w:jc w:val="both"/>
      </w:pPr>
    </w:p>
    <w:p w14:paraId="0520B77F" w14:textId="01665EE9" w:rsidR="00061B79" w:rsidRDefault="00061B79" w:rsidP="006C156D">
      <w:pPr>
        <w:jc w:val="both"/>
      </w:pPr>
      <w:r>
        <w:t xml:space="preserve">Regler om inddragelse af offentligheden følger af husdyrbruglovens § 55, stk. 2-3. Med det lovforslag </w:t>
      </w:r>
      <w:r w:rsidR="00130B2D">
        <w:t xml:space="preserve">om ændring af miljøvurderingsloven og husdyrbrugloven, som forventes fremsat i Folketingets åbningsuge, </w:t>
      </w:r>
      <w:r>
        <w:t>foreslås det, at lovens bestemmelser ophæves med henblik på at samle VVM-reglerne i husdyrgodkendelsesbekendtgørelsen.</w:t>
      </w:r>
      <w:r w:rsidRPr="00061B79">
        <w:t xml:space="preserve"> </w:t>
      </w:r>
    </w:p>
    <w:p w14:paraId="1F3AE7C4" w14:textId="77777777" w:rsidR="00061B79" w:rsidRDefault="00061B79" w:rsidP="006C156D">
      <w:pPr>
        <w:jc w:val="both"/>
      </w:pPr>
    </w:p>
    <w:p w14:paraId="5D8F73FD" w14:textId="346FE6F6" w:rsidR="00061B79" w:rsidRDefault="00061B79" w:rsidP="006C156D">
      <w:pPr>
        <w:jc w:val="both"/>
      </w:pPr>
      <w:r>
        <w:t xml:space="preserve">Bekendtgørelsesudkastets indeholder derfor regler om inddragelse af offentligheden, berørte myndigheder og berørte stater med henblik på at gennemføre VVM-direktivets artikel 6, stk. 2-7. </w:t>
      </w:r>
    </w:p>
    <w:p w14:paraId="6361A7BF" w14:textId="77777777" w:rsidR="00061B79" w:rsidRDefault="00061B79" w:rsidP="006C156D">
      <w:pPr>
        <w:jc w:val="both"/>
      </w:pPr>
    </w:p>
    <w:p w14:paraId="346D2760" w14:textId="3EA6C9B2" w:rsidR="00061B79" w:rsidRDefault="00522C33" w:rsidP="006C156D">
      <w:pPr>
        <w:jc w:val="both"/>
      </w:pPr>
      <w:r>
        <w:t>Bestemmelserne i § 60,</w:t>
      </w:r>
      <w:r w:rsidR="004F4830">
        <w:t xml:space="preserve"> viderefører den gældende retstilstand. Dog har reglerne til formål at tydeliggøre kommunalbestyrelsens forpligtelser og den proces</w:t>
      </w:r>
      <w:r w:rsidR="008877C2">
        <w:t xml:space="preserve">, som inddragelse af offentligheden, berørte myndigheder og berørte stater i overensstemmelse med VVM-direktivet, omfatter. </w:t>
      </w:r>
      <w:r w:rsidR="00061B79">
        <w:t>Det bemærkes</w:t>
      </w:r>
      <w:r w:rsidR="008877C2">
        <w:t xml:space="preserve"> i den forbindelse</w:t>
      </w:r>
      <w:r w:rsidR="00061B79">
        <w:t xml:space="preserve">, at </w:t>
      </w:r>
      <w:r>
        <w:t xml:space="preserve">§ 60 </w:t>
      </w:r>
      <w:r w:rsidR="00061B79">
        <w:t>i sin helhed er formuleret i overensstemmelse med lovforslag om ændring af miljøvurderingsloven</w:t>
      </w:r>
      <w:r w:rsidR="00130B2D">
        <w:t>, som forventes fremsat i Folketingets åbningsuge</w:t>
      </w:r>
      <w:r w:rsidR="00061B79">
        <w:t>.</w:t>
      </w:r>
    </w:p>
    <w:p w14:paraId="4F9A8307" w14:textId="77777777" w:rsidR="00061B79" w:rsidRDefault="00061B79" w:rsidP="006C156D">
      <w:pPr>
        <w:pStyle w:val="Opstilling-talellerbogst"/>
        <w:numPr>
          <w:ilvl w:val="0"/>
          <w:numId w:val="0"/>
        </w:numPr>
        <w:jc w:val="both"/>
      </w:pPr>
    </w:p>
    <w:p w14:paraId="5FE3BA22" w14:textId="27256D9E" w:rsidR="00CF471C" w:rsidRPr="00061B79" w:rsidRDefault="00C64E5D" w:rsidP="006C156D">
      <w:pPr>
        <w:pStyle w:val="Opstilling-talellerbogst"/>
        <w:numPr>
          <w:ilvl w:val="2"/>
          <w:numId w:val="6"/>
        </w:numPr>
        <w:jc w:val="both"/>
        <w:rPr>
          <w:u w:val="single"/>
        </w:rPr>
      </w:pPr>
      <w:r w:rsidRPr="00061B79">
        <w:rPr>
          <w:u w:val="single"/>
        </w:rPr>
        <w:t>Information til offentligheden (</w:t>
      </w:r>
      <w:r w:rsidR="00CF471C" w:rsidRPr="00061B79">
        <w:rPr>
          <w:u w:val="single"/>
        </w:rPr>
        <w:t xml:space="preserve">§ </w:t>
      </w:r>
      <w:r w:rsidR="006861AB" w:rsidRPr="00061B79">
        <w:rPr>
          <w:u w:val="single"/>
        </w:rPr>
        <w:t>60, stk. 1</w:t>
      </w:r>
      <w:r w:rsidR="00061B79" w:rsidRPr="00061B79">
        <w:rPr>
          <w:u w:val="single"/>
        </w:rPr>
        <w:t xml:space="preserve"> og 2</w:t>
      </w:r>
      <w:r w:rsidRPr="00061B79">
        <w:rPr>
          <w:u w:val="single"/>
        </w:rPr>
        <w:t>)</w:t>
      </w:r>
    </w:p>
    <w:p w14:paraId="57F689D8" w14:textId="77777777" w:rsidR="00F605D6" w:rsidRDefault="00F605D6" w:rsidP="006C156D">
      <w:pPr>
        <w:jc w:val="both"/>
      </w:pPr>
    </w:p>
    <w:p w14:paraId="511B3999" w14:textId="29A91E27" w:rsidR="00061B79" w:rsidRDefault="00F52393" w:rsidP="006C156D">
      <w:pPr>
        <w:jc w:val="both"/>
      </w:pPr>
      <w:r>
        <w:t>Bestemmelsen fastslår, at høring skal gennemføres</w:t>
      </w:r>
      <w:r w:rsidRPr="00F52393">
        <w:t xml:space="preserve"> tidligt og effektivt i beslutningsprocessen ved offentlig annoncering eller ved andre egnede midler, og senest så snart </w:t>
      </w:r>
      <w:r>
        <w:t xml:space="preserve">de </w:t>
      </w:r>
      <w:r w:rsidRPr="00F52393">
        <w:t xml:space="preserve">oplysninger, </w:t>
      </w:r>
      <w:r>
        <w:t xml:space="preserve">som høringen </w:t>
      </w:r>
      <w:r>
        <w:lastRenderedPageBreak/>
        <w:t>skal omfatte</w:t>
      </w:r>
      <w:r w:rsidRPr="00F52393">
        <w:t>, med rimelighed kan gives.</w:t>
      </w:r>
      <w:r>
        <w:t xml:space="preserve"> Bestemmelsen angiver endvidere de oplysninger, som kommunalbestyrelsen skal give adgang til i forbindelse med høringen.</w:t>
      </w:r>
    </w:p>
    <w:p w14:paraId="79EA2738" w14:textId="77777777" w:rsidR="00F52393" w:rsidRDefault="00F52393" w:rsidP="006C156D">
      <w:pPr>
        <w:jc w:val="both"/>
      </w:pPr>
    </w:p>
    <w:p w14:paraId="69E9F46C" w14:textId="3103090A" w:rsidR="00C64E5D" w:rsidRDefault="00F52393" w:rsidP="006C156D">
      <w:pPr>
        <w:jc w:val="both"/>
      </w:pPr>
      <w:r>
        <w:t>Bestemmelserne, som gennemfører VVM-direktivets artikel 6, stk. 2,</w:t>
      </w:r>
      <w:r w:rsidR="005A0E04">
        <w:t xml:space="preserve"> erstatter husdyrbrugloven § 55, stk. 2. </w:t>
      </w:r>
    </w:p>
    <w:p w14:paraId="5C7E8764" w14:textId="77777777" w:rsidR="00F52393" w:rsidRPr="008A71AE" w:rsidRDefault="00F52393" w:rsidP="006C156D">
      <w:pPr>
        <w:jc w:val="both"/>
        <w:rPr>
          <w:u w:val="single"/>
        </w:rPr>
      </w:pPr>
    </w:p>
    <w:p w14:paraId="3621BDE3" w14:textId="5C760477" w:rsidR="006861AB" w:rsidRPr="008A71AE" w:rsidRDefault="008A71AE" w:rsidP="006C156D">
      <w:pPr>
        <w:pStyle w:val="Opstilling-talellerbogst"/>
        <w:numPr>
          <w:ilvl w:val="2"/>
          <w:numId w:val="6"/>
        </w:numPr>
        <w:jc w:val="both"/>
        <w:rPr>
          <w:u w:val="single"/>
        </w:rPr>
      </w:pPr>
      <w:r w:rsidRPr="008A71AE">
        <w:rPr>
          <w:u w:val="single"/>
        </w:rPr>
        <w:t>Høring med mulighed for at afgive kommentarer og stille spørgsmål (</w:t>
      </w:r>
      <w:r w:rsidR="006861AB" w:rsidRPr="008A71AE">
        <w:rPr>
          <w:u w:val="single"/>
        </w:rPr>
        <w:t>§ 60, stk. 3</w:t>
      </w:r>
      <w:r w:rsidRPr="008A71AE">
        <w:rPr>
          <w:u w:val="single"/>
        </w:rPr>
        <w:t>)</w:t>
      </w:r>
    </w:p>
    <w:p w14:paraId="4DDBD608" w14:textId="463F8B56" w:rsidR="00F605D6" w:rsidRDefault="00F605D6" w:rsidP="006C156D">
      <w:pPr>
        <w:pStyle w:val="Opstilling-talellerbogst"/>
        <w:numPr>
          <w:ilvl w:val="0"/>
          <w:numId w:val="0"/>
        </w:numPr>
        <w:jc w:val="both"/>
      </w:pPr>
    </w:p>
    <w:p w14:paraId="79E3F9AE" w14:textId="6AEDE804" w:rsidR="008A71AE" w:rsidRDefault="008A71AE" w:rsidP="006C156D">
      <w:pPr>
        <w:jc w:val="both"/>
      </w:pPr>
      <w:r>
        <w:t>Bestemmelsen fastsætter de nærmere rammer for, hvornår kommunalbestyrelsen skal sikre, at de</w:t>
      </w:r>
      <w:r w:rsidR="00F00DB2">
        <w:t>n</w:t>
      </w:r>
      <w:r>
        <w:t xml:space="preserve"> relevante</w:t>
      </w:r>
      <w:r w:rsidR="00F00DB2">
        <w:t xml:space="preserve"> kreds</w:t>
      </w:r>
      <w:r>
        <w:t xml:space="preserve"> høres med henblik på at afgive kommentarer og stille spørgsmål. </w:t>
      </w:r>
    </w:p>
    <w:p w14:paraId="5E458A96" w14:textId="77777777" w:rsidR="00F00DB2" w:rsidRDefault="00F00DB2" w:rsidP="006C156D">
      <w:pPr>
        <w:jc w:val="both"/>
      </w:pPr>
    </w:p>
    <w:p w14:paraId="1D2EEB7C" w14:textId="64605263" w:rsidR="008A71AE" w:rsidRDefault="008A71AE" w:rsidP="006C156D">
      <w:pPr>
        <w:jc w:val="both"/>
      </w:pPr>
      <w:r>
        <w:t xml:space="preserve">Af bestemmelsen følger det, at berørte myndigheder skal inddrages, </w:t>
      </w:r>
      <w:r w:rsidRPr="008A71AE">
        <w:t>før kommunalbestyrelsen træffer en afgørelse efter § 4, stk. 4, nr. 3</w:t>
      </w:r>
      <w:r>
        <w:t xml:space="preserve">, dvs. afgørelse om miljøkonsekvensvurdering af ansøgninger omfattet af § 16 a, stk. 4 og § 16 b, i husdyrbrugloven. Se også § 4, stk. 14. </w:t>
      </w:r>
    </w:p>
    <w:p w14:paraId="3A411847" w14:textId="77777777" w:rsidR="008A71AE" w:rsidRDefault="008A71AE" w:rsidP="006C156D">
      <w:pPr>
        <w:jc w:val="both"/>
      </w:pPr>
    </w:p>
    <w:p w14:paraId="50E14AAC" w14:textId="12221D52" w:rsidR="00A03BF6" w:rsidRDefault="00F00DB2" w:rsidP="006C156D">
      <w:pPr>
        <w:jc w:val="both"/>
      </w:pPr>
      <w:r>
        <w:t>Kommunalbestyrelsen skal endvidere inddrage o</w:t>
      </w:r>
      <w:r w:rsidR="00A03BF6" w:rsidRPr="008A71AE">
        <w:t>ffentligheden, berørte myndigheder og berørte stater ved afgrænsningen af miljøkonsekvensrapportens indhold, og før myndigheden afgiver en udtalelse efter § 4, stk. 13.</w:t>
      </w:r>
    </w:p>
    <w:p w14:paraId="41CB9121" w14:textId="3B9B2A36" w:rsidR="00F00DB2" w:rsidRDefault="00F00DB2" w:rsidP="006C156D">
      <w:pPr>
        <w:jc w:val="both"/>
      </w:pPr>
    </w:p>
    <w:p w14:paraId="6DFA9A26" w14:textId="3302629C" w:rsidR="00A03BF6" w:rsidRDefault="00F00DB2" w:rsidP="006C156D">
      <w:pPr>
        <w:jc w:val="both"/>
      </w:pPr>
      <w:r>
        <w:t>Endelig skal offentligheden,</w:t>
      </w:r>
      <w:r w:rsidR="00A03BF6" w:rsidRPr="008A71AE">
        <w:t xml:space="preserve"> berørte myndigheder og berørte stater </w:t>
      </w:r>
      <w:r>
        <w:t xml:space="preserve">inddrages </w:t>
      </w:r>
      <w:r w:rsidR="00572D31">
        <w:t>i den</w:t>
      </w:r>
      <w:r w:rsidR="00A03BF6" w:rsidRPr="008A71AE">
        <w:t xml:space="preserve"> ansøgning og miljøkonsekvensrapport, som ansøger har fremlagt, jf. § 4, stk. 1-4, før der træffes afgørelser om godkendelser og tilladelser efter husdyrbruglovens §§ 16 a og 16 b.</w:t>
      </w:r>
    </w:p>
    <w:p w14:paraId="674744BF" w14:textId="7331F66D" w:rsidR="00F00DB2" w:rsidRDefault="00F00DB2" w:rsidP="006C156D">
      <w:pPr>
        <w:jc w:val="both"/>
      </w:pPr>
    </w:p>
    <w:p w14:paraId="5EC7B4B3" w14:textId="56352451" w:rsidR="00F00DB2" w:rsidRPr="008A71AE" w:rsidRDefault="00F00DB2" w:rsidP="006C156D">
      <w:pPr>
        <w:jc w:val="both"/>
      </w:pPr>
      <w:r>
        <w:t>Bestemmelsen medvirker til gennemførelse af VVM-direktivets artikel 6, stk. 1-4.</w:t>
      </w:r>
    </w:p>
    <w:p w14:paraId="5AD6F555" w14:textId="77777777" w:rsidR="00A03BF6" w:rsidRDefault="00A03BF6" w:rsidP="006C156D">
      <w:pPr>
        <w:jc w:val="both"/>
      </w:pPr>
    </w:p>
    <w:p w14:paraId="6F2F84B5" w14:textId="2CFA0CA3" w:rsidR="006861AB" w:rsidRPr="00163610" w:rsidRDefault="00163610" w:rsidP="006C156D">
      <w:pPr>
        <w:pStyle w:val="Opstilling-talellerbogst"/>
        <w:numPr>
          <w:ilvl w:val="2"/>
          <w:numId w:val="6"/>
        </w:numPr>
        <w:jc w:val="both"/>
        <w:rPr>
          <w:u w:val="single"/>
        </w:rPr>
      </w:pPr>
      <w:r w:rsidRPr="00163610">
        <w:rPr>
          <w:u w:val="single"/>
        </w:rPr>
        <w:t>Adgang til oplysninger i forbindelse med afgrænsningen af miljøkonsekvensrapportens indhold, og før myndigheden afgiver en udtalelse efter § 4, stk. 13 (</w:t>
      </w:r>
      <w:r w:rsidR="006861AB" w:rsidRPr="00163610">
        <w:rPr>
          <w:u w:val="single"/>
        </w:rPr>
        <w:t>§ 60, stk. 4</w:t>
      </w:r>
      <w:r w:rsidRPr="00163610">
        <w:rPr>
          <w:u w:val="single"/>
        </w:rPr>
        <w:t>)</w:t>
      </w:r>
    </w:p>
    <w:p w14:paraId="0FC387A2" w14:textId="77777777" w:rsidR="00163610" w:rsidRDefault="00163610" w:rsidP="006C156D">
      <w:pPr>
        <w:pStyle w:val="Opstilling-talellerbogst"/>
        <w:numPr>
          <w:ilvl w:val="0"/>
          <w:numId w:val="0"/>
        </w:numPr>
        <w:ind w:left="851"/>
        <w:jc w:val="both"/>
      </w:pPr>
    </w:p>
    <w:p w14:paraId="1137DA6D" w14:textId="7D8DB9FC" w:rsidR="00A03BF6" w:rsidRDefault="00F00DB2" w:rsidP="006C156D">
      <w:pPr>
        <w:jc w:val="both"/>
      </w:pPr>
      <w:r>
        <w:t>Bestemmelsen fastsætter, at kommunalbestyrelsen – i forbindelse med høring</w:t>
      </w:r>
      <w:r w:rsidR="00163610">
        <w:t xml:space="preserve"> af offentligheden, </w:t>
      </w:r>
      <w:r w:rsidR="00A03BF6">
        <w:t>berørte myndigheder og berørte stater</w:t>
      </w:r>
      <w:r w:rsidR="007C261D">
        <w:t xml:space="preserve"> om afgrænsning af miljøkonsekvensrapportens indhold, jf. § 60, stk. 3, nr. 2</w:t>
      </w:r>
      <w:r w:rsidR="00A03BF6">
        <w:t xml:space="preserve"> </w:t>
      </w:r>
      <w:r w:rsidR="00163610">
        <w:t>– skal sikre, at der gives adgang til a</w:t>
      </w:r>
      <w:r w:rsidR="00A03BF6">
        <w:t>nsøgning</w:t>
      </w:r>
      <w:r w:rsidR="00163610">
        <w:t>en og e</w:t>
      </w:r>
      <w:r w:rsidR="00A03BF6">
        <w:t>ventuelle supplerende oplysninger, herunder miljøoplysninger, rapporter mv.</w:t>
      </w:r>
    </w:p>
    <w:p w14:paraId="14AB58C9" w14:textId="03521DC4" w:rsidR="00163610" w:rsidRDefault="00163610" w:rsidP="006C156D">
      <w:pPr>
        <w:jc w:val="both"/>
      </w:pPr>
    </w:p>
    <w:p w14:paraId="004CA07A" w14:textId="49D2B984" w:rsidR="00163610" w:rsidRDefault="00163610" w:rsidP="006C156D">
      <w:pPr>
        <w:jc w:val="both"/>
      </w:pPr>
      <w:r>
        <w:t>Bestemmelsen medvirker til gennemførelse af VVM-direktivets artikel 6, stk. 1 og stk. 3-4.</w:t>
      </w:r>
    </w:p>
    <w:p w14:paraId="40E934C3" w14:textId="77777777" w:rsidR="00A03BF6" w:rsidRDefault="00A03BF6" w:rsidP="006C156D">
      <w:pPr>
        <w:jc w:val="both"/>
      </w:pPr>
    </w:p>
    <w:p w14:paraId="0A9AED46" w14:textId="22A28A1C" w:rsidR="006861AB" w:rsidRDefault="00163610" w:rsidP="006C156D">
      <w:pPr>
        <w:pStyle w:val="Opstilling-talellerbogst"/>
        <w:numPr>
          <w:ilvl w:val="2"/>
          <w:numId w:val="6"/>
        </w:numPr>
        <w:jc w:val="both"/>
      </w:pPr>
      <w:r w:rsidRPr="00163610">
        <w:rPr>
          <w:u w:val="single"/>
        </w:rPr>
        <w:t xml:space="preserve">Adgang til oplysninger i forbindelse med </w:t>
      </w:r>
      <w:r w:rsidR="00522C33">
        <w:rPr>
          <w:u w:val="single"/>
        </w:rPr>
        <w:t xml:space="preserve">høring over ansøgning og </w:t>
      </w:r>
      <w:r w:rsidRPr="00163610">
        <w:rPr>
          <w:u w:val="single"/>
        </w:rPr>
        <w:t>miljøkonsekvensrapportens indhold, og før myndigheden afgiver en udtalelse eft</w:t>
      </w:r>
      <w:r w:rsidRPr="00522C33">
        <w:t xml:space="preserve">er </w:t>
      </w:r>
      <w:r w:rsidR="006861AB" w:rsidRPr="00522C33">
        <w:t>§ 60, stk. 5</w:t>
      </w:r>
    </w:p>
    <w:p w14:paraId="445D4FA9" w14:textId="77777777" w:rsidR="00163610" w:rsidRDefault="00163610" w:rsidP="006C156D">
      <w:pPr>
        <w:jc w:val="both"/>
      </w:pPr>
    </w:p>
    <w:p w14:paraId="6D4D4B0C" w14:textId="3F73B16F" w:rsidR="00A03BF6" w:rsidRDefault="007C261D" w:rsidP="006C156D">
      <w:pPr>
        <w:jc w:val="both"/>
      </w:pPr>
      <w:r>
        <w:t xml:space="preserve">Bestemmelsen fastsætter, at kommunalbestyrelsen – i forbindelse med høring af offentligheden, berørte myndigheder og berørte stater </w:t>
      </w:r>
      <w:r w:rsidRPr="008A71AE">
        <w:t>over ansøgning og miljøkonsekvensrapport som ansøger har fremlagt, jf. § 4, stk. 1-4</w:t>
      </w:r>
      <w:r>
        <w:t xml:space="preserve">, jf. § 60, stk. 3, nr. 3 – skal sikre </w:t>
      </w:r>
      <w:r w:rsidR="00522C33">
        <w:t xml:space="preserve">adgang til </w:t>
      </w:r>
      <w:r w:rsidR="00F10AF7">
        <w:t>hhv.</w:t>
      </w:r>
      <w:r w:rsidR="00522C33">
        <w:t xml:space="preserve"> a</w:t>
      </w:r>
      <w:r w:rsidR="00A03BF6">
        <w:t xml:space="preserve">nsøgningen, </w:t>
      </w:r>
      <w:r w:rsidR="00522C33">
        <w:t>m</w:t>
      </w:r>
      <w:r w:rsidR="00A03BF6">
        <w:t>iljøkonse</w:t>
      </w:r>
      <w:r w:rsidR="00522C33">
        <w:t>kvensrapporten, e</w:t>
      </w:r>
      <w:r w:rsidR="00A03BF6">
        <w:t>ventuelle supplerende oplysninger, herunder miljøoplysninger, og rapporter mv.</w:t>
      </w:r>
      <w:r w:rsidR="00522C33">
        <w:t xml:space="preserve"> og u</w:t>
      </w:r>
      <w:r w:rsidR="00A03BF6">
        <w:t>dkast til afgørelse om tilladelse.</w:t>
      </w:r>
    </w:p>
    <w:p w14:paraId="33A59268" w14:textId="2A7372A9" w:rsidR="00522C33" w:rsidRDefault="00522C33" w:rsidP="006C156D">
      <w:pPr>
        <w:jc w:val="both"/>
      </w:pPr>
    </w:p>
    <w:p w14:paraId="7DBD68CF" w14:textId="6A614420" w:rsidR="00522C33" w:rsidRDefault="00522C33" w:rsidP="006C156D">
      <w:pPr>
        <w:jc w:val="both"/>
      </w:pPr>
      <w:r>
        <w:t xml:space="preserve">Bestemmelsen medvirker til gennemførelse af særligt VVM-direktivets artikel 6, stk. 4 </w:t>
      </w:r>
    </w:p>
    <w:p w14:paraId="0F6840E8" w14:textId="77777777" w:rsidR="00A03BF6" w:rsidRDefault="00A03BF6" w:rsidP="006C156D">
      <w:pPr>
        <w:jc w:val="both"/>
      </w:pPr>
    </w:p>
    <w:p w14:paraId="6E20C369" w14:textId="3C399C97" w:rsidR="006861AB" w:rsidRPr="00522C33" w:rsidRDefault="00522C33" w:rsidP="006C156D">
      <w:pPr>
        <w:pStyle w:val="Opstilling-talellerbogst"/>
        <w:numPr>
          <w:ilvl w:val="2"/>
          <w:numId w:val="6"/>
        </w:numPr>
        <w:jc w:val="both"/>
        <w:rPr>
          <w:u w:val="single"/>
        </w:rPr>
      </w:pPr>
      <w:r w:rsidRPr="00522C33">
        <w:rPr>
          <w:u w:val="single"/>
        </w:rPr>
        <w:t>Tidsfrister (</w:t>
      </w:r>
      <w:r w:rsidR="006861AB" w:rsidRPr="00522C33">
        <w:rPr>
          <w:u w:val="single"/>
        </w:rPr>
        <w:t>§ 60, stk. 6</w:t>
      </w:r>
      <w:r w:rsidRPr="00522C33">
        <w:rPr>
          <w:u w:val="single"/>
        </w:rPr>
        <w:t>)</w:t>
      </w:r>
    </w:p>
    <w:p w14:paraId="58ADAAB0" w14:textId="77777777" w:rsidR="00EB60DB" w:rsidRDefault="00EB60DB" w:rsidP="006C156D">
      <w:pPr>
        <w:jc w:val="both"/>
      </w:pPr>
    </w:p>
    <w:p w14:paraId="6C932BB2" w14:textId="31991454" w:rsidR="00522C33" w:rsidRDefault="00144F2C" w:rsidP="006C156D">
      <w:pPr>
        <w:jc w:val="both"/>
      </w:pPr>
      <w:r>
        <w:lastRenderedPageBreak/>
        <w:t xml:space="preserve">Bestemmelsen fastsætter rammerne for de tidsfrister, som kommunalbestyrelsen skal fastsætte for de enkelte led i offentlighedsprocessen. </w:t>
      </w:r>
    </w:p>
    <w:p w14:paraId="321B666F" w14:textId="1880F093" w:rsidR="00144F2C" w:rsidRDefault="00144F2C" w:rsidP="006C156D">
      <w:pPr>
        <w:jc w:val="both"/>
      </w:pPr>
    </w:p>
    <w:p w14:paraId="45C494DB" w14:textId="77777777" w:rsidR="00144F2C" w:rsidRDefault="00A03BF6" w:rsidP="006C156D">
      <w:pPr>
        <w:jc w:val="both"/>
      </w:pPr>
      <w:r w:rsidRPr="00A03BF6">
        <w:t>Kommunalbestyrelsen</w:t>
      </w:r>
      <w:r w:rsidR="00144F2C">
        <w:t xml:space="preserve"> skal fastsætte</w:t>
      </w:r>
      <w:r w:rsidRPr="00A03BF6">
        <w:t xml:space="preserve"> en passende tidsfrist for høring af de berørte myndigheder og berørte stater under hensyntagen til projektets art, kompleksitet, placering og dimensioner samt med henblik på at sikre effektiv deltagelse. </w:t>
      </w:r>
    </w:p>
    <w:p w14:paraId="6C622016" w14:textId="77777777" w:rsidR="00144F2C" w:rsidRDefault="00144F2C" w:rsidP="006C156D">
      <w:pPr>
        <w:jc w:val="both"/>
      </w:pPr>
    </w:p>
    <w:p w14:paraId="7DE6FF4C" w14:textId="33A68B43" w:rsidR="00A03BF6" w:rsidRDefault="00144F2C" w:rsidP="006C156D">
      <w:pPr>
        <w:jc w:val="both"/>
      </w:pPr>
      <w:r>
        <w:t xml:space="preserve">Fristen for høring over </w:t>
      </w:r>
      <w:r w:rsidRPr="008A71AE">
        <w:t>afgrænsningen af miljøkonsekvensrapportens indhold</w:t>
      </w:r>
      <w:r>
        <w:t xml:space="preserve"> kan mindst fastsættes til 14 dage. Fristen for høring over </w:t>
      </w:r>
      <w:r w:rsidRPr="00A03BF6">
        <w:t>miljøkonsekvensrapporten</w:t>
      </w:r>
      <w:r>
        <w:t xml:space="preserve"> kan mindst fastsættes til 30 dage. Kommunalbestyrelsen skal fastsætte tidsfristerne på baggrund af en konkret vurdering i hver enkelt sag. </w:t>
      </w:r>
    </w:p>
    <w:p w14:paraId="60E43EBA" w14:textId="544C1027" w:rsidR="00A70527" w:rsidRDefault="00A70527" w:rsidP="006C156D">
      <w:pPr>
        <w:jc w:val="both"/>
      </w:pPr>
    </w:p>
    <w:p w14:paraId="05149A70" w14:textId="1E0738DF" w:rsidR="00A70527" w:rsidRDefault="00A70527" w:rsidP="006C156D">
      <w:pPr>
        <w:jc w:val="both"/>
      </w:pPr>
      <w:r>
        <w:t xml:space="preserve">Bestemmelserne, som gennemfører VVM-direktivets artikel 6, stk. 6, erstatter husdyrbrugloven § 55, stk. 2. </w:t>
      </w:r>
      <w:r w:rsidR="00144F2C">
        <w:t>Bestemmelsen indebærer dermed ikke en ændring af retstilstanden.</w:t>
      </w:r>
    </w:p>
    <w:p w14:paraId="03043DE3" w14:textId="77777777" w:rsidR="00A03BF6" w:rsidRPr="007777CE" w:rsidRDefault="00A03BF6" w:rsidP="006C156D">
      <w:pPr>
        <w:jc w:val="both"/>
        <w:rPr>
          <w:b/>
        </w:rPr>
      </w:pPr>
    </w:p>
    <w:p w14:paraId="0CAC5512" w14:textId="745C3761" w:rsidR="006861AB" w:rsidRPr="007777CE" w:rsidRDefault="007777CE" w:rsidP="006C156D">
      <w:pPr>
        <w:pStyle w:val="Opstilling-talellerbogst"/>
        <w:numPr>
          <w:ilvl w:val="1"/>
          <w:numId w:val="6"/>
        </w:numPr>
        <w:jc w:val="both"/>
        <w:rPr>
          <w:b/>
        </w:rPr>
      </w:pPr>
      <w:r w:rsidRPr="007777CE">
        <w:rPr>
          <w:b/>
        </w:rPr>
        <w:t>Udkast til afgørelse (</w:t>
      </w:r>
      <w:r w:rsidR="006861AB" w:rsidRPr="007777CE">
        <w:rPr>
          <w:b/>
        </w:rPr>
        <w:t>§ 61, stk. 1</w:t>
      </w:r>
      <w:r w:rsidRPr="007777CE">
        <w:rPr>
          <w:b/>
        </w:rPr>
        <w:t>)</w:t>
      </w:r>
    </w:p>
    <w:p w14:paraId="5CE1F4F4" w14:textId="77777777" w:rsidR="007777CE" w:rsidRDefault="007777CE" w:rsidP="006C156D">
      <w:pPr>
        <w:jc w:val="both"/>
      </w:pPr>
    </w:p>
    <w:p w14:paraId="63BF1FE3" w14:textId="3C6A71F0" w:rsidR="006C156D" w:rsidRDefault="006C156D" w:rsidP="006C156D">
      <w:pPr>
        <w:jc w:val="both"/>
      </w:pPr>
      <w:r>
        <w:t xml:space="preserve">Som konsekvens af, at husdyrbruglovens § 55, stk. 4, foreslås ophævet, indsættes tilsvarende bestemmelse i bekendtgørelsens § 61, stk. 1. Bestemmelsen har til formål at videreføre den nuværende retsstilling. </w:t>
      </w:r>
    </w:p>
    <w:p w14:paraId="5AA1DCC0" w14:textId="4E80609B" w:rsidR="006C156D" w:rsidRDefault="006C156D" w:rsidP="006C156D">
      <w:pPr>
        <w:jc w:val="both"/>
      </w:pPr>
    </w:p>
    <w:p w14:paraId="1A5CF168" w14:textId="77777777" w:rsidR="006C156D" w:rsidRDefault="006C156D" w:rsidP="006C156D">
      <w:pPr>
        <w:jc w:val="both"/>
      </w:pPr>
      <w:r>
        <w:t>Bestemmelsen fastsætter, at k</w:t>
      </w:r>
      <w:r w:rsidR="001E7DEB">
        <w:t>ommunalbestyrelsen</w:t>
      </w:r>
      <w:r>
        <w:t xml:space="preserve"> skal fremsende</w:t>
      </w:r>
      <w:r w:rsidR="001E7DEB">
        <w:t xml:space="preserve"> udkast til afgørelse til dem, som har anmodet herom, med en frist på mindst 30 dage til at kommentere udkastet. </w:t>
      </w:r>
    </w:p>
    <w:p w14:paraId="67074B00" w14:textId="77777777" w:rsidR="006C156D" w:rsidRDefault="006C156D" w:rsidP="006C156D">
      <w:pPr>
        <w:jc w:val="both"/>
      </w:pPr>
    </w:p>
    <w:p w14:paraId="149DEB42" w14:textId="77777777" w:rsidR="006C156D" w:rsidRDefault="006C156D" w:rsidP="006C156D">
      <w:pPr>
        <w:jc w:val="both"/>
      </w:pPr>
      <w:r>
        <w:t>K</w:t>
      </w:r>
      <w:r w:rsidR="001E7DEB">
        <w:t xml:space="preserve">ommunalbestyrelsen fremsender herudover udkast til afgørelse eller en orientering om udkastet til afgørelse til naboer og andre berørte med oplysning om fristen på mindst 30 dage til at kommentere udkastet. </w:t>
      </w:r>
      <w:r>
        <w:t>Det skal fremgå af</w:t>
      </w:r>
      <w:r w:rsidR="001E7DEB">
        <w:t xml:space="preserve"> orientering</w:t>
      </w:r>
      <w:r>
        <w:t>en</w:t>
      </w:r>
      <w:r w:rsidR="001E7DEB">
        <w:t xml:space="preserve">, hvordan det samlede udkast til afgørelse kan rekvireres. </w:t>
      </w:r>
    </w:p>
    <w:p w14:paraId="3A201494" w14:textId="77777777" w:rsidR="006C156D" w:rsidRDefault="006C156D" w:rsidP="006C156D">
      <w:pPr>
        <w:jc w:val="both"/>
      </w:pPr>
    </w:p>
    <w:p w14:paraId="089C1251" w14:textId="546AD261" w:rsidR="001E7DEB" w:rsidRDefault="006C156D" w:rsidP="006C156D">
      <w:pPr>
        <w:jc w:val="both"/>
      </w:pPr>
      <w:r>
        <w:t>Kommunalbestyrelsen skal s</w:t>
      </w:r>
      <w:r w:rsidR="001E7DEB">
        <w:t>amtidig med</w:t>
      </w:r>
      <w:r>
        <w:t xml:space="preserve"> ovennævnte fremsendelser</w:t>
      </w:r>
      <w:r w:rsidR="001E7DEB">
        <w:t xml:space="preserve"> informere om supplerende oplysninger til ansøgningen og andre oplysninger af relevans for afgørelsen, der er modtaget efter den indledende offentlige annoncering. </w:t>
      </w:r>
    </w:p>
    <w:p w14:paraId="1C50B2C3" w14:textId="77777777" w:rsidR="001E7DEB" w:rsidRDefault="001E7DEB" w:rsidP="006C156D">
      <w:pPr>
        <w:pStyle w:val="Opstilling-talellerbogst"/>
        <w:numPr>
          <w:ilvl w:val="0"/>
          <w:numId w:val="0"/>
        </w:numPr>
        <w:jc w:val="both"/>
      </w:pPr>
    </w:p>
    <w:p w14:paraId="7DB91D93" w14:textId="7E9E9F72" w:rsidR="006861AB" w:rsidRPr="007777CE" w:rsidRDefault="007777CE" w:rsidP="006C156D">
      <w:pPr>
        <w:pStyle w:val="Opstilling-talellerbogst"/>
        <w:numPr>
          <w:ilvl w:val="1"/>
          <w:numId w:val="6"/>
        </w:numPr>
        <w:jc w:val="both"/>
        <w:rPr>
          <w:b/>
        </w:rPr>
      </w:pPr>
      <w:r w:rsidRPr="007777CE">
        <w:rPr>
          <w:b/>
        </w:rPr>
        <w:t>Annoncering af afgørelse (</w:t>
      </w:r>
      <w:r w:rsidR="006861AB" w:rsidRPr="007777CE">
        <w:rPr>
          <w:b/>
        </w:rPr>
        <w:t>§ 61, stk. 2</w:t>
      </w:r>
      <w:r w:rsidRPr="007777CE">
        <w:rPr>
          <w:b/>
        </w:rPr>
        <w:t>)</w:t>
      </w:r>
    </w:p>
    <w:p w14:paraId="4E26492B" w14:textId="77777777" w:rsidR="007777CE" w:rsidRDefault="007777CE" w:rsidP="006C156D">
      <w:pPr>
        <w:jc w:val="both"/>
      </w:pPr>
    </w:p>
    <w:p w14:paraId="090E4C90" w14:textId="585B6167" w:rsidR="006C156D" w:rsidRDefault="006C156D" w:rsidP="006C156D">
      <w:pPr>
        <w:jc w:val="both"/>
      </w:pPr>
      <w:r>
        <w:t>Som konsekvens af at husdyrbruglovens § 55, stk. 5, foreslås ophævet</w:t>
      </w:r>
      <w:r w:rsidR="00F52C87">
        <w:t xml:space="preserve">, indsættes tilsvarende bestemmelse i bekendtgørelsens § 61, stk. 2, med det formål at videreføre den gældende retsstilling og sikre gennemførelse af VVM-direktivets artikel 9, stk. 2. </w:t>
      </w:r>
    </w:p>
    <w:p w14:paraId="00985261" w14:textId="77777777" w:rsidR="00F52C87" w:rsidRDefault="00F52C87" w:rsidP="006C156D">
      <w:pPr>
        <w:jc w:val="both"/>
      </w:pPr>
    </w:p>
    <w:p w14:paraId="0011914B" w14:textId="77777777" w:rsidR="00F52C87" w:rsidRDefault="00F52C87" w:rsidP="006C156D">
      <w:pPr>
        <w:jc w:val="both"/>
      </w:pPr>
      <w:r>
        <w:t>Af bestemmelsen følger det, at k</w:t>
      </w:r>
      <w:r w:rsidR="001E7DEB" w:rsidRPr="001E7DEB">
        <w:t xml:space="preserve">ommunalbestyrelsen </w:t>
      </w:r>
      <w:r>
        <w:t>straks skal foretage</w:t>
      </w:r>
      <w:r w:rsidR="001E7DEB" w:rsidRPr="001E7DEB">
        <w:t xml:space="preserve"> offentlig annoncering, jf. § 64, når den har truffet afgørelse om at give eller nægte godkendelse eller tilladelse i sager omfattet af § 4, stk. 4. </w:t>
      </w:r>
    </w:p>
    <w:p w14:paraId="28AA29C1" w14:textId="77777777" w:rsidR="00F52C87" w:rsidRDefault="00F52C87" w:rsidP="006C156D">
      <w:pPr>
        <w:jc w:val="both"/>
      </w:pPr>
    </w:p>
    <w:p w14:paraId="24C9EE9A" w14:textId="44B4825C" w:rsidR="001E7DEB" w:rsidRDefault="001E7DEB" w:rsidP="006C156D">
      <w:pPr>
        <w:jc w:val="both"/>
      </w:pPr>
      <w:r w:rsidRPr="001E7DEB">
        <w:t xml:space="preserve">Kommunalbestyrelsen </w:t>
      </w:r>
      <w:r w:rsidR="00F52C87">
        <w:t xml:space="preserve">skal endvidere </w:t>
      </w:r>
      <w:r w:rsidRPr="001E7DEB">
        <w:t>sikre, at indholdet af afgørelsen og de vigtigste begrundelser og overvejelser, der ligger til grund for afgørelsen, herunder om proceduren for offentlig deltagelse, jf. §§ 62-63, er tilgængelige for offentligheden og berørte myndigheder. Kommunalbestyrelsen skal i den forbindelse også informere om, hvor og hvordan afgørelsen og relevante oplysninger stilles til rådighed.</w:t>
      </w:r>
    </w:p>
    <w:p w14:paraId="75D64D45" w14:textId="77777777" w:rsidR="008B0901" w:rsidRDefault="008B0901" w:rsidP="006C156D">
      <w:pPr>
        <w:pStyle w:val="Opstilling-talellerbogst"/>
        <w:numPr>
          <w:ilvl w:val="0"/>
          <w:numId w:val="0"/>
        </w:numPr>
        <w:ind w:left="680"/>
        <w:jc w:val="both"/>
      </w:pPr>
    </w:p>
    <w:p w14:paraId="0AA50351" w14:textId="174B438A" w:rsidR="006861AB" w:rsidRPr="005D7B50" w:rsidRDefault="005D7B50" w:rsidP="006C156D">
      <w:pPr>
        <w:pStyle w:val="Opstilling-talellerbogst"/>
        <w:numPr>
          <w:ilvl w:val="1"/>
          <w:numId w:val="6"/>
        </w:numPr>
        <w:jc w:val="both"/>
        <w:rPr>
          <w:b/>
        </w:rPr>
      </w:pPr>
      <w:r w:rsidRPr="005D7B50">
        <w:rPr>
          <w:b/>
        </w:rPr>
        <w:t>Kommunalbestyrelsens vurdering (</w:t>
      </w:r>
      <w:r w:rsidR="006861AB" w:rsidRPr="005D7B50">
        <w:rPr>
          <w:b/>
        </w:rPr>
        <w:t>§ 62</w:t>
      </w:r>
      <w:r w:rsidRPr="005D7B50">
        <w:rPr>
          <w:b/>
        </w:rPr>
        <w:t>)</w:t>
      </w:r>
    </w:p>
    <w:p w14:paraId="5A3F984F" w14:textId="77777777" w:rsidR="00716D1E" w:rsidRDefault="00716D1E" w:rsidP="006C156D">
      <w:pPr>
        <w:jc w:val="both"/>
      </w:pPr>
    </w:p>
    <w:p w14:paraId="0EDC1D61" w14:textId="2BB8591E" w:rsidR="00E6258B" w:rsidRDefault="00C6799C" w:rsidP="006C156D">
      <w:pPr>
        <w:jc w:val="both"/>
      </w:pPr>
      <w:r>
        <w:t xml:space="preserve">Bestemmelsen, der gennemfører VVM-direktivets artikel 8, </w:t>
      </w:r>
      <w:r w:rsidR="00E6258B">
        <w:t>foreskriver, at k</w:t>
      </w:r>
      <w:r w:rsidR="00E6258B" w:rsidRPr="00E6258B">
        <w:t>ommunalbestyrelsen i afgørelser om godkendelse efter §</w:t>
      </w:r>
      <w:r w:rsidR="005D7B50">
        <w:t>§</w:t>
      </w:r>
      <w:r w:rsidR="00E6258B" w:rsidRPr="00E6258B">
        <w:t xml:space="preserve"> 16 a</w:t>
      </w:r>
      <w:r w:rsidR="005D7B50">
        <w:t xml:space="preserve"> og 16 b</w:t>
      </w:r>
      <w:r w:rsidR="00E6258B" w:rsidRPr="00E6258B">
        <w:t xml:space="preserve"> i husdyrbrugloven, som er omfattet af 4, stk. 4, </w:t>
      </w:r>
      <w:r w:rsidR="005D7B50">
        <w:t xml:space="preserve">skal </w:t>
      </w:r>
      <w:r w:rsidR="00E6258B" w:rsidRPr="00E6258B">
        <w:t xml:space="preserve">tage </w:t>
      </w:r>
      <w:r w:rsidR="00E6258B" w:rsidRPr="00E6258B">
        <w:lastRenderedPageBreak/>
        <w:t>behørigt hensyn til ansøgningen og miljøkonsekvensrapporten, eventuelle supplerende oplysninger og resultaterne af foreløbig kontrol eller vurderinger af indvirkningen på miljøet, der er foretaget i medfør af EU-lovgivningen samt resultaterne af de høringer, der er foretaget, jf. §§ 60 og 65.</w:t>
      </w:r>
    </w:p>
    <w:p w14:paraId="02A6AE0D" w14:textId="0B1CD7E3" w:rsidR="00E6258B" w:rsidRDefault="00E6258B" w:rsidP="006C156D">
      <w:pPr>
        <w:jc w:val="both"/>
      </w:pPr>
    </w:p>
    <w:p w14:paraId="5049308F" w14:textId="24E6B458" w:rsidR="00E6258B" w:rsidRDefault="00E6258B" w:rsidP="006C156D">
      <w:pPr>
        <w:pStyle w:val="Opstilling-talellerbogst"/>
        <w:numPr>
          <w:ilvl w:val="0"/>
          <w:numId w:val="0"/>
        </w:numPr>
        <w:jc w:val="both"/>
      </w:pPr>
      <w:r>
        <w:t>Der er alene foretaget enkelte præcisering</w:t>
      </w:r>
      <w:r w:rsidR="00716D1E">
        <w:t>er</w:t>
      </w:r>
      <w:r>
        <w:t xml:space="preserve"> </w:t>
      </w:r>
      <w:r w:rsidR="005D7B50">
        <w:t xml:space="preserve">af bestemmelsen </w:t>
      </w:r>
      <w:r>
        <w:t xml:space="preserve">med henblik på at gennemføre en tekstnær implementering af VVM-direktivets artikel 8. Derudover er der foretaget konsekvensrettelser som følger af, at husdyrbruglovens § 55, stk. 2-5, foreslås ophævet med </w:t>
      </w:r>
      <w:r w:rsidR="00130B2D">
        <w:t xml:space="preserve">det </w:t>
      </w:r>
      <w:r>
        <w:t>lovforslag</w:t>
      </w:r>
      <w:r w:rsidR="00130B2D">
        <w:t xml:space="preserve"> om ændring af miljøvurderingsloven og husdyrbrugloven,</w:t>
      </w:r>
      <w:r w:rsidR="00130B2D" w:rsidRPr="00130B2D">
        <w:t xml:space="preserve"> </w:t>
      </w:r>
      <w:r w:rsidR="00130B2D">
        <w:t>som forventes fremsat i Folketingets åbningsuge</w:t>
      </w:r>
      <w:r w:rsidRPr="00130B2D">
        <w:t>.</w:t>
      </w:r>
      <w:r>
        <w:t xml:space="preserve"> </w:t>
      </w:r>
    </w:p>
    <w:p w14:paraId="235E5DDC" w14:textId="77777777" w:rsidR="00E6258B" w:rsidRDefault="00E6258B" w:rsidP="006C156D">
      <w:pPr>
        <w:jc w:val="both"/>
      </w:pPr>
    </w:p>
    <w:p w14:paraId="7523DCF1" w14:textId="7C65F910" w:rsidR="006861AB" w:rsidRPr="00E4373D" w:rsidRDefault="00E4373D" w:rsidP="006C156D">
      <w:pPr>
        <w:pStyle w:val="Opstilling-talellerbogst"/>
        <w:numPr>
          <w:ilvl w:val="1"/>
          <w:numId w:val="6"/>
        </w:numPr>
        <w:jc w:val="both"/>
        <w:rPr>
          <w:b/>
        </w:rPr>
      </w:pPr>
      <w:r w:rsidRPr="00E4373D">
        <w:rPr>
          <w:b/>
        </w:rPr>
        <w:t>Begrundelse – afgørelse om godkendelse eller tilladelse (</w:t>
      </w:r>
      <w:r w:rsidR="006861AB" w:rsidRPr="00E4373D">
        <w:rPr>
          <w:b/>
        </w:rPr>
        <w:t>§ 63, stk. 1</w:t>
      </w:r>
      <w:r w:rsidRPr="00E4373D">
        <w:rPr>
          <w:b/>
        </w:rPr>
        <w:t>)</w:t>
      </w:r>
    </w:p>
    <w:p w14:paraId="2A646000" w14:textId="693F0F4B" w:rsidR="0047039F" w:rsidRDefault="00E4373D" w:rsidP="006C156D">
      <w:pPr>
        <w:spacing w:before="200" w:line="240" w:lineRule="auto"/>
        <w:jc w:val="both"/>
      </w:pPr>
      <w:r>
        <w:t>Bestemmelsen foreskriver, at kommunalbestyrelsens afgørelse om godkendelse eller tilladelse</w:t>
      </w:r>
      <w:r w:rsidR="0047039F">
        <w:t xml:space="preserve"> efter husdyrbruglovens §§ 16 a og b, som er omfattet af § 4, stk. 4, skal indeholde en begrundet konklusion, de miljømæssige betingelser, der er knyttet til afgørelse, en beskrivelse af alle projektets </w:t>
      </w:r>
      <w:r w:rsidR="001B70B9" w:rsidRPr="001B70B9">
        <w:t>særkender</w:t>
      </w:r>
      <w:r w:rsidR="0047039F">
        <w:t>, e</w:t>
      </w:r>
      <w:r w:rsidR="001B70B9" w:rsidRPr="001B70B9">
        <w:t>n beskrivelse af den gennemførte offentlighedsprocedure og de fremkomne synspunkter</w:t>
      </w:r>
      <w:r w:rsidR="0047039F">
        <w:t>, k</w:t>
      </w:r>
      <w:r w:rsidR="001B70B9" w:rsidRPr="001B70B9">
        <w:t>ommunalbest</w:t>
      </w:r>
      <w:r w:rsidR="0047039F">
        <w:t>yrelsens overvejelser samt e</w:t>
      </w:r>
      <w:r w:rsidR="001B70B9" w:rsidRPr="001B70B9">
        <w:t xml:space="preserve">ventuelle foranstaltninger, der påtænkes truffet for at undgå, forebygge eller begrænse og om muligt neutralisere væsentlige skadelige indvirkninger på miljøet. </w:t>
      </w:r>
    </w:p>
    <w:p w14:paraId="42D3B041" w14:textId="09A47FDC" w:rsidR="0047039F" w:rsidRDefault="0047039F" w:rsidP="006C156D">
      <w:pPr>
        <w:spacing w:before="200" w:line="240" w:lineRule="auto"/>
        <w:jc w:val="both"/>
      </w:pPr>
      <w:r>
        <w:t>Bestemmelsen, som har til formål at gennemføre VVM-direktivets artikel 8 a, stk. 1, viderefører den nugældende bestemmelse. Retstilstanden ændres</w:t>
      </w:r>
      <w:r w:rsidR="00EE7E5A">
        <w:t xml:space="preserve"> dermed ikke, herunder fordi kravet om begrundelse følger af de nationale forvaltningsretlige regler. </w:t>
      </w:r>
    </w:p>
    <w:p w14:paraId="33F3F386" w14:textId="0503C567" w:rsidR="0047039F" w:rsidRDefault="0047039F" w:rsidP="006C156D">
      <w:pPr>
        <w:spacing w:before="200" w:line="240" w:lineRule="auto"/>
        <w:jc w:val="both"/>
      </w:pPr>
      <w:r>
        <w:t xml:space="preserve">Bestemmelsen er dog omskrevet med henblik på at </w:t>
      </w:r>
      <w:r w:rsidR="000C3511">
        <w:t xml:space="preserve">gøre bestemmelsen og forpligtelsen mere overskuelig og for at </w:t>
      </w:r>
      <w:r>
        <w:t>s</w:t>
      </w:r>
      <w:r w:rsidR="00856FBE">
        <w:t>ikre</w:t>
      </w:r>
      <w:r w:rsidR="000C3511">
        <w:t xml:space="preserve"> en</w:t>
      </w:r>
      <w:r w:rsidR="00856FBE">
        <w:t xml:space="preserve"> direktivnær implementering</w:t>
      </w:r>
      <w:r w:rsidR="00D44A90">
        <w:t xml:space="preserve">. </w:t>
      </w:r>
    </w:p>
    <w:p w14:paraId="0EC29B8F" w14:textId="77777777" w:rsidR="001B70B9" w:rsidRDefault="001B70B9" w:rsidP="006C156D">
      <w:pPr>
        <w:jc w:val="both"/>
      </w:pPr>
    </w:p>
    <w:p w14:paraId="32DF6891" w14:textId="30B6344E" w:rsidR="006861AB" w:rsidRPr="00EE7E5A" w:rsidRDefault="00EE7E5A" w:rsidP="006C156D">
      <w:pPr>
        <w:pStyle w:val="Opstilling-talellerbogst"/>
        <w:numPr>
          <w:ilvl w:val="1"/>
          <w:numId w:val="6"/>
        </w:numPr>
        <w:jc w:val="both"/>
        <w:rPr>
          <w:b/>
        </w:rPr>
      </w:pPr>
      <w:r w:rsidRPr="00E4373D">
        <w:rPr>
          <w:b/>
        </w:rPr>
        <w:t xml:space="preserve">Begrundelse – </w:t>
      </w:r>
      <w:r>
        <w:rPr>
          <w:b/>
        </w:rPr>
        <w:t xml:space="preserve">afslag på </w:t>
      </w:r>
      <w:r w:rsidRPr="00E4373D">
        <w:rPr>
          <w:b/>
        </w:rPr>
        <w:t>godkendelse eller tilladelse (</w:t>
      </w:r>
      <w:r>
        <w:rPr>
          <w:b/>
        </w:rPr>
        <w:t>§ 63, stk. 2</w:t>
      </w:r>
      <w:r w:rsidRPr="00E4373D">
        <w:rPr>
          <w:b/>
        </w:rPr>
        <w:t>)</w:t>
      </w:r>
    </w:p>
    <w:p w14:paraId="07B6FFCF" w14:textId="77777777" w:rsidR="00EE7E5A" w:rsidRDefault="00EE7E5A" w:rsidP="006C156D">
      <w:pPr>
        <w:jc w:val="both"/>
      </w:pPr>
    </w:p>
    <w:p w14:paraId="171A28B5" w14:textId="5F877835" w:rsidR="00EE7E5A" w:rsidRDefault="008D1C31" w:rsidP="006C156D">
      <w:pPr>
        <w:jc w:val="both"/>
      </w:pPr>
      <w:r>
        <w:t>Med henblik på at sikre direktivnær implementering af VVM-direktivets artikel 8 a, stk. 2, indsættes udtrykkelig bestemmelse om, at afslag på godkendelse eller tilladelse efter husdyrbruglovens §§ 16 a og b, skal indeholde en begrundelse.</w:t>
      </w:r>
    </w:p>
    <w:p w14:paraId="421A12F6" w14:textId="40179532" w:rsidR="008D1C31" w:rsidRDefault="008D1C31" w:rsidP="006C156D">
      <w:pPr>
        <w:jc w:val="both"/>
      </w:pPr>
    </w:p>
    <w:p w14:paraId="63C379FA" w14:textId="6F2227AB" w:rsidR="008D1C31" w:rsidRDefault="008D1C31" w:rsidP="006C156D">
      <w:pPr>
        <w:jc w:val="both"/>
      </w:pPr>
      <w:r>
        <w:t xml:space="preserve">Bestemmelsen ændrer ikke på den nugældende retstilstand. Bestemmelsen skal endvidere fortolkes i overensstemmelse med de gældende forvaltningsretlige regler om begrundelse. </w:t>
      </w:r>
    </w:p>
    <w:p w14:paraId="631A9B91" w14:textId="77777777" w:rsidR="001B70B9" w:rsidRDefault="001B70B9" w:rsidP="006C156D">
      <w:pPr>
        <w:jc w:val="both"/>
      </w:pPr>
    </w:p>
    <w:p w14:paraId="751B405C" w14:textId="5DFEB341" w:rsidR="006861AB" w:rsidRPr="003751AD" w:rsidRDefault="003751AD" w:rsidP="006C156D">
      <w:pPr>
        <w:pStyle w:val="Opstilling-talellerbogst"/>
        <w:numPr>
          <w:ilvl w:val="1"/>
          <w:numId w:val="6"/>
        </w:numPr>
        <w:jc w:val="both"/>
        <w:rPr>
          <w:b/>
        </w:rPr>
      </w:pPr>
      <w:r w:rsidRPr="003751AD">
        <w:rPr>
          <w:b/>
        </w:rPr>
        <w:t>Begrundelse – screeningsafgørelse – ansøgning omfattet af VVM-pligt (</w:t>
      </w:r>
      <w:r w:rsidR="006861AB" w:rsidRPr="003751AD">
        <w:rPr>
          <w:b/>
        </w:rPr>
        <w:t>§ 63, stk. 4</w:t>
      </w:r>
      <w:r w:rsidRPr="003751AD">
        <w:rPr>
          <w:b/>
        </w:rPr>
        <w:t>)</w:t>
      </w:r>
    </w:p>
    <w:p w14:paraId="5932E176" w14:textId="09D0BC6B" w:rsidR="00F73DF1" w:rsidRDefault="00F73DF1" w:rsidP="006C156D">
      <w:pPr>
        <w:jc w:val="both"/>
      </w:pPr>
    </w:p>
    <w:p w14:paraId="69D8BA3F" w14:textId="701475D5" w:rsidR="001B70B9" w:rsidRDefault="00F73DF1" w:rsidP="006C156D">
      <w:pPr>
        <w:jc w:val="both"/>
      </w:pPr>
      <w:r>
        <w:t>Bestemmelsen</w:t>
      </w:r>
      <w:r w:rsidR="002B08B2">
        <w:t xml:space="preserve"> viderefører kravet om, at en afgørelse om, at en ansøgning er omfattet af VVM</w:t>
      </w:r>
      <w:r w:rsidR="00DA1950">
        <w:t>-pligt skal begrundes. Bestemmelsen, som</w:t>
      </w:r>
      <w:r>
        <w:t xml:space="preserve"> har til formål at gennemføre VVM-direktiv</w:t>
      </w:r>
      <w:r w:rsidR="00DA1950">
        <w:t xml:space="preserve">ets artikel 4, stk. 5, litra a, suppleres med en pligt for kommunalbestyrelsen til at inddrage og henvise til </w:t>
      </w:r>
      <w:r w:rsidR="00DA1950" w:rsidRPr="001B70B9">
        <w:t>de i bilag 1, pkt. D, opførte kriterier.</w:t>
      </w:r>
      <w:r w:rsidR="00DA1950">
        <w:t xml:space="preserve"> </w:t>
      </w:r>
    </w:p>
    <w:p w14:paraId="13B09C9A" w14:textId="5450EEDD" w:rsidR="00DA1950" w:rsidRDefault="00DA1950" w:rsidP="006C156D">
      <w:pPr>
        <w:jc w:val="both"/>
      </w:pPr>
    </w:p>
    <w:p w14:paraId="3FE874B8" w14:textId="00012F8E" w:rsidR="00DA1950" w:rsidRDefault="00DA1950" w:rsidP="006C156D">
      <w:pPr>
        <w:jc w:val="both"/>
      </w:pPr>
      <w:r>
        <w:t xml:space="preserve">Bestemmelsen ændrer ikke på den nuværende retstilstand. </w:t>
      </w:r>
    </w:p>
    <w:p w14:paraId="27D8F8C3" w14:textId="77777777" w:rsidR="00F73DF1" w:rsidRDefault="00F73DF1" w:rsidP="006C156D">
      <w:pPr>
        <w:jc w:val="both"/>
      </w:pPr>
    </w:p>
    <w:p w14:paraId="455D22F7" w14:textId="0E150310" w:rsidR="00F73DF1" w:rsidRPr="003751AD" w:rsidRDefault="003751AD" w:rsidP="006C156D">
      <w:pPr>
        <w:pStyle w:val="Opstilling-talellerbogst"/>
        <w:numPr>
          <w:ilvl w:val="1"/>
          <w:numId w:val="6"/>
        </w:numPr>
        <w:jc w:val="both"/>
        <w:rPr>
          <w:b/>
        </w:rPr>
      </w:pPr>
      <w:r w:rsidRPr="003751AD">
        <w:rPr>
          <w:b/>
        </w:rPr>
        <w:t>Begrundelse – screeningsafgørelse – ansøgning undtaget fra VVM-pligt (</w:t>
      </w:r>
      <w:r w:rsidR="00F73DF1" w:rsidRPr="003751AD">
        <w:rPr>
          <w:b/>
        </w:rPr>
        <w:t>§ 63, stk. 5</w:t>
      </w:r>
      <w:r w:rsidRPr="003751AD">
        <w:rPr>
          <w:b/>
        </w:rPr>
        <w:t>)</w:t>
      </w:r>
    </w:p>
    <w:p w14:paraId="53DA2BF7" w14:textId="77777777" w:rsidR="003751AD" w:rsidRDefault="003751AD" w:rsidP="006C156D">
      <w:pPr>
        <w:jc w:val="both"/>
      </w:pPr>
    </w:p>
    <w:p w14:paraId="3304D5E3" w14:textId="305CF1F0" w:rsidR="003751AD" w:rsidRDefault="003751AD" w:rsidP="006C156D">
      <w:pPr>
        <w:jc w:val="both"/>
      </w:pPr>
      <w:r>
        <w:t>Med henblik på at sikre en direktivnær implementering af VVM-direktivets artikel 4, stk. 5, litra b, indsættes udtrykkelig bestemmelse om, at kommunalbestyrelsen skal begrunde afgørelse om, at en ansøgning ikke er omfattet af VVM-pligt</w:t>
      </w:r>
      <w:r w:rsidR="002B08B2">
        <w:t>, jf. § 4, stk. 3, nr. 3</w:t>
      </w:r>
      <w:r>
        <w:t xml:space="preserve">. Kommunalbestyrelsen skal i den forbindelse </w:t>
      </w:r>
      <w:r w:rsidRPr="001B70B9">
        <w:t>anføre hovedårsagerne hertil, herunder under henvisning til de i bilag 1, pkt. D, opførte kriterier.</w:t>
      </w:r>
    </w:p>
    <w:p w14:paraId="025A3D66" w14:textId="0B64BF20" w:rsidR="003751AD" w:rsidRDefault="003751AD" w:rsidP="006C156D">
      <w:pPr>
        <w:jc w:val="both"/>
      </w:pPr>
      <w:r>
        <w:t xml:space="preserve"> </w:t>
      </w:r>
    </w:p>
    <w:p w14:paraId="5171A393" w14:textId="47C05D3C" w:rsidR="00F73DF1" w:rsidRDefault="003751AD" w:rsidP="006C156D">
      <w:pPr>
        <w:jc w:val="both"/>
      </w:pPr>
      <w:r>
        <w:lastRenderedPageBreak/>
        <w:t xml:space="preserve">Bestemmelsen ændrer ikke på den nuværende retstilstand, herunder fordi at krav om begrundelse allerede følger af de forvaltningsretlige regler. Det bemærkes i den forbindelse, at bestemmelsen i § 63, stk. 5, skal fortolkes i overensstemmelse med de forvaltningsretlige regler og principper. </w:t>
      </w:r>
    </w:p>
    <w:p w14:paraId="55E16813" w14:textId="77777777" w:rsidR="003751AD" w:rsidRDefault="003751AD" w:rsidP="006C156D">
      <w:pPr>
        <w:jc w:val="both"/>
      </w:pPr>
    </w:p>
    <w:p w14:paraId="50D2C209" w14:textId="1353AB21" w:rsidR="00DD31D3" w:rsidRPr="002D740F" w:rsidRDefault="002D740F" w:rsidP="006C156D">
      <w:pPr>
        <w:pStyle w:val="Opstilling-talellerbogst"/>
        <w:numPr>
          <w:ilvl w:val="1"/>
          <w:numId w:val="6"/>
        </w:numPr>
        <w:jc w:val="both"/>
        <w:rPr>
          <w:b/>
        </w:rPr>
      </w:pPr>
      <w:r>
        <w:rPr>
          <w:b/>
        </w:rPr>
        <w:t>Offentliggørelse af information til offentligheden (</w:t>
      </w:r>
      <w:r w:rsidR="00DD31D3" w:rsidRPr="002D740F">
        <w:rPr>
          <w:b/>
        </w:rPr>
        <w:t>§ 64, stk. 1, nr. 1</w:t>
      </w:r>
      <w:r>
        <w:rPr>
          <w:b/>
        </w:rPr>
        <w:t>)</w:t>
      </w:r>
    </w:p>
    <w:p w14:paraId="58A06BAA" w14:textId="77777777" w:rsidR="002D740F" w:rsidRDefault="002D740F" w:rsidP="006C156D">
      <w:pPr>
        <w:pStyle w:val="Opstilling-talellerbogst"/>
        <w:numPr>
          <w:ilvl w:val="0"/>
          <w:numId w:val="0"/>
        </w:numPr>
        <w:jc w:val="both"/>
      </w:pPr>
    </w:p>
    <w:p w14:paraId="3F800490" w14:textId="71452FC4" w:rsidR="00D210D8" w:rsidRDefault="00DD31D3" w:rsidP="006C156D">
      <w:pPr>
        <w:pStyle w:val="Opstilling-talellerbogst"/>
        <w:numPr>
          <w:ilvl w:val="0"/>
          <w:numId w:val="0"/>
        </w:numPr>
        <w:jc w:val="both"/>
      </w:pPr>
      <w:r>
        <w:t>Henvisning</w:t>
      </w:r>
      <w:r w:rsidR="00D210D8">
        <w:t>en i § 64, stk. 1, nr. 1,</w:t>
      </w:r>
      <w:r>
        <w:t xml:space="preserve"> til </w:t>
      </w:r>
      <w:r w:rsidR="002D740F">
        <w:t>lovens § 55, stk. 2, udgår</w:t>
      </w:r>
      <w:r w:rsidR="00D210D8">
        <w:t>. Det skyldes, at lovens § 55, stk. 2-5,</w:t>
      </w:r>
      <w:r w:rsidR="002D740F">
        <w:t xml:space="preserve"> foreslås ophævet med</w:t>
      </w:r>
      <w:r w:rsidR="00130B2D">
        <w:t xml:space="preserve"> det</w:t>
      </w:r>
      <w:r w:rsidR="002D740F">
        <w:t xml:space="preserve"> lovforslag </w:t>
      </w:r>
      <w:r w:rsidR="00130B2D">
        <w:t>om ændring af miljøvurderingsloven og husdyrbrugloven, som forventes fremsat i Folketingets åbningsuge.</w:t>
      </w:r>
    </w:p>
    <w:p w14:paraId="469A4B60" w14:textId="77777777" w:rsidR="00D210D8" w:rsidRDefault="00D210D8" w:rsidP="006C156D">
      <w:pPr>
        <w:pStyle w:val="Opstilling-talellerbogst"/>
        <w:numPr>
          <w:ilvl w:val="0"/>
          <w:numId w:val="0"/>
        </w:numPr>
        <w:jc w:val="both"/>
      </w:pPr>
    </w:p>
    <w:p w14:paraId="6E9F6606" w14:textId="04D225D1" w:rsidR="002D740F" w:rsidRDefault="00D210D8" w:rsidP="006C156D">
      <w:pPr>
        <w:pStyle w:val="Opstilling-talellerbogst"/>
        <w:numPr>
          <w:ilvl w:val="0"/>
          <w:numId w:val="0"/>
        </w:numPr>
        <w:jc w:val="both"/>
      </w:pPr>
      <w:r>
        <w:t xml:space="preserve">Bekendtgørelsesudkastets § 64, stk. 1, nr. 1, henviser derfor i stedet til </w:t>
      </w:r>
      <w:r w:rsidR="00CE7D5C">
        <w:t xml:space="preserve">§ 60, stk. 1 og 2 i, som gennemfører VVM-direktivets artikel 6, stk. 2, om inddragelse af offentligheden i en række oplysninger. </w:t>
      </w:r>
    </w:p>
    <w:p w14:paraId="20929F3C" w14:textId="638583B4" w:rsidR="002D740F" w:rsidRDefault="002D740F" w:rsidP="006C156D">
      <w:pPr>
        <w:pStyle w:val="Opstilling-talellerbogst"/>
        <w:numPr>
          <w:ilvl w:val="0"/>
          <w:numId w:val="0"/>
        </w:numPr>
        <w:jc w:val="both"/>
      </w:pPr>
    </w:p>
    <w:p w14:paraId="43C02984" w14:textId="61E423A4" w:rsidR="00DD31D3" w:rsidRDefault="002D740F" w:rsidP="006C156D">
      <w:pPr>
        <w:jc w:val="both"/>
      </w:pPr>
      <w:r>
        <w:t xml:space="preserve">§ 64, stk. 1, nr. 1, </w:t>
      </w:r>
      <w:r w:rsidR="00D210D8">
        <w:t xml:space="preserve">medvirker særligt til at </w:t>
      </w:r>
      <w:r>
        <w:t>g</w:t>
      </w:r>
      <w:r w:rsidR="00C64E5D">
        <w:t xml:space="preserve">ennemføre </w:t>
      </w:r>
      <w:r w:rsidR="00C6799C">
        <w:t>VVM-</w:t>
      </w:r>
      <w:r w:rsidR="00C64E5D">
        <w:t>direkti</w:t>
      </w:r>
      <w:r w:rsidR="00D210D8">
        <w:t>vets artikel 6, stk. 2 og 4,</w:t>
      </w:r>
      <w:r w:rsidR="00A03BF6">
        <w:t xml:space="preserve"> </w:t>
      </w:r>
      <w:r>
        <w:t>om offentliggørelse</w:t>
      </w:r>
      <w:r w:rsidR="00C64E5D">
        <w:t xml:space="preserve"> af information til offentligheden</w:t>
      </w:r>
      <w:r>
        <w:t>.</w:t>
      </w:r>
      <w:r w:rsidR="00DD31D3">
        <w:t xml:space="preserve"> </w:t>
      </w:r>
    </w:p>
    <w:p w14:paraId="1BBC6954" w14:textId="4784E634" w:rsidR="00DD31D3" w:rsidRDefault="00DD31D3" w:rsidP="006C156D">
      <w:pPr>
        <w:pStyle w:val="Opstilling-talellerbogst"/>
        <w:numPr>
          <w:ilvl w:val="0"/>
          <w:numId w:val="0"/>
        </w:numPr>
        <w:jc w:val="both"/>
      </w:pPr>
    </w:p>
    <w:p w14:paraId="7DE939A3" w14:textId="07A6217B" w:rsidR="00DD31D3" w:rsidRDefault="00CE7D5C" w:rsidP="006C156D">
      <w:pPr>
        <w:pStyle w:val="Opstilling-talellerbogst"/>
        <w:numPr>
          <w:ilvl w:val="1"/>
          <w:numId w:val="6"/>
        </w:numPr>
        <w:jc w:val="both"/>
        <w:rPr>
          <w:b/>
        </w:rPr>
      </w:pPr>
      <w:r>
        <w:rPr>
          <w:b/>
        </w:rPr>
        <w:t xml:space="preserve">Offentliggørelse af afgørelser </w:t>
      </w:r>
      <w:r w:rsidR="002E662E">
        <w:rPr>
          <w:b/>
        </w:rPr>
        <w:t xml:space="preserve">om godkendelse og tilladelse efter husdyrbruglovens §§ 16 a og 16 b </w:t>
      </w:r>
      <w:r>
        <w:rPr>
          <w:b/>
        </w:rPr>
        <w:t>(</w:t>
      </w:r>
      <w:r w:rsidR="002E662E">
        <w:rPr>
          <w:b/>
        </w:rPr>
        <w:t>§ 64, stk. 1, nr. 2 og 3</w:t>
      </w:r>
      <w:r>
        <w:rPr>
          <w:b/>
        </w:rPr>
        <w:t>)</w:t>
      </w:r>
    </w:p>
    <w:p w14:paraId="2E152F60" w14:textId="77777777" w:rsidR="002D740F" w:rsidRPr="002D740F" w:rsidRDefault="002D740F" w:rsidP="006C156D">
      <w:pPr>
        <w:pStyle w:val="Opstilling-talellerbogst"/>
        <w:numPr>
          <w:ilvl w:val="0"/>
          <w:numId w:val="0"/>
        </w:numPr>
        <w:ind w:left="680"/>
        <w:jc w:val="both"/>
        <w:rPr>
          <w:b/>
        </w:rPr>
      </w:pPr>
    </w:p>
    <w:p w14:paraId="4D84F4AD" w14:textId="2B1CEC77" w:rsidR="00D210D8" w:rsidRDefault="00CE7D5C" w:rsidP="006C156D">
      <w:pPr>
        <w:jc w:val="both"/>
      </w:pPr>
      <w:r>
        <w:t>Henvisning</w:t>
      </w:r>
      <w:r w:rsidR="00D210D8">
        <w:t xml:space="preserve"> i § 64, stk. 1, nr. 2-3,</w:t>
      </w:r>
      <w:r>
        <w:t xml:space="preserve"> til proceduren i lovens § 55, </w:t>
      </w:r>
      <w:r w:rsidR="00D210D8">
        <w:t xml:space="preserve">udgår. Det skyldes, at § 55, stk. 2-5, foreslås ophævet med </w:t>
      </w:r>
      <w:r w:rsidR="00130B2D">
        <w:t>det lovforslag om ændring af miljøvurderingsloven og husdyrbrugloven, som forventes fremsat i Folketingets åbningsuge</w:t>
      </w:r>
      <w:r w:rsidR="00D210D8">
        <w:t>.</w:t>
      </w:r>
    </w:p>
    <w:p w14:paraId="2E993417" w14:textId="77777777" w:rsidR="00D210D8" w:rsidRDefault="00D210D8" w:rsidP="006C156D">
      <w:pPr>
        <w:jc w:val="both"/>
      </w:pPr>
    </w:p>
    <w:p w14:paraId="2557985B" w14:textId="71B60D97" w:rsidR="002D740F" w:rsidRDefault="00D210D8" w:rsidP="006C156D">
      <w:pPr>
        <w:jc w:val="both"/>
      </w:pPr>
      <w:r>
        <w:t xml:space="preserve">Bekendtgørelsesudkastets § 64, stk. 1, nr. 2-3, </w:t>
      </w:r>
      <w:r w:rsidR="004148B6">
        <w:t xml:space="preserve">henviser derfor i stedet </w:t>
      </w:r>
      <w:r w:rsidR="002D740F">
        <w:t xml:space="preserve">til ansøgninger omfattet af bekendtgørelsens § 4, stk. 3, nr. 3, dvs. ansøgninger, der er omfattet af krav om miljøkonsekvensvurdering. </w:t>
      </w:r>
    </w:p>
    <w:p w14:paraId="431D52A2" w14:textId="77777777" w:rsidR="002D740F" w:rsidRDefault="002D740F" w:rsidP="006C156D">
      <w:pPr>
        <w:jc w:val="both"/>
      </w:pPr>
    </w:p>
    <w:p w14:paraId="601310E2" w14:textId="327AA0B2" w:rsidR="002D740F" w:rsidRDefault="002D740F" w:rsidP="006C156D">
      <w:pPr>
        <w:jc w:val="both"/>
      </w:pPr>
      <w:r>
        <w:t>§ 64, stk. 1, nr. 2</w:t>
      </w:r>
      <w:r w:rsidR="002E662E">
        <w:t xml:space="preserve"> og 3</w:t>
      </w:r>
      <w:r>
        <w:t xml:space="preserve">, medvirker til at gennemføre </w:t>
      </w:r>
      <w:r w:rsidR="00C6799C">
        <w:t>VVM-</w:t>
      </w:r>
      <w:r w:rsidR="006C156D" w:rsidRPr="006C156D">
        <w:t>direktivets artikel 9, stk. 1,</w:t>
      </w:r>
      <w:r>
        <w:t xml:space="preserve"> om offentliggørelse. </w:t>
      </w:r>
    </w:p>
    <w:p w14:paraId="655E3883" w14:textId="174F861E" w:rsidR="00DD31D3" w:rsidRDefault="00DD31D3" w:rsidP="006C156D">
      <w:pPr>
        <w:jc w:val="both"/>
      </w:pPr>
    </w:p>
    <w:p w14:paraId="7F504188" w14:textId="0F640AD6" w:rsidR="00CE7D5C" w:rsidRPr="00FA1D5F" w:rsidRDefault="00FA1D5F" w:rsidP="006C156D">
      <w:pPr>
        <w:pStyle w:val="Opstilling-talellerbogst"/>
        <w:numPr>
          <w:ilvl w:val="1"/>
          <w:numId w:val="6"/>
        </w:numPr>
        <w:jc w:val="both"/>
        <w:rPr>
          <w:b/>
        </w:rPr>
      </w:pPr>
      <w:r w:rsidRPr="00FA1D5F">
        <w:rPr>
          <w:b/>
        </w:rPr>
        <w:t>Offentliggørelse af screeningsafgørelse (</w:t>
      </w:r>
      <w:r w:rsidR="00CE7D5C" w:rsidRPr="00FA1D5F">
        <w:rPr>
          <w:b/>
        </w:rPr>
        <w:t>§ 64, stk. 1, nr. 4</w:t>
      </w:r>
      <w:r w:rsidRPr="00FA1D5F">
        <w:rPr>
          <w:b/>
        </w:rPr>
        <w:t>-5)</w:t>
      </w:r>
    </w:p>
    <w:p w14:paraId="6836E7E6" w14:textId="77777777" w:rsidR="00FA1D5F" w:rsidRDefault="00FA1D5F" w:rsidP="006C156D">
      <w:pPr>
        <w:pStyle w:val="Opstilling-talellerbogst"/>
        <w:numPr>
          <w:ilvl w:val="0"/>
          <w:numId w:val="0"/>
        </w:numPr>
        <w:jc w:val="both"/>
      </w:pPr>
    </w:p>
    <w:p w14:paraId="209AD7B8" w14:textId="39A6DEB6" w:rsidR="00FA1D5F" w:rsidRDefault="002E662E" w:rsidP="006C156D">
      <w:pPr>
        <w:pStyle w:val="Opstilling-talellerbogst"/>
        <w:numPr>
          <w:ilvl w:val="0"/>
          <w:numId w:val="0"/>
        </w:numPr>
        <w:jc w:val="both"/>
      </w:pPr>
      <w:r>
        <w:t xml:space="preserve">Med henblik på at gennemføre VVM-direktivets artikel </w:t>
      </w:r>
      <w:r w:rsidR="000B7DF2">
        <w:t xml:space="preserve">4, stk. </w:t>
      </w:r>
      <w:r>
        <w:t xml:space="preserve">5, 2. pkt., indsættes </w:t>
      </w:r>
      <w:r w:rsidR="00FA1D5F">
        <w:t xml:space="preserve">udtrykkelige </w:t>
      </w:r>
      <w:r>
        <w:t xml:space="preserve">bestemmelser om offentliggørelse af kommunalbestyrelsens </w:t>
      </w:r>
      <w:r w:rsidR="00FA1D5F">
        <w:t>screenings</w:t>
      </w:r>
      <w:r>
        <w:t>a</w:t>
      </w:r>
      <w:r w:rsidR="00CE7D5C" w:rsidRPr="00CE7D5C">
        <w:t>fgørelser</w:t>
      </w:r>
      <w:r w:rsidR="00FA1D5F">
        <w:t xml:space="preserve">, jf. § 4, stk. 3, nr. 3. </w:t>
      </w:r>
      <w:r>
        <w:t xml:space="preserve"> </w:t>
      </w:r>
    </w:p>
    <w:p w14:paraId="3ECDDEE8" w14:textId="429E5052" w:rsidR="00FA1D5F" w:rsidRDefault="00FA1D5F" w:rsidP="006C156D">
      <w:pPr>
        <w:pStyle w:val="Opstilling-talellerbogst"/>
        <w:numPr>
          <w:ilvl w:val="0"/>
          <w:numId w:val="0"/>
        </w:numPr>
        <w:jc w:val="both"/>
      </w:pPr>
    </w:p>
    <w:p w14:paraId="4E7C3068" w14:textId="71E1E33A" w:rsidR="00FA1D5F" w:rsidRDefault="00FA1D5F" w:rsidP="006C156D">
      <w:pPr>
        <w:pStyle w:val="Opstilling-talellerbogst"/>
        <w:numPr>
          <w:ilvl w:val="0"/>
          <w:numId w:val="0"/>
        </w:numPr>
        <w:jc w:val="both"/>
      </w:pPr>
      <w:r>
        <w:t>Det vurderes, at bestemmelsen ikke ændrer på den gældende retstilstand.</w:t>
      </w:r>
    </w:p>
    <w:p w14:paraId="67C72E04" w14:textId="77777777" w:rsidR="00131666" w:rsidRPr="00163610" w:rsidRDefault="00131666" w:rsidP="006C156D">
      <w:pPr>
        <w:pStyle w:val="Opstilling-talellerbogst"/>
        <w:numPr>
          <w:ilvl w:val="0"/>
          <w:numId w:val="0"/>
        </w:numPr>
        <w:jc w:val="both"/>
        <w:rPr>
          <w:b/>
        </w:rPr>
      </w:pPr>
    </w:p>
    <w:p w14:paraId="4785DF25" w14:textId="358ABCB5" w:rsidR="006861AB" w:rsidRPr="00163610" w:rsidRDefault="00026DB4" w:rsidP="006C156D">
      <w:pPr>
        <w:pStyle w:val="Opstilling-talellerbogst"/>
        <w:numPr>
          <w:ilvl w:val="1"/>
          <w:numId w:val="6"/>
        </w:numPr>
        <w:jc w:val="both"/>
        <w:rPr>
          <w:b/>
        </w:rPr>
      </w:pPr>
      <w:r w:rsidRPr="00163610">
        <w:rPr>
          <w:b/>
        </w:rPr>
        <w:t>Grænseoverskridende indvirkning på miljøet (§ 65)</w:t>
      </w:r>
    </w:p>
    <w:p w14:paraId="55892F56" w14:textId="77777777" w:rsidR="00026DB4" w:rsidRDefault="00026DB4" w:rsidP="006C156D">
      <w:pPr>
        <w:pStyle w:val="Opstilling-talellerbogst"/>
        <w:numPr>
          <w:ilvl w:val="0"/>
          <w:numId w:val="0"/>
        </w:numPr>
        <w:jc w:val="both"/>
      </w:pPr>
    </w:p>
    <w:p w14:paraId="267642F9" w14:textId="02B62D39" w:rsidR="00026DB4" w:rsidRDefault="00026DB4" w:rsidP="006C156D">
      <w:pPr>
        <w:pStyle w:val="Opstilling-talellerbogst"/>
        <w:numPr>
          <w:ilvl w:val="0"/>
          <w:numId w:val="0"/>
        </w:numPr>
        <w:jc w:val="both"/>
      </w:pPr>
      <w:r>
        <w:t xml:space="preserve">Den gældende bestemmelse om </w:t>
      </w:r>
      <w:r w:rsidR="00907B3B">
        <w:t>grænseoverskridende indvirkninger på miljøet</w:t>
      </w:r>
      <w:r w:rsidR="00C6799C">
        <w:t>, som gennemfører VVM-direktivets artikel 7</w:t>
      </w:r>
      <w:r w:rsidR="003B6713">
        <w:t xml:space="preserve"> og 9, stk. 2</w:t>
      </w:r>
      <w:r w:rsidR="00C6799C">
        <w:t>,</w:t>
      </w:r>
      <w:r w:rsidR="00907B3B">
        <w:t xml:space="preserve"> videreføres med bekendtgørelsesudkastet. Der foretages dog visse præciseringer og </w:t>
      </w:r>
      <w:proofErr w:type="spellStart"/>
      <w:r w:rsidR="00907B3B">
        <w:t>omformuleringer</w:t>
      </w:r>
      <w:proofErr w:type="spellEnd"/>
      <w:r w:rsidR="00907B3B">
        <w:t xml:space="preserve"> med henblik på at tydeliggøre reglens krav, forpligtelser og processer.</w:t>
      </w:r>
    </w:p>
    <w:p w14:paraId="0913FC4F" w14:textId="50CBDC6B" w:rsidR="00907B3B" w:rsidRDefault="00907B3B" w:rsidP="006C156D">
      <w:pPr>
        <w:pStyle w:val="Opstilling-talellerbogst"/>
        <w:numPr>
          <w:ilvl w:val="0"/>
          <w:numId w:val="0"/>
        </w:numPr>
        <w:jc w:val="both"/>
      </w:pPr>
    </w:p>
    <w:p w14:paraId="37D3CC17" w14:textId="0FA868D3" w:rsidR="00907B3B" w:rsidRDefault="00907B3B" w:rsidP="006C156D">
      <w:pPr>
        <w:pStyle w:val="Opstilling-talellerbogst"/>
        <w:numPr>
          <w:ilvl w:val="0"/>
          <w:numId w:val="0"/>
        </w:numPr>
        <w:jc w:val="both"/>
      </w:pPr>
      <w:r>
        <w:t>Derudover ændres ordlyden med henblik på at bringe bestemmelsen i overensstemmelse med det lovforslag om ændring af miljøvurderingsloven</w:t>
      </w:r>
      <w:r w:rsidR="00130B2D">
        <w:t>, som forventes fremsat i Folketingets åbningsuge</w:t>
      </w:r>
      <w:r>
        <w:t xml:space="preserve">. </w:t>
      </w:r>
    </w:p>
    <w:p w14:paraId="00D4F7FE" w14:textId="20D3B63D" w:rsidR="00907B3B" w:rsidRDefault="00907B3B" w:rsidP="006C156D">
      <w:pPr>
        <w:pStyle w:val="Opstilling-talellerbogst"/>
        <w:numPr>
          <w:ilvl w:val="0"/>
          <w:numId w:val="0"/>
        </w:numPr>
        <w:jc w:val="both"/>
      </w:pPr>
    </w:p>
    <w:p w14:paraId="7502F4F5" w14:textId="26875C27" w:rsidR="00907B3B" w:rsidRDefault="00907B3B" w:rsidP="006C156D">
      <w:pPr>
        <w:pStyle w:val="Opstilling-talellerbogst"/>
        <w:numPr>
          <w:ilvl w:val="0"/>
          <w:numId w:val="0"/>
        </w:numPr>
        <w:jc w:val="both"/>
      </w:pPr>
      <w:r>
        <w:t>Der foretages således ingen ændringer af den gældende retstilstand.</w:t>
      </w:r>
    </w:p>
    <w:p w14:paraId="28A841E9" w14:textId="77777777" w:rsidR="006861AB" w:rsidRPr="00907B3B" w:rsidRDefault="006861AB" w:rsidP="006C156D">
      <w:pPr>
        <w:pStyle w:val="Opstilling-talellerbogst"/>
        <w:numPr>
          <w:ilvl w:val="0"/>
          <w:numId w:val="0"/>
        </w:numPr>
        <w:ind w:left="680"/>
        <w:jc w:val="both"/>
        <w:rPr>
          <w:b/>
        </w:rPr>
      </w:pPr>
    </w:p>
    <w:p w14:paraId="51454655" w14:textId="7B504DE5" w:rsidR="006861AB" w:rsidRPr="00907B3B" w:rsidRDefault="006861AB" w:rsidP="006C156D">
      <w:pPr>
        <w:pStyle w:val="Opstilling-talellerbogst"/>
        <w:jc w:val="both"/>
        <w:rPr>
          <w:b/>
        </w:rPr>
      </w:pPr>
      <w:r w:rsidRPr="00907B3B">
        <w:rPr>
          <w:b/>
        </w:rPr>
        <w:t>Præcisering af § 50 om indberetning af oplysninger til kommunalbestyrelsen</w:t>
      </w:r>
    </w:p>
    <w:p w14:paraId="0005FA8D" w14:textId="321607ED" w:rsidR="0009475D" w:rsidRDefault="0009475D" w:rsidP="006C156D">
      <w:pPr>
        <w:jc w:val="both"/>
      </w:pPr>
    </w:p>
    <w:p w14:paraId="2EA8C261" w14:textId="77777777" w:rsidR="00412FDC" w:rsidRDefault="00907B3B" w:rsidP="00412FDC">
      <w:pPr>
        <w:jc w:val="both"/>
      </w:pPr>
      <w:r>
        <w:lastRenderedPageBreak/>
        <w:t>Miljø- og Fødevareministeriets departement afholdt sammen med Miljøstyrelsen en workshop</w:t>
      </w:r>
      <w:r w:rsidR="00412FDC">
        <w:t xml:space="preserve"> den 27. februar 2020</w:t>
      </w:r>
      <w:r>
        <w:t xml:space="preserve"> med deltagelse af </w:t>
      </w:r>
      <w:r w:rsidR="00412FDC">
        <w:t>repræsentanter fra en række landbrugs</w:t>
      </w:r>
      <w:r>
        <w:t>kommuner. Formålet var at drøfte den seneste ændring af husdyrgodkendelsesbekendtgørelsen</w:t>
      </w:r>
      <w:r w:rsidR="00412FDC">
        <w:t xml:space="preserve">. På mødet blev det bl.a. tilkendegivet, at § 50 med fordel kunne ændres således, at indberetning skal ske 1 gang om året, men at kommunerne kan indhente indberetningen i forbindelse med tilsyn. </w:t>
      </w:r>
    </w:p>
    <w:p w14:paraId="38E86F76" w14:textId="77777777" w:rsidR="00412FDC" w:rsidRDefault="00412FDC" w:rsidP="00412FDC">
      <w:pPr>
        <w:jc w:val="both"/>
      </w:pPr>
    </w:p>
    <w:p w14:paraId="721D50CD" w14:textId="77777777" w:rsidR="0021591D" w:rsidRDefault="00412FDC" w:rsidP="006C156D">
      <w:pPr>
        <w:jc w:val="both"/>
      </w:pPr>
      <w:r>
        <w:t xml:space="preserve">Ministeriet er enig i kommunernes bemærkning, og ændrer derfor bestemmelsen i overensstemmelse hermed. </w:t>
      </w:r>
    </w:p>
    <w:p w14:paraId="4F5B4256" w14:textId="759E565E" w:rsidR="0021591D" w:rsidRDefault="0021591D" w:rsidP="006C156D">
      <w:pPr>
        <w:jc w:val="both"/>
      </w:pPr>
    </w:p>
    <w:p w14:paraId="1B5DF30D" w14:textId="4B5326D6" w:rsidR="0021591D" w:rsidRDefault="0021591D" w:rsidP="0021591D">
      <w:pPr>
        <w:pStyle w:val="Opstilling-talellerbogst"/>
        <w:numPr>
          <w:ilvl w:val="0"/>
          <w:numId w:val="0"/>
        </w:numPr>
        <w:jc w:val="both"/>
      </w:pPr>
      <w:r>
        <w:t>Der foretages dog således tilpasninger af bestemmelsen med henblik på dels at sikre, at kommunerne modtager indberetninger for de relevante perioder. Det præciseres således, at kommunerne kan modtage indberetninger for det forudgående år i forbindelse med tilsyn. IE-husdyrbrugene får dermed også en længere frist til indsendelse, således at de IE-husdyrbrug, som får tilsyn efter den 31. marts, stilles dårligere.</w:t>
      </w:r>
    </w:p>
    <w:p w14:paraId="52B7FA33" w14:textId="58F82E1B" w:rsidR="0021591D" w:rsidRDefault="0021591D" w:rsidP="0021591D">
      <w:pPr>
        <w:pStyle w:val="Opstilling-talellerbogst"/>
        <w:numPr>
          <w:ilvl w:val="0"/>
          <w:numId w:val="0"/>
        </w:numPr>
        <w:jc w:val="both"/>
      </w:pPr>
    </w:p>
    <w:p w14:paraId="77066977" w14:textId="77777777" w:rsidR="0021591D" w:rsidRDefault="0021591D" w:rsidP="0021591D">
      <w:pPr>
        <w:pStyle w:val="Opstilling-talellerbogst"/>
        <w:numPr>
          <w:ilvl w:val="0"/>
          <w:numId w:val="0"/>
        </w:numPr>
        <w:jc w:val="both"/>
      </w:pPr>
      <w:r>
        <w:t xml:space="preserve">Det vurderes, at der ikke foretages ændringer af den gældende retstilstand, som indebærer, at IE-husdyrbrugene årligt skal afgive de foreskrevne indberetninger til kommunalbestyrelsen. Denne pligt kan fortsat </w:t>
      </w:r>
      <w:proofErr w:type="spellStart"/>
      <w:r>
        <w:t>afløftes</w:t>
      </w:r>
      <w:proofErr w:type="spellEnd"/>
      <w:r>
        <w:t xml:space="preserve"> i forbindelse med et tilsyn, hvor indberetninger for det forudgående år kan afleveres til kommunerne. </w:t>
      </w:r>
    </w:p>
    <w:p w14:paraId="566443B7" w14:textId="77777777" w:rsidR="0021591D" w:rsidRDefault="0021591D" w:rsidP="006C156D">
      <w:pPr>
        <w:jc w:val="both"/>
      </w:pPr>
    </w:p>
    <w:p w14:paraId="5160B4DD" w14:textId="4095F78E" w:rsidR="00412FDC" w:rsidRDefault="00412FDC" w:rsidP="006C156D">
      <w:pPr>
        <w:jc w:val="both"/>
      </w:pPr>
      <w:r>
        <w:t xml:space="preserve">Ændringen skal </w:t>
      </w:r>
      <w:r w:rsidR="0021591D">
        <w:t>alene</w:t>
      </w:r>
      <w:r>
        <w:t xml:space="preserve"> sikre, at indberetninger kan indsendes og modtages på en relevant og hensigtsmæssig måde og tidspunkt. </w:t>
      </w:r>
    </w:p>
    <w:p w14:paraId="5446D9E0" w14:textId="27504E7D" w:rsidR="00365B00" w:rsidRDefault="00365B00" w:rsidP="006C156D">
      <w:pPr>
        <w:jc w:val="both"/>
      </w:pPr>
    </w:p>
    <w:p w14:paraId="4EDFD6CB" w14:textId="77598ED1" w:rsidR="00365B00" w:rsidRPr="006005F1" w:rsidRDefault="00365B00" w:rsidP="00903C8A">
      <w:pPr>
        <w:pStyle w:val="Opstilling-talellerbogst"/>
        <w:rPr>
          <w:b/>
        </w:rPr>
      </w:pPr>
      <w:r w:rsidRPr="006005F1">
        <w:rPr>
          <w:b/>
        </w:rPr>
        <w:t>Ændring af § 55, stk. 3, om hvornår en afgørelse, tilladelse eller godkendelse, hvori der ikke er fastsat et produktionsareal, anses for udnyttet.</w:t>
      </w:r>
    </w:p>
    <w:p w14:paraId="41C8DDB7" w14:textId="5A6276B9" w:rsidR="00365B00" w:rsidRDefault="00365B00" w:rsidP="006C156D">
      <w:pPr>
        <w:jc w:val="both"/>
      </w:pPr>
    </w:p>
    <w:p w14:paraId="34D92E2C" w14:textId="3EF688E8" w:rsidR="000D4D26" w:rsidRDefault="00E628C3" w:rsidP="006C156D">
      <w:pPr>
        <w:jc w:val="both"/>
      </w:pPr>
      <w:r>
        <w:t>I forbindelse med den seneste ændring af husdyrgodkendelsesbekendtgørelsen blev ordlyden af bestemmel</w:t>
      </w:r>
      <w:r w:rsidR="008849C2">
        <w:t>sen ændret</w:t>
      </w:r>
      <w:r>
        <w:t>.</w:t>
      </w:r>
      <w:r w:rsidR="008849C2">
        <w:t xml:space="preserve"> </w:t>
      </w:r>
      <w:r>
        <w:t xml:space="preserve">Ændringen </w:t>
      </w:r>
      <w:r w:rsidR="008849C2">
        <w:t xml:space="preserve">af bestemmelsen </w:t>
      </w:r>
      <w:r>
        <w:t xml:space="preserve">var </w:t>
      </w:r>
      <w:r w:rsidR="008849C2">
        <w:t xml:space="preserve">imidlertid utilsigtet. Bestemmelsen foreslås som følge heraf ændret, så den er i overensstemmelse med tidligere gældende </w:t>
      </w:r>
      <w:r w:rsidR="003E1DDD">
        <w:t>bestemmelse</w:t>
      </w:r>
      <w:r w:rsidR="008849C2">
        <w:t xml:space="preserve"> </w:t>
      </w:r>
      <w:r>
        <w:t>(§ 49, stk. 2, 2. pkt., i bek</w:t>
      </w:r>
      <w:r w:rsidR="00EE7F39">
        <w:t>endtgørelse</w:t>
      </w:r>
      <w:r>
        <w:t xml:space="preserve"> nr.</w:t>
      </w:r>
      <w:r w:rsidRPr="00E628C3">
        <w:t xml:space="preserve"> 1467 af 06/12/2018</w:t>
      </w:r>
      <w:r>
        <w:t>)</w:t>
      </w:r>
      <w:r w:rsidR="00595BF4">
        <w:t xml:space="preserve">. </w:t>
      </w:r>
      <w:r w:rsidR="00435E7B">
        <w:t xml:space="preserve">Det foreslås således, at det tilføjes til bestemmelsen i </w:t>
      </w:r>
      <w:r w:rsidR="006D0495">
        <w:t xml:space="preserve">§ 55, stk. 3, </w:t>
      </w:r>
      <w:r w:rsidR="006A0D31">
        <w:t>at der ved vurderingen af hvorvidt,</w:t>
      </w:r>
      <w:r w:rsidR="00595BF4">
        <w:t xml:space="preserve"> der produceres mindst 25 % af det tilladte eller godkendte</w:t>
      </w:r>
      <w:r w:rsidR="006D0495">
        <w:t xml:space="preserve">, </w:t>
      </w:r>
      <w:r w:rsidR="006A0D31">
        <w:t xml:space="preserve">skal </w:t>
      </w:r>
      <w:r w:rsidR="006D0495">
        <w:t>omregne</w:t>
      </w:r>
      <w:r w:rsidR="006A0D31">
        <w:t>s</w:t>
      </w:r>
      <w:r w:rsidR="006D0495">
        <w:t xml:space="preserve"> til antal dyreenheder efter de omregningsfaktorer </w:t>
      </w:r>
      <w:r w:rsidR="006D0495" w:rsidRPr="006D0495">
        <w:t>i bekendtgørelse om erhvervsmæssigt dyrehold, husdyrgødning, ensilage m.v.</w:t>
      </w:r>
      <w:r w:rsidR="00435E7B">
        <w:t xml:space="preserve"> (husdyrgødningsbekendtgørelsen)</w:t>
      </w:r>
      <w:r w:rsidR="006D0495">
        <w:t>, der var gældende på tidspunktet for afgørelsen om tilladelse eller godkendelse.</w:t>
      </w:r>
      <w:r w:rsidR="000D4D26">
        <w:t xml:space="preserve"> </w:t>
      </w:r>
    </w:p>
    <w:p w14:paraId="28F72621" w14:textId="77777777" w:rsidR="000D4D26" w:rsidRDefault="000D4D26" w:rsidP="006C156D">
      <w:pPr>
        <w:jc w:val="both"/>
      </w:pPr>
    </w:p>
    <w:p w14:paraId="0E718608" w14:textId="2FCE7A87" w:rsidR="00365B00" w:rsidRDefault="000D4D26" w:rsidP="006C156D">
      <w:pPr>
        <w:jc w:val="both"/>
      </w:pPr>
      <w:r>
        <w:t>De</w:t>
      </w:r>
      <w:r w:rsidR="00435E7B">
        <w:t>t foreslås herudover</w:t>
      </w:r>
      <w:r>
        <w:t xml:space="preserve">, at der i bestemmelsen tilføjes en henvisning til </w:t>
      </w:r>
      <w:r w:rsidRPr="000D4D26">
        <w:t>bekendtgørelse om husdyrbrug og dyrehold for mere end 3 dyreenhede</w:t>
      </w:r>
      <w:r>
        <w:t>r, husdyrgødning, ensilage m.v., da dette var den officielle titel på "husdyrgødningsbekendtgørelsen</w:t>
      </w:r>
      <w:r w:rsidR="00595BF4">
        <w:t>"</w:t>
      </w:r>
      <w:r>
        <w:t xml:space="preserve"> i perioden 2006-2012, og det </w:t>
      </w:r>
      <w:r w:rsidR="00962E87">
        <w:t xml:space="preserve">også </w:t>
      </w:r>
      <w:r w:rsidR="00595BF4">
        <w:t xml:space="preserve">er relevant at henvise til </w:t>
      </w:r>
      <w:r w:rsidR="00962E87">
        <w:t>omregn</w:t>
      </w:r>
      <w:r w:rsidR="00595BF4">
        <w:t>ingsfaktorer</w:t>
      </w:r>
      <w:r w:rsidR="002D6F33">
        <w:t>ne</w:t>
      </w:r>
      <w:r w:rsidR="00595BF4">
        <w:t xml:space="preserve"> for dyreenheder</w:t>
      </w:r>
      <w:r w:rsidR="00962E87">
        <w:t xml:space="preserve"> i denne bekendtgørelse</w:t>
      </w:r>
      <w:r w:rsidR="002D6F33">
        <w:t>.</w:t>
      </w:r>
    </w:p>
    <w:p w14:paraId="196AF8D0" w14:textId="139AE8A9" w:rsidR="00907B3B" w:rsidRDefault="00907B3B" w:rsidP="006C156D">
      <w:pPr>
        <w:jc w:val="both"/>
      </w:pPr>
    </w:p>
    <w:p w14:paraId="006990C0" w14:textId="77777777" w:rsidR="0009475D" w:rsidRPr="0009475D" w:rsidRDefault="0009475D" w:rsidP="006C156D">
      <w:pPr>
        <w:pStyle w:val="Opstilling-talellerbogst"/>
        <w:jc w:val="both"/>
        <w:rPr>
          <w:b/>
        </w:rPr>
      </w:pPr>
      <w:r w:rsidRPr="0009475D">
        <w:rPr>
          <w:b/>
        </w:rPr>
        <w:t xml:space="preserve">Miljøvurdering (SMV) af de planlagte ændringer  </w:t>
      </w:r>
    </w:p>
    <w:p w14:paraId="457F0444" w14:textId="77777777" w:rsidR="007E2625" w:rsidRDefault="007E2625" w:rsidP="006C156D">
      <w:pPr>
        <w:jc w:val="both"/>
      </w:pPr>
    </w:p>
    <w:p w14:paraId="6CE2B897" w14:textId="6A94E915" w:rsidR="0009475D" w:rsidRDefault="0009475D" w:rsidP="006C156D">
      <w:pPr>
        <w:jc w:val="both"/>
      </w:pPr>
      <w:r>
        <w:t>Miljø- og Fødevareministeriet har gennemført en screening i overensstemmelse med miljøvurderingslovens § 10. Udkast til screeningsafgørelse sendes i høring hos de berørte myndigheder samtidig med den offentlige høring i pe</w:t>
      </w:r>
      <w:r w:rsidR="00153C28">
        <w:t xml:space="preserve">rioden </w:t>
      </w:r>
      <w:r w:rsidR="006A2CDB" w:rsidRPr="006A2CDB">
        <w:t>23. september</w:t>
      </w:r>
      <w:r w:rsidR="00153C28" w:rsidRPr="006A2CDB">
        <w:t xml:space="preserve"> til </w:t>
      </w:r>
      <w:r w:rsidR="006A2CDB">
        <w:t>7. oktober</w:t>
      </w:r>
      <w:r w:rsidR="00153C28">
        <w:t xml:space="preserve"> 2020</w:t>
      </w:r>
      <w:r>
        <w:t>. En eventuel endelig afgørelse vil blive offentliggjort på høringsportalen.dk.</w:t>
      </w:r>
    </w:p>
    <w:p w14:paraId="50D0721B" w14:textId="77777777" w:rsidR="0009475D" w:rsidRDefault="0009475D" w:rsidP="006C156D">
      <w:pPr>
        <w:jc w:val="both"/>
      </w:pPr>
    </w:p>
    <w:p w14:paraId="67B66753" w14:textId="77777777" w:rsidR="0009475D" w:rsidRPr="0009475D" w:rsidRDefault="0009475D" w:rsidP="006C156D">
      <w:pPr>
        <w:pStyle w:val="Opstilling-talellerbogst"/>
        <w:jc w:val="both"/>
        <w:rPr>
          <w:b/>
        </w:rPr>
      </w:pPr>
      <w:r w:rsidRPr="0009475D">
        <w:rPr>
          <w:b/>
        </w:rPr>
        <w:t>Administrative og erhvervsøkonomiske konsekvenser</w:t>
      </w:r>
    </w:p>
    <w:p w14:paraId="2AE26479" w14:textId="77777777" w:rsidR="007E2625" w:rsidRDefault="007E2625" w:rsidP="006C156D">
      <w:pPr>
        <w:jc w:val="both"/>
      </w:pPr>
    </w:p>
    <w:p w14:paraId="5BA6BC1C" w14:textId="2CEE3672" w:rsidR="0009475D" w:rsidRDefault="000B7DF2" w:rsidP="006C156D">
      <w:pPr>
        <w:jc w:val="both"/>
      </w:pPr>
      <w:r>
        <w:lastRenderedPageBreak/>
        <w:t xml:space="preserve">Miljø- og Fødevareministeriet har vurderet, at det ikke er relevant at sende </w:t>
      </w:r>
      <w:r w:rsidR="0009475D">
        <w:t>udkast til ændring af bekendtgørelsen i præhøring i Erhvervsstyrelsens Team Effektiv Regulering (TER)</w:t>
      </w:r>
      <w:r>
        <w:t xml:space="preserve">. Ministeriet henviser til, at ændringerne alene indeholder præciseringer af de gældende regler, og at den gældende retstilstand dermed ikke ændres. </w:t>
      </w:r>
      <w:r w:rsidR="00903C8A">
        <w:t xml:space="preserve">Ændringerne medfører dermed heller ikke </w:t>
      </w:r>
      <w:r w:rsidR="0009475D">
        <w:t>administrative konsekvenser for erhvervslivet.</w:t>
      </w:r>
      <w:r w:rsidR="00153C28">
        <w:t xml:space="preserve"> </w:t>
      </w:r>
      <w:r w:rsidR="0009475D">
        <w:t>Miljø- og Fødevareministeriet har</w:t>
      </w:r>
      <w:r w:rsidR="00903C8A">
        <w:t xml:space="preserve"> tilsvarende</w:t>
      </w:r>
      <w:r w:rsidR="0009475D">
        <w:t xml:space="preserve"> vurderet, at principperne for agil erhvervsrettet regulering ikke er relevante for de konkrete ændringer i bekendtgørelsesudkastet.</w:t>
      </w:r>
    </w:p>
    <w:p w14:paraId="268B59A9" w14:textId="77777777" w:rsidR="0009475D" w:rsidRDefault="0009475D" w:rsidP="006C156D">
      <w:pPr>
        <w:jc w:val="both"/>
      </w:pPr>
    </w:p>
    <w:p w14:paraId="4AFB79EB" w14:textId="77777777" w:rsidR="0009475D" w:rsidRPr="0009475D" w:rsidRDefault="0009475D" w:rsidP="006C156D">
      <w:pPr>
        <w:pStyle w:val="Opstilling-talellerbogst"/>
        <w:jc w:val="both"/>
        <w:rPr>
          <w:b/>
        </w:rPr>
      </w:pPr>
      <w:r w:rsidRPr="0009475D">
        <w:rPr>
          <w:b/>
        </w:rPr>
        <w:t>Forholdet til EU-retten</w:t>
      </w:r>
    </w:p>
    <w:p w14:paraId="03757BE1" w14:textId="77777777" w:rsidR="007E2625" w:rsidRDefault="007E2625" w:rsidP="006C156D">
      <w:pPr>
        <w:jc w:val="both"/>
      </w:pPr>
    </w:p>
    <w:p w14:paraId="2C80F7D3" w14:textId="66A5D8A7" w:rsidR="00BC1C77" w:rsidRPr="00A13723" w:rsidRDefault="0009475D" w:rsidP="006C156D">
      <w:pPr>
        <w:jc w:val="both"/>
      </w:pPr>
      <w:r>
        <w:t>Husdyrgodkendelsesbekendtgørelsen bidrager til at gennemføre IE-direktivet, habitatdirektivet, fuglebeskyttelsesdirektivet, NEC-</w:t>
      </w:r>
      <w:r w:rsidR="00153C28">
        <w:t xml:space="preserve">direktivet og VVM-direktivet. </w:t>
      </w:r>
    </w:p>
    <w:sectPr w:rsidR="00BC1C77" w:rsidRPr="00A13723"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B933" w14:textId="77777777" w:rsidR="00932A4B" w:rsidRDefault="00932A4B">
      <w:r>
        <w:separator/>
      </w:r>
    </w:p>
  </w:endnote>
  <w:endnote w:type="continuationSeparator" w:id="0">
    <w:p w14:paraId="1C736B42" w14:textId="77777777" w:rsidR="00932A4B" w:rsidRDefault="0093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D1BD" w14:textId="77777777" w:rsidR="005A0E04" w:rsidRDefault="005A0E04"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1A7E3D18" w14:textId="77777777" w:rsidR="005A0E04" w:rsidRDefault="005A0E04"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4C2E" w14:textId="6E37F013" w:rsidR="005A0E04" w:rsidRDefault="005A0E04"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EC1273">
      <w:rPr>
        <w:rStyle w:val="Sidetal"/>
        <w:noProof/>
      </w:rPr>
      <w:t>15</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CE6C" w14:textId="77777777" w:rsidR="005A0E04" w:rsidRPr="00A13723" w:rsidRDefault="005A0E04" w:rsidP="004B68AD">
    <w:pPr>
      <w:pStyle w:val="Template-Address"/>
    </w:pPr>
    <w:bookmarkStart w:id="16" w:name="OFF_Institution"/>
    <w:bookmarkStart w:id="17" w:name="OFF_InstitutionHIF"/>
    <w:bookmarkStart w:id="18" w:name="XIF_MMFirstAddressLine"/>
    <w:r w:rsidRPr="00A13723">
      <w:t>Miljø- og Fødevareministeriet</w:t>
    </w:r>
    <w:bookmarkEnd w:id="16"/>
    <w:r w:rsidRPr="00A13723">
      <w:t xml:space="preserve"> </w:t>
    </w:r>
    <w:bookmarkEnd w:id="17"/>
    <w:r w:rsidRPr="00A13723">
      <w:t xml:space="preserve">• </w:t>
    </w:r>
    <w:bookmarkStart w:id="19" w:name="OFF_AddressA"/>
    <w:bookmarkStart w:id="20" w:name="OFF_AddressAHIF"/>
    <w:r w:rsidRPr="00A13723">
      <w:t>Slotsholmsgade 12</w:t>
    </w:r>
    <w:bookmarkEnd w:id="19"/>
    <w:r w:rsidRPr="00A13723">
      <w:t xml:space="preserve"> </w:t>
    </w:r>
    <w:bookmarkEnd w:id="20"/>
    <w:r w:rsidRPr="00A13723">
      <w:rPr>
        <w:vanish/>
      </w:rPr>
      <w:t xml:space="preserve">• </w:t>
    </w:r>
    <w:bookmarkStart w:id="21" w:name="OFF_AddressB"/>
    <w:bookmarkStart w:id="22" w:name="OFF_AddressBHIF"/>
    <w:bookmarkEnd w:id="21"/>
    <w:r w:rsidRPr="00A13723">
      <w:rPr>
        <w:vanish/>
      </w:rPr>
      <w:t xml:space="preserve"> </w:t>
    </w:r>
    <w:bookmarkEnd w:id="22"/>
    <w:r w:rsidRPr="00A13723">
      <w:rPr>
        <w:vanish/>
      </w:rPr>
      <w:t xml:space="preserve">• </w:t>
    </w:r>
    <w:bookmarkStart w:id="23" w:name="OFF_AddressC"/>
    <w:bookmarkStart w:id="24" w:name="OFF_AddressCHIF"/>
    <w:bookmarkEnd w:id="23"/>
    <w:r w:rsidRPr="00A13723">
      <w:rPr>
        <w:vanish/>
      </w:rPr>
      <w:t xml:space="preserve"> </w:t>
    </w:r>
    <w:bookmarkEnd w:id="24"/>
    <w:r w:rsidRPr="00A13723">
      <w:t xml:space="preserve">• </w:t>
    </w:r>
    <w:bookmarkStart w:id="25" w:name="OFF_AddressD"/>
    <w:bookmarkStart w:id="26" w:name="OFF_AddressDHIF"/>
    <w:r w:rsidRPr="00A13723">
      <w:t>1216</w:t>
    </w:r>
    <w:bookmarkEnd w:id="25"/>
    <w:r w:rsidRPr="00A13723">
      <w:t xml:space="preserve"> </w:t>
    </w:r>
    <w:bookmarkStart w:id="27" w:name="OFF_City"/>
    <w:r>
      <w:t>København K</w:t>
    </w:r>
    <w:bookmarkEnd w:id="27"/>
    <w:r w:rsidRPr="00A13723">
      <w:t xml:space="preserve"> </w:t>
    </w:r>
    <w:bookmarkEnd w:id="26"/>
  </w:p>
  <w:p w14:paraId="35A70FA1" w14:textId="77777777" w:rsidR="005A0E04" w:rsidRPr="004B68AD" w:rsidRDefault="005A0E04" w:rsidP="004B68AD">
    <w:pPr>
      <w:pStyle w:val="Template-Address"/>
      <w:rPr>
        <w:lang w:val="en-GB"/>
      </w:rPr>
    </w:pPr>
    <w:bookmarkStart w:id="28" w:name="LAN_Phone"/>
    <w:bookmarkStart w:id="29" w:name="OFF_PhoneHIF"/>
    <w:bookmarkStart w:id="30" w:name="XIF_MMSecondAddressLine"/>
    <w:bookmarkEnd w:id="18"/>
    <w:r w:rsidRPr="00A13723">
      <w:rPr>
        <w:lang w:val="en-GB"/>
      </w:rPr>
      <w:t>Tlf.</w:t>
    </w:r>
    <w:bookmarkEnd w:id="28"/>
    <w:r w:rsidRPr="00A13723">
      <w:rPr>
        <w:lang w:val="en-GB"/>
      </w:rPr>
      <w:t xml:space="preserve"> </w:t>
    </w:r>
    <w:bookmarkStart w:id="31" w:name="OFF_Phone"/>
    <w:r w:rsidRPr="00A13723">
      <w:rPr>
        <w:lang w:val="en-GB"/>
      </w:rPr>
      <w:t>38 14 21 42</w:t>
    </w:r>
    <w:bookmarkEnd w:id="31"/>
    <w:r w:rsidRPr="00A13723">
      <w:rPr>
        <w:lang w:val="en-GB"/>
      </w:rPr>
      <w:t xml:space="preserve"> </w:t>
    </w:r>
    <w:bookmarkEnd w:id="29"/>
    <w:r w:rsidRPr="00A13723">
      <w:rPr>
        <w:lang w:val="en-GB"/>
      </w:rPr>
      <w:t xml:space="preserve">• </w:t>
    </w:r>
    <w:bookmarkStart w:id="32" w:name="LAN_Fax"/>
    <w:bookmarkStart w:id="33" w:name="OFF_FaxHIF"/>
    <w:r w:rsidRPr="00A13723">
      <w:rPr>
        <w:lang w:val="en-GB"/>
      </w:rPr>
      <w:t>Fax</w:t>
    </w:r>
    <w:bookmarkEnd w:id="32"/>
    <w:r w:rsidRPr="00A13723">
      <w:rPr>
        <w:lang w:val="en-GB"/>
      </w:rPr>
      <w:t xml:space="preserve"> </w:t>
    </w:r>
    <w:bookmarkStart w:id="34" w:name="OFF_Fax"/>
    <w:r w:rsidRPr="00A13723">
      <w:rPr>
        <w:lang w:val="en-GB"/>
      </w:rPr>
      <w:t>33 14 50 42</w:t>
    </w:r>
    <w:bookmarkEnd w:id="34"/>
    <w:r w:rsidRPr="00A13723">
      <w:rPr>
        <w:lang w:val="en-GB"/>
      </w:rPr>
      <w:t xml:space="preserve"> </w:t>
    </w:r>
    <w:bookmarkEnd w:id="33"/>
    <w:r w:rsidRPr="00A13723">
      <w:rPr>
        <w:lang w:val="en-GB"/>
      </w:rPr>
      <w:t xml:space="preserve">• </w:t>
    </w:r>
    <w:bookmarkStart w:id="35" w:name="OFF_CVRHIF"/>
    <w:r w:rsidRPr="00A13723">
      <w:rPr>
        <w:lang w:val="en-GB"/>
      </w:rPr>
      <w:t xml:space="preserve">CVR </w:t>
    </w:r>
    <w:bookmarkStart w:id="36" w:name="OFF_CVR"/>
    <w:r w:rsidRPr="00A13723">
      <w:rPr>
        <w:lang w:val="en-GB"/>
      </w:rPr>
      <w:t>12854358</w:t>
    </w:r>
    <w:bookmarkEnd w:id="36"/>
    <w:r w:rsidRPr="00A13723">
      <w:rPr>
        <w:lang w:val="en-GB"/>
      </w:rPr>
      <w:t xml:space="preserve"> </w:t>
    </w:r>
    <w:bookmarkEnd w:id="35"/>
    <w:r w:rsidRPr="00A13723">
      <w:rPr>
        <w:lang w:val="en-GB"/>
      </w:rPr>
      <w:t xml:space="preserve">• </w:t>
    </w:r>
    <w:bookmarkStart w:id="37" w:name="OFF_EANHIF"/>
    <w:r w:rsidRPr="00A13723">
      <w:rPr>
        <w:lang w:val="en-GB"/>
      </w:rPr>
      <w:t xml:space="preserve">EAN </w:t>
    </w:r>
    <w:bookmarkStart w:id="38" w:name="OFF_EAN"/>
    <w:r w:rsidRPr="00A13723">
      <w:rPr>
        <w:lang w:val="en-GB"/>
      </w:rPr>
      <w:t>5798000862005</w:t>
    </w:r>
    <w:bookmarkEnd w:id="38"/>
    <w:r w:rsidRPr="00A13723">
      <w:rPr>
        <w:lang w:val="en-GB"/>
      </w:rPr>
      <w:t xml:space="preserve"> </w:t>
    </w:r>
    <w:bookmarkEnd w:id="37"/>
    <w:r w:rsidRPr="00A13723">
      <w:rPr>
        <w:lang w:val="en-GB"/>
      </w:rPr>
      <w:t xml:space="preserve">• </w:t>
    </w:r>
    <w:bookmarkStart w:id="39" w:name="OFF_Email"/>
    <w:bookmarkStart w:id="40" w:name="OFF_EmailHIF"/>
    <w:r w:rsidRPr="00A13723">
      <w:rPr>
        <w:lang w:val="en-GB"/>
      </w:rPr>
      <w:t>mfvm@mfvm.dk</w:t>
    </w:r>
    <w:bookmarkEnd w:id="39"/>
    <w:r w:rsidRPr="00A13723">
      <w:rPr>
        <w:lang w:val="en-GB"/>
      </w:rPr>
      <w:t xml:space="preserve"> </w:t>
    </w:r>
    <w:bookmarkEnd w:id="40"/>
    <w:r w:rsidRPr="00A13723">
      <w:rPr>
        <w:lang w:val="en-GB"/>
      </w:rPr>
      <w:t xml:space="preserve">• </w:t>
    </w:r>
    <w:bookmarkStart w:id="41" w:name="OFF_Web"/>
    <w:bookmarkStart w:id="42" w:name="OFF_WebHIF"/>
    <w:r w:rsidRPr="00A13723">
      <w:rPr>
        <w:lang w:val="en-GB"/>
      </w:rPr>
      <w:t>www.mfvm.dk</w:t>
    </w:r>
    <w:bookmarkEnd w:id="41"/>
    <w:r w:rsidRPr="00A13723">
      <w:rPr>
        <w:lang w:val="en-GB"/>
      </w:rPr>
      <w:t xml:space="preserve"> </w:t>
    </w:r>
    <w:bookmarkEnd w:id="30"/>
    <w:bookmarkEnd w:id="42"/>
  </w:p>
  <w:p w14:paraId="650F59D8" w14:textId="77777777" w:rsidR="005A0E04" w:rsidRPr="004B68AD" w:rsidRDefault="005A0E04" w:rsidP="004B68AD">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1DD72" w14:textId="77777777" w:rsidR="00932A4B" w:rsidRDefault="00932A4B">
      <w:r>
        <w:separator/>
      </w:r>
    </w:p>
  </w:footnote>
  <w:footnote w:type="continuationSeparator" w:id="0">
    <w:p w14:paraId="757913D4" w14:textId="77777777" w:rsidR="00932A4B" w:rsidRDefault="0093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305F" w14:textId="77777777" w:rsidR="005A0E04" w:rsidRDefault="005A0E04">
    <w:pPr>
      <w:pStyle w:val="Sidehoved"/>
    </w:pPr>
  </w:p>
  <w:p w14:paraId="3B3F696E" w14:textId="77777777" w:rsidR="005A0E04" w:rsidRDefault="005A0E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9C9E" w14:textId="77777777" w:rsidR="005A0E04" w:rsidRPr="00326292" w:rsidRDefault="005A0E04" w:rsidP="004B68AD">
    <w:bookmarkStart w:id="1" w:name="FLD_DocumentName"/>
    <w:r>
      <w:rPr>
        <w:noProof/>
      </w:rPr>
      <w:drawing>
        <wp:anchor distT="0" distB="0" distL="114300" distR="114300" simplePos="0" relativeHeight="251659264" behindDoc="0" locked="1" layoutInCell="1" allowOverlap="1" wp14:anchorId="0F9E8986" wp14:editId="500EA056">
          <wp:simplePos x="0" y="0"/>
          <wp:positionH relativeFrom="rightMargin">
            <wp:align>right</wp:align>
          </wp:positionH>
          <wp:positionV relativeFrom="page">
            <wp:posOffset>431800</wp:posOffset>
          </wp:positionV>
          <wp:extent cx="2627635" cy="7931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5" cy="793115"/>
                  </a:xfrm>
                  <a:prstGeom prst="rect">
                    <a:avLst/>
                  </a:prstGeom>
                </pic:spPr>
              </pic:pic>
            </a:graphicData>
          </a:graphic>
          <wp14:sizeRelH relativeFrom="page">
            <wp14:pctWidth>0</wp14:pctWidth>
          </wp14:sizeRelH>
          <wp14:sizeRelV relativeFrom="page">
            <wp14:pctHeight>0</wp14:pctHeight>
          </wp14:sizeRelV>
        </wp:anchor>
      </w:drawing>
    </w:r>
    <w:r w:rsidRPr="00326292">
      <w:rPr>
        <w:noProof/>
      </w:rPr>
      <mc:AlternateContent>
        <mc:Choice Requires="wps">
          <w:drawing>
            <wp:anchor distT="0" distB="0" distL="114300" distR="114300" simplePos="0" relativeHeight="251658240" behindDoc="0" locked="1" layoutInCell="1" allowOverlap="1" wp14:anchorId="5C29E818" wp14:editId="4EB9CD4A">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5A0E04" w14:paraId="7463C5BD" w14:textId="77777777">
                            <w:trPr>
                              <w:cantSplit/>
                              <w:trHeight w:val="2778"/>
                            </w:trPr>
                            <w:tc>
                              <w:tcPr>
                                <w:tcW w:w="2755" w:type="dxa"/>
                                <w:tcMar>
                                  <w:top w:w="34" w:type="dxa"/>
                                  <w:left w:w="0" w:type="dxa"/>
                                  <w:bottom w:w="28" w:type="dxa"/>
                                  <w:right w:w="0" w:type="dxa"/>
                                </w:tcMar>
                              </w:tcPr>
                              <w:p w14:paraId="4905714A" w14:textId="77777777" w:rsidR="005A0E04" w:rsidRPr="00A13723" w:rsidRDefault="005A0E04">
                                <w:pPr>
                                  <w:pStyle w:val="Kolofontekst"/>
                                </w:pPr>
                                <w:bookmarkStart w:id="2" w:name="OFF_DepartmentHIF"/>
                                <w:r>
                                  <w:t>Miljø og Erhverv</w:t>
                                </w:r>
                              </w:p>
                              <w:p w14:paraId="70D802D0" w14:textId="77777777" w:rsidR="005A0E04" w:rsidRPr="00A13723" w:rsidRDefault="005A0E04">
                                <w:pPr>
                                  <w:pStyle w:val="Kolofontekst"/>
                                </w:pPr>
                                <w:bookmarkStart w:id="3" w:name="LAN_CaseNo"/>
                                <w:bookmarkStart w:id="4" w:name="HIF_dossier_f2casenumber"/>
                                <w:bookmarkEnd w:id="2"/>
                                <w:r w:rsidRPr="00A13723">
                                  <w:t>J.nr.</w:t>
                                </w:r>
                                <w:bookmarkEnd w:id="3"/>
                                <w:r w:rsidRPr="00A13723">
                                  <w:t xml:space="preserve"> </w:t>
                                </w:r>
                                <w:r>
                                  <w:rPr>
                                    <w:color w:val="000000" w:themeColor="text1"/>
                                    <w:lang w:val="de-DE"/>
                                  </w:rPr>
                                  <w:t>2020-2676</w:t>
                                </w:r>
                                <w:r w:rsidRPr="00A13723">
                                  <w:rPr>
                                    <w:color w:val="000000" w:themeColor="text1"/>
                                    <w:lang w:val="de-DE"/>
                                  </w:rPr>
                                  <w:t xml:space="preserve"> </w:t>
                                </w:r>
                              </w:p>
                              <w:p w14:paraId="29F0EB16" w14:textId="77777777" w:rsidR="005A0E04" w:rsidRPr="00A13723" w:rsidRDefault="005A0E04">
                                <w:pPr>
                                  <w:pStyle w:val="Kolofontekst"/>
                                </w:pPr>
                                <w:bookmarkStart w:id="5" w:name="LAN_Ref"/>
                                <w:bookmarkStart w:id="6" w:name="USR_InitialsHIF"/>
                                <w:bookmarkEnd w:id="4"/>
                                <w:r w:rsidRPr="00A13723">
                                  <w:t>Ref.</w:t>
                                </w:r>
                                <w:bookmarkEnd w:id="5"/>
                                <w:r w:rsidRPr="00A13723">
                                  <w:t xml:space="preserve"> </w:t>
                                </w:r>
                                <w:bookmarkStart w:id="7" w:name="USR_Initials"/>
                                <w:r w:rsidRPr="00A13723">
                                  <w:t>JUBRA</w:t>
                                </w:r>
                                <w:bookmarkEnd w:id="7"/>
                              </w:p>
                              <w:p w14:paraId="1A7778D8" w14:textId="65C16608" w:rsidR="005A0E04" w:rsidRDefault="005A0E04" w:rsidP="00CA7664">
                                <w:pPr>
                                  <w:pStyle w:val="Kolofontekst"/>
                                </w:pPr>
                                <w:bookmarkStart w:id="8" w:name="FLD_DocumentDate"/>
                                <w:bookmarkEnd w:id="6"/>
                                <w:r>
                                  <w:t xml:space="preserve">Den </w:t>
                                </w:r>
                                <w:r w:rsidR="00CA7664">
                                  <w:t>23. september</w:t>
                                </w:r>
                                <w:r>
                                  <w:t xml:space="preserve"> 2020</w:t>
                                </w:r>
                                <w:bookmarkEnd w:id="8"/>
                              </w:p>
                            </w:tc>
                          </w:tr>
                        </w:tbl>
                        <w:p w14:paraId="32A5EA9B" w14:textId="77777777" w:rsidR="005A0E04" w:rsidRDefault="005A0E04"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9E818"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5A0E04" w14:paraId="7463C5BD" w14:textId="77777777">
                      <w:trPr>
                        <w:cantSplit/>
                        <w:trHeight w:val="2778"/>
                      </w:trPr>
                      <w:tc>
                        <w:tcPr>
                          <w:tcW w:w="2755" w:type="dxa"/>
                          <w:tcMar>
                            <w:top w:w="34" w:type="dxa"/>
                            <w:left w:w="0" w:type="dxa"/>
                            <w:bottom w:w="28" w:type="dxa"/>
                            <w:right w:w="0" w:type="dxa"/>
                          </w:tcMar>
                        </w:tcPr>
                        <w:p w14:paraId="4905714A" w14:textId="77777777" w:rsidR="005A0E04" w:rsidRPr="00A13723" w:rsidRDefault="005A0E04">
                          <w:pPr>
                            <w:pStyle w:val="Kolofontekst"/>
                          </w:pPr>
                          <w:bookmarkStart w:id="9" w:name="OFF_DepartmentHIF"/>
                          <w:r>
                            <w:t>Miljø og Erhverv</w:t>
                          </w:r>
                        </w:p>
                        <w:p w14:paraId="70D802D0" w14:textId="77777777" w:rsidR="005A0E04" w:rsidRPr="00A13723" w:rsidRDefault="005A0E04">
                          <w:pPr>
                            <w:pStyle w:val="Kolofontekst"/>
                          </w:pPr>
                          <w:bookmarkStart w:id="10" w:name="LAN_CaseNo"/>
                          <w:bookmarkStart w:id="11" w:name="HIF_dossier_f2casenumber"/>
                          <w:bookmarkEnd w:id="9"/>
                          <w:r w:rsidRPr="00A13723">
                            <w:t>J.nr.</w:t>
                          </w:r>
                          <w:bookmarkEnd w:id="10"/>
                          <w:r w:rsidRPr="00A13723">
                            <w:t xml:space="preserve"> </w:t>
                          </w:r>
                          <w:r>
                            <w:rPr>
                              <w:color w:val="000000" w:themeColor="text1"/>
                              <w:lang w:val="de-DE"/>
                            </w:rPr>
                            <w:t>2020-2676</w:t>
                          </w:r>
                          <w:r w:rsidRPr="00A13723">
                            <w:rPr>
                              <w:color w:val="000000" w:themeColor="text1"/>
                              <w:lang w:val="de-DE"/>
                            </w:rPr>
                            <w:t xml:space="preserve"> </w:t>
                          </w:r>
                        </w:p>
                        <w:p w14:paraId="29F0EB16" w14:textId="77777777" w:rsidR="005A0E04" w:rsidRPr="00A13723" w:rsidRDefault="005A0E04">
                          <w:pPr>
                            <w:pStyle w:val="Kolofontekst"/>
                          </w:pPr>
                          <w:bookmarkStart w:id="12" w:name="LAN_Ref"/>
                          <w:bookmarkStart w:id="13" w:name="USR_InitialsHIF"/>
                          <w:bookmarkEnd w:id="11"/>
                          <w:r w:rsidRPr="00A13723">
                            <w:t>Ref.</w:t>
                          </w:r>
                          <w:bookmarkEnd w:id="12"/>
                          <w:r w:rsidRPr="00A13723">
                            <w:t xml:space="preserve"> </w:t>
                          </w:r>
                          <w:bookmarkStart w:id="14" w:name="USR_Initials"/>
                          <w:r w:rsidRPr="00A13723">
                            <w:t>JUBRA</w:t>
                          </w:r>
                          <w:bookmarkEnd w:id="14"/>
                        </w:p>
                        <w:p w14:paraId="1A7778D8" w14:textId="65C16608" w:rsidR="005A0E04" w:rsidRDefault="005A0E04" w:rsidP="00CA7664">
                          <w:pPr>
                            <w:pStyle w:val="Kolofontekst"/>
                          </w:pPr>
                          <w:bookmarkStart w:id="15" w:name="FLD_DocumentDate"/>
                          <w:bookmarkEnd w:id="13"/>
                          <w:r>
                            <w:t xml:space="preserve">Den </w:t>
                          </w:r>
                          <w:r w:rsidR="00CA7664">
                            <w:t>23. september</w:t>
                          </w:r>
                          <w:r>
                            <w:t xml:space="preserve"> 2020</w:t>
                          </w:r>
                          <w:bookmarkEnd w:id="15"/>
                        </w:p>
                      </w:tc>
                    </w:tr>
                  </w:tbl>
                  <w:p w14:paraId="32A5EA9B" w14:textId="77777777" w:rsidR="005A0E04" w:rsidRDefault="005A0E04" w:rsidP="004B68AD"/>
                </w:txbxContent>
              </v:textbox>
              <w10:wrap anchorx="margin" anchory="page"/>
              <w10:anchorlock/>
            </v:shape>
          </w:pict>
        </mc:Fallback>
      </mc:AlternateContent>
    </w:r>
  </w:p>
  <w:p w14:paraId="13603796" w14:textId="77777777" w:rsidR="005A0E04" w:rsidRDefault="005A0E04"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6B7DC"/>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0D377BD"/>
    <w:multiLevelType w:val="hybridMultilevel"/>
    <w:tmpl w:val="9CE47594"/>
    <w:lvl w:ilvl="0" w:tplc="096CBBC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23"/>
    <w:rsid w:val="00002EA0"/>
    <w:rsid w:val="00003636"/>
    <w:rsid w:val="0000365C"/>
    <w:rsid w:val="00005FAA"/>
    <w:rsid w:val="00010163"/>
    <w:rsid w:val="0001244B"/>
    <w:rsid w:val="0001457C"/>
    <w:rsid w:val="0001528D"/>
    <w:rsid w:val="000166A0"/>
    <w:rsid w:val="00017174"/>
    <w:rsid w:val="00021963"/>
    <w:rsid w:val="00022945"/>
    <w:rsid w:val="00026DB4"/>
    <w:rsid w:val="00030051"/>
    <w:rsid w:val="0003263D"/>
    <w:rsid w:val="00035275"/>
    <w:rsid w:val="00037E7E"/>
    <w:rsid w:val="00051759"/>
    <w:rsid w:val="00052A16"/>
    <w:rsid w:val="00060BC5"/>
    <w:rsid w:val="00061B79"/>
    <w:rsid w:val="000647F2"/>
    <w:rsid w:val="00070BA1"/>
    <w:rsid w:val="00073466"/>
    <w:rsid w:val="00074F1A"/>
    <w:rsid w:val="000758FD"/>
    <w:rsid w:val="00082404"/>
    <w:rsid w:val="000825EC"/>
    <w:rsid w:val="00086B6B"/>
    <w:rsid w:val="0009475D"/>
    <w:rsid w:val="00096AA1"/>
    <w:rsid w:val="000A1C92"/>
    <w:rsid w:val="000A26F5"/>
    <w:rsid w:val="000A7219"/>
    <w:rsid w:val="000B26E7"/>
    <w:rsid w:val="000B2E5E"/>
    <w:rsid w:val="000B5461"/>
    <w:rsid w:val="000B553E"/>
    <w:rsid w:val="000B5C70"/>
    <w:rsid w:val="000B7DF2"/>
    <w:rsid w:val="000C0594"/>
    <w:rsid w:val="000C13E6"/>
    <w:rsid w:val="000C3511"/>
    <w:rsid w:val="000C3D52"/>
    <w:rsid w:val="000C45B7"/>
    <w:rsid w:val="000C62D3"/>
    <w:rsid w:val="000D0F4C"/>
    <w:rsid w:val="000D1CF4"/>
    <w:rsid w:val="000D28C1"/>
    <w:rsid w:val="000D4004"/>
    <w:rsid w:val="000D4D26"/>
    <w:rsid w:val="000D5FBF"/>
    <w:rsid w:val="000D600E"/>
    <w:rsid w:val="000E00E1"/>
    <w:rsid w:val="000E3992"/>
    <w:rsid w:val="000E4332"/>
    <w:rsid w:val="000E717B"/>
    <w:rsid w:val="000F0B81"/>
    <w:rsid w:val="000F73C7"/>
    <w:rsid w:val="000F756C"/>
    <w:rsid w:val="001062D0"/>
    <w:rsid w:val="00113324"/>
    <w:rsid w:val="00114DE6"/>
    <w:rsid w:val="001210A9"/>
    <w:rsid w:val="00130B2D"/>
    <w:rsid w:val="00131666"/>
    <w:rsid w:val="00133780"/>
    <w:rsid w:val="001354CC"/>
    <w:rsid w:val="0014150F"/>
    <w:rsid w:val="00144670"/>
    <w:rsid w:val="00144F2C"/>
    <w:rsid w:val="0014616C"/>
    <w:rsid w:val="00147799"/>
    <w:rsid w:val="00147DE2"/>
    <w:rsid w:val="00150899"/>
    <w:rsid w:val="00152CB8"/>
    <w:rsid w:val="00153C28"/>
    <w:rsid w:val="00156908"/>
    <w:rsid w:val="00160721"/>
    <w:rsid w:val="00160FAB"/>
    <w:rsid w:val="00163610"/>
    <w:rsid w:val="001743E7"/>
    <w:rsid w:val="00187070"/>
    <w:rsid w:val="00195964"/>
    <w:rsid w:val="001A0525"/>
    <w:rsid w:val="001A39DE"/>
    <w:rsid w:val="001A4CEE"/>
    <w:rsid w:val="001A4D56"/>
    <w:rsid w:val="001A58BF"/>
    <w:rsid w:val="001A6AFE"/>
    <w:rsid w:val="001A6CB5"/>
    <w:rsid w:val="001A7E4B"/>
    <w:rsid w:val="001B1A1C"/>
    <w:rsid w:val="001B3F10"/>
    <w:rsid w:val="001B70B9"/>
    <w:rsid w:val="001B72A9"/>
    <w:rsid w:val="001C0F0D"/>
    <w:rsid w:val="001C2544"/>
    <w:rsid w:val="001C417D"/>
    <w:rsid w:val="001C4328"/>
    <w:rsid w:val="001C7630"/>
    <w:rsid w:val="001D1196"/>
    <w:rsid w:val="001D19D8"/>
    <w:rsid w:val="001E19AA"/>
    <w:rsid w:val="001E38EF"/>
    <w:rsid w:val="001E7DEB"/>
    <w:rsid w:val="001E7F16"/>
    <w:rsid w:val="001F2E74"/>
    <w:rsid w:val="001F3A47"/>
    <w:rsid w:val="001F763E"/>
    <w:rsid w:val="00200B86"/>
    <w:rsid w:val="0020134B"/>
    <w:rsid w:val="0020402C"/>
    <w:rsid w:val="002044E3"/>
    <w:rsid w:val="00204BF4"/>
    <w:rsid w:val="00207F46"/>
    <w:rsid w:val="00211AC9"/>
    <w:rsid w:val="00212497"/>
    <w:rsid w:val="002154D4"/>
    <w:rsid w:val="0021591D"/>
    <w:rsid w:val="002239C6"/>
    <w:rsid w:val="00225534"/>
    <w:rsid w:val="0023212C"/>
    <w:rsid w:val="00235C1F"/>
    <w:rsid w:val="002366E2"/>
    <w:rsid w:val="002629A8"/>
    <w:rsid w:val="002639DB"/>
    <w:rsid w:val="00264240"/>
    <w:rsid w:val="002654F9"/>
    <w:rsid w:val="00267986"/>
    <w:rsid w:val="00267F76"/>
    <w:rsid w:val="0027546B"/>
    <w:rsid w:val="00283D52"/>
    <w:rsid w:val="00284176"/>
    <w:rsid w:val="00285BFC"/>
    <w:rsid w:val="00291FBE"/>
    <w:rsid w:val="00293240"/>
    <w:rsid w:val="002933E6"/>
    <w:rsid w:val="0029629D"/>
    <w:rsid w:val="002A29B1"/>
    <w:rsid w:val="002A3549"/>
    <w:rsid w:val="002A7860"/>
    <w:rsid w:val="002B08B2"/>
    <w:rsid w:val="002B385C"/>
    <w:rsid w:val="002C042D"/>
    <w:rsid w:val="002C265A"/>
    <w:rsid w:val="002C4595"/>
    <w:rsid w:val="002C4D00"/>
    <w:rsid w:val="002C71A0"/>
    <w:rsid w:val="002D00C9"/>
    <w:rsid w:val="002D268E"/>
    <w:rsid w:val="002D6CB1"/>
    <w:rsid w:val="002D6F33"/>
    <w:rsid w:val="002D740F"/>
    <w:rsid w:val="002D7F0F"/>
    <w:rsid w:val="002E00A1"/>
    <w:rsid w:val="002E662E"/>
    <w:rsid w:val="003001A2"/>
    <w:rsid w:val="00301D15"/>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4463"/>
    <w:rsid w:val="00365B00"/>
    <w:rsid w:val="00365BC4"/>
    <w:rsid w:val="003751AD"/>
    <w:rsid w:val="003819FF"/>
    <w:rsid w:val="00382E56"/>
    <w:rsid w:val="00385C06"/>
    <w:rsid w:val="003864CC"/>
    <w:rsid w:val="00386D0C"/>
    <w:rsid w:val="00395D4F"/>
    <w:rsid w:val="003966D8"/>
    <w:rsid w:val="00397271"/>
    <w:rsid w:val="003A01AF"/>
    <w:rsid w:val="003A3350"/>
    <w:rsid w:val="003A3369"/>
    <w:rsid w:val="003A44A9"/>
    <w:rsid w:val="003B19B2"/>
    <w:rsid w:val="003B3C83"/>
    <w:rsid w:val="003B40AD"/>
    <w:rsid w:val="003B6713"/>
    <w:rsid w:val="003B6C74"/>
    <w:rsid w:val="003B7CDE"/>
    <w:rsid w:val="003C19F4"/>
    <w:rsid w:val="003C67E6"/>
    <w:rsid w:val="003D3C03"/>
    <w:rsid w:val="003D3CB2"/>
    <w:rsid w:val="003D518E"/>
    <w:rsid w:val="003D5928"/>
    <w:rsid w:val="003E06B4"/>
    <w:rsid w:val="003E09D1"/>
    <w:rsid w:val="003E1377"/>
    <w:rsid w:val="003E1DDD"/>
    <w:rsid w:val="003E3617"/>
    <w:rsid w:val="003F0D75"/>
    <w:rsid w:val="003F319A"/>
    <w:rsid w:val="003F648F"/>
    <w:rsid w:val="0040506D"/>
    <w:rsid w:val="00406784"/>
    <w:rsid w:val="00406AF1"/>
    <w:rsid w:val="00407C2F"/>
    <w:rsid w:val="004102E8"/>
    <w:rsid w:val="00412FDC"/>
    <w:rsid w:val="0041385B"/>
    <w:rsid w:val="00414559"/>
    <w:rsid w:val="004148B6"/>
    <w:rsid w:val="00415BC0"/>
    <w:rsid w:val="004208E6"/>
    <w:rsid w:val="004232F9"/>
    <w:rsid w:val="004270BA"/>
    <w:rsid w:val="00433A1E"/>
    <w:rsid w:val="00435E7B"/>
    <w:rsid w:val="00440668"/>
    <w:rsid w:val="004421D7"/>
    <w:rsid w:val="00445F0A"/>
    <w:rsid w:val="00447B83"/>
    <w:rsid w:val="00450475"/>
    <w:rsid w:val="004561B3"/>
    <w:rsid w:val="00457882"/>
    <w:rsid w:val="00460B5A"/>
    <w:rsid w:val="0046600E"/>
    <w:rsid w:val="0046768C"/>
    <w:rsid w:val="00467E79"/>
    <w:rsid w:val="0047039F"/>
    <w:rsid w:val="00475C51"/>
    <w:rsid w:val="00476722"/>
    <w:rsid w:val="0047710E"/>
    <w:rsid w:val="0048071C"/>
    <w:rsid w:val="00481EEB"/>
    <w:rsid w:val="0048414C"/>
    <w:rsid w:val="00484836"/>
    <w:rsid w:val="0048667B"/>
    <w:rsid w:val="00492BFB"/>
    <w:rsid w:val="004931D0"/>
    <w:rsid w:val="00495993"/>
    <w:rsid w:val="004A12C7"/>
    <w:rsid w:val="004A1B95"/>
    <w:rsid w:val="004A3AAA"/>
    <w:rsid w:val="004A4315"/>
    <w:rsid w:val="004B5995"/>
    <w:rsid w:val="004B5AC3"/>
    <w:rsid w:val="004B68AD"/>
    <w:rsid w:val="004B6A8B"/>
    <w:rsid w:val="004C0742"/>
    <w:rsid w:val="004C237E"/>
    <w:rsid w:val="004C491E"/>
    <w:rsid w:val="004C5CD2"/>
    <w:rsid w:val="004C63FE"/>
    <w:rsid w:val="004D23C9"/>
    <w:rsid w:val="004D6645"/>
    <w:rsid w:val="004E33EF"/>
    <w:rsid w:val="004E562B"/>
    <w:rsid w:val="004E6239"/>
    <w:rsid w:val="004E642A"/>
    <w:rsid w:val="004E7C82"/>
    <w:rsid w:val="004F4830"/>
    <w:rsid w:val="004F7C92"/>
    <w:rsid w:val="005009DC"/>
    <w:rsid w:val="00500EFC"/>
    <w:rsid w:val="00501E2E"/>
    <w:rsid w:val="0051781E"/>
    <w:rsid w:val="00520971"/>
    <w:rsid w:val="00522C33"/>
    <w:rsid w:val="005267CB"/>
    <w:rsid w:val="005271D6"/>
    <w:rsid w:val="00531869"/>
    <w:rsid w:val="00533A2D"/>
    <w:rsid w:val="00535B7D"/>
    <w:rsid w:val="00541D1B"/>
    <w:rsid w:val="00544B8B"/>
    <w:rsid w:val="00554FAA"/>
    <w:rsid w:val="00556FA0"/>
    <w:rsid w:val="00557A69"/>
    <w:rsid w:val="0056120B"/>
    <w:rsid w:val="005630B4"/>
    <w:rsid w:val="00563773"/>
    <w:rsid w:val="005650F2"/>
    <w:rsid w:val="005672CB"/>
    <w:rsid w:val="00567BA1"/>
    <w:rsid w:val="00572D31"/>
    <w:rsid w:val="00572FEA"/>
    <w:rsid w:val="00576B90"/>
    <w:rsid w:val="0058155D"/>
    <w:rsid w:val="00590A5B"/>
    <w:rsid w:val="00590C13"/>
    <w:rsid w:val="0059119E"/>
    <w:rsid w:val="0059175F"/>
    <w:rsid w:val="0059560E"/>
    <w:rsid w:val="00595BF4"/>
    <w:rsid w:val="0059690F"/>
    <w:rsid w:val="00596C25"/>
    <w:rsid w:val="005A01E1"/>
    <w:rsid w:val="005A0290"/>
    <w:rsid w:val="005A0E04"/>
    <w:rsid w:val="005A1F29"/>
    <w:rsid w:val="005A29CB"/>
    <w:rsid w:val="005A50B9"/>
    <w:rsid w:val="005B16F8"/>
    <w:rsid w:val="005C51A1"/>
    <w:rsid w:val="005D2B26"/>
    <w:rsid w:val="005D3CF2"/>
    <w:rsid w:val="005D543F"/>
    <w:rsid w:val="005D7152"/>
    <w:rsid w:val="005D7AEE"/>
    <w:rsid w:val="005D7B50"/>
    <w:rsid w:val="005E28BB"/>
    <w:rsid w:val="005E352B"/>
    <w:rsid w:val="005E4484"/>
    <w:rsid w:val="005F172E"/>
    <w:rsid w:val="005F61FB"/>
    <w:rsid w:val="005F7404"/>
    <w:rsid w:val="006005F1"/>
    <w:rsid w:val="00604DC5"/>
    <w:rsid w:val="006067F0"/>
    <w:rsid w:val="006079D5"/>
    <w:rsid w:val="00610541"/>
    <w:rsid w:val="00610A43"/>
    <w:rsid w:val="00612296"/>
    <w:rsid w:val="00613F16"/>
    <w:rsid w:val="006161E8"/>
    <w:rsid w:val="006217FF"/>
    <w:rsid w:val="00623A75"/>
    <w:rsid w:val="0063044B"/>
    <w:rsid w:val="0063273A"/>
    <w:rsid w:val="00632DB3"/>
    <w:rsid w:val="00632EB9"/>
    <w:rsid w:val="00635CC6"/>
    <w:rsid w:val="00641AE1"/>
    <w:rsid w:val="006426C2"/>
    <w:rsid w:val="00651138"/>
    <w:rsid w:val="00655780"/>
    <w:rsid w:val="00656763"/>
    <w:rsid w:val="00656C96"/>
    <w:rsid w:val="006608EE"/>
    <w:rsid w:val="00661A00"/>
    <w:rsid w:val="00661A8C"/>
    <w:rsid w:val="006665A1"/>
    <w:rsid w:val="006706E8"/>
    <w:rsid w:val="0067771A"/>
    <w:rsid w:val="00682AB8"/>
    <w:rsid w:val="00684B85"/>
    <w:rsid w:val="00685EEA"/>
    <w:rsid w:val="006861AB"/>
    <w:rsid w:val="0068783F"/>
    <w:rsid w:val="006926DD"/>
    <w:rsid w:val="006960B0"/>
    <w:rsid w:val="00696E85"/>
    <w:rsid w:val="006A0D31"/>
    <w:rsid w:val="006A18C5"/>
    <w:rsid w:val="006A2CDB"/>
    <w:rsid w:val="006C156D"/>
    <w:rsid w:val="006D0495"/>
    <w:rsid w:val="006D09A7"/>
    <w:rsid w:val="006E7F1D"/>
    <w:rsid w:val="006F3EB3"/>
    <w:rsid w:val="006F4577"/>
    <w:rsid w:val="006F4DCD"/>
    <w:rsid w:val="006F7986"/>
    <w:rsid w:val="00702FF2"/>
    <w:rsid w:val="00703B66"/>
    <w:rsid w:val="00705800"/>
    <w:rsid w:val="00705EAB"/>
    <w:rsid w:val="007079FE"/>
    <w:rsid w:val="00716D1E"/>
    <w:rsid w:val="00723455"/>
    <w:rsid w:val="00724762"/>
    <w:rsid w:val="00724D6D"/>
    <w:rsid w:val="0073474C"/>
    <w:rsid w:val="0073754C"/>
    <w:rsid w:val="0074716F"/>
    <w:rsid w:val="0074737F"/>
    <w:rsid w:val="00750D71"/>
    <w:rsid w:val="00753673"/>
    <w:rsid w:val="007540BD"/>
    <w:rsid w:val="00762205"/>
    <w:rsid w:val="0076323D"/>
    <w:rsid w:val="00764201"/>
    <w:rsid w:val="0076722A"/>
    <w:rsid w:val="00770705"/>
    <w:rsid w:val="00772E56"/>
    <w:rsid w:val="007733AB"/>
    <w:rsid w:val="007777CE"/>
    <w:rsid w:val="007830BE"/>
    <w:rsid w:val="007834F2"/>
    <w:rsid w:val="007940C9"/>
    <w:rsid w:val="00796312"/>
    <w:rsid w:val="007A04FE"/>
    <w:rsid w:val="007A2913"/>
    <w:rsid w:val="007B08FE"/>
    <w:rsid w:val="007B1B23"/>
    <w:rsid w:val="007B21FA"/>
    <w:rsid w:val="007B2ADE"/>
    <w:rsid w:val="007B3940"/>
    <w:rsid w:val="007B3A84"/>
    <w:rsid w:val="007C261D"/>
    <w:rsid w:val="007D492E"/>
    <w:rsid w:val="007D7129"/>
    <w:rsid w:val="007E0C49"/>
    <w:rsid w:val="007E1599"/>
    <w:rsid w:val="007E2625"/>
    <w:rsid w:val="007E3A3B"/>
    <w:rsid w:val="007E51F2"/>
    <w:rsid w:val="007E5E97"/>
    <w:rsid w:val="007E7688"/>
    <w:rsid w:val="007F4A4B"/>
    <w:rsid w:val="007F73B3"/>
    <w:rsid w:val="007F770C"/>
    <w:rsid w:val="00800951"/>
    <w:rsid w:val="00802CB9"/>
    <w:rsid w:val="00807BA4"/>
    <w:rsid w:val="0081105F"/>
    <w:rsid w:val="00812462"/>
    <w:rsid w:val="00821133"/>
    <w:rsid w:val="00827DB1"/>
    <w:rsid w:val="008324B0"/>
    <w:rsid w:val="008407EC"/>
    <w:rsid w:val="0084333E"/>
    <w:rsid w:val="0084379B"/>
    <w:rsid w:val="00844650"/>
    <w:rsid w:val="00844CA9"/>
    <w:rsid w:val="00845669"/>
    <w:rsid w:val="00847491"/>
    <w:rsid w:val="00850194"/>
    <w:rsid w:val="008559E9"/>
    <w:rsid w:val="00856FBE"/>
    <w:rsid w:val="00860D2C"/>
    <w:rsid w:val="00861CBA"/>
    <w:rsid w:val="0086365B"/>
    <w:rsid w:val="00863B4C"/>
    <w:rsid w:val="00872AC0"/>
    <w:rsid w:val="00875531"/>
    <w:rsid w:val="00875FFE"/>
    <w:rsid w:val="00882741"/>
    <w:rsid w:val="008849C2"/>
    <w:rsid w:val="00885F5F"/>
    <w:rsid w:val="008877C2"/>
    <w:rsid w:val="00892B13"/>
    <w:rsid w:val="0089782D"/>
    <w:rsid w:val="008A1C6B"/>
    <w:rsid w:val="008A4864"/>
    <w:rsid w:val="008A6D27"/>
    <w:rsid w:val="008A71AE"/>
    <w:rsid w:val="008B0901"/>
    <w:rsid w:val="008B1B83"/>
    <w:rsid w:val="008B3ADA"/>
    <w:rsid w:val="008B719C"/>
    <w:rsid w:val="008C11C3"/>
    <w:rsid w:val="008C5F4A"/>
    <w:rsid w:val="008D1C31"/>
    <w:rsid w:val="008E3990"/>
    <w:rsid w:val="008E5CFC"/>
    <w:rsid w:val="008F0072"/>
    <w:rsid w:val="008F272E"/>
    <w:rsid w:val="008F2E8E"/>
    <w:rsid w:val="008F63FB"/>
    <w:rsid w:val="008F6B2B"/>
    <w:rsid w:val="00903C8A"/>
    <w:rsid w:val="009048C2"/>
    <w:rsid w:val="00905C37"/>
    <w:rsid w:val="00906916"/>
    <w:rsid w:val="00907B3B"/>
    <w:rsid w:val="00911534"/>
    <w:rsid w:val="009162E9"/>
    <w:rsid w:val="0092514B"/>
    <w:rsid w:val="009264AA"/>
    <w:rsid w:val="0093191A"/>
    <w:rsid w:val="00932A4B"/>
    <w:rsid w:val="009354A9"/>
    <w:rsid w:val="00944EE8"/>
    <w:rsid w:val="009461F0"/>
    <w:rsid w:val="009516CC"/>
    <w:rsid w:val="009601F5"/>
    <w:rsid w:val="00962E87"/>
    <w:rsid w:val="00963E43"/>
    <w:rsid w:val="00970F21"/>
    <w:rsid w:val="00975F3B"/>
    <w:rsid w:val="0098382A"/>
    <w:rsid w:val="0098657E"/>
    <w:rsid w:val="0099331B"/>
    <w:rsid w:val="009943CD"/>
    <w:rsid w:val="00994E91"/>
    <w:rsid w:val="009B7D4C"/>
    <w:rsid w:val="009C37F8"/>
    <w:rsid w:val="009C6BB2"/>
    <w:rsid w:val="009E27B6"/>
    <w:rsid w:val="009E38F6"/>
    <w:rsid w:val="009E7920"/>
    <w:rsid w:val="009F0037"/>
    <w:rsid w:val="009F368F"/>
    <w:rsid w:val="009F4367"/>
    <w:rsid w:val="009F65DC"/>
    <w:rsid w:val="009F7033"/>
    <w:rsid w:val="00A03BF6"/>
    <w:rsid w:val="00A03CE6"/>
    <w:rsid w:val="00A03E48"/>
    <w:rsid w:val="00A11F5A"/>
    <w:rsid w:val="00A13723"/>
    <w:rsid w:val="00A158CB"/>
    <w:rsid w:val="00A3011D"/>
    <w:rsid w:val="00A34B40"/>
    <w:rsid w:val="00A36292"/>
    <w:rsid w:val="00A36D64"/>
    <w:rsid w:val="00A44A6B"/>
    <w:rsid w:val="00A51DBA"/>
    <w:rsid w:val="00A5408B"/>
    <w:rsid w:val="00A556CE"/>
    <w:rsid w:val="00A569A5"/>
    <w:rsid w:val="00A67D37"/>
    <w:rsid w:val="00A70527"/>
    <w:rsid w:val="00A710F7"/>
    <w:rsid w:val="00A72DDE"/>
    <w:rsid w:val="00A74EA2"/>
    <w:rsid w:val="00A85ECD"/>
    <w:rsid w:val="00A923E2"/>
    <w:rsid w:val="00A964CE"/>
    <w:rsid w:val="00A96C60"/>
    <w:rsid w:val="00AA09FF"/>
    <w:rsid w:val="00AA4437"/>
    <w:rsid w:val="00AB363A"/>
    <w:rsid w:val="00AC35D6"/>
    <w:rsid w:val="00AC505D"/>
    <w:rsid w:val="00AD5595"/>
    <w:rsid w:val="00AD678B"/>
    <w:rsid w:val="00AE41A1"/>
    <w:rsid w:val="00AE5A17"/>
    <w:rsid w:val="00AE626F"/>
    <w:rsid w:val="00AF5AF6"/>
    <w:rsid w:val="00B11564"/>
    <w:rsid w:val="00B13BB6"/>
    <w:rsid w:val="00B2565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2D2A"/>
    <w:rsid w:val="00BA4785"/>
    <w:rsid w:val="00BA7059"/>
    <w:rsid w:val="00BA7C98"/>
    <w:rsid w:val="00BB0DB1"/>
    <w:rsid w:val="00BB40C8"/>
    <w:rsid w:val="00BB6985"/>
    <w:rsid w:val="00BC1C77"/>
    <w:rsid w:val="00BC6602"/>
    <w:rsid w:val="00BC68D1"/>
    <w:rsid w:val="00BD26E2"/>
    <w:rsid w:val="00BD3A32"/>
    <w:rsid w:val="00BD7584"/>
    <w:rsid w:val="00BD787B"/>
    <w:rsid w:val="00BE0CE4"/>
    <w:rsid w:val="00BE7D68"/>
    <w:rsid w:val="00BF0B16"/>
    <w:rsid w:val="00BF101A"/>
    <w:rsid w:val="00C0396B"/>
    <w:rsid w:val="00C03ED1"/>
    <w:rsid w:val="00C1503E"/>
    <w:rsid w:val="00C16955"/>
    <w:rsid w:val="00C21584"/>
    <w:rsid w:val="00C2184A"/>
    <w:rsid w:val="00C22C94"/>
    <w:rsid w:val="00C255BC"/>
    <w:rsid w:val="00C26117"/>
    <w:rsid w:val="00C3559B"/>
    <w:rsid w:val="00C41BBD"/>
    <w:rsid w:val="00C44620"/>
    <w:rsid w:val="00C523B8"/>
    <w:rsid w:val="00C53821"/>
    <w:rsid w:val="00C53CED"/>
    <w:rsid w:val="00C57362"/>
    <w:rsid w:val="00C57CA7"/>
    <w:rsid w:val="00C617FE"/>
    <w:rsid w:val="00C64E5D"/>
    <w:rsid w:val="00C64F3D"/>
    <w:rsid w:val="00C6799C"/>
    <w:rsid w:val="00C7051E"/>
    <w:rsid w:val="00C70BEA"/>
    <w:rsid w:val="00C71B04"/>
    <w:rsid w:val="00C766CC"/>
    <w:rsid w:val="00C76B7D"/>
    <w:rsid w:val="00C8406C"/>
    <w:rsid w:val="00C87AAA"/>
    <w:rsid w:val="00C903F4"/>
    <w:rsid w:val="00C954C5"/>
    <w:rsid w:val="00CA543F"/>
    <w:rsid w:val="00CA6429"/>
    <w:rsid w:val="00CA6ADF"/>
    <w:rsid w:val="00CA7664"/>
    <w:rsid w:val="00CB5C14"/>
    <w:rsid w:val="00CB6387"/>
    <w:rsid w:val="00CC068F"/>
    <w:rsid w:val="00CC12A8"/>
    <w:rsid w:val="00CC6892"/>
    <w:rsid w:val="00CC77A5"/>
    <w:rsid w:val="00CD31FE"/>
    <w:rsid w:val="00CD4F1D"/>
    <w:rsid w:val="00CE1EC6"/>
    <w:rsid w:val="00CE5201"/>
    <w:rsid w:val="00CE7D5C"/>
    <w:rsid w:val="00CF1627"/>
    <w:rsid w:val="00CF2263"/>
    <w:rsid w:val="00CF471C"/>
    <w:rsid w:val="00CF6E48"/>
    <w:rsid w:val="00CF760D"/>
    <w:rsid w:val="00D0081C"/>
    <w:rsid w:val="00D008ED"/>
    <w:rsid w:val="00D01984"/>
    <w:rsid w:val="00D01EDA"/>
    <w:rsid w:val="00D16472"/>
    <w:rsid w:val="00D210D8"/>
    <w:rsid w:val="00D321C9"/>
    <w:rsid w:val="00D33FA2"/>
    <w:rsid w:val="00D37FC2"/>
    <w:rsid w:val="00D43DB0"/>
    <w:rsid w:val="00D44A90"/>
    <w:rsid w:val="00D570C5"/>
    <w:rsid w:val="00D71BA5"/>
    <w:rsid w:val="00D7520C"/>
    <w:rsid w:val="00D922CF"/>
    <w:rsid w:val="00D951B4"/>
    <w:rsid w:val="00DA1950"/>
    <w:rsid w:val="00DA32B3"/>
    <w:rsid w:val="00DA6734"/>
    <w:rsid w:val="00DB56B3"/>
    <w:rsid w:val="00DC0692"/>
    <w:rsid w:val="00DC4156"/>
    <w:rsid w:val="00DD31D3"/>
    <w:rsid w:val="00DD61D8"/>
    <w:rsid w:val="00DE24BE"/>
    <w:rsid w:val="00DE5B21"/>
    <w:rsid w:val="00DE7479"/>
    <w:rsid w:val="00DF128B"/>
    <w:rsid w:val="00DF2F94"/>
    <w:rsid w:val="00E05335"/>
    <w:rsid w:val="00E053F4"/>
    <w:rsid w:val="00E11688"/>
    <w:rsid w:val="00E23471"/>
    <w:rsid w:val="00E26EAA"/>
    <w:rsid w:val="00E271CB"/>
    <w:rsid w:val="00E27CC3"/>
    <w:rsid w:val="00E30FCA"/>
    <w:rsid w:val="00E36F97"/>
    <w:rsid w:val="00E42057"/>
    <w:rsid w:val="00E4373D"/>
    <w:rsid w:val="00E44C4F"/>
    <w:rsid w:val="00E46DA0"/>
    <w:rsid w:val="00E54030"/>
    <w:rsid w:val="00E6258B"/>
    <w:rsid w:val="00E628C3"/>
    <w:rsid w:val="00E62975"/>
    <w:rsid w:val="00E62BEE"/>
    <w:rsid w:val="00E63075"/>
    <w:rsid w:val="00E644BF"/>
    <w:rsid w:val="00E70759"/>
    <w:rsid w:val="00E73A40"/>
    <w:rsid w:val="00E806E3"/>
    <w:rsid w:val="00E81697"/>
    <w:rsid w:val="00E83744"/>
    <w:rsid w:val="00E8603A"/>
    <w:rsid w:val="00E922DE"/>
    <w:rsid w:val="00E928D4"/>
    <w:rsid w:val="00E94852"/>
    <w:rsid w:val="00EA4D25"/>
    <w:rsid w:val="00EA576F"/>
    <w:rsid w:val="00EB0255"/>
    <w:rsid w:val="00EB3838"/>
    <w:rsid w:val="00EB4C77"/>
    <w:rsid w:val="00EB60DB"/>
    <w:rsid w:val="00EB68CC"/>
    <w:rsid w:val="00EC1273"/>
    <w:rsid w:val="00EC2095"/>
    <w:rsid w:val="00EC5E51"/>
    <w:rsid w:val="00EC71D9"/>
    <w:rsid w:val="00EC76B0"/>
    <w:rsid w:val="00ED48AE"/>
    <w:rsid w:val="00EE3A97"/>
    <w:rsid w:val="00EE65A7"/>
    <w:rsid w:val="00EE7E5A"/>
    <w:rsid w:val="00EE7F39"/>
    <w:rsid w:val="00EF48EC"/>
    <w:rsid w:val="00EF6016"/>
    <w:rsid w:val="00F00DB2"/>
    <w:rsid w:val="00F05E03"/>
    <w:rsid w:val="00F10AF7"/>
    <w:rsid w:val="00F10D14"/>
    <w:rsid w:val="00F2061A"/>
    <w:rsid w:val="00F30057"/>
    <w:rsid w:val="00F31EFD"/>
    <w:rsid w:val="00F34750"/>
    <w:rsid w:val="00F44CF6"/>
    <w:rsid w:val="00F46114"/>
    <w:rsid w:val="00F47B3A"/>
    <w:rsid w:val="00F505C7"/>
    <w:rsid w:val="00F52393"/>
    <w:rsid w:val="00F52C87"/>
    <w:rsid w:val="00F602C8"/>
    <w:rsid w:val="00F605D6"/>
    <w:rsid w:val="00F62595"/>
    <w:rsid w:val="00F63FB0"/>
    <w:rsid w:val="00F7168A"/>
    <w:rsid w:val="00F71C13"/>
    <w:rsid w:val="00F73DF1"/>
    <w:rsid w:val="00F77228"/>
    <w:rsid w:val="00F90567"/>
    <w:rsid w:val="00F908EE"/>
    <w:rsid w:val="00F91352"/>
    <w:rsid w:val="00F922ED"/>
    <w:rsid w:val="00FA1D5F"/>
    <w:rsid w:val="00FB7ADE"/>
    <w:rsid w:val="00FC164F"/>
    <w:rsid w:val="00FD2036"/>
    <w:rsid w:val="00FE45B3"/>
    <w:rsid w:val="00FE483F"/>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9488A"/>
  <w15:docId w15:val="{669FC99C-ECB1-4EE9-B1DC-E32FC88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3914">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4855-9A50-43C3-9EEA-A67D3D82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15</Pages>
  <Words>5685</Words>
  <Characters>35481</Characters>
  <Application>Microsoft Office Word</Application>
  <DocSecurity>0</DocSecurity>
  <Lines>669</Lines>
  <Paragraphs>202</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Julia Brandt-Jensen</dc:creator>
  <cp:keywords/>
  <dc:description/>
  <cp:lastModifiedBy>Marie Elisabeth Sakse</cp:lastModifiedBy>
  <cp:revision>2</cp:revision>
  <cp:lastPrinted>2020-09-11T10:25:00Z</cp:lastPrinted>
  <dcterms:created xsi:type="dcterms:W3CDTF">2020-09-23T12:49:00Z</dcterms:created>
  <dcterms:modified xsi:type="dcterms:W3CDTF">2020-09-23T12:49:00Z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43970</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Julia Brandt-Jensen</vt:lpwstr>
  </property>
  <property fmtid="{D5CDD505-2E9C-101B-9397-08002B2CF9AE}" pid="17" name="SD_CtlText_Generelt_CaseNoF2">
    <vt:lpwstr>$dossier_f2casenumber$</vt:lpwstr>
  </property>
  <property fmtid="{D5CDD505-2E9C-101B-9397-08002B2CF9AE}" pid="18" name="SD_UserprofileName">
    <vt:lpwstr>Julia Brandt-Jensen</vt:lpwstr>
  </property>
  <property fmtid="{D5CDD505-2E9C-101B-9397-08002B2CF9AE}" pid="19" name="SD_Office_OFF_ID">
    <vt:lpwstr>142</vt:lpwstr>
  </property>
  <property fmtid="{D5CDD505-2E9C-101B-9397-08002B2CF9AE}" pid="20" name="CurrentOfficeID">
    <vt:lpwstr>142</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Erhvervsregulering</vt:lpwstr>
  </property>
  <property fmtid="{D5CDD505-2E9C-101B-9397-08002B2CF9AE}" pid="27" name="SD_Office_OFF_Department">
    <vt:lpwstr>Erhvervsregulering</vt:lpwstr>
  </property>
  <property fmtid="{D5CDD505-2E9C-101B-9397-08002B2CF9AE}" pid="28" name="SD_Office_OFF_Department_EN">
    <vt:lpwstr>Erhvervsregulering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Julia Brandt-Jensen</vt:lpwstr>
  </property>
  <property fmtid="{D5CDD505-2E9C-101B-9397-08002B2CF9AE}" pid="49" name="USR_Initials">
    <vt:lpwstr>JUBRA</vt:lpwstr>
  </property>
  <property fmtid="{D5CDD505-2E9C-101B-9397-08002B2CF9AE}" pid="50" name="USR_Title">
    <vt:lpwstr>Fuldmægtig</vt:lpwstr>
  </property>
  <property fmtid="{D5CDD505-2E9C-101B-9397-08002B2CF9AE}" pid="51" name="USR_DirectPhone">
    <vt:lpwstr>+45 20 60 47 55</vt:lpwstr>
  </property>
  <property fmtid="{D5CDD505-2E9C-101B-9397-08002B2CF9AE}" pid="52" name="USR_Mobile">
    <vt:lpwstr>+45 20 60 47 55</vt:lpwstr>
  </property>
  <property fmtid="{D5CDD505-2E9C-101B-9397-08002B2CF9AE}" pid="53" name="USR_Email">
    <vt:lpwstr>jubra@mfvm.dk</vt:lpwstr>
  </property>
  <property fmtid="{D5CDD505-2E9C-101B-9397-08002B2CF9AE}" pid="54" name="DocumentInfoFinished">
    <vt:lpwstr>True</vt:lpwstr>
  </property>
</Properties>
</file>