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116"/>
        <w:gridCol w:w="1939"/>
      </w:tblGrid>
      <w:tr w:rsidR="005271D6" w:rsidRPr="00660F90" w14:paraId="1520D0B4" w14:textId="77777777" w:rsidTr="003F319A">
        <w:trPr>
          <w:cantSplit/>
          <w:trHeight w:val="2600"/>
        </w:trPr>
        <w:tc>
          <w:tcPr>
            <w:tcW w:w="7116" w:type="dxa"/>
          </w:tcPr>
          <w:p w14:paraId="0CF11B41" w14:textId="77777777" w:rsidR="007F73B3" w:rsidRPr="00660F90" w:rsidRDefault="007F73B3" w:rsidP="00F603D1">
            <w:pPr>
              <w:jc w:val="both"/>
            </w:pPr>
          </w:p>
        </w:tc>
        <w:tc>
          <w:tcPr>
            <w:tcW w:w="1939" w:type="dxa"/>
          </w:tcPr>
          <w:p w14:paraId="18AF38C0" w14:textId="77777777" w:rsidR="005271D6" w:rsidRPr="00660F90" w:rsidRDefault="005271D6" w:rsidP="00F603D1">
            <w:pPr>
              <w:jc w:val="both"/>
            </w:pPr>
          </w:p>
        </w:tc>
      </w:tr>
      <w:tr w:rsidR="00541D1B" w:rsidRPr="00660F90" w14:paraId="1A279178" w14:textId="77777777" w:rsidTr="003F319A">
        <w:trPr>
          <w:cantSplit/>
        </w:trPr>
        <w:tc>
          <w:tcPr>
            <w:tcW w:w="7116" w:type="dxa"/>
          </w:tcPr>
          <w:p w14:paraId="26F350A6" w14:textId="77777777" w:rsidR="00541D1B" w:rsidRPr="00660F90" w:rsidRDefault="00660F90" w:rsidP="00F603D1">
            <w:pPr>
              <w:pStyle w:val="DocumentHeading"/>
              <w:jc w:val="both"/>
            </w:pPr>
            <w:r>
              <w:t xml:space="preserve">Høringsnotat til </w:t>
            </w:r>
            <w:r w:rsidR="00E70207">
              <w:t>udkast til ændringer af husdyrgodkendelses-bekendtgørelsen</w:t>
            </w:r>
          </w:p>
          <w:p w14:paraId="5F69C02D" w14:textId="77777777" w:rsidR="00541D1B" w:rsidRPr="00660F90" w:rsidRDefault="00541D1B" w:rsidP="00F603D1">
            <w:pPr>
              <w:jc w:val="both"/>
            </w:pPr>
          </w:p>
        </w:tc>
        <w:tc>
          <w:tcPr>
            <w:tcW w:w="1939" w:type="dxa"/>
          </w:tcPr>
          <w:p w14:paraId="76FE7050" w14:textId="77777777" w:rsidR="00541D1B" w:rsidRPr="00660F90" w:rsidRDefault="00541D1B" w:rsidP="00F603D1">
            <w:pPr>
              <w:jc w:val="both"/>
            </w:pPr>
          </w:p>
        </w:tc>
      </w:tr>
    </w:tbl>
    <w:p w14:paraId="7B046B5A" w14:textId="77777777" w:rsidR="00BC1C77" w:rsidRDefault="00BC1C77" w:rsidP="00F603D1">
      <w:pPr>
        <w:jc w:val="both"/>
      </w:pPr>
    </w:p>
    <w:p w14:paraId="739755D3" w14:textId="77777777" w:rsidR="003863C8" w:rsidRPr="003863C8" w:rsidRDefault="003863C8" w:rsidP="00F603D1">
      <w:pPr>
        <w:pStyle w:val="Opstilling-talellerbogst"/>
        <w:jc w:val="both"/>
        <w:rPr>
          <w:b/>
        </w:rPr>
      </w:pPr>
      <w:r w:rsidRPr="003863C8">
        <w:rPr>
          <w:b/>
        </w:rPr>
        <w:t>Baggrund</w:t>
      </w:r>
    </w:p>
    <w:p w14:paraId="0FC482DB" w14:textId="77777777" w:rsidR="003863C8" w:rsidRDefault="003863C8" w:rsidP="00F603D1">
      <w:pPr>
        <w:jc w:val="both"/>
      </w:pPr>
    </w:p>
    <w:p w14:paraId="00DCC123" w14:textId="77777777" w:rsidR="00E70207" w:rsidRDefault="00E70207" w:rsidP="00F603D1">
      <w:pPr>
        <w:jc w:val="both"/>
      </w:pPr>
      <w:r>
        <w:t xml:space="preserve">Udkast til bekendtgørelse om godkendelse og tilladelse m.v. af husdyrbrug (husdyrgodkendelsesbekendtgørelsen) har været i offentlig høring i perioden fra den </w:t>
      </w:r>
      <w:r w:rsidR="00835272">
        <w:t>23. september</w:t>
      </w:r>
      <w:r>
        <w:t xml:space="preserve"> til</w:t>
      </w:r>
    </w:p>
    <w:p w14:paraId="2FEA0A52" w14:textId="77777777" w:rsidR="00E70207" w:rsidRDefault="00E70207" w:rsidP="00F603D1">
      <w:pPr>
        <w:jc w:val="both"/>
      </w:pPr>
      <w:r>
        <w:t xml:space="preserve">den </w:t>
      </w:r>
      <w:r w:rsidR="00835272">
        <w:t>7. oktober 2020</w:t>
      </w:r>
      <w:r>
        <w:t>.</w:t>
      </w:r>
    </w:p>
    <w:p w14:paraId="409AC4E1" w14:textId="77777777" w:rsidR="00835272" w:rsidRDefault="00835272" w:rsidP="00F603D1">
      <w:pPr>
        <w:jc w:val="both"/>
      </w:pPr>
    </w:p>
    <w:p w14:paraId="0C7FCFF5" w14:textId="7146BCB8" w:rsidR="00E70207" w:rsidRDefault="004E4D6E" w:rsidP="00F603D1">
      <w:pPr>
        <w:jc w:val="both"/>
      </w:pPr>
      <w:r>
        <w:t>Miljøministeriet</w:t>
      </w:r>
      <w:r w:rsidR="00E70207">
        <w:t xml:space="preserve"> har modtaget høringssvar fra L&amp;F, </w:t>
      </w:r>
      <w:r w:rsidR="00835272">
        <w:t>Danske Æg, KL, Aa</w:t>
      </w:r>
      <w:r w:rsidR="00FD0D0A">
        <w:t>b</w:t>
      </w:r>
      <w:r w:rsidR="00835272">
        <w:t>enraa</w:t>
      </w:r>
      <w:r w:rsidR="00465402">
        <w:t xml:space="preserve"> Kommune</w:t>
      </w:r>
      <w:r w:rsidR="00E70207">
        <w:t xml:space="preserve"> og </w:t>
      </w:r>
      <w:r w:rsidR="00835272">
        <w:t xml:space="preserve">Herning </w:t>
      </w:r>
      <w:r w:rsidR="00E70207">
        <w:t>Kommune.</w:t>
      </w:r>
    </w:p>
    <w:p w14:paraId="1E59AE7E" w14:textId="77777777" w:rsidR="00835272" w:rsidRDefault="00835272" w:rsidP="00F603D1">
      <w:pPr>
        <w:jc w:val="both"/>
      </w:pPr>
      <w:bookmarkStart w:id="0" w:name="_GoBack"/>
      <w:bookmarkEnd w:id="0"/>
    </w:p>
    <w:p w14:paraId="7187CBFF" w14:textId="77777777" w:rsidR="00E70207" w:rsidRDefault="00835272" w:rsidP="00F603D1">
      <w:pPr>
        <w:jc w:val="both"/>
      </w:pPr>
      <w:r>
        <w:t xml:space="preserve">Derudover har </w:t>
      </w:r>
      <w:r w:rsidR="00E70207">
        <w:t>Erhvervsstyrelsens Område for Bedre Regulering (OBR) afgivet høringssvar til høringsudkastet.</w:t>
      </w:r>
    </w:p>
    <w:p w14:paraId="01A9E6A2" w14:textId="77777777" w:rsidR="00835272" w:rsidRDefault="00835272" w:rsidP="00F603D1">
      <w:pPr>
        <w:jc w:val="both"/>
      </w:pPr>
    </w:p>
    <w:p w14:paraId="6E018507" w14:textId="027B7B25" w:rsidR="00E70207" w:rsidRDefault="00E70207" w:rsidP="00F603D1">
      <w:pPr>
        <w:jc w:val="both"/>
      </w:pPr>
      <w:r>
        <w:t>Bemærkningerne er gengivet i al sin væsentlighed i de</w:t>
      </w:r>
      <w:r w:rsidR="00835272">
        <w:t xml:space="preserve">t følgende sammen med </w:t>
      </w:r>
      <w:r w:rsidR="004E4D6E">
        <w:t>Miljøministeriet</w:t>
      </w:r>
      <w:r>
        <w:t>s kommentarer hertil. De gengivne høringssv</w:t>
      </w:r>
      <w:r w:rsidR="00835272">
        <w:t xml:space="preserve">ar er endvidere tilgængelige på </w:t>
      </w:r>
      <w:r>
        <w:t>Høringsportalen.</w:t>
      </w:r>
    </w:p>
    <w:p w14:paraId="4B5955E1" w14:textId="77777777" w:rsidR="00835272" w:rsidRDefault="00835272" w:rsidP="00F603D1">
      <w:pPr>
        <w:jc w:val="both"/>
      </w:pPr>
    </w:p>
    <w:p w14:paraId="3D40732D" w14:textId="0F0757C9" w:rsidR="00E70207" w:rsidRDefault="00E70207" w:rsidP="00F603D1">
      <w:pPr>
        <w:jc w:val="both"/>
      </w:pPr>
      <w:r>
        <w:t xml:space="preserve">Herudover har </w:t>
      </w:r>
      <w:r w:rsidR="004E4D6E">
        <w:t>Miljøministeriet</w:t>
      </w:r>
      <w:r>
        <w:t xml:space="preserve"> gennemført en screening af de foreslåede ændringer af</w:t>
      </w:r>
    </w:p>
    <w:p w14:paraId="6C8F6867" w14:textId="77777777" w:rsidR="00E70207" w:rsidRDefault="00E70207" w:rsidP="00F603D1">
      <w:pPr>
        <w:jc w:val="both"/>
      </w:pPr>
      <w:r>
        <w:t>bekendtgørelsen i overensstemmelse med miljøvurderingslovens § 10. Udkast til screeningsafgørelse</w:t>
      </w:r>
    </w:p>
    <w:p w14:paraId="54A51634" w14:textId="77777777" w:rsidR="00E70207" w:rsidRDefault="00E70207" w:rsidP="00F603D1">
      <w:pPr>
        <w:jc w:val="both"/>
      </w:pPr>
      <w:r>
        <w:t xml:space="preserve">har været i høring hos de berørte myndigheder fra den </w:t>
      </w:r>
      <w:r w:rsidR="00835272">
        <w:t>23</w:t>
      </w:r>
      <w:r>
        <w:t>.</w:t>
      </w:r>
      <w:r w:rsidR="00835272">
        <w:t xml:space="preserve"> september til den 7. oktober 2020</w:t>
      </w:r>
      <w:r>
        <w:t>. Den endelige</w:t>
      </w:r>
      <w:r w:rsidR="00835272">
        <w:t xml:space="preserve"> </w:t>
      </w:r>
      <w:r>
        <w:t xml:space="preserve">screeningsafgørelse er offentliggjort på Høringsportalen den </w:t>
      </w:r>
      <w:r w:rsidR="00835272">
        <w:t>12</w:t>
      </w:r>
      <w:r>
        <w:t>. oktober 20</w:t>
      </w:r>
      <w:r w:rsidR="005A034E">
        <w:t>20</w:t>
      </w:r>
      <w:r>
        <w:t>.</w:t>
      </w:r>
    </w:p>
    <w:p w14:paraId="5C519A30" w14:textId="77777777" w:rsidR="00B13618" w:rsidRDefault="00B13618" w:rsidP="00F603D1">
      <w:pPr>
        <w:jc w:val="both"/>
      </w:pPr>
      <w:r>
        <w:br w:type="page"/>
      </w:r>
    </w:p>
    <w:p w14:paraId="41950059" w14:textId="77777777" w:rsidR="00B13618" w:rsidRPr="001B292E" w:rsidRDefault="00EE6125" w:rsidP="00F603D1">
      <w:pPr>
        <w:pStyle w:val="Opstilling-talellerbogst"/>
        <w:jc w:val="both"/>
        <w:rPr>
          <w:b/>
        </w:rPr>
      </w:pPr>
      <w:r w:rsidRPr="001B292E">
        <w:rPr>
          <w:b/>
        </w:rPr>
        <w:lastRenderedPageBreak/>
        <w:t>Bemærkninger til de enkelte forslag til ændringer</w:t>
      </w:r>
      <w:r w:rsidR="00822733">
        <w:rPr>
          <w:b/>
        </w:rPr>
        <w:t xml:space="preserve"> og høringsbrevet</w:t>
      </w:r>
    </w:p>
    <w:p w14:paraId="0C3B392A" w14:textId="77777777" w:rsidR="00EE6125" w:rsidRDefault="00EE6125" w:rsidP="00F603D1">
      <w:pPr>
        <w:pStyle w:val="Opstilling-talellerbogst"/>
        <w:numPr>
          <w:ilvl w:val="0"/>
          <w:numId w:val="0"/>
        </w:numPr>
        <w:jc w:val="both"/>
      </w:pPr>
    </w:p>
    <w:p w14:paraId="570CCA23" w14:textId="77777777" w:rsidR="004202E7" w:rsidRPr="00822733" w:rsidRDefault="00C15628" w:rsidP="00F603D1">
      <w:pPr>
        <w:pStyle w:val="Opstilling-talellerbogst"/>
        <w:numPr>
          <w:ilvl w:val="1"/>
          <w:numId w:val="6"/>
        </w:numPr>
        <w:jc w:val="both"/>
        <w:rPr>
          <w:b/>
        </w:rPr>
      </w:pPr>
      <w:r w:rsidRPr="00C15628">
        <w:rPr>
          <w:b/>
        </w:rPr>
        <w:t>Årlig indberetning til kommunalbestyrelsen</w:t>
      </w:r>
      <w:r>
        <w:rPr>
          <w:b/>
        </w:rPr>
        <w:t xml:space="preserve"> - </w:t>
      </w:r>
      <w:r w:rsidR="004202E7" w:rsidRPr="00822733">
        <w:rPr>
          <w:b/>
        </w:rPr>
        <w:t>§ 50, stk. 2</w:t>
      </w:r>
    </w:p>
    <w:p w14:paraId="20B37E4D" w14:textId="77777777" w:rsidR="007151ED" w:rsidRDefault="007151ED" w:rsidP="00F603D1">
      <w:pPr>
        <w:pStyle w:val="Opstilling-talellerbogst"/>
        <w:numPr>
          <w:ilvl w:val="0"/>
          <w:numId w:val="0"/>
        </w:numPr>
        <w:jc w:val="both"/>
      </w:pPr>
      <w:r w:rsidRPr="007151ED">
        <w:rPr>
          <w:u w:val="single"/>
        </w:rPr>
        <w:t>Aabenraa Kommune</w:t>
      </w:r>
      <w:r>
        <w:t xml:space="preserve"> foreslår, at IE-husdyrbrug senest den 31. januar skal indsende den foreskrevne dokumentation for det seneste kalenderår, da det år, der skal dokumenteres, bør være afsluttet. </w:t>
      </w:r>
    </w:p>
    <w:p w14:paraId="210124CB" w14:textId="77777777" w:rsidR="007151ED" w:rsidRDefault="007151ED" w:rsidP="00F603D1">
      <w:pPr>
        <w:pStyle w:val="Opstilling-talellerbogst"/>
        <w:numPr>
          <w:ilvl w:val="0"/>
          <w:numId w:val="0"/>
        </w:numPr>
        <w:jc w:val="both"/>
      </w:pPr>
    </w:p>
    <w:p w14:paraId="43ED4AE6" w14:textId="214D6154" w:rsidR="007151ED" w:rsidRPr="007151ED" w:rsidRDefault="004E4D6E" w:rsidP="00F603D1">
      <w:pPr>
        <w:pStyle w:val="Opstilling-talellerbogst"/>
        <w:numPr>
          <w:ilvl w:val="0"/>
          <w:numId w:val="0"/>
        </w:numPr>
        <w:jc w:val="both"/>
        <w:rPr>
          <w:i/>
        </w:rPr>
      </w:pPr>
      <w:r>
        <w:rPr>
          <w:i/>
        </w:rPr>
        <w:t>Miljøministeriet</w:t>
      </w:r>
      <w:r w:rsidR="007151ED" w:rsidRPr="007151ED">
        <w:rPr>
          <w:i/>
        </w:rPr>
        <w:t>s bemærkninger</w:t>
      </w:r>
    </w:p>
    <w:p w14:paraId="7001C3C9" w14:textId="0A835709" w:rsidR="007151ED" w:rsidRDefault="007151ED" w:rsidP="00F603D1">
      <w:pPr>
        <w:pStyle w:val="Opstilling-talellerbogst"/>
        <w:numPr>
          <w:ilvl w:val="0"/>
          <w:numId w:val="0"/>
        </w:numPr>
        <w:jc w:val="both"/>
      </w:pPr>
      <w:r>
        <w:t xml:space="preserve">§ 50, stk. 2, 1. pkt., foreskriver, at </w:t>
      </w:r>
      <w:r w:rsidRPr="007151ED">
        <w:t xml:space="preserve">IE-husdyrbrug hvert år senest den 31. december </w:t>
      </w:r>
      <w:r>
        <w:t xml:space="preserve">skal </w:t>
      </w:r>
      <w:r w:rsidRPr="007151ED">
        <w:t xml:space="preserve">indsende </w:t>
      </w:r>
      <w:r>
        <w:t xml:space="preserve">de </w:t>
      </w:r>
      <w:r w:rsidRPr="007151ED">
        <w:t xml:space="preserve">informationer, </w:t>
      </w:r>
      <w:r>
        <w:t xml:space="preserve">der følger af § 50, </w:t>
      </w:r>
      <w:r w:rsidRPr="007151ED">
        <w:t xml:space="preserve">stk. 1, til kommunalbestyrelsen. </w:t>
      </w:r>
      <w:r>
        <w:t>Det følger videre af § 50, stk. 2, 2. pkt., at de informationer, der skal indsendes</w:t>
      </w:r>
      <w:r w:rsidRPr="007151ED">
        <w:t>, skal angå det forudgående kalenderår og skal sendes samlet til kommunalbestyrelsen.</w:t>
      </w:r>
    </w:p>
    <w:p w14:paraId="0EC0F34E" w14:textId="77777777" w:rsidR="007151ED" w:rsidRDefault="007151ED" w:rsidP="00F603D1">
      <w:pPr>
        <w:pStyle w:val="Opstilling-talellerbogst"/>
        <w:numPr>
          <w:ilvl w:val="0"/>
          <w:numId w:val="0"/>
        </w:numPr>
        <w:jc w:val="both"/>
      </w:pPr>
    </w:p>
    <w:p w14:paraId="1B429F6D" w14:textId="77777777" w:rsidR="007151ED" w:rsidRDefault="007151ED" w:rsidP="00F603D1">
      <w:pPr>
        <w:pStyle w:val="Opstilling-talellerbogst"/>
        <w:numPr>
          <w:ilvl w:val="0"/>
          <w:numId w:val="0"/>
        </w:numPr>
        <w:jc w:val="both"/>
      </w:pPr>
      <w:r>
        <w:t>Bestemmelsen sikrer således, at</w:t>
      </w:r>
      <w:r w:rsidRPr="007151ED">
        <w:t xml:space="preserve"> </w:t>
      </w:r>
      <w:r>
        <w:t>det år, der skal dokumenteres, er afsluttet, og at IE-husdyrbrugene har et helt år til at indsende de pågældende informationer.</w:t>
      </w:r>
    </w:p>
    <w:p w14:paraId="65EAD2E4" w14:textId="77777777" w:rsidR="007151ED" w:rsidRDefault="007151ED" w:rsidP="00F603D1">
      <w:pPr>
        <w:pStyle w:val="Opstilling-talellerbogst"/>
        <w:numPr>
          <w:ilvl w:val="0"/>
          <w:numId w:val="0"/>
        </w:numPr>
        <w:jc w:val="both"/>
      </w:pPr>
    </w:p>
    <w:p w14:paraId="7CA95ACD" w14:textId="77777777" w:rsidR="004202E7" w:rsidRPr="00822733" w:rsidRDefault="00C15628" w:rsidP="00F603D1">
      <w:pPr>
        <w:pStyle w:val="Opstilling-talellerbogst"/>
        <w:numPr>
          <w:ilvl w:val="1"/>
          <w:numId w:val="6"/>
        </w:numPr>
        <w:jc w:val="both"/>
        <w:rPr>
          <w:b/>
        </w:rPr>
      </w:pPr>
      <w:r w:rsidRPr="00C15628">
        <w:rPr>
          <w:b/>
        </w:rPr>
        <w:t xml:space="preserve">Høring af offentligheden og berørte myndigheder </w:t>
      </w:r>
      <w:r>
        <w:rPr>
          <w:b/>
        </w:rPr>
        <w:t xml:space="preserve">- </w:t>
      </w:r>
      <w:r w:rsidR="004202E7" w:rsidRPr="00822733">
        <w:rPr>
          <w:b/>
        </w:rPr>
        <w:t>60</w:t>
      </w:r>
      <w:r w:rsidR="001B292E" w:rsidRPr="00822733">
        <w:rPr>
          <w:b/>
        </w:rPr>
        <w:t>, stk. 1</w:t>
      </w:r>
    </w:p>
    <w:p w14:paraId="080D72D9" w14:textId="77777777" w:rsidR="001B292E" w:rsidRDefault="00822733" w:rsidP="00F603D1">
      <w:pPr>
        <w:pStyle w:val="Opstilling-talellerbogst"/>
        <w:numPr>
          <w:ilvl w:val="0"/>
          <w:numId w:val="0"/>
        </w:numPr>
        <w:jc w:val="both"/>
      </w:pPr>
      <w:r w:rsidRPr="00822733">
        <w:rPr>
          <w:u w:val="single"/>
        </w:rPr>
        <w:t>L&amp;F</w:t>
      </w:r>
      <w:r>
        <w:t xml:space="preserve"> bemærker, at henvisning til </w:t>
      </w:r>
      <w:proofErr w:type="spellStart"/>
      <w:r>
        <w:t>husdyrbrugloven</w:t>
      </w:r>
      <w:proofErr w:type="spellEnd"/>
      <w:r>
        <w:t xml:space="preserve"> i § 60, stk. 1, må være forkert og skal slettes. </w:t>
      </w:r>
    </w:p>
    <w:p w14:paraId="06FB926D" w14:textId="77777777" w:rsidR="00822733" w:rsidRDefault="00822733" w:rsidP="00F603D1">
      <w:pPr>
        <w:pStyle w:val="Opstilling-talellerbogst"/>
        <w:numPr>
          <w:ilvl w:val="0"/>
          <w:numId w:val="0"/>
        </w:numPr>
        <w:jc w:val="both"/>
        <w:rPr>
          <w:i/>
        </w:rPr>
      </w:pPr>
    </w:p>
    <w:p w14:paraId="7C2D1DC9" w14:textId="48931EB0" w:rsidR="00822733" w:rsidRPr="007151ED" w:rsidRDefault="004E4D6E" w:rsidP="00F603D1">
      <w:pPr>
        <w:pStyle w:val="Opstilling-talellerbogst"/>
        <w:numPr>
          <w:ilvl w:val="0"/>
          <w:numId w:val="0"/>
        </w:numPr>
        <w:jc w:val="both"/>
        <w:rPr>
          <w:i/>
        </w:rPr>
      </w:pPr>
      <w:r>
        <w:rPr>
          <w:i/>
        </w:rPr>
        <w:t>Miljøministeriet</w:t>
      </w:r>
      <w:r w:rsidR="00822733" w:rsidRPr="007151ED">
        <w:rPr>
          <w:i/>
        </w:rPr>
        <w:t>s bemærkninger</w:t>
      </w:r>
    </w:p>
    <w:p w14:paraId="69DC9F14" w14:textId="77777777" w:rsidR="00822733" w:rsidRDefault="00822733" w:rsidP="00F603D1">
      <w:pPr>
        <w:pStyle w:val="Opstilling-talellerbogst"/>
        <w:numPr>
          <w:ilvl w:val="0"/>
          <w:numId w:val="0"/>
        </w:numPr>
        <w:jc w:val="both"/>
      </w:pPr>
      <w:r>
        <w:t xml:space="preserve">Ministeriet er enig, da den pågældende regel (§ 4, stk. 4), som der henvises til, følger af husdyrgodkendelsesbekendtgørelsen og ikke </w:t>
      </w:r>
      <w:proofErr w:type="spellStart"/>
      <w:r>
        <w:t>husdyrbrugloven</w:t>
      </w:r>
      <w:proofErr w:type="spellEnd"/>
      <w:r>
        <w:t xml:space="preserve">. Henvisningen slettes derfor. </w:t>
      </w:r>
    </w:p>
    <w:p w14:paraId="4FCFB43B" w14:textId="77777777" w:rsidR="00822733" w:rsidRDefault="00822733" w:rsidP="00F603D1">
      <w:pPr>
        <w:pStyle w:val="Opstilling-talellerbogst"/>
        <w:numPr>
          <w:ilvl w:val="0"/>
          <w:numId w:val="0"/>
        </w:numPr>
        <w:jc w:val="both"/>
      </w:pPr>
    </w:p>
    <w:p w14:paraId="6E421FD6" w14:textId="77777777" w:rsidR="007C2B5B" w:rsidRDefault="00C15628" w:rsidP="00F603D1">
      <w:pPr>
        <w:pStyle w:val="Opstilling-talellerbogst"/>
        <w:numPr>
          <w:ilvl w:val="1"/>
          <w:numId w:val="6"/>
        </w:numPr>
        <w:jc w:val="both"/>
        <w:rPr>
          <w:b/>
        </w:rPr>
      </w:pPr>
      <w:r>
        <w:rPr>
          <w:b/>
        </w:rPr>
        <w:t>B</w:t>
      </w:r>
      <w:r w:rsidRPr="00C15628">
        <w:rPr>
          <w:b/>
        </w:rPr>
        <w:t>ekendtgørelsesudkastets bilag 1, pkt. F, nr. 1.d og nr. 5.c</w:t>
      </w:r>
    </w:p>
    <w:p w14:paraId="79CC3DDD" w14:textId="06B40766" w:rsidR="00C15628" w:rsidRDefault="00C15628" w:rsidP="00F603D1">
      <w:pPr>
        <w:jc w:val="both"/>
      </w:pPr>
      <w:r w:rsidRPr="00822733">
        <w:rPr>
          <w:u w:val="single"/>
        </w:rPr>
        <w:t>L&amp;F</w:t>
      </w:r>
      <w:r>
        <w:t xml:space="preserve"> bemærker, at</w:t>
      </w:r>
      <w:r w:rsidR="00DD4BC0" w:rsidRPr="00DD4BC0">
        <w:t xml:space="preserve"> bilag 1, pkt. F, nr. 1.d og nr. 5.c</w:t>
      </w:r>
      <w:r w:rsidRPr="00C15628">
        <w:t xml:space="preserve"> </w:t>
      </w:r>
      <w:r w:rsidR="00DD4BC0">
        <w:t>nævner ”stråling”</w:t>
      </w:r>
      <w:r w:rsidRPr="00C15628">
        <w:t>,</w:t>
      </w:r>
      <w:r w:rsidR="00DD4BC0">
        <w:t xml:space="preserve"> og at dette</w:t>
      </w:r>
      <w:r w:rsidRPr="00C15628">
        <w:t xml:space="preserve"> må formodes at være irrelevant ift.</w:t>
      </w:r>
      <w:r>
        <w:t xml:space="preserve"> </w:t>
      </w:r>
      <w:r w:rsidRPr="00C15628">
        <w:t xml:space="preserve">husdyrbrug. </w:t>
      </w:r>
      <w:r w:rsidR="00DD4BC0">
        <w:t>L&amp;F henstiller til, at</w:t>
      </w:r>
      <w:r w:rsidRPr="00C15628">
        <w:t xml:space="preserve"> </w:t>
      </w:r>
      <w:r w:rsidR="004E4D6E">
        <w:t>Miljøministeriet</w:t>
      </w:r>
      <w:r w:rsidRPr="00C15628">
        <w:t xml:space="preserve"> følger op med</w:t>
      </w:r>
      <w:r>
        <w:t xml:space="preserve"> </w:t>
      </w:r>
      <w:r w:rsidRPr="00C15628">
        <w:t>klar information til kommunerne om, at bekendtgørelsesudkastet har til formål at</w:t>
      </w:r>
      <w:r>
        <w:t xml:space="preserve"> </w:t>
      </w:r>
      <w:r w:rsidRPr="00C15628">
        <w:t>imødekomme Kommissionens ønske om en mere tekstnær dansk implementering af</w:t>
      </w:r>
      <w:r>
        <w:t xml:space="preserve"> </w:t>
      </w:r>
      <w:r w:rsidRPr="00C15628">
        <w:t>VVM direktivet</w:t>
      </w:r>
      <w:r w:rsidR="00DD4BC0">
        <w:t>. L&amp;F bemærker i endvidere, at ændringen ikke</w:t>
      </w:r>
      <w:r w:rsidR="004D6DD9">
        <w:t xml:space="preserve"> skal</w:t>
      </w:r>
      <w:r w:rsidRPr="00C15628">
        <w:t xml:space="preserve"> føre til, at der i forbindelse med tilladelses- og</w:t>
      </w:r>
      <w:r>
        <w:t xml:space="preserve"> </w:t>
      </w:r>
      <w:r w:rsidRPr="00C15628">
        <w:t>godkendelsessager skal redegøres for eller stilles vilkår om flere forhold, som f.eks.</w:t>
      </w:r>
      <w:r w:rsidR="00DD4BC0">
        <w:t xml:space="preserve"> </w:t>
      </w:r>
      <w:r w:rsidRPr="00C15628">
        <w:t>stråling.</w:t>
      </w:r>
    </w:p>
    <w:p w14:paraId="2B6E417F" w14:textId="77777777" w:rsidR="00C15628" w:rsidRDefault="00C15628" w:rsidP="00F603D1">
      <w:pPr>
        <w:pStyle w:val="Opstilling-talellerbogst"/>
        <w:numPr>
          <w:ilvl w:val="0"/>
          <w:numId w:val="0"/>
        </w:numPr>
        <w:jc w:val="both"/>
        <w:rPr>
          <w:b/>
        </w:rPr>
      </w:pPr>
    </w:p>
    <w:p w14:paraId="3FD36281" w14:textId="0AE0F765" w:rsidR="00C15628" w:rsidRPr="007151ED" w:rsidRDefault="004E4D6E" w:rsidP="00F603D1">
      <w:pPr>
        <w:pStyle w:val="Opstilling-talellerbogst"/>
        <w:numPr>
          <w:ilvl w:val="0"/>
          <w:numId w:val="0"/>
        </w:numPr>
        <w:jc w:val="both"/>
        <w:rPr>
          <w:i/>
        </w:rPr>
      </w:pPr>
      <w:r>
        <w:rPr>
          <w:i/>
        </w:rPr>
        <w:t>Miljøministeriet</w:t>
      </w:r>
      <w:r w:rsidR="00C15628" w:rsidRPr="007151ED">
        <w:rPr>
          <w:i/>
        </w:rPr>
        <w:t>s bemærkninger</w:t>
      </w:r>
    </w:p>
    <w:p w14:paraId="2B76BFA3" w14:textId="60115B2E" w:rsidR="00C15628" w:rsidRDefault="00DD4BC0" w:rsidP="00F603D1">
      <w:pPr>
        <w:pStyle w:val="Opstilling-talellerbogst"/>
        <w:numPr>
          <w:ilvl w:val="0"/>
          <w:numId w:val="0"/>
        </w:numPr>
        <w:jc w:val="both"/>
      </w:pPr>
      <w:r>
        <w:t xml:space="preserve">Bilag 1, pkt. </w:t>
      </w:r>
      <w:r w:rsidR="00E53881">
        <w:t>F, har til formål at gennemføre</w:t>
      </w:r>
      <w:r>
        <w:t xml:space="preserve"> </w:t>
      </w:r>
      <w:r w:rsidR="00284928" w:rsidRPr="00284928">
        <w:t>VVM-direktivets bilag IV</w:t>
      </w:r>
      <w:r w:rsidR="00284928">
        <w:t xml:space="preserve"> i overensstemmelse med </w:t>
      </w:r>
      <w:r w:rsidR="005A034E">
        <w:t xml:space="preserve">retningslinjen i de bemærkninger fra EU-Kommissionen, som følger af åbningsskrivelsen om den danske implementering af VVM-direktivet. </w:t>
      </w:r>
    </w:p>
    <w:p w14:paraId="05A2A2B7" w14:textId="77777777" w:rsidR="00DD4BC0" w:rsidRDefault="00DD4BC0" w:rsidP="00F603D1">
      <w:pPr>
        <w:pStyle w:val="Opstilling-talellerbogst"/>
        <w:numPr>
          <w:ilvl w:val="0"/>
          <w:numId w:val="0"/>
        </w:numPr>
        <w:jc w:val="both"/>
      </w:pPr>
    </w:p>
    <w:p w14:paraId="4B48F96E" w14:textId="77777777" w:rsidR="00B5498E" w:rsidRDefault="00B5498E" w:rsidP="00F603D1">
      <w:pPr>
        <w:jc w:val="both"/>
      </w:pPr>
      <w:r>
        <w:t>Ministeriet vil videreformidle anmodningen om vejledning til Miljøstyrelsen, som er den ansvarlige myndighed for husdyrvejledningen.</w:t>
      </w:r>
    </w:p>
    <w:p w14:paraId="4995DE95" w14:textId="77777777" w:rsidR="00B5498E" w:rsidRDefault="00B5498E" w:rsidP="00F603D1">
      <w:pPr>
        <w:jc w:val="both"/>
      </w:pPr>
    </w:p>
    <w:p w14:paraId="1588CA01" w14:textId="07A5789C" w:rsidR="00DD4BC0" w:rsidRDefault="00DD4BC0" w:rsidP="00F603D1">
      <w:pPr>
        <w:pStyle w:val="Opstilling-talellerbogst"/>
        <w:numPr>
          <w:ilvl w:val="0"/>
          <w:numId w:val="0"/>
        </w:numPr>
        <w:jc w:val="both"/>
        <w:rPr>
          <w:b/>
        </w:rPr>
      </w:pPr>
      <w:r>
        <w:t>Ministeriet</w:t>
      </w:r>
      <w:r w:rsidR="00B5498E">
        <w:t xml:space="preserve"> bemærker for god ordens skyld, at ministeriet</w:t>
      </w:r>
      <w:r>
        <w:t xml:space="preserve"> ikke </w:t>
      </w:r>
      <w:r w:rsidR="00B5498E">
        <w:t xml:space="preserve">har </w:t>
      </w:r>
      <w:r>
        <w:t xml:space="preserve">grundlag for at antage, </w:t>
      </w:r>
      <w:r w:rsidR="00284928">
        <w:t xml:space="preserve">at den </w:t>
      </w:r>
      <w:r w:rsidR="00E53881">
        <w:t xml:space="preserve">praksis og </w:t>
      </w:r>
      <w:r w:rsidR="00284928">
        <w:t>måde, som miljøkonsekvensrapporter</w:t>
      </w:r>
      <w:r w:rsidR="005A034E">
        <w:t xml:space="preserve"> på husdyrområdet er udarbejdet</w:t>
      </w:r>
      <w:r w:rsidR="00E53881">
        <w:t xml:space="preserve"> på</w:t>
      </w:r>
      <w:r w:rsidR="00E53881" w:rsidRPr="00E53881">
        <w:t xml:space="preserve"> </w:t>
      </w:r>
      <w:r w:rsidR="00E53881">
        <w:t>hidtil, er i strid med VVM-direktivet</w:t>
      </w:r>
      <w:r w:rsidR="005A034E">
        <w:t xml:space="preserve"> el</w:t>
      </w:r>
      <w:r w:rsidR="00E53881">
        <w:t>ler på anden vis utilstrækkelig</w:t>
      </w:r>
      <w:r w:rsidR="00284928">
        <w:t xml:space="preserve">. </w:t>
      </w:r>
    </w:p>
    <w:p w14:paraId="3BBA53F7" w14:textId="77777777" w:rsidR="00C15628" w:rsidRDefault="00C15628" w:rsidP="00F603D1">
      <w:pPr>
        <w:pStyle w:val="Opstilling-talellerbogst"/>
        <w:numPr>
          <w:ilvl w:val="0"/>
          <w:numId w:val="0"/>
        </w:numPr>
        <w:jc w:val="both"/>
        <w:rPr>
          <w:b/>
        </w:rPr>
      </w:pPr>
    </w:p>
    <w:p w14:paraId="76340F22" w14:textId="77777777" w:rsidR="00C15628" w:rsidRDefault="00C15628" w:rsidP="00F603D1">
      <w:pPr>
        <w:pStyle w:val="Opstilling-talellerbogst"/>
        <w:numPr>
          <w:ilvl w:val="1"/>
          <w:numId w:val="6"/>
        </w:numPr>
        <w:jc w:val="both"/>
        <w:rPr>
          <w:b/>
        </w:rPr>
      </w:pPr>
      <w:r>
        <w:rPr>
          <w:b/>
        </w:rPr>
        <w:t>B</w:t>
      </w:r>
      <w:r w:rsidRPr="00C15628">
        <w:rPr>
          <w:b/>
        </w:rPr>
        <w:t>ekendtgørelsesudkastets bilag 1, pkt. F, nr. 6</w:t>
      </w:r>
    </w:p>
    <w:p w14:paraId="4635747A" w14:textId="77777777" w:rsidR="00C15628" w:rsidRDefault="00C15628" w:rsidP="00F603D1">
      <w:pPr>
        <w:pStyle w:val="Opstilling-talellerbogst"/>
        <w:numPr>
          <w:ilvl w:val="0"/>
          <w:numId w:val="0"/>
        </w:numPr>
        <w:jc w:val="both"/>
      </w:pPr>
      <w:r w:rsidRPr="00822733">
        <w:rPr>
          <w:u w:val="single"/>
        </w:rPr>
        <w:t>L&amp;F</w:t>
      </w:r>
      <w:r>
        <w:t xml:space="preserve"> bemærker, at</w:t>
      </w:r>
      <w:r w:rsidR="00F603D1">
        <w:t xml:space="preserve"> s</w:t>
      </w:r>
      <w:r>
        <w:t>tørstedelen af de konkrete beregninger</w:t>
      </w:r>
      <w:r w:rsidR="00F603D1">
        <w:t>, der foretages</w:t>
      </w:r>
      <w:r>
        <w:t xml:space="preserve"> i forbindelse med tilladelser og godkendelser af</w:t>
      </w:r>
      <w:r w:rsidR="00F603D1">
        <w:t xml:space="preserve"> </w:t>
      </w:r>
      <w:r>
        <w:t>husdyrbrug</w:t>
      </w:r>
      <w:r w:rsidR="00F603D1">
        <w:t>,</w:t>
      </w:r>
      <w:r>
        <w:t xml:space="preserve"> udføres i husdyrgodkendelse.dk. </w:t>
      </w:r>
      <w:r w:rsidR="00F603D1">
        <w:t xml:space="preserve">L&amp;F spørger </w:t>
      </w:r>
      <w:r>
        <w:t>i det lys, hvordan skal følgende i bilag 1,</w:t>
      </w:r>
      <w:r w:rsidR="00F603D1">
        <w:t xml:space="preserve"> </w:t>
      </w:r>
      <w:r>
        <w:t>pkt. F, nr. 6 forstås:</w:t>
      </w:r>
    </w:p>
    <w:p w14:paraId="0BC2402B" w14:textId="77777777" w:rsidR="00F603D1" w:rsidRDefault="00F603D1" w:rsidP="00F603D1">
      <w:pPr>
        <w:jc w:val="both"/>
        <w:rPr>
          <w:rFonts w:asciiTheme="minorHAnsi" w:hAnsiTheme="minorHAnsi" w:cs="Helvetica-Oblique"/>
          <w:i/>
          <w:iCs/>
        </w:rPr>
      </w:pPr>
    </w:p>
    <w:p w14:paraId="36246EEA" w14:textId="77777777" w:rsidR="00C15628" w:rsidRPr="00F603D1" w:rsidRDefault="00F603D1" w:rsidP="00F603D1">
      <w:pPr>
        <w:jc w:val="both"/>
        <w:rPr>
          <w:rFonts w:asciiTheme="minorHAnsi" w:hAnsiTheme="minorHAnsi" w:cs="Helvetica-Oblique"/>
          <w:i/>
          <w:iCs/>
        </w:rPr>
      </w:pPr>
      <w:r>
        <w:rPr>
          <w:rFonts w:asciiTheme="minorHAnsi" w:hAnsiTheme="minorHAnsi" w:cs="Helvetica-Oblique"/>
          <w:i/>
          <w:iCs/>
        </w:rPr>
        <w:t>”</w:t>
      </w:r>
      <w:r w:rsidR="00C15628" w:rsidRPr="00F603D1">
        <w:rPr>
          <w:rFonts w:asciiTheme="minorHAnsi" w:hAnsiTheme="minorHAnsi" w:cs="Helvetica-Oblique"/>
          <w:i/>
          <w:iCs/>
        </w:rPr>
        <w:t>En beskrivelse af hvilke metoder eller beviser, der er anvendt til identificeringen</w:t>
      </w:r>
      <w:r>
        <w:rPr>
          <w:rFonts w:asciiTheme="minorHAnsi" w:hAnsiTheme="minorHAnsi" w:cs="Helvetica-Oblique"/>
          <w:i/>
          <w:iCs/>
        </w:rPr>
        <w:t xml:space="preserve"> </w:t>
      </w:r>
      <w:r w:rsidR="00C15628" w:rsidRPr="00F603D1">
        <w:rPr>
          <w:rFonts w:asciiTheme="minorHAnsi" w:hAnsiTheme="minorHAnsi" w:cs="Helvetica-Oblique"/>
          <w:i/>
          <w:iCs/>
        </w:rPr>
        <w:t>og forudberegningen af de væsentlige virkninger på miljøet, herunder oplysninger</w:t>
      </w:r>
      <w:r>
        <w:rPr>
          <w:rFonts w:asciiTheme="minorHAnsi" w:hAnsiTheme="minorHAnsi" w:cs="Helvetica-Oblique"/>
          <w:i/>
          <w:iCs/>
        </w:rPr>
        <w:t xml:space="preserve"> </w:t>
      </w:r>
      <w:r w:rsidR="00C15628" w:rsidRPr="00F603D1">
        <w:rPr>
          <w:rFonts w:asciiTheme="minorHAnsi" w:hAnsiTheme="minorHAnsi" w:cs="Helvetica-Oblique"/>
          <w:i/>
          <w:iCs/>
        </w:rPr>
        <w:t xml:space="preserve">vedrørende eventuelle vanskeligheder </w:t>
      </w:r>
      <w:r w:rsidR="00C15628" w:rsidRPr="00F603D1">
        <w:rPr>
          <w:rFonts w:asciiTheme="minorHAnsi" w:hAnsiTheme="minorHAnsi" w:cs="Helvetica-Oblique"/>
          <w:i/>
          <w:iCs/>
        </w:rPr>
        <w:lastRenderedPageBreak/>
        <w:t>(f.eks. tekniske mangler eller manglende</w:t>
      </w:r>
      <w:r>
        <w:rPr>
          <w:rFonts w:asciiTheme="minorHAnsi" w:hAnsiTheme="minorHAnsi" w:cs="Helvetica-Oblique"/>
          <w:i/>
          <w:iCs/>
        </w:rPr>
        <w:t xml:space="preserve"> </w:t>
      </w:r>
      <w:r w:rsidR="00C15628" w:rsidRPr="00F603D1">
        <w:rPr>
          <w:rFonts w:asciiTheme="minorHAnsi" w:hAnsiTheme="minorHAnsi" w:cs="Helvetica-Oblique"/>
          <w:i/>
          <w:iCs/>
        </w:rPr>
        <w:t>viden) i forbindelse med indsamlingen af de krævede oplysninger og vedrørende</w:t>
      </w:r>
      <w:r>
        <w:rPr>
          <w:rFonts w:asciiTheme="minorHAnsi" w:hAnsiTheme="minorHAnsi" w:cs="Helvetica-Oblique"/>
          <w:i/>
          <w:iCs/>
        </w:rPr>
        <w:t xml:space="preserve"> </w:t>
      </w:r>
      <w:r w:rsidR="00C15628" w:rsidRPr="00F603D1">
        <w:rPr>
          <w:rFonts w:asciiTheme="minorHAnsi" w:hAnsiTheme="minorHAnsi" w:cs="Helvetica-Oblique"/>
          <w:i/>
          <w:iCs/>
        </w:rPr>
        <w:t>de vigtigste usikkerheder.</w:t>
      </w:r>
    </w:p>
    <w:p w14:paraId="2EBFD0D0" w14:textId="77777777" w:rsidR="00F603D1" w:rsidRDefault="00F603D1" w:rsidP="00F603D1">
      <w:pPr>
        <w:jc w:val="both"/>
        <w:rPr>
          <w:rFonts w:ascii="Helvetica-Oblique" w:hAnsi="Helvetica-Oblique" w:cs="Helvetica-Oblique"/>
          <w:i/>
          <w:iCs/>
        </w:rPr>
      </w:pPr>
    </w:p>
    <w:p w14:paraId="0FBA922F" w14:textId="10A66736" w:rsidR="00C15628" w:rsidRDefault="00F603D1" w:rsidP="00F603D1">
      <w:pPr>
        <w:jc w:val="both"/>
      </w:pPr>
      <w:r>
        <w:t>L&amp;F efterlyser klar information til kommunerne, da d</w:t>
      </w:r>
      <w:r w:rsidR="00C15628">
        <w:t>et er Miljøstyrelsen, der kan beskrive og er ansvarlige for de metoder, der anvendes til</w:t>
      </w:r>
      <w:r>
        <w:t xml:space="preserve"> </w:t>
      </w:r>
      <w:r w:rsidR="00C15628">
        <w:t>forudberegningen af de væsentligste virkninger på miljøet, da de er ansvarlige for</w:t>
      </w:r>
      <w:r>
        <w:t xml:space="preserve"> </w:t>
      </w:r>
      <w:r w:rsidR="00C15628">
        <w:t>udvikling og vedligeholdelse af husdyrgodkendelse.dk.</w:t>
      </w:r>
    </w:p>
    <w:p w14:paraId="0386C7A8" w14:textId="77777777" w:rsidR="00C15628" w:rsidRDefault="00C15628" w:rsidP="00F603D1">
      <w:pPr>
        <w:jc w:val="both"/>
      </w:pPr>
    </w:p>
    <w:p w14:paraId="64A61C72" w14:textId="2D678D6E" w:rsidR="00C15628" w:rsidRPr="007151ED" w:rsidRDefault="004E4D6E" w:rsidP="00F603D1">
      <w:pPr>
        <w:pStyle w:val="Opstilling-talellerbogst"/>
        <w:numPr>
          <w:ilvl w:val="0"/>
          <w:numId w:val="0"/>
        </w:numPr>
        <w:jc w:val="both"/>
        <w:rPr>
          <w:i/>
        </w:rPr>
      </w:pPr>
      <w:r>
        <w:rPr>
          <w:i/>
        </w:rPr>
        <w:t>Miljøministeriet</w:t>
      </w:r>
      <w:r w:rsidR="00C15628" w:rsidRPr="007151ED">
        <w:rPr>
          <w:i/>
        </w:rPr>
        <w:t>s bemærkninger</w:t>
      </w:r>
    </w:p>
    <w:p w14:paraId="539E25E4" w14:textId="0860C613" w:rsidR="00B63732" w:rsidRDefault="00B63732" w:rsidP="00B63732">
      <w:pPr>
        <w:pStyle w:val="Opstilling-talellerbogst"/>
        <w:numPr>
          <w:ilvl w:val="0"/>
          <w:numId w:val="0"/>
        </w:numPr>
        <w:jc w:val="both"/>
      </w:pPr>
      <w:r>
        <w:t xml:space="preserve">Som nævnt under pkt. 2.3 har bilag 1, </w:t>
      </w:r>
      <w:r w:rsidR="00E53881">
        <w:t>pkt. F til formål at gennemføre</w:t>
      </w:r>
      <w:r>
        <w:t xml:space="preserve"> </w:t>
      </w:r>
      <w:r w:rsidRPr="00284928">
        <w:t>VVM-direktivets bilag IV</w:t>
      </w:r>
      <w:r>
        <w:t xml:space="preserve"> i overensstemmelse med retningslinjen i de bemærkninger fra EU-Kommissionen, som følger af åbningsskrivelsen om den danske implementering af VVM-direktivet. </w:t>
      </w:r>
    </w:p>
    <w:p w14:paraId="75208BEB" w14:textId="77777777" w:rsidR="00B63732" w:rsidRDefault="00B63732" w:rsidP="00B63732">
      <w:pPr>
        <w:pStyle w:val="Opstilling-talellerbogst"/>
        <w:numPr>
          <w:ilvl w:val="0"/>
          <w:numId w:val="0"/>
        </w:numPr>
        <w:jc w:val="both"/>
      </w:pPr>
    </w:p>
    <w:p w14:paraId="7CA4AC61" w14:textId="5FD38F7F" w:rsidR="00C15628" w:rsidRDefault="00B63732" w:rsidP="00F603D1">
      <w:pPr>
        <w:pStyle w:val="Opstilling-talellerbogst"/>
        <w:numPr>
          <w:ilvl w:val="0"/>
          <w:numId w:val="0"/>
        </w:numPr>
        <w:jc w:val="both"/>
      </w:pPr>
      <w:r>
        <w:t xml:space="preserve">Ministeriet er enig i, at beregninger og informationer i husdyrgodkendelse.dk </w:t>
      </w:r>
      <w:r w:rsidR="00175591">
        <w:t>i vid udstrækning vil opfylde kravene i</w:t>
      </w:r>
      <w:r>
        <w:t xml:space="preserve"> </w:t>
      </w:r>
      <w:r w:rsidR="00175591">
        <w:t>bilag 1, pkt. F, nr. 6.</w:t>
      </w:r>
      <w:r w:rsidR="000E5C7A">
        <w:t xml:space="preserve"> Der kan dog være situationer, hvor ansøger fremsender dokumentation og oplysninger, hvor rammerne herfor ikke er angivet i husdyrgodkendelse.dk, og hvor ansøger skal iagttage bilag 1, pkt. F, nr. 6. Det kunne f.eks. være ift. visualiseringer. </w:t>
      </w:r>
    </w:p>
    <w:p w14:paraId="0F9B43B9" w14:textId="6A68550D" w:rsidR="00175591" w:rsidRDefault="00175591" w:rsidP="00F603D1">
      <w:pPr>
        <w:pStyle w:val="Opstilling-talellerbogst"/>
        <w:numPr>
          <w:ilvl w:val="0"/>
          <w:numId w:val="0"/>
        </w:numPr>
        <w:jc w:val="both"/>
      </w:pPr>
    </w:p>
    <w:p w14:paraId="3F93D26D" w14:textId="17831DAB" w:rsidR="00175591" w:rsidRDefault="00175591" w:rsidP="00175591">
      <w:pPr>
        <w:jc w:val="both"/>
      </w:pPr>
      <w:r>
        <w:t>Ministeriet vil videreformidle anmodningen om vejledning til Miljøstyrelsen, som er den ansvarlige myndighed for husdyrvejledningen.</w:t>
      </w:r>
    </w:p>
    <w:p w14:paraId="547608BD" w14:textId="77777777" w:rsidR="00B63732" w:rsidRPr="00B63732" w:rsidRDefault="00B63732" w:rsidP="00F603D1">
      <w:pPr>
        <w:pStyle w:val="Opstilling-talellerbogst"/>
        <w:numPr>
          <w:ilvl w:val="0"/>
          <w:numId w:val="0"/>
        </w:numPr>
        <w:jc w:val="both"/>
      </w:pPr>
    </w:p>
    <w:p w14:paraId="4F3A0C1B" w14:textId="77777777" w:rsidR="00822733" w:rsidRPr="007C2B5B" w:rsidRDefault="00822733" w:rsidP="00F603D1">
      <w:pPr>
        <w:pStyle w:val="Opstilling-talellerbogst"/>
        <w:numPr>
          <w:ilvl w:val="1"/>
          <w:numId w:val="6"/>
        </w:numPr>
        <w:jc w:val="both"/>
        <w:rPr>
          <w:b/>
        </w:rPr>
      </w:pPr>
      <w:r w:rsidRPr="007C2B5B">
        <w:rPr>
          <w:b/>
        </w:rPr>
        <w:t>Høringsbrevet, side</w:t>
      </w:r>
      <w:r w:rsidR="00BA36EC" w:rsidRPr="007C2B5B">
        <w:rPr>
          <w:b/>
        </w:rPr>
        <w:t xml:space="preserve"> 14, 3. afsnit, sidste punktum</w:t>
      </w:r>
    </w:p>
    <w:p w14:paraId="00EF52A9" w14:textId="32EE9B77" w:rsidR="00822733" w:rsidRDefault="00822733" w:rsidP="00F603D1">
      <w:pPr>
        <w:pStyle w:val="Opstilling-talellerbogst"/>
        <w:numPr>
          <w:ilvl w:val="0"/>
          <w:numId w:val="0"/>
        </w:numPr>
        <w:jc w:val="both"/>
      </w:pPr>
      <w:r w:rsidRPr="00FB4C8F">
        <w:rPr>
          <w:u w:val="single"/>
        </w:rPr>
        <w:t>L&amp;F</w:t>
      </w:r>
      <w:r>
        <w:t xml:space="preserve"> bemærker, at der</w:t>
      </w:r>
      <w:r w:rsidR="00E53881">
        <w:t xml:space="preserve"> i</w:t>
      </w:r>
      <w:r>
        <w:t xml:space="preserve"> </w:t>
      </w:r>
      <w:r w:rsidR="00BA36EC">
        <w:t>h</w:t>
      </w:r>
      <w:r w:rsidR="00BA36EC" w:rsidRPr="00BA36EC">
        <w:t>øringsbrevet, side 14, 3. afsnit, sidste punktum</w:t>
      </w:r>
      <w:r w:rsidR="00BA36EC">
        <w:t>, mangler et ”ikke”, så teksten rettelig bliver:</w:t>
      </w:r>
    </w:p>
    <w:p w14:paraId="7842D19E" w14:textId="77777777" w:rsidR="00BA36EC" w:rsidRPr="00BA36EC" w:rsidRDefault="00BA36EC" w:rsidP="00F603D1">
      <w:pPr>
        <w:pStyle w:val="Opstilling-talellerbogst"/>
        <w:numPr>
          <w:ilvl w:val="0"/>
          <w:numId w:val="0"/>
        </w:numPr>
        <w:jc w:val="both"/>
        <w:rPr>
          <w:i/>
        </w:rPr>
      </w:pPr>
      <w:r>
        <w:br/>
      </w:r>
      <w:r w:rsidRPr="00BA36EC">
        <w:rPr>
          <w:i/>
        </w:rPr>
        <w:t xml:space="preserve">”IE-husdyrbrugene får dermed også en længere frist til indsendelse, således at de IE-husdyrbrug, som får tilsyn efter den 31, marts, </w:t>
      </w:r>
      <w:r w:rsidRPr="00BA36EC">
        <w:rPr>
          <w:b/>
          <w:i/>
        </w:rPr>
        <w:t>ikke</w:t>
      </w:r>
      <w:r w:rsidRPr="00BA36EC">
        <w:rPr>
          <w:i/>
        </w:rPr>
        <w:t xml:space="preserve"> stilles dårligere”. </w:t>
      </w:r>
    </w:p>
    <w:p w14:paraId="36708B64" w14:textId="77777777" w:rsidR="00BA36EC" w:rsidRDefault="00BA36EC" w:rsidP="00F603D1">
      <w:pPr>
        <w:pStyle w:val="Opstilling-talellerbogst"/>
        <w:numPr>
          <w:ilvl w:val="0"/>
          <w:numId w:val="0"/>
        </w:numPr>
        <w:jc w:val="both"/>
      </w:pPr>
    </w:p>
    <w:p w14:paraId="16A05D69" w14:textId="65B9DA82" w:rsidR="00BA36EC" w:rsidRPr="007151ED" w:rsidRDefault="004E4D6E" w:rsidP="00F603D1">
      <w:pPr>
        <w:pStyle w:val="Opstilling-talellerbogst"/>
        <w:numPr>
          <w:ilvl w:val="0"/>
          <w:numId w:val="0"/>
        </w:numPr>
        <w:jc w:val="both"/>
        <w:rPr>
          <w:i/>
        </w:rPr>
      </w:pPr>
      <w:r>
        <w:rPr>
          <w:i/>
        </w:rPr>
        <w:t>Miljøministeriet</w:t>
      </w:r>
      <w:r w:rsidR="00BA36EC" w:rsidRPr="007151ED">
        <w:rPr>
          <w:i/>
        </w:rPr>
        <w:t>s bemærkninger</w:t>
      </w:r>
    </w:p>
    <w:p w14:paraId="212C5612" w14:textId="77777777" w:rsidR="00BA36EC" w:rsidRDefault="00BA36EC" w:rsidP="00F603D1">
      <w:pPr>
        <w:pStyle w:val="Opstilling-talellerbogst"/>
        <w:numPr>
          <w:ilvl w:val="0"/>
          <w:numId w:val="0"/>
        </w:numPr>
        <w:jc w:val="both"/>
      </w:pPr>
      <w:r>
        <w:t xml:space="preserve">Ministeriet er enig i </w:t>
      </w:r>
      <w:proofErr w:type="spellStart"/>
      <w:r>
        <w:t>L&amp;Fs</w:t>
      </w:r>
      <w:proofErr w:type="spellEnd"/>
      <w:r>
        <w:t xml:space="preserve"> bemærkning og rettelse. </w:t>
      </w:r>
    </w:p>
    <w:p w14:paraId="3CEEAA9C" w14:textId="77777777" w:rsidR="007B0A11" w:rsidRDefault="007B0A11" w:rsidP="00F603D1">
      <w:pPr>
        <w:pStyle w:val="Opstilling-talellerbogst"/>
        <w:numPr>
          <w:ilvl w:val="0"/>
          <w:numId w:val="0"/>
        </w:numPr>
        <w:jc w:val="both"/>
      </w:pPr>
    </w:p>
    <w:p w14:paraId="2B13F3BF" w14:textId="77777777" w:rsidR="007B0A11" w:rsidRPr="007B0A11" w:rsidRDefault="007B0A11" w:rsidP="00F603D1">
      <w:pPr>
        <w:pStyle w:val="Opstilling-talellerbogst"/>
        <w:numPr>
          <w:ilvl w:val="1"/>
          <w:numId w:val="6"/>
        </w:numPr>
        <w:jc w:val="both"/>
        <w:rPr>
          <w:b/>
        </w:rPr>
      </w:pPr>
      <w:r w:rsidRPr="007B0A11">
        <w:rPr>
          <w:b/>
        </w:rPr>
        <w:t>Anmodning om vejledning</w:t>
      </w:r>
      <w:r>
        <w:rPr>
          <w:b/>
        </w:rPr>
        <w:t xml:space="preserve"> og hyrdebrev</w:t>
      </w:r>
    </w:p>
    <w:p w14:paraId="0CEFDA70" w14:textId="58A94225" w:rsidR="007C2B5B" w:rsidRDefault="007B0A11" w:rsidP="00F603D1">
      <w:pPr>
        <w:jc w:val="both"/>
      </w:pPr>
      <w:r w:rsidRPr="00FB4C8F">
        <w:rPr>
          <w:u w:val="single"/>
        </w:rPr>
        <w:t>KL</w:t>
      </w:r>
      <w:r w:rsidRPr="00FB4C8F">
        <w:t xml:space="preserve"> og </w:t>
      </w:r>
      <w:r w:rsidRPr="00FB4C8F">
        <w:rPr>
          <w:u w:val="single"/>
        </w:rPr>
        <w:t>L&amp;F</w:t>
      </w:r>
      <w:r>
        <w:t xml:space="preserve"> efterspør</w:t>
      </w:r>
      <w:r w:rsidR="00FB4C8F">
        <w:t xml:space="preserve">ger </w:t>
      </w:r>
      <w:r w:rsidR="00E84EA4">
        <w:t xml:space="preserve">vejledning og hyrdebreve, der </w:t>
      </w:r>
      <w:r w:rsidR="007C2B5B">
        <w:t xml:space="preserve">sikrer, at de nye regler gennemføres efter hensigten og virker efter formålet. L&amp;F henviser i den forbindelse til, at det med vejledning og hyrdebreve skal sikres, at der med de foreslåede ændringer sker en videreførelse af den gældende retstilstand. </w:t>
      </w:r>
    </w:p>
    <w:p w14:paraId="689BBC8C" w14:textId="77777777" w:rsidR="0021204F" w:rsidRDefault="0021204F" w:rsidP="00F603D1">
      <w:pPr>
        <w:jc w:val="both"/>
      </w:pPr>
    </w:p>
    <w:p w14:paraId="399D3A1A" w14:textId="77777777" w:rsidR="007C2B5B" w:rsidRDefault="0021204F" w:rsidP="00F603D1">
      <w:pPr>
        <w:jc w:val="both"/>
      </w:pPr>
      <w:r>
        <w:t xml:space="preserve">KL efterspørger bl.a. </w:t>
      </w:r>
      <w:r w:rsidRPr="0021204F">
        <w:t>klargøring af ”berørte myndigheder”</w:t>
      </w:r>
      <w:r>
        <w:t xml:space="preserve">, herunder om Miljøstyrelsen altid er en berørt myndighed. </w:t>
      </w:r>
    </w:p>
    <w:p w14:paraId="5FCAB8DB" w14:textId="77777777" w:rsidR="007C2B5B" w:rsidRDefault="007C2B5B" w:rsidP="00F603D1">
      <w:pPr>
        <w:jc w:val="both"/>
      </w:pPr>
    </w:p>
    <w:p w14:paraId="7F229959" w14:textId="2AF0251F" w:rsidR="0021204F" w:rsidRPr="00B5498E" w:rsidRDefault="004E4D6E" w:rsidP="00F603D1">
      <w:pPr>
        <w:pStyle w:val="Opstilling-talellerbogst"/>
        <w:numPr>
          <w:ilvl w:val="0"/>
          <w:numId w:val="0"/>
        </w:numPr>
        <w:jc w:val="both"/>
        <w:rPr>
          <w:i/>
        </w:rPr>
      </w:pPr>
      <w:r>
        <w:rPr>
          <w:i/>
        </w:rPr>
        <w:t>Miljøministeriet</w:t>
      </w:r>
      <w:r w:rsidR="00B5498E">
        <w:rPr>
          <w:i/>
        </w:rPr>
        <w:t>s bemærkninger</w:t>
      </w:r>
    </w:p>
    <w:p w14:paraId="6D61EBD5" w14:textId="77777777" w:rsidR="0021204F" w:rsidRDefault="0021204F" w:rsidP="00F603D1">
      <w:pPr>
        <w:jc w:val="both"/>
      </w:pPr>
      <w:r>
        <w:t>Ministeriet vil videreformidle anmodningerne om vejledning til Miljøstyrelsen, som er den ansvarlige myndighed for husdyrvejledningen.</w:t>
      </w:r>
    </w:p>
    <w:p w14:paraId="60A137FF" w14:textId="77777777" w:rsidR="004202E7" w:rsidRDefault="004202E7" w:rsidP="00F603D1">
      <w:pPr>
        <w:pStyle w:val="Opstilling-talellerbogst"/>
        <w:numPr>
          <w:ilvl w:val="0"/>
          <w:numId w:val="0"/>
        </w:numPr>
        <w:jc w:val="both"/>
      </w:pPr>
    </w:p>
    <w:p w14:paraId="23EE27F3" w14:textId="77777777" w:rsidR="00EE6125" w:rsidRPr="00822733" w:rsidRDefault="00EE6125" w:rsidP="00F603D1">
      <w:pPr>
        <w:pStyle w:val="Opstilling-talellerbogst"/>
        <w:jc w:val="both"/>
        <w:rPr>
          <w:b/>
        </w:rPr>
      </w:pPr>
      <w:r w:rsidRPr="00822733">
        <w:rPr>
          <w:b/>
        </w:rPr>
        <w:t>Øvrigt</w:t>
      </w:r>
    </w:p>
    <w:p w14:paraId="027F67DA" w14:textId="77777777" w:rsidR="00104604" w:rsidRDefault="00104604" w:rsidP="00F603D1">
      <w:pPr>
        <w:pStyle w:val="Opstilling-talellerbogst"/>
        <w:numPr>
          <w:ilvl w:val="0"/>
          <w:numId w:val="0"/>
        </w:numPr>
        <w:jc w:val="both"/>
      </w:pPr>
    </w:p>
    <w:p w14:paraId="6CBFD01D" w14:textId="77777777" w:rsidR="00EE6125" w:rsidRPr="007B0A11" w:rsidRDefault="00EE6125" w:rsidP="00F603D1">
      <w:pPr>
        <w:pStyle w:val="Opstilling-talellerbogst"/>
        <w:numPr>
          <w:ilvl w:val="1"/>
          <w:numId w:val="6"/>
        </w:numPr>
        <w:jc w:val="both"/>
        <w:rPr>
          <w:b/>
        </w:rPr>
      </w:pPr>
      <w:r w:rsidRPr="007B0A11">
        <w:rPr>
          <w:b/>
        </w:rPr>
        <w:t>Ammoniakemission fra æglæggerstalde</w:t>
      </w:r>
      <w:r w:rsidR="00C15628">
        <w:rPr>
          <w:b/>
        </w:rPr>
        <w:t xml:space="preserve"> - § 2, nr. 4</w:t>
      </w:r>
    </w:p>
    <w:p w14:paraId="159FD20A" w14:textId="77777777" w:rsidR="00104604" w:rsidRDefault="00104604" w:rsidP="00F603D1">
      <w:pPr>
        <w:pStyle w:val="Opstilling-talellerbogst"/>
        <w:numPr>
          <w:ilvl w:val="0"/>
          <w:numId w:val="0"/>
        </w:numPr>
        <w:jc w:val="both"/>
      </w:pPr>
    </w:p>
    <w:p w14:paraId="2F498A99" w14:textId="77777777" w:rsidR="00104604" w:rsidRDefault="00104604" w:rsidP="00F603D1">
      <w:pPr>
        <w:pStyle w:val="Opstilling-talellerbogst"/>
        <w:numPr>
          <w:ilvl w:val="0"/>
          <w:numId w:val="0"/>
        </w:numPr>
        <w:jc w:val="both"/>
      </w:pPr>
      <w:r w:rsidRPr="00104604">
        <w:rPr>
          <w:u w:val="single"/>
        </w:rPr>
        <w:t>Danske Æg</w:t>
      </w:r>
      <w:r>
        <w:t xml:space="preserve"> </w:t>
      </w:r>
      <w:r w:rsidR="00C15628">
        <w:t xml:space="preserve">og </w:t>
      </w:r>
      <w:r w:rsidR="00C15628" w:rsidRPr="00C15628">
        <w:rPr>
          <w:u w:val="single"/>
        </w:rPr>
        <w:t>L&amp;F</w:t>
      </w:r>
      <w:r w:rsidR="00C15628">
        <w:t xml:space="preserve"> </w:t>
      </w:r>
      <w:r>
        <w:t xml:space="preserve">bemærker, at den gældende husdyrgodkendelsesbekendtgørelse indeholder en uklarhed om, hvordan produktionsarealet i æglæggerstalde med redekasser skal fastlægges. </w:t>
      </w:r>
    </w:p>
    <w:p w14:paraId="3356D591" w14:textId="77777777" w:rsidR="00104604" w:rsidRDefault="00104604" w:rsidP="00F603D1">
      <w:pPr>
        <w:pStyle w:val="Opstilling-talellerbogst"/>
        <w:numPr>
          <w:ilvl w:val="0"/>
          <w:numId w:val="0"/>
        </w:numPr>
        <w:jc w:val="both"/>
      </w:pPr>
    </w:p>
    <w:p w14:paraId="254BE82E" w14:textId="5AFA06FC" w:rsidR="00104604" w:rsidRPr="007B0A11" w:rsidRDefault="004E4D6E" w:rsidP="00F603D1">
      <w:pPr>
        <w:pStyle w:val="Opstilling-talellerbogst"/>
        <w:numPr>
          <w:ilvl w:val="0"/>
          <w:numId w:val="0"/>
        </w:numPr>
        <w:jc w:val="both"/>
        <w:rPr>
          <w:i/>
        </w:rPr>
      </w:pPr>
      <w:r>
        <w:rPr>
          <w:i/>
        </w:rPr>
        <w:lastRenderedPageBreak/>
        <w:t>Miljøministeriet</w:t>
      </w:r>
      <w:r w:rsidR="00104604" w:rsidRPr="007B0A11">
        <w:rPr>
          <w:i/>
        </w:rPr>
        <w:t>s bemærkninger</w:t>
      </w:r>
    </w:p>
    <w:p w14:paraId="6C16F1A5" w14:textId="4B39792E" w:rsidR="00104604" w:rsidRDefault="000C510E" w:rsidP="00F603D1">
      <w:pPr>
        <w:pStyle w:val="Opstilling-talellerbogst"/>
        <w:numPr>
          <w:ilvl w:val="0"/>
          <w:numId w:val="0"/>
        </w:numPr>
        <w:jc w:val="both"/>
      </w:pPr>
      <w:r>
        <w:t xml:space="preserve">Ministeriet er opmærksom på denne problemstilling. Ministeriet har bestilt en faglig udredning heraf, som imidlertid er forsinket. Ministeriet arbejder dog fortsat på en håndtering heraf. </w:t>
      </w:r>
    </w:p>
    <w:p w14:paraId="474124FA" w14:textId="77777777" w:rsidR="007B0A11" w:rsidRPr="007B0A11" w:rsidRDefault="007B0A11" w:rsidP="00F603D1">
      <w:pPr>
        <w:pStyle w:val="Opstilling-talellerbogst"/>
        <w:numPr>
          <w:ilvl w:val="0"/>
          <w:numId w:val="0"/>
        </w:numPr>
        <w:jc w:val="both"/>
        <w:rPr>
          <w:b/>
        </w:rPr>
      </w:pPr>
    </w:p>
    <w:p w14:paraId="2934632A" w14:textId="77777777" w:rsidR="007B0A11" w:rsidRPr="007B0A11" w:rsidRDefault="007B0A11" w:rsidP="00F603D1">
      <w:pPr>
        <w:pStyle w:val="Opstilling-talellerbogst"/>
        <w:numPr>
          <w:ilvl w:val="1"/>
          <w:numId w:val="6"/>
        </w:numPr>
        <w:jc w:val="both"/>
        <w:rPr>
          <w:b/>
        </w:rPr>
      </w:pPr>
      <w:r w:rsidRPr="007B0A11">
        <w:rPr>
          <w:b/>
        </w:rPr>
        <w:t xml:space="preserve">Revurdering </w:t>
      </w:r>
      <w:r w:rsidR="00C15628">
        <w:rPr>
          <w:b/>
        </w:rPr>
        <w:t>- § 39</w:t>
      </w:r>
    </w:p>
    <w:p w14:paraId="59CCFBA7" w14:textId="77777777" w:rsidR="007B0A11" w:rsidRDefault="007B0A11" w:rsidP="00F603D1">
      <w:pPr>
        <w:pStyle w:val="Opstilling-talellerbogst"/>
        <w:numPr>
          <w:ilvl w:val="0"/>
          <w:numId w:val="0"/>
        </w:numPr>
        <w:jc w:val="both"/>
      </w:pPr>
      <w:r w:rsidRPr="00FB4C8F">
        <w:rPr>
          <w:u w:val="single"/>
        </w:rPr>
        <w:t>Herning Kommune</w:t>
      </w:r>
      <w:r>
        <w:t xml:space="preserve"> spørger til, om</w:t>
      </w:r>
      <w:r w:rsidR="00FB4C8F">
        <w:t xml:space="preserve"> bekendtgørelsens</w:t>
      </w:r>
      <w:r>
        <w:t xml:space="preserve"> § 39, stk. 1, skal forstås sådan, at der gerne i forbindelse med en revurdering må ske en øget ammoniakemission, så længe</w:t>
      </w:r>
      <w:r w:rsidR="00FB4C8F">
        <w:t xml:space="preserve"> kategori 1 og 2 natur ikke påvirkes. </w:t>
      </w:r>
    </w:p>
    <w:p w14:paraId="27DF14C1" w14:textId="77777777" w:rsidR="007B0A11" w:rsidRDefault="007B0A11" w:rsidP="00F603D1">
      <w:pPr>
        <w:pStyle w:val="Opstilling-talellerbogst"/>
        <w:numPr>
          <w:ilvl w:val="0"/>
          <w:numId w:val="0"/>
        </w:numPr>
        <w:jc w:val="both"/>
      </w:pPr>
    </w:p>
    <w:p w14:paraId="342BF6D9" w14:textId="3B109770" w:rsidR="007B0A11" w:rsidRDefault="004E4D6E" w:rsidP="00F603D1">
      <w:pPr>
        <w:pStyle w:val="Opstilling-talellerbogst"/>
        <w:numPr>
          <w:ilvl w:val="0"/>
          <w:numId w:val="0"/>
        </w:numPr>
        <w:jc w:val="both"/>
      </w:pPr>
      <w:r>
        <w:rPr>
          <w:i/>
        </w:rPr>
        <w:t>Miljøministeriet</w:t>
      </w:r>
      <w:r w:rsidR="007B0A11" w:rsidRPr="007B0A11">
        <w:rPr>
          <w:i/>
        </w:rPr>
        <w:t>s bemærkninger</w:t>
      </w:r>
    </w:p>
    <w:p w14:paraId="15A9A84B" w14:textId="77777777" w:rsidR="0021204F" w:rsidRDefault="00FB4C8F" w:rsidP="00F603D1">
      <w:pPr>
        <w:pStyle w:val="Opstilling-talellerbogst"/>
        <w:numPr>
          <w:ilvl w:val="0"/>
          <w:numId w:val="0"/>
        </w:numPr>
        <w:jc w:val="both"/>
      </w:pPr>
      <w:r>
        <w:t xml:space="preserve">Det følger af </w:t>
      </w:r>
      <w:r w:rsidR="0021204F">
        <w:t>husdyrgodkendelsesbekendtgørelsens § 39, at:</w:t>
      </w:r>
    </w:p>
    <w:p w14:paraId="28AA0756" w14:textId="77777777" w:rsidR="0021204F" w:rsidRDefault="0021204F" w:rsidP="00F603D1">
      <w:pPr>
        <w:pStyle w:val="Opstilling-talellerbogst"/>
        <w:numPr>
          <w:ilvl w:val="0"/>
          <w:numId w:val="0"/>
        </w:numPr>
        <w:jc w:val="both"/>
      </w:pPr>
    </w:p>
    <w:p w14:paraId="1DE829AA" w14:textId="77777777" w:rsidR="007B0A11" w:rsidRPr="0021204F" w:rsidRDefault="0021204F" w:rsidP="00F603D1">
      <w:pPr>
        <w:pStyle w:val="Opstilling-talellerbogst"/>
        <w:numPr>
          <w:ilvl w:val="0"/>
          <w:numId w:val="0"/>
        </w:numPr>
        <w:jc w:val="both"/>
        <w:rPr>
          <w:i/>
        </w:rPr>
      </w:pPr>
      <w:r w:rsidRPr="0021204F">
        <w:rPr>
          <w:i/>
        </w:rPr>
        <w:t xml:space="preserve">”Godkendelser af IE-husdyrbrug tages op til revurdering og ajourføres om nødvendigt af hensyn til udviklingen i den bedste tilgængelige teknik. </w:t>
      </w:r>
      <w:r w:rsidR="007B0A11" w:rsidRPr="0021204F">
        <w:rPr>
          <w:i/>
        </w:rPr>
        <w:t>Ved revurderingen skal det sikres, at kravene i § 25, jf. bilag 3, pkt. A, og i §§ 26, 27, 35 og § 36, stk. 1, nr. 9-13, overholdes</w:t>
      </w:r>
      <w:r w:rsidRPr="0021204F">
        <w:rPr>
          <w:i/>
        </w:rPr>
        <w:t>”</w:t>
      </w:r>
      <w:r w:rsidR="007B0A11" w:rsidRPr="0021204F">
        <w:rPr>
          <w:i/>
        </w:rPr>
        <w:t>.</w:t>
      </w:r>
    </w:p>
    <w:p w14:paraId="6E9313CE" w14:textId="77777777" w:rsidR="0021204F" w:rsidRDefault="0021204F" w:rsidP="00F603D1">
      <w:pPr>
        <w:pStyle w:val="Opstilling-talellerbogst"/>
        <w:numPr>
          <w:ilvl w:val="0"/>
          <w:numId w:val="0"/>
        </w:numPr>
        <w:jc w:val="both"/>
      </w:pPr>
    </w:p>
    <w:p w14:paraId="1B6BB6C1" w14:textId="77777777" w:rsidR="0021204F" w:rsidRDefault="0021204F" w:rsidP="00F603D1">
      <w:pPr>
        <w:pStyle w:val="Opstilling-talellerbogst"/>
        <w:numPr>
          <w:ilvl w:val="0"/>
          <w:numId w:val="0"/>
        </w:numPr>
        <w:jc w:val="both"/>
      </w:pPr>
      <w:r>
        <w:t xml:space="preserve">Bestemmelsen indebærer, at IE-husdyrbrugene ved revurdering skal overholde de ammoniakemissionskrav, der følger af bekendtgørelsens § 25. Derudover skal også </w:t>
      </w:r>
      <w:proofErr w:type="spellStart"/>
      <w:r>
        <w:t>ammoniakdepositionsreglerne</w:t>
      </w:r>
      <w:proofErr w:type="spellEnd"/>
      <w:r>
        <w:t xml:space="preserve"> overholdes. </w:t>
      </w:r>
    </w:p>
    <w:p w14:paraId="0E4ED9C4" w14:textId="77777777" w:rsidR="0021204F" w:rsidRDefault="0021204F" w:rsidP="00F603D1">
      <w:pPr>
        <w:pStyle w:val="Opstilling-talellerbogst"/>
        <w:numPr>
          <w:ilvl w:val="0"/>
          <w:numId w:val="0"/>
        </w:numPr>
        <w:jc w:val="both"/>
      </w:pPr>
    </w:p>
    <w:p w14:paraId="74A1F55A" w14:textId="58F63193" w:rsidR="00CA5579" w:rsidRDefault="0021204F" w:rsidP="009236CE">
      <w:pPr>
        <w:pStyle w:val="Opstilling-talellerbogst"/>
        <w:numPr>
          <w:ilvl w:val="0"/>
          <w:numId w:val="0"/>
        </w:numPr>
        <w:jc w:val="both"/>
      </w:pPr>
      <w:r>
        <w:t xml:space="preserve">§ 39 skal dermed </w:t>
      </w:r>
      <w:r w:rsidRPr="0021204F">
        <w:rPr>
          <w:u w:val="single"/>
        </w:rPr>
        <w:t>ikke</w:t>
      </w:r>
      <w:r>
        <w:t xml:space="preserve"> forstås således,</w:t>
      </w:r>
      <w:r w:rsidRPr="0021204F">
        <w:t xml:space="preserve"> </w:t>
      </w:r>
      <w:r>
        <w:t>at der gerne i forbindelse med en revurdering må ske en øget ammoniakemission,</w:t>
      </w:r>
      <w:r w:rsidR="000E5C7A">
        <w:t xml:space="preserve"> herunder</w:t>
      </w:r>
      <w:r>
        <w:t xml:space="preserve"> så længe kategori 1 og 2 natur ikke påvirkes. </w:t>
      </w:r>
      <w:r w:rsidR="00CA5579">
        <w:t>Der kan dog være situationer, hvor ammoniakemissionen er højere i den eksisterende godkendelse end forudsat på godkendelsestidspunktet, fordi teknologien, der er stillet vilkår om, har en lavere effekt end antaget på godkendelsestidspunktet. Det er således vilkårene, der skal videreføres og ikke det konkrete ammoniakemissionstal.</w:t>
      </w:r>
    </w:p>
    <w:p w14:paraId="435EB140" w14:textId="77777777" w:rsidR="00CA5579" w:rsidRDefault="00CA5579" w:rsidP="009236CE">
      <w:pPr>
        <w:pStyle w:val="Opstilling-talellerbogst"/>
        <w:numPr>
          <w:ilvl w:val="0"/>
          <w:numId w:val="0"/>
        </w:numPr>
        <w:jc w:val="both"/>
      </w:pPr>
    </w:p>
    <w:p w14:paraId="0204EAE8" w14:textId="7A4B322C" w:rsidR="0021204F" w:rsidRDefault="00D51C1E" w:rsidP="009236CE">
      <w:pPr>
        <w:pStyle w:val="Opstilling-talellerbogst"/>
        <w:numPr>
          <w:ilvl w:val="0"/>
          <w:numId w:val="0"/>
        </w:numPr>
        <w:jc w:val="both"/>
      </w:pPr>
      <w:r>
        <w:t>Ift. ammoniakemission skal k</w:t>
      </w:r>
      <w:r w:rsidR="000E5C7A">
        <w:t xml:space="preserve">ommunerne </w:t>
      </w:r>
      <w:r w:rsidR="00CA5579">
        <w:t xml:space="preserve">således </w:t>
      </w:r>
      <w:r w:rsidR="000E5C7A">
        <w:t>påse, at BAT-</w:t>
      </w:r>
      <w:r w:rsidR="00EF4DDB">
        <w:t>ammoniak</w:t>
      </w:r>
      <w:r w:rsidR="000E5C7A">
        <w:t>kravet for eksisterende stalde opfyldes</w:t>
      </w:r>
      <w:r w:rsidR="00EF4DDB">
        <w:t>, jf. bilag 3, pkt. A</w:t>
      </w:r>
      <w:r w:rsidR="000E5C7A">
        <w:t>. Det vil typisk indebære en vurd</w:t>
      </w:r>
      <w:r w:rsidR="00EF4DDB">
        <w:t>ering af, om de vilkår, der stilles i godkendelsen, overholdes</w:t>
      </w:r>
      <w:r w:rsidR="000E5C7A">
        <w:t>.</w:t>
      </w:r>
      <w:r>
        <w:t xml:space="preserve"> V</w:t>
      </w:r>
      <w:r w:rsidRPr="00D51C1E">
        <w:t>irkemidler og miljøteknologi, som</w:t>
      </w:r>
      <w:r>
        <w:t xml:space="preserve"> ikke længere er op</w:t>
      </w:r>
      <w:r w:rsidRPr="00D51C1E">
        <w:t>taget på Miljøstyrelsens teknologiliste</w:t>
      </w:r>
      <w:r>
        <w:t>,</w:t>
      </w:r>
      <w:r w:rsidRPr="00D51C1E">
        <w:t xml:space="preserve"> eller</w:t>
      </w:r>
      <w:r>
        <w:t xml:space="preserve"> som er optaget med en lavere effekt på revurderingstidspunktet,</w:t>
      </w:r>
      <w:r w:rsidR="009236CE">
        <w:t xml:space="preserve"> vil i den forbindelse ikke</w:t>
      </w:r>
      <w:r>
        <w:t xml:space="preserve"> </w:t>
      </w:r>
      <w:r w:rsidR="009236CE">
        <w:t xml:space="preserve">påvirke vurderingen. </w:t>
      </w:r>
      <w:r w:rsidR="000E5C7A">
        <w:t xml:space="preserve">I visse tilfælde er BAT-kravet for eksisterende stalde skærpet. Det gælder f.eks. </w:t>
      </w:r>
      <w:proofErr w:type="spellStart"/>
      <w:r w:rsidR="00EF4DDB">
        <w:t>konsumægshøner</w:t>
      </w:r>
      <w:proofErr w:type="spellEnd"/>
      <w:r w:rsidR="000E5C7A">
        <w:t xml:space="preserve">. </w:t>
      </w:r>
      <w:r w:rsidR="009236CE">
        <w:t xml:space="preserve">Her kan det blive relevant at stille krav om yderligere tiltag med henblik på at nedbringe ammoniakemissionen. </w:t>
      </w:r>
    </w:p>
    <w:p w14:paraId="31D0B872" w14:textId="70F79A88" w:rsidR="00CA5579" w:rsidRDefault="00CA5579" w:rsidP="009236CE">
      <w:pPr>
        <w:pStyle w:val="Opstilling-talellerbogst"/>
        <w:numPr>
          <w:ilvl w:val="0"/>
          <w:numId w:val="0"/>
        </w:numPr>
        <w:jc w:val="both"/>
      </w:pPr>
    </w:p>
    <w:p w14:paraId="65F05495" w14:textId="57A72721" w:rsidR="00CA5579" w:rsidRDefault="00CA5579" w:rsidP="009236CE">
      <w:pPr>
        <w:pStyle w:val="Opstilling-talellerbogst"/>
        <w:numPr>
          <w:ilvl w:val="0"/>
          <w:numId w:val="0"/>
        </w:numPr>
        <w:jc w:val="both"/>
      </w:pPr>
      <w:r>
        <w:t>Det skal bemærkes dermed, at der ved en revurdering skal foretages en genberegning af husdyrbrugets ammoniakemission ud fra nyeste viden om emissioner og teknologieffekt. Afvigelser fra beregninger fra godkendelsestidspunktet og revurderingstidspunktet skal opfattes som beregningsmæssige afvigelser, men er ikke udtryk for en reel ændring af emissionen, hvis de faktiske forhold på husdyrbruget ikke er ændret.</w:t>
      </w:r>
    </w:p>
    <w:p w14:paraId="11B46A53" w14:textId="77777777" w:rsidR="007B0A11" w:rsidRDefault="007B0A11" w:rsidP="00F603D1">
      <w:pPr>
        <w:pStyle w:val="Opstilling-talellerbogst"/>
        <w:numPr>
          <w:ilvl w:val="0"/>
          <w:numId w:val="0"/>
        </w:numPr>
        <w:jc w:val="both"/>
      </w:pPr>
    </w:p>
    <w:p w14:paraId="515FB3CB" w14:textId="77777777" w:rsidR="007B0A11" w:rsidRPr="007C2B5B" w:rsidRDefault="00C15628" w:rsidP="00F603D1">
      <w:pPr>
        <w:pStyle w:val="Opstilling-talellerbogst"/>
        <w:numPr>
          <w:ilvl w:val="1"/>
          <w:numId w:val="6"/>
        </w:numPr>
        <w:jc w:val="both"/>
        <w:rPr>
          <w:b/>
        </w:rPr>
      </w:pPr>
      <w:r>
        <w:rPr>
          <w:b/>
        </w:rPr>
        <w:t>P</w:t>
      </w:r>
      <w:r w:rsidRPr="00C15628">
        <w:rPr>
          <w:b/>
        </w:rPr>
        <w:t>lan for regelmæssig kontrol, reparation, vedligeholdelse og beredskab</w:t>
      </w:r>
      <w:r>
        <w:rPr>
          <w:b/>
        </w:rPr>
        <w:t xml:space="preserve"> - </w:t>
      </w:r>
      <w:r w:rsidR="007B0A11" w:rsidRPr="007C2B5B">
        <w:rPr>
          <w:b/>
        </w:rPr>
        <w:t>§ 44</w:t>
      </w:r>
    </w:p>
    <w:p w14:paraId="5F8141B8" w14:textId="77777777" w:rsidR="007B0A11" w:rsidRDefault="007B0A11" w:rsidP="00F603D1">
      <w:pPr>
        <w:pStyle w:val="Opstilling-talellerbogst"/>
        <w:numPr>
          <w:ilvl w:val="0"/>
          <w:numId w:val="0"/>
        </w:numPr>
        <w:jc w:val="both"/>
      </w:pPr>
      <w:r w:rsidRPr="007C2B5B">
        <w:rPr>
          <w:u w:val="single"/>
        </w:rPr>
        <w:t>KL</w:t>
      </w:r>
      <w:r>
        <w:t xml:space="preserve"> efterspørger </w:t>
      </w:r>
      <w:r w:rsidR="007C2B5B">
        <w:t>vejledning om, hvordan oplysningerne nævnt i §44 vurderes</w:t>
      </w:r>
      <w:r w:rsidR="00E45223">
        <w:t>.</w:t>
      </w:r>
    </w:p>
    <w:p w14:paraId="7CC31AEA" w14:textId="77777777" w:rsidR="007C2B5B" w:rsidRDefault="007C2B5B" w:rsidP="00F603D1">
      <w:pPr>
        <w:pStyle w:val="Opstilling-talellerbogst"/>
        <w:numPr>
          <w:ilvl w:val="0"/>
          <w:numId w:val="0"/>
        </w:numPr>
        <w:jc w:val="both"/>
        <w:rPr>
          <w:i/>
        </w:rPr>
      </w:pPr>
    </w:p>
    <w:p w14:paraId="63EC7280" w14:textId="50AE4596" w:rsidR="007B0A11" w:rsidRDefault="004E4D6E" w:rsidP="00F603D1">
      <w:pPr>
        <w:pStyle w:val="Opstilling-talellerbogst"/>
        <w:numPr>
          <w:ilvl w:val="0"/>
          <w:numId w:val="0"/>
        </w:numPr>
        <w:jc w:val="both"/>
      </w:pPr>
      <w:r>
        <w:rPr>
          <w:i/>
        </w:rPr>
        <w:t>Miljøministeriet</w:t>
      </w:r>
      <w:r w:rsidR="007C2B5B" w:rsidRPr="007B0A11">
        <w:rPr>
          <w:i/>
        </w:rPr>
        <w:t>s bemærkninger</w:t>
      </w:r>
    </w:p>
    <w:p w14:paraId="00F17D22" w14:textId="77777777" w:rsidR="00233B5E" w:rsidRDefault="00233B5E" w:rsidP="00F603D1">
      <w:pPr>
        <w:jc w:val="both"/>
      </w:pPr>
      <w:r>
        <w:t>Ministeriet vil videreformidle anmodningen om vejledning til Miljøstyrelsen, som er den ansvarlige myndighed for husdyrvejledningen.</w:t>
      </w:r>
    </w:p>
    <w:p w14:paraId="4B5A32A7" w14:textId="77777777" w:rsidR="00233B5E" w:rsidRDefault="00233B5E" w:rsidP="00F603D1">
      <w:pPr>
        <w:pStyle w:val="Opstilling-talellerbogst"/>
        <w:numPr>
          <w:ilvl w:val="0"/>
          <w:numId w:val="0"/>
        </w:numPr>
        <w:jc w:val="both"/>
      </w:pPr>
    </w:p>
    <w:p w14:paraId="5E561E70" w14:textId="77777777" w:rsidR="00E45223" w:rsidRDefault="007B0A11" w:rsidP="00F603D1">
      <w:pPr>
        <w:pStyle w:val="Opstilling-talellerbogst"/>
        <w:numPr>
          <w:ilvl w:val="0"/>
          <w:numId w:val="0"/>
        </w:numPr>
        <w:jc w:val="both"/>
      </w:pPr>
      <w:r>
        <w:t xml:space="preserve">Ministeriet kan </w:t>
      </w:r>
      <w:r w:rsidR="00233B5E">
        <w:t xml:space="preserve">derudover </w:t>
      </w:r>
      <w:r>
        <w:t>oplyse, at der er ved at blive udarbejdet et vejledningsmateriale, som bl.a. har til formål at præcisere kravene i § 44. Vejledningsmaterialet forventes offentliggjort i løbet af 2020.</w:t>
      </w:r>
    </w:p>
    <w:p w14:paraId="28DA97F7" w14:textId="77777777" w:rsidR="00E45223" w:rsidRDefault="00E45223" w:rsidP="00F603D1">
      <w:pPr>
        <w:pStyle w:val="Opstilling-talellerbogst"/>
        <w:numPr>
          <w:ilvl w:val="0"/>
          <w:numId w:val="0"/>
        </w:numPr>
        <w:jc w:val="both"/>
      </w:pPr>
    </w:p>
    <w:p w14:paraId="65049A12" w14:textId="77777777" w:rsidR="007B0A11" w:rsidRPr="00C15628" w:rsidRDefault="00E45223" w:rsidP="00F603D1">
      <w:pPr>
        <w:pStyle w:val="Opstilling-talellerbogst"/>
        <w:numPr>
          <w:ilvl w:val="1"/>
          <w:numId w:val="6"/>
        </w:numPr>
        <w:jc w:val="both"/>
        <w:rPr>
          <w:b/>
        </w:rPr>
      </w:pPr>
      <w:r w:rsidRPr="00C15628">
        <w:rPr>
          <w:b/>
        </w:rPr>
        <w:t>Definition af kategori 2-natur, højmoser - § 2, nr. 2, litra a</w:t>
      </w:r>
    </w:p>
    <w:p w14:paraId="7C979F58" w14:textId="62B729C9" w:rsidR="00E45223" w:rsidRDefault="00E45223" w:rsidP="00F603D1">
      <w:pPr>
        <w:pStyle w:val="Opstilling-talellerbogst"/>
        <w:numPr>
          <w:ilvl w:val="0"/>
          <w:numId w:val="0"/>
        </w:numPr>
        <w:jc w:val="both"/>
      </w:pPr>
      <w:r w:rsidRPr="00E45223">
        <w:rPr>
          <w:u w:val="single"/>
        </w:rPr>
        <w:t>L&amp;F</w:t>
      </w:r>
      <w:r>
        <w:t xml:space="preserve"> foreslår, at begrebet højmoser i § 2, nr. 2, litra a, præciseres således, at begrebet kun omfatter aktive højmoser. Alternativt</w:t>
      </w:r>
      <w:r w:rsidR="00E53881">
        <w:t>,</w:t>
      </w:r>
      <w:r>
        <w:t xml:space="preserve"> at det som minimum præcises, at begrebet ikke omfatter isolerede og små naturforekomster</w:t>
      </w:r>
      <w:r w:rsidRPr="00E45223">
        <w:t xml:space="preserve"> </w:t>
      </w:r>
      <w:r>
        <w:t>eller delområder af § 3-beskyttet natur, der kan henføres mere eller mindre præcist til habitatnaturtyper beslægtet med højmoser – eller undertyper af en mere bred fortolkning af højmoser, når disse ikke rummer vel</w:t>
      </w:r>
      <w:r w:rsidR="00E53881">
        <w:t xml:space="preserve">bevaret højmosevegetation og heller ikke </w:t>
      </w:r>
      <w:r>
        <w:t>indgår som mindre elementer i et højmosekompleks med helt særlige bevaringshensyn og restaureringsplaner.</w:t>
      </w:r>
    </w:p>
    <w:p w14:paraId="5FC8E801" w14:textId="77777777" w:rsidR="00C15628" w:rsidRDefault="00C15628" w:rsidP="00F603D1">
      <w:pPr>
        <w:pStyle w:val="Opstilling-talellerbogst"/>
        <w:numPr>
          <w:ilvl w:val="0"/>
          <w:numId w:val="0"/>
        </w:numPr>
        <w:jc w:val="both"/>
      </w:pPr>
    </w:p>
    <w:p w14:paraId="39796414" w14:textId="2BE49131" w:rsidR="00C15628" w:rsidRDefault="004E4D6E" w:rsidP="00F603D1">
      <w:pPr>
        <w:pStyle w:val="Opstilling-talellerbogst"/>
        <w:numPr>
          <w:ilvl w:val="0"/>
          <w:numId w:val="0"/>
        </w:numPr>
        <w:jc w:val="both"/>
      </w:pPr>
      <w:r>
        <w:rPr>
          <w:i/>
        </w:rPr>
        <w:t>Miljøministeriet</w:t>
      </w:r>
      <w:r w:rsidR="00C15628" w:rsidRPr="007B0A11">
        <w:rPr>
          <w:i/>
        </w:rPr>
        <w:t>s bemærkninger</w:t>
      </w:r>
    </w:p>
    <w:p w14:paraId="68627DE7" w14:textId="77777777" w:rsidR="00085BA0" w:rsidRDefault="00085BA0" w:rsidP="00085BA0">
      <w:pPr>
        <w:pStyle w:val="Opstilling-talellerbogst"/>
        <w:numPr>
          <w:ilvl w:val="0"/>
          <w:numId w:val="0"/>
        </w:numPr>
        <w:jc w:val="both"/>
      </w:pPr>
      <w:r>
        <w:t xml:space="preserve">Jf. bekendtgørelsen omfatter beskyttelsen højmoser, og der er i bekendtgørelsen ikke fastsat kriterier for højmosens tilstand. Hvis man ændrer begrebet fra højmoser til aktive højmoser, vil dette derfor medføre at der er højmoser, der falder ud af beskyttelsen. Konsekvensen af en sådan ændring vil kræve et større udredningsarbejde. </w:t>
      </w:r>
    </w:p>
    <w:p w14:paraId="2584F7D6" w14:textId="77777777" w:rsidR="00085BA0" w:rsidRDefault="00085BA0" w:rsidP="00085BA0">
      <w:pPr>
        <w:pStyle w:val="Opstilling-talellerbogst"/>
        <w:numPr>
          <w:ilvl w:val="0"/>
          <w:numId w:val="0"/>
        </w:numPr>
        <w:jc w:val="both"/>
      </w:pPr>
    </w:p>
    <w:p w14:paraId="79249C50" w14:textId="77777777" w:rsidR="00085BA0" w:rsidRDefault="00085BA0" w:rsidP="00085BA0">
      <w:pPr>
        <w:pStyle w:val="Opstilling-talellerbogst"/>
        <w:numPr>
          <w:ilvl w:val="0"/>
          <w:numId w:val="0"/>
        </w:numPr>
        <w:jc w:val="both"/>
      </w:pPr>
      <w:r>
        <w:t>Ministeriet mener derudover, at det allerede er præcist, at det er højmoser – og kun højmoser – der er omfattet. I forhold til en beskrivelse af, hvad der er højmose, henvises der til vejledningen.</w:t>
      </w:r>
    </w:p>
    <w:p w14:paraId="217A8108" w14:textId="77777777" w:rsidR="00C15628" w:rsidRDefault="00C15628" w:rsidP="00F603D1">
      <w:pPr>
        <w:pStyle w:val="Opstilling-talellerbogst"/>
        <w:numPr>
          <w:ilvl w:val="0"/>
          <w:numId w:val="0"/>
        </w:numPr>
        <w:jc w:val="both"/>
      </w:pPr>
    </w:p>
    <w:p w14:paraId="73B4D00B" w14:textId="77777777" w:rsidR="00C15628" w:rsidRPr="00C15628" w:rsidRDefault="00C15628" w:rsidP="00F603D1">
      <w:pPr>
        <w:pStyle w:val="Opstilling-talellerbogst"/>
        <w:numPr>
          <w:ilvl w:val="1"/>
          <w:numId w:val="6"/>
        </w:numPr>
        <w:jc w:val="both"/>
        <w:rPr>
          <w:b/>
        </w:rPr>
      </w:pPr>
      <w:r w:rsidRPr="00C15628">
        <w:rPr>
          <w:b/>
        </w:rPr>
        <w:t>Fastholdelse af BAT-krav – bekendtgørelsens bilag 3</w:t>
      </w:r>
    </w:p>
    <w:p w14:paraId="736E60B3" w14:textId="3653525C" w:rsidR="00C15628" w:rsidRDefault="0012132F" w:rsidP="002B7994">
      <w:pPr>
        <w:pStyle w:val="Opstilling-talellerbogst"/>
        <w:numPr>
          <w:ilvl w:val="0"/>
          <w:numId w:val="0"/>
        </w:numPr>
        <w:jc w:val="both"/>
      </w:pPr>
      <w:r w:rsidRPr="00E45223">
        <w:rPr>
          <w:u w:val="single"/>
        </w:rPr>
        <w:t>L&amp;</w:t>
      </w:r>
      <w:r w:rsidRPr="0012132F">
        <w:t>F</w:t>
      </w:r>
      <w:r>
        <w:t xml:space="preserve"> bemærker, at d</w:t>
      </w:r>
      <w:r w:rsidRPr="0012132F">
        <w:t>er</w:t>
      </w:r>
      <w:r>
        <w:t xml:space="preserve"> </w:t>
      </w:r>
      <w:r w:rsidR="00C15628">
        <w:t>er flere sager, hvor husdyrproducenter ved valg af miljøteknologi i forbindelse med</w:t>
      </w:r>
      <w:r>
        <w:t xml:space="preserve"> </w:t>
      </w:r>
      <w:r w:rsidR="00C15628">
        <w:t>etablering af stalde, udvidelser mv. har besluttet at overopfylde i forhold til husdyrbrugets</w:t>
      </w:r>
      <w:r>
        <w:t xml:space="preserve"> </w:t>
      </w:r>
      <w:r w:rsidR="00C15628">
        <w:t xml:space="preserve">BAT-krav. </w:t>
      </w:r>
      <w:r>
        <w:t xml:space="preserve">L&amp;F </w:t>
      </w:r>
      <w:r w:rsidR="00C15628">
        <w:t>opfordrer til, at husdyrgodkendelsesbekendtgørelsens bilag 3, punkt 2.1.2, 3.</w:t>
      </w:r>
      <w:r>
        <w:t xml:space="preserve"> </w:t>
      </w:r>
      <w:r w:rsidR="00C15628">
        <w:t>afsnit præciseres, så det entydigt fremgår, at eksisterende teknologi ikke medregnes ved</w:t>
      </w:r>
      <w:r>
        <w:t xml:space="preserve"> </w:t>
      </w:r>
      <w:r w:rsidR="00C15628">
        <w:t xml:space="preserve">ændringer. </w:t>
      </w:r>
      <w:r>
        <w:t>L&amp;F foreslår a</w:t>
      </w:r>
      <w:r w:rsidR="00C15628">
        <w:t>lternativt</w:t>
      </w:r>
      <w:r>
        <w:t>, at husdyrbruget maksimalt i så fald skal</w:t>
      </w:r>
      <w:r w:rsidR="00C15628">
        <w:t xml:space="preserve"> opfylde BAT krav for barmarksprojekter.</w:t>
      </w:r>
    </w:p>
    <w:p w14:paraId="6C80A48B" w14:textId="77777777" w:rsidR="00C15628" w:rsidRDefault="00C15628" w:rsidP="00F603D1">
      <w:pPr>
        <w:jc w:val="both"/>
      </w:pPr>
    </w:p>
    <w:p w14:paraId="1E356075" w14:textId="10B79918" w:rsidR="00C15628" w:rsidRDefault="004E4D6E" w:rsidP="00F603D1">
      <w:pPr>
        <w:pStyle w:val="Opstilling-talellerbogst"/>
        <w:numPr>
          <w:ilvl w:val="0"/>
          <w:numId w:val="0"/>
        </w:numPr>
        <w:jc w:val="both"/>
      </w:pPr>
      <w:r>
        <w:rPr>
          <w:i/>
        </w:rPr>
        <w:t>Miljøministeriet</w:t>
      </w:r>
      <w:r w:rsidR="00C15628" w:rsidRPr="007B0A11">
        <w:rPr>
          <w:i/>
        </w:rPr>
        <w:t>s bemærkninger</w:t>
      </w:r>
    </w:p>
    <w:p w14:paraId="1D8A6FC7" w14:textId="21C84D83" w:rsidR="00F97E4A" w:rsidRDefault="00CA5579" w:rsidP="00F97E4A">
      <w:pPr>
        <w:pStyle w:val="Opstilling-talellerbogst"/>
        <w:numPr>
          <w:ilvl w:val="0"/>
          <w:numId w:val="0"/>
        </w:numPr>
        <w:jc w:val="both"/>
      </w:pPr>
      <w:r>
        <w:t xml:space="preserve">Vilkår om ammoniakreducerende teknologier i eksisterende stalde, skal således videreføres, medmindre de ikke længere er optaget på teknologilisten. </w:t>
      </w:r>
      <w:r w:rsidR="00F97E4A">
        <w:t>De gældende regler har til formål at implementere og overholde bl.a. habitatdirektivet og IE-direktivet.</w:t>
      </w:r>
      <w:r w:rsidR="006005AC">
        <w:t xml:space="preserve"> Ministeriet har i det lys ikke mulighed for at efterkomme </w:t>
      </w:r>
      <w:proofErr w:type="spellStart"/>
      <w:r w:rsidR="006005AC">
        <w:t>L&amp;Fs</w:t>
      </w:r>
      <w:proofErr w:type="spellEnd"/>
      <w:r w:rsidR="006005AC">
        <w:t xml:space="preserve"> ønske. Der henvises i øvrigt til</w:t>
      </w:r>
      <w:r>
        <w:t xml:space="preserve"> Miljøstyrelsens </w:t>
      </w:r>
      <w:proofErr w:type="spellStart"/>
      <w:r>
        <w:t>helpdesksvar</w:t>
      </w:r>
      <w:proofErr w:type="spellEnd"/>
      <w:r w:rsidRPr="00F75AC6">
        <w:rPr>
          <w:rStyle w:val="Fodnotehenvisning"/>
          <w:rFonts w:asciiTheme="minorHAnsi" w:hAnsiTheme="minorHAnsi"/>
          <w:sz w:val="20"/>
        </w:rPr>
        <w:footnoteReference w:id="1"/>
      </w:r>
      <w:r>
        <w:t xml:space="preserve"> og vejledning</w:t>
      </w:r>
      <w:r w:rsidRPr="00F75AC6">
        <w:rPr>
          <w:rStyle w:val="Fodnotehenvisning"/>
          <w:sz w:val="16"/>
          <w:szCs w:val="16"/>
        </w:rPr>
        <w:footnoteReference w:id="2"/>
      </w:r>
      <w:r w:rsidR="006005AC" w:rsidRPr="00F75AC6">
        <w:rPr>
          <w:rFonts w:asciiTheme="minorHAnsi" w:hAnsiTheme="minorHAnsi"/>
        </w:rPr>
        <w:t xml:space="preserve"> </w:t>
      </w:r>
      <w:r w:rsidR="006005AC">
        <w:t xml:space="preserve">for nærmere vejledning om den pågældende problemstilling. </w:t>
      </w:r>
    </w:p>
    <w:p w14:paraId="749D4BA4" w14:textId="6E3347DC" w:rsidR="00DA42EF" w:rsidRDefault="00DA42EF" w:rsidP="00F603D1">
      <w:pPr>
        <w:pStyle w:val="Opstilling-talellerbogst"/>
        <w:numPr>
          <w:ilvl w:val="0"/>
          <w:numId w:val="0"/>
        </w:numPr>
        <w:jc w:val="both"/>
      </w:pPr>
    </w:p>
    <w:p w14:paraId="037CF0C9" w14:textId="6093F2A4" w:rsidR="00465402" w:rsidRPr="002E1B91" w:rsidRDefault="002E1B91" w:rsidP="00465402">
      <w:pPr>
        <w:pStyle w:val="Opstilling-talellerbogst"/>
        <w:numPr>
          <w:ilvl w:val="1"/>
          <w:numId w:val="6"/>
        </w:numPr>
        <w:rPr>
          <w:b/>
        </w:rPr>
      </w:pPr>
      <w:r w:rsidRPr="002E1B91">
        <w:rPr>
          <w:b/>
        </w:rPr>
        <w:t>Erhvervsstyrelsens høringssvar</w:t>
      </w:r>
    </w:p>
    <w:p w14:paraId="55F68A0D" w14:textId="53A51386" w:rsidR="002E1B91" w:rsidRDefault="002E1B91" w:rsidP="002E1B91">
      <w:pPr>
        <w:pStyle w:val="Opstilling-talellerbogst"/>
        <w:numPr>
          <w:ilvl w:val="0"/>
          <w:numId w:val="0"/>
        </w:numPr>
      </w:pPr>
      <w:r w:rsidRPr="002E1B91">
        <w:rPr>
          <w:u w:val="single"/>
        </w:rPr>
        <w:t>Erhvervsstyrelsens Område for Bedre Regulering (OBR)</w:t>
      </w:r>
      <w:r>
        <w:t xml:space="preserve"> anfører i høringssvaret, at OBR vurderer</w:t>
      </w:r>
      <w:r w:rsidRPr="002E1B91">
        <w:t>, at bekendtgørelsesudkastet ikke medfører administrative konsekvenser for erhvervslivet</w:t>
      </w:r>
      <w:r>
        <w:t xml:space="preserve">. OBR har ikke bemærkninger til ministeriets vurdering af, </w:t>
      </w:r>
      <w:r w:rsidRPr="002E1B91">
        <w:t>at principperne for agil erhvervsrettet regulering ikke er relevante for de konkrete ændringer i bekendtgørelsesudkastet</w:t>
      </w:r>
      <w:r>
        <w:t>.</w:t>
      </w:r>
    </w:p>
    <w:p w14:paraId="792F63AD" w14:textId="77777777" w:rsidR="002E1B91" w:rsidRDefault="002E1B91" w:rsidP="002E1B91">
      <w:pPr>
        <w:pStyle w:val="Opstilling-talellerbogst"/>
        <w:numPr>
          <w:ilvl w:val="0"/>
          <w:numId w:val="0"/>
        </w:numPr>
      </w:pPr>
    </w:p>
    <w:p w14:paraId="3BB3771C" w14:textId="7D0426BE" w:rsidR="002E1B91" w:rsidRDefault="004E4D6E" w:rsidP="002E1B91">
      <w:pPr>
        <w:pStyle w:val="Opstilling-talellerbogst"/>
        <w:numPr>
          <w:ilvl w:val="0"/>
          <w:numId w:val="0"/>
        </w:numPr>
        <w:jc w:val="both"/>
      </w:pPr>
      <w:r>
        <w:rPr>
          <w:i/>
        </w:rPr>
        <w:t>Miljøministeriet</w:t>
      </w:r>
      <w:r w:rsidR="002E1B91" w:rsidRPr="007B0A11">
        <w:rPr>
          <w:i/>
        </w:rPr>
        <w:t>s bemærkninger</w:t>
      </w:r>
    </w:p>
    <w:p w14:paraId="365E4851" w14:textId="33846FAE" w:rsidR="00C15628" w:rsidRPr="00660F90" w:rsidRDefault="002E1B91" w:rsidP="00F603D1">
      <w:pPr>
        <w:jc w:val="both"/>
      </w:pPr>
      <w:r>
        <w:t xml:space="preserve">Ministeriet tager </w:t>
      </w:r>
      <w:proofErr w:type="spellStart"/>
      <w:r>
        <w:t>OBRs</w:t>
      </w:r>
      <w:proofErr w:type="spellEnd"/>
      <w:r>
        <w:t xml:space="preserve"> bemærkninger til efterretning. </w:t>
      </w:r>
    </w:p>
    <w:sectPr w:rsidR="00C15628" w:rsidRPr="00660F90" w:rsidSect="007A04FE">
      <w:headerReference w:type="default" r:id="rId8"/>
      <w:footerReference w:type="even" r:id="rId9"/>
      <w:footerReference w:type="default" r:id="rId10"/>
      <w:headerReference w:type="first" r:id="rId11"/>
      <w:footerReference w:type="first" r:id="rId12"/>
      <w:pgSz w:w="11906" w:h="16838" w:code="9"/>
      <w:pgMar w:top="2041" w:right="1418" w:bottom="1701" w:left="1418" w:header="459" w:footer="7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53775" w14:textId="77777777" w:rsidR="00014B4D" w:rsidRDefault="00014B4D">
      <w:r>
        <w:separator/>
      </w:r>
    </w:p>
  </w:endnote>
  <w:endnote w:type="continuationSeparator" w:id="0">
    <w:p w14:paraId="31ADD826" w14:textId="77777777" w:rsidR="00014B4D" w:rsidRDefault="00014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4A102" w14:textId="77777777"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660F90">
      <w:rPr>
        <w:rStyle w:val="Sidetal"/>
        <w:noProof/>
      </w:rPr>
      <w:t>1</w:t>
    </w:r>
    <w:r>
      <w:rPr>
        <w:rStyle w:val="Sidetal"/>
      </w:rPr>
      <w:fldChar w:fldCharType="end"/>
    </w:r>
  </w:p>
  <w:p w14:paraId="6E91A284" w14:textId="77777777" w:rsidR="00467E79" w:rsidRDefault="00467E79"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53C42" w14:textId="728F4DC0" w:rsidR="007A04FE" w:rsidRDefault="007A04FE" w:rsidP="00BC1C77">
    <w:pPr>
      <w:pStyle w:val="Sidefod"/>
      <w:ind w:right="0"/>
      <w:jc w:val="right"/>
    </w:pPr>
    <w:r>
      <w:rPr>
        <w:rStyle w:val="Sidetal"/>
      </w:rPr>
      <w:fldChar w:fldCharType="begin"/>
    </w:r>
    <w:r>
      <w:rPr>
        <w:rStyle w:val="Sidetal"/>
      </w:rPr>
      <w:instrText xml:space="preserve"> PAGE </w:instrText>
    </w:r>
    <w:r>
      <w:rPr>
        <w:rStyle w:val="Sidetal"/>
      </w:rPr>
      <w:fldChar w:fldCharType="separate"/>
    </w:r>
    <w:r w:rsidR="008D27F2">
      <w:rPr>
        <w:rStyle w:val="Sidetal"/>
        <w:noProof/>
      </w:rPr>
      <w:t>5</w:t>
    </w:r>
    <w:r>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4BEAF" w14:textId="77777777" w:rsidR="004B68AD" w:rsidRPr="00660F90" w:rsidRDefault="00660F90" w:rsidP="004B68AD">
    <w:pPr>
      <w:pStyle w:val="Template-Address"/>
    </w:pPr>
    <w:bookmarkStart w:id="18" w:name="OFF_Institution"/>
    <w:bookmarkStart w:id="19" w:name="OFF_InstitutionHIF"/>
    <w:bookmarkStart w:id="20" w:name="XIF_MMFirstAddressLine"/>
    <w:r w:rsidRPr="00660F90">
      <w:t>Miljø- og Fødevareministeriet</w:t>
    </w:r>
    <w:bookmarkEnd w:id="18"/>
    <w:r w:rsidR="004B68AD" w:rsidRPr="00660F90">
      <w:t xml:space="preserve"> </w:t>
    </w:r>
    <w:bookmarkEnd w:id="19"/>
    <w:r w:rsidR="004B68AD" w:rsidRPr="00660F90">
      <w:t xml:space="preserve">• </w:t>
    </w:r>
    <w:bookmarkStart w:id="21" w:name="OFF_AddressA"/>
    <w:bookmarkStart w:id="22" w:name="OFF_AddressAHIF"/>
    <w:r w:rsidRPr="00660F90">
      <w:t>Slotsholmsgade 12</w:t>
    </w:r>
    <w:bookmarkEnd w:id="21"/>
    <w:r w:rsidR="004B68AD" w:rsidRPr="00660F90">
      <w:t xml:space="preserve"> </w:t>
    </w:r>
    <w:bookmarkEnd w:id="22"/>
    <w:r w:rsidR="004B68AD" w:rsidRPr="00660F90">
      <w:rPr>
        <w:vanish/>
      </w:rPr>
      <w:t xml:space="preserve">• </w:t>
    </w:r>
    <w:bookmarkStart w:id="23" w:name="OFF_AddressB"/>
    <w:bookmarkStart w:id="24" w:name="OFF_AddressBHIF"/>
    <w:bookmarkEnd w:id="23"/>
    <w:r w:rsidR="004B68AD" w:rsidRPr="00660F90">
      <w:rPr>
        <w:vanish/>
      </w:rPr>
      <w:t xml:space="preserve"> </w:t>
    </w:r>
    <w:bookmarkEnd w:id="24"/>
    <w:r w:rsidR="004B68AD" w:rsidRPr="00660F90">
      <w:rPr>
        <w:vanish/>
      </w:rPr>
      <w:t xml:space="preserve">• </w:t>
    </w:r>
    <w:bookmarkStart w:id="25" w:name="OFF_AddressC"/>
    <w:bookmarkStart w:id="26" w:name="OFF_AddressCHIF"/>
    <w:bookmarkEnd w:id="25"/>
    <w:r w:rsidR="004B68AD" w:rsidRPr="00660F90">
      <w:rPr>
        <w:vanish/>
      </w:rPr>
      <w:t xml:space="preserve"> </w:t>
    </w:r>
    <w:bookmarkEnd w:id="26"/>
    <w:r w:rsidR="004B68AD" w:rsidRPr="00660F90">
      <w:t xml:space="preserve">• </w:t>
    </w:r>
    <w:bookmarkStart w:id="27" w:name="OFF_AddressD"/>
    <w:bookmarkStart w:id="28" w:name="OFF_AddressDHIF"/>
    <w:r w:rsidRPr="00660F90">
      <w:t>1216</w:t>
    </w:r>
    <w:bookmarkEnd w:id="27"/>
    <w:r w:rsidR="004B68AD" w:rsidRPr="00660F90">
      <w:t xml:space="preserve"> </w:t>
    </w:r>
    <w:bookmarkStart w:id="29" w:name="OFF_City"/>
    <w:r>
      <w:t>København K</w:t>
    </w:r>
    <w:bookmarkEnd w:id="29"/>
    <w:r w:rsidR="004B68AD" w:rsidRPr="00660F90">
      <w:t xml:space="preserve"> </w:t>
    </w:r>
    <w:bookmarkEnd w:id="28"/>
  </w:p>
  <w:p w14:paraId="53C40196" w14:textId="77777777" w:rsidR="004B68AD" w:rsidRPr="004B68AD" w:rsidRDefault="00660F90" w:rsidP="004B68AD">
    <w:pPr>
      <w:pStyle w:val="Template-Address"/>
      <w:rPr>
        <w:lang w:val="en-GB"/>
      </w:rPr>
    </w:pPr>
    <w:bookmarkStart w:id="30" w:name="LAN_Phone"/>
    <w:bookmarkStart w:id="31" w:name="OFF_PhoneHIF"/>
    <w:bookmarkStart w:id="32" w:name="XIF_MMSecondAddressLine"/>
    <w:bookmarkEnd w:id="20"/>
    <w:r w:rsidRPr="00660F90">
      <w:rPr>
        <w:lang w:val="en-GB"/>
      </w:rPr>
      <w:t>Tlf.</w:t>
    </w:r>
    <w:bookmarkEnd w:id="30"/>
    <w:r w:rsidR="004B68AD" w:rsidRPr="00660F90">
      <w:rPr>
        <w:lang w:val="en-GB"/>
      </w:rPr>
      <w:t xml:space="preserve"> </w:t>
    </w:r>
    <w:bookmarkStart w:id="33" w:name="OFF_Phone"/>
    <w:r w:rsidRPr="00660F90">
      <w:rPr>
        <w:lang w:val="en-GB"/>
      </w:rPr>
      <w:t>38 14 21 42</w:t>
    </w:r>
    <w:bookmarkEnd w:id="33"/>
    <w:r w:rsidR="004B68AD" w:rsidRPr="00660F90">
      <w:rPr>
        <w:lang w:val="en-GB"/>
      </w:rPr>
      <w:t xml:space="preserve"> </w:t>
    </w:r>
    <w:bookmarkEnd w:id="31"/>
    <w:r w:rsidR="004B68AD" w:rsidRPr="00660F90">
      <w:rPr>
        <w:lang w:val="en-GB"/>
      </w:rPr>
      <w:t xml:space="preserve">• </w:t>
    </w:r>
    <w:bookmarkStart w:id="34" w:name="LAN_Fax"/>
    <w:bookmarkStart w:id="35" w:name="OFF_FaxHIF"/>
    <w:r w:rsidRPr="00660F90">
      <w:rPr>
        <w:lang w:val="en-GB"/>
      </w:rPr>
      <w:t>Fax</w:t>
    </w:r>
    <w:bookmarkEnd w:id="34"/>
    <w:r w:rsidR="004B68AD" w:rsidRPr="00660F90">
      <w:rPr>
        <w:lang w:val="en-GB"/>
      </w:rPr>
      <w:t xml:space="preserve"> </w:t>
    </w:r>
    <w:bookmarkStart w:id="36" w:name="OFF_Fax"/>
    <w:r w:rsidRPr="00660F90">
      <w:rPr>
        <w:lang w:val="en-GB"/>
      </w:rPr>
      <w:t>33 14 50 42</w:t>
    </w:r>
    <w:bookmarkEnd w:id="36"/>
    <w:r w:rsidR="004B68AD" w:rsidRPr="00660F90">
      <w:rPr>
        <w:lang w:val="en-GB"/>
      </w:rPr>
      <w:t xml:space="preserve"> </w:t>
    </w:r>
    <w:bookmarkEnd w:id="35"/>
    <w:r w:rsidR="004B68AD" w:rsidRPr="00660F90">
      <w:rPr>
        <w:lang w:val="en-GB"/>
      </w:rPr>
      <w:t xml:space="preserve">• </w:t>
    </w:r>
    <w:bookmarkStart w:id="37" w:name="OFF_CVRHIF"/>
    <w:r w:rsidR="004B68AD" w:rsidRPr="00660F90">
      <w:rPr>
        <w:lang w:val="en-GB"/>
      </w:rPr>
      <w:t xml:space="preserve">CVR </w:t>
    </w:r>
    <w:bookmarkStart w:id="38" w:name="OFF_CVR"/>
    <w:r w:rsidRPr="00660F90">
      <w:rPr>
        <w:lang w:val="en-GB"/>
      </w:rPr>
      <w:t>12854358</w:t>
    </w:r>
    <w:bookmarkEnd w:id="38"/>
    <w:r w:rsidR="004B68AD" w:rsidRPr="00660F90">
      <w:rPr>
        <w:lang w:val="en-GB"/>
      </w:rPr>
      <w:t xml:space="preserve"> </w:t>
    </w:r>
    <w:bookmarkEnd w:id="37"/>
    <w:r w:rsidR="004B68AD" w:rsidRPr="00660F90">
      <w:rPr>
        <w:lang w:val="en-GB"/>
      </w:rPr>
      <w:t xml:space="preserve">• </w:t>
    </w:r>
    <w:bookmarkStart w:id="39" w:name="OFF_EANHIF"/>
    <w:r w:rsidR="004B68AD" w:rsidRPr="00660F90">
      <w:rPr>
        <w:lang w:val="en-GB"/>
      </w:rPr>
      <w:t xml:space="preserve">EAN </w:t>
    </w:r>
    <w:bookmarkStart w:id="40" w:name="OFF_EAN"/>
    <w:r w:rsidRPr="00660F90">
      <w:rPr>
        <w:lang w:val="en-GB"/>
      </w:rPr>
      <w:t>5798000862005</w:t>
    </w:r>
    <w:bookmarkEnd w:id="40"/>
    <w:r w:rsidR="004B68AD" w:rsidRPr="00660F90">
      <w:rPr>
        <w:lang w:val="en-GB"/>
      </w:rPr>
      <w:t xml:space="preserve"> </w:t>
    </w:r>
    <w:bookmarkEnd w:id="39"/>
    <w:r w:rsidR="004B68AD" w:rsidRPr="00660F90">
      <w:rPr>
        <w:lang w:val="en-GB"/>
      </w:rPr>
      <w:t xml:space="preserve">• </w:t>
    </w:r>
    <w:bookmarkStart w:id="41" w:name="OFF_Email"/>
    <w:bookmarkStart w:id="42" w:name="OFF_EmailHIF"/>
    <w:r w:rsidRPr="00660F90">
      <w:rPr>
        <w:lang w:val="en-GB"/>
      </w:rPr>
      <w:t>mfvm@mfvm.dk</w:t>
    </w:r>
    <w:bookmarkEnd w:id="41"/>
    <w:r w:rsidR="004B68AD" w:rsidRPr="00660F90">
      <w:rPr>
        <w:lang w:val="en-GB"/>
      </w:rPr>
      <w:t xml:space="preserve"> </w:t>
    </w:r>
    <w:bookmarkEnd w:id="42"/>
    <w:r w:rsidR="004B68AD" w:rsidRPr="00660F90">
      <w:rPr>
        <w:lang w:val="en-GB"/>
      </w:rPr>
      <w:t xml:space="preserve">• </w:t>
    </w:r>
    <w:bookmarkStart w:id="43" w:name="OFF_Web"/>
    <w:bookmarkStart w:id="44" w:name="OFF_WebHIF"/>
    <w:r w:rsidRPr="00660F90">
      <w:rPr>
        <w:lang w:val="en-GB"/>
      </w:rPr>
      <w:t>www.mfvm.dk</w:t>
    </w:r>
    <w:bookmarkEnd w:id="43"/>
    <w:r w:rsidR="004B68AD" w:rsidRPr="00660F90">
      <w:rPr>
        <w:lang w:val="en-GB"/>
      </w:rPr>
      <w:t xml:space="preserve"> </w:t>
    </w:r>
    <w:bookmarkEnd w:id="32"/>
    <w:bookmarkEnd w:id="44"/>
  </w:p>
  <w:p w14:paraId="217DB24F" w14:textId="77777777" w:rsidR="0048667B" w:rsidRPr="004B68AD" w:rsidRDefault="0048667B" w:rsidP="004B68AD">
    <w:pPr>
      <w:pStyle w:val="Sidefod"/>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E0F26" w14:textId="77777777" w:rsidR="00014B4D" w:rsidRDefault="00014B4D">
      <w:r>
        <w:separator/>
      </w:r>
    </w:p>
  </w:footnote>
  <w:footnote w:type="continuationSeparator" w:id="0">
    <w:p w14:paraId="2AF6A810" w14:textId="77777777" w:rsidR="00014B4D" w:rsidRDefault="00014B4D">
      <w:r>
        <w:continuationSeparator/>
      </w:r>
    </w:p>
  </w:footnote>
  <w:footnote w:id="1">
    <w:p w14:paraId="6F67C710" w14:textId="40B8A904" w:rsidR="00CA5579" w:rsidRPr="00F75AC6" w:rsidRDefault="00CA5579">
      <w:pPr>
        <w:pStyle w:val="Fodnotetekst"/>
        <w:rPr>
          <w:rFonts w:asciiTheme="minorHAnsi" w:hAnsiTheme="minorHAnsi"/>
          <w:sz w:val="16"/>
          <w:szCs w:val="16"/>
        </w:rPr>
      </w:pPr>
      <w:r w:rsidRPr="00F75AC6">
        <w:rPr>
          <w:rStyle w:val="Fodnotehenvisning"/>
          <w:rFonts w:asciiTheme="minorHAnsi" w:hAnsiTheme="minorHAnsi"/>
          <w:sz w:val="16"/>
          <w:szCs w:val="16"/>
        </w:rPr>
        <w:footnoteRef/>
      </w:r>
      <w:r w:rsidRPr="00F75AC6">
        <w:rPr>
          <w:rFonts w:asciiTheme="minorHAnsi" w:hAnsiTheme="minorHAnsi"/>
          <w:sz w:val="16"/>
          <w:szCs w:val="16"/>
        </w:rPr>
        <w:t xml:space="preserve"> Se </w:t>
      </w:r>
      <w:hyperlink r:id="rId1" w:history="1">
        <w:r w:rsidRPr="00F75AC6">
          <w:rPr>
            <w:rStyle w:val="Hyperlink"/>
            <w:rFonts w:asciiTheme="minorHAnsi" w:hAnsiTheme="minorHAnsi"/>
            <w:sz w:val="16"/>
            <w:szCs w:val="16"/>
          </w:rPr>
          <w:t>https://husdyrvejledning.mst.dk/helpdesk/helpdesk-svar/bat/bat-for-eksisterende-staldafsnitfrivillig-reduktion-af-ammoniak-i-tidligere-godkendelser/</w:t>
        </w:r>
      </w:hyperlink>
    </w:p>
  </w:footnote>
  <w:footnote w:id="2">
    <w:p w14:paraId="1C525197" w14:textId="3D3B93AA" w:rsidR="00CA5579" w:rsidRPr="00F75AC6" w:rsidRDefault="00CA5579">
      <w:pPr>
        <w:pStyle w:val="Fodnotetekst"/>
        <w:rPr>
          <w:rFonts w:asciiTheme="minorHAnsi" w:hAnsiTheme="minorHAnsi"/>
          <w:sz w:val="16"/>
          <w:szCs w:val="16"/>
        </w:rPr>
      </w:pPr>
      <w:r w:rsidRPr="00F75AC6">
        <w:rPr>
          <w:rStyle w:val="Fodnotehenvisning"/>
          <w:rFonts w:asciiTheme="minorHAnsi" w:hAnsiTheme="minorHAnsi"/>
          <w:sz w:val="16"/>
          <w:szCs w:val="16"/>
        </w:rPr>
        <w:footnoteRef/>
      </w:r>
      <w:r w:rsidRPr="00F75AC6">
        <w:rPr>
          <w:rFonts w:asciiTheme="minorHAnsi" w:hAnsiTheme="minorHAnsi"/>
          <w:sz w:val="16"/>
          <w:szCs w:val="16"/>
        </w:rPr>
        <w:t xml:space="preserve"> </w:t>
      </w:r>
      <w:hyperlink r:id="rId2" w:anchor="nudrift" w:history="1">
        <w:r w:rsidRPr="00F75AC6">
          <w:rPr>
            <w:rStyle w:val="Hyperlink"/>
            <w:rFonts w:asciiTheme="minorHAnsi" w:hAnsiTheme="minorHAnsi"/>
            <w:sz w:val="16"/>
            <w:szCs w:val="16"/>
          </w:rPr>
          <w:t>https://husdyrvejledning.mst.dk/vejledning-til-bekendtgoerelserne/husdyrgodkendelses-bekendtgoerelsen/13-generelle-principper-for-godkendelser-og-tilladelser/#nudrift</w:t>
        </w:r>
      </w:hyperlink>
    </w:p>
    <w:p w14:paraId="376AA118" w14:textId="77777777" w:rsidR="00CA5579" w:rsidRDefault="00CA5579">
      <w:pPr>
        <w:pStyle w:val="Fod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83D3A" w14:textId="77777777" w:rsidR="000E717B" w:rsidRDefault="000E717B">
    <w:pPr>
      <w:pStyle w:val="Sidehoved"/>
    </w:pPr>
  </w:p>
  <w:p w14:paraId="18C1C632" w14:textId="77777777" w:rsidR="005A0290" w:rsidRDefault="005A029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E67E9" w14:textId="77777777" w:rsidR="004B68AD" w:rsidRPr="00326292" w:rsidRDefault="00660F90" w:rsidP="004B68AD">
    <w:bookmarkStart w:id="1" w:name="FLD_DocumentName"/>
    <w:r>
      <w:rPr>
        <w:noProof/>
      </w:rPr>
      <w:drawing>
        <wp:anchor distT="0" distB="0" distL="114300" distR="114300" simplePos="0" relativeHeight="251659264" behindDoc="0" locked="1" layoutInCell="1" allowOverlap="1" wp14:anchorId="3E8C2968" wp14:editId="221D4604">
          <wp:simplePos x="0" y="0"/>
          <wp:positionH relativeFrom="rightMargin">
            <wp:align>right</wp:align>
          </wp:positionH>
          <wp:positionV relativeFrom="page">
            <wp:posOffset>431800</wp:posOffset>
          </wp:positionV>
          <wp:extent cx="2627635" cy="793115"/>
          <wp:effectExtent l="0" t="0" r="0" b="0"/>
          <wp:wrapNone/>
          <wp:docPr id="2"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7635" cy="793115"/>
                  </a:xfrm>
                  <a:prstGeom prst="rect">
                    <a:avLst/>
                  </a:prstGeom>
                </pic:spPr>
              </pic:pic>
            </a:graphicData>
          </a:graphic>
          <wp14:sizeRelH relativeFrom="page">
            <wp14:pctWidth>0</wp14:pctWidth>
          </wp14:sizeRelH>
          <wp14:sizeRelV relativeFrom="page">
            <wp14:pctHeight>0</wp14:pctHeight>
          </wp14:sizeRelV>
        </wp:anchor>
      </w:drawing>
    </w:r>
    <w:r w:rsidR="004B68AD" w:rsidRPr="00326292">
      <w:rPr>
        <w:noProof/>
      </w:rPr>
      <mc:AlternateContent>
        <mc:Choice Requires="wps">
          <w:drawing>
            <wp:anchor distT="0" distB="0" distL="114300" distR="114300" simplePos="0" relativeHeight="251658240" behindDoc="0" locked="1" layoutInCell="1" allowOverlap="1" wp14:anchorId="5813B9A7" wp14:editId="07C63056">
              <wp:simplePos x="0" y="0"/>
              <wp:positionH relativeFrom="rightMargin">
                <wp:align>right</wp:align>
              </wp:positionH>
              <wp:positionV relativeFrom="page">
                <wp:posOffset>1263015</wp:posOffset>
              </wp:positionV>
              <wp:extent cx="2016000" cy="2361600"/>
              <wp:effectExtent l="0" t="0" r="3810" b="635"/>
              <wp:wrapNone/>
              <wp:docPr id="1" name="Kolofon"/>
              <wp:cNvGraphicFramePr/>
              <a:graphic xmlns:a="http://schemas.openxmlformats.org/drawingml/2006/main">
                <a:graphicData uri="http://schemas.microsoft.com/office/word/2010/wordprocessingShape">
                  <wps:wsp>
                    <wps:cNvSpPr txBox="1"/>
                    <wps:spPr>
                      <a:xfrm>
                        <a:off x="0" y="0"/>
                        <a:ext cx="2016000" cy="236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4B68AD" w14:paraId="66ECA69A" w14:textId="77777777">
                            <w:trPr>
                              <w:cantSplit/>
                              <w:trHeight w:val="2778"/>
                            </w:trPr>
                            <w:tc>
                              <w:tcPr>
                                <w:tcW w:w="2755" w:type="dxa"/>
                                <w:tcMar>
                                  <w:top w:w="34" w:type="dxa"/>
                                  <w:left w:w="0" w:type="dxa"/>
                                  <w:bottom w:w="28" w:type="dxa"/>
                                  <w:right w:w="0" w:type="dxa"/>
                                </w:tcMar>
                              </w:tcPr>
                              <w:p w14:paraId="5938FF99" w14:textId="77777777" w:rsidR="004B68AD" w:rsidRPr="00660F90" w:rsidRDefault="00660F90">
                                <w:pPr>
                                  <w:pStyle w:val="Kolofontekst"/>
                                </w:pPr>
                                <w:bookmarkStart w:id="2" w:name="OFF_Department"/>
                                <w:bookmarkStart w:id="3" w:name="OFF_DepartmentHIF"/>
                                <w:r w:rsidRPr="00660F90">
                                  <w:t>Miljø og Erhverv</w:t>
                                </w:r>
                                <w:bookmarkEnd w:id="2"/>
                              </w:p>
                              <w:p w14:paraId="7AB27ECC" w14:textId="77777777" w:rsidR="004B68AD" w:rsidRPr="00660F90" w:rsidRDefault="00660F90">
                                <w:pPr>
                                  <w:pStyle w:val="Kolofontekst"/>
                                </w:pPr>
                                <w:bookmarkStart w:id="4" w:name="LAN_CaseNo"/>
                                <w:bookmarkStart w:id="5" w:name="HIF_dossier_f2casenumber"/>
                                <w:bookmarkEnd w:id="3"/>
                                <w:r w:rsidRPr="00660F90">
                                  <w:t>J.nr.</w:t>
                                </w:r>
                                <w:bookmarkEnd w:id="4"/>
                                <w:r w:rsidR="004B68AD" w:rsidRPr="00660F90">
                                  <w:t xml:space="preserve"> </w:t>
                                </w:r>
                                <w:r>
                                  <w:rPr>
                                    <w:color w:val="000000" w:themeColor="text1"/>
                                    <w:lang w:val="de-DE"/>
                                  </w:rPr>
                                  <w:t>2020-2676</w:t>
                                </w:r>
                                <w:r w:rsidR="004B68AD" w:rsidRPr="00660F90">
                                  <w:rPr>
                                    <w:color w:val="000000" w:themeColor="text1"/>
                                    <w:lang w:val="de-DE"/>
                                  </w:rPr>
                                  <w:t xml:space="preserve"> </w:t>
                                </w:r>
                              </w:p>
                              <w:p w14:paraId="2CB75FBB" w14:textId="77777777" w:rsidR="004B68AD" w:rsidRPr="00660F90" w:rsidRDefault="00660F90">
                                <w:pPr>
                                  <w:pStyle w:val="Kolofontekst"/>
                                </w:pPr>
                                <w:bookmarkStart w:id="6" w:name="LAN_Ref"/>
                                <w:bookmarkStart w:id="7" w:name="USR_InitialsHIF"/>
                                <w:bookmarkEnd w:id="5"/>
                                <w:r w:rsidRPr="00660F90">
                                  <w:t>Ref.</w:t>
                                </w:r>
                                <w:bookmarkEnd w:id="6"/>
                                <w:r w:rsidR="004B68AD" w:rsidRPr="00660F90">
                                  <w:t xml:space="preserve"> </w:t>
                                </w:r>
                                <w:bookmarkStart w:id="8" w:name="USR_Initials"/>
                                <w:r w:rsidRPr="00660F90">
                                  <w:t>JUBRA</w:t>
                                </w:r>
                                <w:bookmarkEnd w:id="8"/>
                              </w:p>
                              <w:p w14:paraId="11E05A16" w14:textId="5A569A68" w:rsidR="004B68AD" w:rsidRDefault="00660F90" w:rsidP="00244BD9">
                                <w:pPr>
                                  <w:pStyle w:val="Kolofontekst"/>
                                </w:pPr>
                                <w:bookmarkStart w:id="9" w:name="FLD_DocumentDate"/>
                                <w:bookmarkEnd w:id="7"/>
                                <w:r>
                                  <w:t xml:space="preserve">Den </w:t>
                                </w:r>
                                <w:r w:rsidR="00244BD9">
                                  <w:t>29. december</w:t>
                                </w:r>
                                <w:r>
                                  <w:t xml:space="preserve"> 2020</w:t>
                                </w:r>
                                <w:bookmarkEnd w:id="9"/>
                              </w:p>
                            </w:tc>
                          </w:tr>
                        </w:tbl>
                        <w:p w14:paraId="1FC04D05" w14:textId="77777777" w:rsidR="004B68AD" w:rsidRDefault="004B68AD" w:rsidP="004B68A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13B9A7" id="_x0000_t202" coordsize="21600,21600" o:spt="202" path="m,l,21600r21600,l21600,xe">
              <v:stroke joinstyle="miter"/>
              <v:path gradientshapeok="t" o:connecttype="rect"/>
            </v:shapetype>
            <v:shape id="Kolofon" o:spid="_x0000_s1026" type="#_x0000_t202" style="position:absolute;margin-left:107.55pt;margin-top:99.45pt;width:158.75pt;height:185.95pt;z-index:251658240;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4B68AD" w14:paraId="66ECA69A" w14:textId="77777777">
                      <w:trPr>
                        <w:cantSplit/>
                        <w:trHeight w:val="2778"/>
                      </w:trPr>
                      <w:tc>
                        <w:tcPr>
                          <w:tcW w:w="2755" w:type="dxa"/>
                          <w:tcMar>
                            <w:top w:w="34" w:type="dxa"/>
                            <w:left w:w="0" w:type="dxa"/>
                            <w:bottom w:w="28" w:type="dxa"/>
                            <w:right w:w="0" w:type="dxa"/>
                          </w:tcMar>
                        </w:tcPr>
                        <w:p w14:paraId="5938FF99" w14:textId="77777777" w:rsidR="004B68AD" w:rsidRPr="00660F90" w:rsidRDefault="00660F90">
                          <w:pPr>
                            <w:pStyle w:val="Kolofontekst"/>
                          </w:pPr>
                          <w:bookmarkStart w:id="10" w:name="OFF_Department"/>
                          <w:bookmarkStart w:id="11" w:name="OFF_DepartmentHIF"/>
                          <w:r w:rsidRPr="00660F90">
                            <w:t>Miljø og Erhverv</w:t>
                          </w:r>
                          <w:bookmarkEnd w:id="10"/>
                        </w:p>
                        <w:p w14:paraId="7AB27ECC" w14:textId="77777777" w:rsidR="004B68AD" w:rsidRPr="00660F90" w:rsidRDefault="00660F90">
                          <w:pPr>
                            <w:pStyle w:val="Kolofontekst"/>
                          </w:pPr>
                          <w:bookmarkStart w:id="12" w:name="LAN_CaseNo"/>
                          <w:bookmarkStart w:id="13" w:name="HIF_dossier_f2casenumber"/>
                          <w:bookmarkEnd w:id="11"/>
                          <w:r w:rsidRPr="00660F90">
                            <w:t>J.nr.</w:t>
                          </w:r>
                          <w:bookmarkEnd w:id="12"/>
                          <w:r w:rsidR="004B68AD" w:rsidRPr="00660F90">
                            <w:t xml:space="preserve"> </w:t>
                          </w:r>
                          <w:r>
                            <w:rPr>
                              <w:color w:val="000000" w:themeColor="text1"/>
                              <w:lang w:val="de-DE"/>
                            </w:rPr>
                            <w:t>2020-2676</w:t>
                          </w:r>
                          <w:r w:rsidR="004B68AD" w:rsidRPr="00660F90">
                            <w:rPr>
                              <w:color w:val="000000" w:themeColor="text1"/>
                              <w:lang w:val="de-DE"/>
                            </w:rPr>
                            <w:t xml:space="preserve"> </w:t>
                          </w:r>
                        </w:p>
                        <w:p w14:paraId="2CB75FBB" w14:textId="77777777" w:rsidR="004B68AD" w:rsidRPr="00660F90" w:rsidRDefault="00660F90">
                          <w:pPr>
                            <w:pStyle w:val="Kolofontekst"/>
                          </w:pPr>
                          <w:bookmarkStart w:id="14" w:name="LAN_Ref"/>
                          <w:bookmarkStart w:id="15" w:name="USR_InitialsHIF"/>
                          <w:bookmarkEnd w:id="13"/>
                          <w:r w:rsidRPr="00660F90">
                            <w:t>Ref.</w:t>
                          </w:r>
                          <w:bookmarkEnd w:id="14"/>
                          <w:r w:rsidR="004B68AD" w:rsidRPr="00660F90">
                            <w:t xml:space="preserve"> </w:t>
                          </w:r>
                          <w:bookmarkStart w:id="16" w:name="USR_Initials"/>
                          <w:r w:rsidRPr="00660F90">
                            <w:t>JUBRA</w:t>
                          </w:r>
                          <w:bookmarkEnd w:id="16"/>
                        </w:p>
                        <w:p w14:paraId="11E05A16" w14:textId="5A569A68" w:rsidR="004B68AD" w:rsidRDefault="00660F90" w:rsidP="00244BD9">
                          <w:pPr>
                            <w:pStyle w:val="Kolofontekst"/>
                          </w:pPr>
                          <w:bookmarkStart w:id="17" w:name="FLD_DocumentDate"/>
                          <w:bookmarkEnd w:id="15"/>
                          <w:r>
                            <w:t xml:space="preserve">Den </w:t>
                          </w:r>
                          <w:r w:rsidR="00244BD9">
                            <w:t>29. december</w:t>
                          </w:r>
                          <w:r>
                            <w:t xml:space="preserve"> 2020</w:t>
                          </w:r>
                          <w:bookmarkEnd w:id="17"/>
                        </w:p>
                      </w:tc>
                    </w:tr>
                  </w:tbl>
                  <w:p w14:paraId="1FC04D05" w14:textId="77777777" w:rsidR="004B68AD" w:rsidRDefault="004B68AD" w:rsidP="004B68AD"/>
                </w:txbxContent>
              </v:textbox>
              <w10:wrap anchorx="margin" anchory="page"/>
              <w10:anchorlock/>
            </v:shape>
          </w:pict>
        </mc:Fallback>
      </mc:AlternateContent>
    </w:r>
  </w:p>
  <w:bookmarkEnd w:id="1"/>
  <w:p w14:paraId="36454C8F" w14:textId="77777777" w:rsidR="00A51DBA" w:rsidRDefault="00A51DBA" w:rsidP="00CF1627">
    <w:pPr>
      <w:pStyle w:val="DocumentNam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4CEC02"/>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15:restartNumberingAfterBreak="0">
    <w:nsid w:val="2E34414B"/>
    <w:multiLevelType w:val="multilevel"/>
    <w:tmpl w:val="FFEA7C1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b/>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2"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9"/>
  </w:num>
  <w:num w:numId="12">
    <w:abstractNumId w:val="13"/>
  </w:num>
  <w:num w:numId="13">
    <w:abstractNumId w:val="12"/>
  </w:num>
  <w:num w:numId="14">
    <w:abstractNumId w:val="8"/>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F90"/>
    <w:rsid w:val="00002EA0"/>
    <w:rsid w:val="00003636"/>
    <w:rsid w:val="00005FAA"/>
    <w:rsid w:val="00010163"/>
    <w:rsid w:val="0001457C"/>
    <w:rsid w:val="00014B4D"/>
    <w:rsid w:val="0001528D"/>
    <w:rsid w:val="000166A0"/>
    <w:rsid w:val="00030051"/>
    <w:rsid w:val="00037E7E"/>
    <w:rsid w:val="00060BC5"/>
    <w:rsid w:val="000647F2"/>
    <w:rsid w:val="00070BA1"/>
    <w:rsid w:val="00073466"/>
    <w:rsid w:val="00074F1A"/>
    <w:rsid w:val="000758FD"/>
    <w:rsid w:val="00082404"/>
    <w:rsid w:val="000825EC"/>
    <w:rsid w:val="00085BA0"/>
    <w:rsid w:val="00086B6B"/>
    <w:rsid w:val="00096AA1"/>
    <w:rsid w:val="000A1C92"/>
    <w:rsid w:val="000A26F5"/>
    <w:rsid w:val="000A7219"/>
    <w:rsid w:val="000B26E7"/>
    <w:rsid w:val="000B2E5E"/>
    <w:rsid w:val="000B5461"/>
    <w:rsid w:val="000B5C70"/>
    <w:rsid w:val="000C0594"/>
    <w:rsid w:val="000C13E6"/>
    <w:rsid w:val="000C2437"/>
    <w:rsid w:val="000C3D52"/>
    <w:rsid w:val="000C45B7"/>
    <w:rsid w:val="000C510E"/>
    <w:rsid w:val="000C62D3"/>
    <w:rsid w:val="000D0F4C"/>
    <w:rsid w:val="000D1CF4"/>
    <w:rsid w:val="000D28C1"/>
    <w:rsid w:val="000D5FBF"/>
    <w:rsid w:val="000D600E"/>
    <w:rsid w:val="000E3992"/>
    <w:rsid w:val="000E4332"/>
    <w:rsid w:val="000E43C3"/>
    <w:rsid w:val="000E5C7A"/>
    <w:rsid w:val="000E717B"/>
    <w:rsid w:val="000F0B81"/>
    <w:rsid w:val="00104604"/>
    <w:rsid w:val="001062D0"/>
    <w:rsid w:val="00114DE6"/>
    <w:rsid w:val="001210A9"/>
    <w:rsid w:val="0012132F"/>
    <w:rsid w:val="00133780"/>
    <w:rsid w:val="001354CC"/>
    <w:rsid w:val="0014150F"/>
    <w:rsid w:val="00144670"/>
    <w:rsid w:val="0014616C"/>
    <w:rsid w:val="00147799"/>
    <w:rsid w:val="00150899"/>
    <w:rsid w:val="00152CB8"/>
    <w:rsid w:val="00156908"/>
    <w:rsid w:val="00160721"/>
    <w:rsid w:val="001743E7"/>
    <w:rsid w:val="00175591"/>
    <w:rsid w:val="001A0525"/>
    <w:rsid w:val="001A361E"/>
    <w:rsid w:val="001A4CEE"/>
    <w:rsid w:val="001A4D56"/>
    <w:rsid w:val="001A58BF"/>
    <w:rsid w:val="001A6CB5"/>
    <w:rsid w:val="001A7E4B"/>
    <w:rsid w:val="001B292E"/>
    <w:rsid w:val="001B3F10"/>
    <w:rsid w:val="001B72A9"/>
    <w:rsid w:val="001C2544"/>
    <w:rsid w:val="001C417D"/>
    <w:rsid w:val="001C4328"/>
    <w:rsid w:val="001C7630"/>
    <w:rsid w:val="001D1196"/>
    <w:rsid w:val="001D19D8"/>
    <w:rsid w:val="001E38EF"/>
    <w:rsid w:val="001E7F16"/>
    <w:rsid w:val="001F3A47"/>
    <w:rsid w:val="001F763E"/>
    <w:rsid w:val="00200B86"/>
    <w:rsid w:val="0020134B"/>
    <w:rsid w:val="0020402C"/>
    <w:rsid w:val="002044E3"/>
    <w:rsid w:val="00204BF4"/>
    <w:rsid w:val="00207F46"/>
    <w:rsid w:val="00211AC9"/>
    <w:rsid w:val="0021204F"/>
    <w:rsid w:val="00212497"/>
    <w:rsid w:val="00222228"/>
    <w:rsid w:val="002239C6"/>
    <w:rsid w:val="00225534"/>
    <w:rsid w:val="00233B5E"/>
    <w:rsid w:val="00235C1F"/>
    <w:rsid w:val="002366E2"/>
    <w:rsid w:val="00244BD9"/>
    <w:rsid w:val="002629A8"/>
    <w:rsid w:val="002639DB"/>
    <w:rsid w:val="00264240"/>
    <w:rsid w:val="002654F9"/>
    <w:rsid w:val="00267F76"/>
    <w:rsid w:val="002726DD"/>
    <w:rsid w:val="0027546B"/>
    <w:rsid w:val="00283D52"/>
    <w:rsid w:val="00284176"/>
    <w:rsid w:val="00284928"/>
    <w:rsid w:val="00293240"/>
    <w:rsid w:val="002933E6"/>
    <w:rsid w:val="0029629D"/>
    <w:rsid w:val="002A29B1"/>
    <w:rsid w:val="002A7860"/>
    <w:rsid w:val="002B7994"/>
    <w:rsid w:val="002C042D"/>
    <w:rsid w:val="002C265A"/>
    <w:rsid w:val="002C4595"/>
    <w:rsid w:val="002C4D00"/>
    <w:rsid w:val="002D00C9"/>
    <w:rsid w:val="002D268E"/>
    <w:rsid w:val="002D7F0F"/>
    <w:rsid w:val="002E1B91"/>
    <w:rsid w:val="003001A2"/>
    <w:rsid w:val="00310C3C"/>
    <w:rsid w:val="00313642"/>
    <w:rsid w:val="00315AC9"/>
    <w:rsid w:val="00320951"/>
    <w:rsid w:val="003209AA"/>
    <w:rsid w:val="00322BBE"/>
    <w:rsid w:val="00326ED5"/>
    <w:rsid w:val="00331970"/>
    <w:rsid w:val="00334562"/>
    <w:rsid w:val="00343A37"/>
    <w:rsid w:val="00345FA9"/>
    <w:rsid w:val="003465B4"/>
    <w:rsid w:val="00350582"/>
    <w:rsid w:val="00353FAA"/>
    <w:rsid w:val="003558D9"/>
    <w:rsid w:val="00362EAC"/>
    <w:rsid w:val="003636BF"/>
    <w:rsid w:val="00365BC4"/>
    <w:rsid w:val="003819FF"/>
    <w:rsid w:val="00385C06"/>
    <w:rsid w:val="003863C8"/>
    <w:rsid w:val="003864CC"/>
    <w:rsid w:val="00386D0C"/>
    <w:rsid w:val="003966D8"/>
    <w:rsid w:val="00397271"/>
    <w:rsid w:val="003A3350"/>
    <w:rsid w:val="003A3369"/>
    <w:rsid w:val="003A44A9"/>
    <w:rsid w:val="003B19B2"/>
    <w:rsid w:val="003B3D7E"/>
    <w:rsid w:val="003B6C74"/>
    <w:rsid w:val="003C67E6"/>
    <w:rsid w:val="003D3CB2"/>
    <w:rsid w:val="003D518E"/>
    <w:rsid w:val="003D5928"/>
    <w:rsid w:val="003E06B4"/>
    <w:rsid w:val="003E09D1"/>
    <w:rsid w:val="003E1377"/>
    <w:rsid w:val="003E3617"/>
    <w:rsid w:val="003F0D75"/>
    <w:rsid w:val="003F319A"/>
    <w:rsid w:val="0040506D"/>
    <w:rsid w:val="00406784"/>
    <w:rsid w:val="00406AF1"/>
    <w:rsid w:val="00407C2F"/>
    <w:rsid w:val="0041385B"/>
    <w:rsid w:val="0041389C"/>
    <w:rsid w:val="00415BC0"/>
    <w:rsid w:val="00416833"/>
    <w:rsid w:val="004202E7"/>
    <w:rsid w:val="004208E6"/>
    <w:rsid w:val="004232F9"/>
    <w:rsid w:val="00433A1E"/>
    <w:rsid w:val="00440668"/>
    <w:rsid w:val="0044123B"/>
    <w:rsid w:val="004421D7"/>
    <w:rsid w:val="00447B83"/>
    <w:rsid w:val="00450475"/>
    <w:rsid w:val="004561B3"/>
    <w:rsid w:val="00457882"/>
    <w:rsid w:val="00460B5A"/>
    <w:rsid w:val="00465402"/>
    <w:rsid w:val="0046600E"/>
    <w:rsid w:val="00467E79"/>
    <w:rsid w:val="00476722"/>
    <w:rsid w:val="00481EEB"/>
    <w:rsid w:val="0048414C"/>
    <w:rsid w:val="0048667B"/>
    <w:rsid w:val="004931D0"/>
    <w:rsid w:val="00495993"/>
    <w:rsid w:val="004A3AAA"/>
    <w:rsid w:val="004A4315"/>
    <w:rsid w:val="004B5995"/>
    <w:rsid w:val="004B5AC3"/>
    <w:rsid w:val="004B68AD"/>
    <w:rsid w:val="004B6A8B"/>
    <w:rsid w:val="004C0742"/>
    <w:rsid w:val="004C237E"/>
    <w:rsid w:val="004C491E"/>
    <w:rsid w:val="004C63FE"/>
    <w:rsid w:val="004D23C9"/>
    <w:rsid w:val="004D6645"/>
    <w:rsid w:val="004D6DD9"/>
    <w:rsid w:val="004E33EF"/>
    <w:rsid w:val="004E4D6E"/>
    <w:rsid w:val="004E562B"/>
    <w:rsid w:val="004E642A"/>
    <w:rsid w:val="004E7C82"/>
    <w:rsid w:val="004F72DB"/>
    <w:rsid w:val="004F7C92"/>
    <w:rsid w:val="005009DC"/>
    <w:rsid w:val="00500EFC"/>
    <w:rsid w:val="00501E2E"/>
    <w:rsid w:val="0051781E"/>
    <w:rsid w:val="00520971"/>
    <w:rsid w:val="005267CB"/>
    <w:rsid w:val="005271D6"/>
    <w:rsid w:val="00531869"/>
    <w:rsid w:val="00535B7D"/>
    <w:rsid w:val="00541D1B"/>
    <w:rsid w:val="00554FAA"/>
    <w:rsid w:val="00557A69"/>
    <w:rsid w:val="005630B4"/>
    <w:rsid w:val="00563773"/>
    <w:rsid w:val="005650F2"/>
    <w:rsid w:val="005672CB"/>
    <w:rsid w:val="00567BA1"/>
    <w:rsid w:val="00576B90"/>
    <w:rsid w:val="0058155D"/>
    <w:rsid w:val="00590A5B"/>
    <w:rsid w:val="00590C13"/>
    <w:rsid w:val="0059119E"/>
    <w:rsid w:val="0059175F"/>
    <w:rsid w:val="0059560E"/>
    <w:rsid w:val="00596C25"/>
    <w:rsid w:val="005A01E1"/>
    <w:rsid w:val="005A0290"/>
    <w:rsid w:val="005A034E"/>
    <w:rsid w:val="005A1F29"/>
    <w:rsid w:val="005A29CB"/>
    <w:rsid w:val="005A50B9"/>
    <w:rsid w:val="005C51A1"/>
    <w:rsid w:val="005D2B26"/>
    <w:rsid w:val="005D3CF2"/>
    <w:rsid w:val="005D543F"/>
    <w:rsid w:val="005D7152"/>
    <w:rsid w:val="005E352B"/>
    <w:rsid w:val="005E4484"/>
    <w:rsid w:val="005F172E"/>
    <w:rsid w:val="005F61FB"/>
    <w:rsid w:val="006005AC"/>
    <w:rsid w:val="00604DC5"/>
    <w:rsid w:val="006067F0"/>
    <w:rsid w:val="006079D5"/>
    <w:rsid w:val="00610541"/>
    <w:rsid w:val="00610A43"/>
    <w:rsid w:val="00612296"/>
    <w:rsid w:val="006161E8"/>
    <w:rsid w:val="006217FF"/>
    <w:rsid w:val="00623A75"/>
    <w:rsid w:val="0063273A"/>
    <w:rsid w:val="00632DB3"/>
    <w:rsid w:val="00632EB9"/>
    <w:rsid w:val="00641AE1"/>
    <w:rsid w:val="00655780"/>
    <w:rsid w:val="00656763"/>
    <w:rsid w:val="00656C96"/>
    <w:rsid w:val="00660F90"/>
    <w:rsid w:val="00663A38"/>
    <w:rsid w:val="006665A1"/>
    <w:rsid w:val="006706E8"/>
    <w:rsid w:val="0067771A"/>
    <w:rsid w:val="00684B85"/>
    <w:rsid w:val="0068783F"/>
    <w:rsid w:val="00696E85"/>
    <w:rsid w:val="006A18C5"/>
    <w:rsid w:val="006D09A7"/>
    <w:rsid w:val="006E7F1D"/>
    <w:rsid w:val="006F3EB3"/>
    <w:rsid w:val="006F4577"/>
    <w:rsid w:val="006F4DCD"/>
    <w:rsid w:val="00702FF2"/>
    <w:rsid w:val="00703B66"/>
    <w:rsid w:val="00705800"/>
    <w:rsid w:val="00705EAB"/>
    <w:rsid w:val="007151ED"/>
    <w:rsid w:val="00723455"/>
    <w:rsid w:val="00724762"/>
    <w:rsid w:val="00724D6D"/>
    <w:rsid w:val="0073474C"/>
    <w:rsid w:val="0073754C"/>
    <w:rsid w:val="0074716F"/>
    <w:rsid w:val="0074737F"/>
    <w:rsid w:val="00753673"/>
    <w:rsid w:val="007540BD"/>
    <w:rsid w:val="00762205"/>
    <w:rsid w:val="0076323D"/>
    <w:rsid w:val="00764201"/>
    <w:rsid w:val="007830BE"/>
    <w:rsid w:val="00785AB4"/>
    <w:rsid w:val="007940C9"/>
    <w:rsid w:val="00796312"/>
    <w:rsid w:val="007A04FE"/>
    <w:rsid w:val="007B0A11"/>
    <w:rsid w:val="007B1B23"/>
    <w:rsid w:val="007B21FA"/>
    <w:rsid w:val="007B2ADE"/>
    <w:rsid w:val="007B3940"/>
    <w:rsid w:val="007B77A5"/>
    <w:rsid w:val="007C1A19"/>
    <w:rsid w:val="007C2B5B"/>
    <w:rsid w:val="007D492E"/>
    <w:rsid w:val="007D7129"/>
    <w:rsid w:val="007E0C49"/>
    <w:rsid w:val="007E3A3B"/>
    <w:rsid w:val="007E51F2"/>
    <w:rsid w:val="007E5E97"/>
    <w:rsid w:val="007E7688"/>
    <w:rsid w:val="007F4A4B"/>
    <w:rsid w:val="007F73B3"/>
    <w:rsid w:val="007F770C"/>
    <w:rsid w:val="00802CB9"/>
    <w:rsid w:val="00807BA4"/>
    <w:rsid w:val="0081105F"/>
    <w:rsid w:val="00821133"/>
    <w:rsid w:val="00822733"/>
    <w:rsid w:val="008324B0"/>
    <w:rsid w:val="00835272"/>
    <w:rsid w:val="008407EC"/>
    <w:rsid w:val="0084333E"/>
    <w:rsid w:val="0084379B"/>
    <w:rsid w:val="00844CA9"/>
    <w:rsid w:val="00847491"/>
    <w:rsid w:val="00850194"/>
    <w:rsid w:val="008559E9"/>
    <w:rsid w:val="00860D2C"/>
    <w:rsid w:val="008612FE"/>
    <w:rsid w:val="00861CBA"/>
    <w:rsid w:val="00863B4C"/>
    <w:rsid w:val="00872AC0"/>
    <w:rsid w:val="00875531"/>
    <w:rsid w:val="00882741"/>
    <w:rsid w:val="00892B13"/>
    <w:rsid w:val="008A1C6B"/>
    <w:rsid w:val="008A4864"/>
    <w:rsid w:val="008A6D27"/>
    <w:rsid w:val="008B1B83"/>
    <w:rsid w:val="008B3ADA"/>
    <w:rsid w:val="008C5F4A"/>
    <w:rsid w:val="008D27F2"/>
    <w:rsid w:val="008E3990"/>
    <w:rsid w:val="008F272E"/>
    <w:rsid w:val="008F6B2B"/>
    <w:rsid w:val="009037F1"/>
    <w:rsid w:val="00905C37"/>
    <w:rsid w:val="00906916"/>
    <w:rsid w:val="009236CE"/>
    <w:rsid w:val="0092514B"/>
    <w:rsid w:val="009264AA"/>
    <w:rsid w:val="009354A9"/>
    <w:rsid w:val="00944EE8"/>
    <w:rsid w:val="009461F0"/>
    <w:rsid w:val="009601F5"/>
    <w:rsid w:val="00963E43"/>
    <w:rsid w:val="00964ED6"/>
    <w:rsid w:val="00970F21"/>
    <w:rsid w:val="00975F3B"/>
    <w:rsid w:val="0098382A"/>
    <w:rsid w:val="009943CD"/>
    <w:rsid w:val="00994E91"/>
    <w:rsid w:val="009C37F8"/>
    <w:rsid w:val="009C6BB2"/>
    <w:rsid w:val="009E27B6"/>
    <w:rsid w:val="009E7920"/>
    <w:rsid w:val="009F368F"/>
    <w:rsid w:val="009F4367"/>
    <w:rsid w:val="009F7033"/>
    <w:rsid w:val="00A03CE6"/>
    <w:rsid w:val="00A03E48"/>
    <w:rsid w:val="00A11F5A"/>
    <w:rsid w:val="00A158CB"/>
    <w:rsid w:val="00A34B40"/>
    <w:rsid w:val="00A36292"/>
    <w:rsid w:val="00A36D64"/>
    <w:rsid w:val="00A44A6B"/>
    <w:rsid w:val="00A51DBA"/>
    <w:rsid w:val="00A5408B"/>
    <w:rsid w:val="00A556CE"/>
    <w:rsid w:val="00A67D37"/>
    <w:rsid w:val="00A72DDE"/>
    <w:rsid w:val="00A8078D"/>
    <w:rsid w:val="00A85ECD"/>
    <w:rsid w:val="00A923E2"/>
    <w:rsid w:val="00A964CE"/>
    <w:rsid w:val="00A96C60"/>
    <w:rsid w:val="00AA4437"/>
    <w:rsid w:val="00AB363A"/>
    <w:rsid w:val="00AC35D6"/>
    <w:rsid w:val="00AD452C"/>
    <w:rsid w:val="00AD678B"/>
    <w:rsid w:val="00AE41A1"/>
    <w:rsid w:val="00AE5A17"/>
    <w:rsid w:val="00AE626F"/>
    <w:rsid w:val="00AF5AF6"/>
    <w:rsid w:val="00B13618"/>
    <w:rsid w:val="00B13BB6"/>
    <w:rsid w:val="00B2565D"/>
    <w:rsid w:val="00B30727"/>
    <w:rsid w:val="00B358B3"/>
    <w:rsid w:val="00B441D7"/>
    <w:rsid w:val="00B54207"/>
    <w:rsid w:val="00B5498E"/>
    <w:rsid w:val="00B63732"/>
    <w:rsid w:val="00B63D6B"/>
    <w:rsid w:val="00B67E21"/>
    <w:rsid w:val="00B734BB"/>
    <w:rsid w:val="00B77950"/>
    <w:rsid w:val="00B80700"/>
    <w:rsid w:val="00B86940"/>
    <w:rsid w:val="00B87347"/>
    <w:rsid w:val="00B90A33"/>
    <w:rsid w:val="00B91712"/>
    <w:rsid w:val="00B91D48"/>
    <w:rsid w:val="00B932C3"/>
    <w:rsid w:val="00B9526E"/>
    <w:rsid w:val="00BA36EC"/>
    <w:rsid w:val="00BA7059"/>
    <w:rsid w:val="00BA7C98"/>
    <w:rsid w:val="00BB40C8"/>
    <w:rsid w:val="00BB6985"/>
    <w:rsid w:val="00BC1C77"/>
    <w:rsid w:val="00BC6602"/>
    <w:rsid w:val="00BD3A32"/>
    <w:rsid w:val="00BD787B"/>
    <w:rsid w:val="00BE0CE4"/>
    <w:rsid w:val="00BE7D68"/>
    <w:rsid w:val="00BF101A"/>
    <w:rsid w:val="00C03ED1"/>
    <w:rsid w:val="00C1503E"/>
    <w:rsid w:val="00C15628"/>
    <w:rsid w:val="00C16955"/>
    <w:rsid w:val="00C21584"/>
    <w:rsid w:val="00C2184A"/>
    <w:rsid w:val="00C22C94"/>
    <w:rsid w:val="00C26117"/>
    <w:rsid w:val="00C3559B"/>
    <w:rsid w:val="00C41BBD"/>
    <w:rsid w:val="00C44620"/>
    <w:rsid w:val="00C53CED"/>
    <w:rsid w:val="00C57362"/>
    <w:rsid w:val="00C57CA7"/>
    <w:rsid w:val="00C617FE"/>
    <w:rsid w:val="00C64F3D"/>
    <w:rsid w:val="00C66D1D"/>
    <w:rsid w:val="00C7051E"/>
    <w:rsid w:val="00C70BEA"/>
    <w:rsid w:val="00C71B04"/>
    <w:rsid w:val="00C766CC"/>
    <w:rsid w:val="00C76B7D"/>
    <w:rsid w:val="00C8406C"/>
    <w:rsid w:val="00C87AAA"/>
    <w:rsid w:val="00CA543F"/>
    <w:rsid w:val="00CA5579"/>
    <w:rsid w:val="00CA6429"/>
    <w:rsid w:val="00CA6ADF"/>
    <w:rsid w:val="00CB5C14"/>
    <w:rsid w:val="00CC12A8"/>
    <w:rsid w:val="00CC6892"/>
    <w:rsid w:val="00CC77A5"/>
    <w:rsid w:val="00CD31FE"/>
    <w:rsid w:val="00CD4F1D"/>
    <w:rsid w:val="00CE1EC6"/>
    <w:rsid w:val="00CE5201"/>
    <w:rsid w:val="00CF1627"/>
    <w:rsid w:val="00CF2263"/>
    <w:rsid w:val="00CF760D"/>
    <w:rsid w:val="00D008ED"/>
    <w:rsid w:val="00D01984"/>
    <w:rsid w:val="00D01EDA"/>
    <w:rsid w:val="00D16472"/>
    <w:rsid w:val="00D321C9"/>
    <w:rsid w:val="00D37FC2"/>
    <w:rsid w:val="00D43DB0"/>
    <w:rsid w:val="00D51C1E"/>
    <w:rsid w:val="00D570C5"/>
    <w:rsid w:val="00D922CF"/>
    <w:rsid w:val="00D951B4"/>
    <w:rsid w:val="00DA32B3"/>
    <w:rsid w:val="00DA42EF"/>
    <w:rsid w:val="00DA6734"/>
    <w:rsid w:val="00DB56B3"/>
    <w:rsid w:val="00DD4BC0"/>
    <w:rsid w:val="00DE24BE"/>
    <w:rsid w:val="00DE5B21"/>
    <w:rsid w:val="00DE7479"/>
    <w:rsid w:val="00DF128B"/>
    <w:rsid w:val="00DF2F94"/>
    <w:rsid w:val="00E11688"/>
    <w:rsid w:val="00E26EAA"/>
    <w:rsid w:val="00E27CC3"/>
    <w:rsid w:val="00E30FCA"/>
    <w:rsid w:val="00E36F97"/>
    <w:rsid w:val="00E42057"/>
    <w:rsid w:val="00E44C4F"/>
    <w:rsid w:val="00E45223"/>
    <w:rsid w:val="00E46DA0"/>
    <w:rsid w:val="00E53881"/>
    <w:rsid w:val="00E62BEE"/>
    <w:rsid w:val="00E63075"/>
    <w:rsid w:val="00E644BF"/>
    <w:rsid w:val="00E70207"/>
    <w:rsid w:val="00E73A40"/>
    <w:rsid w:val="00E806E3"/>
    <w:rsid w:val="00E81697"/>
    <w:rsid w:val="00E83744"/>
    <w:rsid w:val="00E84EA4"/>
    <w:rsid w:val="00E928D4"/>
    <w:rsid w:val="00E94852"/>
    <w:rsid w:val="00EA4D25"/>
    <w:rsid w:val="00EA576F"/>
    <w:rsid w:val="00EB0255"/>
    <w:rsid w:val="00EB3838"/>
    <w:rsid w:val="00EB4C77"/>
    <w:rsid w:val="00EB68CC"/>
    <w:rsid w:val="00EC2095"/>
    <w:rsid w:val="00EC5E51"/>
    <w:rsid w:val="00EC76B0"/>
    <w:rsid w:val="00ED48AE"/>
    <w:rsid w:val="00EE6125"/>
    <w:rsid w:val="00EE65A7"/>
    <w:rsid w:val="00EF48EC"/>
    <w:rsid w:val="00EF4DDB"/>
    <w:rsid w:val="00EF6016"/>
    <w:rsid w:val="00F05E03"/>
    <w:rsid w:val="00F2061A"/>
    <w:rsid w:val="00F24476"/>
    <w:rsid w:val="00F30057"/>
    <w:rsid w:val="00F31EFD"/>
    <w:rsid w:val="00F34750"/>
    <w:rsid w:val="00F44CF6"/>
    <w:rsid w:val="00F46114"/>
    <w:rsid w:val="00F47B3A"/>
    <w:rsid w:val="00F602C8"/>
    <w:rsid w:val="00F603D1"/>
    <w:rsid w:val="00F62595"/>
    <w:rsid w:val="00F7168A"/>
    <w:rsid w:val="00F71C13"/>
    <w:rsid w:val="00F75AC6"/>
    <w:rsid w:val="00F77228"/>
    <w:rsid w:val="00F90567"/>
    <w:rsid w:val="00F908EE"/>
    <w:rsid w:val="00F91352"/>
    <w:rsid w:val="00F922ED"/>
    <w:rsid w:val="00F97E4A"/>
    <w:rsid w:val="00FB4C8F"/>
    <w:rsid w:val="00FB7ADE"/>
    <w:rsid w:val="00FC164F"/>
    <w:rsid w:val="00FD0D0A"/>
    <w:rsid w:val="00FD2036"/>
    <w:rsid w:val="00FE45B3"/>
    <w:rsid w:val="00FE7E77"/>
    <w:rsid w:val="00FF45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A967E1"/>
  <w15:docId w15:val="{EAD6ED5E-107A-457E-B009-8132EEE7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630"/>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133780"/>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133780"/>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link w:val="SidefodTegn"/>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133780"/>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133780"/>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874B"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874B"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874B"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874B"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874B"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874B"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874B" w:themeColor="accent1" w:shadow="1"/>
        <w:left w:val="single" w:sz="2" w:space="10" w:color="00874B" w:themeColor="accent1" w:shadow="1"/>
        <w:bottom w:val="single" w:sz="2" w:space="10" w:color="00874B" w:themeColor="accent1" w:shadow="1"/>
        <w:right w:val="single" w:sz="2" w:space="10" w:color="00874B" w:themeColor="accent1" w:shadow="1"/>
      </w:pBdr>
      <w:ind w:left="1152" w:right="1152"/>
    </w:pPr>
    <w:rPr>
      <w:rFonts w:asciiTheme="minorHAnsi" w:eastAsiaTheme="minorEastAsia" w:hAnsiTheme="minorHAnsi" w:cstheme="minorBidi"/>
      <w:i/>
      <w:iCs/>
      <w:color w:val="00874B"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6F4577"/>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1" w:themeFillTint="33"/>
    </w:tcPr>
    <w:tblStylePr w:type="firstRow">
      <w:rPr>
        <w:b/>
        <w:bCs/>
      </w:rPr>
      <w:tblPr/>
      <w:tcPr>
        <w:shd w:val="clear" w:color="auto" w:fill="69FFBB" w:themeFill="accent1" w:themeFillTint="66"/>
      </w:tcPr>
    </w:tblStylePr>
    <w:tblStylePr w:type="lastRow">
      <w:rPr>
        <w:b/>
        <w:bCs/>
        <w:color w:val="000000" w:themeColor="text1"/>
      </w:rPr>
      <w:tblPr/>
      <w:tcPr>
        <w:shd w:val="clear" w:color="auto" w:fill="69FFBB" w:themeFill="accent1" w:themeFillTint="66"/>
      </w:tcPr>
    </w:tblStylePr>
    <w:tblStylePr w:type="firstCol">
      <w:rPr>
        <w:color w:val="FFFFFF" w:themeColor="background1"/>
      </w:rPr>
      <w:tblPr/>
      <w:tcPr>
        <w:shd w:val="clear" w:color="auto" w:fill="006537" w:themeFill="accent1" w:themeFillShade="BF"/>
      </w:tcPr>
    </w:tblStylePr>
    <w:tblStylePr w:type="lastCol">
      <w:rPr>
        <w:color w:val="FFFFFF" w:themeColor="background1"/>
      </w:rPr>
      <w:tblPr/>
      <w:tcPr>
        <w:shd w:val="clear" w:color="auto" w:fill="006537" w:themeFill="accent1" w:themeFillShade="BF"/>
      </w:tc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3" w:themeFillTint="33"/>
    </w:tcPr>
    <w:tblStylePr w:type="firstRow">
      <w:rPr>
        <w:b/>
        <w:bCs/>
      </w:rPr>
      <w:tblPr/>
      <w:tcPr>
        <w:shd w:val="clear" w:color="auto" w:fill="78DFFF" w:themeFill="accent3" w:themeFillTint="66"/>
      </w:tcPr>
    </w:tblStylePr>
    <w:tblStylePr w:type="lastRow">
      <w:rPr>
        <w:b/>
        <w:bCs/>
        <w:color w:val="000000" w:themeColor="text1"/>
      </w:rPr>
      <w:tblPr/>
      <w:tcPr>
        <w:shd w:val="clear" w:color="auto" w:fill="78DFFF" w:themeFill="accent3" w:themeFillTint="66"/>
      </w:tcPr>
    </w:tblStylePr>
    <w:tblStylePr w:type="firstCol">
      <w:rPr>
        <w:color w:val="FFFFFF" w:themeColor="background1"/>
      </w:rPr>
      <w:tblPr/>
      <w:tcPr>
        <w:shd w:val="clear" w:color="auto" w:fill="006381" w:themeFill="accent3" w:themeFillShade="BF"/>
      </w:tcPr>
    </w:tblStylePr>
    <w:tblStylePr w:type="lastCol">
      <w:rPr>
        <w:color w:val="FFFFFF" w:themeColor="background1"/>
      </w:rPr>
      <w:tblPr/>
      <w:tcPr>
        <w:shd w:val="clear" w:color="auto" w:fill="006381" w:themeFill="accent3" w:themeFillShade="BF"/>
      </w:tc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4" w:themeFillTint="33"/>
    </w:tcPr>
    <w:tblStylePr w:type="firstRow">
      <w:rPr>
        <w:b/>
        <w:bCs/>
      </w:rPr>
      <w:tblPr/>
      <w:tcPr>
        <w:shd w:val="clear" w:color="auto" w:fill="ABE4E9" w:themeFill="accent4" w:themeFillTint="66"/>
      </w:tcPr>
    </w:tblStylePr>
    <w:tblStylePr w:type="lastRow">
      <w:rPr>
        <w:b/>
        <w:bCs/>
        <w:color w:val="000000" w:themeColor="text1"/>
      </w:rPr>
      <w:tblPr/>
      <w:tcPr>
        <w:shd w:val="clear" w:color="auto" w:fill="ABE4E9" w:themeFill="accent4" w:themeFillTint="66"/>
      </w:tcPr>
    </w:tblStylePr>
    <w:tblStylePr w:type="firstCol">
      <w:rPr>
        <w:color w:val="FFFFFF" w:themeColor="background1"/>
      </w:rPr>
      <w:tblPr/>
      <w:tcPr>
        <w:shd w:val="clear" w:color="auto" w:fill="268A92" w:themeFill="accent4" w:themeFillShade="BF"/>
      </w:tcPr>
    </w:tblStylePr>
    <w:tblStylePr w:type="lastCol">
      <w:rPr>
        <w:color w:val="FFFFFF" w:themeColor="background1"/>
      </w:rPr>
      <w:tblPr/>
      <w:tcPr>
        <w:shd w:val="clear" w:color="auto" w:fill="268A92" w:themeFill="accent4" w:themeFillShade="BF"/>
      </w:tc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5" w:themeFillTint="33"/>
    </w:tcPr>
    <w:tblStylePr w:type="firstRow">
      <w:rPr>
        <w:b/>
        <w:bCs/>
      </w:rPr>
      <w:tblPr/>
      <w:tcPr>
        <w:shd w:val="clear" w:color="auto" w:fill="DFE6AC" w:themeFill="accent5" w:themeFillTint="66"/>
      </w:tcPr>
    </w:tblStylePr>
    <w:tblStylePr w:type="lastRow">
      <w:rPr>
        <w:b/>
        <w:bCs/>
        <w:color w:val="000000" w:themeColor="text1"/>
      </w:rPr>
      <w:tblPr/>
      <w:tcPr>
        <w:shd w:val="clear" w:color="auto" w:fill="DFE6AC" w:themeFill="accent5" w:themeFillTint="66"/>
      </w:tcPr>
    </w:tblStylePr>
    <w:tblStylePr w:type="firstCol">
      <w:rPr>
        <w:color w:val="FFFFFF" w:themeColor="background1"/>
      </w:rPr>
      <w:tblPr/>
      <w:tcPr>
        <w:shd w:val="clear" w:color="auto" w:fill="7F8C2A" w:themeFill="accent5" w:themeFillShade="BF"/>
      </w:tcPr>
    </w:tblStylePr>
    <w:tblStylePr w:type="lastCol">
      <w:rPr>
        <w:color w:val="FFFFFF" w:themeColor="background1"/>
      </w:rPr>
      <w:tblPr/>
      <w:tcPr>
        <w:shd w:val="clear" w:color="auto" w:fill="7F8C2A" w:themeFill="accent5" w:themeFillShade="BF"/>
      </w:tc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7E1" w:themeFill="accent6" w:themeFillTint="33"/>
    </w:tcPr>
    <w:tblStylePr w:type="firstRow">
      <w:rPr>
        <w:b/>
        <w:bCs/>
      </w:rPr>
      <w:tblPr/>
      <w:tcPr>
        <w:shd w:val="clear" w:color="auto" w:fill="F8F0C4" w:themeFill="accent6" w:themeFillTint="66"/>
      </w:tcPr>
    </w:tblStylePr>
    <w:tblStylePr w:type="lastRow">
      <w:rPr>
        <w:b/>
        <w:bCs/>
        <w:color w:val="000000" w:themeColor="text1"/>
      </w:rPr>
      <w:tblPr/>
      <w:tcPr>
        <w:shd w:val="clear" w:color="auto" w:fill="F8F0C4" w:themeFill="accent6" w:themeFillTint="66"/>
      </w:tcPr>
    </w:tblStylePr>
    <w:tblStylePr w:type="firstCol">
      <w:rPr>
        <w:color w:val="FFFFFF" w:themeColor="background1"/>
      </w:rPr>
      <w:tblPr/>
      <w:tcPr>
        <w:shd w:val="clear" w:color="auto" w:fill="E6C71D" w:themeFill="accent6" w:themeFillShade="BF"/>
      </w:tcPr>
    </w:tblStylePr>
    <w:tblStylePr w:type="lastCol">
      <w:rPr>
        <w:color w:val="FFFFFF" w:themeColor="background1"/>
      </w:rPr>
      <w:tblPr/>
      <w:tcPr>
        <w:shd w:val="clear" w:color="auto" w:fill="E6C71D" w:themeFill="accent6" w:themeFillShade="BF"/>
      </w:tc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1" w:themeFillTint="3F"/>
      </w:tcPr>
    </w:tblStylePr>
    <w:tblStylePr w:type="band1Horz">
      <w:tblPr/>
      <w:tcPr>
        <w:shd w:val="clear" w:color="auto" w:fill="B4FFDD"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3" w:themeFillTint="19"/>
    </w:tcPr>
    <w:tblStylePr w:type="firstRow">
      <w:rPr>
        <w:b/>
        <w:bCs/>
        <w:color w:val="FFFFFF" w:themeColor="background1"/>
      </w:rPr>
      <w:tblPr/>
      <w:tcPr>
        <w:tcBorders>
          <w:bottom w:val="single" w:sz="12" w:space="0" w:color="FFFFFF" w:themeColor="background1"/>
        </w:tcBorders>
        <w:shd w:val="clear" w:color="auto" w:fill="28939C" w:themeFill="accent4" w:themeFillShade="CC"/>
      </w:tcPr>
    </w:tblStylePr>
    <w:tblStylePr w:type="lastRow">
      <w:rPr>
        <w:b/>
        <w:bCs/>
        <w:color w:val="28939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3" w:themeFillTint="3F"/>
      </w:tcPr>
    </w:tblStylePr>
    <w:tblStylePr w:type="band1Horz">
      <w:tblPr/>
      <w:tcPr>
        <w:shd w:val="clear" w:color="auto" w:fill="BBEFFF"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4" w:themeFillTint="19"/>
    </w:tcPr>
    <w:tblStylePr w:type="firstRow">
      <w:rPr>
        <w:b/>
        <w:bCs/>
        <w:color w:val="FFFFFF" w:themeColor="background1"/>
      </w:rPr>
      <w:tblPr/>
      <w:tcPr>
        <w:tcBorders>
          <w:bottom w:val="single" w:sz="12" w:space="0" w:color="FFFFFF" w:themeColor="background1"/>
        </w:tcBorders>
        <w:shd w:val="clear" w:color="auto" w:fill="006A8A" w:themeFill="accent3" w:themeFillShade="CC"/>
      </w:tcPr>
    </w:tblStylePr>
    <w:tblStylePr w:type="lastRow">
      <w:rPr>
        <w:b/>
        <w:bCs/>
        <w:color w:val="006A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4" w:themeFillTint="3F"/>
      </w:tcPr>
    </w:tblStylePr>
    <w:tblStylePr w:type="band1Horz">
      <w:tblPr/>
      <w:tcPr>
        <w:shd w:val="clear" w:color="auto" w:fill="D5F1F4"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5" w:themeFillTint="19"/>
    </w:tcPr>
    <w:tblStylePr w:type="firstRow">
      <w:rPr>
        <w:b/>
        <w:bCs/>
        <w:color w:val="FFFFFF" w:themeColor="background1"/>
      </w:rPr>
      <w:tblPr/>
      <w:tcPr>
        <w:tcBorders>
          <w:bottom w:val="single" w:sz="12" w:space="0" w:color="FFFFFF" w:themeColor="background1"/>
        </w:tcBorders>
        <w:shd w:val="clear" w:color="auto" w:fill="E8CB2D" w:themeFill="accent6" w:themeFillShade="CC"/>
      </w:tcPr>
    </w:tblStylePr>
    <w:tblStylePr w:type="lastRow">
      <w:rPr>
        <w:b/>
        <w:bCs/>
        <w:color w:val="E8CB2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5" w:themeFillTint="3F"/>
      </w:tcPr>
    </w:tblStylePr>
    <w:tblStylePr w:type="band1Horz">
      <w:tblPr/>
      <w:tcPr>
        <w:shd w:val="clear" w:color="auto" w:fill="EFF2D5"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DFBF0" w:themeFill="accent6" w:themeFillTint="19"/>
    </w:tcPr>
    <w:tblStylePr w:type="firstRow">
      <w:rPr>
        <w:b/>
        <w:bCs/>
        <w:color w:val="FFFFFF" w:themeColor="background1"/>
      </w:rPr>
      <w:tblPr/>
      <w:tcPr>
        <w:tcBorders>
          <w:bottom w:val="single" w:sz="12" w:space="0" w:color="FFFFFF" w:themeColor="background1"/>
        </w:tcBorders>
        <w:shd w:val="clear" w:color="auto" w:fill="88962C" w:themeFill="accent5" w:themeFillShade="CC"/>
      </w:tcPr>
    </w:tblStylePr>
    <w:tblStylePr w:type="lastRow">
      <w:rPr>
        <w:b/>
        <w:bCs/>
        <w:color w:val="88962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6DA" w:themeFill="accent6" w:themeFillTint="3F"/>
      </w:tcPr>
    </w:tblStylePr>
    <w:tblStylePr w:type="band1Horz">
      <w:tblPr/>
      <w:tcPr>
        <w:shd w:val="clear" w:color="auto" w:fill="FBF7E1"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874B" w:themeColor="accent1"/>
        <w:bottom w:val="single" w:sz="4" w:space="0" w:color="00874B" w:themeColor="accent1"/>
        <w:right w:val="single" w:sz="4" w:space="0" w:color="00874B" w:themeColor="accent1"/>
        <w:insideH w:val="single" w:sz="4" w:space="0" w:color="FFFFFF" w:themeColor="background1"/>
        <w:insideV w:val="single" w:sz="4" w:space="0" w:color="FFFFFF" w:themeColor="background1"/>
      </w:tblBorders>
    </w:tblPr>
    <w:tcPr>
      <w:shd w:val="clear" w:color="auto" w:fill="DAFFEE"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1" w:themeFillShade="99"/>
      </w:tcPr>
    </w:tblStylePr>
    <w:tblStylePr w:type="firstCol">
      <w:rPr>
        <w:color w:val="FFFFFF" w:themeColor="background1"/>
      </w:rPr>
      <w:tblPr/>
      <w:tcPr>
        <w:tcBorders>
          <w:top w:val="nil"/>
          <w:left w:val="nil"/>
          <w:bottom w:val="nil"/>
          <w:right w:val="nil"/>
          <w:insideH w:val="single" w:sz="4" w:space="0" w:color="00512C" w:themeColor="accent1" w:themeShade="99"/>
          <w:insideV w:val="nil"/>
        </w:tcBorders>
        <w:shd w:val="clear" w:color="auto" w:fill="0051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1" w:themeFillShade="99"/>
      </w:tcPr>
    </w:tblStylePr>
    <w:tblStylePr w:type="band1Vert">
      <w:tblPr/>
      <w:tcPr>
        <w:shd w:val="clear" w:color="auto" w:fill="69FFBB" w:themeFill="accent1" w:themeFillTint="66"/>
      </w:tcPr>
    </w:tblStylePr>
    <w:tblStylePr w:type="band1Horz">
      <w:tblPr/>
      <w:tcPr>
        <w:shd w:val="clear" w:color="auto" w:fill="44FFA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4"/>
        <w:left w:val="single" w:sz="4" w:space="0" w:color="0085AD" w:themeColor="accent3"/>
        <w:bottom w:val="single" w:sz="4" w:space="0" w:color="0085AD" w:themeColor="accent3"/>
        <w:right w:val="single" w:sz="4" w:space="0" w:color="0085AD" w:themeColor="accent3"/>
        <w:insideH w:val="single" w:sz="4" w:space="0" w:color="FFFFFF" w:themeColor="background1"/>
        <w:insideV w:val="single" w:sz="4" w:space="0" w:color="FFFFFF" w:themeColor="background1"/>
      </w:tblBorders>
    </w:tblPr>
    <w:tcPr>
      <w:shd w:val="clear" w:color="auto" w:fill="DDF7FF" w:themeFill="accent3" w:themeFillTint="19"/>
    </w:tcPr>
    <w:tblStylePr w:type="firstRow">
      <w:rPr>
        <w:b/>
        <w:bCs/>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3" w:themeFillShade="99"/>
      </w:tcPr>
    </w:tblStylePr>
    <w:tblStylePr w:type="firstCol">
      <w:rPr>
        <w:color w:val="FFFFFF" w:themeColor="background1"/>
      </w:rPr>
      <w:tblPr/>
      <w:tcPr>
        <w:tcBorders>
          <w:top w:val="nil"/>
          <w:left w:val="nil"/>
          <w:bottom w:val="nil"/>
          <w:right w:val="nil"/>
          <w:insideH w:val="single" w:sz="4" w:space="0" w:color="004F67" w:themeColor="accent3" w:themeShade="99"/>
          <w:insideV w:val="nil"/>
        </w:tcBorders>
        <w:shd w:val="clear" w:color="auto" w:fill="004F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3" w:themeFillShade="99"/>
      </w:tcPr>
    </w:tblStylePr>
    <w:tblStylePr w:type="band1Vert">
      <w:tblPr/>
      <w:tcPr>
        <w:shd w:val="clear" w:color="auto" w:fill="78DFFF" w:themeFill="accent3" w:themeFillTint="66"/>
      </w:tcPr>
    </w:tblStylePr>
    <w:tblStylePr w:type="band1Horz">
      <w:tblPr/>
      <w:tcPr>
        <w:shd w:val="clear" w:color="auto" w:fill="57D8FF"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3"/>
        <w:left w:val="single" w:sz="4" w:space="0" w:color="33B9C4" w:themeColor="accent4"/>
        <w:bottom w:val="single" w:sz="4" w:space="0" w:color="33B9C4" w:themeColor="accent4"/>
        <w:right w:val="single" w:sz="4" w:space="0" w:color="33B9C4" w:themeColor="accent4"/>
        <w:insideH w:val="single" w:sz="4" w:space="0" w:color="FFFFFF" w:themeColor="background1"/>
        <w:insideV w:val="single" w:sz="4" w:space="0" w:color="FFFFFF" w:themeColor="background1"/>
      </w:tblBorders>
    </w:tblPr>
    <w:tcPr>
      <w:shd w:val="clear" w:color="auto" w:fill="EAF8F9" w:themeFill="accent4" w:themeFillTint="19"/>
    </w:tcPr>
    <w:tblStylePr w:type="firstRow">
      <w:rPr>
        <w:b/>
        <w:bCs/>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4" w:themeFillShade="99"/>
      </w:tcPr>
    </w:tblStylePr>
    <w:tblStylePr w:type="firstCol">
      <w:rPr>
        <w:color w:val="FFFFFF" w:themeColor="background1"/>
      </w:rPr>
      <w:tblPr/>
      <w:tcPr>
        <w:tcBorders>
          <w:top w:val="nil"/>
          <w:left w:val="nil"/>
          <w:bottom w:val="nil"/>
          <w:right w:val="nil"/>
          <w:insideH w:val="single" w:sz="4" w:space="0" w:color="1E6E75" w:themeColor="accent4" w:themeShade="99"/>
          <w:insideV w:val="nil"/>
        </w:tcBorders>
        <w:shd w:val="clear" w:color="auto" w:fill="1E6E7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4" w:themeFillShade="99"/>
      </w:tcPr>
    </w:tblStylePr>
    <w:tblStylePr w:type="band1Vert">
      <w:tblPr/>
      <w:tcPr>
        <w:shd w:val="clear" w:color="auto" w:fill="ABE4E9" w:themeFill="accent4" w:themeFillTint="66"/>
      </w:tcPr>
    </w:tblStylePr>
    <w:tblStylePr w:type="band1Horz">
      <w:tblPr/>
      <w:tcPr>
        <w:shd w:val="clear" w:color="auto" w:fill="97DDE4"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EFDB6C" w:themeColor="accent6"/>
        <w:left w:val="single" w:sz="4" w:space="0" w:color="ABBC38" w:themeColor="accent5"/>
        <w:bottom w:val="single" w:sz="4" w:space="0" w:color="ABBC38" w:themeColor="accent5"/>
        <w:right w:val="single" w:sz="4" w:space="0" w:color="ABBC38" w:themeColor="accent5"/>
        <w:insideH w:val="single" w:sz="4" w:space="0" w:color="FFFFFF" w:themeColor="background1"/>
        <w:insideV w:val="single" w:sz="4" w:space="0" w:color="FFFFFF" w:themeColor="background1"/>
      </w:tblBorders>
    </w:tblPr>
    <w:tcPr>
      <w:shd w:val="clear" w:color="auto" w:fill="F7F9EA" w:themeFill="accent5" w:themeFillTint="19"/>
    </w:tcPr>
    <w:tblStylePr w:type="firstRow">
      <w:rPr>
        <w:b/>
        <w:bCs/>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5" w:themeFillShade="99"/>
      </w:tcPr>
    </w:tblStylePr>
    <w:tblStylePr w:type="firstCol">
      <w:rPr>
        <w:color w:val="FFFFFF" w:themeColor="background1"/>
      </w:rPr>
      <w:tblPr/>
      <w:tcPr>
        <w:tcBorders>
          <w:top w:val="nil"/>
          <w:left w:val="nil"/>
          <w:bottom w:val="nil"/>
          <w:right w:val="nil"/>
          <w:insideH w:val="single" w:sz="4" w:space="0" w:color="667021" w:themeColor="accent5" w:themeShade="99"/>
          <w:insideV w:val="nil"/>
        </w:tcBorders>
        <w:shd w:val="clear" w:color="auto" w:fill="66702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5" w:themeFillShade="99"/>
      </w:tcPr>
    </w:tblStylePr>
    <w:tblStylePr w:type="band1Vert">
      <w:tblPr/>
      <w:tcPr>
        <w:shd w:val="clear" w:color="auto" w:fill="DFE6AC" w:themeFill="accent5" w:themeFillTint="66"/>
      </w:tcPr>
    </w:tblStylePr>
    <w:tblStylePr w:type="band1Horz">
      <w:tblPr/>
      <w:tcPr>
        <w:shd w:val="clear" w:color="auto" w:fill="D7E098"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5"/>
        <w:left w:val="single" w:sz="4" w:space="0" w:color="EFDB6C" w:themeColor="accent6"/>
        <w:bottom w:val="single" w:sz="4" w:space="0" w:color="EFDB6C" w:themeColor="accent6"/>
        <w:right w:val="single" w:sz="4" w:space="0" w:color="EFDB6C" w:themeColor="accent6"/>
        <w:insideH w:val="single" w:sz="4" w:space="0" w:color="FFFFFF" w:themeColor="background1"/>
        <w:insideV w:val="single" w:sz="4" w:space="0" w:color="FFFFFF" w:themeColor="background1"/>
      </w:tblBorders>
    </w:tblPr>
    <w:tcPr>
      <w:shd w:val="clear" w:color="auto" w:fill="FDFBF0" w:themeFill="accent6" w:themeFillTint="19"/>
    </w:tcPr>
    <w:tblStylePr w:type="firstRow">
      <w:rPr>
        <w:b/>
        <w:bCs/>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A114" w:themeFill="accent6" w:themeFillShade="99"/>
      </w:tcPr>
    </w:tblStylePr>
    <w:tblStylePr w:type="firstCol">
      <w:rPr>
        <w:color w:val="FFFFFF" w:themeColor="background1"/>
      </w:rPr>
      <w:tblPr/>
      <w:tcPr>
        <w:tcBorders>
          <w:top w:val="nil"/>
          <w:left w:val="nil"/>
          <w:bottom w:val="nil"/>
          <w:right w:val="nil"/>
          <w:insideH w:val="single" w:sz="4" w:space="0" w:color="BBA114" w:themeColor="accent6" w:themeShade="99"/>
          <w:insideV w:val="nil"/>
        </w:tcBorders>
        <w:shd w:val="clear" w:color="auto" w:fill="BBA1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BA114" w:themeFill="accent6" w:themeFillShade="99"/>
      </w:tcPr>
    </w:tblStylePr>
    <w:tblStylePr w:type="band1Vert">
      <w:tblPr/>
      <w:tcPr>
        <w:shd w:val="clear" w:color="auto" w:fill="F8F0C4" w:themeFill="accent6" w:themeFillTint="66"/>
      </w:tcPr>
    </w:tblStylePr>
    <w:tblStylePr w:type="band1Horz">
      <w:tblPr/>
      <w:tcPr>
        <w:shd w:val="clear" w:color="auto" w:fill="F7EDB5"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1" w:themeFillShade="BF"/>
      </w:tcPr>
    </w:tblStylePr>
    <w:tblStylePr w:type="band1Vert">
      <w:tblPr/>
      <w:tcPr>
        <w:tcBorders>
          <w:top w:val="nil"/>
          <w:left w:val="nil"/>
          <w:bottom w:val="nil"/>
          <w:right w:val="nil"/>
          <w:insideH w:val="nil"/>
          <w:insideV w:val="nil"/>
        </w:tcBorders>
        <w:shd w:val="clear" w:color="auto" w:fill="006537" w:themeFill="accent1" w:themeFillShade="BF"/>
      </w:tcPr>
    </w:tblStylePr>
    <w:tblStylePr w:type="band1Horz">
      <w:tblPr/>
      <w:tcPr>
        <w:tcBorders>
          <w:top w:val="nil"/>
          <w:left w:val="nil"/>
          <w:bottom w:val="nil"/>
          <w:right w:val="nil"/>
          <w:insideH w:val="nil"/>
          <w:insideV w:val="nil"/>
        </w:tcBorders>
        <w:shd w:val="clear" w:color="auto" w:fill="00653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3" w:themeFillShade="BF"/>
      </w:tcPr>
    </w:tblStylePr>
    <w:tblStylePr w:type="band1Vert">
      <w:tblPr/>
      <w:tcPr>
        <w:tcBorders>
          <w:top w:val="nil"/>
          <w:left w:val="nil"/>
          <w:bottom w:val="nil"/>
          <w:right w:val="nil"/>
          <w:insideH w:val="nil"/>
          <w:insideV w:val="nil"/>
        </w:tcBorders>
        <w:shd w:val="clear" w:color="auto" w:fill="006381" w:themeFill="accent3" w:themeFillShade="BF"/>
      </w:tcPr>
    </w:tblStylePr>
    <w:tblStylePr w:type="band1Horz">
      <w:tblPr/>
      <w:tcPr>
        <w:tcBorders>
          <w:top w:val="nil"/>
          <w:left w:val="nil"/>
          <w:bottom w:val="nil"/>
          <w:right w:val="nil"/>
          <w:insideH w:val="nil"/>
          <w:insideV w:val="nil"/>
        </w:tcBorders>
        <w:shd w:val="clear" w:color="auto" w:fill="006381"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4" w:themeFillShade="BF"/>
      </w:tcPr>
    </w:tblStylePr>
    <w:tblStylePr w:type="band1Vert">
      <w:tblPr/>
      <w:tcPr>
        <w:tcBorders>
          <w:top w:val="nil"/>
          <w:left w:val="nil"/>
          <w:bottom w:val="nil"/>
          <w:right w:val="nil"/>
          <w:insideH w:val="nil"/>
          <w:insideV w:val="nil"/>
        </w:tcBorders>
        <w:shd w:val="clear" w:color="auto" w:fill="268A92" w:themeFill="accent4" w:themeFillShade="BF"/>
      </w:tcPr>
    </w:tblStylePr>
    <w:tblStylePr w:type="band1Horz">
      <w:tblPr/>
      <w:tcPr>
        <w:tcBorders>
          <w:top w:val="nil"/>
          <w:left w:val="nil"/>
          <w:bottom w:val="nil"/>
          <w:right w:val="nil"/>
          <w:insideH w:val="nil"/>
          <w:insideV w:val="nil"/>
        </w:tcBorders>
        <w:shd w:val="clear" w:color="auto" w:fill="268A92"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5" w:themeFillShade="BF"/>
      </w:tcPr>
    </w:tblStylePr>
    <w:tblStylePr w:type="band1Vert">
      <w:tblPr/>
      <w:tcPr>
        <w:tcBorders>
          <w:top w:val="nil"/>
          <w:left w:val="nil"/>
          <w:bottom w:val="nil"/>
          <w:right w:val="nil"/>
          <w:insideH w:val="nil"/>
          <w:insideV w:val="nil"/>
        </w:tcBorders>
        <w:shd w:val="clear" w:color="auto" w:fill="7F8C2A" w:themeFill="accent5" w:themeFillShade="BF"/>
      </w:tcPr>
    </w:tblStylePr>
    <w:tblStylePr w:type="band1Horz">
      <w:tblPr/>
      <w:tcPr>
        <w:tcBorders>
          <w:top w:val="nil"/>
          <w:left w:val="nil"/>
          <w:bottom w:val="nil"/>
          <w:right w:val="nil"/>
          <w:insideH w:val="nil"/>
          <w:insideV w:val="nil"/>
        </w:tcBorders>
        <w:shd w:val="clear" w:color="auto" w:fill="7F8C2A"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EFDB6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861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6C71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6C71D" w:themeFill="accent6" w:themeFillShade="BF"/>
      </w:tcPr>
    </w:tblStylePr>
    <w:tblStylePr w:type="band1Vert">
      <w:tblPr/>
      <w:tcPr>
        <w:tcBorders>
          <w:top w:val="nil"/>
          <w:left w:val="nil"/>
          <w:bottom w:val="nil"/>
          <w:right w:val="nil"/>
          <w:insideH w:val="nil"/>
          <w:insideV w:val="nil"/>
        </w:tcBorders>
        <w:shd w:val="clear" w:color="auto" w:fill="E6C71D" w:themeFill="accent6" w:themeFillShade="BF"/>
      </w:tcPr>
    </w:tblStylePr>
    <w:tblStylePr w:type="band1Horz">
      <w:tblPr/>
      <w:tcPr>
        <w:tcBorders>
          <w:top w:val="nil"/>
          <w:left w:val="nil"/>
          <w:bottom w:val="nil"/>
          <w:right w:val="nil"/>
          <w:insideH w:val="nil"/>
          <w:insideV w:val="nil"/>
        </w:tcBorders>
        <w:shd w:val="clear" w:color="auto" w:fill="E6C71D"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pPr>
      <w:spacing w:line="240" w:lineRule="auto"/>
    </w:p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874B" w:themeColor="accent1"/>
    </w:rPr>
  </w:style>
  <w:style w:type="paragraph" w:styleId="Strktcitat">
    <w:name w:val="Intense Quote"/>
    <w:basedOn w:val="Normal"/>
    <w:next w:val="Normal"/>
    <w:link w:val="StrktcitatTegn"/>
    <w:uiPriority w:val="99"/>
    <w:semiHidden/>
    <w:qFormat/>
    <w:rsid w:val="00225534"/>
    <w:pPr>
      <w:pBdr>
        <w:bottom w:val="single" w:sz="4" w:space="4" w:color="00874B" w:themeColor="accent1"/>
      </w:pBdr>
      <w:spacing w:before="200" w:after="280"/>
      <w:ind w:left="936" w:right="936"/>
    </w:pPr>
    <w:rPr>
      <w:b/>
      <w:bCs/>
      <w:i/>
      <w:iCs/>
      <w:color w:val="00874B"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874B"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18" w:space="0" w:color="00874B" w:themeColor="accent1"/>
          <w:right w:val="single" w:sz="8" w:space="0" w:color="00874B" w:themeColor="accent1"/>
          <w:insideH w:val="nil"/>
          <w:insideV w:val="single" w:sz="8" w:space="0" w:color="0087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insideH w:val="nil"/>
          <w:insideV w:val="single" w:sz="8" w:space="0" w:color="0087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shd w:val="clear" w:color="auto" w:fill="A2FFD5" w:themeFill="accent1" w:themeFillTint="3F"/>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shd w:val="clear" w:color="auto" w:fill="A2FFD5" w:themeFill="accent1" w:themeFillTint="3F"/>
      </w:tcPr>
    </w:tblStylePr>
    <w:tblStylePr w:type="band2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18" w:space="0" w:color="0085AD" w:themeColor="accent3"/>
          <w:right w:val="single" w:sz="8" w:space="0" w:color="0085AD" w:themeColor="accent3"/>
          <w:insideH w:val="nil"/>
          <w:insideV w:val="single" w:sz="8" w:space="0" w:color="0085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insideH w:val="nil"/>
          <w:insideV w:val="single" w:sz="8" w:space="0" w:color="0085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shd w:val="clear" w:color="auto" w:fill="ABEBFF" w:themeFill="accent3" w:themeFillTint="3F"/>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shd w:val="clear" w:color="auto" w:fill="ABEBFF" w:themeFill="accent3" w:themeFillTint="3F"/>
      </w:tcPr>
    </w:tblStylePr>
    <w:tblStylePr w:type="band2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insideV w:val="single" w:sz="8" w:space="0" w:color="0085AD"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18" w:space="0" w:color="33B9C4" w:themeColor="accent4"/>
          <w:right w:val="single" w:sz="8" w:space="0" w:color="33B9C4" w:themeColor="accent4"/>
          <w:insideH w:val="nil"/>
          <w:insideV w:val="single" w:sz="8" w:space="0" w:color="33B9C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insideH w:val="nil"/>
          <w:insideV w:val="single" w:sz="8" w:space="0" w:color="33B9C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shd w:val="clear" w:color="auto" w:fill="CBEEF1" w:themeFill="accent4" w:themeFillTint="3F"/>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shd w:val="clear" w:color="auto" w:fill="CBEEF1" w:themeFill="accent4" w:themeFillTint="3F"/>
      </w:tcPr>
    </w:tblStylePr>
    <w:tblStylePr w:type="band2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insideV w:val="single" w:sz="8" w:space="0" w:color="33B9C4"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18" w:space="0" w:color="ABBC38" w:themeColor="accent5"/>
          <w:right w:val="single" w:sz="8" w:space="0" w:color="ABBC38" w:themeColor="accent5"/>
          <w:insideH w:val="nil"/>
          <w:insideV w:val="single" w:sz="8" w:space="0" w:color="ABBC3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insideH w:val="nil"/>
          <w:insideV w:val="single" w:sz="8" w:space="0" w:color="ABBC3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shd w:val="clear" w:color="auto" w:fill="EBF0CC" w:themeFill="accent5" w:themeFillTint="3F"/>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shd w:val="clear" w:color="auto" w:fill="EBF0CC" w:themeFill="accent5" w:themeFillTint="3F"/>
      </w:tcPr>
    </w:tblStylePr>
    <w:tblStylePr w:type="band2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18" w:space="0" w:color="EFDB6C" w:themeColor="accent6"/>
          <w:right w:val="single" w:sz="8" w:space="0" w:color="EFDB6C" w:themeColor="accent6"/>
          <w:insideH w:val="nil"/>
          <w:insideV w:val="single" w:sz="8" w:space="0" w:color="EFDB6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insideH w:val="nil"/>
          <w:insideV w:val="single" w:sz="8" w:space="0" w:color="EFDB6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shd w:val="clear" w:color="auto" w:fill="FBF6DA" w:themeFill="accent6" w:themeFillTint="3F"/>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shd w:val="clear" w:color="auto" w:fill="FBF6DA" w:themeFill="accent6" w:themeFillTint="3F"/>
      </w:tcPr>
    </w:tblStylePr>
    <w:tblStylePr w:type="band2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insideV w:val="single" w:sz="8" w:space="0" w:color="EFDB6C"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pPr>
        <w:spacing w:before="0" w:after="0" w:line="240" w:lineRule="auto"/>
      </w:pPr>
      <w:rPr>
        <w:b/>
        <w:bCs/>
        <w:color w:val="FFFFFF" w:themeColor="background1"/>
      </w:rPr>
      <w:tblPr/>
      <w:tcPr>
        <w:shd w:val="clear" w:color="auto" w:fill="00874B" w:themeFill="accent1"/>
      </w:tcPr>
    </w:tblStylePr>
    <w:tblStylePr w:type="lastRow">
      <w:pPr>
        <w:spacing w:before="0" w:after="0" w:line="240" w:lineRule="auto"/>
      </w:pPr>
      <w:rPr>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tcBorders>
      </w:tcPr>
    </w:tblStylePr>
    <w:tblStylePr w:type="firstCol">
      <w:rPr>
        <w:b/>
        <w:bCs/>
      </w:rPr>
    </w:tblStylePr>
    <w:tblStylePr w:type="lastCol">
      <w:rPr>
        <w:b/>
        <w:bCs/>
      </w:r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pPr>
        <w:spacing w:before="0" w:after="0" w:line="240" w:lineRule="auto"/>
      </w:pPr>
      <w:rPr>
        <w:b/>
        <w:bCs/>
        <w:color w:val="FFFFFF" w:themeColor="background1"/>
      </w:rPr>
      <w:tblPr/>
      <w:tcPr>
        <w:shd w:val="clear" w:color="auto" w:fill="0085AD" w:themeFill="accent3"/>
      </w:tcPr>
    </w:tblStylePr>
    <w:tblStylePr w:type="lastRow">
      <w:pPr>
        <w:spacing w:before="0" w:after="0" w:line="240" w:lineRule="auto"/>
      </w:pPr>
      <w:rPr>
        <w:b/>
        <w:bCs/>
      </w:rPr>
      <w:tblPr/>
      <w:tcPr>
        <w:tcBorders>
          <w:top w:val="double" w:sz="6" w:space="0" w:color="0085AD" w:themeColor="accent3"/>
          <w:left w:val="single" w:sz="8" w:space="0" w:color="0085AD" w:themeColor="accent3"/>
          <w:bottom w:val="single" w:sz="8" w:space="0" w:color="0085AD" w:themeColor="accent3"/>
          <w:right w:val="single" w:sz="8" w:space="0" w:color="0085AD" w:themeColor="accent3"/>
        </w:tcBorders>
      </w:tcPr>
    </w:tblStylePr>
    <w:tblStylePr w:type="firstCol">
      <w:rPr>
        <w:b/>
        <w:bCs/>
      </w:rPr>
    </w:tblStylePr>
    <w:tblStylePr w:type="lastCol">
      <w:rPr>
        <w:b/>
        <w:bCs/>
      </w:rPr>
    </w:tblStylePr>
    <w:tblStylePr w:type="band1Vert">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tblStylePr w:type="band1Horz">
      <w:tblPr/>
      <w:tcPr>
        <w:tcBorders>
          <w:top w:val="single" w:sz="8" w:space="0" w:color="0085AD" w:themeColor="accent3"/>
          <w:left w:val="single" w:sz="8" w:space="0" w:color="0085AD" w:themeColor="accent3"/>
          <w:bottom w:val="single" w:sz="8" w:space="0" w:color="0085AD" w:themeColor="accent3"/>
          <w:right w:val="single" w:sz="8" w:space="0" w:color="0085AD"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pPr>
        <w:spacing w:before="0" w:after="0" w:line="240" w:lineRule="auto"/>
      </w:pPr>
      <w:rPr>
        <w:b/>
        <w:bCs/>
        <w:color w:val="FFFFFF" w:themeColor="background1"/>
      </w:rPr>
      <w:tblPr/>
      <w:tcPr>
        <w:shd w:val="clear" w:color="auto" w:fill="33B9C4" w:themeFill="accent4"/>
      </w:tcPr>
    </w:tblStylePr>
    <w:tblStylePr w:type="lastRow">
      <w:pPr>
        <w:spacing w:before="0" w:after="0" w:line="240" w:lineRule="auto"/>
      </w:pPr>
      <w:rPr>
        <w:b/>
        <w:bCs/>
      </w:rPr>
      <w:tblPr/>
      <w:tcPr>
        <w:tcBorders>
          <w:top w:val="double" w:sz="6" w:space="0" w:color="33B9C4" w:themeColor="accent4"/>
          <w:left w:val="single" w:sz="8" w:space="0" w:color="33B9C4" w:themeColor="accent4"/>
          <w:bottom w:val="single" w:sz="8" w:space="0" w:color="33B9C4" w:themeColor="accent4"/>
          <w:right w:val="single" w:sz="8" w:space="0" w:color="33B9C4" w:themeColor="accent4"/>
        </w:tcBorders>
      </w:tcPr>
    </w:tblStylePr>
    <w:tblStylePr w:type="firstCol">
      <w:rPr>
        <w:b/>
        <w:bCs/>
      </w:rPr>
    </w:tblStylePr>
    <w:tblStylePr w:type="lastCol">
      <w:rPr>
        <w:b/>
        <w:bCs/>
      </w:rPr>
    </w:tblStylePr>
    <w:tblStylePr w:type="band1Vert">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tblStylePr w:type="band1Horz">
      <w:tblPr/>
      <w:tcPr>
        <w:tcBorders>
          <w:top w:val="single" w:sz="8" w:space="0" w:color="33B9C4" w:themeColor="accent4"/>
          <w:left w:val="single" w:sz="8" w:space="0" w:color="33B9C4" w:themeColor="accent4"/>
          <w:bottom w:val="single" w:sz="8" w:space="0" w:color="33B9C4" w:themeColor="accent4"/>
          <w:right w:val="single" w:sz="8" w:space="0" w:color="33B9C4"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pPr>
        <w:spacing w:before="0" w:after="0" w:line="240" w:lineRule="auto"/>
      </w:pPr>
      <w:rPr>
        <w:b/>
        <w:bCs/>
        <w:color w:val="FFFFFF" w:themeColor="background1"/>
      </w:rPr>
      <w:tblPr/>
      <w:tcPr>
        <w:shd w:val="clear" w:color="auto" w:fill="ABBC38" w:themeFill="accent5"/>
      </w:tcPr>
    </w:tblStylePr>
    <w:tblStylePr w:type="lastRow">
      <w:pPr>
        <w:spacing w:before="0" w:after="0" w:line="240" w:lineRule="auto"/>
      </w:pPr>
      <w:rPr>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tcBorders>
      </w:tcPr>
    </w:tblStylePr>
    <w:tblStylePr w:type="firstCol">
      <w:rPr>
        <w:b/>
        <w:bCs/>
      </w:rPr>
    </w:tblStylePr>
    <w:tblStylePr w:type="lastCol">
      <w:rPr>
        <w:b/>
        <w:bCs/>
      </w:r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pPr>
        <w:spacing w:before="0" w:after="0" w:line="240" w:lineRule="auto"/>
      </w:pPr>
      <w:rPr>
        <w:b/>
        <w:bCs/>
        <w:color w:val="FFFFFF" w:themeColor="background1"/>
      </w:rPr>
      <w:tblPr/>
      <w:tcPr>
        <w:shd w:val="clear" w:color="auto" w:fill="EFDB6C" w:themeFill="accent6"/>
      </w:tcPr>
    </w:tblStylePr>
    <w:tblStylePr w:type="lastRow">
      <w:pPr>
        <w:spacing w:before="0" w:after="0" w:line="240" w:lineRule="auto"/>
      </w:pPr>
      <w:rPr>
        <w:b/>
        <w:bCs/>
      </w:rPr>
      <w:tblPr/>
      <w:tcPr>
        <w:tcBorders>
          <w:top w:val="double" w:sz="6" w:space="0" w:color="EFDB6C" w:themeColor="accent6"/>
          <w:left w:val="single" w:sz="8" w:space="0" w:color="EFDB6C" w:themeColor="accent6"/>
          <w:bottom w:val="single" w:sz="8" w:space="0" w:color="EFDB6C" w:themeColor="accent6"/>
          <w:right w:val="single" w:sz="8" w:space="0" w:color="EFDB6C" w:themeColor="accent6"/>
        </w:tcBorders>
      </w:tcPr>
    </w:tblStylePr>
    <w:tblStylePr w:type="firstCol">
      <w:rPr>
        <w:b/>
        <w:bCs/>
      </w:rPr>
    </w:tblStylePr>
    <w:tblStylePr w:type="lastCol">
      <w:rPr>
        <w:b/>
        <w:bCs/>
      </w:rPr>
    </w:tblStylePr>
    <w:tblStylePr w:type="band1Vert">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tblStylePr w:type="band1Horz">
      <w:tblPr/>
      <w:tcPr>
        <w:tcBorders>
          <w:top w:val="single" w:sz="8" w:space="0" w:color="EFDB6C" w:themeColor="accent6"/>
          <w:left w:val="single" w:sz="8" w:space="0" w:color="EFDB6C" w:themeColor="accent6"/>
          <w:bottom w:val="single" w:sz="8" w:space="0" w:color="EFDB6C" w:themeColor="accent6"/>
          <w:right w:val="single" w:sz="8" w:space="0" w:color="EFDB6C"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6537" w:themeColor="accent1" w:themeShade="BF"/>
    </w:rPr>
    <w:tblPr>
      <w:tblStyleRowBandSize w:val="1"/>
      <w:tblStyleColBandSize w:val="1"/>
      <w:tblBorders>
        <w:top w:val="single" w:sz="8" w:space="0" w:color="00874B" w:themeColor="accent1"/>
        <w:bottom w:val="single" w:sz="8" w:space="0" w:color="00874B" w:themeColor="accent1"/>
      </w:tblBorders>
    </w:tblPr>
    <w:tblStylePr w:type="fir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la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left w:val="nil"/>
          <w:right w:val="nil"/>
          <w:insideH w:val="nil"/>
          <w:insideV w:val="nil"/>
        </w:tcBorders>
        <w:shd w:val="clear" w:color="auto" w:fill="A2FFD5"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006381" w:themeColor="accent3" w:themeShade="BF"/>
    </w:rPr>
    <w:tblPr>
      <w:tblStyleRowBandSize w:val="1"/>
      <w:tblStyleColBandSize w:val="1"/>
      <w:tblBorders>
        <w:top w:val="single" w:sz="8" w:space="0" w:color="0085AD" w:themeColor="accent3"/>
        <w:bottom w:val="single" w:sz="8" w:space="0" w:color="0085AD" w:themeColor="accent3"/>
      </w:tblBorders>
    </w:tblPr>
    <w:tblStylePr w:type="fir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lastRow">
      <w:pPr>
        <w:spacing w:before="0" w:after="0" w:line="240" w:lineRule="auto"/>
      </w:pPr>
      <w:rPr>
        <w:b/>
        <w:bCs/>
      </w:rPr>
      <w:tblPr/>
      <w:tcPr>
        <w:tcBorders>
          <w:top w:val="single" w:sz="8" w:space="0" w:color="0085AD" w:themeColor="accent3"/>
          <w:left w:val="nil"/>
          <w:bottom w:val="single" w:sz="8" w:space="0" w:color="0085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left w:val="nil"/>
          <w:right w:val="nil"/>
          <w:insideH w:val="nil"/>
          <w:insideV w:val="nil"/>
        </w:tcBorders>
        <w:shd w:val="clear" w:color="auto" w:fill="ABEBFF"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268A92" w:themeColor="accent4" w:themeShade="BF"/>
    </w:rPr>
    <w:tblPr>
      <w:tblStyleRowBandSize w:val="1"/>
      <w:tblStyleColBandSize w:val="1"/>
      <w:tblBorders>
        <w:top w:val="single" w:sz="8" w:space="0" w:color="33B9C4" w:themeColor="accent4"/>
        <w:bottom w:val="single" w:sz="8" w:space="0" w:color="33B9C4" w:themeColor="accent4"/>
      </w:tblBorders>
    </w:tblPr>
    <w:tblStylePr w:type="fir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lastRow">
      <w:pPr>
        <w:spacing w:before="0" w:after="0" w:line="240" w:lineRule="auto"/>
      </w:pPr>
      <w:rPr>
        <w:b/>
        <w:bCs/>
      </w:rPr>
      <w:tblPr/>
      <w:tcPr>
        <w:tcBorders>
          <w:top w:val="single" w:sz="8" w:space="0" w:color="33B9C4" w:themeColor="accent4"/>
          <w:left w:val="nil"/>
          <w:bottom w:val="single" w:sz="8" w:space="0" w:color="33B9C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left w:val="nil"/>
          <w:right w:val="nil"/>
          <w:insideH w:val="nil"/>
          <w:insideV w:val="nil"/>
        </w:tcBorders>
        <w:shd w:val="clear" w:color="auto" w:fill="CBEEF1"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7F8C2A" w:themeColor="accent5" w:themeShade="BF"/>
    </w:rPr>
    <w:tblPr>
      <w:tblStyleRowBandSize w:val="1"/>
      <w:tblStyleColBandSize w:val="1"/>
      <w:tblBorders>
        <w:top w:val="single" w:sz="8" w:space="0" w:color="ABBC38" w:themeColor="accent5"/>
        <w:bottom w:val="single" w:sz="8" w:space="0" w:color="ABBC38" w:themeColor="accent5"/>
      </w:tblBorders>
    </w:tblPr>
    <w:tblStylePr w:type="fir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la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left w:val="nil"/>
          <w:right w:val="nil"/>
          <w:insideH w:val="nil"/>
          <w:insideV w:val="nil"/>
        </w:tcBorders>
        <w:shd w:val="clear" w:color="auto" w:fill="EBF0CC"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E6C71D" w:themeColor="accent6" w:themeShade="BF"/>
    </w:rPr>
    <w:tblPr>
      <w:tblStyleRowBandSize w:val="1"/>
      <w:tblStyleColBandSize w:val="1"/>
      <w:tblBorders>
        <w:top w:val="single" w:sz="8" w:space="0" w:color="EFDB6C" w:themeColor="accent6"/>
        <w:bottom w:val="single" w:sz="8" w:space="0" w:color="EFDB6C" w:themeColor="accent6"/>
      </w:tblBorders>
    </w:tblPr>
    <w:tblStylePr w:type="fir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lastRow">
      <w:pPr>
        <w:spacing w:before="0" w:after="0" w:line="240" w:lineRule="auto"/>
      </w:pPr>
      <w:rPr>
        <w:b/>
        <w:bCs/>
      </w:rPr>
      <w:tblPr/>
      <w:tcPr>
        <w:tcBorders>
          <w:top w:val="single" w:sz="8" w:space="0" w:color="EFDB6C" w:themeColor="accent6"/>
          <w:left w:val="nil"/>
          <w:bottom w:val="single" w:sz="8" w:space="0" w:color="EFDB6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left w:val="nil"/>
          <w:right w:val="nil"/>
          <w:insideH w:val="nil"/>
          <w:insideV w:val="nil"/>
        </w:tcBorders>
        <w:shd w:val="clear" w:color="auto" w:fill="FBF6DA"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insideV w:val="single" w:sz="8" w:space="0" w:color="00E57E" w:themeColor="accent1" w:themeTint="BF"/>
      </w:tblBorders>
    </w:tblPr>
    <w:tcPr>
      <w:shd w:val="clear" w:color="auto" w:fill="A2FFD5" w:themeFill="accent1" w:themeFillTint="3F"/>
    </w:tcPr>
    <w:tblStylePr w:type="firstRow">
      <w:rPr>
        <w:b/>
        <w:bCs/>
      </w:rPr>
    </w:tblStylePr>
    <w:tblStylePr w:type="lastRow">
      <w:rPr>
        <w:b/>
        <w:bCs/>
      </w:rPr>
      <w:tblPr/>
      <w:tcPr>
        <w:tcBorders>
          <w:top w:val="single" w:sz="18" w:space="0" w:color="00E57E" w:themeColor="accent1" w:themeTint="BF"/>
        </w:tcBorders>
      </w:tcPr>
    </w:tblStylePr>
    <w:tblStylePr w:type="firstCol">
      <w:rPr>
        <w:b/>
        <w:bCs/>
      </w:rPr>
    </w:tblStylePr>
    <w:tblStylePr w:type="lastCol">
      <w:rPr>
        <w:b/>
        <w:bCs/>
      </w:r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insideV w:val="single" w:sz="8" w:space="0" w:color="02C4FF" w:themeColor="accent3" w:themeTint="BF"/>
      </w:tblBorders>
    </w:tblPr>
    <w:tcPr>
      <w:shd w:val="clear" w:color="auto" w:fill="ABEBFF" w:themeFill="accent3" w:themeFillTint="3F"/>
    </w:tcPr>
    <w:tblStylePr w:type="firstRow">
      <w:rPr>
        <w:b/>
        <w:bCs/>
      </w:rPr>
    </w:tblStylePr>
    <w:tblStylePr w:type="lastRow">
      <w:rPr>
        <w:b/>
        <w:bCs/>
      </w:rPr>
      <w:tblPr/>
      <w:tcPr>
        <w:tcBorders>
          <w:top w:val="single" w:sz="18" w:space="0" w:color="02C4FF" w:themeColor="accent3" w:themeTint="BF"/>
        </w:tcBorders>
      </w:tcPr>
    </w:tblStylePr>
    <w:tblStylePr w:type="firstCol">
      <w:rPr>
        <w:b/>
        <w:bCs/>
      </w:rPr>
    </w:tblStylePr>
    <w:tblStylePr w:type="lastCol">
      <w:rPr>
        <w:b/>
        <w:bCs/>
      </w:rPr>
    </w:tblStylePr>
    <w:tblStylePr w:type="band1Vert">
      <w:tblPr/>
      <w:tcPr>
        <w:shd w:val="clear" w:color="auto" w:fill="57D8FF" w:themeFill="accent3" w:themeFillTint="7F"/>
      </w:tcPr>
    </w:tblStylePr>
    <w:tblStylePr w:type="band1Horz">
      <w:tblPr/>
      <w:tcPr>
        <w:shd w:val="clear" w:color="auto" w:fill="57D8FF"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insideV w:val="single" w:sz="8" w:space="0" w:color="62CDD6" w:themeColor="accent4" w:themeTint="BF"/>
      </w:tblBorders>
    </w:tblPr>
    <w:tcPr>
      <w:shd w:val="clear" w:color="auto" w:fill="CBEEF1" w:themeFill="accent4" w:themeFillTint="3F"/>
    </w:tcPr>
    <w:tblStylePr w:type="firstRow">
      <w:rPr>
        <w:b/>
        <w:bCs/>
      </w:rPr>
    </w:tblStylePr>
    <w:tblStylePr w:type="lastRow">
      <w:rPr>
        <w:b/>
        <w:bCs/>
      </w:rPr>
      <w:tblPr/>
      <w:tcPr>
        <w:tcBorders>
          <w:top w:val="single" w:sz="18" w:space="0" w:color="62CDD6" w:themeColor="accent4" w:themeTint="BF"/>
        </w:tcBorders>
      </w:tcPr>
    </w:tblStylePr>
    <w:tblStylePr w:type="firstCol">
      <w:rPr>
        <w:b/>
        <w:bCs/>
      </w:rPr>
    </w:tblStylePr>
    <w:tblStylePr w:type="lastCol">
      <w:rPr>
        <w:b/>
        <w:bCs/>
      </w:rPr>
    </w:tblStylePr>
    <w:tblStylePr w:type="band1Vert">
      <w:tblPr/>
      <w:tcPr>
        <w:shd w:val="clear" w:color="auto" w:fill="97DDE4" w:themeFill="accent4" w:themeFillTint="7F"/>
      </w:tcPr>
    </w:tblStylePr>
    <w:tblStylePr w:type="band1Horz">
      <w:tblPr/>
      <w:tcPr>
        <w:shd w:val="clear" w:color="auto" w:fill="97DDE4"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insideV w:val="single" w:sz="8" w:space="0" w:color="C3D165" w:themeColor="accent5" w:themeTint="BF"/>
      </w:tblBorders>
    </w:tblPr>
    <w:tcPr>
      <w:shd w:val="clear" w:color="auto" w:fill="EBF0CC" w:themeFill="accent5" w:themeFillTint="3F"/>
    </w:tcPr>
    <w:tblStylePr w:type="firstRow">
      <w:rPr>
        <w:b/>
        <w:bCs/>
      </w:rPr>
    </w:tblStylePr>
    <w:tblStylePr w:type="lastRow">
      <w:rPr>
        <w:b/>
        <w:bCs/>
      </w:rPr>
      <w:tblPr/>
      <w:tcPr>
        <w:tcBorders>
          <w:top w:val="single" w:sz="18" w:space="0" w:color="C3D165" w:themeColor="accent5" w:themeTint="BF"/>
        </w:tcBorders>
      </w:tcPr>
    </w:tblStylePr>
    <w:tblStylePr w:type="firstCol">
      <w:rPr>
        <w:b/>
        <w:bCs/>
      </w:rPr>
    </w:tblStylePr>
    <w:tblStylePr w:type="lastCol">
      <w:rPr>
        <w:b/>
        <w:bCs/>
      </w:r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insideV w:val="single" w:sz="8" w:space="0" w:color="F3E390" w:themeColor="accent6" w:themeTint="BF"/>
      </w:tblBorders>
    </w:tblPr>
    <w:tcPr>
      <w:shd w:val="clear" w:color="auto" w:fill="FBF6DA" w:themeFill="accent6" w:themeFillTint="3F"/>
    </w:tcPr>
    <w:tblStylePr w:type="firstRow">
      <w:rPr>
        <w:b/>
        <w:bCs/>
      </w:rPr>
    </w:tblStylePr>
    <w:tblStylePr w:type="lastRow">
      <w:rPr>
        <w:b/>
        <w:bCs/>
      </w:rPr>
      <w:tblPr/>
      <w:tcPr>
        <w:tcBorders>
          <w:top w:val="single" w:sz="18" w:space="0" w:color="F3E390" w:themeColor="accent6" w:themeTint="BF"/>
        </w:tcBorders>
      </w:tcPr>
    </w:tblStylePr>
    <w:tblStylePr w:type="firstCol">
      <w:rPr>
        <w:b/>
        <w:bCs/>
      </w:rPr>
    </w:tblStylePr>
    <w:tblStylePr w:type="lastCol">
      <w:rPr>
        <w:b/>
        <w:bCs/>
      </w:rPr>
    </w:tblStylePr>
    <w:tblStylePr w:type="band1Vert">
      <w:tblPr/>
      <w:tcPr>
        <w:shd w:val="clear" w:color="auto" w:fill="F7EDB5" w:themeFill="accent6" w:themeFillTint="7F"/>
      </w:tcPr>
    </w:tblStylePr>
    <w:tblStylePr w:type="band1Horz">
      <w:tblPr/>
      <w:tcPr>
        <w:shd w:val="clear" w:color="auto" w:fill="F7EDB5"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cPr>
      <w:shd w:val="clear" w:color="auto" w:fill="A2FFD5" w:themeFill="accent1" w:themeFillTint="3F"/>
    </w:tcPr>
    <w:tblStylePr w:type="firstRow">
      <w:rPr>
        <w:b/>
        <w:bCs/>
        <w:color w:val="000000" w:themeColor="text1"/>
      </w:rPr>
      <w:tblPr/>
      <w:tcPr>
        <w:shd w:val="clear" w:color="auto" w:fill="DAFF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1" w:themeFillTint="33"/>
      </w:tcPr>
    </w:tblStylePr>
    <w:tblStylePr w:type="band1Vert">
      <w:tblPr/>
      <w:tcPr>
        <w:shd w:val="clear" w:color="auto" w:fill="44FFAB" w:themeFill="accent1" w:themeFillTint="7F"/>
      </w:tcPr>
    </w:tblStylePr>
    <w:tblStylePr w:type="band1Horz">
      <w:tblPr/>
      <w:tcPr>
        <w:tcBorders>
          <w:insideH w:val="single" w:sz="6" w:space="0" w:color="00874B" w:themeColor="accent1"/>
          <w:insideV w:val="single" w:sz="6" w:space="0" w:color="00874B" w:themeColor="accent1"/>
        </w:tcBorders>
        <w:shd w:val="clear" w:color="auto" w:fill="44FFA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insideH w:val="single" w:sz="8" w:space="0" w:color="0085AD" w:themeColor="accent3"/>
        <w:insideV w:val="single" w:sz="8" w:space="0" w:color="0085AD" w:themeColor="accent3"/>
      </w:tblBorders>
    </w:tblPr>
    <w:tcPr>
      <w:shd w:val="clear" w:color="auto" w:fill="ABEBFF" w:themeFill="accent3" w:themeFillTint="3F"/>
    </w:tcPr>
    <w:tblStylePr w:type="firstRow">
      <w:rPr>
        <w:b/>
        <w:bCs/>
        <w:color w:val="000000" w:themeColor="text1"/>
      </w:rPr>
      <w:tblPr/>
      <w:tcPr>
        <w:shd w:val="clear" w:color="auto" w:fill="DDF7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3" w:themeFillTint="33"/>
      </w:tcPr>
    </w:tblStylePr>
    <w:tblStylePr w:type="band1Vert">
      <w:tblPr/>
      <w:tcPr>
        <w:shd w:val="clear" w:color="auto" w:fill="57D8FF" w:themeFill="accent3" w:themeFillTint="7F"/>
      </w:tcPr>
    </w:tblStylePr>
    <w:tblStylePr w:type="band1Horz">
      <w:tblPr/>
      <w:tcPr>
        <w:tcBorders>
          <w:insideH w:val="single" w:sz="6" w:space="0" w:color="0085AD" w:themeColor="accent3"/>
          <w:insideV w:val="single" w:sz="6" w:space="0" w:color="0085AD" w:themeColor="accent3"/>
        </w:tcBorders>
        <w:shd w:val="clear" w:color="auto" w:fill="57D8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insideH w:val="single" w:sz="8" w:space="0" w:color="33B9C4" w:themeColor="accent4"/>
        <w:insideV w:val="single" w:sz="8" w:space="0" w:color="33B9C4" w:themeColor="accent4"/>
      </w:tblBorders>
    </w:tblPr>
    <w:tcPr>
      <w:shd w:val="clear" w:color="auto" w:fill="CBEEF1" w:themeFill="accent4" w:themeFillTint="3F"/>
    </w:tcPr>
    <w:tblStylePr w:type="firstRow">
      <w:rPr>
        <w:b/>
        <w:bCs/>
        <w:color w:val="000000" w:themeColor="text1"/>
      </w:rPr>
      <w:tblPr/>
      <w:tcPr>
        <w:shd w:val="clear" w:color="auto" w:fill="EAF8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4" w:themeFillTint="33"/>
      </w:tcPr>
    </w:tblStylePr>
    <w:tblStylePr w:type="band1Vert">
      <w:tblPr/>
      <w:tcPr>
        <w:shd w:val="clear" w:color="auto" w:fill="97DDE4" w:themeFill="accent4" w:themeFillTint="7F"/>
      </w:tcPr>
    </w:tblStylePr>
    <w:tblStylePr w:type="band1Horz">
      <w:tblPr/>
      <w:tcPr>
        <w:tcBorders>
          <w:insideH w:val="single" w:sz="6" w:space="0" w:color="33B9C4" w:themeColor="accent4"/>
          <w:insideV w:val="single" w:sz="6" w:space="0" w:color="33B9C4" w:themeColor="accent4"/>
        </w:tcBorders>
        <w:shd w:val="clear" w:color="auto" w:fill="97DDE4"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Pr>
    <w:tcPr>
      <w:shd w:val="clear" w:color="auto" w:fill="EBF0CC" w:themeFill="accent5" w:themeFillTint="3F"/>
    </w:tcPr>
    <w:tblStylePr w:type="firstRow">
      <w:rPr>
        <w:b/>
        <w:bCs/>
        <w:color w:val="000000" w:themeColor="text1"/>
      </w:rPr>
      <w:tblPr/>
      <w:tcPr>
        <w:shd w:val="clear" w:color="auto" w:fill="F7F9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5" w:themeFillTint="33"/>
      </w:tcPr>
    </w:tblStylePr>
    <w:tblStylePr w:type="band1Vert">
      <w:tblPr/>
      <w:tcPr>
        <w:shd w:val="clear" w:color="auto" w:fill="D7E098" w:themeFill="accent5" w:themeFillTint="7F"/>
      </w:tcPr>
    </w:tblStylePr>
    <w:tblStylePr w:type="band1Horz">
      <w:tblPr/>
      <w:tcPr>
        <w:tcBorders>
          <w:insideH w:val="single" w:sz="6" w:space="0" w:color="ABBC38" w:themeColor="accent5"/>
          <w:insideV w:val="single" w:sz="6" w:space="0" w:color="ABBC38" w:themeColor="accent5"/>
        </w:tcBorders>
        <w:shd w:val="clear" w:color="auto" w:fill="D7E098"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insideH w:val="single" w:sz="8" w:space="0" w:color="EFDB6C" w:themeColor="accent6"/>
        <w:insideV w:val="single" w:sz="8" w:space="0" w:color="EFDB6C" w:themeColor="accent6"/>
      </w:tblBorders>
    </w:tblPr>
    <w:tcPr>
      <w:shd w:val="clear" w:color="auto" w:fill="FBF6DA" w:themeFill="accent6" w:themeFillTint="3F"/>
    </w:tcPr>
    <w:tblStylePr w:type="firstRow">
      <w:rPr>
        <w:b/>
        <w:bCs/>
        <w:color w:val="000000" w:themeColor="text1"/>
      </w:rPr>
      <w:tblPr/>
      <w:tcPr>
        <w:shd w:val="clear" w:color="auto" w:fill="FDF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7E1" w:themeFill="accent6" w:themeFillTint="33"/>
      </w:tcPr>
    </w:tblStylePr>
    <w:tblStylePr w:type="band1Vert">
      <w:tblPr/>
      <w:tcPr>
        <w:shd w:val="clear" w:color="auto" w:fill="F7EDB5" w:themeFill="accent6" w:themeFillTint="7F"/>
      </w:tcPr>
    </w:tblStylePr>
    <w:tblStylePr w:type="band1Horz">
      <w:tblPr/>
      <w:tcPr>
        <w:tcBorders>
          <w:insideH w:val="single" w:sz="6" w:space="0" w:color="EFDB6C" w:themeColor="accent6"/>
          <w:insideV w:val="single" w:sz="6" w:space="0" w:color="EFDB6C" w:themeColor="accent6"/>
        </w:tcBorders>
        <w:shd w:val="clear" w:color="auto" w:fill="F7EDB5"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6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DB6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DB6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DB6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DB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DB5"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E1D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1"/>
        <w:bottom w:val="single" w:sz="8" w:space="0" w:color="00874B" w:themeColor="accent1"/>
      </w:tblBorders>
    </w:tblPr>
    <w:tblStylePr w:type="firstRow">
      <w:rPr>
        <w:rFonts w:asciiTheme="majorHAnsi" w:eastAsiaTheme="majorEastAsia" w:hAnsiTheme="majorHAnsi" w:cstheme="majorBidi"/>
      </w:rPr>
      <w:tblPr/>
      <w:tcPr>
        <w:tcBorders>
          <w:top w:val="nil"/>
          <w:bottom w:val="single" w:sz="8" w:space="0" w:color="00874B" w:themeColor="accent1"/>
        </w:tcBorders>
      </w:tcPr>
    </w:tblStylePr>
    <w:tblStylePr w:type="lastRow">
      <w:rPr>
        <w:b/>
        <w:bCs/>
        <w:color w:val="BFE1D2" w:themeColor="text2"/>
      </w:rPr>
      <w:tblPr/>
      <w:tcPr>
        <w:tcBorders>
          <w:top w:val="single" w:sz="8" w:space="0" w:color="00874B" w:themeColor="accent1"/>
          <w:bottom w:val="single" w:sz="8" w:space="0" w:color="00874B" w:themeColor="accent1"/>
        </w:tcBorders>
      </w:tcPr>
    </w:tblStylePr>
    <w:tblStylePr w:type="firstCol">
      <w:rPr>
        <w:b/>
        <w:bCs/>
      </w:rPr>
    </w:tblStylePr>
    <w:tblStylePr w:type="lastCol">
      <w:rPr>
        <w:b/>
        <w:bCs/>
      </w:rPr>
      <w:tblPr/>
      <w:tcPr>
        <w:tcBorders>
          <w:top w:val="single" w:sz="8" w:space="0" w:color="00874B" w:themeColor="accent1"/>
          <w:bottom w:val="single" w:sz="8" w:space="0" w:color="00874B" w:themeColor="accent1"/>
        </w:tcBorders>
      </w:tcPr>
    </w:tblStylePr>
    <w:tblStylePr w:type="band1Vert">
      <w:tblPr/>
      <w:tcPr>
        <w:shd w:val="clear" w:color="auto" w:fill="A2FFD5" w:themeFill="accent1" w:themeFillTint="3F"/>
      </w:tcPr>
    </w:tblStylePr>
    <w:tblStylePr w:type="band1Horz">
      <w:tblPr/>
      <w:tcPr>
        <w:shd w:val="clear" w:color="auto" w:fill="A2FFD5"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E1D2"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3"/>
        <w:bottom w:val="single" w:sz="8" w:space="0" w:color="0085AD" w:themeColor="accent3"/>
      </w:tblBorders>
    </w:tblPr>
    <w:tblStylePr w:type="firstRow">
      <w:rPr>
        <w:rFonts w:asciiTheme="majorHAnsi" w:eastAsiaTheme="majorEastAsia" w:hAnsiTheme="majorHAnsi" w:cstheme="majorBidi"/>
      </w:rPr>
      <w:tblPr/>
      <w:tcPr>
        <w:tcBorders>
          <w:top w:val="nil"/>
          <w:bottom w:val="single" w:sz="8" w:space="0" w:color="0085AD" w:themeColor="accent3"/>
        </w:tcBorders>
      </w:tcPr>
    </w:tblStylePr>
    <w:tblStylePr w:type="lastRow">
      <w:rPr>
        <w:b/>
        <w:bCs/>
        <w:color w:val="BFE1D2" w:themeColor="text2"/>
      </w:rPr>
      <w:tblPr/>
      <w:tcPr>
        <w:tcBorders>
          <w:top w:val="single" w:sz="8" w:space="0" w:color="0085AD" w:themeColor="accent3"/>
          <w:bottom w:val="single" w:sz="8" w:space="0" w:color="0085AD" w:themeColor="accent3"/>
        </w:tcBorders>
      </w:tcPr>
    </w:tblStylePr>
    <w:tblStylePr w:type="firstCol">
      <w:rPr>
        <w:b/>
        <w:bCs/>
      </w:rPr>
    </w:tblStylePr>
    <w:tblStylePr w:type="lastCol">
      <w:rPr>
        <w:b/>
        <w:bCs/>
      </w:rPr>
      <w:tblPr/>
      <w:tcPr>
        <w:tcBorders>
          <w:top w:val="single" w:sz="8" w:space="0" w:color="0085AD" w:themeColor="accent3"/>
          <w:bottom w:val="single" w:sz="8" w:space="0" w:color="0085AD" w:themeColor="accent3"/>
        </w:tcBorders>
      </w:tcPr>
    </w:tblStylePr>
    <w:tblStylePr w:type="band1Vert">
      <w:tblPr/>
      <w:tcPr>
        <w:shd w:val="clear" w:color="auto" w:fill="ABEBFF" w:themeFill="accent3" w:themeFillTint="3F"/>
      </w:tcPr>
    </w:tblStylePr>
    <w:tblStylePr w:type="band1Horz">
      <w:tblPr/>
      <w:tcPr>
        <w:shd w:val="clear" w:color="auto" w:fill="ABEBFF"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4"/>
        <w:bottom w:val="single" w:sz="8" w:space="0" w:color="33B9C4" w:themeColor="accent4"/>
      </w:tblBorders>
    </w:tblPr>
    <w:tblStylePr w:type="firstRow">
      <w:rPr>
        <w:rFonts w:asciiTheme="majorHAnsi" w:eastAsiaTheme="majorEastAsia" w:hAnsiTheme="majorHAnsi" w:cstheme="majorBidi"/>
      </w:rPr>
      <w:tblPr/>
      <w:tcPr>
        <w:tcBorders>
          <w:top w:val="nil"/>
          <w:bottom w:val="single" w:sz="8" w:space="0" w:color="33B9C4" w:themeColor="accent4"/>
        </w:tcBorders>
      </w:tcPr>
    </w:tblStylePr>
    <w:tblStylePr w:type="lastRow">
      <w:rPr>
        <w:b/>
        <w:bCs/>
        <w:color w:val="BFE1D2" w:themeColor="text2"/>
      </w:rPr>
      <w:tblPr/>
      <w:tcPr>
        <w:tcBorders>
          <w:top w:val="single" w:sz="8" w:space="0" w:color="33B9C4" w:themeColor="accent4"/>
          <w:bottom w:val="single" w:sz="8" w:space="0" w:color="33B9C4" w:themeColor="accent4"/>
        </w:tcBorders>
      </w:tcPr>
    </w:tblStylePr>
    <w:tblStylePr w:type="firstCol">
      <w:rPr>
        <w:b/>
        <w:bCs/>
      </w:rPr>
    </w:tblStylePr>
    <w:tblStylePr w:type="lastCol">
      <w:rPr>
        <w:b/>
        <w:bCs/>
      </w:rPr>
      <w:tblPr/>
      <w:tcPr>
        <w:tcBorders>
          <w:top w:val="single" w:sz="8" w:space="0" w:color="33B9C4" w:themeColor="accent4"/>
          <w:bottom w:val="single" w:sz="8" w:space="0" w:color="33B9C4" w:themeColor="accent4"/>
        </w:tcBorders>
      </w:tcPr>
    </w:tblStylePr>
    <w:tblStylePr w:type="band1Vert">
      <w:tblPr/>
      <w:tcPr>
        <w:shd w:val="clear" w:color="auto" w:fill="CBEEF1" w:themeFill="accent4" w:themeFillTint="3F"/>
      </w:tcPr>
    </w:tblStylePr>
    <w:tblStylePr w:type="band1Horz">
      <w:tblPr/>
      <w:tcPr>
        <w:shd w:val="clear" w:color="auto" w:fill="CBEEF1"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5"/>
        <w:bottom w:val="single" w:sz="8" w:space="0" w:color="ABBC38" w:themeColor="accent5"/>
      </w:tblBorders>
    </w:tblPr>
    <w:tblStylePr w:type="firstRow">
      <w:rPr>
        <w:rFonts w:asciiTheme="majorHAnsi" w:eastAsiaTheme="majorEastAsia" w:hAnsiTheme="majorHAnsi" w:cstheme="majorBidi"/>
      </w:rPr>
      <w:tblPr/>
      <w:tcPr>
        <w:tcBorders>
          <w:top w:val="nil"/>
          <w:bottom w:val="single" w:sz="8" w:space="0" w:color="ABBC38" w:themeColor="accent5"/>
        </w:tcBorders>
      </w:tcPr>
    </w:tblStylePr>
    <w:tblStylePr w:type="lastRow">
      <w:rPr>
        <w:b/>
        <w:bCs/>
        <w:color w:val="BFE1D2" w:themeColor="text2"/>
      </w:rPr>
      <w:tblPr/>
      <w:tcPr>
        <w:tcBorders>
          <w:top w:val="single" w:sz="8" w:space="0" w:color="ABBC38" w:themeColor="accent5"/>
          <w:bottom w:val="single" w:sz="8" w:space="0" w:color="ABBC38" w:themeColor="accent5"/>
        </w:tcBorders>
      </w:tcPr>
    </w:tblStylePr>
    <w:tblStylePr w:type="firstCol">
      <w:rPr>
        <w:b/>
        <w:bCs/>
      </w:rPr>
    </w:tblStylePr>
    <w:tblStylePr w:type="lastCol">
      <w:rPr>
        <w:b/>
        <w:bCs/>
      </w:rPr>
      <w:tblPr/>
      <w:tcPr>
        <w:tcBorders>
          <w:top w:val="single" w:sz="8" w:space="0" w:color="ABBC38" w:themeColor="accent5"/>
          <w:bottom w:val="single" w:sz="8" w:space="0" w:color="ABBC38" w:themeColor="accent5"/>
        </w:tcBorders>
      </w:tcPr>
    </w:tblStylePr>
    <w:tblStylePr w:type="band1Vert">
      <w:tblPr/>
      <w:tcPr>
        <w:shd w:val="clear" w:color="auto" w:fill="EBF0CC" w:themeFill="accent5" w:themeFillTint="3F"/>
      </w:tcPr>
    </w:tblStylePr>
    <w:tblStylePr w:type="band1Horz">
      <w:tblPr/>
      <w:tcPr>
        <w:shd w:val="clear" w:color="auto" w:fill="EBF0CC"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EFDB6C" w:themeColor="accent6"/>
        <w:bottom w:val="single" w:sz="8" w:space="0" w:color="EFDB6C" w:themeColor="accent6"/>
      </w:tblBorders>
    </w:tblPr>
    <w:tblStylePr w:type="firstRow">
      <w:rPr>
        <w:rFonts w:asciiTheme="majorHAnsi" w:eastAsiaTheme="majorEastAsia" w:hAnsiTheme="majorHAnsi" w:cstheme="majorBidi"/>
      </w:rPr>
      <w:tblPr/>
      <w:tcPr>
        <w:tcBorders>
          <w:top w:val="nil"/>
          <w:bottom w:val="single" w:sz="8" w:space="0" w:color="EFDB6C" w:themeColor="accent6"/>
        </w:tcBorders>
      </w:tcPr>
    </w:tblStylePr>
    <w:tblStylePr w:type="lastRow">
      <w:rPr>
        <w:b/>
        <w:bCs/>
        <w:color w:val="BFE1D2" w:themeColor="text2"/>
      </w:rPr>
      <w:tblPr/>
      <w:tcPr>
        <w:tcBorders>
          <w:top w:val="single" w:sz="8" w:space="0" w:color="EFDB6C" w:themeColor="accent6"/>
          <w:bottom w:val="single" w:sz="8" w:space="0" w:color="EFDB6C" w:themeColor="accent6"/>
        </w:tcBorders>
      </w:tcPr>
    </w:tblStylePr>
    <w:tblStylePr w:type="firstCol">
      <w:rPr>
        <w:b/>
        <w:bCs/>
      </w:rPr>
    </w:tblStylePr>
    <w:tblStylePr w:type="lastCol">
      <w:rPr>
        <w:b/>
        <w:bCs/>
      </w:rPr>
      <w:tblPr/>
      <w:tcPr>
        <w:tcBorders>
          <w:top w:val="single" w:sz="8" w:space="0" w:color="EFDB6C" w:themeColor="accent6"/>
          <w:bottom w:val="single" w:sz="8" w:space="0" w:color="EFDB6C" w:themeColor="accent6"/>
        </w:tcBorders>
      </w:tcPr>
    </w:tblStylePr>
    <w:tblStylePr w:type="band1Vert">
      <w:tblPr/>
      <w:tcPr>
        <w:shd w:val="clear" w:color="auto" w:fill="FBF6DA" w:themeFill="accent6" w:themeFillTint="3F"/>
      </w:tcPr>
    </w:tblStylePr>
    <w:tblStylePr w:type="band1Horz">
      <w:tblPr/>
      <w:tcPr>
        <w:shd w:val="clear" w:color="auto" w:fill="FBF6DA"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rPr>
        <w:sz w:val="24"/>
        <w:szCs w:val="24"/>
      </w:rPr>
      <w:tblPr/>
      <w:tcPr>
        <w:tcBorders>
          <w:top w:val="nil"/>
          <w:left w:val="nil"/>
          <w:bottom w:val="single" w:sz="24" w:space="0" w:color="00874B" w:themeColor="accent1"/>
          <w:right w:val="nil"/>
          <w:insideH w:val="nil"/>
          <w:insideV w:val="nil"/>
        </w:tcBorders>
        <w:shd w:val="clear" w:color="auto" w:fill="FFFFFF" w:themeFill="background1"/>
      </w:tcPr>
    </w:tblStylePr>
    <w:tblStylePr w:type="lastRow">
      <w:tblPr/>
      <w:tcPr>
        <w:tcBorders>
          <w:top w:val="single" w:sz="8" w:space="0" w:color="0087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1"/>
          <w:insideH w:val="nil"/>
          <w:insideV w:val="nil"/>
        </w:tcBorders>
        <w:shd w:val="clear" w:color="auto" w:fill="FFFFFF" w:themeFill="background1"/>
      </w:tcPr>
    </w:tblStylePr>
    <w:tblStylePr w:type="lastCol">
      <w:tblPr/>
      <w:tcPr>
        <w:tcBorders>
          <w:top w:val="nil"/>
          <w:left w:val="single" w:sz="8" w:space="0" w:color="0087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top w:val="nil"/>
          <w:bottom w:val="nil"/>
          <w:insideH w:val="nil"/>
          <w:insideV w:val="nil"/>
        </w:tcBorders>
        <w:shd w:val="clear" w:color="auto" w:fill="A2FF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3"/>
        <w:left w:val="single" w:sz="8" w:space="0" w:color="0085AD" w:themeColor="accent3"/>
        <w:bottom w:val="single" w:sz="8" w:space="0" w:color="0085AD" w:themeColor="accent3"/>
        <w:right w:val="single" w:sz="8" w:space="0" w:color="0085AD" w:themeColor="accent3"/>
      </w:tblBorders>
    </w:tblPr>
    <w:tblStylePr w:type="firstRow">
      <w:rPr>
        <w:sz w:val="24"/>
        <w:szCs w:val="24"/>
      </w:rPr>
      <w:tblPr/>
      <w:tcPr>
        <w:tcBorders>
          <w:top w:val="nil"/>
          <w:left w:val="nil"/>
          <w:bottom w:val="single" w:sz="24" w:space="0" w:color="0085AD" w:themeColor="accent3"/>
          <w:right w:val="nil"/>
          <w:insideH w:val="nil"/>
          <w:insideV w:val="nil"/>
        </w:tcBorders>
        <w:shd w:val="clear" w:color="auto" w:fill="FFFFFF" w:themeFill="background1"/>
      </w:tcPr>
    </w:tblStylePr>
    <w:tblStylePr w:type="lastRow">
      <w:tblPr/>
      <w:tcPr>
        <w:tcBorders>
          <w:top w:val="single" w:sz="8" w:space="0" w:color="0085A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3"/>
          <w:insideH w:val="nil"/>
          <w:insideV w:val="nil"/>
        </w:tcBorders>
        <w:shd w:val="clear" w:color="auto" w:fill="FFFFFF" w:themeFill="background1"/>
      </w:tcPr>
    </w:tblStylePr>
    <w:tblStylePr w:type="lastCol">
      <w:tblPr/>
      <w:tcPr>
        <w:tcBorders>
          <w:top w:val="nil"/>
          <w:left w:val="single" w:sz="8" w:space="0" w:color="0085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3" w:themeFillTint="3F"/>
      </w:tcPr>
    </w:tblStylePr>
    <w:tblStylePr w:type="band1Horz">
      <w:tblPr/>
      <w:tcPr>
        <w:tcBorders>
          <w:top w:val="nil"/>
          <w:bottom w:val="nil"/>
          <w:insideH w:val="nil"/>
          <w:insideV w:val="nil"/>
        </w:tcBorders>
        <w:shd w:val="clear" w:color="auto" w:fill="ABEB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4"/>
        <w:left w:val="single" w:sz="8" w:space="0" w:color="33B9C4" w:themeColor="accent4"/>
        <w:bottom w:val="single" w:sz="8" w:space="0" w:color="33B9C4" w:themeColor="accent4"/>
        <w:right w:val="single" w:sz="8" w:space="0" w:color="33B9C4" w:themeColor="accent4"/>
      </w:tblBorders>
    </w:tblPr>
    <w:tblStylePr w:type="firstRow">
      <w:rPr>
        <w:sz w:val="24"/>
        <w:szCs w:val="24"/>
      </w:rPr>
      <w:tblPr/>
      <w:tcPr>
        <w:tcBorders>
          <w:top w:val="nil"/>
          <w:left w:val="nil"/>
          <w:bottom w:val="single" w:sz="24" w:space="0" w:color="33B9C4" w:themeColor="accent4"/>
          <w:right w:val="nil"/>
          <w:insideH w:val="nil"/>
          <w:insideV w:val="nil"/>
        </w:tcBorders>
        <w:shd w:val="clear" w:color="auto" w:fill="FFFFFF" w:themeFill="background1"/>
      </w:tcPr>
    </w:tblStylePr>
    <w:tblStylePr w:type="lastRow">
      <w:tblPr/>
      <w:tcPr>
        <w:tcBorders>
          <w:top w:val="single" w:sz="8" w:space="0" w:color="33B9C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4"/>
          <w:insideH w:val="nil"/>
          <w:insideV w:val="nil"/>
        </w:tcBorders>
        <w:shd w:val="clear" w:color="auto" w:fill="FFFFFF" w:themeFill="background1"/>
      </w:tcPr>
    </w:tblStylePr>
    <w:tblStylePr w:type="lastCol">
      <w:tblPr/>
      <w:tcPr>
        <w:tcBorders>
          <w:top w:val="nil"/>
          <w:left w:val="single" w:sz="8" w:space="0" w:color="33B9C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4" w:themeFillTint="3F"/>
      </w:tcPr>
    </w:tblStylePr>
    <w:tblStylePr w:type="band1Horz">
      <w:tblPr/>
      <w:tcPr>
        <w:tcBorders>
          <w:top w:val="nil"/>
          <w:bottom w:val="nil"/>
          <w:insideH w:val="nil"/>
          <w:insideV w:val="nil"/>
        </w:tcBorders>
        <w:shd w:val="clear" w:color="auto" w:fill="CBEE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5"/>
        <w:left w:val="single" w:sz="8" w:space="0" w:color="ABBC38" w:themeColor="accent5"/>
        <w:bottom w:val="single" w:sz="8" w:space="0" w:color="ABBC38" w:themeColor="accent5"/>
        <w:right w:val="single" w:sz="8" w:space="0" w:color="ABBC38" w:themeColor="accent5"/>
      </w:tblBorders>
    </w:tblPr>
    <w:tblStylePr w:type="firstRow">
      <w:rPr>
        <w:sz w:val="24"/>
        <w:szCs w:val="24"/>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tblPr/>
      <w:tcPr>
        <w:tcBorders>
          <w:top w:val="single" w:sz="8" w:space="0" w:color="ABBC3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5"/>
          <w:insideH w:val="nil"/>
          <w:insideV w:val="nil"/>
        </w:tcBorders>
        <w:shd w:val="clear" w:color="auto" w:fill="FFFFFF" w:themeFill="background1"/>
      </w:tcPr>
    </w:tblStylePr>
    <w:tblStylePr w:type="lastCol">
      <w:tblPr/>
      <w:tcPr>
        <w:tcBorders>
          <w:top w:val="nil"/>
          <w:left w:val="single" w:sz="8" w:space="0" w:color="ABBC3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top w:val="nil"/>
          <w:bottom w:val="nil"/>
          <w:insideH w:val="nil"/>
          <w:insideV w:val="nil"/>
        </w:tcBorders>
        <w:shd w:val="clear" w:color="auto" w:fill="EBF0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6"/>
        <w:left w:val="single" w:sz="8" w:space="0" w:color="EFDB6C" w:themeColor="accent6"/>
        <w:bottom w:val="single" w:sz="8" w:space="0" w:color="EFDB6C" w:themeColor="accent6"/>
        <w:right w:val="single" w:sz="8" w:space="0" w:color="EFDB6C" w:themeColor="accent6"/>
      </w:tblBorders>
    </w:tblPr>
    <w:tblStylePr w:type="firstRow">
      <w:rPr>
        <w:sz w:val="24"/>
        <w:szCs w:val="24"/>
      </w:rPr>
      <w:tblPr/>
      <w:tcPr>
        <w:tcBorders>
          <w:top w:val="nil"/>
          <w:left w:val="nil"/>
          <w:bottom w:val="single" w:sz="24" w:space="0" w:color="EFDB6C" w:themeColor="accent6"/>
          <w:right w:val="nil"/>
          <w:insideH w:val="nil"/>
          <w:insideV w:val="nil"/>
        </w:tcBorders>
        <w:shd w:val="clear" w:color="auto" w:fill="FFFFFF" w:themeFill="background1"/>
      </w:tcPr>
    </w:tblStylePr>
    <w:tblStylePr w:type="lastRow">
      <w:tblPr/>
      <w:tcPr>
        <w:tcBorders>
          <w:top w:val="single" w:sz="8" w:space="0" w:color="EFDB6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DB6C" w:themeColor="accent6"/>
          <w:insideH w:val="nil"/>
          <w:insideV w:val="nil"/>
        </w:tcBorders>
        <w:shd w:val="clear" w:color="auto" w:fill="FFFFFF" w:themeFill="background1"/>
      </w:tcPr>
    </w:tblStylePr>
    <w:tblStylePr w:type="lastCol">
      <w:tblPr/>
      <w:tcPr>
        <w:tcBorders>
          <w:top w:val="nil"/>
          <w:left w:val="single" w:sz="8" w:space="0" w:color="EFDB6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6DA" w:themeFill="accent6" w:themeFillTint="3F"/>
      </w:tcPr>
    </w:tblStylePr>
    <w:tblStylePr w:type="band1Horz">
      <w:tblPr/>
      <w:tcPr>
        <w:tcBorders>
          <w:top w:val="nil"/>
          <w:bottom w:val="nil"/>
          <w:insideH w:val="nil"/>
          <w:insideV w:val="nil"/>
        </w:tcBorders>
        <w:shd w:val="clear" w:color="auto" w:fill="FBF6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tblBorders>
    </w:tblPr>
    <w:tblStylePr w:type="firstRow">
      <w:pPr>
        <w:spacing w:before="0" w:after="0" w:line="240" w:lineRule="auto"/>
      </w:pPr>
      <w:rPr>
        <w:b/>
        <w:bCs/>
        <w:color w:val="FFFFFF" w:themeColor="background1"/>
      </w:rPr>
      <w:tblPr/>
      <w:tcPr>
        <w:tc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shd w:val="clear" w:color="auto" w:fill="00874B" w:themeFill="accent1"/>
      </w:tcPr>
    </w:tblStylePr>
    <w:tblStylePr w:type="lastRow">
      <w:pPr>
        <w:spacing w:before="0" w:after="0" w:line="240" w:lineRule="auto"/>
      </w:pPr>
      <w:rPr>
        <w:b/>
        <w:bCs/>
      </w:rPr>
      <w:tblPr/>
      <w:tcPr>
        <w:tcBorders>
          <w:top w:val="double" w:sz="6"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1" w:themeFillTint="3F"/>
      </w:tcPr>
    </w:tblStylePr>
    <w:tblStylePr w:type="band1Horz">
      <w:tblPr/>
      <w:tcPr>
        <w:tcBorders>
          <w:insideH w:val="nil"/>
          <w:insideV w:val="nil"/>
        </w:tcBorders>
        <w:shd w:val="clear" w:color="auto" w:fill="A2FFD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single" w:sz="8" w:space="0" w:color="02C4FF" w:themeColor="accent3" w:themeTint="BF"/>
      </w:tblBorders>
    </w:tblPr>
    <w:tblStylePr w:type="firstRow">
      <w:pPr>
        <w:spacing w:before="0" w:after="0" w:line="240" w:lineRule="auto"/>
      </w:pPr>
      <w:rPr>
        <w:b/>
        <w:bCs/>
        <w:color w:val="FFFFFF" w:themeColor="background1"/>
      </w:rPr>
      <w:tblPr/>
      <w:tcPr>
        <w:tcBorders>
          <w:top w:val="single" w:sz="8"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shd w:val="clear" w:color="auto" w:fill="0085AD" w:themeFill="accent3"/>
      </w:tcPr>
    </w:tblStylePr>
    <w:tblStylePr w:type="lastRow">
      <w:pPr>
        <w:spacing w:before="0" w:after="0" w:line="240" w:lineRule="auto"/>
      </w:pPr>
      <w:rPr>
        <w:b/>
        <w:bCs/>
      </w:rPr>
      <w:tblPr/>
      <w:tcPr>
        <w:tcBorders>
          <w:top w:val="double" w:sz="6" w:space="0" w:color="02C4FF" w:themeColor="accent3" w:themeTint="BF"/>
          <w:left w:val="single" w:sz="8" w:space="0" w:color="02C4FF" w:themeColor="accent3" w:themeTint="BF"/>
          <w:bottom w:val="single" w:sz="8" w:space="0" w:color="02C4FF" w:themeColor="accent3" w:themeTint="BF"/>
          <w:right w:val="single" w:sz="8" w:space="0" w:color="02C4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3" w:themeFillTint="3F"/>
      </w:tcPr>
    </w:tblStylePr>
    <w:tblStylePr w:type="band1Horz">
      <w:tblPr/>
      <w:tcPr>
        <w:tcBorders>
          <w:insideH w:val="nil"/>
          <w:insideV w:val="nil"/>
        </w:tcBorders>
        <w:shd w:val="clear" w:color="auto" w:fill="ABEB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single" w:sz="8" w:space="0" w:color="62CDD6" w:themeColor="accent4" w:themeTint="BF"/>
      </w:tblBorders>
    </w:tblPr>
    <w:tblStylePr w:type="firstRow">
      <w:pPr>
        <w:spacing w:before="0" w:after="0" w:line="240" w:lineRule="auto"/>
      </w:pPr>
      <w:rPr>
        <w:b/>
        <w:bCs/>
        <w:color w:val="FFFFFF" w:themeColor="background1"/>
      </w:rPr>
      <w:tblPr/>
      <w:tcPr>
        <w:tcBorders>
          <w:top w:val="single" w:sz="8"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shd w:val="clear" w:color="auto" w:fill="33B9C4" w:themeFill="accent4"/>
      </w:tcPr>
    </w:tblStylePr>
    <w:tblStylePr w:type="lastRow">
      <w:pPr>
        <w:spacing w:before="0" w:after="0" w:line="240" w:lineRule="auto"/>
      </w:pPr>
      <w:rPr>
        <w:b/>
        <w:bCs/>
      </w:rPr>
      <w:tblPr/>
      <w:tcPr>
        <w:tcBorders>
          <w:top w:val="double" w:sz="6" w:space="0" w:color="62CDD6" w:themeColor="accent4" w:themeTint="BF"/>
          <w:left w:val="single" w:sz="8" w:space="0" w:color="62CDD6" w:themeColor="accent4" w:themeTint="BF"/>
          <w:bottom w:val="single" w:sz="8" w:space="0" w:color="62CDD6" w:themeColor="accent4" w:themeTint="BF"/>
          <w:right w:val="single" w:sz="8" w:space="0" w:color="62CD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4" w:themeFillTint="3F"/>
      </w:tcPr>
    </w:tblStylePr>
    <w:tblStylePr w:type="band1Horz">
      <w:tblPr/>
      <w:tcPr>
        <w:tcBorders>
          <w:insideH w:val="nil"/>
          <w:insideV w:val="nil"/>
        </w:tcBorders>
        <w:shd w:val="clear" w:color="auto" w:fill="CBEEF1"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tblBorders>
    </w:tblPr>
    <w:tblStylePr w:type="firstRow">
      <w:pPr>
        <w:spacing w:before="0" w:after="0" w:line="240" w:lineRule="auto"/>
      </w:pPr>
      <w:rPr>
        <w:b/>
        <w:bCs/>
        <w:color w:val="FFFFFF" w:themeColor="background1"/>
      </w:rPr>
      <w:tblPr/>
      <w:tcPr>
        <w:tc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shd w:val="clear" w:color="auto" w:fill="ABBC38" w:themeFill="accent5"/>
      </w:tcPr>
    </w:tblStylePr>
    <w:tblStylePr w:type="lastRow">
      <w:pPr>
        <w:spacing w:before="0" w:after="0" w:line="240" w:lineRule="auto"/>
      </w:pPr>
      <w:rPr>
        <w:b/>
        <w:bCs/>
      </w:rPr>
      <w:tblPr/>
      <w:tcPr>
        <w:tcBorders>
          <w:top w:val="double" w:sz="6"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5" w:themeFillTint="3F"/>
      </w:tcPr>
    </w:tblStylePr>
    <w:tblStylePr w:type="band1Horz">
      <w:tblPr/>
      <w:tcPr>
        <w:tcBorders>
          <w:insideH w:val="nil"/>
          <w:insideV w:val="nil"/>
        </w:tcBorders>
        <w:shd w:val="clear" w:color="auto" w:fill="EBF0CC"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single" w:sz="8" w:space="0" w:color="F3E390" w:themeColor="accent6" w:themeTint="BF"/>
      </w:tblBorders>
    </w:tblPr>
    <w:tblStylePr w:type="firstRow">
      <w:pPr>
        <w:spacing w:before="0" w:after="0" w:line="240" w:lineRule="auto"/>
      </w:pPr>
      <w:rPr>
        <w:b/>
        <w:bCs/>
        <w:color w:val="FFFFFF" w:themeColor="background1"/>
      </w:rPr>
      <w:tblPr/>
      <w:tcPr>
        <w:tcBorders>
          <w:top w:val="single" w:sz="8"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shd w:val="clear" w:color="auto" w:fill="EFDB6C" w:themeFill="accent6"/>
      </w:tcPr>
    </w:tblStylePr>
    <w:tblStylePr w:type="lastRow">
      <w:pPr>
        <w:spacing w:before="0" w:after="0" w:line="240" w:lineRule="auto"/>
      </w:pPr>
      <w:rPr>
        <w:b/>
        <w:bCs/>
      </w:rPr>
      <w:tblPr/>
      <w:tcPr>
        <w:tcBorders>
          <w:top w:val="double" w:sz="6" w:space="0" w:color="F3E390" w:themeColor="accent6" w:themeTint="BF"/>
          <w:left w:val="single" w:sz="8" w:space="0" w:color="F3E390" w:themeColor="accent6" w:themeTint="BF"/>
          <w:bottom w:val="single" w:sz="8" w:space="0" w:color="F3E390" w:themeColor="accent6" w:themeTint="BF"/>
          <w:right w:val="single" w:sz="8" w:space="0" w:color="F3E39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6DA" w:themeFill="accent6" w:themeFillTint="3F"/>
      </w:tcPr>
    </w:tblStylePr>
    <w:tblStylePr w:type="band1Horz">
      <w:tblPr/>
      <w:tcPr>
        <w:tcBorders>
          <w:insideH w:val="nil"/>
          <w:insideV w:val="nil"/>
        </w:tcBorders>
        <w:shd w:val="clear" w:color="auto" w:fill="FBF6DA"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1"/>
      </w:tcPr>
    </w:tblStylePr>
    <w:tblStylePr w:type="lastCol">
      <w:rPr>
        <w:b/>
        <w:bCs/>
        <w:color w:val="FFFFFF" w:themeColor="background1"/>
      </w:rPr>
      <w:tblPr/>
      <w:tcPr>
        <w:tcBorders>
          <w:left w:val="nil"/>
          <w:right w:val="nil"/>
          <w:insideH w:val="nil"/>
          <w:insideV w:val="nil"/>
        </w:tcBorders>
        <w:shd w:val="clear" w:color="auto" w:fill="0087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3"/>
      </w:tcPr>
    </w:tblStylePr>
    <w:tblStylePr w:type="lastCol">
      <w:rPr>
        <w:b/>
        <w:bCs/>
        <w:color w:val="FFFFFF" w:themeColor="background1"/>
      </w:rPr>
      <w:tblPr/>
      <w:tcPr>
        <w:tcBorders>
          <w:left w:val="nil"/>
          <w:right w:val="nil"/>
          <w:insideH w:val="nil"/>
          <w:insideV w:val="nil"/>
        </w:tcBorders>
        <w:shd w:val="clear" w:color="auto" w:fill="0085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4"/>
      </w:tcPr>
    </w:tblStylePr>
    <w:tblStylePr w:type="lastCol">
      <w:rPr>
        <w:b/>
        <w:bCs/>
        <w:color w:val="FFFFFF" w:themeColor="background1"/>
      </w:rPr>
      <w:tblPr/>
      <w:tcPr>
        <w:tcBorders>
          <w:left w:val="nil"/>
          <w:right w:val="nil"/>
          <w:insideH w:val="nil"/>
          <w:insideV w:val="nil"/>
        </w:tcBorders>
        <w:shd w:val="clear" w:color="auto" w:fill="33B9C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5"/>
      </w:tcPr>
    </w:tblStylePr>
    <w:tblStylePr w:type="lastCol">
      <w:rPr>
        <w:b/>
        <w:bCs/>
        <w:color w:val="FFFFFF" w:themeColor="background1"/>
      </w:rPr>
      <w:tblPr/>
      <w:tcPr>
        <w:tcBorders>
          <w:left w:val="nil"/>
          <w:right w:val="nil"/>
          <w:insideH w:val="nil"/>
          <w:insideV w:val="nil"/>
        </w:tcBorders>
        <w:shd w:val="clear" w:color="auto" w:fill="ABBC3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DB6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DB6C" w:themeFill="accent6"/>
      </w:tcPr>
    </w:tblStylePr>
    <w:tblStylePr w:type="lastCol">
      <w:rPr>
        <w:b/>
        <w:bCs/>
        <w:color w:val="FFFFFF" w:themeColor="background1"/>
      </w:rPr>
      <w:tblPr/>
      <w:tcPr>
        <w:tcBorders>
          <w:left w:val="nil"/>
          <w:right w:val="nil"/>
          <w:insideH w:val="nil"/>
          <w:insideV w:val="nil"/>
        </w:tcBorders>
        <w:shd w:val="clear" w:color="auto" w:fill="EFDB6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147799"/>
    <w:rPr>
      <w:rFonts w:ascii="Georgia" w:hAnsi="Georgia"/>
      <w:i w:val="0"/>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character" w:customStyle="1" w:styleId="SidefodTegn">
    <w:name w:val="Sidefod Tegn"/>
    <w:basedOn w:val="Standardskrifttypeiafsnit"/>
    <w:link w:val="Sidefod"/>
    <w:uiPriority w:val="99"/>
    <w:semiHidden/>
    <w:rsid w:val="007A04F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422814">
      <w:bodyDiv w:val="1"/>
      <w:marLeft w:val="0"/>
      <w:marRight w:val="0"/>
      <w:marTop w:val="0"/>
      <w:marBottom w:val="0"/>
      <w:divBdr>
        <w:top w:val="none" w:sz="0" w:space="0" w:color="auto"/>
        <w:left w:val="none" w:sz="0" w:space="0" w:color="auto"/>
        <w:bottom w:val="none" w:sz="0" w:space="0" w:color="auto"/>
        <w:right w:val="none" w:sz="0" w:space="0" w:color="auto"/>
      </w:divBdr>
    </w:div>
    <w:div w:id="1621718607">
      <w:bodyDiv w:val="1"/>
      <w:marLeft w:val="0"/>
      <w:marRight w:val="0"/>
      <w:marTop w:val="0"/>
      <w:marBottom w:val="0"/>
      <w:divBdr>
        <w:top w:val="none" w:sz="0" w:space="0" w:color="auto"/>
        <w:left w:val="none" w:sz="0" w:space="0" w:color="auto"/>
        <w:bottom w:val="none" w:sz="0" w:space="0" w:color="auto"/>
        <w:right w:val="none" w:sz="0" w:space="0" w:color="auto"/>
      </w:divBdr>
    </w:div>
    <w:div w:id="1696616977">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husdyrvejledning.mst.dk/vejledning-til-bekendtgoerelserne/husdyrgodkendelses-bekendtgoerelsen/13-generelle-principper-for-godkendelser-og-tilladelser/" TargetMode="External"/><Relationship Id="rId1" Type="http://schemas.openxmlformats.org/officeDocument/2006/relationships/hyperlink" Target="https://husdyrvejledning.mst.dk/helpdesk/helpdesk-svar/bat/bat-for-eksisterende-staldafsnitfrivillig-reduktion-af-ammoniak-i-tidligere-godkendels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DWE\Templates\Koncernf&#230;lles\Interne%20skabeloner\Notat.dotx" TargetMode="External"/></Relationships>
</file>

<file path=word/theme/theme1.xml><?xml version="1.0" encoding="utf-8"?>
<a:theme xmlns:a="http://schemas.openxmlformats.org/drawingml/2006/main" name="Kontortema">
  <a:themeElements>
    <a:clrScheme name="MFVM - Miljøstyrelsen">
      <a:dk1>
        <a:srgbClr val="000000"/>
      </a:dk1>
      <a:lt1>
        <a:sysClr val="window" lastClr="FFFFFF"/>
      </a:lt1>
      <a:dk2>
        <a:srgbClr val="BFE1D2"/>
      </a:dk2>
      <a:lt2>
        <a:srgbClr val="E5F3ED"/>
      </a:lt2>
      <a:accent1>
        <a:srgbClr val="00874B"/>
      </a:accent1>
      <a:accent2>
        <a:srgbClr val="003127"/>
      </a:accent2>
      <a:accent3>
        <a:srgbClr val="0085AD"/>
      </a:accent3>
      <a:accent4>
        <a:srgbClr val="33B9C4"/>
      </a:accent4>
      <a:accent5>
        <a:srgbClr val="ABBC38"/>
      </a:accent5>
      <a:accent6>
        <a:srgbClr val="EFDB6C"/>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258EF-EC4E-45B4-B3F2-B57B7CEE6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Notat.dotx</Template>
  <TotalTime>1</TotalTime>
  <Pages>5</Pages>
  <Words>1720</Words>
  <Characters>10686</Characters>
  <Application>Microsoft Office Word</Application>
  <DocSecurity>0</DocSecurity>
  <Lines>218</Lines>
  <Paragraphs>87</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Notat</vt:lpstr>
      <vt:lpstr>Notat</vt:lpstr>
      <vt:lpstr>Notat om </vt:lpstr>
      <vt:lpstr>Problemstilling</vt:lpstr>
      <vt:lpstr>Baggrund</vt:lpstr>
      <vt:lpstr>Løsning [Kun hvis relevant]</vt:lpstr>
    </vt:vector>
  </TitlesOfParts>
  <Company>Miljøministeriet</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Julia Brandt-Jensen</dc:creator>
  <cp:keywords/>
  <dc:description/>
  <cp:lastModifiedBy>Julia Brandt-Jensen</cp:lastModifiedBy>
  <cp:revision>2</cp:revision>
  <cp:lastPrinted>2005-05-20T12:11:00Z</cp:lastPrinted>
  <dcterms:created xsi:type="dcterms:W3CDTF">2020-12-29T12:06:00Z</dcterms:created>
  <dcterms:modified xsi:type="dcterms:W3CDTF">2020-12-29T12:06:00Z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BrandingGraphicBehavior">
    <vt:lpwstr>Standard</vt:lpwstr>
  </property>
  <property fmtid="{D5CDD505-2E9C-101B-9397-08002B2CF9AE}" pid="7" name="ContentDefinition">
    <vt:lpwstr>Notat</vt:lpwstr>
  </property>
  <property fmtid="{D5CDD505-2E9C-101B-9397-08002B2CF9AE}" pid="8" name="SD_RunWordEngine">
    <vt:lpwstr>True</vt:lpwstr>
  </property>
  <property fmtid="{D5CDD505-2E9C-101B-9397-08002B2CF9AE}" pid="9" name="SD_ShowDocumentInfo">
    <vt:lpwstr>True</vt:lpwstr>
  </property>
  <property fmtid="{D5CDD505-2E9C-101B-9397-08002B2CF9AE}" pid="10" name="SD_ShowGeneralPanel">
    <vt:lpwstr>True</vt:lpwstr>
  </property>
  <property fmtid="{D5CDD505-2E9C-101B-9397-08002B2CF9AE}" pid="11" name="ContentRemapped">
    <vt:lpwstr>true</vt:lpwstr>
  </property>
  <property fmtid="{D5CDD505-2E9C-101B-9397-08002B2CF9AE}" pid="12" name="SD_DocumentLanguage">
    <vt:lpwstr>da-DK</vt:lpwstr>
  </property>
  <property fmtid="{D5CDD505-2E9C-101B-9397-08002B2CF9AE}" pid="13" name="sdDocumentDate">
    <vt:lpwstr>44132</vt:lpwstr>
  </property>
  <property fmtid="{D5CDD505-2E9C-101B-9397-08002B2CF9AE}" pid="14" name="sdDocumentDateFormat">
    <vt:lpwstr>da-DK:'Den' d. MMMM yyyy</vt:lpwstr>
  </property>
  <property fmtid="{D5CDD505-2E9C-101B-9397-08002B2CF9AE}" pid="15" name="SD_DocumentLanguageString">
    <vt:lpwstr>Dansk</vt:lpwstr>
  </property>
  <property fmtid="{D5CDD505-2E9C-101B-9397-08002B2CF9AE}" pid="16" name="SD_CtlText_Usersettings_Userprofile">
    <vt:lpwstr>Julia Brandt-Jensen</vt:lpwstr>
  </property>
  <property fmtid="{D5CDD505-2E9C-101B-9397-08002B2CF9AE}" pid="17" name="SD_CtlText_Generelt_CaseNoF2">
    <vt:lpwstr>$dossier_f2casenumber$</vt:lpwstr>
  </property>
  <property fmtid="{D5CDD505-2E9C-101B-9397-08002B2CF9AE}" pid="18" name="SD_UserprofileName">
    <vt:lpwstr>Julia Brandt-Jensen</vt:lpwstr>
  </property>
  <property fmtid="{D5CDD505-2E9C-101B-9397-08002B2CF9AE}" pid="19" name="SD_Office_OFF_ID">
    <vt:lpwstr>142</vt:lpwstr>
  </property>
  <property fmtid="{D5CDD505-2E9C-101B-9397-08002B2CF9AE}" pid="20" name="CurrentOfficeID">
    <vt:lpwstr>142</vt:lpwstr>
  </property>
  <property fmtid="{D5CDD505-2E9C-101B-9397-08002B2CF9AE}" pid="21" name="SD_Office_OFF_Organisation">
    <vt:lpwstr>MFVM</vt:lpwstr>
  </property>
  <property fmtid="{D5CDD505-2E9C-101B-9397-08002B2CF9AE}" pid="22" name="SD_Office_OFF_ArtworkDefinition">
    <vt:lpwstr>MFVM</vt:lpwstr>
  </property>
  <property fmtid="{D5CDD505-2E9C-101B-9397-08002B2CF9AE}" pid="23" name="SD_Office_OFF_LogoFileName">
    <vt:lpwstr>Departementet</vt:lpwstr>
  </property>
  <property fmtid="{D5CDD505-2E9C-101B-9397-08002B2CF9AE}" pid="24" name="SD_Office_OFF_Institution">
    <vt:lpwstr>Miljø- og Fødevareministeriet</vt:lpwstr>
  </property>
  <property fmtid="{D5CDD505-2E9C-101B-9397-08002B2CF9AE}" pid="25" name="SD_Office_OFF_Institution_EN">
    <vt:lpwstr>Ministry of Environment and Food</vt:lpwstr>
  </property>
  <property fmtid="{D5CDD505-2E9C-101B-9397-08002B2CF9AE}" pid="26" name="SD_Office_OFF_kontor">
    <vt:lpwstr>Miljø og Erhverv</vt:lpwstr>
  </property>
  <property fmtid="{D5CDD505-2E9C-101B-9397-08002B2CF9AE}" pid="27" name="SD_Office_OFF_Department">
    <vt:lpwstr>Miljø og Erhverv</vt:lpwstr>
  </property>
  <property fmtid="{D5CDD505-2E9C-101B-9397-08002B2CF9AE}" pid="28" name="SD_Office_OFF_Department_EN">
    <vt:lpwstr>Miljø og Erhverv</vt:lpwstr>
  </property>
  <property fmtid="{D5CDD505-2E9C-101B-9397-08002B2CF9AE}" pid="29" name="SD_Office_OFF_Footertext">
    <vt:lpwstr/>
  </property>
  <property fmtid="{D5CDD505-2E9C-101B-9397-08002B2CF9AE}" pid="30" name="SD_Office_OFF_AddressA">
    <vt:lpwstr>Slotsholmsgade 12</vt:lpwstr>
  </property>
  <property fmtid="{D5CDD505-2E9C-101B-9397-08002B2CF9AE}" pid="31" name="SD_Office_OFF_AddressB">
    <vt:lpwstr/>
  </property>
  <property fmtid="{D5CDD505-2E9C-101B-9397-08002B2CF9AE}" pid="32" name="SD_Office_OFF_AddressC">
    <vt:lpwstr/>
  </property>
  <property fmtid="{D5CDD505-2E9C-101B-9397-08002B2CF9AE}" pid="33" name="SD_Office_OFF_AddressCollected">
    <vt:lpwstr>Slotsholmsgade 12</vt:lpwstr>
  </property>
  <property fmtid="{D5CDD505-2E9C-101B-9397-08002B2CF9AE}" pid="34" name="SD_Office_OFF_AddressD">
    <vt:lpwstr>1216</vt:lpwstr>
  </property>
  <property fmtid="{D5CDD505-2E9C-101B-9397-08002B2CF9AE}" pid="35" name="SD_Office_OFF_City">
    <vt:lpwstr>København K</vt:lpwstr>
  </property>
  <property fmtid="{D5CDD505-2E9C-101B-9397-08002B2CF9AE}" pid="36" name="SD_Office_OFF_City_EN">
    <vt:lpwstr>Copenhagen K Denmark</vt:lpwstr>
  </property>
  <property fmtid="{D5CDD505-2E9C-101B-9397-08002B2CF9AE}" pid="37" name="SD_Office_OFF_Phone">
    <vt:lpwstr>38 14 21 42</vt:lpwstr>
  </property>
  <property fmtid="{D5CDD505-2E9C-101B-9397-08002B2CF9AE}" pid="38" name="SD_Office_OFF_Phone_EN">
    <vt:lpwstr>+45 38 14 21 42</vt:lpwstr>
  </property>
  <property fmtid="{D5CDD505-2E9C-101B-9397-08002B2CF9AE}" pid="39" name="SD_Office_OFF_Fax">
    <vt:lpwstr>33 14 50 42</vt:lpwstr>
  </property>
  <property fmtid="{D5CDD505-2E9C-101B-9397-08002B2CF9AE}" pid="40" name="SD_Office_OFF_Fax_EN">
    <vt:lpwstr>+45 33 14 50 42</vt:lpwstr>
  </property>
  <property fmtid="{D5CDD505-2E9C-101B-9397-08002B2CF9AE}" pid="41" name="SD_Office_OFF_Email">
    <vt:lpwstr>mfvm@mfvm.dk</vt:lpwstr>
  </property>
  <property fmtid="{D5CDD505-2E9C-101B-9397-08002B2CF9AE}" pid="42" name="SD_Office_OFF_Web">
    <vt:lpwstr>www.mfvm.dk</vt:lpwstr>
  </property>
  <property fmtid="{D5CDD505-2E9C-101B-9397-08002B2CF9AE}" pid="43" name="SD_Office_OFF_CVR">
    <vt:lpwstr>12854358</vt:lpwstr>
  </property>
  <property fmtid="{D5CDD505-2E9C-101B-9397-08002B2CF9AE}" pid="44" name="SD_Office_OFF_EAN">
    <vt:lpwstr>5798000862005</vt:lpwstr>
  </property>
  <property fmtid="{D5CDD505-2E9C-101B-9397-08002B2CF9AE}" pid="45" name="SD_Office_OFF_EAN_EN">
    <vt:lpwstr>5798000862005</vt:lpwstr>
  </property>
  <property fmtid="{D5CDD505-2E9C-101B-9397-08002B2CF9AE}" pid="46" name="SD_Office_OFF_ColorTheme">
    <vt:lpwstr>MFVM - Departementet_Koncern</vt:lpwstr>
  </property>
  <property fmtid="{D5CDD505-2E9C-101B-9397-08002B2CF9AE}" pid="47" name="LastCompletedArtworkDefinition">
    <vt:lpwstr>MFVM</vt:lpwstr>
  </property>
  <property fmtid="{D5CDD505-2E9C-101B-9397-08002B2CF9AE}" pid="48" name="USR_Name">
    <vt:lpwstr>Julia Brandt-Jensen</vt:lpwstr>
  </property>
  <property fmtid="{D5CDD505-2E9C-101B-9397-08002B2CF9AE}" pid="49" name="USR_Initials">
    <vt:lpwstr>JUBRA</vt:lpwstr>
  </property>
  <property fmtid="{D5CDD505-2E9C-101B-9397-08002B2CF9AE}" pid="50" name="USR_Title">
    <vt:lpwstr>Fuldmægtig</vt:lpwstr>
  </property>
  <property fmtid="{D5CDD505-2E9C-101B-9397-08002B2CF9AE}" pid="51" name="USR_DirectPhone">
    <vt:lpwstr>+45 20 60 47 55</vt:lpwstr>
  </property>
  <property fmtid="{D5CDD505-2E9C-101B-9397-08002B2CF9AE}" pid="52" name="USR_Mobile">
    <vt:lpwstr>+45 20 60 47 55</vt:lpwstr>
  </property>
  <property fmtid="{D5CDD505-2E9C-101B-9397-08002B2CF9AE}" pid="53" name="USR_Email">
    <vt:lpwstr>jubra@mfvm.dk</vt:lpwstr>
  </property>
  <property fmtid="{D5CDD505-2E9C-101B-9397-08002B2CF9AE}" pid="54" name="DocumentInfoFinished">
    <vt:lpwstr>True</vt:lpwstr>
  </property>
</Properties>
</file>