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EF" w:rsidRDefault="00173EEF">
      <w:pPr>
        <w:rPr>
          <w:sz w:val="24"/>
        </w:rPr>
      </w:pPr>
    </w:p>
    <w:p w:rsidR="00173EEF" w:rsidRDefault="00173EEF">
      <w:pPr>
        <w:rPr>
          <w:sz w:val="24"/>
        </w:rPr>
      </w:pPr>
    </w:p>
    <w:p w:rsidR="00173EEF" w:rsidRDefault="00173EEF">
      <w:pPr>
        <w:rPr>
          <w:sz w:val="24"/>
        </w:rPr>
      </w:pPr>
    </w:p>
    <w:p w:rsidR="00173EEF" w:rsidRDefault="00173EEF">
      <w:pPr>
        <w:rPr>
          <w:sz w:val="24"/>
        </w:rPr>
      </w:pPr>
    </w:p>
    <w:p w:rsidR="00173EEF" w:rsidRDefault="00173EEF">
      <w:pPr>
        <w:rPr>
          <w:sz w:val="24"/>
        </w:rPr>
      </w:pPr>
    </w:p>
    <w:p w:rsidR="00173EEF" w:rsidRDefault="00173EEF">
      <w:pPr>
        <w:rPr>
          <w:sz w:val="24"/>
        </w:rPr>
      </w:pPr>
    </w:p>
    <w:p w:rsidR="00173EEF" w:rsidRDefault="00173EEF">
      <w:pPr>
        <w:rPr>
          <w:sz w:val="24"/>
        </w:rPr>
      </w:pPr>
    </w:p>
    <w:p w:rsidR="00173EEF" w:rsidRDefault="00173EEF">
      <w:pPr>
        <w:spacing w:line="288" w:lineRule="auto"/>
        <w:ind w:left="1417"/>
        <w:jc w:val="both"/>
        <w:rPr>
          <w:sz w:val="24"/>
        </w:rPr>
      </w:pPr>
      <w:r>
        <w:rPr>
          <w:sz w:val="24"/>
        </w:rPr>
        <w:t>Til</w:t>
      </w:r>
    </w:p>
    <w:p w:rsidR="00173EEF" w:rsidRDefault="00EA1699">
      <w:pPr>
        <w:spacing w:line="288" w:lineRule="auto"/>
        <w:ind w:left="1417"/>
        <w:jc w:val="both"/>
        <w:rPr>
          <w:sz w:val="24"/>
        </w:rPr>
      </w:pPr>
      <w:r>
        <w:rPr>
          <w:sz w:val="24"/>
        </w:rPr>
        <w:fldChar w:fldCharType="begin"/>
      </w:r>
      <w:r w:rsidR="00173EEF">
        <w:rPr>
          <w:sz w:val="24"/>
        </w:rPr>
        <w:instrText>ADVANCE \x119</w:instrText>
      </w:r>
      <w:r>
        <w:rPr>
          <w:sz w:val="24"/>
        </w:rPr>
        <w:fldChar w:fldCharType="end"/>
      </w:r>
      <w:r w:rsidR="00173EEF">
        <w:rPr>
          <w:sz w:val="24"/>
        </w:rPr>
        <w:t>Folketinget - Skatteudvalget</w:t>
      </w:r>
    </w:p>
    <w:p w:rsidR="00173EEF" w:rsidRDefault="00173EEF">
      <w:pPr>
        <w:spacing w:line="288" w:lineRule="auto"/>
        <w:ind w:left="1417"/>
        <w:jc w:val="both"/>
        <w:rPr>
          <w:sz w:val="24"/>
        </w:rPr>
      </w:pPr>
    </w:p>
    <w:p w:rsidR="00173EEF" w:rsidRDefault="00173EEF" w:rsidP="00EF1A8C">
      <w:pPr>
        <w:spacing w:line="288" w:lineRule="auto"/>
        <w:ind w:left="1417"/>
        <w:rPr>
          <w:sz w:val="24"/>
        </w:rPr>
      </w:pPr>
      <w:r>
        <w:rPr>
          <w:sz w:val="24"/>
        </w:rPr>
        <w:t>Til udvalgets orientering vedlægges hørings</w:t>
      </w:r>
      <w:r w:rsidR="007A0C27">
        <w:rPr>
          <w:sz w:val="24"/>
        </w:rPr>
        <w:t>notat</w:t>
      </w:r>
      <w:r>
        <w:rPr>
          <w:sz w:val="24"/>
        </w:rPr>
        <w:t xml:space="preserve"> samt de modtagne høringssvar vedrørende </w:t>
      </w:r>
      <w:r w:rsidR="00B744C0">
        <w:rPr>
          <w:sz w:val="24"/>
        </w:rPr>
        <w:t>f</w:t>
      </w:r>
      <w:r w:rsidR="00B744C0" w:rsidRPr="00B744C0">
        <w:rPr>
          <w:sz w:val="24"/>
        </w:rPr>
        <w:t>orslag</w:t>
      </w:r>
      <w:r w:rsidR="00B744C0">
        <w:rPr>
          <w:sz w:val="24"/>
        </w:rPr>
        <w:t xml:space="preserve"> </w:t>
      </w:r>
      <w:r w:rsidR="00B744C0" w:rsidRPr="00B744C0">
        <w:rPr>
          <w:sz w:val="24"/>
        </w:rPr>
        <w:t xml:space="preserve">til </w:t>
      </w:r>
      <w:r w:rsidR="00EF1A8C" w:rsidRPr="00EF1A8C">
        <w:rPr>
          <w:sz w:val="24"/>
        </w:rPr>
        <w:t>Lov om æ</w:t>
      </w:r>
      <w:r w:rsidR="00EF1A8C" w:rsidRPr="00EF1A8C">
        <w:rPr>
          <w:sz w:val="24"/>
        </w:rPr>
        <w:t>n</w:t>
      </w:r>
      <w:r w:rsidR="00EF1A8C" w:rsidRPr="00EF1A8C">
        <w:rPr>
          <w:sz w:val="24"/>
        </w:rPr>
        <w:t>dring af lov om afgift af elektricitet, lov om tobaksafgifter, lov om afgift af øl, vin og frugtvin m.m. og forskellige a</w:t>
      </w:r>
      <w:r w:rsidR="00EF1A8C" w:rsidRPr="00EF1A8C">
        <w:rPr>
          <w:sz w:val="24"/>
        </w:rPr>
        <w:t>n</w:t>
      </w:r>
      <w:r w:rsidR="00EF1A8C" w:rsidRPr="00EF1A8C">
        <w:rPr>
          <w:sz w:val="24"/>
        </w:rPr>
        <w:t>dre love</w:t>
      </w:r>
      <w:r w:rsidR="00EF1A8C">
        <w:rPr>
          <w:sz w:val="24"/>
        </w:rPr>
        <w:t xml:space="preserve"> </w:t>
      </w:r>
      <w:r w:rsidR="00EF1A8C" w:rsidRPr="00EF1A8C">
        <w:rPr>
          <w:sz w:val="24"/>
        </w:rPr>
        <w:t>(Ændring af afgift på erhvervenes energiforbrug m.v., forko</w:t>
      </w:r>
      <w:r w:rsidR="00EF1A8C" w:rsidRPr="00EF1A8C">
        <w:rPr>
          <w:sz w:val="24"/>
        </w:rPr>
        <w:t>r</w:t>
      </w:r>
      <w:r w:rsidR="00EF1A8C" w:rsidRPr="00EF1A8C">
        <w:rPr>
          <w:sz w:val="24"/>
        </w:rPr>
        <w:t>telse af kredittider</w:t>
      </w:r>
      <w:r w:rsidR="00EF1A8C">
        <w:rPr>
          <w:sz w:val="24"/>
        </w:rPr>
        <w:t xml:space="preserve"> </w:t>
      </w:r>
      <w:r w:rsidR="00EF1A8C" w:rsidRPr="00EF1A8C">
        <w:rPr>
          <w:sz w:val="24"/>
        </w:rPr>
        <w:t>for tobaksafgift og lempelse af ølmoderationsordningen)</w:t>
      </w:r>
      <w:r w:rsidR="00EF1A8C">
        <w:rPr>
          <w:sz w:val="24"/>
        </w:rPr>
        <w:t xml:space="preserve"> </w:t>
      </w:r>
      <w:r w:rsidR="007A0C27">
        <w:rPr>
          <w:sz w:val="24"/>
        </w:rPr>
        <w:t xml:space="preserve">(L 195) </w:t>
      </w:r>
      <w:r w:rsidR="003279F1">
        <w:rPr>
          <w:sz w:val="24"/>
        </w:rPr>
        <w:t xml:space="preserve">for så vidt angår den del, der vedrører ændringen af </w:t>
      </w:r>
      <w:r w:rsidR="00A24D9E">
        <w:rPr>
          <w:sz w:val="24"/>
        </w:rPr>
        <w:t>øl- og vina</w:t>
      </w:r>
      <w:r w:rsidR="00A24D9E">
        <w:rPr>
          <w:sz w:val="24"/>
        </w:rPr>
        <w:t>f</w:t>
      </w:r>
      <w:r w:rsidR="003279F1">
        <w:rPr>
          <w:sz w:val="24"/>
        </w:rPr>
        <w:t>giftsloven</w:t>
      </w:r>
      <w:r w:rsidR="001A6FC4">
        <w:rPr>
          <w:sz w:val="24"/>
        </w:rPr>
        <w:t>.</w:t>
      </w:r>
    </w:p>
    <w:p w:rsidR="00173EEF" w:rsidRDefault="00173EEF">
      <w:pPr>
        <w:spacing w:line="288" w:lineRule="auto"/>
        <w:ind w:left="1417"/>
        <w:jc w:val="both"/>
        <w:rPr>
          <w:sz w:val="24"/>
        </w:rPr>
      </w:pPr>
    </w:p>
    <w:p w:rsidR="00173EEF" w:rsidRDefault="00173EEF">
      <w:pPr>
        <w:spacing w:line="288" w:lineRule="auto"/>
        <w:ind w:left="1417"/>
        <w:jc w:val="both"/>
        <w:rPr>
          <w:sz w:val="24"/>
        </w:rPr>
      </w:pPr>
    </w:p>
    <w:p w:rsidR="00173EEF" w:rsidRDefault="00173EEF">
      <w:pPr>
        <w:spacing w:line="288" w:lineRule="auto"/>
        <w:ind w:left="1417"/>
        <w:jc w:val="both"/>
        <w:rPr>
          <w:sz w:val="24"/>
        </w:rPr>
      </w:pPr>
    </w:p>
    <w:p w:rsidR="00173EEF" w:rsidRDefault="00173EEF">
      <w:pPr>
        <w:spacing w:line="288" w:lineRule="auto"/>
        <w:ind w:left="1417"/>
        <w:jc w:val="both"/>
        <w:rPr>
          <w:sz w:val="24"/>
        </w:rPr>
      </w:pPr>
    </w:p>
    <w:p w:rsidR="00173EEF" w:rsidRDefault="00173EEF">
      <w:pPr>
        <w:spacing w:line="288" w:lineRule="auto"/>
        <w:ind w:left="1417"/>
        <w:jc w:val="both"/>
        <w:rPr>
          <w:sz w:val="24"/>
        </w:rPr>
      </w:pPr>
    </w:p>
    <w:p w:rsidR="00173EEF" w:rsidRDefault="00505D4C">
      <w:pPr>
        <w:spacing w:line="288" w:lineRule="auto"/>
        <w:ind w:left="1417"/>
        <w:jc w:val="both"/>
        <w:rPr>
          <w:sz w:val="24"/>
        </w:rPr>
      </w:pPr>
      <w:r>
        <w:rPr>
          <w:sz w:val="24"/>
        </w:rPr>
        <w:t>Peter Christensen</w:t>
      </w:r>
    </w:p>
    <w:p w:rsidR="00173EEF" w:rsidRDefault="000A6A2B" w:rsidP="00796F36">
      <w:pPr>
        <w:tabs>
          <w:tab w:val="left" w:pos="4680"/>
        </w:tabs>
        <w:spacing w:line="288" w:lineRule="auto"/>
        <w:ind w:left="1417"/>
        <w:jc w:val="both"/>
        <w:rPr>
          <w:sz w:val="24"/>
        </w:rPr>
      </w:pPr>
      <w:r>
        <w:rPr>
          <w:sz w:val="24"/>
        </w:rPr>
        <w:t xml:space="preserve">                                         </w:t>
      </w:r>
      <w:r w:rsidR="00173EEF">
        <w:rPr>
          <w:sz w:val="24"/>
        </w:rPr>
        <w:t>/</w:t>
      </w:r>
      <w:r w:rsidR="00A24D9E">
        <w:rPr>
          <w:sz w:val="24"/>
        </w:rPr>
        <w:t>Susanne Reinholdt Andersen</w:t>
      </w:r>
    </w:p>
    <w:p w:rsidR="00173EEF" w:rsidRDefault="00173EEF">
      <w:pPr>
        <w:rPr>
          <w:sz w:val="24"/>
        </w:rPr>
      </w:pPr>
      <w:r>
        <w:rPr>
          <w:sz w:val="24"/>
        </w:rPr>
        <w:t xml:space="preserve">                         </w:t>
      </w:r>
    </w:p>
    <w:p w:rsidR="00173EEF" w:rsidRDefault="00173EEF">
      <w:pPr>
        <w:spacing w:line="288" w:lineRule="auto"/>
        <w:rPr>
          <w:sz w:val="24"/>
          <w:szCs w:val="16"/>
          <w:lang w:eastAsia="en-US"/>
        </w:rPr>
      </w:pPr>
      <w:r>
        <w:rPr>
          <w:b/>
          <w:bCs/>
          <w:sz w:val="24"/>
        </w:rPr>
        <w:t xml:space="preserve"> </w:t>
      </w:r>
    </w:p>
    <w:p w:rsidR="00173EEF" w:rsidRDefault="00173EEF">
      <w:pPr>
        <w:spacing w:line="288" w:lineRule="auto"/>
        <w:rPr>
          <w:sz w:val="24"/>
          <w:szCs w:val="16"/>
          <w:lang w:eastAsia="en-US"/>
        </w:rPr>
      </w:pPr>
    </w:p>
    <w:p w:rsidR="00173EEF" w:rsidRDefault="00173EEF">
      <w:pPr>
        <w:pStyle w:val="Sidehoved"/>
        <w:tabs>
          <w:tab w:val="clear" w:pos="4819"/>
          <w:tab w:val="clear" w:pos="9638"/>
        </w:tabs>
        <w:rPr>
          <w:sz w:val="24"/>
        </w:rPr>
      </w:pPr>
    </w:p>
    <w:p w:rsidR="00173EEF" w:rsidRDefault="00173EEF">
      <w:pPr>
        <w:rPr>
          <w:b/>
          <w:bCs/>
          <w:sz w:val="24"/>
        </w:rPr>
      </w:pPr>
    </w:p>
    <w:p w:rsidR="00173EEF" w:rsidRDefault="00173EEF">
      <w:pPr>
        <w:pStyle w:val="Brdtekst"/>
      </w:pPr>
      <w:r>
        <w:rPr>
          <w:sz w:val="24"/>
        </w:rPr>
        <w:br w:type="page"/>
      </w:r>
      <w:r>
        <w:lastRenderedPageBreak/>
        <w:t xml:space="preserve">Høringsskema indeholdende høringssvar og kommentarer hertil vedrørende udkast til </w:t>
      </w:r>
      <w:r w:rsidR="003279F1" w:rsidRPr="003279F1">
        <w:t xml:space="preserve">forslag til </w:t>
      </w:r>
      <w:r w:rsidR="001D1403">
        <w:t xml:space="preserve">lov om ændring </w:t>
      </w:r>
      <w:r w:rsidR="001D1403" w:rsidRPr="001D1403">
        <w:t xml:space="preserve">af lov om afgift af elektricitet, lov om tobaksafgifter, lov om afgift af øl, vin og frugtvin m.m. og forskellige andre love </w:t>
      </w:r>
      <w:r w:rsidR="003279F1" w:rsidRPr="003279F1">
        <w:t xml:space="preserve">for så vidt angår den del, der vedrører ændringen af </w:t>
      </w:r>
      <w:r w:rsidR="00A24D9E">
        <w:t>øl- og vin</w:t>
      </w:r>
      <w:r w:rsidR="003279F1" w:rsidRPr="003279F1">
        <w:t>afgift</w:t>
      </w:r>
      <w:r w:rsidR="003279F1" w:rsidRPr="003279F1">
        <w:t>s</w:t>
      </w:r>
      <w:r w:rsidR="003279F1" w:rsidRPr="003279F1">
        <w:t>loven</w:t>
      </w:r>
      <w:r w:rsidR="00EA1699">
        <w:rPr>
          <w:sz w:val="24"/>
        </w:rPr>
        <w:fldChar w:fldCharType="begin"/>
      </w:r>
      <w:r>
        <w:rPr>
          <w:sz w:val="24"/>
        </w:rPr>
        <w:instrText xml:space="preserve"> FILLIN "Indtast Lov-titel, afslut med tab, enter" \* MERGEFORMAT </w:instrText>
      </w:r>
      <w:r w:rsidR="00EA1699">
        <w:rPr>
          <w:sz w:val="24"/>
        </w:rPr>
        <w:fldChar w:fldCharType="end"/>
      </w:r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1"/>
        <w:gridCol w:w="2991"/>
        <w:gridCol w:w="2991"/>
      </w:tblGrid>
      <w:tr w:rsidR="003279F1" w:rsidRPr="00B02CE7" w:rsidTr="00B02CE7">
        <w:tc>
          <w:tcPr>
            <w:tcW w:w="2991" w:type="dxa"/>
          </w:tcPr>
          <w:p w:rsidR="003279F1" w:rsidRPr="00B02CE7" w:rsidRDefault="003279F1" w:rsidP="003279F1">
            <w:pPr>
              <w:rPr>
                <w:sz w:val="24"/>
              </w:rPr>
            </w:pPr>
            <w:r w:rsidRPr="00B02CE7">
              <w:rPr>
                <w:sz w:val="24"/>
              </w:rPr>
              <w:t>Organisation</w:t>
            </w:r>
          </w:p>
        </w:tc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  <w:r w:rsidRPr="00B02CE7">
              <w:rPr>
                <w:sz w:val="24"/>
              </w:rPr>
              <w:t>Bemærkninger</w:t>
            </w:r>
          </w:p>
        </w:tc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  <w:r w:rsidRPr="00B02CE7">
              <w:rPr>
                <w:sz w:val="24"/>
              </w:rPr>
              <w:t>Kommentar</w:t>
            </w:r>
          </w:p>
        </w:tc>
      </w:tr>
      <w:tr w:rsidR="001D1403" w:rsidRPr="00B02CE7" w:rsidTr="00B02CE7">
        <w:tc>
          <w:tcPr>
            <w:tcW w:w="2991" w:type="dxa"/>
          </w:tcPr>
          <w:p w:rsidR="001D1403" w:rsidRDefault="001D1403">
            <w:pPr>
              <w:rPr>
                <w:sz w:val="24"/>
              </w:rPr>
            </w:pPr>
            <w:r>
              <w:rPr>
                <w:sz w:val="24"/>
              </w:rPr>
              <w:t>Advokatrådet</w:t>
            </w:r>
          </w:p>
        </w:tc>
        <w:tc>
          <w:tcPr>
            <w:tcW w:w="2991" w:type="dxa"/>
          </w:tcPr>
          <w:p w:rsidR="001D1403" w:rsidRDefault="001D1403">
            <w:pPr>
              <w:rPr>
                <w:sz w:val="24"/>
              </w:rPr>
            </w:pPr>
            <w:r>
              <w:rPr>
                <w:sz w:val="24"/>
              </w:rPr>
              <w:t>Uanset at den foreslåede r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gulering er til gunst for bryggerierne, hvilket gør ti</w:t>
            </w:r>
            <w:r>
              <w:rPr>
                <w:sz w:val="24"/>
              </w:rPr>
              <w:t>l</w:t>
            </w:r>
            <w:r>
              <w:rPr>
                <w:sz w:val="24"/>
              </w:rPr>
              <w:t>bagevirkende kraft mindre betænkelig, finder Advoka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rådet, at det nærmere bør overvejes om der er fuldt ti</w:t>
            </w:r>
            <w:r>
              <w:rPr>
                <w:sz w:val="24"/>
              </w:rPr>
              <w:t>l</w:t>
            </w:r>
            <w:r>
              <w:rPr>
                <w:sz w:val="24"/>
              </w:rPr>
              <w:t>strækkeligt grundlag for at fravige det almindelige u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>gangspunkt om ikrafttræde</w:t>
            </w:r>
            <w:r>
              <w:rPr>
                <w:sz w:val="24"/>
              </w:rPr>
              <w:t>l</w:t>
            </w:r>
            <w:r>
              <w:rPr>
                <w:sz w:val="24"/>
              </w:rPr>
              <w:t>se efter stadfæstelse og kundgørelse af loven.</w:t>
            </w:r>
          </w:p>
        </w:tc>
        <w:tc>
          <w:tcPr>
            <w:tcW w:w="2991" w:type="dxa"/>
          </w:tcPr>
          <w:p w:rsidR="001D1403" w:rsidRPr="00B02CE7" w:rsidRDefault="00223CBF" w:rsidP="00EB1781">
            <w:pPr>
              <w:rPr>
                <w:sz w:val="24"/>
              </w:rPr>
            </w:pPr>
            <w:r>
              <w:rPr>
                <w:sz w:val="24"/>
              </w:rPr>
              <w:t xml:space="preserve">Som Advokatrådet også skriver, er den foreslåede lovændring til gunst for bryggerierne, og </w:t>
            </w:r>
            <w:r w:rsidR="00BD156D">
              <w:rPr>
                <w:sz w:val="24"/>
              </w:rPr>
              <w:t>Skattem</w:t>
            </w:r>
            <w:r w:rsidR="00BD156D">
              <w:rPr>
                <w:sz w:val="24"/>
              </w:rPr>
              <w:t>i</w:t>
            </w:r>
            <w:r w:rsidR="00BD156D">
              <w:rPr>
                <w:sz w:val="24"/>
              </w:rPr>
              <w:t>nisteriet vurderer derfor, at den tilbagevirkende kraft ikke udgør et retssikke</w:t>
            </w:r>
            <w:r w:rsidR="00BD156D">
              <w:rPr>
                <w:sz w:val="24"/>
              </w:rPr>
              <w:t>r</w:t>
            </w:r>
            <w:r w:rsidR="00BD156D">
              <w:rPr>
                <w:sz w:val="24"/>
              </w:rPr>
              <w:t xml:space="preserve">hedsmæssigt problem. I det ølmoderationen </w:t>
            </w:r>
            <w:r w:rsidR="00EB1781">
              <w:rPr>
                <w:sz w:val="24"/>
              </w:rPr>
              <w:t>afhænger</w:t>
            </w:r>
            <w:r w:rsidR="00BD156D">
              <w:rPr>
                <w:sz w:val="24"/>
              </w:rPr>
              <w:t xml:space="preserve"> af det foregående års produkt</w:t>
            </w:r>
            <w:r w:rsidR="00BD156D">
              <w:rPr>
                <w:sz w:val="24"/>
              </w:rPr>
              <w:t>i</w:t>
            </w:r>
            <w:r w:rsidR="00BD156D">
              <w:rPr>
                <w:sz w:val="24"/>
              </w:rPr>
              <w:t>on (fra 1. januar til 31. d</w:t>
            </w:r>
            <w:r w:rsidR="00BD156D">
              <w:rPr>
                <w:sz w:val="24"/>
              </w:rPr>
              <w:t>e</w:t>
            </w:r>
            <w:r w:rsidR="00BD156D">
              <w:rPr>
                <w:sz w:val="24"/>
              </w:rPr>
              <w:t>cember)</w:t>
            </w:r>
            <w:r w:rsidR="00EB1781">
              <w:rPr>
                <w:sz w:val="24"/>
              </w:rPr>
              <w:t xml:space="preserve"> synes det mest n</w:t>
            </w:r>
            <w:r w:rsidR="00EB1781">
              <w:rPr>
                <w:sz w:val="24"/>
              </w:rPr>
              <w:t>a</w:t>
            </w:r>
            <w:r w:rsidR="00EB1781">
              <w:rPr>
                <w:sz w:val="24"/>
              </w:rPr>
              <w:t>turligt, at lempelsen af ø</w:t>
            </w:r>
            <w:r w:rsidR="00EB1781">
              <w:rPr>
                <w:sz w:val="24"/>
              </w:rPr>
              <w:t>l</w:t>
            </w:r>
            <w:r w:rsidR="00EB1781">
              <w:rPr>
                <w:sz w:val="24"/>
              </w:rPr>
              <w:t>moderationsordningen også gælder fra 1. januar – 31. december, og derfor ikke først sættes i kraft midt i året.</w:t>
            </w:r>
          </w:p>
        </w:tc>
      </w:tr>
      <w:tr w:rsidR="00C51D2D" w:rsidRPr="00B02CE7" w:rsidTr="00B02CE7">
        <w:tc>
          <w:tcPr>
            <w:tcW w:w="2991" w:type="dxa"/>
          </w:tcPr>
          <w:p w:rsidR="00C51D2D" w:rsidRPr="00B02CE7" w:rsidRDefault="00C51D2D">
            <w:pPr>
              <w:rPr>
                <w:sz w:val="24"/>
              </w:rPr>
            </w:pPr>
            <w:r>
              <w:rPr>
                <w:sz w:val="24"/>
              </w:rPr>
              <w:t>Bryggeriforeningen</w:t>
            </w:r>
          </w:p>
        </w:tc>
        <w:tc>
          <w:tcPr>
            <w:tcW w:w="2991" w:type="dxa"/>
          </w:tcPr>
          <w:p w:rsidR="00C51D2D" w:rsidRPr="00B02CE7" w:rsidRDefault="00C51D2D">
            <w:pPr>
              <w:rPr>
                <w:sz w:val="24"/>
              </w:rPr>
            </w:pPr>
            <w:r>
              <w:rPr>
                <w:sz w:val="24"/>
              </w:rPr>
              <w:t>Er positive overfor forslaget, fordi den nuværende fo</w:t>
            </w:r>
            <w:r>
              <w:rPr>
                <w:sz w:val="24"/>
              </w:rPr>
              <w:t>r</w:t>
            </w:r>
            <w:r>
              <w:rPr>
                <w:sz w:val="24"/>
              </w:rPr>
              <w:t>skelsbehandling ophæves. Ser forslaget som et særd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les konstruktivt vækstiniti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>tiv.</w:t>
            </w:r>
          </w:p>
        </w:tc>
        <w:tc>
          <w:tcPr>
            <w:tcW w:w="2991" w:type="dxa"/>
          </w:tcPr>
          <w:p w:rsidR="00C51D2D" w:rsidRPr="00B02CE7" w:rsidRDefault="00C51D2D">
            <w:pPr>
              <w:rPr>
                <w:sz w:val="24"/>
              </w:rPr>
            </w:pPr>
          </w:p>
        </w:tc>
      </w:tr>
      <w:tr w:rsidR="003279F1" w:rsidRPr="00B02CE7" w:rsidTr="00B02CE7"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  <w:r w:rsidRPr="00B02CE7">
              <w:rPr>
                <w:sz w:val="24"/>
              </w:rPr>
              <w:t>Danske Advokater</w:t>
            </w:r>
          </w:p>
        </w:tc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  <w:r w:rsidRPr="00B02CE7">
              <w:rPr>
                <w:sz w:val="24"/>
              </w:rPr>
              <w:t>Ingen</w:t>
            </w:r>
            <w:r w:rsidR="00C51D2D">
              <w:rPr>
                <w:sz w:val="24"/>
              </w:rPr>
              <w:t xml:space="preserve"> bemærkninger.</w:t>
            </w:r>
          </w:p>
        </w:tc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</w:p>
        </w:tc>
      </w:tr>
      <w:tr w:rsidR="00A24D9E" w:rsidRPr="00B02CE7" w:rsidTr="00B02CE7">
        <w:tc>
          <w:tcPr>
            <w:tcW w:w="2991" w:type="dxa"/>
          </w:tcPr>
          <w:p w:rsidR="00A24D9E" w:rsidRPr="00B02CE7" w:rsidRDefault="00A24D9E">
            <w:pPr>
              <w:rPr>
                <w:sz w:val="24"/>
              </w:rPr>
            </w:pPr>
            <w:r>
              <w:rPr>
                <w:sz w:val="24"/>
              </w:rPr>
              <w:t>Dansk Industri</w:t>
            </w:r>
          </w:p>
        </w:tc>
        <w:tc>
          <w:tcPr>
            <w:tcW w:w="2991" w:type="dxa"/>
          </w:tcPr>
          <w:p w:rsidR="00A24D9E" w:rsidRPr="00B02CE7" w:rsidRDefault="00A24D9E">
            <w:pPr>
              <w:rPr>
                <w:sz w:val="24"/>
              </w:rPr>
            </w:pPr>
            <w:r>
              <w:rPr>
                <w:sz w:val="24"/>
              </w:rPr>
              <w:t>Er tilfredse med forslaget</w:t>
            </w:r>
            <w:r w:rsidR="00C51D2D">
              <w:rPr>
                <w:sz w:val="24"/>
              </w:rPr>
              <w:t>.</w:t>
            </w:r>
          </w:p>
        </w:tc>
        <w:tc>
          <w:tcPr>
            <w:tcW w:w="2991" w:type="dxa"/>
          </w:tcPr>
          <w:p w:rsidR="00A24D9E" w:rsidRPr="00B02CE7" w:rsidRDefault="00A24D9E">
            <w:pPr>
              <w:rPr>
                <w:sz w:val="24"/>
              </w:rPr>
            </w:pPr>
          </w:p>
        </w:tc>
      </w:tr>
      <w:tr w:rsidR="003279F1" w:rsidRPr="00B02CE7" w:rsidTr="00B02CE7"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  <w:r w:rsidRPr="00B02CE7">
              <w:rPr>
                <w:sz w:val="24"/>
              </w:rPr>
              <w:t>Erhvervs- og Selskabsstyre</w:t>
            </w:r>
            <w:r w:rsidRPr="00B02CE7">
              <w:rPr>
                <w:sz w:val="24"/>
              </w:rPr>
              <w:t>l</w:t>
            </w:r>
            <w:r w:rsidRPr="00B02CE7">
              <w:rPr>
                <w:sz w:val="24"/>
              </w:rPr>
              <w:t>sen (CKR)</w:t>
            </w:r>
          </w:p>
        </w:tc>
        <w:tc>
          <w:tcPr>
            <w:tcW w:w="2991" w:type="dxa"/>
          </w:tcPr>
          <w:p w:rsidR="003279F1" w:rsidRPr="00B02CE7" w:rsidRDefault="00C51D2D">
            <w:pPr>
              <w:rPr>
                <w:sz w:val="24"/>
              </w:rPr>
            </w:pPr>
            <w:r>
              <w:rPr>
                <w:sz w:val="24"/>
              </w:rPr>
              <w:t>CKR vurderer ikke, at lo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>forslaget vil medføre v</w:t>
            </w:r>
            <w:r>
              <w:rPr>
                <w:sz w:val="24"/>
              </w:rPr>
              <w:t>æ</w:t>
            </w:r>
            <w:r>
              <w:rPr>
                <w:sz w:val="24"/>
              </w:rPr>
              <w:t>sentlige administrative o</w:t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>kostninger for virksomh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derne.</w:t>
            </w:r>
          </w:p>
        </w:tc>
        <w:tc>
          <w:tcPr>
            <w:tcW w:w="2991" w:type="dxa"/>
          </w:tcPr>
          <w:p w:rsidR="003279F1" w:rsidRPr="00B02CE7" w:rsidRDefault="003279F1" w:rsidP="00275AC2">
            <w:pPr>
              <w:rPr>
                <w:sz w:val="24"/>
              </w:rPr>
            </w:pPr>
          </w:p>
        </w:tc>
      </w:tr>
      <w:tr w:rsidR="003279F1" w:rsidRPr="00B02CE7" w:rsidTr="00B02CE7"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  <w:r w:rsidRPr="00B02CE7">
              <w:rPr>
                <w:sz w:val="24"/>
              </w:rPr>
              <w:t>Skattefaglig Forenings Ska</w:t>
            </w:r>
            <w:r w:rsidRPr="00B02CE7">
              <w:rPr>
                <w:sz w:val="24"/>
              </w:rPr>
              <w:t>t</w:t>
            </w:r>
            <w:r w:rsidRPr="00B02CE7">
              <w:rPr>
                <w:sz w:val="24"/>
              </w:rPr>
              <w:t>teudvalg</w:t>
            </w:r>
          </w:p>
        </w:tc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  <w:r w:rsidRPr="00B02CE7">
              <w:rPr>
                <w:sz w:val="24"/>
              </w:rPr>
              <w:t>Ingen</w:t>
            </w:r>
            <w:r w:rsidR="00CC08BC">
              <w:rPr>
                <w:sz w:val="24"/>
              </w:rPr>
              <w:t xml:space="preserve"> bemærkninger.</w:t>
            </w:r>
          </w:p>
        </w:tc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</w:p>
        </w:tc>
      </w:tr>
    </w:tbl>
    <w:p w:rsidR="00173EEF" w:rsidRDefault="00173EEF">
      <w:pPr>
        <w:rPr>
          <w:sz w:val="24"/>
        </w:rPr>
      </w:pPr>
    </w:p>
    <w:sectPr w:rsidR="00173EEF" w:rsidSect="00EC277C">
      <w:footerReference w:type="default" r:id="rId6"/>
      <w:headerReference w:type="first" r:id="rId7"/>
      <w:pgSz w:w="11906" w:h="16838" w:code="9"/>
      <w:pgMar w:top="1258" w:right="1826" w:bottom="1134" w:left="1247" w:header="180" w:footer="709" w:gutter="0"/>
      <w:paperSrc w:first="256" w:other="25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53" w:rsidRDefault="005A0553">
      <w:r>
        <w:separator/>
      </w:r>
    </w:p>
  </w:endnote>
  <w:endnote w:type="continuationSeparator" w:id="0">
    <w:p w:rsidR="005A0553" w:rsidRDefault="005A0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6D" w:rsidRDefault="00BD156D">
    <w:pPr>
      <w:pStyle w:val="DepartementSidefod"/>
      <w:jc w:val="right"/>
    </w:pPr>
    <w:r>
      <w:t xml:space="preserve">Side </w:t>
    </w:r>
    <w:r w:rsidR="00EA1699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EA1699">
      <w:rPr>
        <w:rStyle w:val="Sidetal"/>
      </w:rPr>
      <w:fldChar w:fldCharType="separate"/>
    </w:r>
    <w:r w:rsidR="0087763E">
      <w:rPr>
        <w:rStyle w:val="Sidetal"/>
        <w:noProof/>
      </w:rPr>
      <w:t>2</w:t>
    </w:r>
    <w:r w:rsidR="00EA1699">
      <w:rPr>
        <w:rStyle w:val="Sidet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53" w:rsidRDefault="005A0553">
      <w:r>
        <w:separator/>
      </w:r>
    </w:p>
  </w:footnote>
  <w:footnote w:type="continuationSeparator" w:id="0">
    <w:p w:rsidR="005A0553" w:rsidRDefault="005A0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8699" w:tblpY="1"/>
      <w:tblOverlap w:val="never"/>
      <w:tblW w:w="2484" w:type="dxa"/>
      <w:tblInd w:w="805" w:type="dxa"/>
      <w:tblCellMar>
        <w:top w:w="2262" w:type="dxa"/>
      </w:tblCellMar>
      <w:tblLook w:val="01E0"/>
    </w:tblPr>
    <w:tblGrid>
      <w:gridCol w:w="2484"/>
    </w:tblGrid>
    <w:tr w:rsidR="00BD156D">
      <w:trPr>
        <w:trHeight w:val="12079"/>
      </w:trPr>
      <w:tc>
        <w:tcPr>
          <w:tcW w:w="2484" w:type="dxa"/>
        </w:tcPr>
        <w:p w:rsidR="00BD156D" w:rsidRDefault="00BD156D">
          <w:pPr>
            <w:pStyle w:val="Departementtekst"/>
            <w:ind w:right="-105"/>
            <w:rPr>
              <w:rFonts w:ascii="Arial" w:hAnsi="Arial" w:cs="Arial"/>
              <w:sz w:val="14"/>
              <w:lang w:val="en-GB"/>
            </w:rPr>
          </w:pPr>
          <w:r>
            <w:rPr>
              <w:rFonts w:ascii="Arial" w:hAnsi="Arial" w:cs="Arial"/>
              <w:sz w:val="14"/>
              <w:lang w:val="en-GB"/>
            </w:rPr>
            <w:t xml:space="preserve">   J.nr. </w:t>
          </w:r>
          <w:bookmarkStart w:id="0" w:name="sagsnr"/>
          <w:bookmarkEnd w:id="0"/>
          <w:r>
            <w:rPr>
              <w:rFonts w:ascii="Arial" w:hAnsi="Arial" w:cs="Arial"/>
              <w:sz w:val="14"/>
              <w:lang w:val="en-GB"/>
            </w:rPr>
            <w:t>2011-231-0045</w:t>
          </w:r>
        </w:p>
        <w:p w:rsidR="00BD156D" w:rsidRDefault="00BD156D">
          <w:pPr>
            <w:pStyle w:val="Departementtekst"/>
            <w:ind w:right="-105"/>
            <w:rPr>
              <w:rFonts w:ascii="Arial" w:hAnsi="Arial" w:cs="Arial"/>
              <w:bCs/>
              <w:sz w:val="14"/>
              <w:lang w:val="en-GB"/>
            </w:rPr>
          </w:pPr>
          <w:r>
            <w:rPr>
              <w:rFonts w:ascii="Arial" w:hAnsi="Arial" w:cs="Arial"/>
              <w:bCs/>
              <w:sz w:val="14"/>
              <w:lang w:val="en-GB"/>
            </w:rPr>
            <w:t xml:space="preserve">   Dato:</w:t>
          </w:r>
          <w:r w:rsidR="0087763E">
            <w:rPr>
              <w:rFonts w:ascii="Arial" w:hAnsi="Arial" w:cs="Arial"/>
              <w:bCs/>
              <w:sz w:val="14"/>
              <w:lang w:val="en-GB"/>
            </w:rPr>
            <w:t xml:space="preserve"> </w:t>
          </w:r>
          <w:r w:rsidR="0087763E">
            <w:rPr>
              <w:rFonts w:ascii="Arial" w:hAnsi="Arial" w:cs="Arial"/>
              <w:bCs/>
              <w:sz w:val="14"/>
            </w:rPr>
            <w:t>27. april 2011</w:t>
          </w:r>
        </w:p>
        <w:p w:rsidR="00BD156D" w:rsidRDefault="00BD156D">
          <w:pPr>
            <w:pStyle w:val="Departementtekst"/>
            <w:tabs>
              <w:tab w:val="left" w:pos="720"/>
            </w:tabs>
            <w:ind w:left="540" w:right="-105"/>
            <w:rPr>
              <w:sz w:val="14"/>
              <w:lang w:val="en-GB"/>
            </w:rPr>
          </w:pPr>
        </w:p>
        <w:p w:rsidR="00BD156D" w:rsidRDefault="00BD156D">
          <w:pPr>
            <w:pStyle w:val="Departementtekst"/>
            <w:ind w:left="540" w:right="-105"/>
            <w:rPr>
              <w:sz w:val="14"/>
              <w:lang w:val="en-GB"/>
            </w:rPr>
          </w:pPr>
        </w:p>
        <w:p w:rsidR="00BD156D" w:rsidRDefault="00BD156D">
          <w:pPr>
            <w:pStyle w:val="Departementtekst"/>
            <w:ind w:left="540" w:right="-105"/>
            <w:rPr>
              <w:sz w:val="14"/>
              <w:lang w:val="en-GB"/>
            </w:rPr>
          </w:pPr>
        </w:p>
        <w:p w:rsidR="00BD156D" w:rsidRDefault="00BD156D">
          <w:pPr>
            <w:pStyle w:val="Departementtekst"/>
            <w:rPr>
              <w:lang w:val="en-GB"/>
            </w:rPr>
          </w:pPr>
        </w:p>
      </w:tc>
    </w:tr>
  </w:tbl>
  <w:p w:rsidR="00BD156D" w:rsidRDefault="00EA1699">
    <w:pPr>
      <w:pStyle w:val="Departementtekst"/>
      <w:ind w:right="-130"/>
      <w:jc w:val="right"/>
      <w:rPr>
        <w:lang w:val="fr-F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alt="SKM" style="width:225pt;height:66pt;visibility:visible">
          <v:imagedata r:id="rId1" o:title="SK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1304"/>
  <w:autoHyphenation/>
  <w:hyphenationZone w:val="284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EEF"/>
    <w:rsid w:val="000506B3"/>
    <w:rsid w:val="000A6A2B"/>
    <w:rsid w:val="000E2099"/>
    <w:rsid w:val="00173EEF"/>
    <w:rsid w:val="001A6FC4"/>
    <w:rsid w:val="001B483E"/>
    <w:rsid w:val="001D1403"/>
    <w:rsid w:val="00217F5D"/>
    <w:rsid w:val="00223CBF"/>
    <w:rsid w:val="00275AC2"/>
    <w:rsid w:val="002B72BC"/>
    <w:rsid w:val="003279F1"/>
    <w:rsid w:val="00350912"/>
    <w:rsid w:val="00505D4C"/>
    <w:rsid w:val="005A0553"/>
    <w:rsid w:val="007323A7"/>
    <w:rsid w:val="00796F36"/>
    <w:rsid w:val="007A0C27"/>
    <w:rsid w:val="007B3FE9"/>
    <w:rsid w:val="008236F0"/>
    <w:rsid w:val="0087763E"/>
    <w:rsid w:val="0095344B"/>
    <w:rsid w:val="00A24D9E"/>
    <w:rsid w:val="00A448B1"/>
    <w:rsid w:val="00A57EC4"/>
    <w:rsid w:val="00B02CE7"/>
    <w:rsid w:val="00B22A8D"/>
    <w:rsid w:val="00B744C0"/>
    <w:rsid w:val="00BD156D"/>
    <w:rsid w:val="00BE237A"/>
    <w:rsid w:val="00BE76C3"/>
    <w:rsid w:val="00C51D2D"/>
    <w:rsid w:val="00CC08BC"/>
    <w:rsid w:val="00CD0DB8"/>
    <w:rsid w:val="00DA0574"/>
    <w:rsid w:val="00DC70C8"/>
    <w:rsid w:val="00E95C08"/>
    <w:rsid w:val="00EA1699"/>
    <w:rsid w:val="00EB1781"/>
    <w:rsid w:val="00EC277C"/>
    <w:rsid w:val="00EF1A8C"/>
    <w:rsid w:val="00FA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77C"/>
    <w:pPr>
      <w:spacing w:after="150"/>
    </w:pPr>
    <w:rPr>
      <w:sz w:val="23"/>
      <w:szCs w:val="24"/>
    </w:rPr>
  </w:style>
  <w:style w:type="paragraph" w:styleId="Overskrift1">
    <w:name w:val="heading 1"/>
    <w:basedOn w:val="Normal"/>
    <w:next w:val="Normal"/>
    <w:qFormat/>
    <w:rsid w:val="00EC277C"/>
    <w:pPr>
      <w:keepNext/>
      <w:spacing w:before="20" w:after="20"/>
      <w:outlineLvl w:val="0"/>
    </w:pPr>
    <w:rPr>
      <w:b/>
      <w:bCs/>
      <w:sz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C277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C277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C277C"/>
  </w:style>
  <w:style w:type="paragraph" w:styleId="Markeringsbobletekst">
    <w:name w:val="Balloon Text"/>
    <w:basedOn w:val="Normal"/>
    <w:link w:val="MarkeringsbobletekstTegn"/>
    <w:rsid w:val="002B72BC"/>
    <w:pPr>
      <w:spacing w:after="0"/>
    </w:pPr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EC277C"/>
    <w:pPr>
      <w:spacing w:after="240" w:line="240" w:lineRule="atLeast"/>
    </w:pPr>
    <w:rPr>
      <w:spacing w:val="-5"/>
      <w:szCs w:val="20"/>
      <w:lang w:eastAsia="en-US"/>
    </w:rPr>
  </w:style>
  <w:style w:type="character" w:styleId="Hyperlink">
    <w:name w:val="Hyperlink"/>
    <w:basedOn w:val="Standardskrifttypeiafsnit"/>
    <w:rsid w:val="00EC277C"/>
    <w:rPr>
      <w:color w:val="0000FF"/>
      <w:u w:val="single"/>
    </w:rPr>
  </w:style>
  <w:style w:type="paragraph" w:customStyle="1" w:styleId="Adressat">
    <w:name w:val="Adressat"/>
    <w:rsid w:val="00EC277C"/>
    <w:pPr>
      <w:spacing w:after="150" w:line="180" w:lineRule="exact"/>
      <w:jc w:val="both"/>
    </w:pPr>
    <w:rPr>
      <w:sz w:val="23"/>
      <w:szCs w:val="24"/>
    </w:rPr>
  </w:style>
  <w:style w:type="paragraph" w:customStyle="1" w:styleId="Departementtekst">
    <w:name w:val="Departement tekst"/>
    <w:rsid w:val="00EC277C"/>
    <w:pPr>
      <w:spacing w:after="130"/>
    </w:pPr>
    <w:rPr>
      <w:rFonts w:ascii="Verdana" w:hAnsi="Verdana"/>
      <w:sz w:val="17"/>
      <w:szCs w:val="24"/>
    </w:rPr>
  </w:style>
  <w:style w:type="paragraph" w:customStyle="1" w:styleId="Vedrrendetitel">
    <w:name w:val="Vedrørende titel"/>
    <w:next w:val="Normal"/>
    <w:rsid w:val="00EC277C"/>
    <w:pPr>
      <w:spacing w:after="90"/>
    </w:pPr>
    <w:rPr>
      <w:rFonts w:ascii="Verdana" w:hAnsi="Verdana"/>
      <w:b/>
      <w:sz w:val="15"/>
      <w:szCs w:val="24"/>
    </w:rPr>
  </w:style>
  <w:style w:type="paragraph" w:customStyle="1" w:styleId="DepartementSidefod">
    <w:name w:val="Departement Sidefod"/>
    <w:rsid w:val="00EC277C"/>
    <w:pPr>
      <w:spacing w:after="170"/>
    </w:pPr>
    <w:rPr>
      <w:rFonts w:ascii="Verdana" w:hAnsi="Verdana"/>
      <w:sz w:val="13"/>
      <w:szCs w:val="13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B72B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3279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Skrivebord\tmp\Kopi%20af%20%5bCaptia%5d%20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 af [Captia] Brev</Template>
  <TotalTime>113</TotalTime>
  <Pages>2</Pages>
  <Words>322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Skatteministeriet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/>
  <cp:keywords/>
  <dc:description/>
  <cp:lastModifiedBy>w17772</cp:lastModifiedBy>
  <cp:revision>11</cp:revision>
  <cp:lastPrinted>2005-09-22T11:39:00Z</cp:lastPrinted>
  <dcterms:created xsi:type="dcterms:W3CDTF">2011-04-19T07:27:00Z</dcterms:created>
  <dcterms:modified xsi:type="dcterms:W3CDTF">2011-04-27T14:21:00Z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ds@skm.dk</vt:lpwstr>
  </property>
  <property fmtid="{D5CDD505-2E9C-101B-9397-08002B2CF9AE}" pid="3" name="dir">
    <vt:lpwstr>+45 33 92 44 62</vt:lpwstr>
  </property>
  <property fmtid="{D5CDD505-2E9C-101B-9397-08002B2CF9AE}" pid="4" name="mobil">
    <vt:lpwstr>+45 20 20 20 20</vt:lpwstr>
  </property>
  <property fmtid="{D5CDD505-2E9C-101B-9397-08002B2CF9AE}" pid="5" name="path">
    <vt:lpwstr>C:\DOCUME~1\W03702\LOKALE~1\Temp\SJ20110427085628876 [DOK499047].DOCX</vt:lpwstr>
  </property>
  <property fmtid="{D5CDD505-2E9C-101B-9397-08002B2CF9AE}" pid="6" name="title">
    <vt:lpwstr>SAU L 195 Høringsnotat ølmoderation</vt:lpwstr>
  </property>
  <property fmtid="{D5CDD505-2E9C-101B-9397-08002B2CF9AE}" pid="7" name="command">
    <vt:lpwstr/>
  </property>
  <property fmtid="{D5CDD505-2E9C-101B-9397-08002B2CF9AE}" pid="8" name="_AdHocReviewCycleID">
    <vt:i4>157170869</vt:i4>
  </property>
  <property fmtid="{D5CDD505-2E9C-101B-9397-08002B2CF9AE}" pid="9" name="_NewReviewCycle">
    <vt:lpwstr/>
  </property>
  <property fmtid="{D5CDD505-2E9C-101B-9397-08002B2CF9AE}" pid="10" name="_EmailSubject">
    <vt:lpwstr>SAU. L 195 - høringsnotater og høringssvar vedr.ølmoderation</vt:lpwstr>
  </property>
  <property fmtid="{D5CDD505-2E9C-101B-9397-08002B2CF9AE}" pid="11" name="_AuthorEmail">
    <vt:lpwstr>jsi@skm.dk</vt:lpwstr>
  </property>
  <property fmtid="{D5CDD505-2E9C-101B-9397-08002B2CF9AE}" pid="12" name="_AuthorEmailDisplayName">
    <vt:lpwstr>Joan Simkus</vt:lpwstr>
  </property>
  <property fmtid="{D5CDD505-2E9C-101B-9397-08002B2CF9AE}" pid="14" name="_PreviousAdHocReviewCycleID">
    <vt:i4>1936664792</vt:i4>
  </property>
</Properties>
</file>