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EEF" w:rsidRDefault="00173EEF">
      <w:pPr>
        <w:rPr>
          <w:sz w:val="24"/>
        </w:rPr>
      </w:pPr>
    </w:p>
    <w:p w:rsidR="00173EEF" w:rsidRDefault="00173EEF">
      <w:pPr>
        <w:rPr>
          <w:sz w:val="24"/>
        </w:rPr>
      </w:pPr>
    </w:p>
    <w:p w:rsidR="00173EEF" w:rsidRDefault="00173EEF">
      <w:pPr>
        <w:rPr>
          <w:sz w:val="24"/>
        </w:rPr>
      </w:pPr>
    </w:p>
    <w:p w:rsidR="00173EEF" w:rsidRDefault="00173EEF">
      <w:pPr>
        <w:rPr>
          <w:sz w:val="24"/>
        </w:rPr>
      </w:pPr>
    </w:p>
    <w:p w:rsidR="00173EEF" w:rsidRDefault="00173EEF">
      <w:pPr>
        <w:rPr>
          <w:sz w:val="24"/>
        </w:rPr>
      </w:pPr>
    </w:p>
    <w:p w:rsidR="00173EEF" w:rsidRDefault="00173EEF">
      <w:pPr>
        <w:rPr>
          <w:sz w:val="24"/>
        </w:rPr>
      </w:pPr>
    </w:p>
    <w:p w:rsidR="00173EEF" w:rsidRDefault="00173EEF">
      <w:pPr>
        <w:rPr>
          <w:sz w:val="24"/>
        </w:rPr>
      </w:pPr>
    </w:p>
    <w:p w:rsidR="00173EEF" w:rsidRDefault="00173EEF">
      <w:pPr>
        <w:spacing w:line="288" w:lineRule="auto"/>
        <w:ind w:left="1417"/>
        <w:jc w:val="both"/>
        <w:rPr>
          <w:sz w:val="24"/>
        </w:rPr>
      </w:pPr>
      <w:r>
        <w:rPr>
          <w:sz w:val="24"/>
        </w:rPr>
        <w:t>Til</w:t>
      </w:r>
    </w:p>
    <w:p w:rsidR="00173EEF" w:rsidRDefault="00CC7374">
      <w:pPr>
        <w:spacing w:line="288" w:lineRule="auto"/>
        <w:ind w:left="1417"/>
        <w:jc w:val="both"/>
        <w:rPr>
          <w:sz w:val="24"/>
        </w:rPr>
      </w:pPr>
      <w:r>
        <w:rPr>
          <w:sz w:val="24"/>
        </w:rPr>
        <w:fldChar w:fldCharType="begin"/>
      </w:r>
      <w:r w:rsidR="00173EEF">
        <w:rPr>
          <w:sz w:val="24"/>
        </w:rPr>
        <w:instrText>ADVANCE \x119</w:instrText>
      </w:r>
      <w:r>
        <w:rPr>
          <w:sz w:val="24"/>
        </w:rPr>
        <w:fldChar w:fldCharType="end"/>
      </w:r>
      <w:r w:rsidR="00173EEF">
        <w:rPr>
          <w:sz w:val="24"/>
        </w:rPr>
        <w:t>Folketinget - Skatteudvalget</w:t>
      </w:r>
    </w:p>
    <w:p w:rsidR="00173EEF" w:rsidRDefault="00173EEF">
      <w:pPr>
        <w:spacing w:line="288" w:lineRule="auto"/>
        <w:ind w:left="1417"/>
        <w:jc w:val="both"/>
        <w:rPr>
          <w:sz w:val="24"/>
        </w:rPr>
      </w:pPr>
    </w:p>
    <w:p w:rsidR="00173EEF" w:rsidRDefault="00173EEF" w:rsidP="00B744C0">
      <w:pPr>
        <w:spacing w:line="288" w:lineRule="auto"/>
        <w:ind w:left="1417"/>
        <w:rPr>
          <w:sz w:val="24"/>
        </w:rPr>
      </w:pPr>
      <w:r>
        <w:rPr>
          <w:sz w:val="24"/>
        </w:rPr>
        <w:t xml:space="preserve">Til udvalgets orientering vedlægges høringsskema samt de modtagne høringssvar vedrørende </w:t>
      </w:r>
      <w:r w:rsidR="00B744C0">
        <w:rPr>
          <w:sz w:val="24"/>
        </w:rPr>
        <w:t>f</w:t>
      </w:r>
      <w:r w:rsidR="00B744C0" w:rsidRPr="00B744C0">
        <w:rPr>
          <w:sz w:val="24"/>
        </w:rPr>
        <w:t>orslag</w:t>
      </w:r>
      <w:r w:rsidR="00B744C0">
        <w:rPr>
          <w:sz w:val="24"/>
        </w:rPr>
        <w:t xml:space="preserve"> </w:t>
      </w:r>
      <w:r w:rsidR="00B744C0" w:rsidRPr="00B744C0">
        <w:rPr>
          <w:sz w:val="24"/>
        </w:rPr>
        <w:t xml:space="preserve">til </w:t>
      </w:r>
      <w:r w:rsidR="003A1939" w:rsidRPr="00EF1A8C">
        <w:rPr>
          <w:sz w:val="24"/>
        </w:rPr>
        <w:t>Lov om æ</w:t>
      </w:r>
      <w:r w:rsidR="003A1939" w:rsidRPr="00EF1A8C">
        <w:rPr>
          <w:sz w:val="24"/>
        </w:rPr>
        <w:t>n</w:t>
      </w:r>
      <w:r w:rsidR="003A1939" w:rsidRPr="00EF1A8C">
        <w:rPr>
          <w:sz w:val="24"/>
        </w:rPr>
        <w:t>dring af lov om afgift af elektric</w:t>
      </w:r>
      <w:r w:rsidR="003A1939" w:rsidRPr="00EF1A8C">
        <w:rPr>
          <w:sz w:val="24"/>
        </w:rPr>
        <w:t>i</w:t>
      </w:r>
      <w:r w:rsidR="003A1939" w:rsidRPr="00EF1A8C">
        <w:rPr>
          <w:sz w:val="24"/>
        </w:rPr>
        <w:t>tet, lov om tobaksafgifter, lov om afgift af øl, vin og frugtvin m.m. og forskellige a</w:t>
      </w:r>
      <w:r w:rsidR="003A1939" w:rsidRPr="00EF1A8C">
        <w:rPr>
          <w:sz w:val="24"/>
        </w:rPr>
        <w:t>n</w:t>
      </w:r>
      <w:r w:rsidR="003A1939" w:rsidRPr="00EF1A8C">
        <w:rPr>
          <w:sz w:val="24"/>
        </w:rPr>
        <w:t>dre love</w:t>
      </w:r>
      <w:r w:rsidR="003A1939">
        <w:rPr>
          <w:sz w:val="24"/>
        </w:rPr>
        <w:t xml:space="preserve"> </w:t>
      </w:r>
      <w:r w:rsidR="003A1939" w:rsidRPr="00EF1A8C">
        <w:rPr>
          <w:sz w:val="24"/>
        </w:rPr>
        <w:t>(Ændring af afgift på erhvervenes energiforbrug m.v., forkortelse af kredittider</w:t>
      </w:r>
      <w:r w:rsidR="003A1939">
        <w:rPr>
          <w:sz w:val="24"/>
        </w:rPr>
        <w:t xml:space="preserve"> </w:t>
      </w:r>
      <w:r w:rsidR="003A1939" w:rsidRPr="00EF1A8C">
        <w:rPr>
          <w:sz w:val="24"/>
        </w:rPr>
        <w:t>for tobaksafgift og lempelse af ølmoderationsordningen)</w:t>
      </w:r>
      <w:r w:rsidR="003A1939">
        <w:rPr>
          <w:sz w:val="24"/>
        </w:rPr>
        <w:t xml:space="preserve"> (L 195) </w:t>
      </w:r>
      <w:r w:rsidR="003279F1">
        <w:rPr>
          <w:sz w:val="24"/>
        </w:rPr>
        <w:t>for så vidt angår den del, der vedrører ændringen af tobak</w:t>
      </w:r>
      <w:r w:rsidR="003279F1">
        <w:rPr>
          <w:sz w:val="24"/>
        </w:rPr>
        <w:t>s</w:t>
      </w:r>
      <w:r w:rsidR="003279F1">
        <w:rPr>
          <w:sz w:val="24"/>
        </w:rPr>
        <w:t>afgiftsloven</w:t>
      </w:r>
      <w:r w:rsidR="001A6FC4">
        <w:rPr>
          <w:sz w:val="24"/>
        </w:rPr>
        <w:t>.</w:t>
      </w:r>
    </w:p>
    <w:p w:rsidR="00173EEF" w:rsidRDefault="00173EEF">
      <w:pPr>
        <w:spacing w:line="288" w:lineRule="auto"/>
        <w:ind w:left="1417"/>
        <w:jc w:val="both"/>
        <w:rPr>
          <w:sz w:val="24"/>
        </w:rPr>
      </w:pPr>
    </w:p>
    <w:p w:rsidR="00173EEF" w:rsidRDefault="00173EEF">
      <w:pPr>
        <w:spacing w:line="288" w:lineRule="auto"/>
        <w:ind w:left="1417"/>
        <w:jc w:val="both"/>
        <w:rPr>
          <w:sz w:val="24"/>
        </w:rPr>
      </w:pPr>
    </w:p>
    <w:p w:rsidR="00173EEF" w:rsidRDefault="00173EEF">
      <w:pPr>
        <w:spacing w:line="288" w:lineRule="auto"/>
        <w:ind w:left="1417"/>
        <w:jc w:val="both"/>
        <w:rPr>
          <w:sz w:val="24"/>
        </w:rPr>
      </w:pPr>
    </w:p>
    <w:p w:rsidR="00173EEF" w:rsidRDefault="00173EEF">
      <w:pPr>
        <w:spacing w:line="288" w:lineRule="auto"/>
        <w:ind w:left="1417"/>
        <w:jc w:val="both"/>
        <w:rPr>
          <w:sz w:val="24"/>
        </w:rPr>
      </w:pPr>
    </w:p>
    <w:p w:rsidR="00173EEF" w:rsidRDefault="00173EEF">
      <w:pPr>
        <w:spacing w:line="288" w:lineRule="auto"/>
        <w:ind w:left="1417"/>
        <w:jc w:val="both"/>
        <w:rPr>
          <w:sz w:val="24"/>
        </w:rPr>
      </w:pPr>
    </w:p>
    <w:p w:rsidR="00173EEF" w:rsidRDefault="00505D4C">
      <w:pPr>
        <w:spacing w:line="288" w:lineRule="auto"/>
        <w:ind w:left="1417"/>
        <w:jc w:val="both"/>
        <w:rPr>
          <w:sz w:val="24"/>
        </w:rPr>
      </w:pPr>
      <w:r>
        <w:rPr>
          <w:sz w:val="24"/>
        </w:rPr>
        <w:t>Peter Christensen</w:t>
      </w:r>
    </w:p>
    <w:p w:rsidR="00173EEF" w:rsidRDefault="000A6A2B" w:rsidP="00796F36">
      <w:pPr>
        <w:tabs>
          <w:tab w:val="left" w:pos="4680"/>
        </w:tabs>
        <w:spacing w:line="288" w:lineRule="auto"/>
        <w:ind w:left="1417"/>
        <w:jc w:val="both"/>
        <w:rPr>
          <w:sz w:val="24"/>
        </w:rPr>
      </w:pPr>
      <w:r>
        <w:rPr>
          <w:sz w:val="24"/>
        </w:rPr>
        <w:t xml:space="preserve">                                         </w:t>
      </w:r>
      <w:r w:rsidR="00173EEF">
        <w:rPr>
          <w:sz w:val="24"/>
        </w:rPr>
        <w:t>/</w:t>
      </w:r>
      <w:r w:rsidR="003A1939">
        <w:rPr>
          <w:sz w:val="24"/>
        </w:rPr>
        <w:t>Susanne Reinholdt Andersen</w:t>
      </w:r>
    </w:p>
    <w:p w:rsidR="00173EEF" w:rsidRDefault="00173EEF">
      <w:pPr>
        <w:rPr>
          <w:sz w:val="24"/>
        </w:rPr>
      </w:pPr>
      <w:r>
        <w:rPr>
          <w:sz w:val="24"/>
        </w:rPr>
        <w:t xml:space="preserve">                         </w:t>
      </w:r>
    </w:p>
    <w:p w:rsidR="00173EEF" w:rsidRDefault="00173EEF">
      <w:pPr>
        <w:spacing w:line="288" w:lineRule="auto"/>
        <w:rPr>
          <w:sz w:val="24"/>
          <w:szCs w:val="16"/>
          <w:lang w:eastAsia="en-US"/>
        </w:rPr>
      </w:pPr>
      <w:r>
        <w:rPr>
          <w:b/>
          <w:bCs/>
          <w:sz w:val="24"/>
        </w:rPr>
        <w:t xml:space="preserve"> </w:t>
      </w:r>
    </w:p>
    <w:p w:rsidR="00173EEF" w:rsidRDefault="00173EEF">
      <w:pPr>
        <w:spacing w:line="288" w:lineRule="auto"/>
        <w:rPr>
          <w:sz w:val="24"/>
          <w:szCs w:val="16"/>
          <w:lang w:eastAsia="en-US"/>
        </w:rPr>
      </w:pPr>
    </w:p>
    <w:p w:rsidR="00173EEF" w:rsidRDefault="00173EEF">
      <w:pPr>
        <w:pStyle w:val="Sidehoved"/>
        <w:tabs>
          <w:tab w:val="clear" w:pos="4819"/>
          <w:tab w:val="clear" w:pos="9638"/>
        </w:tabs>
        <w:rPr>
          <w:sz w:val="24"/>
        </w:rPr>
      </w:pPr>
    </w:p>
    <w:p w:rsidR="00173EEF" w:rsidRDefault="00173EEF">
      <w:pPr>
        <w:rPr>
          <w:b/>
          <w:bCs/>
          <w:sz w:val="24"/>
        </w:rPr>
      </w:pPr>
    </w:p>
    <w:p w:rsidR="00173EEF" w:rsidRDefault="00173EEF">
      <w:pPr>
        <w:pStyle w:val="Brdtekst"/>
      </w:pPr>
      <w:r>
        <w:rPr>
          <w:sz w:val="24"/>
        </w:rPr>
        <w:br w:type="page"/>
      </w:r>
      <w:r>
        <w:t xml:space="preserve">Høringsskema indeholdende høringssvar og kommentarer hertil vedrørende udkast til </w:t>
      </w:r>
      <w:r w:rsidR="003279F1" w:rsidRPr="003279F1">
        <w:t xml:space="preserve">forslag til lov om ændring af lov om afgift af elektricitet, lov om tobaksafgifter og forskellige andre love for så vidt angår den del, der vedrører ændringen af tobaksafgiftsloven </w:t>
      </w:r>
      <w:r w:rsidR="00CC7374">
        <w:rPr>
          <w:sz w:val="24"/>
        </w:rPr>
        <w:fldChar w:fldCharType="begin"/>
      </w:r>
      <w:r>
        <w:rPr>
          <w:sz w:val="24"/>
        </w:rPr>
        <w:instrText xml:space="preserve"> FILLIN "Indtast Lov-titel, afslut med tab, enter" \* MERGEFORMAT </w:instrText>
      </w:r>
      <w:r w:rsidR="00CC7374">
        <w:rPr>
          <w:sz w:val="24"/>
        </w:rPr>
        <w:fldChar w:fldCharType="end"/>
      </w:r>
      <w: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91"/>
        <w:gridCol w:w="2991"/>
        <w:gridCol w:w="2991"/>
      </w:tblGrid>
      <w:tr w:rsidR="003279F1" w:rsidRPr="00B02CE7" w:rsidTr="00B02CE7">
        <w:tc>
          <w:tcPr>
            <w:tcW w:w="2991" w:type="dxa"/>
          </w:tcPr>
          <w:p w:rsidR="003279F1" w:rsidRPr="00B02CE7" w:rsidRDefault="003279F1" w:rsidP="003279F1">
            <w:pPr>
              <w:rPr>
                <w:sz w:val="24"/>
              </w:rPr>
            </w:pPr>
            <w:r w:rsidRPr="00B02CE7">
              <w:rPr>
                <w:sz w:val="24"/>
              </w:rPr>
              <w:t>Organisation</w:t>
            </w:r>
          </w:p>
        </w:tc>
        <w:tc>
          <w:tcPr>
            <w:tcW w:w="2991" w:type="dxa"/>
          </w:tcPr>
          <w:p w:rsidR="003279F1" w:rsidRPr="00B02CE7" w:rsidRDefault="003279F1">
            <w:pPr>
              <w:rPr>
                <w:sz w:val="24"/>
              </w:rPr>
            </w:pPr>
            <w:r w:rsidRPr="00B02CE7">
              <w:rPr>
                <w:sz w:val="24"/>
              </w:rPr>
              <w:t>Bemærkninger</w:t>
            </w:r>
          </w:p>
        </w:tc>
        <w:tc>
          <w:tcPr>
            <w:tcW w:w="2991" w:type="dxa"/>
          </w:tcPr>
          <w:p w:rsidR="003279F1" w:rsidRPr="00B02CE7" w:rsidRDefault="003279F1">
            <w:pPr>
              <w:rPr>
                <w:sz w:val="24"/>
              </w:rPr>
            </w:pPr>
            <w:r w:rsidRPr="00B02CE7">
              <w:rPr>
                <w:sz w:val="24"/>
              </w:rPr>
              <w:t>Kommentar</w:t>
            </w:r>
          </w:p>
        </w:tc>
      </w:tr>
      <w:tr w:rsidR="003279F1" w:rsidRPr="00B02CE7" w:rsidTr="00B02CE7">
        <w:tc>
          <w:tcPr>
            <w:tcW w:w="2991" w:type="dxa"/>
          </w:tcPr>
          <w:p w:rsidR="003279F1" w:rsidRPr="00B02CE7" w:rsidRDefault="003279F1">
            <w:pPr>
              <w:rPr>
                <w:sz w:val="24"/>
              </w:rPr>
            </w:pPr>
            <w:r w:rsidRPr="00B02CE7">
              <w:rPr>
                <w:sz w:val="24"/>
              </w:rPr>
              <w:t>Danske Advokater</w:t>
            </w:r>
          </w:p>
        </w:tc>
        <w:tc>
          <w:tcPr>
            <w:tcW w:w="2991" w:type="dxa"/>
          </w:tcPr>
          <w:p w:rsidR="003279F1" w:rsidRPr="00B02CE7" w:rsidRDefault="003279F1">
            <w:pPr>
              <w:rPr>
                <w:sz w:val="24"/>
              </w:rPr>
            </w:pPr>
            <w:r w:rsidRPr="00B02CE7">
              <w:rPr>
                <w:sz w:val="24"/>
              </w:rPr>
              <w:t>Ingen</w:t>
            </w:r>
          </w:p>
        </w:tc>
        <w:tc>
          <w:tcPr>
            <w:tcW w:w="2991" w:type="dxa"/>
          </w:tcPr>
          <w:p w:rsidR="003279F1" w:rsidRPr="00B02CE7" w:rsidRDefault="003279F1">
            <w:pPr>
              <w:rPr>
                <w:sz w:val="24"/>
              </w:rPr>
            </w:pPr>
          </w:p>
        </w:tc>
      </w:tr>
      <w:tr w:rsidR="003279F1" w:rsidRPr="00B02CE7" w:rsidTr="00B02CE7">
        <w:tc>
          <w:tcPr>
            <w:tcW w:w="2991" w:type="dxa"/>
          </w:tcPr>
          <w:p w:rsidR="003279F1" w:rsidRPr="00B02CE7" w:rsidRDefault="003279F1">
            <w:pPr>
              <w:rPr>
                <w:sz w:val="24"/>
              </w:rPr>
            </w:pPr>
            <w:r w:rsidRPr="00B02CE7">
              <w:rPr>
                <w:sz w:val="24"/>
              </w:rPr>
              <w:t>Dansk Erhverv</w:t>
            </w:r>
          </w:p>
        </w:tc>
        <w:tc>
          <w:tcPr>
            <w:tcW w:w="2991" w:type="dxa"/>
          </w:tcPr>
          <w:p w:rsidR="003279F1" w:rsidRPr="00B02CE7" w:rsidRDefault="001A6FC4" w:rsidP="001A6FC4">
            <w:pPr>
              <w:rPr>
                <w:sz w:val="24"/>
              </w:rPr>
            </w:pPr>
            <w:r w:rsidRPr="001A6FC4">
              <w:rPr>
                <w:sz w:val="24"/>
              </w:rPr>
              <w:t>Dansk Erhverv anfører, at det kan undre at der tilvej</w:t>
            </w:r>
            <w:r w:rsidRPr="001A6FC4">
              <w:rPr>
                <w:sz w:val="24"/>
              </w:rPr>
              <w:t>e</w:t>
            </w:r>
            <w:r w:rsidRPr="001A6FC4">
              <w:rPr>
                <w:sz w:val="24"/>
              </w:rPr>
              <w:t>bringes et provenu på 400-450 mio. kr. i 2011, idet u</w:t>
            </w:r>
            <w:r w:rsidRPr="001A6FC4">
              <w:rPr>
                <w:sz w:val="24"/>
              </w:rPr>
              <w:t>d</w:t>
            </w:r>
            <w:r w:rsidRPr="001A6FC4">
              <w:rPr>
                <w:sz w:val="24"/>
              </w:rPr>
              <w:t>skydelsen af fedtafgiften kun vil medføre et proven</w:t>
            </w:r>
            <w:r w:rsidRPr="001A6FC4">
              <w:rPr>
                <w:sz w:val="24"/>
              </w:rPr>
              <w:t>u</w:t>
            </w:r>
            <w:r w:rsidRPr="001A6FC4">
              <w:rPr>
                <w:sz w:val="24"/>
              </w:rPr>
              <w:t>tab</w:t>
            </w:r>
            <w:r>
              <w:rPr>
                <w:sz w:val="24"/>
              </w:rPr>
              <w:t xml:space="preserve"> på omkring 350 mio. kr. i 2011, men s</w:t>
            </w:r>
            <w:r w:rsidR="003279F1" w:rsidRPr="00B02CE7">
              <w:rPr>
                <w:sz w:val="24"/>
              </w:rPr>
              <w:t xml:space="preserve">tøtter </w:t>
            </w:r>
            <w:r>
              <w:rPr>
                <w:sz w:val="24"/>
              </w:rPr>
              <w:t xml:space="preserve">i øvrigt </w:t>
            </w:r>
            <w:r w:rsidR="003279F1" w:rsidRPr="00B02CE7">
              <w:rPr>
                <w:sz w:val="24"/>
              </w:rPr>
              <w:t>lovforslaget.</w:t>
            </w:r>
          </w:p>
        </w:tc>
        <w:tc>
          <w:tcPr>
            <w:tcW w:w="2991" w:type="dxa"/>
          </w:tcPr>
          <w:p w:rsidR="003279F1" w:rsidRPr="00B02CE7" w:rsidRDefault="001A6FC4">
            <w:pPr>
              <w:rPr>
                <w:sz w:val="24"/>
              </w:rPr>
            </w:pPr>
            <w:r w:rsidRPr="001A6FC4">
              <w:rPr>
                <w:sz w:val="24"/>
              </w:rPr>
              <w:t>Det er korrekt, at der tilv</w:t>
            </w:r>
            <w:r w:rsidRPr="001A6FC4">
              <w:rPr>
                <w:sz w:val="24"/>
              </w:rPr>
              <w:t>e</w:t>
            </w:r>
            <w:r w:rsidRPr="001A6FC4">
              <w:rPr>
                <w:sz w:val="24"/>
              </w:rPr>
              <w:t>jebringes et merprovenu i 2011, som overstiger prov</w:t>
            </w:r>
            <w:r w:rsidRPr="001A6FC4">
              <w:rPr>
                <w:sz w:val="24"/>
              </w:rPr>
              <w:t>e</w:t>
            </w:r>
            <w:r w:rsidRPr="001A6FC4">
              <w:rPr>
                <w:sz w:val="24"/>
              </w:rPr>
              <w:t xml:space="preserve">nutabet som følge </w:t>
            </w:r>
            <w:r>
              <w:rPr>
                <w:sz w:val="24"/>
              </w:rPr>
              <w:t xml:space="preserve">af </w:t>
            </w:r>
            <w:r w:rsidRPr="001A6FC4">
              <w:rPr>
                <w:sz w:val="24"/>
              </w:rPr>
              <w:t>udsk</w:t>
            </w:r>
            <w:r w:rsidRPr="001A6FC4">
              <w:rPr>
                <w:sz w:val="24"/>
              </w:rPr>
              <w:t>y</w:t>
            </w:r>
            <w:r w:rsidRPr="001A6FC4">
              <w:rPr>
                <w:sz w:val="24"/>
              </w:rPr>
              <w:t>delsen af ikrafttrædelsen af fedtafgiften.  Dette merpr</w:t>
            </w:r>
            <w:r w:rsidRPr="001A6FC4">
              <w:rPr>
                <w:sz w:val="24"/>
              </w:rPr>
              <w:t>o</w:t>
            </w:r>
            <w:r w:rsidRPr="001A6FC4">
              <w:rPr>
                <w:sz w:val="24"/>
              </w:rPr>
              <w:t>venu vil blive anvendt til at finansiere det provenutab, som udskydelsen af pest</w:t>
            </w:r>
            <w:r w:rsidRPr="001A6FC4">
              <w:rPr>
                <w:sz w:val="24"/>
              </w:rPr>
              <w:t>i</w:t>
            </w:r>
            <w:r w:rsidRPr="001A6FC4">
              <w:rPr>
                <w:sz w:val="24"/>
              </w:rPr>
              <w:t>cidafgiftsforslaget har me</w:t>
            </w:r>
            <w:r w:rsidRPr="001A6FC4">
              <w:rPr>
                <w:sz w:val="24"/>
              </w:rPr>
              <w:t>d</w:t>
            </w:r>
            <w:r w:rsidRPr="001A6FC4">
              <w:rPr>
                <w:sz w:val="24"/>
              </w:rPr>
              <w:t xml:space="preserve">ført i 2011.  </w:t>
            </w:r>
          </w:p>
        </w:tc>
      </w:tr>
      <w:tr w:rsidR="003279F1" w:rsidRPr="00B02CE7" w:rsidTr="00B02CE7">
        <w:tc>
          <w:tcPr>
            <w:tcW w:w="2991" w:type="dxa"/>
          </w:tcPr>
          <w:p w:rsidR="003279F1" w:rsidRPr="00B02CE7" w:rsidRDefault="003279F1">
            <w:pPr>
              <w:rPr>
                <w:sz w:val="24"/>
              </w:rPr>
            </w:pPr>
            <w:r w:rsidRPr="00B02CE7">
              <w:rPr>
                <w:sz w:val="24"/>
              </w:rPr>
              <w:t>Dansk Revisorforening</w:t>
            </w:r>
          </w:p>
        </w:tc>
        <w:tc>
          <w:tcPr>
            <w:tcW w:w="2991" w:type="dxa"/>
          </w:tcPr>
          <w:p w:rsidR="003279F1" w:rsidRPr="00B02CE7" w:rsidRDefault="003279F1">
            <w:pPr>
              <w:rPr>
                <w:sz w:val="24"/>
              </w:rPr>
            </w:pPr>
            <w:r w:rsidRPr="00B02CE7">
              <w:rPr>
                <w:sz w:val="24"/>
              </w:rPr>
              <w:t>Ingen</w:t>
            </w:r>
          </w:p>
        </w:tc>
        <w:tc>
          <w:tcPr>
            <w:tcW w:w="2991" w:type="dxa"/>
          </w:tcPr>
          <w:p w:rsidR="003279F1" w:rsidRPr="00B02CE7" w:rsidRDefault="003279F1">
            <w:pPr>
              <w:rPr>
                <w:sz w:val="24"/>
              </w:rPr>
            </w:pPr>
          </w:p>
        </w:tc>
      </w:tr>
      <w:tr w:rsidR="003279F1" w:rsidRPr="00B02CE7" w:rsidTr="00B02CE7">
        <w:tc>
          <w:tcPr>
            <w:tcW w:w="2991" w:type="dxa"/>
          </w:tcPr>
          <w:p w:rsidR="003279F1" w:rsidRPr="00B02CE7" w:rsidRDefault="003279F1">
            <w:pPr>
              <w:rPr>
                <w:sz w:val="24"/>
              </w:rPr>
            </w:pPr>
            <w:r w:rsidRPr="00B02CE7">
              <w:rPr>
                <w:sz w:val="24"/>
              </w:rPr>
              <w:t>Erhvervs- og Selskabsstyre</w:t>
            </w:r>
            <w:r w:rsidRPr="00B02CE7">
              <w:rPr>
                <w:sz w:val="24"/>
              </w:rPr>
              <w:t>l</w:t>
            </w:r>
            <w:r w:rsidRPr="00B02CE7">
              <w:rPr>
                <w:sz w:val="24"/>
              </w:rPr>
              <w:t>sen (CKR)</w:t>
            </w:r>
          </w:p>
        </w:tc>
        <w:tc>
          <w:tcPr>
            <w:tcW w:w="2991" w:type="dxa"/>
          </w:tcPr>
          <w:p w:rsidR="003279F1" w:rsidRPr="00B02CE7" w:rsidRDefault="003279F1">
            <w:pPr>
              <w:rPr>
                <w:sz w:val="24"/>
              </w:rPr>
            </w:pPr>
            <w:r w:rsidRPr="00B02CE7">
              <w:rPr>
                <w:sz w:val="24"/>
              </w:rPr>
              <w:t>Bemærkninger vedr. adm</w:t>
            </w:r>
            <w:r w:rsidRPr="00B02CE7">
              <w:rPr>
                <w:sz w:val="24"/>
              </w:rPr>
              <w:t>i</w:t>
            </w:r>
            <w:r w:rsidRPr="00B02CE7">
              <w:rPr>
                <w:sz w:val="24"/>
              </w:rPr>
              <w:t>nistrative konsekvenser</w:t>
            </w:r>
          </w:p>
        </w:tc>
        <w:tc>
          <w:tcPr>
            <w:tcW w:w="2991" w:type="dxa"/>
          </w:tcPr>
          <w:p w:rsidR="003279F1" w:rsidRPr="00B02CE7" w:rsidRDefault="003279F1" w:rsidP="00275AC2">
            <w:pPr>
              <w:rPr>
                <w:sz w:val="24"/>
              </w:rPr>
            </w:pPr>
            <w:r w:rsidRPr="00B02CE7">
              <w:rPr>
                <w:sz w:val="24"/>
              </w:rPr>
              <w:t>Bemærkningerne er inda</w:t>
            </w:r>
            <w:r w:rsidRPr="00B02CE7">
              <w:rPr>
                <w:sz w:val="24"/>
              </w:rPr>
              <w:t>r</w:t>
            </w:r>
            <w:r w:rsidRPr="00B02CE7">
              <w:rPr>
                <w:sz w:val="24"/>
              </w:rPr>
              <w:t>bejdet i lovforslaget</w:t>
            </w:r>
            <w:r w:rsidR="00275AC2">
              <w:rPr>
                <w:sz w:val="24"/>
              </w:rPr>
              <w:t xml:space="preserve"> (der var udelukkende mindre omsti</w:t>
            </w:r>
            <w:r w:rsidR="00275AC2">
              <w:rPr>
                <w:sz w:val="24"/>
              </w:rPr>
              <w:t>l</w:t>
            </w:r>
            <w:r w:rsidR="00275AC2">
              <w:rPr>
                <w:sz w:val="24"/>
              </w:rPr>
              <w:t>lingsbyrder og ingen løbe</w:t>
            </w:r>
            <w:r w:rsidR="00275AC2">
              <w:rPr>
                <w:sz w:val="24"/>
              </w:rPr>
              <w:t>n</w:t>
            </w:r>
            <w:r w:rsidR="00275AC2">
              <w:rPr>
                <w:sz w:val="24"/>
              </w:rPr>
              <w:t>de administrative kons</w:t>
            </w:r>
            <w:r w:rsidR="00275AC2">
              <w:rPr>
                <w:sz w:val="24"/>
              </w:rPr>
              <w:t>e</w:t>
            </w:r>
            <w:r w:rsidR="00275AC2">
              <w:rPr>
                <w:sz w:val="24"/>
              </w:rPr>
              <w:t>kvenser).</w:t>
            </w:r>
          </w:p>
        </w:tc>
      </w:tr>
      <w:tr w:rsidR="003279F1" w:rsidRPr="00B02CE7" w:rsidTr="00B02CE7">
        <w:tc>
          <w:tcPr>
            <w:tcW w:w="2991" w:type="dxa"/>
          </w:tcPr>
          <w:p w:rsidR="003279F1" w:rsidRPr="00B02CE7" w:rsidRDefault="003279F1">
            <w:pPr>
              <w:rPr>
                <w:sz w:val="24"/>
              </w:rPr>
            </w:pPr>
            <w:r w:rsidRPr="00B02CE7">
              <w:rPr>
                <w:sz w:val="24"/>
              </w:rPr>
              <w:t>Foreningen af Statsautoris</w:t>
            </w:r>
            <w:r w:rsidRPr="00B02CE7">
              <w:rPr>
                <w:sz w:val="24"/>
              </w:rPr>
              <w:t>e</w:t>
            </w:r>
            <w:r w:rsidRPr="00B02CE7">
              <w:rPr>
                <w:sz w:val="24"/>
              </w:rPr>
              <w:t>rede Revisorer</w:t>
            </w:r>
          </w:p>
        </w:tc>
        <w:tc>
          <w:tcPr>
            <w:tcW w:w="2991" w:type="dxa"/>
          </w:tcPr>
          <w:p w:rsidR="003279F1" w:rsidRPr="00B02CE7" w:rsidRDefault="003279F1">
            <w:pPr>
              <w:rPr>
                <w:sz w:val="24"/>
              </w:rPr>
            </w:pPr>
            <w:r w:rsidRPr="00B02CE7">
              <w:rPr>
                <w:sz w:val="24"/>
              </w:rPr>
              <w:t>Ingen</w:t>
            </w:r>
          </w:p>
        </w:tc>
        <w:tc>
          <w:tcPr>
            <w:tcW w:w="2991" w:type="dxa"/>
          </w:tcPr>
          <w:p w:rsidR="003279F1" w:rsidRPr="00B02CE7" w:rsidRDefault="003279F1">
            <w:pPr>
              <w:rPr>
                <w:sz w:val="24"/>
              </w:rPr>
            </w:pPr>
          </w:p>
        </w:tc>
      </w:tr>
      <w:tr w:rsidR="003279F1" w:rsidRPr="00B02CE7" w:rsidTr="00B02CE7">
        <w:tc>
          <w:tcPr>
            <w:tcW w:w="2991" w:type="dxa"/>
          </w:tcPr>
          <w:p w:rsidR="003279F1" w:rsidRPr="00B02CE7" w:rsidRDefault="003279F1">
            <w:pPr>
              <w:rPr>
                <w:sz w:val="24"/>
              </w:rPr>
            </w:pPr>
            <w:r w:rsidRPr="00B02CE7">
              <w:rPr>
                <w:sz w:val="24"/>
              </w:rPr>
              <w:t>Konkurrence- og Forbruge</w:t>
            </w:r>
            <w:r w:rsidRPr="00B02CE7">
              <w:rPr>
                <w:sz w:val="24"/>
              </w:rPr>
              <w:t>r</w:t>
            </w:r>
            <w:r w:rsidRPr="00B02CE7">
              <w:rPr>
                <w:sz w:val="24"/>
              </w:rPr>
              <w:t>styrelsen</w:t>
            </w:r>
          </w:p>
        </w:tc>
        <w:tc>
          <w:tcPr>
            <w:tcW w:w="2991" w:type="dxa"/>
          </w:tcPr>
          <w:p w:rsidR="003279F1" w:rsidRPr="00B02CE7" w:rsidRDefault="003279F1">
            <w:pPr>
              <w:rPr>
                <w:sz w:val="24"/>
              </w:rPr>
            </w:pPr>
            <w:r w:rsidRPr="00B02CE7">
              <w:rPr>
                <w:sz w:val="24"/>
              </w:rPr>
              <w:t>Ingen</w:t>
            </w:r>
          </w:p>
        </w:tc>
        <w:tc>
          <w:tcPr>
            <w:tcW w:w="2991" w:type="dxa"/>
          </w:tcPr>
          <w:p w:rsidR="003279F1" w:rsidRPr="00B02CE7" w:rsidRDefault="003279F1">
            <w:pPr>
              <w:rPr>
                <w:sz w:val="24"/>
              </w:rPr>
            </w:pPr>
          </w:p>
        </w:tc>
      </w:tr>
      <w:tr w:rsidR="00B02CE7" w:rsidRPr="00B02CE7" w:rsidTr="00B02CE7">
        <w:tc>
          <w:tcPr>
            <w:tcW w:w="2991" w:type="dxa"/>
          </w:tcPr>
          <w:p w:rsidR="00B02CE7" w:rsidRPr="00B02CE7" w:rsidRDefault="00B02CE7">
            <w:pPr>
              <w:rPr>
                <w:sz w:val="24"/>
              </w:rPr>
            </w:pPr>
            <w:r w:rsidRPr="00B02CE7">
              <w:rPr>
                <w:sz w:val="24"/>
              </w:rPr>
              <w:t>Kommunernes Landsfo</w:t>
            </w:r>
            <w:r w:rsidRPr="00B02CE7">
              <w:rPr>
                <w:sz w:val="24"/>
              </w:rPr>
              <w:t>r</w:t>
            </w:r>
            <w:r w:rsidRPr="00B02CE7">
              <w:rPr>
                <w:sz w:val="24"/>
              </w:rPr>
              <w:t>ening</w:t>
            </w:r>
          </w:p>
        </w:tc>
        <w:tc>
          <w:tcPr>
            <w:tcW w:w="2991" w:type="dxa"/>
          </w:tcPr>
          <w:p w:rsidR="00B02CE7" w:rsidRPr="00B02CE7" w:rsidRDefault="00B02CE7">
            <w:pPr>
              <w:rPr>
                <w:sz w:val="24"/>
              </w:rPr>
            </w:pPr>
            <w:r w:rsidRPr="00B02CE7">
              <w:rPr>
                <w:sz w:val="24"/>
              </w:rPr>
              <w:t xml:space="preserve">Ingen </w:t>
            </w:r>
          </w:p>
        </w:tc>
        <w:tc>
          <w:tcPr>
            <w:tcW w:w="2991" w:type="dxa"/>
          </w:tcPr>
          <w:p w:rsidR="00B02CE7" w:rsidRPr="00B02CE7" w:rsidRDefault="00B02CE7">
            <w:pPr>
              <w:rPr>
                <w:sz w:val="24"/>
              </w:rPr>
            </w:pPr>
          </w:p>
        </w:tc>
      </w:tr>
      <w:tr w:rsidR="00B02CE7" w:rsidRPr="00B02CE7" w:rsidTr="00B02CE7">
        <w:tc>
          <w:tcPr>
            <w:tcW w:w="2991" w:type="dxa"/>
          </w:tcPr>
          <w:p w:rsidR="00B02CE7" w:rsidRPr="00B02CE7" w:rsidRDefault="00B02CE7">
            <w:pPr>
              <w:rPr>
                <w:sz w:val="24"/>
              </w:rPr>
            </w:pPr>
            <w:r w:rsidRPr="00B02CE7">
              <w:rPr>
                <w:sz w:val="24"/>
              </w:rPr>
              <w:t>Philip Morris ApS</w:t>
            </w:r>
          </w:p>
        </w:tc>
        <w:tc>
          <w:tcPr>
            <w:tcW w:w="2991" w:type="dxa"/>
          </w:tcPr>
          <w:p w:rsidR="00B02CE7" w:rsidRPr="00B02CE7" w:rsidRDefault="00B02CE7">
            <w:pPr>
              <w:rPr>
                <w:sz w:val="24"/>
              </w:rPr>
            </w:pPr>
            <w:r w:rsidRPr="00B02CE7">
              <w:rPr>
                <w:sz w:val="24"/>
              </w:rPr>
              <w:t>Philip Morris anfører, at produktet først må afgiftsb</w:t>
            </w:r>
            <w:r w:rsidRPr="00B02CE7">
              <w:rPr>
                <w:sz w:val="24"/>
              </w:rPr>
              <w:t>e</w:t>
            </w:r>
            <w:r w:rsidRPr="00B02CE7">
              <w:rPr>
                <w:sz w:val="24"/>
              </w:rPr>
              <w:t>lægges når det frigives til forbrug, og gør opmærksom på, at de anvender i ge</w:t>
            </w:r>
            <w:r w:rsidRPr="00B02CE7">
              <w:rPr>
                <w:sz w:val="24"/>
              </w:rPr>
              <w:t>n</w:t>
            </w:r>
            <w:r w:rsidRPr="00B02CE7">
              <w:rPr>
                <w:sz w:val="24"/>
              </w:rPr>
              <w:t>nemsnit 76 dage fra køb af stempelmærker til de mo</w:t>
            </w:r>
            <w:r w:rsidRPr="00B02CE7">
              <w:rPr>
                <w:sz w:val="24"/>
              </w:rPr>
              <w:t>d</w:t>
            </w:r>
            <w:r w:rsidRPr="00B02CE7">
              <w:rPr>
                <w:sz w:val="24"/>
              </w:rPr>
              <w:t>tager betaling fra deres ku</w:t>
            </w:r>
            <w:r w:rsidRPr="00B02CE7">
              <w:rPr>
                <w:sz w:val="24"/>
              </w:rPr>
              <w:t>n</w:t>
            </w:r>
            <w:r w:rsidRPr="00B02CE7">
              <w:rPr>
                <w:sz w:val="24"/>
              </w:rPr>
              <w:t>der. Fremhæver endvidere at produktionen ligger udenfor Danmark, og foreslår at udenlandske virksomheder behandles separat, eller helt undlades fra lovforslaget.</w:t>
            </w:r>
          </w:p>
        </w:tc>
        <w:tc>
          <w:tcPr>
            <w:tcW w:w="2991" w:type="dxa"/>
          </w:tcPr>
          <w:p w:rsidR="00B02CE7" w:rsidRDefault="00A448B1" w:rsidP="00A448B1">
            <w:pPr>
              <w:rPr>
                <w:sz w:val="24"/>
              </w:rPr>
            </w:pPr>
            <w:r>
              <w:rPr>
                <w:sz w:val="24"/>
              </w:rPr>
              <w:t>En del af den anførte kredi</w:t>
            </w:r>
            <w:r>
              <w:rPr>
                <w:sz w:val="24"/>
              </w:rPr>
              <w:t>t</w:t>
            </w:r>
            <w:r>
              <w:rPr>
                <w:sz w:val="24"/>
              </w:rPr>
              <w:t>tid på 76 dage stammer fra den kredit, som Philip Mo</w:t>
            </w:r>
            <w:r>
              <w:rPr>
                <w:sz w:val="24"/>
              </w:rPr>
              <w:t>r</w:t>
            </w:r>
            <w:r>
              <w:rPr>
                <w:sz w:val="24"/>
              </w:rPr>
              <w:t>ris giver deres kunder, og derudover ser det ud til at lagertiden varierer for de enkelte mærker</w:t>
            </w:r>
            <w:r w:rsidR="000E2099">
              <w:rPr>
                <w:sz w:val="24"/>
              </w:rPr>
              <w:t>.</w:t>
            </w:r>
          </w:p>
          <w:p w:rsidR="000E2099" w:rsidRDefault="000E2099" w:rsidP="000E2099">
            <w:pPr>
              <w:rPr>
                <w:sz w:val="24"/>
              </w:rPr>
            </w:pPr>
            <w:r>
              <w:rPr>
                <w:sz w:val="24"/>
              </w:rPr>
              <w:t>EU’s cirkulationsdirektiv</w:t>
            </w:r>
            <w:r w:rsidR="00275AC2">
              <w:rPr>
                <w:sz w:val="24"/>
              </w:rPr>
              <w:t xml:space="preserve"> foreskriver, at afgiften fo</w:t>
            </w:r>
            <w:r w:rsidR="00275AC2">
              <w:rPr>
                <w:sz w:val="24"/>
              </w:rPr>
              <w:t>r</w:t>
            </w:r>
            <w:r w:rsidR="00275AC2">
              <w:rPr>
                <w:sz w:val="24"/>
              </w:rPr>
              <w:t>falder ved overgang til fo</w:t>
            </w:r>
            <w:r w:rsidR="00275AC2">
              <w:rPr>
                <w:sz w:val="24"/>
              </w:rPr>
              <w:t>r</w:t>
            </w:r>
            <w:r w:rsidR="00275AC2">
              <w:rPr>
                <w:sz w:val="24"/>
              </w:rPr>
              <w:t>brug. Direktivet giver dog samtidig</w:t>
            </w:r>
            <w:r>
              <w:rPr>
                <w:sz w:val="24"/>
              </w:rPr>
              <w:t xml:space="preserve"> medlemsstaterne mulighed for at opkræve t</w:t>
            </w:r>
            <w:r>
              <w:rPr>
                <w:sz w:val="24"/>
              </w:rPr>
              <w:t>o</w:t>
            </w:r>
            <w:r>
              <w:rPr>
                <w:sz w:val="24"/>
              </w:rPr>
              <w:t>baksafgiften forud, idet medlemsstaterne kan kræve, at tobaksvarerne påsættes stempelmærker inden de overgår til forbrug. Som u</w:t>
            </w:r>
            <w:r>
              <w:rPr>
                <w:sz w:val="24"/>
              </w:rPr>
              <w:t>d</w:t>
            </w:r>
            <w:r>
              <w:rPr>
                <w:sz w:val="24"/>
              </w:rPr>
              <w:t>gangspunkt skal tobaksafgi</w:t>
            </w:r>
            <w:r>
              <w:rPr>
                <w:sz w:val="24"/>
              </w:rPr>
              <w:t>f</w:t>
            </w:r>
            <w:r>
              <w:rPr>
                <w:sz w:val="24"/>
              </w:rPr>
              <w:t>ten betales ved køb af ste</w:t>
            </w:r>
            <w:r>
              <w:rPr>
                <w:sz w:val="24"/>
              </w:rPr>
              <w:t>m</w:t>
            </w:r>
            <w:r>
              <w:rPr>
                <w:sz w:val="24"/>
              </w:rPr>
              <w:t>pelmærkerne, men der gives kredit, såfremt virksomh</w:t>
            </w:r>
            <w:r>
              <w:rPr>
                <w:sz w:val="24"/>
              </w:rPr>
              <w:t>e</w:t>
            </w:r>
            <w:r>
              <w:rPr>
                <w:sz w:val="24"/>
              </w:rPr>
              <w:t>den har stillet behørig si</w:t>
            </w:r>
            <w:r>
              <w:rPr>
                <w:sz w:val="24"/>
              </w:rPr>
              <w:t>k</w:t>
            </w:r>
            <w:r>
              <w:rPr>
                <w:sz w:val="24"/>
              </w:rPr>
              <w:t>kerhed.</w:t>
            </w:r>
            <w:r w:rsidR="00275AC2">
              <w:rPr>
                <w:sz w:val="24"/>
              </w:rPr>
              <w:t xml:space="preserve"> I det øjeblik ste</w:t>
            </w:r>
            <w:r w:rsidR="00275AC2">
              <w:rPr>
                <w:sz w:val="24"/>
              </w:rPr>
              <w:t>m</w:t>
            </w:r>
            <w:r w:rsidR="00275AC2">
              <w:rPr>
                <w:sz w:val="24"/>
              </w:rPr>
              <w:t>pelmærkerne er påsat, er t</w:t>
            </w:r>
            <w:r w:rsidR="00275AC2">
              <w:rPr>
                <w:sz w:val="24"/>
              </w:rPr>
              <w:t>o</w:t>
            </w:r>
            <w:r w:rsidR="00275AC2">
              <w:rPr>
                <w:sz w:val="24"/>
              </w:rPr>
              <w:t>baksvarerne frigivet og kan overgå til forbrug.</w:t>
            </w:r>
          </w:p>
          <w:p w:rsidR="000E2099" w:rsidRDefault="000E2099" w:rsidP="000E2099">
            <w:pPr>
              <w:rPr>
                <w:sz w:val="24"/>
              </w:rPr>
            </w:pPr>
            <w:r>
              <w:rPr>
                <w:sz w:val="24"/>
              </w:rPr>
              <w:t>For så vidt angår udenlandsk produktion af tobaksvarer, er der allerede taget hensyn hertil, idet tobaksbekendtg</w:t>
            </w:r>
            <w:r>
              <w:rPr>
                <w:sz w:val="24"/>
              </w:rPr>
              <w:t>ø</w:t>
            </w:r>
            <w:r>
              <w:rPr>
                <w:sz w:val="24"/>
              </w:rPr>
              <w:t>relsen indrømmer disse 8 arbejdsdages yderligere kr</w:t>
            </w:r>
            <w:r>
              <w:rPr>
                <w:sz w:val="24"/>
              </w:rPr>
              <w:t>e</w:t>
            </w:r>
            <w:r>
              <w:rPr>
                <w:sz w:val="24"/>
              </w:rPr>
              <w:t>dittid grundet hensynet til bl.a. forsendelse.</w:t>
            </w:r>
          </w:p>
          <w:p w:rsidR="000E2099" w:rsidRPr="00B02CE7" w:rsidRDefault="00275AC2" w:rsidP="00275AC2">
            <w:pPr>
              <w:rPr>
                <w:sz w:val="24"/>
              </w:rPr>
            </w:pPr>
            <w:r>
              <w:rPr>
                <w:sz w:val="24"/>
              </w:rPr>
              <w:t xml:space="preserve">Derudover bør </w:t>
            </w:r>
            <w:r w:rsidR="000E2099">
              <w:rPr>
                <w:sz w:val="24"/>
              </w:rPr>
              <w:t xml:space="preserve">kredittiden for danske og udenlandske </w:t>
            </w:r>
            <w:r>
              <w:rPr>
                <w:sz w:val="24"/>
              </w:rPr>
              <w:t>virksomheder være den samme af hensyn til konku</w:t>
            </w:r>
            <w:r>
              <w:rPr>
                <w:sz w:val="24"/>
              </w:rPr>
              <w:t>r</w:t>
            </w:r>
            <w:r>
              <w:rPr>
                <w:sz w:val="24"/>
              </w:rPr>
              <w:t>rencen.</w:t>
            </w:r>
          </w:p>
        </w:tc>
      </w:tr>
      <w:tr w:rsidR="003279F1" w:rsidRPr="00B02CE7" w:rsidTr="00B02CE7">
        <w:tc>
          <w:tcPr>
            <w:tcW w:w="2991" w:type="dxa"/>
          </w:tcPr>
          <w:p w:rsidR="003279F1" w:rsidRPr="00B02CE7" w:rsidRDefault="003279F1">
            <w:pPr>
              <w:rPr>
                <w:sz w:val="24"/>
              </w:rPr>
            </w:pPr>
            <w:r w:rsidRPr="00B02CE7">
              <w:rPr>
                <w:sz w:val="24"/>
              </w:rPr>
              <w:t>Skattefaglig Forenings Ska</w:t>
            </w:r>
            <w:r w:rsidRPr="00B02CE7">
              <w:rPr>
                <w:sz w:val="24"/>
              </w:rPr>
              <w:t>t</w:t>
            </w:r>
            <w:r w:rsidRPr="00B02CE7">
              <w:rPr>
                <w:sz w:val="24"/>
              </w:rPr>
              <w:t>teudvalg</w:t>
            </w:r>
          </w:p>
        </w:tc>
        <w:tc>
          <w:tcPr>
            <w:tcW w:w="2991" w:type="dxa"/>
          </w:tcPr>
          <w:p w:rsidR="003279F1" w:rsidRPr="00B02CE7" w:rsidRDefault="003279F1">
            <w:pPr>
              <w:rPr>
                <w:sz w:val="24"/>
              </w:rPr>
            </w:pPr>
            <w:r w:rsidRPr="00B02CE7">
              <w:rPr>
                <w:sz w:val="24"/>
              </w:rPr>
              <w:t>Ingen</w:t>
            </w:r>
          </w:p>
        </w:tc>
        <w:tc>
          <w:tcPr>
            <w:tcW w:w="2991" w:type="dxa"/>
          </w:tcPr>
          <w:p w:rsidR="003279F1" w:rsidRPr="00B02CE7" w:rsidRDefault="003279F1">
            <w:pPr>
              <w:rPr>
                <w:sz w:val="24"/>
              </w:rPr>
            </w:pPr>
          </w:p>
        </w:tc>
      </w:tr>
      <w:tr w:rsidR="003279F1" w:rsidRPr="00B02CE7" w:rsidTr="00B02CE7">
        <w:tc>
          <w:tcPr>
            <w:tcW w:w="2991" w:type="dxa"/>
          </w:tcPr>
          <w:p w:rsidR="003279F1" w:rsidRPr="00B02CE7" w:rsidRDefault="00B02CE7">
            <w:pPr>
              <w:rPr>
                <w:sz w:val="24"/>
              </w:rPr>
            </w:pPr>
            <w:r w:rsidRPr="00B02CE7">
              <w:rPr>
                <w:sz w:val="24"/>
              </w:rPr>
              <w:t>Tobaksindustrien</w:t>
            </w:r>
          </w:p>
        </w:tc>
        <w:tc>
          <w:tcPr>
            <w:tcW w:w="2991" w:type="dxa"/>
          </w:tcPr>
          <w:p w:rsidR="003279F1" w:rsidRPr="00B02CE7" w:rsidRDefault="00B02CE7" w:rsidP="00B02CE7">
            <w:pPr>
              <w:rPr>
                <w:sz w:val="24"/>
              </w:rPr>
            </w:pPr>
            <w:r w:rsidRPr="00B02CE7">
              <w:rPr>
                <w:sz w:val="24"/>
              </w:rPr>
              <w:t>Tobaksindustrien anfører, at de reelt kommer til at o</w:t>
            </w:r>
            <w:r w:rsidRPr="00B02CE7">
              <w:rPr>
                <w:sz w:val="24"/>
              </w:rPr>
              <w:t>p</w:t>
            </w:r>
            <w:r w:rsidRPr="00B02CE7">
              <w:rPr>
                <w:sz w:val="24"/>
              </w:rPr>
              <w:t>træde som långiver til st</w:t>
            </w:r>
            <w:r w:rsidRPr="00B02CE7">
              <w:rPr>
                <w:sz w:val="24"/>
              </w:rPr>
              <w:t>a</w:t>
            </w:r>
            <w:r w:rsidRPr="00B02CE7">
              <w:rPr>
                <w:sz w:val="24"/>
              </w:rPr>
              <w:t>ten, idet de skal afregne t</w:t>
            </w:r>
            <w:r w:rsidRPr="00B02CE7">
              <w:rPr>
                <w:sz w:val="24"/>
              </w:rPr>
              <w:t>o</w:t>
            </w:r>
            <w:r w:rsidRPr="00B02CE7">
              <w:rPr>
                <w:sz w:val="24"/>
              </w:rPr>
              <w:t>baksafgiften inden de mo</w:t>
            </w:r>
            <w:r w:rsidRPr="00B02CE7">
              <w:rPr>
                <w:sz w:val="24"/>
              </w:rPr>
              <w:t>d</w:t>
            </w:r>
            <w:r w:rsidRPr="00B02CE7">
              <w:rPr>
                <w:sz w:val="24"/>
              </w:rPr>
              <w:t>tager betaling. Tobaksind</w:t>
            </w:r>
            <w:r w:rsidRPr="00B02CE7">
              <w:rPr>
                <w:sz w:val="24"/>
              </w:rPr>
              <w:t>u</w:t>
            </w:r>
            <w:r w:rsidRPr="00B02CE7">
              <w:rPr>
                <w:sz w:val="24"/>
              </w:rPr>
              <w:t>strien anser en kredittid på 48 dage for cigaretter og 74 dage for røgtobak som et minimum, og påpeger, at det er i strid med ”ånden” i ci</w:t>
            </w:r>
            <w:r w:rsidRPr="00B02CE7">
              <w:rPr>
                <w:sz w:val="24"/>
              </w:rPr>
              <w:t>r</w:t>
            </w:r>
            <w:r w:rsidRPr="00B02CE7">
              <w:rPr>
                <w:sz w:val="24"/>
              </w:rPr>
              <w:t xml:space="preserve">kulationsdirektivet, såfremt kredittiden er kortere </w:t>
            </w:r>
            <w:r w:rsidR="00275AC2">
              <w:rPr>
                <w:sz w:val="24"/>
              </w:rPr>
              <w:t xml:space="preserve">end 45 dage, </w:t>
            </w:r>
            <w:r w:rsidRPr="00B02CE7">
              <w:rPr>
                <w:sz w:val="24"/>
              </w:rPr>
              <w:t>jf. princippet om at afgiften forfalder ved ove</w:t>
            </w:r>
            <w:r w:rsidRPr="00B02CE7">
              <w:rPr>
                <w:sz w:val="24"/>
              </w:rPr>
              <w:t>r</w:t>
            </w:r>
            <w:r w:rsidRPr="00B02CE7">
              <w:rPr>
                <w:sz w:val="24"/>
              </w:rPr>
              <w:t>gangen til forbrug.</w:t>
            </w:r>
          </w:p>
        </w:tc>
        <w:tc>
          <w:tcPr>
            <w:tcW w:w="2991" w:type="dxa"/>
          </w:tcPr>
          <w:p w:rsidR="00275AC2" w:rsidRPr="00B02CE7" w:rsidRDefault="00275AC2">
            <w:pPr>
              <w:rPr>
                <w:sz w:val="24"/>
              </w:rPr>
            </w:pPr>
            <w:r>
              <w:rPr>
                <w:sz w:val="24"/>
              </w:rPr>
              <w:t>Se bemærkningerne ove</w:t>
            </w:r>
            <w:r>
              <w:rPr>
                <w:sz w:val="24"/>
              </w:rPr>
              <w:t>n</w:t>
            </w:r>
            <w:r>
              <w:rPr>
                <w:sz w:val="24"/>
              </w:rPr>
              <w:t>for, idet det bemærkes, at cirkulationsdirektivet ikke foreskriver en kredittid på 45 dage.</w:t>
            </w:r>
          </w:p>
        </w:tc>
      </w:tr>
    </w:tbl>
    <w:p w:rsidR="00173EEF" w:rsidRDefault="00173EEF">
      <w:pPr>
        <w:rPr>
          <w:sz w:val="24"/>
        </w:rPr>
      </w:pPr>
    </w:p>
    <w:sectPr w:rsidR="00173EEF" w:rsidSect="00EC277C">
      <w:footerReference w:type="default" r:id="rId6"/>
      <w:headerReference w:type="first" r:id="rId7"/>
      <w:pgSz w:w="11906" w:h="16838" w:code="9"/>
      <w:pgMar w:top="1258" w:right="1826" w:bottom="1134" w:left="1247" w:header="180" w:footer="709" w:gutter="0"/>
      <w:paperSrc w:first="256" w:other="256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F94" w:rsidRDefault="00583F94">
      <w:r>
        <w:separator/>
      </w:r>
    </w:p>
  </w:endnote>
  <w:endnote w:type="continuationSeparator" w:id="0">
    <w:p w:rsidR="00583F94" w:rsidRDefault="00583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099" w:rsidRDefault="000E2099">
    <w:pPr>
      <w:pStyle w:val="DepartementSidefod"/>
      <w:jc w:val="right"/>
    </w:pPr>
    <w:r>
      <w:t xml:space="preserve">Side </w:t>
    </w:r>
    <w:r w:rsidR="00CC7374">
      <w:rPr>
        <w:rStyle w:val="Sidetal"/>
      </w:rPr>
      <w:fldChar w:fldCharType="begin"/>
    </w:r>
    <w:r>
      <w:rPr>
        <w:rStyle w:val="Sidetal"/>
      </w:rPr>
      <w:instrText xml:space="preserve"> PAGE </w:instrText>
    </w:r>
    <w:r w:rsidR="00CC7374">
      <w:rPr>
        <w:rStyle w:val="Sidetal"/>
      </w:rPr>
      <w:fldChar w:fldCharType="separate"/>
    </w:r>
    <w:r w:rsidR="00E718A3">
      <w:rPr>
        <w:rStyle w:val="Sidetal"/>
        <w:noProof/>
      </w:rPr>
      <w:t>3</w:t>
    </w:r>
    <w:r w:rsidR="00CC7374">
      <w:rPr>
        <w:rStyle w:val="Sidet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F94" w:rsidRDefault="00583F94">
      <w:r>
        <w:separator/>
      </w:r>
    </w:p>
  </w:footnote>
  <w:footnote w:type="continuationSeparator" w:id="0">
    <w:p w:rsidR="00583F94" w:rsidRDefault="00583F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page" w:horzAnchor="page" w:tblpX="8699" w:tblpY="1"/>
      <w:tblOverlap w:val="never"/>
      <w:tblW w:w="2484" w:type="dxa"/>
      <w:tblInd w:w="805" w:type="dxa"/>
      <w:tblCellMar>
        <w:top w:w="2262" w:type="dxa"/>
      </w:tblCellMar>
      <w:tblLook w:val="01E0"/>
    </w:tblPr>
    <w:tblGrid>
      <w:gridCol w:w="2484"/>
    </w:tblGrid>
    <w:tr w:rsidR="000E2099">
      <w:trPr>
        <w:trHeight w:val="12079"/>
      </w:trPr>
      <w:tc>
        <w:tcPr>
          <w:tcW w:w="2484" w:type="dxa"/>
        </w:tcPr>
        <w:p w:rsidR="000E2099" w:rsidRDefault="000E2099">
          <w:pPr>
            <w:pStyle w:val="Departementtekst"/>
            <w:ind w:right="-105"/>
            <w:rPr>
              <w:rFonts w:ascii="Arial" w:hAnsi="Arial" w:cs="Arial"/>
              <w:sz w:val="14"/>
              <w:lang w:val="en-GB"/>
            </w:rPr>
          </w:pPr>
          <w:r>
            <w:rPr>
              <w:rFonts w:ascii="Arial" w:hAnsi="Arial" w:cs="Arial"/>
              <w:sz w:val="14"/>
              <w:lang w:val="en-GB"/>
            </w:rPr>
            <w:t xml:space="preserve">   J.nr. </w:t>
          </w:r>
          <w:bookmarkStart w:id="0" w:name="sagsnr"/>
          <w:bookmarkEnd w:id="0"/>
          <w:r w:rsidR="00B76FC3">
            <w:rPr>
              <w:rFonts w:ascii="Arial" w:hAnsi="Arial" w:cs="Arial"/>
              <w:sz w:val="14"/>
              <w:lang w:val="en-GB"/>
            </w:rPr>
            <w:t>2011-231-0044</w:t>
          </w:r>
        </w:p>
        <w:p w:rsidR="000E2099" w:rsidRDefault="000E2099">
          <w:pPr>
            <w:pStyle w:val="Departementtekst"/>
            <w:ind w:right="-105"/>
            <w:rPr>
              <w:rFonts w:ascii="Arial" w:hAnsi="Arial" w:cs="Arial"/>
              <w:bCs/>
              <w:sz w:val="14"/>
              <w:lang w:val="en-GB"/>
            </w:rPr>
          </w:pPr>
          <w:r>
            <w:rPr>
              <w:rFonts w:ascii="Arial" w:hAnsi="Arial" w:cs="Arial"/>
              <w:bCs/>
              <w:sz w:val="14"/>
              <w:lang w:val="en-GB"/>
            </w:rPr>
            <w:t xml:space="preserve">   Dato:</w:t>
          </w:r>
          <w:r w:rsidR="00E718A3">
            <w:rPr>
              <w:rFonts w:ascii="Arial" w:hAnsi="Arial" w:cs="Arial"/>
              <w:bCs/>
              <w:sz w:val="14"/>
              <w:lang w:val="en-GB"/>
            </w:rPr>
            <w:t xml:space="preserve"> </w:t>
          </w:r>
          <w:r w:rsidR="00E718A3">
            <w:rPr>
              <w:rFonts w:ascii="Arial" w:hAnsi="Arial" w:cs="Arial"/>
              <w:bCs/>
              <w:sz w:val="14"/>
            </w:rPr>
            <w:t>27. april 2011</w:t>
          </w:r>
        </w:p>
        <w:p w:rsidR="000E2099" w:rsidRDefault="000E2099">
          <w:pPr>
            <w:pStyle w:val="Departementtekst"/>
            <w:tabs>
              <w:tab w:val="left" w:pos="720"/>
            </w:tabs>
            <w:ind w:left="540" w:right="-105"/>
            <w:rPr>
              <w:sz w:val="14"/>
              <w:lang w:val="en-GB"/>
            </w:rPr>
          </w:pPr>
        </w:p>
        <w:p w:rsidR="000E2099" w:rsidRDefault="000E2099">
          <w:pPr>
            <w:pStyle w:val="Departementtekst"/>
            <w:ind w:left="540" w:right="-105"/>
            <w:rPr>
              <w:sz w:val="14"/>
              <w:lang w:val="en-GB"/>
            </w:rPr>
          </w:pPr>
        </w:p>
        <w:p w:rsidR="000E2099" w:rsidRDefault="000E2099">
          <w:pPr>
            <w:pStyle w:val="Departementtekst"/>
            <w:ind w:left="540" w:right="-105"/>
            <w:rPr>
              <w:sz w:val="14"/>
              <w:lang w:val="en-GB"/>
            </w:rPr>
          </w:pPr>
        </w:p>
        <w:p w:rsidR="000E2099" w:rsidRDefault="000E2099">
          <w:pPr>
            <w:pStyle w:val="Departementtekst"/>
            <w:rPr>
              <w:lang w:val="en-GB"/>
            </w:rPr>
          </w:pPr>
        </w:p>
      </w:tc>
    </w:tr>
  </w:tbl>
  <w:p w:rsidR="000E2099" w:rsidRDefault="00CC7374">
    <w:pPr>
      <w:pStyle w:val="Departementtekst"/>
      <w:ind w:right="-130"/>
      <w:jc w:val="right"/>
      <w:rPr>
        <w:lang w:val="fr-FR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lede 1" o:spid="_x0000_i1025" type="#_x0000_t75" alt="SKM" style="width:225pt;height:66pt;visibility:visible">
          <v:imagedata r:id="rId1" o:title="SKM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1304"/>
  <w:autoHyphenation/>
  <w:hyphenationZone w:val="28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3EEF"/>
    <w:rsid w:val="000A6A2B"/>
    <w:rsid w:val="000E2099"/>
    <w:rsid w:val="00173EEF"/>
    <w:rsid w:val="001A6FC4"/>
    <w:rsid w:val="00217F5D"/>
    <w:rsid w:val="00275AC2"/>
    <w:rsid w:val="002B72BC"/>
    <w:rsid w:val="003279F1"/>
    <w:rsid w:val="00350912"/>
    <w:rsid w:val="003A1939"/>
    <w:rsid w:val="00505D4C"/>
    <w:rsid w:val="00583F94"/>
    <w:rsid w:val="007323A7"/>
    <w:rsid w:val="00796F36"/>
    <w:rsid w:val="008236F0"/>
    <w:rsid w:val="008F283D"/>
    <w:rsid w:val="0095344B"/>
    <w:rsid w:val="00A448B1"/>
    <w:rsid w:val="00A57EC4"/>
    <w:rsid w:val="00B02CE7"/>
    <w:rsid w:val="00B22A8D"/>
    <w:rsid w:val="00B744C0"/>
    <w:rsid w:val="00B76FC3"/>
    <w:rsid w:val="00BE237A"/>
    <w:rsid w:val="00C02F78"/>
    <w:rsid w:val="00CC7374"/>
    <w:rsid w:val="00CD0DB8"/>
    <w:rsid w:val="00E718A3"/>
    <w:rsid w:val="00EC2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277C"/>
    <w:pPr>
      <w:spacing w:after="150"/>
    </w:pPr>
    <w:rPr>
      <w:sz w:val="23"/>
      <w:szCs w:val="24"/>
    </w:rPr>
  </w:style>
  <w:style w:type="paragraph" w:styleId="Overskrift1">
    <w:name w:val="heading 1"/>
    <w:basedOn w:val="Normal"/>
    <w:next w:val="Normal"/>
    <w:qFormat/>
    <w:rsid w:val="00EC277C"/>
    <w:pPr>
      <w:keepNext/>
      <w:spacing w:before="20" w:after="20"/>
      <w:outlineLvl w:val="0"/>
    </w:pPr>
    <w:rPr>
      <w:b/>
      <w:bCs/>
      <w:sz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EC277C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EC277C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EC277C"/>
  </w:style>
  <w:style w:type="paragraph" w:styleId="Markeringsbobletekst">
    <w:name w:val="Balloon Text"/>
    <w:basedOn w:val="Normal"/>
    <w:link w:val="MarkeringsbobletekstTegn"/>
    <w:rsid w:val="002B72BC"/>
    <w:pPr>
      <w:spacing w:after="0"/>
    </w:pPr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rsid w:val="00EC277C"/>
    <w:pPr>
      <w:spacing w:after="240" w:line="240" w:lineRule="atLeast"/>
    </w:pPr>
    <w:rPr>
      <w:spacing w:val="-5"/>
      <w:szCs w:val="20"/>
      <w:lang w:eastAsia="en-US"/>
    </w:rPr>
  </w:style>
  <w:style w:type="character" w:styleId="Hyperlink">
    <w:name w:val="Hyperlink"/>
    <w:basedOn w:val="Standardskrifttypeiafsnit"/>
    <w:rsid w:val="00EC277C"/>
    <w:rPr>
      <w:color w:val="0000FF"/>
      <w:u w:val="single"/>
    </w:rPr>
  </w:style>
  <w:style w:type="paragraph" w:customStyle="1" w:styleId="Adressat">
    <w:name w:val="Adressat"/>
    <w:rsid w:val="00EC277C"/>
    <w:pPr>
      <w:spacing w:after="150" w:line="180" w:lineRule="exact"/>
      <w:jc w:val="both"/>
    </w:pPr>
    <w:rPr>
      <w:sz w:val="23"/>
      <w:szCs w:val="24"/>
    </w:rPr>
  </w:style>
  <w:style w:type="paragraph" w:customStyle="1" w:styleId="Departementtekst">
    <w:name w:val="Departement tekst"/>
    <w:rsid w:val="00EC277C"/>
    <w:pPr>
      <w:spacing w:after="130"/>
    </w:pPr>
    <w:rPr>
      <w:rFonts w:ascii="Verdana" w:hAnsi="Verdana"/>
      <w:sz w:val="17"/>
      <w:szCs w:val="24"/>
    </w:rPr>
  </w:style>
  <w:style w:type="paragraph" w:customStyle="1" w:styleId="Vedrrendetitel">
    <w:name w:val="Vedrørende titel"/>
    <w:next w:val="Normal"/>
    <w:rsid w:val="00EC277C"/>
    <w:pPr>
      <w:spacing w:after="90"/>
    </w:pPr>
    <w:rPr>
      <w:rFonts w:ascii="Verdana" w:hAnsi="Verdana"/>
      <w:b/>
      <w:sz w:val="15"/>
      <w:szCs w:val="24"/>
    </w:rPr>
  </w:style>
  <w:style w:type="paragraph" w:customStyle="1" w:styleId="DepartementSidefod">
    <w:name w:val="Departement Sidefod"/>
    <w:rsid w:val="00EC277C"/>
    <w:pPr>
      <w:spacing w:after="170"/>
    </w:pPr>
    <w:rPr>
      <w:rFonts w:ascii="Verdana" w:hAnsi="Verdana"/>
      <w:sz w:val="13"/>
      <w:szCs w:val="13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B72BC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3279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p\Skrivebord\tmp\Kopi%20af%20%5bCaptia%5d%20Brev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Kopi af [Captia] Brev</Template>
  <TotalTime>79</TotalTime>
  <Pages>1</Pages>
  <Words>558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</vt:lpstr>
    </vt:vector>
  </TitlesOfParts>
  <Company>Skatteministeriet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/>
  <cp:keywords/>
  <dc:description/>
  <cp:lastModifiedBy>w17772</cp:lastModifiedBy>
  <cp:revision>5</cp:revision>
  <cp:lastPrinted>2005-09-22T11:39:00Z</cp:lastPrinted>
  <dcterms:created xsi:type="dcterms:W3CDTF">2011-04-19T07:25:00Z</dcterms:created>
  <dcterms:modified xsi:type="dcterms:W3CDTF">2011-04-27T11:25:00Z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">
    <vt:lpwstr>ds@skm.dk</vt:lpwstr>
  </property>
  <property fmtid="{D5CDD505-2E9C-101B-9397-08002B2CF9AE}" pid="3" name="dir">
    <vt:lpwstr>+45 33 92 44 62</vt:lpwstr>
  </property>
  <property fmtid="{D5CDD505-2E9C-101B-9397-08002B2CF9AE}" pid="4" name="mobil">
    <vt:lpwstr>+45 20 20 20 20</vt:lpwstr>
  </property>
  <property fmtid="{D5CDD505-2E9C-101B-9397-08002B2CF9AE}" pid="5" name="path">
    <vt:lpwstr>C:\DOCUME~1\W03702\LOKALE~1\Temp\SJ20110427085726657 [DOK495029].DOC</vt:lpwstr>
  </property>
  <property fmtid="{D5CDD505-2E9C-101B-9397-08002B2CF9AE}" pid="6" name="title">
    <vt:lpwstr>SAU L 195 Høringsnotat tobak</vt:lpwstr>
  </property>
  <property fmtid="{D5CDD505-2E9C-101B-9397-08002B2CF9AE}" pid="7" name="command">
    <vt:lpwstr/>
  </property>
  <property fmtid="{D5CDD505-2E9C-101B-9397-08002B2CF9AE}" pid="8" name="_AdHocReviewCycleID">
    <vt:i4>-1128758197</vt:i4>
  </property>
  <property fmtid="{D5CDD505-2E9C-101B-9397-08002B2CF9AE}" pid="9" name="_NewReviewCycle">
    <vt:lpwstr/>
  </property>
  <property fmtid="{D5CDD505-2E9C-101B-9397-08002B2CF9AE}" pid="10" name="_EmailSubject">
    <vt:lpwstr>SAU L 195 høringsnotater og høringssvar vedr. tobak og ølmoderation</vt:lpwstr>
  </property>
  <property fmtid="{D5CDD505-2E9C-101B-9397-08002B2CF9AE}" pid="11" name="_AuthorEmail">
    <vt:lpwstr>Jeanette.r.Hansen@skat.dk</vt:lpwstr>
  </property>
  <property fmtid="{D5CDD505-2E9C-101B-9397-08002B2CF9AE}" pid="12" name="_AuthorEmailDisplayName">
    <vt:lpwstr>Jeanette Rose Hansen</vt:lpwstr>
  </property>
  <property fmtid="{D5CDD505-2E9C-101B-9397-08002B2CF9AE}" pid="13" name="_ReviewingToolsShownOnce">
    <vt:lpwstr/>
  </property>
</Properties>
</file>