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2FC2" w14:textId="77777777" w:rsidR="00D2192E" w:rsidRPr="00D2192E" w:rsidRDefault="00D2192E" w:rsidP="00D2192E">
      <w:pPr>
        <w:pStyle w:val="Ingenafstand"/>
        <w:jc w:val="center"/>
        <w:rPr>
          <w:rFonts w:eastAsia="Calibri"/>
          <w:b/>
        </w:rPr>
      </w:pPr>
      <w:r w:rsidRPr="00D2192E">
        <w:rPr>
          <w:rFonts w:eastAsia="Calibri"/>
          <w:b/>
        </w:rPr>
        <w:t>Forslag</w:t>
      </w:r>
    </w:p>
    <w:p w14:paraId="4939F98C" w14:textId="77777777" w:rsidR="00D2192E" w:rsidRPr="00D2192E" w:rsidRDefault="00D2192E" w:rsidP="00D2192E">
      <w:pPr>
        <w:pStyle w:val="Ingenafstand"/>
        <w:jc w:val="center"/>
        <w:rPr>
          <w:rFonts w:eastAsia="Calibri"/>
          <w:b/>
        </w:rPr>
      </w:pPr>
      <w:r w:rsidRPr="00D2192E">
        <w:rPr>
          <w:rFonts w:eastAsia="Calibri"/>
          <w:b/>
        </w:rPr>
        <w:t>til</w:t>
      </w:r>
    </w:p>
    <w:p w14:paraId="5027420E" w14:textId="77777777" w:rsidR="00D2192E" w:rsidRPr="00D2192E" w:rsidRDefault="00D2192E" w:rsidP="00D2192E">
      <w:pPr>
        <w:pStyle w:val="Ingenafstand"/>
        <w:jc w:val="center"/>
        <w:rPr>
          <w:rFonts w:eastAsia="Calibri"/>
          <w:b/>
        </w:rPr>
      </w:pPr>
      <w:r w:rsidRPr="00D2192E">
        <w:rPr>
          <w:rFonts w:eastAsia="Calibri"/>
          <w:b/>
        </w:rPr>
        <w:t xml:space="preserve">Lov om ændring af lov om videreanvendelse af den offentlige sektors informationer </w:t>
      </w:r>
      <w:r w:rsidRPr="00D2192E">
        <w:rPr>
          <w:rStyle w:val="Fodnotehenvisning"/>
          <w:rFonts w:eastAsia="Calibri"/>
          <w:b/>
        </w:rPr>
        <w:footnoteReference w:id="2"/>
      </w:r>
    </w:p>
    <w:p w14:paraId="0D1DF6E5" w14:textId="06F1A4E2" w:rsidR="00D2192E" w:rsidRPr="009C00F9" w:rsidRDefault="00D2192E" w:rsidP="009C00F9">
      <w:pPr>
        <w:pStyle w:val="Ingenafstand"/>
        <w:jc w:val="center"/>
        <w:rPr>
          <w:rFonts w:eastAsia="Calibri"/>
        </w:rPr>
      </w:pPr>
      <w:r w:rsidRPr="009C00F9">
        <w:rPr>
          <w:rFonts w:eastAsia="Calibri"/>
        </w:rPr>
        <w:t>(</w:t>
      </w:r>
      <w:r w:rsidR="00632A0A">
        <w:rPr>
          <w:rFonts w:eastAsia="Calibri"/>
        </w:rPr>
        <w:t>Præcisering</w:t>
      </w:r>
      <w:r w:rsidR="00632A0A" w:rsidRPr="009C00F9">
        <w:rPr>
          <w:rFonts w:eastAsia="Calibri"/>
        </w:rPr>
        <w:t xml:space="preserve"> </w:t>
      </w:r>
      <w:r w:rsidRPr="009C00F9">
        <w:rPr>
          <w:rFonts w:eastAsia="Calibri"/>
        </w:rPr>
        <w:t xml:space="preserve">af </w:t>
      </w:r>
      <w:r w:rsidR="00456332">
        <w:rPr>
          <w:rFonts w:eastAsia="Calibri"/>
        </w:rPr>
        <w:t xml:space="preserve">lovens </w:t>
      </w:r>
      <w:r w:rsidRPr="009C00F9">
        <w:rPr>
          <w:rFonts w:eastAsia="Calibri"/>
        </w:rPr>
        <w:t>anvendelsesområde)</w:t>
      </w:r>
    </w:p>
    <w:p w14:paraId="51956092" w14:textId="77777777" w:rsidR="00D2192E" w:rsidRPr="003B0B97" w:rsidRDefault="00D2192E" w:rsidP="00D2192E">
      <w:pPr>
        <w:pStyle w:val="Ingenafstand"/>
        <w:rPr>
          <w:rFonts w:eastAsia="Calibri"/>
        </w:rPr>
      </w:pPr>
    </w:p>
    <w:p w14:paraId="6AA68F69" w14:textId="77777777" w:rsidR="00D2192E" w:rsidRPr="00D2192E" w:rsidRDefault="00D2192E" w:rsidP="00D2192E">
      <w:pPr>
        <w:pStyle w:val="Ingenafstand"/>
        <w:jc w:val="center"/>
        <w:rPr>
          <w:rFonts w:eastAsia="Calibri"/>
          <w:b/>
        </w:rPr>
      </w:pPr>
      <w:r w:rsidRPr="00D2192E">
        <w:rPr>
          <w:rFonts w:eastAsia="Calibri"/>
          <w:b/>
        </w:rPr>
        <w:t>§ 1</w:t>
      </w:r>
    </w:p>
    <w:p w14:paraId="12D8AF33" w14:textId="77777777" w:rsidR="00D2192E" w:rsidRPr="003B0B97" w:rsidRDefault="00D2192E" w:rsidP="00D2192E">
      <w:pPr>
        <w:pStyle w:val="Ingenafstand"/>
        <w:rPr>
          <w:rFonts w:eastAsia="Calibri"/>
        </w:rPr>
      </w:pPr>
    </w:p>
    <w:p w14:paraId="1DC5FB44" w14:textId="7F4F2E58" w:rsidR="00D2192E" w:rsidRPr="003B0B97" w:rsidRDefault="00D2192E" w:rsidP="00CE4116">
      <w:pPr>
        <w:pStyle w:val="Ingenafstand"/>
        <w:ind w:firstLine="284"/>
        <w:rPr>
          <w:rFonts w:eastAsia="Calibri"/>
        </w:rPr>
      </w:pPr>
      <w:r w:rsidRPr="003B0B97">
        <w:rPr>
          <w:rFonts w:eastAsia="Calibri"/>
        </w:rPr>
        <w:t>I lov</w:t>
      </w:r>
      <w:r>
        <w:rPr>
          <w:rFonts w:eastAsia="Calibri"/>
        </w:rPr>
        <w:t xml:space="preserve"> </w:t>
      </w:r>
      <w:r w:rsidRPr="007F6BAD">
        <w:t>nr. 596 af 24. juni 2005 om videreanvendelse af den offentlige sektors informationer, som ændret ved lov nr. 551 af 17. juni 2008</w:t>
      </w:r>
      <w:r w:rsidR="00632A0A">
        <w:t>,</w:t>
      </w:r>
      <w:r>
        <w:t xml:space="preserve"> lov nr. 553 af 2. juni 2014</w:t>
      </w:r>
      <w:r w:rsidR="00632A0A">
        <w:t xml:space="preserve"> og lov nr. 843 af 10. maj 2021</w:t>
      </w:r>
      <w:r w:rsidRPr="007F6BAD">
        <w:t xml:space="preserve">, </w:t>
      </w:r>
      <w:r w:rsidRPr="003B0B97">
        <w:rPr>
          <w:rFonts w:eastAsia="Calibri"/>
        </w:rPr>
        <w:t>foretages følgende ændring</w:t>
      </w:r>
      <w:r>
        <w:rPr>
          <w:rFonts w:eastAsia="Calibri"/>
        </w:rPr>
        <w:t>er</w:t>
      </w:r>
      <w:r w:rsidRPr="003B0B97">
        <w:rPr>
          <w:rFonts w:eastAsia="Calibri"/>
        </w:rPr>
        <w:t>:</w:t>
      </w:r>
    </w:p>
    <w:p w14:paraId="4F451AF9" w14:textId="3B382C94" w:rsidR="00D2192E" w:rsidRDefault="00D2192E" w:rsidP="00D2192E">
      <w:pPr>
        <w:pStyle w:val="Ingenafstand"/>
        <w:rPr>
          <w:rFonts w:eastAsia="Calibri"/>
        </w:rPr>
      </w:pPr>
    </w:p>
    <w:p w14:paraId="1BBEAA77" w14:textId="0F8BE8BA" w:rsidR="00C00101" w:rsidRDefault="00C00101" w:rsidP="00C00101">
      <w:pPr>
        <w:pStyle w:val="Ingenafstand"/>
        <w:rPr>
          <w:rFonts w:eastAsia="Calibri"/>
        </w:rPr>
      </w:pPr>
      <w:r w:rsidRPr="00C00101">
        <w:rPr>
          <w:rFonts w:eastAsia="Calibri"/>
          <w:b/>
        </w:rPr>
        <w:t>1</w:t>
      </w:r>
      <w:r w:rsidRPr="00C00101">
        <w:rPr>
          <w:rFonts w:eastAsia="Calibri"/>
        </w:rPr>
        <w:t xml:space="preserve">. </w:t>
      </w:r>
      <w:r>
        <w:rPr>
          <w:rFonts w:eastAsia="Calibri"/>
        </w:rPr>
        <w:t xml:space="preserve">I </w:t>
      </w:r>
      <w:r>
        <w:rPr>
          <w:rFonts w:eastAsia="Calibri"/>
          <w:i/>
        </w:rPr>
        <w:t>§ 2, stk. 2, nr. 1</w:t>
      </w:r>
      <w:r>
        <w:rPr>
          <w:rFonts w:eastAsia="Calibri"/>
        </w:rPr>
        <w:t>, udgår</w:t>
      </w:r>
      <w:r w:rsidR="00B23DE9">
        <w:rPr>
          <w:rFonts w:eastAsia="Calibri"/>
        </w:rPr>
        <w:t xml:space="preserve"> ”</w:t>
      </w:r>
      <w:r w:rsidR="00E77BD1">
        <w:rPr>
          <w:rFonts w:eastAsia="Calibri"/>
        </w:rPr>
        <w:t>eller”</w:t>
      </w:r>
      <w:r w:rsidR="00E71811">
        <w:rPr>
          <w:rFonts w:eastAsia="Calibri"/>
        </w:rPr>
        <w:t>.</w:t>
      </w:r>
    </w:p>
    <w:p w14:paraId="5AA24EB6" w14:textId="32823BE2" w:rsidR="00E77BD1" w:rsidRDefault="00E77BD1" w:rsidP="00C00101">
      <w:pPr>
        <w:pStyle w:val="Ingenafstand"/>
        <w:rPr>
          <w:rFonts w:eastAsia="Calibri"/>
        </w:rPr>
      </w:pPr>
    </w:p>
    <w:p w14:paraId="49400958" w14:textId="3C91FDC0" w:rsidR="00E77BD1" w:rsidRPr="00E77BD1" w:rsidRDefault="00E77BD1" w:rsidP="00C00101">
      <w:pPr>
        <w:pStyle w:val="Ingenafstand"/>
        <w:rPr>
          <w:rFonts w:eastAsia="Calibri"/>
        </w:rPr>
      </w:pPr>
      <w:r w:rsidRPr="00E77BD1">
        <w:rPr>
          <w:rFonts w:eastAsia="Calibri"/>
          <w:b/>
        </w:rPr>
        <w:t>2</w:t>
      </w:r>
      <w:r>
        <w:rPr>
          <w:rFonts w:eastAsia="Calibri"/>
        </w:rPr>
        <w:t xml:space="preserve">. I </w:t>
      </w:r>
      <w:r>
        <w:rPr>
          <w:rFonts w:eastAsia="Calibri"/>
          <w:i/>
        </w:rPr>
        <w:t xml:space="preserve">2, stk. 2, nr. 2, </w:t>
      </w:r>
      <w:r w:rsidR="00E71811">
        <w:rPr>
          <w:rFonts w:eastAsia="Calibri"/>
        </w:rPr>
        <w:t xml:space="preserve">ændres </w:t>
      </w:r>
      <w:r>
        <w:rPr>
          <w:rFonts w:eastAsia="Calibri"/>
        </w:rPr>
        <w:t>”</w:t>
      </w:r>
      <w:r w:rsidR="00E71811" w:rsidRPr="00E71811">
        <w:rPr>
          <w:rFonts w:eastAsia="Calibri"/>
        </w:rPr>
        <w:t>rettighed</w:t>
      </w:r>
      <w:r>
        <w:rPr>
          <w:rFonts w:eastAsia="Calibri"/>
        </w:rPr>
        <w:t>.”</w:t>
      </w:r>
      <w:r w:rsidR="00B23DE9">
        <w:rPr>
          <w:rFonts w:eastAsia="Calibri"/>
        </w:rPr>
        <w:t xml:space="preserve"> </w:t>
      </w:r>
      <w:r w:rsidR="00E71811">
        <w:rPr>
          <w:rFonts w:eastAsia="Calibri"/>
        </w:rPr>
        <w:t xml:space="preserve">til: </w:t>
      </w:r>
      <w:r w:rsidR="00B23DE9">
        <w:rPr>
          <w:rFonts w:eastAsia="Calibri"/>
        </w:rPr>
        <w:t>”</w:t>
      </w:r>
      <w:r w:rsidR="00E71811">
        <w:rPr>
          <w:rFonts w:eastAsia="Calibri"/>
        </w:rPr>
        <w:t>rettighed</w:t>
      </w:r>
      <w:r w:rsidR="00B23DE9">
        <w:rPr>
          <w:rFonts w:eastAsia="Calibri"/>
        </w:rPr>
        <w:t>,”.</w:t>
      </w:r>
    </w:p>
    <w:p w14:paraId="63973CC6" w14:textId="77777777" w:rsidR="00C00101" w:rsidRDefault="00C00101" w:rsidP="00E3792D">
      <w:pPr>
        <w:pStyle w:val="Ingenafstand"/>
        <w:rPr>
          <w:rFonts w:eastAsia="Calibri"/>
          <w:b/>
        </w:rPr>
      </w:pPr>
    </w:p>
    <w:p w14:paraId="7512ED33" w14:textId="47C0764E" w:rsidR="008F1D36" w:rsidRPr="00C00101" w:rsidRDefault="00E77BD1" w:rsidP="00E3792D">
      <w:pPr>
        <w:pStyle w:val="Ingenafstand"/>
        <w:rPr>
          <w:rFonts w:eastAsia="Calibri"/>
          <w:b/>
        </w:rPr>
      </w:pPr>
      <w:r>
        <w:rPr>
          <w:rFonts w:eastAsia="Calibri"/>
          <w:b/>
        </w:rPr>
        <w:t>3</w:t>
      </w:r>
      <w:r w:rsidR="00E3792D" w:rsidRPr="005C3FFA">
        <w:rPr>
          <w:rFonts w:eastAsia="Calibri"/>
          <w:b/>
        </w:rPr>
        <w:t xml:space="preserve">. </w:t>
      </w:r>
      <w:r w:rsidR="008F1D36" w:rsidRPr="005C3FFA">
        <w:rPr>
          <w:rFonts w:eastAsia="Calibri"/>
        </w:rPr>
        <w:t>I </w:t>
      </w:r>
      <w:r w:rsidR="008F1D36" w:rsidRPr="005C3FFA">
        <w:rPr>
          <w:rFonts w:eastAsia="Calibri"/>
          <w:i/>
        </w:rPr>
        <w:t>§ 2</w:t>
      </w:r>
      <w:r w:rsidR="00E3792D" w:rsidRPr="005C3FFA">
        <w:rPr>
          <w:rFonts w:eastAsia="Calibri"/>
          <w:i/>
        </w:rPr>
        <w:t>, stk. 2</w:t>
      </w:r>
      <w:r w:rsidR="00E3792D" w:rsidRPr="005C3FFA">
        <w:rPr>
          <w:rFonts w:eastAsia="Calibri"/>
        </w:rPr>
        <w:t xml:space="preserve">, </w:t>
      </w:r>
      <w:r w:rsidR="008F1D36" w:rsidRPr="005C3FFA">
        <w:rPr>
          <w:rFonts w:eastAsia="Calibri"/>
        </w:rPr>
        <w:t xml:space="preserve">indsættes </w:t>
      </w:r>
      <w:r w:rsidR="00E71811">
        <w:rPr>
          <w:rFonts w:eastAsia="Calibri"/>
        </w:rPr>
        <w:t xml:space="preserve">som </w:t>
      </w:r>
      <w:r w:rsidR="00E71811">
        <w:rPr>
          <w:rFonts w:eastAsia="Calibri"/>
          <w:i/>
        </w:rPr>
        <w:t>nr. 3-5:</w:t>
      </w:r>
    </w:p>
    <w:p w14:paraId="1AE31FD0" w14:textId="3C317244" w:rsidR="00632A0A" w:rsidRPr="00A93551" w:rsidRDefault="00632A0A" w:rsidP="005C3FFA">
      <w:pPr>
        <w:pStyle w:val="Ingenafstand"/>
        <w:rPr>
          <w:rFonts w:eastAsia="Calibri"/>
        </w:rPr>
      </w:pPr>
    </w:p>
    <w:p w14:paraId="7FB86455" w14:textId="1BF6464D" w:rsidR="0040453F" w:rsidRDefault="00632A0A" w:rsidP="009E04F8">
      <w:pPr>
        <w:pStyle w:val="Ingenafstand"/>
        <w:ind w:firstLine="284"/>
        <w:rPr>
          <w:rFonts w:eastAsia="Calibri"/>
        </w:rPr>
      </w:pPr>
      <w:r w:rsidRPr="00A93551">
        <w:rPr>
          <w:rFonts w:eastAsia="Calibri"/>
        </w:rPr>
        <w:t xml:space="preserve">3) </w:t>
      </w:r>
      <w:r w:rsidR="0040453F" w:rsidRPr="00A93551">
        <w:rPr>
          <w:rFonts w:eastAsia="Calibri"/>
        </w:rPr>
        <w:t xml:space="preserve"> </w:t>
      </w:r>
      <w:r w:rsidR="009E04F8">
        <w:rPr>
          <w:rFonts w:eastAsia="Calibri"/>
        </w:rPr>
        <w:t xml:space="preserve">hvortil adgang er udelukket eller begrænset </w:t>
      </w:r>
      <w:r w:rsidR="001A6DC8">
        <w:rPr>
          <w:rFonts w:eastAsia="Calibri"/>
        </w:rPr>
        <w:t xml:space="preserve">fra aktindsigt i henhold til </w:t>
      </w:r>
      <w:r w:rsidR="00502DA8">
        <w:rPr>
          <w:rFonts w:eastAsia="Calibri"/>
        </w:rPr>
        <w:t xml:space="preserve">forvaltningsloven, </w:t>
      </w:r>
      <w:r w:rsidR="001A6DC8">
        <w:rPr>
          <w:rFonts w:eastAsia="Calibri"/>
        </w:rPr>
        <w:t>o</w:t>
      </w:r>
      <w:r w:rsidR="0040453F" w:rsidRPr="00A93551">
        <w:rPr>
          <w:rFonts w:eastAsia="Calibri"/>
        </w:rPr>
        <w:t>ffentlighedsloven</w:t>
      </w:r>
      <w:r w:rsidR="003A7A5F">
        <w:rPr>
          <w:rFonts w:eastAsia="Calibri"/>
        </w:rPr>
        <w:t xml:space="preserve"> eller begrundet i følsomme oplysninger vedrørende beskyttelse af kritisk infrastruktur</w:t>
      </w:r>
      <w:r w:rsidR="009E04F8">
        <w:rPr>
          <w:rFonts w:eastAsia="Calibri"/>
        </w:rPr>
        <w:t>,</w:t>
      </w:r>
      <w:r w:rsidR="0040453F" w:rsidRPr="0040453F">
        <w:rPr>
          <w:rFonts w:eastAsia="Calibri"/>
        </w:rPr>
        <w:t xml:space="preserve"> </w:t>
      </w:r>
    </w:p>
    <w:p w14:paraId="1E0F0C7B" w14:textId="77777777" w:rsidR="00A425D7" w:rsidRDefault="00A425D7" w:rsidP="009E04F8">
      <w:pPr>
        <w:pStyle w:val="Ingenafstand"/>
        <w:ind w:firstLine="284"/>
        <w:rPr>
          <w:rFonts w:eastAsia="Calibri"/>
        </w:rPr>
      </w:pPr>
    </w:p>
    <w:p w14:paraId="64BF5A08" w14:textId="67EDCDF3" w:rsidR="00A425D7" w:rsidRPr="00A93551" w:rsidRDefault="00A425D7" w:rsidP="00A425D7">
      <w:pPr>
        <w:pStyle w:val="Ingenafstand"/>
        <w:ind w:firstLine="284"/>
      </w:pPr>
      <w:r>
        <w:rPr>
          <w:rFonts w:eastAsia="Calibri"/>
        </w:rPr>
        <w:t xml:space="preserve">4) </w:t>
      </w:r>
      <w:r w:rsidRPr="00EB0040">
        <w:rPr>
          <w:rFonts w:eastAsia="Calibri"/>
        </w:rPr>
        <w:t xml:space="preserve">hvortil adgang er udelukket eller begrænset </w:t>
      </w:r>
      <w:r>
        <w:rPr>
          <w:rFonts w:eastAsia="Calibri"/>
        </w:rPr>
        <w:t>under henvis</w:t>
      </w:r>
      <w:r w:rsidRPr="00EB0040">
        <w:rPr>
          <w:rFonts w:eastAsia="Calibri"/>
        </w:rPr>
        <w:t xml:space="preserve">ning til </w:t>
      </w:r>
      <w:r w:rsidR="00095D81" w:rsidRPr="003879FA">
        <w:rPr>
          <w:rFonts w:eastAsia="Calibri"/>
        </w:rPr>
        <w:t>beskyttelse af fysiske personer i forbindelse med behandling af personoplysninger</w:t>
      </w:r>
      <w:r w:rsidR="002E6DDC">
        <w:rPr>
          <w:rFonts w:eastAsia="Calibri"/>
        </w:rPr>
        <w:t>, eller</w:t>
      </w:r>
    </w:p>
    <w:p w14:paraId="60327860" w14:textId="6E586E0E" w:rsidR="00632A0A" w:rsidRPr="00A93551" w:rsidRDefault="00632A0A" w:rsidP="003A7A5F">
      <w:pPr>
        <w:pStyle w:val="Ingenafstand"/>
        <w:rPr>
          <w:rFonts w:eastAsia="Calibri"/>
        </w:rPr>
      </w:pPr>
    </w:p>
    <w:p w14:paraId="0B40EFD7" w14:textId="6D95DBFC" w:rsidR="00632A0A" w:rsidRPr="00A93551" w:rsidRDefault="00A425D7" w:rsidP="00632A0A">
      <w:pPr>
        <w:pStyle w:val="Ingenafstand"/>
        <w:ind w:firstLine="284"/>
        <w:rPr>
          <w:rFonts w:eastAsia="Calibri"/>
        </w:rPr>
      </w:pPr>
      <w:r>
        <w:rPr>
          <w:rFonts w:eastAsia="Calibri"/>
        </w:rPr>
        <w:t>5</w:t>
      </w:r>
      <w:r w:rsidR="00632A0A" w:rsidRPr="00A93551">
        <w:rPr>
          <w:rFonts w:eastAsia="Calibri"/>
        </w:rPr>
        <w:t xml:space="preserve">) </w:t>
      </w:r>
      <w:r w:rsidR="00B23DE9">
        <w:rPr>
          <w:rFonts w:eastAsia="Calibri"/>
        </w:rPr>
        <w:t>bestående af</w:t>
      </w:r>
      <w:r>
        <w:rPr>
          <w:rFonts w:eastAsia="Calibri"/>
        </w:rPr>
        <w:t xml:space="preserve"> </w:t>
      </w:r>
      <w:r w:rsidR="00632A0A" w:rsidRPr="00A93551">
        <w:rPr>
          <w:rFonts w:eastAsia="Calibri"/>
        </w:rPr>
        <w:t>logoer, emblemer og insignier</w:t>
      </w:r>
      <w:r w:rsidR="002E6DDC">
        <w:rPr>
          <w:rFonts w:eastAsia="Calibri"/>
        </w:rPr>
        <w:t>.</w:t>
      </w:r>
    </w:p>
    <w:p w14:paraId="0E07A8FE" w14:textId="085DB909" w:rsidR="00D2192E" w:rsidRPr="003B0B97" w:rsidRDefault="00D2192E" w:rsidP="00D2192E">
      <w:pPr>
        <w:pStyle w:val="Ingenafstand"/>
        <w:rPr>
          <w:rFonts w:eastAsia="Calibri"/>
        </w:rPr>
      </w:pPr>
    </w:p>
    <w:p w14:paraId="6DAC62F7" w14:textId="77777777" w:rsidR="00D2192E" w:rsidRPr="00D2192E" w:rsidRDefault="00D2192E" w:rsidP="00D2192E">
      <w:pPr>
        <w:pStyle w:val="Ingenafstand"/>
        <w:jc w:val="center"/>
        <w:rPr>
          <w:b/>
        </w:rPr>
      </w:pPr>
      <w:r w:rsidRPr="00D2192E">
        <w:rPr>
          <w:b/>
        </w:rPr>
        <w:t>§ 2</w:t>
      </w:r>
    </w:p>
    <w:p w14:paraId="095D80A4" w14:textId="77777777" w:rsidR="00D2192E" w:rsidRPr="006B628B" w:rsidRDefault="00D2192E" w:rsidP="00D2192E">
      <w:pPr>
        <w:pStyle w:val="Ingenafstand"/>
      </w:pPr>
    </w:p>
    <w:p w14:paraId="631CBE10" w14:textId="794CE846" w:rsidR="00D2192E" w:rsidRDefault="00D2192E" w:rsidP="00CE4116">
      <w:pPr>
        <w:pStyle w:val="Ingenafstand"/>
        <w:ind w:firstLine="284"/>
      </w:pPr>
      <w:r w:rsidRPr="006B628B">
        <w:t>Loven</w:t>
      </w:r>
      <w:r>
        <w:t xml:space="preserve"> træder i kraft den </w:t>
      </w:r>
      <w:r w:rsidR="00F64BE3">
        <w:t>24. september 2023</w:t>
      </w:r>
      <w:r w:rsidRPr="006B628B">
        <w:t>.</w:t>
      </w:r>
    </w:p>
    <w:p w14:paraId="0A3222A5" w14:textId="77777777" w:rsidR="004D70C9" w:rsidRDefault="004D70C9">
      <w:pPr>
        <w:spacing w:after="200"/>
        <w:rPr>
          <w:rStyle w:val="Svagfremhvning"/>
          <w:sz w:val="32"/>
          <w:szCs w:val="32"/>
        </w:rPr>
      </w:pPr>
      <w:bookmarkStart w:id="0" w:name="SD_USR_Afsendernavn"/>
      <w:bookmarkStart w:id="1" w:name="DIF_SD_USR_Email"/>
      <w:r>
        <w:rPr>
          <w:rStyle w:val="Svagfremhvning"/>
          <w:sz w:val="32"/>
          <w:szCs w:val="32"/>
        </w:rPr>
        <w:br w:type="page"/>
      </w:r>
    </w:p>
    <w:p w14:paraId="1BECA5F3" w14:textId="4EB82A0D" w:rsidR="00813593" w:rsidRPr="0022144C" w:rsidRDefault="00813593" w:rsidP="00D2192E">
      <w:pPr>
        <w:pStyle w:val="Ingenafstand"/>
        <w:jc w:val="center"/>
        <w:rPr>
          <w:rStyle w:val="Svagfremhvning"/>
          <w:sz w:val="32"/>
          <w:szCs w:val="32"/>
        </w:rPr>
      </w:pPr>
      <w:r w:rsidRPr="0022144C">
        <w:rPr>
          <w:rStyle w:val="Svagfremhvning"/>
          <w:sz w:val="32"/>
          <w:szCs w:val="32"/>
        </w:rPr>
        <w:lastRenderedPageBreak/>
        <w:t>Bemærkninger til lovforslaget</w:t>
      </w:r>
    </w:p>
    <w:p w14:paraId="1663562E" w14:textId="6FCC3143" w:rsidR="0022144C" w:rsidRDefault="0022144C" w:rsidP="00D2192E">
      <w:pPr>
        <w:pStyle w:val="Ingenafstand"/>
        <w:jc w:val="center"/>
        <w:rPr>
          <w:rStyle w:val="Svagfremhvning"/>
        </w:rPr>
      </w:pPr>
    </w:p>
    <w:p w14:paraId="078ABD05" w14:textId="77777777" w:rsidR="0022144C" w:rsidRDefault="0022144C" w:rsidP="00D2192E">
      <w:pPr>
        <w:pStyle w:val="Ingenafstand"/>
        <w:jc w:val="center"/>
        <w:rPr>
          <w:rStyle w:val="Svagfremhvning"/>
        </w:rPr>
      </w:pPr>
    </w:p>
    <w:p w14:paraId="60A72EAC" w14:textId="7A7D4D6B" w:rsidR="00813593" w:rsidRDefault="00813593" w:rsidP="00D2192E">
      <w:pPr>
        <w:pStyle w:val="Ingenafstand"/>
        <w:jc w:val="center"/>
        <w:rPr>
          <w:rStyle w:val="Svagfremhvning"/>
        </w:rPr>
      </w:pPr>
      <w:r w:rsidRPr="009C00F9">
        <w:rPr>
          <w:rStyle w:val="Svagfremhvning"/>
        </w:rPr>
        <w:t>Almindelige bemærkninger</w:t>
      </w:r>
    </w:p>
    <w:p w14:paraId="340FF26A" w14:textId="5458B693" w:rsidR="00420E10" w:rsidRDefault="00420E10" w:rsidP="00D2192E">
      <w:pPr>
        <w:pStyle w:val="Ingenafstand"/>
        <w:jc w:val="center"/>
        <w:rPr>
          <w:rStyle w:val="Svagfremhvning"/>
        </w:rPr>
      </w:pPr>
    </w:p>
    <w:p w14:paraId="6A6106A8" w14:textId="77777777" w:rsidR="00420E10" w:rsidRDefault="00420E10" w:rsidP="00420E10">
      <w:pPr>
        <w:pStyle w:val="Ingenafstand"/>
        <w:rPr>
          <w:rStyle w:val="Svagfremhvning"/>
        </w:rPr>
      </w:pPr>
    </w:p>
    <w:p w14:paraId="68D1839C" w14:textId="636ECEE8" w:rsidR="00420E10" w:rsidRDefault="00420E10" w:rsidP="00A93551">
      <w:pPr>
        <w:rPr>
          <w:rFonts w:ascii="Times New Roman" w:hAnsi="Times New Roman"/>
          <w:i/>
        </w:rPr>
      </w:pPr>
      <w:r w:rsidRPr="0022144C">
        <w:rPr>
          <w:rFonts w:ascii="Times New Roman" w:hAnsi="Times New Roman"/>
          <w:i/>
        </w:rPr>
        <w:t>1. Indledning</w:t>
      </w:r>
    </w:p>
    <w:p w14:paraId="14281629" w14:textId="161CC580" w:rsidR="00813593" w:rsidRDefault="00813593" w:rsidP="00A93551">
      <w:r w:rsidRPr="009C00F9">
        <w:t xml:space="preserve">Formålet med lovforslaget er at </w:t>
      </w:r>
      <w:bookmarkEnd w:id="0"/>
      <w:bookmarkEnd w:id="1"/>
      <w:r w:rsidR="00D70EB9">
        <w:t xml:space="preserve">implementere alle undtagelsesbestemmelser fra </w:t>
      </w:r>
      <w:r w:rsidR="001970C2" w:rsidRPr="001970C2">
        <w:t>Europa-Parlamentets og Rådets direktiv 2019/1024 af 20. juni 2019 (åbne data-direktivet) om åbne data og videreanvendelse af den offentlige sektors informationer</w:t>
      </w:r>
      <w:r w:rsidR="001970C2">
        <w:t>.</w:t>
      </w:r>
      <w:r w:rsidR="00D70EB9">
        <w:t xml:space="preserve"> </w:t>
      </w:r>
      <w:r w:rsidR="001970C2">
        <w:t xml:space="preserve">Implementeringen af undtagelsesbestemmelserne har til formål at </w:t>
      </w:r>
      <w:r w:rsidR="00D70EB9">
        <w:t xml:space="preserve">hindre unødig dobbeltregulering af krav til videreanvendelse af data som fastsat af anden </w:t>
      </w:r>
      <w:r w:rsidR="003A15C7">
        <w:t xml:space="preserve">eksisterende eller kommende </w:t>
      </w:r>
      <w:r w:rsidR="00D70EB9">
        <w:t>EU-regulering.</w:t>
      </w:r>
    </w:p>
    <w:p w14:paraId="1CFE911D" w14:textId="0C04CFCB" w:rsidR="00D70EB9" w:rsidRPr="0022144C" w:rsidRDefault="00D70EB9" w:rsidP="00D70EB9">
      <w:pPr>
        <w:pStyle w:val="Overskrift2"/>
        <w:spacing w:line="360" w:lineRule="auto"/>
        <w:rPr>
          <w:rFonts w:ascii="Times New Roman" w:hAnsi="Times New Roman" w:cs="Times New Roman"/>
          <w:b w:val="0"/>
          <w:i/>
          <w:sz w:val="24"/>
          <w:szCs w:val="24"/>
        </w:rPr>
      </w:pPr>
      <w:r>
        <w:rPr>
          <w:rFonts w:ascii="Times New Roman" w:hAnsi="Times New Roman" w:cs="Times New Roman"/>
          <w:b w:val="0"/>
          <w:i/>
          <w:sz w:val="24"/>
          <w:szCs w:val="24"/>
        </w:rPr>
        <w:t>2</w:t>
      </w:r>
      <w:r w:rsidRPr="0022144C">
        <w:rPr>
          <w:rFonts w:ascii="Times New Roman" w:hAnsi="Times New Roman" w:cs="Times New Roman"/>
          <w:b w:val="0"/>
          <w:i/>
          <w:sz w:val="24"/>
          <w:szCs w:val="24"/>
        </w:rPr>
        <w:t xml:space="preserve">. </w:t>
      </w:r>
      <w:r>
        <w:rPr>
          <w:rFonts w:ascii="Times New Roman" w:hAnsi="Times New Roman" w:cs="Times New Roman"/>
          <w:b w:val="0"/>
          <w:i/>
          <w:sz w:val="24"/>
          <w:szCs w:val="24"/>
        </w:rPr>
        <w:t>Lovforslagets baggrund</w:t>
      </w:r>
    </w:p>
    <w:p w14:paraId="1CFBFEFB" w14:textId="237D6FAF" w:rsidR="001970C2" w:rsidRDefault="001970C2" w:rsidP="001970C2">
      <w:r>
        <w:t>Europa-Parlamentets og Rådets direktiv 2003/98/EF af 17. november 2003 om videreanvendelse af den offentlige sektors informationer (PSI-direktiv I) og Europa-Parlamentets og Rådets direktiv 2013/37/EU af 26. juni 2013 om videreanvendelse af den offentlige sektors informationer (PSI-direktiv II) indeholder regler for videreanvendelse og midler til i praksis at fremme videreanvendelse af eksisterende dokumenter og datasamlinger, som myndighederne er i besiddelse af. PSI-direktiv I er gennemført i dansk ret ved lov om videreanvendelse af den offentlige sektors informationer (PSI-loven, lov nr. 596 af 24. juni 2005). PSI-loven blev ændret ved lov nr. 551 af 17. juni 2008, hvor lovens anvendelsesområde blev udvidet til at omfatte Folketinget og hertil knyttede organer samt domstolene. Baggrunden for denne lovændring var, at Europa-Kommissionen efter vedtagelsen af PSI-loven fra 2005 meddelte Danmark, at både Folketinget og hertil knyttede organer samt domstolene principielt var omfattet af PSI-direktiv I. PSI-direktivet II er gennemført i dansk ret ved lov nr. 553 af 2. juni 2014 om ændring af PSI-loven.</w:t>
      </w:r>
    </w:p>
    <w:p w14:paraId="69E2069A" w14:textId="2F8F4CE6" w:rsidR="001970C2" w:rsidRDefault="001970C2" w:rsidP="001970C2">
      <w:r>
        <w:t>Åbne data-direktivet erstattede i 2019 PSI-d</w:t>
      </w:r>
      <w:r w:rsidR="003B763C">
        <w:t>irektiverne</w:t>
      </w:r>
      <w:r>
        <w:t xml:space="preserve"> og har til formål, at gøre offentlige data lettere tilgængelige for borgere og virksomheder samt fremme innovation og anvendelse af kunstig intelligens baseret på åbne data. </w:t>
      </w:r>
      <w:r w:rsidR="005B171B">
        <w:t>I implementeringen af å</w:t>
      </w:r>
      <w:r w:rsidR="003B763C" w:rsidRPr="003B763C">
        <w:t xml:space="preserve">bne data-direktivet </w:t>
      </w:r>
      <w:r w:rsidR="005B171B">
        <w:t xml:space="preserve">blev </w:t>
      </w:r>
      <w:r w:rsidR="003B763C" w:rsidRPr="003B763C">
        <w:t xml:space="preserve">anvendelsesområdet </w:t>
      </w:r>
      <w:r w:rsidR="005B171B">
        <w:t xml:space="preserve">udvidet </w:t>
      </w:r>
      <w:r w:rsidR="003B763C" w:rsidRPr="003B763C">
        <w:t>til også at omfatte forskningsdata og data fra visse offentli</w:t>
      </w:r>
      <w:r w:rsidR="005B171B">
        <w:t>ge virksomheder. Desuden stillede</w:t>
      </w:r>
      <w:r w:rsidR="003B763C" w:rsidRPr="003B763C">
        <w:t xml:space="preserve"> åbne data-direktivet </w:t>
      </w:r>
      <w:r w:rsidR="003B763C">
        <w:t xml:space="preserve">blandt andet </w:t>
      </w:r>
      <w:r w:rsidR="003B763C" w:rsidRPr="003B763C">
        <w:t>krav om, at der skal vedtages nationale politikker for tilgængeliggørelse af forskningsdata i overensstemmelse med FAIR-principperne (</w:t>
      </w:r>
      <w:proofErr w:type="spellStart"/>
      <w:r w:rsidR="003B763C" w:rsidRPr="003B763C">
        <w:t>Findable</w:t>
      </w:r>
      <w:proofErr w:type="spellEnd"/>
      <w:r w:rsidR="003B763C" w:rsidRPr="003B763C">
        <w:t xml:space="preserve">, </w:t>
      </w:r>
      <w:proofErr w:type="spellStart"/>
      <w:r w:rsidR="003B763C" w:rsidRPr="003B763C">
        <w:t>Accessible</w:t>
      </w:r>
      <w:proofErr w:type="spellEnd"/>
      <w:r w:rsidR="003B763C" w:rsidRPr="003B763C">
        <w:t xml:space="preserve">, </w:t>
      </w:r>
      <w:proofErr w:type="spellStart"/>
      <w:r w:rsidR="003B763C" w:rsidRPr="003B763C">
        <w:t>Interoperable</w:t>
      </w:r>
      <w:proofErr w:type="spellEnd"/>
      <w:r w:rsidR="003B763C" w:rsidRPr="003B763C">
        <w:t xml:space="preserve"> og </w:t>
      </w:r>
      <w:proofErr w:type="spellStart"/>
      <w:r w:rsidR="003B763C" w:rsidRPr="003B763C">
        <w:t>Reusable</w:t>
      </w:r>
      <w:proofErr w:type="spellEnd"/>
      <w:r w:rsidR="003B763C" w:rsidRPr="003B763C">
        <w:t>).</w:t>
      </w:r>
    </w:p>
    <w:p w14:paraId="5A4E8167" w14:textId="755AA478" w:rsidR="00D70EB9" w:rsidRDefault="003B763C" w:rsidP="001970C2">
      <w:r>
        <w:lastRenderedPageBreak/>
        <w:t xml:space="preserve">I 2022 har Europa-Parlamentet og Rådet vedtaget forordning om </w:t>
      </w:r>
      <w:r w:rsidR="00BA426A">
        <w:t>europæisk datastyring (</w:t>
      </w:r>
      <w:r w:rsidR="001A6DC8">
        <w:t>d</w:t>
      </w:r>
      <w:r w:rsidR="00D70EB9">
        <w:t>atastyringsforordningen</w:t>
      </w:r>
      <w:r w:rsidR="00BA426A">
        <w:t>). Datastyringsforordningen</w:t>
      </w:r>
      <w:r w:rsidR="00D70EB9">
        <w:t xml:space="preserve"> stiller betingelser for videreanvendelse af bestemte kategorier af offentlige data. Det drejer sig om data, der er beskyttet af hensyn til (a) forretningshemmelighed, (b) statistisk fortrolighed, (c) beskyttelse af tredje-parters intellektuelle ejendomsret, eller (d) beskyttelse af personoplysninger, så længe disse personoplysninger falder uden for anvendelsesområdet for åbne data-direktivet. </w:t>
      </w:r>
    </w:p>
    <w:p w14:paraId="10C732A0" w14:textId="77777777" w:rsidR="00D70EB9" w:rsidRDefault="00D70EB9" w:rsidP="00D70EB9">
      <w:r>
        <w:t xml:space="preserve">Da disse kategorier af data alle er undtaget fra anvendelsesområdet i åbne data-direktivet, har bestemmelserne i datastyringsforordningen til formål at stille krav til videreanvendelse af data, som på nuværende tidspunkt ikke reguleres i EU-regi. </w:t>
      </w:r>
    </w:p>
    <w:p w14:paraId="5239E88A" w14:textId="7183E304" w:rsidR="00D70EB9" w:rsidRDefault="00D70EB9" w:rsidP="00707BE1">
      <w:r>
        <w:t>Selvom videreanvendelse af disse kategorier af data har været undtaget fra PSI-direktiverne, er de ikke alle blevet gennemført som undtagelsesbestemmelser i den danske PSI-lov</w:t>
      </w:r>
      <w:r w:rsidR="00707BE1">
        <w:t>, da der hidtil ikke har været vurderet behov for dette i dansk ret</w:t>
      </w:r>
      <w:r>
        <w:t xml:space="preserve">. Det er kun kategori (c) beskyttelse af tredjeparters intellektuelle rettigheder, som aktuelt er undtaget fra PSI-lovens anvendelsesområde. Det vil sige, at datastyringsforordningens kommende krav til de øvrige tre kategorier af data vil resultere i en dobbeltregulering, hvor datastyringsforordningen og PSI-loven vil stille </w:t>
      </w:r>
      <w:r w:rsidR="001E14B7">
        <w:t xml:space="preserve">forskellige </w:t>
      </w:r>
      <w:r>
        <w:t xml:space="preserve">krav til videreanvendelse </w:t>
      </w:r>
      <w:r w:rsidR="00707BE1">
        <w:t>af de samme kategorier af data, hvis ikke denne ændringslov til PSI-loven gennemføres.</w:t>
      </w:r>
      <w:r w:rsidR="001E14B7" w:rsidRPr="001E14B7">
        <w:t xml:space="preserve"> </w:t>
      </w:r>
    </w:p>
    <w:p w14:paraId="402DA84B" w14:textId="369C44C7" w:rsidR="00420E10" w:rsidRPr="00420E10" w:rsidRDefault="007526AA" w:rsidP="00420E10">
      <w:pPr>
        <w:pStyle w:val="Overskrift2"/>
        <w:spacing w:line="360" w:lineRule="auto"/>
      </w:pPr>
      <w:r w:rsidRPr="00F32C2D">
        <w:rPr>
          <w:rFonts w:ascii="Times New Roman" w:hAnsi="Times New Roman" w:cs="Times New Roman"/>
          <w:b w:val="0"/>
          <w:i/>
          <w:sz w:val="24"/>
          <w:szCs w:val="24"/>
        </w:rPr>
        <w:t>3. Lovforslagets hovedpunkter</w:t>
      </w:r>
    </w:p>
    <w:p w14:paraId="60E6CE20" w14:textId="0EE4268B" w:rsidR="00813593" w:rsidRPr="00F32C2D" w:rsidRDefault="00813593" w:rsidP="00397EAB">
      <w:pPr>
        <w:pStyle w:val="Overskrift2"/>
        <w:tabs>
          <w:tab w:val="left" w:pos="4776"/>
        </w:tabs>
        <w:rPr>
          <w:rFonts w:ascii="Times New Roman" w:hAnsi="Times New Roman" w:cs="Times New Roman"/>
          <w:b w:val="0"/>
          <w:i/>
          <w:sz w:val="24"/>
          <w:szCs w:val="24"/>
        </w:rPr>
      </w:pPr>
      <w:r w:rsidRPr="00F32C2D">
        <w:rPr>
          <w:rFonts w:ascii="Times New Roman" w:hAnsi="Times New Roman" w:cs="Times New Roman"/>
          <w:b w:val="0"/>
          <w:i/>
          <w:sz w:val="24"/>
          <w:szCs w:val="24"/>
        </w:rPr>
        <w:t>3.1</w:t>
      </w:r>
      <w:r w:rsidR="005145F0" w:rsidRPr="00F32C2D">
        <w:rPr>
          <w:rFonts w:ascii="Times New Roman" w:hAnsi="Times New Roman" w:cs="Times New Roman"/>
          <w:b w:val="0"/>
          <w:i/>
          <w:sz w:val="24"/>
          <w:szCs w:val="24"/>
        </w:rPr>
        <w:t>.</w:t>
      </w:r>
      <w:r w:rsidRPr="00F32C2D">
        <w:rPr>
          <w:rFonts w:ascii="Times New Roman" w:hAnsi="Times New Roman" w:cs="Times New Roman"/>
          <w:b w:val="0"/>
          <w:i/>
          <w:sz w:val="24"/>
          <w:szCs w:val="24"/>
        </w:rPr>
        <w:t xml:space="preserve"> </w:t>
      </w:r>
      <w:r w:rsidR="00B836E6">
        <w:rPr>
          <w:rFonts w:ascii="Times New Roman" w:hAnsi="Times New Roman" w:cs="Times New Roman"/>
          <w:b w:val="0"/>
          <w:i/>
          <w:sz w:val="24"/>
          <w:szCs w:val="24"/>
        </w:rPr>
        <w:t xml:space="preserve">Flere dokumenter </w:t>
      </w:r>
      <w:r w:rsidR="00B91300">
        <w:rPr>
          <w:rFonts w:ascii="Times New Roman" w:hAnsi="Times New Roman" w:cs="Times New Roman"/>
          <w:b w:val="0"/>
          <w:i/>
          <w:sz w:val="24"/>
          <w:szCs w:val="24"/>
        </w:rPr>
        <w:t xml:space="preserve">og datasamlinger </w:t>
      </w:r>
      <w:r w:rsidR="00B836E6">
        <w:rPr>
          <w:rFonts w:ascii="Times New Roman" w:hAnsi="Times New Roman" w:cs="Times New Roman"/>
          <w:b w:val="0"/>
          <w:i/>
          <w:sz w:val="24"/>
          <w:szCs w:val="24"/>
        </w:rPr>
        <w:t>er undtaget fra</w:t>
      </w:r>
      <w:r w:rsidR="00D46288">
        <w:rPr>
          <w:rFonts w:ascii="Times New Roman" w:hAnsi="Times New Roman" w:cs="Times New Roman"/>
          <w:b w:val="0"/>
          <w:i/>
          <w:sz w:val="24"/>
          <w:szCs w:val="24"/>
        </w:rPr>
        <w:t xml:space="preserve"> loven</w:t>
      </w:r>
    </w:p>
    <w:p w14:paraId="117E9A6A" w14:textId="3FC7CCE6" w:rsidR="00813593" w:rsidRDefault="00813593" w:rsidP="00F32C2D">
      <w:pPr>
        <w:pStyle w:val="Overskrift3"/>
        <w:spacing w:line="360" w:lineRule="auto"/>
      </w:pPr>
      <w:r w:rsidRPr="00393E79">
        <w:t>3.1.1</w:t>
      </w:r>
      <w:r w:rsidR="005145F0">
        <w:t>.</w:t>
      </w:r>
      <w:r w:rsidRPr="00393E79">
        <w:t xml:space="preserve"> Gældende ret</w:t>
      </w:r>
    </w:p>
    <w:p w14:paraId="6F0C5F9B" w14:textId="65A388AC" w:rsidR="00F658CE" w:rsidRPr="00F658CE" w:rsidRDefault="00F658CE" w:rsidP="00397EAB">
      <w:pPr>
        <w:pStyle w:val="Overskrift3"/>
      </w:pPr>
      <w:r>
        <w:t>3.1.1.1 Dansk ret</w:t>
      </w:r>
    </w:p>
    <w:p w14:paraId="0B8123FD" w14:textId="3E9C5147" w:rsidR="002C21D7" w:rsidRDefault="00813593" w:rsidP="002C21D7">
      <w:r w:rsidRPr="009C00F9">
        <w:t xml:space="preserve">Efter § 2, stk. </w:t>
      </w:r>
      <w:r w:rsidR="00B836E6">
        <w:t>2</w:t>
      </w:r>
      <w:r w:rsidRPr="009C00F9">
        <w:t xml:space="preserve">, </w:t>
      </w:r>
      <w:r w:rsidR="002C21D7">
        <w:t>omfatter PSI-loven ikke dokumenter og datasamlinger, der er tilvejebragt eller kvalitetsforbedret som led i offentlige myndigheders kommercielle aktiviteter, eller hvortil tredjemand besidder en immateriel rettighed.</w:t>
      </w:r>
    </w:p>
    <w:p w14:paraId="65211B4D" w14:textId="062E487C" w:rsidR="002C21D7" w:rsidRDefault="002C21D7" w:rsidP="002C21D7">
      <w:r>
        <w:t>Efter § 2, stk. 3, finder PSI-loven ikke anvendelse på programvirksomhed i tv- og radioorganer, som er pålagt en public service-forpligtelse, uddannelses- og forskningsinstitutioner, jf. dog § 11 a, og kulturinstitutioner, jf. dog stk. 1.</w:t>
      </w:r>
    </w:p>
    <w:p w14:paraId="0F22F8FF" w14:textId="0007E936" w:rsidR="00B107DB" w:rsidRDefault="002C21D7" w:rsidP="002C21D7">
      <w:r>
        <w:t xml:space="preserve">Efter § 2 a, stk. 2-3, omfatter PSI-loven endvidere ikke dokumenter og datasamlinger, som offentlige virksomheder er i besiddelse af, og som er tilvejebragt uden for anvendelsesområdet for leveringen af tjenesteydelser af almen interesse som fastsat ved lov eller andre retsforskrifter eller vedrører aktiviteter, der er direkte udsat for konkurrence og derfor undtaget fra reglerne for offentlige udbud. Loven omfatter kun offentlige virksomheders aktiviteter, </w:t>
      </w:r>
      <w:r>
        <w:lastRenderedPageBreak/>
        <w:t>der ligger inden for områder, som er underlagt reglerne for offentlige udbud, og hvor offentlige virksomheder handler som operatører af offentlige tjenester, fungerer som luftfartsselskaber eller handler som EU-redere.</w:t>
      </w:r>
    </w:p>
    <w:p w14:paraId="4BAC2D27" w14:textId="24D971C0" w:rsidR="00813593" w:rsidRPr="0056633A" w:rsidRDefault="00813593" w:rsidP="00397EAB">
      <w:pPr>
        <w:pStyle w:val="Overskrift3"/>
      </w:pPr>
      <w:r w:rsidRPr="0056633A">
        <w:t>3.1.</w:t>
      </w:r>
      <w:r w:rsidR="00F658CE">
        <w:t>1.</w:t>
      </w:r>
      <w:r w:rsidRPr="0056633A">
        <w:t>2. Åbne data-</w:t>
      </w:r>
      <w:r w:rsidRPr="00D46288">
        <w:t>direktivet</w:t>
      </w:r>
    </w:p>
    <w:p w14:paraId="274D00AB" w14:textId="060C2453" w:rsidR="00813593" w:rsidRDefault="00813593" w:rsidP="00274B94">
      <w:r w:rsidRPr="009C00F9">
        <w:t>Åbne data-direktivet</w:t>
      </w:r>
      <w:r w:rsidR="007114F9">
        <w:t>s</w:t>
      </w:r>
      <w:r w:rsidRPr="009C00F9">
        <w:t xml:space="preserve"> artikel</w:t>
      </w:r>
      <w:r w:rsidR="007114F9">
        <w:t xml:space="preserve"> 1, paragraf 2 (</w:t>
      </w:r>
      <w:proofErr w:type="spellStart"/>
      <w:r w:rsidR="007114F9">
        <w:t>a-l</w:t>
      </w:r>
      <w:proofErr w:type="spellEnd"/>
      <w:r w:rsidR="007114F9">
        <w:t>), indeholder undtagelser til direktivets anvendelsesområde.</w:t>
      </w:r>
      <w:r w:rsidRPr="009C00F9">
        <w:t xml:space="preserve"> </w:t>
      </w:r>
      <w:r w:rsidR="00BD69EF">
        <w:t>Flere af disse er</w:t>
      </w:r>
      <w:r w:rsidR="00166BB5">
        <w:t>, jf. afsnit 3.1.1.1,</w:t>
      </w:r>
      <w:r w:rsidR="00BD69EF">
        <w:t xml:space="preserve"> implementeret i PSI-loven</w:t>
      </w:r>
      <w:r w:rsidR="00166BB5">
        <w:t>.</w:t>
      </w:r>
      <w:r w:rsidR="00BD69EF">
        <w:t xml:space="preserve"> </w:t>
      </w:r>
      <w:r w:rsidR="00166BB5">
        <w:t>D</w:t>
      </w:r>
      <w:r w:rsidR="00BD69EF">
        <w:t xml:space="preserve">e resterende </w:t>
      </w:r>
      <w:r w:rsidR="00166BB5">
        <w:t xml:space="preserve">undtagelsesbestemmelser </w:t>
      </w:r>
      <w:r w:rsidR="00BD69EF">
        <w:t xml:space="preserve">er </w:t>
      </w:r>
      <w:r w:rsidR="00166BB5">
        <w:t>omfattet</w:t>
      </w:r>
      <w:r w:rsidR="00BD69EF">
        <w:t xml:space="preserve"> af separat lovgivning, fx </w:t>
      </w:r>
      <w:r w:rsidR="00AF3355">
        <w:t>o</w:t>
      </w:r>
      <w:r w:rsidR="00B54FF5">
        <w:t xml:space="preserve">ffentlighedsloven, </w:t>
      </w:r>
      <w:r w:rsidR="00AF3355">
        <w:t>d</w:t>
      </w:r>
      <w:r w:rsidR="00BD69EF">
        <w:t xml:space="preserve">atabeskyttelsesloven og </w:t>
      </w:r>
      <w:r w:rsidR="00AF3355">
        <w:t>l</w:t>
      </w:r>
      <w:r w:rsidR="00BD69EF" w:rsidRPr="00BD69EF">
        <w:t>ov om forretningshemmeligheder</w:t>
      </w:r>
      <w:r w:rsidR="00BD69EF">
        <w:t>.</w:t>
      </w:r>
    </w:p>
    <w:p w14:paraId="501F6F3F" w14:textId="4679D879" w:rsidR="00813593" w:rsidRPr="0056633A" w:rsidRDefault="00813593" w:rsidP="003C5FF8">
      <w:pPr>
        <w:pStyle w:val="Default"/>
      </w:pPr>
      <w:r w:rsidRPr="0056633A">
        <w:t>3.1.</w:t>
      </w:r>
      <w:r w:rsidR="00AA13E9">
        <w:t>2</w:t>
      </w:r>
      <w:r w:rsidRPr="0056633A">
        <w:t xml:space="preserve">. </w:t>
      </w:r>
      <w:r w:rsidR="00390EAB">
        <w:rPr>
          <w:i/>
          <w:sz w:val="23"/>
          <w:szCs w:val="23"/>
        </w:rPr>
        <w:t>Digitaliserings- og L</w:t>
      </w:r>
      <w:r w:rsidR="00F51296" w:rsidRPr="003C5FF8">
        <w:rPr>
          <w:i/>
          <w:sz w:val="23"/>
          <w:szCs w:val="23"/>
        </w:rPr>
        <w:t>igestillingsministeriets</w:t>
      </w:r>
      <w:r w:rsidR="00AA13E9" w:rsidRPr="003C5FF8">
        <w:rPr>
          <w:i/>
        </w:rPr>
        <w:t xml:space="preserve"> overvejelser og den foreslåede ordning</w:t>
      </w:r>
    </w:p>
    <w:p w14:paraId="4EB4A8B3" w14:textId="516F9160" w:rsidR="00491D0E" w:rsidRDefault="00813593" w:rsidP="00491D0E">
      <w:r w:rsidRPr="009C00F9">
        <w:t xml:space="preserve">Det foreslås, at lovens anvendelsesområde ændres i PSI-loven ved </w:t>
      </w:r>
      <w:r w:rsidR="00B836E6">
        <w:t xml:space="preserve">udvidelse af undtagelsesbestemmelserne i </w:t>
      </w:r>
      <w:r w:rsidRPr="009C00F9">
        <w:t xml:space="preserve">§ 2, </w:t>
      </w:r>
      <w:r w:rsidR="00166BB5">
        <w:t>s</w:t>
      </w:r>
      <w:r w:rsidR="00F71805">
        <w:t>tk. 2</w:t>
      </w:r>
      <w:r w:rsidR="00B836E6">
        <w:t>,</w:t>
      </w:r>
      <w:r w:rsidR="003A15C7">
        <w:t xml:space="preserve"> således at PSI-lovens anvendelsesområde er i overensstemmelse med åbne data-direktivets anvendelsesområde. </w:t>
      </w:r>
      <w:r w:rsidR="003A15C7" w:rsidRPr="009C00F9">
        <w:t>Ændringen indebærer, at visse dokumenter og datasamlinger</w:t>
      </w:r>
      <w:r w:rsidR="003A15C7">
        <w:t>, der hidtil formelt har været omfattet af loven, i fremtiden vil være undtaget.</w:t>
      </w:r>
      <w:r w:rsidR="003A15C7" w:rsidRPr="009C00F9">
        <w:t xml:space="preserve"> </w:t>
      </w:r>
      <w:r w:rsidR="00491D0E">
        <w:t xml:space="preserve">Det drejer sig om logoer, emblemer og insignier eller </w:t>
      </w:r>
      <w:r w:rsidR="001E28BA">
        <w:t xml:space="preserve">andre </w:t>
      </w:r>
      <w:r w:rsidR="00491D0E">
        <w:t xml:space="preserve">dokumenter og datasamlinger, hvortil adgang er begrænset eller udelukket, da de indeholder følsomme oplysninger vedrørende beskyttelse af kritisk infrastruktur eller er undtaget for aktindsigt </w:t>
      </w:r>
      <w:r w:rsidR="00491D0E" w:rsidRPr="00491D0E">
        <w:t>under henvisning til beskyttelse af personoplysninger</w:t>
      </w:r>
      <w:r w:rsidR="00491D0E">
        <w:t>, jf. databeskyttelsesforordningen og databeskyttelsesloven.</w:t>
      </w:r>
    </w:p>
    <w:p w14:paraId="4A008CC4" w14:textId="5B416B1E" w:rsidR="00813593" w:rsidRPr="009C00F9" w:rsidRDefault="00813593" w:rsidP="00274B94">
      <w:r w:rsidRPr="009C00F9">
        <w:t>Der henvises til lovforslagets § </w:t>
      </w:r>
      <w:r w:rsidR="00C03516">
        <w:t>1</w:t>
      </w:r>
      <w:r w:rsidRPr="009C00F9">
        <w:t xml:space="preserve">, nr. </w:t>
      </w:r>
      <w:r w:rsidR="00B836E6">
        <w:t>1</w:t>
      </w:r>
      <w:r w:rsidRPr="009C00F9">
        <w:t>, og bemærkningerne hertil.</w:t>
      </w:r>
    </w:p>
    <w:p w14:paraId="0DCC1C49" w14:textId="729652B4" w:rsidR="00F32C2D"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4. Økonomiske konsekvenser og implementeringskonsekvenser for det offentlige</w:t>
      </w:r>
    </w:p>
    <w:p w14:paraId="61711161" w14:textId="397035B0" w:rsidR="00226E6C" w:rsidRPr="009C00F9" w:rsidRDefault="00AE34E2" w:rsidP="00F460E0">
      <w:r>
        <w:t>Forslaget vurderes</w:t>
      </w:r>
      <w:r w:rsidR="00813593" w:rsidRPr="009C00F9">
        <w:t xml:space="preserve"> </w:t>
      </w:r>
      <w:r w:rsidR="00B836E6">
        <w:t xml:space="preserve">ikke </w:t>
      </w:r>
      <w:r>
        <w:t xml:space="preserve">at </w:t>
      </w:r>
      <w:r w:rsidR="00813593" w:rsidRPr="009C00F9">
        <w:t xml:space="preserve">have økonomiske konsekvenser for den offentlige sektor. </w:t>
      </w:r>
    </w:p>
    <w:p w14:paraId="7F8B0151" w14:textId="3663CCAC" w:rsidR="00813593" w:rsidRPr="009C00F9" w:rsidRDefault="00813593" w:rsidP="00274B94">
      <w:r w:rsidRPr="009C00F9">
        <w:t>Lovforslaget følger principper</w:t>
      </w:r>
      <w:r w:rsidR="00390EAB">
        <w:t>ne</w:t>
      </w:r>
      <w:r w:rsidRPr="009C00F9">
        <w:t xml:space="preserve"> for digitaliseringsklar lovgivning. </w:t>
      </w:r>
    </w:p>
    <w:p w14:paraId="12BE7FA8" w14:textId="77777777"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5. Økonomiske og administrative konsekvenser for erhvervslivet m.v.</w:t>
      </w:r>
    </w:p>
    <w:p w14:paraId="1CC53C08" w14:textId="74E11232" w:rsidR="00523192" w:rsidRPr="00523192" w:rsidRDefault="00810BBA" w:rsidP="00274B94">
      <w:r w:rsidRPr="009C00F9">
        <w:t>Forslaget vurderes ikke at</w:t>
      </w:r>
      <w:r>
        <w:t xml:space="preserve"> have økonomiske konsekvenser for erhvervslivet.</w:t>
      </w:r>
    </w:p>
    <w:p w14:paraId="75638CA0" w14:textId="47DA2BB3" w:rsidR="00AE34E2" w:rsidRDefault="00AE34E2" w:rsidP="00274B94">
      <w:r w:rsidRPr="00AE34E2">
        <w:t xml:space="preserve">Lovforslaget er konkurrencefremmende, da det sikrer, at der er </w:t>
      </w:r>
      <w:r>
        <w:t xml:space="preserve">klarere rammer for, hvilke regler er gældende, når erhvervsliver driver </w:t>
      </w:r>
      <w:r w:rsidRPr="00AE34E2">
        <w:t>forretning baseret på offentlige data.</w:t>
      </w:r>
    </w:p>
    <w:p w14:paraId="4AC347E4" w14:textId="2F7D4F9A" w:rsidR="00813593" w:rsidRPr="009C00F9" w:rsidRDefault="00813593" w:rsidP="00274B94">
      <w:r w:rsidRPr="009C00F9">
        <w:t>Forslaget vurderes ikke at indeholde erhvervsrettet EU-regulering.</w:t>
      </w:r>
    </w:p>
    <w:p w14:paraId="40A9C9C0" w14:textId="30D6AC2F" w:rsidR="00813593" w:rsidRPr="009C00F9" w:rsidRDefault="00813593" w:rsidP="00274B94">
      <w:r w:rsidRPr="009C00F9">
        <w:lastRenderedPageBreak/>
        <w:t xml:space="preserve">Det vurderes, at </w:t>
      </w:r>
      <w:r w:rsidR="00C0461D">
        <w:t xml:space="preserve">lovforslaget følger </w:t>
      </w:r>
      <w:r w:rsidRPr="009C00F9">
        <w:t>principperne for agil erhvervsrettet regulering</w:t>
      </w:r>
      <w:r w:rsidR="00201032">
        <w:t xml:space="preserve">, da </w:t>
      </w:r>
      <w:r w:rsidR="002E1BA6">
        <w:t xml:space="preserve">den ændringsloven </w:t>
      </w:r>
      <w:r w:rsidR="002E1BA6" w:rsidRPr="002E1BA6">
        <w:t>tager højde for, om der er et samspil med andre reguleringsområder</w:t>
      </w:r>
      <w:r w:rsidR="002E1BA6">
        <w:t xml:space="preserve"> og dermed gør det nemmere for virksomheder at </w:t>
      </w:r>
      <w:r w:rsidR="002E1BA6" w:rsidRPr="002E1BA6">
        <w:t>anvende nye teknologier og forretningsmodeller</w:t>
      </w:r>
      <w:r w:rsidRPr="009C00F9">
        <w:t>.</w:t>
      </w:r>
      <w:r w:rsidR="00E56E1B">
        <w:t xml:space="preserve"> </w:t>
      </w:r>
    </w:p>
    <w:p w14:paraId="4CAD8F02" w14:textId="77777777"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6. Administrative konsekvenser for borgerne</w:t>
      </w:r>
    </w:p>
    <w:p w14:paraId="39542BC6" w14:textId="77777777" w:rsidR="00813593" w:rsidRPr="009C00F9" w:rsidRDefault="00813593" w:rsidP="00274B94">
      <w:r w:rsidRPr="009C00F9">
        <w:t>Forslaget vurderes ikke at have administrative konsekvenser for borgerne.</w:t>
      </w:r>
    </w:p>
    <w:p w14:paraId="6D2021EB" w14:textId="2101BC53"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 xml:space="preserve">7. </w:t>
      </w:r>
      <w:r w:rsidR="007526AA">
        <w:rPr>
          <w:rFonts w:ascii="Times New Roman" w:hAnsi="Times New Roman" w:cs="Times New Roman"/>
          <w:b w:val="0"/>
          <w:i/>
          <w:sz w:val="24"/>
          <w:szCs w:val="24"/>
        </w:rPr>
        <w:t>Klima- og m</w:t>
      </w:r>
      <w:r w:rsidRPr="00F32C2D">
        <w:rPr>
          <w:rFonts w:ascii="Times New Roman" w:hAnsi="Times New Roman" w:cs="Times New Roman"/>
          <w:b w:val="0"/>
          <w:i/>
          <w:sz w:val="24"/>
          <w:szCs w:val="24"/>
        </w:rPr>
        <w:t>iljømæssige konsekvenser</w:t>
      </w:r>
    </w:p>
    <w:p w14:paraId="04C23028" w14:textId="77777777" w:rsidR="00813593" w:rsidRPr="009C00F9" w:rsidRDefault="00813593" w:rsidP="00274B94">
      <w:r w:rsidRPr="009C00F9">
        <w:t>Forslaget vurderes ikke at have klima- og miljømæssige konsekvenser.</w:t>
      </w:r>
    </w:p>
    <w:p w14:paraId="28BE24B5" w14:textId="77777777"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8. Forholdet til EU-retten</w:t>
      </w:r>
    </w:p>
    <w:p w14:paraId="2192F3BF" w14:textId="092AF561" w:rsidR="00813593" w:rsidRPr="009C00F9" w:rsidRDefault="00813593" w:rsidP="00274B94">
      <w:r w:rsidRPr="009C00F9">
        <w:t>Lovforslaget implementerer dele af Europa-Parlamentets og Rådets direktiv 2019/1024 af 20. juni 2019 om åbne data og videreanvendelse af den offentlige sektors informationer (åbne data</w:t>
      </w:r>
      <w:r w:rsidR="00F625B5">
        <w:t>-</w:t>
      </w:r>
      <w:r w:rsidRPr="009C00F9">
        <w:t xml:space="preserve">direktivet), som er en </w:t>
      </w:r>
      <w:r w:rsidR="00066E66">
        <w:t>omarbejdning</w:t>
      </w:r>
      <w:r w:rsidRPr="009C00F9">
        <w:t xml:space="preserve"> af Europa-Parlamentets og Rådets direktiver 2013/37/EU af 26. juni 2013 og 2003/98/EF af 17. november 2003 om videreanvendelse af den offentlige sektors informationer. </w:t>
      </w:r>
    </w:p>
    <w:p w14:paraId="1D9D9E83" w14:textId="77777777"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9. Hørte myndigheder og organisationer m.v.</w:t>
      </w:r>
    </w:p>
    <w:p w14:paraId="42D6BCF0" w14:textId="27310CBC" w:rsidR="00813593" w:rsidRPr="009C00F9" w:rsidRDefault="00813593" w:rsidP="00274B94">
      <w:r w:rsidRPr="009C00F9">
        <w:t xml:space="preserve">Et udkast til lovforslag har i perioden fra </w:t>
      </w:r>
      <w:r w:rsidR="00B836E6" w:rsidRPr="00142C5F">
        <w:rPr>
          <w:highlight w:val="yellow"/>
        </w:rPr>
        <w:t>[</w:t>
      </w:r>
      <w:r w:rsidR="00E3642B">
        <w:rPr>
          <w:highlight w:val="yellow"/>
        </w:rPr>
        <w:t>5</w:t>
      </w:r>
      <w:r w:rsidR="00F51296">
        <w:rPr>
          <w:highlight w:val="yellow"/>
        </w:rPr>
        <w:t xml:space="preserve">. januar 2023 til </w:t>
      </w:r>
      <w:r w:rsidR="00E3642B">
        <w:rPr>
          <w:highlight w:val="yellow"/>
        </w:rPr>
        <w:t>2</w:t>
      </w:r>
      <w:bookmarkStart w:id="2" w:name="_GoBack"/>
      <w:bookmarkEnd w:id="2"/>
      <w:r w:rsidR="00F51296">
        <w:rPr>
          <w:highlight w:val="yellow"/>
        </w:rPr>
        <w:t>. februar 2023</w:t>
      </w:r>
      <w:r w:rsidR="00B836E6" w:rsidRPr="00142C5F">
        <w:rPr>
          <w:highlight w:val="yellow"/>
        </w:rPr>
        <w:t>]</w:t>
      </w:r>
      <w:r w:rsidR="00B836E6">
        <w:t xml:space="preserve"> </w:t>
      </w:r>
      <w:r w:rsidRPr="009C00F9">
        <w:t>været sendt i høring hos følgende myndigheder og organisationer mv.:</w:t>
      </w:r>
    </w:p>
    <w:p w14:paraId="1DDF5BA8" w14:textId="123B5179" w:rsidR="002514DA" w:rsidRDefault="00027B84" w:rsidP="00420E10">
      <w:pPr>
        <w:rPr>
          <w:rFonts w:ascii="Times New Roman" w:hAnsi="Times New Roman"/>
          <w:bCs/>
          <w:i/>
          <w:iCs/>
        </w:rPr>
      </w:pPr>
      <w:r w:rsidRPr="007E2041">
        <w:t>Beskæftigelsesministeriet</w:t>
      </w:r>
      <w:r>
        <w:t xml:space="preserve">, </w:t>
      </w:r>
      <w:r w:rsidRPr="007E2041">
        <w:t>Børn</w:t>
      </w:r>
      <w:r>
        <w:t>e</w:t>
      </w:r>
      <w:r w:rsidRPr="007E2041">
        <w:t>- og Undervisningsministeriet</w:t>
      </w:r>
      <w:r>
        <w:t xml:space="preserve">, </w:t>
      </w:r>
      <w:r w:rsidRPr="007E2041">
        <w:t>Erhvervsministeriet</w:t>
      </w:r>
      <w:r>
        <w:t>, Finansministeriet, Forsvarsministeriet,</w:t>
      </w:r>
      <w:r w:rsidRPr="007E2041">
        <w:t xml:space="preserve"> </w:t>
      </w:r>
      <w:r>
        <w:t xml:space="preserve">Justitsministeriet, Kirkeministeriet, Klima-, Energi- og Forsyningsministeriet, Kulturministeriet, </w:t>
      </w:r>
      <w:r w:rsidRPr="006B6871">
        <w:t>Ministeriet for Fødevarer, Landbrug og Fiskeri</w:t>
      </w:r>
      <w:r>
        <w:t>,</w:t>
      </w:r>
      <w:r w:rsidRPr="009C00F9" w:rsidDel="007E2041">
        <w:t xml:space="preserve"> </w:t>
      </w:r>
      <w:r w:rsidR="00822A4A">
        <w:t xml:space="preserve">Miljøministeriet, </w:t>
      </w:r>
      <w:r>
        <w:t xml:space="preserve">Skatteministeriet, </w:t>
      </w:r>
      <w:r w:rsidRPr="004D0880">
        <w:t>Transportministeriet</w:t>
      </w:r>
      <w:r>
        <w:t xml:space="preserve">, Uddannelses- og Forskningsministeriet, Udenrigsministeriet, </w:t>
      </w:r>
      <w:r w:rsidRPr="007E2041">
        <w:t>Udlændinge</w:t>
      </w:r>
      <w:r>
        <w:t>- og In</w:t>
      </w:r>
      <w:r w:rsidRPr="007E2041">
        <w:t>tegrationsministeriet</w:t>
      </w:r>
      <w:r>
        <w:t xml:space="preserve">, </w:t>
      </w:r>
      <w:r w:rsidR="00822A4A">
        <w:t xml:space="preserve">Økonomiministeriet, Social-, Bolig- og Ældreministeriet, Indenrigs- og Sundhedsministeriet, Digitaliserings- og Ligestillingsministeriet, </w:t>
      </w:r>
      <w:r>
        <w:t>ATP, Danmarks S</w:t>
      </w:r>
      <w:r w:rsidRPr="00CA5C85">
        <w:t>tatistik</w:t>
      </w:r>
      <w:r>
        <w:t>, Dansk IT, Dansk Standard, Forum for digital sikkerhed, DI Digital, DKCERT, FDIH – Foreningen for Danske Internethandel, Finans Danmark, Forbrugerrådet Tænk, Landsforeningen Ældre Sagen, Danske Handicaporganisationer, Dansk Erhverv, Dansk Industri, Danske Regioner, Datatilsynet, Det Centrale Handicapråd, IBIZ-Center, IT-Brancheforeningen, Institut for Menneskerettigheder, IT-Politisk Forening, Landbrugsrådet, Rådet for Digital Sikkerhed, Rigsombudsmanden i Grønland, Rigsombudsmanden på Færøerne, Rigsrevisio</w:t>
      </w:r>
      <w:r>
        <w:lastRenderedPageBreak/>
        <w:t xml:space="preserve">nen, KL – Kommunernes Landsforening, KOMBIT, Konkurrence- og Forbrugerstyrelsen, Prosa, Forbundet af </w:t>
      </w:r>
      <w:r w:rsidR="00B57955">
        <w:t>IT-Professionelle, Dataetisk Råd, Danske Universiteter.</w:t>
      </w:r>
    </w:p>
    <w:p w14:paraId="0418517E" w14:textId="1259E629" w:rsidR="00813593" w:rsidRPr="00F32C2D" w:rsidRDefault="00813593" w:rsidP="00F32C2D">
      <w:pPr>
        <w:pStyle w:val="Overskrift2"/>
        <w:spacing w:after="240"/>
        <w:rPr>
          <w:rFonts w:ascii="Times New Roman" w:hAnsi="Times New Roman" w:cs="Times New Roman"/>
          <w:b w:val="0"/>
          <w:i/>
          <w:sz w:val="24"/>
          <w:szCs w:val="24"/>
        </w:rPr>
      </w:pPr>
      <w:r w:rsidRPr="00F32C2D">
        <w:rPr>
          <w:rFonts w:ascii="Times New Roman" w:hAnsi="Times New Roman" w:cs="Times New Roman"/>
          <w:b w:val="0"/>
          <w:i/>
          <w:sz w:val="24"/>
          <w:szCs w:val="24"/>
        </w:rPr>
        <w:t>10. Sammenfattende skema</w:t>
      </w:r>
    </w:p>
    <w:tbl>
      <w:tblPr>
        <w:tblStyle w:val="Tabel-Gitter"/>
        <w:tblW w:w="0" w:type="auto"/>
        <w:tblInd w:w="360" w:type="dxa"/>
        <w:tblLook w:val="04A0" w:firstRow="1" w:lastRow="0" w:firstColumn="1" w:lastColumn="0" w:noHBand="0" w:noVBand="1"/>
      </w:tblPr>
      <w:tblGrid>
        <w:gridCol w:w="2310"/>
        <w:gridCol w:w="2259"/>
        <w:gridCol w:w="12"/>
        <w:gridCol w:w="2277"/>
      </w:tblGrid>
      <w:tr w:rsidR="00813593" w:rsidRPr="00B108CB" w14:paraId="6BA4E0C4" w14:textId="77777777" w:rsidTr="00380C54">
        <w:tc>
          <w:tcPr>
            <w:tcW w:w="2454" w:type="dxa"/>
          </w:tcPr>
          <w:p w14:paraId="33FB0001" w14:textId="77777777" w:rsidR="00813593" w:rsidRPr="009C00F9" w:rsidRDefault="00813593" w:rsidP="00274B94"/>
        </w:tc>
        <w:tc>
          <w:tcPr>
            <w:tcW w:w="2427" w:type="dxa"/>
            <w:gridSpan w:val="2"/>
          </w:tcPr>
          <w:p w14:paraId="3F3BE6CD" w14:textId="77777777" w:rsidR="00813593" w:rsidRPr="009C00F9" w:rsidRDefault="00813593" w:rsidP="00274B94">
            <w:r w:rsidRPr="009C00F9">
              <w:t xml:space="preserve">Positive konsekvenser/ </w:t>
            </w:r>
            <w:proofErr w:type="spellStart"/>
            <w:r w:rsidRPr="009C00F9">
              <w:t>mindreudgifter</w:t>
            </w:r>
            <w:proofErr w:type="spellEnd"/>
            <w:r w:rsidRPr="009C00F9">
              <w:t xml:space="preserve"> (hvis ja, angiv omfang)</w:t>
            </w:r>
          </w:p>
        </w:tc>
        <w:tc>
          <w:tcPr>
            <w:tcW w:w="2403" w:type="dxa"/>
          </w:tcPr>
          <w:p w14:paraId="78122867" w14:textId="77777777" w:rsidR="00813593" w:rsidRPr="009C00F9" w:rsidRDefault="00813593" w:rsidP="00274B94">
            <w:r w:rsidRPr="009C00F9">
              <w:t>Negative konsekvenser/merudgifter (hvis ja, angiv omfang)</w:t>
            </w:r>
          </w:p>
        </w:tc>
      </w:tr>
      <w:tr w:rsidR="00813593" w:rsidRPr="00B108CB" w14:paraId="1C41E343" w14:textId="77777777" w:rsidTr="00380C54">
        <w:tc>
          <w:tcPr>
            <w:tcW w:w="2454" w:type="dxa"/>
          </w:tcPr>
          <w:p w14:paraId="2F4FA807" w14:textId="77777777" w:rsidR="00813593" w:rsidRPr="009C00F9" w:rsidRDefault="00813593" w:rsidP="00274B94">
            <w:r w:rsidRPr="009C00F9">
              <w:t>Økonomiske konsekvenser for stat, kommuner og regioner</w:t>
            </w:r>
          </w:p>
        </w:tc>
        <w:tc>
          <w:tcPr>
            <w:tcW w:w="2427" w:type="dxa"/>
            <w:gridSpan w:val="2"/>
          </w:tcPr>
          <w:p w14:paraId="1DEDF2E1" w14:textId="77777777" w:rsidR="00813593" w:rsidRPr="009C00F9" w:rsidRDefault="00813593" w:rsidP="00274B94">
            <w:r w:rsidRPr="009C00F9">
              <w:t>Ingen</w:t>
            </w:r>
          </w:p>
        </w:tc>
        <w:tc>
          <w:tcPr>
            <w:tcW w:w="2403" w:type="dxa"/>
          </w:tcPr>
          <w:p w14:paraId="4C8B6F83" w14:textId="5C65C803" w:rsidR="00813593" w:rsidRPr="009C00F9" w:rsidRDefault="00F460E0" w:rsidP="00274B94">
            <w:r>
              <w:t>Ingen</w:t>
            </w:r>
          </w:p>
        </w:tc>
      </w:tr>
      <w:tr w:rsidR="00813593" w:rsidRPr="00B108CB" w14:paraId="3385F916" w14:textId="77777777" w:rsidTr="00380C54">
        <w:tc>
          <w:tcPr>
            <w:tcW w:w="2454" w:type="dxa"/>
          </w:tcPr>
          <w:p w14:paraId="26B83FAF" w14:textId="77777777" w:rsidR="00813593" w:rsidRPr="009C00F9" w:rsidRDefault="00813593" w:rsidP="00274B94">
            <w:r w:rsidRPr="009C00F9">
              <w:t>Administrative konsekvenser for stat, kommuner og regioner</w:t>
            </w:r>
          </w:p>
        </w:tc>
        <w:tc>
          <w:tcPr>
            <w:tcW w:w="2427" w:type="dxa"/>
            <w:gridSpan w:val="2"/>
          </w:tcPr>
          <w:p w14:paraId="056FD4D9" w14:textId="77777777" w:rsidR="00813593" w:rsidRPr="009C00F9" w:rsidRDefault="00813593" w:rsidP="00274B94">
            <w:r w:rsidRPr="009C00F9">
              <w:t>Ingen</w:t>
            </w:r>
          </w:p>
        </w:tc>
        <w:tc>
          <w:tcPr>
            <w:tcW w:w="2403" w:type="dxa"/>
          </w:tcPr>
          <w:p w14:paraId="2E454C1E" w14:textId="47B6F3CE" w:rsidR="00813593" w:rsidRPr="009C00F9" w:rsidRDefault="00F460E0" w:rsidP="00274B94">
            <w:r>
              <w:t>Ingen</w:t>
            </w:r>
          </w:p>
        </w:tc>
      </w:tr>
      <w:tr w:rsidR="00813593" w:rsidRPr="00B108CB" w14:paraId="44B9F38D" w14:textId="77777777" w:rsidTr="00380C54">
        <w:tc>
          <w:tcPr>
            <w:tcW w:w="2454" w:type="dxa"/>
          </w:tcPr>
          <w:p w14:paraId="35B180D5" w14:textId="77777777" w:rsidR="00813593" w:rsidRPr="009C00F9" w:rsidRDefault="00813593" w:rsidP="00274B94">
            <w:r w:rsidRPr="009C00F9">
              <w:t>Økonomiske konsekvenser for erhvervslivet</w:t>
            </w:r>
          </w:p>
        </w:tc>
        <w:tc>
          <w:tcPr>
            <w:tcW w:w="2427" w:type="dxa"/>
            <w:gridSpan w:val="2"/>
          </w:tcPr>
          <w:p w14:paraId="75A83BED" w14:textId="50B40212" w:rsidR="00813593" w:rsidRPr="009C00F9" w:rsidRDefault="00F460E0" w:rsidP="00274B94">
            <w:r>
              <w:t>Ingen</w:t>
            </w:r>
          </w:p>
        </w:tc>
        <w:tc>
          <w:tcPr>
            <w:tcW w:w="2403" w:type="dxa"/>
          </w:tcPr>
          <w:p w14:paraId="520FD70D" w14:textId="77777777" w:rsidR="00813593" w:rsidRPr="009C00F9" w:rsidRDefault="00813593" w:rsidP="00274B94">
            <w:r w:rsidRPr="009C00F9">
              <w:t>Ingen</w:t>
            </w:r>
          </w:p>
        </w:tc>
      </w:tr>
      <w:tr w:rsidR="00813593" w:rsidRPr="00B108CB" w14:paraId="66CBE64C" w14:textId="77777777" w:rsidTr="00380C54">
        <w:tc>
          <w:tcPr>
            <w:tcW w:w="2454" w:type="dxa"/>
          </w:tcPr>
          <w:p w14:paraId="2CC13C4B" w14:textId="77777777" w:rsidR="00813593" w:rsidRPr="009C00F9" w:rsidRDefault="00813593" w:rsidP="00274B94">
            <w:r w:rsidRPr="009C00F9">
              <w:t>Administrative konsekvenser for erhvervslivet</w:t>
            </w:r>
          </w:p>
        </w:tc>
        <w:tc>
          <w:tcPr>
            <w:tcW w:w="2427" w:type="dxa"/>
            <w:gridSpan w:val="2"/>
          </w:tcPr>
          <w:p w14:paraId="0C32DB72" w14:textId="24C05D62" w:rsidR="00813593" w:rsidRPr="009C00F9" w:rsidRDefault="00F460E0" w:rsidP="00274B94">
            <w:r>
              <w:t>Ingen</w:t>
            </w:r>
          </w:p>
        </w:tc>
        <w:tc>
          <w:tcPr>
            <w:tcW w:w="2403" w:type="dxa"/>
          </w:tcPr>
          <w:p w14:paraId="161961DC" w14:textId="77777777" w:rsidR="00813593" w:rsidRPr="009C00F9" w:rsidRDefault="00813593" w:rsidP="00274B94">
            <w:r w:rsidRPr="009C00F9">
              <w:t>Ingen</w:t>
            </w:r>
          </w:p>
        </w:tc>
      </w:tr>
      <w:tr w:rsidR="00813593" w:rsidRPr="00B108CB" w14:paraId="2D7685A4" w14:textId="77777777" w:rsidTr="00380C54">
        <w:tc>
          <w:tcPr>
            <w:tcW w:w="2454" w:type="dxa"/>
          </w:tcPr>
          <w:p w14:paraId="374EE659" w14:textId="77777777" w:rsidR="00813593" w:rsidRPr="009C00F9" w:rsidRDefault="00813593" w:rsidP="00274B94">
            <w:r w:rsidRPr="009C00F9">
              <w:t>Administrative konsekvenser for borgerne</w:t>
            </w:r>
          </w:p>
        </w:tc>
        <w:tc>
          <w:tcPr>
            <w:tcW w:w="2427" w:type="dxa"/>
            <w:gridSpan w:val="2"/>
          </w:tcPr>
          <w:p w14:paraId="68E7BE05" w14:textId="77777777" w:rsidR="00813593" w:rsidRPr="009C00F9" w:rsidRDefault="00813593" w:rsidP="00274B94">
            <w:r w:rsidRPr="009C00F9">
              <w:t>Ingen</w:t>
            </w:r>
          </w:p>
        </w:tc>
        <w:tc>
          <w:tcPr>
            <w:tcW w:w="2403" w:type="dxa"/>
          </w:tcPr>
          <w:p w14:paraId="1D71AFEB" w14:textId="77777777" w:rsidR="00813593" w:rsidRPr="009C00F9" w:rsidRDefault="00813593" w:rsidP="00274B94">
            <w:r w:rsidRPr="009C00F9">
              <w:t>Ingen</w:t>
            </w:r>
          </w:p>
        </w:tc>
      </w:tr>
      <w:tr w:rsidR="00813593" w:rsidRPr="00B108CB" w14:paraId="1BAADA3C" w14:textId="77777777" w:rsidTr="00380C54">
        <w:tc>
          <w:tcPr>
            <w:tcW w:w="2454" w:type="dxa"/>
          </w:tcPr>
          <w:p w14:paraId="36F1B20E" w14:textId="0875B54A" w:rsidR="00813593" w:rsidRPr="009C00F9" w:rsidRDefault="00A05496" w:rsidP="00A05496">
            <w:r>
              <w:t>Klima- og</w:t>
            </w:r>
            <w:r w:rsidR="00810BBA">
              <w:t xml:space="preserve"> </w:t>
            </w:r>
            <w:r>
              <w:t>m</w:t>
            </w:r>
            <w:r w:rsidR="00813593" w:rsidRPr="009C00F9">
              <w:t>iljømæssige konsekvenser</w:t>
            </w:r>
          </w:p>
        </w:tc>
        <w:tc>
          <w:tcPr>
            <w:tcW w:w="2427" w:type="dxa"/>
            <w:gridSpan w:val="2"/>
          </w:tcPr>
          <w:p w14:paraId="714895E1" w14:textId="77777777" w:rsidR="00813593" w:rsidRPr="009C00F9" w:rsidRDefault="00813593" w:rsidP="00274B94">
            <w:r w:rsidRPr="009C00F9">
              <w:t>Ingen</w:t>
            </w:r>
          </w:p>
        </w:tc>
        <w:tc>
          <w:tcPr>
            <w:tcW w:w="2403" w:type="dxa"/>
          </w:tcPr>
          <w:p w14:paraId="08AACDEE" w14:textId="77777777" w:rsidR="00813593" w:rsidRPr="009C00F9" w:rsidRDefault="00813593" w:rsidP="00274B94">
            <w:r w:rsidRPr="009C00F9">
              <w:t>Ingen</w:t>
            </w:r>
          </w:p>
        </w:tc>
      </w:tr>
      <w:tr w:rsidR="00813593" w:rsidRPr="00B108CB" w14:paraId="6CED5CDE" w14:textId="77777777" w:rsidTr="00380C54">
        <w:tc>
          <w:tcPr>
            <w:tcW w:w="2454" w:type="dxa"/>
          </w:tcPr>
          <w:p w14:paraId="0483012C" w14:textId="77777777" w:rsidR="00813593" w:rsidRPr="009C00F9" w:rsidRDefault="00813593" w:rsidP="00274B94">
            <w:r w:rsidRPr="009C00F9">
              <w:t>Forholdet til EU-retten</w:t>
            </w:r>
          </w:p>
          <w:p w14:paraId="30D0B280" w14:textId="77777777" w:rsidR="00813593" w:rsidRPr="009C00F9" w:rsidRDefault="00813593" w:rsidP="00274B94"/>
        </w:tc>
        <w:tc>
          <w:tcPr>
            <w:tcW w:w="4830" w:type="dxa"/>
            <w:gridSpan w:val="3"/>
          </w:tcPr>
          <w:p w14:paraId="515CB735" w14:textId="7725B521" w:rsidR="00813593" w:rsidRPr="009C00F9" w:rsidRDefault="00813593" w:rsidP="007C76EA">
            <w:pPr>
              <w:rPr>
                <w:color w:val="252122"/>
              </w:rPr>
            </w:pPr>
            <w:r w:rsidRPr="009C00F9">
              <w:t xml:space="preserve">Lovforslaget implementerer dele af Europa-Parlamentets og Rådets direktiv 2019/1024 af 20. juni 2019 om åbne data og videreanvendelse af den offentlige sektors informationer (åbne data direktivet), som er en </w:t>
            </w:r>
            <w:r w:rsidR="007C76EA">
              <w:t>omarbejdning</w:t>
            </w:r>
            <w:r w:rsidR="007C76EA" w:rsidRPr="009C00F9">
              <w:t xml:space="preserve"> </w:t>
            </w:r>
            <w:r w:rsidRPr="009C00F9">
              <w:t>af Europa-Parlamentets og Rådets direktiver 2013/37/EU af 26. juni 2013 og 2003/98/EF af 17. november 2003 om videreanvendelse af den offentlige sektors informationer.</w:t>
            </w:r>
          </w:p>
        </w:tc>
      </w:tr>
      <w:tr w:rsidR="00813593" w:rsidRPr="00B108CB" w14:paraId="197233D0" w14:textId="77777777" w:rsidTr="00277BE2">
        <w:tc>
          <w:tcPr>
            <w:tcW w:w="2454" w:type="dxa"/>
          </w:tcPr>
          <w:p w14:paraId="6910B113" w14:textId="77777777" w:rsidR="00813593" w:rsidRPr="009C00F9" w:rsidRDefault="00813593" w:rsidP="00274B94">
            <w:r w:rsidRPr="009C00F9">
              <w:lastRenderedPageBreak/>
              <w:t>Overimplementering af EU-retlige minimumsforpligtelser (sæt X)</w:t>
            </w:r>
          </w:p>
        </w:tc>
        <w:tc>
          <w:tcPr>
            <w:tcW w:w="2415" w:type="dxa"/>
          </w:tcPr>
          <w:p w14:paraId="25FF5774" w14:textId="5343C279" w:rsidR="00813593" w:rsidRPr="009C00F9" w:rsidRDefault="00813593" w:rsidP="002514DA"/>
        </w:tc>
        <w:tc>
          <w:tcPr>
            <w:tcW w:w="2415" w:type="dxa"/>
            <w:gridSpan w:val="2"/>
          </w:tcPr>
          <w:p w14:paraId="4FCAC43F" w14:textId="334FA274" w:rsidR="00813593" w:rsidRPr="009C00F9" w:rsidRDefault="00813593" w:rsidP="00274B94"/>
          <w:p w14:paraId="30D78D30" w14:textId="38A34125" w:rsidR="00813593" w:rsidRPr="009C00F9" w:rsidRDefault="002514DA" w:rsidP="00274B94">
            <w:r>
              <w:t>X</w:t>
            </w:r>
          </w:p>
          <w:p w14:paraId="58503E48" w14:textId="77777777" w:rsidR="00813593" w:rsidRPr="009C00F9" w:rsidRDefault="00813593" w:rsidP="00274B94"/>
        </w:tc>
      </w:tr>
    </w:tbl>
    <w:p w14:paraId="4D3A7C5E" w14:textId="77777777" w:rsidR="00813593" w:rsidRPr="009C00F9" w:rsidRDefault="00813593" w:rsidP="00274B94"/>
    <w:p w14:paraId="57C1F8C4" w14:textId="77777777" w:rsidR="00813593" w:rsidRPr="009C00F9" w:rsidRDefault="00813593" w:rsidP="00274B94"/>
    <w:p w14:paraId="47715025" w14:textId="77777777" w:rsidR="00822CF3" w:rsidRPr="006A7B9F" w:rsidRDefault="00822CF3" w:rsidP="006A7B9F">
      <w:pPr>
        <w:jc w:val="center"/>
        <w:rPr>
          <w:b/>
          <w:i/>
        </w:rPr>
      </w:pPr>
      <w:r w:rsidRPr="006A7B9F">
        <w:rPr>
          <w:i/>
        </w:rPr>
        <w:t>Bemærkninger til lovforslagets enkelte bestemmelser</w:t>
      </w:r>
    </w:p>
    <w:p w14:paraId="611C6638" w14:textId="77777777" w:rsidR="00822CF3" w:rsidRPr="006A7B9F" w:rsidRDefault="00822CF3" w:rsidP="006A7B9F">
      <w:pPr>
        <w:jc w:val="center"/>
        <w:rPr>
          <w:rFonts w:eastAsia="Calibri"/>
          <w:i/>
        </w:rPr>
      </w:pPr>
      <w:r w:rsidRPr="006A7B9F">
        <w:rPr>
          <w:rFonts w:eastAsia="Calibri"/>
          <w:i/>
        </w:rPr>
        <w:t>Til § 1</w:t>
      </w:r>
    </w:p>
    <w:p w14:paraId="5E1EAA0C" w14:textId="396F048E" w:rsidR="0046530E" w:rsidRDefault="0046530E" w:rsidP="006A7B9F">
      <w:pPr>
        <w:pStyle w:val="Overskrift4"/>
        <w:rPr>
          <w:rFonts w:eastAsia="Calibri"/>
        </w:rPr>
      </w:pPr>
      <w:r>
        <w:rPr>
          <w:rFonts w:eastAsia="Calibri"/>
        </w:rPr>
        <w:t>Til nr. 1.</w:t>
      </w:r>
    </w:p>
    <w:p w14:paraId="730E9EB7" w14:textId="5D82F672" w:rsidR="0046530E" w:rsidRDefault="00C86506" w:rsidP="0046530E">
      <w:pPr>
        <w:rPr>
          <w:rFonts w:eastAsia="Calibri"/>
        </w:rPr>
      </w:pPr>
      <w:r>
        <w:rPr>
          <w:rFonts w:eastAsia="Calibri"/>
        </w:rPr>
        <w:t>Der er</w:t>
      </w:r>
      <w:r w:rsidR="00AF3C5F">
        <w:rPr>
          <w:rFonts w:eastAsia="Calibri"/>
        </w:rPr>
        <w:t xml:space="preserve"> alene</w:t>
      </w:r>
      <w:r>
        <w:rPr>
          <w:rFonts w:eastAsia="Calibri"/>
        </w:rPr>
        <w:t xml:space="preserve"> foretaget sproglige konsekvensændringer som følge af tilføjelsen af </w:t>
      </w:r>
      <w:r w:rsidR="004354C7">
        <w:rPr>
          <w:rFonts w:eastAsia="Calibri"/>
        </w:rPr>
        <w:t>nr. 3-5 i § 2, stk. 2.</w:t>
      </w:r>
    </w:p>
    <w:p w14:paraId="45FA9DB9" w14:textId="77777777" w:rsidR="0046530E" w:rsidRDefault="0046530E" w:rsidP="0046530E">
      <w:pPr>
        <w:contextualSpacing/>
        <w:rPr>
          <w:rFonts w:eastAsia="Calibri"/>
        </w:rPr>
      </w:pPr>
      <w:r>
        <w:rPr>
          <w:rFonts w:eastAsia="Calibri"/>
        </w:rPr>
        <w:t>Til nr. 2.</w:t>
      </w:r>
    </w:p>
    <w:p w14:paraId="2A82421E" w14:textId="176C6DD1" w:rsidR="004354C7" w:rsidRDefault="004354C7" w:rsidP="004354C7">
      <w:pPr>
        <w:rPr>
          <w:rFonts w:eastAsia="Calibri"/>
        </w:rPr>
      </w:pPr>
      <w:r>
        <w:rPr>
          <w:rFonts w:eastAsia="Calibri"/>
        </w:rPr>
        <w:t xml:space="preserve">Der er </w:t>
      </w:r>
      <w:r w:rsidR="00AF3C5F">
        <w:rPr>
          <w:rFonts w:eastAsia="Calibri"/>
        </w:rPr>
        <w:t xml:space="preserve">alene </w:t>
      </w:r>
      <w:r>
        <w:rPr>
          <w:rFonts w:eastAsia="Calibri"/>
        </w:rPr>
        <w:t>foretaget sproglige konsekvensændringer som følge af tilføjelsen af nr. 3-5 i § 2, stk. 2.</w:t>
      </w:r>
    </w:p>
    <w:p w14:paraId="198A56D3" w14:textId="38A5063A" w:rsidR="00822CF3" w:rsidRPr="002159C5" w:rsidRDefault="0046530E" w:rsidP="006A7B9F">
      <w:pPr>
        <w:pStyle w:val="Overskrift4"/>
        <w:rPr>
          <w:rFonts w:eastAsia="Calibri"/>
        </w:rPr>
      </w:pPr>
      <w:r>
        <w:rPr>
          <w:rFonts w:eastAsia="Calibri"/>
        </w:rPr>
        <w:t>Til nr. 3</w:t>
      </w:r>
    </w:p>
    <w:p w14:paraId="1B97EE4D" w14:textId="1BB2C9B7" w:rsidR="00E178FD" w:rsidRDefault="00E178FD" w:rsidP="00274B94">
      <w:r>
        <w:t>Efter gældende ret er ikke alle undtagelsesbestemmelser fra åbne data-direktivet implementeret i PSI-loven.</w:t>
      </w:r>
    </w:p>
    <w:p w14:paraId="471546C4" w14:textId="314B2DBD" w:rsidR="00491D0E" w:rsidRDefault="00E178FD" w:rsidP="00570F9A">
      <w:r>
        <w:t xml:space="preserve">Det foreslås, at </w:t>
      </w:r>
      <w:r w:rsidR="00491D0E">
        <w:t xml:space="preserve">der efter </w:t>
      </w:r>
      <w:r w:rsidR="004962B4">
        <w:rPr>
          <w:i/>
        </w:rPr>
        <w:t>§ 2, stk. 2, nr. 2</w:t>
      </w:r>
      <w:r w:rsidR="00491D0E">
        <w:t xml:space="preserve">, indføres </w:t>
      </w:r>
      <w:r w:rsidR="00AF3355">
        <w:t xml:space="preserve">undtagelser til lovens anvendelsesområde, således at lovens anvendelsesområde er i overensstemmelse med åbne data-direktivets anvendelsesområde. </w:t>
      </w:r>
    </w:p>
    <w:p w14:paraId="322E953C" w14:textId="452AA297" w:rsidR="00431C62" w:rsidRDefault="00431C62" w:rsidP="00431C62">
      <w:r>
        <w:t xml:space="preserve">I </w:t>
      </w:r>
      <w:r w:rsidR="004962B4">
        <w:rPr>
          <w:i/>
        </w:rPr>
        <w:t>§ 2, stk. 2, nr. 3</w:t>
      </w:r>
      <w:r>
        <w:t xml:space="preserve">, foreslås det, at loven ikke omfatter dokumenter og datasamlinger, hvortil adgang er </w:t>
      </w:r>
      <w:r w:rsidR="006207D4">
        <w:t xml:space="preserve">udelukket </w:t>
      </w:r>
      <w:r>
        <w:t xml:space="preserve">eller begrænset fra aktindsigt i henhold til </w:t>
      </w:r>
      <w:r w:rsidR="000D1CFF">
        <w:t xml:space="preserve">forvaltningsloven, </w:t>
      </w:r>
      <w:r>
        <w:t>offentlighedsloven eller begrundet i følsomme oplysninger vedrørende beskyttelse af kritisk infrastruktur.</w:t>
      </w:r>
    </w:p>
    <w:p w14:paraId="6B6842D2" w14:textId="044F1865" w:rsidR="00570F9A" w:rsidRDefault="00431C62" w:rsidP="00431C62">
      <w:pPr>
        <w:rPr>
          <w:rFonts w:eastAsia="Calibri"/>
        </w:rPr>
      </w:pPr>
      <w:r>
        <w:t xml:space="preserve">Med forslaget </w:t>
      </w:r>
      <w:r w:rsidR="009D146A">
        <w:t xml:space="preserve">vil loven ikke omfatte dokumenter og datasamlinger </w:t>
      </w:r>
      <w:r w:rsidR="009D146A" w:rsidRPr="009D146A">
        <w:t xml:space="preserve">såsom følsomme data, som er </w:t>
      </w:r>
      <w:r w:rsidR="00DD47B9">
        <w:t>undtaget</w:t>
      </w:r>
      <w:r w:rsidR="005C3FFA">
        <w:t xml:space="preserve"> </w:t>
      </w:r>
      <w:r w:rsidR="009D146A" w:rsidRPr="009D146A">
        <w:t xml:space="preserve">fra aktindsigt i henhold til </w:t>
      </w:r>
      <w:r w:rsidR="00142C5F">
        <w:t xml:space="preserve">forvaltningsloven og </w:t>
      </w:r>
      <w:r w:rsidR="009D146A">
        <w:t>offentlighedsloven</w:t>
      </w:r>
      <w:r w:rsidR="009D146A" w:rsidRPr="009D146A">
        <w:t xml:space="preserve">, herunder af </w:t>
      </w:r>
      <w:r w:rsidR="009D146A">
        <w:t xml:space="preserve">hensyn til </w:t>
      </w:r>
      <w:r w:rsidR="00570F9A" w:rsidRPr="0040453F">
        <w:rPr>
          <w:rFonts w:eastAsia="Calibri"/>
        </w:rPr>
        <w:t>beskyttelse af statens sikkerhed, forsvaret eller den offentlige sikkerhed</w:t>
      </w:r>
      <w:r w:rsidR="009D146A">
        <w:rPr>
          <w:rFonts w:eastAsia="Calibri"/>
        </w:rPr>
        <w:t>,</w:t>
      </w:r>
      <w:r w:rsidR="00570F9A" w:rsidRPr="0040453F">
        <w:rPr>
          <w:rFonts w:eastAsia="Calibri"/>
        </w:rPr>
        <w:t xml:space="preserve"> statistisk fortrolighed </w:t>
      </w:r>
      <w:r w:rsidR="009D146A">
        <w:rPr>
          <w:rFonts w:eastAsia="Calibri"/>
        </w:rPr>
        <w:t xml:space="preserve">eller </w:t>
      </w:r>
      <w:r w:rsidR="00570F9A" w:rsidRPr="0040453F">
        <w:rPr>
          <w:rFonts w:eastAsia="Calibri"/>
        </w:rPr>
        <w:t>kommerciel fortrolighed (herunder forretnings-, erhvervs- og virksomhedshemmeligheder)</w:t>
      </w:r>
      <w:r w:rsidR="009D146A">
        <w:rPr>
          <w:rFonts w:eastAsia="Calibri"/>
        </w:rPr>
        <w:t xml:space="preserve">. Det gælder også for </w:t>
      </w:r>
      <w:r w:rsidR="00570F9A">
        <w:rPr>
          <w:rFonts w:eastAsia="Calibri"/>
        </w:rPr>
        <w:t>tilfælde</w:t>
      </w:r>
      <w:r w:rsidR="009D146A">
        <w:rPr>
          <w:rFonts w:eastAsia="Calibri"/>
        </w:rPr>
        <w:t>,</w:t>
      </w:r>
      <w:r w:rsidR="00570F9A">
        <w:rPr>
          <w:rFonts w:eastAsia="Calibri"/>
        </w:rPr>
        <w:t xml:space="preserve"> </w:t>
      </w:r>
      <w:r w:rsidR="00570F9A" w:rsidRPr="0040453F">
        <w:rPr>
          <w:rFonts w:eastAsia="Calibri"/>
        </w:rPr>
        <w:t xml:space="preserve">hvor der er mulighed for </w:t>
      </w:r>
      <w:proofErr w:type="spellStart"/>
      <w:r w:rsidR="00570F9A" w:rsidRPr="0040453F">
        <w:rPr>
          <w:rFonts w:eastAsia="Calibri"/>
        </w:rPr>
        <w:t>egenacce</w:t>
      </w:r>
      <w:r w:rsidR="00570F9A">
        <w:rPr>
          <w:rFonts w:eastAsia="Calibri"/>
        </w:rPr>
        <w:t>s</w:t>
      </w:r>
      <w:proofErr w:type="spellEnd"/>
      <w:r w:rsidR="00570F9A">
        <w:rPr>
          <w:rFonts w:eastAsia="Calibri"/>
        </w:rPr>
        <w:t xml:space="preserve"> under offentlighedslovens § 8.</w:t>
      </w:r>
      <w:r w:rsidR="009D146A" w:rsidRPr="009D146A">
        <w:t xml:space="preserve"> </w:t>
      </w:r>
      <w:r w:rsidR="009D146A">
        <w:t xml:space="preserve">Loven vil desuden heller ikke gælde for tilfælde, hvor </w:t>
      </w:r>
      <w:r w:rsidR="009D146A" w:rsidRPr="009D146A">
        <w:rPr>
          <w:rFonts w:eastAsia="Calibri"/>
        </w:rPr>
        <w:t>borgere eller juridiske enheder skal dokumentere en særlig interesse for at få aktindsigt i dokumenterne</w:t>
      </w:r>
      <w:r w:rsidR="009D146A">
        <w:rPr>
          <w:rFonts w:eastAsia="Calibri"/>
        </w:rPr>
        <w:t>.</w:t>
      </w:r>
    </w:p>
    <w:p w14:paraId="1056BF16" w14:textId="6826CF9F" w:rsidR="00B57955" w:rsidRDefault="00B57955" w:rsidP="00B57955">
      <w:r>
        <w:lastRenderedPageBreak/>
        <w:t xml:space="preserve">I </w:t>
      </w:r>
      <w:r>
        <w:rPr>
          <w:i/>
        </w:rPr>
        <w:t>§ 1, stk. 2, nr. 4</w:t>
      </w:r>
      <w:r w:rsidRPr="00431C62">
        <w:rPr>
          <w:i/>
        </w:rPr>
        <w:t>,</w:t>
      </w:r>
      <w:r>
        <w:t xml:space="preserve"> foreslås det, at loven ikke omfatter dokumenter og datasamlinger, hvortil adgang er udelukket eller begrænset under henvisning til beskyttelse af </w:t>
      </w:r>
      <w:r w:rsidR="006207D4" w:rsidRPr="003879FA">
        <w:rPr>
          <w:rFonts w:eastAsia="Calibri"/>
        </w:rPr>
        <w:t>fysiske personer i forbindelse med behandling</w:t>
      </w:r>
      <w:r w:rsidR="006207D4">
        <w:t xml:space="preserve"> af </w:t>
      </w:r>
      <w:r>
        <w:t>personoplysninger.</w:t>
      </w:r>
    </w:p>
    <w:p w14:paraId="6967840D" w14:textId="0ADFDB00" w:rsidR="00B57955" w:rsidRPr="00B57955" w:rsidRDefault="00B57955" w:rsidP="00431C62">
      <w:r>
        <w:t>Med forslaget vil adgang til dokumenter og datasamlinger hvortil adgang er udelukket eller begrænset i henhold til aktind</w:t>
      </w:r>
      <w:r w:rsidR="000D1CFF">
        <w:t xml:space="preserve">sigtsordningerne i </w:t>
      </w:r>
      <w:r>
        <w:t>forvaltningsloven</w:t>
      </w:r>
      <w:r w:rsidR="000D1CFF">
        <w:t xml:space="preserve"> og offentlighedsloven</w:t>
      </w:r>
      <w:r>
        <w:t xml:space="preserve"> under henvisning til beskyttelse af personoplysninger ikke være omfattet af loven. Dette gælder også for </w:t>
      </w:r>
      <w:r w:rsidRPr="006408EE">
        <w:t>dele af dokumenter og datasamlinger, som indeholder personoplysninger, hvis videreanvendelse er uforenelig med eller underminerer beskyttelsen af privatlivets fred og den enkeltes integritet i henhold til databeskyttelsesforordningen og databeskyttelsesloven</w:t>
      </w:r>
      <w:r>
        <w:t xml:space="preserve">. </w:t>
      </w:r>
      <w:r w:rsidRPr="00707BE1">
        <w:t>Det bemærkes</w:t>
      </w:r>
      <w:r>
        <w:t xml:space="preserve"> i denne sammenhæng</w:t>
      </w:r>
      <w:r w:rsidRPr="00707BE1">
        <w:t xml:space="preserve">, at </w:t>
      </w:r>
      <w:r>
        <w:t xml:space="preserve">ændringslovforslaget </w:t>
      </w:r>
      <w:r w:rsidRPr="00707BE1">
        <w:t xml:space="preserve">ikke </w:t>
      </w:r>
      <w:r>
        <w:t xml:space="preserve">ændrer på </w:t>
      </w:r>
      <w:r w:rsidRPr="00707BE1">
        <w:t>EU-ret og national ret om beskyttelse af personoplysninger.</w:t>
      </w:r>
      <w:r w:rsidRPr="009F7388">
        <w:t xml:space="preserve"> Det betyder, at </w:t>
      </w:r>
      <w:r>
        <w:t>enhver</w:t>
      </w:r>
      <w:r w:rsidRPr="009F7388">
        <w:t xml:space="preserve"> behandling af personoplysninger, som sker i medfør af loven, skal ske inden for rammerne af EU’s databeskyttelsesforordning og den supplerende danske databeskyttelseslov.</w:t>
      </w:r>
      <w:r w:rsidRPr="00707BE1">
        <w:t xml:space="preserve"> </w:t>
      </w:r>
    </w:p>
    <w:p w14:paraId="26784C8B" w14:textId="234525CF" w:rsidR="00431C62" w:rsidRDefault="00431C62" w:rsidP="00431C62">
      <w:r>
        <w:t xml:space="preserve">I </w:t>
      </w:r>
      <w:r w:rsidR="00B57955">
        <w:rPr>
          <w:i/>
        </w:rPr>
        <w:t>§ 2, stk. 2, nr. 5</w:t>
      </w:r>
      <w:r>
        <w:rPr>
          <w:i/>
        </w:rPr>
        <w:t>,</w:t>
      </w:r>
      <w:r>
        <w:t xml:space="preserve"> foreslås det, at loven ikke omfatter logoer, emblemer og insignier.</w:t>
      </w:r>
    </w:p>
    <w:p w14:paraId="701D331B" w14:textId="1528BB0D" w:rsidR="00431C62" w:rsidRDefault="00D109FC" w:rsidP="00431C62">
      <w:r>
        <w:t xml:space="preserve">Med forslaget vil </w:t>
      </w:r>
      <w:r w:rsidR="001E28BA">
        <w:t xml:space="preserve">videreanvendelse af </w:t>
      </w:r>
      <w:r>
        <w:t>logoer, emblemer og insignier ikke være omfattet af loven.</w:t>
      </w:r>
      <w:r w:rsidR="009A7C3E">
        <w:t xml:space="preserve"> Det betyder, at loven ikke i sig selv giver ret til at videreanvende offentlige myndigheder og virksomheders logoer, emblemer og insignier</w:t>
      </w:r>
      <w:r w:rsidR="00034C15">
        <w:t>, såsom byvåben, virksomhedslogoer mv</w:t>
      </w:r>
      <w:r w:rsidR="009A7C3E">
        <w:t>.</w:t>
      </w:r>
    </w:p>
    <w:p w14:paraId="65861F08" w14:textId="77777777" w:rsidR="00822CF3" w:rsidRPr="006A7B9F" w:rsidRDefault="00822CF3" w:rsidP="006A7B9F">
      <w:pPr>
        <w:jc w:val="center"/>
        <w:rPr>
          <w:i/>
        </w:rPr>
      </w:pPr>
      <w:r w:rsidRPr="006A7B9F">
        <w:rPr>
          <w:i/>
        </w:rPr>
        <w:t>Til § 2</w:t>
      </w:r>
    </w:p>
    <w:p w14:paraId="2741AD1F" w14:textId="2732CD41" w:rsidR="00A05461" w:rsidRPr="005C3FFA" w:rsidRDefault="00822CF3" w:rsidP="005C3FFA">
      <w:r w:rsidRPr="00943769">
        <w:t xml:space="preserve">I </w:t>
      </w:r>
      <w:r w:rsidRPr="00943769">
        <w:rPr>
          <w:rStyle w:val="italic2"/>
          <w:rFonts w:cs="Segoe UI"/>
          <w:i/>
          <w:color w:val="212529"/>
        </w:rPr>
        <w:t>stk. 1</w:t>
      </w:r>
      <w:r w:rsidRPr="00943769">
        <w:t xml:space="preserve"> foreslås det, at loven træder i kraft </w:t>
      </w:r>
      <w:r w:rsidR="00BA426A">
        <w:t xml:space="preserve">den </w:t>
      </w:r>
      <w:r w:rsidR="00862486">
        <w:t>24. september 2023</w:t>
      </w:r>
      <w:r w:rsidR="00BA426A" w:rsidRPr="006B628B">
        <w:t>.</w:t>
      </w:r>
    </w:p>
    <w:p w14:paraId="370EAB7A" w14:textId="77777777" w:rsidR="00A05461" w:rsidRDefault="00A05461" w:rsidP="001D4AC3">
      <w:pPr>
        <w:contextualSpacing/>
        <w:mirrorIndents/>
        <w:rPr>
          <w:b/>
        </w:rPr>
      </w:pPr>
    </w:p>
    <w:p w14:paraId="5B12E906" w14:textId="77777777" w:rsidR="00A05461" w:rsidRDefault="00A05461" w:rsidP="001D4AC3">
      <w:pPr>
        <w:contextualSpacing/>
        <w:mirrorIndents/>
        <w:rPr>
          <w:b/>
        </w:rPr>
      </w:pPr>
    </w:p>
    <w:p w14:paraId="610706E8" w14:textId="77777777" w:rsidR="005C3FFA" w:rsidRDefault="005C3FFA">
      <w:pPr>
        <w:spacing w:after="200"/>
        <w:rPr>
          <w:b/>
        </w:rPr>
      </w:pPr>
      <w:r>
        <w:rPr>
          <w:b/>
        </w:rPr>
        <w:br w:type="page"/>
      </w:r>
    </w:p>
    <w:p w14:paraId="78CBA05F" w14:textId="602E0873" w:rsidR="00A05461" w:rsidRDefault="00F32C2D" w:rsidP="00F32C2D">
      <w:pPr>
        <w:spacing w:line="360" w:lineRule="auto"/>
        <w:contextualSpacing/>
        <w:mirrorIndents/>
        <w:jc w:val="right"/>
        <w:rPr>
          <w:b/>
        </w:rPr>
      </w:pPr>
      <w:r>
        <w:rPr>
          <w:b/>
        </w:rPr>
        <w:lastRenderedPageBreak/>
        <w:t>Bilag 1</w:t>
      </w:r>
    </w:p>
    <w:p w14:paraId="32266BCC" w14:textId="77777777" w:rsidR="00F32C2D" w:rsidRDefault="00F32C2D" w:rsidP="00A05461">
      <w:pPr>
        <w:contextualSpacing/>
        <w:mirrorIndents/>
        <w:jc w:val="center"/>
        <w:rPr>
          <w:b/>
        </w:rPr>
      </w:pPr>
    </w:p>
    <w:p w14:paraId="4DDB151F" w14:textId="7F36EA68" w:rsidR="001D4AC3" w:rsidRPr="00EA2A90" w:rsidRDefault="001D4AC3" w:rsidP="00A05461">
      <w:pPr>
        <w:contextualSpacing/>
        <w:mirrorIndents/>
        <w:jc w:val="center"/>
        <w:rPr>
          <w:b/>
        </w:rPr>
      </w:pPr>
      <w:r w:rsidRPr="00EA2A90">
        <w:rPr>
          <w:b/>
        </w:rPr>
        <w:t>Lovforslaget sammenholdt med gældende lov</w:t>
      </w:r>
    </w:p>
    <w:p w14:paraId="68C634E4" w14:textId="77777777" w:rsidR="001D4AC3" w:rsidRDefault="001D4AC3" w:rsidP="001D4AC3"/>
    <w:tbl>
      <w:tblPr>
        <w:tblW w:w="7650" w:type="dxa"/>
        <w:tblLook w:val="06A0" w:firstRow="1" w:lastRow="0" w:firstColumn="1" w:lastColumn="0" w:noHBand="1" w:noVBand="1"/>
      </w:tblPr>
      <w:tblGrid>
        <w:gridCol w:w="3681"/>
        <w:gridCol w:w="3969"/>
      </w:tblGrid>
      <w:tr w:rsidR="001D4AC3" w:rsidRPr="003E4DDD" w14:paraId="62EA5152" w14:textId="77777777" w:rsidTr="00383648">
        <w:tc>
          <w:tcPr>
            <w:tcW w:w="3681" w:type="dxa"/>
          </w:tcPr>
          <w:p w14:paraId="16E80345" w14:textId="77777777" w:rsidR="001D4AC3" w:rsidRPr="003E4DDD" w:rsidRDefault="001D4AC3" w:rsidP="001D4AC3">
            <w:pPr>
              <w:contextualSpacing/>
              <w:mirrorIndents/>
              <w:jc w:val="center"/>
              <w:rPr>
                <w:i/>
              </w:rPr>
            </w:pPr>
            <w:r w:rsidRPr="003E4DDD">
              <w:rPr>
                <w:i/>
              </w:rPr>
              <w:t>Gældende formulering</w:t>
            </w:r>
          </w:p>
        </w:tc>
        <w:tc>
          <w:tcPr>
            <w:tcW w:w="3969" w:type="dxa"/>
          </w:tcPr>
          <w:p w14:paraId="5DD22BE1" w14:textId="77777777" w:rsidR="001D4AC3" w:rsidRPr="003E4DDD" w:rsidRDefault="001D4AC3" w:rsidP="001D4AC3">
            <w:pPr>
              <w:contextualSpacing/>
              <w:mirrorIndents/>
              <w:jc w:val="center"/>
              <w:rPr>
                <w:i/>
              </w:rPr>
            </w:pPr>
            <w:r w:rsidRPr="003E4DDD">
              <w:rPr>
                <w:i/>
              </w:rPr>
              <w:t>Lovforslaget</w:t>
            </w:r>
          </w:p>
        </w:tc>
      </w:tr>
      <w:tr w:rsidR="001D4AC3" w:rsidRPr="003E4DDD" w14:paraId="55F4B719" w14:textId="77777777" w:rsidTr="00383648">
        <w:tc>
          <w:tcPr>
            <w:tcW w:w="3681" w:type="dxa"/>
          </w:tcPr>
          <w:p w14:paraId="285E0085" w14:textId="4AA0D6A4" w:rsidR="001D4AC3" w:rsidRPr="00092142" w:rsidRDefault="001D4AC3" w:rsidP="00092142">
            <w:pPr>
              <w:tabs>
                <w:tab w:val="left" w:pos="2340"/>
              </w:tabs>
            </w:pPr>
          </w:p>
        </w:tc>
        <w:tc>
          <w:tcPr>
            <w:tcW w:w="3969" w:type="dxa"/>
          </w:tcPr>
          <w:p w14:paraId="4630B74C" w14:textId="6FE5C7C4" w:rsidR="001D4AC3" w:rsidRPr="00A255CF" w:rsidRDefault="001D4AC3" w:rsidP="001D4AC3">
            <w:pPr>
              <w:rPr>
                <w:b/>
              </w:rPr>
            </w:pPr>
          </w:p>
        </w:tc>
      </w:tr>
      <w:tr w:rsidR="001D4AC3" w:rsidRPr="003E4DDD" w14:paraId="22587728" w14:textId="77777777" w:rsidTr="00383648">
        <w:tc>
          <w:tcPr>
            <w:tcW w:w="3681" w:type="dxa"/>
          </w:tcPr>
          <w:p w14:paraId="1AFFD423" w14:textId="20E03D03" w:rsidR="001D4AC3" w:rsidRPr="007F0A2B" w:rsidRDefault="001D4AC3" w:rsidP="001D4AC3"/>
        </w:tc>
        <w:tc>
          <w:tcPr>
            <w:tcW w:w="3969" w:type="dxa"/>
          </w:tcPr>
          <w:p w14:paraId="5BE604F1" w14:textId="40C80FA5" w:rsidR="001D4AC3" w:rsidRPr="00FA1704" w:rsidRDefault="001D4AC3" w:rsidP="009D44B5"/>
        </w:tc>
      </w:tr>
      <w:tr w:rsidR="001D4AC3" w:rsidRPr="003E4DDD" w14:paraId="6FEDBEA3" w14:textId="77777777" w:rsidTr="00383648">
        <w:tc>
          <w:tcPr>
            <w:tcW w:w="3681" w:type="dxa"/>
          </w:tcPr>
          <w:p w14:paraId="36DFF8B2" w14:textId="7A6765B4" w:rsidR="001D4AC3" w:rsidRPr="00451B60" w:rsidRDefault="001D4AC3" w:rsidP="001D4AC3">
            <w:pPr>
              <w:rPr>
                <w:rFonts w:eastAsia="Calibri"/>
              </w:rPr>
            </w:pPr>
            <w:r w:rsidRPr="00451B60">
              <w:rPr>
                <w:rFonts w:eastAsia="Calibri"/>
              </w:rPr>
              <w:t xml:space="preserve">§ 2. </w:t>
            </w:r>
            <w:r w:rsidR="00383648" w:rsidRPr="00451B60">
              <w:rPr>
                <w:rFonts w:eastAsia="Calibri"/>
              </w:rPr>
              <w:t>---</w:t>
            </w:r>
          </w:p>
          <w:p w14:paraId="1D8E1202" w14:textId="4C6B1C98" w:rsidR="00F460E0" w:rsidRPr="00451B60" w:rsidRDefault="00F460E0" w:rsidP="00451B60">
            <w:pPr>
              <w:rPr>
                <w:rFonts w:eastAsia="Calibri"/>
              </w:rPr>
            </w:pPr>
            <w:r w:rsidRPr="00451B60">
              <w:rPr>
                <w:rFonts w:eastAsia="Calibri"/>
              </w:rPr>
              <w:t>Stk. 2. Loven omfatter ikke dokumenter og datasamlinger,</w:t>
            </w:r>
          </w:p>
          <w:p w14:paraId="6E55A5D9" w14:textId="77777777" w:rsidR="00F460E0" w:rsidRPr="00451B60" w:rsidRDefault="00F460E0" w:rsidP="00451B60">
            <w:pPr>
              <w:rPr>
                <w:rFonts w:eastAsia="Calibri"/>
              </w:rPr>
            </w:pPr>
            <w:r w:rsidRPr="00451B60">
              <w:rPr>
                <w:rFonts w:eastAsia="Calibri"/>
              </w:rPr>
              <w:t>1) der er tilvejebragt eller kvalitetsforbedret som led i offentlige myndigheders kommercielle aktiviteter, eller</w:t>
            </w:r>
          </w:p>
          <w:p w14:paraId="66C86ED7" w14:textId="77777777" w:rsidR="00F460E0" w:rsidRPr="00451B60" w:rsidRDefault="00F460E0" w:rsidP="00451B60">
            <w:pPr>
              <w:rPr>
                <w:rFonts w:eastAsia="Calibri"/>
              </w:rPr>
            </w:pPr>
            <w:r w:rsidRPr="00451B60">
              <w:rPr>
                <w:rFonts w:eastAsia="Calibri"/>
              </w:rPr>
              <w:t>2) hvortil tredjemand besidder en immateriel rettighed.</w:t>
            </w:r>
          </w:p>
          <w:p w14:paraId="4CDD4C45" w14:textId="1949D859" w:rsidR="001D4AC3" w:rsidRDefault="001D4AC3" w:rsidP="00383648"/>
          <w:p w14:paraId="45335032" w14:textId="77777777" w:rsidR="00AC3178" w:rsidRDefault="00AC3178" w:rsidP="001D4AC3">
            <w:pPr>
              <w:rPr>
                <w:i/>
                <w:iCs/>
              </w:rPr>
            </w:pPr>
          </w:p>
          <w:p w14:paraId="22D50507" w14:textId="77777777" w:rsidR="00AC3178" w:rsidRDefault="00AC3178" w:rsidP="001D4AC3">
            <w:pPr>
              <w:rPr>
                <w:i/>
                <w:iCs/>
              </w:rPr>
            </w:pPr>
          </w:p>
          <w:p w14:paraId="0F604B51" w14:textId="77777777" w:rsidR="00AC3178" w:rsidRDefault="00AC3178" w:rsidP="001D4AC3">
            <w:pPr>
              <w:rPr>
                <w:i/>
                <w:iCs/>
              </w:rPr>
            </w:pPr>
          </w:p>
          <w:p w14:paraId="14C84741" w14:textId="77777777" w:rsidR="00AC3178" w:rsidRDefault="00AC3178" w:rsidP="001D4AC3">
            <w:pPr>
              <w:rPr>
                <w:i/>
                <w:iCs/>
              </w:rPr>
            </w:pPr>
          </w:p>
          <w:p w14:paraId="546A4A81" w14:textId="729AA291" w:rsidR="00AC3178" w:rsidRDefault="00AC3178" w:rsidP="001D4AC3">
            <w:pPr>
              <w:rPr>
                <w:i/>
                <w:iCs/>
              </w:rPr>
            </w:pPr>
          </w:p>
          <w:p w14:paraId="60C3D8E4" w14:textId="4A26FAA4" w:rsidR="001D4AC3" w:rsidRDefault="001D4AC3" w:rsidP="001D4AC3">
            <w:r>
              <w:rPr>
                <w:i/>
                <w:iCs/>
              </w:rPr>
              <w:t xml:space="preserve">Stk. 3. </w:t>
            </w:r>
            <w:r w:rsidR="00F460E0">
              <w:t>---</w:t>
            </w:r>
            <w:r>
              <w:t xml:space="preserve"> </w:t>
            </w:r>
          </w:p>
          <w:p w14:paraId="04FF9C94" w14:textId="2D14295A" w:rsidR="001D4AC3" w:rsidRPr="00780E55" w:rsidRDefault="001D4AC3" w:rsidP="00383648"/>
        </w:tc>
        <w:tc>
          <w:tcPr>
            <w:tcW w:w="3969" w:type="dxa"/>
          </w:tcPr>
          <w:p w14:paraId="719D1E48" w14:textId="77777777" w:rsidR="00AC3178" w:rsidRDefault="00AC3178" w:rsidP="00F460E0">
            <w:pPr>
              <w:rPr>
                <w:rFonts w:eastAsia="Calibri"/>
                <w:b/>
              </w:rPr>
            </w:pPr>
          </w:p>
          <w:p w14:paraId="22E6BAED" w14:textId="52CBDAFE" w:rsidR="00F460E0" w:rsidRPr="00166BB5" w:rsidRDefault="00F460E0" w:rsidP="00F460E0">
            <w:pPr>
              <w:rPr>
                <w:rFonts w:eastAsia="Calibri"/>
              </w:rPr>
            </w:pPr>
            <w:r w:rsidRPr="00166BB5">
              <w:rPr>
                <w:rFonts w:eastAsia="Calibri"/>
              </w:rPr>
              <w:t>Stk. 2. Loven omfatter ikke dokumenter og datasamlinger,</w:t>
            </w:r>
          </w:p>
          <w:p w14:paraId="29397358" w14:textId="77777777" w:rsidR="00F460E0" w:rsidRPr="00166BB5" w:rsidRDefault="00F460E0" w:rsidP="00F460E0">
            <w:pPr>
              <w:rPr>
                <w:rFonts w:eastAsia="Calibri"/>
              </w:rPr>
            </w:pPr>
            <w:r w:rsidRPr="00166BB5">
              <w:rPr>
                <w:rFonts w:eastAsia="Calibri"/>
              </w:rPr>
              <w:t xml:space="preserve">1) der er tilvejebragt eller kvalitetsforbedret som led i offentlige myndigheders kommercielle aktiviteter, </w:t>
            </w:r>
          </w:p>
          <w:p w14:paraId="60A4044D" w14:textId="63439F02" w:rsidR="00F460E0" w:rsidRPr="00166BB5" w:rsidRDefault="00F460E0" w:rsidP="00F460E0">
            <w:pPr>
              <w:rPr>
                <w:rFonts w:eastAsia="Calibri"/>
              </w:rPr>
            </w:pPr>
            <w:r w:rsidRPr="00166BB5">
              <w:rPr>
                <w:rFonts w:eastAsia="Calibri"/>
              </w:rPr>
              <w:t xml:space="preserve">2) hvortil tredjemand besidder en immateriel rettighed, </w:t>
            </w:r>
          </w:p>
          <w:p w14:paraId="09487AD4" w14:textId="6EC4AE6D" w:rsidR="00166BB5" w:rsidRPr="00166BB5" w:rsidRDefault="00B57955" w:rsidP="00166BB5">
            <w:pPr>
              <w:rPr>
                <w:rFonts w:eastAsia="Calibri"/>
              </w:rPr>
            </w:pPr>
            <w:r>
              <w:rPr>
                <w:rFonts w:eastAsia="Calibri"/>
              </w:rPr>
              <w:t xml:space="preserve">3) </w:t>
            </w:r>
            <w:r w:rsidR="00166BB5" w:rsidRPr="00166BB5">
              <w:rPr>
                <w:rFonts w:eastAsia="Calibri"/>
              </w:rPr>
              <w:t>hvortil adgang er udelukket eller begrænse</w:t>
            </w:r>
            <w:r w:rsidR="00E76DBD">
              <w:rPr>
                <w:rFonts w:eastAsia="Calibri"/>
              </w:rPr>
              <w:t>t fra aktindsigt i henhold til o</w:t>
            </w:r>
            <w:r w:rsidR="00166BB5" w:rsidRPr="00166BB5">
              <w:rPr>
                <w:rFonts w:eastAsia="Calibri"/>
              </w:rPr>
              <w:t xml:space="preserve">ffentlighedsloven eller begrundet i følsomme oplysninger vedrørende beskyttelse af kritisk infrastruktur,  </w:t>
            </w:r>
          </w:p>
          <w:p w14:paraId="501C4D69" w14:textId="4F4A8CAD" w:rsidR="00B57955" w:rsidRDefault="00B57955" w:rsidP="00166BB5">
            <w:pPr>
              <w:rPr>
                <w:rFonts w:eastAsia="Calibri"/>
              </w:rPr>
            </w:pPr>
            <w:r>
              <w:rPr>
                <w:rFonts w:eastAsia="Calibri"/>
              </w:rPr>
              <w:t>4</w:t>
            </w:r>
            <w:r w:rsidRPr="00166BB5">
              <w:rPr>
                <w:rFonts w:eastAsia="Calibri"/>
              </w:rPr>
              <w:t xml:space="preserve">) </w:t>
            </w:r>
            <w:r w:rsidRPr="00EB0040">
              <w:rPr>
                <w:rFonts w:eastAsia="Calibri"/>
              </w:rPr>
              <w:t xml:space="preserve">hvortil adgang er udelukket eller begrænset </w:t>
            </w:r>
            <w:r>
              <w:rPr>
                <w:rFonts w:eastAsia="Calibri"/>
              </w:rPr>
              <w:t>under henvis</w:t>
            </w:r>
            <w:r w:rsidRPr="00EB0040">
              <w:rPr>
                <w:rFonts w:eastAsia="Calibri"/>
              </w:rPr>
              <w:t>ning til beskyttelse af personoplysninger</w:t>
            </w:r>
            <w:r>
              <w:rPr>
                <w:rFonts w:eastAsia="Calibri"/>
              </w:rPr>
              <w:t xml:space="preserve">, </w:t>
            </w:r>
            <w:r w:rsidRPr="00166BB5">
              <w:rPr>
                <w:rFonts w:eastAsia="Calibri"/>
              </w:rPr>
              <w:t>eller</w:t>
            </w:r>
          </w:p>
          <w:p w14:paraId="6522802D" w14:textId="09F454C8" w:rsidR="00166BB5" w:rsidRPr="00166BB5" w:rsidRDefault="00B57955" w:rsidP="00166BB5">
            <w:pPr>
              <w:rPr>
                <w:rFonts w:eastAsia="Calibri"/>
              </w:rPr>
            </w:pPr>
            <w:r>
              <w:rPr>
                <w:rFonts w:eastAsia="Calibri"/>
              </w:rPr>
              <w:t>5</w:t>
            </w:r>
            <w:r w:rsidR="00166BB5" w:rsidRPr="00166BB5">
              <w:rPr>
                <w:rFonts w:eastAsia="Calibri"/>
              </w:rPr>
              <w:t>) logoer, emblemer og insignier</w:t>
            </w:r>
            <w:r>
              <w:rPr>
                <w:rFonts w:eastAsia="Calibri"/>
              </w:rPr>
              <w:t>.</w:t>
            </w:r>
            <w:r w:rsidRPr="00166BB5">
              <w:rPr>
                <w:rFonts w:eastAsia="Calibri"/>
              </w:rPr>
              <w:t>«</w:t>
            </w:r>
          </w:p>
          <w:p w14:paraId="7CDAC613" w14:textId="54A8FE93" w:rsidR="001D4AC3" w:rsidRPr="009C23C6" w:rsidRDefault="001D4AC3" w:rsidP="00B57955">
            <w:pPr>
              <w:spacing w:after="0" w:line="300" w:lineRule="auto"/>
              <w:jc w:val="both"/>
            </w:pPr>
          </w:p>
        </w:tc>
      </w:tr>
    </w:tbl>
    <w:p w14:paraId="578BBDF2" w14:textId="77777777" w:rsidR="001D4AC3" w:rsidRPr="009C00F9" w:rsidRDefault="001D4AC3" w:rsidP="00274B94"/>
    <w:sectPr w:rsidR="001D4AC3" w:rsidRPr="009C00F9" w:rsidSect="00D712BA">
      <w:headerReference w:type="default" r:id="rId8"/>
      <w:footerReference w:type="default" r:id="rId9"/>
      <w:headerReference w:type="first" r:id="rId10"/>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F254" w14:textId="77777777" w:rsidR="00A9617D" w:rsidRDefault="00A9617D" w:rsidP="009C00F9">
      <w:r>
        <w:separator/>
      </w:r>
    </w:p>
    <w:p w14:paraId="02408B5D" w14:textId="77777777" w:rsidR="00A9617D" w:rsidRDefault="00A9617D" w:rsidP="00274B94"/>
  </w:endnote>
  <w:endnote w:type="continuationSeparator" w:id="0">
    <w:p w14:paraId="05DB11B2" w14:textId="77777777" w:rsidR="00A9617D" w:rsidRDefault="00A9617D" w:rsidP="009C00F9">
      <w:r>
        <w:continuationSeparator/>
      </w:r>
    </w:p>
    <w:p w14:paraId="40427CE0" w14:textId="77777777" w:rsidR="00A9617D" w:rsidRDefault="00A9617D" w:rsidP="00274B94"/>
  </w:endnote>
  <w:endnote w:type="continuationNotice" w:id="1">
    <w:p w14:paraId="6BD7BB1B" w14:textId="77777777" w:rsidR="00A9617D" w:rsidRDefault="00A9617D" w:rsidP="009C0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B836E6" w14:paraId="7F952EB3" w14:textId="77777777" w:rsidTr="007112C6">
      <w:trPr>
        <w:trHeight w:val="255"/>
      </w:trPr>
      <w:tc>
        <w:tcPr>
          <w:tcW w:w="1418" w:type="dxa"/>
          <w:hideMark/>
        </w:tcPr>
        <w:p w14:paraId="19C3976F" w14:textId="7A110BC9" w:rsidR="00B836E6" w:rsidRPr="009C00F9" w:rsidRDefault="00B836E6" w:rsidP="00274B94">
          <w:pPr>
            <w:pStyle w:val="Sidefod"/>
            <w:rPr>
              <w:sz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E3642B">
            <w:rPr>
              <w:rStyle w:val="Sidetal"/>
              <w:noProof/>
              <w:sz w:val="16"/>
              <w:szCs w:val="16"/>
            </w:rPr>
            <w:t>9</w:t>
          </w:r>
          <w:r w:rsidRPr="006A1B98">
            <w:rPr>
              <w:rStyle w:val="Sidetal"/>
              <w:sz w:val="16"/>
              <w:szCs w:val="16"/>
            </w:rPr>
            <w:fldChar w:fldCharType="end"/>
          </w:r>
        </w:p>
      </w:tc>
    </w:tr>
  </w:tbl>
  <w:p w14:paraId="192D7DC5" w14:textId="77777777" w:rsidR="00B836E6" w:rsidRDefault="00B836E6" w:rsidP="00274B94">
    <w:pPr>
      <w:pStyle w:val="Sidefod"/>
    </w:pPr>
  </w:p>
  <w:p w14:paraId="013EA20C" w14:textId="77777777" w:rsidR="00B836E6" w:rsidRDefault="00B836E6" w:rsidP="00274B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1988" w14:textId="77777777" w:rsidR="00A9617D" w:rsidRDefault="00A9617D" w:rsidP="009C00F9">
      <w:r>
        <w:separator/>
      </w:r>
    </w:p>
    <w:p w14:paraId="433F606E" w14:textId="77777777" w:rsidR="00A9617D" w:rsidRDefault="00A9617D" w:rsidP="00274B94"/>
  </w:footnote>
  <w:footnote w:type="continuationSeparator" w:id="0">
    <w:p w14:paraId="063369BA" w14:textId="77777777" w:rsidR="00A9617D" w:rsidRDefault="00A9617D" w:rsidP="009C00F9">
      <w:r>
        <w:continuationSeparator/>
      </w:r>
    </w:p>
    <w:p w14:paraId="7D6BB0B3" w14:textId="77777777" w:rsidR="00A9617D" w:rsidRDefault="00A9617D" w:rsidP="00274B94"/>
  </w:footnote>
  <w:footnote w:type="continuationNotice" w:id="1">
    <w:p w14:paraId="2C486103" w14:textId="77777777" w:rsidR="00A9617D" w:rsidRDefault="00A9617D" w:rsidP="009C00F9">
      <w:pPr>
        <w:spacing w:after="0" w:line="240" w:lineRule="auto"/>
      </w:pPr>
    </w:p>
  </w:footnote>
  <w:footnote w:id="2">
    <w:p w14:paraId="17F8B54A" w14:textId="77777777" w:rsidR="00B836E6" w:rsidRDefault="00B836E6" w:rsidP="00D2192E">
      <w:pPr>
        <w:pStyle w:val="Fodnotetekst"/>
      </w:pPr>
      <w:r>
        <w:rPr>
          <w:rStyle w:val="Fodnotehenvisning"/>
        </w:rPr>
        <w:footnoteRef/>
      </w:r>
      <w:r>
        <w:t xml:space="preserve"> </w:t>
      </w:r>
      <w:r w:rsidRPr="007F6BAD">
        <w:t xml:space="preserve">Loven indeholder bestemmelser, der gennemfører dele af Europa-Parlamentets og Rådets direktiv </w:t>
      </w:r>
      <w:r w:rsidRPr="00A41396">
        <w:t>(EU) 2019/1024 af 20. juni 2019 om åbne data og videreanvendelse af den offentlige sektors informationer</w:t>
      </w:r>
      <w:r w:rsidRPr="007F6BAD">
        <w:t>, EU-tidende 201</w:t>
      </w:r>
      <w:r>
        <w:t>9</w:t>
      </w:r>
      <w:r w:rsidRPr="007F6BAD">
        <w:t>, nr. L 17</w:t>
      </w:r>
      <w:r>
        <w:t>2, side 56</w:t>
      </w:r>
      <w:r w:rsidRPr="007F6B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7DF" w14:textId="77777777" w:rsidR="00B836E6" w:rsidRDefault="00B836E6" w:rsidP="00274B94">
    <w:pPr>
      <w:pStyle w:val="Sidehoved"/>
    </w:pPr>
  </w:p>
  <w:p w14:paraId="7782247E" w14:textId="77777777" w:rsidR="00B836E6" w:rsidRPr="009C00F9" w:rsidRDefault="00B836E6" w:rsidP="009C00F9">
    <w:pPr>
      <w:pStyle w:val="Sidehoved"/>
      <w:jc w:val="center"/>
      <w:rPr>
        <w:b/>
      </w:rPr>
    </w:pPr>
    <w:r w:rsidRPr="009C00F9">
      <w:rPr>
        <w:b/>
      </w:rPr>
      <w:t>UDKAST</w:t>
    </w:r>
  </w:p>
  <w:p w14:paraId="56BEF7D9" w14:textId="77777777" w:rsidR="00B836E6" w:rsidRDefault="00B836E6" w:rsidP="00274B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E683" w14:textId="77777777" w:rsidR="00B836E6" w:rsidRDefault="00B836E6" w:rsidP="00274B94">
    <w:pPr>
      <w:pStyle w:val="Sidehoved"/>
    </w:pPr>
  </w:p>
  <w:p w14:paraId="5E100947" w14:textId="77777777" w:rsidR="00B836E6" w:rsidRPr="004A7268" w:rsidRDefault="00B836E6" w:rsidP="00274B94">
    <w:pPr>
      <w:pStyle w:val="Sidehoved"/>
      <w:jc w:val="center"/>
      <w:rPr>
        <w:b/>
      </w:rPr>
    </w:pPr>
    <w:r w:rsidRPr="004A7268">
      <w:rPr>
        <w:b/>
      </w:rPr>
      <w:t>UDKAST</w:t>
    </w:r>
  </w:p>
  <w:p w14:paraId="2840D2E5" w14:textId="2CC6E77F" w:rsidR="00B836E6" w:rsidRDefault="00B836E6" w:rsidP="00274B94">
    <w:pPr>
      <w:pStyle w:val="Ingenafstand"/>
    </w:pPr>
  </w:p>
  <w:p w14:paraId="65ABCDB9" w14:textId="2AE5E525" w:rsidR="004D70C9" w:rsidRDefault="004D70C9" w:rsidP="00274B94">
    <w:pPr>
      <w:pStyle w:val="Ingenafstand"/>
    </w:pPr>
  </w:p>
  <w:p w14:paraId="509497A1" w14:textId="77777777" w:rsidR="004D70C9" w:rsidRDefault="004D70C9" w:rsidP="00274B94">
    <w:pPr>
      <w:pStyle w:val="Ingenafstand"/>
    </w:pPr>
  </w:p>
  <w:p w14:paraId="59E75675" w14:textId="339B206C" w:rsidR="00B836E6" w:rsidRDefault="00B836E6" w:rsidP="00274B94">
    <w:pPr>
      <w:pStyle w:val="Ingenafstand"/>
    </w:pPr>
  </w:p>
  <w:p w14:paraId="6137955E" w14:textId="67F95561" w:rsidR="004D70C9" w:rsidRDefault="004D70C9" w:rsidP="00274B94">
    <w:pPr>
      <w:pStyle w:val="Ingenafstand"/>
    </w:pPr>
  </w:p>
  <w:p w14:paraId="634D5589" w14:textId="5DBA37B1" w:rsidR="004D70C9" w:rsidRDefault="004D70C9" w:rsidP="00274B94">
    <w:pPr>
      <w:pStyle w:val="Ingenafstand"/>
    </w:pPr>
  </w:p>
  <w:p w14:paraId="4BF77404" w14:textId="57C02674" w:rsidR="004D70C9" w:rsidRDefault="004D70C9" w:rsidP="00274B94">
    <w:pPr>
      <w:pStyle w:val="Ingenafstand"/>
    </w:pPr>
  </w:p>
  <w:p w14:paraId="01900BA2" w14:textId="77777777" w:rsidR="004D70C9" w:rsidRDefault="004D70C9" w:rsidP="00274B94">
    <w:pPr>
      <w:pStyle w:val="Ingenafstand"/>
    </w:pPr>
  </w:p>
  <w:p w14:paraId="44133FFA" w14:textId="10F27AF1" w:rsidR="00B836E6" w:rsidRPr="00274B94" w:rsidRDefault="00B836E6" w:rsidP="009C00F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726975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234A2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5AD3230"/>
    <w:multiLevelType w:val="hybridMultilevel"/>
    <w:tmpl w:val="190E9A38"/>
    <w:lvl w:ilvl="0" w:tplc="04060011">
      <w:start w:val="1"/>
      <w:numFmt w:val="decimal"/>
      <w:lvlText w:val="%1)"/>
      <w:lvlJc w:val="left"/>
      <w:pPr>
        <w:ind w:left="1288" w:hanging="360"/>
      </w:pPr>
    </w:lvl>
    <w:lvl w:ilvl="1" w:tplc="04060019" w:tentative="1">
      <w:start w:val="1"/>
      <w:numFmt w:val="lowerLetter"/>
      <w:lvlText w:val="%2."/>
      <w:lvlJc w:val="left"/>
      <w:pPr>
        <w:ind w:left="2008" w:hanging="360"/>
      </w:pPr>
    </w:lvl>
    <w:lvl w:ilvl="2" w:tplc="0406001B" w:tentative="1">
      <w:start w:val="1"/>
      <w:numFmt w:val="lowerRoman"/>
      <w:lvlText w:val="%3."/>
      <w:lvlJc w:val="right"/>
      <w:pPr>
        <w:ind w:left="2728" w:hanging="180"/>
      </w:pPr>
    </w:lvl>
    <w:lvl w:ilvl="3" w:tplc="0406000F" w:tentative="1">
      <w:start w:val="1"/>
      <w:numFmt w:val="decimal"/>
      <w:lvlText w:val="%4."/>
      <w:lvlJc w:val="left"/>
      <w:pPr>
        <w:ind w:left="3448" w:hanging="360"/>
      </w:pPr>
    </w:lvl>
    <w:lvl w:ilvl="4" w:tplc="04060019" w:tentative="1">
      <w:start w:val="1"/>
      <w:numFmt w:val="lowerLetter"/>
      <w:lvlText w:val="%5."/>
      <w:lvlJc w:val="left"/>
      <w:pPr>
        <w:ind w:left="4168" w:hanging="360"/>
      </w:pPr>
    </w:lvl>
    <w:lvl w:ilvl="5" w:tplc="0406001B" w:tentative="1">
      <w:start w:val="1"/>
      <w:numFmt w:val="lowerRoman"/>
      <w:lvlText w:val="%6."/>
      <w:lvlJc w:val="right"/>
      <w:pPr>
        <w:ind w:left="4888" w:hanging="180"/>
      </w:pPr>
    </w:lvl>
    <w:lvl w:ilvl="6" w:tplc="0406000F" w:tentative="1">
      <w:start w:val="1"/>
      <w:numFmt w:val="decimal"/>
      <w:lvlText w:val="%7."/>
      <w:lvlJc w:val="left"/>
      <w:pPr>
        <w:ind w:left="5608" w:hanging="360"/>
      </w:pPr>
    </w:lvl>
    <w:lvl w:ilvl="7" w:tplc="04060019" w:tentative="1">
      <w:start w:val="1"/>
      <w:numFmt w:val="lowerLetter"/>
      <w:lvlText w:val="%8."/>
      <w:lvlJc w:val="left"/>
      <w:pPr>
        <w:ind w:left="6328" w:hanging="360"/>
      </w:pPr>
    </w:lvl>
    <w:lvl w:ilvl="8" w:tplc="0406001B" w:tentative="1">
      <w:start w:val="1"/>
      <w:numFmt w:val="lowerRoman"/>
      <w:lvlText w:val="%9."/>
      <w:lvlJc w:val="right"/>
      <w:pPr>
        <w:ind w:left="7048" w:hanging="180"/>
      </w:pPr>
    </w:lvl>
  </w:abstractNum>
  <w:abstractNum w:abstractNumId="4"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7B5521"/>
    <w:multiLevelType w:val="hybridMultilevel"/>
    <w:tmpl w:val="54661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4C6382"/>
    <w:multiLevelType w:val="hybridMultilevel"/>
    <w:tmpl w:val="ECDA24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493F76"/>
    <w:multiLevelType w:val="hybridMultilevel"/>
    <w:tmpl w:val="A8DEE7C4"/>
    <w:lvl w:ilvl="0" w:tplc="83280A6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512070"/>
    <w:multiLevelType w:val="hybridMultilevel"/>
    <w:tmpl w:val="452AD040"/>
    <w:lvl w:ilvl="0" w:tplc="BCD6F8B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2B4D3A"/>
    <w:multiLevelType w:val="hybridMultilevel"/>
    <w:tmpl w:val="A6663BDE"/>
    <w:lvl w:ilvl="0" w:tplc="1AC6750C">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0" w15:restartNumberingAfterBreak="0">
    <w:nsid w:val="30530F2C"/>
    <w:multiLevelType w:val="hybridMultilevel"/>
    <w:tmpl w:val="BAACE3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EB47F5"/>
    <w:multiLevelType w:val="hybridMultilevel"/>
    <w:tmpl w:val="CE40F69C"/>
    <w:lvl w:ilvl="0" w:tplc="04060011">
      <w:start w:val="1"/>
      <w:numFmt w:val="decimal"/>
      <w:lvlText w:val="%1)"/>
      <w:lvlJc w:val="left"/>
      <w:pPr>
        <w:tabs>
          <w:tab w:val="num" w:pos="720"/>
        </w:tabs>
        <w:ind w:left="720" w:hanging="360"/>
      </w:pPr>
      <w:rPr>
        <w:rFonts w:hint="default"/>
      </w:rPr>
    </w:lvl>
    <w:lvl w:ilvl="1" w:tplc="4C0AAC46" w:tentative="1">
      <w:start w:val="1"/>
      <w:numFmt w:val="bullet"/>
      <w:lvlText w:val="-"/>
      <w:lvlJc w:val="left"/>
      <w:pPr>
        <w:tabs>
          <w:tab w:val="num" w:pos="1440"/>
        </w:tabs>
        <w:ind w:left="1440" w:hanging="360"/>
      </w:pPr>
      <w:rPr>
        <w:rFonts w:ascii="Times New Roman" w:hAnsi="Times New Roman" w:hint="default"/>
      </w:rPr>
    </w:lvl>
    <w:lvl w:ilvl="2" w:tplc="8EF8587A" w:tentative="1">
      <w:start w:val="1"/>
      <w:numFmt w:val="bullet"/>
      <w:lvlText w:val="-"/>
      <w:lvlJc w:val="left"/>
      <w:pPr>
        <w:tabs>
          <w:tab w:val="num" w:pos="2160"/>
        </w:tabs>
        <w:ind w:left="2160" w:hanging="360"/>
      </w:pPr>
      <w:rPr>
        <w:rFonts w:ascii="Times New Roman" w:hAnsi="Times New Roman" w:hint="default"/>
      </w:rPr>
    </w:lvl>
    <w:lvl w:ilvl="3" w:tplc="CE1CC412" w:tentative="1">
      <w:start w:val="1"/>
      <w:numFmt w:val="bullet"/>
      <w:lvlText w:val="-"/>
      <w:lvlJc w:val="left"/>
      <w:pPr>
        <w:tabs>
          <w:tab w:val="num" w:pos="2880"/>
        </w:tabs>
        <w:ind w:left="2880" w:hanging="360"/>
      </w:pPr>
      <w:rPr>
        <w:rFonts w:ascii="Times New Roman" w:hAnsi="Times New Roman" w:hint="default"/>
      </w:rPr>
    </w:lvl>
    <w:lvl w:ilvl="4" w:tplc="7EF4D048" w:tentative="1">
      <w:start w:val="1"/>
      <w:numFmt w:val="bullet"/>
      <w:lvlText w:val="-"/>
      <w:lvlJc w:val="left"/>
      <w:pPr>
        <w:tabs>
          <w:tab w:val="num" w:pos="3600"/>
        </w:tabs>
        <w:ind w:left="3600" w:hanging="360"/>
      </w:pPr>
      <w:rPr>
        <w:rFonts w:ascii="Times New Roman" w:hAnsi="Times New Roman" w:hint="default"/>
      </w:rPr>
    </w:lvl>
    <w:lvl w:ilvl="5" w:tplc="E9E45206" w:tentative="1">
      <w:start w:val="1"/>
      <w:numFmt w:val="bullet"/>
      <w:lvlText w:val="-"/>
      <w:lvlJc w:val="left"/>
      <w:pPr>
        <w:tabs>
          <w:tab w:val="num" w:pos="4320"/>
        </w:tabs>
        <w:ind w:left="4320" w:hanging="360"/>
      </w:pPr>
      <w:rPr>
        <w:rFonts w:ascii="Times New Roman" w:hAnsi="Times New Roman" w:hint="default"/>
      </w:rPr>
    </w:lvl>
    <w:lvl w:ilvl="6" w:tplc="4A88A2CC" w:tentative="1">
      <w:start w:val="1"/>
      <w:numFmt w:val="bullet"/>
      <w:lvlText w:val="-"/>
      <w:lvlJc w:val="left"/>
      <w:pPr>
        <w:tabs>
          <w:tab w:val="num" w:pos="5040"/>
        </w:tabs>
        <w:ind w:left="5040" w:hanging="360"/>
      </w:pPr>
      <w:rPr>
        <w:rFonts w:ascii="Times New Roman" w:hAnsi="Times New Roman" w:hint="default"/>
      </w:rPr>
    </w:lvl>
    <w:lvl w:ilvl="7" w:tplc="FF3091A2" w:tentative="1">
      <w:start w:val="1"/>
      <w:numFmt w:val="bullet"/>
      <w:lvlText w:val="-"/>
      <w:lvlJc w:val="left"/>
      <w:pPr>
        <w:tabs>
          <w:tab w:val="num" w:pos="5760"/>
        </w:tabs>
        <w:ind w:left="5760" w:hanging="360"/>
      </w:pPr>
      <w:rPr>
        <w:rFonts w:ascii="Times New Roman" w:hAnsi="Times New Roman" w:hint="default"/>
      </w:rPr>
    </w:lvl>
    <w:lvl w:ilvl="8" w:tplc="63C2A1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7327E8"/>
    <w:multiLevelType w:val="hybridMultilevel"/>
    <w:tmpl w:val="8E5CD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02520D"/>
    <w:multiLevelType w:val="hybridMultilevel"/>
    <w:tmpl w:val="1B3AE19E"/>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48D306A7"/>
    <w:multiLevelType w:val="hybridMultilevel"/>
    <w:tmpl w:val="B198B4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A9F7242"/>
    <w:multiLevelType w:val="hybridMultilevel"/>
    <w:tmpl w:val="E5743576"/>
    <w:lvl w:ilvl="0" w:tplc="BCD6F8B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48006E3"/>
    <w:multiLevelType w:val="hybridMultilevel"/>
    <w:tmpl w:val="8B2A3A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EF6"/>
    <w:multiLevelType w:val="hybridMultilevel"/>
    <w:tmpl w:val="8B84D7F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751969"/>
    <w:multiLevelType w:val="hybridMultilevel"/>
    <w:tmpl w:val="190E9A38"/>
    <w:lvl w:ilvl="0" w:tplc="04060011">
      <w:start w:val="1"/>
      <w:numFmt w:val="decimal"/>
      <w:lvlText w:val="%1)"/>
      <w:lvlJc w:val="left"/>
      <w:pPr>
        <w:ind w:left="1288" w:hanging="360"/>
      </w:pPr>
    </w:lvl>
    <w:lvl w:ilvl="1" w:tplc="04060019" w:tentative="1">
      <w:start w:val="1"/>
      <w:numFmt w:val="lowerLetter"/>
      <w:lvlText w:val="%2."/>
      <w:lvlJc w:val="left"/>
      <w:pPr>
        <w:ind w:left="2008" w:hanging="360"/>
      </w:pPr>
    </w:lvl>
    <w:lvl w:ilvl="2" w:tplc="0406001B" w:tentative="1">
      <w:start w:val="1"/>
      <w:numFmt w:val="lowerRoman"/>
      <w:lvlText w:val="%3."/>
      <w:lvlJc w:val="right"/>
      <w:pPr>
        <w:ind w:left="2728" w:hanging="180"/>
      </w:pPr>
    </w:lvl>
    <w:lvl w:ilvl="3" w:tplc="0406000F" w:tentative="1">
      <w:start w:val="1"/>
      <w:numFmt w:val="decimal"/>
      <w:lvlText w:val="%4."/>
      <w:lvlJc w:val="left"/>
      <w:pPr>
        <w:ind w:left="3448" w:hanging="360"/>
      </w:pPr>
    </w:lvl>
    <w:lvl w:ilvl="4" w:tplc="04060019" w:tentative="1">
      <w:start w:val="1"/>
      <w:numFmt w:val="lowerLetter"/>
      <w:lvlText w:val="%5."/>
      <w:lvlJc w:val="left"/>
      <w:pPr>
        <w:ind w:left="4168" w:hanging="360"/>
      </w:pPr>
    </w:lvl>
    <w:lvl w:ilvl="5" w:tplc="0406001B" w:tentative="1">
      <w:start w:val="1"/>
      <w:numFmt w:val="lowerRoman"/>
      <w:lvlText w:val="%6."/>
      <w:lvlJc w:val="right"/>
      <w:pPr>
        <w:ind w:left="4888" w:hanging="180"/>
      </w:pPr>
    </w:lvl>
    <w:lvl w:ilvl="6" w:tplc="0406000F" w:tentative="1">
      <w:start w:val="1"/>
      <w:numFmt w:val="decimal"/>
      <w:lvlText w:val="%7."/>
      <w:lvlJc w:val="left"/>
      <w:pPr>
        <w:ind w:left="5608" w:hanging="360"/>
      </w:pPr>
    </w:lvl>
    <w:lvl w:ilvl="7" w:tplc="04060019" w:tentative="1">
      <w:start w:val="1"/>
      <w:numFmt w:val="lowerLetter"/>
      <w:lvlText w:val="%8."/>
      <w:lvlJc w:val="left"/>
      <w:pPr>
        <w:ind w:left="6328" w:hanging="360"/>
      </w:pPr>
    </w:lvl>
    <w:lvl w:ilvl="8" w:tplc="0406001B" w:tentative="1">
      <w:start w:val="1"/>
      <w:numFmt w:val="lowerRoman"/>
      <w:lvlText w:val="%9."/>
      <w:lvlJc w:val="right"/>
      <w:pPr>
        <w:ind w:left="7048" w:hanging="180"/>
      </w:pPr>
    </w:lvl>
  </w:abstractNum>
  <w:abstractNum w:abstractNumId="20" w15:restartNumberingAfterBreak="0">
    <w:nsid w:val="57B3423D"/>
    <w:multiLevelType w:val="hybridMultilevel"/>
    <w:tmpl w:val="E5743576"/>
    <w:lvl w:ilvl="0" w:tplc="BCD6F8B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898077D"/>
    <w:multiLevelType w:val="hybridMultilevel"/>
    <w:tmpl w:val="452AD040"/>
    <w:lvl w:ilvl="0" w:tplc="BCD6F8B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F44609"/>
    <w:multiLevelType w:val="hybridMultilevel"/>
    <w:tmpl w:val="ECDA24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7B72D1"/>
    <w:multiLevelType w:val="hybridMultilevel"/>
    <w:tmpl w:val="72280D10"/>
    <w:lvl w:ilvl="0" w:tplc="04060011">
      <w:start w:val="1"/>
      <w:numFmt w:val="decimal"/>
      <w:lvlText w:val="%1)"/>
      <w:lvlJc w:val="left"/>
      <w:pPr>
        <w:tabs>
          <w:tab w:val="num" w:pos="720"/>
        </w:tabs>
        <w:ind w:left="720" w:hanging="360"/>
      </w:pPr>
      <w:rPr>
        <w:rFonts w:hint="default"/>
      </w:rPr>
    </w:lvl>
    <w:lvl w:ilvl="1" w:tplc="4C0AAC46" w:tentative="1">
      <w:start w:val="1"/>
      <w:numFmt w:val="bullet"/>
      <w:lvlText w:val="-"/>
      <w:lvlJc w:val="left"/>
      <w:pPr>
        <w:tabs>
          <w:tab w:val="num" w:pos="1440"/>
        </w:tabs>
        <w:ind w:left="1440" w:hanging="360"/>
      </w:pPr>
      <w:rPr>
        <w:rFonts w:ascii="Times New Roman" w:hAnsi="Times New Roman" w:hint="default"/>
      </w:rPr>
    </w:lvl>
    <w:lvl w:ilvl="2" w:tplc="8EF8587A" w:tentative="1">
      <w:start w:val="1"/>
      <w:numFmt w:val="bullet"/>
      <w:lvlText w:val="-"/>
      <w:lvlJc w:val="left"/>
      <w:pPr>
        <w:tabs>
          <w:tab w:val="num" w:pos="2160"/>
        </w:tabs>
        <w:ind w:left="2160" w:hanging="360"/>
      </w:pPr>
      <w:rPr>
        <w:rFonts w:ascii="Times New Roman" w:hAnsi="Times New Roman" w:hint="default"/>
      </w:rPr>
    </w:lvl>
    <w:lvl w:ilvl="3" w:tplc="CE1CC412" w:tentative="1">
      <w:start w:val="1"/>
      <w:numFmt w:val="bullet"/>
      <w:lvlText w:val="-"/>
      <w:lvlJc w:val="left"/>
      <w:pPr>
        <w:tabs>
          <w:tab w:val="num" w:pos="2880"/>
        </w:tabs>
        <w:ind w:left="2880" w:hanging="360"/>
      </w:pPr>
      <w:rPr>
        <w:rFonts w:ascii="Times New Roman" w:hAnsi="Times New Roman" w:hint="default"/>
      </w:rPr>
    </w:lvl>
    <w:lvl w:ilvl="4" w:tplc="7EF4D048" w:tentative="1">
      <w:start w:val="1"/>
      <w:numFmt w:val="bullet"/>
      <w:lvlText w:val="-"/>
      <w:lvlJc w:val="left"/>
      <w:pPr>
        <w:tabs>
          <w:tab w:val="num" w:pos="3600"/>
        </w:tabs>
        <w:ind w:left="3600" w:hanging="360"/>
      </w:pPr>
      <w:rPr>
        <w:rFonts w:ascii="Times New Roman" w:hAnsi="Times New Roman" w:hint="default"/>
      </w:rPr>
    </w:lvl>
    <w:lvl w:ilvl="5" w:tplc="E9E45206" w:tentative="1">
      <w:start w:val="1"/>
      <w:numFmt w:val="bullet"/>
      <w:lvlText w:val="-"/>
      <w:lvlJc w:val="left"/>
      <w:pPr>
        <w:tabs>
          <w:tab w:val="num" w:pos="4320"/>
        </w:tabs>
        <w:ind w:left="4320" w:hanging="360"/>
      </w:pPr>
      <w:rPr>
        <w:rFonts w:ascii="Times New Roman" w:hAnsi="Times New Roman" w:hint="default"/>
      </w:rPr>
    </w:lvl>
    <w:lvl w:ilvl="6" w:tplc="4A88A2CC" w:tentative="1">
      <w:start w:val="1"/>
      <w:numFmt w:val="bullet"/>
      <w:lvlText w:val="-"/>
      <w:lvlJc w:val="left"/>
      <w:pPr>
        <w:tabs>
          <w:tab w:val="num" w:pos="5040"/>
        </w:tabs>
        <w:ind w:left="5040" w:hanging="360"/>
      </w:pPr>
      <w:rPr>
        <w:rFonts w:ascii="Times New Roman" w:hAnsi="Times New Roman" w:hint="default"/>
      </w:rPr>
    </w:lvl>
    <w:lvl w:ilvl="7" w:tplc="FF3091A2" w:tentative="1">
      <w:start w:val="1"/>
      <w:numFmt w:val="bullet"/>
      <w:lvlText w:val="-"/>
      <w:lvlJc w:val="left"/>
      <w:pPr>
        <w:tabs>
          <w:tab w:val="num" w:pos="5760"/>
        </w:tabs>
        <w:ind w:left="5760" w:hanging="360"/>
      </w:pPr>
      <w:rPr>
        <w:rFonts w:ascii="Times New Roman" w:hAnsi="Times New Roman" w:hint="default"/>
      </w:rPr>
    </w:lvl>
    <w:lvl w:ilvl="8" w:tplc="63C2A1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AE48F6"/>
    <w:multiLevelType w:val="hybridMultilevel"/>
    <w:tmpl w:val="AC9A31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5151C67"/>
    <w:multiLevelType w:val="hybridMultilevel"/>
    <w:tmpl w:val="98B001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9152C"/>
    <w:multiLevelType w:val="hybridMultilevel"/>
    <w:tmpl w:val="452AD040"/>
    <w:lvl w:ilvl="0" w:tplc="BCD6F8B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142508"/>
    <w:multiLevelType w:val="hybridMultilevel"/>
    <w:tmpl w:val="ED7893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A22784F"/>
    <w:multiLevelType w:val="hybridMultilevel"/>
    <w:tmpl w:val="81703EE6"/>
    <w:lvl w:ilvl="0" w:tplc="CC5EF11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36C51E1"/>
    <w:multiLevelType w:val="hybridMultilevel"/>
    <w:tmpl w:val="DFAA35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8552209"/>
    <w:multiLevelType w:val="hybridMultilevel"/>
    <w:tmpl w:val="60BEF82C"/>
    <w:lvl w:ilvl="0" w:tplc="B3787CAC">
      <w:start w:val="1"/>
      <w:numFmt w:val="decimal"/>
      <w:lvlText w:val="%1)"/>
      <w:lvlJc w:val="left"/>
      <w:pPr>
        <w:ind w:left="1304" w:hanging="102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2" w15:restartNumberingAfterBreak="0">
    <w:nsid w:val="798F22D7"/>
    <w:multiLevelType w:val="hybridMultilevel"/>
    <w:tmpl w:val="AF1EAF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16"/>
  </w:num>
  <w:num w:numId="4">
    <w:abstractNumId w:val="26"/>
  </w:num>
  <w:num w:numId="5">
    <w:abstractNumId w:val="33"/>
  </w:num>
  <w:num w:numId="6">
    <w:abstractNumId w:val="11"/>
  </w:num>
  <w:num w:numId="7">
    <w:abstractNumId w:val="13"/>
  </w:num>
  <w:num w:numId="8">
    <w:abstractNumId w:val="31"/>
  </w:num>
  <w:num w:numId="9">
    <w:abstractNumId w:val="14"/>
  </w:num>
  <w:num w:numId="10">
    <w:abstractNumId w:val="6"/>
  </w:num>
  <w:num w:numId="11">
    <w:abstractNumId w:val="32"/>
  </w:num>
  <w:num w:numId="12">
    <w:abstractNumId w:val="24"/>
  </w:num>
  <w:num w:numId="13">
    <w:abstractNumId w:val="18"/>
  </w:num>
  <w:num w:numId="14">
    <w:abstractNumId w:val="22"/>
  </w:num>
  <w:num w:numId="15">
    <w:abstractNumId w:val="28"/>
  </w:num>
  <w:num w:numId="16">
    <w:abstractNumId w:val="23"/>
  </w:num>
  <w:num w:numId="17">
    <w:abstractNumId w:val="3"/>
  </w:num>
  <w:num w:numId="18">
    <w:abstractNumId w:val="17"/>
  </w:num>
  <w:num w:numId="19">
    <w:abstractNumId w:val="19"/>
  </w:num>
  <w:num w:numId="20">
    <w:abstractNumId w:val="29"/>
  </w:num>
  <w:num w:numId="21">
    <w:abstractNumId w:val="7"/>
  </w:num>
  <w:num w:numId="22">
    <w:abstractNumId w:val="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21"/>
  </w:num>
  <w:num w:numId="27">
    <w:abstractNumId w:val="27"/>
  </w:num>
  <w:num w:numId="28">
    <w:abstractNumId w:val="8"/>
  </w:num>
  <w:num w:numId="29">
    <w:abstractNumId w:val="20"/>
  </w:num>
  <w:num w:numId="30">
    <w:abstractNumId w:val="15"/>
  </w:num>
  <w:num w:numId="31">
    <w:abstractNumId w:val="10"/>
  </w:num>
  <w:num w:numId="32">
    <w:abstractNumId w:val="9"/>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D"/>
    <w:rsid w:val="0000268A"/>
    <w:rsid w:val="000037C9"/>
    <w:rsid w:val="0000600A"/>
    <w:rsid w:val="00007723"/>
    <w:rsid w:val="00007CBD"/>
    <w:rsid w:val="0001161C"/>
    <w:rsid w:val="00014F96"/>
    <w:rsid w:val="00017296"/>
    <w:rsid w:val="0002069B"/>
    <w:rsid w:val="00023CE8"/>
    <w:rsid w:val="000249F5"/>
    <w:rsid w:val="00027B84"/>
    <w:rsid w:val="00033851"/>
    <w:rsid w:val="00033C70"/>
    <w:rsid w:val="00034C15"/>
    <w:rsid w:val="00034D43"/>
    <w:rsid w:val="000447C2"/>
    <w:rsid w:val="00044900"/>
    <w:rsid w:val="00052D08"/>
    <w:rsid w:val="000533A5"/>
    <w:rsid w:val="00053FEC"/>
    <w:rsid w:val="00057A4A"/>
    <w:rsid w:val="00060F3E"/>
    <w:rsid w:val="000633BC"/>
    <w:rsid w:val="00063E8D"/>
    <w:rsid w:val="000654F2"/>
    <w:rsid w:val="0006600F"/>
    <w:rsid w:val="00066E2F"/>
    <w:rsid w:val="00066E66"/>
    <w:rsid w:val="00067A08"/>
    <w:rsid w:val="00071043"/>
    <w:rsid w:val="00076294"/>
    <w:rsid w:val="00080BB4"/>
    <w:rsid w:val="000826E4"/>
    <w:rsid w:val="0008284F"/>
    <w:rsid w:val="00091D05"/>
    <w:rsid w:val="00092142"/>
    <w:rsid w:val="00092308"/>
    <w:rsid w:val="000946D9"/>
    <w:rsid w:val="00095C38"/>
    <w:rsid w:val="00095D81"/>
    <w:rsid w:val="00096B6B"/>
    <w:rsid w:val="000A0317"/>
    <w:rsid w:val="000A2CA4"/>
    <w:rsid w:val="000A3C07"/>
    <w:rsid w:val="000A4298"/>
    <w:rsid w:val="000B447E"/>
    <w:rsid w:val="000B4CE0"/>
    <w:rsid w:val="000B5607"/>
    <w:rsid w:val="000C01B1"/>
    <w:rsid w:val="000C0A5E"/>
    <w:rsid w:val="000C1D6F"/>
    <w:rsid w:val="000C52E2"/>
    <w:rsid w:val="000C73CA"/>
    <w:rsid w:val="000C7A5A"/>
    <w:rsid w:val="000D0591"/>
    <w:rsid w:val="000D1CFF"/>
    <w:rsid w:val="000E3052"/>
    <w:rsid w:val="000E375B"/>
    <w:rsid w:val="000E6419"/>
    <w:rsid w:val="000E6432"/>
    <w:rsid w:val="000E758B"/>
    <w:rsid w:val="000E7757"/>
    <w:rsid w:val="000F3B01"/>
    <w:rsid w:val="000F6D21"/>
    <w:rsid w:val="00100CC7"/>
    <w:rsid w:val="001031AD"/>
    <w:rsid w:val="001067E7"/>
    <w:rsid w:val="00107B0A"/>
    <w:rsid w:val="0011502D"/>
    <w:rsid w:val="001177BC"/>
    <w:rsid w:val="001259A7"/>
    <w:rsid w:val="00125BD0"/>
    <w:rsid w:val="0012639D"/>
    <w:rsid w:val="00126C2F"/>
    <w:rsid w:val="001322F3"/>
    <w:rsid w:val="0013238A"/>
    <w:rsid w:val="00133460"/>
    <w:rsid w:val="001368A3"/>
    <w:rsid w:val="00142C5F"/>
    <w:rsid w:val="00150B87"/>
    <w:rsid w:val="001604FC"/>
    <w:rsid w:val="00161984"/>
    <w:rsid w:val="00166BB5"/>
    <w:rsid w:val="00166D68"/>
    <w:rsid w:val="00170859"/>
    <w:rsid w:val="00172208"/>
    <w:rsid w:val="001741FA"/>
    <w:rsid w:val="001749C7"/>
    <w:rsid w:val="0018114B"/>
    <w:rsid w:val="0018256B"/>
    <w:rsid w:val="001831FC"/>
    <w:rsid w:val="001834F5"/>
    <w:rsid w:val="001847A8"/>
    <w:rsid w:val="00186720"/>
    <w:rsid w:val="00186CD1"/>
    <w:rsid w:val="001970C2"/>
    <w:rsid w:val="001A350D"/>
    <w:rsid w:val="001A6DC8"/>
    <w:rsid w:val="001B3ECD"/>
    <w:rsid w:val="001C285B"/>
    <w:rsid w:val="001D1AF2"/>
    <w:rsid w:val="001D41E6"/>
    <w:rsid w:val="001D4AC3"/>
    <w:rsid w:val="001D5787"/>
    <w:rsid w:val="001E14B7"/>
    <w:rsid w:val="001E28BA"/>
    <w:rsid w:val="001E3738"/>
    <w:rsid w:val="001F1BEB"/>
    <w:rsid w:val="001F1EF1"/>
    <w:rsid w:val="001F2733"/>
    <w:rsid w:val="00201032"/>
    <w:rsid w:val="002016D0"/>
    <w:rsid w:val="00203BE5"/>
    <w:rsid w:val="00204840"/>
    <w:rsid w:val="0021689A"/>
    <w:rsid w:val="002175F7"/>
    <w:rsid w:val="002176E4"/>
    <w:rsid w:val="00217D27"/>
    <w:rsid w:val="00217EC5"/>
    <w:rsid w:val="0022144C"/>
    <w:rsid w:val="00222C60"/>
    <w:rsid w:val="0022424A"/>
    <w:rsid w:val="002242AF"/>
    <w:rsid w:val="002254DE"/>
    <w:rsid w:val="00226E6C"/>
    <w:rsid w:val="002359A7"/>
    <w:rsid w:val="00236E1E"/>
    <w:rsid w:val="00241030"/>
    <w:rsid w:val="0024639C"/>
    <w:rsid w:val="002514DA"/>
    <w:rsid w:val="0025306F"/>
    <w:rsid w:val="00254C13"/>
    <w:rsid w:val="002554A1"/>
    <w:rsid w:val="002637AB"/>
    <w:rsid w:val="0027019F"/>
    <w:rsid w:val="00271794"/>
    <w:rsid w:val="00274B94"/>
    <w:rsid w:val="00275CD7"/>
    <w:rsid w:val="00277BE2"/>
    <w:rsid w:val="0028245D"/>
    <w:rsid w:val="0028319D"/>
    <w:rsid w:val="0028336A"/>
    <w:rsid w:val="00297E57"/>
    <w:rsid w:val="002A1DFB"/>
    <w:rsid w:val="002A591A"/>
    <w:rsid w:val="002A6373"/>
    <w:rsid w:val="002A6DF9"/>
    <w:rsid w:val="002A7FC3"/>
    <w:rsid w:val="002B21BA"/>
    <w:rsid w:val="002B7154"/>
    <w:rsid w:val="002C18FE"/>
    <w:rsid w:val="002C19AC"/>
    <w:rsid w:val="002C1FD1"/>
    <w:rsid w:val="002C21D7"/>
    <w:rsid w:val="002C2334"/>
    <w:rsid w:val="002C382A"/>
    <w:rsid w:val="002C61D4"/>
    <w:rsid w:val="002C77A2"/>
    <w:rsid w:val="002D038D"/>
    <w:rsid w:val="002E0B7A"/>
    <w:rsid w:val="002E120A"/>
    <w:rsid w:val="002E1BA6"/>
    <w:rsid w:val="002E5572"/>
    <w:rsid w:val="002E631B"/>
    <w:rsid w:val="002E6956"/>
    <w:rsid w:val="002E6DDC"/>
    <w:rsid w:val="002F407A"/>
    <w:rsid w:val="002F5781"/>
    <w:rsid w:val="002F5C8B"/>
    <w:rsid w:val="00303486"/>
    <w:rsid w:val="0032303D"/>
    <w:rsid w:val="00323F60"/>
    <w:rsid w:val="003249FA"/>
    <w:rsid w:val="00332DAE"/>
    <w:rsid w:val="0033620E"/>
    <w:rsid w:val="00341448"/>
    <w:rsid w:val="00341C95"/>
    <w:rsid w:val="00342453"/>
    <w:rsid w:val="00351950"/>
    <w:rsid w:val="003526CD"/>
    <w:rsid w:val="00354FB0"/>
    <w:rsid w:val="00370D0C"/>
    <w:rsid w:val="00372A3D"/>
    <w:rsid w:val="00380C54"/>
    <w:rsid w:val="003810E4"/>
    <w:rsid w:val="00383648"/>
    <w:rsid w:val="00383E24"/>
    <w:rsid w:val="00385541"/>
    <w:rsid w:val="003879FA"/>
    <w:rsid w:val="00390EAB"/>
    <w:rsid w:val="00393E79"/>
    <w:rsid w:val="0039421E"/>
    <w:rsid w:val="00397EAB"/>
    <w:rsid w:val="003A14A8"/>
    <w:rsid w:val="003A15C7"/>
    <w:rsid w:val="003A18A6"/>
    <w:rsid w:val="003A2F5F"/>
    <w:rsid w:val="003A520B"/>
    <w:rsid w:val="003A7A5F"/>
    <w:rsid w:val="003B0D0E"/>
    <w:rsid w:val="003B174B"/>
    <w:rsid w:val="003B2B81"/>
    <w:rsid w:val="003B3C17"/>
    <w:rsid w:val="003B4EED"/>
    <w:rsid w:val="003B5079"/>
    <w:rsid w:val="003B62AF"/>
    <w:rsid w:val="003B763C"/>
    <w:rsid w:val="003C356D"/>
    <w:rsid w:val="003C52F4"/>
    <w:rsid w:val="003C5FF8"/>
    <w:rsid w:val="003D0AD7"/>
    <w:rsid w:val="003D0D6D"/>
    <w:rsid w:val="003D335F"/>
    <w:rsid w:val="003D4EF4"/>
    <w:rsid w:val="003D4F0A"/>
    <w:rsid w:val="003E042A"/>
    <w:rsid w:val="003E23A0"/>
    <w:rsid w:val="003E6F1B"/>
    <w:rsid w:val="003F0177"/>
    <w:rsid w:val="003F2BB6"/>
    <w:rsid w:val="003F588D"/>
    <w:rsid w:val="003F58A1"/>
    <w:rsid w:val="00402061"/>
    <w:rsid w:val="00402BE8"/>
    <w:rsid w:val="0040453F"/>
    <w:rsid w:val="00405DEE"/>
    <w:rsid w:val="00416DFE"/>
    <w:rsid w:val="0041752F"/>
    <w:rsid w:val="00420E10"/>
    <w:rsid w:val="0043195F"/>
    <w:rsid w:val="00431C62"/>
    <w:rsid w:val="00432155"/>
    <w:rsid w:val="004333A6"/>
    <w:rsid w:val="004354C7"/>
    <w:rsid w:val="004362AD"/>
    <w:rsid w:val="0043702E"/>
    <w:rsid w:val="00440C5E"/>
    <w:rsid w:val="004421B4"/>
    <w:rsid w:val="00443FD1"/>
    <w:rsid w:val="00444676"/>
    <w:rsid w:val="00444BB4"/>
    <w:rsid w:val="00450BA6"/>
    <w:rsid w:val="00451B60"/>
    <w:rsid w:val="00456332"/>
    <w:rsid w:val="00460D94"/>
    <w:rsid w:val="004626F5"/>
    <w:rsid w:val="00462FE0"/>
    <w:rsid w:val="0046530E"/>
    <w:rsid w:val="00466CFB"/>
    <w:rsid w:val="00472FE1"/>
    <w:rsid w:val="004874A6"/>
    <w:rsid w:val="00491561"/>
    <w:rsid w:val="00491D0E"/>
    <w:rsid w:val="00493E75"/>
    <w:rsid w:val="0049458E"/>
    <w:rsid w:val="0049495D"/>
    <w:rsid w:val="004962B4"/>
    <w:rsid w:val="004A03A3"/>
    <w:rsid w:val="004A049C"/>
    <w:rsid w:val="004A59AD"/>
    <w:rsid w:val="004A7268"/>
    <w:rsid w:val="004A75DC"/>
    <w:rsid w:val="004B10C0"/>
    <w:rsid w:val="004B2B00"/>
    <w:rsid w:val="004B309A"/>
    <w:rsid w:val="004B3941"/>
    <w:rsid w:val="004C210F"/>
    <w:rsid w:val="004C3404"/>
    <w:rsid w:val="004C57BB"/>
    <w:rsid w:val="004C60BF"/>
    <w:rsid w:val="004D1723"/>
    <w:rsid w:val="004D3449"/>
    <w:rsid w:val="004D434A"/>
    <w:rsid w:val="004D4757"/>
    <w:rsid w:val="004D70C9"/>
    <w:rsid w:val="004D72EF"/>
    <w:rsid w:val="004D7D6B"/>
    <w:rsid w:val="004E1C8B"/>
    <w:rsid w:val="004E1DD9"/>
    <w:rsid w:val="004E3930"/>
    <w:rsid w:val="004E3D3D"/>
    <w:rsid w:val="004E5B44"/>
    <w:rsid w:val="004E69F6"/>
    <w:rsid w:val="004F7D12"/>
    <w:rsid w:val="005002A9"/>
    <w:rsid w:val="00501127"/>
    <w:rsid w:val="00501728"/>
    <w:rsid w:val="00502DA8"/>
    <w:rsid w:val="00502E14"/>
    <w:rsid w:val="00503677"/>
    <w:rsid w:val="00505BBD"/>
    <w:rsid w:val="005145F0"/>
    <w:rsid w:val="005200B7"/>
    <w:rsid w:val="00522EDA"/>
    <w:rsid w:val="00523192"/>
    <w:rsid w:val="0052533D"/>
    <w:rsid w:val="005271F2"/>
    <w:rsid w:val="005308CD"/>
    <w:rsid w:val="00534E2B"/>
    <w:rsid w:val="00537312"/>
    <w:rsid w:val="00546047"/>
    <w:rsid w:val="00546FE4"/>
    <w:rsid w:val="00547FA0"/>
    <w:rsid w:val="00550821"/>
    <w:rsid w:val="0055128A"/>
    <w:rsid w:val="005512C2"/>
    <w:rsid w:val="005574A6"/>
    <w:rsid w:val="00557ACB"/>
    <w:rsid w:val="005609B5"/>
    <w:rsid w:val="00564028"/>
    <w:rsid w:val="00564F99"/>
    <w:rsid w:val="00570F9A"/>
    <w:rsid w:val="005720DE"/>
    <w:rsid w:val="00572D29"/>
    <w:rsid w:val="00575DB2"/>
    <w:rsid w:val="005768D7"/>
    <w:rsid w:val="00577DF5"/>
    <w:rsid w:val="00580B4F"/>
    <w:rsid w:val="00583FC9"/>
    <w:rsid w:val="005849D2"/>
    <w:rsid w:val="00584BEE"/>
    <w:rsid w:val="005865BC"/>
    <w:rsid w:val="00586F0F"/>
    <w:rsid w:val="005931A1"/>
    <w:rsid w:val="00594A23"/>
    <w:rsid w:val="00596AA0"/>
    <w:rsid w:val="005A6503"/>
    <w:rsid w:val="005B171B"/>
    <w:rsid w:val="005C00DB"/>
    <w:rsid w:val="005C0E9C"/>
    <w:rsid w:val="005C36FB"/>
    <w:rsid w:val="005C38CE"/>
    <w:rsid w:val="005C3FFA"/>
    <w:rsid w:val="005C50E2"/>
    <w:rsid w:val="005C78C5"/>
    <w:rsid w:val="005D2843"/>
    <w:rsid w:val="005D67CC"/>
    <w:rsid w:val="005D71A2"/>
    <w:rsid w:val="005E04AE"/>
    <w:rsid w:val="005E38D6"/>
    <w:rsid w:val="005E6320"/>
    <w:rsid w:val="005F29A5"/>
    <w:rsid w:val="005F35D5"/>
    <w:rsid w:val="005F61BD"/>
    <w:rsid w:val="005F6CB4"/>
    <w:rsid w:val="006018A6"/>
    <w:rsid w:val="006040A4"/>
    <w:rsid w:val="0060553B"/>
    <w:rsid w:val="006074A1"/>
    <w:rsid w:val="00613402"/>
    <w:rsid w:val="0061348B"/>
    <w:rsid w:val="00613950"/>
    <w:rsid w:val="00620267"/>
    <w:rsid w:val="0062062F"/>
    <w:rsid w:val="006207D4"/>
    <w:rsid w:val="00622B10"/>
    <w:rsid w:val="006256D2"/>
    <w:rsid w:val="00631A60"/>
    <w:rsid w:val="00632A0A"/>
    <w:rsid w:val="00636A0F"/>
    <w:rsid w:val="00636ACE"/>
    <w:rsid w:val="006408EE"/>
    <w:rsid w:val="00643B43"/>
    <w:rsid w:val="00643F35"/>
    <w:rsid w:val="00644FC9"/>
    <w:rsid w:val="006502A8"/>
    <w:rsid w:val="006509DB"/>
    <w:rsid w:val="00651801"/>
    <w:rsid w:val="00654B24"/>
    <w:rsid w:val="00655323"/>
    <w:rsid w:val="0065764D"/>
    <w:rsid w:val="006645E7"/>
    <w:rsid w:val="0066714B"/>
    <w:rsid w:val="0067175A"/>
    <w:rsid w:val="006766DC"/>
    <w:rsid w:val="006808FF"/>
    <w:rsid w:val="00685068"/>
    <w:rsid w:val="0068566E"/>
    <w:rsid w:val="0068659A"/>
    <w:rsid w:val="00690E44"/>
    <w:rsid w:val="00692735"/>
    <w:rsid w:val="006932E9"/>
    <w:rsid w:val="00694296"/>
    <w:rsid w:val="0069472F"/>
    <w:rsid w:val="00695AA4"/>
    <w:rsid w:val="006A1B98"/>
    <w:rsid w:val="006A3B04"/>
    <w:rsid w:val="006A7B9F"/>
    <w:rsid w:val="006B6177"/>
    <w:rsid w:val="006B628B"/>
    <w:rsid w:val="006C14ED"/>
    <w:rsid w:val="006C7D3C"/>
    <w:rsid w:val="006D6335"/>
    <w:rsid w:val="006E0837"/>
    <w:rsid w:val="006E55AC"/>
    <w:rsid w:val="006F0FCD"/>
    <w:rsid w:val="006F4D51"/>
    <w:rsid w:val="0070090D"/>
    <w:rsid w:val="00703441"/>
    <w:rsid w:val="007051B0"/>
    <w:rsid w:val="00707BE1"/>
    <w:rsid w:val="007112C6"/>
    <w:rsid w:val="007114F9"/>
    <w:rsid w:val="00711787"/>
    <w:rsid w:val="007162AF"/>
    <w:rsid w:val="00720979"/>
    <w:rsid w:val="00720AE1"/>
    <w:rsid w:val="0072410E"/>
    <w:rsid w:val="0072504E"/>
    <w:rsid w:val="0072528F"/>
    <w:rsid w:val="007338A8"/>
    <w:rsid w:val="007344D8"/>
    <w:rsid w:val="0073521F"/>
    <w:rsid w:val="0074370E"/>
    <w:rsid w:val="00743CBE"/>
    <w:rsid w:val="00747D4C"/>
    <w:rsid w:val="00751348"/>
    <w:rsid w:val="007526AA"/>
    <w:rsid w:val="007606B0"/>
    <w:rsid w:val="00761C1B"/>
    <w:rsid w:val="00762D1A"/>
    <w:rsid w:val="0076456C"/>
    <w:rsid w:val="00765A3F"/>
    <w:rsid w:val="007660F0"/>
    <w:rsid w:val="007679ED"/>
    <w:rsid w:val="007736BD"/>
    <w:rsid w:val="007771D8"/>
    <w:rsid w:val="00780F3C"/>
    <w:rsid w:val="007821C8"/>
    <w:rsid w:val="00782A8F"/>
    <w:rsid w:val="007843DE"/>
    <w:rsid w:val="00785237"/>
    <w:rsid w:val="00786841"/>
    <w:rsid w:val="00786ED2"/>
    <w:rsid w:val="00787081"/>
    <w:rsid w:val="00787D82"/>
    <w:rsid w:val="00787D99"/>
    <w:rsid w:val="00791E21"/>
    <w:rsid w:val="00793620"/>
    <w:rsid w:val="00797661"/>
    <w:rsid w:val="007A5D06"/>
    <w:rsid w:val="007B0005"/>
    <w:rsid w:val="007B13EB"/>
    <w:rsid w:val="007B1B35"/>
    <w:rsid w:val="007B230A"/>
    <w:rsid w:val="007B3AC7"/>
    <w:rsid w:val="007B5C53"/>
    <w:rsid w:val="007B5D58"/>
    <w:rsid w:val="007C0116"/>
    <w:rsid w:val="007C0BF5"/>
    <w:rsid w:val="007C27DC"/>
    <w:rsid w:val="007C3810"/>
    <w:rsid w:val="007C5422"/>
    <w:rsid w:val="007C76EA"/>
    <w:rsid w:val="007D159F"/>
    <w:rsid w:val="007D2EA0"/>
    <w:rsid w:val="007D7D56"/>
    <w:rsid w:val="007E0121"/>
    <w:rsid w:val="007E2041"/>
    <w:rsid w:val="007E38C6"/>
    <w:rsid w:val="007E4E18"/>
    <w:rsid w:val="007F5989"/>
    <w:rsid w:val="007F6BAD"/>
    <w:rsid w:val="007F70AD"/>
    <w:rsid w:val="00801091"/>
    <w:rsid w:val="00810BBA"/>
    <w:rsid w:val="00813593"/>
    <w:rsid w:val="008165C2"/>
    <w:rsid w:val="00816AB3"/>
    <w:rsid w:val="00822A4A"/>
    <w:rsid w:val="00822CF3"/>
    <w:rsid w:val="00831613"/>
    <w:rsid w:val="00833A15"/>
    <w:rsid w:val="0083621B"/>
    <w:rsid w:val="00836463"/>
    <w:rsid w:val="00840D57"/>
    <w:rsid w:val="00847C77"/>
    <w:rsid w:val="008512AC"/>
    <w:rsid w:val="00853A48"/>
    <w:rsid w:val="00857EDE"/>
    <w:rsid w:val="00862486"/>
    <w:rsid w:val="008630C3"/>
    <w:rsid w:val="008647B3"/>
    <w:rsid w:val="00870709"/>
    <w:rsid w:val="00873344"/>
    <w:rsid w:val="00882E68"/>
    <w:rsid w:val="00882F29"/>
    <w:rsid w:val="00883F55"/>
    <w:rsid w:val="00886DF8"/>
    <w:rsid w:val="00892B0A"/>
    <w:rsid w:val="00895673"/>
    <w:rsid w:val="008959E3"/>
    <w:rsid w:val="008A6E21"/>
    <w:rsid w:val="008B1F9A"/>
    <w:rsid w:val="008C0E2D"/>
    <w:rsid w:val="008C4B2D"/>
    <w:rsid w:val="008C5707"/>
    <w:rsid w:val="008C5F41"/>
    <w:rsid w:val="008C76C8"/>
    <w:rsid w:val="008D1E76"/>
    <w:rsid w:val="008D25E0"/>
    <w:rsid w:val="008D77A6"/>
    <w:rsid w:val="008E48EB"/>
    <w:rsid w:val="008E6271"/>
    <w:rsid w:val="008F1D36"/>
    <w:rsid w:val="00904E87"/>
    <w:rsid w:val="0090570C"/>
    <w:rsid w:val="00907F2A"/>
    <w:rsid w:val="0091301A"/>
    <w:rsid w:val="00922F90"/>
    <w:rsid w:val="00927CB2"/>
    <w:rsid w:val="009301D0"/>
    <w:rsid w:val="00933440"/>
    <w:rsid w:val="0093430F"/>
    <w:rsid w:val="00934534"/>
    <w:rsid w:val="0093527F"/>
    <w:rsid w:val="009474F9"/>
    <w:rsid w:val="00952630"/>
    <w:rsid w:val="00956251"/>
    <w:rsid w:val="00960216"/>
    <w:rsid w:val="00973952"/>
    <w:rsid w:val="00977E3E"/>
    <w:rsid w:val="009839BC"/>
    <w:rsid w:val="0099673C"/>
    <w:rsid w:val="009A0B9F"/>
    <w:rsid w:val="009A1174"/>
    <w:rsid w:val="009A7C3E"/>
    <w:rsid w:val="009B6651"/>
    <w:rsid w:val="009B7CD9"/>
    <w:rsid w:val="009C00F9"/>
    <w:rsid w:val="009C4050"/>
    <w:rsid w:val="009C5EB6"/>
    <w:rsid w:val="009D12E7"/>
    <w:rsid w:val="009D146A"/>
    <w:rsid w:val="009D2311"/>
    <w:rsid w:val="009D28BE"/>
    <w:rsid w:val="009D44B5"/>
    <w:rsid w:val="009E04F8"/>
    <w:rsid w:val="009E182F"/>
    <w:rsid w:val="009E38F7"/>
    <w:rsid w:val="009F32C3"/>
    <w:rsid w:val="009F61C9"/>
    <w:rsid w:val="009F7388"/>
    <w:rsid w:val="00A0146B"/>
    <w:rsid w:val="00A02405"/>
    <w:rsid w:val="00A05461"/>
    <w:rsid w:val="00A05496"/>
    <w:rsid w:val="00A06563"/>
    <w:rsid w:val="00A10FC4"/>
    <w:rsid w:val="00A14CCA"/>
    <w:rsid w:val="00A15206"/>
    <w:rsid w:val="00A21A31"/>
    <w:rsid w:val="00A233FC"/>
    <w:rsid w:val="00A24E99"/>
    <w:rsid w:val="00A256B5"/>
    <w:rsid w:val="00A2692C"/>
    <w:rsid w:val="00A277A6"/>
    <w:rsid w:val="00A27C43"/>
    <w:rsid w:val="00A324A8"/>
    <w:rsid w:val="00A35F73"/>
    <w:rsid w:val="00A3770D"/>
    <w:rsid w:val="00A37B23"/>
    <w:rsid w:val="00A41396"/>
    <w:rsid w:val="00A425D7"/>
    <w:rsid w:val="00A42A83"/>
    <w:rsid w:val="00A431B3"/>
    <w:rsid w:val="00A456AA"/>
    <w:rsid w:val="00A50C12"/>
    <w:rsid w:val="00A52739"/>
    <w:rsid w:val="00A56226"/>
    <w:rsid w:val="00A562BA"/>
    <w:rsid w:val="00A57BDC"/>
    <w:rsid w:val="00A64DBF"/>
    <w:rsid w:val="00A6514F"/>
    <w:rsid w:val="00A651B7"/>
    <w:rsid w:val="00A70A1E"/>
    <w:rsid w:val="00A72196"/>
    <w:rsid w:val="00A7404F"/>
    <w:rsid w:val="00A74517"/>
    <w:rsid w:val="00A80679"/>
    <w:rsid w:val="00A82004"/>
    <w:rsid w:val="00A846E0"/>
    <w:rsid w:val="00A84E40"/>
    <w:rsid w:val="00A85A72"/>
    <w:rsid w:val="00A866D5"/>
    <w:rsid w:val="00A93115"/>
    <w:rsid w:val="00A93551"/>
    <w:rsid w:val="00A93E83"/>
    <w:rsid w:val="00A95D9C"/>
    <w:rsid w:val="00A9617D"/>
    <w:rsid w:val="00AA13B8"/>
    <w:rsid w:val="00AA13E9"/>
    <w:rsid w:val="00AA412E"/>
    <w:rsid w:val="00AB066E"/>
    <w:rsid w:val="00AB22EE"/>
    <w:rsid w:val="00AB271D"/>
    <w:rsid w:val="00AC0D7D"/>
    <w:rsid w:val="00AC2BE7"/>
    <w:rsid w:val="00AC3178"/>
    <w:rsid w:val="00AC4BE8"/>
    <w:rsid w:val="00AC699B"/>
    <w:rsid w:val="00AD0D76"/>
    <w:rsid w:val="00AD29A3"/>
    <w:rsid w:val="00AD681B"/>
    <w:rsid w:val="00AD68C6"/>
    <w:rsid w:val="00AE1F3A"/>
    <w:rsid w:val="00AE34E2"/>
    <w:rsid w:val="00AE3658"/>
    <w:rsid w:val="00AE6E03"/>
    <w:rsid w:val="00AE79FC"/>
    <w:rsid w:val="00AE7B9F"/>
    <w:rsid w:val="00AF3355"/>
    <w:rsid w:val="00AF3C5F"/>
    <w:rsid w:val="00AF3CB5"/>
    <w:rsid w:val="00AF404B"/>
    <w:rsid w:val="00AF6027"/>
    <w:rsid w:val="00B036EA"/>
    <w:rsid w:val="00B04DAF"/>
    <w:rsid w:val="00B0797A"/>
    <w:rsid w:val="00B107DB"/>
    <w:rsid w:val="00B146CB"/>
    <w:rsid w:val="00B1580E"/>
    <w:rsid w:val="00B2203E"/>
    <w:rsid w:val="00B23DE9"/>
    <w:rsid w:val="00B2539C"/>
    <w:rsid w:val="00B35019"/>
    <w:rsid w:val="00B355C0"/>
    <w:rsid w:val="00B36F18"/>
    <w:rsid w:val="00B40DAF"/>
    <w:rsid w:val="00B439FA"/>
    <w:rsid w:val="00B4646B"/>
    <w:rsid w:val="00B467F6"/>
    <w:rsid w:val="00B476E1"/>
    <w:rsid w:val="00B54060"/>
    <w:rsid w:val="00B54302"/>
    <w:rsid w:val="00B54FF5"/>
    <w:rsid w:val="00B55BA5"/>
    <w:rsid w:val="00B57955"/>
    <w:rsid w:val="00B608E4"/>
    <w:rsid w:val="00B60A17"/>
    <w:rsid w:val="00B63E26"/>
    <w:rsid w:val="00B71AC1"/>
    <w:rsid w:val="00B72C7C"/>
    <w:rsid w:val="00B74844"/>
    <w:rsid w:val="00B77395"/>
    <w:rsid w:val="00B77BDF"/>
    <w:rsid w:val="00B836E6"/>
    <w:rsid w:val="00B858DA"/>
    <w:rsid w:val="00B87A9B"/>
    <w:rsid w:val="00B91300"/>
    <w:rsid w:val="00B91C05"/>
    <w:rsid w:val="00B93BCA"/>
    <w:rsid w:val="00BA1253"/>
    <w:rsid w:val="00BA426A"/>
    <w:rsid w:val="00BA42D6"/>
    <w:rsid w:val="00BA4B6F"/>
    <w:rsid w:val="00BA6739"/>
    <w:rsid w:val="00BA77FC"/>
    <w:rsid w:val="00BB1498"/>
    <w:rsid w:val="00BB4382"/>
    <w:rsid w:val="00BC292B"/>
    <w:rsid w:val="00BC5DB4"/>
    <w:rsid w:val="00BD0382"/>
    <w:rsid w:val="00BD4197"/>
    <w:rsid w:val="00BD46A3"/>
    <w:rsid w:val="00BD5A9A"/>
    <w:rsid w:val="00BD69EF"/>
    <w:rsid w:val="00BE01F7"/>
    <w:rsid w:val="00BE2448"/>
    <w:rsid w:val="00BE2D07"/>
    <w:rsid w:val="00BE46C1"/>
    <w:rsid w:val="00BE678E"/>
    <w:rsid w:val="00BE7333"/>
    <w:rsid w:val="00BF0971"/>
    <w:rsid w:val="00BF17D6"/>
    <w:rsid w:val="00BF1A32"/>
    <w:rsid w:val="00BF5CED"/>
    <w:rsid w:val="00BF6F4B"/>
    <w:rsid w:val="00BF767C"/>
    <w:rsid w:val="00C00101"/>
    <w:rsid w:val="00C00ABA"/>
    <w:rsid w:val="00C03516"/>
    <w:rsid w:val="00C03655"/>
    <w:rsid w:val="00C0461D"/>
    <w:rsid w:val="00C05284"/>
    <w:rsid w:val="00C15C78"/>
    <w:rsid w:val="00C20D0E"/>
    <w:rsid w:val="00C2305A"/>
    <w:rsid w:val="00C2747B"/>
    <w:rsid w:val="00C32EA3"/>
    <w:rsid w:val="00C33CA4"/>
    <w:rsid w:val="00C35602"/>
    <w:rsid w:val="00C44233"/>
    <w:rsid w:val="00C44901"/>
    <w:rsid w:val="00C45CA7"/>
    <w:rsid w:val="00C469A9"/>
    <w:rsid w:val="00C503B5"/>
    <w:rsid w:val="00C54167"/>
    <w:rsid w:val="00C6387C"/>
    <w:rsid w:val="00C65006"/>
    <w:rsid w:val="00C65CE1"/>
    <w:rsid w:val="00C65ED9"/>
    <w:rsid w:val="00C673FA"/>
    <w:rsid w:val="00C84903"/>
    <w:rsid w:val="00C84A79"/>
    <w:rsid w:val="00C86506"/>
    <w:rsid w:val="00C869D9"/>
    <w:rsid w:val="00C9173A"/>
    <w:rsid w:val="00C9412C"/>
    <w:rsid w:val="00CA014D"/>
    <w:rsid w:val="00CA250D"/>
    <w:rsid w:val="00CA4EB5"/>
    <w:rsid w:val="00CA5C85"/>
    <w:rsid w:val="00CB0592"/>
    <w:rsid w:val="00CB325E"/>
    <w:rsid w:val="00CB4B2A"/>
    <w:rsid w:val="00CC0343"/>
    <w:rsid w:val="00CC0ED9"/>
    <w:rsid w:val="00CC4E53"/>
    <w:rsid w:val="00CC4F87"/>
    <w:rsid w:val="00CD05D8"/>
    <w:rsid w:val="00CD3AC5"/>
    <w:rsid w:val="00CD4695"/>
    <w:rsid w:val="00CD78C1"/>
    <w:rsid w:val="00CE1FC9"/>
    <w:rsid w:val="00CE2BCD"/>
    <w:rsid w:val="00CE4116"/>
    <w:rsid w:val="00CE5137"/>
    <w:rsid w:val="00CF1E09"/>
    <w:rsid w:val="00CF7949"/>
    <w:rsid w:val="00D004E2"/>
    <w:rsid w:val="00D01C93"/>
    <w:rsid w:val="00D04633"/>
    <w:rsid w:val="00D109FC"/>
    <w:rsid w:val="00D12D78"/>
    <w:rsid w:val="00D15E6B"/>
    <w:rsid w:val="00D20091"/>
    <w:rsid w:val="00D2192E"/>
    <w:rsid w:val="00D22CD8"/>
    <w:rsid w:val="00D2608F"/>
    <w:rsid w:val="00D26130"/>
    <w:rsid w:val="00D265AB"/>
    <w:rsid w:val="00D31F3A"/>
    <w:rsid w:val="00D32B4F"/>
    <w:rsid w:val="00D3584E"/>
    <w:rsid w:val="00D36136"/>
    <w:rsid w:val="00D41913"/>
    <w:rsid w:val="00D420A8"/>
    <w:rsid w:val="00D421AC"/>
    <w:rsid w:val="00D4348B"/>
    <w:rsid w:val="00D45314"/>
    <w:rsid w:val="00D46288"/>
    <w:rsid w:val="00D4695E"/>
    <w:rsid w:val="00D46DA8"/>
    <w:rsid w:val="00D47717"/>
    <w:rsid w:val="00D51264"/>
    <w:rsid w:val="00D6303A"/>
    <w:rsid w:val="00D63192"/>
    <w:rsid w:val="00D63A92"/>
    <w:rsid w:val="00D70EB9"/>
    <w:rsid w:val="00D712BA"/>
    <w:rsid w:val="00D7154E"/>
    <w:rsid w:val="00D719C6"/>
    <w:rsid w:val="00D71A66"/>
    <w:rsid w:val="00D80D72"/>
    <w:rsid w:val="00D80FE2"/>
    <w:rsid w:val="00D83E73"/>
    <w:rsid w:val="00D8432C"/>
    <w:rsid w:val="00D918A2"/>
    <w:rsid w:val="00D95E69"/>
    <w:rsid w:val="00DA0A1D"/>
    <w:rsid w:val="00DA2B91"/>
    <w:rsid w:val="00DA3E4D"/>
    <w:rsid w:val="00DA4F01"/>
    <w:rsid w:val="00DA5466"/>
    <w:rsid w:val="00DA682C"/>
    <w:rsid w:val="00DB2E1A"/>
    <w:rsid w:val="00DB5E6B"/>
    <w:rsid w:val="00DC262D"/>
    <w:rsid w:val="00DC53CC"/>
    <w:rsid w:val="00DC55E2"/>
    <w:rsid w:val="00DC624B"/>
    <w:rsid w:val="00DD313D"/>
    <w:rsid w:val="00DD47B9"/>
    <w:rsid w:val="00DD7E20"/>
    <w:rsid w:val="00DE0D7B"/>
    <w:rsid w:val="00DF03F5"/>
    <w:rsid w:val="00DF1229"/>
    <w:rsid w:val="00DF2D04"/>
    <w:rsid w:val="00E031EA"/>
    <w:rsid w:val="00E041D3"/>
    <w:rsid w:val="00E126EB"/>
    <w:rsid w:val="00E178FD"/>
    <w:rsid w:val="00E22458"/>
    <w:rsid w:val="00E23AE5"/>
    <w:rsid w:val="00E3413B"/>
    <w:rsid w:val="00E3642B"/>
    <w:rsid w:val="00E3792D"/>
    <w:rsid w:val="00E40CE1"/>
    <w:rsid w:val="00E5684E"/>
    <w:rsid w:val="00E56E1B"/>
    <w:rsid w:val="00E62064"/>
    <w:rsid w:val="00E6629B"/>
    <w:rsid w:val="00E71811"/>
    <w:rsid w:val="00E74FB5"/>
    <w:rsid w:val="00E76DBD"/>
    <w:rsid w:val="00E77BD1"/>
    <w:rsid w:val="00E837C5"/>
    <w:rsid w:val="00E87AAE"/>
    <w:rsid w:val="00E92D68"/>
    <w:rsid w:val="00E93993"/>
    <w:rsid w:val="00E976C0"/>
    <w:rsid w:val="00E97EA3"/>
    <w:rsid w:val="00EA074E"/>
    <w:rsid w:val="00EA7DDF"/>
    <w:rsid w:val="00EB0040"/>
    <w:rsid w:val="00EB2412"/>
    <w:rsid w:val="00EB36B4"/>
    <w:rsid w:val="00EB4F72"/>
    <w:rsid w:val="00EC65AD"/>
    <w:rsid w:val="00ED051A"/>
    <w:rsid w:val="00ED12D7"/>
    <w:rsid w:val="00ED303A"/>
    <w:rsid w:val="00EE086E"/>
    <w:rsid w:val="00EE138C"/>
    <w:rsid w:val="00EE2B5D"/>
    <w:rsid w:val="00EE49BE"/>
    <w:rsid w:val="00EF3111"/>
    <w:rsid w:val="00EF50CF"/>
    <w:rsid w:val="00EF52CA"/>
    <w:rsid w:val="00F01616"/>
    <w:rsid w:val="00F01DA2"/>
    <w:rsid w:val="00F02C57"/>
    <w:rsid w:val="00F0531D"/>
    <w:rsid w:val="00F0590C"/>
    <w:rsid w:val="00F11424"/>
    <w:rsid w:val="00F13862"/>
    <w:rsid w:val="00F13FC4"/>
    <w:rsid w:val="00F14102"/>
    <w:rsid w:val="00F16342"/>
    <w:rsid w:val="00F2241F"/>
    <w:rsid w:val="00F26C47"/>
    <w:rsid w:val="00F27D9B"/>
    <w:rsid w:val="00F302F9"/>
    <w:rsid w:val="00F30C3F"/>
    <w:rsid w:val="00F32A79"/>
    <w:rsid w:val="00F32C2D"/>
    <w:rsid w:val="00F37EE9"/>
    <w:rsid w:val="00F444CE"/>
    <w:rsid w:val="00F460E0"/>
    <w:rsid w:val="00F51296"/>
    <w:rsid w:val="00F51C4E"/>
    <w:rsid w:val="00F60B40"/>
    <w:rsid w:val="00F60F56"/>
    <w:rsid w:val="00F61745"/>
    <w:rsid w:val="00F6233C"/>
    <w:rsid w:val="00F625B5"/>
    <w:rsid w:val="00F64BE3"/>
    <w:rsid w:val="00F658CE"/>
    <w:rsid w:val="00F66EBA"/>
    <w:rsid w:val="00F71805"/>
    <w:rsid w:val="00F71D65"/>
    <w:rsid w:val="00F73009"/>
    <w:rsid w:val="00F7353A"/>
    <w:rsid w:val="00F74C84"/>
    <w:rsid w:val="00F7572C"/>
    <w:rsid w:val="00F800BC"/>
    <w:rsid w:val="00F80DCF"/>
    <w:rsid w:val="00F82C6D"/>
    <w:rsid w:val="00F83123"/>
    <w:rsid w:val="00F85476"/>
    <w:rsid w:val="00FA064C"/>
    <w:rsid w:val="00FA1704"/>
    <w:rsid w:val="00FA17E7"/>
    <w:rsid w:val="00FA43AE"/>
    <w:rsid w:val="00FA78F7"/>
    <w:rsid w:val="00FB1859"/>
    <w:rsid w:val="00FB1EC9"/>
    <w:rsid w:val="00FC260B"/>
    <w:rsid w:val="00FC44D3"/>
    <w:rsid w:val="00FC6DF4"/>
    <w:rsid w:val="00FC7419"/>
    <w:rsid w:val="00FD035F"/>
    <w:rsid w:val="00FD712D"/>
    <w:rsid w:val="00FD7A72"/>
    <w:rsid w:val="00FE0DC3"/>
    <w:rsid w:val="00FE7F3C"/>
    <w:rsid w:val="00FF0281"/>
    <w:rsid w:val="00FF04EF"/>
    <w:rsid w:val="00FF4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3F50"/>
  <w15:docId w15:val="{46AC30A4-6875-40DB-86FC-314752E5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F9"/>
    <w:pPr>
      <w:spacing w:after="280"/>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9C00F9"/>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9C00F9"/>
    <w:pPr>
      <w:keepNext/>
      <w:suppressAutoHyphens/>
      <w:spacing w:before="280" w:after="0" w:line="280" w:lineRule="atLeast"/>
      <w:contextualSpacing/>
      <w:outlineLvl w:val="1"/>
    </w:pPr>
    <w:rPr>
      <w:rFonts w:ascii="Arial" w:hAnsi="Arial" w:cs="Arial"/>
      <w:b/>
      <w:bCs/>
      <w:iCs/>
      <w:sz w:val="20"/>
      <w:szCs w:val="28"/>
    </w:rPr>
  </w:style>
  <w:style w:type="paragraph" w:styleId="Overskrift3">
    <w:name w:val="heading 3"/>
    <w:basedOn w:val="Normal"/>
    <w:next w:val="Normal"/>
    <w:link w:val="Overskrift3Tegn"/>
    <w:uiPriority w:val="9"/>
    <w:unhideWhenUsed/>
    <w:qFormat/>
    <w:rsid w:val="009C00F9"/>
    <w:pPr>
      <w:keepNext/>
      <w:suppressAutoHyphens/>
      <w:spacing w:before="280" w:after="0" w:line="280" w:lineRule="atLeast"/>
      <w:contextualSpacing/>
      <w:outlineLvl w:val="2"/>
    </w:pPr>
    <w:rPr>
      <w:rFonts w:cs="Arial"/>
      <w:bCs/>
      <w:i/>
      <w:szCs w:val="26"/>
    </w:rPr>
  </w:style>
  <w:style w:type="paragraph" w:styleId="Overskrift4">
    <w:name w:val="heading 4"/>
    <w:basedOn w:val="Overskrift3"/>
    <w:next w:val="Normal"/>
    <w:link w:val="Overskrift4Tegn"/>
    <w:uiPriority w:val="9"/>
    <w:unhideWhenUsed/>
    <w:qFormat/>
    <w:rsid w:val="00274B94"/>
    <w:pPr>
      <w:outlineLvl w:val="3"/>
    </w:pPr>
    <w:rPr>
      <w:bCs w:val="0"/>
      <w:i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Garamond" w:eastAsiaTheme="majorEastAsia" w:hAnsi="Garamond" w:cstheme="majorBidi"/>
      <w:b/>
      <w:bCs/>
      <w:sz w:val="28"/>
      <w:szCs w:val="28"/>
      <w:lang w:eastAsia="da-DK"/>
    </w:rPr>
  </w:style>
  <w:style w:type="character" w:customStyle="1" w:styleId="Overskrift2Tegn">
    <w:name w:val="Overskrift 2 Tegn"/>
    <w:basedOn w:val="Standardskrifttypeiafsnit"/>
    <w:link w:val="Overskrift2"/>
    <w:uiPriority w:val="9"/>
    <w:rsid w:val="00D2192E"/>
    <w:rPr>
      <w:rFonts w:ascii="Arial" w:eastAsia="Times New Roman" w:hAnsi="Arial" w:cs="Arial"/>
      <w:b/>
      <w:bCs/>
      <w:iCs/>
      <w:sz w:val="20"/>
      <w:szCs w:val="28"/>
      <w:lang w:eastAsia="da-DK"/>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9C00F9"/>
    <w:pPr>
      <w:numPr>
        <w:ilvl w:val="1"/>
      </w:numPr>
      <w:spacing w:after="60"/>
      <w:outlineLvl w:val="1"/>
    </w:pPr>
    <w:rPr>
      <w:rFonts w:eastAsiaTheme="majorEastAsia" w:cstheme="majorBidi"/>
      <w:iCs/>
      <w:spacing w:val="15"/>
    </w:rPr>
  </w:style>
  <w:style w:type="character" w:customStyle="1" w:styleId="UndertitelTegn">
    <w:name w:val="Undertitel Tegn"/>
    <w:basedOn w:val="Standardskrifttypeiafsnit"/>
    <w:link w:val="Undertitel"/>
    <w:uiPriority w:val="11"/>
    <w:rsid w:val="00A10FC4"/>
    <w:rPr>
      <w:rFonts w:ascii="Garamond" w:eastAsiaTheme="majorEastAsia" w:hAnsi="Garamond" w:cstheme="majorBidi"/>
      <w:iCs/>
      <w:spacing w:val="15"/>
      <w:sz w:val="24"/>
      <w:szCs w:val="24"/>
      <w:lang w:eastAsia="da-DK"/>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9C00F9"/>
    <w:pPr>
      <w:spacing w:line="150" w:lineRule="atLeas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rsid w:val="006A7B9F"/>
    <w:rPr>
      <w:rFonts w:ascii="Garamond" w:eastAsia="Times New Roman" w:hAnsi="Garamond" w:cs="Arial"/>
      <w:bCs/>
      <w:i/>
      <w:sz w:val="24"/>
      <w:szCs w:val="26"/>
      <w:lang w:eastAsia="da-DK"/>
    </w:rPr>
  </w:style>
  <w:style w:type="paragraph" w:styleId="Listeafsnit">
    <w:name w:val="List Paragraph"/>
    <w:basedOn w:val="Normal"/>
    <w:uiPriority w:val="34"/>
    <w:qFormat/>
    <w:rsid w:val="009C00F9"/>
    <w:pPr>
      <w:spacing w:after="200"/>
      <w:ind w:left="720"/>
      <w:contextualSpacing/>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unhideWhenUsed/>
    <w:rsid w:val="00D265AB"/>
    <w:rPr>
      <w:sz w:val="16"/>
      <w:szCs w:val="16"/>
    </w:rPr>
  </w:style>
  <w:style w:type="paragraph" w:styleId="Fodnotetekst">
    <w:name w:val="footnote text"/>
    <w:basedOn w:val="Normal"/>
    <w:link w:val="FodnotetekstTegn"/>
    <w:uiPriority w:val="99"/>
    <w:unhideWhenUsed/>
    <w:rsid w:val="009C00F9"/>
    <w:pPr>
      <w:spacing w:line="240" w:lineRule="auto"/>
    </w:pPr>
    <w:rPr>
      <w:sz w:val="20"/>
      <w:szCs w:val="20"/>
    </w:rPr>
  </w:style>
  <w:style w:type="character" w:customStyle="1" w:styleId="FodnotetekstTegn">
    <w:name w:val="Fodnotetekst Tegn"/>
    <w:basedOn w:val="Standardskrifttypeiafsnit"/>
    <w:link w:val="Fodnotetekst"/>
    <w:uiPriority w:val="99"/>
    <w:rsid w:val="0091301A"/>
    <w:rPr>
      <w:rFonts w:ascii="Garamond" w:eastAsia="Times New Roman" w:hAnsi="Garamond" w:cs="Times New Roman"/>
      <w:sz w:val="20"/>
      <w:szCs w:val="20"/>
      <w:lang w:eastAsia="da-DK"/>
    </w:rPr>
  </w:style>
  <w:style w:type="character" w:styleId="Fodnotehenvisning">
    <w:name w:val="footnote reference"/>
    <w:basedOn w:val="Standardskrifttypeiafsnit"/>
    <w:uiPriority w:val="99"/>
    <w:semiHidden/>
    <w:unhideWhenUsed/>
    <w:rsid w:val="0091301A"/>
    <w:rPr>
      <w:vertAlign w:val="superscript"/>
    </w:rPr>
  </w:style>
  <w:style w:type="paragraph" w:styleId="NormalWeb">
    <w:name w:val="Normal (Web)"/>
    <w:basedOn w:val="Normal"/>
    <w:uiPriority w:val="99"/>
    <w:semiHidden/>
    <w:unhideWhenUsed/>
    <w:rsid w:val="009C00F9"/>
    <w:pPr>
      <w:spacing w:before="100" w:beforeAutospacing="1" w:after="100" w:afterAutospacing="1" w:line="240" w:lineRule="auto"/>
    </w:pPr>
  </w:style>
  <w:style w:type="table" w:styleId="Tabel-Gitter">
    <w:name w:val="Table Grid"/>
    <w:basedOn w:val="Tabel-Normal"/>
    <w:uiPriority w:val="59"/>
    <w:rsid w:val="00813593"/>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vagfremhvning">
    <w:name w:val="Subtle Emphasis"/>
    <w:basedOn w:val="Standardskrifttypeiafsnit"/>
    <w:uiPriority w:val="19"/>
    <w:qFormat/>
    <w:rsid w:val="00813593"/>
    <w:rPr>
      <w:i/>
      <w:iCs/>
      <w:color w:val="404040" w:themeColor="text1" w:themeTint="BF"/>
    </w:rPr>
  </w:style>
  <w:style w:type="character" w:customStyle="1" w:styleId="italic2">
    <w:name w:val="italic2"/>
    <w:basedOn w:val="Standardskrifttypeiafsnit"/>
    <w:rsid w:val="00822CF3"/>
  </w:style>
  <w:style w:type="character" w:customStyle="1" w:styleId="Overskrift4Tegn">
    <w:name w:val="Overskrift 4 Tegn"/>
    <w:basedOn w:val="Standardskrifttypeiafsnit"/>
    <w:link w:val="Overskrift4"/>
    <w:uiPriority w:val="9"/>
    <w:rsid w:val="00274B94"/>
    <w:rPr>
      <w:rFonts w:ascii="Garamond" w:eastAsia="Times New Roman" w:hAnsi="Garamond" w:cs="Arial"/>
      <w:bCs/>
      <w:i/>
      <w:sz w:val="24"/>
      <w:szCs w:val="26"/>
      <w:lang w:eastAsia="da-DK"/>
    </w:rPr>
  </w:style>
  <w:style w:type="paragraph" w:styleId="Ingenafstand">
    <w:name w:val="No Spacing"/>
    <w:uiPriority w:val="1"/>
    <w:qFormat/>
    <w:rsid w:val="009C00F9"/>
    <w:pPr>
      <w:spacing w:after="0" w:line="240" w:lineRule="auto"/>
    </w:pPr>
    <w:rPr>
      <w:rFonts w:ascii="Garamond" w:eastAsia="Times New Roman" w:hAnsi="Garamond" w:cs="Times New Roman"/>
      <w:sz w:val="24"/>
      <w:szCs w:val="24"/>
      <w:lang w:eastAsia="da-DK"/>
    </w:rPr>
  </w:style>
  <w:style w:type="paragraph" w:styleId="Korrektur">
    <w:name w:val="Revision"/>
    <w:hidden/>
    <w:uiPriority w:val="99"/>
    <w:semiHidden/>
    <w:rsid w:val="009C00F9"/>
    <w:pPr>
      <w:spacing w:after="0" w:line="240" w:lineRule="auto"/>
    </w:pPr>
    <w:rPr>
      <w:rFonts w:ascii="Garamond" w:eastAsia="Times New Roman" w:hAnsi="Garamond" w:cs="Times New Roman"/>
      <w:sz w:val="24"/>
      <w:szCs w:val="24"/>
      <w:lang w:eastAsia="da-DK"/>
    </w:rPr>
  </w:style>
  <w:style w:type="character" w:customStyle="1" w:styleId="stknr2">
    <w:name w:val="stknr2"/>
    <w:basedOn w:val="Standardskrifttypeiafsnit"/>
    <w:rsid w:val="00CE4116"/>
  </w:style>
  <w:style w:type="character" w:customStyle="1" w:styleId="liste1nr">
    <w:name w:val="liste1nr"/>
    <w:basedOn w:val="Standardskrifttypeiafsnit"/>
    <w:rsid w:val="001D4AC3"/>
  </w:style>
  <w:style w:type="character" w:customStyle="1" w:styleId="stknr">
    <w:name w:val="stknr"/>
    <w:basedOn w:val="Standardskrifttypeiafsnit"/>
    <w:rsid w:val="001D4AC3"/>
  </w:style>
  <w:style w:type="character" w:customStyle="1" w:styleId="paragrafnr">
    <w:name w:val="paragrafnr"/>
    <w:basedOn w:val="Standardskrifttypeiafsnit"/>
    <w:rsid w:val="001D4AC3"/>
  </w:style>
  <w:style w:type="paragraph" w:styleId="Opstilling-talellerbogst">
    <w:name w:val="List Number"/>
    <w:basedOn w:val="Normal"/>
    <w:uiPriority w:val="99"/>
    <w:unhideWhenUsed/>
    <w:rsid w:val="00F658CE"/>
    <w:pPr>
      <w:numPr>
        <w:numId w:val="22"/>
      </w:numPr>
      <w:contextualSpacing/>
    </w:pPr>
  </w:style>
  <w:style w:type="paragraph" w:customStyle="1" w:styleId="stk2">
    <w:name w:val="stk2"/>
    <w:basedOn w:val="Normal"/>
    <w:rsid w:val="00F460E0"/>
    <w:pPr>
      <w:spacing w:before="100" w:beforeAutospacing="1" w:after="100" w:afterAutospacing="1" w:line="240" w:lineRule="auto"/>
    </w:pPr>
    <w:rPr>
      <w:rFonts w:ascii="Times New Roman" w:hAnsi="Times New Roman"/>
    </w:rPr>
  </w:style>
  <w:style w:type="paragraph" w:customStyle="1" w:styleId="liste1">
    <w:name w:val="liste1"/>
    <w:basedOn w:val="Normal"/>
    <w:rsid w:val="00F460E0"/>
    <w:pPr>
      <w:spacing w:before="100" w:beforeAutospacing="1" w:after="100" w:afterAutospacing="1" w:line="240" w:lineRule="auto"/>
    </w:pPr>
    <w:rPr>
      <w:rFonts w:ascii="Times New Roman" w:hAnsi="Times New Roman"/>
    </w:rPr>
  </w:style>
  <w:style w:type="paragraph" w:styleId="Opstilling-punkttegn">
    <w:name w:val="List Bullet"/>
    <w:basedOn w:val="Normal"/>
    <w:uiPriority w:val="99"/>
    <w:semiHidden/>
    <w:unhideWhenUsed/>
    <w:rsid w:val="00A93551"/>
    <w:pPr>
      <w:numPr>
        <w:numId w:val="25"/>
      </w:numPr>
      <w:contextualSpacing/>
    </w:pPr>
  </w:style>
  <w:style w:type="character" w:styleId="Fremhv">
    <w:name w:val="Emphasis"/>
    <w:basedOn w:val="Standardskrifttypeiafsnit"/>
    <w:uiPriority w:val="20"/>
    <w:qFormat/>
    <w:rsid w:val="008F1D36"/>
    <w:rPr>
      <w:i/>
      <w:iCs/>
    </w:rPr>
  </w:style>
  <w:style w:type="character" w:styleId="BesgtLink">
    <w:name w:val="FollowedHyperlink"/>
    <w:basedOn w:val="Standardskrifttypeiafsnit"/>
    <w:uiPriority w:val="99"/>
    <w:semiHidden/>
    <w:unhideWhenUsed/>
    <w:rsid w:val="00E3792D"/>
    <w:rPr>
      <w:color w:val="800080" w:themeColor="followedHyperlink"/>
      <w:u w:val="single"/>
    </w:rPr>
  </w:style>
  <w:style w:type="paragraph" w:customStyle="1" w:styleId="Default">
    <w:name w:val="Default"/>
    <w:rsid w:val="00F5129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043">
      <w:bodyDiv w:val="1"/>
      <w:marLeft w:val="0"/>
      <w:marRight w:val="0"/>
      <w:marTop w:val="0"/>
      <w:marBottom w:val="0"/>
      <w:divBdr>
        <w:top w:val="none" w:sz="0" w:space="0" w:color="auto"/>
        <w:left w:val="none" w:sz="0" w:space="0" w:color="auto"/>
        <w:bottom w:val="none" w:sz="0" w:space="0" w:color="auto"/>
        <w:right w:val="none" w:sz="0" w:space="0" w:color="auto"/>
      </w:divBdr>
      <w:divsChild>
        <w:div w:id="1857959613">
          <w:marLeft w:val="0"/>
          <w:marRight w:val="0"/>
          <w:marTop w:val="0"/>
          <w:marBottom w:val="0"/>
          <w:divBdr>
            <w:top w:val="none" w:sz="0" w:space="0" w:color="auto"/>
            <w:left w:val="none" w:sz="0" w:space="0" w:color="auto"/>
            <w:bottom w:val="none" w:sz="0" w:space="0" w:color="auto"/>
            <w:right w:val="none" w:sz="0" w:space="0" w:color="auto"/>
          </w:divBdr>
          <w:divsChild>
            <w:div w:id="1919631097">
              <w:marLeft w:val="0"/>
              <w:marRight w:val="0"/>
              <w:marTop w:val="0"/>
              <w:marBottom w:val="0"/>
              <w:divBdr>
                <w:top w:val="none" w:sz="0" w:space="0" w:color="auto"/>
                <w:left w:val="none" w:sz="0" w:space="0" w:color="auto"/>
                <w:bottom w:val="none" w:sz="0" w:space="0" w:color="auto"/>
                <w:right w:val="none" w:sz="0" w:space="0" w:color="auto"/>
              </w:divBdr>
              <w:divsChild>
                <w:div w:id="1542399619">
                  <w:marLeft w:val="0"/>
                  <w:marRight w:val="0"/>
                  <w:marTop w:val="0"/>
                  <w:marBottom w:val="0"/>
                  <w:divBdr>
                    <w:top w:val="none" w:sz="0" w:space="0" w:color="auto"/>
                    <w:left w:val="none" w:sz="0" w:space="0" w:color="auto"/>
                    <w:bottom w:val="none" w:sz="0" w:space="0" w:color="auto"/>
                    <w:right w:val="none" w:sz="0" w:space="0" w:color="auto"/>
                  </w:divBdr>
                  <w:divsChild>
                    <w:div w:id="195166601">
                      <w:marLeft w:val="0"/>
                      <w:marRight w:val="0"/>
                      <w:marTop w:val="0"/>
                      <w:marBottom w:val="0"/>
                      <w:divBdr>
                        <w:top w:val="none" w:sz="0" w:space="0" w:color="auto"/>
                        <w:left w:val="none" w:sz="0" w:space="0" w:color="auto"/>
                        <w:bottom w:val="none" w:sz="0" w:space="0" w:color="auto"/>
                        <w:right w:val="none" w:sz="0" w:space="0" w:color="auto"/>
                      </w:divBdr>
                      <w:divsChild>
                        <w:div w:id="2115325287">
                          <w:marLeft w:val="0"/>
                          <w:marRight w:val="0"/>
                          <w:marTop w:val="0"/>
                          <w:marBottom w:val="0"/>
                          <w:divBdr>
                            <w:top w:val="none" w:sz="0" w:space="0" w:color="auto"/>
                            <w:left w:val="none" w:sz="0" w:space="0" w:color="auto"/>
                            <w:bottom w:val="none" w:sz="0" w:space="0" w:color="auto"/>
                            <w:right w:val="none" w:sz="0" w:space="0" w:color="auto"/>
                          </w:divBdr>
                          <w:divsChild>
                            <w:div w:id="720984474">
                              <w:marLeft w:val="0"/>
                              <w:marRight w:val="0"/>
                              <w:marTop w:val="0"/>
                              <w:marBottom w:val="0"/>
                              <w:divBdr>
                                <w:top w:val="none" w:sz="0" w:space="0" w:color="auto"/>
                                <w:left w:val="none" w:sz="0" w:space="0" w:color="auto"/>
                                <w:bottom w:val="none" w:sz="0" w:space="0" w:color="auto"/>
                                <w:right w:val="none" w:sz="0" w:space="0" w:color="auto"/>
                              </w:divBdr>
                              <w:divsChild>
                                <w:div w:id="204758294">
                                  <w:marLeft w:val="-225"/>
                                  <w:marRight w:val="-225"/>
                                  <w:marTop w:val="0"/>
                                  <w:marBottom w:val="0"/>
                                  <w:divBdr>
                                    <w:top w:val="none" w:sz="0" w:space="0" w:color="auto"/>
                                    <w:left w:val="none" w:sz="0" w:space="0" w:color="auto"/>
                                    <w:bottom w:val="none" w:sz="0" w:space="0" w:color="auto"/>
                                    <w:right w:val="none" w:sz="0" w:space="0" w:color="auto"/>
                                  </w:divBdr>
                                  <w:divsChild>
                                    <w:div w:id="408776475">
                                      <w:marLeft w:val="0"/>
                                      <w:marRight w:val="0"/>
                                      <w:marTop w:val="0"/>
                                      <w:marBottom w:val="0"/>
                                      <w:divBdr>
                                        <w:top w:val="none" w:sz="0" w:space="0" w:color="auto"/>
                                        <w:left w:val="none" w:sz="0" w:space="0" w:color="auto"/>
                                        <w:bottom w:val="none" w:sz="0" w:space="0" w:color="auto"/>
                                        <w:right w:val="none" w:sz="0" w:space="0" w:color="auto"/>
                                      </w:divBdr>
                                      <w:divsChild>
                                        <w:div w:id="2207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164009132">
      <w:bodyDiv w:val="1"/>
      <w:marLeft w:val="0"/>
      <w:marRight w:val="0"/>
      <w:marTop w:val="0"/>
      <w:marBottom w:val="0"/>
      <w:divBdr>
        <w:top w:val="none" w:sz="0" w:space="0" w:color="auto"/>
        <w:left w:val="none" w:sz="0" w:space="0" w:color="auto"/>
        <w:bottom w:val="none" w:sz="0" w:space="0" w:color="auto"/>
        <w:right w:val="none" w:sz="0" w:space="0" w:color="auto"/>
      </w:divBdr>
    </w:div>
    <w:div w:id="1425569231">
      <w:bodyDiv w:val="1"/>
      <w:marLeft w:val="0"/>
      <w:marRight w:val="0"/>
      <w:marTop w:val="0"/>
      <w:marBottom w:val="0"/>
      <w:divBdr>
        <w:top w:val="none" w:sz="0" w:space="0" w:color="auto"/>
        <w:left w:val="none" w:sz="0" w:space="0" w:color="auto"/>
        <w:bottom w:val="none" w:sz="0" w:space="0" w:color="auto"/>
        <w:right w:val="none" w:sz="0" w:space="0" w:color="auto"/>
      </w:divBdr>
    </w:div>
    <w:div w:id="1464344755">
      <w:bodyDiv w:val="1"/>
      <w:marLeft w:val="0"/>
      <w:marRight w:val="0"/>
      <w:marTop w:val="0"/>
      <w:marBottom w:val="0"/>
      <w:divBdr>
        <w:top w:val="none" w:sz="0" w:space="0" w:color="auto"/>
        <w:left w:val="none" w:sz="0" w:space="0" w:color="auto"/>
        <w:bottom w:val="none" w:sz="0" w:space="0" w:color="auto"/>
        <w:right w:val="none" w:sz="0" w:space="0" w:color="auto"/>
      </w:divBdr>
      <w:divsChild>
        <w:div w:id="1685786681">
          <w:marLeft w:val="446"/>
          <w:marRight w:val="0"/>
          <w:marTop w:val="220"/>
          <w:marBottom w:val="0"/>
          <w:divBdr>
            <w:top w:val="none" w:sz="0" w:space="0" w:color="auto"/>
            <w:left w:val="none" w:sz="0" w:space="0" w:color="auto"/>
            <w:bottom w:val="none" w:sz="0" w:space="0" w:color="auto"/>
            <w:right w:val="none" w:sz="0" w:space="0" w:color="auto"/>
          </w:divBdr>
        </w:div>
        <w:div w:id="1990556113">
          <w:marLeft w:val="446"/>
          <w:marRight w:val="0"/>
          <w:marTop w:val="220"/>
          <w:marBottom w:val="0"/>
          <w:divBdr>
            <w:top w:val="none" w:sz="0" w:space="0" w:color="auto"/>
            <w:left w:val="none" w:sz="0" w:space="0" w:color="auto"/>
            <w:bottom w:val="none" w:sz="0" w:space="0" w:color="auto"/>
            <w:right w:val="none" w:sz="0" w:space="0" w:color="auto"/>
          </w:divBdr>
        </w:div>
        <w:div w:id="1575821016">
          <w:marLeft w:val="446"/>
          <w:marRight w:val="0"/>
          <w:marTop w:val="220"/>
          <w:marBottom w:val="0"/>
          <w:divBdr>
            <w:top w:val="none" w:sz="0" w:space="0" w:color="auto"/>
            <w:left w:val="none" w:sz="0" w:space="0" w:color="auto"/>
            <w:bottom w:val="none" w:sz="0" w:space="0" w:color="auto"/>
            <w:right w:val="none" w:sz="0" w:space="0" w:color="auto"/>
          </w:divBdr>
        </w:div>
      </w:divsChild>
    </w:div>
    <w:div w:id="1481655341">
      <w:bodyDiv w:val="1"/>
      <w:marLeft w:val="0"/>
      <w:marRight w:val="0"/>
      <w:marTop w:val="0"/>
      <w:marBottom w:val="0"/>
      <w:divBdr>
        <w:top w:val="none" w:sz="0" w:space="0" w:color="auto"/>
        <w:left w:val="none" w:sz="0" w:space="0" w:color="auto"/>
        <w:bottom w:val="none" w:sz="0" w:space="0" w:color="auto"/>
        <w:right w:val="none" w:sz="0" w:space="0" w:color="auto"/>
      </w:divBdr>
    </w:div>
    <w:div w:id="1571304972">
      <w:bodyDiv w:val="1"/>
      <w:marLeft w:val="0"/>
      <w:marRight w:val="0"/>
      <w:marTop w:val="0"/>
      <w:marBottom w:val="0"/>
      <w:divBdr>
        <w:top w:val="none" w:sz="0" w:space="0" w:color="auto"/>
        <w:left w:val="none" w:sz="0" w:space="0" w:color="auto"/>
        <w:bottom w:val="none" w:sz="0" w:space="0" w:color="auto"/>
        <w:right w:val="none" w:sz="0" w:space="0" w:color="auto"/>
      </w:divBdr>
    </w:div>
    <w:div w:id="1662154904">
      <w:bodyDiv w:val="1"/>
      <w:marLeft w:val="0"/>
      <w:marRight w:val="0"/>
      <w:marTop w:val="0"/>
      <w:marBottom w:val="0"/>
      <w:divBdr>
        <w:top w:val="none" w:sz="0" w:space="0" w:color="auto"/>
        <w:left w:val="none" w:sz="0" w:space="0" w:color="auto"/>
        <w:bottom w:val="none" w:sz="0" w:space="0" w:color="auto"/>
        <w:right w:val="none" w:sz="0" w:space="0" w:color="auto"/>
      </w:divBdr>
      <w:divsChild>
        <w:div w:id="1415972937">
          <w:marLeft w:val="0"/>
          <w:marRight w:val="0"/>
          <w:marTop w:val="0"/>
          <w:marBottom w:val="0"/>
          <w:divBdr>
            <w:top w:val="none" w:sz="0" w:space="0" w:color="auto"/>
            <w:left w:val="none" w:sz="0" w:space="0" w:color="auto"/>
            <w:bottom w:val="none" w:sz="0" w:space="0" w:color="auto"/>
            <w:right w:val="none" w:sz="0" w:space="0" w:color="auto"/>
          </w:divBdr>
          <w:divsChild>
            <w:div w:id="592250829">
              <w:marLeft w:val="0"/>
              <w:marRight w:val="0"/>
              <w:marTop w:val="0"/>
              <w:marBottom w:val="0"/>
              <w:divBdr>
                <w:top w:val="none" w:sz="0" w:space="0" w:color="auto"/>
                <w:left w:val="none" w:sz="0" w:space="0" w:color="auto"/>
                <w:bottom w:val="none" w:sz="0" w:space="0" w:color="auto"/>
                <w:right w:val="none" w:sz="0" w:space="0" w:color="auto"/>
              </w:divBdr>
              <w:divsChild>
                <w:div w:id="1715154991">
                  <w:marLeft w:val="0"/>
                  <w:marRight w:val="0"/>
                  <w:marTop w:val="0"/>
                  <w:marBottom w:val="0"/>
                  <w:divBdr>
                    <w:top w:val="none" w:sz="0" w:space="0" w:color="auto"/>
                    <w:left w:val="none" w:sz="0" w:space="0" w:color="auto"/>
                    <w:bottom w:val="none" w:sz="0" w:space="0" w:color="auto"/>
                    <w:right w:val="none" w:sz="0" w:space="0" w:color="auto"/>
                  </w:divBdr>
                  <w:divsChild>
                    <w:div w:id="1754353532">
                      <w:marLeft w:val="0"/>
                      <w:marRight w:val="0"/>
                      <w:marTop w:val="0"/>
                      <w:marBottom w:val="0"/>
                      <w:divBdr>
                        <w:top w:val="none" w:sz="0" w:space="0" w:color="auto"/>
                        <w:left w:val="none" w:sz="0" w:space="0" w:color="auto"/>
                        <w:bottom w:val="none" w:sz="0" w:space="0" w:color="auto"/>
                        <w:right w:val="none" w:sz="0" w:space="0" w:color="auto"/>
                      </w:divBdr>
                      <w:divsChild>
                        <w:div w:id="533231050">
                          <w:marLeft w:val="0"/>
                          <w:marRight w:val="0"/>
                          <w:marTop w:val="0"/>
                          <w:marBottom w:val="0"/>
                          <w:divBdr>
                            <w:top w:val="none" w:sz="0" w:space="0" w:color="auto"/>
                            <w:left w:val="none" w:sz="0" w:space="0" w:color="auto"/>
                            <w:bottom w:val="none" w:sz="0" w:space="0" w:color="auto"/>
                            <w:right w:val="none" w:sz="0" w:space="0" w:color="auto"/>
                          </w:divBdr>
                          <w:divsChild>
                            <w:div w:id="1882159704">
                              <w:marLeft w:val="0"/>
                              <w:marRight w:val="0"/>
                              <w:marTop w:val="0"/>
                              <w:marBottom w:val="0"/>
                              <w:divBdr>
                                <w:top w:val="none" w:sz="0" w:space="0" w:color="auto"/>
                                <w:left w:val="none" w:sz="0" w:space="0" w:color="auto"/>
                                <w:bottom w:val="none" w:sz="0" w:space="0" w:color="auto"/>
                                <w:right w:val="none" w:sz="0" w:space="0" w:color="auto"/>
                              </w:divBdr>
                              <w:divsChild>
                                <w:div w:id="541870905">
                                  <w:marLeft w:val="-225"/>
                                  <w:marRight w:val="-225"/>
                                  <w:marTop w:val="0"/>
                                  <w:marBottom w:val="0"/>
                                  <w:divBdr>
                                    <w:top w:val="none" w:sz="0" w:space="0" w:color="auto"/>
                                    <w:left w:val="none" w:sz="0" w:space="0" w:color="auto"/>
                                    <w:bottom w:val="none" w:sz="0" w:space="0" w:color="auto"/>
                                    <w:right w:val="none" w:sz="0" w:space="0" w:color="auto"/>
                                  </w:divBdr>
                                  <w:divsChild>
                                    <w:div w:id="695229320">
                                      <w:marLeft w:val="0"/>
                                      <w:marRight w:val="0"/>
                                      <w:marTop w:val="0"/>
                                      <w:marBottom w:val="0"/>
                                      <w:divBdr>
                                        <w:top w:val="none" w:sz="0" w:space="0" w:color="auto"/>
                                        <w:left w:val="none" w:sz="0" w:space="0" w:color="auto"/>
                                        <w:bottom w:val="none" w:sz="0" w:space="0" w:color="auto"/>
                                        <w:right w:val="none" w:sz="0" w:space="0" w:color="auto"/>
                                      </w:divBdr>
                                      <w:divsChild>
                                        <w:div w:id="517355548">
                                          <w:marLeft w:val="0"/>
                                          <w:marRight w:val="0"/>
                                          <w:marTop w:val="0"/>
                                          <w:marBottom w:val="0"/>
                                          <w:divBdr>
                                            <w:top w:val="none" w:sz="0" w:space="0" w:color="auto"/>
                                            <w:left w:val="none" w:sz="0" w:space="0" w:color="auto"/>
                                            <w:bottom w:val="none" w:sz="0" w:space="0" w:color="auto"/>
                                            <w:right w:val="none" w:sz="0" w:space="0" w:color="auto"/>
                                          </w:divBdr>
                                          <w:divsChild>
                                            <w:div w:id="1316716023">
                                              <w:marLeft w:val="0"/>
                                              <w:marRight w:val="0"/>
                                              <w:marTop w:val="0"/>
                                              <w:marBottom w:val="0"/>
                                              <w:divBdr>
                                                <w:top w:val="none" w:sz="0" w:space="0" w:color="auto"/>
                                                <w:left w:val="none" w:sz="0" w:space="0" w:color="auto"/>
                                                <w:bottom w:val="none" w:sz="0" w:space="0" w:color="auto"/>
                                                <w:right w:val="none" w:sz="0" w:space="0" w:color="auto"/>
                                              </w:divBdr>
                                              <w:divsChild>
                                                <w:div w:id="647248255">
                                                  <w:marLeft w:val="0"/>
                                                  <w:marRight w:val="0"/>
                                                  <w:marTop w:val="0"/>
                                                  <w:marBottom w:val="0"/>
                                                  <w:divBdr>
                                                    <w:top w:val="none" w:sz="0" w:space="0" w:color="auto"/>
                                                    <w:left w:val="none" w:sz="0" w:space="0" w:color="auto"/>
                                                    <w:bottom w:val="none" w:sz="0" w:space="0" w:color="auto"/>
                                                    <w:right w:val="none" w:sz="0" w:space="0" w:color="auto"/>
                                                  </w:divBdr>
                                                  <w:divsChild>
                                                    <w:div w:id="515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481117">
      <w:bodyDiv w:val="1"/>
      <w:marLeft w:val="0"/>
      <w:marRight w:val="0"/>
      <w:marTop w:val="0"/>
      <w:marBottom w:val="0"/>
      <w:divBdr>
        <w:top w:val="none" w:sz="0" w:space="0" w:color="auto"/>
        <w:left w:val="none" w:sz="0" w:space="0" w:color="auto"/>
        <w:bottom w:val="none" w:sz="0" w:space="0" w:color="auto"/>
        <w:right w:val="none" w:sz="0" w:space="0" w:color="auto"/>
      </w:divBdr>
    </w:div>
    <w:div w:id="1823962948">
      <w:bodyDiv w:val="1"/>
      <w:marLeft w:val="0"/>
      <w:marRight w:val="0"/>
      <w:marTop w:val="0"/>
      <w:marBottom w:val="0"/>
      <w:divBdr>
        <w:top w:val="none" w:sz="0" w:space="0" w:color="auto"/>
        <w:left w:val="none" w:sz="0" w:space="0" w:color="auto"/>
        <w:bottom w:val="none" w:sz="0" w:space="0" w:color="auto"/>
        <w:right w:val="none" w:sz="0" w:space="0" w:color="auto"/>
      </w:divBdr>
    </w:div>
    <w:div w:id="1939101269">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128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DS-dynamictemplate\Skabeloner\Blan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7A85-1024-4001-BA63-F7BD6BFE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206</TotalTime>
  <Pages>9</Pages>
  <Words>2146</Words>
  <Characters>13094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bjlar@digst.dk</dc:creator>
  <cp:lastModifiedBy>Morten Jacob Leth</cp:lastModifiedBy>
  <cp:revision>46</cp:revision>
  <dcterms:created xsi:type="dcterms:W3CDTF">2022-09-15T11:30:00Z</dcterms:created>
  <dcterms:modified xsi:type="dcterms:W3CDTF">2023-01-05T16:09:00Z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