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F1363E" w14:textId="77777777" w:rsidR="00B05A5E" w:rsidRPr="00B05A5E" w:rsidRDefault="00B05A5E" w:rsidP="00CE0B94">
      <w:pPr>
        <w:ind w:right="27"/>
        <w:jc w:val="center"/>
        <w:rPr>
          <w:sz w:val="28"/>
          <w:lang w:eastAsia="da-DK"/>
        </w:rPr>
      </w:pPr>
      <w:r w:rsidRPr="00B05A5E">
        <w:rPr>
          <w:sz w:val="28"/>
          <w:lang w:eastAsia="da-DK"/>
        </w:rPr>
        <w:t>Udkast til</w:t>
      </w:r>
    </w:p>
    <w:p w14:paraId="1FBE355E" w14:textId="5E52FE43" w:rsidR="00CE0B94" w:rsidRDefault="0037309E" w:rsidP="00CE0B94">
      <w:pPr>
        <w:ind w:right="27"/>
        <w:jc w:val="center"/>
        <w:rPr>
          <w:lang w:eastAsia="da-DK"/>
        </w:rPr>
      </w:pPr>
      <w:r w:rsidRPr="000076E5">
        <w:rPr>
          <w:b/>
          <w:sz w:val="28"/>
          <w:lang w:eastAsia="da-DK"/>
        </w:rPr>
        <w:t xml:space="preserve">Bekendtgørelse om </w:t>
      </w:r>
      <w:r w:rsidR="000076E5">
        <w:rPr>
          <w:b/>
          <w:sz w:val="28"/>
          <w:lang w:eastAsia="da-DK"/>
        </w:rPr>
        <w:t>Aujeszkys sygdom</w:t>
      </w:r>
    </w:p>
    <w:p w14:paraId="5F1213B0" w14:textId="0EAB4A25" w:rsidR="003F5BA7" w:rsidRDefault="003F5BA7" w:rsidP="00D61BD6">
      <w:pPr>
        <w:ind w:right="27"/>
        <w:jc w:val="center"/>
        <w:rPr>
          <w:lang w:eastAsia="da-DK"/>
        </w:rPr>
      </w:pPr>
      <w:r w:rsidRPr="00FD1760">
        <w:rPr>
          <w:lang w:eastAsia="da-DK"/>
        </w:rPr>
        <w:t xml:space="preserve">I medfør af § 29, § 30, stk. 1 og 3, </w:t>
      </w:r>
      <w:r w:rsidR="00076EB9">
        <w:rPr>
          <w:lang w:eastAsia="da-DK"/>
        </w:rPr>
        <w:t xml:space="preserve">§ 33, </w:t>
      </w:r>
      <w:r w:rsidRPr="00FD1760">
        <w:rPr>
          <w:lang w:eastAsia="da-DK"/>
        </w:rPr>
        <w:t>§ 34, stk. 1,</w:t>
      </w:r>
      <w:r w:rsidR="00076EB9">
        <w:rPr>
          <w:lang w:eastAsia="da-DK"/>
        </w:rPr>
        <w:t xml:space="preserve"> § 35,</w:t>
      </w:r>
      <w:r w:rsidRPr="00FD1760">
        <w:rPr>
          <w:lang w:eastAsia="da-DK"/>
        </w:rPr>
        <w:t xml:space="preserve"> § 53,</w:t>
      </w:r>
      <w:r w:rsidR="00D76BC3">
        <w:rPr>
          <w:lang w:eastAsia="da-DK"/>
        </w:rPr>
        <w:t xml:space="preserve"> stk. 1, 2. pkt.,</w:t>
      </w:r>
      <w:r w:rsidRPr="00FD1760">
        <w:rPr>
          <w:lang w:eastAsia="da-DK"/>
        </w:rPr>
        <w:t xml:space="preserve"> § </w:t>
      </w:r>
      <w:r w:rsidR="00C77F33" w:rsidRPr="00FD1760">
        <w:rPr>
          <w:lang w:eastAsia="da-DK"/>
        </w:rPr>
        <w:t>6</w:t>
      </w:r>
      <w:r w:rsidR="00C77F33">
        <w:rPr>
          <w:lang w:eastAsia="da-DK"/>
        </w:rPr>
        <w:t>7</w:t>
      </w:r>
      <w:r w:rsidR="00C77F33" w:rsidRPr="00FD1760">
        <w:rPr>
          <w:lang w:eastAsia="da-DK"/>
        </w:rPr>
        <w:t xml:space="preserve"> </w:t>
      </w:r>
      <w:r w:rsidRPr="00FD1760">
        <w:rPr>
          <w:lang w:eastAsia="da-DK"/>
        </w:rPr>
        <w:t xml:space="preserve">og § 70, stk. 3, i lov om hold af dyr, jf. lovbekendtgørelse nr. </w:t>
      </w:r>
      <w:r w:rsidR="00C77F33">
        <w:rPr>
          <w:lang w:eastAsia="da-DK"/>
        </w:rPr>
        <w:t>330</w:t>
      </w:r>
      <w:r w:rsidR="00C77F33" w:rsidRPr="00FD1760">
        <w:rPr>
          <w:lang w:eastAsia="da-DK"/>
        </w:rPr>
        <w:t xml:space="preserve"> </w:t>
      </w:r>
      <w:r w:rsidRPr="00FD1760">
        <w:rPr>
          <w:lang w:eastAsia="da-DK"/>
        </w:rPr>
        <w:t xml:space="preserve">af 2. </w:t>
      </w:r>
      <w:r w:rsidR="00C77F33">
        <w:rPr>
          <w:lang w:eastAsia="da-DK"/>
        </w:rPr>
        <w:t>marts 2021</w:t>
      </w:r>
      <w:r w:rsidRPr="00FD1760">
        <w:rPr>
          <w:lang w:eastAsia="da-DK"/>
        </w:rPr>
        <w:t xml:space="preserve">, fastsættes efter bemyndigelse i henhold til § 7, nr. 1, og § 10, stk. 1, nr. 1 og 4, i bekendtgørelse nr. </w:t>
      </w:r>
      <w:r w:rsidR="00FC13A1" w:rsidRPr="00B354C3">
        <w:rPr>
          <w:lang w:eastAsia="da-DK"/>
        </w:rPr>
        <w:t>721</w:t>
      </w:r>
      <w:r w:rsidR="00FC13A1">
        <w:rPr>
          <w:rFonts w:ascii="Questa-Regular" w:hAnsi="Questa-Regular"/>
          <w:sz w:val="30"/>
          <w:szCs w:val="30"/>
          <w:shd w:val="clear" w:color="auto" w:fill="F9F9FB"/>
        </w:rPr>
        <w:t xml:space="preserve"> </w:t>
      </w:r>
      <w:r w:rsidRPr="00FD1760">
        <w:rPr>
          <w:lang w:eastAsia="da-DK"/>
        </w:rPr>
        <w:t xml:space="preserve">af </w:t>
      </w:r>
      <w:r w:rsidR="00FC13A1">
        <w:rPr>
          <w:lang w:eastAsia="da-DK"/>
        </w:rPr>
        <w:t>30. november 2020</w:t>
      </w:r>
      <w:r w:rsidRPr="00FD1760">
        <w:rPr>
          <w:lang w:eastAsia="da-DK"/>
        </w:rPr>
        <w:t xml:space="preserve"> om Fødevarestyrelsens opgaver og beføjelser:</w:t>
      </w:r>
    </w:p>
    <w:p w14:paraId="538A3E26" w14:textId="77777777" w:rsidR="009F6653" w:rsidRDefault="007F3C59" w:rsidP="00DB4C43">
      <w:pPr>
        <w:ind w:right="27"/>
        <w:rPr>
          <w:i/>
          <w:lang w:eastAsia="da-DK"/>
        </w:rPr>
      </w:pPr>
      <w:r>
        <w:rPr>
          <w:lang w:eastAsia="da-DK"/>
        </w:rPr>
        <w:t xml:space="preserve"> </w:t>
      </w:r>
    </w:p>
    <w:p w14:paraId="43D3D08C" w14:textId="77777777" w:rsidR="00B354C3" w:rsidRPr="003579FA" w:rsidRDefault="00B354C3" w:rsidP="00B354C3">
      <w:pPr>
        <w:ind w:right="27"/>
        <w:jc w:val="center"/>
        <w:rPr>
          <w:lang w:eastAsia="da-DK"/>
        </w:rPr>
      </w:pPr>
      <w:r>
        <w:rPr>
          <w:i/>
          <w:lang w:eastAsia="da-DK"/>
        </w:rPr>
        <w:t>Anvendelsesområde og definition</w:t>
      </w:r>
    </w:p>
    <w:p w14:paraId="3A839AE0" w14:textId="77777777" w:rsidR="002D6478" w:rsidRDefault="00D6415E" w:rsidP="00A8109D">
      <w:pPr>
        <w:spacing w:after="0" w:line="240" w:lineRule="auto"/>
        <w:ind w:right="27" w:firstLine="142"/>
        <w:rPr>
          <w:lang w:eastAsia="da-DK"/>
        </w:rPr>
      </w:pPr>
      <w:r w:rsidRPr="00D61BD6">
        <w:rPr>
          <w:b/>
          <w:lang w:eastAsia="da-DK"/>
        </w:rPr>
        <w:t>§ 1.</w:t>
      </w:r>
      <w:r w:rsidRPr="005A3B4A">
        <w:rPr>
          <w:lang w:eastAsia="da-DK"/>
        </w:rPr>
        <w:t xml:space="preserve"> </w:t>
      </w:r>
      <w:r w:rsidR="002D6478">
        <w:rPr>
          <w:lang w:eastAsia="da-DK"/>
        </w:rPr>
        <w:t xml:space="preserve">Denne bekendtgørelse supplerer: </w:t>
      </w:r>
    </w:p>
    <w:p w14:paraId="65D94B3B" w14:textId="77777777" w:rsidR="002D6478" w:rsidRDefault="002D6478" w:rsidP="007B7017">
      <w:pPr>
        <w:pStyle w:val="Listeafsnit"/>
        <w:numPr>
          <w:ilvl w:val="0"/>
          <w:numId w:val="3"/>
        </w:numPr>
        <w:spacing w:after="0" w:line="240" w:lineRule="auto"/>
        <w:ind w:right="27"/>
        <w:rPr>
          <w:lang w:eastAsia="da-DK"/>
        </w:rPr>
      </w:pPr>
      <w:r>
        <w:rPr>
          <w:lang w:eastAsia="da-DK"/>
        </w:rPr>
        <w:t>Europa-Parlamentets og Rådets forordning (EU) 2016/429 af 9. marts 2016 om overførbare dyresygdomme og om ændring og ophævelse af visse ret</w:t>
      </w:r>
      <w:bookmarkStart w:id="0" w:name="_GoBack"/>
      <w:bookmarkEnd w:id="0"/>
      <w:r>
        <w:rPr>
          <w:lang w:eastAsia="da-DK"/>
        </w:rPr>
        <w:t>sakter på området for dyresundhed (“dyresundhedsloven”).</w:t>
      </w:r>
    </w:p>
    <w:p w14:paraId="5C27F7B0" w14:textId="77777777" w:rsidR="002D6478" w:rsidRDefault="002D6478" w:rsidP="007B7017">
      <w:pPr>
        <w:pStyle w:val="Listeafsnit"/>
        <w:numPr>
          <w:ilvl w:val="0"/>
          <w:numId w:val="3"/>
        </w:numPr>
        <w:spacing w:after="0" w:line="240" w:lineRule="auto"/>
        <w:ind w:right="27"/>
        <w:rPr>
          <w:lang w:eastAsia="da-DK"/>
        </w:rPr>
      </w:pPr>
      <w:r>
        <w:rPr>
          <w:lang w:eastAsia="da-DK"/>
        </w:rPr>
        <w:t>Kommissionens delegerede forordning (EU) 2020/689 af 17. december 2019 om supplerende regler til Europa-Parlamentets og Rådets forordning (EU) 2016/429 for så vidt angår regler om overvågning, udryddelsesprogrammer og status som sygdomsfri for visse listeopførte og nye sygdomme.</w:t>
      </w:r>
    </w:p>
    <w:p w14:paraId="6ACDCB0E" w14:textId="77777777" w:rsidR="002D6478" w:rsidRDefault="002D6478" w:rsidP="00D61BD6">
      <w:pPr>
        <w:spacing w:after="0" w:line="240" w:lineRule="auto"/>
        <w:ind w:right="27" w:firstLine="142"/>
        <w:jc w:val="both"/>
        <w:rPr>
          <w:lang w:eastAsia="da-DK"/>
        </w:rPr>
      </w:pPr>
    </w:p>
    <w:p w14:paraId="1AC65943" w14:textId="1749C007" w:rsidR="00C741B1" w:rsidRDefault="002D6478" w:rsidP="00A8109D">
      <w:pPr>
        <w:spacing w:after="0" w:line="240" w:lineRule="auto"/>
        <w:ind w:right="27" w:firstLine="284"/>
        <w:jc w:val="both"/>
        <w:rPr>
          <w:lang w:eastAsia="da-DK"/>
        </w:rPr>
      </w:pPr>
      <w:r>
        <w:rPr>
          <w:i/>
          <w:lang w:eastAsia="da-DK"/>
        </w:rPr>
        <w:t xml:space="preserve">Stk. 2. </w:t>
      </w:r>
      <w:r w:rsidR="00CF2880" w:rsidRPr="005A3B4A">
        <w:rPr>
          <w:lang w:eastAsia="da-DK"/>
        </w:rPr>
        <w:t>D</w:t>
      </w:r>
      <w:r w:rsidR="008B5F57" w:rsidRPr="005A3B4A">
        <w:rPr>
          <w:lang w:eastAsia="da-DK"/>
        </w:rPr>
        <w:t xml:space="preserve">enne bekendtgørelse </w:t>
      </w:r>
      <w:r w:rsidR="00CF2880" w:rsidRPr="005A3B4A">
        <w:rPr>
          <w:lang w:eastAsia="da-DK"/>
        </w:rPr>
        <w:t xml:space="preserve">finder anvendelse </w:t>
      </w:r>
      <w:r w:rsidR="005A3B4A" w:rsidRPr="005A3B4A">
        <w:rPr>
          <w:lang w:eastAsia="da-DK"/>
        </w:rPr>
        <w:t>på</w:t>
      </w:r>
      <w:r w:rsidR="009621E5">
        <w:rPr>
          <w:lang w:eastAsia="da-DK"/>
        </w:rPr>
        <w:t xml:space="preserve"> opdrættet</w:t>
      </w:r>
      <w:r w:rsidR="005A3B4A" w:rsidRPr="005A3B4A">
        <w:rPr>
          <w:lang w:eastAsia="da-DK"/>
        </w:rPr>
        <w:t xml:space="preserve"> svin, herunder vildsvin samt enhver krydsning heraf</w:t>
      </w:r>
      <w:r w:rsidR="009621E5">
        <w:rPr>
          <w:lang w:eastAsia="da-DK"/>
        </w:rPr>
        <w:t xml:space="preserve">, som defineret i bilag III til </w:t>
      </w:r>
      <w:r w:rsidR="00D61BD6" w:rsidRPr="00D61BD6">
        <w:rPr>
          <w:lang w:eastAsia="da-DK"/>
        </w:rPr>
        <w:t xml:space="preserve">Europa-Parlamentets og </w:t>
      </w:r>
      <w:r w:rsidR="009621E5">
        <w:rPr>
          <w:lang w:eastAsia="da-DK"/>
        </w:rPr>
        <w:t>Rådets forordning (EU)</w:t>
      </w:r>
      <w:r w:rsidR="00D61BD6">
        <w:rPr>
          <w:lang w:eastAsia="da-DK"/>
        </w:rPr>
        <w:t xml:space="preserve"> nr. </w:t>
      </w:r>
      <w:r w:rsidR="009621E5">
        <w:rPr>
          <w:lang w:eastAsia="da-DK"/>
        </w:rPr>
        <w:t>2016/429</w:t>
      </w:r>
      <w:r w:rsidR="00B354C3" w:rsidRPr="00B354C3">
        <w:rPr>
          <w:lang w:eastAsia="da-DK"/>
        </w:rPr>
        <w:t xml:space="preserve"> af 9. marts 2016 om overførbare dyresygdomme og om ændring og ophævelse af visse retsakter på området for dyresundhed (»dyresundhedsloven«)</w:t>
      </w:r>
      <w:r w:rsidR="005A3B4A" w:rsidRPr="005A3B4A">
        <w:rPr>
          <w:lang w:eastAsia="da-DK"/>
        </w:rPr>
        <w:t>.</w:t>
      </w:r>
    </w:p>
    <w:p w14:paraId="3FB9C3FB" w14:textId="7B08E322" w:rsidR="00A8109D" w:rsidRDefault="00A8109D" w:rsidP="00A8109D">
      <w:pPr>
        <w:spacing w:after="0" w:line="240" w:lineRule="auto"/>
        <w:ind w:right="27" w:firstLine="284"/>
        <w:jc w:val="both"/>
        <w:rPr>
          <w:lang w:eastAsia="da-DK"/>
        </w:rPr>
      </w:pPr>
      <w:r w:rsidRPr="008237A7">
        <w:rPr>
          <w:i/>
          <w:lang w:eastAsia="da-DK"/>
        </w:rPr>
        <w:t xml:space="preserve">Stk. </w:t>
      </w:r>
      <w:r>
        <w:rPr>
          <w:i/>
          <w:lang w:eastAsia="da-DK"/>
        </w:rPr>
        <w:t>3</w:t>
      </w:r>
      <w:r w:rsidRPr="008237A7">
        <w:rPr>
          <w:i/>
          <w:lang w:eastAsia="da-DK"/>
        </w:rPr>
        <w:t>.</w:t>
      </w:r>
      <w:r>
        <w:rPr>
          <w:lang w:eastAsia="da-DK"/>
        </w:rPr>
        <w:t xml:space="preserve"> </w:t>
      </w:r>
      <w:r w:rsidRPr="005A3B4A">
        <w:rPr>
          <w:lang w:eastAsia="da-DK"/>
        </w:rPr>
        <w:t>Denne bekendtgørelse</w:t>
      </w:r>
      <w:r>
        <w:rPr>
          <w:lang w:eastAsia="da-DK"/>
        </w:rPr>
        <w:t xml:space="preserve">s §§ </w:t>
      </w:r>
      <w:r w:rsidRPr="007B7017">
        <w:rPr>
          <w:lang w:eastAsia="da-DK"/>
        </w:rPr>
        <w:t xml:space="preserve">7 og </w:t>
      </w:r>
      <w:r>
        <w:rPr>
          <w:lang w:eastAsia="da-DK"/>
        </w:rPr>
        <w:t>8</w:t>
      </w:r>
      <w:r w:rsidRPr="005A3B4A">
        <w:rPr>
          <w:lang w:eastAsia="da-DK"/>
        </w:rPr>
        <w:t xml:space="preserve"> finder anvendelse på</w:t>
      </w:r>
      <w:r>
        <w:rPr>
          <w:lang w:eastAsia="da-DK"/>
        </w:rPr>
        <w:t xml:space="preserve"> drøvtyggere, hunde og katte.</w:t>
      </w:r>
    </w:p>
    <w:p w14:paraId="39BF7726" w14:textId="77777777" w:rsidR="00A8109D" w:rsidRDefault="00A8109D" w:rsidP="002D6478">
      <w:pPr>
        <w:spacing w:after="0" w:line="240" w:lineRule="auto"/>
        <w:ind w:right="27" w:firstLine="142"/>
        <w:jc w:val="both"/>
        <w:rPr>
          <w:i/>
          <w:lang w:eastAsia="da-DK"/>
        </w:rPr>
      </w:pPr>
    </w:p>
    <w:p w14:paraId="772757FC" w14:textId="5BE72D49" w:rsidR="002E3CEE" w:rsidRDefault="00A8109D" w:rsidP="002D6478">
      <w:pPr>
        <w:spacing w:after="0" w:line="240" w:lineRule="auto"/>
        <w:ind w:right="27" w:firstLine="142"/>
        <w:jc w:val="both"/>
        <w:rPr>
          <w:lang w:eastAsia="da-DK"/>
        </w:rPr>
      </w:pPr>
      <w:r w:rsidRPr="007B7017">
        <w:rPr>
          <w:b/>
          <w:lang w:eastAsia="da-DK"/>
        </w:rPr>
        <w:t>§ 2</w:t>
      </w:r>
      <w:r w:rsidR="002D6478" w:rsidRPr="007B7017">
        <w:rPr>
          <w:b/>
          <w:i/>
          <w:lang w:eastAsia="da-DK"/>
        </w:rPr>
        <w:t>.</w:t>
      </w:r>
      <w:r w:rsidR="002E3CEE">
        <w:rPr>
          <w:i/>
          <w:lang w:eastAsia="da-DK"/>
        </w:rPr>
        <w:t xml:space="preserve"> </w:t>
      </w:r>
      <w:r w:rsidR="002E3CEE">
        <w:rPr>
          <w:lang w:eastAsia="da-DK"/>
        </w:rPr>
        <w:t xml:space="preserve">Definitionerne i de i </w:t>
      </w:r>
      <w:r>
        <w:rPr>
          <w:lang w:eastAsia="da-DK"/>
        </w:rPr>
        <w:t>§</w:t>
      </w:r>
      <w:r w:rsidR="002E3CEE">
        <w:rPr>
          <w:lang w:eastAsia="da-DK"/>
        </w:rPr>
        <w:t xml:space="preserve"> 1 nævnte forordninger finder anvendelse i denne bekendtgørelse.</w:t>
      </w:r>
    </w:p>
    <w:p w14:paraId="1473F4DE" w14:textId="6E7D7171" w:rsidR="002E3CEE" w:rsidRDefault="00A8109D" w:rsidP="001E26DE">
      <w:pPr>
        <w:ind w:firstLine="284"/>
        <w:rPr>
          <w:lang w:eastAsia="da-DK"/>
        </w:rPr>
      </w:pPr>
      <w:r w:rsidRPr="00136A22">
        <w:rPr>
          <w:i/>
          <w:lang w:eastAsia="da-DK"/>
        </w:rPr>
        <w:t>Stk. 2</w:t>
      </w:r>
      <w:r w:rsidR="002D6478" w:rsidRPr="00136A22">
        <w:rPr>
          <w:i/>
          <w:lang w:eastAsia="da-DK"/>
        </w:rPr>
        <w:t xml:space="preserve">. </w:t>
      </w:r>
      <w:r w:rsidR="002D6478">
        <w:rPr>
          <w:lang w:eastAsia="da-DK"/>
        </w:rPr>
        <w:t>Desuden for</w:t>
      </w:r>
      <w:r w:rsidR="00F31A8C">
        <w:rPr>
          <w:lang w:eastAsia="da-DK"/>
        </w:rPr>
        <w:t>stås i denne bekendtgørelse ved b</w:t>
      </w:r>
      <w:r w:rsidR="00284C96" w:rsidRPr="002D6478">
        <w:rPr>
          <w:lang w:eastAsia="da-DK"/>
        </w:rPr>
        <w:t xml:space="preserve">esætning: </w:t>
      </w:r>
      <w:r w:rsidR="00284C96">
        <w:rPr>
          <w:lang w:eastAsia="da-DK"/>
        </w:rPr>
        <w:t>Dyr eller avlsmateriale på en virksomhed,</w:t>
      </w:r>
      <w:r w:rsidR="002D6478">
        <w:rPr>
          <w:lang w:eastAsia="da-DK"/>
        </w:rPr>
        <w:t xml:space="preserve"> </w:t>
      </w:r>
      <w:r w:rsidR="00284C96">
        <w:rPr>
          <w:lang w:eastAsia="da-DK"/>
        </w:rPr>
        <w:t>hvor dyret eller dyrene eller avlsmaterialet tilhører</w:t>
      </w:r>
      <w:r w:rsidR="002D6478">
        <w:rPr>
          <w:lang w:eastAsia="da-DK"/>
        </w:rPr>
        <w:t xml:space="preserve"> </w:t>
      </w:r>
      <w:r w:rsidR="00284C96">
        <w:rPr>
          <w:lang w:eastAsia="da-DK"/>
        </w:rPr>
        <w:t>samme operatør og dyreart og anvendes til samme</w:t>
      </w:r>
      <w:r w:rsidR="002D6478">
        <w:rPr>
          <w:lang w:eastAsia="da-DK"/>
        </w:rPr>
        <w:t xml:space="preserve"> </w:t>
      </w:r>
      <w:r w:rsidR="00284C96">
        <w:rPr>
          <w:lang w:eastAsia="da-DK"/>
        </w:rPr>
        <w:t>formål.</w:t>
      </w:r>
    </w:p>
    <w:p w14:paraId="465B270C" w14:textId="3B7781AD" w:rsidR="00BD54D1" w:rsidRDefault="00BD54D1" w:rsidP="00D61BD6">
      <w:pPr>
        <w:spacing w:after="0" w:line="240" w:lineRule="auto"/>
        <w:ind w:right="27" w:firstLine="142"/>
        <w:jc w:val="both"/>
        <w:rPr>
          <w:rFonts w:cstheme="minorHAnsi"/>
        </w:rPr>
      </w:pPr>
    </w:p>
    <w:p w14:paraId="31F5CAAE" w14:textId="77777777" w:rsidR="00791441" w:rsidRDefault="00791441" w:rsidP="005A3B4A">
      <w:pPr>
        <w:spacing w:after="0" w:line="240" w:lineRule="auto"/>
        <w:ind w:right="27"/>
        <w:jc w:val="both"/>
        <w:rPr>
          <w:lang w:eastAsia="da-DK"/>
        </w:rPr>
      </w:pPr>
    </w:p>
    <w:p w14:paraId="3D6D4E73" w14:textId="347D536B" w:rsidR="00E66473" w:rsidRDefault="00E66473" w:rsidP="00D61BD6">
      <w:pPr>
        <w:spacing w:after="0" w:line="240" w:lineRule="auto"/>
        <w:ind w:right="27" w:firstLine="142"/>
        <w:jc w:val="both"/>
        <w:rPr>
          <w:lang w:eastAsia="da-DK"/>
        </w:rPr>
      </w:pPr>
      <w:r w:rsidRPr="00D61BD6">
        <w:rPr>
          <w:b/>
          <w:lang w:eastAsia="da-DK"/>
        </w:rPr>
        <w:t xml:space="preserve">§ </w:t>
      </w:r>
      <w:r w:rsidR="00A8109D">
        <w:rPr>
          <w:b/>
          <w:lang w:eastAsia="da-DK"/>
        </w:rPr>
        <w:t>3</w:t>
      </w:r>
      <w:r w:rsidR="00EA509E" w:rsidRPr="00D61BD6">
        <w:rPr>
          <w:b/>
          <w:lang w:eastAsia="da-DK"/>
        </w:rPr>
        <w:t>.</w:t>
      </w:r>
      <w:r w:rsidR="00791441">
        <w:rPr>
          <w:lang w:eastAsia="da-DK"/>
        </w:rPr>
        <w:t xml:space="preserve"> </w:t>
      </w:r>
      <w:r w:rsidRPr="00223646">
        <w:rPr>
          <w:lang w:eastAsia="da-DK"/>
        </w:rPr>
        <w:t xml:space="preserve">Enhver </w:t>
      </w:r>
      <w:r w:rsidR="00232B4A">
        <w:rPr>
          <w:lang w:eastAsia="da-DK"/>
        </w:rPr>
        <w:t>virksomhed</w:t>
      </w:r>
      <w:r w:rsidR="00232B4A" w:rsidRPr="00223646">
        <w:rPr>
          <w:lang w:eastAsia="da-DK"/>
        </w:rPr>
        <w:t xml:space="preserve"> </w:t>
      </w:r>
      <w:r>
        <w:rPr>
          <w:lang w:eastAsia="da-DK"/>
        </w:rPr>
        <w:t xml:space="preserve">med </w:t>
      </w:r>
      <w:r w:rsidR="00405A64">
        <w:rPr>
          <w:lang w:eastAsia="da-DK"/>
        </w:rPr>
        <w:t>svin</w:t>
      </w:r>
      <w:r w:rsidR="00D61BD6">
        <w:rPr>
          <w:lang w:eastAsia="da-DK"/>
        </w:rPr>
        <w:t>,</w:t>
      </w:r>
      <w:r>
        <w:rPr>
          <w:lang w:eastAsia="da-DK"/>
        </w:rPr>
        <w:t xml:space="preserve"> som nævnt i § 1</w:t>
      </w:r>
      <w:r w:rsidR="001C0349">
        <w:rPr>
          <w:lang w:eastAsia="da-DK"/>
        </w:rPr>
        <w:t>,</w:t>
      </w:r>
      <w:r w:rsidR="00C93368">
        <w:rPr>
          <w:lang w:eastAsia="da-DK"/>
        </w:rPr>
        <w:t xml:space="preserve"> stk. </w:t>
      </w:r>
      <w:r w:rsidR="00A8109D">
        <w:rPr>
          <w:lang w:eastAsia="da-DK"/>
        </w:rPr>
        <w:t>2</w:t>
      </w:r>
      <w:r w:rsidR="00076EB9">
        <w:rPr>
          <w:lang w:eastAsia="da-DK"/>
        </w:rPr>
        <w:t>,</w:t>
      </w:r>
      <w:r>
        <w:rPr>
          <w:lang w:eastAsia="da-DK"/>
        </w:rPr>
        <w:t xml:space="preserve"> </w:t>
      </w:r>
      <w:r w:rsidRPr="00223646">
        <w:rPr>
          <w:lang w:eastAsia="da-DK"/>
        </w:rPr>
        <w:t xml:space="preserve">betegnes som officielt fri for </w:t>
      </w:r>
      <w:r>
        <w:rPr>
          <w:lang w:eastAsia="da-DK"/>
        </w:rPr>
        <w:t>Aujeszkys sygdom, medmindre besætningen</w:t>
      </w:r>
      <w:r w:rsidR="00D61BD6">
        <w:rPr>
          <w:lang w:eastAsia="da-DK"/>
        </w:rPr>
        <w:t xml:space="preserve"> </w:t>
      </w:r>
      <w:r w:rsidRPr="00223646">
        <w:rPr>
          <w:lang w:eastAsia="da-DK"/>
        </w:rPr>
        <w:t xml:space="preserve">anses for at være mistænkt eller smittet med </w:t>
      </w:r>
      <w:r>
        <w:rPr>
          <w:lang w:eastAsia="da-DK"/>
        </w:rPr>
        <w:t>Aujeszkys sygdom</w:t>
      </w:r>
      <w:r w:rsidR="00D61BD6">
        <w:rPr>
          <w:lang w:eastAsia="da-DK"/>
        </w:rPr>
        <w:t xml:space="preserve"> i medfør af </w:t>
      </w:r>
      <w:r w:rsidR="00DB38C6">
        <w:rPr>
          <w:lang w:eastAsia="da-DK"/>
        </w:rPr>
        <w:t xml:space="preserve">artikel 9 i </w:t>
      </w:r>
      <w:r w:rsidR="00D61BD6" w:rsidRPr="00D61BD6">
        <w:rPr>
          <w:lang w:eastAsia="da-DK"/>
        </w:rPr>
        <w:t xml:space="preserve">Kommissionens delegerede forordning (EU) </w:t>
      </w:r>
      <w:r w:rsidR="00D61BD6">
        <w:rPr>
          <w:lang w:eastAsia="da-DK"/>
        </w:rPr>
        <w:t>nr. 2020/689</w:t>
      </w:r>
      <w:r w:rsidR="00B354C3" w:rsidRPr="00B354C3">
        <w:t xml:space="preserve"> </w:t>
      </w:r>
      <w:r w:rsidR="00B354C3" w:rsidRPr="00B354C3">
        <w:rPr>
          <w:lang w:eastAsia="da-DK"/>
        </w:rPr>
        <w:t>af 17. december 2019 om supplerende regler til Europa-Parlamentets og Rådets forordning (EU) 2016/429 for så vidt angår regler om overvågning, udryddelsesprogrammer og status som sygdomsfri for visse listeopførte og nye sygdomme</w:t>
      </w:r>
      <w:r w:rsidR="00B354C3">
        <w:rPr>
          <w:lang w:eastAsia="da-DK"/>
        </w:rPr>
        <w:t>.</w:t>
      </w:r>
    </w:p>
    <w:p w14:paraId="2567786E" w14:textId="77777777" w:rsidR="00C741B1" w:rsidRDefault="00C741B1" w:rsidP="005A3B4A">
      <w:pPr>
        <w:spacing w:after="0" w:line="240" w:lineRule="auto"/>
        <w:ind w:right="27"/>
        <w:jc w:val="both"/>
        <w:rPr>
          <w:lang w:eastAsia="da-DK"/>
        </w:rPr>
      </w:pPr>
    </w:p>
    <w:p w14:paraId="0D83E7F5" w14:textId="77777777" w:rsidR="00C62027" w:rsidRPr="005A3B4A" w:rsidRDefault="00C62027" w:rsidP="00CF2880">
      <w:pPr>
        <w:spacing w:after="0" w:line="240" w:lineRule="auto"/>
        <w:ind w:right="27"/>
        <w:jc w:val="center"/>
        <w:rPr>
          <w:i/>
          <w:lang w:eastAsia="da-DK"/>
        </w:rPr>
      </w:pPr>
    </w:p>
    <w:p w14:paraId="18666D3C" w14:textId="77777777" w:rsidR="00CF2880" w:rsidRPr="005A6B5D" w:rsidRDefault="00DE7A5F" w:rsidP="005A6B5D">
      <w:pPr>
        <w:spacing w:after="0" w:line="240" w:lineRule="auto"/>
        <w:ind w:right="27"/>
        <w:jc w:val="center"/>
        <w:rPr>
          <w:i/>
          <w:lang w:eastAsia="da-DK"/>
        </w:rPr>
      </w:pPr>
      <w:r w:rsidRPr="005A3B4A">
        <w:rPr>
          <w:i/>
          <w:lang w:eastAsia="da-DK"/>
        </w:rPr>
        <w:t xml:space="preserve">Mistænkte </w:t>
      </w:r>
      <w:r w:rsidR="001D5C65">
        <w:rPr>
          <w:i/>
          <w:lang w:eastAsia="da-DK"/>
        </w:rPr>
        <w:t xml:space="preserve">og smittede </w:t>
      </w:r>
      <w:r w:rsidR="00405A64">
        <w:rPr>
          <w:i/>
          <w:lang w:eastAsia="da-DK"/>
        </w:rPr>
        <w:t>svine</w:t>
      </w:r>
      <w:r w:rsidRPr="005A3B4A">
        <w:rPr>
          <w:i/>
          <w:lang w:eastAsia="da-DK"/>
        </w:rPr>
        <w:t>besætninger</w:t>
      </w:r>
    </w:p>
    <w:p w14:paraId="2C79585C" w14:textId="77777777" w:rsidR="00BA136D" w:rsidRDefault="00BA136D" w:rsidP="00BA136D">
      <w:pPr>
        <w:spacing w:after="0" w:line="240" w:lineRule="auto"/>
        <w:ind w:right="27"/>
        <w:rPr>
          <w:b/>
          <w:lang w:eastAsia="da-DK"/>
        </w:rPr>
      </w:pPr>
    </w:p>
    <w:p w14:paraId="7EBF2434" w14:textId="3C464A67" w:rsidR="008237A7" w:rsidRDefault="008237A7" w:rsidP="00D61BD6">
      <w:pPr>
        <w:spacing w:after="0" w:line="240" w:lineRule="auto"/>
        <w:ind w:right="27" w:firstLine="142"/>
        <w:rPr>
          <w:lang w:eastAsia="da-DK"/>
        </w:rPr>
      </w:pPr>
      <w:r>
        <w:rPr>
          <w:b/>
          <w:lang w:eastAsia="da-DK"/>
        </w:rPr>
        <w:t xml:space="preserve">§ </w:t>
      </w:r>
      <w:r w:rsidR="00A8109D">
        <w:rPr>
          <w:b/>
          <w:lang w:eastAsia="da-DK"/>
        </w:rPr>
        <w:t>4</w:t>
      </w:r>
      <w:r>
        <w:rPr>
          <w:b/>
          <w:lang w:eastAsia="da-DK"/>
        </w:rPr>
        <w:t xml:space="preserve">. </w:t>
      </w:r>
      <w:r w:rsidRPr="008237A7">
        <w:rPr>
          <w:lang w:eastAsia="da-DK"/>
        </w:rPr>
        <w:t xml:space="preserve">Opretholdes en mistanke om </w:t>
      </w:r>
      <w:r>
        <w:rPr>
          <w:lang w:eastAsia="da-DK"/>
        </w:rPr>
        <w:t>Aujeszkys sygdom</w:t>
      </w:r>
      <w:r w:rsidRPr="008237A7">
        <w:rPr>
          <w:lang w:eastAsia="da-DK"/>
        </w:rPr>
        <w:t xml:space="preserve">, eller får en dyrlæge i øvrigt i forbindelse med sit arbejde mistanke om forekomst af </w:t>
      </w:r>
      <w:r>
        <w:rPr>
          <w:lang w:eastAsia="da-DK"/>
        </w:rPr>
        <w:t>Aujeszkys sygdom</w:t>
      </w:r>
      <w:r w:rsidRPr="008237A7">
        <w:rPr>
          <w:lang w:eastAsia="da-DK"/>
        </w:rPr>
        <w:t>, skal dyrlægen straks underrette Fødevarestyrelsen og efter styrelsens anvisning indsende prøver til undersøgelse på det nationale referencelaboratorium eller et officielt laboratorium, der af Fødevarestyrelsen er udpeget til at foretage den pågældende analyse.</w:t>
      </w:r>
    </w:p>
    <w:p w14:paraId="2CDE1C35" w14:textId="77777777" w:rsidR="008237A7" w:rsidRDefault="008237A7" w:rsidP="00D61BD6">
      <w:pPr>
        <w:spacing w:after="0" w:line="240" w:lineRule="auto"/>
        <w:ind w:right="27" w:firstLine="142"/>
        <w:rPr>
          <w:b/>
          <w:lang w:eastAsia="da-DK"/>
        </w:rPr>
      </w:pPr>
    </w:p>
    <w:p w14:paraId="463F98CA" w14:textId="3AEA1773" w:rsidR="00AD126D" w:rsidRDefault="00E120B3" w:rsidP="00D61BD6">
      <w:pPr>
        <w:spacing w:after="0" w:line="240" w:lineRule="auto"/>
        <w:ind w:right="27" w:firstLine="142"/>
        <w:rPr>
          <w:lang w:eastAsia="da-DK"/>
        </w:rPr>
      </w:pPr>
      <w:r w:rsidRPr="00D61BD6">
        <w:rPr>
          <w:b/>
          <w:lang w:eastAsia="da-DK"/>
        </w:rPr>
        <w:lastRenderedPageBreak/>
        <w:t xml:space="preserve">§ </w:t>
      </w:r>
      <w:r w:rsidR="00A8109D">
        <w:rPr>
          <w:b/>
          <w:lang w:eastAsia="da-DK"/>
        </w:rPr>
        <w:t>5</w:t>
      </w:r>
      <w:r w:rsidR="0049581C" w:rsidRPr="00D61BD6">
        <w:rPr>
          <w:b/>
          <w:lang w:eastAsia="da-DK"/>
        </w:rPr>
        <w:t>.</w:t>
      </w:r>
      <w:r w:rsidR="0049581C">
        <w:rPr>
          <w:lang w:eastAsia="da-DK"/>
        </w:rPr>
        <w:t xml:space="preserve"> Når der i en </w:t>
      </w:r>
      <w:r w:rsidR="00B75CDE">
        <w:rPr>
          <w:lang w:eastAsia="da-DK"/>
        </w:rPr>
        <w:t>virksomhed</w:t>
      </w:r>
      <w:r w:rsidR="00405A64">
        <w:rPr>
          <w:lang w:eastAsia="da-DK"/>
        </w:rPr>
        <w:t xml:space="preserve"> </w:t>
      </w:r>
      <w:r w:rsidR="0049581C">
        <w:rPr>
          <w:lang w:eastAsia="da-DK"/>
        </w:rPr>
        <w:t xml:space="preserve">er mistanke om </w:t>
      </w:r>
      <w:r w:rsidR="001D5C65">
        <w:rPr>
          <w:lang w:eastAsia="da-DK"/>
        </w:rPr>
        <w:t xml:space="preserve">eller konstateret </w:t>
      </w:r>
      <w:r w:rsidR="0049581C">
        <w:rPr>
          <w:lang w:eastAsia="da-DK"/>
        </w:rPr>
        <w:t xml:space="preserve">smitte med </w:t>
      </w:r>
      <w:r w:rsidR="00BF3C24">
        <w:rPr>
          <w:lang w:eastAsia="da-DK"/>
        </w:rPr>
        <w:t>Aujeszkys sygdom</w:t>
      </w:r>
      <w:r w:rsidR="004B2590">
        <w:rPr>
          <w:lang w:eastAsia="da-DK"/>
        </w:rPr>
        <w:t>,</w:t>
      </w:r>
      <w:r w:rsidR="00BF3C24">
        <w:rPr>
          <w:lang w:eastAsia="da-DK"/>
        </w:rPr>
        <w:t xml:space="preserve"> </w:t>
      </w:r>
      <w:r w:rsidR="0049581C">
        <w:rPr>
          <w:lang w:eastAsia="da-DK"/>
        </w:rPr>
        <w:t xml:space="preserve">pålægges </w:t>
      </w:r>
      <w:r w:rsidR="002D6478">
        <w:rPr>
          <w:lang w:eastAsia="da-DK"/>
        </w:rPr>
        <w:t xml:space="preserve">relevante besætninger på </w:t>
      </w:r>
      <w:r w:rsidR="00B75CDE">
        <w:rPr>
          <w:lang w:eastAsia="da-DK"/>
        </w:rPr>
        <w:t>virksomheden</w:t>
      </w:r>
      <w:r w:rsidR="0049581C">
        <w:rPr>
          <w:lang w:eastAsia="da-DK"/>
        </w:rPr>
        <w:t xml:space="preserve"> et offentligt tilsyn, der foruden restriktioner i henhold </w:t>
      </w:r>
      <w:r w:rsidR="00D61BD6" w:rsidRPr="00D61BD6">
        <w:rPr>
          <w:lang w:eastAsia="da-DK"/>
        </w:rPr>
        <w:t xml:space="preserve">Europa-Parlamentets og Rådets forordning (EU) </w:t>
      </w:r>
      <w:r w:rsidR="00D61BD6">
        <w:rPr>
          <w:lang w:eastAsia="da-DK"/>
        </w:rPr>
        <w:t xml:space="preserve">nr. </w:t>
      </w:r>
      <w:r w:rsidR="00D61BD6" w:rsidRPr="00D61BD6">
        <w:rPr>
          <w:lang w:eastAsia="da-DK"/>
        </w:rPr>
        <w:t xml:space="preserve">2016/429 </w:t>
      </w:r>
      <w:r w:rsidR="00D61BD6">
        <w:rPr>
          <w:lang w:eastAsia="da-DK"/>
        </w:rPr>
        <w:t>og EU-</w:t>
      </w:r>
      <w:r w:rsidR="00D61BD6" w:rsidRPr="00D61BD6">
        <w:rPr>
          <w:lang w:eastAsia="da-DK"/>
        </w:rPr>
        <w:t xml:space="preserve">Kommissionens delegerede forordning (EU) </w:t>
      </w:r>
      <w:r w:rsidR="00D61BD6">
        <w:rPr>
          <w:lang w:eastAsia="da-DK"/>
        </w:rPr>
        <w:t xml:space="preserve">nr. </w:t>
      </w:r>
      <w:r w:rsidR="00D61BD6" w:rsidRPr="00D61BD6">
        <w:rPr>
          <w:lang w:eastAsia="da-DK"/>
        </w:rPr>
        <w:t>2020/689</w:t>
      </w:r>
      <w:r w:rsidR="00D61BD6">
        <w:rPr>
          <w:lang w:eastAsia="da-DK"/>
        </w:rPr>
        <w:t xml:space="preserve">, </w:t>
      </w:r>
      <w:r w:rsidR="00B72793">
        <w:rPr>
          <w:lang w:eastAsia="da-DK"/>
        </w:rPr>
        <w:t>kan omfatte</w:t>
      </w:r>
      <w:r w:rsidR="00EB0F4C">
        <w:rPr>
          <w:lang w:eastAsia="da-DK"/>
        </w:rPr>
        <w:t>:</w:t>
      </w:r>
      <w:r w:rsidR="0049581C">
        <w:rPr>
          <w:lang w:eastAsia="da-DK"/>
        </w:rPr>
        <w:t xml:space="preserve"> </w:t>
      </w:r>
    </w:p>
    <w:p w14:paraId="10D54F48" w14:textId="77777777" w:rsidR="00EB0F4C" w:rsidRDefault="00EB0F4C" w:rsidP="007B7017">
      <w:pPr>
        <w:pStyle w:val="Listeafsnit"/>
        <w:numPr>
          <w:ilvl w:val="0"/>
          <w:numId w:val="2"/>
        </w:numPr>
        <w:ind w:right="27"/>
        <w:rPr>
          <w:lang w:eastAsia="da-DK"/>
        </w:rPr>
      </w:pPr>
      <w:r>
        <w:rPr>
          <w:lang w:eastAsia="da-DK"/>
        </w:rPr>
        <w:t xml:space="preserve">Forbud mod at </w:t>
      </w:r>
      <w:r w:rsidR="00405A64">
        <w:rPr>
          <w:lang w:eastAsia="da-DK"/>
        </w:rPr>
        <w:t>svin</w:t>
      </w:r>
      <w:r>
        <w:rPr>
          <w:lang w:eastAsia="da-DK"/>
        </w:rPr>
        <w:t xml:space="preserve"> </w:t>
      </w:r>
      <w:r w:rsidR="00405A64">
        <w:rPr>
          <w:lang w:eastAsia="da-DK"/>
        </w:rPr>
        <w:t>holdes</w:t>
      </w:r>
      <w:r>
        <w:rPr>
          <w:lang w:eastAsia="da-DK"/>
        </w:rPr>
        <w:t xml:space="preserve"> på udearealer uden Fødevarestyrelsens tilladelse.</w:t>
      </w:r>
    </w:p>
    <w:p w14:paraId="624F4516" w14:textId="77777777" w:rsidR="00AD126D" w:rsidRDefault="00EB0F4C" w:rsidP="007B7017">
      <w:pPr>
        <w:pStyle w:val="Listeafsnit"/>
        <w:numPr>
          <w:ilvl w:val="0"/>
          <w:numId w:val="2"/>
        </w:numPr>
        <w:ind w:right="27"/>
        <w:rPr>
          <w:lang w:eastAsia="da-DK"/>
        </w:rPr>
      </w:pPr>
      <w:r>
        <w:rPr>
          <w:lang w:eastAsia="da-DK"/>
        </w:rPr>
        <w:t xml:space="preserve">Påbud om </w:t>
      </w:r>
      <w:r w:rsidR="00AD126D" w:rsidRPr="00FD1760">
        <w:rPr>
          <w:lang w:eastAsia="da-DK"/>
        </w:rPr>
        <w:t xml:space="preserve">særlige forholdsregler ved håndtering </w:t>
      </w:r>
      <w:r>
        <w:rPr>
          <w:lang w:eastAsia="da-DK"/>
        </w:rPr>
        <w:t>og udbringning af husdyrgødning.</w:t>
      </w:r>
    </w:p>
    <w:p w14:paraId="161A4538" w14:textId="77777777" w:rsidR="00AD126D" w:rsidRDefault="00297EA7" w:rsidP="007B7017">
      <w:pPr>
        <w:pStyle w:val="Listeafsnit"/>
        <w:numPr>
          <w:ilvl w:val="0"/>
          <w:numId w:val="2"/>
        </w:numPr>
        <w:ind w:right="27"/>
        <w:rPr>
          <w:lang w:eastAsia="da-DK"/>
        </w:rPr>
      </w:pPr>
      <w:r>
        <w:rPr>
          <w:lang w:eastAsia="da-DK"/>
        </w:rPr>
        <w:t xml:space="preserve">Påbud om </w:t>
      </w:r>
      <w:r w:rsidR="00AD126D">
        <w:rPr>
          <w:lang w:eastAsia="da-DK"/>
        </w:rPr>
        <w:t>anvendelsen af kontaminerede arealer og foderafgrøder</w:t>
      </w:r>
      <w:r>
        <w:rPr>
          <w:lang w:eastAsia="da-DK"/>
        </w:rPr>
        <w:t>.</w:t>
      </w:r>
    </w:p>
    <w:p w14:paraId="08DE4239" w14:textId="1EA94265" w:rsidR="00AD126D" w:rsidRDefault="00297EA7" w:rsidP="007B7017">
      <w:pPr>
        <w:pStyle w:val="Listeafsnit"/>
        <w:numPr>
          <w:ilvl w:val="0"/>
          <w:numId w:val="2"/>
        </w:numPr>
        <w:ind w:right="27"/>
        <w:rPr>
          <w:lang w:eastAsia="da-DK"/>
        </w:rPr>
      </w:pPr>
      <w:r>
        <w:rPr>
          <w:lang w:eastAsia="da-DK"/>
        </w:rPr>
        <w:t xml:space="preserve">Påbud om </w:t>
      </w:r>
      <w:r w:rsidR="00AD126D" w:rsidRPr="00FD1760">
        <w:rPr>
          <w:lang w:eastAsia="da-DK"/>
        </w:rPr>
        <w:t xml:space="preserve">behandling og fjernelse af foder og halm fra </w:t>
      </w:r>
      <w:r w:rsidR="008237A7">
        <w:rPr>
          <w:lang w:eastAsia="da-DK"/>
        </w:rPr>
        <w:t>virksomheden</w:t>
      </w:r>
      <w:r>
        <w:rPr>
          <w:lang w:eastAsia="da-DK"/>
        </w:rPr>
        <w:t>.</w:t>
      </w:r>
      <w:r w:rsidR="00AD126D" w:rsidRPr="00FD1760">
        <w:rPr>
          <w:lang w:eastAsia="da-DK"/>
        </w:rPr>
        <w:t xml:space="preserve"> </w:t>
      </w:r>
    </w:p>
    <w:p w14:paraId="519F461E" w14:textId="43B26066" w:rsidR="00AD126D" w:rsidRPr="00FD1760" w:rsidRDefault="00297EA7" w:rsidP="007B7017">
      <w:pPr>
        <w:pStyle w:val="Listeafsnit"/>
        <w:numPr>
          <w:ilvl w:val="0"/>
          <w:numId w:val="2"/>
        </w:numPr>
        <w:ind w:right="27"/>
        <w:rPr>
          <w:lang w:eastAsia="da-DK"/>
        </w:rPr>
      </w:pPr>
      <w:r>
        <w:rPr>
          <w:lang w:eastAsia="da-DK"/>
        </w:rPr>
        <w:t xml:space="preserve">Påbud om </w:t>
      </w:r>
      <w:r w:rsidR="00765F9E">
        <w:rPr>
          <w:lang w:eastAsia="da-DK"/>
        </w:rPr>
        <w:t xml:space="preserve">at </w:t>
      </w:r>
      <w:r w:rsidR="00AD126D" w:rsidRPr="00FD1760">
        <w:rPr>
          <w:lang w:eastAsia="da-DK"/>
        </w:rPr>
        <w:t xml:space="preserve">foretage </w:t>
      </w:r>
      <w:r w:rsidR="00AD126D">
        <w:rPr>
          <w:lang w:eastAsia="da-DK"/>
        </w:rPr>
        <w:t>gnaver- og insektbekæmpelse</w:t>
      </w:r>
      <w:r w:rsidR="00AD126D" w:rsidRPr="00FD1760">
        <w:rPr>
          <w:lang w:eastAsia="da-DK"/>
        </w:rPr>
        <w:t xml:space="preserve"> på </w:t>
      </w:r>
      <w:r w:rsidR="008237A7">
        <w:rPr>
          <w:lang w:eastAsia="da-DK"/>
        </w:rPr>
        <w:t>virksomheden</w:t>
      </w:r>
      <w:r w:rsidR="00AD126D" w:rsidRPr="00FD1760">
        <w:rPr>
          <w:lang w:eastAsia="da-DK"/>
        </w:rPr>
        <w:t>.</w:t>
      </w:r>
    </w:p>
    <w:p w14:paraId="6651DCB0" w14:textId="77777777" w:rsidR="00A007F8" w:rsidRDefault="00A007F8" w:rsidP="00A007F8">
      <w:pPr>
        <w:spacing w:after="0" w:line="240" w:lineRule="auto"/>
        <w:ind w:right="27"/>
        <w:jc w:val="center"/>
        <w:rPr>
          <w:i/>
          <w:lang w:eastAsia="da-DK"/>
        </w:rPr>
      </w:pPr>
    </w:p>
    <w:p w14:paraId="6D8C4C70" w14:textId="4767B35C" w:rsidR="004B2F88" w:rsidRDefault="00A007F8" w:rsidP="00A007F8">
      <w:pPr>
        <w:spacing w:after="0" w:line="240" w:lineRule="auto"/>
        <w:ind w:right="27"/>
        <w:jc w:val="center"/>
        <w:rPr>
          <w:i/>
          <w:lang w:eastAsia="da-DK"/>
        </w:rPr>
      </w:pPr>
      <w:r w:rsidRPr="00A007F8">
        <w:rPr>
          <w:i/>
          <w:lang w:eastAsia="da-DK"/>
        </w:rPr>
        <w:t xml:space="preserve">Transport af svin fra mistænkte </w:t>
      </w:r>
      <w:r w:rsidR="004813BA">
        <w:rPr>
          <w:i/>
          <w:lang w:eastAsia="da-DK"/>
        </w:rPr>
        <w:t xml:space="preserve">og smittede </w:t>
      </w:r>
      <w:r w:rsidR="00B75CDE">
        <w:rPr>
          <w:i/>
          <w:lang w:eastAsia="da-DK"/>
        </w:rPr>
        <w:t>virksomheder</w:t>
      </w:r>
    </w:p>
    <w:p w14:paraId="3A5D523C" w14:textId="77777777" w:rsidR="008B3905" w:rsidRPr="00A007F8" w:rsidRDefault="008B3905" w:rsidP="00A007F8">
      <w:pPr>
        <w:spacing w:after="0" w:line="240" w:lineRule="auto"/>
        <w:ind w:right="27"/>
        <w:jc w:val="center"/>
        <w:rPr>
          <w:i/>
          <w:lang w:eastAsia="da-DK"/>
        </w:rPr>
      </w:pPr>
    </w:p>
    <w:p w14:paraId="292890DB" w14:textId="387FF6F9" w:rsidR="00193FC6" w:rsidRDefault="00193FC6" w:rsidP="00D61BD6">
      <w:pPr>
        <w:spacing w:after="0" w:line="240" w:lineRule="auto"/>
        <w:ind w:right="27" w:firstLine="142"/>
        <w:rPr>
          <w:lang w:eastAsia="da-DK"/>
        </w:rPr>
      </w:pPr>
      <w:r w:rsidRPr="00D61BD6">
        <w:rPr>
          <w:b/>
          <w:lang w:eastAsia="da-DK"/>
        </w:rPr>
        <w:t xml:space="preserve">§ </w:t>
      </w:r>
      <w:r w:rsidR="00A8109D">
        <w:rPr>
          <w:b/>
          <w:lang w:eastAsia="da-DK"/>
        </w:rPr>
        <w:t>6</w:t>
      </w:r>
      <w:r w:rsidRPr="00D61BD6">
        <w:rPr>
          <w:b/>
          <w:lang w:eastAsia="da-DK"/>
        </w:rPr>
        <w:t>.</w:t>
      </w:r>
      <w:r>
        <w:rPr>
          <w:lang w:eastAsia="da-DK"/>
        </w:rPr>
        <w:t xml:space="preserve"> </w:t>
      </w:r>
      <w:r w:rsidR="00405A64">
        <w:rPr>
          <w:lang w:eastAsia="da-DK"/>
        </w:rPr>
        <w:t>Svin</w:t>
      </w:r>
      <w:r>
        <w:rPr>
          <w:lang w:eastAsia="da-DK"/>
        </w:rPr>
        <w:t xml:space="preserve"> fra en </w:t>
      </w:r>
      <w:r w:rsidR="00B75CDE">
        <w:rPr>
          <w:lang w:eastAsia="da-DK"/>
        </w:rPr>
        <w:t>virksomhed</w:t>
      </w:r>
      <w:r>
        <w:rPr>
          <w:lang w:eastAsia="da-DK"/>
        </w:rPr>
        <w:t>, der er mistænkt</w:t>
      </w:r>
      <w:r w:rsidR="007F7090">
        <w:rPr>
          <w:lang w:eastAsia="da-DK"/>
        </w:rPr>
        <w:t xml:space="preserve"> eller </w:t>
      </w:r>
      <w:r w:rsidR="00B035EE">
        <w:rPr>
          <w:lang w:eastAsia="da-DK"/>
        </w:rPr>
        <w:t>smittet med Aujeszkys sygdom,</w:t>
      </w:r>
      <w:r>
        <w:rPr>
          <w:lang w:eastAsia="da-DK"/>
        </w:rPr>
        <w:t xml:space="preserve"> </w:t>
      </w:r>
      <w:r w:rsidR="00002C35">
        <w:rPr>
          <w:lang w:eastAsia="da-DK"/>
        </w:rPr>
        <w:t xml:space="preserve">må </w:t>
      </w:r>
      <w:r>
        <w:rPr>
          <w:lang w:eastAsia="da-DK"/>
        </w:rPr>
        <w:t>kun</w:t>
      </w:r>
      <w:r w:rsidR="00B035EE">
        <w:rPr>
          <w:lang w:eastAsia="da-DK"/>
        </w:rPr>
        <w:t xml:space="preserve"> </w:t>
      </w:r>
      <w:r>
        <w:rPr>
          <w:lang w:eastAsia="da-DK"/>
        </w:rPr>
        <w:t xml:space="preserve">flyttes fra </w:t>
      </w:r>
      <w:r w:rsidR="00B75CDE">
        <w:rPr>
          <w:lang w:eastAsia="da-DK"/>
        </w:rPr>
        <w:t>virksomheden</w:t>
      </w:r>
      <w:r>
        <w:rPr>
          <w:lang w:eastAsia="da-DK"/>
        </w:rPr>
        <w:t>, hvis de føres direkte til slagteri.</w:t>
      </w:r>
    </w:p>
    <w:p w14:paraId="1449D8DC" w14:textId="1F33333A" w:rsidR="00193FC6" w:rsidRDefault="00193FC6" w:rsidP="00D61BD6">
      <w:pPr>
        <w:spacing w:after="0" w:line="240" w:lineRule="auto"/>
        <w:ind w:right="27" w:firstLine="142"/>
        <w:rPr>
          <w:b/>
          <w:highlight w:val="yellow"/>
          <w:lang w:eastAsia="da-DK"/>
        </w:rPr>
      </w:pPr>
      <w:r w:rsidRPr="00CF2880">
        <w:rPr>
          <w:i/>
          <w:lang w:eastAsia="da-DK"/>
        </w:rPr>
        <w:t>Stk. 2.</w:t>
      </w:r>
      <w:r>
        <w:rPr>
          <w:lang w:eastAsia="da-DK"/>
        </w:rPr>
        <w:t xml:space="preserve"> Flyttes </w:t>
      </w:r>
      <w:r w:rsidR="00405A64">
        <w:rPr>
          <w:lang w:eastAsia="da-DK"/>
        </w:rPr>
        <w:t>svin</w:t>
      </w:r>
      <w:r>
        <w:rPr>
          <w:lang w:eastAsia="da-DK"/>
        </w:rPr>
        <w:t xml:space="preserve"> direkte til slagtning, skal de</w:t>
      </w:r>
      <w:r w:rsidR="0031587A">
        <w:rPr>
          <w:lang w:eastAsia="da-DK"/>
        </w:rPr>
        <w:t xml:space="preserve"> være </w:t>
      </w:r>
      <w:r>
        <w:rPr>
          <w:lang w:eastAsia="da-DK"/>
        </w:rPr>
        <w:t>ledsaget af en af Fødevarestyrelsen udstedt passerseddel påført CHR</w:t>
      </w:r>
      <w:r w:rsidR="00B75CDE">
        <w:rPr>
          <w:lang w:eastAsia="da-DK"/>
        </w:rPr>
        <w:t>-nummer.</w:t>
      </w:r>
      <w:r w:rsidR="001D5C65">
        <w:rPr>
          <w:lang w:eastAsia="da-DK"/>
        </w:rPr>
        <w:t xml:space="preserve"> </w:t>
      </w:r>
    </w:p>
    <w:p w14:paraId="70112558" w14:textId="277FB419" w:rsidR="00A007F8" w:rsidRDefault="001D5C65" w:rsidP="00D61BD6">
      <w:pPr>
        <w:spacing w:after="0" w:line="240" w:lineRule="auto"/>
        <w:ind w:right="27" w:firstLine="142"/>
        <w:rPr>
          <w:lang w:eastAsia="da-DK"/>
        </w:rPr>
      </w:pPr>
      <w:r w:rsidRPr="00765F9E">
        <w:rPr>
          <w:i/>
          <w:lang w:eastAsia="da-DK"/>
        </w:rPr>
        <w:t>Stk. 3</w:t>
      </w:r>
      <w:r w:rsidR="00A007F8" w:rsidRPr="00765F9E">
        <w:rPr>
          <w:i/>
          <w:lang w:eastAsia="da-DK"/>
        </w:rPr>
        <w:t>.</w:t>
      </w:r>
      <w:r w:rsidR="00A007F8">
        <w:rPr>
          <w:lang w:eastAsia="da-DK"/>
        </w:rPr>
        <w:t xml:space="preserve"> Transport</w:t>
      </w:r>
      <w:r w:rsidR="00405A64">
        <w:rPr>
          <w:lang w:eastAsia="da-DK"/>
        </w:rPr>
        <w:t>en</w:t>
      </w:r>
      <w:r w:rsidR="00A007F8">
        <w:rPr>
          <w:lang w:eastAsia="da-DK"/>
        </w:rPr>
        <w:t xml:space="preserve"> af svin</w:t>
      </w:r>
      <w:r w:rsidR="00A007F8" w:rsidRPr="00C4738D">
        <w:rPr>
          <w:lang w:eastAsia="da-DK"/>
        </w:rPr>
        <w:t xml:space="preserve"> skal</w:t>
      </w:r>
      <w:r w:rsidR="00A007F8">
        <w:rPr>
          <w:lang w:eastAsia="da-DK"/>
        </w:rPr>
        <w:t xml:space="preserve"> tilrettelægges sådan, at </w:t>
      </w:r>
      <w:r w:rsidR="00405A64">
        <w:rPr>
          <w:lang w:eastAsia="da-DK"/>
        </w:rPr>
        <w:t>svinene</w:t>
      </w:r>
      <w:r w:rsidR="00A007F8">
        <w:rPr>
          <w:lang w:eastAsia="da-DK"/>
        </w:rPr>
        <w:t xml:space="preserve"> hverken kommer direkte eller indirekte i kontakt med svin fra </w:t>
      </w:r>
      <w:r w:rsidR="00B75CDE">
        <w:rPr>
          <w:lang w:eastAsia="da-DK"/>
        </w:rPr>
        <w:t>virksomheder</w:t>
      </w:r>
      <w:r w:rsidR="00A007F8">
        <w:rPr>
          <w:lang w:eastAsia="da-DK"/>
        </w:rPr>
        <w:t>, der anses som værende fri for Aujeszkys sygdom.</w:t>
      </w:r>
    </w:p>
    <w:p w14:paraId="5CD28E5D" w14:textId="77777777" w:rsidR="00FF6ACF" w:rsidRDefault="00FF6ACF" w:rsidP="00FF6ACF">
      <w:pPr>
        <w:spacing w:after="0" w:line="240" w:lineRule="auto"/>
        <w:ind w:right="27"/>
        <w:jc w:val="both"/>
        <w:rPr>
          <w:lang w:eastAsia="da-DK"/>
        </w:rPr>
      </w:pPr>
    </w:p>
    <w:p w14:paraId="14AC671F" w14:textId="77777777" w:rsidR="00FF6ACF" w:rsidRPr="0098407A" w:rsidRDefault="00FF6ACF" w:rsidP="00FF6ACF">
      <w:pPr>
        <w:spacing w:after="0" w:line="240" w:lineRule="auto"/>
        <w:ind w:right="27"/>
        <w:jc w:val="center"/>
        <w:rPr>
          <w:i/>
          <w:lang w:eastAsia="da-DK"/>
        </w:rPr>
      </w:pPr>
      <w:r>
        <w:rPr>
          <w:i/>
          <w:lang w:eastAsia="da-DK"/>
        </w:rPr>
        <w:t xml:space="preserve">Mistanke hos andre modtagelige dyrearter end svin </w:t>
      </w:r>
    </w:p>
    <w:p w14:paraId="34FCC1DE" w14:textId="77777777" w:rsidR="00FF6ACF" w:rsidRDefault="00FF6ACF" w:rsidP="00FF6ACF">
      <w:pPr>
        <w:spacing w:after="0" w:line="240" w:lineRule="auto"/>
        <w:ind w:right="27"/>
        <w:jc w:val="both"/>
        <w:rPr>
          <w:lang w:eastAsia="da-DK"/>
        </w:rPr>
      </w:pPr>
    </w:p>
    <w:p w14:paraId="5FA61E90" w14:textId="67870296" w:rsidR="00FF6ACF" w:rsidRDefault="00B75CDE" w:rsidP="00FF6ACF">
      <w:pPr>
        <w:spacing w:after="0" w:line="240" w:lineRule="auto"/>
        <w:ind w:right="27"/>
        <w:jc w:val="both"/>
        <w:rPr>
          <w:rFonts w:cstheme="minorHAnsi"/>
        </w:rPr>
      </w:pPr>
      <w:r w:rsidRPr="00B75CDE">
        <w:rPr>
          <w:b/>
          <w:lang w:eastAsia="da-DK"/>
        </w:rPr>
        <w:t xml:space="preserve">§ </w:t>
      </w:r>
      <w:r w:rsidR="00A8109D">
        <w:rPr>
          <w:b/>
          <w:lang w:eastAsia="da-DK"/>
        </w:rPr>
        <w:t>7</w:t>
      </w:r>
      <w:r w:rsidR="00FF6ACF" w:rsidRPr="00B75CDE">
        <w:rPr>
          <w:b/>
          <w:lang w:eastAsia="da-DK"/>
        </w:rPr>
        <w:t>.</w:t>
      </w:r>
      <w:r w:rsidR="00FF6ACF">
        <w:rPr>
          <w:lang w:eastAsia="da-DK"/>
        </w:rPr>
        <w:t xml:space="preserve"> </w:t>
      </w:r>
      <w:r w:rsidR="00D72CF1">
        <w:rPr>
          <w:rFonts w:cstheme="minorHAnsi"/>
        </w:rPr>
        <w:t>Operatøren</w:t>
      </w:r>
      <w:r w:rsidR="00FF6ACF">
        <w:rPr>
          <w:rFonts w:cstheme="minorHAnsi"/>
        </w:rPr>
        <w:t xml:space="preserve"> af </w:t>
      </w:r>
      <w:r w:rsidR="009637FC">
        <w:rPr>
          <w:rFonts w:cstheme="minorHAnsi"/>
        </w:rPr>
        <w:t xml:space="preserve">dyr af </w:t>
      </w:r>
      <w:r w:rsidR="00FF6ACF">
        <w:rPr>
          <w:rFonts w:cstheme="minorHAnsi"/>
        </w:rPr>
        <w:t>andre modtagelige arter end svin</w:t>
      </w:r>
      <w:r w:rsidR="009637FC">
        <w:rPr>
          <w:rFonts w:cstheme="minorHAnsi"/>
        </w:rPr>
        <w:t xml:space="preserve"> som defineret </w:t>
      </w:r>
      <w:r w:rsidR="009637FC" w:rsidRPr="007B7017">
        <w:rPr>
          <w:rFonts w:cstheme="minorHAnsi"/>
        </w:rPr>
        <w:t xml:space="preserve">i </w:t>
      </w:r>
      <w:r w:rsidR="00A8109D" w:rsidRPr="001E26DE">
        <w:rPr>
          <w:rFonts w:cstheme="minorHAnsi"/>
        </w:rPr>
        <w:t>§ 1, stk. 3</w:t>
      </w:r>
      <w:r w:rsidR="00FF6ACF" w:rsidRPr="007B7017">
        <w:rPr>
          <w:rFonts w:cstheme="minorHAnsi"/>
        </w:rPr>
        <w:t>,</w:t>
      </w:r>
      <w:r w:rsidR="00FF6ACF" w:rsidRPr="00B714A5">
        <w:rPr>
          <w:rFonts w:cstheme="minorHAnsi"/>
        </w:rPr>
        <w:t xml:space="preserve"> skal ved viden eller mistanke om, at Aujeszkys sygdom forekommer </w:t>
      </w:r>
      <w:r w:rsidR="00FF6ACF">
        <w:rPr>
          <w:rFonts w:cstheme="minorHAnsi"/>
        </w:rPr>
        <w:t>hos dyret</w:t>
      </w:r>
      <w:r w:rsidR="00FF6ACF" w:rsidRPr="00B714A5">
        <w:rPr>
          <w:rFonts w:cstheme="minorHAnsi"/>
        </w:rPr>
        <w:t>, foretage anmeldelse herom til en dyrlæge.</w:t>
      </w:r>
    </w:p>
    <w:p w14:paraId="02EF6E01" w14:textId="77777777" w:rsidR="00FF6ACF" w:rsidRDefault="00FF6ACF" w:rsidP="00FF6ACF">
      <w:pPr>
        <w:spacing w:after="0" w:line="240" w:lineRule="auto"/>
        <w:ind w:right="27"/>
        <w:jc w:val="both"/>
        <w:rPr>
          <w:rFonts w:cstheme="minorHAnsi"/>
        </w:rPr>
      </w:pPr>
    </w:p>
    <w:p w14:paraId="365BE139" w14:textId="5A8FB8EA" w:rsidR="00FF6ACF" w:rsidRDefault="00B75CDE" w:rsidP="00FF6ACF">
      <w:pPr>
        <w:spacing w:after="0" w:line="240" w:lineRule="auto"/>
        <w:ind w:right="27"/>
        <w:jc w:val="both"/>
        <w:rPr>
          <w:lang w:eastAsia="da-DK"/>
        </w:rPr>
      </w:pPr>
      <w:r w:rsidRPr="00B75CDE">
        <w:rPr>
          <w:b/>
          <w:lang w:eastAsia="da-DK"/>
        </w:rPr>
        <w:t xml:space="preserve">§ </w:t>
      </w:r>
      <w:r w:rsidR="00A8109D">
        <w:rPr>
          <w:b/>
          <w:lang w:eastAsia="da-DK"/>
        </w:rPr>
        <w:t>8</w:t>
      </w:r>
      <w:r w:rsidR="00FF6ACF" w:rsidRPr="00B75CDE">
        <w:rPr>
          <w:b/>
          <w:lang w:eastAsia="da-DK"/>
        </w:rPr>
        <w:t>.</w:t>
      </w:r>
      <w:r w:rsidR="00FF6ACF">
        <w:rPr>
          <w:lang w:eastAsia="da-DK"/>
        </w:rPr>
        <w:t xml:space="preserve"> Modtager en dyrlæge anmeldelse om forekomst af eller mistanke om Aujeszkys sygdom hos dyr af andre modtagelige arter</w:t>
      </w:r>
      <w:r w:rsidR="009637FC">
        <w:rPr>
          <w:lang w:eastAsia="da-DK"/>
        </w:rPr>
        <w:t xml:space="preserve"> end svin</w:t>
      </w:r>
      <w:r w:rsidR="00FF6ACF">
        <w:rPr>
          <w:lang w:eastAsia="da-DK"/>
        </w:rPr>
        <w:t xml:space="preserve"> </w:t>
      </w:r>
      <w:r w:rsidR="009637FC">
        <w:rPr>
          <w:lang w:eastAsia="da-DK"/>
        </w:rPr>
        <w:t xml:space="preserve">som defineret i § </w:t>
      </w:r>
      <w:r w:rsidR="00A8109D">
        <w:rPr>
          <w:lang w:eastAsia="da-DK"/>
        </w:rPr>
        <w:t>1, stk.</w:t>
      </w:r>
      <w:r w:rsidR="001E26DE">
        <w:rPr>
          <w:lang w:eastAsia="da-DK"/>
        </w:rPr>
        <w:t xml:space="preserve"> </w:t>
      </w:r>
      <w:r w:rsidR="00A8109D">
        <w:rPr>
          <w:lang w:eastAsia="da-DK"/>
        </w:rPr>
        <w:t>3</w:t>
      </w:r>
      <w:r w:rsidR="00FF6ACF">
        <w:rPr>
          <w:lang w:eastAsia="da-DK"/>
        </w:rPr>
        <w:t>, eller får en dyrlæge i øvrigt i forbindelse med sit arbejde mistanke om forekomst af Aujeszkys, skal dyrlægen snarest foretage en undersøgelse af dyrene med henblik på at konstatere, om noget dyr viser tegn på at være smittet med sygdommen.</w:t>
      </w:r>
    </w:p>
    <w:p w14:paraId="7DDC1EC6" w14:textId="77777777" w:rsidR="00FF6ACF" w:rsidRDefault="00FF6ACF" w:rsidP="00FF6ACF">
      <w:pPr>
        <w:spacing w:after="0" w:line="240" w:lineRule="auto"/>
        <w:ind w:right="27" w:firstLine="284"/>
        <w:jc w:val="both"/>
        <w:rPr>
          <w:lang w:eastAsia="da-DK"/>
        </w:rPr>
      </w:pPr>
      <w:r w:rsidRPr="00FF6ACF">
        <w:rPr>
          <w:i/>
          <w:lang w:eastAsia="da-DK"/>
        </w:rPr>
        <w:t>Stk. 2.</w:t>
      </w:r>
      <w:r>
        <w:rPr>
          <w:lang w:eastAsia="da-DK"/>
        </w:rPr>
        <w:t xml:space="preserve"> Hvis mistanken i henhold til stk. 1, ikke kan afvises, skal dyrlægen indsende fornødent materiale til undersøgelse på det nationale referencelaboratorium og underrette Fødevarestyrelsen.</w:t>
      </w:r>
    </w:p>
    <w:p w14:paraId="00958553" w14:textId="77777777" w:rsidR="00E03B3E" w:rsidRDefault="00E03B3E" w:rsidP="009B74DC">
      <w:pPr>
        <w:spacing w:after="0" w:line="240" w:lineRule="auto"/>
        <w:ind w:right="27" w:firstLine="284"/>
        <w:jc w:val="center"/>
        <w:rPr>
          <w:i/>
          <w:lang w:eastAsia="da-DK"/>
        </w:rPr>
      </w:pPr>
    </w:p>
    <w:p w14:paraId="03286A24" w14:textId="77777777" w:rsidR="00E03B3E" w:rsidRDefault="00E03B3E" w:rsidP="009B74DC">
      <w:pPr>
        <w:spacing w:after="0" w:line="240" w:lineRule="auto"/>
        <w:ind w:right="27" w:firstLine="284"/>
        <w:jc w:val="center"/>
        <w:rPr>
          <w:i/>
          <w:lang w:eastAsia="da-DK"/>
        </w:rPr>
      </w:pPr>
    </w:p>
    <w:p w14:paraId="407CA844" w14:textId="77777777" w:rsidR="004B2F88" w:rsidRDefault="004B2F88" w:rsidP="009B74DC">
      <w:pPr>
        <w:spacing w:after="0" w:line="240" w:lineRule="auto"/>
        <w:ind w:right="27" w:firstLine="284"/>
        <w:jc w:val="center"/>
        <w:rPr>
          <w:i/>
          <w:lang w:eastAsia="da-DK"/>
        </w:rPr>
      </w:pPr>
      <w:r w:rsidRPr="006C62B1">
        <w:rPr>
          <w:i/>
          <w:lang w:eastAsia="da-DK"/>
        </w:rPr>
        <w:t>Overvågning</w:t>
      </w:r>
    </w:p>
    <w:p w14:paraId="09501F18" w14:textId="77777777" w:rsidR="006C62B1" w:rsidRPr="006C62B1" w:rsidRDefault="006C62B1" w:rsidP="009B74DC">
      <w:pPr>
        <w:spacing w:after="0" w:line="240" w:lineRule="auto"/>
        <w:ind w:right="27" w:firstLine="284"/>
        <w:jc w:val="center"/>
        <w:rPr>
          <w:i/>
          <w:lang w:eastAsia="da-DK"/>
        </w:rPr>
      </w:pPr>
    </w:p>
    <w:p w14:paraId="61C5938A" w14:textId="7F7D48A9" w:rsidR="004B2F88" w:rsidRPr="004B2F88" w:rsidRDefault="006C62B1" w:rsidP="00D61BD6">
      <w:pPr>
        <w:spacing w:after="0" w:line="240" w:lineRule="auto"/>
        <w:ind w:right="27" w:firstLine="142"/>
        <w:rPr>
          <w:lang w:eastAsia="da-DK"/>
        </w:rPr>
      </w:pPr>
      <w:r w:rsidRPr="00D61BD6">
        <w:rPr>
          <w:b/>
          <w:lang w:eastAsia="da-DK"/>
        </w:rPr>
        <w:t xml:space="preserve">§ </w:t>
      </w:r>
      <w:r w:rsidR="00B05A5E">
        <w:rPr>
          <w:b/>
          <w:lang w:eastAsia="da-DK"/>
        </w:rPr>
        <w:t>9</w:t>
      </w:r>
      <w:r w:rsidRPr="00D61BD6">
        <w:rPr>
          <w:b/>
          <w:lang w:eastAsia="da-DK"/>
        </w:rPr>
        <w:t>.</w:t>
      </w:r>
      <w:r>
        <w:rPr>
          <w:b/>
          <w:lang w:eastAsia="da-DK"/>
        </w:rPr>
        <w:t xml:space="preserve"> </w:t>
      </w:r>
      <w:r w:rsidR="00D61BD6">
        <w:rPr>
          <w:lang w:eastAsia="da-DK"/>
        </w:rPr>
        <w:t>Operatører,</w:t>
      </w:r>
      <w:r w:rsidR="00B72465">
        <w:rPr>
          <w:lang w:eastAsia="da-DK"/>
        </w:rPr>
        <w:t xml:space="preserve"> der beskæftiger sig med sammenbringning af svin</w:t>
      </w:r>
      <w:r w:rsidR="00D61BD6">
        <w:rPr>
          <w:lang w:eastAsia="da-DK"/>
        </w:rPr>
        <w:t>,</w:t>
      </w:r>
      <w:r w:rsidR="004B2F88" w:rsidRPr="004B2F88">
        <w:rPr>
          <w:lang w:eastAsia="da-DK"/>
        </w:rPr>
        <w:t xml:space="preserve"> </w:t>
      </w:r>
      <w:r w:rsidR="00D61BD6">
        <w:rPr>
          <w:lang w:eastAsia="da-DK"/>
        </w:rPr>
        <w:t>og operatører</w:t>
      </w:r>
      <w:r w:rsidR="004B2F88" w:rsidRPr="004B2F88">
        <w:rPr>
          <w:lang w:eastAsia="da-DK"/>
        </w:rPr>
        <w:t>, der eksporterer søer, skal umiddelbart inden slagtningen eller eksporten kontinuerligt lade udtage blodprøver på 2 % af søerne til undersøgelser for Aujeszkys sygdom.</w:t>
      </w:r>
    </w:p>
    <w:p w14:paraId="73B9FB55" w14:textId="264D56C5" w:rsidR="004B2F88" w:rsidRPr="004B2F88" w:rsidRDefault="004B2F88" w:rsidP="00D61BD6">
      <w:pPr>
        <w:spacing w:after="0" w:line="240" w:lineRule="auto"/>
        <w:ind w:right="27" w:firstLine="142"/>
        <w:rPr>
          <w:lang w:eastAsia="da-DK"/>
        </w:rPr>
      </w:pPr>
      <w:r w:rsidRPr="009B74DC">
        <w:rPr>
          <w:i/>
          <w:lang w:eastAsia="da-DK"/>
        </w:rPr>
        <w:t>Stk. 2.</w:t>
      </w:r>
      <w:r w:rsidRPr="004B2F88">
        <w:rPr>
          <w:lang w:eastAsia="da-DK"/>
        </w:rPr>
        <w:t xml:space="preserve"> </w:t>
      </w:r>
      <w:r w:rsidR="00D61BD6">
        <w:rPr>
          <w:lang w:eastAsia="da-DK"/>
        </w:rPr>
        <w:t>Operatøren skal</w:t>
      </w:r>
      <w:r w:rsidR="00D76853">
        <w:rPr>
          <w:lang w:eastAsia="da-DK"/>
        </w:rPr>
        <w:t xml:space="preserve"> sørge for at</w:t>
      </w:r>
      <w:r w:rsidRPr="004B2F88">
        <w:rPr>
          <w:lang w:eastAsia="da-DK"/>
        </w:rPr>
        <w:t xml:space="preserve"> </w:t>
      </w:r>
      <w:r w:rsidR="00D76853">
        <w:rPr>
          <w:lang w:eastAsia="da-DK"/>
        </w:rPr>
        <w:t xml:space="preserve">indsendte </w:t>
      </w:r>
      <w:r w:rsidRPr="004B2F88">
        <w:rPr>
          <w:lang w:eastAsia="da-DK"/>
        </w:rPr>
        <w:t>blodprøver</w:t>
      </w:r>
      <w:r w:rsidR="00D61BD6">
        <w:rPr>
          <w:lang w:eastAsia="da-DK"/>
        </w:rPr>
        <w:t>, jf. stk. 1,</w:t>
      </w:r>
      <w:r w:rsidRPr="004B2F88">
        <w:rPr>
          <w:lang w:eastAsia="da-DK"/>
        </w:rPr>
        <w:t xml:space="preserve"> </w:t>
      </w:r>
      <w:r w:rsidR="00D76853">
        <w:rPr>
          <w:lang w:eastAsia="da-DK"/>
        </w:rPr>
        <w:t xml:space="preserve">er </w:t>
      </w:r>
      <w:r w:rsidRPr="004B2F88">
        <w:rPr>
          <w:lang w:eastAsia="da-DK"/>
        </w:rPr>
        <w:t>mærk</w:t>
      </w:r>
      <w:r w:rsidR="00D76853">
        <w:rPr>
          <w:lang w:eastAsia="da-DK"/>
        </w:rPr>
        <w:t>et</w:t>
      </w:r>
      <w:r w:rsidRPr="004B2F88">
        <w:rPr>
          <w:lang w:eastAsia="da-DK"/>
        </w:rPr>
        <w:t>,</w:t>
      </w:r>
      <w:r w:rsidR="00D76853">
        <w:rPr>
          <w:lang w:eastAsia="da-DK"/>
        </w:rPr>
        <w:t xml:space="preserve"> og</w:t>
      </w:r>
      <w:r w:rsidRPr="004B2F88">
        <w:rPr>
          <w:lang w:eastAsia="da-DK"/>
        </w:rPr>
        <w:t xml:space="preserve"> at mærket altid kan sættes i forbindelse med leverandørbesætningen for det prøvede dyr.</w:t>
      </w:r>
    </w:p>
    <w:p w14:paraId="40EBE2CA" w14:textId="77777777" w:rsidR="004B2F88" w:rsidRPr="004B2F88" w:rsidRDefault="004B2F88" w:rsidP="00D61BD6">
      <w:pPr>
        <w:spacing w:after="0" w:line="240" w:lineRule="auto"/>
        <w:ind w:right="27" w:firstLine="142"/>
        <w:rPr>
          <w:lang w:eastAsia="da-DK"/>
        </w:rPr>
      </w:pPr>
      <w:r w:rsidRPr="009B74DC">
        <w:rPr>
          <w:i/>
          <w:lang w:eastAsia="da-DK"/>
        </w:rPr>
        <w:t>Stk. 3.</w:t>
      </w:r>
      <w:r w:rsidRPr="004B2F88">
        <w:rPr>
          <w:lang w:eastAsia="da-DK"/>
        </w:rPr>
        <w:t xml:space="preserve"> Fødevarestyrelsen kan påbyde, at svin, der slagtes eller eksporteres, blodprøves for Aujeszkys sygdom.</w:t>
      </w:r>
    </w:p>
    <w:p w14:paraId="3468436A" w14:textId="1DE556BF" w:rsidR="004B2F88" w:rsidRPr="004B2F88" w:rsidRDefault="004B2F88" w:rsidP="00D61BD6">
      <w:pPr>
        <w:spacing w:after="0" w:line="240" w:lineRule="auto"/>
        <w:ind w:right="27" w:firstLine="142"/>
        <w:rPr>
          <w:lang w:eastAsia="da-DK"/>
        </w:rPr>
      </w:pPr>
      <w:r w:rsidRPr="009B74DC">
        <w:rPr>
          <w:i/>
          <w:lang w:eastAsia="da-DK"/>
        </w:rPr>
        <w:t>Stk. 4.</w:t>
      </w:r>
      <w:r w:rsidRPr="004B2F88">
        <w:rPr>
          <w:lang w:eastAsia="da-DK"/>
        </w:rPr>
        <w:t xml:space="preserve"> Enhver, der ved jagt eller nedskydning nedlægger vildsvin, skal lade udtage og indsende blodprøver af disse til undersøgelse for Aujeszkys sygdom.</w:t>
      </w:r>
    </w:p>
    <w:p w14:paraId="1EEEFFCB" w14:textId="77777777" w:rsidR="00C62027" w:rsidRDefault="00C62027" w:rsidP="009B74DC">
      <w:pPr>
        <w:spacing w:after="0" w:line="240" w:lineRule="auto"/>
        <w:ind w:right="27"/>
        <w:rPr>
          <w:i/>
          <w:lang w:eastAsia="da-DK"/>
        </w:rPr>
      </w:pPr>
    </w:p>
    <w:p w14:paraId="51D7D0C2" w14:textId="77777777" w:rsidR="00933665" w:rsidRPr="009B74DC" w:rsidRDefault="00933665" w:rsidP="005342F4">
      <w:pPr>
        <w:spacing w:after="0" w:line="240" w:lineRule="auto"/>
        <w:ind w:right="27" w:firstLine="284"/>
        <w:rPr>
          <w:i/>
          <w:lang w:eastAsia="da-DK"/>
        </w:rPr>
      </w:pPr>
    </w:p>
    <w:p w14:paraId="5F707D4A" w14:textId="36CEBBDB" w:rsidR="00D6415E" w:rsidRPr="00CF2880" w:rsidRDefault="00445627" w:rsidP="00CF2880">
      <w:pPr>
        <w:spacing w:after="0" w:line="240" w:lineRule="auto"/>
        <w:ind w:right="27"/>
        <w:jc w:val="center"/>
        <w:rPr>
          <w:i/>
          <w:lang w:eastAsia="da-DK"/>
        </w:rPr>
      </w:pPr>
      <w:r>
        <w:rPr>
          <w:i/>
          <w:lang w:eastAsia="da-DK"/>
        </w:rPr>
        <w:t>Anvendelse</w:t>
      </w:r>
      <w:r w:rsidR="00D6415E" w:rsidRPr="00CF2880">
        <w:rPr>
          <w:i/>
          <w:lang w:eastAsia="da-DK"/>
        </w:rPr>
        <w:t xml:space="preserve"> af prøver</w:t>
      </w:r>
      <w:r>
        <w:rPr>
          <w:i/>
          <w:lang w:eastAsia="da-DK"/>
        </w:rPr>
        <w:t xml:space="preserve"> til overvågning for andre sygdomme</w:t>
      </w:r>
    </w:p>
    <w:p w14:paraId="79835F6A" w14:textId="77777777" w:rsidR="00CF2880" w:rsidRDefault="00CF2880" w:rsidP="00CF2880">
      <w:pPr>
        <w:spacing w:after="0" w:line="240" w:lineRule="auto"/>
        <w:ind w:right="27" w:firstLine="284"/>
        <w:rPr>
          <w:b/>
          <w:highlight w:val="yellow"/>
          <w:lang w:eastAsia="da-DK"/>
        </w:rPr>
      </w:pPr>
    </w:p>
    <w:p w14:paraId="3FF0560D" w14:textId="4763BC95" w:rsidR="00D6415E" w:rsidRDefault="00D66B14" w:rsidP="00D61BD6">
      <w:pPr>
        <w:spacing w:after="0" w:line="240" w:lineRule="auto"/>
        <w:ind w:right="27" w:firstLine="142"/>
        <w:rPr>
          <w:lang w:eastAsia="da-DK"/>
        </w:rPr>
      </w:pPr>
      <w:r w:rsidRPr="00D61BD6">
        <w:rPr>
          <w:b/>
          <w:lang w:eastAsia="da-DK"/>
        </w:rPr>
        <w:t xml:space="preserve">§ </w:t>
      </w:r>
      <w:r w:rsidR="00A8109D">
        <w:rPr>
          <w:b/>
          <w:lang w:eastAsia="da-DK"/>
        </w:rPr>
        <w:t>10</w:t>
      </w:r>
      <w:r w:rsidRPr="00D61BD6">
        <w:rPr>
          <w:b/>
          <w:lang w:eastAsia="da-DK"/>
        </w:rPr>
        <w:t>.</w:t>
      </w:r>
      <w:r>
        <w:rPr>
          <w:lang w:eastAsia="da-DK"/>
        </w:rPr>
        <w:t xml:space="preserve"> </w:t>
      </w:r>
      <w:r w:rsidR="00411167">
        <w:rPr>
          <w:lang w:eastAsia="da-DK"/>
        </w:rPr>
        <w:t xml:space="preserve">Prøver udtaget </w:t>
      </w:r>
      <w:r w:rsidR="00F77FD5">
        <w:rPr>
          <w:lang w:eastAsia="da-DK"/>
        </w:rPr>
        <w:t xml:space="preserve">i henhold til </w:t>
      </w:r>
      <w:r w:rsidR="009454AC">
        <w:rPr>
          <w:lang w:eastAsia="da-DK"/>
        </w:rPr>
        <w:t xml:space="preserve">artikel 73 og artikel 76 i </w:t>
      </w:r>
      <w:r w:rsidR="00D76853" w:rsidRPr="00D76853">
        <w:rPr>
          <w:lang w:eastAsia="da-DK"/>
        </w:rPr>
        <w:t>Europa-Parlamentets og Rådets forordning (EU) 2016/429</w:t>
      </w:r>
      <w:r w:rsidR="00D76853">
        <w:rPr>
          <w:lang w:eastAsia="da-DK"/>
        </w:rPr>
        <w:t xml:space="preserve"> </w:t>
      </w:r>
      <w:r>
        <w:rPr>
          <w:lang w:eastAsia="da-DK"/>
        </w:rPr>
        <w:t>kan anvendes til overvågning for andre sygdomme.</w:t>
      </w:r>
    </w:p>
    <w:p w14:paraId="022203F9" w14:textId="77777777" w:rsidR="00F73BF8" w:rsidRDefault="00F73BF8" w:rsidP="00CF2880">
      <w:pPr>
        <w:spacing w:after="0" w:line="240" w:lineRule="auto"/>
        <w:ind w:right="27" w:firstLine="284"/>
        <w:rPr>
          <w:lang w:eastAsia="da-DK"/>
        </w:rPr>
      </w:pPr>
    </w:p>
    <w:p w14:paraId="6DFF135D" w14:textId="77777777" w:rsidR="005342F4" w:rsidRDefault="005342F4" w:rsidP="005342F4">
      <w:pPr>
        <w:spacing w:after="0" w:line="240" w:lineRule="auto"/>
        <w:ind w:right="27" w:firstLine="284"/>
        <w:jc w:val="center"/>
        <w:rPr>
          <w:i/>
          <w:lang w:eastAsia="da-DK"/>
        </w:rPr>
      </w:pPr>
      <w:r w:rsidRPr="005342F4">
        <w:rPr>
          <w:i/>
          <w:lang w:eastAsia="da-DK"/>
        </w:rPr>
        <w:t>Vaccination</w:t>
      </w:r>
    </w:p>
    <w:p w14:paraId="6D96C18F" w14:textId="77777777" w:rsidR="00E03B3E" w:rsidRPr="005342F4" w:rsidRDefault="00E03B3E" w:rsidP="005342F4">
      <w:pPr>
        <w:spacing w:after="0" w:line="240" w:lineRule="auto"/>
        <w:ind w:right="27" w:firstLine="284"/>
        <w:jc w:val="center"/>
        <w:rPr>
          <w:i/>
          <w:lang w:eastAsia="da-DK"/>
        </w:rPr>
      </w:pPr>
    </w:p>
    <w:p w14:paraId="4B8C7592" w14:textId="17F77CE3" w:rsidR="00F73BF8" w:rsidRDefault="00F73BF8" w:rsidP="00D61BD6">
      <w:pPr>
        <w:spacing w:after="0" w:line="240" w:lineRule="auto"/>
        <w:ind w:right="27" w:firstLine="142"/>
        <w:rPr>
          <w:lang w:eastAsia="da-DK"/>
        </w:rPr>
      </w:pPr>
      <w:r w:rsidRPr="00D61BD6">
        <w:rPr>
          <w:b/>
          <w:lang w:eastAsia="da-DK"/>
        </w:rPr>
        <w:t xml:space="preserve">§ </w:t>
      </w:r>
      <w:r w:rsidR="00CF7F0B">
        <w:rPr>
          <w:b/>
          <w:lang w:eastAsia="da-DK"/>
        </w:rPr>
        <w:t>1</w:t>
      </w:r>
      <w:r w:rsidR="00A8109D">
        <w:rPr>
          <w:b/>
          <w:lang w:eastAsia="da-DK"/>
        </w:rPr>
        <w:t>1</w:t>
      </w:r>
      <w:r w:rsidRPr="00D61BD6">
        <w:rPr>
          <w:b/>
          <w:lang w:eastAsia="da-DK"/>
        </w:rPr>
        <w:t>.</w:t>
      </w:r>
      <w:r>
        <w:rPr>
          <w:lang w:eastAsia="da-DK"/>
        </w:rPr>
        <w:t xml:space="preserve"> </w:t>
      </w:r>
      <w:r w:rsidR="005342F4" w:rsidRPr="00FD1760">
        <w:rPr>
          <w:lang w:eastAsia="da-DK"/>
        </w:rPr>
        <w:t xml:space="preserve">Vaccination imod Aujeszkys sygdom er </w:t>
      </w:r>
      <w:r w:rsidR="00213BBD">
        <w:rPr>
          <w:lang w:eastAsia="da-DK"/>
        </w:rPr>
        <w:t>forbudt</w:t>
      </w:r>
      <w:r w:rsidR="00E03B3E">
        <w:rPr>
          <w:lang w:eastAsia="da-DK"/>
        </w:rPr>
        <w:t>.</w:t>
      </w:r>
    </w:p>
    <w:p w14:paraId="66874E29" w14:textId="77777777" w:rsidR="00F77FD5" w:rsidRDefault="00F77FD5" w:rsidP="00CF2880">
      <w:pPr>
        <w:spacing w:after="0" w:line="240" w:lineRule="auto"/>
        <w:ind w:right="27"/>
        <w:jc w:val="center"/>
        <w:rPr>
          <w:i/>
          <w:lang w:eastAsia="da-DK"/>
        </w:rPr>
      </w:pPr>
    </w:p>
    <w:p w14:paraId="6FCE58DA" w14:textId="77777777" w:rsidR="00D76DA5" w:rsidRDefault="00D76DA5" w:rsidP="00CF2880">
      <w:pPr>
        <w:spacing w:after="0" w:line="240" w:lineRule="auto"/>
        <w:ind w:right="27"/>
        <w:jc w:val="center"/>
        <w:rPr>
          <w:i/>
          <w:lang w:eastAsia="da-DK"/>
        </w:rPr>
      </w:pPr>
    </w:p>
    <w:p w14:paraId="5A339ADB" w14:textId="77777777" w:rsidR="00D6415E" w:rsidRPr="00CF2880" w:rsidRDefault="00D6415E" w:rsidP="00CF2880">
      <w:pPr>
        <w:spacing w:after="0" w:line="240" w:lineRule="auto"/>
        <w:ind w:right="27"/>
        <w:jc w:val="center"/>
        <w:rPr>
          <w:i/>
          <w:lang w:eastAsia="da-DK"/>
        </w:rPr>
      </w:pPr>
      <w:r w:rsidRPr="00CF2880">
        <w:rPr>
          <w:i/>
          <w:lang w:eastAsia="da-DK"/>
        </w:rPr>
        <w:t>Betaling, straf og ikrafttræden</w:t>
      </w:r>
    </w:p>
    <w:p w14:paraId="08C8A08C" w14:textId="77777777" w:rsidR="00CF2880" w:rsidRDefault="00CF2880" w:rsidP="00CF2880">
      <w:pPr>
        <w:spacing w:after="0" w:line="240" w:lineRule="auto"/>
        <w:ind w:right="27" w:firstLine="284"/>
        <w:rPr>
          <w:b/>
          <w:highlight w:val="yellow"/>
          <w:lang w:eastAsia="da-DK"/>
        </w:rPr>
      </w:pPr>
    </w:p>
    <w:p w14:paraId="13C3DE4C" w14:textId="5424D539" w:rsidR="00AF0B63" w:rsidRDefault="005C703D" w:rsidP="00D61BD6">
      <w:pPr>
        <w:spacing w:after="0" w:line="240" w:lineRule="auto"/>
        <w:ind w:right="27" w:firstLine="142"/>
        <w:rPr>
          <w:lang w:eastAsia="da-DK"/>
        </w:rPr>
      </w:pPr>
      <w:r w:rsidRPr="00D61BD6">
        <w:rPr>
          <w:b/>
          <w:lang w:eastAsia="da-DK"/>
        </w:rPr>
        <w:t xml:space="preserve">§ </w:t>
      </w:r>
      <w:r w:rsidR="00CF7F0B">
        <w:rPr>
          <w:b/>
          <w:lang w:eastAsia="da-DK"/>
        </w:rPr>
        <w:t>1</w:t>
      </w:r>
      <w:r w:rsidR="00A8109D">
        <w:rPr>
          <w:b/>
          <w:lang w:eastAsia="da-DK"/>
        </w:rPr>
        <w:t>2</w:t>
      </w:r>
      <w:r w:rsidR="00D6415E" w:rsidRPr="00D61BD6">
        <w:rPr>
          <w:b/>
          <w:lang w:eastAsia="da-DK"/>
        </w:rPr>
        <w:t>.</w:t>
      </w:r>
      <w:r w:rsidR="00D6415E">
        <w:rPr>
          <w:lang w:eastAsia="da-DK"/>
        </w:rPr>
        <w:t xml:space="preserve"> </w:t>
      </w:r>
      <w:r w:rsidR="00AF0B63">
        <w:rPr>
          <w:lang w:eastAsia="da-DK"/>
        </w:rPr>
        <w:t>Udgifter til udførelse af foranstaltninger truffet i medfør af denne bekendtgørelse og erstatning afholdes efter reglerne i bekendtgørelse om erstatning og udgifter ved bekæmpelse og forebyggelse af husdyrsygdomme.</w:t>
      </w:r>
    </w:p>
    <w:p w14:paraId="5C33CF5E" w14:textId="77777777" w:rsidR="00D6415E" w:rsidRDefault="00AF0B63" w:rsidP="00AF0B63">
      <w:pPr>
        <w:spacing w:after="0" w:line="240" w:lineRule="auto"/>
        <w:ind w:right="27" w:firstLine="284"/>
        <w:rPr>
          <w:lang w:eastAsia="da-DK"/>
        </w:rPr>
      </w:pPr>
      <w:r w:rsidRPr="00AF0B63">
        <w:rPr>
          <w:i/>
          <w:lang w:eastAsia="da-DK"/>
        </w:rPr>
        <w:t>Stk. 2.</w:t>
      </w:r>
      <w:r>
        <w:rPr>
          <w:lang w:eastAsia="da-DK"/>
        </w:rPr>
        <w:t xml:space="preserve"> Alle andre udgifter end de i stk. 1 nævnte er Fødevarestyrelsen uvedkommende.</w:t>
      </w:r>
    </w:p>
    <w:p w14:paraId="4AA7271C" w14:textId="77777777" w:rsidR="00CF2880" w:rsidRDefault="00CF2880" w:rsidP="00CF2880">
      <w:pPr>
        <w:spacing w:after="0" w:line="240" w:lineRule="auto"/>
        <w:ind w:right="27" w:firstLine="284"/>
        <w:rPr>
          <w:b/>
          <w:highlight w:val="yellow"/>
          <w:lang w:eastAsia="da-DK"/>
        </w:rPr>
      </w:pPr>
    </w:p>
    <w:p w14:paraId="09942E79" w14:textId="3D238C00" w:rsidR="00D6415E" w:rsidRDefault="005C703D" w:rsidP="00D61BD6">
      <w:pPr>
        <w:spacing w:after="0" w:line="240" w:lineRule="auto"/>
        <w:ind w:right="27" w:firstLine="142"/>
        <w:rPr>
          <w:sz w:val="20"/>
          <w:szCs w:val="20"/>
          <w:lang w:eastAsia="da-DK"/>
        </w:rPr>
      </w:pPr>
      <w:r w:rsidRPr="00D61BD6">
        <w:rPr>
          <w:b/>
          <w:lang w:eastAsia="da-DK"/>
        </w:rPr>
        <w:t xml:space="preserve">§ </w:t>
      </w:r>
      <w:r w:rsidR="00CF7F0B">
        <w:rPr>
          <w:b/>
          <w:lang w:eastAsia="da-DK"/>
        </w:rPr>
        <w:t>1</w:t>
      </w:r>
      <w:r w:rsidR="00A8109D">
        <w:rPr>
          <w:b/>
          <w:lang w:eastAsia="da-DK"/>
        </w:rPr>
        <w:t>3</w:t>
      </w:r>
      <w:r w:rsidR="005A296E" w:rsidRPr="00D61BD6">
        <w:rPr>
          <w:b/>
          <w:lang w:eastAsia="da-DK"/>
        </w:rPr>
        <w:t>.</w:t>
      </w:r>
      <w:r w:rsidR="00D6415E">
        <w:rPr>
          <w:lang w:eastAsia="da-DK"/>
        </w:rPr>
        <w:t xml:space="preserve"> Med bøde straffes den, der</w:t>
      </w:r>
    </w:p>
    <w:p w14:paraId="14C78E82" w14:textId="337C3AF2" w:rsidR="00D6415E" w:rsidRDefault="00D6415E" w:rsidP="00C451B7">
      <w:pPr>
        <w:pStyle w:val="Listeafsnit"/>
        <w:numPr>
          <w:ilvl w:val="0"/>
          <w:numId w:val="1"/>
        </w:numPr>
        <w:spacing w:after="0" w:line="240" w:lineRule="auto"/>
        <w:ind w:right="27"/>
        <w:rPr>
          <w:lang w:eastAsia="da-DK"/>
        </w:rPr>
      </w:pPr>
      <w:r>
        <w:rPr>
          <w:lang w:eastAsia="da-DK"/>
        </w:rPr>
        <w:t xml:space="preserve">overtræder </w:t>
      </w:r>
      <w:r w:rsidR="002E181F">
        <w:rPr>
          <w:lang w:eastAsia="da-DK"/>
        </w:rPr>
        <w:t xml:space="preserve">§ </w:t>
      </w:r>
      <w:r w:rsidR="00523CFF">
        <w:rPr>
          <w:lang w:eastAsia="da-DK"/>
        </w:rPr>
        <w:t>4</w:t>
      </w:r>
      <w:r w:rsidR="002E181F">
        <w:rPr>
          <w:lang w:eastAsia="da-DK"/>
        </w:rPr>
        <w:t xml:space="preserve"> og </w:t>
      </w:r>
      <w:r>
        <w:rPr>
          <w:lang w:eastAsia="da-DK"/>
        </w:rPr>
        <w:t>§</w:t>
      </w:r>
      <w:r w:rsidR="00D76853">
        <w:rPr>
          <w:lang w:eastAsia="da-DK"/>
        </w:rPr>
        <w:t>§</w:t>
      </w:r>
      <w:r>
        <w:rPr>
          <w:lang w:eastAsia="da-DK"/>
        </w:rPr>
        <w:t xml:space="preserve"> </w:t>
      </w:r>
      <w:r w:rsidR="00523CFF">
        <w:rPr>
          <w:lang w:eastAsia="da-DK"/>
        </w:rPr>
        <w:t>6</w:t>
      </w:r>
      <w:r w:rsidR="00076EB9">
        <w:rPr>
          <w:lang w:eastAsia="da-DK"/>
        </w:rPr>
        <w:t>-</w:t>
      </w:r>
      <w:r w:rsidR="002E181F">
        <w:rPr>
          <w:lang w:eastAsia="da-DK"/>
        </w:rPr>
        <w:t>1</w:t>
      </w:r>
      <w:r w:rsidR="00523CFF">
        <w:rPr>
          <w:lang w:eastAsia="da-DK"/>
        </w:rPr>
        <w:t>1</w:t>
      </w:r>
      <w:r>
        <w:rPr>
          <w:lang w:eastAsia="da-DK"/>
        </w:rPr>
        <w:t xml:space="preserve">, </w:t>
      </w:r>
      <w:r w:rsidR="00B354C3">
        <w:rPr>
          <w:lang w:eastAsia="da-DK"/>
        </w:rPr>
        <w:t>og</w:t>
      </w:r>
    </w:p>
    <w:p w14:paraId="46B2CDB2" w14:textId="1A2823C9" w:rsidR="00D6415E" w:rsidRDefault="00D6415E" w:rsidP="00C451B7">
      <w:pPr>
        <w:pStyle w:val="Listeafsnit"/>
        <w:numPr>
          <w:ilvl w:val="0"/>
          <w:numId w:val="1"/>
        </w:numPr>
        <w:spacing w:after="0" w:line="240" w:lineRule="auto"/>
        <w:ind w:right="27"/>
        <w:rPr>
          <w:lang w:eastAsia="da-DK"/>
        </w:rPr>
      </w:pPr>
      <w:r>
        <w:rPr>
          <w:lang w:eastAsia="da-DK"/>
        </w:rPr>
        <w:t>undlader at efterkomme påbud elle</w:t>
      </w:r>
      <w:r w:rsidR="005C703D">
        <w:rPr>
          <w:lang w:eastAsia="da-DK"/>
        </w:rPr>
        <w:t xml:space="preserve">r forbud udstedt i medfør af § </w:t>
      </w:r>
      <w:r w:rsidR="00523CFF">
        <w:rPr>
          <w:lang w:eastAsia="da-DK"/>
        </w:rPr>
        <w:t>5</w:t>
      </w:r>
      <w:r>
        <w:rPr>
          <w:lang w:eastAsia="da-DK"/>
        </w:rPr>
        <w:t>.</w:t>
      </w:r>
    </w:p>
    <w:p w14:paraId="5489EF8B" w14:textId="77777777" w:rsidR="00D6415E" w:rsidRDefault="00D6415E" w:rsidP="00CF2880">
      <w:pPr>
        <w:spacing w:after="0" w:line="240" w:lineRule="auto"/>
        <w:ind w:right="27" w:firstLine="284"/>
        <w:rPr>
          <w:lang w:eastAsia="da-DK"/>
        </w:rPr>
      </w:pPr>
      <w:r w:rsidRPr="00CF2880">
        <w:rPr>
          <w:i/>
          <w:lang w:eastAsia="da-DK"/>
        </w:rPr>
        <w:t>Stk. 2.</w:t>
      </w:r>
      <w:r>
        <w:rPr>
          <w:lang w:eastAsia="da-DK"/>
        </w:rPr>
        <w:t xml:space="preserve"> Der kan pålægges selskaber m.v. (juridiske personer) strafansvar efter reglerne i straffelovens 5. kapitel.</w:t>
      </w:r>
    </w:p>
    <w:p w14:paraId="4AB78515" w14:textId="77777777" w:rsidR="00CF2880" w:rsidRDefault="00CF2880" w:rsidP="00CF2880">
      <w:pPr>
        <w:spacing w:after="0" w:line="240" w:lineRule="auto"/>
        <w:ind w:right="27" w:firstLine="284"/>
        <w:rPr>
          <w:b/>
          <w:highlight w:val="yellow"/>
          <w:lang w:eastAsia="da-DK"/>
        </w:rPr>
      </w:pPr>
    </w:p>
    <w:p w14:paraId="7D794B72" w14:textId="209FC61C" w:rsidR="00CF2880" w:rsidRDefault="005C703D" w:rsidP="00D61BD6">
      <w:pPr>
        <w:spacing w:after="0" w:line="240" w:lineRule="auto"/>
        <w:ind w:right="27" w:firstLine="142"/>
        <w:rPr>
          <w:lang w:eastAsia="da-DK"/>
        </w:rPr>
      </w:pPr>
      <w:r w:rsidRPr="00D61BD6">
        <w:rPr>
          <w:b/>
          <w:lang w:eastAsia="da-DK"/>
        </w:rPr>
        <w:t>§</w:t>
      </w:r>
      <w:r w:rsidR="005A296E" w:rsidRPr="00D61BD6">
        <w:rPr>
          <w:b/>
          <w:lang w:eastAsia="da-DK"/>
        </w:rPr>
        <w:t xml:space="preserve"> 1</w:t>
      </w:r>
      <w:r w:rsidR="00A8109D">
        <w:rPr>
          <w:b/>
          <w:lang w:eastAsia="da-DK"/>
        </w:rPr>
        <w:t>4</w:t>
      </w:r>
      <w:r w:rsidR="005A296E" w:rsidRPr="00D61BD6">
        <w:rPr>
          <w:b/>
          <w:lang w:eastAsia="da-DK"/>
        </w:rPr>
        <w:t>.</w:t>
      </w:r>
      <w:r w:rsidR="00D6415E">
        <w:rPr>
          <w:lang w:eastAsia="da-DK"/>
        </w:rPr>
        <w:t xml:space="preserve"> Bekendtgørelsen træder i kraft den </w:t>
      </w:r>
      <w:r w:rsidR="00523CFF">
        <w:rPr>
          <w:lang w:eastAsia="da-DK"/>
        </w:rPr>
        <w:t>xx.xxx</w:t>
      </w:r>
      <w:r w:rsidR="000076E5">
        <w:rPr>
          <w:lang w:eastAsia="da-DK"/>
        </w:rPr>
        <w:t xml:space="preserve"> 2021</w:t>
      </w:r>
      <w:r w:rsidR="00D6415E">
        <w:rPr>
          <w:lang w:eastAsia="da-DK"/>
        </w:rPr>
        <w:t>.</w:t>
      </w:r>
    </w:p>
    <w:p w14:paraId="315045EF" w14:textId="77777777" w:rsidR="009845BA" w:rsidRPr="00A063D4" w:rsidRDefault="00D6415E" w:rsidP="005A296E">
      <w:pPr>
        <w:spacing w:after="0" w:line="240" w:lineRule="auto"/>
        <w:ind w:right="27" w:firstLine="284"/>
        <w:rPr>
          <w:lang w:eastAsia="da-DK"/>
        </w:rPr>
      </w:pPr>
      <w:r w:rsidRPr="00CF2880">
        <w:rPr>
          <w:i/>
          <w:lang w:eastAsia="da-DK"/>
        </w:rPr>
        <w:t>S</w:t>
      </w:r>
      <w:r w:rsidR="00CF2880" w:rsidRPr="00CF2880">
        <w:rPr>
          <w:i/>
          <w:lang w:eastAsia="da-DK"/>
        </w:rPr>
        <w:t>tk. 2.</w:t>
      </w:r>
      <w:r w:rsidR="00CF2880">
        <w:rPr>
          <w:lang w:eastAsia="da-DK"/>
        </w:rPr>
        <w:t xml:space="preserve"> </w:t>
      </w:r>
      <w:r w:rsidR="005C703D">
        <w:rPr>
          <w:lang w:eastAsia="da-DK"/>
        </w:rPr>
        <w:t>Bekendtgørelse nr. 1457 af 12. d</w:t>
      </w:r>
      <w:r w:rsidR="00B95606">
        <w:rPr>
          <w:lang w:eastAsia="da-DK"/>
        </w:rPr>
        <w:t>ecember 2019 om Aujeszkys sygdom</w:t>
      </w:r>
      <w:r w:rsidR="005A296E">
        <w:rPr>
          <w:lang w:eastAsia="da-DK"/>
        </w:rPr>
        <w:t xml:space="preserve"> ophæves.</w:t>
      </w:r>
    </w:p>
    <w:sectPr w:rsidR="009845BA" w:rsidRPr="00A063D4">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831BFA" w14:textId="77777777" w:rsidR="0054256B" w:rsidRDefault="0054256B" w:rsidP="008069E4">
      <w:pPr>
        <w:spacing w:after="0" w:line="240" w:lineRule="auto"/>
      </w:pPr>
      <w:r>
        <w:separator/>
      </w:r>
    </w:p>
  </w:endnote>
  <w:endnote w:type="continuationSeparator" w:id="0">
    <w:p w14:paraId="4042B8FE" w14:textId="77777777" w:rsidR="0054256B" w:rsidRDefault="0054256B" w:rsidP="00806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Questa-Regula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959761"/>
      <w:docPartObj>
        <w:docPartGallery w:val="Page Numbers (Bottom of Page)"/>
        <w:docPartUnique/>
      </w:docPartObj>
    </w:sdtPr>
    <w:sdtEndPr/>
    <w:sdtContent>
      <w:sdt>
        <w:sdtPr>
          <w:id w:val="-1769616900"/>
          <w:docPartObj>
            <w:docPartGallery w:val="Page Numbers (Top of Page)"/>
            <w:docPartUnique/>
          </w:docPartObj>
        </w:sdtPr>
        <w:sdtEndPr/>
        <w:sdtContent>
          <w:p w14:paraId="34179BF7" w14:textId="1F6C8D8A" w:rsidR="00F94E5D" w:rsidRDefault="00F94E5D">
            <w:pPr>
              <w:pStyle w:val="Sidefod"/>
              <w:jc w:val="right"/>
            </w:pPr>
            <w:r>
              <w:t xml:space="preserve">Side </w:t>
            </w:r>
            <w:r>
              <w:rPr>
                <w:b/>
                <w:bCs/>
                <w:sz w:val="24"/>
                <w:szCs w:val="24"/>
              </w:rPr>
              <w:fldChar w:fldCharType="begin"/>
            </w:r>
            <w:r>
              <w:rPr>
                <w:b/>
                <w:bCs/>
              </w:rPr>
              <w:instrText>PAGE</w:instrText>
            </w:r>
            <w:r>
              <w:rPr>
                <w:b/>
                <w:bCs/>
                <w:sz w:val="24"/>
                <w:szCs w:val="24"/>
              </w:rPr>
              <w:fldChar w:fldCharType="separate"/>
            </w:r>
            <w:r w:rsidR="00B05A5E">
              <w:rPr>
                <w:b/>
                <w:bCs/>
                <w:noProof/>
              </w:rPr>
              <w:t>1</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sidR="00B05A5E">
              <w:rPr>
                <w:b/>
                <w:bCs/>
                <w:noProof/>
              </w:rPr>
              <w:t>3</w:t>
            </w:r>
            <w:r>
              <w:rPr>
                <w:b/>
                <w:bCs/>
                <w:sz w:val="24"/>
                <w:szCs w:val="24"/>
              </w:rPr>
              <w:fldChar w:fldCharType="end"/>
            </w:r>
          </w:p>
        </w:sdtContent>
      </w:sdt>
    </w:sdtContent>
  </w:sdt>
  <w:p w14:paraId="08C71891" w14:textId="77777777" w:rsidR="00F94E5D" w:rsidRDefault="00F94E5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3D026" w14:textId="77777777" w:rsidR="0054256B" w:rsidRDefault="0054256B" w:rsidP="008069E4">
      <w:pPr>
        <w:spacing w:after="0" w:line="240" w:lineRule="auto"/>
      </w:pPr>
      <w:r>
        <w:separator/>
      </w:r>
    </w:p>
  </w:footnote>
  <w:footnote w:type="continuationSeparator" w:id="0">
    <w:p w14:paraId="69E565FE" w14:textId="77777777" w:rsidR="0054256B" w:rsidRDefault="0054256B" w:rsidP="008069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D47AB"/>
    <w:multiLevelType w:val="hybridMultilevel"/>
    <w:tmpl w:val="5FB2AE14"/>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C582F79"/>
    <w:multiLevelType w:val="multilevel"/>
    <w:tmpl w:val="EFE6CA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5325ACB"/>
    <w:multiLevelType w:val="hybridMultilevel"/>
    <w:tmpl w:val="BCE6576A"/>
    <w:lvl w:ilvl="0" w:tplc="75746A20">
      <w:start w:val="1"/>
      <w:numFmt w:val="decimal"/>
      <w:lvlText w:val="%1)"/>
      <w:lvlJc w:val="left"/>
      <w:pPr>
        <w:ind w:left="644" w:hanging="360"/>
      </w:pPr>
    </w:lvl>
    <w:lvl w:ilvl="1" w:tplc="04060019">
      <w:start w:val="1"/>
      <w:numFmt w:val="lowerLetter"/>
      <w:lvlText w:val="%2."/>
      <w:lvlJc w:val="left"/>
      <w:pPr>
        <w:ind w:left="1364" w:hanging="360"/>
      </w:pPr>
    </w:lvl>
    <w:lvl w:ilvl="2" w:tplc="0406001B">
      <w:start w:val="1"/>
      <w:numFmt w:val="lowerRoman"/>
      <w:lvlText w:val="%3."/>
      <w:lvlJc w:val="right"/>
      <w:pPr>
        <w:ind w:left="2084" w:hanging="180"/>
      </w:pPr>
    </w:lvl>
    <w:lvl w:ilvl="3" w:tplc="0406000F">
      <w:start w:val="1"/>
      <w:numFmt w:val="decimal"/>
      <w:lvlText w:val="%4."/>
      <w:lvlJc w:val="left"/>
      <w:pPr>
        <w:ind w:left="2804" w:hanging="360"/>
      </w:pPr>
    </w:lvl>
    <w:lvl w:ilvl="4" w:tplc="04060019">
      <w:start w:val="1"/>
      <w:numFmt w:val="lowerLetter"/>
      <w:lvlText w:val="%5."/>
      <w:lvlJc w:val="left"/>
      <w:pPr>
        <w:ind w:left="3524" w:hanging="360"/>
      </w:pPr>
    </w:lvl>
    <w:lvl w:ilvl="5" w:tplc="0406001B">
      <w:start w:val="1"/>
      <w:numFmt w:val="lowerRoman"/>
      <w:lvlText w:val="%6."/>
      <w:lvlJc w:val="right"/>
      <w:pPr>
        <w:ind w:left="4244" w:hanging="180"/>
      </w:pPr>
    </w:lvl>
    <w:lvl w:ilvl="6" w:tplc="0406000F">
      <w:start w:val="1"/>
      <w:numFmt w:val="decimal"/>
      <w:lvlText w:val="%7."/>
      <w:lvlJc w:val="left"/>
      <w:pPr>
        <w:ind w:left="4964" w:hanging="360"/>
      </w:pPr>
    </w:lvl>
    <w:lvl w:ilvl="7" w:tplc="04060019">
      <w:start w:val="1"/>
      <w:numFmt w:val="lowerLetter"/>
      <w:lvlText w:val="%8."/>
      <w:lvlJc w:val="left"/>
      <w:pPr>
        <w:ind w:left="5684" w:hanging="360"/>
      </w:pPr>
    </w:lvl>
    <w:lvl w:ilvl="8" w:tplc="0406001B">
      <w:start w:val="1"/>
      <w:numFmt w:val="lowerRoman"/>
      <w:lvlText w:val="%9."/>
      <w:lvlJc w:val="right"/>
      <w:pPr>
        <w:ind w:left="6404" w:hanging="180"/>
      </w:pPr>
    </w:lvl>
  </w:abstractNum>
  <w:abstractNum w:abstractNumId="3" w15:restartNumberingAfterBreak="0">
    <w:nsid w:val="486B75AC"/>
    <w:multiLevelType w:val="hybridMultilevel"/>
    <w:tmpl w:val="EDBA848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4CCB4F64"/>
    <w:multiLevelType w:val="hybridMultilevel"/>
    <w:tmpl w:val="0B2615DC"/>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790"/>
    <w:rsid w:val="00002C35"/>
    <w:rsid w:val="0000397C"/>
    <w:rsid w:val="00006EF7"/>
    <w:rsid w:val="000076E5"/>
    <w:rsid w:val="00014627"/>
    <w:rsid w:val="0002080E"/>
    <w:rsid w:val="000247ED"/>
    <w:rsid w:val="0003730C"/>
    <w:rsid w:val="000379D9"/>
    <w:rsid w:val="0004089F"/>
    <w:rsid w:val="00046820"/>
    <w:rsid w:val="0005767C"/>
    <w:rsid w:val="00073D41"/>
    <w:rsid w:val="00073F5D"/>
    <w:rsid w:val="00076EB9"/>
    <w:rsid w:val="0009429F"/>
    <w:rsid w:val="00095250"/>
    <w:rsid w:val="000B7B64"/>
    <w:rsid w:val="000D3188"/>
    <w:rsid w:val="000F7451"/>
    <w:rsid w:val="00123F89"/>
    <w:rsid w:val="00136A22"/>
    <w:rsid w:val="00140EA1"/>
    <w:rsid w:val="00160AB1"/>
    <w:rsid w:val="0016626C"/>
    <w:rsid w:val="00170DE0"/>
    <w:rsid w:val="0017621A"/>
    <w:rsid w:val="00193337"/>
    <w:rsid w:val="00193FC6"/>
    <w:rsid w:val="001A273E"/>
    <w:rsid w:val="001C0349"/>
    <w:rsid w:val="001D1494"/>
    <w:rsid w:val="001D5C65"/>
    <w:rsid w:val="001E26DE"/>
    <w:rsid w:val="001E53C1"/>
    <w:rsid w:val="00200B1F"/>
    <w:rsid w:val="00206FB2"/>
    <w:rsid w:val="00213BBD"/>
    <w:rsid w:val="00223646"/>
    <w:rsid w:val="0022516D"/>
    <w:rsid w:val="0022636F"/>
    <w:rsid w:val="002319E2"/>
    <w:rsid w:val="00232B4A"/>
    <w:rsid w:val="00242564"/>
    <w:rsid w:val="00245DE6"/>
    <w:rsid w:val="00255114"/>
    <w:rsid w:val="002575EC"/>
    <w:rsid w:val="0026315B"/>
    <w:rsid w:val="00284C96"/>
    <w:rsid w:val="00297EA7"/>
    <w:rsid w:val="002A1A65"/>
    <w:rsid w:val="002B246C"/>
    <w:rsid w:val="002D6478"/>
    <w:rsid w:val="002E181F"/>
    <w:rsid w:val="002E3CEE"/>
    <w:rsid w:val="002F53D5"/>
    <w:rsid w:val="0031587A"/>
    <w:rsid w:val="00322850"/>
    <w:rsid w:val="00337569"/>
    <w:rsid w:val="0034082D"/>
    <w:rsid w:val="00341ED5"/>
    <w:rsid w:val="00343BA4"/>
    <w:rsid w:val="00353F18"/>
    <w:rsid w:val="003579FA"/>
    <w:rsid w:val="00361EAD"/>
    <w:rsid w:val="0037309E"/>
    <w:rsid w:val="00376908"/>
    <w:rsid w:val="00376BE6"/>
    <w:rsid w:val="0039381A"/>
    <w:rsid w:val="00393A7A"/>
    <w:rsid w:val="003A2619"/>
    <w:rsid w:val="003D64AE"/>
    <w:rsid w:val="003E3313"/>
    <w:rsid w:val="003F2EDB"/>
    <w:rsid w:val="003F5BA7"/>
    <w:rsid w:val="00402684"/>
    <w:rsid w:val="00405A64"/>
    <w:rsid w:val="00411167"/>
    <w:rsid w:val="00421544"/>
    <w:rsid w:val="00425BF5"/>
    <w:rsid w:val="00432E7F"/>
    <w:rsid w:val="00437494"/>
    <w:rsid w:val="0044260B"/>
    <w:rsid w:val="004443A5"/>
    <w:rsid w:val="00445627"/>
    <w:rsid w:val="00456E72"/>
    <w:rsid w:val="00460D6E"/>
    <w:rsid w:val="00465739"/>
    <w:rsid w:val="00467A4D"/>
    <w:rsid w:val="004813BA"/>
    <w:rsid w:val="004920BF"/>
    <w:rsid w:val="0049581C"/>
    <w:rsid w:val="004B01F2"/>
    <w:rsid w:val="004B06EB"/>
    <w:rsid w:val="004B2590"/>
    <w:rsid w:val="004B2F88"/>
    <w:rsid w:val="004B4C57"/>
    <w:rsid w:val="004B73B1"/>
    <w:rsid w:val="004C257C"/>
    <w:rsid w:val="004C6794"/>
    <w:rsid w:val="004D1001"/>
    <w:rsid w:val="004E694B"/>
    <w:rsid w:val="00501432"/>
    <w:rsid w:val="00523CFF"/>
    <w:rsid w:val="005342F4"/>
    <w:rsid w:val="0053733C"/>
    <w:rsid w:val="0054256B"/>
    <w:rsid w:val="0055782D"/>
    <w:rsid w:val="0057537B"/>
    <w:rsid w:val="00581103"/>
    <w:rsid w:val="00586177"/>
    <w:rsid w:val="005A10FB"/>
    <w:rsid w:val="005A15F8"/>
    <w:rsid w:val="005A296E"/>
    <w:rsid w:val="005A3B4A"/>
    <w:rsid w:val="005A6B5D"/>
    <w:rsid w:val="005B00B3"/>
    <w:rsid w:val="005B7B66"/>
    <w:rsid w:val="005C414C"/>
    <w:rsid w:val="005C703D"/>
    <w:rsid w:val="005D7770"/>
    <w:rsid w:val="005F439A"/>
    <w:rsid w:val="005F5453"/>
    <w:rsid w:val="00616BC4"/>
    <w:rsid w:val="00635233"/>
    <w:rsid w:val="00636C93"/>
    <w:rsid w:val="00637B7B"/>
    <w:rsid w:val="0064549D"/>
    <w:rsid w:val="00645ECA"/>
    <w:rsid w:val="00646D7C"/>
    <w:rsid w:val="00653C17"/>
    <w:rsid w:val="0066274D"/>
    <w:rsid w:val="00680183"/>
    <w:rsid w:val="006802D9"/>
    <w:rsid w:val="00686075"/>
    <w:rsid w:val="00694B46"/>
    <w:rsid w:val="0069754B"/>
    <w:rsid w:val="006C62B1"/>
    <w:rsid w:val="006D5E0E"/>
    <w:rsid w:val="006E385E"/>
    <w:rsid w:val="006F14CB"/>
    <w:rsid w:val="006F573E"/>
    <w:rsid w:val="00715690"/>
    <w:rsid w:val="00727A1D"/>
    <w:rsid w:val="00732440"/>
    <w:rsid w:val="0074419E"/>
    <w:rsid w:val="00765F9E"/>
    <w:rsid w:val="0077323E"/>
    <w:rsid w:val="00791441"/>
    <w:rsid w:val="007920AF"/>
    <w:rsid w:val="00797F19"/>
    <w:rsid w:val="007A3723"/>
    <w:rsid w:val="007A4BCD"/>
    <w:rsid w:val="007A5D17"/>
    <w:rsid w:val="007B07E8"/>
    <w:rsid w:val="007B42AF"/>
    <w:rsid w:val="007B7017"/>
    <w:rsid w:val="007B77B5"/>
    <w:rsid w:val="007D10DA"/>
    <w:rsid w:val="007E081F"/>
    <w:rsid w:val="007F3C59"/>
    <w:rsid w:val="007F7090"/>
    <w:rsid w:val="008069E4"/>
    <w:rsid w:val="0081678F"/>
    <w:rsid w:val="00821807"/>
    <w:rsid w:val="008237A7"/>
    <w:rsid w:val="008341CE"/>
    <w:rsid w:val="00835EB5"/>
    <w:rsid w:val="008417D0"/>
    <w:rsid w:val="008430EE"/>
    <w:rsid w:val="0085740F"/>
    <w:rsid w:val="0086342C"/>
    <w:rsid w:val="00874F23"/>
    <w:rsid w:val="00876A2B"/>
    <w:rsid w:val="00882759"/>
    <w:rsid w:val="0088275F"/>
    <w:rsid w:val="00887638"/>
    <w:rsid w:val="008953E4"/>
    <w:rsid w:val="008A0C4F"/>
    <w:rsid w:val="008A3536"/>
    <w:rsid w:val="008B0654"/>
    <w:rsid w:val="008B1CE5"/>
    <w:rsid w:val="008B3905"/>
    <w:rsid w:val="008B5F57"/>
    <w:rsid w:val="008D1B37"/>
    <w:rsid w:val="008E0B39"/>
    <w:rsid w:val="008E5CD8"/>
    <w:rsid w:val="008E70A2"/>
    <w:rsid w:val="008F3998"/>
    <w:rsid w:val="00901275"/>
    <w:rsid w:val="009026EF"/>
    <w:rsid w:val="00903A38"/>
    <w:rsid w:val="009070D0"/>
    <w:rsid w:val="00933665"/>
    <w:rsid w:val="0094290A"/>
    <w:rsid w:val="009454AC"/>
    <w:rsid w:val="0095584C"/>
    <w:rsid w:val="0095717E"/>
    <w:rsid w:val="00961972"/>
    <w:rsid w:val="00961F4E"/>
    <w:rsid w:val="009621E5"/>
    <w:rsid w:val="00962B99"/>
    <w:rsid w:val="009637FC"/>
    <w:rsid w:val="009760D8"/>
    <w:rsid w:val="00983387"/>
    <w:rsid w:val="0098407A"/>
    <w:rsid w:val="009845BA"/>
    <w:rsid w:val="0098485C"/>
    <w:rsid w:val="0099119F"/>
    <w:rsid w:val="009B74DC"/>
    <w:rsid w:val="009C3FF9"/>
    <w:rsid w:val="009D0976"/>
    <w:rsid w:val="009E234E"/>
    <w:rsid w:val="009F2795"/>
    <w:rsid w:val="009F4514"/>
    <w:rsid w:val="009F6653"/>
    <w:rsid w:val="00A007F8"/>
    <w:rsid w:val="00A04A50"/>
    <w:rsid w:val="00A063D4"/>
    <w:rsid w:val="00A12DE0"/>
    <w:rsid w:val="00A13B7B"/>
    <w:rsid w:val="00A161E3"/>
    <w:rsid w:val="00A3516A"/>
    <w:rsid w:val="00A43790"/>
    <w:rsid w:val="00A44D72"/>
    <w:rsid w:val="00A46278"/>
    <w:rsid w:val="00A646D6"/>
    <w:rsid w:val="00A66DB2"/>
    <w:rsid w:val="00A71FE4"/>
    <w:rsid w:val="00A80D27"/>
    <w:rsid w:val="00A8109D"/>
    <w:rsid w:val="00A81C26"/>
    <w:rsid w:val="00A81C81"/>
    <w:rsid w:val="00A82C45"/>
    <w:rsid w:val="00AA016C"/>
    <w:rsid w:val="00AA0E06"/>
    <w:rsid w:val="00AA38EA"/>
    <w:rsid w:val="00AB3DFF"/>
    <w:rsid w:val="00AD126D"/>
    <w:rsid w:val="00AF0B63"/>
    <w:rsid w:val="00AF65E8"/>
    <w:rsid w:val="00B035EE"/>
    <w:rsid w:val="00B0528D"/>
    <w:rsid w:val="00B058E9"/>
    <w:rsid w:val="00B05A5E"/>
    <w:rsid w:val="00B14628"/>
    <w:rsid w:val="00B338EB"/>
    <w:rsid w:val="00B354C3"/>
    <w:rsid w:val="00B42BB5"/>
    <w:rsid w:val="00B5247D"/>
    <w:rsid w:val="00B6675D"/>
    <w:rsid w:val="00B72465"/>
    <w:rsid w:val="00B72793"/>
    <w:rsid w:val="00B72FE4"/>
    <w:rsid w:val="00B75CDE"/>
    <w:rsid w:val="00B93896"/>
    <w:rsid w:val="00B95606"/>
    <w:rsid w:val="00BA136D"/>
    <w:rsid w:val="00BA144D"/>
    <w:rsid w:val="00BD54D1"/>
    <w:rsid w:val="00BD60B6"/>
    <w:rsid w:val="00BE3603"/>
    <w:rsid w:val="00BE4DE1"/>
    <w:rsid w:val="00BE7FA0"/>
    <w:rsid w:val="00BF367C"/>
    <w:rsid w:val="00BF3C24"/>
    <w:rsid w:val="00BF6D59"/>
    <w:rsid w:val="00BF7B33"/>
    <w:rsid w:val="00C02443"/>
    <w:rsid w:val="00C07D68"/>
    <w:rsid w:val="00C07D7E"/>
    <w:rsid w:val="00C173F7"/>
    <w:rsid w:val="00C21B32"/>
    <w:rsid w:val="00C34CD7"/>
    <w:rsid w:val="00C451B7"/>
    <w:rsid w:val="00C4738D"/>
    <w:rsid w:val="00C5010A"/>
    <w:rsid w:val="00C56882"/>
    <w:rsid w:val="00C62027"/>
    <w:rsid w:val="00C651F5"/>
    <w:rsid w:val="00C70E53"/>
    <w:rsid w:val="00C7100E"/>
    <w:rsid w:val="00C741B1"/>
    <w:rsid w:val="00C75ADB"/>
    <w:rsid w:val="00C77C9B"/>
    <w:rsid w:val="00C77F33"/>
    <w:rsid w:val="00C91433"/>
    <w:rsid w:val="00C93368"/>
    <w:rsid w:val="00CB261A"/>
    <w:rsid w:val="00CB771E"/>
    <w:rsid w:val="00CC0C4E"/>
    <w:rsid w:val="00CE0B94"/>
    <w:rsid w:val="00CE172D"/>
    <w:rsid w:val="00CE6F51"/>
    <w:rsid w:val="00CF2880"/>
    <w:rsid w:val="00CF682B"/>
    <w:rsid w:val="00CF7F0B"/>
    <w:rsid w:val="00D02869"/>
    <w:rsid w:val="00D10FDE"/>
    <w:rsid w:val="00D148BD"/>
    <w:rsid w:val="00D150A1"/>
    <w:rsid w:val="00D36B42"/>
    <w:rsid w:val="00D410CE"/>
    <w:rsid w:val="00D56106"/>
    <w:rsid w:val="00D61231"/>
    <w:rsid w:val="00D6184B"/>
    <w:rsid w:val="00D61BD6"/>
    <w:rsid w:val="00D6415E"/>
    <w:rsid w:val="00D65B29"/>
    <w:rsid w:val="00D66B14"/>
    <w:rsid w:val="00D72CF1"/>
    <w:rsid w:val="00D76853"/>
    <w:rsid w:val="00D76BC3"/>
    <w:rsid w:val="00D76DA5"/>
    <w:rsid w:val="00D96AF6"/>
    <w:rsid w:val="00DA3AAF"/>
    <w:rsid w:val="00DA4833"/>
    <w:rsid w:val="00DB36F6"/>
    <w:rsid w:val="00DB38C6"/>
    <w:rsid w:val="00DB3E55"/>
    <w:rsid w:val="00DB45C3"/>
    <w:rsid w:val="00DB4C43"/>
    <w:rsid w:val="00DB70DF"/>
    <w:rsid w:val="00DB7FF7"/>
    <w:rsid w:val="00DC3085"/>
    <w:rsid w:val="00DC718E"/>
    <w:rsid w:val="00DE05EA"/>
    <w:rsid w:val="00DE7A5F"/>
    <w:rsid w:val="00DE7E80"/>
    <w:rsid w:val="00DF1CB9"/>
    <w:rsid w:val="00E03B3E"/>
    <w:rsid w:val="00E120B3"/>
    <w:rsid w:val="00E174DC"/>
    <w:rsid w:val="00E22731"/>
    <w:rsid w:val="00E24BD1"/>
    <w:rsid w:val="00E3428B"/>
    <w:rsid w:val="00E34779"/>
    <w:rsid w:val="00E354C3"/>
    <w:rsid w:val="00E50C73"/>
    <w:rsid w:val="00E50FB3"/>
    <w:rsid w:val="00E5608D"/>
    <w:rsid w:val="00E57894"/>
    <w:rsid w:val="00E6614E"/>
    <w:rsid w:val="00E66473"/>
    <w:rsid w:val="00E704E5"/>
    <w:rsid w:val="00E717B8"/>
    <w:rsid w:val="00E85CF1"/>
    <w:rsid w:val="00E85E7E"/>
    <w:rsid w:val="00E910A7"/>
    <w:rsid w:val="00E962BE"/>
    <w:rsid w:val="00EA509E"/>
    <w:rsid w:val="00EA78EC"/>
    <w:rsid w:val="00EB0F4C"/>
    <w:rsid w:val="00EB1913"/>
    <w:rsid w:val="00EB7AE5"/>
    <w:rsid w:val="00EC2F3B"/>
    <w:rsid w:val="00EE270D"/>
    <w:rsid w:val="00EE7DE5"/>
    <w:rsid w:val="00F011C4"/>
    <w:rsid w:val="00F03BC0"/>
    <w:rsid w:val="00F0491B"/>
    <w:rsid w:val="00F31A8C"/>
    <w:rsid w:val="00F5185B"/>
    <w:rsid w:val="00F64388"/>
    <w:rsid w:val="00F73BF8"/>
    <w:rsid w:val="00F77FD5"/>
    <w:rsid w:val="00F94E5D"/>
    <w:rsid w:val="00FA32A2"/>
    <w:rsid w:val="00FA4172"/>
    <w:rsid w:val="00FB751F"/>
    <w:rsid w:val="00FC13A1"/>
    <w:rsid w:val="00FC7047"/>
    <w:rsid w:val="00FD1A94"/>
    <w:rsid w:val="00FD1D1E"/>
    <w:rsid w:val="00FD2A6B"/>
    <w:rsid w:val="00FD759F"/>
    <w:rsid w:val="00FE0A00"/>
    <w:rsid w:val="00FE2555"/>
    <w:rsid w:val="00FF6AC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7504D"/>
  <w15:chartTrackingRefBased/>
  <w15:docId w15:val="{D3BBBBD5-F5FB-46E7-9153-BE1861667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21A"/>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9070D0"/>
    <w:pPr>
      <w:ind w:left="720"/>
      <w:contextualSpacing/>
    </w:pPr>
  </w:style>
  <w:style w:type="paragraph" w:styleId="Kommentartekst">
    <w:name w:val="annotation text"/>
    <w:basedOn w:val="Normal"/>
    <w:link w:val="KommentartekstTegn"/>
    <w:uiPriority w:val="99"/>
    <w:unhideWhenUsed/>
    <w:rsid w:val="00D6415E"/>
    <w:pPr>
      <w:spacing w:after="200" w:line="240" w:lineRule="auto"/>
    </w:pPr>
    <w:rPr>
      <w:rFonts w:ascii="Georgia" w:hAnsi="Georgia"/>
      <w:sz w:val="20"/>
      <w:szCs w:val="20"/>
    </w:rPr>
  </w:style>
  <w:style w:type="character" w:customStyle="1" w:styleId="KommentartekstTegn">
    <w:name w:val="Kommentartekst Tegn"/>
    <w:basedOn w:val="Standardskrifttypeiafsnit"/>
    <w:link w:val="Kommentartekst"/>
    <w:uiPriority w:val="99"/>
    <w:rsid w:val="00D6415E"/>
    <w:rPr>
      <w:rFonts w:ascii="Georgia" w:hAnsi="Georgia"/>
      <w:sz w:val="20"/>
      <w:szCs w:val="20"/>
    </w:rPr>
  </w:style>
  <w:style w:type="character" w:styleId="Kommentarhenvisning">
    <w:name w:val="annotation reference"/>
    <w:basedOn w:val="Standardskrifttypeiafsnit"/>
    <w:uiPriority w:val="99"/>
    <w:semiHidden/>
    <w:unhideWhenUsed/>
    <w:rsid w:val="00D6415E"/>
    <w:rPr>
      <w:sz w:val="16"/>
      <w:szCs w:val="16"/>
      <w:lang w:val="da-DK"/>
    </w:rPr>
  </w:style>
  <w:style w:type="paragraph" w:styleId="Markeringsbobletekst">
    <w:name w:val="Balloon Text"/>
    <w:basedOn w:val="Normal"/>
    <w:link w:val="MarkeringsbobletekstTegn"/>
    <w:uiPriority w:val="99"/>
    <w:semiHidden/>
    <w:unhideWhenUsed/>
    <w:rsid w:val="00D6415E"/>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D6415E"/>
    <w:rPr>
      <w:rFonts w:ascii="Segoe UI" w:hAnsi="Segoe UI" w:cs="Segoe UI"/>
      <w:sz w:val="18"/>
      <w:szCs w:val="18"/>
    </w:rPr>
  </w:style>
  <w:style w:type="paragraph" w:styleId="Kommentaremne">
    <w:name w:val="annotation subject"/>
    <w:basedOn w:val="Kommentartekst"/>
    <w:next w:val="Kommentartekst"/>
    <w:link w:val="KommentaremneTegn"/>
    <w:uiPriority w:val="99"/>
    <w:semiHidden/>
    <w:unhideWhenUsed/>
    <w:rsid w:val="00797F19"/>
    <w:pPr>
      <w:spacing w:after="160"/>
    </w:pPr>
    <w:rPr>
      <w:rFonts w:asciiTheme="minorHAnsi" w:hAnsiTheme="minorHAnsi"/>
      <w:b/>
      <w:bCs/>
    </w:rPr>
  </w:style>
  <w:style w:type="character" w:customStyle="1" w:styleId="KommentaremneTegn">
    <w:name w:val="Kommentaremne Tegn"/>
    <w:basedOn w:val="KommentartekstTegn"/>
    <w:link w:val="Kommentaremne"/>
    <w:uiPriority w:val="99"/>
    <w:semiHidden/>
    <w:rsid w:val="00797F19"/>
    <w:rPr>
      <w:rFonts w:ascii="Georgia" w:hAnsi="Georgia"/>
      <w:b/>
      <w:bCs/>
      <w:sz w:val="20"/>
      <w:szCs w:val="20"/>
    </w:rPr>
  </w:style>
  <w:style w:type="paragraph" w:customStyle="1" w:styleId="stk2">
    <w:name w:val="stk2"/>
    <w:basedOn w:val="Normal"/>
    <w:rsid w:val="00B14628"/>
    <w:pPr>
      <w:spacing w:after="100" w:afterAutospacing="1" w:line="240" w:lineRule="auto"/>
    </w:pPr>
    <w:rPr>
      <w:rFonts w:ascii="Times New Roman" w:eastAsia="Times New Roman" w:hAnsi="Times New Roman" w:cs="Times New Roman"/>
      <w:sz w:val="24"/>
      <w:szCs w:val="24"/>
      <w:lang w:eastAsia="da-DK"/>
    </w:rPr>
  </w:style>
  <w:style w:type="character" w:customStyle="1" w:styleId="stknr2">
    <w:name w:val="stknr2"/>
    <w:basedOn w:val="Standardskrifttypeiafsnit"/>
    <w:rsid w:val="00B14628"/>
  </w:style>
  <w:style w:type="paragraph" w:styleId="Sidehoved">
    <w:name w:val="header"/>
    <w:basedOn w:val="Normal"/>
    <w:link w:val="SidehovedTegn"/>
    <w:uiPriority w:val="99"/>
    <w:unhideWhenUsed/>
    <w:rsid w:val="008069E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069E4"/>
  </w:style>
  <w:style w:type="paragraph" w:styleId="Sidefod">
    <w:name w:val="footer"/>
    <w:basedOn w:val="Normal"/>
    <w:link w:val="SidefodTegn"/>
    <w:uiPriority w:val="99"/>
    <w:unhideWhenUsed/>
    <w:rsid w:val="008069E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069E4"/>
  </w:style>
  <w:style w:type="paragraph" w:styleId="Fodnotetekst">
    <w:name w:val="footnote text"/>
    <w:basedOn w:val="Normal"/>
    <w:link w:val="FodnotetekstTegn"/>
    <w:uiPriority w:val="99"/>
    <w:semiHidden/>
    <w:unhideWhenUsed/>
    <w:rsid w:val="008B5F57"/>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8B5F57"/>
    <w:rPr>
      <w:sz w:val="20"/>
      <w:szCs w:val="20"/>
    </w:rPr>
  </w:style>
  <w:style w:type="character" w:styleId="Fodnotehenvisning">
    <w:name w:val="footnote reference"/>
    <w:basedOn w:val="Standardskrifttypeiafsnit"/>
    <w:uiPriority w:val="99"/>
    <w:semiHidden/>
    <w:unhideWhenUsed/>
    <w:rsid w:val="008B5F57"/>
    <w:rPr>
      <w:vertAlign w:val="superscript"/>
    </w:rPr>
  </w:style>
  <w:style w:type="paragraph" w:customStyle="1" w:styleId="liste1">
    <w:name w:val="liste1"/>
    <w:basedOn w:val="Normal"/>
    <w:rsid w:val="00B5247D"/>
    <w:pPr>
      <w:spacing w:after="100" w:afterAutospacing="1" w:line="240" w:lineRule="auto"/>
    </w:pPr>
    <w:rPr>
      <w:rFonts w:ascii="Times New Roman" w:eastAsia="Times New Roman" w:hAnsi="Times New Roman" w:cs="Times New Roman"/>
      <w:sz w:val="24"/>
      <w:szCs w:val="24"/>
      <w:lang w:eastAsia="da-DK"/>
    </w:rPr>
  </w:style>
  <w:style w:type="character" w:customStyle="1" w:styleId="liste1nr2">
    <w:name w:val="liste1nr2"/>
    <w:basedOn w:val="Standardskrifttypeiafsnit"/>
    <w:rsid w:val="00B5247D"/>
  </w:style>
  <w:style w:type="paragraph" w:styleId="Korrektur">
    <w:name w:val="Revision"/>
    <w:hidden/>
    <w:uiPriority w:val="99"/>
    <w:semiHidden/>
    <w:rsid w:val="004D1001"/>
    <w:pPr>
      <w:spacing w:after="0" w:line="240" w:lineRule="auto"/>
    </w:pPr>
  </w:style>
  <w:style w:type="table" w:styleId="Tabel-Gitter">
    <w:name w:val="Table Grid"/>
    <w:basedOn w:val="Tabel-Normal"/>
    <w:uiPriority w:val="39"/>
    <w:rsid w:val="008237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518468">
      <w:bodyDiv w:val="1"/>
      <w:marLeft w:val="0"/>
      <w:marRight w:val="0"/>
      <w:marTop w:val="0"/>
      <w:marBottom w:val="0"/>
      <w:divBdr>
        <w:top w:val="none" w:sz="0" w:space="0" w:color="auto"/>
        <w:left w:val="none" w:sz="0" w:space="0" w:color="auto"/>
        <w:bottom w:val="none" w:sz="0" w:space="0" w:color="auto"/>
        <w:right w:val="none" w:sz="0" w:space="0" w:color="auto"/>
      </w:divBdr>
    </w:div>
    <w:div w:id="492451815">
      <w:bodyDiv w:val="1"/>
      <w:marLeft w:val="0"/>
      <w:marRight w:val="0"/>
      <w:marTop w:val="0"/>
      <w:marBottom w:val="0"/>
      <w:divBdr>
        <w:top w:val="none" w:sz="0" w:space="0" w:color="auto"/>
        <w:left w:val="none" w:sz="0" w:space="0" w:color="auto"/>
        <w:bottom w:val="none" w:sz="0" w:space="0" w:color="auto"/>
        <w:right w:val="none" w:sz="0" w:space="0" w:color="auto"/>
      </w:divBdr>
    </w:div>
    <w:div w:id="741024113">
      <w:bodyDiv w:val="1"/>
      <w:marLeft w:val="0"/>
      <w:marRight w:val="0"/>
      <w:marTop w:val="0"/>
      <w:marBottom w:val="0"/>
      <w:divBdr>
        <w:top w:val="none" w:sz="0" w:space="0" w:color="auto"/>
        <w:left w:val="none" w:sz="0" w:space="0" w:color="auto"/>
        <w:bottom w:val="none" w:sz="0" w:space="0" w:color="auto"/>
        <w:right w:val="none" w:sz="0" w:space="0" w:color="auto"/>
      </w:divBdr>
    </w:div>
    <w:div w:id="1005789956">
      <w:bodyDiv w:val="1"/>
      <w:marLeft w:val="0"/>
      <w:marRight w:val="0"/>
      <w:marTop w:val="0"/>
      <w:marBottom w:val="0"/>
      <w:divBdr>
        <w:top w:val="none" w:sz="0" w:space="0" w:color="auto"/>
        <w:left w:val="none" w:sz="0" w:space="0" w:color="auto"/>
        <w:bottom w:val="none" w:sz="0" w:space="0" w:color="auto"/>
        <w:right w:val="none" w:sz="0" w:space="0" w:color="auto"/>
      </w:divBdr>
      <w:divsChild>
        <w:div w:id="880869881">
          <w:marLeft w:val="0"/>
          <w:marRight w:val="0"/>
          <w:marTop w:val="0"/>
          <w:marBottom w:val="0"/>
          <w:divBdr>
            <w:top w:val="none" w:sz="0" w:space="0" w:color="auto"/>
            <w:left w:val="none" w:sz="0" w:space="0" w:color="auto"/>
            <w:bottom w:val="none" w:sz="0" w:space="0" w:color="auto"/>
            <w:right w:val="none" w:sz="0" w:space="0" w:color="auto"/>
          </w:divBdr>
          <w:divsChild>
            <w:div w:id="676620230">
              <w:marLeft w:val="0"/>
              <w:marRight w:val="0"/>
              <w:marTop w:val="0"/>
              <w:marBottom w:val="0"/>
              <w:divBdr>
                <w:top w:val="none" w:sz="0" w:space="0" w:color="auto"/>
                <w:left w:val="none" w:sz="0" w:space="0" w:color="auto"/>
                <w:bottom w:val="none" w:sz="0" w:space="0" w:color="auto"/>
                <w:right w:val="none" w:sz="0" w:space="0" w:color="auto"/>
              </w:divBdr>
              <w:divsChild>
                <w:div w:id="1034308681">
                  <w:marLeft w:val="0"/>
                  <w:marRight w:val="0"/>
                  <w:marTop w:val="0"/>
                  <w:marBottom w:val="0"/>
                  <w:divBdr>
                    <w:top w:val="none" w:sz="0" w:space="0" w:color="auto"/>
                    <w:left w:val="none" w:sz="0" w:space="0" w:color="auto"/>
                    <w:bottom w:val="none" w:sz="0" w:space="0" w:color="auto"/>
                    <w:right w:val="none" w:sz="0" w:space="0" w:color="auto"/>
                  </w:divBdr>
                  <w:divsChild>
                    <w:div w:id="1787692774">
                      <w:marLeft w:val="0"/>
                      <w:marRight w:val="0"/>
                      <w:marTop w:val="0"/>
                      <w:marBottom w:val="0"/>
                      <w:divBdr>
                        <w:top w:val="none" w:sz="0" w:space="0" w:color="auto"/>
                        <w:left w:val="none" w:sz="0" w:space="0" w:color="auto"/>
                        <w:bottom w:val="none" w:sz="0" w:space="0" w:color="auto"/>
                        <w:right w:val="none" w:sz="0" w:space="0" w:color="auto"/>
                      </w:divBdr>
                      <w:divsChild>
                        <w:div w:id="1701199539">
                          <w:marLeft w:val="0"/>
                          <w:marRight w:val="0"/>
                          <w:marTop w:val="0"/>
                          <w:marBottom w:val="0"/>
                          <w:divBdr>
                            <w:top w:val="none" w:sz="0" w:space="0" w:color="auto"/>
                            <w:left w:val="none" w:sz="0" w:space="0" w:color="auto"/>
                            <w:bottom w:val="none" w:sz="0" w:space="0" w:color="auto"/>
                            <w:right w:val="none" w:sz="0" w:space="0" w:color="auto"/>
                          </w:divBdr>
                          <w:divsChild>
                            <w:div w:id="1612203352">
                              <w:marLeft w:val="0"/>
                              <w:marRight w:val="0"/>
                              <w:marTop w:val="0"/>
                              <w:marBottom w:val="0"/>
                              <w:divBdr>
                                <w:top w:val="none" w:sz="0" w:space="0" w:color="auto"/>
                                <w:left w:val="none" w:sz="0" w:space="0" w:color="auto"/>
                                <w:bottom w:val="none" w:sz="0" w:space="0" w:color="auto"/>
                                <w:right w:val="none" w:sz="0" w:space="0" w:color="auto"/>
                              </w:divBdr>
                              <w:divsChild>
                                <w:div w:id="1021588439">
                                  <w:marLeft w:val="-225"/>
                                  <w:marRight w:val="-225"/>
                                  <w:marTop w:val="0"/>
                                  <w:marBottom w:val="0"/>
                                  <w:divBdr>
                                    <w:top w:val="none" w:sz="0" w:space="0" w:color="auto"/>
                                    <w:left w:val="none" w:sz="0" w:space="0" w:color="auto"/>
                                    <w:bottom w:val="none" w:sz="0" w:space="0" w:color="auto"/>
                                    <w:right w:val="none" w:sz="0" w:space="0" w:color="auto"/>
                                  </w:divBdr>
                                  <w:divsChild>
                                    <w:div w:id="1526334466">
                                      <w:marLeft w:val="0"/>
                                      <w:marRight w:val="0"/>
                                      <w:marTop w:val="0"/>
                                      <w:marBottom w:val="0"/>
                                      <w:divBdr>
                                        <w:top w:val="none" w:sz="0" w:space="0" w:color="auto"/>
                                        <w:left w:val="none" w:sz="0" w:space="0" w:color="auto"/>
                                        <w:bottom w:val="none" w:sz="0" w:space="0" w:color="auto"/>
                                        <w:right w:val="none" w:sz="0" w:space="0" w:color="auto"/>
                                      </w:divBdr>
                                      <w:divsChild>
                                        <w:div w:id="58118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8196955">
      <w:bodyDiv w:val="1"/>
      <w:marLeft w:val="0"/>
      <w:marRight w:val="0"/>
      <w:marTop w:val="0"/>
      <w:marBottom w:val="0"/>
      <w:divBdr>
        <w:top w:val="none" w:sz="0" w:space="0" w:color="auto"/>
        <w:left w:val="none" w:sz="0" w:space="0" w:color="auto"/>
        <w:bottom w:val="none" w:sz="0" w:space="0" w:color="auto"/>
        <w:right w:val="none" w:sz="0" w:space="0" w:color="auto"/>
      </w:divBdr>
      <w:divsChild>
        <w:div w:id="46539273">
          <w:marLeft w:val="0"/>
          <w:marRight w:val="0"/>
          <w:marTop w:val="0"/>
          <w:marBottom w:val="0"/>
          <w:divBdr>
            <w:top w:val="none" w:sz="0" w:space="0" w:color="auto"/>
            <w:left w:val="none" w:sz="0" w:space="0" w:color="auto"/>
            <w:bottom w:val="none" w:sz="0" w:space="0" w:color="auto"/>
            <w:right w:val="none" w:sz="0" w:space="0" w:color="auto"/>
          </w:divBdr>
          <w:divsChild>
            <w:div w:id="2127189195">
              <w:marLeft w:val="0"/>
              <w:marRight w:val="0"/>
              <w:marTop w:val="0"/>
              <w:marBottom w:val="0"/>
              <w:divBdr>
                <w:top w:val="none" w:sz="0" w:space="0" w:color="auto"/>
                <w:left w:val="none" w:sz="0" w:space="0" w:color="auto"/>
                <w:bottom w:val="none" w:sz="0" w:space="0" w:color="auto"/>
                <w:right w:val="none" w:sz="0" w:space="0" w:color="auto"/>
              </w:divBdr>
              <w:divsChild>
                <w:div w:id="647786090">
                  <w:marLeft w:val="0"/>
                  <w:marRight w:val="0"/>
                  <w:marTop w:val="0"/>
                  <w:marBottom w:val="0"/>
                  <w:divBdr>
                    <w:top w:val="none" w:sz="0" w:space="0" w:color="auto"/>
                    <w:left w:val="none" w:sz="0" w:space="0" w:color="auto"/>
                    <w:bottom w:val="none" w:sz="0" w:space="0" w:color="auto"/>
                    <w:right w:val="none" w:sz="0" w:space="0" w:color="auto"/>
                  </w:divBdr>
                  <w:divsChild>
                    <w:div w:id="1080516849">
                      <w:marLeft w:val="0"/>
                      <w:marRight w:val="0"/>
                      <w:marTop w:val="0"/>
                      <w:marBottom w:val="0"/>
                      <w:divBdr>
                        <w:top w:val="none" w:sz="0" w:space="0" w:color="auto"/>
                        <w:left w:val="none" w:sz="0" w:space="0" w:color="auto"/>
                        <w:bottom w:val="none" w:sz="0" w:space="0" w:color="auto"/>
                        <w:right w:val="none" w:sz="0" w:space="0" w:color="auto"/>
                      </w:divBdr>
                      <w:divsChild>
                        <w:div w:id="842091981">
                          <w:marLeft w:val="0"/>
                          <w:marRight w:val="0"/>
                          <w:marTop w:val="0"/>
                          <w:marBottom w:val="0"/>
                          <w:divBdr>
                            <w:top w:val="none" w:sz="0" w:space="0" w:color="auto"/>
                            <w:left w:val="none" w:sz="0" w:space="0" w:color="auto"/>
                            <w:bottom w:val="none" w:sz="0" w:space="0" w:color="auto"/>
                            <w:right w:val="none" w:sz="0" w:space="0" w:color="auto"/>
                          </w:divBdr>
                          <w:divsChild>
                            <w:div w:id="1072191475">
                              <w:marLeft w:val="0"/>
                              <w:marRight w:val="0"/>
                              <w:marTop w:val="0"/>
                              <w:marBottom w:val="0"/>
                              <w:divBdr>
                                <w:top w:val="none" w:sz="0" w:space="0" w:color="auto"/>
                                <w:left w:val="none" w:sz="0" w:space="0" w:color="auto"/>
                                <w:bottom w:val="none" w:sz="0" w:space="0" w:color="auto"/>
                                <w:right w:val="none" w:sz="0" w:space="0" w:color="auto"/>
                              </w:divBdr>
                              <w:divsChild>
                                <w:div w:id="1811166250">
                                  <w:marLeft w:val="-225"/>
                                  <w:marRight w:val="-225"/>
                                  <w:marTop w:val="0"/>
                                  <w:marBottom w:val="0"/>
                                  <w:divBdr>
                                    <w:top w:val="none" w:sz="0" w:space="0" w:color="auto"/>
                                    <w:left w:val="none" w:sz="0" w:space="0" w:color="auto"/>
                                    <w:bottom w:val="none" w:sz="0" w:space="0" w:color="auto"/>
                                    <w:right w:val="none" w:sz="0" w:space="0" w:color="auto"/>
                                  </w:divBdr>
                                  <w:divsChild>
                                    <w:div w:id="116527395">
                                      <w:marLeft w:val="0"/>
                                      <w:marRight w:val="0"/>
                                      <w:marTop w:val="0"/>
                                      <w:marBottom w:val="0"/>
                                      <w:divBdr>
                                        <w:top w:val="none" w:sz="0" w:space="0" w:color="auto"/>
                                        <w:left w:val="none" w:sz="0" w:space="0" w:color="auto"/>
                                        <w:bottom w:val="none" w:sz="0" w:space="0" w:color="auto"/>
                                        <w:right w:val="none" w:sz="0" w:space="0" w:color="auto"/>
                                      </w:divBdr>
                                      <w:divsChild>
                                        <w:div w:id="123936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7173991">
      <w:bodyDiv w:val="1"/>
      <w:marLeft w:val="0"/>
      <w:marRight w:val="0"/>
      <w:marTop w:val="0"/>
      <w:marBottom w:val="0"/>
      <w:divBdr>
        <w:top w:val="none" w:sz="0" w:space="0" w:color="auto"/>
        <w:left w:val="none" w:sz="0" w:space="0" w:color="auto"/>
        <w:bottom w:val="none" w:sz="0" w:space="0" w:color="auto"/>
        <w:right w:val="none" w:sz="0" w:space="0" w:color="auto"/>
      </w:divBdr>
      <w:divsChild>
        <w:div w:id="673846292">
          <w:marLeft w:val="0"/>
          <w:marRight w:val="0"/>
          <w:marTop w:val="0"/>
          <w:marBottom w:val="0"/>
          <w:divBdr>
            <w:top w:val="none" w:sz="0" w:space="0" w:color="auto"/>
            <w:left w:val="none" w:sz="0" w:space="0" w:color="auto"/>
            <w:bottom w:val="none" w:sz="0" w:space="0" w:color="auto"/>
            <w:right w:val="none" w:sz="0" w:space="0" w:color="auto"/>
          </w:divBdr>
          <w:divsChild>
            <w:div w:id="997221617">
              <w:marLeft w:val="0"/>
              <w:marRight w:val="0"/>
              <w:marTop w:val="0"/>
              <w:marBottom w:val="0"/>
              <w:divBdr>
                <w:top w:val="none" w:sz="0" w:space="0" w:color="auto"/>
                <w:left w:val="none" w:sz="0" w:space="0" w:color="auto"/>
                <w:bottom w:val="none" w:sz="0" w:space="0" w:color="auto"/>
                <w:right w:val="none" w:sz="0" w:space="0" w:color="auto"/>
              </w:divBdr>
              <w:divsChild>
                <w:div w:id="960652763">
                  <w:marLeft w:val="0"/>
                  <w:marRight w:val="0"/>
                  <w:marTop w:val="0"/>
                  <w:marBottom w:val="0"/>
                  <w:divBdr>
                    <w:top w:val="none" w:sz="0" w:space="0" w:color="auto"/>
                    <w:left w:val="none" w:sz="0" w:space="0" w:color="auto"/>
                    <w:bottom w:val="none" w:sz="0" w:space="0" w:color="auto"/>
                    <w:right w:val="none" w:sz="0" w:space="0" w:color="auto"/>
                  </w:divBdr>
                  <w:divsChild>
                    <w:div w:id="1465805096">
                      <w:marLeft w:val="0"/>
                      <w:marRight w:val="0"/>
                      <w:marTop w:val="0"/>
                      <w:marBottom w:val="0"/>
                      <w:divBdr>
                        <w:top w:val="none" w:sz="0" w:space="0" w:color="auto"/>
                        <w:left w:val="none" w:sz="0" w:space="0" w:color="auto"/>
                        <w:bottom w:val="none" w:sz="0" w:space="0" w:color="auto"/>
                        <w:right w:val="none" w:sz="0" w:space="0" w:color="auto"/>
                      </w:divBdr>
                      <w:divsChild>
                        <w:div w:id="251546628">
                          <w:marLeft w:val="0"/>
                          <w:marRight w:val="0"/>
                          <w:marTop w:val="0"/>
                          <w:marBottom w:val="0"/>
                          <w:divBdr>
                            <w:top w:val="none" w:sz="0" w:space="0" w:color="auto"/>
                            <w:left w:val="none" w:sz="0" w:space="0" w:color="auto"/>
                            <w:bottom w:val="none" w:sz="0" w:space="0" w:color="auto"/>
                            <w:right w:val="none" w:sz="0" w:space="0" w:color="auto"/>
                          </w:divBdr>
                          <w:divsChild>
                            <w:div w:id="1803843402">
                              <w:marLeft w:val="0"/>
                              <w:marRight w:val="0"/>
                              <w:marTop w:val="0"/>
                              <w:marBottom w:val="0"/>
                              <w:divBdr>
                                <w:top w:val="none" w:sz="0" w:space="0" w:color="auto"/>
                                <w:left w:val="none" w:sz="0" w:space="0" w:color="auto"/>
                                <w:bottom w:val="none" w:sz="0" w:space="0" w:color="auto"/>
                                <w:right w:val="none" w:sz="0" w:space="0" w:color="auto"/>
                              </w:divBdr>
                              <w:divsChild>
                                <w:div w:id="1871214103">
                                  <w:marLeft w:val="-225"/>
                                  <w:marRight w:val="-225"/>
                                  <w:marTop w:val="0"/>
                                  <w:marBottom w:val="0"/>
                                  <w:divBdr>
                                    <w:top w:val="none" w:sz="0" w:space="0" w:color="auto"/>
                                    <w:left w:val="none" w:sz="0" w:space="0" w:color="auto"/>
                                    <w:bottom w:val="none" w:sz="0" w:space="0" w:color="auto"/>
                                    <w:right w:val="none" w:sz="0" w:space="0" w:color="auto"/>
                                  </w:divBdr>
                                  <w:divsChild>
                                    <w:div w:id="336159887">
                                      <w:marLeft w:val="0"/>
                                      <w:marRight w:val="0"/>
                                      <w:marTop w:val="0"/>
                                      <w:marBottom w:val="0"/>
                                      <w:divBdr>
                                        <w:top w:val="none" w:sz="0" w:space="0" w:color="auto"/>
                                        <w:left w:val="none" w:sz="0" w:space="0" w:color="auto"/>
                                        <w:bottom w:val="none" w:sz="0" w:space="0" w:color="auto"/>
                                        <w:right w:val="none" w:sz="0" w:space="0" w:color="auto"/>
                                      </w:divBdr>
                                      <w:divsChild>
                                        <w:div w:id="85369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3187586">
      <w:bodyDiv w:val="1"/>
      <w:marLeft w:val="0"/>
      <w:marRight w:val="0"/>
      <w:marTop w:val="0"/>
      <w:marBottom w:val="0"/>
      <w:divBdr>
        <w:top w:val="none" w:sz="0" w:space="0" w:color="auto"/>
        <w:left w:val="none" w:sz="0" w:space="0" w:color="auto"/>
        <w:bottom w:val="none" w:sz="0" w:space="0" w:color="auto"/>
        <w:right w:val="none" w:sz="0" w:space="0" w:color="auto"/>
      </w:divBdr>
    </w:div>
    <w:div w:id="1820341937">
      <w:bodyDiv w:val="1"/>
      <w:marLeft w:val="0"/>
      <w:marRight w:val="0"/>
      <w:marTop w:val="0"/>
      <w:marBottom w:val="0"/>
      <w:divBdr>
        <w:top w:val="none" w:sz="0" w:space="0" w:color="auto"/>
        <w:left w:val="none" w:sz="0" w:space="0" w:color="auto"/>
        <w:bottom w:val="none" w:sz="0" w:space="0" w:color="auto"/>
        <w:right w:val="none" w:sz="0" w:space="0" w:color="auto"/>
      </w:divBdr>
      <w:divsChild>
        <w:div w:id="1813400574">
          <w:marLeft w:val="0"/>
          <w:marRight w:val="0"/>
          <w:marTop w:val="0"/>
          <w:marBottom w:val="0"/>
          <w:divBdr>
            <w:top w:val="none" w:sz="0" w:space="0" w:color="auto"/>
            <w:left w:val="none" w:sz="0" w:space="0" w:color="auto"/>
            <w:bottom w:val="none" w:sz="0" w:space="0" w:color="auto"/>
            <w:right w:val="none" w:sz="0" w:space="0" w:color="auto"/>
          </w:divBdr>
          <w:divsChild>
            <w:div w:id="758334635">
              <w:marLeft w:val="0"/>
              <w:marRight w:val="0"/>
              <w:marTop w:val="0"/>
              <w:marBottom w:val="0"/>
              <w:divBdr>
                <w:top w:val="none" w:sz="0" w:space="0" w:color="auto"/>
                <w:left w:val="none" w:sz="0" w:space="0" w:color="auto"/>
                <w:bottom w:val="none" w:sz="0" w:space="0" w:color="auto"/>
                <w:right w:val="none" w:sz="0" w:space="0" w:color="auto"/>
              </w:divBdr>
              <w:divsChild>
                <w:div w:id="181555984">
                  <w:marLeft w:val="0"/>
                  <w:marRight w:val="0"/>
                  <w:marTop w:val="0"/>
                  <w:marBottom w:val="0"/>
                  <w:divBdr>
                    <w:top w:val="none" w:sz="0" w:space="0" w:color="auto"/>
                    <w:left w:val="none" w:sz="0" w:space="0" w:color="auto"/>
                    <w:bottom w:val="none" w:sz="0" w:space="0" w:color="auto"/>
                    <w:right w:val="none" w:sz="0" w:space="0" w:color="auto"/>
                  </w:divBdr>
                  <w:divsChild>
                    <w:div w:id="119036331">
                      <w:marLeft w:val="0"/>
                      <w:marRight w:val="0"/>
                      <w:marTop w:val="0"/>
                      <w:marBottom w:val="0"/>
                      <w:divBdr>
                        <w:top w:val="none" w:sz="0" w:space="0" w:color="auto"/>
                        <w:left w:val="none" w:sz="0" w:space="0" w:color="auto"/>
                        <w:bottom w:val="none" w:sz="0" w:space="0" w:color="auto"/>
                        <w:right w:val="none" w:sz="0" w:space="0" w:color="auto"/>
                      </w:divBdr>
                      <w:divsChild>
                        <w:div w:id="1283729681">
                          <w:marLeft w:val="0"/>
                          <w:marRight w:val="0"/>
                          <w:marTop w:val="0"/>
                          <w:marBottom w:val="0"/>
                          <w:divBdr>
                            <w:top w:val="none" w:sz="0" w:space="0" w:color="auto"/>
                            <w:left w:val="none" w:sz="0" w:space="0" w:color="auto"/>
                            <w:bottom w:val="none" w:sz="0" w:space="0" w:color="auto"/>
                            <w:right w:val="none" w:sz="0" w:space="0" w:color="auto"/>
                          </w:divBdr>
                          <w:divsChild>
                            <w:div w:id="300354092">
                              <w:marLeft w:val="0"/>
                              <w:marRight w:val="0"/>
                              <w:marTop w:val="0"/>
                              <w:marBottom w:val="0"/>
                              <w:divBdr>
                                <w:top w:val="none" w:sz="0" w:space="0" w:color="auto"/>
                                <w:left w:val="none" w:sz="0" w:space="0" w:color="auto"/>
                                <w:bottom w:val="none" w:sz="0" w:space="0" w:color="auto"/>
                                <w:right w:val="none" w:sz="0" w:space="0" w:color="auto"/>
                              </w:divBdr>
                              <w:divsChild>
                                <w:div w:id="2131507131">
                                  <w:marLeft w:val="-225"/>
                                  <w:marRight w:val="-225"/>
                                  <w:marTop w:val="0"/>
                                  <w:marBottom w:val="0"/>
                                  <w:divBdr>
                                    <w:top w:val="none" w:sz="0" w:space="0" w:color="auto"/>
                                    <w:left w:val="none" w:sz="0" w:space="0" w:color="auto"/>
                                    <w:bottom w:val="none" w:sz="0" w:space="0" w:color="auto"/>
                                    <w:right w:val="none" w:sz="0" w:space="0" w:color="auto"/>
                                  </w:divBdr>
                                  <w:divsChild>
                                    <w:div w:id="1025595922">
                                      <w:marLeft w:val="0"/>
                                      <w:marRight w:val="0"/>
                                      <w:marTop w:val="0"/>
                                      <w:marBottom w:val="0"/>
                                      <w:divBdr>
                                        <w:top w:val="none" w:sz="0" w:space="0" w:color="auto"/>
                                        <w:left w:val="none" w:sz="0" w:space="0" w:color="auto"/>
                                        <w:bottom w:val="none" w:sz="0" w:space="0" w:color="auto"/>
                                        <w:right w:val="none" w:sz="0" w:space="0" w:color="auto"/>
                                      </w:divBdr>
                                      <w:divsChild>
                                        <w:div w:id="200173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8665144">
      <w:bodyDiv w:val="1"/>
      <w:marLeft w:val="0"/>
      <w:marRight w:val="0"/>
      <w:marTop w:val="0"/>
      <w:marBottom w:val="0"/>
      <w:divBdr>
        <w:top w:val="none" w:sz="0" w:space="0" w:color="auto"/>
        <w:left w:val="none" w:sz="0" w:space="0" w:color="auto"/>
        <w:bottom w:val="none" w:sz="0" w:space="0" w:color="auto"/>
        <w:right w:val="none" w:sz="0" w:space="0" w:color="auto"/>
      </w:divBdr>
    </w:div>
    <w:div w:id="1873763960">
      <w:bodyDiv w:val="1"/>
      <w:marLeft w:val="0"/>
      <w:marRight w:val="0"/>
      <w:marTop w:val="0"/>
      <w:marBottom w:val="0"/>
      <w:divBdr>
        <w:top w:val="none" w:sz="0" w:space="0" w:color="auto"/>
        <w:left w:val="none" w:sz="0" w:space="0" w:color="auto"/>
        <w:bottom w:val="none" w:sz="0" w:space="0" w:color="auto"/>
        <w:right w:val="none" w:sz="0" w:space="0" w:color="auto"/>
      </w:divBdr>
    </w:div>
    <w:div w:id="2063557394">
      <w:bodyDiv w:val="1"/>
      <w:marLeft w:val="0"/>
      <w:marRight w:val="0"/>
      <w:marTop w:val="0"/>
      <w:marBottom w:val="0"/>
      <w:divBdr>
        <w:top w:val="none" w:sz="0" w:space="0" w:color="auto"/>
        <w:left w:val="none" w:sz="0" w:space="0" w:color="auto"/>
        <w:bottom w:val="none" w:sz="0" w:space="0" w:color="auto"/>
        <w:right w:val="none" w:sz="0" w:space="0" w:color="auto"/>
      </w:divBdr>
    </w:div>
    <w:div w:id="214735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0B765-2DE8-48C0-BDF7-D1E0D1D0D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907</Words>
  <Characters>5534</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Sisse Berg Wulff (FVST)</dc:creator>
  <cp:keywords/>
  <dc:description/>
  <cp:lastModifiedBy>Sibel Zuferov</cp:lastModifiedBy>
  <cp:revision>2</cp:revision>
  <cp:lastPrinted>2020-11-10T12:31:00Z</cp:lastPrinted>
  <dcterms:created xsi:type="dcterms:W3CDTF">2021-07-08T07:50:00Z</dcterms:created>
  <dcterms:modified xsi:type="dcterms:W3CDTF">2021-07-08T07:50:00Z</dcterms:modified>
</cp:coreProperties>
</file>