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291F" w14:textId="77777777" w:rsidR="00183602" w:rsidRDefault="00CB7F00" w:rsidP="00CB7F00">
      <w:pPr>
        <w:jc w:val="center"/>
        <w:rPr>
          <w:rFonts w:ascii="Georgia" w:hAnsi="Georgia"/>
          <w:b/>
        </w:rPr>
      </w:pPr>
      <w:r w:rsidRPr="00CB7F00">
        <w:rPr>
          <w:rFonts w:ascii="Georgia" w:hAnsi="Georgia"/>
          <w:b/>
        </w:rPr>
        <w:t>Bekendtgørelse om undtagelser fra visse krav om rengøring og desinfektion af transportmidler til klovbærende dyr</w:t>
      </w:r>
    </w:p>
    <w:p w14:paraId="2F1337F8" w14:textId="0BB82894" w:rsidR="00CB7F00" w:rsidRDefault="000231A3" w:rsidP="00CB7F0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 </w:t>
      </w:r>
      <w:r w:rsidR="00CB7F00">
        <w:rPr>
          <w:rFonts w:ascii="Georgia" w:hAnsi="Georgia"/>
        </w:rPr>
        <w:t xml:space="preserve">  I medfør af § 30, stk. 1 og 3, § 34, § 67 og § 70, stk. 3 og 6, i lov om hold af dyr, jf. lovbekendtgørelse nr. 9 af 6. januar 2022, fastsættes efter bemyndigelse i henhold til § 7, nr. 1, og § 10, stk. 1, nr. 1 og 5, i bekendtgørelse nr. 1721 af 30. november 2020 om Fødevarestyrelsens opgaver og beføjelser:</w:t>
      </w:r>
    </w:p>
    <w:p w14:paraId="0F56F74B" w14:textId="77777777" w:rsidR="00CB7F00" w:rsidRDefault="00CB7F00" w:rsidP="00CB7F00">
      <w:pPr>
        <w:spacing w:after="0"/>
        <w:rPr>
          <w:rFonts w:ascii="Georgia" w:hAnsi="Georgia"/>
        </w:rPr>
      </w:pPr>
    </w:p>
    <w:p w14:paraId="1659B5B1" w14:textId="32F97F92" w:rsidR="00CB7F00" w:rsidRDefault="00CB7F00" w:rsidP="00CB7F00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 </w:t>
      </w:r>
      <w:r w:rsidRPr="00CB7F00">
        <w:rPr>
          <w:rFonts w:ascii="Georgia" w:hAnsi="Georgia"/>
          <w:b/>
        </w:rPr>
        <w:t>§ 1.</w:t>
      </w:r>
      <w:r>
        <w:rPr>
          <w:rFonts w:ascii="Georgia" w:hAnsi="Georgia"/>
        </w:rPr>
        <w:t xml:space="preserve"> Denne bekendtgørelse supplerer</w:t>
      </w:r>
      <w:bookmarkStart w:id="0" w:name="_GoBack"/>
      <w:bookmarkEnd w:id="0"/>
    </w:p>
    <w:p w14:paraId="0A9BF8AF" w14:textId="77777777" w:rsidR="00CB7F00" w:rsidRDefault="00CB7F00" w:rsidP="00CB7F00">
      <w:pPr>
        <w:pStyle w:val="Listeafsnit"/>
        <w:numPr>
          <w:ilvl w:val="0"/>
          <w:numId w:val="1"/>
        </w:numPr>
        <w:spacing w:after="0"/>
        <w:rPr>
          <w:rFonts w:ascii="Georgia" w:hAnsi="Georgia"/>
        </w:rPr>
      </w:pPr>
      <w:r w:rsidRPr="00CB7F00">
        <w:rPr>
          <w:rFonts w:ascii="Georgia" w:hAnsi="Georgia"/>
        </w:rPr>
        <w:t>Europa-Parlamentets og Rådets forordning (EU) 2016/429 af 9. marts 2016 om overførbare dyresygdomme og om ændring og ophævelse af visse retsakter på området for dyresundhed (“dyresundhedsloven”), og</w:t>
      </w:r>
    </w:p>
    <w:p w14:paraId="1C9FF997" w14:textId="77777777" w:rsidR="00CB7F00" w:rsidRDefault="00CB7F00" w:rsidP="00CB7F00">
      <w:pPr>
        <w:pStyle w:val="Listeafsnit"/>
        <w:numPr>
          <w:ilvl w:val="0"/>
          <w:numId w:val="1"/>
        </w:numPr>
        <w:spacing w:after="0"/>
        <w:rPr>
          <w:rFonts w:ascii="Georgia" w:hAnsi="Georgia"/>
        </w:rPr>
      </w:pPr>
      <w:r w:rsidRPr="00CB7F00">
        <w:rPr>
          <w:rFonts w:ascii="Georgia" w:hAnsi="Georgia"/>
        </w:rPr>
        <w:t xml:space="preserve">Kommissionens delegerede forordning (EU) 2020/688 af 17. december 2019 om supplerende regler til Europa-Parlamentets og Rådets forordning (EU) 2016/429 for så vidt angår dyresundhedsmæssige krav vedrørende flytning inden for Unionen af landdyr og rugeæg.   </w:t>
      </w:r>
    </w:p>
    <w:p w14:paraId="2BB3CB04" w14:textId="3F8C803A" w:rsidR="009D0FAE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i/>
        </w:rPr>
        <w:t xml:space="preserve">  Stk. 2.</w:t>
      </w:r>
      <w:r>
        <w:rPr>
          <w:rFonts w:ascii="Georgia" w:hAnsi="Georgia"/>
        </w:rPr>
        <w:t xml:space="preserve"> Denne bekendtgørelse finder ikke anvendelse for virksomheder, der beskæftiger sig med sammenbringning af klovbærende dyr eller for slagterier og lignende, hvor klovbærende dyr opholder sig midlertidigt</w:t>
      </w:r>
      <w:r w:rsidR="00605E25">
        <w:rPr>
          <w:rFonts w:ascii="Georgia" w:hAnsi="Georgia"/>
        </w:rPr>
        <w:t xml:space="preserve"> og transport</w:t>
      </w:r>
      <w:r w:rsidR="00BB3309">
        <w:rPr>
          <w:rFonts w:ascii="Georgia" w:hAnsi="Georgia"/>
        </w:rPr>
        <w:t>en</w:t>
      </w:r>
      <w:r w:rsidR="00605E25">
        <w:rPr>
          <w:rFonts w:ascii="Georgia" w:hAnsi="Georgia"/>
        </w:rPr>
        <w:t xml:space="preserve"> hertil</w:t>
      </w:r>
      <w:r>
        <w:rPr>
          <w:rFonts w:ascii="Georgia" w:hAnsi="Georgia"/>
        </w:rPr>
        <w:t>.</w:t>
      </w:r>
    </w:p>
    <w:p w14:paraId="10D0D3D0" w14:textId="77777777" w:rsidR="00CB7F00" w:rsidRDefault="00CB7F00" w:rsidP="00CB7F00">
      <w:pPr>
        <w:spacing w:after="0"/>
        <w:rPr>
          <w:rFonts w:ascii="Georgia" w:hAnsi="Georgia"/>
        </w:rPr>
      </w:pPr>
    </w:p>
    <w:p w14:paraId="6BC99424" w14:textId="4B838DEF" w:rsidR="00CB7F00" w:rsidRDefault="00CB7F00" w:rsidP="00421BB3">
      <w:pPr>
        <w:spacing w:after="0"/>
        <w:rPr>
          <w:rFonts w:ascii="Georgia" w:hAnsi="Georgia"/>
        </w:rPr>
      </w:pPr>
      <w:r w:rsidRPr="00CB7F00">
        <w:rPr>
          <w:rFonts w:ascii="Georgia" w:hAnsi="Georgia"/>
          <w:b/>
        </w:rPr>
        <w:t xml:space="preserve">  § 2.</w:t>
      </w:r>
      <w:r>
        <w:rPr>
          <w:rFonts w:ascii="Georgia" w:hAnsi="Georgia"/>
        </w:rPr>
        <w:t xml:space="preserve"> Definitionerne i de i § 1 nævnte forordninger finder anvendelse i denne bekendtgørelse.</w:t>
      </w:r>
    </w:p>
    <w:p w14:paraId="2F451580" w14:textId="77777777" w:rsidR="00CB7F00" w:rsidRDefault="00CB7F00" w:rsidP="00CB7F00">
      <w:pPr>
        <w:spacing w:after="0"/>
        <w:rPr>
          <w:rFonts w:ascii="Georgia" w:hAnsi="Georgia"/>
        </w:rPr>
      </w:pPr>
    </w:p>
    <w:p w14:paraId="0856A30C" w14:textId="77777777" w:rsid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b/>
        </w:rPr>
        <w:t xml:space="preserve">  § 3.</w:t>
      </w:r>
      <w:r>
        <w:rPr>
          <w:rFonts w:ascii="Georgia" w:hAnsi="Georgia"/>
        </w:rPr>
        <w:t xml:space="preserve"> </w:t>
      </w:r>
      <w:r w:rsidRPr="00CB7F00">
        <w:rPr>
          <w:rFonts w:ascii="Georgia" w:hAnsi="Georgia"/>
        </w:rPr>
        <w:t>Bestemmelsen i artikel 4, litra b, i Kommissionens delegerede forordning (EU) 2020/688 af 17. december 2019 om supplerende regler til Europa-Parlamentets og Rådets forordning (EU) 2016/429 for så vidt angår dyresundhedsmæssige krav vedrørende flytning inden for Unionen af landdyr og rugeæg, finder ikke anvendelse på transport af klovbærende dyr i følgende tilfælde:</w:t>
      </w:r>
    </w:p>
    <w:p w14:paraId="7EB9CB23" w14:textId="4D56801D" w:rsidR="00CB7F00" w:rsidRPr="00CB7F00" w:rsidRDefault="00CB7F00" w:rsidP="00CB7F00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CB7F00">
        <w:rPr>
          <w:rFonts w:ascii="Georgia" w:hAnsi="Georgia"/>
        </w:rPr>
        <w:t xml:space="preserve">Hvor dyr fra samme virksomhed transporteres til og fra græsningsareal inden for samme virksomhed, og dyrene ikke har kontakt til </w:t>
      </w:r>
      <w:r w:rsidR="00A644CE">
        <w:rPr>
          <w:rFonts w:ascii="Georgia" w:hAnsi="Georgia"/>
        </w:rPr>
        <w:t xml:space="preserve">klovbærende </w:t>
      </w:r>
      <w:r w:rsidRPr="00CB7F00">
        <w:rPr>
          <w:rFonts w:ascii="Georgia" w:hAnsi="Georgia"/>
        </w:rPr>
        <w:t>dyr fra andre virksomheder.</w:t>
      </w:r>
    </w:p>
    <w:p w14:paraId="38B2FE5E" w14:textId="0575F877" w:rsidR="00CB7F00" w:rsidRPr="00CB7F00" w:rsidRDefault="00CB7F00" w:rsidP="00CB7F00">
      <w:pPr>
        <w:pStyle w:val="Listeafsnit"/>
        <w:numPr>
          <w:ilvl w:val="0"/>
          <w:numId w:val="3"/>
        </w:numPr>
        <w:rPr>
          <w:rFonts w:ascii="Georgia" w:hAnsi="Georgia"/>
        </w:rPr>
      </w:pPr>
      <w:r w:rsidRPr="00CB7F00">
        <w:rPr>
          <w:rFonts w:ascii="Georgia" w:hAnsi="Georgia"/>
        </w:rPr>
        <w:t xml:space="preserve">Hvor dyr køres til og fra græsningsareal på en anden virksomhed, som har samme sundhedsstatus som virksomheden, hvor dyrene kommer fra, og dyrene ikke har kontakt til </w:t>
      </w:r>
      <w:r w:rsidR="00A644CE">
        <w:rPr>
          <w:rFonts w:ascii="Georgia" w:hAnsi="Georgia"/>
        </w:rPr>
        <w:t xml:space="preserve">klovbærende </w:t>
      </w:r>
      <w:r w:rsidRPr="00CB7F00">
        <w:rPr>
          <w:rFonts w:ascii="Georgia" w:hAnsi="Georgia"/>
        </w:rPr>
        <w:t>dyr fra andre virksomheder.</w:t>
      </w:r>
    </w:p>
    <w:p w14:paraId="45D53158" w14:textId="129DEE17" w:rsidR="00CB7F00" w:rsidRDefault="00CB7F00" w:rsidP="00CB7F00">
      <w:pPr>
        <w:pStyle w:val="Listeafsnit"/>
        <w:numPr>
          <w:ilvl w:val="0"/>
          <w:numId w:val="3"/>
        </w:numPr>
        <w:spacing w:after="0"/>
        <w:rPr>
          <w:rFonts w:ascii="Georgia" w:hAnsi="Georgia"/>
        </w:rPr>
      </w:pPr>
      <w:r w:rsidRPr="00CB7F00">
        <w:rPr>
          <w:rFonts w:ascii="Georgia" w:hAnsi="Georgia"/>
        </w:rPr>
        <w:t xml:space="preserve">Hvor dyr flyttes </w:t>
      </w:r>
      <w:r w:rsidR="00A644CE">
        <w:rPr>
          <w:rFonts w:ascii="Georgia" w:hAnsi="Georgia"/>
        </w:rPr>
        <w:t xml:space="preserve">i Danmark </w:t>
      </w:r>
      <w:r w:rsidRPr="00CB7F00">
        <w:rPr>
          <w:rFonts w:ascii="Georgia" w:hAnsi="Georgia"/>
        </w:rPr>
        <w:t xml:space="preserve">mellem virksomheder </w:t>
      </w:r>
      <w:r w:rsidR="0047052E" w:rsidRPr="00CB7F00">
        <w:rPr>
          <w:rFonts w:ascii="Georgia" w:hAnsi="Georgia"/>
        </w:rPr>
        <w:t xml:space="preserve">med samme sundhedsstatus </w:t>
      </w:r>
      <w:r w:rsidRPr="00CB7F00">
        <w:rPr>
          <w:rFonts w:ascii="Georgia" w:hAnsi="Georgia"/>
        </w:rPr>
        <w:t>som led i en integreret produktionskæde.</w:t>
      </w:r>
    </w:p>
    <w:p w14:paraId="1ED2C49A" w14:textId="77777777" w:rsid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i/>
        </w:rPr>
        <w:t xml:space="preserve">  Stk. 2.</w:t>
      </w:r>
      <w:r>
        <w:rPr>
          <w:rFonts w:ascii="Georgia" w:hAnsi="Georgia"/>
        </w:rPr>
        <w:t xml:space="preserve"> Transporter </w:t>
      </w:r>
      <w:r w:rsidRPr="00CB7F00">
        <w:rPr>
          <w:rFonts w:ascii="Georgia" w:hAnsi="Georgia"/>
        </w:rPr>
        <w:t>omfattet af stk. 1, nr. 1, skal foretages af operatøren af virksomheden, og transportmidlet skal rengøres og desinficeres, inden det forlader virksomheden.</w:t>
      </w:r>
    </w:p>
    <w:p w14:paraId="16CD144D" w14:textId="4D1DDB64" w:rsid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i/>
        </w:rPr>
        <w:t xml:space="preserve">  Stk. 3.</w:t>
      </w:r>
      <w:r>
        <w:rPr>
          <w:rFonts w:ascii="Georgia" w:hAnsi="Georgia"/>
        </w:rPr>
        <w:t xml:space="preserve"> </w:t>
      </w:r>
      <w:r w:rsidRPr="00CB7F00">
        <w:rPr>
          <w:rFonts w:ascii="Georgia" w:hAnsi="Georgia"/>
        </w:rPr>
        <w:t xml:space="preserve">Ved transporter omfattet af stk. 1, nr. 2 og 3, skal transportmidlet rengøres og desinficeres ved </w:t>
      </w:r>
      <w:r w:rsidR="006679A0">
        <w:rPr>
          <w:rFonts w:ascii="Georgia" w:hAnsi="Georgia"/>
        </w:rPr>
        <w:t xml:space="preserve">hver </w:t>
      </w:r>
      <w:r w:rsidRPr="00CB7F00">
        <w:rPr>
          <w:rFonts w:ascii="Georgia" w:hAnsi="Georgia"/>
        </w:rPr>
        <w:t>dagsafslutning.</w:t>
      </w:r>
    </w:p>
    <w:p w14:paraId="549084F8" w14:textId="77777777" w:rsidR="00CB7F00" w:rsidRDefault="00CB7F00" w:rsidP="00CB7F00">
      <w:pPr>
        <w:spacing w:after="0"/>
        <w:rPr>
          <w:rFonts w:ascii="Georgia" w:hAnsi="Georgia"/>
        </w:rPr>
      </w:pPr>
    </w:p>
    <w:p w14:paraId="474A045F" w14:textId="77777777" w:rsidR="00CB7F00" w:rsidRP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b/>
        </w:rPr>
        <w:t xml:space="preserve">  § 4.</w:t>
      </w:r>
      <w:r>
        <w:rPr>
          <w:rFonts w:ascii="Georgia" w:hAnsi="Georgia"/>
        </w:rPr>
        <w:t xml:space="preserve"> Medmindre </w:t>
      </w:r>
      <w:r w:rsidRPr="00CB7F00">
        <w:rPr>
          <w:rFonts w:ascii="Georgia" w:hAnsi="Georgia"/>
        </w:rPr>
        <w:t>højere straf er forskyldt efter anden lovgivning, straffes med bøde den, der overtræder § 3</w:t>
      </w:r>
      <w:r>
        <w:rPr>
          <w:rFonts w:ascii="Georgia" w:hAnsi="Georgia"/>
        </w:rPr>
        <w:t>, stk. 2 og 3</w:t>
      </w:r>
      <w:r w:rsidRPr="00CB7F00">
        <w:rPr>
          <w:rFonts w:ascii="Georgia" w:hAnsi="Georgia"/>
        </w:rPr>
        <w:t>.</w:t>
      </w:r>
    </w:p>
    <w:p w14:paraId="7D968806" w14:textId="77777777" w:rsid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</w:rPr>
        <w:t xml:space="preserve">  </w:t>
      </w:r>
      <w:r w:rsidRPr="00CB7F00">
        <w:rPr>
          <w:rFonts w:ascii="Georgia" w:hAnsi="Georgia"/>
          <w:i/>
        </w:rPr>
        <w:t>Stk. 2.</w:t>
      </w:r>
      <w:r w:rsidRPr="00CB7F00">
        <w:rPr>
          <w:rFonts w:ascii="Georgia" w:hAnsi="Georgia"/>
        </w:rPr>
        <w:t xml:space="preserve"> Straffen kan stige til fængsel i indtil 2 år, hvis den ved handlingen eller undladelsen skete overtrædelse er begået med fortsæt eller grov uagtsomhed, og der ved overtrædelsen er</w:t>
      </w:r>
    </w:p>
    <w:p w14:paraId="12ED5461" w14:textId="77777777" w:rsidR="00CB7F00" w:rsidRDefault="00CB7F00" w:rsidP="00CB7F00">
      <w:pPr>
        <w:pStyle w:val="Listeafsnit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forvoldt skade på menneskers eller dyrs sundhed eller fremkaldt fare herfor, eller</w:t>
      </w:r>
    </w:p>
    <w:p w14:paraId="35CACD01" w14:textId="77777777" w:rsidR="00CB7F00" w:rsidRDefault="00CB7F00" w:rsidP="00CB7F00">
      <w:pPr>
        <w:pStyle w:val="Listeafsnit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opnået </w:t>
      </w:r>
      <w:r w:rsidRPr="00CB7F00">
        <w:rPr>
          <w:rFonts w:ascii="Georgia" w:hAnsi="Georgia"/>
        </w:rPr>
        <w:t>eller tilsigtet opnået en økonomisk fordel for den pågældende selv eller andre, herunder ved besparelser.</w:t>
      </w:r>
    </w:p>
    <w:p w14:paraId="402768F1" w14:textId="77777777" w:rsid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i/>
        </w:rPr>
        <w:t xml:space="preserve">  Stk. 3.</w:t>
      </w:r>
      <w:r>
        <w:rPr>
          <w:rFonts w:ascii="Georgia" w:hAnsi="Georgia"/>
        </w:rPr>
        <w:t xml:space="preserve"> Der </w:t>
      </w:r>
      <w:r w:rsidRPr="00CB7F00">
        <w:rPr>
          <w:rFonts w:ascii="Georgia" w:hAnsi="Georgia"/>
        </w:rPr>
        <w:t>kan pålægges selskaber m.v. (juridiske personer) strafansvar efter reglerne i straffelovens 5. kapitel.</w:t>
      </w:r>
    </w:p>
    <w:p w14:paraId="42F1CDA0" w14:textId="77777777" w:rsidR="00CB7F00" w:rsidRDefault="00CB7F00" w:rsidP="00CB7F00">
      <w:pPr>
        <w:spacing w:after="0"/>
        <w:rPr>
          <w:rFonts w:ascii="Georgia" w:hAnsi="Georgia"/>
        </w:rPr>
      </w:pPr>
    </w:p>
    <w:p w14:paraId="516A586D" w14:textId="1BC1588C" w:rsid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b/>
        </w:rPr>
        <w:t xml:space="preserve">  § 5.</w:t>
      </w:r>
      <w:r>
        <w:rPr>
          <w:rFonts w:ascii="Georgia" w:hAnsi="Georgia"/>
        </w:rPr>
        <w:t xml:space="preserve"> Bekendtgørelsen træder i kraft den 1. </w:t>
      </w:r>
      <w:r w:rsidR="000231A3">
        <w:rPr>
          <w:rFonts w:ascii="Georgia" w:hAnsi="Georgia"/>
        </w:rPr>
        <w:t>september</w:t>
      </w:r>
      <w:r>
        <w:rPr>
          <w:rFonts w:ascii="Georgia" w:hAnsi="Georgia"/>
        </w:rPr>
        <w:t xml:space="preserve"> 2023. </w:t>
      </w:r>
    </w:p>
    <w:p w14:paraId="77CF3D9D" w14:textId="77777777" w:rsidR="00CB7F00" w:rsidRPr="00CB7F00" w:rsidRDefault="00CB7F00" w:rsidP="00CB7F00">
      <w:pPr>
        <w:spacing w:after="0"/>
        <w:rPr>
          <w:rFonts w:ascii="Georgia" w:hAnsi="Georgia"/>
        </w:rPr>
      </w:pPr>
      <w:r w:rsidRPr="00CB7F00">
        <w:rPr>
          <w:rFonts w:ascii="Georgia" w:hAnsi="Georgia"/>
          <w:i/>
        </w:rPr>
        <w:lastRenderedPageBreak/>
        <w:t xml:space="preserve">  Stk. 2.</w:t>
      </w:r>
      <w:r>
        <w:rPr>
          <w:rFonts w:ascii="Georgia" w:hAnsi="Georgia"/>
        </w:rPr>
        <w:t xml:space="preserve"> </w:t>
      </w:r>
      <w:r w:rsidRPr="00CB7F00">
        <w:rPr>
          <w:rFonts w:ascii="Georgia" w:hAnsi="Georgia"/>
        </w:rPr>
        <w:t>Bekendtgørelse nr. 1312 af 30. november 2010 om rengøring og desinfektion af transportmidler til klovbærende dyr ophæves.</w:t>
      </w:r>
    </w:p>
    <w:sectPr w:rsidR="00CB7F00" w:rsidRPr="00CB7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055C0" w14:textId="77777777" w:rsidR="00B9270E" w:rsidRDefault="00B9270E" w:rsidP="000231A3">
      <w:pPr>
        <w:spacing w:after="0" w:line="240" w:lineRule="auto"/>
      </w:pPr>
      <w:r>
        <w:separator/>
      </w:r>
    </w:p>
  </w:endnote>
  <w:endnote w:type="continuationSeparator" w:id="0">
    <w:p w14:paraId="35E09004" w14:textId="77777777" w:rsidR="00B9270E" w:rsidRDefault="00B9270E" w:rsidP="0002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CB93" w14:textId="77777777" w:rsidR="000231A3" w:rsidRDefault="000231A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FEE7D" w14:textId="77777777" w:rsidR="000231A3" w:rsidRDefault="000231A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88A8F" w14:textId="77777777" w:rsidR="000231A3" w:rsidRDefault="000231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3C93" w14:textId="77777777" w:rsidR="00B9270E" w:rsidRDefault="00B9270E" w:rsidP="000231A3">
      <w:pPr>
        <w:spacing w:after="0" w:line="240" w:lineRule="auto"/>
      </w:pPr>
      <w:r>
        <w:separator/>
      </w:r>
    </w:p>
  </w:footnote>
  <w:footnote w:type="continuationSeparator" w:id="0">
    <w:p w14:paraId="28698DB3" w14:textId="77777777" w:rsidR="00B9270E" w:rsidRDefault="00B9270E" w:rsidP="0002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2985" w14:textId="5E7BCD7D" w:rsidR="000231A3" w:rsidRDefault="000231A3">
    <w:pPr>
      <w:pStyle w:val="Sidehoved"/>
    </w:pPr>
    <w:r>
      <w:rPr>
        <w:noProof/>
      </w:rPr>
      <w:pict w14:anchorId="6CC1B6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48844" o:spid="_x0000_s2050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CE026" w14:textId="4A2134F7" w:rsidR="000231A3" w:rsidRDefault="000231A3">
    <w:pPr>
      <w:pStyle w:val="Sidehoved"/>
    </w:pPr>
    <w:r>
      <w:rPr>
        <w:noProof/>
      </w:rPr>
      <w:pict w14:anchorId="0E0DF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48845" o:spid="_x0000_s2051" type="#_x0000_t136" style="position:absolute;margin-left:0;margin-top:0;width:452.95pt;height:22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B024D" w14:textId="74A0DB48" w:rsidR="000231A3" w:rsidRDefault="000231A3">
    <w:pPr>
      <w:pStyle w:val="Sidehoved"/>
    </w:pPr>
    <w:r>
      <w:rPr>
        <w:noProof/>
      </w:rPr>
      <w:pict w14:anchorId="043808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48843" o:spid="_x0000_s2049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DKA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63E7"/>
    <w:multiLevelType w:val="hybridMultilevel"/>
    <w:tmpl w:val="0CE4C2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23E4"/>
    <w:multiLevelType w:val="hybridMultilevel"/>
    <w:tmpl w:val="9ED6F8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D0F86090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F41D7"/>
    <w:multiLevelType w:val="hybridMultilevel"/>
    <w:tmpl w:val="7EFAA99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56E4"/>
    <w:multiLevelType w:val="hybridMultilevel"/>
    <w:tmpl w:val="8A160D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CgU7ZlylHn+pLlkKtuTMD0Rw9qo4PVssiRuYHUhTmHH8rzJ+ow1DrKEURDJXth0M"/>
  </w:docVars>
  <w:rsids>
    <w:rsidRoot w:val="00CB7F00"/>
    <w:rsid w:val="000231A3"/>
    <w:rsid w:val="0004582B"/>
    <w:rsid w:val="0006000A"/>
    <w:rsid w:val="00182005"/>
    <w:rsid w:val="00183602"/>
    <w:rsid w:val="00221BDF"/>
    <w:rsid w:val="003F0965"/>
    <w:rsid w:val="00421BB3"/>
    <w:rsid w:val="0047052E"/>
    <w:rsid w:val="00605E25"/>
    <w:rsid w:val="006679A0"/>
    <w:rsid w:val="009D0FAE"/>
    <w:rsid w:val="00A644CE"/>
    <w:rsid w:val="00AB011E"/>
    <w:rsid w:val="00AD5E47"/>
    <w:rsid w:val="00B80BD2"/>
    <w:rsid w:val="00B8227C"/>
    <w:rsid w:val="00B9270E"/>
    <w:rsid w:val="00BB3309"/>
    <w:rsid w:val="00BF1E31"/>
    <w:rsid w:val="00C742B1"/>
    <w:rsid w:val="00CB7F00"/>
    <w:rsid w:val="00CE76BC"/>
    <w:rsid w:val="00E174F0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7C6106"/>
  <w15:chartTrackingRefBased/>
  <w15:docId w15:val="{1901B206-92B0-4E79-9784-927E5168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7F0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B7F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B7F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B7F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7F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7F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F0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E174F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3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31A3"/>
  </w:style>
  <w:style w:type="paragraph" w:styleId="Sidefod">
    <w:name w:val="footer"/>
    <w:basedOn w:val="Normal"/>
    <w:link w:val="SidefodTegn"/>
    <w:uiPriority w:val="99"/>
    <w:unhideWhenUsed/>
    <w:rsid w:val="00023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3363-A11F-4EA5-8083-C5583EEE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Kaaber Sørensen</dc:creator>
  <cp:keywords/>
  <dc:description/>
  <cp:lastModifiedBy>Cathrine Kaaber Sørensen</cp:lastModifiedBy>
  <cp:revision>2</cp:revision>
  <dcterms:created xsi:type="dcterms:W3CDTF">2023-06-30T10:29:00Z</dcterms:created>
  <dcterms:modified xsi:type="dcterms:W3CDTF">2023-06-30T10:29:00Z</dcterms:modified>
</cp:coreProperties>
</file>