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16"/>
        <w:gridCol w:w="1939"/>
      </w:tblGrid>
      <w:tr w:rsidR="005271D6" w:rsidRPr="00327370" w14:paraId="4DB4B645" w14:textId="77777777" w:rsidTr="003F319A">
        <w:trPr>
          <w:cantSplit/>
          <w:trHeight w:val="2600"/>
        </w:trPr>
        <w:tc>
          <w:tcPr>
            <w:tcW w:w="7116" w:type="dxa"/>
          </w:tcPr>
          <w:p w14:paraId="08BEAA83" w14:textId="38CBD93E" w:rsidR="005271D6" w:rsidRPr="00327370" w:rsidRDefault="00991049" w:rsidP="00353FAA">
            <w:r>
              <w:t>HØRINGSNOTAT</w:t>
            </w:r>
          </w:p>
          <w:p w14:paraId="15A025D4" w14:textId="77777777" w:rsidR="005271D6" w:rsidRPr="00327370" w:rsidRDefault="005271D6" w:rsidP="00353FAA"/>
          <w:p w14:paraId="3BD7FF5F" w14:textId="77777777" w:rsidR="00E46DA0" w:rsidRPr="00327370" w:rsidRDefault="00E46DA0" w:rsidP="00E46DA0"/>
          <w:p w14:paraId="686CB2AE" w14:textId="77777777" w:rsidR="007F73B3" w:rsidRPr="00327370" w:rsidRDefault="007F73B3" w:rsidP="00327370"/>
        </w:tc>
        <w:tc>
          <w:tcPr>
            <w:tcW w:w="1939" w:type="dxa"/>
          </w:tcPr>
          <w:p w14:paraId="2D0FAEE1" w14:textId="77777777" w:rsidR="005271D6" w:rsidRPr="00327370" w:rsidRDefault="005271D6" w:rsidP="00557A69"/>
        </w:tc>
      </w:tr>
    </w:tbl>
    <w:p w14:paraId="28C14850" w14:textId="77777777" w:rsidR="00327370" w:rsidRDefault="00327370" w:rsidP="00FE7E77"/>
    <w:p w14:paraId="19FFF756" w14:textId="77777777" w:rsidR="00327370" w:rsidRDefault="00327370" w:rsidP="00FE7E77"/>
    <w:p w14:paraId="64B0CE4E" w14:textId="6913D63A" w:rsidR="004C144C" w:rsidRPr="00EB27FC" w:rsidRDefault="00327370" w:rsidP="00AC1C10">
      <w:pPr>
        <w:rPr>
          <w:rFonts w:asciiTheme="majorHAnsi" w:hAnsiTheme="majorHAnsi"/>
          <w:i/>
          <w:iCs/>
        </w:rPr>
      </w:pPr>
      <w:r w:rsidRPr="00327370">
        <w:rPr>
          <w:b/>
          <w:sz w:val="22"/>
          <w:szCs w:val="22"/>
        </w:rPr>
        <w:t>Høringsnotat</w:t>
      </w:r>
      <w:r w:rsidR="000F27E2">
        <w:rPr>
          <w:b/>
          <w:sz w:val="22"/>
          <w:szCs w:val="22"/>
        </w:rPr>
        <w:t xml:space="preserve"> til fem bekendtgørelser på drikkevandsområdet</w:t>
      </w:r>
    </w:p>
    <w:p w14:paraId="6DE7657C" w14:textId="77777777" w:rsidR="004C144C" w:rsidRDefault="004C144C" w:rsidP="004B5CF4"/>
    <w:p w14:paraId="775BA727" w14:textId="4D45D80F" w:rsidR="00AC1C10" w:rsidRDefault="005B3EC9" w:rsidP="004B5CF4">
      <w:r>
        <w:t xml:space="preserve">De fem bekendtgørelser har været i høring fra den </w:t>
      </w:r>
      <w:r w:rsidR="00F03F3C">
        <w:t>23. september</w:t>
      </w:r>
      <w:r>
        <w:t xml:space="preserve"> til og med den 2</w:t>
      </w:r>
      <w:r w:rsidR="00296826">
        <w:t>0</w:t>
      </w:r>
      <w:r>
        <w:t>. oktober 2025.</w:t>
      </w:r>
    </w:p>
    <w:p w14:paraId="4AEEDFA2" w14:textId="77777777" w:rsidR="005B3EC9" w:rsidRDefault="005B3EC9" w:rsidP="004B5CF4"/>
    <w:p w14:paraId="095528D7" w14:textId="3C65596D" w:rsidR="005B3EC9" w:rsidRDefault="005B3EC9" w:rsidP="004B5CF4">
      <w:r>
        <w:t xml:space="preserve">Miljø- og Ligestillingsministeriet har modtaget </w:t>
      </w:r>
      <w:r w:rsidR="002C0A70">
        <w:t>8</w:t>
      </w:r>
      <w:r w:rsidR="009B0D36">
        <w:t xml:space="preserve"> </w:t>
      </w:r>
      <w:r>
        <w:t>høringssvar med indholdsmæssige bemærkninger til bekendtgørelserne.</w:t>
      </w:r>
    </w:p>
    <w:p w14:paraId="0F5541B9" w14:textId="77777777" w:rsidR="005B3EC9" w:rsidRDefault="005B3EC9" w:rsidP="004B5CF4"/>
    <w:p w14:paraId="75BF4E3B" w14:textId="68CB3143" w:rsidR="005B3EC9" w:rsidRDefault="005B3EC9" w:rsidP="004B5CF4">
      <w:r>
        <w:t>Høringssvarene kommer fra</w:t>
      </w:r>
      <w:r w:rsidR="00690991">
        <w:t xml:space="preserve"> Aalborg Kommune, </w:t>
      </w:r>
      <w:r w:rsidR="000D235F">
        <w:t xml:space="preserve">Bryggeriforeningen, </w:t>
      </w:r>
      <w:r w:rsidR="00690991">
        <w:t>Bæredygtigt Landbrug,</w:t>
      </w:r>
      <w:r w:rsidR="008267D8">
        <w:t xml:space="preserve"> Dansk Industri, DANVA</w:t>
      </w:r>
      <w:r w:rsidR="009B0D36">
        <w:t xml:space="preserve"> sammen med Danske Vandværker</w:t>
      </w:r>
      <w:r w:rsidR="00B33AC2">
        <w:t xml:space="preserve">, </w:t>
      </w:r>
      <w:proofErr w:type="spellStart"/>
      <w:r w:rsidR="00DD3961">
        <w:t>Eurofins</w:t>
      </w:r>
      <w:proofErr w:type="spellEnd"/>
      <w:r>
        <w:t xml:space="preserve"> Miljø A/S</w:t>
      </w:r>
      <w:r w:rsidR="00A562E6">
        <w:t>, HOFOR</w:t>
      </w:r>
      <w:r w:rsidR="00B33AC2">
        <w:t xml:space="preserve"> og</w:t>
      </w:r>
      <w:r w:rsidR="00690991">
        <w:t xml:space="preserve"> KL.</w:t>
      </w:r>
    </w:p>
    <w:p w14:paraId="5143C8B1" w14:textId="77777777" w:rsidR="005B3EC9" w:rsidRDefault="005B3EC9" w:rsidP="004B5CF4"/>
    <w:p w14:paraId="63156C83" w14:textId="74D5F6F4" w:rsidR="005B3EC9" w:rsidRDefault="005B3EC9" w:rsidP="004B5CF4">
      <w:r>
        <w:t xml:space="preserve">Miljø- og Ligestillingsministeriet takker alle høringsparter for deres afgivne </w:t>
      </w:r>
      <w:r w:rsidR="00004D1B">
        <w:t>høringssvar.</w:t>
      </w:r>
    </w:p>
    <w:p w14:paraId="6E66FA6E" w14:textId="0A3F2336" w:rsidR="00004D1B" w:rsidRDefault="00004D1B" w:rsidP="004B5CF4">
      <w:r>
        <w:br/>
        <w:t xml:space="preserve">I det følgende gennemgås </w:t>
      </w:r>
      <w:r w:rsidR="000F27E2">
        <w:t>de overordnede temaer i høringssvarene. For de fulde høringssvar henvises til Høringsportalen.</w:t>
      </w:r>
    </w:p>
    <w:p w14:paraId="0B4D6C59" w14:textId="77777777" w:rsidR="00AC1C10" w:rsidRDefault="00AC1C10" w:rsidP="004B5CF4"/>
    <w:p w14:paraId="361BFF3F" w14:textId="6F618120" w:rsidR="001B202F" w:rsidRPr="003A562C" w:rsidRDefault="001B202F" w:rsidP="004B5CF4">
      <w:pPr>
        <w:rPr>
          <w:b/>
          <w:bCs/>
        </w:rPr>
      </w:pPr>
      <w:r w:rsidRPr="003A562C">
        <w:rPr>
          <w:b/>
          <w:bCs/>
        </w:rPr>
        <w:t>Forsigtighedsprincippet</w:t>
      </w:r>
    </w:p>
    <w:p w14:paraId="3F99EC7D" w14:textId="48A318B6" w:rsidR="001B202F" w:rsidRDefault="001B202F" w:rsidP="004B5CF4">
      <w:r>
        <w:rPr>
          <w:u w:val="single"/>
        </w:rPr>
        <w:t xml:space="preserve">Aalborg Kommune </w:t>
      </w:r>
      <w:r>
        <w:t>spørger ind til, om det er en fejl, at der kun står kvalitetskrav i forhold til forsigtighedsprincippet med henvisning til § 1, stk. 3</w:t>
      </w:r>
      <w:r w:rsidR="00296826">
        <w:t>,</w:t>
      </w:r>
      <w:r w:rsidR="00A52967">
        <w:t xml:space="preserve"> i bekendtgørelse om vandkvalitet og tilsyn med vandforsyningsanlæg (herefter drikkevandsbekendtgørelsen)</w:t>
      </w:r>
      <w:r>
        <w:t xml:space="preserve"> og anfører, at bestemmelsen også bør omfatte mikrobiologiske indikatorparametre.</w:t>
      </w:r>
    </w:p>
    <w:p w14:paraId="191AA3C5" w14:textId="77777777" w:rsidR="001B202F" w:rsidRDefault="001B202F" w:rsidP="004B5CF4"/>
    <w:p w14:paraId="3C2D3B62" w14:textId="1CEB8002" w:rsidR="001B202F" w:rsidRDefault="001B202F" w:rsidP="004B5CF4">
      <w:r>
        <w:t>Herudover bemærker kommunen, at der ikke gælder kvalitetskrav for coliforme bakterier, og at der kan opstå d</w:t>
      </w:r>
      <w:r w:rsidR="00185F31">
        <w:t>iskussion mellem kommune og vandforsyning i forhold til, om skal foretages omprøver.</w:t>
      </w:r>
    </w:p>
    <w:p w14:paraId="51670D09" w14:textId="77777777" w:rsidR="001B202F" w:rsidRDefault="001B202F" w:rsidP="004B5CF4"/>
    <w:p w14:paraId="43B1964E" w14:textId="7D85E231" w:rsidR="00A562E6" w:rsidRDefault="009B0D36" w:rsidP="004B5CF4">
      <w:r w:rsidRPr="00087316">
        <w:rPr>
          <w:u w:val="single"/>
        </w:rPr>
        <w:t>DANVA</w:t>
      </w:r>
      <w:r w:rsidR="00A562E6">
        <w:t xml:space="preserve"> og </w:t>
      </w:r>
      <w:r w:rsidR="00A562E6" w:rsidRPr="00087316">
        <w:rPr>
          <w:u w:val="single"/>
        </w:rPr>
        <w:t>HOFOR</w:t>
      </w:r>
      <w:r>
        <w:t xml:space="preserve"> bemærker, at det er uklart, om den nye tilføjelse betyder, at vandforsyningerne ikke må styre indvindingen, så der sker en opblanding </w:t>
      </w:r>
      <w:r w:rsidR="00A562E6">
        <w:t>for at nedbringe indholdet af ét miljøfremmed stof, hvis det medfører en øgning af indholdet af et andet miljøfremmed stof.</w:t>
      </w:r>
    </w:p>
    <w:p w14:paraId="050009F9" w14:textId="77777777" w:rsidR="009B0D36" w:rsidRDefault="009B0D36" w:rsidP="004B5CF4"/>
    <w:p w14:paraId="50B484DD" w14:textId="695B0B66" w:rsidR="006D26B1" w:rsidRDefault="006D26B1" w:rsidP="004B5CF4">
      <w:r w:rsidRPr="00EA03F0">
        <w:rPr>
          <w:u w:val="single"/>
        </w:rPr>
        <w:t>DANVA og Danske Vandværker</w:t>
      </w:r>
      <w:r>
        <w:t xml:space="preserve"> bemærker herudover, at der er forskel mellem ordlyden i direktivets artikel 4, stk. 2, som reglerne implementerer og ordlyden i § 1, stk. 3.</w:t>
      </w:r>
    </w:p>
    <w:p w14:paraId="28B6FC9B" w14:textId="77777777" w:rsidR="00A52967" w:rsidRDefault="00A52967" w:rsidP="004B5CF4"/>
    <w:p w14:paraId="65F4A271" w14:textId="3B276631" w:rsidR="00A52967" w:rsidRDefault="00A52967" w:rsidP="004B5CF4">
      <w:r w:rsidRPr="00A52967">
        <w:rPr>
          <w:u w:val="single"/>
        </w:rPr>
        <w:t>Bæredygtigt Landbrug</w:t>
      </w:r>
      <w:r>
        <w:t xml:space="preserve"> mener, at det er positivt, at forsigtighedsprincippet er tilføjet drikkevandsbekendtgørelsen, men at det bør fremgå eksplicit, at dette princip også har betydning for analysekvalitet og datagrundlag.</w:t>
      </w:r>
    </w:p>
    <w:p w14:paraId="6CEF775B" w14:textId="77777777" w:rsidR="006D26B1" w:rsidRDefault="006D26B1" w:rsidP="004B5CF4"/>
    <w:p w14:paraId="3CEBD8BB" w14:textId="10E0019B" w:rsidR="001B202F" w:rsidRDefault="001B202F" w:rsidP="004B5CF4">
      <w:pPr>
        <w:rPr>
          <w:i/>
          <w:iCs/>
        </w:rPr>
      </w:pPr>
      <w:r>
        <w:rPr>
          <w:i/>
          <w:iCs/>
        </w:rPr>
        <w:t>Miljø- og Ligestillingsministeriets bemærkninger</w:t>
      </w:r>
    </w:p>
    <w:p w14:paraId="0AABAF43" w14:textId="3EE0369E" w:rsidR="000D235F" w:rsidRDefault="000D235F" w:rsidP="004B5CF4">
      <w:pPr>
        <w:rPr>
          <w:i/>
          <w:iCs/>
        </w:rPr>
      </w:pPr>
      <w:r>
        <w:rPr>
          <w:i/>
          <w:iCs/>
        </w:rPr>
        <w:t xml:space="preserve">Ministeriet lægger til grund, at forsigtighedsprincippet i forvejen iagttages i alle foranstaltninger, der træffes i medfør af drikkevandsbekendtgørelsen, og </w:t>
      </w:r>
      <w:r w:rsidR="00296826">
        <w:rPr>
          <w:i/>
          <w:iCs/>
        </w:rPr>
        <w:t xml:space="preserve">med </w:t>
      </w:r>
      <w:r>
        <w:rPr>
          <w:i/>
          <w:iCs/>
        </w:rPr>
        <w:t>tilføjelsen af § 1, stk. 3</w:t>
      </w:r>
      <w:r w:rsidR="009B0D36">
        <w:rPr>
          <w:i/>
          <w:iCs/>
        </w:rPr>
        <w:t>,</w:t>
      </w:r>
      <w:r w:rsidR="00296826">
        <w:rPr>
          <w:i/>
          <w:iCs/>
        </w:rPr>
        <w:t xml:space="preserve"> er der ikke </w:t>
      </w:r>
      <w:r w:rsidR="00296826">
        <w:rPr>
          <w:i/>
          <w:iCs/>
        </w:rPr>
        <w:lastRenderedPageBreak/>
        <w:t xml:space="preserve">tilsigtet nogen realitetsændring, da det er ministeriets klare opfattelse, at forsigtigheds- og ikke-forringelsesprincippet i forvejen gælder, </w:t>
      </w:r>
      <w:r w:rsidR="009B0D36">
        <w:rPr>
          <w:i/>
          <w:iCs/>
        </w:rPr>
        <w:t>men</w:t>
      </w:r>
      <w:r w:rsidR="00296826">
        <w:rPr>
          <w:i/>
          <w:iCs/>
        </w:rPr>
        <w:t xml:space="preserve"> bestemmelsen tilføjes</w:t>
      </w:r>
      <w:r w:rsidR="009B0D36">
        <w:rPr>
          <w:i/>
          <w:iCs/>
        </w:rPr>
        <w:t xml:space="preserve"> alene for at </w:t>
      </w:r>
      <w:proofErr w:type="gramStart"/>
      <w:r w:rsidR="00296826">
        <w:rPr>
          <w:i/>
          <w:iCs/>
        </w:rPr>
        <w:t xml:space="preserve">gennemføre </w:t>
      </w:r>
      <w:r w:rsidR="009B0D36">
        <w:rPr>
          <w:i/>
          <w:iCs/>
        </w:rPr>
        <w:t xml:space="preserve"> drikkevandsdirektivets</w:t>
      </w:r>
      <w:proofErr w:type="gramEnd"/>
      <w:r w:rsidR="009B0D36">
        <w:rPr>
          <w:i/>
          <w:iCs/>
        </w:rPr>
        <w:t xml:space="preserve"> artikel 4, stk. 2,</w:t>
      </w:r>
      <w:r w:rsidR="00296826">
        <w:rPr>
          <w:i/>
          <w:iCs/>
        </w:rPr>
        <w:t xml:space="preserve"> ordret</w:t>
      </w:r>
      <w:r w:rsidR="009B0D36">
        <w:rPr>
          <w:i/>
          <w:iCs/>
        </w:rPr>
        <w:t>.</w:t>
      </w:r>
      <w:r>
        <w:rPr>
          <w:i/>
          <w:iCs/>
        </w:rPr>
        <w:t xml:space="preserve"> </w:t>
      </w:r>
      <w:r w:rsidR="0070660B">
        <w:rPr>
          <w:i/>
          <w:iCs/>
        </w:rPr>
        <w:t xml:space="preserve">I den forbindelse noterer ministeriet sig også kommunens bemærkning om coliforme bakterier. </w:t>
      </w:r>
    </w:p>
    <w:p w14:paraId="786879E7" w14:textId="77777777" w:rsidR="00A562E6" w:rsidRDefault="00A562E6" w:rsidP="004B5CF4">
      <w:pPr>
        <w:rPr>
          <w:i/>
          <w:iCs/>
        </w:rPr>
      </w:pPr>
    </w:p>
    <w:p w14:paraId="7ECF0259" w14:textId="097EE6C4" w:rsidR="00A562E6" w:rsidRDefault="00A562E6" w:rsidP="004B5CF4">
      <w:pPr>
        <w:rPr>
          <w:i/>
          <w:iCs/>
        </w:rPr>
      </w:pPr>
      <w:r>
        <w:rPr>
          <w:i/>
          <w:iCs/>
        </w:rPr>
        <w:t xml:space="preserve">Idet tilføjelsen ikke har nogen betydning for, hvad forsyningerne i forvejen gør i overensstemmelse med nugældende regler, </w:t>
      </w:r>
      <w:r w:rsidR="00087316">
        <w:rPr>
          <w:i/>
          <w:iCs/>
        </w:rPr>
        <w:t xml:space="preserve">er tilføjelsen til § 1, stk. 3, ikke til hinder for, at der </w:t>
      </w:r>
      <w:r w:rsidR="0095690D">
        <w:rPr>
          <w:i/>
          <w:iCs/>
        </w:rPr>
        <w:t>fortsat sker</w:t>
      </w:r>
      <w:r w:rsidR="00087316">
        <w:rPr>
          <w:i/>
          <w:iCs/>
        </w:rPr>
        <w:t xml:space="preserve"> opblanding</w:t>
      </w:r>
      <w:r w:rsidR="0095690D">
        <w:rPr>
          <w:i/>
          <w:iCs/>
        </w:rPr>
        <w:t xml:space="preserve"> af hensyn til overholdelse af kvalitetskravene</w:t>
      </w:r>
      <w:r w:rsidR="00087316">
        <w:rPr>
          <w:i/>
          <w:iCs/>
        </w:rPr>
        <w:t>.</w:t>
      </w:r>
    </w:p>
    <w:p w14:paraId="14D5B30B" w14:textId="77777777" w:rsidR="00A52967" w:rsidRDefault="00A52967" w:rsidP="004B5CF4">
      <w:pPr>
        <w:rPr>
          <w:i/>
          <w:iCs/>
        </w:rPr>
      </w:pPr>
    </w:p>
    <w:p w14:paraId="39EAD396" w14:textId="162FA2AC" w:rsidR="00BE4EC9" w:rsidRDefault="00A52967" w:rsidP="004B5CF4">
      <w:pPr>
        <w:rPr>
          <w:i/>
          <w:iCs/>
        </w:rPr>
      </w:pPr>
      <w:r>
        <w:rPr>
          <w:i/>
          <w:iCs/>
        </w:rPr>
        <w:t>Ministeriet afviser at tilføje, at forsigtighedsprincippet også har betydning for analysekvalitet og datagrundlag af hensyn til at sikre en direktivnær implementering af drikkevandsdirektivets artikel 4, stk. 2</w:t>
      </w:r>
      <w:r w:rsidR="0095690D">
        <w:rPr>
          <w:i/>
          <w:iCs/>
        </w:rPr>
        <w:t>.</w:t>
      </w:r>
    </w:p>
    <w:p w14:paraId="14AD3D32" w14:textId="77777777" w:rsidR="00CA13DC" w:rsidRDefault="00CA13DC" w:rsidP="004B5CF4"/>
    <w:p w14:paraId="19D9E8B2" w14:textId="63E90B30" w:rsidR="00CA13DC" w:rsidRPr="00CA13DC" w:rsidRDefault="00CA13DC" w:rsidP="004B5CF4">
      <w:pPr>
        <w:rPr>
          <w:b/>
          <w:bCs/>
        </w:rPr>
      </w:pPr>
      <w:r w:rsidRPr="00CA13DC">
        <w:rPr>
          <w:b/>
          <w:bCs/>
        </w:rPr>
        <w:t>Drikkevandsbekendtgørelsens § 9</w:t>
      </w:r>
      <w:r>
        <w:rPr>
          <w:b/>
          <w:bCs/>
        </w:rPr>
        <w:t xml:space="preserve"> om filtermedier</w:t>
      </w:r>
      <w:r w:rsidR="00B45B4C">
        <w:rPr>
          <w:b/>
          <w:bCs/>
        </w:rPr>
        <w:t xml:space="preserve"> og behandlingskemikalier</w:t>
      </w:r>
    </w:p>
    <w:p w14:paraId="065E3CC8" w14:textId="77777777" w:rsidR="008565BE" w:rsidRDefault="00CA13DC" w:rsidP="004B5CF4">
      <w:r w:rsidRPr="008565BE">
        <w:rPr>
          <w:u w:val="single"/>
        </w:rPr>
        <w:t>HOFOR</w:t>
      </w:r>
      <w:r>
        <w:t xml:space="preserve"> oplyser, at ændringsforslaget til § 9 ikke i tilstrækkelig grad bidrager til at skabe klarhed for vandforsyningerne ift. forvaltning af reglerne. </w:t>
      </w:r>
    </w:p>
    <w:p w14:paraId="27ED24CC" w14:textId="77777777" w:rsidR="008565BE" w:rsidRDefault="008565BE" w:rsidP="004B5CF4"/>
    <w:p w14:paraId="3C2F44FF" w14:textId="684E8910" w:rsidR="00CA13DC" w:rsidRDefault="00CA13DC" w:rsidP="004B5CF4">
      <w:r>
        <w:t>Med fjernelse af overgangsordningen for behandlingskemikalier i den eksisterende § 9, stk. 6, bør det tydeliggøres, hvorvidt det er lovligt at anvende produkter, der er indkøbt før 1. december 2025.</w:t>
      </w:r>
      <w:r w:rsidR="00B45B4C">
        <w:t xml:space="preserve"> HOFOR foreslår i øvrigt, at det tydeligt defineres, hvad der forstås ved et behandlingskemikalie, evt. ifm. vejledning.</w:t>
      </w:r>
    </w:p>
    <w:p w14:paraId="78DBFE81" w14:textId="77777777" w:rsidR="00B45B4C" w:rsidRDefault="00B45B4C" w:rsidP="004B5CF4"/>
    <w:p w14:paraId="4E2C53F3" w14:textId="056E461B" w:rsidR="0010095A" w:rsidRDefault="0010095A" w:rsidP="004B5CF4">
      <w:r w:rsidRPr="000A7CFD">
        <w:rPr>
          <w:u w:val="single"/>
        </w:rPr>
        <w:t>DANVA</w:t>
      </w:r>
      <w:r>
        <w:t xml:space="preserve"> og </w:t>
      </w:r>
      <w:r w:rsidRPr="000A7CFD">
        <w:rPr>
          <w:u w:val="single"/>
        </w:rPr>
        <w:t>Danske Vandværker</w:t>
      </w:r>
      <w:r>
        <w:t xml:space="preserve"> mener, at der er behov for at få præciseret, hvad egenkontrollen i § 9 indebærer både af hensyn til kravene i bekendtgørelse om kvalitetssikring af vandforsyningssystemer og af hensyn til kommunernes tilsyn. Herudover nævner de § 9, stk. 2</w:t>
      </w:r>
      <w:r w:rsidR="000A7CFD">
        <w:t>, som de mener er omfattende og kompleks i forhold til, hvad der stilles krav om til ansøgningens indhold.</w:t>
      </w:r>
    </w:p>
    <w:p w14:paraId="00F08E4C" w14:textId="77777777" w:rsidR="0010095A" w:rsidRDefault="0010095A" w:rsidP="004B5CF4"/>
    <w:p w14:paraId="3DA242B2" w14:textId="0BBC56B8" w:rsidR="00910919" w:rsidRPr="000A7CFD" w:rsidRDefault="00B45B4C" w:rsidP="004B5CF4">
      <w:pPr>
        <w:rPr>
          <w:i/>
          <w:iCs/>
        </w:rPr>
      </w:pPr>
      <w:r>
        <w:rPr>
          <w:i/>
          <w:iCs/>
        </w:rPr>
        <w:t xml:space="preserve">Miljø- </w:t>
      </w:r>
      <w:r w:rsidR="00BE4EC9">
        <w:rPr>
          <w:i/>
          <w:iCs/>
        </w:rPr>
        <w:t>og Ligestillingsministeriets bemærkninger</w:t>
      </w:r>
    </w:p>
    <w:p w14:paraId="2E708757" w14:textId="017A1BDA" w:rsidR="000A7CFD" w:rsidRPr="00DD3961" w:rsidRDefault="000A7CFD" w:rsidP="004B5CF4">
      <w:pPr>
        <w:rPr>
          <w:i/>
          <w:iCs/>
        </w:rPr>
      </w:pPr>
      <w:r w:rsidRPr="00DD3961">
        <w:rPr>
          <w:i/>
          <w:iCs/>
        </w:rPr>
        <w:t xml:space="preserve">Overgangsordningen i § 9, stk. 6, er fjernet, eftersom </w:t>
      </w:r>
      <w:r w:rsidR="00F00035" w:rsidRPr="00DD3961">
        <w:rPr>
          <w:i/>
          <w:iCs/>
        </w:rPr>
        <w:t>drikkevandsdirektivet ikke indeholder muligheden for at etablere overgangsordninger for brugen af behandlingskemikalier og filtermedier, der kommer i kontakt med drikkevand. Det er af samme grund ikke længere muligt at anvende behandlingskemikalier, der er indkøbt før 1. december 2025, efter bekendtgørelsens ikrafttræden.</w:t>
      </w:r>
    </w:p>
    <w:p w14:paraId="02D89FE8" w14:textId="77777777" w:rsidR="000A7CFD" w:rsidRPr="00DD3961" w:rsidRDefault="000A7CFD" w:rsidP="004B5CF4">
      <w:pPr>
        <w:rPr>
          <w:i/>
          <w:iCs/>
        </w:rPr>
      </w:pPr>
    </w:p>
    <w:p w14:paraId="211D13AB" w14:textId="66303151" w:rsidR="00910919" w:rsidRPr="00DD3961" w:rsidRDefault="00910919" w:rsidP="004B5CF4">
      <w:pPr>
        <w:rPr>
          <w:i/>
          <w:iCs/>
        </w:rPr>
      </w:pPr>
      <w:r w:rsidRPr="00DD3961">
        <w:rPr>
          <w:i/>
          <w:iCs/>
        </w:rPr>
        <w:t>Det fremgår i øvrigt af bekendtgørelsens § 3, stk. 1, nr. 1, og § 9, stk. 3, hvad der forstås ved behandlingskemikalier og filtermedier.</w:t>
      </w:r>
    </w:p>
    <w:p w14:paraId="540DD92E" w14:textId="77777777" w:rsidR="000A7CFD" w:rsidRDefault="000A7CFD" w:rsidP="004B5CF4"/>
    <w:p w14:paraId="019B971C" w14:textId="76D78310" w:rsidR="000A7CFD" w:rsidRDefault="000A7CFD" w:rsidP="004B5CF4">
      <w:r>
        <w:t xml:space="preserve">For så vidt angår de øvrige bemærkninger til § 9, har reglerne ikke været </w:t>
      </w:r>
      <w:r w:rsidR="00DB65A8">
        <w:t>ændret ved denne</w:t>
      </w:r>
      <w:r>
        <w:t xml:space="preserve"> høring.</w:t>
      </w:r>
      <w:r w:rsidR="00DD3961">
        <w:t xml:space="preserve"> Ministeriet noterer sig bemærkningerne.</w:t>
      </w:r>
    </w:p>
    <w:p w14:paraId="79F503B1" w14:textId="77777777" w:rsidR="003F1B7C" w:rsidRDefault="003F1B7C" w:rsidP="004B5CF4"/>
    <w:p w14:paraId="480CC825" w14:textId="6E959163" w:rsidR="00910919" w:rsidRPr="0010095A" w:rsidRDefault="00910919" w:rsidP="00910919">
      <w:pPr>
        <w:rPr>
          <w:b/>
          <w:bCs/>
        </w:rPr>
      </w:pPr>
      <w:r w:rsidRPr="0010095A">
        <w:rPr>
          <w:b/>
          <w:bCs/>
        </w:rPr>
        <w:t>Drikkevandsbekendtgørelsens § 17, stk. 12</w:t>
      </w:r>
    </w:p>
    <w:p w14:paraId="211D3F61" w14:textId="10C179C4" w:rsidR="00910919" w:rsidRDefault="00910919" w:rsidP="00910919">
      <w:pPr>
        <w:jc w:val="both"/>
      </w:pPr>
      <w:r w:rsidRPr="00BD4F1A">
        <w:rPr>
          <w:u w:val="single"/>
        </w:rPr>
        <w:t>KL</w:t>
      </w:r>
      <w:r>
        <w:t xml:space="preserve"> mener, at § 17, stk. 12, bør justeres, så bilag 1 f tydeligt fremgår.</w:t>
      </w:r>
    </w:p>
    <w:p w14:paraId="7E58445F" w14:textId="77777777" w:rsidR="00910919" w:rsidRDefault="00910919" w:rsidP="00910919">
      <w:pPr>
        <w:jc w:val="both"/>
      </w:pPr>
    </w:p>
    <w:p w14:paraId="152C3433" w14:textId="38FB0758" w:rsidR="00910919" w:rsidRDefault="00910919" w:rsidP="00910919">
      <w:pPr>
        <w:jc w:val="both"/>
        <w:rPr>
          <w:i/>
          <w:iCs/>
        </w:rPr>
      </w:pPr>
      <w:r>
        <w:rPr>
          <w:i/>
          <w:iCs/>
        </w:rPr>
        <w:t>Miljø- og Ligestillingsministeriets bemærkninger</w:t>
      </w:r>
    </w:p>
    <w:p w14:paraId="17B9C339" w14:textId="24115218" w:rsidR="00910919" w:rsidRPr="00910919" w:rsidRDefault="00910919" w:rsidP="00910919">
      <w:pPr>
        <w:jc w:val="both"/>
        <w:rPr>
          <w:i/>
          <w:iCs/>
        </w:rPr>
      </w:pPr>
      <w:r>
        <w:rPr>
          <w:i/>
          <w:iCs/>
        </w:rPr>
        <w:t xml:space="preserve">Ministeriet er </w:t>
      </w:r>
      <w:proofErr w:type="gramStart"/>
      <w:r>
        <w:rPr>
          <w:i/>
          <w:iCs/>
        </w:rPr>
        <w:t>enig</w:t>
      </w:r>
      <w:proofErr w:type="gramEnd"/>
      <w:r>
        <w:rPr>
          <w:i/>
          <w:iCs/>
        </w:rPr>
        <w:t xml:space="preserve"> og har tilføjet en henvisning til bilag 1 f i § 17, stk. 12.</w:t>
      </w:r>
    </w:p>
    <w:p w14:paraId="345E58FF" w14:textId="77777777" w:rsidR="003F1B7C" w:rsidRDefault="003F1B7C" w:rsidP="004B5CF4"/>
    <w:p w14:paraId="2648797A" w14:textId="7A5E0D2E" w:rsidR="000D235F" w:rsidRDefault="000D235F" w:rsidP="004B5CF4">
      <w:pPr>
        <w:rPr>
          <w:b/>
          <w:bCs/>
        </w:rPr>
      </w:pPr>
      <w:r>
        <w:rPr>
          <w:b/>
          <w:bCs/>
        </w:rPr>
        <w:t>Drikkevandsbekendtgørelsens § 17, stk. 13</w:t>
      </w:r>
    </w:p>
    <w:p w14:paraId="1B2BD1C3" w14:textId="745DA3AD" w:rsidR="000D235F" w:rsidRDefault="000D235F" w:rsidP="004B5CF4">
      <w:r>
        <w:rPr>
          <w:u w:val="single"/>
        </w:rPr>
        <w:t>Aalborg Kommune</w:t>
      </w:r>
      <w:r w:rsidR="00192227">
        <w:rPr>
          <w:u w:val="single"/>
        </w:rPr>
        <w:t xml:space="preserve">, DANVA og Danske Vandværker </w:t>
      </w:r>
      <w:r>
        <w:t xml:space="preserve">spørger ind til, hvad der skal forstås ved ”tage hensyn til” og ”når det er relevant” i § 17, stk. 13. </w:t>
      </w:r>
      <w:r w:rsidR="00293201">
        <w:t>Aalborg Kommune mener, at det er uklart, om alle vandforsyninger skal analysere parametrene i bilag 1 f.</w:t>
      </w:r>
    </w:p>
    <w:p w14:paraId="07426278" w14:textId="77777777" w:rsidR="00910919" w:rsidRDefault="00910919" w:rsidP="004B5CF4"/>
    <w:p w14:paraId="22397611" w14:textId="47D2E9FD" w:rsidR="00192227" w:rsidRDefault="00910919" w:rsidP="004B5CF4">
      <w:r w:rsidRPr="00125BEF">
        <w:rPr>
          <w:u w:val="single"/>
        </w:rPr>
        <w:t xml:space="preserve">KL </w:t>
      </w:r>
      <w:r>
        <w:t>bemærker, at § 17, stk. 13, er formuleret som, at det er vandforsyningerne, der skal vurdere, om vandet skal kontrolleres for parametre i bilag 1 f uden, at det er en del af kontrolprogrammet. Formuleringen kan forstås sådan, at vandforsyningerne har pligt til at analysere for bilag 1 f- parametre, selvom det ikke er en del af kontrolprogrammet.</w:t>
      </w:r>
    </w:p>
    <w:p w14:paraId="18731754" w14:textId="77777777" w:rsidR="00293201" w:rsidRDefault="00293201" w:rsidP="004B5CF4"/>
    <w:p w14:paraId="0C226150" w14:textId="36A4E3F1" w:rsidR="00293201" w:rsidRDefault="00293201" w:rsidP="004B5CF4">
      <w:pPr>
        <w:rPr>
          <w:i/>
          <w:iCs/>
        </w:rPr>
      </w:pPr>
      <w:r>
        <w:rPr>
          <w:i/>
          <w:iCs/>
        </w:rPr>
        <w:t>Miljø- og Ligestillingsministeriets bemærkninger</w:t>
      </w:r>
    </w:p>
    <w:p w14:paraId="3D8087D3" w14:textId="60E81EEB" w:rsidR="00293201" w:rsidRPr="00293201" w:rsidRDefault="0095690D" w:rsidP="004B5CF4">
      <w:pPr>
        <w:rPr>
          <w:i/>
          <w:iCs/>
        </w:rPr>
      </w:pPr>
      <w:r>
        <w:rPr>
          <w:i/>
          <w:iCs/>
        </w:rPr>
        <w:t xml:space="preserve">Der er ikke pligt til at måle for parametrene i bilag 1 f, medmindre disse er en del af kontrolprogrammet. </w:t>
      </w:r>
      <w:r w:rsidR="00F00035">
        <w:rPr>
          <w:i/>
          <w:iCs/>
        </w:rPr>
        <w:t xml:space="preserve">Vandforsyningerne </w:t>
      </w:r>
      <w:r w:rsidR="00543E1A">
        <w:rPr>
          <w:i/>
          <w:iCs/>
        </w:rPr>
        <w:t>skal tage hensyn til parametrene i bilag 1</w:t>
      </w:r>
      <w:r w:rsidR="00F00035">
        <w:rPr>
          <w:i/>
          <w:iCs/>
        </w:rPr>
        <w:t>,</w:t>
      </w:r>
      <w:r w:rsidR="00543E1A">
        <w:rPr>
          <w:i/>
          <w:iCs/>
        </w:rPr>
        <w:t xml:space="preserve"> f,</w:t>
      </w:r>
      <w:r w:rsidR="005E1A91">
        <w:rPr>
          <w:i/>
          <w:iCs/>
        </w:rPr>
        <w:t xml:space="preserve"> hvor relevant</w:t>
      </w:r>
      <w:r w:rsidR="00F00035">
        <w:rPr>
          <w:i/>
          <w:iCs/>
        </w:rPr>
        <w:t xml:space="preserve"> og underrette tilsynsmyndigheden om eventuelle fund. Tilsynsmyndigheden skal herefter træffe de foranstaltninger, som følger af § 17, stk. 14. </w:t>
      </w:r>
      <w:r w:rsidR="00E50B67">
        <w:rPr>
          <w:i/>
          <w:iCs/>
        </w:rPr>
        <w:t xml:space="preserve"> På nuværende tidspunkt er der kun stoffer på listen, hvor det kan være relevant at måle i overfladevand, når der kommer nye stoffer på listen kan dette ændre sig, men det vil fremgå af listen.</w:t>
      </w:r>
    </w:p>
    <w:p w14:paraId="67EFFC80" w14:textId="77777777" w:rsidR="000D235F" w:rsidRDefault="000D235F" w:rsidP="004B5CF4">
      <w:pPr>
        <w:rPr>
          <w:b/>
          <w:bCs/>
        </w:rPr>
      </w:pPr>
    </w:p>
    <w:p w14:paraId="0E84D082" w14:textId="51BEBCE4" w:rsidR="008267D8" w:rsidRPr="00B33AC2" w:rsidRDefault="008267D8" w:rsidP="004B5CF4">
      <w:pPr>
        <w:rPr>
          <w:b/>
          <w:bCs/>
        </w:rPr>
      </w:pPr>
      <w:r w:rsidRPr="00B33AC2">
        <w:rPr>
          <w:b/>
          <w:bCs/>
        </w:rPr>
        <w:t>Drikkevandsbekendtgørelsens § 17</w:t>
      </w:r>
      <w:r w:rsidR="001E2535" w:rsidRPr="00B33AC2">
        <w:rPr>
          <w:b/>
          <w:bCs/>
        </w:rPr>
        <w:t>, stk. 14</w:t>
      </w:r>
      <w:r w:rsidR="00B47E6A">
        <w:rPr>
          <w:b/>
          <w:bCs/>
        </w:rPr>
        <w:t xml:space="preserve"> om foranstaltninger ved overskridelser af vejledende værdier i bilag 1 f</w:t>
      </w:r>
    </w:p>
    <w:p w14:paraId="37A9799D" w14:textId="7BAB599E" w:rsidR="00B33AC2" w:rsidRDefault="00B33AC2" w:rsidP="004B5CF4">
      <w:r w:rsidRPr="00B47E6A">
        <w:rPr>
          <w:u w:val="single"/>
        </w:rPr>
        <w:t>KL</w:t>
      </w:r>
      <w:r>
        <w:t xml:space="preserve"> bemærker, at bestemmelsen omhandler vandforsyningernes underretningspligt samt tilsynsmyndighedens opgaver ved overskridelser relateret til bilag 1f, men at § 17 i øvrigt omhandler fastsættelse af kontrolprogrammet.</w:t>
      </w:r>
    </w:p>
    <w:p w14:paraId="5C2EA867" w14:textId="77777777" w:rsidR="00746E8C" w:rsidRDefault="00746E8C" w:rsidP="004B5CF4"/>
    <w:p w14:paraId="558078BF" w14:textId="075C24F9" w:rsidR="00746E8C" w:rsidRDefault="00746E8C" w:rsidP="004B5CF4">
      <w:pPr>
        <w:rPr>
          <w:i/>
          <w:iCs/>
        </w:rPr>
      </w:pPr>
      <w:r>
        <w:rPr>
          <w:i/>
          <w:iCs/>
        </w:rPr>
        <w:t>Miljø- og Ligestillingsministeriets bemærkninger</w:t>
      </w:r>
    </w:p>
    <w:p w14:paraId="7E2F7AE4" w14:textId="6986BF4C" w:rsidR="00B33AC2" w:rsidRDefault="00B33AC2" w:rsidP="004B5CF4">
      <w:pPr>
        <w:rPr>
          <w:i/>
          <w:iCs/>
        </w:rPr>
      </w:pPr>
      <w:r>
        <w:rPr>
          <w:i/>
          <w:iCs/>
        </w:rPr>
        <w:t xml:space="preserve">Ministeriet er enig i, at det af hensyn til at sikre klarhed om reglerne </w:t>
      </w:r>
      <w:r w:rsidR="004948CD">
        <w:rPr>
          <w:i/>
          <w:iCs/>
        </w:rPr>
        <w:t xml:space="preserve">og sammenhæng til bekendtgørelsens overskrifter </w:t>
      </w:r>
      <w:r>
        <w:rPr>
          <w:i/>
          <w:iCs/>
        </w:rPr>
        <w:t>er hensigtsmæssigt, at § 17, stk. 14</w:t>
      </w:r>
      <w:r w:rsidR="005E1A91">
        <w:rPr>
          <w:i/>
          <w:iCs/>
        </w:rPr>
        <w:t>,</w:t>
      </w:r>
      <w:r>
        <w:rPr>
          <w:i/>
          <w:iCs/>
        </w:rPr>
        <w:t xml:space="preserve"> udgår og i stedet indsættes som et nyt stk. </w:t>
      </w:r>
      <w:r w:rsidR="00B47E6A">
        <w:rPr>
          <w:i/>
          <w:iCs/>
        </w:rPr>
        <w:t>4</w:t>
      </w:r>
      <w:r>
        <w:rPr>
          <w:i/>
          <w:iCs/>
        </w:rPr>
        <w:t xml:space="preserve"> i § 25.</w:t>
      </w:r>
    </w:p>
    <w:p w14:paraId="10F6D228" w14:textId="4DAD8393" w:rsidR="002852B6" w:rsidRDefault="002852B6" w:rsidP="004B5CF4"/>
    <w:p w14:paraId="7A035E35" w14:textId="63C7A2E5" w:rsidR="002852B6" w:rsidRPr="0027546E" w:rsidRDefault="002852B6" w:rsidP="004B5CF4">
      <w:pPr>
        <w:rPr>
          <w:b/>
          <w:bCs/>
        </w:rPr>
      </w:pPr>
      <w:r w:rsidRPr="0027546E">
        <w:rPr>
          <w:b/>
          <w:bCs/>
        </w:rPr>
        <w:t>Drikkevandsbekendtgørelsens § 24, stk. 2</w:t>
      </w:r>
      <w:r w:rsidR="000A4909">
        <w:rPr>
          <w:b/>
          <w:bCs/>
        </w:rPr>
        <w:t xml:space="preserve"> om øgede vandrelaterede sundhedsrisici</w:t>
      </w:r>
    </w:p>
    <w:p w14:paraId="24ACB7CF" w14:textId="77777777" w:rsidR="008565BE" w:rsidRDefault="002852B6" w:rsidP="004B5CF4">
      <w:r w:rsidRPr="00087316">
        <w:rPr>
          <w:u w:val="single"/>
        </w:rPr>
        <w:t>KL</w:t>
      </w:r>
      <w:r>
        <w:t xml:space="preserve"> mener, at tilføjelsen</w:t>
      </w:r>
      <w:r w:rsidR="005D359A">
        <w:t xml:space="preserve"> til § 24, stk. 2,</w:t>
      </w:r>
      <w:r>
        <w:t xml:space="preserve"> er problematisk</w:t>
      </w:r>
      <w:r w:rsidR="005D359A">
        <w:t xml:space="preserve">. Denne lyder: </w:t>
      </w:r>
      <w:r w:rsidR="005D359A" w:rsidRPr="00B47E6A">
        <w:rPr>
          <w:i/>
          <w:iCs/>
        </w:rPr>
        <w:t>”… at alle berørte forbrugere, herunder forbrugere med øget vandrelaterede sundhedsrisici, informeres i overensstemmelse med vandforsyningslovens § 62, stk. 6 og 7</w:t>
      </w:r>
      <w:r w:rsidR="005D359A">
        <w:t xml:space="preserve">”. </w:t>
      </w:r>
    </w:p>
    <w:p w14:paraId="54114BD7" w14:textId="77777777" w:rsidR="008565BE" w:rsidRDefault="008565BE" w:rsidP="004B5CF4"/>
    <w:p w14:paraId="717F35DD" w14:textId="11145519" w:rsidR="005D359A" w:rsidRDefault="005D359A" w:rsidP="004B5CF4">
      <w:r w:rsidRPr="00B47E6A">
        <w:rPr>
          <w:u w:val="single"/>
        </w:rPr>
        <w:t>KL</w:t>
      </w:r>
      <w:r w:rsidR="002852B6">
        <w:t xml:space="preserve"> bemærker, at kommunerne ikke har den nødvendige </w:t>
      </w:r>
      <w:r>
        <w:t>faglige viden eller kompetence til at vurdere, hvad formuleringen ”forbrugere med øget vandrelateret sundhedsrisici” konkret indebærer</w:t>
      </w:r>
      <w:r w:rsidR="0027546E">
        <w:t xml:space="preserve"> og tilføjer, </w:t>
      </w:r>
      <w:r>
        <w:t>at det bør præciseres i vejledningen, hvorvidt der er tale om målrettet information til særlige forbrugergrupper, eller om formuleringen blot henviser til, at kommunen skal informere alle forbrugere.</w:t>
      </w:r>
    </w:p>
    <w:p w14:paraId="79499D87" w14:textId="77777777" w:rsidR="008565BE" w:rsidRDefault="008565BE" w:rsidP="004B5CF4"/>
    <w:p w14:paraId="1BB6F59A" w14:textId="1A4C86E1" w:rsidR="008565BE" w:rsidRDefault="008565BE" w:rsidP="004B5CF4">
      <w:r w:rsidRPr="00B47E6A">
        <w:rPr>
          <w:u w:val="single"/>
        </w:rPr>
        <w:t>KL</w:t>
      </w:r>
      <w:r>
        <w:t xml:space="preserve"> ønsker i øvrigt at vide, om der ligger en større ekstra opgave for kommunerne i forhold til at skaffe information om forbrugere med øgede vandrelaterede sundhedsrisici og vil i givet fald have bekendtgørelsen i ny økonomisk høring.</w:t>
      </w:r>
    </w:p>
    <w:p w14:paraId="316C56B0" w14:textId="77777777" w:rsidR="001B202F" w:rsidRDefault="001B202F" w:rsidP="004B5CF4"/>
    <w:p w14:paraId="3DF52466" w14:textId="3617A77F" w:rsidR="001B202F" w:rsidRDefault="001B202F" w:rsidP="004B5CF4">
      <w:r w:rsidRPr="00087316">
        <w:rPr>
          <w:u w:val="single"/>
        </w:rPr>
        <w:t>Aalborg Kommune</w:t>
      </w:r>
      <w:r>
        <w:t xml:space="preserve"> oplyser, at de ikke har kendskab til forbrugere med øget vandrelaterede sundhedsrisici og spørger ind til, om </w:t>
      </w:r>
      <w:r w:rsidR="00F24F61">
        <w:t>der er hensyn til GDPR, der gør, at de ikke kan få oplysningerne.</w:t>
      </w:r>
    </w:p>
    <w:p w14:paraId="6519B2F2" w14:textId="77777777" w:rsidR="005D359A" w:rsidRDefault="005D359A" w:rsidP="004B5CF4"/>
    <w:p w14:paraId="6C0DB56B" w14:textId="5B46638D" w:rsidR="005D359A" w:rsidRDefault="005D359A" w:rsidP="004B5CF4">
      <w:pPr>
        <w:rPr>
          <w:i/>
          <w:iCs/>
        </w:rPr>
      </w:pPr>
      <w:r>
        <w:rPr>
          <w:i/>
          <w:iCs/>
        </w:rPr>
        <w:t>Miljø- og Ligestillingsministeriets bemærkninger</w:t>
      </w:r>
    </w:p>
    <w:p w14:paraId="00F2B6C1" w14:textId="70B40901" w:rsidR="005D359A" w:rsidRDefault="005D359A" w:rsidP="004B5CF4">
      <w:pPr>
        <w:rPr>
          <w:i/>
          <w:iCs/>
        </w:rPr>
      </w:pPr>
      <w:r>
        <w:rPr>
          <w:i/>
          <w:iCs/>
        </w:rPr>
        <w:t>Tilføjelsen er foretaget for at sikre en direktivnær implementering af drikkevandsdirektivets regler</w:t>
      </w:r>
      <w:r w:rsidR="0027546E">
        <w:rPr>
          <w:i/>
          <w:iCs/>
        </w:rPr>
        <w:t xml:space="preserve"> og fører ikke til en </w:t>
      </w:r>
      <w:r w:rsidR="00AF4188">
        <w:rPr>
          <w:i/>
          <w:iCs/>
        </w:rPr>
        <w:t>realitets</w:t>
      </w:r>
      <w:r w:rsidR="0027546E">
        <w:rPr>
          <w:i/>
          <w:iCs/>
        </w:rPr>
        <w:t>ændring af, hvad der i forvejen gælder for myndighedernes pligt til</w:t>
      </w:r>
      <w:r w:rsidR="00117592">
        <w:rPr>
          <w:i/>
          <w:iCs/>
        </w:rPr>
        <w:t xml:space="preserve"> at</w:t>
      </w:r>
      <w:r w:rsidR="0027546E">
        <w:rPr>
          <w:i/>
          <w:iCs/>
        </w:rPr>
        <w:t xml:space="preserve"> underrette forbrugerne om overskridelser af kvalitetskrav eller krav til indikatorparametre</w:t>
      </w:r>
      <w:r w:rsidR="00F24F61">
        <w:rPr>
          <w:i/>
          <w:iCs/>
        </w:rPr>
        <w:t>, herunder særligt forbrugere med øgede sundhedsrisici.</w:t>
      </w:r>
      <w:r w:rsidR="00117592">
        <w:rPr>
          <w:i/>
          <w:iCs/>
        </w:rPr>
        <w:t xml:space="preserve"> Kommunen skal som det fremgår af vandforsyningslovens §</w:t>
      </w:r>
      <w:r w:rsidR="00DD3961">
        <w:rPr>
          <w:i/>
          <w:iCs/>
        </w:rPr>
        <w:t xml:space="preserve"> </w:t>
      </w:r>
      <w:r w:rsidR="00117592">
        <w:rPr>
          <w:i/>
          <w:iCs/>
        </w:rPr>
        <w:t>62, stk. 5</w:t>
      </w:r>
      <w:r w:rsidR="00DD3961">
        <w:rPr>
          <w:i/>
          <w:iCs/>
        </w:rPr>
        <w:t>,</w:t>
      </w:r>
      <w:r w:rsidR="00117592">
        <w:rPr>
          <w:i/>
          <w:iCs/>
        </w:rPr>
        <w:t xml:space="preserve"> indhente rådgivning hos Styrelsen for Patientsikkerhed.  </w:t>
      </w:r>
    </w:p>
    <w:p w14:paraId="3B261489" w14:textId="77777777" w:rsidR="0027546E" w:rsidRDefault="0027546E" w:rsidP="004B5CF4">
      <w:pPr>
        <w:rPr>
          <w:i/>
          <w:iCs/>
        </w:rPr>
      </w:pPr>
    </w:p>
    <w:p w14:paraId="37B413E2" w14:textId="2BA2CD12" w:rsidR="00F24F61" w:rsidRDefault="00F24F61" w:rsidP="004B5CF4">
      <w:pPr>
        <w:rPr>
          <w:i/>
          <w:iCs/>
        </w:rPr>
      </w:pPr>
      <w:r>
        <w:rPr>
          <w:i/>
          <w:iCs/>
        </w:rPr>
        <w:lastRenderedPageBreak/>
        <w:t>Kommunerne vil derfor ikke få til opgave at indhen</w:t>
      </w:r>
      <w:r w:rsidR="00F86BDB">
        <w:rPr>
          <w:i/>
          <w:iCs/>
        </w:rPr>
        <w:t>te supplerende oplysninger som led i vurderingen af, om der kan være forbrugere med øgede vandrelaterede sundhedsrisici</w:t>
      </w:r>
      <w:r w:rsidR="008565BE">
        <w:rPr>
          <w:i/>
          <w:iCs/>
        </w:rPr>
        <w:t>, og tilføjelsen vil ikke være en ekstra opgave for kommunerne.</w:t>
      </w:r>
    </w:p>
    <w:p w14:paraId="446D045B" w14:textId="77777777" w:rsidR="00F24F61" w:rsidRDefault="00F24F61" w:rsidP="004B5CF4">
      <w:pPr>
        <w:rPr>
          <w:i/>
          <w:iCs/>
        </w:rPr>
      </w:pPr>
    </w:p>
    <w:p w14:paraId="60FB89E2" w14:textId="126B962D" w:rsidR="0027546E" w:rsidRDefault="0027546E" w:rsidP="004B5CF4">
      <w:pPr>
        <w:rPr>
          <w:i/>
          <w:iCs/>
        </w:rPr>
      </w:pPr>
      <w:r>
        <w:rPr>
          <w:i/>
          <w:iCs/>
        </w:rPr>
        <w:t>Miljøstyrelsen vil blive gjort opmærksom på ønsket om, at der indsættes et afsnit herom i drikkevandsvejledningen.</w:t>
      </w:r>
    </w:p>
    <w:p w14:paraId="35F780E6" w14:textId="77777777" w:rsidR="0027546E" w:rsidRDefault="0027546E" w:rsidP="004B5CF4">
      <w:pPr>
        <w:rPr>
          <w:i/>
          <w:iCs/>
        </w:rPr>
      </w:pPr>
    </w:p>
    <w:p w14:paraId="1B4B1FA3" w14:textId="57DB5740" w:rsidR="0027546E" w:rsidRPr="001E2535" w:rsidRDefault="006D26B1" w:rsidP="004B5CF4">
      <w:pPr>
        <w:rPr>
          <w:b/>
          <w:bCs/>
        </w:rPr>
      </w:pPr>
      <w:r>
        <w:rPr>
          <w:b/>
          <w:bCs/>
        </w:rPr>
        <w:t>Drikkevandsbekendtgørelsens § 25</w:t>
      </w:r>
      <w:r w:rsidR="00FD61E4">
        <w:rPr>
          <w:b/>
          <w:bCs/>
        </w:rPr>
        <w:t xml:space="preserve"> om forholdsregler ved overskridelser</w:t>
      </w:r>
    </w:p>
    <w:p w14:paraId="189FD04A" w14:textId="69E44613" w:rsidR="00AD2556" w:rsidRDefault="00AD2556" w:rsidP="004B5CF4">
      <w:r w:rsidRPr="00087316">
        <w:rPr>
          <w:u w:val="single"/>
        </w:rPr>
        <w:t>KL</w:t>
      </w:r>
      <w:r>
        <w:t xml:space="preserve"> mener, at ændringen af § 25 giver utilsigtet rum for fortolkning og oplyser, at det kun er vandforsyninger, der leverer over 17.000 m</w:t>
      </w:r>
      <w:r w:rsidRPr="00087316">
        <w:rPr>
          <w:vertAlign w:val="superscript"/>
        </w:rPr>
        <w:t>3</w:t>
      </w:r>
      <w:r>
        <w:t xml:space="preserve"> om året, samt ikke-almene vandforsyninger, der i gennemsnit leverer 100 m</w:t>
      </w:r>
      <w:r w:rsidRPr="00C97FC0">
        <w:rPr>
          <w:vertAlign w:val="superscript"/>
        </w:rPr>
        <w:t>3</w:t>
      </w:r>
      <w:r>
        <w:t xml:space="preserve"> eller mere pr. dag og forsyner mindst 500 personer, som er omfattet af kravet om risikovurdering efter § 4 i bekendtgørelse om kval</w:t>
      </w:r>
      <w:r w:rsidR="001E2535">
        <w:t>itetssikring af vandforsyningssystemer.</w:t>
      </w:r>
    </w:p>
    <w:p w14:paraId="662B71C0" w14:textId="77777777" w:rsidR="00F24F61" w:rsidRDefault="00F24F61" w:rsidP="004B5CF4"/>
    <w:p w14:paraId="4219DADF" w14:textId="414E3CEA" w:rsidR="00F24F61" w:rsidRDefault="00F24F61" w:rsidP="004B5CF4">
      <w:r w:rsidRPr="00A52967">
        <w:rPr>
          <w:u w:val="single"/>
        </w:rPr>
        <w:t>Aalborg Kommune</w:t>
      </w:r>
      <w:r>
        <w:t xml:space="preserve"> bemærker, at eventuel opfølgning på, at vandforsyningen foretager risikovurdering og risikostyring af forsyningssystemet vil være en ekstra opgave for kommunen, som kræver ekstra midler.</w:t>
      </w:r>
    </w:p>
    <w:p w14:paraId="22D11EDC" w14:textId="77777777" w:rsidR="00AD2556" w:rsidRDefault="00AD2556" w:rsidP="004B5CF4"/>
    <w:p w14:paraId="5EA239C2" w14:textId="00A83562" w:rsidR="00AD2556" w:rsidRDefault="00AD2556" w:rsidP="004B5CF4">
      <w:pPr>
        <w:rPr>
          <w:i/>
          <w:iCs/>
        </w:rPr>
      </w:pPr>
      <w:r>
        <w:rPr>
          <w:i/>
          <w:iCs/>
        </w:rPr>
        <w:t>Miljø- og Ligestillingsministeriets bemærkninger</w:t>
      </w:r>
    </w:p>
    <w:p w14:paraId="64E90623" w14:textId="0168049A" w:rsidR="001E2535" w:rsidRDefault="00AD2556" w:rsidP="004B5CF4">
      <w:pPr>
        <w:rPr>
          <w:i/>
          <w:iCs/>
        </w:rPr>
      </w:pPr>
      <w:r>
        <w:rPr>
          <w:i/>
          <w:iCs/>
        </w:rPr>
        <w:t xml:space="preserve">Ministeriet kan </w:t>
      </w:r>
      <w:r w:rsidR="001E2535">
        <w:rPr>
          <w:i/>
          <w:iCs/>
        </w:rPr>
        <w:t>bekræfte</w:t>
      </w:r>
      <w:r>
        <w:rPr>
          <w:i/>
          <w:iCs/>
        </w:rPr>
        <w:t>, at det kun er de vandforsyninger, der anføres i § 4 i bekendtgørelse om kvalitetssikring af vandforsyningssystemer, som er omfattet af § 25 i drikkevandsbekendtgørelsen</w:t>
      </w:r>
      <w:r w:rsidR="001E2535">
        <w:rPr>
          <w:i/>
          <w:iCs/>
        </w:rPr>
        <w:t>.</w:t>
      </w:r>
      <w:r w:rsidR="00FD61E4">
        <w:rPr>
          <w:i/>
          <w:iCs/>
        </w:rPr>
        <w:t xml:space="preserve"> Alle regler i bekendtgørelse om kvalitetssikring af vandforsyningssystemer </w:t>
      </w:r>
      <w:r w:rsidR="00AC3CF3">
        <w:rPr>
          <w:i/>
          <w:iCs/>
        </w:rPr>
        <w:t>skal i øvrigt overholdes i relevant omfang, og formuleringen fastholdes derfor. Reglerne vil kunne blive uddybet i vejledningen.</w:t>
      </w:r>
    </w:p>
    <w:p w14:paraId="40E9E1E8" w14:textId="77777777" w:rsidR="001E2535" w:rsidRDefault="001E2535" w:rsidP="004B5CF4"/>
    <w:p w14:paraId="0F1AFD85" w14:textId="745425D7" w:rsidR="00ED4665" w:rsidRPr="00125BEF" w:rsidRDefault="008637EB" w:rsidP="004B5CF4">
      <w:pPr>
        <w:rPr>
          <w:i/>
          <w:iCs/>
        </w:rPr>
      </w:pPr>
      <w:r>
        <w:rPr>
          <w:i/>
          <w:iCs/>
        </w:rPr>
        <w:t>Ministerie</w:t>
      </w:r>
      <w:r w:rsidR="00A143AD">
        <w:rPr>
          <w:i/>
          <w:iCs/>
        </w:rPr>
        <w:t>t</w:t>
      </w:r>
      <w:r>
        <w:rPr>
          <w:i/>
          <w:iCs/>
        </w:rPr>
        <w:t xml:space="preserve"> skal bemærke, at der ikke i § 25 ligger en særskilt forpligtelse for at tilsynsmyndigheden skal følge op </w:t>
      </w:r>
      <w:proofErr w:type="spellStart"/>
      <w:r>
        <w:rPr>
          <w:i/>
          <w:iCs/>
        </w:rPr>
        <w:t>fsva</w:t>
      </w:r>
      <w:proofErr w:type="spellEnd"/>
      <w:r>
        <w:rPr>
          <w:i/>
          <w:iCs/>
        </w:rPr>
        <w:t>. risikovurdering og risikostyring af forsyningssystemet</w:t>
      </w:r>
      <w:r w:rsidR="0070660B">
        <w:rPr>
          <w:i/>
          <w:iCs/>
        </w:rPr>
        <w:t>, men at det følger af det almindelige tilsyn med vandforsyninger, som kommunerne i forvejen gennemfører for at se på vandforsyningerne kvalitetssikring</w:t>
      </w:r>
      <w:r>
        <w:rPr>
          <w:i/>
          <w:iCs/>
        </w:rPr>
        <w:t xml:space="preserve">. </w:t>
      </w:r>
    </w:p>
    <w:p w14:paraId="5B60CE58" w14:textId="77777777" w:rsidR="00ED4665" w:rsidRDefault="00ED4665" w:rsidP="004B5CF4"/>
    <w:p w14:paraId="512C7A9B" w14:textId="5DD058D2" w:rsidR="001E2535" w:rsidRPr="00185F31" w:rsidRDefault="001E2535" w:rsidP="004B5CF4">
      <w:pPr>
        <w:rPr>
          <w:b/>
          <w:bCs/>
        </w:rPr>
      </w:pPr>
      <w:r w:rsidRPr="00185F31">
        <w:rPr>
          <w:b/>
          <w:bCs/>
        </w:rPr>
        <w:t>§ 35 til drikkevandsbekendtgørelsen</w:t>
      </w:r>
      <w:r w:rsidR="00192227">
        <w:rPr>
          <w:b/>
          <w:bCs/>
        </w:rPr>
        <w:t xml:space="preserve"> om vurdering af vandlækageniveauer</w:t>
      </w:r>
    </w:p>
    <w:p w14:paraId="296E4312" w14:textId="3621D590" w:rsidR="001E2535" w:rsidRDefault="001E2535" w:rsidP="004B5CF4">
      <w:r w:rsidRPr="0075493D">
        <w:rPr>
          <w:u w:val="single"/>
        </w:rPr>
        <w:t>KL</w:t>
      </w:r>
      <w:r>
        <w:t xml:space="preserve"> spørger ind til, om der mangler en tidsangivelse i § 35, og om der burde stå 10.000 m</w:t>
      </w:r>
      <w:r w:rsidRPr="00CA13DC">
        <w:rPr>
          <w:vertAlign w:val="superscript"/>
        </w:rPr>
        <w:t>3</w:t>
      </w:r>
      <w:r>
        <w:t xml:space="preserve"> per dag.</w:t>
      </w:r>
    </w:p>
    <w:p w14:paraId="791E784F" w14:textId="77777777" w:rsidR="001E2535" w:rsidRDefault="001E2535" w:rsidP="004B5CF4"/>
    <w:p w14:paraId="0369193D" w14:textId="757ABB0A" w:rsidR="00B45B4C" w:rsidRDefault="00B45B4C" w:rsidP="004B5CF4">
      <w:r w:rsidRPr="0075493D">
        <w:rPr>
          <w:u w:val="single"/>
        </w:rPr>
        <w:t>HOFOR</w:t>
      </w:r>
      <w:r>
        <w:t xml:space="preserve"> spørger ind til, hvad den nye § 35 konkret har af betydning for vandforsyningerne, samt hvorvidt det opgøres</w:t>
      </w:r>
      <w:r w:rsidR="00AC3CF3">
        <w:t xml:space="preserve"> på</w:t>
      </w:r>
      <w:r>
        <w:t xml:space="preserve"> selskabsniveau.</w:t>
      </w:r>
    </w:p>
    <w:p w14:paraId="1E1A2251" w14:textId="77777777" w:rsidR="00B45B4C" w:rsidRDefault="00B45B4C" w:rsidP="004B5CF4"/>
    <w:p w14:paraId="34A1AF16" w14:textId="121E6144" w:rsidR="00192227" w:rsidRDefault="00192227" w:rsidP="004B5CF4">
      <w:r w:rsidRPr="00AC3CF3">
        <w:rPr>
          <w:u w:val="single"/>
        </w:rPr>
        <w:t>DANVA</w:t>
      </w:r>
      <w:r>
        <w:t xml:space="preserve"> og </w:t>
      </w:r>
      <w:r w:rsidRPr="00AC3CF3">
        <w:rPr>
          <w:u w:val="single"/>
        </w:rPr>
        <w:t>Danske Vandværker</w:t>
      </w:r>
      <w:r>
        <w:t xml:space="preserve"> anbefaler, at de fremtidige vandlækageniveauvurderinger i § 35 ikke baseres på Infrastrukturlækageindekset, ILI, idet denne opgørelse er udarbejdet til store selskaber og ikke er egnet til små selskaber. </w:t>
      </w:r>
    </w:p>
    <w:p w14:paraId="09FD5203" w14:textId="77777777" w:rsidR="001D4D1F" w:rsidRDefault="001D4D1F" w:rsidP="004B5CF4"/>
    <w:p w14:paraId="7069A069" w14:textId="7AB8BAFF" w:rsidR="001D4D1F" w:rsidRPr="001D4D1F" w:rsidRDefault="001D4D1F" w:rsidP="004B5CF4">
      <w:proofErr w:type="gramStart"/>
      <w:r>
        <w:rPr>
          <w:u w:val="single"/>
        </w:rPr>
        <w:t xml:space="preserve">DI </w:t>
      </w:r>
      <w:r>
        <w:t>anbefaler</w:t>
      </w:r>
      <w:proofErr w:type="gramEnd"/>
      <w:r>
        <w:t>, at Miljøstyrelsen udarbejder tydelig vejledning til forsyningerne om anvendelse af vandlækage/ILI-metoden, så der skabes en kollation mellem den i Danmark traditionelt anvendte vandtabsprocent, og den metode, der fremadrettes skal anvendes efter drikkevandsdirektivet.</w:t>
      </w:r>
    </w:p>
    <w:p w14:paraId="15B3ABD1" w14:textId="77777777" w:rsidR="00192227" w:rsidRDefault="00192227" w:rsidP="004B5CF4"/>
    <w:p w14:paraId="43CDB675" w14:textId="03068EA1" w:rsidR="001E2535" w:rsidRDefault="001E2535" w:rsidP="001E2535">
      <w:pPr>
        <w:rPr>
          <w:i/>
          <w:iCs/>
        </w:rPr>
      </w:pPr>
      <w:r>
        <w:rPr>
          <w:i/>
          <w:iCs/>
        </w:rPr>
        <w:t>Miljø- og Ligestillingsministeriet</w:t>
      </w:r>
    </w:p>
    <w:p w14:paraId="3DE5FC8F" w14:textId="6DF3A436" w:rsidR="001E2535" w:rsidRDefault="001E2535" w:rsidP="001E2535">
      <w:pPr>
        <w:rPr>
          <w:i/>
          <w:iCs/>
        </w:rPr>
      </w:pPr>
      <w:r>
        <w:rPr>
          <w:i/>
          <w:iCs/>
        </w:rPr>
        <w:t xml:space="preserve">Ministeriet er </w:t>
      </w:r>
      <w:proofErr w:type="gramStart"/>
      <w:r>
        <w:rPr>
          <w:i/>
          <w:iCs/>
        </w:rPr>
        <w:t>enig</w:t>
      </w:r>
      <w:proofErr w:type="gramEnd"/>
      <w:r w:rsidR="00117592">
        <w:rPr>
          <w:i/>
          <w:iCs/>
        </w:rPr>
        <w:t xml:space="preserve"> med KL</w:t>
      </w:r>
      <w:r>
        <w:rPr>
          <w:i/>
          <w:iCs/>
        </w:rPr>
        <w:t xml:space="preserve"> og tilføjer ændringen til § 35</w:t>
      </w:r>
      <w:r w:rsidR="006D26B1">
        <w:rPr>
          <w:i/>
          <w:iCs/>
        </w:rPr>
        <w:t>.</w:t>
      </w:r>
    </w:p>
    <w:p w14:paraId="51F5D648" w14:textId="77777777" w:rsidR="00B45B4C" w:rsidRDefault="00B45B4C" w:rsidP="001E2535">
      <w:pPr>
        <w:rPr>
          <w:i/>
          <w:iCs/>
        </w:rPr>
      </w:pPr>
    </w:p>
    <w:p w14:paraId="7FF08A8B" w14:textId="50EF8F07" w:rsidR="00000F07" w:rsidRDefault="00B45B4C" w:rsidP="00AA3F41">
      <w:pPr>
        <w:rPr>
          <w:i/>
          <w:iCs/>
        </w:rPr>
      </w:pPr>
      <w:r>
        <w:rPr>
          <w:i/>
          <w:iCs/>
        </w:rPr>
        <w:t>For så vidt angår den konkrete betydning af § 35 for vandforsyningerne, kan ministeriet oplyse, at</w:t>
      </w:r>
      <w:r w:rsidR="00235945">
        <w:rPr>
          <w:i/>
          <w:iCs/>
        </w:rPr>
        <w:t xml:space="preserve"> </w:t>
      </w:r>
      <w:r w:rsidR="00AA3F41">
        <w:rPr>
          <w:i/>
          <w:iCs/>
        </w:rPr>
        <w:t xml:space="preserve">ved vurderingen af </w:t>
      </w:r>
      <w:r w:rsidR="00AA3F41" w:rsidRPr="00AA3F41">
        <w:rPr>
          <w:i/>
          <w:iCs/>
        </w:rPr>
        <w:t>relevante folkesundhedsmæssige, miljømæssige, tekniske og økonomiske aspekter</w:t>
      </w:r>
      <w:r w:rsidR="00AA3F41">
        <w:rPr>
          <w:i/>
          <w:iCs/>
        </w:rPr>
        <w:t xml:space="preserve"> af de aktuelle vandforsyningers vandlækageniveauer vil det lave danske vandlækageniveau </w:t>
      </w:r>
      <w:r w:rsidR="00B007A8">
        <w:rPr>
          <w:i/>
          <w:iCs/>
        </w:rPr>
        <w:t xml:space="preserve">blive </w:t>
      </w:r>
      <w:r w:rsidR="00AA3F41">
        <w:rPr>
          <w:i/>
          <w:iCs/>
        </w:rPr>
        <w:lastRenderedPageBreak/>
        <w:t>taget i betragtning</w:t>
      </w:r>
      <w:r w:rsidR="00000F07">
        <w:rPr>
          <w:i/>
          <w:iCs/>
        </w:rPr>
        <w:t>, og det forventes ikke at få nogen betydning for vandselskaberne</w:t>
      </w:r>
      <w:r w:rsidR="00AA3F41">
        <w:rPr>
          <w:i/>
          <w:iCs/>
        </w:rPr>
        <w:t xml:space="preserve">. Den første vurdering skal foretages inden 12. januar 2026 og er ikke lavet endnu. </w:t>
      </w:r>
    </w:p>
    <w:p w14:paraId="5BC7023D" w14:textId="49FFFD84" w:rsidR="00F03644" w:rsidRDefault="00AA3F41" w:rsidP="00AA3F41">
      <w:pPr>
        <w:rPr>
          <w:i/>
          <w:iCs/>
        </w:rPr>
      </w:pPr>
      <w:r>
        <w:rPr>
          <w:i/>
          <w:iCs/>
        </w:rPr>
        <w:t xml:space="preserve">Vurderingen vil blive foretaget på selskabsniveau. </w:t>
      </w:r>
    </w:p>
    <w:p w14:paraId="62348B08" w14:textId="77777777" w:rsidR="00192227" w:rsidRDefault="00192227" w:rsidP="001E2535">
      <w:pPr>
        <w:rPr>
          <w:i/>
          <w:iCs/>
        </w:rPr>
      </w:pPr>
    </w:p>
    <w:p w14:paraId="22A390C4" w14:textId="3D107D4C" w:rsidR="00192227" w:rsidRDefault="00192227" w:rsidP="001E2535">
      <w:pPr>
        <w:rPr>
          <w:i/>
          <w:iCs/>
        </w:rPr>
      </w:pPr>
      <w:r>
        <w:rPr>
          <w:i/>
          <w:iCs/>
        </w:rPr>
        <w:t xml:space="preserve">Hvad angår anvendelsen af </w:t>
      </w:r>
      <w:r w:rsidR="00AD0DAA">
        <w:rPr>
          <w:i/>
          <w:iCs/>
        </w:rPr>
        <w:t xml:space="preserve">ILI, fremgår det af § 35, at vurderingen skal foretages under hensyntagen til ILI som vurderingsmetode eller anden passende metode, og der er således efter ministeriets vurdering rum til at en anden passende metode alt efter forholdene vil kunne anvendes. </w:t>
      </w:r>
      <w:r w:rsidR="000F3EB3">
        <w:rPr>
          <w:i/>
          <w:iCs/>
        </w:rPr>
        <w:t>Der er i Danmark en lang tradition for at opgøre vandtabet som forskellen mellem distribueret vandmængde og debiteret vandmængde opgjort i procent og som også er den metode der anvendes i Miljøstyrelsens Performancebenchmarking. Miljøstyrelsen vil fortsat anvende denne metode til opgørelse af vandtabet på ledningsnettet.</w:t>
      </w:r>
    </w:p>
    <w:p w14:paraId="2591BF36" w14:textId="77777777" w:rsidR="00F03644" w:rsidRDefault="00F03644" w:rsidP="00F03644"/>
    <w:p w14:paraId="63614F49" w14:textId="77777777" w:rsidR="00F03644" w:rsidRPr="008277D7" w:rsidRDefault="00F03644" w:rsidP="00F03644">
      <w:pPr>
        <w:rPr>
          <w:b/>
          <w:bCs/>
        </w:rPr>
      </w:pPr>
      <w:r w:rsidRPr="008277D7">
        <w:rPr>
          <w:b/>
          <w:bCs/>
        </w:rPr>
        <w:t>Bilag 1 f til drikkevandsbekendtgørelsen</w:t>
      </w:r>
    </w:p>
    <w:p w14:paraId="272B871A" w14:textId="428E5872" w:rsidR="00F03644" w:rsidRDefault="00F03644" w:rsidP="00F03644">
      <w:proofErr w:type="spellStart"/>
      <w:r w:rsidRPr="005B3EC9">
        <w:rPr>
          <w:u w:val="single"/>
        </w:rPr>
        <w:t>Eurofins</w:t>
      </w:r>
      <w:proofErr w:type="spellEnd"/>
      <w:r w:rsidRPr="005B3EC9">
        <w:rPr>
          <w:u w:val="single"/>
        </w:rPr>
        <w:t xml:space="preserve"> Miljø A/S</w:t>
      </w:r>
      <w:r>
        <w:t xml:space="preserve"> mener, at der mangler angivelse af notenummer. I forhold til analysekvalitetskravene til </w:t>
      </w:r>
      <w:proofErr w:type="spellStart"/>
      <w:r>
        <w:t>nonylpheno</w:t>
      </w:r>
      <w:r w:rsidR="00117592">
        <w:t>le</w:t>
      </w:r>
      <w:r>
        <w:t>r</w:t>
      </w:r>
      <w:proofErr w:type="spellEnd"/>
      <w:r>
        <w:t xml:space="preserve"> ønskes en præcisering af kravene, så de er i overensstemmelse med parametrene i obse</w:t>
      </w:r>
      <w:r w:rsidR="0075493D">
        <w:t>r</w:t>
      </w:r>
      <w:r>
        <w:t xml:space="preserve">vationslisten. Herudover henledes opmærksomheden på, at det er vanskeligt at fremskaffe standardstoffer til lineære </w:t>
      </w:r>
      <w:proofErr w:type="spellStart"/>
      <w:r>
        <w:t>nonylphenoler</w:t>
      </w:r>
      <w:proofErr w:type="spellEnd"/>
      <w:r>
        <w:t>, og at der findes udbydere, men kvaliteten af det udbudte er ikke tilstrækkelig.</w:t>
      </w:r>
    </w:p>
    <w:p w14:paraId="4BEAB348" w14:textId="77777777" w:rsidR="00F03644" w:rsidRDefault="00F03644" w:rsidP="00F03644"/>
    <w:p w14:paraId="05ECABE6" w14:textId="77777777" w:rsidR="00F03644" w:rsidRDefault="00F03644" w:rsidP="00F03644">
      <w:r w:rsidRPr="00910919">
        <w:rPr>
          <w:u w:val="single"/>
        </w:rPr>
        <w:t>KL</w:t>
      </w:r>
      <w:r>
        <w:t xml:space="preserve"> bemærker, at observationslisten, som tidligere var en tabel i bilag 10, nu er blevet til bilag 1 f. Dette skaber grobund for misforståelser særligt i § 17.</w:t>
      </w:r>
    </w:p>
    <w:p w14:paraId="638B48C1" w14:textId="77777777" w:rsidR="00F03644" w:rsidRDefault="00F03644" w:rsidP="00F03644"/>
    <w:p w14:paraId="717308C6" w14:textId="77777777" w:rsidR="00F03644" w:rsidRDefault="00F03644" w:rsidP="00F03644">
      <w:r w:rsidRPr="00F03644">
        <w:rPr>
          <w:u w:val="single"/>
        </w:rPr>
        <w:t>HOFOR</w:t>
      </w:r>
      <w:r>
        <w:t xml:space="preserve"> bemærker, at der under det nye skema er angivet note 1 til 3, men at der i selve skemaet, under kolonnen ”Bemærkninger” kun henvises til note 3. HOFOR opfordrer til, at det sikres, at henvisningerne til noterne er korrekte, samt at der kun optræder de nødvendige noter.</w:t>
      </w:r>
    </w:p>
    <w:p w14:paraId="65248D03" w14:textId="77777777" w:rsidR="00F03644" w:rsidRDefault="00F03644" w:rsidP="00F03644"/>
    <w:p w14:paraId="46429A4F" w14:textId="77777777" w:rsidR="00F03644" w:rsidRDefault="00F03644" w:rsidP="00F03644">
      <w:pPr>
        <w:rPr>
          <w:i/>
          <w:iCs/>
        </w:rPr>
      </w:pPr>
      <w:r>
        <w:rPr>
          <w:i/>
          <w:iCs/>
        </w:rPr>
        <w:t>Miljø- og Ligestillingsministeriets bemærkninger</w:t>
      </w:r>
    </w:p>
    <w:p w14:paraId="2F3F2C42" w14:textId="559C5F4F" w:rsidR="00F03644" w:rsidRDefault="00F03644" w:rsidP="001E2535">
      <w:pPr>
        <w:rPr>
          <w:i/>
          <w:iCs/>
        </w:rPr>
      </w:pPr>
      <w:r>
        <w:rPr>
          <w:i/>
          <w:iCs/>
        </w:rPr>
        <w:t>De to noter under bilag 1 f benyttes aktuelt ikke, men vil kunne anvendes ved senere ændringer af drikkevandsbekendtgørelsen.</w:t>
      </w:r>
    </w:p>
    <w:p w14:paraId="5376AFC8" w14:textId="77777777" w:rsidR="00676B92" w:rsidRDefault="00676B92" w:rsidP="001E2535">
      <w:pPr>
        <w:rPr>
          <w:i/>
          <w:iCs/>
        </w:rPr>
      </w:pPr>
    </w:p>
    <w:p w14:paraId="0D92C6EF" w14:textId="6CB9C102" w:rsidR="00676B92" w:rsidRPr="001E2535" w:rsidRDefault="00676B92" w:rsidP="001E2535">
      <w:pPr>
        <w:rPr>
          <w:i/>
          <w:iCs/>
        </w:rPr>
      </w:pPr>
      <w:r w:rsidRPr="004877BA">
        <w:rPr>
          <w:i/>
          <w:iCs/>
        </w:rPr>
        <w:t>Herudover kan ministeriet oplyse, at</w:t>
      </w:r>
      <w:r w:rsidR="001C56E7" w:rsidRPr="001C56E7">
        <w:rPr>
          <w:i/>
          <w:iCs/>
        </w:rPr>
        <w:t xml:space="preserve"> </w:t>
      </w:r>
      <w:proofErr w:type="spellStart"/>
      <w:r w:rsidR="00AB2A29">
        <w:rPr>
          <w:i/>
          <w:iCs/>
        </w:rPr>
        <w:t>n</w:t>
      </w:r>
      <w:r w:rsidR="001C56E7" w:rsidRPr="006118BF">
        <w:rPr>
          <w:i/>
          <w:iCs/>
        </w:rPr>
        <w:t>onylphenoler</w:t>
      </w:r>
      <w:proofErr w:type="spellEnd"/>
      <w:r w:rsidR="001C56E7">
        <w:rPr>
          <w:i/>
          <w:iCs/>
        </w:rPr>
        <w:t xml:space="preserve"> kun</w:t>
      </w:r>
      <w:r w:rsidR="001C56E7" w:rsidRPr="006118BF">
        <w:rPr>
          <w:i/>
          <w:iCs/>
        </w:rPr>
        <w:t xml:space="preserve"> skal måles i overfladevand jf. note 3, som angivet under ”Bemærkninger”. I analysekvalitetsbekendtgørelsen stille</w:t>
      </w:r>
      <w:r w:rsidR="001C56E7">
        <w:rPr>
          <w:i/>
          <w:iCs/>
        </w:rPr>
        <w:t>s</w:t>
      </w:r>
      <w:r w:rsidR="001C56E7" w:rsidRPr="006118BF">
        <w:rPr>
          <w:i/>
          <w:iCs/>
        </w:rPr>
        <w:t xml:space="preserve"> performancekrav til summen af </w:t>
      </w:r>
      <w:proofErr w:type="spellStart"/>
      <w:r w:rsidR="001C56E7" w:rsidRPr="006118BF">
        <w:rPr>
          <w:i/>
          <w:iCs/>
        </w:rPr>
        <w:t>nonylphenoler</w:t>
      </w:r>
      <w:proofErr w:type="spellEnd"/>
      <w:r w:rsidR="001C56E7" w:rsidRPr="006118BF">
        <w:rPr>
          <w:i/>
          <w:iCs/>
        </w:rPr>
        <w:t xml:space="preserve"> i bilag 1.6 Kontrol/overvågning af marint vand og i</w:t>
      </w:r>
      <w:r w:rsidR="001C56E7">
        <w:rPr>
          <w:i/>
          <w:iCs/>
        </w:rPr>
        <w:t xml:space="preserve"> bilag </w:t>
      </w:r>
      <w:r w:rsidR="001C56E7" w:rsidRPr="006118BF">
        <w:rPr>
          <w:i/>
          <w:iCs/>
        </w:rPr>
        <w:t>1.16 Fersk overfladevand.</w:t>
      </w:r>
      <w:r w:rsidR="001C56E7">
        <w:rPr>
          <w:i/>
          <w:iCs/>
        </w:rPr>
        <w:t xml:space="preserve"> Miljøstyrelsen er enige i, at det er problematisk, at analysekvalitetskravene er defineret på sum-niveau. På baggrund af dette høringssvar, vil der blive formuleret en opgave til </w:t>
      </w:r>
      <w:r w:rsidR="001C56E7" w:rsidRPr="006118BF">
        <w:rPr>
          <w:i/>
          <w:iCs/>
        </w:rPr>
        <w:t>Miljøstyrelsens Referencelaboratorium for Kemiske og Mikrobiologiske Miljømålinger</w:t>
      </w:r>
      <w:r w:rsidR="001C56E7">
        <w:rPr>
          <w:i/>
          <w:iCs/>
        </w:rPr>
        <w:t xml:space="preserve"> i 2026 mhp. at udarbejde mere anvendelige analysekvalitetskrav for </w:t>
      </w:r>
      <w:proofErr w:type="spellStart"/>
      <w:r w:rsidR="001C56E7">
        <w:rPr>
          <w:i/>
          <w:iCs/>
        </w:rPr>
        <w:t>nonylphenolerne</w:t>
      </w:r>
      <w:proofErr w:type="spellEnd"/>
      <w:r w:rsidR="001C56E7">
        <w:rPr>
          <w:i/>
          <w:iCs/>
        </w:rPr>
        <w:t xml:space="preserve">, som skal indarbejdes i analysekvalitetsbekendtgørelsen. </w:t>
      </w:r>
    </w:p>
    <w:p w14:paraId="0EE9A1EE" w14:textId="77777777" w:rsidR="001E2535" w:rsidRDefault="001E2535" w:rsidP="004B5CF4"/>
    <w:p w14:paraId="36DEA2BE" w14:textId="6CB9407C" w:rsidR="00B45B4C" w:rsidRPr="00BE4EC9" w:rsidRDefault="00B45B4C" w:rsidP="004B5CF4">
      <w:pPr>
        <w:rPr>
          <w:b/>
          <w:bCs/>
        </w:rPr>
      </w:pPr>
      <w:r w:rsidRPr="00BE4EC9">
        <w:rPr>
          <w:b/>
          <w:bCs/>
        </w:rPr>
        <w:t>Bilag 4 til drikkevandsbekendtgørelsen</w:t>
      </w:r>
    </w:p>
    <w:p w14:paraId="0801C2C2" w14:textId="74FE1687" w:rsidR="00B45B4C" w:rsidRDefault="00B45B4C" w:rsidP="004B5CF4">
      <w:r w:rsidRPr="00AC3CF3">
        <w:rPr>
          <w:u w:val="single"/>
        </w:rPr>
        <w:t>HOFOR</w:t>
      </w:r>
      <w:r>
        <w:t xml:space="preserve"> opfordrer til</w:t>
      </w:r>
      <w:r w:rsidR="00BE4EC9">
        <w:t xml:space="preserve">, at det tydeliggøres, at kontrollen med somatiske colifager kun skal ske, hvis </w:t>
      </w:r>
      <w:proofErr w:type="spellStart"/>
      <w:r w:rsidR="00BE4EC9">
        <w:t>råvand</w:t>
      </w:r>
      <w:proofErr w:type="spellEnd"/>
      <w:r w:rsidR="00BE4EC9">
        <w:t xml:space="preserve"> brugt til drikkevandsproduktion ikke er grundvand.</w:t>
      </w:r>
    </w:p>
    <w:p w14:paraId="33441B66" w14:textId="77777777" w:rsidR="00BE4EC9" w:rsidRDefault="00BE4EC9" w:rsidP="004B5CF4"/>
    <w:p w14:paraId="7C473033" w14:textId="4C9F8226" w:rsidR="00ED4665" w:rsidRDefault="00ED4665" w:rsidP="004B5CF4">
      <w:r w:rsidRPr="00AC3CF3">
        <w:rPr>
          <w:u w:val="single"/>
        </w:rPr>
        <w:t xml:space="preserve">KL </w:t>
      </w:r>
      <w:r>
        <w:t>bemærker, at bilag 4, punkt 1 b)</w:t>
      </w:r>
      <w:r w:rsidR="00F80A0B">
        <w:t>,</w:t>
      </w:r>
      <w:r>
        <w:t xml:space="preserve"> kun omfatter bilag 1 </w:t>
      </w:r>
      <w:proofErr w:type="spellStart"/>
      <w:r>
        <w:t>a-e</w:t>
      </w:r>
      <w:proofErr w:type="spellEnd"/>
      <w:r>
        <w:t>, men at bilag 1 f er indirekte omfattet, da bilag 5 er nævnt i punkt 2, og bilag 5 nævner bilag 1 f. Ifølge KL bør det skrives mere frem for at undgå misforståelser.</w:t>
      </w:r>
    </w:p>
    <w:p w14:paraId="751E52A0" w14:textId="77777777" w:rsidR="00ED4665" w:rsidRDefault="00ED4665" w:rsidP="004B5CF4"/>
    <w:p w14:paraId="3F016A92" w14:textId="3209CF4B" w:rsidR="00BE4EC9" w:rsidRDefault="00BE4EC9" w:rsidP="004B5CF4">
      <w:pPr>
        <w:rPr>
          <w:i/>
          <w:iCs/>
        </w:rPr>
      </w:pPr>
      <w:r>
        <w:rPr>
          <w:i/>
          <w:iCs/>
        </w:rPr>
        <w:t>Miljø- og Ligestillingsministeriets bemærkninger</w:t>
      </w:r>
    </w:p>
    <w:p w14:paraId="4E0DA63D" w14:textId="2D2E5ADF" w:rsidR="00F80A0B" w:rsidRDefault="00BE4EC9" w:rsidP="004B5CF4">
      <w:pPr>
        <w:rPr>
          <w:i/>
          <w:iCs/>
        </w:rPr>
      </w:pPr>
      <w:r>
        <w:rPr>
          <w:i/>
          <w:iCs/>
        </w:rPr>
        <w:t>Ministeriet noterer sig</w:t>
      </w:r>
      <w:r w:rsidR="00F80A0B">
        <w:rPr>
          <w:i/>
          <w:iCs/>
        </w:rPr>
        <w:t xml:space="preserve"> </w:t>
      </w:r>
      <w:r>
        <w:rPr>
          <w:i/>
          <w:iCs/>
        </w:rPr>
        <w:t>synspunkt</w:t>
      </w:r>
      <w:r w:rsidR="00F80A0B">
        <w:rPr>
          <w:i/>
          <w:iCs/>
        </w:rPr>
        <w:t xml:space="preserve">et. </w:t>
      </w:r>
    </w:p>
    <w:p w14:paraId="734B1A8E" w14:textId="77777777" w:rsidR="00F80A0B" w:rsidRDefault="00F80A0B" w:rsidP="004B5CF4">
      <w:pPr>
        <w:rPr>
          <w:i/>
          <w:iCs/>
        </w:rPr>
      </w:pPr>
    </w:p>
    <w:p w14:paraId="7D87ADC2" w14:textId="69D9F4E2" w:rsidR="00BE4EC9" w:rsidRDefault="00F80A0B" w:rsidP="004B5CF4">
      <w:pPr>
        <w:rPr>
          <w:i/>
          <w:iCs/>
        </w:rPr>
      </w:pPr>
      <w:r>
        <w:rPr>
          <w:i/>
          <w:iCs/>
        </w:rPr>
        <w:lastRenderedPageBreak/>
        <w:t xml:space="preserve">I forhold til henvisningen til bilag 1 f bemærker ministeriet, at bilag 1 f ikke indeholder kvalitetskrav, da der alene er tale om vejledende værdier. </w:t>
      </w:r>
    </w:p>
    <w:p w14:paraId="4A3C2315" w14:textId="69946741" w:rsidR="00ED4665" w:rsidRPr="00BE4EC9" w:rsidRDefault="00ED4665" w:rsidP="004B5CF4">
      <w:pPr>
        <w:rPr>
          <w:i/>
          <w:iCs/>
        </w:rPr>
      </w:pPr>
    </w:p>
    <w:p w14:paraId="6C9E6220" w14:textId="77777777" w:rsidR="00B45B4C" w:rsidRDefault="00B45B4C" w:rsidP="004B5CF4"/>
    <w:p w14:paraId="6C8B72BB" w14:textId="3E4670BD" w:rsidR="00AC1C10" w:rsidRPr="008277D7" w:rsidRDefault="00AC1C10" w:rsidP="004B5CF4">
      <w:pPr>
        <w:rPr>
          <w:b/>
          <w:bCs/>
        </w:rPr>
      </w:pPr>
      <w:r w:rsidRPr="008277D7">
        <w:rPr>
          <w:b/>
          <w:bCs/>
        </w:rPr>
        <w:t>Bilag 7</w:t>
      </w:r>
      <w:r w:rsidR="008277D7" w:rsidRPr="008277D7">
        <w:rPr>
          <w:b/>
          <w:bCs/>
        </w:rPr>
        <w:t xml:space="preserve"> til drikkevandsbekendtgørelsen</w:t>
      </w:r>
    </w:p>
    <w:p w14:paraId="0BB9B8B8" w14:textId="752704BE" w:rsidR="00746E8C" w:rsidRDefault="00746E8C" w:rsidP="004B5CF4">
      <w:proofErr w:type="spellStart"/>
      <w:r w:rsidRPr="0047482E">
        <w:rPr>
          <w:u w:val="single"/>
        </w:rPr>
        <w:t>Eurofins</w:t>
      </w:r>
      <w:proofErr w:type="spellEnd"/>
      <w:r w:rsidRPr="0047482E">
        <w:rPr>
          <w:u w:val="single"/>
        </w:rPr>
        <w:t xml:space="preserve"> Miljø A/S</w:t>
      </w:r>
      <w:r>
        <w:t xml:space="preserve"> henleder opmærksomheden på en væsentlig praktisk og metodisk udfordring i den foreslåede formulering vedrørende prøvetagning af metaller og bemærker, at der er konflikt mellem drikkevandsvejledningen ift. om vandet ved forbrugerens taphane skal løbe eller ej i forbindelse med udtagelse af prøver.</w:t>
      </w:r>
    </w:p>
    <w:p w14:paraId="66E9396F" w14:textId="77777777" w:rsidR="00746E8C" w:rsidRDefault="00746E8C" w:rsidP="004B5CF4"/>
    <w:p w14:paraId="5A2FD53C" w14:textId="1377F827" w:rsidR="00746E8C" w:rsidRDefault="00746E8C" w:rsidP="004B5CF4">
      <w:pPr>
        <w:rPr>
          <w:i/>
          <w:iCs/>
        </w:rPr>
      </w:pPr>
      <w:r>
        <w:rPr>
          <w:i/>
          <w:iCs/>
        </w:rPr>
        <w:t>Miljø- og Ligestillingsministeriets bemærkninger</w:t>
      </w:r>
    </w:p>
    <w:p w14:paraId="146EE6E2" w14:textId="13109FF2" w:rsidR="00746E8C" w:rsidRDefault="00C85164" w:rsidP="004B5CF4">
      <w:pPr>
        <w:rPr>
          <w:i/>
          <w:iCs/>
        </w:rPr>
      </w:pPr>
      <w:r>
        <w:rPr>
          <w:i/>
          <w:iCs/>
        </w:rPr>
        <w:t>Miljøstyrelsen vil tage stilling til, om høringssvarene giver anledning til ændring af drikkevandsvejledningen, da denne hører under Miljøstyrelsen.</w:t>
      </w:r>
    </w:p>
    <w:p w14:paraId="536F8FD1" w14:textId="77777777" w:rsidR="008919FE" w:rsidRDefault="008919FE" w:rsidP="004B5CF4">
      <w:pPr>
        <w:rPr>
          <w:i/>
          <w:iCs/>
        </w:rPr>
      </w:pPr>
    </w:p>
    <w:p w14:paraId="49601A32" w14:textId="3D4F2833" w:rsidR="009D7FB3" w:rsidRPr="00F24F61" w:rsidRDefault="008919FE" w:rsidP="004B5CF4">
      <w:pPr>
        <w:rPr>
          <w:b/>
          <w:bCs/>
        </w:rPr>
      </w:pPr>
      <w:r>
        <w:rPr>
          <w:b/>
          <w:bCs/>
        </w:rPr>
        <w:t>O</w:t>
      </w:r>
      <w:r w:rsidR="008267D8" w:rsidRPr="00F24F61">
        <w:rPr>
          <w:b/>
          <w:bCs/>
        </w:rPr>
        <w:t>pbygning af drikkevandsbekendtgørelsen</w:t>
      </w:r>
      <w:r>
        <w:rPr>
          <w:b/>
          <w:bCs/>
        </w:rPr>
        <w:t xml:space="preserve"> og læsbarhed</w:t>
      </w:r>
    </w:p>
    <w:p w14:paraId="22768E16" w14:textId="39359578" w:rsidR="008267D8" w:rsidRDefault="008267D8" w:rsidP="004B5CF4">
      <w:r w:rsidRPr="00F24F61">
        <w:rPr>
          <w:u w:val="single"/>
        </w:rPr>
        <w:t xml:space="preserve">KL </w:t>
      </w:r>
      <w:r>
        <w:t>oplyser, at den tekstnære implementering af drikkevandsdirektivet medfører, at bekendtgørelserne bliver stadig vanskeligere at læse og forstå og mener, at der i den nye udgave af drikkevandsbekendtgørelsen mangler opmærksomhed på, hvordan reglerne anvendes i en dansk kontekst, herunder samspillet med nationale særregler.</w:t>
      </w:r>
    </w:p>
    <w:p w14:paraId="455F19AB" w14:textId="77777777" w:rsidR="003A562C" w:rsidRDefault="003A562C" w:rsidP="004B5CF4"/>
    <w:p w14:paraId="2CC88018" w14:textId="799B1B28" w:rsidR="008267D8" w:rsidRDefault="008267D8" w:rsidP="004B5CF4">
      <w:pPr>
        <w:rPr>
          <w:i/>
          <w:iCs/>
        </w:rPr>
      </w:pPr>
      <w:r>
        <w:rPr>
          <w:i/>
          <w:iCs/>
        </w:rPr>
        <w:t>Miljø- og Ligestillingsministeriets bemærkninger</w:t>
      </w:r>
    </w:p>
    <w:p w14:paraId="62D9D54E" w14:textId="004A19D7" w:rsidR="008267D8" w:rsidRDefault="008637EB" w:rsidP="004B5CF4">
      <w:pPr>
        <w:rPr>
          <w:i/>
          <w:iCs/>
        </w:rPr>
      </w:pPr>
      <w:r>
        <w:rPr>
          <w:i/>
          <w:iCs/>
        </w:rPr>
        <w:t xml:space="preserve">Ministeriet noterer sig synspunktet. </w:t>
      </w:r>
    </w:p>
    <w:p w14:paraId="5466D999" w14:textId="77777777" w:rsidR="002E4F61" w:rsidRDefault="002E4F61" w:rsidP="004B5CF4">
      <w:pPr>
        <w:rPr>
          <w:i/>
          <w:iCs/>
        </w:rPr>
      </w:pPr>
    </w:p>
    <w:p w14:paraId="630B70D7" w14:textId="2FD60854" w:rsidR="002E4F61" w:rsidRDefault="002E4F61" w:rsidP="004B5CF4">
      <w:pPr>
        <w:rPr>
          <w:i/>
          <w:iCs/>
        </w:rPr>
      </w:pPr>
      <w:r>
        <w:rPr>
          <w:i/>
          <w:iCs/>
        </w:rPr>
        <w:t>Ministeriet vil i samarbejde med Miljøstyrelsen overveje behovet for at opdatere vejledningen med henblik på bl.a. at sikre klarhed om reglerne.</w:t>
      </w:r>
    </w:p>
    <w:p w14:paraId="5A9046BD" w14:textId="77777777" w:rsidR="002E4F61" w:rsidRDefault="002E4F61" w:rsidP="004B5CF4"/>
    <w:p w14:paraId="75B12FE6" w14:textId="77777777" w:rsidR="003E1FC0" w:rsidRPr="003F1B7C" w:rsidRDefault="003E1FC0" w:rsidP="003E1FC0">
      <w:pPr>
        <w:rPr>
          <w:b/>
          <w:bCs/>
        </w:rPr>
      </w:pPr>
      <w:r w:rsidRPr="003F1B7C">
        <w:rPr>
          <w:b/>
          <w:bCs/>
        </w:rPr>
        <w:t>Ikrafttrædelsesdato</w:t>
      </w:r>
    </w:p>
    <w:p w14:paraId="29878C2F" w14:textId="77777777" w:rsidR="003E1FC0" w:rsidRDefault="003E1FC0" w:rsidP="003E1FC0">
      <w:r w:rsidRPr="001D4D1F">
        <w:rPr>
          <w:u w:val="single"/>
        </w:rPr>
        <w:t>DANVA</w:t>
      </w:r>
      <w:r>
        <w:t xml:space="preserve"> og </w:t>
      </w:r>
      <w:r w:rsidRPr="001D4D1F">
        <w:rPr>
          <w:u w:val="single"/>
        </w:rPr>
        <w:t>Danske Vandværker</w:t>
      </w:r>
      <w:r>
        <w:t xml:space="preserve"> bemærker, at § 48 henviser til, at bekendtgørelsen træder i kraft den 1. december 2025 og gør her opmærksom på, at der ved ikrafttrædelsesdatoen for denne bekendtgørelse bør foreligge klare retningslinjer for, hvordan der ansøges for at få et behandlingskemikalie eller filtermedie optaget på Miljøstyrelsens positivliste.</w:t>
      </w:r>
    </w:p>
    <w:p w14:paraId="5019A3D7" w14:textId="77777777" w:rsidR="003E1FC0" w:rsidRDefault="003E1FC0" w:rsidP="003E1FC0"/>
    <w:p w14:paraId="02AF54DD" w14:textId="77777777" w:rsidR="003E1FC0" w:rsidRDefault="003E1FC0" w:rsidP="003E1FC0">
      <w:pPr>
        <w:rPr>
          <w:i/>
          <w:iCs/>
        </w:rPr>
      </w:pPr>
      <w:r>
        <w:rPr>
          <w:i/>
          <w:iCs/>
        </w:rPr>
        <w:t>Miljø- og Ligestillingsministeriets bemærkninger</w:t>
      </w:r>
    </w:p>
    <w:p w14:paraId="12D24014" w14:textId="34E0CAD6" w:rsidR="003E1FC0" w:rsidRPr="003E1FC0" w:rsidRDefault="003E1FC0" w:rsidP="004B5CF4">
      <w:pPr>
        <w:rPr>
          <w:i/>
          <w:iCs/>
        </w:rPr>
      </w:pPr>
      <w:r>
        <w:rPr>
          <w:i/>
          <w:iCs/>
        </w:rPr>
        <w:t xml:space="preserve">Ministeriet henviser til sit svar om drikkevandsbekendtgørelsens § 9 i ovenstående. </w:t>
      </w:r>
    </w:p>
    <w:p w14:paraId="06F4B434" w14:textId="77777777" w:rsidR="003E1FC0" w:rsidRDefault="003E1FC0" w:rsidP="004B5CF4"/>
    <w:p w14:paraId="714F699E" w14:textId="673F13F9" w:rsidR="002E4F61" w:rsidRPr="006D26B1" w:rsidRDefault="002E4F61" w:rsidP="004B5CF4">
      <w:pPr>
        <w:rPr>
          <w:b/>
          <w:bCs/>
        </w:rPr>
      </w:pPr>
      <w:r w:rsidRPr="006D26B1">
        <w:rPr>
          <w:b/>
          <w:bCs/>
        </w:rPr>
        <w:t>Bekendtgørelse om kvalitetssikring af vandforsyningssystemer</w:t>
      </w:r>
      <w:r w:rsidR="00B45B4C">
        <w:rPr>
          <w:b/>
          <w:bCs/>
        </w:rPr>
        <w:t xml:space="preserve"> (kvalitetssikringsbekendtgørelsen)</w:t>
      </w:r>
    </w:p>
    <w:p w14:paraId="2CC26BD5" w14:textId="77777777" w:rsidR="007720F5" w:rsidRDefault="007720F5" w:rsidP="004B5CF4">
      <w:pPr>
        <w:rPr>
          <w:i/>
          <w:iCs/>
        </w:rPr>
      </w:pPr>
    </w:p>
    <w:p w14:paraId="61804417" w14:textId="2AAD3397" w:rsidR="007720F5" w:rsidRPr="00093397" w:rsidRDefault="007720F5" w:rsidP="004B5CF4">
      <w:pPr>
        <w:rPr>
          <w:b/>
          <w:bCs/>
        </w:rPr>
      </w:pPr>
      <w:r w:rsidRPr="00093397">
        <w:rPr>
          <w:b/>
          <w:bCs/>
        </w:rPr>
        <w:t>Ad § 5, nr. 8 og 9</w:t>
      </w:r>
    </w:p>
    <w:p w14:paraId="415C8461" w14:textId="77777777" w:rsidR="007720F5" w:rsidRDefault="007720F5" w:rsidP="007720F5">
      <w:r w:rsidRPr="0033387D">
        <w:rPr>
          <w:u w:val="single"/>
        </w:rPr>
        <w:t>HOFOR</w:t>
      </w:r>
      <w:r w:rsidRPr="0033387D">
        <w:t xml:space="preserve"> bemærker</w:t>
      </w:r>
      <w:r>
        <w:t xml:space="preserve">, at verifikationer af materialer indgår i såvel nr. 8 som nr. 9 i § 5. </w:t>
      </w:r>
      <w:r w:rsidRPr="0033387D">
        <w:t>HOFOR opfordrer til at det overvejes om ”materialer</w:t>
      </w:r>
      <w:r>
        <w:t>”</w:t>
      </w:r>
      <w:r w:rsidRPr="0033387D">
        <w:t xml:space="preserve"> skal fremgå begge steder, herunder at det tydeliggøres enten, hvorfor det fremgår af både 8) og 9) og hvilken merværdi i forhold til sikring af kvaliteten af drikkevandet det afstedkommer, eller alternativt at slette ”materialer” fra 8).</w:t>
      </w:r>
    </w:p>
    <w:p w14:paraId="154F5F2C" w14:textId="77777777" w:rsidR="007720F5" w:rsidRDefault="007720F5" w:rsidP="007720F5"/>
    <w:p w14:paraId="2102DDF9" w14:textId="2A0EA78A" w:rsidR="007720F5" w:rsidRDefault="007720F5" w:rsidP="007720F5">
      <w:bookmarkStart w:id="0" w:name="_Hlk212108498"/>
      <w:r>
        <w:rPr>
          <w:i/>
          <w:iCs/>
        </w:rPr>
        <w:t xml:space="preserve">Miljø- og Ligestillingsministeriet noterer sig </w:t>
      </w:r>
      <w:proofErr w:type="spellStart"/>
      <w:r>
        <w:rPr>
          <w:i/>
          <w:iCs/>
        </w:rPr>
        <w:t>HOFOR’s</w:t>
      </w:r>
      <w:proofErr w:type="spellEnd"/>
      <w:r>
        <w:rPr>
          <w:i/>
          <w:iCs/>
        </w:rPr>
        <w:t xml:space="preserve"> bemærkning. </w:t>
      </w:r>
      <w:bookmarkEnd w:id="0"/>
      <w:r>
        <w:rPr>
          <w:i/>
          <w:iCs/>
        </w:rPr>
        <w:t>Ministeriet bemærker hertil, at § 5, nr. 8 og 9, vedrører to forskellige scenarier. § 5, nr. 8, vedrører verifikation af bl.a. materialer i eksisterende forsyningssystemer, mens § 5, nr. 9, vedrører verifikation af bl.a. materialer i forbindelse med nye anlæg eller i forbindelse med reparation eller genopbygning af eksisterende anlæg</w:t>
      </w:r>
      <w:r w:rsidRPr="007E29AE">
        <w:t xml:space="preserve"> </w:t>
      </w:r>
      <w:r w:rsidRPr="007E29AE">
        <w:rPr>
          <w:i/>
          <w:iCs/>
        </w:rPr>
        <w:t>til indvinding, behandling, lagring eller</w:t>
      </w:r>
      <w:r>
        <w:rPr>
          <w:i/>
          <w:iCs/>
        </w:rPr>
        <w:t xml:space="preserve"> </w:t>
      </w:r>
      <w:r w:rsidRPr="007E29AE">
        <w:rPr>
          <w:i/>
          <w:iCs/>
        </w:rPr>
        <w:t>distribution af drikkevand, og som kommer i kontakt med drikkevand</w:t>
      </w:r>
      <w:r>
        <w:rPr>
          <w:i/>
          <w:iCs/>
        </w:rPr>
        <w:t>.</w:t>
      </w:r>
    </w:p>
    <w:p w14:paraId="08F691D2" w14:textId="77777777" w:rsidR="007720F5" w:rsidRPr="00093397" w:rsidRDefault="007720F5" w:rsidP="004B5CF4"/>
    <w:p w14:paraId="310B367F" w14:textId="77777777" w:rsidR="006D26B1" w:rsidRDefault="006D26B1" w:rsidP="004B5CF4">
      <w:pPr>
        <w:rPr>
          <w:i/>
          <w:iCs/>
        </w:rPr>
      </w:pPr>
    </w:p>
    <w:p w14:paraId="62B09312" w14:textId="605E05C0" w:rsidR="007720F5" w:rsidRDefault="007720F5" w:rsidP="004B5CF4">
      <w:pPr>
        <w:rPr>
          <w:b/>
          <w:bCs/>
        </w:rPr>
      </w:pPr>
      <w:r>
        <w:rPr>
          <w:b/>
          <w:bCs/>
        </w:rPr>
        <w:t xml:space="preserve">Ad § 7 </w:t>
      </w:r>
    </w:p>
    <w:p w14:paraId="14082403" w14:textId="77777777" w:rsidR="007720F5" w:rsidRDefault="007720F5" w:rsidP="007720F5">
      <w:proofErr w:type="gramStart"/>
      <w:r w:rsidRPr="00B52AD3">
        <w:rPr>
          <w:u w:val="single"/>
        </w:rPr>
        <w:t>HOFOR</w:t>
      </w:r>
      <w:r>
        <w:t xml:space="preserve"> anfører</w:t>
      </w:r>
      <w:proofErr w:type="gramEnd"/>
      <w:r>
        <w:t xml:space="preserve">, at </w:t>
      </w:r>
      <w:r w:rsidRPr="00B52AD3">
        <w:t>implementering</w:t>
      </w:r>
      <w:r>
        <w:t>en</w:t>
      </w:r>
      <w:r w:rsidRPr="00B52AD3">
        <w:t xml:space="preserve"> i § 7</w:t>
      </w:r>
      <w:r>
        <w:t>,</w:t>
      </w:r>
      <w:r w:rsidRPr="00B52AD3">
        <w:t xml:space="preserve"> stk. 2</w:t>
      </w:r>
      <w:r>
        <w:t>,</w:t>
      </w:r>
      <w:r w:rsidRPr="00B52AD3">
        <w:t xml:space="preserve"> virker unødig omfangsrig i lyset af, at det også skal omfatte reparation og genopbygning. </w:t>
      </w:r>
      <w:r>
        <w:t>HOFOR bemærker videre, at v</w:t>
      </w:r>
      <w:r w:rsidRPr="00B52AD3">
        <w:t>andforsyningerne ofte reparerer forsyningsnettet, og hvis der skal udføres risikovurderinger og indsendes dokumentation for hver reparation, vil det kræve betydelige ressourcer. Samtidig er det uklart hvad kommunerne skal med alt det fremsendte materiale.</w:t>
      </w:r>
    </w:p>
    <w:p w14:paraId="0412B48C" w14:textId="77777777" w:rsidR="007720F5" w:rsidRDefault="007720F5" w:rsidP="004B5CF4">
      <w:pPr>
        <w:rPr>
          <w:b/>
          <w:bCs/>
        </w:rPr>
      </w:pPr>
    </w:p>
    <w:p w14:paraId="16BBCB37" w14:textId="55EC654A" w:rsidR="007720F5" w:rsidRDefault="007720F5" w:rsidP="004B5CF4">
      <w:pPr>
        <w:rPr>
          <w:i/>
          <w:iCs/>
        </w:rPr>
      </w:pPr>
      <w:r>
        <w:rPr>
          <w:i/>
          <w:iCs/>
        </w:rPr>
        <w:t>Miljø- og Ligestillingsministeriets bemærkninger</w:t>
      </w:r>
    </w:p>
    <w:p w14:paraId="366615DB" w14:textId="77777777" w:rsidR="007720F5" w:rsidRDefault="007720F5" w:rsidP="007720F5">
      <w:pPr>
        <w:rPr>
          <w:i/>
          <w:iCs/>
        </w:rPr>
      </w:pPr>
      <w:r>
        <w:rPr>
          <w:i/>
          <w:iCs/>
        </w:rPr>
        <w:t xml:space="preserve">Miljø- og Ligestillingsministeriet tager </w:t>
      </w:r>
      <w:proofErr w:type="spellStart"/>
      <w:r>
        <w:rPr>
          <w:i/>
          <w:iCs/>
        </w:rPr>
        <w:t>HOFORs</w:t>
      </w:r>
      <w:proofErr w:type="spellEnd"/>
      <w:r>
        <w:rPr>
          <w:i/>
          <w:iCs/>
        </w:rPr>
        <w:t xml:space="preserve"> synspunkter til efterretning og foretager følgende tilretninger:</w:t>
      </w:r>
    </w:p>
    <w:p w14:paraId="05614E80" w14:textId="77777777" w:rsidR="007720F5" w:rsidRDefault="007720F5" w:rsidP="007720F5">
      <w:pPr>
        <w:rPr>
          <w:i/>
          <w:iCs/>
        </w:rPr>
      </w:pPr>
    </w:p>
    <w:p w14:paraId="010D331C" w14:textId="77777777" w:rsidR="007720F5" w:rsidRDefault="007720F5" w:rsidP="007720F5">
      <w:pPr>
        <w:rPr>
          <w:i/>
          <w:iCs/>
        </w:rPr>
      </w:pPr>
      <w:r>
        <w:rPr>
          <w:i/>
          <w:iCs/>
        </w:rPr>
        <w:t>Ordlyden af § 5, nr. 9, ændres til følgende:</w:t>
      </w:r>
    </w:p>
    <w:p w14:paraId="726E6BE5" w14:textId="77777777" w:rsidR="007720F5" w:rsidRDefault="007720F5" w:rsidP="007720F5">
      <w:pPr>
        <w:rPr>
          <w:i/>
          <w:iCs/>
        </w:rPr>
      </w:pPr>
      <w:r w:rsidRPr="00834921">
        <w:t>”9) Verifikation af, at materialer, herunder materialer i produkter, der skal bruges i nye forsyningssystemer, eller i eksisterende forsyningssystemer i forbindelse med reparationsarbejde eller genopbygning</w:t>
      </w:r>
      <w:r>
        <w:t>sarbejde</w:t>
      </w:r>
      <w:r w:rsidRPr="00834921">
        <w:t>, til indvinding, behandling, lagring eller distribution af drikkevand, og som kommer i kontakt med drikkevand, kan sikre overholdelse af § 56 a i lov om vandforsyning m.v.”</w:t>
      </w:r>
    </w:p>
    <w:p w14:paraId="112E2F46" w14:textId="77777777" w:rsidR="007720F5" w:rsidRDefault="007720F5" w:rsidP="007720F5">
      <w:pPr>
        <w:rPr>
          <w:i/>
          <w:iCs/>
        </w:rPr>
      </w:pPr>
    </w:p>
    <w:p w14:paraId="33D851D8" w14:textId="77777777" w:rsidR="007720F5" w:rsidRDefault="007720F5" w:rsidP="007720F5">
      <w:pPr>
        <w:rPr>
          <w:i/>
          <w:iCs/>
        </w:rPr>
      </w:pPr>
      <w:r>
        <w:rPr>
          <w:i/>
          <w:iCs/>
        </w:rPr>
        <w:t xml:space="preserve">Ordlyden af § 7, stk. 2, ændres til: </w:t>
      </w:r>
    </w:p>
    <w:p w14:paraId="0CC894E7" w14:textId="77777777" w:rsidR="007720F5" w:rsidRPr="004064B2" w:rsidRDefault="007720F5" w:rsidP="007720F5">
      <w:r>
        <w:rPr>
          <w:i/>
          <w:iCs/>
        </w:rPr>
        <w:t xml:space="preserve">”Stk. 2. </w:t>
      </w:r>
      <w:r w:rsidRPr="00834921">
        <w:t>I perioden indtil den 12. januar 2029, skal en almen vandforsyning, der leverer 17.000 m</w:t>
      </w:r>
      <w:r w:rsidRPr="0038400A">
        <w:rPr>
          <w:vertAlign w:val="superscript"/>
        </w:rPr>
        <w:t>3</w:t>
      </w:r>
      <w:r w:rsidRPr="00834921">
        <w:t xml:space="preserve"> vand pr. år eller mere have gennemført risikovurdering efter § 4, stk. 2, nr. 2, og risikostyring efter § 5, nr. 1, 2, 7 og 8, af et nyoprettet vandforsyningssystem senest 6 måneder efter oprettelsen af vandforsyningssystemet samt underrette kommunalbestyrelsen om, at risikovurderingen og risikostyringen er gennemført senest 4 uger efter gennemførelsen, jf. dog stk. 3</w:t>
      </w:r>
      <w:r>
        <w:t xml:space="preserve"> og 4</w:t>
      </w:r>
      <w:r w:rsidRPr="00834921">
        <w:t>.</w:t>
      </w:r>
      <w:r>
        <w:t>”</w:t>
      </w:r>
    </w:p>
    <w:p w14:paraId="060515B3" w14:textId="77777777" w:rsidR="007720F5" w:rsidRPr="004064B2" w:rsidRDefault="007720F5" w:rsidP="007720F5"/>
    <w:p w14:paraId="0C1E14D9" w14:textId="77777777" w:rsidR="007720F5" w:rsidRDefault="007720F5" w:rsidP="007720F5">
      <w:pPr>
        <w:rPr>
          <w:i/>
          <w:iCs/>
        </w:rPr>
      </w:pPr>
      <w:r>
        <w:rPr>
          <w:i/>
          <w:iCs/>
        </w:rPr>
        <w:t>Efter § 7, stk. 2, indsættes nye stk. 3 og 4 med følgende ordlyd:</w:t>
      </w:r>
    </w:p>
    <w:p w14:paraId="791291BC" w14:textId="77777777" w:rsidR="007720F5" w:rsidRDefault="007720F5" w:rsidP="007720F5">
      <w:r>
        <w:rPr>
          <w:i/>
          <w:iCs/>
        </w:rPr>
        <w:t>”</w:t>
      </w:r>
      <w:r w:rsidRPr="004064B2">
        <w:rPr>
          <w:i/>
          <w:iCs/>
        </w:rPr>
        <w:t xml:space="preserve">Stk. 3. </w:t>
      </w:r>
      <w:r w:rsidRPr="00834921">
        <w:t>For en almen vandforsyning, der leverer 17.000 m</w:t>
      </w:r>
      <w:r w:rsidRPr="0038400A">
        <w:rPr>
          <w:vertAlign w:val="superscript"/>
        </w:rPr>
        <w:t>3</w:t>
      </w:r>
      <w:r w:rsidRPr="00834921">
        <w:t xml:space="preserve"> vand pr. år eller mere, finder de frister og krav om underretning, som er fastsat i stk. 2, tilsvarende anvendelse på verifikation af materialer, herunder materialer i produkter, som kommer i kontakt med drikkevand, og som</w:t>
      </w:r>
      <w:r>
        <w:t xml:space="preserve"> </w:t>
      </w:r>
      <w:r w:rsidRPr="00834921">
        <w:t>bruges i forbindelse med udførelse af reparationsarbejde eller genopbygning</w:t>
      </w:r>
      <w:r>
        <w:t>sarbejde</w:t>
      </w:r>
      <w:r w:rsidRPr="00834921">
        <w:t xml:space="preserve"> af eksisterende forsyningssystemer i perioden 1. januar 2027 til 31. december 2032, jf. § 5, nr. 9</w:t>
      </w:r>
      <w:r>
        <w:t>.</w:t>
      </w:r>
    </w:p>
    <w:p w14:paraId="586DCF62" w14:textId="77777777" w:rsidR="007720F5" w:rsidRDefault="007720F5" w:rsidP="007720F5">
      <w:r w:rsidRPr="005746FF">
        <w:rPr>
          <w:i/>
          <w:iCs/>
        </w:rPr>
        <w:t>Stk. 4.</w:t>
      </w:r>
      <w:r>
        <w:t xml:space="preserve"> Stk. 3 finder ikke anvendelse på m</w:t>
      </w:r>
      <w:r w:rsidRPr="005746FF">
        <w:t xml:space="preserve">aterialer, herunder materialer i produkter, som kommer i kontakt med drikkevand, </w:t>
      </w:r>
      <w:r>
        <w:t>for hvilke</w:t>
      </w:r>
      <w:r w:rsidRPr="005746FF">
        <w:t xml:space="preserve"> der er udstedt en EU-overensstemmelseserklæring og som er ledsaget af EU-mærkning</w:t>
      </w:r>
      <w:r>
        <w:t>.”</w:t>
      </w:r>
    </w:p>
    <w:p w14:paraId="755C1D6C" w14:textId="77777777" w:rsidR="00B45B4C" w:rsidRDefault="00B45B4C" w:rsidP="004B5CF4">
      <w:pPr>
        <w:rPr>
          <w:i/>
          <w:iCs/>
        </w:rPr>
      </w:pPr>
    </w:p>
    <w:p w14:paraId="3F7A3DCD" w14:textId="50D9053A" w:rsidR="006D26B1" w:rsidRPr="00397122" w:rsidRDefault="006D26B1" w:rsidP="004B5CF4">
      <w:pPr>
        <w:rPr>
          <w:b/>
          <w:bCs/>
        </w:rPr>
      </w:pPr>
      <w:r w:rsidRPr="00397122">
        <w:rPr>
          <w:b/>
          <w:bCs/>
        </w:rPr>
        <w:t>Bekendtgørelse om risikovurdering og risikostyring af tilstrømningsområder for indvindingssteder af drikkevand</w:t>
      </w:r>
    </w:p>
    <w:p w14:paraId="1F027BDE" w14:textId="77777777" w:rsidR="00676B92" w:rsidRDefault="006D26B1" w:rsidP="004B5CF4">
      <w:r w:rsidRPr="000A4909">
        <w:rPr>
          <w:u w:val="single"/>
        </w:rPr>
        <w:t>DANVA og Danske Vandværker</w:t>
      </w:r>
      <w:r>
        <w:t xml:space="preserve"> anbefaler om tilføjelsen af § 5, stk. 4, i bekendtgørelsen – ”Effekten af de gennemførte foranstaltninger revideres med passende mellemrum”</w:t>
      </w:r>
      <w:r w:rsidR="00397122">
        <w:t xml:space="preserve">, at de gennemførte foranstaltninger som minimum evalueres én gang årligt. </w:t>
      </w:r>
    </w:p>
    <w:p w14:paraId="4988B701" w14:textId="77777777" w:rsidR="0047482E" w:rsidRDefault="0047482E" w:rsidP="004B5CF4"/>
    <w:p w14:paraId="0FB0BD8B" w14:textId="32A05FB4" w:rsidR="0047482E" w:rsidRDefault="0047482E" w:rsidP="004B5CF4">
      <w:pPr>
        <w:rPr>
          <w:i/>
          <w:iCs/>
        </w:rPr>
      </w:pPr>
      <w:r>
        <w:rPr>
          <w:i/>
          <w:iCs/>
        </w:rPr>
        <w:t>Miljø- og Ligestillingsministeriets bemærkninger</w:t>
      </w:r>
    </w:p>
    <w:p w14:paraId="67FB71F7" w14:textId="44EE0CA3" w:rsidR="0047482E" w:rsidRDefault="0047482E" w:rsidP="004B5CF4">
      <w:pPr>
        <w:rPr>
          <w:i/>
          <w:iCs/>
        </w:rPr>
      </w:pPr>
      <w:r>
        <w:rPr>
          <w:i/>
          <w:iCs/>
        </w:rPr>
        <w:t xml:space="preserve">Formuleringen ”Med passende mellemrum” </w:t>
      </w:r>
      <w:r w:rsidR="00676B92">
        <w:rPr>
          <w:i/>
          <w:iCs/>
        </w:rPr>
        <w:t xml:space="preserve">kommer fra drikkevandsdirektivet og </w:t>
      </w:r>
      <w:r>
        <w:rPr>
          <w:i/>
          <w:iCs/>
        </w:rPr>
        <w:t>giver efter ministeriets vurdering rum for fortolkning af, hvad der mere konkret skal forstås herved,</w:t>
      </w:r>
      <w:r w:rsidR="00F03644">
        <w:rPr>
          <w:i/>
          <w:iCs/>
        </w:rPr>
        <w:t xml:space="preserve"> og forslaget fra DANVA og Danske Vandværker vil derfor godt kunne rummes inden for, hvad skal forstås ved ”med passende mellemrum”.</w:t>
      </w:r>
      <w:r>
        <w:rPr>
          <w:i/>
          <w:iCs/>
        </w:rPr>
        <w:t xml:space="preserve"> </w:t>
      </w:r>
      <w:r w:rsidR="00F03644">
        <w:rPr>
          <w:i/>
          <w:iCs/>
        </w:rPr>
        <w:t>M</w:t>
      </w:r>
      <w:r>
        <w:rPr>
          <w:i/>
          <w:iCs/>
        </w:rPr>
        <w:t>inisteriet noterer sig synspunktet i det videre arbejde med risikovurderingerne.</w:t>
      </w:r>
    </w:p>
    <w:p w14:paraId="662D4DCB" w14:textId="77777777" w:rsidR="00320544" w:rsidRDefault="00320544" w:rsidP="004B5CF4">
      <w:pPr>
        <w:rPr>
          <w:i/>
          <w:iCs/>
        </w:rPr>
      </w:pPr>
    </w:p>
    <w:p w14:paraId="04F1D9CF" w14:textId="77777777" w:rsidR="00320544" w:rsidRPr="00070D71" w:rsidRDefault="00320544" w:rsidP="00320544">
      <w:pPr>
        <w:rPr>
          <w:b/>
          <w:bCs/>
        </w:rPr>
      </w:pPr>
      <w:r w:rsidRPr="00070D71">
        <w:rPr>
          <w:b/>
          <w:bCs/>
        </w:rPr>
        <w:t>Vejledning</w:t>
      </w:r>
    </w:p>
    <w:p w14:paraId="4D3D8B34" w14:textId="77777777" w:rsidR="00320544" w:rsidRDefault="00320544" w:rsidP="00320544">
      <w:r>
        <w:lastRenderedPageBreak/>
        <w:t xml:space="preserve">Flere høringsparter, herunder </w:t>
      </w:r>
      <w:r w:rsidRPr="001D4D1F">
        <w:rPr>
          <w:u w:val="single"/>
        </w:rPr>
        <w:t>KL</w:t>
      </w:r>
      <w:r>
        <w:t xml:space="preserve">, </w:t>
      </w:r>
      <w:r w:rsidRPr="001D4D1F">
        <w:rPr>
          <w:u w:val="single"/>
        </w:rPr>
        <w:t>DANVA</w:t>
      </w:r>
      <w:r>
        <w:t xml:space="preserve">, </w:t>
      </w:r>
      <w:r w:rsidRPr="001D4D1F">
        <w:rPr>
          <w:u w:val="single"/>
        </w:rPr>
        <w:t>Danske Vandværker</w:t>
      </w:r>
      <w:r>
        <w:t xml:space="preserve"> og </w:t>
      </w:r>
      <w:r w:rsidRPr="001D4D1F">
        <w:rPr>
          <w:u w:val="single"/>
        </w:rPr>
        <w:t>HOFOR</w:t>
      </w:r>
      <w:r>
        <w:t>, påpeger behovet for mere vejledning om de nye regler.</w:t>
      </w:r>
    </w:p>
    <w:p w14:paraId="4D121BC9" w14:textId="77777777" w:rsidR="00320544" w:rsidRDefault="00320544" w:rsidP="00320544"/>
    <w:p w14:paraId="4AC0DC50" w14:textId="77777777" w:rsidR="00320544" w:rsidRDefault="00320544" w:rsidP="00320544">
      <w:pPr>
        <w:rPr>
          <w:i/>
          <w:iCs/>
        </w:rPr>
      </w:pPr>
      <w:r>
        <w:rPr>
          <w:i/>
          <w:iCs/>
        </w:rPr>
        <w:t>Miljø- og Ligestillingsministeriets bemærkninger</w:t>
      </w:r>
    </w:p>
    <w:p w14:paraId="63D0D149" w14:textId="77777777" w:rsidR="00320544" w:rsidRPr="00125BEF" w:rsidRDefault="00320544" w:rsidP="00320544">
      <w:pPr>
        <w:rPr>
          <w:i/>
          <w:iCs/>
        </w:rPr>
      </w:pPr>
      <w:r>
        <w:rPr>
          <w:i/>
          <w:iCs/>
        </w:rPr>
        <w:t>Ministeriet noterer sig behovet og vil orientere Miljøstyrelsen herom, der er ansvarlig for udarbejdelse af vejledninger.</w:t>
      </w:r>
    </w:p>
    <w:p w14:paraId="06ABB956" w14:textId="77777777" w:rsidR="00320544" w:rsidRPr="00320544" w:rsidRDefault="00320544" w:rsidP="004B5CF4"/>
    <w:sectPr w:rsidR="00320544" w:rsidRPr="00320544" w:rsidSect="007A04FE">
      <w:headerReference w:type="default" r:id="rId7"/>
      <w:footerReference w:type="even" r:id="rId8"/>
      <w:footerReference w:type="default" r:id="rId9"/>
      <w:headerReference w:type="first" r:id="rId10"/>
      <w:footerReference w:type="first" r:id="rId11"/>
      <w:pgSz w:w="11906" w:h="16838" w:code="9"/>
      <w:pgMar w:top="2041" w:right="1418" w:bottom="1701" w:left="1418" w:header="45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844D0" w14:textId="77777777" w:rsidR="00397E43" w:rsidRDefault="00397E43">
      <w:r>
        <w:separator/>
      </w:r>
    </w:p>
  </w:endnote>
  <w:endnote w:type="continuationSeparator" w:id="0">
    <w:p w14:paraId="26B50A61" w14:textId="77777777" w:rsidR="00397E43" w:rsidRDefault="0039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F866" w14:textId="77777777"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D570C5">
      <w:rPr>
        <w:rStyle w:val="Sidetal"/>
        <w:noProof/>
      </w:rPr>
      <w:t>1</w:t>
    </w:r>
    <w:r>
      <w:rPr>
        <w:rStyle w:val="Sidetal"/>
      </w:rPr>
      <w:fldChar w:fldCharType="end"/>
    </w:r>
  </w:p>
  <w:p w14:paraId="2B9A47EF" w14:textId="77777777"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D4A6" w14:textId="77777777" w:rsidR="007A04FE" w:rsidRDefault="007A04FE" w:rsidP="00BC1C77">
    <w:pPr>
      <w:pStyle w:val="Sidefod"/>
      <w:ind w:right="0"/>
      <w:jc w:val="right"/>
    </w:pPr>
    <w:r>
      <w:rPr>
        <w:rStyle w:val="Sidetal"/>
      </w:rPr>
      <w:fldChar w:fldCharType="begin"/>
    </w:r>
    <w:r>
      <w:rPr>
        <w:rStyle w:val="Sidetal"/>
      </w:rPr>
      <w:instrText xml:space="preserve"> PAGE </w:instrText>
    </w:r>
    <w:r>
      <w:rPr>
        <w:rStyle w:val="Sidetal"/>
      </w:rPr>
      <w:fldChar w:fldCharType="separate"/>
    </w:r>
    <w:r w:rsidR="00BC1C77">
      <w:rPr>
        <w:rStyle w:val="Sidetal"/>
        <w:noProof/>
      </w:rPr>
      <w:t>2</w:t>
    </w:r>
    <w:r>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B35D0" w14:textId="77777777" w:rsidR="004B68AD" w:rsidRPr="00327370" w:rsidRDefault="00327370" w:rsidP="004B68AD">
    <w:pPr>
      <w:pStyle w:val="Template-Address"/>
    </w:pPr>
    <w:bookmarkStart w:id="16" w:name="OFF_Institution"/>
    <w:bookmarkStart w:id="17" w:name="OFF_InstitutionHIF"/>
    <w:bookmarkStart w:id="18" w:name="XIF_MMFirstAddressLine"/>
    <w:r w:rsidRPr="00327370">
      <w:t>Miljø- og Ligestillingsministeriet</w:t>
    </w:r>
    <w:bookmarkEnd w:id="16"/>
    <w:r w:rsidR="004B68AD" w:rsidRPr="00327370">
      <w:t xml:space="preserve"> </w:t>
    </w:r>
    <w:bookmarkEnd w:id="17"/>
    <w:r w:rsidR="004B68AD" w:rsidRPr="00327370">
      <w:t xml:space="preserve">• </w:t>
    </w:r>
    <w:bookmarkStart w:id="19" w:name="OFF_AddressA"/>
    <w:bookmarkStart w:id="20" w:name="OFF_AddressAHIF"/>
    <w:r w:rsidRPr="00327370">
      <w:t>Frederiksholms Kanal 26</w:t>
    </w:r>
    <w:bookmarkEnd w:id="19"/>
    <w:r w:rsidR="004B68AD" w:rsidRPr="00327370">
      <w:t xml:space="preserve"> </w:t>
    </w:r>
    <w:bookmarkEnd w:id="20"/>
    <w:r w:rsidR="004B68AD" w:rsidRPr="00327370">
      <w:rPr>
        <w:vanish/>
      </w:rPr>
      <w:t xml:space="preserve">• </w:t>
    </w:r>
    <w:bookmarkStart w:id="21" w:name="OFF_AddressB"/>
    <w:bookmarkStart w:id="22" w:name="OFF_AddressBHIF"/>
    <w:bookmarkEnd w:id="21"/>
    <w:r w:rsidR="004B68AD" w:rsidRPr="00327370">
      <w:rPr>
        <w:vanish/>
      </w:rPr>
      <w:t xml:space="preserve"> </w:t>
    </w:r>
    <w:bookmarkEnd w:id="22"/>
    <w:r w:rsidR="004B68AD" w:rsidRPr="00327370">
      <w:rPr>
        <w:vanish/>
      </w:rPr>
      <w:t xml:space="preserve">• </w:t>
    </w:r>
    <w:bookmarkStart w:id="23" w:name="OFF_AddressC"/>
    <w:bookmarkStart w:id="24" w:name="OFF_AddressCHIF"/>
    <w:bookmarkEnd w:id="23"/>
    <w:r w:rsidR="004B68AD" w:rsidRPr="00327370">
      <w:rPr>
        <w:vanish/>
      </w:rPr>
      <w:t xml:space="preserve"> </w:t>
    </w:r>
    <w:bookmarkEnd w:id="24"/>
    <w:r w:rsidR="004B68AD" w:rsidRPr="00327370">
      <w:t xml:space="preserve">• </w:t>
    </w:r>
    <w:bookmarkStart w:id="25" w:name="OFF_AddressD"/>
    <w:bookmarkStart w:id="26" w:name="OFF_AddressDHIF"/>
    <w:r w:rsidRPr="00327370">
      <w:t>1220</w:t>
    </w:r>
    <w:bookmarkEnd w:id="25"/>
    <w:r w:rsidR="004B68AD" w:rsidRPr="00327370">
      <w:t xml:space="preserve"> </w:t>
    </w:r>
    <w:bookmarkStart w:id="27" w:name="OFF_City"/>
    <w:r>
      <w:t>København K</w:t>
    </w:r>
    <w:bookmarkEnd w:id="27"/>
    <w:r w:rsidR="004B68AD" w:rsidRPr="00327370">
      <w:t xml:space="preserve"> </w:t>
    </w:r>
    <w:bookmarkEnd w:id="26"/>
  </w:p>
  <w:p w14:paraId="3F7C376B" w14:textId="77777777" w:rsidR="004B68AD" w:rsidRPr="004B68AD" w:rsidRDefault="00327370" w:rsidP="004B68AD">
    <w:pPr>
      <w:pStyle w:val="Template-Address"/>
      <w:rPr>
        <w:lang w:val="en-GB"/>
      </w:rPr>
    </w:pPr>
    <w:bookmarkStart w:id="28" w:name="LAN_Phone"/>
    <w:bookmarkStart w:id="29" w:name="OFF_PhoneHIF"/>
    <w:bookmarkStart w:id="30" w:name="XIF_MMSecondAddressLine"/>
    <w:bookmarkEnd w:id="18"/>
    <w:r w:rsidRPr="00327370">
      <w:rPr>
        <w:lang w:val="en-GB"/>
      </w:rPr>
      <w:t>Tlf.</w:t>
    </w:r>
    <w:bookmarkEnd w:id="28"/>
    <w:r w:rsidR="004B68AD" w:rsidRPr="00327370">
      <w:rPr>
        <w:lang w:val="en-GB"/>
      </w:rPr>
      <w:t xml:space="preserve"> </w:t>
    </w:r>
    <w:bookmarkStart w:id="31" w:name="OFF_Phone"/>
    <w:r w:rsidRPr="00327370">
      <w:rPr>
        <w:lang w:val="en-GB"/>
      </w:rPr>
      <w:t>38 14 21 42</w:t>
    </w:r>
    <w:bookmarkEnd w:id="31"/>
    <w:r w:rsidR="004B68AD" w:rsidRPr="00327370">
      <w:rPr>
        <w:lang w:val="en-GB"/>
      </w:rPr>
      <w:t xml:space="preserve"> </w:t>
    </w:r>
    <w:bookmarkEnd w:id="29"/>
    <w:r w:rsidR="004B68AD" w:rsidRPr="00327370">
      <w:rPr>
        <w:vanish/>
        <w:lang w:val="en-GB"/>
      </w:rPr>
      <w:t xml:space="preserve">• </w:t>
    </w:r>
    <w:bookmarkStart w:id="32" w:name="LAN_Fax"/>
    <w:bookmarkStart w:id="33" w:name="OFF_FaxHIF"/>
    <w:r w:rsidRPr="00327370">
      <w:rPr>
        <w:vanish/>
        <w:lang w:val="en-GB"/>
      </w:rPr>
      <w:t>Fax</w:t>
    </w:r>
    <w:bookmarkEnd w:id="32"/>
    <w:r w:rsidR="004B68AD" w:rsidRPr="00327370">
      <w:rPr>
        <w:vanish/>
        <w:lang w:val="en-GB"/>
      </w:rPr>
      <w:t xml:space="preserve"> </w:t>
    </w:r>
    <w:bookmarkStart w:id="34" w:name="OFF_Fax"/>
    <w:bookmarkEnd w:id="34"/>
    <w:r w:rsidR="004B68AD" w:rsidRPr="00327370">
      <w:rPr>
        <w:vanish/>
        <w:lang w:val="en-GB"/>
      </w:rPr>
      <w:t xml:space="preserve"> </w:t>
    </w:r>
    <w:bookmarkEnd w:id="33"/>
    <w:r w:rsidR="004B68AD" w:rsidRPr="00327370">
      <w:rPr>
        <w:lang w:val="en-GB"/>
      </w:rPr>
      <w:t xml:space="preserve">• </w:t>
    </w:r>
    <w:bookmarkStart w:id="35" w:name="OFF_CVRHIF"/>
    <w:r w:rsidR="004B68AD" w:rsidRPr="00327370">
      <w:rPr>
        <w:lang w:val="en-GB"/>
      </w:rPr>
      <w:t xml:space="preserve">CVR </w:t>
    </w:r>
    <w:bookmarkStart w:id="36" w:name="OFF_CVR"/>
    <w:r w:rsidRPr="00327370">
      <w:rPr>
        <w:lang w:val="en-GB"/>
      </w:rPr>
      <w:t>12854358</w:t>
    </w:r>
    <w:bookmarkEnd w:id="36"/>
    <w:r w:rsidR="004B68AD" w:rsidRPr="00327370">
      <w:rPr>
        <w:lang w:val="en-GB"/>
      </w:rPr>
      <w:t xml:space="preserve"> </w:t>
    </w:r>
    <w:bookmarkEnd w:id="35"/>
    <w:r w:rsidR="004B68AD" w:rsidRPr="00327370">
      <w:rPr>
        <w:lang w:val="en-GB"/>
      </w:rPr>
      <w:t xml:space="preserve">• </w:t>
    </w:r>
    <w:bookmarkStart w:id="37" w:name="OFF_EANHIF"/>
    <w:r w:rsidR="004B68AD" w:rsidRPr="00327370">
      <w:rPr>
        <w:lang w:val="en-GB"/>
      </w:rPr>
      <w:t xml:space="preserve">EAN </w:t>
    </w:r>
    <w:bookmarkStart w:id="38" w:name="OFF_EAN"/>
    <w:r w:rsidRPr="00327370">
      <w:rPr>
        <w:lang w:val="en-GB"/>
      </w:rPr>
      <w:t>5798000862005</w:t>
    </w:r>
    <w:bookmarkEnd w:id="38"/>
    <w:r w:rsidR="004B68AD" w:rsidRPr="00327370">
      <w:rPr>
        <w:lang w:val="en-GB"/>
      </w:rPr>
      <w:t xml:space="preserve"> </w:t>
    </w:r>
    <w:bookmarkEnd w:id="37"/>
    <w:r w:rsidR="004B68AD" w:rsidRPr="00327370">
      <w:rPr>
        <w:lang w:val="en-GB"/>
      </w:rPr>
      <w:t xml:space="preserve">• </w:t>
    </w:r>
    <w:bookmarkStart w:id="39" w:name="OFF_Email"/>
    <w:bookmarkStart w:id="40" w:name="OFF_EmailHIF"/>
    <w:r w:rsidRPr="00327370">
      <w:rPr>
        <w:lang w:val="en-GB"/>
      </w:rPr>
      <w:t>mim@mim.dk</w:t>
    </w:r>
    <w:bookmarkEnd w:id="39"/>
    <w:r w:rsidR="004B68AD" w:rsidRPr="00327370">
      <w:rPr>
        <w:lang w:val="en-GB"/>
      </w:rPr>
      <w:t xml:space="preserve"> </w:t>
    </w:r>
    <w:bookmarkEnd w:id="40"/>
    <w:r w:rsidR="004B68AD" w:rsidRPr="00327370">
      <w:rPr>
        <w:lang w:val="en-GB"/>
      </w:rPr>
      <w:t xml:space="preserve">• </w:t>
    </w:r>
    <w:bookmarkStart w:id="41" w:name="OFF_Web"/>
    <w:bookmarkStart w:id="42" w:name="OFF_WebHIF"/>
    <w:r w:rsidRPr="00327370">
      <w:rPr>
        <w:lang w:val="en-GB"/>
      </w:rPr>
      <w:t>www.mim.dk</w:t>
    </w:r>
    <w:bookmarkEnd w:id="41"/>
    <w:r w:rsidR="004B68AD" w:rsidRPr="00327370">
      <w:rPr>
        <w:lang w:val="en-GB"/>
      </w:rPr>
      <w:t xml:space="preserve"> </w:t>
    </w:r>
    <w:bookmarkEnd w:id="30"/>
    <w:bookmarkEnd w:id="42"/>
  </w:p>
  <w:p w14:paraId="1B66C8F5" w14:textId="77777777" w:rsidR="0048667B" w:rsidRPr="004B68AD" w:rsidRDefault="0048667B" w:rsidP="004B68AD">
    <w:pPr>
      <w:pStyle w:val="Sidefod"/>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12BFD" w14:textId="77777777" w:rsidR="00397E43" w:rsidRDefault="00397E43">
      <w:r>
        <w:separator/>
      </w:r>
    </w:p>
  </w:footnote>
  <w:footnote w:type="continuationSeparator" w:id="0">
    <w:p w14:paraId="1B7A9D23" w14:textId="77777777" w:rsidR="00397E43" w:rsidRDefault="00397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DF82" w14:textId="77777777" w:rsidR="000E717B" w:rsidRDefault="000E717B">
    <w:pPr>
      <w:pStyle w:val="Sidehoved"/>
    </w:pPr>
  </w:p>
  <w:p w14:paraId="11EF274A" w14:textId="77777777" w:rsidR="005A0290" w:rsidRDefault="005A0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2E8DD" w14:textId="77777777" w:rsidR="004B68AD" w:rsidRPr="00326292" w:rsidRDefault="00327370" w:rsidP="004B68AD">
    <w:bookmarkStart w:id="1" w:name="FLD_DocumentName"/>
    <w:r>
      <w:rPr>
        <w:noProof/>
      </w:rPr>
      <w:drawing>
        <wp:anchor distT="0" distB="0" distL="114300" distR="114300" simplePos="0" relativeHeight="251659264" behindDoc="0" locked="1" layoutInCell="1" allowOverlap="1" wp14:anchorId="6FD4F7FC" wp14:editId="583A8125">
          <wp:simplePos x="0" y="0"/>
          <wp:positionH relativeFrom="rightMargin">
            <wp:align>right</wp:align>
          </wp:positionH>
          <wp:positionV relativeFrom="page">
            <wp:posOffset>431800</wp:posOffset>
          </wp:positionV>
          <wp:extent cx="2627626" cy="626745"/>
          <wp:effectExtent l="0" t="0" r="0" b="1905"/>
          <wp:wrapNone/>
          <wp:docPr id="2" name="TopLogoFirst_bmkArt" descr="Logo for Miljø- og Ligestillingsministeri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rcRect r="-8956"/>
                  <a:stretch>
                    <a:fillRect/>
                  </a:stretch>
                </pic:blipFill>
                <pic:spPr>
                  <a:xfrm>
                    <a:off x="0" y="0"/>
                    <a:ext cx="2627626" cy="626745"/>
                  </a:xfrm>
                  <a:prstGeom prst="rect">
                    <a:avLst/>
                  </a:prstGeom>
                </pic:spPr>
              </pic:pic>
            </a:graphicData>
          </a:graphic>
          <wp14:sizeRelH relativeFrom="page">
            <wp14:pctWidth>0</wp14:pctWidth>
          </wp14:sizeRelH>
          <wp14:sizeRelV relativeFrom="page">
            <wp14:pctHeight>0</wp14:pctHeight>
          </wp14:sizeRelV>
        </wp:anchor>
      </w:drawing>
    </w:r>
    <w:r w:rsidR="004B68AD" w:rsidRPr="00326292">
      <w:rPr>
        <w:noProof/>
      </w:rPr>
      <mc:AlternateContent>
        <mc:Choice Requires="wps">
          <w:drawing>
            <wp:anchor distT="0" distB="0" distL="114300" distR="114300" simplePos="0" relativeHeight="251658240" behindDoc="0" locked="1" layoutInCell="1" allowOverlap="1" wp14:anchorId="5779595B" wp14:editId="6565EDFE">
              <wp:simplePos x="0" y="0"/>
              <wp:positionH relativeFrom="rightMargin">
                <wp:align>right</wp:align>
              </wp:positionH>
              <wp:positionV relativeFrom="page">
                <wp:posOffset>1263015</wp:posOffset>
              </wp:positionV>
              <wp:extent cx="2016000" cy="2361600"/>
              <wp:effectExtent l="0" t="0" r="3810" b="635"/>
              <wp:wrapNone/>
              <wp:docPr id="1" name="Kolofon"/>
              <wp:cNvGraphicFramePr/>
              <a:graphic xmlns:a="http://schemas.openxmlformats.org/drawingml/2006/main">
                <a:graphicData uri="http://schemas.microsoft.com/office/word/2010/wordprocessingShape">
                  <wps:wsp>
                    <wps:cNvSpPr txBox="1"/>
                    <wps:spPr>
                      <a:xfrm>
                        <a:off x="0" y="0"/>
                        <a:ext cx="2016000" cy="236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4B68AD" w14:paraId="20E43100" w14:textId="77777777">
                            <w:trPr>
                              <w:cantSplit/>
                              <w:trHeight w:val="2778"/>
                            </w:trPr>
                            <w:tc>
                              <w:tcPr>
                                <w:tcW w:w="2755" w:type="dxa"/>
                                <w:tcMar>
                                  <w:top w:w="34" w:type="dxa"/>
                                  <w:left w:w="0" w:type="dxa"/>
                                  <w:bottom w:w="28" w:type="dxa"/>
                                  <w:right w:w="0" w:type="dxa"/>
                                </w:tcMar>
                              </w:tcPr>
                              <w:p w14:paraId="126825BC" w14:textId="5D224B9B" w:rsidR="004B68AD" w:rsidRPr="00327370" w:rsidRDefault="00AC1C10">
                                <w:pPr>
                                  <w:pStyle w:val="Kolofontekst"/>
                                </w:pPr>
                                <w:bookmarkStart w:id="2" w:name="OFF_DepartmentHIF"/>
                                <w:r>
                                  <w:t>Vand og Pesticider</w:t>
                                </w:r>
                              </w:p>
                              <w:p w14:paraId="407C4575" w14:textId="7614BF98" w:rsidR="004B68AD" w:rsidRPr="00327370" w:rsidRDefault="00327370">
                                <w:pPr>
                                  <w:pStyle w:val="Kolofontekst"/>
                                </w:pPr>
                                <w:bookmarkStart w:id="3" w:name="LAN_CaseNo"/>
                                <w:bookmarkStart w:id="4" w:name="HIF_dossier_f2casenumber"/>
                                <w:bookmarkEnd w:id="2"/>
                                <w:r w:rsidRPr="00327370">
                                  <w:t>J.nr.</w:t>
                                </w:r>
                                <w:bookmarkEnd w:id="3"/>
                                <w:r w:rsidR="004B68AD" w:rsidRPr="00327370">
                                  <w:t xml:space="preserve"> </w:t>
                                </w:r>
                                <w:bookmarkStart w:id="5" w:name="dossier_f2casenumber"/>
                                <w:r w:rsidRPr="00296826">
                                  <w:rPr>
                                    <w:color w:val="000000" w:themeColor="text1"/>
                                  </w:rPr>
                                  <w:t>202</w:t>
                                </w:r>
                                <w:bookmarkEnd w:id="5"/>
                                <w:r w:rsidR="00AC1C10" w:rsidRPr="00296826">
                                  <w:rPr>
                                    <w:color w:val="000000" w:themeColor="text1"/>
                                  </w:rPr>
                                  <w:t>1-</w:t>
                                </w:r>
                              </w:p>
                              <w:p w14:paraId="7A818120" w14:textId="0B1F050C" w:rsidR="004B68AD" w:rsidRPr="00327370" w:rsidRDefault="00327370">
                                <w:pPr>
                                  <w:pStyle w:val="Kolofontekst"/>
                                </w:pPr>
                                <w:bookmarkStart w:id="6" w:name="LAN_Ref"/>
                                <w:bookmarkStart w:id="7" w:name="USR_InitialsHIF"/>
                                <w:bookmarkEnd w:id="4"/>
                                <w:r w:rsidRPr="00327370">
                                  <w:t>Ref.</w:t>
                                </w:r>
                                <w:bookmarkEnd w:id="6"/>
                                <w:r w:rsidR="004B68AD" w:rsidRPr="00327370">
                                  <w:t xml:space="preserve"> </w:t>
                                </w:r>
                                <w:r w:rsidR="00AC1C10">
                                  <w:t>SIMAJ</w:t>
                                </w:r>
                              </w:p>
                              <w:p w14:paraId="5543B0D8" w14:textId="3D6A02E0" w:rsidR="004B68AD" w:rsidRDefault="00327370" w:rsidP="00F351D6">
                                <w:pPr>
                                  <w:pStyle w:val="Kolofontekst"/>
                                </w:pPr>
                                <w:bookmarkStart w:id="8" w:name="FLD_DocumentDate"/>
                                <w:bookmarkEnd w:id="7"/>
                                <w:r>
                                  <w:t xml:space="preserve">Den </w:t>
                                </w:r>
                                <w:bookmarkEnd w:id="8"/>
                                <w:r w:rsidR="00AC1C10">
                                  <w:t>13. oktober 2025</w:t>
                                </w:r>
                              </w:p>
                            </w:tc>
                          </w:tr>
                        </w:tbl>
                        <w:p w14:paraId="6D38A15E" w14:textId="77777777" w:rsidR="004B68AD" w:rsidRDefault="004B68AD" w:rsidP="004B68A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9595B" id="_x0000_t202" coordsize="21600,21600" o:spt="202" path="m,l,21600r21600,l21600,xe">
              <v:stroke joinstyle="miter"/>
              <v:path gradientshapeok="t" o:connecttype="rect"/>
            </v:shapetype>
            <v:shape id="Kolofon" o:spid="_x0000_s1026" type="#_x0000_t202" style="position:absolute;margin-left:107.55pt;margin-top:99.45pt;width:158.75pt;height:185.95pt;z-index:251658240;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4B68AD" w14:paraId="20E43100" w14:textId="77777777">
                      <w:trPr>
                        <w:cantSplit/>
                        <w:trHeight w:val="2778"/>
                      </w:trPr>
                      <w:tc>
                        <w:tcPr>
                          <w:tcW w:w="2755" w:type="dxa"/>
                          <w:tcMar>
                            <w:top w:w="34" w:type="dxa"/>
                            <w:left w:w="0" w:type="dxa"/>
                            <w:bottom w:w="28" w:type="dxa"/>
                            <w:right w:w="0" w:type="dxa"/>
                          </w:tcMar>
                        </w:tcPr>
                        <w:p w14:paraId="126825BC" w14:textId="5D224B9B" w:rsidR="004B68AD" w:rsidRPr="00327370" w:rsidRDefault="00AC1C10">
                          <w:pPr>
                            <w:pStyle w:val="Kolofontekst"/>
                          </w:pPr>
                          <w:bookmarkStart w:id="9" w:name="OFF_DepartmentHIF"/>
                          <w:r>
                            <w:t>Vand og Pesticider</w:t>
                          </w:r>
                        </w:p>
                        <w:p w14:paraId="407C4575" w14:textId="7614BF98" w:rsidR="004B68AD" w:rsidRPr="00327370" w:rsidRDefault="00327370">
                          <w:pPr>
                            <w:pStyle w:val="Kolofontekst"/>
                          </w:pPr>
                          <w:bookmarkStart w:id="10" w:name="LAN_CaseNo"/>
                          <w:bookmarkStart w:id="11" w:name="HIF_dossier_f2casenumber"/>
                          <w:bookmarkEnd w:id="9"/>
                          <w:r w:rsidRPr="00327370">
                            <w:t>J.nr.</w:t>
                          </w:r>
                          <w:bookmarkEnd w:id="10"/>
                          <w:r w:rsidR="004B68AD" w:rsidRPr="00327370">
                            <w:t xml:space="preserve"> </w:t>
                          </w:r>
                          <w:bookmarkStart w:id="12" w:name="dossier_f2casenumber"/>
                          <w:r w:rsidRPr="00296826">
                            <w:rPr>
                              <w:color w:val="000000" w:themeColor="text1"/>
                            </w:rPr>
                            <w:t>202</w:t>
                          </w:r>
                          <w:bookmarkEnd w:id="12"/>
                          <w:r w:rsidR="00AC1C10" w:rsidRPr="00296826">
                            <w:rPr>
                              <w:color w:val="000000" w:themeColor="text1"/>
                            </w:rPr>
                            <w:t>1-</w:t>
                          </w:r>
                        </w:p>
                        <w:p w14:paraId="7A818120" w14:textId="0B1F050C" w:rsidR="004B68AD" w:rsidRPr="00327370" w:rsidRDefault="00327370">
                          <w:pPr>
                            <w:pStyle w:val="Kolofontekst"/>
                          </w:pPr>
                          <w:bookmarkStart w:id="13" w:name="LAN_Ref"/>
                          <w:bookmarkStart w:id="14" w:name="USR_InitialsHIF"/>
                          <w:bookmarkEnd w:id="11"/>
                          <w:r w:rsidRPr="00327370">
                            <w:t>Ref.</w:t>
                          </w:r>
                          <w:bookmarkEnd w:id="13"/>
                          <w:r w:rsidR="004B68AD" w:rsidRPr="00327370">
                            <w:t xml:space="preserve"> </w:t>
                          </w:r>
                          <w:r w:rsidR="00AC1C10">
                            <w:t>SIMAJ</w:t>
                          </w:r>
                        </w:p>
                        <w:p w14:paraId="5543B0D8" w14:textId="3D6A02E0" w:rsidR="004B68AD" w:rsidRDefault="00327370" w:rsidP="00F351D6">
                          <w:pPr>
                            <w:pStyle w:val="Kolofontekst"/>
                          </w:pPr>
                          <w:bookmarkStart w:id="15" w:name="FLD_DocumentDate"/>
                          <w:bookmarkEnd w:id="14"/>
                          <w:r>
                            <w:t xml:space="preserve">Den </w:t>
                          </w:r>
                          <w:bookmarkEnd w:id="15"/>
                          <w:r w:rsidR="00AC1C10">
                            <w:t>13. oktober 2025</w:t>
                          </w:r>
                        </w:p>
                      </w:tc>
                    </w:tr>
                  </w:tbl>
                  <w:p w14:paraId="6D38A15E" w14:textId="77777777" w:rsidR="004B68AD" w:rsidRDefault="004B68AD" w:rsidP="004B68AD"/>
                </w:txbxContent>
              </v:textbox>
              <w10:wrap anchorx="margin" anchory="page"/>
              <w10:anchorlock/>
            </v:shape>
          </w:pict>
        </mc:Fallback>
      </mc:AlternateContent>
    </w:r>
  </w:p>
  <w:bookmarkEnd w:id="1"/>
  <w:p w14:paraId="608C20BA" w14:textId="57F35096" w:rsidR="00A51DBA" w:rsidRDefault="00A51DBA" w:rsidP="00CF1627">
    <w:pPr>
      <w:pStyle w:val="DocumentNam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1"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6414159">
    <w:abstractNumId w:val="10"/>
  </w:num>
  <w:num w:numId="2" w16cid:durableId="961230992">
    <w:abstractNumId w:val="7"/>
  </w:num>
  <w:num w:numId="3" w16cid:durableId="1111628660">
    <w:abstractNumId w:val="6"/>
  </w:num>
  <w:num w:numId="4" w16cid:durableId="1936863025">
    <w:abstractNumId w:val="5"/>
  </w:num>
  <w:num w:numId="5" w16cid:durableId="369578473">
    <w:abstractNumId w:val="4"/>
  </w:num>
  <w:num w:numId="6" w16cid:durableId="608204549">
    <w:abstractNumId w:val="11"/>
  </w:num>
  <w:num w:numId="7" w16cid:durableId="238516551">
    <w:abstractNumId w:val="3"/>
  </w:num>
  <w:num w:numId="8" w16cid:durableId="1794862160">
    <w:abstractNumId w:val="2"/>
  </w:num>
  <w:num w:numId="9" w16cid:durableId="355739278">
    <w:abstractNumId w:val="1"/>
  </w:num>
  <w:num w:numId="10" w16cid:durableId="2108964424">
    <w:abstractNumId w:val="0"/>
  </w:num>
  <w:num w:numId="11" w16cid:durableId="2021423376">
    <w:abstractNumId w:val="9"/>
  </w:num>
  <w:num w:numId="12" w16cid:durableId="1161120066">
    <w:abstractNumId w:val="13"/>
  </w:num>
  <w:num w:numId="13" w16cid:durableId="182478092">
    <w:abstractNumId w:val="12"/>
  </w:num>
  <w:num w:numId="14" w16cid:durableId="1125537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ocumentProtection w:edit="forms" w:enforcement="0"/>
  <w:defaultTabStop w:val="1304"/>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9BF"/>
    <w:rsid w:val="00000F07"/>
    <w:rsid w:val="00002EA0"/>
    <w:rsid w:val="00003636"/>
    <w:rsid w:val="00004D1B"/>
    <w:rsid w:val="00005FAA"/>
    <w:rsid w:val="00007975"/>
    <w:rsid w:val="00010163"/>
    <w:rsid w:val="0001457C"/>
    <w:rsid w:val="0001528D"/>
    <w:rsid w:val="00016527"/>
    <w:rsid w:val="000166A0"/>
    <w:rsid w:val="00026852"/>
    <w:rsid w:val="00030051"/>
    <w:rsid w:val="00037E7E"/>
    <w:rsid w:val="00060BC5"/>
    <w:rsid w:val="000647F2"/>
    <w:rsid w:val="00070BA1"/>
    <w:rsid w:val="00070D71"/>
    <w:rsid w:val="000722BF"/>
    <w:rsid w:val="00073466"/>
    <w:rsid w:val="00074F1A"/>
    <w:rsid w:val="000758FD"/>
    <w:rsid w:val="00082404"/>
    <w:rsid w:val="000825EC"/>
    <w:rsid w:val="00086B6B"/>
    <w:rsid w:val="00087316"/>
    <w:rsid w:val="00092DC1"/>
    <w:rsid w:val="00093397"/>
    <w:rsid w:val="00096AA1"/>
    <w:rsid w:val="000A1C92"/>
    <w:rsid w:val="000A26F5"/>
    <w:rsid w:val="000A4909"/>
    <w:rsid w:val="000A7219"/>
    <w:rsid w:val="000A7CFD"/>
    <w:rsid w:val="000B26E7"/>
    <w:rsid w:val="000B2E5E"/>
    <w:rsid w:val="000B5461"/>
    <w:rsid w:val="000B5C70"/>
    <w:rsid w:val="000C0594"/>
    <w:rsid w:val="000C13E6"/>
    <w:rsid w:val="000C3D52"/>
    <w:rsid w:val="000C45B7"/>
    <w:rsid w:val="000C62D3"/>
    <w:rsid w:val="000D0F4C"/>
    <w:rsid w:val="000D1CF4"/>
    <w:rsid w:val="000D235F"/>
    <w:rsid w:val="000D28C1"/>
    <w:rsid w:val="000D5FBF"/>
    <w:rsid w:val="000D600E"/>
    <w:rsid w:val="000E3992"/>
    <w:rsid w:val="000E4332"/>
    <w:rsid w:val="000E717B"/>
    <w:rsid w:val="000F0B81"/>
    <w:rsid w:val="000F27E2"/>
    <w:rsid w:val="000F3EB3"/>
    <w:rsid w:val="0010095A"/>
    <w:rsid w:val="001062D0"/>
    <w:rsid w:val="00114DE6"/>
    <w:rsid w:val="00117592"/>
    <w:rsid w:val="001210A9"/>
    <w:rsid w:val="00125BEF"/>
    <w:rsid w:val="00133780"/>
    <w:rsid w:val="00134F8A"/>
    <w:rsid w:val="001354CC"/>
    <w:rsid w:val="0014150F"/>
    <w:rsid w:val="00144670"/>
    <w:rsid w:val="0014616C"/>
    <w:rsid w:val="00147799"/>
    <w:rsid w:val="00147EC0"/>
    <w:rsid w:val="00150899"/>
    <w:rsid w:val="00151F2E"/>
    <w:rsid w:val="00152694"/>
    <w:rsid w:val="00152CB8"/>
    <w:rsid w:val="00156908"/>
    <w:rsid w:val="00160721"/>
    <w:rsid w:val="00170A5F"/>
    <w:rsid w:val="001743E7"/>
    <w:rsid w:val="00181423"/>
    <w:rsid w:val="00185F31"/>
    <w:rsid w:val="00187315"/>
    <w:rsid w:val="00191FA7"/>
    <w:rsid w:val="00192227"/>
    <w:rsid w:val="001A0525"/>
    <w:rsid w:val="001A1864"/>
    <w:rsid w:val="001A4CEE"/>
    <w:rsid w:val="001A4D56"/>
    <w:rsid w:val="001A58BF"/>
    <w:rsid w:val="001A6CB5"/>
    <w:rsid w:val="001A7E4B"/>
    <w:rsid w:val="001B202F"/>
    <w:rsid w:val="001B3F10"/>
    <w:rsid w:val="001B72A9"/>
    <w:rsid w:val="001C2342"/>
    <w:rsid w:val="001C2544"/>
    <w:rsid w:val="001C417D"/>
    <w:rsid w:val="001C4328"/>
    <w:rsid w:val="001C4C8E"/>
    <w:rsid w:val="001C56E7"/>
    <w:rsid w:val="001C7630"/>
    <w:rsid w:val="001D1196"/>
    <w:rsid w:val="001D19D8"/>
    <w:rsid w:val="001D4D1F"/>
    <w:rsid w:val="001E2535"/>
    <w:rsid w:val="001E38EF"/>
    <w:rsid w:val="001E7F16"/>
    <w:rsid w:val="001F3A47"/>
    <w:rsid w:val="001F763E"/>
    <w:rsid w:val="00200B86"/>
    <w:rsid w:val="0020134B"/>
    <w:rsid w:val="0020402C"/>
    <w:rsid w:val="002044E3"/>
    <w:rsid w:val="00204BF4"/>
    <w:rsid w:val="00207F46"/>
    <w:rsid w:val="00211AC9"/>
    <w:rsid w:val="00211F1F"/>
    <w:rsid w:val="00212497"/>
    <w:rsid w:val="002239C6"/>
    <w:rsid w:val="00225534"/>
    <w:rsid w:val="00235945"/>
    <w:rsid w:val="00235C1F"/>
    <w:rsid w:val="002366E2"/>
    <w:rsid w:val="002437EC"/>
    <w:rsid w:val="00255CF0"/>
    <w:rsid w:val="002629A8"/>
    <w:rsid w:val="002639DB"/>
    <w:rsid w:val="00264240"/>
    <w:rsid w:val="002654F9"/>
    <w:rsid w:val="00267F76"/>
    <w:rsid w:val="0027546B"/>
    <w:rsid w:val="0027546E"/>
    <w:rsid w:val="00283D52"/>
    <w:rsid w:val="00284176"/>
    <w:rsid w:val="002852B6"/>
    <w:rsid w:val="00293201"/>
    <w:rsid w:val="00293240"/>
    <w:rsid w:val="002933E6"/>
    <w:rsid w:val="0029629D"/>
    <w:rsid w:val="00296826"/>
    <w:rsid w:val="002A29B1"/>
    <w:rsid w:val="002A7860"/>
    <w:rsid w:val="002B0EC3"/>
    <w:rsid w:val="002C042D"/>
    <w:rsid w:val="002C0A70"/>
    <w:rsid w:val="002C265A"/>
    <w:rsid w:val="002C4595"/>
    <w:rsid w:val="002C4D00"/>
    <w:rsid w:val="002D00C9"/>
    <w:rsid w:val="002D268E"/>
    <w:rsid w:val="002D7F0F"/>
    <w:rsid w:val="002E4F61"/>
    <w:rsid w:val="003001A2"/>
    <w:rsid w:val="00304AF9"/>
    <w:rsid w:val="0030655C"/>
    <w:rsid w:val="00310C3C"/>
    <w:rsid w:val="003119C8"/>
    <w:rsid w:val="00313642"/>
    <w:rsid w:val="00315AC9"/>
    <w:rsid w:val="00320544"/>
    <w:rsid w:val="00320951"/>
    <w:rsid w:val="003209AA"/>
    <w:rsid w:val="00322BBE"/>
    <w:rsid w:val="00324C35"/>
    <w:rsid w:val="00326ED5"/>
    <w:rsid w:val="00327370"/>
    <w:rsid w:val="00331970"/>
    <w:rsid w:val="00334562"/>
    <w:rsid w:val="00340138"/>
    <w:rsid w:val="00343A37"/>
    <w:rsid w:val="00345FA9"/>
    <w:rsid w:val="003465B4"/>
    <w:rsid w:val="00350582"/>
    <w:rsid w:val="00353FAA"/>
    <w:rsid w:val="003558D9"/>
    <w:rsid w:val="00362EAC"/>
    <w:rsid w:val="003636BF"/>
    <w:rsid w:val="00365BC4"/>
    <w:rsid w:val="003819FF"/>
    <w:rsid w:val="00385C06"/>
    <w:rsid w:val="003864CC"/>
    <w:rsid w:val="00386796"/>
    <w:rsid w:val="00386D0C"/>
    <w:rsid w:val="003966D8"/>
    <w:rsid w:val="00397122"/>
    <w:rsid w:val="00397271"/>
    <w:rsid w:val="00397E43"/>
    <w:rsid w:val="003A3350"/>
    <w:rsid w:val="003A3369"/>
    <w:rsid w:val="003A44A9"/>
    <w:rsid w:val="003A562C"/>
    <w:rsid w:val="003B19B2"/>
    <w:rsid w:val="003B49E8"/>
    <w:rsid w:val="003B6C74"/>
    <w:rsid w:val="003C67E6"/>
    <w:rsid w:val="003D3CB2"/>
    <w:rsid w:val="003D518E"/>
    <w:rsid w:val="003D5928"/>
    <w:rsid w:val="003E06B4"/>
    <w:rsid w:val="003E09D1"/>
    <w:rsid w:val="003E1377"/>
    <w:rsid w:val="003E1FC0"/>
    <w:rsid w:val="003E3617"/>
    <w:rsid w:val="003F0135"/>
    <w:rsid w:val="003F0D75"/>
    <w:rsid w:val="003F1B7C"/>
    <w:rsid w:val="003F319A"/>
    <w:rsid w:val="0040506D"/>
    <w:rsid w:val="00406784"/>
    <w:rsid w:val="00406AF1"/>
    <w:rsid w:val="00407C2F"/>
    <w:rsid w:val="0041385B"/>
    <w:rsid w:val="004148C9"/>
    <w:rsid w:val="00415BC0"/>
    <w:rsid w:val="004208E6"/>
    <w:rsid w:val="004232F9"/>
    <w:rsid w:val="00433A1E"/>
    <w:rsid w:val="00440668"/>
    <w:rsid w:val="004421D7"/>
    <w:rsid w:val="00445618"/>
    <w:rsid w:val="00447B83"/>
    <w:rsid w:val="00450475"/>
    <w:rsid w:val="004561B3"/>
    <w:rsid w:val="00457882"/>
    <w:rsid w:val="00460B5A"/>
    <w:rsid w:val="0046600E"/>
    <w:rsid w:val="00467E79"/>
    <w:rsid w:val="0047482E"/>
    <w:rsid w:val="00476722"/>
    <w:rsid w:val="00481EEB"/>
    <w:rsid w:val="0048414C"/>
    <w:rsid w:val="00485A05"/>
    <w:rsid w:val="0048667B"/>
    <w:rsid w:val="004869E8"/>
    <w:rsid w:val="004877BA"/>
    <w:rsid w:val="004931D0"/>
    <w:rsid w:val="0049426A"/>
    <w:rsid w:val="004948CD"/>
    <w:rsid w:val="00495993"/>
    <w:rsid w:val="004A3AAA"/>
    <w:rsid w:val="004A4315"/>
    <w:rsid w:val="004B4985"/>
    <w:rsid w:val="004B5995"/>
    <w:rsid w:val="004B5AC3"/>
    <w:rsid w:val="004B5CF4"/>
    <w:rsid w:val="004B68AD"/>
    <w:rsid w:val="004B6A8B"/>
    <w:rsid w:val="004C0742"/>
    <w:rsid w:val="004C144C"/>
    <w:rsid w:val="004C237E"/>
    <w:rsid w:val="004C491E"/>
    <w:rsid w:val="004C63FE"/>
    <w:rsid w:val="004D23C9"/>
    <w:rsid w:val="004D6645"/>
    <w:rsid w:val="004D784A"/>
    <w:rsid w:val="004E13BE"/>
    <w:rsid w:val="004E33EF"/>
    <w:rsid w:val="004E562B"/>
    <w:rsid w:val="004E642A"/>
    <w:rsid w:val="004E7C82"/>
    <w:rsid w:val="004F3596"/>
    <w:rsid w:val="004F7C92"/>
    <w:rsid w:val="00500508"/>
    <w:rsid w:val="005009DC"/>
    <w:rsid w:val="00500EFC"/>
    <w:rsid w:val="00501E2E"/>
    <w:rsid w:val="0051781E"/>
    <w:rsid w:val="00520971"/>
    <w:rsid w:val="005267CB"/>
    <w:rsid w:val="005271D6"/>
    <w:rsid w:val="00531869"/>
    <w:rsid w:val="00535B7D"/>
    <w:rsid w:val="00540D64"/>
    <w:rsid w:val="00541D1B"/>
    <w:rsid w:val="00543E1A"/>
    <w:rsid w:val="00554FAA"/>
    <w:rsid w:val="00555BA4"/>
    <w:rsid w:val="005561B3"/>
    <w:rsid w:val="00557A69"/>
    <w:rsid w:val="005630B4"/>
    <w:rsid w:val="00563773"/>
    <w:rsid w:val="005650F2"/>
    <w:rsid w:val="005672CB"/>
    <w:rsid w:val="00567BA1"/>
    <w:rsid w:val="005722D1"/>
    <w:rsid w:val="005739CD"/>
    <w:rsid w:val="00576B90"/>
    <w:rsid w:val="0058155D"/>
    <w:rsid w:val="00590A5B"/>
    <w:rsid w:val="00590C13"/>
    <w:rsid w:val="0059119E"/>
    <w:rsid w:val="0059175F"/>
    <w:rsid w:val="0059560E"/>
    <w:rsid w:val="00596C25"/>
    <w:rsid w:val="005A01E1"/>
    <w:rsid w:val="005A0290"/>
    <w:rsid w:val="005A1F29"/>
    <w:rsid w:val="005A29CB"/>
    <w:rsid w:val="005A50B9"/>
    <w:rsid w:val="005B3EC9"/>
    <w:rsid w:val="005C008A"/>
    <w:rsid w:val="005C2420"/>
    <w:rsid w:val="005C51A1"/>
    <w:rsid w:val="005C58B5"/>
    <w:rsid w:val="005D263A"/>
    <w:rsid w:val="005D2B26"/>
    <w:rsid w:val="005D359A"/>
    <w:rsid w:val="005D3CF2"/>
    <w:rsid w:val="005D543F"/>
    <w:rsid w:val="005D7152"/>
    <w:rsid w:val="005E1A91"/>
    <w:rsid w:val="005E352B"/>
    <w:rsid w:val="005E4484"/>
    <w:rsid w:val="005F172E"/>
    <w:rsid w:val="005F61FB"/>
    <w:rsid w:val="00604DC5"/>
    <w:rsid w:val="006067F0"/>
    <w:rsid w:val="006079D5"/>
    <w:rsid w:val="00610541"/>
    <w:rsid w:val="00610A43"/>
    <w:rsid w:val="00612296"/>
    <w:rsid w:val="006161E8"/>
    <w:rsid w:val="006217FF"/>
    <w:rsid w:val="00623A75"/>
    <w:rsid w:val="0063273A"/>
    <w:rsid w:val="00632DB3"/>
    <w:rsid w:val="00632EB9"/>
    <w:rsid w:val="00641AE1"/>
    <w:rsid w:val="00655780"/>
    <w:rsid w:val="00656763"/>
    <w:rsid w:val="00656C96"/>
    <w:rsid w:val="00661050"/>
    <w:rsid w:val="0066370E"/>
    <w:rsid w:val="006665A1"/>
    <w:rsid w:val="006706E8"/>
    <w:rsid w:val="00676B92"/>
    <w:rsid w:val="0067771A"/>
    <w:rsid w:val="00683AF1"/>
    <w:rsid w:val="00684B85"/>
    <w:rsid w:val="0068783F"/>
    <w:rsid w:val="00690991"/>
    <w:rsid w:val="006924D0"/>
    <w:rsid w:val="00696E85"/>
    <w:rsid w:val="006A18C5"/>
    <w:rsid w:val="006D09A7"/>
    <w:rsid w:val="006D26B1"/>
    <w:rsid w:val="006E5D52"/>
    <w:rsid w:val="006E7F1D"/>
    <w:rsid w:val="006F3EB3"/>
    <w:rsid w:val="006F4577"/>
    <w:rsid w:val="006F4DCD"/>
    <w:rsid w:val="00702FF2"/>
    <w:rsid w:val="00703B66"/>
    <w:rsid w:val="00705800"/>
    <w:rsid w:val="00705EAB"/>
    <w:rsid w:val="0070660B"/>
    <w:rsid w:val="00711558"/>
    <w:rsid w:val="00723455"/>
    <w:rsid w:val="00724762"/>
    <w:rsid w:val="00724D6D"/>
    <w:rsid w:val="0073474C"/>
    <w:rsid w:val="0073754C"/>
    <w:rsid w:val="00746E8C"/>
    <w:rsid w:val="0074716F"/>
    <w:rsid w:val="0074737F"/>
    <w:rsid w:val="00753673"/>
    <w:rsid w:val="007540BD"/>
    <w:rsid w:val="0075493D"/>
    <w:rsid w:val="00762205"/>
    <w:rsid w:val="0076323D"/>
    <w:rsid w:val="00764201"/>
    <w:rsid w:val="007720F5"/>
    <w:rsid w:val="007830BE"/>
    <w:rsid w:val="007940C9"/>
    <w:rsid w:val="00796312"/>
    <w:rsid w:val="007A04FE"/>
    <w:rsid w:val="007A3730"/>
    <w:rsid w:val="007B1B23"/>
    <w:rsid w:val="007B21FA"/>
    <w:rsid w:val="007B2ADE"/>
    <w:rsid w:val="007B3940"/>
    <w:rsid w:val="007D492E"/>
    <w:rsid w:val="007D7129"/>
    <w:rsid w:val="007E0C49"/>
    <w:rsid w:val="007E3A3B"/>
    <w:rsid w:val="007E51F2"/>
    <w:rsid w:val="007E5E97"/>
    <w:rsid w:val="007E7688"/>
    <w:rsid w:val="007F1EB0"/>
    <w:rsid w:val="007F4A4B"/>
    <w:rsid w:val="007F73B3"/>
    <w:rsid w:val="007F770C"/>
    <w:rsid w:val="008006FD"/>
    <w:rsid w:val="00802CB9"/>
    <w:rsid w:val="00807BA4"/>
    <w:rsid w:val="0081105F"/>
    <w:rsid w:val="00821133"/>
    <w:rsid w:val="0082644A"/>
    <w:rsid w:val="008267D8"/>
    <w:rsid w:val="008277D7"/>
    <w:rsid w:val="00827D99"/>
    <w:rsid w:val="008324B0"/>
    <w:rsid w:val="0083791F"/>
    <w:rsid w:val="008407EC"/>
    <w:rsid w:val="0084333E"/>
    <w:rsid w:val="0084379B"/>
    <w:rsid w:val="00844CA9"/>
    <w:rsid w:val="00847491"/>
    <w:rsid w:val="00850194"/>
    <w:rsid w:val="008559E9"/>
    <w:rsid w:val="008565BE"/>
    <w:rsid w:val="00860D2C"/>
    <w:rsid w:val="00861CBA"/>
    <w:rsid w:val="008637EB"/>
    <w:rsid w:val="00863B4C"/>
    <w:rsid w:val="00872AC0"/>
    <w:rsid w:val="00875531"/>
    <w:rsid w:val="008821C2"/>
    <w:rsid w:val="00882741"/>
    <w:rsid w:val="008919FE"/>
    <w:rsid w:val="00892B13"/>
    <w:rsid w:val="008A1C6B"/>
    <w:rsid w:val="008A222B"/>
    <w:rsid w:val="008A4864"/>
    <w:rsid w:val="008A6D27"/>
    <w:rsid w:val="008B1B83"/>
    <w:rsid w:val="008B3ADA"/>
    <w:rsid w:val="008C1F38"/>
    <w:rsid w:val="008C5F4A"/>
    <w:rsid w:val="008E3990"/>
    <w:rsid w:val="008E6CB6"/>
    <w:rsid w:val="008F0617"/>
    <w:rsid w:val="008F272E"/>
    <w:rsid w:val="008F6B2B"/>
    <w:rsid w:val="00902CBD"/>
    <w:rsid w:val="00905C37"/>
    <w:rsid w:val="00906916"/>
    <w:rsid w:val="00910919"/>
    <w:rsid w:val="0092514B"/>
    <w:rsid w:val="009264AA"/>
    <w:rsid w:val="00933454"/>
    <w:rsid w:val="009354A9"/>
    <w:rsid w:val="00944EE8"/>
    <w:rsid w:val="009461F0"/>
    <w:rsid w:val="00955AA3"/>
    <w:rsid w:val="0095690D"/>
    <w:rsid w:val="009601F5"/>
    <w:rsid w:val="00963E43"/>
    <w:rsid w:val="00970F21"/>
    <w:rsid w:val="00974522"/>
    <w:rsid w:val="00975F3B"/>
    <w:rsid w:val="0098382A"/>
    <w:rsid w:val="00991049"/>
    <w:rsid w:val="009943CD"/>
    <w:rsid w:val="00994E91"/>
    <w:rsid w:val="009B0D36"/>
    <w:rsid w:val="009B11A9"/>
    <w:rsid w:val="009C37F8"/>
    <w:rsid w:val="009C68F1"/>
    <w:rsid w:val="009C6BB2"/>
    <w:rsid w:val="009D7FB3"/>
    <w:rsid w:val="009E27B6"/>
    <w:rsid w:val="009E7920"/>
    <w:rsid w:val="009E7977"/>
    <w:rsid w:val="009F368F"/>
    <w:rsid w:val="009F4367"/>
    <w:rsid w:val="009F7033"/>
    <w:rsid w:val="00A03CE6"/>
    <w:rsid w:val="00A03E48"/>
    <w:rsid w:val="00A11F5A"/>
    <w:rsid w:val="00A143AD"/>
    <w:rsid w:val="00A158CB"/>
    <w:rsid w:val="00A30B1C"/>
    <w:rsid w:val="00A34B40"/>
    <w:rsid w:val="00A36292"/>
    <w:rsid w:val="00A36D64"/>
    <w:rsid w:val="00A44A6B"/>
    <w:rsid w:val="00A51DBA"/>
    <w:rsid w:val="00A52730"/>
    <w:rsid w:val="00A52967"/>
    <w:rsid w:val="00A5408B"/>
    <w:rsid w:val="00A556CE"/>
    <w:rsid w:val="00A562E6"/>
    <w:rsid w:val="00A67D37"/>
    <w:rsid w:val="00A72DDE"/>
    <w:rsid w:val="00A76E93"/>
    <w:rsid w:val="00A85ECD"/>
    <w:rsid w:val="00A923E2"/>
    <w:rsid w:val="00A964CE"/>
    <w:rsid w:val="00A96C60"/>
    <w:rsid w:val="00AA3F41"/>
    <w:rsid w:val="00AA4437"/>
    <w:rsid w:val="00AB2A29"/>
    <w:rsid w:val="00AB363A"/>
    <w:rsid w:val="00AC1C10"/>
    <w:rsid w:val="00AC35D6"/>
    <w:rsid w:val="00AC3CF3"/>
    <w:rsid w:val="00AD0DAA"/>
    <w:rsid w:val="00AD2556"/>
    <w:rsid w:val="00AD5C78"/>
    <w:rsid w:val="00AD678B"/>
    <w:rsid w:val="00AE41A1"/>
    <w:rsid w:val="00AE5A17"/>
    <w:rsid w:val="00AE626F"/>
    <w:rsid w:val="00AF0F69"/>
    <w:rsid w:val="00AF4188"/>
    <w:rsid w:val="00AF5AF6"/>
    <w:rsid w:val="00B007A8"/>
    <w:rsid w:val="00B0346B"/>
    <w:rsid w:val="00B13BB6"/>
    <w:rsid w:val="00B1400C"/>
    <w:rsid w:val="00B2565D"/>
    <w:rsid w:val="00B30727"/>
    <w:rsid w:val="00B33AC2"/>
    <w:rsid w:val="00B358B3"/>
    <w:rsid w:val="00B441D7"/>
    <w:rsid w:val="00B45B4C"/>
    <w:rsid w:val="00B47E6A"/>
    <w:rsid w:val="00B54207"/>
    <w:rsid w:val="00B65927"/>
    <w:rsid w:val="00B67E21"/>
    <w:rsid w:val="00B734BB"/>
    <w:rsid w:val="00B77950"/>
    <w:rsid w:val="00B77E97"/>
    <w:rsid w:val="00B80700"/>
    <w:rsid w:val="00B86940"/>
    <w:rsid w:val="00B87347"/>
    <w:rsid w:val="00B90A33"/>
    <w:rsid w:val="00B91712"/>
    <w:rsid w:val="00B91D48"/>
    <w:rsid w:val="00B932C3"/>
    <w:rsid w:val="00B9526E"/>
    <w:rsid w:val="00BA7059"/>
    <w:rsid w:val="00BA7C98"/>
    <w:rsid w:val="00BB40C8"/>
    <w:rsid w:val="00BB46C2"/>
    <w:rsid w:val="00BB6985"/>
    <w:rsid w:val="00BC1C77"/>
    <w:rsid w:val="00BC6602"/>
    <w:rsid w:val="00BD3A32"/>
    <w:rsid w:val="00BD4F1A"/>
    <w:rsid w:val="00BD787B"/>
    <w:rsid w:val="00BE07DA"/>
    <w:rsid w:val="00BE0CE4"/>
    <w:rsid w:val="00BE4EC9"/>
    <w:rsid w:val="00BE7D68"/>
    <w:rsid w:val="00BF101A"/>
    <w:rsid w:val="00C03ED1"/>
    <w:rsid w:val="00C14CE1"/>
    <w:rsid w:val="00C1503E"/>
    <w:rsid w:val="00C16955"/>
    <w:rsid w:val="00C21584"/>
    <w:rsid w:val="00C2184A"/>
    <w:rsid w:val="00C22C94"/>
    <w:rsid w:val="00C26117"/>
    <w:rsid w:val="00C3559B"/>
    <w:rsid w:val="00C41BBD"/>
    <w:rsid w:val="00C44620"/>
    <w:rsid w:val="00C53CED"/>
    <w:rsid w:val="00C57362"/>
    <w:rsid w:val="00C57CA7"/>
    <w:rsid w:val="00C617FE"/>
    <w:rsid w:val="00C64F3D"/>
    <w:rsid w:val="00C7051E"/>
    <w:rsid w:val="00C70BEA"/>
    <w:rsid w:val="00C70C86"/>
    <w:rsid w:val="00C71B04"/>
    <w:rsid w:val="00C766CC"/>
    <w:rsid w:val="00C76B7D"/>
    <w:rsid w:val="00C8406C"/>
    <w:rsid w:val="00C85164"/>
    <w:rsid w:val="00C87AAA"/>
    <w:rsid w:val="00C97FC0"/>
    <w:rsid w:val="00CA13DC"/>
    <w:rsid w:val="00CA543F"/>
    <w:rsid w:val="00CA6429"/>
    <w:rsid w:val="00CA6ADF"/>
    <w:rsid w:val="00CB5C14"/>
    <w:rsid w:val="00CB6515"/>
    <w:rsid w:val="00CC12A8"/>
    <w:rsid w:val="00CC6892"/>
    <w:rsid w:val="00CC77A5"/>
    <w:rsid w:val="00CD31FE"/>
    <w:rsid w:val="00CD4F1D"/>
    <w:rsid w:val="00CE0EA4"/>
    <w:rsid w:val="00CE1EC6"/>
    <w:rsid w:val="00CE5201"/>
    <w:rsid w:val="00CF1627"/>
    <w:rsid w:val="00CF2263"/>
    <w:rsid w:val="00CF760D"/>
    <w:rsid w:val="00D008ED"/>
    <w:rsid w:val="00D01984"/>
    <w:rsid w:val="00D01EDA"/>
    <w:rsid w:val="00D16472"/>
    <w:rsid w:val="00D321C9"/>
    <w:rsid w:val="00D354CF"/>
    <w:rsid w:val="00D35873"/>
    <w:rsid w:val="00D37FC2"/>
    <w:rsid w:val="00D43DB0"/>
    <w:rsid w:val="00D570C5"/>
    <w:rsid w:val="00D701E6"/>
    <w:rsid w:val="00D739BF"/>
    <w:rsid w:val="00D85A4E"/>
    <w:rsid w:val="00D922CF"/>
    <w:rsid w:val="00D92334"/>
    <w:rsid w:val="00D951B4"/>
    <w:rsid w:val="00DA32B3"/>
    <w:rsid w:val="00DA6734"/>
    <w:rsid w:val="00DB56B3"/>
    <w:rsid w:val="00DB65A8"/>
    <w:rsid w:val="00DB7B13"/>
    <w:rsid w:val="00DD3961"/>
    <w:rsid w:val="00DE10A0"/>
    <w:rsid w:val="00DE24BE"/>
    <w:rsid w:val="00DE2F18"/>
    <w:rsid w:val="00DE5B21"/>
    <w:rsid w:val="00DE7479"/>
    <w:rsid w:val="00DF128B"/>
    <w:rsid w:val="00DF2F94"/>
    <w:rsid w:val="00E0573F"/>
    <w:rsid w:val="00E11688"/>
    <w:rsid w:val="00E21A34"/>
    <w:rsid w:val="00E26EAA"/>
    <w:rsid w:val="00E27CC3"/>
    <w:rsid w:val="00E30FCA"/>
    <w:rsid w:val="00E36F97"/>
    <w:rsid w:val="00E42057"/>
    <w:rsid w:val="00E44C4F"/>
    <w:rsid w:val="00E46DA0"/>
    <w:rsid w:val="00E50B67"/>
    <w:rsid w:val="00E62BEE"/>
    <w:rsid w:val="00E63075"/>
    <w:rsid w:val="00E644BF"/>
    <w:rsid w:val="00E73A40"/>
    <w:rsid w:val="00E806E3"/>
    <w:rsid w:val="00E81697"/>
    <w:rsid w:val="00E83744"/>
    <w:rsid w:val="00E87996"/>
    <w:rsid w:val="00E928D4"/>
    <w:rsid w:val="00E94852"/>
    <w:rsid w:val="00EA03F0"/>
    <w:rsid w:val="00EA4D25"/>
    <w:rsid w:val="00EA576F"/>
    <w:rsid w:val="00EB0255"/>
    <w:rsid w:val="00EB0CBB"/>
    <w:rsid w:val="00EB18AE"/>
    <w:rsid w:val="00EB27FC"/>
    <w:rsid w:val="00EB3838"/>
    <w:rsid w:val="00EB4C77"/>
    <w:rsid w:val="00EB68CC"/>
    <w:rsid w:val="00EC2095"/>
    <w:rsid w:val="00EC5E51"/>
    <w:rsid w:val="00EC76B0"/>
    <w:rsid w:val="00ED2806"/>
    <w:rsid w:val="00ED4665"/>
    <w:rsid w:val="00ED48AE"/>
    <w:rsid w:val="00EE65A7"/>
    <w:rsid w:val="00EF48EC"/>
    <w:rsid w:val="00EF6016"/>
    <w:rsid w:val="00F00035"/>
    <w:rsid w:val="00F01B66"/>
    <w:rsid w:val="00F03644"/>
    <w:rsid w:val="00F03F3C"/>
    <w:rsid w:val="00F05E03"/>
    <w:rsid w:val="00F2061A"/>
    <w:rsid w:val="00F24F61"/>
    <w:rsid w:val="00F30057"/>
    <w:rsid w:val="00F31EFD"/>
    <w:rsid w:val="00F34750"/>
    <w:rsid w:val="00F44CF6"/>
    <w:rsid w:val="00F46114"/>
    <w:rsid w:val="00F47B3A"/>
    <w:rsid w:val="00F50E27"/>
    <w:rsid w:val="00F602C8"/>
    <w:rsid w:val="00F62595"/>
    <w:rsid w:val="00F63B81"/>
    <w:rsid w:val="00F70B4C"/>
    <w:rsid w:val="00F7168A"/>
    <w:rsid w:val="00F71C13"/>
    <w:rsid w:val="00F77228"/>
    <w:rsid w:val="00F77CC0"/>
    <w:rsid w:val="00F80A0B"/>
    <w:rsid w:val="00F86BDB"/>
    <w:rsid w:val="00F90567"/>
    <w:rsid w:val="00F908EE"/>
    <w:rsid w:val="00F91352"/>
    <w:rsid w:val="00F922ED"/>
    <w:rsid w:val="00FB7ADE"/>
    <w:rsid w:val="00FC164F"/>
    <w:rsid w:val="00FC1DEA"/>
    <w:rsid w:val="00FD2036"/>
    <w:rsid w:val="00FD61E4"/>
    <w:rsid w:val="00FE3432"/>
    <w:rsid w:val="00FE45B3"/>
    <w:rsid w:val="00FE7E77"/>
    <w:rsid w:val="00FF45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E052F"/>
  <w15:docId w15:val="{39641435-4389-4618-94D9-E8496F69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630"/>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133780"/>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133780"/>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link w:val="SidefodTegn"/>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133780"/>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133780"/>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6F4577"/>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3" w:themeFillTint="33"/>
    </w:tcPr>
    <w:tblStylePr w:type="firstRow">
      <w:rPr>
        <w:b/>
        <w:bCs/>
      </w:rPr>
      <w:tblPr/>
      <w:tcPr>
        <w:shd w:val="clear" w:color="auto" w:fill="78DFFF" w:themeFill="accent3" w:themeFillTint="66"/>
      </w:tcPr>
    </w:tblStylePr>
    <w:tblStylePr w:type="lastRow">
      <w:rPr>
        <w:b/>
        <w:bCs/>
        <w:color w:val="000000" w:themeColor="text1"/>
      </w:rPr>
      <w:tblPr/>
      <w:tcPr>
        <w:shd w:val="clear" w:color="auto" w:fill="78DFFF" w:themeFill="accent3" w:themeFillTint="66"/>
      </w:tcPr>
    </w:tblStylePr>
    <w:tblStylePr w:type="firstCol">
      <w:rPr>
        <w:color w:val="FFFFFF" w:themeColor="background1"/>
      </w:rPr>
      <w:tblPr/>
      <w:tcPr>
        <w:shd w:val="clear" w:color="auto" w:fill="006381" w:themeFill="accent3" w:themeFillShade="BF"/>
      </w:tcPr>
    </w:tblStylePr>
    <w:tblStylePr w:type="lastCol">
      <w:rPr>
        <w:color w:val="FFFFFF" w:themeColor="background1"/>
      </w:rPr>
      <w:tblPr/>
      <w:tcPr>
        <w:shd w:val="clear" w:color="auto" w:fill="006381" w:themeFill="accent3" w:themeFillShade="BF"/>
      </w:tc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6" w:themeFillTint="33"/>
    </w:tcPr>
    <w:tblStylePr w:type="firstRow">
      <w:rPr>
        <w:b/>
        <w:bCs/>
      </w:rPr>
      <w:tblPr/>
      <w:tcPr>
        <w:shd w:val="clear" w:color="auto" w:fill="F8F0C4" w:themeFill="accent6" w:themeFillTint="66"/>
      </w:tcPr>
    </w:tblStylePr>
    <w:tblStylePr w:type="lastRow">
      <w:rPr>
        <w:b/>
        <w:bCs/>
        <w:color w:val="000000" w:themeColor="text1"/>
      </w:rPr>
      <w:tblPr/>
      <w:tcPr>
        <w:shd w:val="clear" w:color="auto" w:fill="F8F0C4" w:themeFill="accent6" w:themeFillTint="66"/>
      </w:tcPr>
    </w:tblStylePr>
    <w:tblStylePr w:type="firstCol">
      <w:rPr>
        <w:color w:val="FFFFFF" w:themeColor="background1"/>
      </w:rPr>
      <w:tblPr/>
      <w:tcPr>
        <w:shd w:val="clear" w:color="auto" w:fill="E6C71D" w:themeFill="accent6" w:themeFillShade="BF"/>
      </w:tcPr>
    </w:tblStylePr>
    <w:tblStylePr w:type="lastCol">
      <w:rPr>
        <w:color w:val="FFFFFF" w:themeColor="background1"/>
      </w:rPr>
      <w:tblPr/>
      <w:tcPr>
        <w:shd w:val="clear" w:color="auto" w:fill="E6C71D" w:themeFill="accent6" w:themeFillShade="BF"/>
      </w:tc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3" w:themeFillTint="3F"/>
      </w:tcPr>
    </w:tblStylePr>
    <w:tblStylePr w:type="band1Horz">
      <w:tblPr/>
      <w:tcPr>
        <w:shd w:val="clear" w:color="auto" w:fill="BBEFFF"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A8A" w:themeFill="accent3" w:themeFillShade="CC"/>
      </w:tcPr>
    </w:tblStylePr>
    <w:tblStylePr w:type="lastRow">
      <w:rPr>
        <w:b/>
        <w:bCs/>
        <w:color w:val="006A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E8CB2D" w:themeFill="accent6" w:themeFillShade="CC"/>
      </w:tcPr>
    </w:tblStylePr>
    <w:tblStylePr w:type="lastRow">
      <w:rPr>
        <w:b/>
        <w:bCs/>
        <w:color w:val="E8CB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DFBF0"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6" w:themeFillTint="3F"/>
      </w:tcPr>
    </w:tblStylePr>
    <w:tblStylePr w:type="band1Horz">
      <w:tblPr/>
      <w:tcPr>
        <w:shd w:val="clear" w:color="auto" w:fill="FBF7E1"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4"/>
        <w:left w:val="single" w:sz="4" w:space="0" w:color="0085AD" w:themeColor="accent3"/>
        <w:bottom w:val="single" w:sz="4" w:space="0" w:color="0085AD" w:themeColor="accent3"/>
        <w:right w:val="single" w:sz="4" w:space="0" w:color="0085AD" w:themeColor="accent3"/>
        <w:insideH w:val="single" w:sz="4" w:space="0" w:color="FFFFFF" w:themeColor="background1"/>
        <w:insideV w:val="single" w:sz="4" w:space="0" w:color="FFFFFF" w:themeColor="background1"/>
      </w:tblBorders>
    </w:tblPr>
    <w:tcPr>
      <w:shd w:val="clear" w:color="auto" w:fill="DDF7FF"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3" w:themeFillShade="99"/>
      </w:tcPr>
    </w:tblStylePr>
    <w:tblStylePr w:type="firstCol">
      <w:rPr>
        <w:color w:val="FFFFFF" w:themeColor="background1"/>
      </w:rPr>
      <w:tblPr/>
      <w:tcPr>
        <w:tcBorders>
          <w:top w:val="nil"/>
          <w:left w:val="nil"/>
          <w:bottom w:val="nil"/>
          <w:right w:val="nil"/>
          <w:insideH w:val="single" w:sz="4" w:space="0" w:color="004F67" w:themeColor="accent3" w:themeShade="99"/>
          <w:insideV w:val="nil"/>
        </w:tcBorders>
        <w:shd w:val="clear" w:color="auto" w:fill="004F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3" w:themeFillShade="99"/>
      </w:tcPr>
    </w:tblStylePr>
    <w:tblStylePr w:type="band1Vert">
      <w:tblPr/>
      <w:tcPr>
        <w:shd w:val="clear" w:color="auto" w:fill="78DFFF" w:themeFill="accent3" w:themeFillTint="66"/>
      </w:tcPr>
    </w:tblStylePr>
    <w:tblStylePr w:type="band1Horz">
      <w:tblPr/>
      <w:tcPr>
        <w:shd w:val="clear" w:color="auto" w:fill="57D8FF"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EFDB6C"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Pr>
    <w:tcPr>
      <w:shd w:val="clear" w:color="auto" w:fill="F7F9EA" w:themeFill="accent5" w:themeFillTint="19"/>
    </w:tcPr>
    <w:tblStylePr w:type="firstRow">
      <w:rPr>
        <w:b/>
        <w:bCs/>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5"/>
        <w:left w:val="single" w:sz="4" w:space="0" w:color="EFDB6C" w:themeColor="accent6"/>
        <w:bottom w:val="single" w:sz="4" w:space="0" w:color="EFDB6C" w:themeColor="accent6"/>
        <w:right w:val="single" w:sz="4" w:space="0" w:color="EFDB6C" w:themeColor="accent6"/>
        <w:insideH w:val="single" w:sz="4" w:space="0" w:color="FFFFFF" w:themeColor="background1"/>
        <w:insideV w:val="single" w:sz="4" w:space="0" w:color="FFFFFF" w:themeColor="background1"/>
      </w:tblBorders>
    </w:tblPr>
    <w:tcPr>
      <w:shd w:val="clear" w:color="auto" w:fill="FDFBF0"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6" w:themeFillShade="99"/>
      </w:tcPr>
    </w:tblStylePr>
    <w:tblStylePr w:type="firstCol">
      <w:rPr>
        <w:color w:val="FFFFFF" w:themeColor="background1"/>
      </w:rPr>
      <w:tblPr/>
      <w:tcPr>
        <w:tcBorders>
          <w:top w:val="nil"/>
          <w:left w:val="nil"/>
          <w:bottom w:val="nil"/>
          <w:right w:val="nil"/>
          <w:insideH w:val="single" w:sz="4" w:space="0" w:color="BBA114" w:themeColor="accent6" w:themeShade="99"/>
          <w:insideV w:val="nil"/>
        </w:tcBorders>
        <w:shd w:val="clear" w:color="auto" w:fill="BBA1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6" w:themeFillShade="99"/>
      </w:tcPr>
    </w:tblStylePr>
    <w:tblStylePr w:type="band1Vert">
      <w:tblPr/>
      <w:tcPr>
        <w:shd w:val="clear" w:color="auto" w:fill="F8F0C4" w:themeFill="accent6" w:themeFillTint="66"/>
      </w:tcPr>
    </w:tblStylePr>
    <w:tblStylePr w:type="band1Horz">
      <w:tblPr/>
      <w:tcPr>
        <w:shd w:val="clear" w:color="auto" w:fill="F7EDB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3" w:themeFillShade="BF"/>
      </w:tcPr>
    </w:tblStylePr>
    <w:tblStylePr w:type="band1Vert">
      <w:tblPr/>
      <w:tcPr>
        <w:tcBorders>
          <w:top w:val="nil"/>
          <w:left w:val="nil"/>
          <w:bottom w:val="nil"/>
          <w:right w:val="nil"/>
          <w:insideH w:val="nil"/>
          <w:insideV w:val="nil"/>
        </w:tcBorders>
        <w:shd w:val="clear" w:color="auto" w:fill="006381" w:themeFill="accent3" w:themeFillShade="BF"/>
      </w:tcPr>
    </w:tblStylePr>
    <w:tblStylePr w:type="band1Horz">
      <w:tblPr/>
      <w:tcPr>
        <w:tcBorders>
          <w:top w:val="nil"/>
          <w:left w:val="nil"/>
          <w:bottom w:val="nil"/>
          <w:right w:val="nil"/>
          <w:insideH w:val="nil"/>
          <w:insideV w:val="nil"/>
        </w:tcBorders>
        <w:shd w:val="clear" w:color="auto" w:fill="006381"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EFDB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6" w:themeFillShade="BF"/>
      </w:tcPr>
    </w:tblStylePr>
    <w:tblStylePr w:type="band1Vert">
      <w:tblPr/>
      <w:tcPr>
        <w:tcBorders>
          <w:top w:val="nil"/>
          <w:left w:val="nil"/>
          <w:bottom w:val="nil"/>
          <w:right w:val="nil"/>
          <w:insideH w:val="nil"/>
          <w:insideV w:val="nil"/>
        </w:tcBorders>
        <w:shd w:val="clear" w:color="auto" w:fill="E6C71D" w:themeFill="accent6" w:themeFillShade="BF"/>
      </w:tcPr>
    </w:tblStylePr>
    <w:tblStylePr w:type="band1Horz">
      <w:tblPr/>
      <w:tcPr>
        <w:tcBorders>
          <w:top w:val="nil"/>
          <w:left w:val="nil"/>
          <w:bottom w:val="nil"/>
          <w:right w:val="nil"/>
          <w:insideH w:val="nil"/>
          <w:insideV w:val="nil"/>
        </w:tcBorders>
        <w:shd w:val="clear" w:color="auto" w:fill="E6C71D"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18" w:space="0" w:color="0085AD" w:themeColor="accent3"/>
          <w:right w:val="single" w:sz="8" w:space="0" w:color="0085AD" w:themeColor="accent3"/>
          <w:insideH w:val="nil"/>
          <w:insideV w:val="single" w:sz="8" w:space="0" w:color="0085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insideH w:val="nil"/>
          <w:insideV w:val="single" w:sz="8" w:space="0" w:color="0085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shd w:val="clear" w:color="auto" w:fill="ABEBFF" w:themeFill="accent3" w:themeFillTint="3F"/>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shd w:val="clear" w:color="auto" w:fill="ABEBFF" w:themeFill="accent3" w:themeFillTint="3F"/>
      </w:tcPr>
    </w:tblStylePr>
    <w:tblStylePr w:type="band2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18" w:space="0" w:color="EFDB6C" w:themeColor="accent6"/>
          <w:right w:val="single" w:sz="8" w:space="0" w:color="EFDB6C" w:themeColor="accent6"/>
          <w:insideH w:val="nil"/>
          <w:insideV w:val="single" w:sz="8" w:space="0" w:color="EFDB6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insideH w:val="nil"/>
          <w:insideV w:val="single" w:sz="8" w:space="0" w:color="EFDB6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shd w:val="clear" w:color="auto" w:fill="FBF6DA" w:themeFill="accent6" w:themeFillTint="3F"/>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shd w:val="clear" w:color="auto" w:fill="FBF6DA" w:themeFill="accent6" w:themeFillTint="3F"/>
      </w:tcPr>
    </w:tblStylePr>
    <w:tblStylePr w:type="band2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pPr>
        <w:spacing w:before="0" w:after="0" w:line="240" w:lineRule="auto"/>
      </w:pPr>
      <w:rPr>
        <w:b/>
        <w:bCs/>
        <w:color w:val="FFFFFF" w:themeColor="background1"/>
      </w:rPr>
      <w:tblPr/>
      <w:tcPr>
        <w:shd w:val="clear" w:color="auto" w:fill="0085AD" w:themeFill="accent3"/>
      </w:tcPr>
    </w:tblStylePr>
    <w:tblStylePr w:type="lastRow">
      <w:pPr>
        <w:spacing w:before="0" w:after="0" w:line="240" w:lineRule="auto"/>
      </w:pPr>
      <w:rPr>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tcBorders>
      </w:tcPr>
    </w:tblStylePr>
    <w:tblStylePr w:type="firstCol">
      <w:rPr>
        <w:b/>
        <w:bCs/>
      </w:rPr>
    </w:tblStylePr>
    <w:tblStylePr w:type="lastCol">
      <w:rPr>
        <w:b/>
        <w:bCs/>
      </w:r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pPr>
        <w:spacing w:before="0" w:after="0" w:line="240" w:lineRule="auto"/>
      </w:pPr>
      <w:rPr>
        <w:b/>
        <w:bCs/>
        <w:color w:val="FFFFFF" w:themeColor="background1"/>
      </w:rPr>
      <w:tblPr/>
      <w:tcPr>
        <w:shd w:val="clear" w:color="auto" w:fill="EFDB6C" w:themeFill="accent6"/>
      </w:tcPr>
    </w:tblStylePr>
    <w:tblStylePr w:type="lastRow">
      <w:pPr>
        <w:spacing w:before="0" w:after="0" w:line="240" w:lineRule="auto"/>
      </w:pPr>
      <w:rPr>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tcBorders>
      </w:tcPr>
    </w:tblStylePr>
    <w:tblStylePr w:type="firstCol">
      <w:rPr>
        <w:b/>
        <w:bCs/>
      </w:rPr>
    </w:tblStylePr>
    <w:tblStylePr w:type="lastCol">
      <w:rPr>
        <w:b/>
        <w:bCs/>
      </w:r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006381" w:themeColor="accent3" w:themeShade="BF"/>
    </w:rPr>
    <w:tblPr>
      <w:tblStyleRowBandSize w:val="1"/>
      <w:tblStyleColBandSize w:val="1"/>
      <w:tblBorders>
        <w:top w:val="single" w:sz="8" w:space="0" w:color="0085AD" w:themeColor="accent3"/>
        <w:bottom w:val="single" w:sz="8" w:space="0" w:color="0085AD" w:themeColor="accent3"/>
      </w:tblBorders>
    </w:tblPr>
    <w:tblStylePr w:type="fir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la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left w:val="nil"/>
          <w:right w:val="nil"/>
          <w:insideH w:val="nil"/>
          <w:insideV w:val="nil"/>
        </w:tcBorders>
        <w:shd w:val="clear" w:color="auto" w:fill="ABEBFF"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7F8C2A" w:themeColor="accent5" w:themeShade="BF"/>
    </w:rPr>
    <w:tblPr>
      <w:tblStyleRowBandSize w:val="1"/>
      <w:tblStyleColBandSize w:val="1"/>
      <w:tblBorders>
        <w:top w:val="single" w:sz="8" w:space="0" w:color="ABBC38" w:themeColor="accent5"/>
        <w:bottom w:val="single" w:sz="8" w:space="0" w:color="ABBC38" w:themeColor="accent5"/>
      </w:tblBorders>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E6C71D" w:themeColor="accent6" w:themeShade="BF"/>
    </w:rPr>
    <w:tblPr>
      <w:tblStyleRowBandSize w:val="1"/>
      <w:tblStyleColBandSize w:val="1"/>
      <w:tblBorders>
        <w:top w:val="single" w:sz="8" w:space="0" w:color="EFDB6C" w:themeColor="accent6"/>
        <w:bottom w:val="single" w:sz="8" w:space="0" w:color="EFDB6C" w:themeColor="accent6"/>
      </w:tblBorders>
    </w:tblPr>
    <w:tblStylePr w:type="fir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la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left w:val="nil"/>
          <w:right w:val="nil"/>
          <w:insideH w:val="nil"/>
          <w:insideV w:val="nil"/>
        </w:tcBorders>
        <w:shd w:val="clear" w:color="auto" w:fill="FBF6DA"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99"/>
    <w:semiHidden/>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insideV w:val="single" w:sz="8" w:space="0" w:color="02C4FF" w:themeColor="accent3" w:themeTint="BF"/>
      </w:tblBorders>
    </w:tblPr>
    <w:tcPr>
      <w:shd w:val="clear" w:color="auto" w:fill="ABEBFF" w:themeFill="accent3" w:themeFillTint="3F"/>
    </w:tcPr>
    <w:tblStylePr w:type="firstRow">
      <w:rPr>
        <w:b/>
        <w:bCs/>
      </w:rPr>
    </w:tblStylePr>
    <w:tblStylePr w:type="lastRow">
      <w:rPr>
        <w:b/>
        <w:bCs/>
      </w:rPr>
      <w:tblPr/>
      <w:tcPr>
        <w:tcBorders>
          <w:top w:val="single" w:sz="18" w:space="0" w:color="02C4FF" w:themeColor="accent3" w:themeTint="BF"/>
        </w:tcBorders>
      </w:tcPr>
    </w:tblStylePr>
    <w:tblStylePr w:type="firstCol">
      <w:rPr>
        <w:b/>
        <w:bCs/>
      </w:rPr>
    </w:tblStylePr>
    <w:tblStylePr w:type="lastCol">
      <w:rPr>
        <w:b/>
        <w:bCs/>
      </w:r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insideV w:val="single" w:sz="8" w:space="0" w:color="F3E390" w:themeColor="accent6" w:themeTint="BF"/>
      </w:tblBorders>
    </w:tblPr>
    <w:tcPr>
      <w:shd w:val="clear" w:color="auto" w:fill="FBF6DA" w:themeFill="accent6" w:themeFillTint="3F"/>
    </w:tcPr>
    <w:tblStylePr w:type="firstRow">
      <w:rPr>
        <w:b/>
        <w:bCs/>
      </w:rPr>
    </w:tblStylePr>
    <w:tblStylePr w:type="lastRow">
      <w:rPr>
        <w:b/>
        <w:bCs/>
      </w:rPr>
      <w:tblPr/>
      <w:tcPr>
        <w:tcBorders>
          <w:top w:val="single" w:sz="18" w:space="0" w:color="F3E390" w:themeColor="accent6" w:themeTint="BF"/>
        </w:tcBorders>
      </w:tcPr>
    </w:tblStylePr>
    <w:tblStylePr w:type="firstCol">
      <w:rPr>
        <w:b/>
        <w:bCs/>
      </w:rPr>
    </w:tblStylePr>
    <w:tblStylePr w:type="lastCol">
      <w:rPr>
        <w:b/>
        <w:bCs/>
      </w:r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cPr>
      <w:shd w:val="clear" w:color="auto" w:fill="ABEBFF" w:themeFill="accent3" w:themeFillTint="3F"/>
    </w:tcPr>
    <w:tblStylePr w:type="firstRow">
      <w:rPr>
        <w:b/>
        <w:bCs/>
        <w:color w:val="000000" w:themeColor="text1"/>
      </w:rPr>
      <w:tblPr/>
      <w:tcPr>
        <w:shd w:val="clear" w:color="auto" w:fill="DD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3" w:themeFillTint="33"/>
      </w:tcPr>
    </w:tblStylePr>
    <w:tblStylePr w:type="band1Vert">
      <w:tblPr/>
      <w:tcPr>
        <w:shd w:val="clear" w:color="auto" w:fill="57D8FF" w:themeFill="accent3" w:themeFillTint="7F"/>
      </w:tcPr>
    </w:tblStylePr>
    <w:tblStylePr w:type="band1Horz">
      <w:tblPr/>
      <w:tcPr>
        <w:tcBorders>
          <w:insideH w:val="single" w:sz="6" w:space="0" w:color="0085AD" w:themeColor="accent3"/>
          <w:insideV w:val="single" w:sz="6" w:space="0" w:color="0085AD" w:themeColor="accent3"/>
        </w:tcBorders>
        <w:shd w:val="clear" w:color="auto" w:fill="57D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cPr>
      <w:shd w:val="clear" w:color="auto" w:fill="FBF6DA" w:themeFill="accent6" w:themeFillTint="3F"/>
    </w:tcPr>
    <w:tblStylePr w:type="firstRow">
      <w:rPr>
        <w:b/>
        <w:bCs/>
        <w:color w:val="000000" w:themeColor="text1"/>
      </w:rPr>
      <w:tblPr/>
      <w:tcPr>
        <w:shd w:val="clear" w:color="auto" w:fill="FD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6" w:themeFillTint="33"/>
      </w:tcPr>
    </w:tblStylePr>
    <w:tblStylePr w:type="band1Vert">
      <w:tblPr/>
      <w:tcPr>
        <w:shd w:val="clear" w:color="auto" w:fill="F7EDB5" w:themeFill="accent6" w:themeFillTint="7F"/>
      </w:tcPr>
    </w:tblStylePr>
    <w:tblStylePr w:type="band1Horz">
      <w:tblPr/>
      <w:tcPr>
        <w:tcBorders>
          <w:insideH w:val="single" w:sz="6" w:space="0" w:color="EFDB6C" w:themeColor="accent6"/>
          <w:insideV w:val="single" w:sz="6" w:space="0" w:color="EFDB6C" w:themeColor="accent6"/>
        </w:tcBorders>
        <w:shd w:val="clear" w:color="auto" w:fill="F7EDB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1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E1D2"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1D2"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3"/>
        <w:bottom w:val="single" w:sz="8" w:space="0" w:color="0085AD" w:themeColor="accent3"/>
      </w:tblBorders>
    </w:tblPr>
    <w:tblStylePr w:type="firstRow">
      <w:rPr>
        <w:rFonts w:asciiTheme="majorHAnsi" w:eastAsiaTheme="majorEastAsia" w:hAnsiTheme="majorHAnsi" w:cstheme="majorBidi"/>
      </w:rPr>
      <w:tblPr/>
      <w:tcPr>
        <w:tcBorders>
          <w:top w:val="nil"/>
          <w:bottom w:val="single" w:sz="8" w:space="0" w:color="0085AD" w:themeColor="accent3"/>
        </w:tcBorders>
      </w:tcPr>
    </w:tblStylePr>
    <w:tblStylePr w:type="lastRow">
      <w:rPr>
        <w:b/>
        <w:bCs/>
        <w:color w:val="BFE1D2" w:themeColor="text2"/>
      </w:rPr>
      <w:tblPr/>
      <w:tcPr>
        <w:tcBorders>
          <w:top w:val="single" w:sz="8" w:space="0" w:color="0085AD" w:themeColor="accent3"/>
          <w:bottom w:val="single" w:sz="8" w:space="0" w:color="0085AD" w:themeColor="accent3"/>
        </w:tcBorders>
      </w:tcPr>
    </w:tblStylePr>
    <w:tblStylePr w:type="firstCol">
      <w:rPr>
        <w:b/>
        <w:bCs/>
      </w:rPr>
    </w:tblStylePr>
    <w:tblStylePr w:type="lastCol">
      <w:rPr>
        <w:b/>
        <w:bCs/>
      </w:rPr>
      <w:tblPr/>
      <w:tcPr>
        <w:tcBorders>
          <w:top w:val="single" w:sz="8" w:space="0" w:color="0085AD" w:themeColor="accent3"/>
          <w:bottom w:val="single" w:sz="8" w:space="0" w:color="0085AD" w:themeColor="accent3"/>
        </w:tcBorders>
      </w:tcPr>
    </w:tblStylePr>
    <w:tblStylePr w:type="band1Vert">
      <w:tblPr/>
      <w:tcPr>
        <w:shd w:val="clear" w:color="auto" w:fill="ABEBFF" w:themeFill="accent3" w:themeFillTint="3F"/>
      </w:tcPr>
    </w:tblStylePr>
    <w:tblStylePr w:type="band1Horz">
      <w:tblPr/>
      <w:tcPr>
        <w:shd w:val="clear" w:color="auto" w:fill="ABEBFF"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E1D2"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5"/>
        <w:bottom w:val="single" w:sz="8" w:space="0" w:color="ABBC38" w:themeColor="accent5"/>
      </w:tblBorders>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1D2"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EFDB6C" w:themeColor="accent6"/>
        <w:bottom w:val="single" w:sz="8" w:space="0" w:color="EFDB6C" w:themeColor="accent6"/>
      </w:tblBorders>
    </w:tblPr>
    <w:tblStylePr w:type="firstRow">
      <w:rPr>
        <w:rFonts w:asciiTheme="majorHAnsi" w:eastAsiaTheme="majorEastAsia" w:hAnsiTheme="majorHAnsi" w:cstheme="majorBidi"/>
      </w:rPr>
      <w:tblPr/>
      <w:tcPr>
        <w:tcBorders>
          <w:top w:val="nil"/>
          <w:bottom w:val="single" w:sz="8" w:space="0" w:color="EFDB6C" w:themeColor="accent6"/>
        </w:tcBorders>
      </w:tcPr>
    </w:tblStylePr>
    <w:tblStylePr w:type="lastRow">
      <w:rPr>
        <w:b/>
        <w:bCs/>
        <w:color w:val="BFE1D2" w:themeColor="text2"/>
      </w:rPr>
      <w:tblPr/>
      <w:tcPr>
        <w:tcBorders>
          <w:top w:val="single" w:sz="8" w:space="0" w:color="EFDB6C" w:themeColor="accent6"/>
          <w:bottom w:val="single" w:sz="8" w:space="0" w:color="EFDB6C" w:themeColor="accent6"/>
        </w:tcBorders>
      </w:tcPr>
    </w:tblStylePr>
    <w:tblStylePr w:type="firstCol">
      <w:rPr>
        <w:b/>
        <w:bCs/>
      </w:rPr>
    </w:tblStylePr>
    <w:tblStylePr w:type="lastCol">
      <w:rPr>
        <w:b/>
        <w:bCs/>
      </w:rPr>
      <w:tblPr/>
      <w:tcPr>
        <w:tcBorders>
          <w:top w:val="single" w:sz="8" w:space="0" w:color="EFDB6C" w:themeColor="accent6"/>
          <w:bottom w:val="single" w:sz="8" w:space="0" w:color="EFDB6C" w:themeColor="accent6"/>
        </w:tcBorders>
      </w:tcPr>
    </w:tblStylePr>
    <w:tblStylePr w:type="band1Vert">
      <w:tblPr/>
      <w:tcPr>
        <w:shd w:val="clear" w:color="auto" w:fill="FBF6DA" w:themeFill="accent6" w:themeFillTint="3F"/>
      </w:tcPr>
    </w:tblStylePr>
    <w:tblStylePr w:type="band1Horz">
      <w:tblPr/>
      <w:tcPr>
        <w:shd w:val="clear" w:color="auto" w:fill="FBF6DA"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rPr>
        <w:sz w:val="24"/>
        <w:szCs w:val="24"/>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tblPr/>
      <w:tcPr>
        <w:tcBorders>
          <w:top w:val="single" w:sz="8" w:space="0" w:color="0085A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3"/>
          <w:insideH w:val="nil"/>
          <w:insideV w:val="nil"/>
        </w:tcBorders>
        <w:shd w:val="clear" w:color="auto" w:fill="FFFFFF" w:themeFill="background1"/>
      </w:tcPr>
    </w:tblStylePr>
    <w:tblStylePr w:type="lastCol">
      <w:tblPr/>
      <w:tcPr>
        <w:tcBorders>
          <w:top w:val="nil"/>
          <w:left w:val="single" w:sz="8" w:space="0" w:color="0085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top w:val="nil"/>
          <w:bottom w:val="nil"/>
          <w:insideH w:val="nil"/>
          <w:insideV w:val="nil"/>
        </w:tcBorders>
        <w:shd w:val="clear" w:color="auto" w:fill="AB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rPr>
        <w:sz w:val="24"/>
        <w:szCs w:val="24"/>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tblPr/>
      <w:tcPr>
        <w:tcBorders>
          <w:top w:val="single" w:sz="8" w:space="0" w:color="EFDB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6"/>
          <w:insideH w:val="nil"/>
          <w:insideV w:val="nil"/>
        </w:tcBorders>
        <w:shd w:val="clear" w:color="auto" w:fill="FFFFFF" w:themeFill="background1"/>
      </w:tcPr>
    </w:tblStylePr>
    <w:tblStylePr w:type="lastCol">
      <w:tblPr/>
      <w:tcPr>
        <w:tcBorders>
          <w:top w:val="nil"/>
          <w:left w:val="single" w:sz="8" w:space="0" w:color="EFDB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top w:val="nil"/>
          <w:bottom w:val="nil"/>
          <w:insideH w:val="nil"/>
          <w:insideV w:val="nil"/>
        </w:tcBorders>
        <w:shd w:val="clear" w:color="auto" w:fill="FBF6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tblBorders>
    </w:tblPr>
    <w:tblStylePr w:type="firstRow">
      <w:pPr>
        <w:spacing w:before="0" w:after="0" w:line="240" w:lineRule="auto"/>
      </w:pPr>
      <w:rPr>
        <w:b/>
        <w:bCs/>
        <w:color w:val="FFFFFF" w:themeColor="background1"/>
      </w:rPr>
      <w:tblPr/>
      <w:tcPr>
        <w:tc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shd w:val="clear" w:color="auto" w:fill="0085AD" w:themeFill="accent3"/>
      </w:tcPr>
    </w:tblStylePr>
    <w:tblStylePr w:type="lastRow">
      <w:pPr>
        <w:spacing w:before="0" w:after="0" w:line="240" w:lineRule="auto"/>
      </w:pPr>
      <w:rPr>
        <w:b/>
        <w:bCs/>
      </w:rPr>
      <w:tblPr/>
      <w:tcPr>
        <w:tcBorders>
          <w:top w:val="double" w:sz="6"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3" w:themeFillTint="3F"/>
      </w:tcPr>
    </w:tblStylePr>
    <w:tblStylePr w:type="band1Horz">
      <w:tblPr/>
      <w:tcPr>
        <w:tcBorders>
          <w:insideH w:val="nil"/>
          <w:insideV w:val="nil"/>
        </w:tcBorders>
        <w:shd w:val="clear" w:color="auto" w:fill="ABEB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tblBorders>
    </w:tblPr>
    <w:tblStylePr w:type="firstRow">
      <w:pPr>
        <w:spacing w:before="0" w:after="0" w:line="240" w:lineRule="auto"/>
      </w:pPr>
      <w:rPr>
        <w:b/>
        <w:bCs/>
        <w:color w:val="FFFFFF" w:themeColor="background1"/>
      </w:rPr>
      <w:tblPr/>
      <w:tcPr>
        <w:tc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shd w:val="clear" w:color="auto" w:fill="EFDB6C" w:themeFill="accent6"/>
      </w:tcPr>
    </w:tblStylePr>
    <w:tblStylePr w:type="lastRow">
      <w:pPr>
        <w:spacing w:before="0" w:after="0" w:line="240" w:lineRule="auto"/>
      </w:pPr>
      <w:rPr>
        <w:b/>
        <w:bCs/>
      </w:rPr>
      <w:tblPr/>
      <w:tcPr>
        <w:tcBorders>
          <w:top w:val="double" w:sz="6"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6" w:themeFillTint="3F"/>
      </w:tcPr>
    </w:tblStylePr>
    <w:tblStylePr w:type="band1Horz">
      <w:tblPr/>
      <w:tcPr>
        <w:tcBorders>
          <w:insideH w:val="nil"/>
          <w:insideV w:val="nil"/>
        </w:tcBorders>
        <w:shd w:val="clear" w:color="auto" w:fill="FBF6DA"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3"/>
      </w:tcPr>
    </w:tblStylePr>
    <w:tblStylePr w:type="lastCol">
      <w:rPr>
        <w:b/>
        <w:bCs/>
        <w:color w:val="FFFFFF" w:themeColor="background1"/>
      </w:rPr>
      <w:tblPr/>
      <w:tcPr>
        <w:tcBorders>
          <w:left w:val="nil"/>
          <w:right w:val="nil"/>
          <w:insideH w:val="nil"/>
          <w:insideV w:val="nil"/>
        </w:tcBorders>
        <w:shd w:val="clear" w:color="auto" w:fill="0085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6"/>
      </w:tcPr>
    </w:tblStylePr>
    <w:tblStylePr w:type="lastCol">
      <w:rPr>
        <w:b/>
        <w:bCs/>
        <w:color w:val="FFFFFF" w:themeColor="background1"/>
      </w:rPr>
      <w:tblPr/>
      <w:tcPr>
        <w:tcBorders>
          <w:left w:val="nil"/>
          <w:right w:val="nil"/>
          <w:insideH w:val="nil"/>
          <w:insideV w:val="nil"/>
        </w:tcBorders>
        <w:shd w:val="clear" w:color="auto" w:fill="EFD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147799"/>
    <w:rPr>
      <w:rFonts w:ascii="Georgia" w:hAnsi="Georgia"/>
      <w:i w:val="0"/>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character" w:customStyle="1" w:styleId="SidefodTegn">
    <w:name w:val="Sidefod Tegn"/>
    <w:basedOn w:val="Standardskrifttypeiafsnit"/>
    <w:link w:val="Sidefod"/>
    <w:uiPriority w:val="99"/>
    <w:semiHidden/>
    <w:rsid w:val="007A04FE"/>
    <w:rPr>
      <w:sz w:val="14"/>
    </w:rPr>
  </w:style>
  <w:style w:type="paragraph" w:styleId="Korrektur">
    <w:name w:val="Revision"/>
    <w:hidden/>
    <w:uiPriority w:val="99"/>
    <w:semiHidden/>
    <w:rsid w:val="0029682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06145">
      <w:bodyDiv w:val="1"/>
      <w:marLeft w:val="0"/>
      <w:marRight w:val="0"/>
      <w:marTop w:val="0"/>
      <w:marBottom w:val="0"/>
      <w:divBdr>
        <w:top w:val="none" w:sz="0" w:space="0" w:color="auto"/>
        <w:left w:val="none" w:sz="0" w:space="0" w:color="auto"/>
        <w:bottom w:val="none" w:sz="0" w:space="0" w:color="auto"/>
        <w:right w:val="none" w:sz="0" w:space="0" w:color="auto"/>
      </w:divBdr>
    </w:div>
    <w:div w:id="1621718607">
      <w:bodyDiv w:val="1"/>
      <w:marLeft w:val="0"/>
      <w:marRight w:val="0"/>
      <w:marTop w:val="0"/>
      <w:marBottom w:val="0"/>
      <w:divBdr>
        <w:top w:val="none" w:sz="0" w:space="0" w:color="auto"/>
        <w:left w:val="none" w:sz="0" w:space="0" w:color="auto"/>
        <w:bottom w:val="none" w:sz="0" w:space="0" w:color="auto"/>
        <w:right w:val="none" w:sz="0" w:space="0" w:color="auto"/>
      </w:divBdr>
    </w:div>
    <w:div w:id="1950700996">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418765\AppData\Local\cBrain\F2\.tmp\19fdda439e9545f887d45399d486218b.dotx" TargetMode="External"/></Relationships>
</file>

<file path=word/theme/theme1.xml><?xml version="1.0" encoding="utf-8"?>
<a:theme xmlns:a="http://schemas.openxmlformats.org/drawingml/2006/main" name="Kontortema">
  <a:themeElements>
    <a:clrScheme name="MFVM - Miljøstyrelsen">
      <a:dk1>
        <a:srgbClr val="000000"/>
      </a:dk1>
      <a:lt1>
        <a:sysClr val="window" lastClr="FFFFFF"/>
      </a:lt1>
      <a:dk2>
        <a:srgbClr val="BFE1D2"/>
      </a:dk2>
      <a:lt2>
        <a:srgbClr val="E5F3ED"/>
      </a:lt2>
      <a:accent1>
        <a:srgbClr val="00874B"/>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19fdda439e9545f887d45399d486218b.dotx</Template>
  <TotalTime>106</TotalTime>
  <Pages>8</Pages>
  <Words>2946</Words>
  <Characters>17738</Characters>
  <Application>Microsoft Office Word</Application>
  <DocSecurity>0</DocSecurity>
  <Lines>354</Lines>
  <Paragraphs>130</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Notat</vt:lpstr>
      <vt:lpstr>Notat</vt:lpstr>
      <vt:lpstr>Notat om </vt:lpstr>
      <vt:lpstr>Problemstilling</vt:lpstr>
      <vt:lpstr>Baggrund</vt:lpstr>
      <vt:lpstr>Løsning [Kun hvis relevant]</vt:lpstr>
    </vt:vector>
  </TitlesOfParts>
  <Company>Miljøministeriet</Company>
  <LinksUpToDate>false</LinksUpToDate>
  <CharactersWithSpaces>20554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Elise Iuul</dc:creator>
  <cp:keywords/>
  <dc:description/>
  <cp:lastModifiedBy>Ida Hannibal</cp:lastModifiedBy>
  <cp:revision>15</cp:revision>
  <cp:lastPrinted>2005-05-20T12:11:00Z</cp:lastPrinted>
  <dcterms:created xsi:type="dcterms:W3CDTF">2025-10-29T06:01:00Z</dcterms:created>
  <dcterms:modified xsi:type="dcterms:W3CDTF">2025-10-30T10:08:00Z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Notat</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SD_IntegrationInfoAdded">
    <vt:bool>true</vt:bool>
  </property>
  <property fmtid="{D5CDD505-2E9C-101B-9397-08002B2CF9AE}" pid="13" name="SD_DocumentLanguage">
    <vt:lpwstr>da-DK</vt:lpwstr>
  </property>
  <property fmtid="{D5CDD505-2E9C-101B-9397-08002B2CF9AE}" pid="14" name="sdDocumentDate">
    <vt:lpwstr>45664</vt:lpwstr>
  </property>
  <property fmtid="{D5CDD505-2E9C-101B-9397-08002B2CF9AE}" pid="15" name="sdDocumentDateFormat">
    <vt:lpwstr>da-DK:'Den' d. MMMM yyyy</vt:lpwstr>
  </property>
  <property fmtid="{D5CDD505-2E9C-101B-9397-08002B2CF9AE}" pid="16" name="SD_DocumentLanguageString">
    <vt:lpwstr>Dansk</vt:lpwstr>
  </property>
  <property fmtid="{D5CDD505-2E9C-101B-9397-08002B2CF9AE}" pid="17" name="SD_CtlText_Usersettings_Userprofile">
    <vt:lpwstr>Elise Iuul</vt:lpwstr>
  </property>
  <property fmtid="{D5CDD505-2E9C-101B-9397-08002B2CF9AE}" pid="18" name="SD_CtlText_Generelt_CaseNoF2">
    <vt:lpwstr>2024 - 8646</vt:lpwstr>
  </property>
  <property fmtid="{D5CDD505-2E9C-101B-9397-08002B2CF9AE}" pid="19" name="SD_UserprofileName">
    <vt:lpwstr>Elise Iuul</vt:lpwstr>
  </property>
  <property fmtid="{D5CDD505-2E9C-101B-9397-08002B2CF9AE}" pid="20" name="SD_Office_OFF_ID">
    <vt:lpwstr>144</vt:lpwstr>
  </property>
  <property fmtid="{D5CDD505-2E9C-101B-9397-08002B2CF9AE}" pid="21" name="CurrentOfficeID">
    <vt:lpwstr>144</vt:lpwstr>
  </property>
  <property fmtid="{D5CDD505-2E9C-101B-9397-08002B2CF9AE}" pid="22" name="SD_Office_OFF_Organisation">
    <vt:lpwstr>MIM</vt:lpwstr>
  </property>
  <property fmtid="{D5CDD505-2E9C-101B-9397-08002B2CF9AE}" pid="23" name="SD_Office_OFF_ArtworkDefinition">
    <vt:lpwstr>MIM</vt:lpwstr>
  </property>
  <property fmtid="{D5CDD505-2E9C-101B-9397-08002B2CF9AE}" pid="24" name="SD_Office_OFF_LogoFileName">
    <vt:lpwstr>MIMDEP</vt:lpwstr>
  </property>
  <property fmtid="{D5CDD505-2E9C-101B-9397-08002B2CF9AE}" pid="25" name="SD_Office_OFF_Institution">
    <vt:lpwstr>Miljø- og Ligestillingsministeriet</vt:lpwstr>
  </property>
  <property fmtid="{D5CDD505-2E9C-101B-9397-08002B2CF9AE}" pid="26" name="SD_Office_OFF_Institution_EN">
    <vt:lpwstr>Ministry of Environment and Gender Equality</vt:lpwstr>
  </property>
  <property fmtid="{D5CDD505-2E9C-101B-9397-08002B2CF9AE}" pid="27" name="SD_Office_OFF_kontor">
    <vt:lpwstr>Cirkulær økonomi</vt:lpwstr>
  </property>
  <property fmtid="{D5CDD505-2E9C-101B-9397-08002B2CF9AE}" pid="28" name="SD_Office_OFF_Department">
    <vt:lpwstr>Cirkulær økonomi</vt:lpwstr>
  </property>
  <property fmtid="{D5CDD505-2E9C-101B-9397-08002B2CF9AE}" pid="29" name="SD_Office_OFF_Department_EN">
    <vt:lpwstr>Cirkulær økonomi</vt:lpwstr>
  </property>
  <property fmtid="{D5CDD505-2E9C-101B-9397-08002B2CF9AE}" pid="30" name="SD_Office_OFF_Footertext">
    <vt:lpwstr/>
  </property>
  <property fmtid="{D5CDD505-2E9C-101B-9397-08002B2CF9AE}" pid="31" name="SD_Office_OFF_AddressA">
    <vt:lpwstr>Frederiksholms Kanal 26</vt:lpwstr>
  </property>
  <property fmtid="{D5CDD505-2E9C-101B-9397-08002B2CF9AE}" pid="32" name="SD_Office_OFF_AddressB">
    <vt:lpwstr/>
  </property>
  <property fmtid="{D5CDD505-2E9C-101B-9397-08002B2CF9AE}" pid="33" name="SD_Office_OFF_AddressC">
    <vt:lpwstr/>
  </property>
  <property fmtid="{D5CDD505-2E9C-101B-9397-08002B2CF9AE}" pid="34" name="SD_Office_OFF_AddressCollected">
    <vt:lpwstr>Frederiksholms Kanal 26</vt:lpwstr>
  </property>
  <property fmtid="{D5CDD505-2E9C-101B-9397-08002B2CF9AE}" pid="35" name="SD_Office_OFF_AddressD">
    <vt:lpwstr>1220</vt:lpwstr>
  </property>
  <property fmtid="{D5CDD505-2E9C-101B-9397-08002B2CF9AE}" pid="36" name="SD_Office_OFF_City">
    <vt:lpwstr>København K</vt:lpwstr>
  </property>
  <property fmtid="{D5CDD505-2E9C-101B-9397-08002B2CF9AE}" pid="37" name="SD_Office_OFF_City_EN">
    <vt:lpwstr>Copenhagen K Denmark</vt:lpwstr>
  </property>
  <property fmtid="{D5CDD505-2E9C-101B-9397-08002B2CF9AE}" pid="38" name="SD_Office_OFF_Phone">
    <vt:lpwstr>38 14 21 42</vt:lpwstr>
  </property>
  <property fmtid="{D5CDD505-2E9C-101B-9397-08002B2CF9AE}" pid="39" name="SD_Office_OFF_Phone_EN">
    <vt:lpwstr>+45 38 14 21 42</vt:lpwstr>
  </property>
  <property fmtid="{D5CDD505-2E9C-101B-9397-08002B2CF9AE}" pid="40" name="SD_Office_OFF_Fax">
    <vt:lpwstr/>
  </property>
  <property fmtid="{D5CDD505-2E9C-101B-9397-08002B2CF9AE}" pid="41" name="SD_Office_OFF_Fax_EN">
    <vt:lpwstr/>
  </property>
  <property fmtid="{D5CDD505-2E9C-101B-9397-08002B2CF9AE}" pid="42" name="SD_Office_OFF_Email">
    <vt:lpwstr>mim@mim.dk</vt:lpwstr>
  </property>
  <property fmtid="{D5CDD505-2E9C-101B-9397-08002B2CF9AE}" pid="43" name="SD_Office_OFF_Web">
    <vt:lpwstr>www.mim.dk</vt:lpwstr>
  </property>
  <property fmtid="{D5CDD505-2E9C-101B-9397-08002B2CF9AE}" pid="44" name="SD_Office_OFF_CVR">
    <vt:lpwstr>12854358</vt:lpwstr>
  </property>
  <property fmtid="{D5CDD505-2E9C-101B-9397-08002B2CF9AE}" pid="45" name="SD_Office_OFF_EAN">
    <vt:lpwstr>5798000862005</vt:lpwstr>
  </property>
  <property fmtid="{D5CDD505-2E9C-101B-9397-08002B2CF9AE}" pid="46" name="SD_Office_OFF_EAN_EN">
    <vt:lpwstr>5798000862005</vt:lpwstr>
  </property>
  <property fmtid="{D5CDD505-2E9C-101B-9397-08002B2CF9AE}" pid="47" name="SD_Office_OFF_ColorTheme">
    <vt:lpwstr>MFVM - Departementet_Koncern</vt:lpwstr>
  </property>
  <property fmtid="{D5CDD505-2E9C-101B-9397-08002B2CF9AE}" pid="48" name="LastCompletedArtworkDefinition">
    <vt:lpwstr>MIM</vt:lpwstr>
  </property>
  <property fmtid="{D5CDD505-2E9C-101B-9397-08002B2CF9AE}" pid="49" name="USR_Name">
    <vt:lpwstr>Elise Iuul</vt:lpwstr>
  </property>
  <property fmtid="{D5CDD505-2E9C-101B-9397-08002B2CF9AE}" pid="50" name="USR_Initials">
    <vt:lpwstr>ELIUU</vt:lpwstr>
  </property>
  <property fmtid="{D5CDD505-2E9C-101B-9397-08002B2CF9AE}" pid="51" name="USR_Title">
    <vt:lpwstr>Fuldmægtig</vt:lpwstr>
  </property>
  <property fmtid="{D5CDD505-2E9C-101B-9397-08002B2CF9AE}" pid="52" name="USR_DirectPhone">
    <vt:lpwstr>+45 20 11 26 98</vt:lpwstr>
  </property>
  <property fmtid="{D5CDD505-2E9C-101B-9397-08002B2CF9AE}" pid="53" name="USR_Mobile">
    <vt:lpwstr>+45 20 11 26 98</vt:lpwstr>
  </property>
  <property fmtid="{D5CDD505-2E9C-101B-9397-08002B2CF9AE}" pid="54" name="USR_Email">
    <vt:lpwstr>eliuu@mim.dk</vt:lpwstr>
  </property>
  <property fmtid="{D5CDD505-2E9C-101B-9397-08002B2CF9AE}" pid="55" name="DocumentInfoFinished">
    <vt:lpwstr>True</vt:lpwstr>
  </property>
</Properties>
</file>