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F" w:rsidRPr="003B1BCF" w:rsidRDefault="003B1BCF" w:rsidP="003B1BCF">
      <w:pPr>
        <w:spacing w:before="20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da-DK"/>
        </w:rPr>
        <w:t>Forslag</w:t>
      </w:r>
    </w:p>
    <w:p w:rsidR="003B1BCF" w:rsidRPr="003B1BCF" w:rsidRDefault="003B1BCF" w:rsidP="003B1BCF">
      <w:pPr>
        <w:spacing w:before="20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21"/>
          <w:szCs w:val="21"/>
          <w:lang w:eastAsia="da-DK"/>
        </w:rPr>
        <w:t>til</w:t>
      </w:r>
    </w:p>
    <w:p w:rsidR="003B1BCF" w:rsidRPr="003B1BCF" w:rsidRDefault="003B1BCF" w:rsidP="003B1BCF">
      <w:pPr>
        <w:spacing w:before="20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 xml:space="preserve">Lov om ændring af </w:t>
      </w:r>
      <w:r w:rsidR="003B001C">
        <w:rPr>
          <w:rFonts w:ascii="Tahoma" w:eastAsia="Times New Roman" w:hAnsi="Tahoma" w:cs="Tahoma"/>
          <w:color w:val="000000"/>
          <w:sz w:val="28"/>
          <w:szCs w:val="28"/>
          <w:lang w:eastAsia="da-DK"/>
        </w:rPr>
        <w:t>Budgetlov</w:t>
      </w:r>
    </w:p>
    <w:p w:rsidR="003B1BCF" w:rsidRPr="003B1BCF" w:rsidRDefault="003B1BCF" w:rsidP="003B1BCF">
      <w:pPr>
        <w:spacing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(Ændring af revisionsbestemmelse)</w:t>
      </w:r>
    </w:p>
    <w:p w:rsidR="003B1BCF" w:rsidRPr="003B1BCF" w:rsidRDefault="003B1BCF" w:rsidP="003B1BCF">
      <w:pPr>
        <w:spacing w:before="20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§ 1</w:t>
      </w:r>
    </w:p>
    <w:p w:rsidR="003B1BCF" w:rsidRPr="003B1BCF" w:rsidRDefault="003B1BCF" w:rsidP="003B1BCF">
      <w:pPr>
        <w:spacing w:before="200" w:after="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I</w:t>
      </w:r>
      <w:r w:rsidR="003B001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budgetlov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, jf.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lov nr. </w:t>
      </w:r>
      <w:r w:rsidR="003B001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547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af 1</w:t>
      </w:r>
      <w:r w:rsidR="003B001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8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 juni 201</w:t>
      </w:r>
      <w:r w:rsidR="003B001C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,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foretages følgende ændring:</w:t>
      </w:r>
    </w:p>
    <w:p w:rsidR="003B1BCF" w:rsidRPr="003B1BCF" w:rsidRDefault="003B1BCF" w:rsidP="003B1BCF">
      <w:pPr>
        <w:spacing w:before="200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1.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I </w:t>
      </w: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§ </w:t>
      </w:r>
      <w:r w:rsidR="00BE4A28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22</w:t>
      </w: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ændres »201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8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-1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9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« til: »201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9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-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20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«.</w:t>
      </w:r>
    </w:p>
    <w:p w:rsidR="003B1BCF" w:rsidRPr="003B1BCF" w:rsidRDefault="003B1BCF" w:rsidP="003B1BCF">
      <w:pPr>
        <w:spacing w:before="20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§ 2</w:t>
      </w:r>
    </w:p>
    <w:p w:rsidR="003B1BCF" w:rsidRPr="003B1BCF" w:rsidRDefault="003B1BCF" w:rsidP="003B1BCF">
      <w:pPr>
        <w:spacing w:after="0" w:line="240" w:lineRule="auto"/>
        <w:ind w:firstLine="24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Loven træder i kraft den 1. </w:t>
      </w:r>
      <w:r w:rsidR="00BE4A28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juni 2019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</w:p>
    <w:p w:rsidR="003B1BCF" w:rsidRPr="003B1BCF" w:rsidRDefault="003B1BCF" w:rsidP="003B1BCF">
      <w:pPr>
        <w:spacing w:before="480" w:line="240" w:lineRule="auto"/>
        <w:jc w:val="center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da-DK"/>
        </w:rPr>
      </w:pPr>
      <w:r w:rsidRPr="003B1BCF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da-DK"/>
        </w:rPr>
        <w:t>Bemærkninger til lovforslaget</w:t>
      </w:r>
    </w:p>
    <w:p w:rsidR="003B1BCF" w:rsidRPr="003B1BCF" w:rsidRDefault="003B1BCF" w:rsidP="003B1BCF">
      <w:pPr>
        <w:spacing w:after="10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Almindelige bemærkninger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1. Indledning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2. Lovforslagets indhold</w:t>
      </w:r>
    </w:p>
    <w:p w:rsidR="003B1BCF" w:rsidRPr="003B1BCF" w:rsidRDefault="003B1BCF" w:rsidP="003B1BCF">
      <w:pPr>
        <w:spacing w:after="0" w:line="240" w:lineRule="auto"/>
        <w:ind w:left="44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2.1. Gældende ret</w:t>
      </w:r>
    </w:p>
    <w:p w:rsidR="003B1BCF" w:rsidRPr="003B1BCF" w:rsidRDefault="003B1BCF" w:rsidP="003B1BCF">
      <w:pPr>
        <w:spacing w:after="0" w:line="240" w:lineRule="auto"/>
        <w:ind w:left="44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2.2. </w:t>
      </w:r>
      <w:r w:rsidR="00444F4D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Finansministeriets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overvejelser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3. Økonomiske og administrative konsekvenser for det offentlige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4. Økonomiske og administrative konsekvenser for erhvervslivet mv.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5. Administrative konsekvenser for borgerne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6. Miljømæssige konsekvenser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7. Forholdet til EU-retten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8. Hørte myndigheder og organisationer mv.</w:t>
      </w:r>
    </w:p>
    <w:p w:rsidR="003B1BCF" w:rsidRPr="003B1BCF" w:rsidRDefault="003B1BCF" w:rsidP="003B1BCF">
      <w:pPr>
        <w:spacing w:after="0" w:line="240" w:lineRule="auto"/>
        <w:ind w:left="220" w:hanging="220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9. Sammenfattende skema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1.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Indledning</w:t>
      </w:r>
    </w:p>
    <w:p w:rsidR="003B1BCF" w:rsidRPr="00BE4A28" w:rsidRDefault="003B1BCF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Det følger af </w:t>
      </w:r>
      <w:r w:rsidR="00BE4A28"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budgetlovens </w:t>
      </w: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§ </w:t>
      </w:r>
      <w:r w:rsidR="00BE4A28"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22</w:t>
      </w: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, at </w:t>
      </w:r>
      <w:r w:rsidR="00BE4A28" w:rsidRPr="00BE4A28">
        <w:rPr>
          <w:rFonts w:ascii="Garamond" w:hAnsi="Garamond"/>
          <w:sz w:val="24"/>
          <w:szCs w:val="24"/>
        </w:rPr>
        <w:t>finansministeren fremsætter forslag om revision af loven i folketingsåret 2018-19</w:t>
      </w:r>
      <w:r w:rsidR="00531E62">
        <w:rPr>
          <w:rFonts w:ascii="Garamond" w:hAnsi="Garamond"/>
          <w:sz w:val="24"/>
          <w:szCs w:val="24"/>
        </w:rPr>
        <w:t>.</w:t>
      </w:r>
    </w:p>
    <w:p w:rsidR="00BE4A28" w:rsidRPr="00BE4A28" w:rsidRDefault="003B1BCF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Det </w:t>
      </w:r>
      <w:r w:rsidR="00BE4A28"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følger af</w:t>
      </w: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forarbejderne til </w:t>
      </w:r>
      <w:r w:rsidR="00BE4A28"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budgetlovens</w:t>
      </w: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§ </w:t>
      </w:r>
      <w:r w:rsidR="00BE4A28"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22</w:t>
      </w:r>
      <w:r w:rsidRPr="00BE4A28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, at </w:t>
      </w:r>
      <w:r w:rsidR="00BE4A28" w:rsidRPr="00BE4A28">
        <w:rPr>
          <w:rFonts w:ascii="Garamond" w:hAnsi="Garamond"/>
          <w:sz w:val="24"/>
          <w:szCs w:val="24"/>
        </w:rPr>
        <w:t>baggrunden for revisionsklausulen er, at der med budgetloven blev indført et nyt udgiftspolitisk styringssystem, som der kan være behov for at evaluere efter forløbet af en rimelig periode.</w:t>
      </w:r>
    </w:p>
    <w:p w:rsidR="003B1BCF" w:rsidRPr="00B478C2" w:rsidRDefault="009A092C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Finansministeriet har igangsat en række faglige analyser og opsamling af de foreløbige erfaringer med udgiftsstyring med udgiftslofter. Dette arbejde er endnu ikke afsluttet.</w:t>
      </w:r>
    </w:p>
    <w:p w:rsidR="003B1BCF" w:rsidRPr="00B478C2" w:rsidRDefault="00BE4A28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Finansminister</w:t>
      </w:r>
      <w:r w:rsidR="00BE54C6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en</w:t>
      </w:r>
      <w:r w:rsidR="003B1BCF"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finder på den baggrund, at revisionen af 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budgetloven</w:t>
      </w:r>
      <w:r w:rsidR="003B1BCF"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bør udsættes til folketingsåret 201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9</w:t>
      </w:r>
      <w:r w:rsidR="003B1BCF"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-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20</w:t>
      </w:r>
      <w:r w:rsidR="003B1BCF"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2.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Lovforslagets indhold</w:t>
      </w:r>
    </w:p>
    <w:p w:rsid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2.1.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Gældende ret</w:t>
      </w:r>
    </w:p>
    <w:p w:rsidR="00B478C2" w:rsidRPr="00B478C2" w:rsidRDefault="00B478C2" w:rsidP="00B478C2">
      <w:pPr>
        <w:pStyle w:val="tekst"/>
        <w:ind w:firstLine="0"/>
        <w:rPr>
          <w:rFonts w:ascii="Garamond" w:hAnsi="Garamond"/>
        </w:rPr>
      </w:pPr>
      <w:r w:rsidRPr="00B478C2">
        <w:rPr>
          <w:rFonts w:ascii="Garamond" w:hAnsi="Garamond"/>
        </w:rPr>
        <w:t>Budgetloven er en opfølgning på og udmøntning af »Aftale om budgetlov« indgået den 27. marts 2012 mellem den daværende regering, Venstre og Det Konservative Folkeparti.</w:t>
      </w:r>
    </w:p>
    <w:p w:rsidR="00B478C2" w:rsidRPr="00B478C2" w:rsidRDefault="00B478C2" w:rsidP="00B478C2">
      <w:pPr>
        <w:pStyle w:val="tekst"/>
        <w:rPr>
          <w:rFonts w:ascii="Garamond" w:hAnsi="Garamond"/>
        </w:rPr>
      </w:pPr>
    </w:p>
    <w:p w:rsidR="00B478C2" w:rsidRPr="00B478C2" w:rsidRDefault="00B478C2" w:rsidP="00B478C2">
      <w:pPr>
        <w:pStyle w:val="tekst"/>
        <w:rPr>
          <w:rFonts w:ascii="Garamond" w:hAnsi="Garamond"/>
        </w:rPr>
      </w:pPr>
      <w:r w:rsidRPr="00B478C2">
        <w:rPr>
          <w:rFonts w:ascii="Garamond" w:hAnsi="Garamond"/>
        </w:rPr>
        <w:t xml:space="preserve">Den </w:t>
      </w:r>
      <w:r w:rsidR="003C466F">
        <w:rPr>
          <w:rFonts w:ascii="Garamond" w:hAnsi="Garamond"/>
        </w:rPr>
        <w:t xml:space="preserve">daværende </w:t>
      </w:r>
      <w:r w:rsidRPr="00B478C2">
        <w:rPr>
          <w:rFonts w:ascii="Garamond" w:hAnsi="Garamond"/>
        </w:rPr>
        <w:t>internationale økonomiske krise ændrede situationen for den offentlige økonomi i Danmark markant. Store offentlige overskud blev vendt til store underskud. Gen</w:t>
      </w:r>
      <w:r w:rsidR="003C466F">
        <w:rPr>
          <w:rFonts w:ascii="Garamond" w:hAnsi="Garamond"/>
        </w:rPr>
        <w:t>opretning af aktiviteten forudsa</w:t>
      </w:r>
      <w:r w:rsidRPr="00B478C2">
        <w:rPr>
          <w:rFonts w:ascii="Garamond" w:hAnsi="Garamond"/>
        </w:rPr>
        <w:t>tte bl.a. tillid til finanspolitikken og troværdighed om de offentlige finanser i Danmark, og gældskrisen har skærpet fokus herpå.</w:t>
      </w:r>
    </w:p>
    <w:p w:rsidR="00B478C2" w:rsidRPr="00B478C2" w:rsidRDefault="00B478C2" w:rsidP="0098093B">
      <w:pPr>
        <w:pStyle w:val="tekst"/>
        <w:rPr>
          <w:rFonts w:ascii="Garamond" w:hAnsi="Garamond"/>
        </w:rPr>
      </w:pPr>
      <w:r w:rsidRPr="00B478C2">
        <w:rPr>
          <w:rFonts w:ascii="Garamond" w:hAnsi="Garamond"/>
        </w:rPr>
        <w:t>Med henblik på at styrke troværdigheden af finans- og udgiftspolitikken blev det med budgetloven fastsat ved lov, at det årlige strukturelle underskud ikke må overstige 0,5 pct. af bruttonationalproduktet. Samtidig indgår det i loven, at hvis det skønnes, at dette mål overskrides væsentligt, skal regeringen fremlægge en konkret tidsplan for, hvordan og hvornår de offentlige finanser kommer på ret kurs igen.</w:t>
      </w:r>
      <w:r w:rsidR="0098093B">
        <w:rPr>
          <w:rFonts w:ascii="Garamond" w:hAnsi="Garamond"/>
        </w:rPr>
        <w:t xml:space="preserve"> </w:t>
      </w:r>
      <w:r w:rsidR="0098093B" w:rsidRPr="0098093B">
        <w:rPr>
          <w:rFonts w:ascii="Garamond" w:hAnsi="Garamond"/>
        </w:rPr>
        <w:t>Lov</w:t>
      </w:r>
      <w:r w:rsidR="0098093B">
        <w:rPr>
          <w:rFonts w:ascii="Garamond" w:hAnsi="Garamond"/>
        </w:rPr>
        <w:t>ens</w:t>
      </w:r>
      <w:r w:rsidR="0098093B" w:rsidRPr="0098093B">
        <w:rPr>
          <w:rFonts w:ascii="Garamond" w:hAnsi="Garamond"/>
        </w:rPr>
        <w:t xml:space="preserve"> kapitel 2 gennemfører </w:t>
      </w:r>
      <w:r w:rsidR="0098093B">
        <w:rPr>
          <w:rFonts w:ascii="Garamond" w:hAnsi="Garamond"/>
        </w:rPr>
        <w:t xml:space="preserve">således </w:t>
      </w:r>
      <w:r w:rsidR="0098093B" w:rsidRPr="0098093B">
        <w:rPr>
          <w:rFonts w:ascii="Garamond" w:hAnsi="Garamond"/>
        </w:rPr>
        <w:t>dele af traktaten af 2.</w:t>
      </w:r>
      <w:r w:rsidR="0098093B">
        <w:rPr>
          <w:rFonts w:ascii="Garamond" w:hAnsi="Garamond"/>
        </w:rPr>
        <w:t xml:space="preserve"> </w:t>
      </w:r>
      <w:r w:rsidR="0098093B" w:rsidRPr="0098093B">
        <w:rPr>
          <w:rFonts w:ascii="Garamond" w:hAnsi="Garamond"/>
        </w:rPr>
        <w:t>marts 2012 om stabilitet, samordning og styring i Den Økonomiske og Monetære Union (finanspagten), der har karakter af en mellemstatslig aftale i tilknytning til EU-samarbejdet</w:t>
      </w:r>
    </w:p>
    <w:p w:rsidR="00B478C2" w:rsidRPr="00B478C2" w:rsidRDefault="00B478C2" w:rsidP="0098093B">
      <w:pPr>
        <w:pStyle w:val="tekst"/>
        <w:rPr>
          <w:rFonts w:ascii="Garamond" w:hAnsi="Garamond"/>
        </w:rPr>
      </w:pPr>
      <w:r w:rsidRPr="00B478C2">
        <w:rPr>
          <w:rFonts w:ascii="Garamond" w:hAnsi="Garamond"/>
        </w:rPr>
        <w:t>Med henblik på at understøtte udgiftspolitikken blev der med loven indført et nyt styringssystem med udgiftslofter, der sætter klare grænser for udgifterne. Med budgetloven etableres der 4-årige udgiftslofter for stat, kommuner og regioner, der fastlægges af Folketinget. Formålet med lofterne er, at de faktiske udgifter holder sig inden for de fastlagte rammer.</w:t>
      </w:r>
      <w:r w:rsidR="0098093B">
        <w:rPr>
          <w:rFonts w:ascii="Garamond" w:hAnsi="Garamond"/>
        </w:rPr>
        <w:t xml:space="preserve"> </w:t>
      </w:r>
      <w:r w:rsidR="0098093B" w:rsidRPr="0098093B">
        <w:rPr>
          <w:rFonts w:ascii="Garamond" w:hAnsi="Garamond"/>
        </w:rPr>
        <w:t xml:space="preserve">Størstedelen af de offentlige udgifter </w:t>
      </w:r>
      <w:r w:rsidR="0098093B">
        <w:rPr>
          <w:rFonts w:ascii="Garamond" w:hAnsi="Garamond"/>
        </w:rPr>
        <w:t>er</w:t>
      </w:r>
      <w:r w:rsidR="0098093B" w:rsidRPr="0098093B">
        <w:rPr>
          <w:rFonts w:ascii="Garamond" w:hAnsi="Garamond"/>
        </w:rPr>
        <w:t xml:space="preserve"> inkluderet i</w:t>
      </w:r>
      <w:r w:rsidR="0098093B">
        <w:rPr>
          <w:rFonts w:ascii="Garamond" w:hAnsi="Garamond"/>
        </w:rPr>
        <w:t xml:space="preserve"> </w:t>
      </w:r>
      <w:r w:rsidR="0098093B" w:rsidRPr="0098093B">
        <w:rPr>
          <w:rFonts w:ascii="Garamond" w:hAnsi="Garamond"/>
        </w:rPr>
        <w:t>udgiftslofterne.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2.2.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="00BE4A28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Finansministeriets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 overvejelser</w:t>
      </w:r>
    </w:p>
    <w:p w:rsidR="00B478C2" w:rsidRPr="00B478C2" w:rsidRDefault="009A092C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Finansministeriet har igangsat en række faglige analyser og opsamling af de foreløbige erfaringer med udgiftsstyring med udgiftslofter. Dette arbejde er endnu ikke afsluttet.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</w:t>
      </w:r>
    </w:p>
    <w:p w:rsidR="00B478C2" w:rsidRPr="00B478C2" w:rsidRDefault="00B478C2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Finansminister</w:t>
      </w:r>
      <w:r w:rsidR="00BE54C6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en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finder på den baggrund, at revisionen af budgetloven bør udsættes til folketingsåret 2019-20.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3.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Økonomiske </w:t>
      </w:r>
      <w:r w:rsidR="00CF202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konsekvenser og implementeringskonsekvenser for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det offentlige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Lovforslaget har ingen økonomiske eller administrative konsekvenser for det offentlige.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4.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Økonomiske og administrative konsekvenser for erhvervslivet mv.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Lovforslaget har ingen økonomiske eller administrative konsekvenser for erhvervslivet mv.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5.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Administrative konsekvenser for borgerne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Lovforslaget har ingen administrative konsekvenser for borgerne.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6.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Miljømæssige konsekvenser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Lovforslaget har ingen miljømæssige konsekvenser.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7.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Forholdet til EU-retten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Lovforslaget indeholder ikke EU-retlige aspekter.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8.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Hørte m</w:t>
      </w:r>
      <w:r w:rsidR="00CF202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 xml:space="preserve">yndigheder og organisationer </w:t>
      </w:r>
    </w:p>
    <w:p w:rsidR="003B1BCF" w:rsidRPr="00B478C2" w:rsidRDefault="003B1BCF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Et udkast til lovforslag har i perioden fra den </w:t>
      </w:r>
      <w:r w:rsidR="00B92CCE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11.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til den </w:t>
      </w:r>
      <w:r w:rsidR="00B92CCE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>14. marts</w:t>
      </w:r>
      <w:r w:rsidRPr="00B478C2">
        <w:rPr>
          <w:rFonts w:ascii="Garamond" w:eastAsia="Times New Roman" w:hAnsi="Garamond" w:cs="Tahoma"/>
          <w:color w:val="000000"/>
          <w:sz w:val="24"/>
          <w:szCs w:val="24"/>
          <w:lang w:eastAsia="da-DK"/>
        </w:rPr>
        <w:t xml:space="preserve"> været sendt i høring hos følgende myndigheder og organisationer mv.:</w:t>
      </w:r>
    </w:p>
    <w:p w:rsidR="00B478C2" w:rsidRPr="00B478C2" w:rsidRDefault="00B478C2" w:rsidP="003B1BCF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lang w:eastAsia="da-DK"/>
        </w:rPr>
      </w:pPr>
      <w:r w:rsidRPr="00B478C2">
        <w:rPr>
          <w:rFonts w:ascii="Garamond" w:hAnsi="Garamond"/>
          <w:sz w:val="24"/>
          <w:szCs w:val="24"/>
        </w:rPr>
        <w:lastRenderedPageBreak/>
        <w:t>Dan</w:t>
      </w:r>
      <w:bookmarkStart w:id="0" w:name="_GoBack"/>
      <w:bookmarkEnd w:id="0"/>
      <w:r w:rsidRPr="00B478C2">
        <w:rPr>
          <w:rFonts w:ascii="Garamond" w:hAnsi="Garamond"/>
          <w:sz w:val="24"/>
          <w:szCs w:val="24"/>
        </w:rPr>
        <w:t>marks Nationalbank, Danske Regioner, Formandskabet for De Økonom</w:t>
      </w:r>
      <w:r w:rsidR="00B92CCE">
        <w:rPr>
          <w:rFonts w:ascii="Garamond" w:hAnsi="Garamond"/>
          <w:sz w:val="24"/>
          <w:szCs w:val="24"/>
        </w:rPr>
        <w:t>iske Råd, KL og Rigsrevisionen.</w:t>
      </w:r>
    </w:p>
    <w:p w:rsid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9.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  <w:r w:rsidRPr="003B1BCF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da-DK"/>
        </w:rPr>
        <w:t>Sammenfattende skema</w:t>
      </w:r>
    </w:p>
    <w:p w:rsidR="003C466F" w:rsidRPr="003B1BCF" w:rsidRDefault="003C466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4"/>
      </w:tblGrid>
      <w:tr w:rsidR="003B1BCF" w:rsidRPr="003B1BCF" w:rsidTr="003B1BCF">
        <w:tc>
          <w:tcPr>
            <w:tcW w:w="0" w:type="auto"/>
            <w:hideMark/>
          </w:tcPr>
          <w:tbl>
            <w:tblPr>
              <w:tblW w:w="77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2667"/>
              <w:gridCol w:w="2449"/>
            </w:tblGrid>
            <w:tr w:rsidR="003B1BCF" w:rsidRPr="003B1BCF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Positive konsekvenser/mindreudgifter (hvis ja, angiv omfang</w:t>
                  </w:r>
                  <w:r w:rsidR="00CF202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/Hvis nej, anfør ”Ingen”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Negative konsekvenser/merudgifter (hvis ja, angiv omfang</w:t>
                  </w:r>
                  <w:r w:rsidR="00CF202C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/Hvis nej, anfør ”Ingen”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)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Økonomiske konsekvenser for stat, kommuner og regioner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CF202C" w:rsidP="00CF202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Implementeringskonsekvenser</w:t>
                  </w:r>
                  <w:r w:rsidR="003B1BCF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for stat, kommuner og regioner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Økonomiske konsekvenser for erhvervslivet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Administrative konsekvenser for erhvervslivet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Administrative konsekvenser for borgerne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Miljømæssige konsekvenser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Ingen</w:t>
                  </w:r>
                </w:p>
              </w:tc>
            </w:tr>
            <w:tr w:rsidR="00CF202C" w:rsidRPr="003B1BCF">
              <w:tc>
                <w:tcPr>
                  <w:tcW w:w="0" w:type="auto"/>
                  <w:tcBorders>
                    <w:top w:val="single" w:sz="24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Forholdet til EU-retten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4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Forslaget indeholder ikke EU-retlige aspekter</w:t>
                  </w:r>
                </w:p>
              </w:tc>
            </w:tr>
            <w:tr w:rsidR="00CF202C" w:rsidRPr="003B1BCF">
              <w:trPr>
                <w:trHeight w:val="118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3B1BCF" w:rsidRPr="003B1BCF" w:rsidRDefault="000E48DA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Overimplementering af EU-retlige minimumsforpligtelser (sæt X)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JA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NEJ</w:t>
                  </w:r>
                </w:p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X</w:t>
                  </w:r>
                </w:p>
              </w:tc>
            </w:tr>
          </w:tbl>
          <w:p w:rsidR="003B1BCF" w:rsidRPr="003B1BCF" w:rsidRDefault="003B1BCF" w:rsidP="003B1BCF">
            <w:pPr>
              <w:spacing w:before="20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3B1BCF" w:rsidRPr="003B1BCF" w:rsidRDefault="003B1BCF" w:rsidP="003B1BCF">
      <w:pPr>
        <w:spacing w:after="100" w:line="240" w:lineRule="auto"/>
        <w:jc w:val="center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Bemærkninger til lovforslagets enkelte bestemmelser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Til § 1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Efter den gældende bestemmelse i </w:t>
      </w:r>
      <w:r w:rsidR="003C466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budgetlovens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§ </w:t>
      </w:r>
      <w:r w:rsidR="003C466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22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skal </w:t>
      </w:r>
      <w:r w:rsidR="003C466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finansministeren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fremsætte forslag om revision af love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n i folketingsåret 2018-19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Det foreslås, at bestemmelsen i 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lovens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§ 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22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ændres, så fremsættelse af forslag om revision af loven 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udsættes til folketingsåret 2019-20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Der henvises i øvrigt til lovforslagets almindelige bemærkninger.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  <w:t>Til § 2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</w:t>
      </w:r>
    </w:p>
    <w:p w:rsidR="003B1BCF" w:rsidRP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Det foreslås, at loven træder i kraft den 1. 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juni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 xml:space="preserve"> 201</w:t>
      </w:r>
      <w:r w:rsidR="00E322F5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9</w:t>
      </w:r>
      <w:r w:rsidRPr="003B1BCF"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t>.</w:t>
      </w:r>
    </w:p>
    <w:p w:rsidR="003B1BCF" w:rsidRDefault="003B1BCF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17"/>
          <w:szCs w:val="17"/>
          <w:lang w:eastAsia="da-DK"/>
        </w:rPr>
      </w:pPr>
    </w:p>
    <w:p w:rsidR="00E322F5" w:rsidRPr="003B1BCF" w:rsidRDefault="00E322F5" w:rsidP="003B1BC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</w:p>
    <w:p w:rsidR="003B1BCF" w:rsidRPr="003B1BCF" w:rsidRDefault="00B92CCE" w:rsidP="003B1BCF">
      <w:pPr>
        <w:spacing w:before="200" w:line="240" w:lineRule="auto"/>
        <w:rPr>
          <w:rFonts w:ascii="Tahoma" w:eastAsia="Times New Roman" w:hAnsi="Tahoma" w:cs="Tahoma"/>
          <w:color w:val="000000"/>
          <w:sz w:val="17"/>
          <w:szCs w:val="17"/>
          <w:lang w:eastAsia="da-DK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da-DK"/>
        </w:rPr>
        <w:pict>
          <v:rect id="_x0000_i1025" style="width:337.35pt;height:.75pt" o:hrpct="700" o:hralign="center" o:hrstd="t" o:hrnoshade="t" o:hr="t" fillcolor="#dedede" stroked="f"/>
        </w:pict>
      </w:r>
    </w:p>
    <w:p w:rsidR="003B1BCF" w:rsidRPr="003B1BCF" w:rsidRDefault="003B1BCF" w:rsidP="003B1BCF">
      <w:pPr>
        <w:spacing w:before="400" w:after="12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da-DK"/>
        </w:rPr>
        <w:t xml:space="preserve">Bilag 1 </w:t>
      </w:r>
    </w:p>
    <w:p w:rsidR="003B1BCF" w:rsidRPr="003B1BCF" w:rsidRDefault="003B1BCF" w:rsidP="003B1BCF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da-DK"/>
        </w:rPr>
      </w:pPr>
      <w:r w:rsidRPr="003B1BC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da-DK"/>
        </w:rPr>
        <w:t>Lovforslaget sammenholdt med gældende lov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</w:tblGrid>
      <w:tr w:rsidR="003B1BCF" w:rsidRPr="003B1BCF" w:rsidTr="003B1BCF">
        <w:tc>
          <w:tcPr>
            <w:tcW w:w="0" w:type="auto"/>
            <w:hideMark/>
          </w:tcPr>
          <w:tbl>
            <w:tblPr>
              <w:tblW w:w="81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84"/>
              <w:gridCol w:w="3773"/>
            </w:tblGrid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Gældende formulering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Lovforslaget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§ 1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BC49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I 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budget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lov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, jf. </w:t>
                  </w:r>
                  <w:r w:rsidR="00BC494A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lov nr. 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547</w:t>
                  </w:r>
                  <w:r w:rsidR="00BC494A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af 1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8</w:t>
                  </w:r>
                  <w:r w:rsidR="00BC494A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 juni 201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2,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foretages følgende ændring:</w:t>
                  </w:r>
                </w:p>
              </w:tc>
            </w:tr>
            <w:tr w:rsidR="003B1BCF" w:rsidRPr="003B1BCF">
              <w:trPr>
                <w:trHeight w:val="6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BC494A" w:rsidP="003B1BCF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§ 22</w:t>
                  </w:r>
                  <w:r w:rsidR="003B1BCF" w:rsidRPr="003B1BC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  <w:r w:rsidR="003B1BCF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Finansministeren fremsætter forslag om revision af loven i folketingsåret 2018-19</w:t>
                  </w:r>
                  <w:r w:rsidR="003B1BCF"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BC494A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1.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I </w:t>
                  </w:r>
                  <w:r w:rsidRPr="003B1BCF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 xml:space="preserve">§ </w:t>
                  </w:r>
                  <w:r w:rsidR="00BC494A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17"/>
                      <w:szCs w:val="17"/>
                      <w:lang w:eastAsia="da-DK"/>
                    </w:rPr>
                    <w:t>22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ændres »201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8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-1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9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« til: »20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19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-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20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«.</w:t>
                  </w:r>
                </w:p>
              </w:tc>
            </w:tr>
            <w:tr w:rsidR="003B1BCF" w:rsidRPr="003B1BC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  <w:lang w:eastAsia="da-DK"/>
                    </w:rPr>
                    <w:t>§ 2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  <w:tr w:rsidR="003B1BCF" w:rsidRPr="003B1BCF">
              <w:trPr>
                <w:trHeight w:val="6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BC494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Loven træder i kraft den 1. 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juni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 xml:space="preserve"> 201</w:t>
                  </w:r>
                  <w:r w:rsidR="00BC494A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9</w:t>
                  </w: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.</w:t>
                  </w:r>
                </w:p>
              </w:tc>
            </w:tr>
            <w:tr w:rsidR="003B1BCF" w:rsidRPr="003B1B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1BCF" w:rsidRPr="003B1BCF" w:rsidRDefault="003B1BCF" w:rsidP="003B1B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</w:pPr>
                  <w:r w:rsidRPr="003B1BC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da-DK"/>
                    </w:rPr>
                    <w:t> </w:t>
                  </w:r>
                </w:p>
              </w:tc>
            </w:tr>
          </w:tbl>
          <w:p w:rsidR="003B1BCF" w:rsidRPr="003B1BCF" w:rsidRDefault="003B1BCF" w:rsidP="003B1BCF">
            <w:pPr>
              <w:spacing w:before="20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da-DK"/>
              </w:rPr>
            </w:pPr>
          </w:p>
        </w:tc>
      </w:tr>
    </w:tbl>
    <w:p w:rsidR="00017050" w:rsidRDefault="00017050"/>
    <w:sectPr w:rsidR="000170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F"/>
    <w:rsid w:val="00007595"/>
    <w:rsid w:val="00017050"/>
    <w:rsid w:val="00026CEA"/>
    <w:rsid w:val="00031D02"/>
    <w:rsid w:val="00031F60"/>
    <w:rsid w:val="000333D9"/>
    <w:rsid w:val="00034A57"/>
    <w:rsid w:val="00040006"/>
    <w:rsid w:val="00041B03"/>
    <w:rsid w:val="000435A6"/>
    <w:rsid w:val="00047EAE"/>
    <w:rsid w:val="000507B2"/>
    <w:rsid w:val="00051674"/>
    <w:rsid w:val="00057DDA"/>
    <w:rsid w:val="000641E8"/>
    <w:rsid w:val="00076DF4"/>
    <w:rsid w:val="0008561B"/>
    <w:rsid w:val="00094EC8"/>
    <w:rsid w:val="000956DF"/>
    <w:rsid w:val="00097779"/>
    <w:rsid w:val="000A6B91"/>
    <w:rsid w:val="000A7BEC"/>
    <w:rsid w:val="000A7C34"/>
    <w:rsid w:val="000B5A6A"/>
    <w:rsid w:val="000B7DD2"/>
    <w:rsid w:val="000C0C9B"/>
    <w:rsid w:val="000C4FEE"/>
    <w:rsid w:val="000E129E"/>
    <w:rsid w:val="000E33E1"/>
    <w:rsid w:val="000E46AB"/>
    <w:rsid w:val="000E48DA"/>
    <w:rsid w:val="000E58AC"/>
    <w:rsid w:val="000F2FF2"/>
    <w:rsid w:val="000F6176"/>
    <w:rsid w:val="000F7B14"/>
    <w:rsid w:val="00100DE9"/>
    <w:rsid w:val="00101350"/>
    <w:rsid w:val="00125784"/>
    <w:rsid w:val="00126F72"/>
    <w:rsid w:val="00127B02"/>
    <w:rsid w:val="001333AD"/>
    <w:rsid w:val="001335D0"/>
    <w:rsid w:val="0013615D"/>
    <w:rsid w:val="00136651"/>
    <w:rsid w:val="00142F59"/>
    <w:rsid w:val="00147386"/>
    <w:rsid w:val="001625F3"/>
    <w:rsid w:val="00166135"/>
    <w:rsid w:val="00183016"/>
    <w:rsid w:val="00185EB6"/>
    <w:rsid w:val="0019131D"/>
    <w:rsid w:val="00191CC2"/>
    <w:rsid w:val="00192933"/>
    <w:rsid w:val="001A354A"/>
    <w:rsid w:val="001B2A3B"/>
    <w:rsid w:val="001C0FC6"/>
    <w:rsid w:val="001C10FE"/>
    <w:rsid w:val="001D10C1"/>
    <w:rsid w:val="001D2AA5"/>
    <w:rsid w:val="001F2D26"/>
    <w:rsid w:val="001F407C"/>
    <w:rsid w:val="001F6582"/>
    <w:rsid w:val="00203155"/>
    <w:rsid w:val="00203E65"/>
    <w:rsid w:val="002228CC"/>
    <w:rsid w:val="00225F1E"/>
    <w:rsid w:val="00230095"/>
    <w:rsid w:val="0023097B"/>
    <w:rsid w:val="0023454C"/>
    <w:rsid w:val="00245A3C"/>
    <w:rsid w:val="00247023"/>
    <w:rsid w:val="00250639"/>
    <w:rsid w:val="00251946"/>
    <w:rsid w:val="00252548"/>
    <w:rsid w:val="00252F4D"/>
    <w:rsid w:val="00253087"/>
    <w:rsid w:val="002568BC"/>
    <w:rsid w:val="002630CF"/>
    <w:rsid w:val="002642EE"/>
    <w:rsid w:val="00265F19"/>
    <w:rsid w:val="00266CAE"/>
    <w:rsid w:val="00267B2C"/>
    <w:rsid w:val="00271909"/>
    <w:rsid w:val="0027304F"/>
    <w:rsid w:val="002739DE"/>
    <w:rsid w:val="00275B1A"/>
    <w:rsid w:val="00284B74"/>
    <w:rsid w:val="002863CF"/>
    <w:rsid w:val="002906C5"/>
    <w:rsid w:val="002922BF"/>
    <w:rsid w:val="00293D56"/>
    <w:rsid w:val="0029539B"/>
    <w:rsid w:val="002A6A44"/>
    <w:rsid w:val="002B0651"/>
    <w:rsid w:val="002B0F00"/>
    <w:rsid w:val="002B12B0"/>
    <w:rsid w:val="002B1986"/>
    <w:rsid w:val="002B1D66"/>
    <w:rsid w:val="002B4B78"/>
    <w:rsid w:val="002B6619"/>
    <w:rsid w:val="002C038A"/>
    <w:rsid w:val="002C5BC9"/>
    <w:rsid w:val="002E077C"/>
    <w:rsid w:val="002E3BBD"/>
    <w:rsid w:val="002F0CDC"/>
    <w:rsid w:val="002F0FC2"/>
    <w:rsid w:val="002F4569"/>
    <w:rsid w:val="003006E6"/>
    <w:rsid w:val="003079D3"/>
    <w:rsid w:val="00317808"/>
    <w:rsid w:val="00320FBA"/>
    <w:rsid w:val="0032716B"/>
    <w:rsid w:val="003337AE"/>
    <w:rsid w:val="00340304"/>
    <w:rsid w:val="00340F37"/>
    <w:rsid w:val="003429B1"/>
    <w:rsid w:val="00342F77"/>
    <w:rsid w:val="00342FA2"/>
    <w:rsid w:val="0034456E"/>
    <w:rsid w:val="003463AC"/>
    <w:rsid w:val="00347129"/>
    <w:rsid w:val="0034763C"/>
    <w:rsid w:val="0035031B"/>
    <w:rsid w:val="00361E50"/>
    <w:rsid w:val="00362274"/>
    <w:rsid w:val="00362DA2"/>
    <w:rsid w:val="0037011E"/>
    <w:rsid w:val="0037113C"/>
    <w:rsid w:val="00374A45"/>
    <w:rsid w:val="0038704F"/>
    <w:rsid w:val="00394E27"/>
    <w:rsid w:val="00395A2E"/>
    <w:rsid w:val="00395BA4"/>
    <w:rsid w:val="0039710D"/>
    <w:rsid w:val="003A1295"/>
    <w:rsid w:val="003A211D"/>
    <w:rsid w:val="003A6854"/>
    <w:rsid w:val="003B001C"/>
    <w:rsid w:val="003B1168"/>
    <w:rsid w:val="003B1BCF"/>
    <w:rsid w:val="003B1F63"/>
    <w:rsid w:val="003B4B84"/>
    <w:rsid w:val="003C466F"/>
    <w:rsid w:val="003C55C2"/>
    <w:rsid w:val="003C6583"/>
    <w:rsid w:val="003D6356"/>
    <w:rsid w:val="003E2198"/>
    <w:rsid w:val="00403C11"/>
    <w:rsid w:val="004042BE"/>
    <w:rsid w:val="00417658"/>
    <w:rsid w:val="00424639"/>
    <w:rsid w:val="0043577E"/>
    <w:rsid w:val="00435A6B"/>
    <w:rsid w:val="004373B0"/>
    <w:rsid w:val="00442753"/>
    <w:rsid w:val="00444F4D"/>
    <w:rsid w:val="00451C2E"/>
    <w:rsid w:val="004522F7"/>
    <w:rsid w:val="0046124F"/>
    <w:rsid w:val="00461849"/>
    <w:rsid w:val="00461D76"/>
    <w:rsid w:val="00465CC3"/>
    <w:rsid w:val="004665E9"/>
    <w:rsid w:val="00472A68"/>
    <w:rsid w:val="00474867"/>
    <w:rsid w:val="00483AA2"/>
    <w:rsid w:val="004847BA"/>
    <w:rsid w:val="004853BD"/>
    <w:rsid w:val="004862B3"/>
    <w:rsid w:val="00486FFE"/>
    <w:rsid w:val="004926E2"/>
    <w:rsid w:val="004B041C"/>
    <w:rsid w:val="004B2DCA"/>
    <w:rsid w:val="004B53EC"/>
    <w:rsid w:val="004B5FFE"/>
    <w:rsid w:val="004B7E09"/>
    <w:rsid w:val="004C1660"/>
    <w:rsid w:val="004C20E9"/>
    <w:rsid w:val="004C2664"/>
    <w:rsid w:val="004C7605"/>
    <w:rsid w:val="004D30B0"/>
    <w:rsid w:val="004E05D3"/>
    <w:rsid w:val="004E4FB9"/>
    <w:rsid w:val="004E6E31"/>
    <w:rsid w:val="004E7B44"/>
    <w:rsid w:val="004F1D04"/>
    <w:rsid w:val="004F5E5E"/>
    <w:rsid w:val="004F6EBA"/>
    <w:rsid w:val="005010AE"/>
    <w:rsid w:val="0050686A"/>
    <w:rsid w:val="00507B07"/>
    <w:rsid w:val="005177E6"/>
    <w:rsid w:val="00521719"/>
    <w:rsid w:val="00522B78"/>
    <w:rsid w:val="00530434"/>
    <w:rsid w:val="00531C15"/>
    <w:rsid w:val="00531E62"/>
    <w:rsid w:val="005320E5"/>
    <w:rsid w:val="005349D2"/>
    <w:rsid w:val="00535AE0"/>
    <w:rsid w:val="0054350C"/>
    <w:rsid w:val="00543D5F"/>
    <w:rsid w:val="00543F1F"/>
    <w:rsid w:val="005534EF"/>
    <w:rsid w:val="0055437B"/>
    <w:rsid w:val="005653E8"/>
    <w:rsid w:val="005846EC"/>
    <w:rsid w:val="005A2DD3"/>
    <w:rsid w:val="005A47F5"/>
    <w:rsid w:val="005B5039"/>
    <w:rsid w:val="005B66C6"/>
    <w:rsid w:val="005B7633"/>
    <w:rsid w:val="005C0C54"/>
    <w:rsid w:val="005C6EE0"/>
    <w:rsid w:val="005D1485"/>
    <w:rsid w:val="005D58FC"/>
    <w:rsid w:val="005E1AB8"/>
    <w:rsid w:val="005E7279"/>
    <w:rsid w:val="005F33B2"/>
    <w:rsid w:val="005F35BB"/>
    <w:rsid w:val="005F6858"/>
    <w:rsid w:val="005F6A51"/>
    <w:rsid w:val="005F6D0D"/>
    <w:rsid w:val="006025AC"/>
    <w:rsid w:val="006103A5"/>
    <w:rsid w:val="00614E8D"/>
    <w:rsid w:val="00615E1B"/>
    <w:rsid w:val="00617F0C"/>
    <w:rsid w:val="00623B89"/>
    <w:rsid w:val="00625854"/>
    <w:rsid w:val="006344C2"/>
    <w:rsid w:val="0063620C"/>
    <w:rsid w:val="00636C25"/>
    <w:rsid w:val="0064033D"/>
    <w:rsid w:val="0064240D"/>
    <w:rsid w:val="00654323"/>
    <w:rsid w:val="00663832"/>
    <w:rsid w:val="0067135A"/>
    <w:rsid w:val="00671587"/>
    <w:rsid w:val="006757FA"/>
    <w:rsid w:val="006763FF"/>
    <w:rsid w:val="00685424"/>
    <w:rsid w:val="00690DE2"/>
    <w:rsid w:val="00692609"/>
    <w:rsid w:val="006933E8"/>
    <w:rsid w:val="006A1BDA"/>
    <w:rsid w:val="006A326D"/>
    <w:rsid w:val="006A703A"/>
    <w:rsid w:val="006B3D2F"/>
    <w:rsid w:val="006B4FDB"/>
    <w:rsid w:val="006C26FD"/>
    <w:rsid w:val="006D268D"/>
    <w:rsid w:val="006D6BDC"/>
    <w:rsid w:val="006D7292"/>
    <w:rsid w:val="006E2DDB"/>
    <w:rsid w:val="006E2F16"/>
    <w:rsid w:val="006E356A"/>
    <w:rsid w:val="006E4BAE"/>
    <w:rsid w:val="006E5C20"/>
    <w:rsid w:val="006F73EA"/>
    <w:rsid w:val="00701DC4"/>
    <w:rsid w:val="00712067"/>
    <w:rsid w:val="00713197"/>
    <w:rsid w:val="007139A8"/>
    <w:rsid w:val="00714587"/>
    <w:rsid w:val="00716386"/>
    <w:rsid w:val="00724A36"/>
    <w:rsid w:val="00726035"/>
    <w:rsid w:val="0073408D"/>
    <w:rsid w:val="00734E56"/>
    <w:rsid w:val="00740D6C"/>
    <w:rsid w:val="00740DBA"/>
    <w:rsid w:val="00741112"/>
    <w:rsid w:val="0074561C"/>
    <w:rsid w:val="00762617"/>
    <w:rsid w:val="00763F30"/>
    <w:rsid w:val="0077278A"/>
    <w:rsid w:val="0077356F"/>
    <w:rsid w:val="007757CD"/>
    <w:rsid w:val="00780A53"/>
    <w:rsid w:val="00783211"/>
    <w:rsid w:val="0078533C"/>
    <w:rsid w:val="00790DD1"/>
    <w:rsid w:val="0079161C"/>
    <w:rsid w:val="00793758"/>
    <w:rsid w:val="0079432D"/>
    <w:rsid w:val="007A7183"/>
    <w:rsid w:val="007B2A84"/>
    <w:rsid w:val="007B331F"/>
    <w:rsid w:val="007B6C56"/>
    <w:rsid w:val="007B7C4E"/>
    <w:rsid w:val="007C228A"/>
    <w:rsid w:val="007C2994"/>
    <w:rsid w:val="007C2D25"/>
    <w:rsid w:val="007C626F"/>
    <w:rsid w:val="007D2114"/>
    <w:rsid w:val="007D2C61"/>
    <w:rsid w:val="007D6698"/>
    <w:rsid w:val="007D7DFC"/>
    <w:rsid w:val="007E0641"/>
    <w:rsid w:val="007E0C8D"/>
    <w:rsid w:val="007E5771"/>
    <w:rsid w:val="007E7022"/>
    <w:rsid w:val="007F259E"/>
    <w:rsid w:val="007F63EA"/>
    <w:rsid w:val="00800FB7"/>
    <w:rsid w:val="0080281F"/>
    <w:rsid w:val="0082470F"/>
    <w:rsid w:val="00826BC2"/>
    <w:rsid w:val="00831A2E"/>
    <w:rsid w:val="008321CD"/>
    <w:rsid w:val="0083293C"/>
    <w:rsid w:val="0085205E"/>
    <w:rsid w:val="00855F79"/>
    <w:rsid w:val="00860A41"/>
    <w:rsid w:val="00871122"/>
    <w:rsid w:val="00873C7A"/>
    <w:rsid w:val="00874023"/>
    <w:rsid w:val="00874390"/>
    <w:rsid w:val="00874825"/>
    <w:rsid w:val="00875F74"/>
    <w:rsid w:val="00877311"/>
    <w:rsid w:val="0088632A"/>
    <w:rsid w:val="008A6B1A"/>
    <w:rsid w:val="008B26B1"/>
    <w:rsid w:val="008B40E3"/>
    <w:rsid w:val="008B59CA"/>
    <w:rsid w:val="008B6477"/>
    <w:rsid w:val="008B7BCA"/>
    <w:rsid w:val="008C0FBB"/>
    <w:rsid w:val="008D2134"/>
    <w:rsid w:val="008D4A33"/>
    <w:rsid w:val="008D7587"/>
    <w:rsid w:val="008E0868"/>
    <w:rsid w:val="008E2978"/>
    <w:rsid w:val="008E32F9"/>
    <w:rsid w:val="008E3B36"/>
    <w:rsid w:val="008E4A3A"/>
    <w:rsid w:val="008E4FC7"/>
    <w:rsid w:val="008F2207"/>
    <w:rsid w:val="008F3163"/>
    <w:rsid w:val="008F6763"/>
    <w:rsid w:val="0090163C"/>
    <w:rsid w:val="00903730"/>
    <w:rsid w:val="00905BD5"/>
    <w:rsid w:val="0090691D"/>
    <w:rsid w:val="009132ED"/>
    <w:rsid w:val="00916EEB"/>
    <w:rsid w:val="00917628"/>
    <w:rsid w:val="009214AC"/>
    <w:rsid w:val="00923533"/>
    <w:rsid w:val="00923B08"/>
    <w:rsid w:val="0092448D"/>
    <w:rsid w:val="00935C99"/>
    <w:rsid w:val="00937A58"/>
    <w:rsid w:val="00943D62"/>
    <w:rsid w:val="00944107"/>
    <w:rsid w:val="00954053"/>
    <w:rsid w:val="00954510"/>
    <w:rsid w:val="00963E6A"/>
    <w:rsid w:val="00975D6F"/>
    <w:rsid w:val="009773D3"/>
    <w:rsid w:val="0098093B"/>
    <w:rsid w:val="0098558C"/>
    <w:rsid w:val="00995F8D"/>
    <w:rsid w:val="009A092C"/>
    <w:rsid w:val="009A3529"/>
    <w:rsid w:val="009B25AF"/>
    <w:rsid w:val="009C0896"/>
    <w:rsid w:val="009C5A76"/>
    <w:rsid w:val="009D2859"/>
    <w:rsid w:val="009E07FA"/>
    <w:rsid w:val="009E0F89"/>
    <w:rsid w:val="009E43B9"/>
    <w:rsid w:val="009F7D3E"/>
    <w:rsid w:val="00A03271"/>
    <w:rsid w:val="00A14174"/>
    <w:rsid w:val="00A210AD"/>
    <w:rsid w:val="00A23AA6"/>
    <w:rsid w:val="00A40285"/>
    <w:rsid w:val="00A502D2"/>
    <w:rsid w:val="00A5164E"/>
    <w:rsid w:val="00A56B5D"/>
    <w:rsid w:val="00A56D49"/>
    <w:rsid w:val="00A6011E"/>
    <w:rsid w:val="00A65A5E"/>
    <w:rsid w:val="00A65E04"/>
    <w:rsid w:val="00A67A67"/>
    <w:rsid w:val="00A72DAF"/>
    <w:rsid w:val="00A74C27"/>
    <w:rsid w:val="00A7516C"/>
    <w:rsid w:val="00A77E45"/>
    <w:rsid w:val="00A87FD4"/>
    <w:rsid w:val="00A90CDD"/>
    <w:rsid w:val="00A91D76"/>
    <w:rsid w:val="00A9268E"/>
    <w:rsid w:val="00AA15F6"/>
    <w:rsid w:val="00AA7067"/>
    <w:rsid w:val="00AB43F6"/>
    <w:rsid w:val="00AC1787"/>
    <w:rsid w:val="00AC6CF8"/>
    <w:rsid w:val="00AC723E"/>
    <w:rsid w:val="00AD295A"/>
    <w:rsid w:val="00AD538F"/>
    <w:rsid w:val="00AD6BC8"/>
    <w:rsid w:val="00AE048A"/>
    <w:rsid w:val="00AE0EE7"/>
    <w:rsid w:val="00AE3631"/>
    <w:rsid w:val="00AF0AB4"/>
    <w:rsid w:val="00B04511"/>
    <w:rsid w:val="00B06797"/>
    <w:rsid w:val="00B06E71"/>
    <w:rsid w:val="00B07AD5"/>
    <w:rsid w:val="00B10001"/>
    <w:rsid w:val="00B117D0"/>
    <w:rsid w:val="00B1195C"/>
    <w:rsid w:val="00B142FE"/>
    <w:rsid w:val="00B15351"/>
    <w:rsid w:val="00B15F39"/>
    <w:rsid w:val="00B15FE5"/>
    <w:rsid w:val="00B25527"/>
    <w:rsid w:val="00B32EED"/>
    <w:rsid w:val="00B406CD"/>
    <w:rsid w:val="00B40C1F"/>
    <w:rsid w:val="00B411EA"/>
    <w:rsid w:val="00B41F5D"/>
    <w:rsid w:val="00B43917"/>
    <w:rsid w:val="00B46279"/>
    <w:rsid w:val="00B46B4C"/>
    <w:rsid w:val="00B478C2"/>
    <w:rsid w:val="00B501A5"/>
    <w:rsid w:val="00B5126D"/>
    <w:rsid w:val="00B64A63"/>
    <w:rsid w:val="00B674FA"/>
    <w:rsid w:val="00B70729"/>
    <w:rsid w:val="00B73017"/>
    <w:rsid w:val="00B76384"/>
    <w:rsid w:val="00B80B2A"/>
    <w:rsid w:val="00B814B9"/>
    <w:rsid w:val="00B82220"/>
    <w:rsid w:val="00B823E7"/>
    <w:rsid w:val="00B83D8E"/>
    <w:rsid w:val="00B83E60"/>
    <w:rsid w:val="00B83F26"/>
    <w:rsid w:val="00B8536A"/>
    <w:rsid w:val="00B92CCE"/>
    <w:rsid w:val="00BA03E9"/>
    <w:rsid w:val="00BA0FF9"/>
    <w:rsid w:val="00BA49E2"/>
    <w:rsid w:val="00BA56AD"/>
    <w:rsid w:val="00BB5608"/>
    <w:rsid w:val="00BC3379"/>
    <w:rsid w:val="00BC494A"/>
    <w:rsid w:val="00BD0259"/>
    <w:rsid w:val="00BD0552"/>
    <w:rsid w:val="00BD1CB5"/>
    <w:rsid w:val="00BD5058"/>
    <w:rsid w:val="00BE4A28"/>
    <w:rsid w:val="00BE54C6"/>
    <w:rsid w:val="00BF176C"/>
    <w:rsid w:val="00BF2626"/>
    <w:rsid w:val="00BF3B56"/>
    <w:rsid w:val="00BF62CC"/>
    <w:rsid w:val="00C00E0C"/>
    <w:rsid w:val="00C14F3C"/>
    <w:rsid w:val="00C23ABB"/>
    <w:rsid w:val="00C4202E"/>
    <w:rsid w:val="00C43221"/>
    <w:rsid w:val="00C438C7"/>
    <w:rsid w:val="00C452D5"/>
    <w:rsid w:val="00C52F58"/>
    <w:rsid w:val="00C53109"/>
    <w:rsid w:val="00C5475B"/>
    <w:rsid w:val="00C60BF6"/>
    <w:rsid w:val="00C61ED7"/>
    <w:rsid w:val="00C641B7"/>
    <w:rsid w:val="00C66131"/>
    <w:rsid w:val="00C66B5D"/>
    <w:rsid w:val="00C7021E"/>
    <w:rsid w:val="00C70C1C"/>
    <w:rsid w:val="00C72B27"/>
    <w:rsid w:val="00C75A5D"/>
    <w:rsid w:val="00C85E74"/>
    <w:rsid w:val="00CA1C43"/>
    <w:rsid w:val="00CA280B"/>
    <w:rsid w:val="00CA44F5"/>
    <w:rsid w:val="00CA66D5"/>
    <w:rsid w:val="00CA704C"/>
    <w:rsid w:val="00CB4581"/>
    <w:rsid w:val="00CB4C47"/>
    <w:rsid w:val="00CC1614"/>
    <w:rsid w:val="00CC4F42"/>
    <w:rsid w:val="00CC560E"/>
    <w:rsid w:val="00CC6DEB"/>
    <w:rsid w:val="00CD1472"/>
    <w:rsid w:val="00CD359A"/>
    <w:rsid w:val="00CD54F8"/>
    <w:rsid w:val="00CD6166"/>
    <w:rsid w:val="00CE2C19"/>
    <w:rsid w:val="00CE4A74"/>
    <w:rsid w:val="00CF0333"/>
    <w:rsid w:val="00CF202C"/>
    <w:rsid w:val="00CF2EF6"/>
    <w:rsid w:val="00CF37EE"/>
    <w:rsid w:val="00CF5E6C"/>
    <w:rsid w:val="00CF6C9A"/>
    <w:rsid w:val="00D02CB2"/>
    <w:rsid w:val="00D06E5E"/>
    <w:rsid w:val="00D11269"/>
    <w:rsid w:val="00D12E44"/>
    <w:rsid w:val="00D14FB6"/>
    <w:rsid w:val="00D20796"/>
    <w:rsid w:val="00D22AD0"/>
    <w:rsid w:val="00D22F25"/>
    <w:rsid w:val="00D26478"/>
    <w:rsid w:val="00D27946"/>
    <w:rsid w:val="00D33DC5"/>
    <w:rsid w:val="00D45D3C"/>
    <w:rsid w:val="00D45D56"/>
    <w:rsid w:val="00D51865"/>
    <w:rsid w:val="00D53EF3"/>
    <w:rsid w:val="00D57570"/>
    <w:rsid w:val="00D84755"/>
    <w:rsid w:val="00D945A0"/>
    <w:rsid w:val="00D974BF"/>
    <w:rsid w:val="00DA7AAD"/>
    <w:rsid w:val="00DB21BD"/>
    <w:rsid w:val="00DB3DB4"/>
    <w:rsid w:val="00DC02D4"/>
    <w:rsid w:val="00DC3E51"/>
    <w:rsid w:val="00DC7BF3"/>
    <w:rsid w:val="00DE3D38"/>
    <w:rsid w:val="00DE4E45"/>
    <w:rsid w:val="00DE58B6"/>
    <w:rsid w:val="00DE69BD"/>
    <w:rsid w:val="00DF2A9A"/>
    <w:rsid w:val="00DF5BD1"/>
    <w:rsid w:val="00E00F06"/>
    <w:rsid w:val="00E0151D"/>
    <w:rsid w:val="00E07CB4"/>
    <w:rsid w:val="00E10768"/>
    <w:rsid w:val="00E22235"/>
    <w:rsid w:val="00E246AD"/>
    <w:rsid w:val="00E251FE"/>
    <w:rsid w:val="00E322F5"/>
    <w:rsid w:val="00E41ED2"/>
    <w:rsid w:val="00E46BD5"/>
    <w:rsid w:val="00E60A66"/>
    <w:rsid w:val="00E66AD4"/>
    <w:rsid w:val="00E7378D"/>
    <w:rsid w:val="00E77A1F"/>
    <w:rsid w:val="00E82AE8"/>
    <w:rsid w:val="00E9205F"/>
    <w:rsid w:val="00E96C2F"/>
    <w:rsid w:val="00EA0ADA"/>
    <w:rsid w:val="00EA6C3D"/>
    <w:rsid w:val="00EB470E"/>
    <w:rsid w:val="00EC2F3A"/>
    <w:rsid w:val="00ED2793"/>
    <w:rsid w:val="00ED31B2"/>
    <w:rsid w:val="00EE7094"/>
    <w:rsid w:val="00EF52D4"/>
    <w:rsid w:val="00F0505C"/>
    <w:rsid w:val="00F1187C"/>
    <w:rsid w:val="00F131EC"/>
    <w:rsid w:val="00F1544F"/>
    <w:rsid w:val="00F15F05"/>
    <w:rsid w:val="00F16F30"/>
    <w:rsid w:val="00F170A9"/>
    <w:rsid w:val="00F2437A"/>
    <w:rsid w:val="00F25D0D"/>
    <w:rsid w:val="00F2759F"/>
    <w:rsid w:val="00F27B5B"/>
    <w:rsid w:val="00F3588D"/>
    <w:rsid w:val="00F36276"/>
    <w:rsid w:val="00F40E4B"/>
    <w:rsid w:val="00F6061D"/>
    <w:rsid w:val="00F6066E"/>
    <w:rsid w:val="00F63FD5"/>
    <w:rsid w:val="00F66ADF"/>
    <w:rsid w:val="00F750AA"/>
    <w:rsid w:val="00F81940"/>
    <w:rsid w:val="00F8694A"/>
    <w:rsid w:val="00F950DC"/>
    <w:rsid w:val="00F9598C"/>
    <w:rsid w:val="00F96BBD"/>
    <w:rsid w:val="00FA04B0"/>
    <w:rsid w:val="00FA5243"/>
    <w:rsid w:val="00FB10D6"/>
    <w:rsid w:val="00FB672E"/>
    <w:rsid w:val="00FC3FA2"/>
    <w:rsid w:val="00FC7E7A"/>
    <w:rsid w:val="00FD13C1"/>
    <w:rsid w:val="00FD1929"/>
    <w:rsid w:val="00FD32F5"/>
    <w:rsid w:val="00FD7074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">
    <w:name w:val="tekst"/>
    <w:basedOn w:val="Normal"/>
    <w:rsid w:val="00BE4A28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09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09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09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09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092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">
    <w:name w:val="tekst"/>
    <w:basedOn w:val="Normal"/>
    <w:rsid w:val="00BE4A28"/>
    <w:pPr>
      <w:spacing w:before="60" w:after="60" w:line="240" w:lineRule="auto"/>
      <w:ind w:firstLine="170"/>
      <w:jc w:val="both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092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092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09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092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092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397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7687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0488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60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066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253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88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8192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399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1301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035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0785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8999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66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926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1773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4262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29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2272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115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296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7669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1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73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76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361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64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7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7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94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5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584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444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808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Sellmer Sørensen</dc:creator>
  <cp:lastModifiedBy>Thomas Gloy</cp:lastModifiedBy>
  <cp:revision>6</cp:revision>
  <dcterms:created xsi:type="dcterms:W3CDTF">2019-02-22T14:03:00Z</dcterms:created>
  <dcterms:modified xsi:type="dcterms:W3CDTF">2019-03-11T09:40:00Z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