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2AE8" w14:textId="77777777" w:rsidR="0068266A" w:rsidRDefault="0068266A" w:rsidP="0068266A">
      <w:pPr>
        <w:pStyle w:val="titel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Bekendtgørelse </w:t>
      </w:r>
      <w:r w:rsidR="00CF79FD">
        <w:rPr>
          <w:sz w:val="28"/>
          <w:szCs w:val="28"/>
        </w:rPr>
        <w:t xml:space="preserve">om ændring af bekendtgørelse </w:t>
      </w:r>
      <w:r>
        <w:rPr>
          <w:sz w:val="28"/>
          <w:szCs w:val="28"/>
        </w:rPr>
        <w:t>om regulering af fiskeriet</w:t>
      </w:r>
    </w:p>
    <w:p w14:paraId="6A6FF7A5" w14:textId="77777777" w:rsidR="0068266A" w:rsidRDefault="00CF79FD" w:rsidP="0068266A">
      <w:pPr>
        <w:pStyle w:val="titel2"/>
        <w:rPr>
          <w:sz w:val="17"/>
          <w:szCs w:val="17"/>
        </w:rPr>
      </w:pPr>
      <w:r>
        <w:rPr>
          <w:sz w:val="17"/>
          <w:szCs w:val="17"/>
        </w:rPr>
        <w:t>(afsæt af mængder i kystfiskerordningerne til dækning af uundgåelige bifangster)</w:t>
      </w:r>
    </w:p>
    <w:p w14:paraId="647C6E53" w14:textId="77777777" w:rsidR="0068266A" w:rsidRPr="00CF79FD" w:rsidRDefault="00CF79FD" w:rsidP="0068266A">
      <w:pPr>
        <w:pStyle w:val="paragrafgruppeoverskrift"/>
        <w:rPr>
          <w:b/>
          <w:i w:val="0"/>
          <w:sz w:val="17"/>
          <w:szCs w:val="17"/>
        </w:rPr>
      </w:pPr>
      <w:r>
        <w:rPr>
          <w:b/>
          <w:i w:val="0"/>
          <w:sz w:val="17"/>
          <w:szCs w:val="17"/>
        </w:rPr>
        <w:t>§ 1</w:t>
      </w:r>
    </w:p>
    <w:p w14:paraId="14A149E3" w14:textId="77777777" w:rsidR="0068266A" w:rsidRDefault="00CF79FD" w:rsidP="0068266A">
      <w:pPr>
        <w:pStyle w:val="paragraf"/>
        <w:rPr>
          <w:sz w:val="17"/>
          <w:szCs w:val="17"/>
        </w:rPr>
      </w:pPr>
      <w:r>
        <w:rPr>
          <w:sz w:val="17"/>
          <w:szCs w:val="17"/>
        </w:rPr>
        <w:t>I bekendtgørelse nr. 1270 af 30. oktober 2018 om regulering af fiskeriet, foretages følgende ændringer:</w:t>
      </w:r>
    </w:p>
    <w:p w14:paraId="0A9C33E1" w14:textId="77777777" w:rsidR="00CF79FD" w:rsidRPr="00CF79FD" w:rsidRDefault="00CF79FD" w:rsidP="0068266A">
      <w:pPr>
        <w:pStyle w:val="paragraf"/>
        <w:rPr>
          <w:sz w:val="17"/>
          <w:szCs w:val="17"/>
        </w:rPr>
      </w:pPr>
    </w:p>
    <w:p w14:paraId="257EEADF" w14:textId="77777777" w:rsidR="001B1691" w:rsidRDefault="00CF79FD" w:rsidP="0068266A">
      <w:pPr>
        <w:pStyle w:val="stk2"/>
        <w:rPr>
          <w:rStyle w:val="stknr1"/>
          <w:i w:val="0"/>
          <w:sz w:val="17"/>
          <w:szCs w:val="17"/>
        </w:rPr>
      </w:pPr>
      <w:r>
        <w:rPr>
          <w:rStyle w:val="stknr1"/>
          <w:b/>
          <w:sz w:val="17"/>
          <w:szCs w:val="17"/>
        </w:rPr>
        <w:t>1.</w:t>
      </w:r>
      <w:r>
        <w:rPr>
          <w:rStyle w:val="stknr1"/>
          <w:sz w:val="17"/>
          <w:szCs w:val="17"/>
        </w:rPr>
        <w:t xml:space="preserve"> </w:t>
      </w:r>
      <w:r w:rsidR="001B1691">
        <w:rPr>
          <w:rStyle w:val="stknr1"/>
          <w:i w:val="0"/>
          <w:sz w:val="17"/>
          <w:szCs w:val="17"/>
        </w:rPr>
        <w:t xml:space="preserve">I </w:t>
      </w:r>
      <w:r w:rsidR="001B1691">
        <w:rPr>
          <w:rStyle w:val="stknr1"/>
          <w:sz w:val="17"/>
          <w:szCs w:val="17"/>
        </w:rPr>
        <w:t xml:space="preserve">§ </w:t>
      </w:r>
      <w:r w:rsidR="00F86A7D">
        <w:rPr>
          <w:rStyle w:val="stknr1"/>
          <w:sz w:val="17"/>
          <w:szCs w:val="17"/>
        </w:rPr>
        <w:t>7</w:t>
      </w:r>
      <w:r w:rsidR="005E6E87">
        <w:rPr>
          <w:rStyle w:val="stknr1"/>
          <w:sz w:val="17"/>
          <w:szCs w:val="17"/>
        </w:rPr>
        <w:t>4</w:t>
      </w:r>
      <w:r w:rsidR="001B1691">
        <w:rPr>
          <w:rStyle w:val="stknr1"/>
          <w:i w:val="0"/>
          <w:sz w:val="17"/>
          <w:szCs w:val="17"/>
        </w:rPr>
        <w:t xml:space="preserve"> indsættes som </w:t>
      </w:r>
      <w:r w:rsidR="001B1691">
        <w:rPr>
          <w:rStyle w:val="stknr1"/>
          <w:sz w:val="17"/>
          <w:szCs w:val="17"/>
        </w:rPr>
        <w:t xml:space="preserve">stk. </w:t>
      </w:r>
      <w:r w:rsidR="005E6E87">
        <w:rPr>
          <w:rStyle w:val="stknr1"/>
          <w:sz w:val="17"/>
          <w:szCs w:val="17"/>
        </w:rPr>
        <w:t>6</w:t>
      </w:r>
      <w:r w:rsidR="001B1691">
        <w:rPr>
          <w:rStyle w:val="stknr1"/>
          <w:i w:val="0"/>
          <w:sz w:val="17"/>
          <w:szCs w:val="17"/>
        </w:rPr>
        <w:t xml:space="preserve">: </w:t>
      </w:r>
    </w:p>
    <w:p w14:paraId="11054654" w14:textId="147FD2FE" w:rsidR="00F86A7D" w:rsidRDefault="00CF79FD" w:rsidP="0068266A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»</w:t>
      </w:r>
      <w:r w:rsidR="0068266A">
        <w:rPr>
          <w:rStyle w:val="stknr1"/>
          <w:sz w:val="17"/>
          <w:szCs w:val="17"/>
        </w:rPr>
        <w:t xml:space="preserve">Stk. </w:t>
      </w:r>
      <w:r w:rsidR="00DF3A91">
        <w:rPr>
          <w:rStyle w:val="stknr1"/>
          <w:sz w:val="17"/>
          <w:szCs w:val="17"/>
        </w:rPr>
        <w:t>6</w:t>
      </w:r>
      <w:r w:rsidR="0068266A">
        <w:rPr>
          <w:rStyle w:val="stknr1"/>
          <w:sz w:val="17"/>
          <w:szCs w:val="17"/>
        </w:rPr>
        <w:t>.</w:t>
      </w:r>
      <w:r w:rsidR="0068266A">
        <w:rPr>
          <w:sz w:val="17"/>
          <w:szCs w:val="17"/>
        </w:rPr>
        <w:t xml:space="preserve"> </w:t>
      </w:r>
      <w:r w:rsidR="005E6E87">
        <w:rPr>
          <w:sz w:val="17"/>
          <w:szCs w:val="17"/>
        </w:rPr>
        <w:t xml:space="preserve">Forud for tildeling af ekstra årsmængder, jf. stk. 1, </w:t>
      </w:r>
      <w:r w:rsidR="00F86A7D">
        <w:rPr>
          <w:sz w:val="17"/>
          <w:szCs w:val="17"/>
        </w:rPr>
        <w:t xml:space="preserve">afsættes følgende </w:t>
      </w:r>
      <w:r w:rsidR="00DF3A91">
        <w:rPr>
          <w:sz w:val="17"/>
          <w:szCs w:val="17"/>
        </w:rPr>
        <w:t xml:space="preserve">af de i § 73, stk. 1, nævnte mængder </w:t>
      </w:r>
      <w:r w:rsidR="00F86A7D">
        <w:rPr>
          <w:sz w:val="17"/>
          <w:szCs w:val="17"/>
        </w:rPr>
        <w:t xml:space="preserve">til </w:t>
      </w:r>
      <w:r w:rsidR="006C28C8">
        <w:rPr>
          <w:sz w:val="17"/>
          <w:szCs w:val="17"/>
        </w:rPr>
        <w:t xml:space="preserve">utilsigtede </w:t>
      </w:r>
      <w:r w:rsidR="00F86A7D">
        <w:rPr>
          <w:sz w:val="17"/>
          <w:szCs w:val="17"/>
        </w:rPr>
        <w:t>bifangster</w:t>
      </w:r>
      <w:r w:rsidR="000C2A62">
        <w:rPr>
          <w:sz w:val="17"/>
          <w:szCs w:val="17"/>
        </w:rPr>
        <w:t xml:space="preserve"> for fartøjer med FKA-kystfiskerstatus, jf. § 79</w:t>
      </w:r>
      <w:r w:rsidR="00F86A7D">
        <w:rPr>
          <w:sz w:val="17"/>
          <w:szCs w:val="17"/>
        </w:rPr>
        <w:t>:</w:t>
      </w:r>
    </w:p>
    <w:p w14:paraId="1267CBC7" w14:textId="77777777" w:rsidR="00F86A7D" w:rsidRDefault="00250922" w:rsidP="00F86A7D">
      <w:pPr>
        <w:pStyle w:val="stk2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1 % af torsk i Nordsøen.</w:t>
      </w:r>
    </w:p>
    <w:p w14:paraId="33013ACE" w14:textId="77777777" w:rsidR="00250922" w:rsidRDefault="00250922" w:rsidP="00F86A7D">
      <w:pPr>
        <w:pStyle w:val="stk2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1 % af torsk i Kattegat.</w:t>
      </w:r>
    </w:p>
    <w:p w14:paraId="5139BC70" w14:textId="77777777" w:rsidR="00250922" w:rsidRDefault="00250922" w:rsidP="00F86A7D">
      <w:pPr>
        <w:pStyle w:val="stk2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1 % af torsk i Skagerrak.</w:t>
      </w:r>
    </w:p>
    <w:p w14:paraId="2EFEF918" w14:textId="77777777" w:rsidR="00250922" w:rsidRDefault="00250922" w:rsidP="00F86A7D">
      <w:pPr>
        <w:pStyle w:val="stk2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1 % af torsk i Østersøen og Bælterne, ICES-underområder 22-24.</w:t>
      </w:r>
    </w:p>
    <w:p w14:paraId="06A6D07C" w14:textId="77777777" w:rsidR="00E67BB9" w:rsidRDefault="00E67BB9" w:rsidP="00F86A7D">
      <w:pPr>
        <w:pStyle w:val="stk2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1 % af torsk i Østersøen, ICES-underområder 25-32.</w:t>
      </w:r>
    </w:p>
    <w:p w14:paraId="4898D274" w14:textId="77777777" w:rsidR="00E67BB9" w:rsidRDefault="00E67BB9" w:rsidP="00F86A7D">
      <w:pPr>
        <w:pStyle w:val="stk2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1 % af tunge i Skagerrak, Kattegat samt Østersøen og Bælterne.</w:t>
      </w:r>
    </w:p>
    <w:p w14:paraId="29CE88D4" w14:textId="77777777" w:rsidR="0068266A" w:rsidRDefault="00E67BB9" w:rsidP="00F86A7D">
      <w:pPr>
        <w:pStyle w:val="stk2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1 % af tunge i Nordsøen (EU-farvande).</w:t>
      </w:r>
      <w:r w:rsidR="00F86A7D" w:rsidRPr="00FD6B5B">
        <w:rPr>
          <w:i/>
          <w:sz w:val="17"/>
          <w:szCs w:val="17"/>
        </w:rPr>
        <w:t>«</w:t>
      </w:r>
    </w:p>
    <w:p w14:paraId="7363FAF0" w14:textId="77777777" w:rsidR="00F86A7D" w:rsidRDefault="00F86A7D" w:rsidP="00F86A7D">
      <w:pPr>
        <w:pStyle w:val="stk2"/>
        <w:rPr>
          <w:i/>
          <w:sz w:val="17"/>
          <w:szCs w:val="17"/>
        </w:rPr>
      </w:pPr>
    </w:p>
    <w:p w14:paraId="5D9EC5CB" w14:textId="77777777" w:rsidR="002478DD" w:rsidRDefault="002478DD" w:rsidP="002478DD">
      <w:pPr>
        <w:pStyle w:val="stk2"/>
        <w:rPr>
          <w:rStyle w:val="stknr1"/>
          <w:i w:val="0"/>
          <w:sz w:val="17"/>
          <w:szCs w:val="17"/>
        </w:rPr>
      </w:pPr>
      <w:r>
        <w:rPr>
          <w:rStyle w:val="stknr1"/>
          <w:b/>
          <w:sz w:val="17"/>
          <w:szCs w:val="17"/>
        </w:rPr>
        <w:t>2.</w:t>
      </w:r>
      <w:r>
        <w:rPr>
          <w:rStyle w:val="stknr1"/>
          <w:sz w:val="17"/>
          <w:szCs w:val="17"/>
        </w:rPr>
        <w:t xml:space="preserve"> </w:t>
      </w:r>
      <w:r>
        <w:rPr>
          <w:rStyle w:val="stknr1"/>
          <w:i w:val="0"/>
          <w:sz w:val="17"/>
          <w:szCs w:val="17"/>
        </w:rPr>
        <w:t xml:space="preserve">I </w:t>
      </w:r>
      <w:r>
        <w:rPr>
          <w:rStyle w:val="stknr1"/>
          <w:sz w:val="17"/>
          <w:szCs w:val="17"/>
        </w:rPr>
        <w:t>§ 74</w:t>
      </w:r>
      <w:r>
        <w:rPr>
          <w:rStyle w:val="stknr1"/>
          <w:i w:val="0"/>
          <w:sz w:val="17"/>
          <w:szCs w:val="17"/>
        </w:rPr>
        <w:t xml:space="preserve"> indsættes som </w:t>
      </w:r>
      <w:r>
        <w:rPr>
          <w:rStyle w:val="stknr1"/>
          <w:sz w:val="17"/>
          <w:szCs w:val="17"/>
        </w:rPr>
        <w:t>stk. 7</w:t>
      </w:r>
      <w:r>
        <w:rPr>
          <w:rStyle w:val="stknr1"/>
          <w:i w:val="0"/>
          <w:sz w:val="17"/>
          <w:szCs w:val="17"/>
        </w:rPr>
        <w:t xml:space="preserve">: </w:t>
      </w:r>
    </w:p>
    <w:p w14:paraId="2F16D949" w14:textId="06CE1339" w:rsidR="00FD6B5B" w:rsidRPr="00FD6B5B" w:rsidRDefault="002478DD" w:rsidP="00FD6B5B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»Stk. 7.</w:t>
      </w:r>
      <w:r>
        <w:rPr>
          <w:sz w:val="17"/>
          <w:szCs w:val="17"/>
        </w:rPr>
        <w:t xml:space="preserve"> </w:t>
      </w:r>
      <w:r w:rsidR="00FD6B5B">
        <w:rPr>
          <w:sz w:val="17"/>
          <w:szCs w:val="17"/>
        </w:rPr>
        <w:t xml:space="preserve">Ejere af fartøjer tilmeldt den tidsubegrænsede kystfiskerordning, jf. § 79, kan ansøge Fiskeristyrelsen om optagelse på følgende licenslister, for fra tidspunktet for optagelsen på licenslisten at kunne afskrive </w:t>
      </w:r>
      <w:r w:rsidR="006C28C8">
        <w:rPr>
          <w:sz w:val="17"/>
          <w:szCs w:val="17"/>
        </w:rPr>
        <w:t xml:space="preserve">utilsigtede </w:t>
      </w:r>
      <w:r w:rsidR="00FD6B5B">
        <w:rPr>
          <w:sz w:val="17"/>
          <w:szCs w:val="17"/>
        </w:rPr>
        <w:t>bifangster, jf. stk. 6:</w:t>
      </w:r>
    </w:p>
    <w:p w14:paraId="1A9A8583" w14:textId="2AC426FC" w:rsidR="00FD6B5B" w:rsidRPr="00FD6B5B" w:rsidRDefault="00FD6B5B" w:rsidP="00FD6B5B">
      <w:pPr>
        <w:pStyle w:val="Default"/>
        <w:numPr>
          <w:ilvl w:val="0"/>
          <w:numId w:val="2"/>
        </w:numPr>
        <w:rPr>
          <w:rFonts w:ascii="Tahoma" w:hAnsi="Tahoma" w:cs="Tahoma"/>
          <w:sz w:val="17"/>
          <w:szCs w:val="17"/>
        </w:rPr>
      </w:pPr>
      <w:r w:rsidRPr="00FD6B5B">
        <w:rPr>
          <w:rFonts w:ascii="Tahoma" w:hAnsi="Tahoma" w:cs="Tahoma"/>
          <w:sz w:val="17"/>
          <w:szCs w:val="17"/>
        </w:rPr>
        <w:t xml:space="preserve">Licensliste nr. 1703: Afskrivning af </w:t>
      </w:r>
      <w:r w:rsidR="006C28C8">
        <w:rPr>
          <w:rFonts w:ascii="Tahoma" w:hAnsi="Tahoma" w:cs="Tahoma"/>
          <w:sz w:val="17"/>
          <w:szCs w:val="17"/>
        </w:rPr>
        <w:t>utilsigtede</w:t>
      </w:r>
      <w:r w:rsidR="006C28C8" w:rsidRPr="00FD6B5B">
        <w:rPr>
          <w:rFonts w:ascii="Tahoma" w:hAnsi="Tahoma" w:cs="Tahoma"/>
          <w:sz w:val="17"/>
          <w:szCs w:val="17"/>
        </w:rPr>
        <w:t xml:space="preserve"> </w:t>
      </w:r>
      <w:r w:rsidRPr="00FD6B5B">
        <w:rPr>
          <w:rFonts w:ascii="Tahoma" w:hAnsi="Tahoma" w:cs="Tahoma"/>
          <w:sz w:val="17"/>
          <w:szCs w:val="17"/>
        </w:rPr>
        <w:t>bifangster af torsk i Nordsøen (2A3AX4) for kystfiskerfartøjer tilmeldt den ti</w:t>
      </w:r>
      <w:r>
        <w:rPr>
          <w:rFonts w:ascii="Tahoma" w:hAnsi="Tahoma" w:cs="Tahoma"/>
          <w:sz w:val="17"/>
          <w:szCs w:val="17"/>
        </w:rPr>
        <w:t>dsubegrænsede kystfiskerordning.</w:t>
      </w:r>
    </w:p>
    <w:p w14:paraId="3500AAB6" w14:textId="77777777" w:rsidR="00FD6B5B" w:rsidRPr="00FD6B5B" w:rsidRDefault="00FD6B5B" w:rsidP="00FD6B5B">
      <w:pPr>
        <w:pStyle w:val="Default"/>
        <w:numPr>
          <w:ilvl w:val="0"/>
          <w:numId w:val="2"/>
        </w:numPr>
        <w:rPr>
          <w:rFonts w:ascii="Tahoma" w:hAnsi="Tahoma" w:cs="Tahoma"/>
          <w:sz w:val="17"/>
          <w:szCs w:val="17"/>
        </w:rPr>
      </w:pPr>
      <w:r w:rsidRPr="00FD6B5B">
        <w:rPr>
          <w:rFonts w:ascii="Tahoma" w:hAnsi="Tahoma" w:cs="Tahoma"/>
          <w:sz w:val="17"/>
          <w:szCs w:val="17"/>
        </w:rPr>
        <w:t>Licensliste nr. 1704: Afskrivning af uundgåelige bifangster af torsk i Kattegat (3AS) for kystfiskerfartøjer tilmeldt den tidsubegrænsede kystfiskerordning</w:t>
      </w:r>
      <w:r>
        <w:rPr>
          <w:rFonts w:ascii="Tahoma" w:hAnsi="Tahoma" w:cs="Tahoma"/>
          <w:sz w:val="17"/>
          <w:szCs w:val="17"/>
        </w:rPr>
        <w:t>.</w:t>
      </w:r>
      <w:r w:rsidRPr="00FD6B5B">
        <w:rPr>
          <w:rFonts w:ascii="Tahoma" w:hAnsi="Tahoma" w:cs="Tahoma"/>
          <w:sz w:val="17"/>
          <w:szCs w:val="17"/>
        </w:rPr>
        <w:t xml:space="preserve"> </w:t>
      </w:r>
    </w:p>
    <w:p w14:paraId="75A1E3D4" w14:textId="42184AA4" w:rsidR="00FD6B5B" w:rsidRPr="00FD6B5B" w:rsidRDefault="00FD6B5B" w:rsidP="00FD6B5B">
      <w:pPr>
        <w:pStyle w:val="Default"/>
        <w:numPr>
          <w:ilvl w:val="0"/>
          <w:numId w:val="2"/>
        </w:numPr>
        <w:rPr>
          <w:rFonts w:ascii="Tahoma" w:hAnsi="Tahoma" w:cs="Tahoma"/>
          <w:sz w:val="17"/>
          <w:szCs w:val="17"/>
        </w:rPr>
      </w:pPr>
      <w:r w:rsidRPr="00FD6B5B">
        <w:rPr>
          <w:rFonts w:ascii="Tahoma" w:hAnsi="Tahoma" w:cs="Tahoma"/>
          <w:sz w:val="17"/>
          <w:szCs w:val="17"/>
        </w:rPr>
        <w:t xml:space="preserve">Licensliste nr. 1705: Afskrivning af </w:t>
      </w:r>
      <w:r w:rsidR="006C28C8">
        <w:rPr>
          <w:rFonts w:ascii="Tahoma" w:hAnsi="Tahoma" w:cs="Tahoma"/>
          <w:sz w:val="17"/>
          <w:szCs w:val="17"/>
        </w:rPr>
        <w:t>utilsigtede</w:t>
      </w:r>
      <w:r w:rsidRPr="00FD6B5B">
        <w:rPr>
          <w:rFonts w:ascii="Tahoma" w:hAnsi="Tahoma" w:cs="Tahoma"/>
          <w:sz w:val="17"/>
          <w:szCs w:val="17"/>
        </w:rPr>
        <w:t xml:space="preserve"> bifangster af torsk i Skagerrak (3AN) for kystfiskerfartøjer tilmeldt den tidsubegrænsede kystfiskerordning</w:t>
      </w:r>
      <w:r>
        <w:rPr>
          <w:rFonts w:ascii="Tahoma" w:hAnsi="Tahoma" w:cs="Tahoma"/>
          <w:sz w:val="17"/>
          <w:szCs w:val="17"/>
        </w:rPr>
        <w:t>.</w:t>
      </w:r>
      <w:r w:rsidRPr="00FD6B5B">
        <w:rPr>
          <w:rFonts w:ascii="Tahoma" w:hAnsi="Tahoma" w:cs="Tahoma"/>
          <w:sz w:val="17"/>
          <w:szCs w:val="17"/>
        </w:rPr>
        <w:t xml:space="preserve"> </w:t>
      </w:r>
    </w:p>
    <w:p w14:paraId="5EAE2271" w14:textId="38F45F27" w:rsidR="00FD6B5B" w:rsidRPr="00FD6B5B" w:rsidRDefault="00FD6B5B" w:rsidP="00FD6B5B">
      <w:pPr>
        <w:pStyle w:val="Default"/>
        <w:numPr>
          <w:ilvl w:val="0"/>
          <w:numId w:val="2"/>
        </w:numPr>
        <w:rPr>
          <w:rFonts w:ascii="Tahoma" w:hAnsi="Tahoma" w:cs="Tahoma"/>
          <w:sz w:val="17"/>
          <w:szCs w:val="17"/>
        </w:rPr>
      </w:pPr>
      <w:r w:rsidRPr="00FD6B5B">
        <w:rPr>
          <w:rFonts w:ascii="Tahoma" w:hAnsi="Tahoma" w:cs="Tahoma"/>
          <w:sz w:val="17"/>
          <w:szCs w:val="17"/>
        </w:rPr>
        <w:t xml:space="preserve">Licensliste nr. 1706: Afskrivning af </w:t>
      </w:r>
      <w:r w:rsidR="006C28C8">
        <w:rPr>
          <w:rFonts w:ascii="Tahoma" w:hAnsi="Tahoma" w:cs="Tahoma"/>
          <w:sz w:val="17"/>
          <w:szCs w:val="17"/>
        </w:rPr>
        <w:t>utilsigtede</w:t>
      </w:r>
      <w:r w:rsidRPr="00FD6B5B">
        <w:rPr>
          <w:rFonts w:ascii="Tahoma" w:hAnsi="Tahoma" w:cs="Tahoma"/>
          <w:sz w:val="17"/>
          <w:szCs w:val="17"/>
        </w:rPr>
        <w:t xml:space="preserve"> bifangster af torsk i vestlige Østersø (3BC+24) for kystfiskerfartøjer tilmeldt den ti</w:t>
      </w:r>
      <w:r>
        <w:rPr>
          <w:rFonts w:ascii="Tahoma" w:hAnsi="Tahoma" w:cs="Tahoma"/>
          <w:sz w:val="17"/>
          <w:szCs w:val="17"/>
        </w:rPr>
        <w:t>dsubegrænsede kystfiskerordning.</w:t>
      </w:r>
    </w:p>
    <w:p w14:paraId="596C2E94" w14:textId="11F33263" w:rsidR="00FD6B5B" w:rsidRPr="00FD6B5B" w:rsidRDefault="00FD6B5B" w:rsidP="00FD6B5B">
      <w:pPr>
        <w:pStyle w:val="Default"/>
        <w:numPr>
          <w:ilvl w:val="0"/>
          <w:numId w:val="2"/>
        </w:numPr>
        <w:rPr>
          <w:rFonts w:ascii="Tahoma" w:hAnsi="Tahoma" w:cs="Tahoma"/>
          <w:sz w:val="17"/>
          <w:szCs w:val="17"/>
        </w:rPr>
      </w:pPr>
      <w:r w:rsidRPr="00FD6B5B">
        <w:rPr>
          <w:rFonts w:ascii="Tahoma" w:hAnsi="Tahoma" w:cs="Tahoma"/>
          <w:sz w:val="17"/>
          <w:szCs w:val="17"/>
        </w:rPr>
        <w:t xml:space="preserve">Licensliste nr. 1707: Afskrivning af </w:t>
      </w:r>
      <w:r w:rsidR="006C28C8">
        <w:rPr>
          <w:rFonts w:ascii="Tahoma" w:hAnsi="Tahoma" w:cs="Tahoma"/>
          <w:sz w:val="17"/>
          <w:szCs w:val="17"/>
        </w:rPr>
        <w:t>utilsigtede</w:t>
      </w:r>
      <w:r w:rsidRPr="00FD6B5B">
        <w:rPr>
          <w:rFonts w:ascii="Tahoma" w:hAnsi="Tahoma" w:cs="Tahoma"/>
          <w:sz w:val="17"/>
          <w:szCs w:val="17"/>
        </w:rPr>
        <w:t xml:space="preserve"> bifangster af torsk i østlige Østersø (3DX32) for kystfiskerfartøjer tilmeldt den ti</w:t>
      </w:r>
      <w:r>
        <w:rPr>
          <w:rFonts w:ascii="Tahoma" w:hAnsi="Tahoma" w:cs="Tahoma"/>
          <w:sz w:val="17"/>
          <w:szCs w:val="17"/>
        </w:rPr>
        <w:t>dsubegrænsede kystfiskerordning.</w:t>
      </w:r>
    </w:p>
    <w:p w14:paraId="2643C254" w14:textId="39E0C3ED" w:rsidR="00FD6B5B" w:rsidRPr="00FD6B5B" w:rsidRDefault="00FD6B5B" w:rsidP="00FD6B5B">
      <w:pPr>
        <w:pStyle w:val="Default"/>
        <w:numPr>
          <w:ilvl w:val="0"/>
          <w:numId w:val="2"/>
        </w:numPr>
        <w:rPr>
          <w:rFonts w:ascii="Tahoma" w:hAnsi="Tahoma" w:cs="Tahoma"/>
          <w:sz w:val="17"/>
          <w:szCs w:val="17"/>
        </w:rPr>
      </w:pPr>
      <w:r w:rsidRPr="00FD6B5B">
        <w:rPr>
          <w:rFonts w:ascii="Tahoma" w:hAnsi="Tahoma" w:cs="Tahoma"/>
          <w:sz w:val="17"/>
          <w:szCs w:val="17"/>
        </w:rPr>
        <w:t xml:space="preserve">Licensliste nr. 1708: Afskrivning af </w:t>
      </w:r>
      <w:r w:rsidR="006C28C8">
        <w:rPr>
          <w:rFonts w:ascii="Tahoma" w:hAnsi="Tahoma" w:cs="Tahoma"/>
          <w:sz w:val="17"/>
          <w:szCs w:val="17"/>
        </w:rPr>
        <w:t>utilsigtede</w:t>
      </w:r>
      <w:r w:rsidRPr="00FD6B5B">
        <w:rPr>
          <w:rFonts w:ascii="Tahoma" w:hAnsi="Tahoma" w:cs="Tahoma"/>
          <w:sz w:val="17"/>
          <w:szCs w:val="17"/>
        </w:rPr>
        <w:t xml:space="preserve"> bifangster af tunge i Skagerrak, Kattegat og Østersøen (3ABC24) for kystfiskerfartøjer tilmeldt den tidsubegrænsede kystfiskerordning</w:t>
      </w:r>
      <w:r>
        <w:rPr>
          <w:rFonts w:ascii="Tahoma" w:hAnsi="Tahoma" w:cs="Tahoma"/>
          <w:sz w:val="17"/>
          <w:szCs w:val="17"/>
        </w:rPr>
        <w:t>.</w:t>
      </w:r>
      <w:r w:rsidRPr="00FD6B5B">
        <w:rPr>
          <w:rFonts w:ascii="Tahoma" w:hAnsi="Tahoma" w:cs="Tahoma"/>
          <w:sz w:val="17"/>
          <w:szCs w:val="17"/>
        </w:rPr>
        <w:t xml:space="preserve"> </w:t>
      </w:r>
    </w:p>
    <w:p w14:paraId="1082CCD6" w14:textId="7EC92B44" w:rsidR="002478DD" w:rsidRPr="000C425B" w:rsidRDefault="00FD6B5B" w:rsidP="00FD6B5B">
      <w:pPr>
        <w:pStyle w:val="Default"/>
        <w:numPr>
          <w:ilvl w:val="0"/>
          <w:numId w:val="2"/>
        </w:numPr>
        <w:rPr>
          <w:rFonts w:ascii="Tahoma" w:hAnsi="Tahoma" w:cs="Tahoma"/>
          <w:sz w:val="17"/>
          <w:szCs w:val="17"/>
        </w:rPr>
      </w:pPr>
      <w:r w:rsidRPr="00FD6B5B">
        <w:rPr>
          <w:rFonts w:ascii="Tahoma" w:hAnsi="Tahoma" w:cs="Tahoma"/>
          <w:sz w:val="17"/>
          <w:szCs w:val="17"/>
        </w:rPr>
        <w:t xml:space="preserve">Licensliste nr. 1709: Afskrivning af </w:t>
      </w:r>
      <w:r w:rsidR="006C28C8">
        <w:rPr>
          <w:rFonts w:ascii="Tahoma" w:hAnsi="Tahoma" w:cs="Tahoma"/>
          <w:sz w:val="17"/>
          <w:szCs w:val="17"/>
        </w:rPr>
        <w:t>utilsigtede</w:t>
      </w:r>
      <w:r w:rsidRPr="00FD6B5B">
        <w:rPr>
          <w:rFonts w:ascii="Tahoma" w:hAnsi="Tahoma" w:cs="Tahoma"/>
          <w:sz w:val="17"/>
          <w:szCs w:val="17"/>
        </w:rPr>
        <w:t xml:space="preserve"> bifangster af tunge i Nordsøen (24-C) for kystfiskerfartøjer tilmeldt den tidsubegrænsede kystfiskerordning</w:t>
      </w:r>
      <w:r w:rsidR="002478DD" w:rsidRPr="00FD6B5B">
        <w:rPr>
          <w:rFonts w:ascii="Tahoma" w:hAnsi="Tahoma" w:cs="Tahoma"/>
          <w:sz w:val="17"/>
          <w:szCs w:val="17"/>
        </w:rPr>
        <w:t>.</w:t>
      </w:r>
      <w:r w:rsidR="002478DD" w:rsidRPr="00FD6B5B">
        <w:rPr>
          <w:rFonts w:ascii="Tahoma" w:hAnsi="Tahoma" w:cs="Tahoma"/>
          <w:i/>
          <w:sz w:val="17"/>
          <w:szCs w:val="17"/>
        </w:rPr>
        <w:t>«</w:t>
      </w:r>
    </w:p>
    <w:p w14:paraId="04F8E9B0" w14:textId="77777777" w:rsidR="000C425B" w:rsidRDefault="000C425B" w:rsidP="000C425B">
      <w:pPr>
        <w:pStyle w:val="Default"/>
        <w:rPr>
          <w:rFonts w:ascii="Tahoma" w:hAnsi="Tahoma" w:cs="Tahoma"/>
          <w:i/>
          <w:sz w:val="17"/>
          <w:szCs w:val="17"/>
        </w:rPr>
      </w:pPr>
    </w:p>
    <w:p w14:paraId="5C29C466" w14:textId="77777777" w:rsidR="000C425B" w:rsidRDefault="001545AA" w:rsidP="000C425B">
      <w:pPr>
        <w:pStyle w:val="stk2"/>
        <w:rPr>
          <w:rStyle w:val="stknr1"/>
          <w:i w:val="0"/>
          <w:sz w:val="17"/>
          <w:szCs w:val="17"/>
        </w:rPr>
      </w:pPr>
      <w:r>
        <w:rPr>
          <w:rStyle w:val="stknr1"/>
          <w:b/>
          <w:sz w:val="17"/>
          <w:szCs w:val="17"/>
        </w:rPr>
        <w:t>3</w:t>
      </w:r>
      <w:r w:rsidR="000C425B">
        <w:rPr>
          <w:rStyle w:val="stknr1"/>
          <w:b/>
          <w:sz w:val="17"/>
          <w:szCs w:val="17"/>
        </w:rPr>
        <w:t>.</w:t>
      </w:r>
      <w:r w:rsidR="000C425B">
        <w:rPr>
          <w:rStyle w:val="stknr1"/>
          <w:sz w:val="17"/>
          <w:szCs w:val="17"/>
        </w:rPr>
        <w:t xml:space="preserve"> </w:t>
      </w:r>
      <w:r w:rsidR="000C425B">
        <w:rPr>
          <w:rStyle w:val="stknr1"/>
          <w:i w:val="0"/>
          <w:sz w:val="17"/>
          <w:szCs w:val="17"/>
        </w:rPr>
        <w:t xml:space="preserve">I </w:t>
      </w:r>
      <w:r w:rsidR="000C425B">
        <w:rPr>
          <w:rStyle w:val="stknr1"/>
          <w:sz w:val="17"/>
          <w:szCs w:val="17"/>
        </w:rPr>
        <w:t>§ 74</w:t>
      </w:r>
      <w:r w:rsidR="000C425B">
        <w:rPr>
          <w:rStyle w:val="stknr1"/>
          <w:i w:val="0"/>
          <w:sz w:val="17"/>
          <w:szCs w:val="17"/>
        </w:rPr>
        <w:t xml:space="preserve"> indsættes som </w:t>
      </w:r>
      <w:r w:rsidR="000C425B">
        <w:rPr>
          <w:rStyle w:val="stknr1"/>
          <w:sz w:val="17"/>
          <w:szCs w:val="17"/>
        </w:rPr>
        <w:t>stk. 8</w:t>
      </w:r>
      <w:r w:rsidR="000C425B">
        <w:rPr>
          <w:rStyle w:val="stknr1"/>
          <w:i w:val="0"/>
          <w:sz w:val="17"/>
          <w:szCs w:val="17"/>
        </w:rPr>
        <w:t xml:space="preserve">: </w:t>
      </w:r>
    </w:p>
    <w:p w14:paraId="4960777D" w14:textId="068DDD8C" w:rsidR="000C425B" w:rsidRDefault="000C425B" w:rsidP="000C425B">
      <w:pPr>
        <w:pStyle w:val="stk2"/>
        <w:rPr>
          <w:i/>
          <w:sz w:val="17"/>
          <w:szCs w:val="17"/>
        </w:rPr>
      </w:pPr>
      <w:r>
        <w:rPr>
          <w:rStyle w:val="stknr1"/>
          <w:sz w:val="17"/>
          <w:szCs w:val="17"/>
        </w:rPr>
        <w:t>»Stk. 8</w:t>
      </w:r>
      <w:r w:rsidRPr="000C425B">
        <w:rPr>
          <w:rStyle w:val="stknr1"/>
          <w:i w:val="0"/>
          <w:sz w:val="17"/>
          <w:szCs w:val="17"/>
        </w:rPr>
        <w:t>.</w:t>
      </w:r>
      <w:r>
        <w:rPr>
          <w:rStyle w:val="stknr1"/>
          <w:i w:val="0"/>
          <w:sz w:val="17"/>
          <w:szCs w:val="17"/>
        </w:rPr>
        <w:t xml:space="preserve"> </w:t>
      </w:r>
      <w:r w:rsidR="001545AA">
        <w:rPr>
          <w:rStyle w:val="stknr1"/>
          <w:i w:val="0"/>
          <w:sz w:val="17"/>
          <w:szCs w:val="17"/>
        </w:rPr>
        <w:t xml:space="preserve">Ejere af fartøjer, der har overdraget kvoteandele af torsk og tunge efter </w:t>
      </w:r>
      <w:r w:rsidR="00C134B4">
        <w:rPr>
          <w:rStyle w:val="stknr1"/>
          <w:i w:val="0"/>
          <w:sz w:val="17"/>
          <w:szCs w:val="17"/>
        </w:rPr>
        <w:t>den 11. marts 2019</w:t>
      </w:r>
      <w:r w:rsidR="001545AA">
        <w:rPr>
          <w:rStyle w:val="stknr1"/>
          <w:i w:val="0"/>
          <w:sz w:val="17"/>
          <w:szCs w:val="17"/>
        </w:rPr>
        <w:t xml:space="preserve">, kan ikke blive opskrevet på licenslisterne for </w:t>
      </w:r>
      <w:r w:rsidR="006C28C8">
        <w:rPr>
          <w:rStyle w:val="stknr1"/>
          <w:i w:val="0"/>
          <w:sz w:val="17"/>
          <w:szCs w:val="17"/>
        </w:rPr>
        <w:t xml:space="preserve">utilsigtede </w:t>
      </w:r>
      <w:r w:rsidR="001545AA">
        <w:rPr>
          <w:rStyle w:val="stknr1"/>
          <w:i w:val="0"/>
          <w:sz w:val="17"/>
          <w:szCs w:val="17"/>
        </w:rPr>
        <w:t>bifangst</w:t>
      </w:r>
      <w:r w:rsidR="006C28C8">
        <w:rPr>
          <w:rStyle w:val="stknr1"/>
          <w:i w:val="0"/>
          <w:sz w:val="17"/>
          <w:szCs w:val="17"/>
        </w:rPr>
        <w:t>er</w:t>
      </w:r>
      <w:r w:rsidR="001545AA">
        <w:rPr>
          <w:rStyle w:val="stknr1"/>
          <w:i w:val="0"/>
          <w:sz w:val="17"/>
          <w:szCs w:val="17"/>
        </w:rPr>
        <w:t>, jf. stk. 7</w:t>
      </w:r>
      <w:r w:rsidRPr="00FD6B5B">
        <w:rPr>
          <w:sz w:val="17"/>
          <w:szCs w:val="17"/>
        </w:rPr>
        <w:t>.</w:t>
      </w:r>
      <w:r w:rsidRPr="00FD6B5B">
        <w:rPr>
          <w:i/>
          <w:sz w:val="17"/>
          <w:szCs w:val="17"/>
        </w:rPr>
        <w:t>«</w:t>
      </w:r>
    </w:p>
    <w:p w14:paraId="14D4C89C" w14:textId="77777777" w:rsidR="001545AA" w:rsidRDefault="001545AA" w:rsidP="000C425B">
      <w:pPr>
        <w:pStyle w:val="stk2"/>
        <w:rPr>
          <w:i/>
          <w:sz w:val="17"/>
          <w:szCs w:val="17"/>
        </w:rPr>
      </w:pPr>
    </w:p>
    <w:p w14:paraId="4220C61D" w14:textId="77777777" w:rsidR="001545AA" w:rsidRDefault="001545AA" w:rsidP="001545AA">
      <w:pPr>
        <w:pStyle w:val="stk2"/>
        <w:rPr>
          <w:rStyle w:val="stknr1"/>
          <w:i w:val="0"/>
          <w:sz w:val="17"/>
          <w:szCs w:val="17"/>
        </w:rPr>
      </w:pPr>
      <w:r>
        <w:rPr>
          <w:rStyle w:val="stknr1"/>
          <w:b/>
          <w:sz w:val="17"/>
          <w:szCs w:val="17"/>
        </w:rPr>
        <w:t>4.</w:t>
      </w:r>
      <w:r>
        <w:rPr>
          <w:rStyle w:val="stknr1"/>
          <w:sz w:val="17"/>
          <w:szCs w:val="17"/>
        </w:rPr>
        <w:t xml:space="preserve"> </w:t>
      </w:r>
      <w:r>
        <w:rPr>
          <w:rStyle w:val="stknr1"/>
          <w:i w:val="0"/>
          <w:sz w:val="17"/>
          <w:szCs w:val="17"/>
        </w:rPr>
        <w:t xml:space="preserve">I </w:t>
      </w:r>
      <w:r>
        <w:rPr>
          <w:rStyle w:val="stknr1"/>
          <w:sz w:val="17"/>
          <w:szCs w:val="17"/>
        </w:rPr>
        <w:t>§ 74</w:t>
      </w:r>
      <w:r>
        <w:rPr>
          <w:rStyle w:val="stknr1"/>
          <w:i w:val="0"/>
          <w:sz w:val="17"/>
          <w:szCs w:val="17"/>
        </w:rPr>
        <w:t xml:space="preserve"> indsættes som </w:t>
      </w:r>
      <w:r>
        <w:rPr>
          <w:rStyle w:val="stknr1"/>
          <w:sz w:val="17"/>
          <w:szCs w:val="17"/>
        </w:rPr>
        <w:t>stk. 9</w:t>
      </w:r>
      <w:r>
        <w:rPr>
          <w:rStyle w:val="stknr1"/>
          <w:i w:val="0"/>
          <w:sz w:val="17"/>
          <w:szCs w:val="17"/>
        </w:rPr>
        <w:t xml:space="preserve">: </w:t>
      </w:r>
    </w:p>
    <w:p w14:paraId="7E5D1E46" w14:textId="39D53A01" w:rsidR="001545AA" w:rsidRPr="00FD6B5B" w:rsidRDefault="001545AA" w:rsidP="001545AA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»Stk. 9</w:t>
      </w:r>
      <w:r w:rsidRPr="000C425B">
        <w:rPr>
          <w:rStyle w:val="stknr1"/>
          <w:i w:val="0"/>
          <w:sz w:val="17"/>
          <w:szCs w:val="17"/>
        </w:rPr>
        <w:t>.</w:t>
      </w:r>
      <w:r>
        <w:rPr>
          <w:rStyle w:val="stknr1"/>
          <w:i w:val="0"/>
          <w:sz w:val="17"/>
          <w:szCs w:val="17"/>
        </w:rPr>
        <w:t xml:space="preserve"> Førere af fartøjer, der er optaget på en eller flere licenslister for </w:t>
      </w:r>
      <w:r w:rsidR="006C28C8">
        <w:rPr>
          <w:rStyle w:val="stknr1"/>
          <w:i w:val="0"/>
          <w:sz w:val="17"/>
          <w:szCs w:val="17"/>
        </w:rPr>
        <w:t xml:space="preserve">utilsigtede </w:t>
      </w:r>
      <w:r>
        <w:rPr>
          <w:rStyle w:val="stknr1"/>
          <w:i w:val="0"/>
          <w:sz w:val="17"/>
          <w:szCs w:val="17"/>
        </w:rPr>
        <w:t>bifangst</w:t>
      </w:r>
      <w:r w:rsidR="006C28C8">
        <w:rPr>
          <w:rStyle w:val="stknr1"/>
          <w:i w:val="0"/>
          <w:sz w:val="17"/>
          <w:szCs w:val="17"/>
        </w:rPr>
        <w:t>er</w:t>
      </w:r>
      <w:r>
        <w:rPr>
          <w:rStyle w:val="stknr1"/>
          <w:i w:val="0"/>
          <w:sz w:val="17"/>
          <w:szCs w:val="17"/>
        </w:rPr>
        <w:t xml:space="preserve">, jf. stk. 7, skal ved landinger af </w:t>
      </w:r>
      <w:r w:rsidR="006C28C8">
        <w:rPr>
          <w:rStyle w:val="stknr1"/>
          <w:i w:val="0"/>
          <w:sz w:val="17"/>
          <w:szCs w:val="17"/>
        </w:rPr>
        <w:t xml:space="preserve">utilsigtede </w:t>
      </w:r>
      <w:r>
        <w:rPr>
          <w:rStyle w:val="stknr1"/>
          <w:i w:val="0"/>
          <w:sz w:val="17"/>
          <w:szCs w:val="17"/>
        </w:rPr>
        <w:t>bifangst</w:t>
      </w:r>
      <w:r w:rsidR="006C28C8">
        <w:rPr>
          <w:rStyle w:val="stknr1"/>
          <w:i w:val="0"/>
          <w:sz w:val="17"/>
          <w:szCs w:val="17"/>
        </w:rPr>
        <w:t>er</w:t>
      </w:r>
      <w:r>
        <w:rPr>
          <w:rStyle w:val="stknr1"/>
          <w:i w:val="0"/>
          <w:sz w:val="17"/>
          <w:szCs w:val="17"/>
        </w:rPr>
        <w:t xml:space="preserve"> af torsk og tunge </w:t>
      </w:r>
      <w:proofErr w:type="spellStart"/>
      <w:r>
        <w:rPr>
          <w:rStyle w:val="stknr1"/>
          <w:i w:val="0"/>
          <w:sz w:val="17"/>
          <w:szCs w:val="17"/>
        </w:rPr>
        <w:t>forudanmelde</w:t>
      </w:r>
      <w:proofErr w:type="spellEnd"/>
      <w:r>
        <w:rPr>
          <w:rStyle w:val="stknr1"/>
          <w:i w:val="0"/>
          <w:sz w:val="17"/>
          <w:szCs w:val="17"/>
        </w:rPr>
        <w:t xml:space="preserve"> landingen, jf. bilag 5a</w:t>
      </w:r>
      <w:r w:rsidRPr="00FD6B5B">
        <w:rPr>
          <w:sz w:val="17"/>
          <w:szCs w:val="17"/>
        </w:rPr>
        <w:t>.</w:t>
      </w:r>
      <w:r w:rsidRPr="00FD6B5B">
        <w:rPr>
          <w:i/>
          <w:sz w:val="17"/>
          <w:szCs w:val="17"/>
        </w:rPr>
        <w:t>«</w:t>
      </w:r>
    </w:p>
    <w:p w14:paraId="555F582B" w14:textId="77777777" w:rsidR="001545AA" w:rsidRPr="00FD6B5B" w:rsidRDefault="001545AA" w:rsidP="000C425B">
      <w:pPr>
        <w:pStyle w:val="stk2"/>
        <w:rPr>
          <w:sz w:val="17"/>
          <w:szCs w:val="17"/>
        </w:rPr>
      </w:pPr>
    </w:p>
    <w:p w14:paraId="45C64376" w14:textId="77777777" w:rsidR="0068266A" w:rsidRDefault="0068266A" w:rsidP="0068266A">
      <w:pPr>
        <w:pStyle w:val="stk2"/>
        <w:rPr>
          <w:sz w:val="17"/>
          <w:szCs w:val="17"/>
        </w:rPr>
      </w:pPr>
    </w:p>
    <w:p w14:paraId="6216D78A" w14:textId="77777777" w:rsidR="00CF79FD" w:rsidRDefault="00CF79FD" w:rsidP="00CF79FD">
      <w:pPr>
        <w:pStyle w:val="stk2"/>
        <w:jc w:val="center"/>
        <w:rPr>
          <w:sz w:val="17"/>
          <w:szCs w:val="17"/>
        </w:rPr>
      </w:pPr>
      <w:r>
        <w:rPr>
          <w:b/>
          <w:sz w:val="17"/>
          <w:szCs w:val="17"/>
        </w:rPr>
        <w:t>§ 2</w:t>
      </w:r>
    </w:p>
    <w:p w14:paraId="2157A286" w14:textId="77777777" w:rsidR="0068266A" w:rsidRPr="0068266A" w:rsidRDefault="0068266A" w:rsidP="0068266A">
      <w:pPr>
        <w:pStyle w:val="stk2"/>
        <w:rPr>
          <w:sz w:val="17"/>
          <w:szCs w:val="17"/>
        </w:rPr>
      </w:pPr>
      <w:r>
        <w:rPr>
          <w:sz w:val="17"/>
          <w:szCs w:val="17"/>
        </w:rPr>
        <w:t>Bekendtgørelsen træder i kraft den [6. maj 2019].</w:t>
      </w:r>
    </w:p>
    <w:p w14:paraId="3A02BCE8" w14:textId="77777777" w:rsidR="0067652E" w:rsidRPr="0068266A" w:rsidRDefault="0067652E" w:rsidP="0068266A"/>
    <w:sectPr w:rsidR="0067652E" w:rsidRPr="0068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A1B8" w14:textId="77777777" w:rsidR="007607A2" w:rsidRDefault="007607A2" w:rsidP="0068266A">
      <w:pPr>
        <w:spacing w:after="0" w:line="240" w:lineRule="auto"/>
      </w:pPr>
      <w:r>
        <w:separator/>
      </w:r>
    </w:p>
  </w:endnote>
  <w:endnote w:type="continuationSeparator" w:id="0">
    <w:p w14:paraId="1A0AFEEF" w14:textId="77777777" w:rsidR="007607A2" w:rsidRDefault="007607A2" w:rsidP="0068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6F949" w14:textId="77777777" w:rsidR="0068266A" w:rsidRDefault="006826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3FF7" w14:textId="77777777" w:rsidR="0068266A" w:rsidRDefault="0068266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49E54" w14:textId="77777777" w:rsidR="0068266A" w:rsidRDefault="006826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550D" w14:textId="77777777" w:rsidR="007607A2" w:rsidRDefault="007607A2" w:rsidP="0068266A">
      <w:pPr>
        <w:spacing w:after="0" w:line="240" w:lineRule="auto"/>
      </w:pPr>
      <w:r>
        <w:separator/>
      </w:r>
    </w:p>
  </w:footnote>
  <w:footnote w:type="continuationSeparator" w:id="0">
    <w:p w14:paraId="5F9024F3" w14:textId="77777777" w:rsidR="007607A2" w:rsidRDefault="007607A2" w:rsidP="0068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1D1FE" w14:textId="77777777" w:rsidR="0068266A" w:rsidRDefault="007607A2">
    <w:pPr>
      <w:pStyle w:val="Sidehoved"/>
    </w:pPr>
    <w:r>
      <w:rPr>
        <w:noProof/>
      </w:rPr>
      <w:pict w14:anchorId="07ACA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056501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70D5" w14:textId="77777777" w:rsidR="0068266A" w:rsidRDefault="007607A2">
    <w:pPr>
      <w:pStyle w:val="Sidehoved"/>
    </w:pPr>
    <w:r>
      <w:rPr>
        <w:noProof/>
      </w:rPr>
      <w:pict w14:anchorId="060EC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056502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57A5" w14:textId="77777777" w:rsidR="0068266A" w:rsidRDefault="007607A2">
    <w:pPr>
      <w:pStyle w:val="Sidehoved"/>
    </w:pPr>
    <w:r>
      <w:rPr>
        <w:noProof/>
      </w:rPr>
      <w:pict w14:anchorId="00A6B0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056500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493A"/>
    <w:multiLevelType w:val="hybridMultilevel"/>
    <w:tmpl w:val="DC8204E6"/>
    <w:lvl w:ilvl="0" w:tplc="040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6475CD0"/>
    <w:multiLevelType w:val="hybridMultilevel"/>
    <w:tmpl w:val="E1E23D56"/>
    <w:lvl w:ilvl="0" w:tplc="04060011">
      <w:start w:val="1"/>
      <w:numFmt w:val="decimal"/>
      <w:lvlText w:val="%1)"/>
      <w:lvlJc w:val="left"/>
      <w:pPr>
        <w:ind w:left="960" w:hanging="360"/>
      </w:pPr>
    </w:lvl>
    <w:lvl w:ilvl="1" w:tplc="04060019" w:tentative="1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CA"/>
    <w:rsid w:val="0001341E"/>
    <w:rsid w:val="00087379"/>
    <w:rsid w:val="00095CE1"/>
    <w:rsid w:val="000C2A62"/>
    <w:rsid w:val="000C2C77"/>
    <w:rsid w:val="000C425B"/>
    <w:rsid w:val="001545AA"/>
    <w:rsid w:val="001B1691"/>
    <w:rsid w:val="001E00CA"/>
    <w:rsid w:val="002478DD"/>
    <w:rsid w:val="00250922"/>
    <w:rsid w:val="00381476"/>
    <w:rsid w:val="004D3D19"/>
    <w:rsid w:val="005E6E87"/>
    <w:rsid w:val="0067652E"/>
    <w:rsid w:val="0068266A"/>
    <w:rsid w:val="006B3190"/>
    <w:rsid w:val="006C28C8"/>
    <w:rsid w:val="007607A2"/>
    <w:rsid w:val="0081664B"/>
    <w:rsid w:val="00B05EE2"/>
    <w:rsid w:val="00C134B4"/>
    <w:rsid w:val="00CF79FD"/>
    <w:rsid w:val="00D12784"/>
    <w:rsid w:val="00DF3A91"/>
    <w:rsid w:val="00E67BB9"/>
    <w:rsid w:val="00F71FAF"/>
    <w:rsid w:val="00F86A7D"/>
    <w:rsid w:val="00F9451A"/>
    <w:rsid w:val="00FB0ABF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1FC962"/>
  <w15:docId w15:val="{B91D1948-179A-4922-9A04-4035676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2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266A"/>
  </w:style>
  <w:style w:type="paragraph" w:styleId="Sidefod">
    <w:name w:val="footer"/>
    <w:basedOn w:val="Normal"/>
    <w:link w:val="SidefodTegn"/>
    <w:uiPriority w:val="99"/>
    <w:unhideWhenUsed/>
    <w:rsid w:val="006826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266A"/>
  </w:style>
  <w:style w:type="character" w:styleId="Hyperlink">
    <w:name w:val="Hyperlink"/>
    <w:basedOn w:val="Standardskrifttypeiafsnit"/>
    <w:uiPriority w:val="99"/>
    <w:semiHidden/>
    <w:unhideWhenUsed/>
    <w:rsid w:val="0068266A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paragraph" w:customStyle="1" w:styleId="indledning2">
    <w:name w:val="indledning2"/>
    <w:basedOn w:val="Normal"/>
    <w:rsid w:val="0068266A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ja-JP"/>
    </w:rPr>
  </w:style>
  <w:style w:type="paragraph" w:customStyle="1" w:styleId="kapitel">
    <w:name w:val="kapitel"/>
    <w:basedOn w:val="Normal"/>
    <w:rsid w:val="0068266A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ja-JP"/>
    </w:rPr>
  </w:style>
  <w:style w:type="paragraph" w:customStyle="1" w:styleId="kapiteloverskrift2">
    <w:name w:val="kapiteloverskrift2"/>
    <w:basedOn w:val="Normal"/>
    <w:rsid w:val="0068266A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ja-JP"/>
    </w:rPr>
  </w:style>
  <w:style w:type="paragraph" w:customStyle="1" w:styleId="paragrafgruppeoverskrift">
    <w:name w:val="paragrafgruppeoverskrift"/>
    <w:basedOn w:val="Normal"/>
    <w:rsid w:val="0068266A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ja-JP"/>
    </w:rPr>
  </w:style>
  <w:style w:type="paragraph" w:customStyle="1" w:styleId="paragraf">
    <w:name w:val="paragraf"/>
    <w:basedOn w:val="Normal"/>
    <w:rsid w:val="0068266A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ja-JP"/>
    </w:rPr>
  </w:style>
  <w:style w:type="paragraph" w:customStyle="1" w:styleId="stk2">
    <w:name w:val="stk2"/>
    <w:basedOn w:val="Normal"/>
    <w:rsid w:val="0068266A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ja-JP"/>
    </w:rPr>
  </w:style>
  <w:style w:type="paragraph" w:customStyle="1" w:styleId="titel2">
    <w:name w:val="titel2"/>
    <w:basedOn w:val="Normal"/>
    <w:rsid w:val="0068266A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ja-JP"/>
    </w:rPr>
  </w:style>
  <w:style w:type="character" w:customStyle="1" w:styleId="paragrafnr1">
    <w:name w:val="paragrafnr1"/>
    <w:basedOn w:val="Standardskrifttypeiafsnit"/>
    <w:rsid w:val="0068266A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68266A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FD6B5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5E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5E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5EE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5E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5EE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5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0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435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6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ort\AppData\Local\cBrain\F2\.tmp\9ac19510-d30f-4d91-b085-10a9b267d2e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1F8A-4804-4EF0-BB70-CE201B4D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9ac19510-d30f-4d91-b085-10a9b267d2e6</Template>
  <TotalTime>1</TotalTime>
  <Pages>1</Pages>
  <Words>388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Chemnitz Mortensen</dc:creator>
  <cp:lastModifiedBy>Hannus Petersen</cp:lastModifiedBy>
  <cp:revision>2</cp:revision>
  <dcterms:created xsi:type="dcterms:W3CDTF">2019-04-24T07:43:00Z</dcterms:created>
  <dcterms:modified xsi:type="dcterms:W3CDTF">2019-04-24T07:43:00Z</dcterms:modified>
</cp:coreProperties>
</file>