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204BD9" w:rsidRDefault="00481547" w:rsidP="002164D4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204BD9" w:rsidRDefault="00481547" w:rsidP="00675483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675483" w:rsidRPr="00204BD9" w:rsidRDefault="00675483" w:rsidP="0079590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75483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 w:rsidRPr="00204BD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J.nr. </w:t>
            </w:r>
            <w:bookmarkStart w:id="0" w:name="sagsnr"/>
            <w:bookmarkEnd w:id="0"/>
            <w:r w:rsidR="00037523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13-</w:t>
            </w:r>
            <w:proofErr w:type="gramStart"/>
            <w:r w:rsidR="00037523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5574440</w:t>
            </w:r>
            <w:proofErr w:type="gramEnd"/>
          </w:p>
          <w:p w:rsidR="00675483" w:rsidRPr="00204BD9" w:rsidRDefault="00AB73C8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Den </w:t>
            </w:r>
            <w:r w:rsidR="000455E5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12. marts 2014</w:t>
            </w:r>
          </w:p>
          <w:p w:rsidR="00675483" w:rsidRPr="0027722C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675483" w:rsidRPr="0027722C" w:rsidRDefault="00675483" w:rsidP="00675483">
            <w:pP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F971D6" w:rsidRPr="007D1FCB" w:rsidRDefault="00F971D6" w:rsidP="00F971D6">
            <w:pPr>
              <w:pStyle w:val="Departementtek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04BD9" w:rsidRDefault="00204BD9" w:rsidP="009959AA">
      <w:pPr>
        <w:spacing w:line="276" w:lineRule="auto"/>
      </w:pPr>
      <w:r w:rsidRPr="00C428CE">
        <w:t>Til</w:t>
      </w:r>
      <w:r>
        <w:t xml:space="preserve"> </w:t>
      </w:r>
      <w:r w:rsidRPr="00C428CE">
        <w:t xml:space="preserve">Folketinget </w:t>
      </w:r>
      <w:r>
        <w:t>–</w:t>
      </w:r>
      <w:r w:rsidRPr="00C428CE">
        <w:t xml:space="preserve"> Skatteudvalget</w:t>
      </w:r>
    </w:p>
    <w:p w:rsidR="00204BD9" w:rsidRDefault="00204BD9" w:rsidP="009959AA">
      <w:pPr>
        <w:spacing w:line="276" w:lineRule="auto"/>
      </w:pPr>
    </w:p>
    <w:p w:rsidR="006B38B0" w:rsidRPr="002B4CB5" w:rsidRDefault="006B38B0" w:rsidP="009959AA">
      <w:pPr>
        <w:spacing w:line="276" w:lineRule="auto"/>
      </w:pPr>
    </w:p>
    <w:p w:rsidR="000F7B05" w:rsidRPr="00037523" w:rsidRDefault="000F7B05" w:rsidP="00037523">
      <w:pPr>
        <w:spacing w:line="276" w:lineRule="auto"/>
        <w:rPr>
          <w:rFonts w:asciiTheme="minorHAnsi" w:hAnsiTheme="minorHAnsi"/>
          <w:bCs/>
        </w:rPr>
      </w:pPr>
      <w:r w:rsidRPr="00684545">
        <w:t xml:space="preserve">Til udvalgets orientering </w:t>
      </w:r>
      <w:r w:rsidRPr="00037523">
        <w:rPr>
          <w:rFonts w:asciiTheme="minorHAnsi" w:hAnsiTheme="minorHAnsi"/>
        </w:rPr>
        <w:t>vedlægges høringsskema samt de modtagne hør</w:t>
      </w:r>
      <w:r w:rsidR="006B38B0" w:rsidRPr="00037523">
        <w:rPr>
          <w:rFonts w:asciiTheme="minorHAnsi" w:hAnsiTheme="minorHAnsi"/>
        </w:rPr>
        <w:t>ing</w:t>
      </w:r>
      <w:r w:rsidR="006B38B0" w:rsidRPr="00037523">
        <w:rPr>
          <w:rFonts w:asciiTheme="minorHAnsi" w:hAnsiTheme="minorHAnsi"/>
        </w:rPr>
        <w:t>s</w:t>
      </w:r>
      <w:r w:rsidR="006B38B0" w:rsidRPr="00037523">
        <w:rPr>
          <w:rFonts w:asciiTheme="minorHAnsi" w:hAnsiTheme="minorHAnsi"/>
        </w:rPr>
        <w:t xml:space="preserve">svar vedrørende forslag </w:t>
      </w:r>
      <w:r w:rsidR="00A407F4">
        <w:rPr>
          <w:rFonts w:asciiTheme="minorHAnsi" w:hAnsiTheme="minorHAnsi"/>
        </w:rPr>
        <w:t xml:space="preserve">til </w:t>
      </w:r>
      <w:r w:rsidR="00A407F4">
        <w:rPr>
          <w:rFonts w:asciiTheme="minorHAnsi" w:eastAsiaTheme="minorEastAsia" w:hAnsiTheme="minorHAnsi" w:cs="Times New Roman"/>
          <w:szCs w:val="24"/>
          <w:lang w:eastAsia="da-DK"/>
        </w:rPr>
        <w:t>l</w:t>
      </w:r>
      <w:r w:rsidR="00037523" w:rsidRPr="00037523">
        <w:rPr>
          <w:rFonts w:asciiTheme="minorHAnsi" w:eastAsiaTheme="minorEastAsia" w:hAnsiTheme="minorHAnsi" w:cs="Times New Roman"/>
          <w:szCs w:val="24"/>
          <w:lang w:eastAsia="da-DK"/>
        </w:rPr>
        <w:t>ov om ændring af momsloven og forskellige andre love (Ændring af leveringsstedet for elektroniske ydelser, teleydelser og radio- og tv-spredningstjenester solgt til private, One Stop Shop-ordning, ændring af definitionen af investeringsgoder, ophævelse af ordningen for udenlandsk in</w:t>
      </w:r>
      <w:r w:rsidR="00037523" w:rsidRPr="00037523">
        <w:rPr>
          <w:rFonts w:asciiTheme="minorHAnsi" w:eastAsiaTheme="minorEastAsia" w:hAnsiTheme="minorHAnsi" w:cs="Times New Roman"/>
          <w:szCs w:val="24"/>
          <w:lang w:eastAsia="da-DK"/>
        </w:rPr>
        <w:t>d</w:t>
      </w:r>
      <w:r w:rsidR="00037523" w:rsidRPr="00037523">
        <w:rPr>
          <w:rFonts w:asciiTheme="minorHAnsi" w:eastAsiaTheme="minorEastAsia" w:hAnsiTheme="minorHAnsi" w:cs="Times New Roman"/>
          <w:szCs w:val="24"/>
          <w:lang w:eastAsia="da-DK"/>
        </w:rPr>
        <w:t>registrerede turistbusser og visse andre ændringer)</w:t>
      </w:r>
      <w:r w:rsidRPr="00037523">
        <w:rPr>
          <w:rFonts w:asciiTheme="minorHAnsi" w:hAnsiTheme="minorHAnsi"/>
        </w:rPr>
        <w:t>.</w:t>
      </w:r>
    </w:p>
    <w:p w:rsidR="00204BD9" w:rsidRDefault="00204BD9" w:rsidP="009959AA">
      <w:pPr>
        <w:spacing w:line="276" w:lineRule="auto"/>
      </w:pPr>
    </w:p>
    <w:p w:rsidR="007028CC" w:rsidRDefault="007028CC" w:rsidP="009959AA">
      <w:pPr>
        <w:spacing w:line="276" w:lineRule="auto"/>
      </w:pPr>
    </w:p>
    <w:p w:rsidR="007028CC" w:rsidRDefault="007028CC" w:rsidP="009959AA">
      <w:pPr>
        <w:spacing w:line="276" w:lineRule="auto"/>
      </w:pPr>
    </w:p>
    <w:p w:rsidR="007028CC" w:rsidRDefault="007028CC" w:rsidP="009959AA">
      <w:pPr>
        <w:spacing w:line="276" w:lineRule="auto"/>
      </w:pPr>
    </w:p>
    <w:p w:rsidR="00204BD9" w:rsidRPr="00C428CE" w:rsidRDefault="00204BD9" w:rsidP="009959AA">
      <w:pPr>
        <w:spacing w:line="276" w:lineRule="auto"/>
      </w:pPr>
    </w:p>
    <w:p w:rsidR="009959AA" w:rsidRDefault="00204BD9" w:rsidP="009959AA">
      <w:pPr>
        <w:tabs>
          <w:tab w:val="right" w:pos="2835"/>
          <w:tab w:val="left" w:pos="3686"/>
          <w:tab w:val="left" w:pos="3969"/>
        </w:tabs>
        <w:spacing w:line="276" w:lineRule="auto"/>
        <w:jc w:val="left"/>
      </w:pPr>
      <w:r>
        <w:tab/>
      </w:r>
      <w:r w:rsidR="00E977A5">
        <w:t>Morten Østergaard</w:t>
      </w:r>
    </w:p>
    <w:p w:rsidR="009959AA" w:rsidRDefault="009959AA" w:rsidP="009959AA">
      <w:pPr>
        <w:tabs>
          <w:tab w:val="right" w:pos="2835"/>
          <w:tab w:val="left" w:pos="3686"/>
          <w:tab w:val="left" w:pos="3969"/>
        </w:tabs>
        <w:spacing w:line="276" w:lineRule="auto"/>
        <w:jc w:val="left"/>
      </w:pPr>
    </w:p>
    <w:p w:rsidR="009959AA" w:rsidRDefault="009959AA" w:rsidP="009959AA">
      <w:pPr>
        <w:tabs>
          <w:tab w:val="right" w:pos="2835"/>
          <w:tab w:val="left" w:pos="3686"/>
          <w:tab w:val="left" w:pos="4536"/>
        </w:tabs>
        <w:spacing w:line="276" w:lineRule="auto"/>
        <w:jc w:val="left"/>
      </w:pPr>
      <w:r>
        <w:tab/>
      </w:r>
      <w:r>
        <w:tab/>
        <w:t>/</w:t>
      </w:r>
    </w:p>
    <w:p w:rsidR="009959AA" w:rsidRDefault="009959AA" w:rsidP="009959AA">
      <w:pPr>
        <w:spacing w:line="276" w:lineRule="auto"/>
      </w:pPr>
    </w:p>
    <w:p w:rsidR="009959AA" w:rsidRDefault="009959AA" w:rsidP="009959AA">
      <w:pPr>
        <w:tabs>
          <w:tab w:val="right" w:pos="2835"/>
          <w:tab w:val="left" w:pos="3686"/>
          <w:tab w:val="left" w:pos="4536"/>
        </w:tabs>
        <w:spacing w:line="276" w:lineRule="auto"/>
        <w:jc w:val="left"/>
      </w:pPr>
      <w:r>
        <w:tab/>
      </w:r>
      <w:r>
        <w:tab/>
      </w:r>
      <w:r>
        <w:tab/>
      </w:r>
      <w:r w:rsidR="00037523">
        <w:t>Jeanette R. Hansen</w:t>
      </w:r>
    </w:p>
    <w:p w:rsidR="000E614B" w:rsidRDefault="000E614B" w:rsidP="009959AA">
      <w:pPr>
        <w:tabs>
          <w:tab w:val="right" w:pos="3402"/>
          <w:tab w:val="left" w:pos="3686"/>
          <w:tab w:val="left" w:pos="3969"/>
        </w:tabs>
        <w:spacing w:line="276" w:lineRule="auto"/>
        <w:jc w:val="left"/>
        <w:rPr>
          <w:lang w:eastAsia="da-DK"/>
        </w:rPr>
      </w:pPr>
    </w:p>
    <w:p w:rsidR="006E1C89" w:rsidRDefault="006E1C89" w:rsidP="009959AA">
      <w:pPr>
        <w:spacing w:line="276" w:lineRule="auto"/>
        <w:jc w:val="left"/>
        <w:rPr>
          <w:lang w:eastAsia="da-DK"/>
        </w:rPr>
      </w:pPr>
      <w:r>
        <w:rPr>
          <w:lang w:eastAsia="da-DK"/>
        </w:rPr>
        <w:br w:type="page"/>
      </w:r>
    </w:p>
    <w:p w:rsidR="007D1FCB" w:rsidRDefault="006E1C89" w:rsidP="006E1C89">
      <w:pPr>
        <w:pStyle w:val="Overskrift1"/>
      </w:pPr>
      <w:r>
        <w:t>Hørings</w:t>
      </w:r>
      <w:r w:rsidR="00516D8C">
        <w:t>s</w:t>
      </w:r>
      <w:r>
        <w:t>kema</w:t>
      </w:r>
    </w:p>
    <w:p w:rsidR="006E1C89" w:rsidRDefault="006E1C89" w:rsidP="006E1C89">
      <w:pPr>
        <w:rPr>
          <w:lang w:eastAsia="da-DK"/>
        </w:rPr>
      </w:pPr>
    </w:p>
    <w:p w:rsidR="00406A5C" w:rsidRPr="00406A5C" w:rsidRDefault="00406A5C" w:rsidP="00406A5C">
      <w:pPr>
        <w:rPr>
          <w:rFonts w:eastAsia="Times New Roman" w:cs="Times New Roman"/>
          <w:lang w:eastAsia="da-DK"/>
        </w:rPr>
      </w:pPr>
    </w:p>
    <w:tbl>
      <w:tblPr>
        <w:tblStyle w:val="Tabel-Gitter"/>
        <w:tblW w:w="6482" w:type="pct"/>
        <w:tblInd w:w="108" w:type="dxa"/>
        <w:tblBorders>
          <w:top w:val="single" w:sz="4" w:space="0" w:color="57788E" w:themeColor="accent2"/>
          <w:left w:val="single" w:sz="4" w:space="0" w:color="57788E" w:themeColor="accent2"/>
          <w:bottom w:val="single" w:sz="4" w:space="0" w:color="57788E" w:themeColor="accent2"/>
          <w:right w:val="single" w:sz="4" w:space="0" w:color="57788E" w:themeColor="accent2"/>
          <w:insideH w:val="single" w:sz="4" w:space="0" w:color="57788E" w:themeColor="accent2"/>
          <w:insideV w:val="single" w:sz="4" w:space="0" w:color="57788E" w:themeColor="accent2"/>
        </w:tblBorders>
        <w:tblLook w:val="04A0" w:firstRow="1" w:lastRow="0" w:firstColumn="1" w:lastColumn="0" w:noHBand="0" w:noVBand="1"/>
      </w:tblPr>
      <w:tblGrid>
        <w:gridCol w:w="1871"/>
        <w:gridCol w:w="3614"/>
        <w:gridCol w:w="4276"/>
      </w:tblGrid>
      <w:tr w:rsidR="00406A5C" w:rsidRPr="00406A5C" w:rsidTr="00801D62">
        <w:trPr>
          <w:trHeight w:hRule="exact" w:val="372"/>
        </w:trPr>
        <w:tc>
          <w:tcPr>
            <w:tcW w:w="1871" w:type="dxa"/>
            <w:shd w:val="clear" w:color="auto" w:fill="57788E" w:themeFill="accent2"/>
            <w:vAlign w:val="center"/>
          </w:tcPr>
          <w:p w:rsidR="00406A5C" w:rsidRPr="00406A5C" w:rsidRDefault="00406A5C" w:rsidP="00406A5C">
            <w:pPr>
              <w:spacing w:after="60"/>
              <w:jc w:val="left"/>
              <w:rPr>
                <w:rFonts w:ascii="Calibri" w:eastAsia="Times New Roman" w:hAnsi="Calibri" w:cs="Calibri"/>
                <w:b/>
                <w:color w:val="FFFFFF"/>
                <w:sz w:val="22"/>
              </w:rPr>
            </w:pPr>
            <w:r w:rsidRPr="00406A5C">
              <w:rPr>
                <w:rFonts w:ascii="Calibri" w:eastAsia="Times New Roman" w:hAnsi="Calibri" w:cs="Calibri"/>
                <w:b/>
                <w:color w:val="FFFFFF"/>
                <w:sz w:val="22"/>
              </w:rPr>
              <w:t>Organisation</w:t>
            </w:r>
          </w:p>
        </w:tc>
        <w:tc>
          <w:tcPr>
            <w:tcW w:w="3950" w:type="dxa"/>
            <w:shd w:val="clear" w:color="auto" w:fill="57788E" w:themeFill="accent2"/>
            <w:vAlign w:val="center"/>
          </w:tcPr>
          <w:p w:rsidR="00406A5C" w:rsidRPr="00406A5C" w:rsidRDefault="00406A5C" w:rsidP="00406A5C">
            <w:pPr>
              <w:spacing w:after="60"/>
              <w:jc w:val="left"/>
              <w:rPr>
                <w:rFonts w:ascii="Calibri" w:eastAsia="Times New Roman" w:hAnsi="Calibri" w:cs="Calibri"/>
                <w:b/>
                <w:color w:val="FFFFFF"/>
                <w:sz w:val="22"/>
              </w:rPr>
            </w:pPr>
            <w:r w:rsidRPr="00406A5C">
              <w:rPr>
                <w:rFonts w:ascii="Calibri" w:eastAsia="Times New Roman" w:hAnsi="Calibri" w:cs="Calibri"/>
                <w:b/>
                <w:color w:val="FFFFFF"/>
                <w:sz w:val="22"/>
              </w:rPr>
              <w:t>Bemærkninger</w:t>
            </w:r>
          </w:p>
          <w:p w:rsidR="00406A5C" w:rsidRPr="00406A5C" w:rsidRDefault="00406A5C" w:rsidP="00406A5C">
            <w:pPr>
              <w:spacing w:after="60"/>
              <w:jc w:val="left"/>
              <w:rPr>
                <w:rFonts w:ascii="Calibri" w:eastAsia="Times New Roman" w:hAnsi="Calibri" w:cs="Calibri"/>
                <w:b/>
                <w:color w:val="FFFFFF"/>
                <w:sz w:val="22"/>
              </w:rPr>
            </w:pPr>
          </w:p>
        </w:tc>
        <w:tc>
          <w:tcPr>
            <w:tcW w:w="3940" w:type="dxa"/>
            <w:shd w:val="clear" w:color="auto" w:fill="57788E" w:themeFill="accent2"/>
            <w:vAlign w:val="center"/>
          </w:tcPr>
          <w:p w:rsidR="00406A5C" w:rsidRPr="00406A5C" w:rsidRDefault="00406A5C" w:rsidP="00406A5C">
            <w:pPr>
              <w:spacing w:after="60"/>
              <w:jc w:val="left"/>
              <w:rPr>
                <w:rFonts w:ascii="Calibri" w:eastAsia="Times New Roman" w:hAnsi="Calibri" w:cs="Calibri"/>
                <w:b/>
                <w:color w:val="FFFFFF"/>
                <w:sz w:val="22"/>
              </w:rPr>
            </w:pPr>
            <w:r w:rsidRPr="00406A5C">
              <w:rPr>
                <w:rFonts w:ascii="Calibri" w:eastAsia="Times New Roman" w:hAnsi="Calibri" w:cs="Calibri"/>
                <w:b/>
                <w:color w:val="FFFFFF"/>
                <w:sz w:val="22"/>
              </w:rPr>
              <w:t>Kommentarer</w:t>
            </w:r>
          </w:p>
        </w:tc>
      </w:tr>
      <w:tr w:rsidR="00406A5C" w:rsidRPr="00406A5C" w:rsidTr="00801D62">
        <w:trPr>
          <w:trHeight w:val="360"/>
        </w:trPr>
        <w:tc>
          <w:tcPr>
            <w:tcW w:w="1871" w:type="dxa"/>
          </w:tcPr>
          <w:p w:rsidR="00406A5C" w:rsidRPr="00406A5C" w:rsidRDefault="00406A5C" w:rsidP="009A2612">
            <w:pPr>
              <w:jc w:val="left"/>
              <w:rPr>
                <w:rFonts w:asciiTheme="minorHAnsi" w:eastAsia="Times New Roman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Advokatrådet</w:t>
            </w:r>
          </w:p>
        </w:tc>
        <w:tc>
          <w:tcPr>
            <w:tcW w:w="3950" w:type="dxa"/>
          </w:tcPr>
          <w:p w:rsidR="00406A5C" w:rsidRDefault="00406A5C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Bemærker, at udtrykket ”medlem</w:t>
            </w:r>
            <w:r>
              <w:rPr>
                <w:rFonts w:asciiTheme="minorHAnsi" w:hAnsiTheme="minorHAnsi" w:cs="Calibri"/>
                <w:szCs w:val="24"/>
              </w:rPr>
              <w:t>s</w:t>
            </w:r>
            <w:r>
              <w:rPr>
                <w:rFonts w:asciiTheme="minorHAnsi" w:hAnsiTheme="minorHAnsi" w:cs="Calibri"/>
                <w:szCs w:val="24"/>
              </w:rPr>
              <w:t>land”</w:t>
            </w:r>
            <w:r w:rsidR="000810F2">
              <w:rPr>
                <w:rFonts w:asciiTheme="minorHAnsi" w:hAnsiTheme="minorHAnsi" w:cs="Calibri"/>
                <w:szCs w:val="24"/>
              </w:rPr>
              <w:t>,</w:t>
            </w:r>
            <w:r>
              <w:rPr>
                <w:rFonts w:asciiTheme="minorHAnsi" w:hAnsiTheme="minorHAnsi" w:cs="Calibri"/>
                <w:szCs w:val="24"/>
              </w:rPr>
              <w:t xml:space="preserve"> og ikke ”medlemsstat”</w:t>
            </w:r>
            <w:r w:rsidR="000810F2">
              <w:rPr>
                <w:rFonts w:asciiTheme="minorHAnsi" w:hAnsiTheme="minorHAnsi" w:cs="Calibri"/>
                <w:szCs w:val="24"/>
              </w:rPr>
              <w:t>,</w:t>
            </w:r>
            <w:r w:rsidR="00655742">
              <w:rPr>
                <w:rFonts w:asciiTheme="minorHAnsi" w:hAnsiTheme="minorHAnsi" w:cs="Calibri"/>
                <w:szCs w:val="24"/>
              </w:rPr>
              <w:t xml:space="preserve"> bør bruges konsekvent i fors</w:t>
            </w:r>
            <w:r>
              <w:rPr>
                <w:rFonts w:asciiTheme="minorHAnsi" w:hAnsiTheme="minorHAnsi" w:cs="Calibri"/>
                <w:szCs w:val="24"/>
              </w:rPr>
              <w:t>l</w:t>
            </w:r>
            <w:r w:rsidR="00655742">
              <w:rPr>
                <w:rFonts w:asciiTheme="minorHAnsi" w:hAnsiTheme="minorHAnsi" w:cs="Calibri"/>
                <w:szCs w:val="24"/>
              </w:rPr>
              <w:t>a</w:t>
            </w:r>
            <w:r>
              <w:rPr>
                <w:rFonts w:asciiTheme="minorHAnsi" w:hAnsiTheme="minorHAnsi" w:cs="Calibri"/>
                <w:szCs w:val="24"/>
              </w:rPr>
              <w:t>get</w:t>
            </w:r>
            <w:r w:rsidR="000810F2">
              <w:rPr>
                <w:rFonts w:asciiTheme="minorHAnsi" w:hAnsiTheme="minorHAnsi" w:cs="Calibri"/>
                <w:szCs w:val="24"/>
              </w:rPr>
              <w:t>.</w:t>
            </w:r>
          </w:p>
          <w:p w:rsidR="000810F2" w:rsidRDefault="000810F2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</w:p>
          <w:p w:rsidR="000810F2" w:rsidRDefault="000810F2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Mener, at det i § 66 i, stk. 2, bør præciseres, hvornår udelukkelsen på 2 kvartaler fra brug af særordni</w:t>
            </w:r>
            <w:r>
              <w:rPr>
                <w:rFonts w:asciiTheme="minorHAnsi" w:hAnsiTheme="minorHAnsi" w:cs="Calibri"/>
                <w:szCs w:val="24"/>
              </w:rPr>
              <w:t>n</w:t>
            </w:r>
            <w:r>
              <w:rPr>
                <w:rFonts w:asciiTheme="minorHAnsi" w:hAnsiTheme="minorHAnsi" w:cs="Calibri"/>
                <w:szCs w:val="24"/>
              </w:rPr>
              <w:t>gerne løber fra.</w:t>
            </w:r>
          </w:p>
          <w:p w:rsidR="000810F2" w:rsidRDefault="000810F2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</w:p>
          <w:p w:rsidR="000810F2" w:rsidRPr="00406A5C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Foreslår sproglig præcisering i § 66 j, stk. 2.</w:t>
            </w:r>
          </w:p>
        </w:tc>
        <w:tc>
          <w:tcPr>
            <w:tcW w:w="3940" w:type="dxa"/>
          </w:tcPr>
          <w:p w:rsidR="00406A5C" w:rsidRDefault="00F042CE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Lovf</w:t>
            </w:r>
            <w:r w:rsidR="00406A5C">
              <w:rPr>
                <w:rFonts w:asciiTheme="minorHAnsi" w:hAnsiTheme="minorHAnsi" w:cs="Calibri"/>
                <w:szCs w:val="24"/>
              </w:rPr>
              <w:t>orslaget er tilrettet.</w:t>
            </w:r>
          </w:p>
          <w:p w:rsidR="00406A5C" w:rsidRDefault="00406A5C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</w:p>
          <w:p w:rsidR="00406A5C" w:rsidRDefault="00406A5C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</w:p>
          <w:p w:rsidR="00406A5C" w:rsidRDefault="00406A5C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</w:p>
          <w:p w:rsidR="000810F2" w:rsidRDefault="000810F2" w:rsidP="009A2612">
            <w:pPr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Udelukkelsesperioden er præciseret ved ændring i § 66 i, stk. 1.</w:t>
            </w:r>
          </w:p>
          <w:p w:rsidR="00406A5C" w:rsidRPr="00406A5C" w:rsidRDefault="00406A5C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406A5C" w:rsidRDefault="00406A5C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4A1FE0" w:rsidRDefault="004A1FE0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0810F2" w:rsidRPr="00406A5C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Præcisering er foretaget.</w:t>
            </w:r>
          </w:p>
        </w:tc>
      </w:tr>
      <w:tr w:rsidR="00406A5C" w:rsidRPr="00406A5C" w:rsidTr="00801D62">
        <w:trPr>
          <w:trHeight w:val="343"/>
        </w:trPr>
        <w:tc>
          <w:tcPr>
            <w:tcW w:w="1871" w:type="dxa"/>
          </w:tcPr>
          <w:p w:rsidR="00406A5C" w:rsidRPr="00406A5C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Datatilsynet</w:t>
            </w:r>
          </w:p>
        </w:tc>
        <w:tc>
          <w:tcPr>
            <w:tcW w:w="3950" w:type="dxa"/>
            <w:vAlign w:val="center"/>
          </w:tcPr>
          <w:p w:rsidR="00406A5C" w:rsidRPr="00406A5C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Ingen bemærkninger.</w:t>
            </w:r>
          </w:p>
        </w:tc>
        <w:tc>
          <w:tcPr>
            <w:tcW w:w="3940" w:type="dxa"/>
          </w:tcPr>
          <w:p w:rsidR="00406A5C" w:rsidRPr="00406A5C" w:rsidRDefault="00406A5C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</w:tc>
      </w:tr>
      <w:tr w:rsidR="000810F2" w:rsidRPr="00406A5C" w:rsidTr="00801D62">
        <w:trPr>
          <w:trHeight w:val="343"/>
        </w:trPr>
        <w:tc>
          <w:tcPr>
            <w:tcW w:w="1871" w:type="dxa"/>
            <w:vAlign w:val="center"/>
          </w:tcPr>
          <w:p w:rsidR="009A2612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Danmarks</w:t>
            </w:r>
          </w:p>
          <w:p w:rsidR="000810F2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Rederiforening</w:t>
            </w:r>
          </w:p>
        </w:tc>
        <w:tc>
          <w:tcPr>
            <w:tcW w:w="3950" w:type="dxa"/>
            <w:vAlign w:val="center"/>
          </w:tcPr>
          <w:p w:rsidR="000810F2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Ingen bemærkninger.</w:t>
            </w:r>
          </w:p>
        </w:tc>
        <w:tc>
          <w:tcPr>
            <w:tcW w:w="3940" w:type="dxa"/>
            <w:vAlign w:val="center"/>
          </w:tcPr>
          <w:p w:rsidR="000810F2" w:rsidRPr="00406A5C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</w:tc>
      </w:tr>
      <w:tr w:rsidR="006638C3" w:rsidRPr="00406A5C" w:rsidTr="00801D62">
        <w:trPr>
          <w:trHeight w:val="343"/>
        </w:trPr>
        <w:tc>
          <w:tcPr>
            <w:tcW w:w="1871" w:type="dxa"/>
          </w:tcPr>
          <w:p w:rsidR="006638C3" w:rsidRDefault="006638C3" w:rsidP="006638C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 Erhverv</w:t>
            </w:r>
          </w:p>
        </w:tc>
        <w:tc>
          <w:tcPr>
            <w:tcW w:w="3950" w:type="dxa"/>
            <w:vAlign w:val="center"/>
          </w:tcPr>
          <w:p w:rsidR="006638C3" w:rsidRDefault="006638C3" w:rsidP="006638C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 Erhverv er positiv over for ændringen af momsbeskatningsst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det for elektroniske ydelser, tel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ydelser og radio- og tv-spredningstjenester, da ændringen imødegår den konkurrenceforvri</w:t>
            </w:r>
            <w:r>
              <w:rPr>
                <w:rFonts w:asciiTheme="minorHAnsi" w:eastAsia="Times New Roman" w:hAnsiTheme="minorHAnsi" w:cs="Calibri"/>
                <w:szCs w:val="24"/>
              </w:rPr>
              <w:t>d</w:t>
            </w:r>
            <w:r>
              <w:rPr>
                <w:rFonts w:asciiTheme="minorHAnsi" w:eastAsia="Times New Roman" w:hAnsiTheme="minorHAnsi" w:cs="Calibri"/>
                <w:szCs w:val="24"/>
              </w:rPr>
              <w:t>ning, der er konsekvens af forske</w:t>
            </w:r>
            <w:r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>lene i momssatserne i EU-landene. Dansk Erhverv bifalder også indf</w:t>
            </w:r>
            <w:r>
              <w:rPr>
                <w:rFonts w:asciiTheme="minorHAnsi" w:eastAsia="Times New Roman" w:hAnsiTheme="minorHAnsi" w:cs="Calibri"/>
                <w:szCs w:val="24"/>
              </w:rPr>
              <w:t>ø</w:t>
            </w:r>
            <w:r>
              <w:rPr>
                <w:rFonts w:asciiTheme="minorHAnsi" w:eastAsia="Times New Roman" w:hAnsiTheme="minorHAnsi" w:cs="Calibri"/>
                <w:szCs w:val="24"/>
              </w:rPr>
              <w:t>relsen af One Stop Shop ordningen, der alt andet lige mindsker de adm</w:t>
            </w:r>
            <w:r>
              <w:rPr>
                <w:rFonts w:asciiTheme="minorHAnsi" w:eastAsia="Times New Roman" w:hAnsiTheme="minorHAnsi" w:cs="Calibri"/>
                <w:szCs w:val="24"/>
              </w:rPr>
              <w:t>i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nistrative byrder for leverandørerne af de omhandlede ydelser. </w:t>
            </w:r>
          </w:p>
          <w:p w:rsidR="006638C3" w:rsidRDefault="006638C3" w:rsidP="006638C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638C3" w:rsidRDefault="006638C3" w:rsidP="006638C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Dansk Erhverv opfordrer 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F06F96">
              <w:rPr>
                <w:rFonts w:asciiTheme="minorHAnsi" w:eastAsia="Times New Roman" w:hAnsiTheme="minorHAnsi" w:cs="Calibri"/>
                <w:szCs w:val="24"/>
              </w:rPr>
              <w:t>kattem</w:t>
            </w:r>
            <w:r w:rsidR="00F06F96">
              <w:rPr>
                <w:rFonts w:asciiTheme="minorHAnsi" w:eastAsia="Times New Roman" w:hAnsiTheme="minorHAnsi" w:cs="Calibri"/>
                <w:szCs w:val="24"/>
              </w:rPr>
              <w:t>i</w:t>
            </w:r>
            <w:r w:rsidR="00F06F96">
              <w:rPr>
                <w:rFonts w:asciiTheme="minorHAnsi" w:eastAsia="Times New Roman" w:hAnsiTheme="minorHAnsi" w:cs="Calibri"/>
                <w:szCs w:val="24"/>
              </w:rPr>
              <w:t>nisteriet til at sikre en så effektiv og velimplementeret One Stop Shop ordning som muligt.</w:t>
            </w:r>
          </w:p>
          <w:p w:rsidR="006638C3" w:rsidRDefault="006638C3" w:rsidP="006638C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Dansk Erhverv finder, at ændringen af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investeringsgodebe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g</w:t>
            </w:r>
            <w:r>
              <w:rPr>
                <w:rFonts w:asciiTheme="minorHAnsi" w:eastAsia="Times New Roman" w:hAnsiTheme="minorHAnsi" w:cs="Calibri"/>
                <w:szCs w:val="24"/>
              </w:rPr>
              <w:t>rebet</w:t>
            </w:r>
            <w:proofErr w:type="spellEnd"/>
            <w:r>
              <w:rPr>
                <w:rFonts w:asciiTheme="minorHAnsi" w:eastAsia="Times New Roman" w:hAnsiTheme="minorHAnsi" w:cs="Calibri"/>
                <w:szCs w:val="24"/>
              </w:rPr>
              <w:t xml:space="preserve"> vil kr</w:t>
            </w:r>
            <w:r>
              <w:rPr>
                <w:rFonts w:asciiTheme="minorHAnsi" w:eastAsia="Times New Roman" w:hAnsiTheme="minorHAnsi" w:cs="Calibri"/>
                <w:szCs w:val="24"/>
              </w:rPr>
              <w:t>æ</w:t>
            </w:r>
            <w:r>
              <w:rPr>
                <w:rFonts w:asciiTheme="minorHAnsi" w:eastAsia="Times New Roman" w:hAnsiTheme="minorHAnsi" w:cs="Calibri"/>
                <w:szCs w:val="24"/>
              </w:rPr>
              <w:t>ve en større tilretning af virksomh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dernes procedurer i forbindelse med køb eller betaling for ydelser, idet de skal vurdere, om 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it-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ydelser 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har samme karakter som materielle i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vesteringsgoder, samt om de er u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dergivet værdiforringelse. Dansk Erhverv og IT-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>B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 xml:space="preserve">ranchen er 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 xml:space="preserve">desuden 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bekymrede for, at 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ændringen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vil give virksomhederne en varig og større admin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i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strativ byrde 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og påvirke inv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steringsniveauet hos virksomhede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7675FC">
              <w:rPr>
                <w:rFonts w:asciiTheme="minorHAnsi" w:eastAsia="Times New Roman" w:hAnsiTheme="minorHAnsi" w:cs="Calibri"/>
                <w:szCs w:val="24"/>
              </w:rPr>
              <w:t>ne negativt.</w:t>
            </w:r>
          </w:p>
          <w:p w:rsidR="00142982" w:rsidRDefault="00142982" w:rsidP="0014298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BB6E93" w:rsidRDefault="00BB6E93" w:rsidP="0014298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 Erhverv savner en afgræn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ning af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investeringsgodebegrebet</w:t>
            </w:r>
            <w:proofErr w:type="spellEnd"/>
            <w:r>
              <w:rPr>
                <w:rFonts w:asciiTheme="minorHAnsi" w:eastAsia="Times New Roman" w:hAnsiTheme="minorHAnsi" w:cs="Calibri"/>
                <w:szCs w:val="24"/>
              </w:rPr>
              <w:t>. Det bør f.eks. afklares, om der er tale om et investeringsgode i de tilfælde, hvor der betales et årligt beløb for en rettighed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 xml:space="preserve"> - 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er det bel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ø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bet delt ud på de enkelte medarbe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j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der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 xml:space="preserve">, de årlige beløb eller 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 xml:space="preserve">den 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sa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m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le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de betaling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 xml:space="preserve"> i kontraktens løbetid, der er afgørende for den beløb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142982">
              <w:rPr>
                <w:rFonts w:asciiTheme="minorHAnsi" w:eastAsia="Times New Roman" w:hAnsiTheme="minorHAnsi" w:cs="Calibri"/>
                <w:szCs w:val="24"/>
              </w:rPr>
              <w:t xml:space="preserve">mæssige behandling af købet. </w:t>
            </w:r>
          </w:p>
          <w:p w:rsidR="00142982" w:rsidRDefault="00142982" w:rsidP="0014298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142982" w:rsidRDefault="00142982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 Erhverv bifalder forslaget om at afskaffe d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en særlige ordning for udenlandsk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indregistrerede bu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ser, idet forslaget vil fjerne den n</w:t>
            </w:r>
            <w:r>
              <w:rPr>
                <w:rFonts w:asciiTheme="minorHAnsi" w:eastAsia="Times New Roman" w:hAnsiTheme="minorHAnsi" w:cs="Calibri"/>
                <w:szCs w:val="24"/>
              </w:rPr>
              <w:t>u</w:t>
            </w:r>
            <w:r>
              <w:rPr>
                <w:rFonts w:asciiTheme="minorHAnsi" w:eastAsia="Times New Roman" w:hAnsiTheme="minorHAnsi" w:cs="Calibri"/>
                <w:szCs w:val="24"/>
              </w:rPr>
              <w:t>værende konkurrenceforvridning på o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mr</w:t>
            </w:r>
            <w:r>
              <w:rPr>
                <w:rFonts w:asciiTheme="minorHAnsi" w:eastAsia="Times New Roman" w:hAnsiTheme="minorHAnsi" w:cs="Calibri"/>
                <w:szCs w:val="24"/>
              </w:rPr>
              <w:t>ådet og sikre ens vilkår for i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denlandsk og udenlandsk indreg</w:t>
            </w:r>
            <w:r>
              <w:rPr>
                <w:rFonts w:asciiTheme="minorHAnsi" w:eastAsia="Times New Roman" w:hAnsiTheme="minorHAnsi" w:cs="Calibri"/>
                <w:szCs w:val="24"/>
              </w:rPr>
              <w:t>i</w:t>
            </w:r>
            <w:r>
              <w:rPr>
                <w:rFonts w:asciiTheme="minorHAnsi" w:eastAsia="Times New Roman" w:hAnsiTheme="minorHAnsi" w:cs="Calibri"/>
                <w:szCs w:val="24"/>
              </w:rPr>
              <w:t>strerede busser. Skatteministeriet opfordres til at sikre, at de ude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landske busvognmænd bliver b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kendt med ændri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gen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, og der afsæ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t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tes de nødvendige kontrolressou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cer.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Dansk Erhverv mener, at et let tilgængeligt registrerings- og bet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a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lingssystem for de udenlandske vognmænd vil være hensigtsmæ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9A50CD">
              <w:rPr>
                <w:rFonts w:asciiTheme="minorHAnsi" w:eastAsia="Times New Roman" w:hAnsiTheme="minorHAnsi" w:cs="Calibri"/>
                <w:szCs w:val="24"/>
              </w:rPr>
              <w:t>sigt.</w:t>
            </w:r>
          </w:p>
        </w:tc>
        <w:tc>
          <w:tcPr>
            <w:tcW w:w="3940" w:type="dxa"/>
          </w:tcPr>
          <w:p w:rsidR="006638C3" w:rsidRDefault="006638C3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6F96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675FC" w:rsidRDefault="007675FC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55742" w:rsidRDefault="00655742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675FC" w:rsidRDefault="007675FC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675FC" w:rsidRDefault="00F06F96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Det kan oplyses, at arbejdet med genne</w:t>
            </w:r>
            <w:r>
              <w:rPr>
                <w:rFonts w:asciiTheme="minorHAnsi" w:eastAsia="Times New Roman" w:hAnsiTheme="minorHAnsi" w:cs="Calibri"/>
                <w:szCs w:val="24"/>
              </w:rPr>
              <w:t>m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førelse af ordningen er i gang.</w:t>
            </w:r>
          </w:p>
          <w:p w:rsidR="007675FC" w:rsidRDefault="007675FC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55742" w:rsidRDefault="00655742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55742" w:rsidRDefault="00655742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BB6E93" w:rsidRDefault="007675FC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De administrative byrder i relation til vu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dering af, om en ydelse er omfattet af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inv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steringsgodebegrebet</w:t>
            </w:r>
            <w:proofErr w:type="spellEnd"/>
            <w:r w:rsidR="00B224B7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anses ikke for næ</w:t>
            </w:r>
            <w:r>
              <w:rPr>
                <w:rFonts w:asciiTheme="minorHAnsi" w:eastAsia="Times New Roman" w:hAnsiTheme="minorHAnsi" w:cs="Calibri"/>
                <w:szCs w:val="24"/>
              </w:rPr>
              <w:t>v</w:t>
            </w:r>
            <w:r>
              <w:rPr>
                <w:rFonts w:asciiTheme="minorHAnsi" w:eastAsia="Times New Roman" w:hAnsiTheme="minorHAnsi" w:cs="Calibri"/>
                <w:szCs w:val="24"/>
              </w:rPr>
              <w:t>neværdig.</w:t>
            </w:r>
            <w:r w:rsidR="0096387E">
              <w:rPr>
                <w:rFonts w:asciiTheme="minorHAnsi" w:eastAsia="Times New Roman" w:hAnsiTheme="minorHAnsi" w:cs="Calibri"/>
                <w:szCs w:val="24"/>
              </w:rPr>
              <w:t xml:space="preserve"> It-systemer til en anskaffelse</w:t>
            </w:r>
            <w:r w:rsidR="0096387E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96387E">
              <w:rPr>
                <w:rFonts w:asciiTheme="minorHAnsi" w:eastAsia="Times New Roman" w:hAnsiTheme="minorHAnsi" w:cs="Calibri"/>
                <w:szCs w:val="24"/>
              </w:rPr>
              <w:t xml:space="preserve">værdi eller fremstillingspris 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 xml:space="preserve">på </w:t>
            </w:r>
            <w:r w:rsidR="0096387E">
              <w:rPr>
                <w:rFonts w:asciiTheme="minorHAnsi" w:eastAsia="Times New Roman" w:hAnsiTheme="minorHAnsi" w:cs="Calibri"/>
                <w:szCs w:val="24"/>
              </w:rPr>
              <w:t>over 100.000 kr. anses som udgangspunk for at har samme karakter som materielle invest</w:t>
            </w:r>
            <w:r w:rsidR="0096387E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96387E">
              <w:rPr>
                <w:rFonts w:asciiTheme="minorHAnsi" w:eastAsia="Times New Roman" w:hAnsiTheme="minorHAnsi" w:cs="Calibri"/>
                <w:szCs w:val="24"/>
              </w:rPr>
              <w:t xml:space="preserve">ringsgoder og have en værdiforringelse over tid. </w:t>
            </w:r>
            <w:r w:rsidR="00BB6E93">
              <w:rPr>
                <w:rFonts w:asciiTheme="minorHAnsi" w:eastAsia="Times New Roman" w:hAnsiTheme="minorHAnsi" w:cs="Calibri"/>
                <w:szCs w:val="24"/>
              </w:rPr>
              <w:t>Kun i særlige konkrete tilfælde kan et sådant it-system falde uden for begrebet. Er en virksomhed i et konkret tilfælde i tvivl om, hvorvidt en ydelse anses for et investeringsgode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BB6E93">
              <w:rPr>
                <w:rFonts w:asciiTheme="minorHAnsi" w:eastAsia="Times New Roman" w:hAnsiTheme="minorHAnsi" w:cs="Calibri"/>
                <w:szCs w:val="24"/>
              </w:rPr>
              <w:t xml:space="preserve"> kan den søge om bi</w:t>
            </w:r>
            <w:r w:rsidR="00BB6E93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BB6E93">
              <w:rPr>
                <w:rFonts w:asciiTheme="minorHAnsi" w:eastAsia="Times New Roman" w:hAnsiTheme="minorHAnsi" w:cs="Calibri"/>
                <w:szCs w:val="24"/>
              </w:rPr>
              <w:t>dende svar fra SKAT.</w:t>
            </w:r>
          </w:p>
          <w:p w:rsidR="00BB6E93" w:rsidRDefault="00BB6E93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F2A32" w:rsidRDefault="00FF2A32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675FC" w:rsidRDefault="00142982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Køb af tilladelse/licens til at bruge et inv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steringsgode (f.eks. et it-system) i en given periode</w:t>
            </w:r>
            <w:r w:rsidR="00B224B7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uden at køber får afgørende in</w:t>
            </w:r>
            <w:r>
              <w:rPr>
                <w:rFonts w:asciiTheme="minorHAnsi" w:eastAsia="Times New Roman" w:hAnsiTheme="minorHAnsi" w:cs="Calibri"/>
                <w:szCs w:val="24"/>
              </w:rPr>
              <w:t>d</w:t>
            </w:r>
            <w:r>
              <w:rPr>
                <w:rFonts w:asciiTheme="minorHAnsi" w:eastAsia="Times New Roman" w:hAnsiTheme="minorHAnsi" w:cs="Calibri"/>
                <w:szCs w:val="24"/>
              </w:rPr>
              <w:t>flydelse på godets yderligere funktionalitet eller anvendelse, er sidestillet med leje, og udgør ikke et investeringsgode i sig selv. Se endvidere kommentaren til FSR.</w:t>
            </w:r>
          </w:p>
          <w:p w:rsidR="007675FC" w:rsidRDefault="007675FC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A50CD" w:rsidRDefault="009A50CD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A50CD" w:rsidRDefault="009A50CD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A50CD" w:rsidRDefault="009A50CD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A50CD" w:rsidRDefault="009A50CD" w:rsidP="007675F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A50CD" w:rsidRDefault="009A50CD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SKAT vil sørge for den nødvendige info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>mation om ændringen, herunder om momsregistrering og efterfølgende angive</w:t>
            </w:r>
            <w:r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se og indbetaling af moms. 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 xml:space="preserve">Der er ikke planlagt et særskilt it-system til udenlandske vognmænd. </w:t>
            </w:r>
          </w:p>
          <w:p w:rsidR="009A50CD" w:rsidRDefault="009A50CD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A50CD" w:rsidRPr="00406A5C" w:rsidRDefault="009A50CD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</w:tc>
      </w:tr>
      <w:tr w:rsidR="00406A5C" w:rsidRPr="00406A5C" w:rsidTr="00801D62">
        <w:trPr>
          <w:trHeight w:val="343"/>
        </w:trPr>
        <w:tc>
          <w:tcPr>
            <w:tcW w:w="1871" w:type="dxa"/>
            <w:vAlign w:val="center"/>
          </w:tcPr>
          <w:p w:rsidR="00406A5C" w:rsidRPr="00406A5C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 Told &amp; Skatteforbund</w:t>
            </w:r>
          </w:p>
        </w:tc>
        <w:tc>
          <w:tcPr>
            <w:tcW w:w="3950" w:type="dxa"/>
            <w:vAlign w:val="center"/>
          </w:tcPr>
          <w:p w:rsidR="00406A5C" w:rsidRPr="00406A5C" w:rsidRDefault="000810F2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Ingen bemærkninger.</w:t>
            </w:r>
          </w:p>
        </w:tc>
        <w:tc>
          <w:tcPr>
            <w:tcW w:w="3940" w:type="dxa"/>
            <w:vAlign w:val="center"/>
          </w:tcPr>
          <w:p w:rsidR="00406A5C" w:rsidRPr="00406A5C" w:rsidRDefault="00406A5C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</w:tc>
      </w:tr>
      <w:tr w:rsidR="00856F23" w:rsidRPr="00406A5C" w:rsidTr="00801D62">
        <w:trPr>
          <w:trHeight w:val="343"/>
        </w:trPr>
        <w:tc>
          <w:tcPr>
            <w:tcW w:w="1871" w:type="dxa"/>
          </w:tcPr>
          <w:p w:rsidR="00856F23" w:rsidRDefault="00856F23" w:rsidP="00801D6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 Industri (DI)</w:t>
            </w:r>
          </w:p>
        </w:tc>
        <w:tc>
          <w:tcPr>
            <w:tcW w:w="3950" w:type="dxa"/>
          </w:tcPr>
          <w:p w:rsidR="00856F23" w:rsidRDefault="007C68EE" w:rsidP="007C68EE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DI støtter forslaget om at indføre forbrugslandsbeskatning på elektr</w:t>
            </w:r>
            <w:r>
              <w:rPr>
                <w:rFonts w:asciiTheme="minorHAnsi" w:eastAsia="Times New Roman" w:hAnsiTheme="minorHAnsi" w:cs="Calibri"/>
                <w:szCs w:val="24"/>
              </w:rPr>
              <w:t>o</w:t>
            </w:r>
            <w:r>
              <w:rPr>
                <w:rFonts w:asciiTheme="minorHAnsi" w:eastAsia="Times New Roman" w:hAnsiTheme="minorHAnsi" w:cs="Calibri"/>
                <w:szCs w:val="24"/>
              </w:rPr>
              <w:t>niske ydelser, teleyder og radio- og tv-spredningstjenester, idet dette vil skabe ens konkurrencevilkår for ydelser leveret til forbrugere, uanset i hvilket land virksomheden er eta</w:t>
            </w:r>
            <w:r>
              <w:rPr>
                <w:rFonts w:asciiTheme="minorHAnsi" w:eastAsia="Times New Roman" w:hAnsiTheme="minorHAnsi" w:cs="Calibri"/>
                <w:szCs w:val="24"/>
              </w:rPr>
              <w:t>b</w:t>
            </w:r>
            <w:r>
              <w:rPr>
                <w:rFonts w:asciiTheme="minorHAnsi" w:eastAsia="Times New Roman" w:hAnsiTheme="minorHAnsi" w:cs="Calibri"/>
                <w:szCs w:val="24"/>
              </w:rPr>
              <w:t>leret. DI støtter også indførelsen af One Stop Shop ordningen. DI kvi</w:t>
            </w:r>
            <w:r>
              <w:rPr>
                <w:rFonts w:asciiTheme="minorHAnsi" w:eastAsia="Times New Roman" w:hAnsiTheme="minorHAnsi" w:cs="Calibri"/>
                <w:szCs w:val="24"/>
              </w:rPr>
              <w:t>t</w:t>
            </w:r>
            <w:r>
              <w:rPr>
                <w:rFonts w:asciiTheme="minorHAnsi" w:eastAsia="Times New Roman" w:hAnsiTheme="minorHAnsi" w:cs="Calibri"/>
                <w:szCs w:val="24"/>
              </w:rPr>
              <w:t>tere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for, at Skatteministeriet tidligt har nedsat en følgegruppe i forbi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delse med implementeringen af d</w:t>
            </w:r>
            <w:r>
              <w:rPr>
                <w:rFonts w:asciiTheme="minorHAnsi" w:eastAsia="Times New Roman" w:hAnsiTheme="minorHAnsi" w:cs="Calibri"/>
                <w:szCs w:val="24"/>
              </w:rPr>
              <w:t>i</w:t>
            </w:r>
            <w:r>
              <w:rPr>
                <w:rFonts w:asciiTheme="minorHAnsi" w:eastAsia="Times New Roman" w:hAnsiTheme="minorHAnsi" w:cs="Calibri"/>
                <w:szCs w:val="24"/>
              </w:rPr>
              <w:t>rektivet, således at den danske i</w:t>
            </w:r>
            <w:r>
              <w:rPr>
                <w:rFonts w:asciiTheme="minorHAnsi" w:eastAsia="Times New Roman" w:hAnsiTheme="minorHAnsi" w:cs="Calibri"/>
                <w:szCs w:val="24"/>
              </w:rPr>
              <w:t>m</w:t>
            </w:r>
            <w:r>
              <w:rPr>
                <w:rFonts w:asciiTheme="minorHAnsi" w:eastAsia="Times New Roman" w:hAnsiTheme="minorHAnsi" w:cs="Calibri"/>
                <w:szCs w:val="24"/>
              </w:rPr>
              <w:t>plementering kan forløbe så gni</w:t>
            </w:r>
            <w:r>
              <w:rPr>
                <w:rFonts w:asciiTheme="minorHAnsi" w:eastAsia="Times New Roman" w:hAnsiTheme="minorHAnsi" w:cs="Calibri"/>
                <w:szCs w:val="24"/>
              </w:rPr>
              <w:t>d</w:t>
            </w:r>
            <w:r>
              <w:rPr>
                <w:rFonts w:asciiTheme="minorHAnsi" w:eastAsia="Times New Roman" w:hAnsiTheme="minorHAnsi" w:cs="Calibri"/>
                <w:szCs w:val="24"/>
              </w:rPr>
              <w:t>ningsfrit som muligt.</w:t>
            </w:r>
          </w:p>
          <w:p w:rsidR="007C68EE" w:rsidRDefault="007C68EE" w:rsidP="007C68EE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C68EE" w:rsidRDefault="007C68EE" w:rsidP="007C68EE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DI anfører, at det er positivt, at der i loven indarbejde</w:t>
            </w:r>
            <w:r w:rsidR="00D65FA4">
              <w:rPr>
                <w:rFonts w:asciiTheme="minorHAnsi" w:eastAsia="Times New Roman" w:hAnsiTheme="minorHAnsi" w:cs="Calibri"/>
                <w:szCs w:val="24"/>
              </w:rPr>
              <w:t>s de eksempler på teleydelser og radio- og tv-spredningsydelser, som er nævnt i teksten i Rådets gennemførelsesfo</w:t>
            </w:r>
            <w:r w:rsidR="00D65FA4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D65FA4">
              <w:rPr>
                <w:rFonts w:asciiTheme="minorHAnsi" w:eastAsia="Times New Roman" w:hAnsiTheme="minorHAnsi" w:cs="Calibri"/>
                <w:szCs w:val="24"/>
              </w:rPr>
              <w:t xml:space="preserve">ordning. Dette skaber sammen med eksemplerne på elektroniske ydelser, som allerede 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 xml:space="preserve">er nævnt </w:t>
            </w:r>
            <w:r w:rsidR="00D65FA4">
              <w:rPr>
                <w:rFonts w:asciiTheme="minorHAnsi" w:eastAsia="Times New Roman" w:hAnsiTheme="minorHAnsi" w:cs="Calibri"/>
                <w:szCs w:val="24"/>
              </w:rPr>
              <w:t>i gældende lov, en god sammenhæng i mom</w:t>
            </w:r>
            <w:r w:rsidR="00D65FA4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D65FA4">
              <w:rPr>
                <w:rFonts w:asciiTheme="minorHAnsi" w:eastAsia="Times New Roman" w:hAnsiTheme="minorHAnsi" w:cs="Calibri"/>
                <w:szCs w:val="24"/>
              </w:rPr>
              <w:t>loven.</w:t>
            </w:r>
          </w:p>
          <w:p w:rsidR="00D65FA4" w:rsidRDefault="00D65FA4" w:rsidP="007C68EE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C68EE" w:rsidRDefault="00D65FA4" w:rsidP="009532A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I noterer sig, at det foreslås at ophæve reglen om at flytte beska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t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ningsstedet ud af Danmark, hvis teleydelser faktisk anvendes uden for EU. DI foreslår dog, at det g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ø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res valgfrit for virksomhederne at benytte denne regel, hvis de vurd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rer dette mest hensigtsmæssigt af praktiske årsager. Dette kunne f.eks. være, hvis hele virksomhedens fa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k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tureringssystem er baseret på faktisk udnyttelse, og en ændring vil være systemmæssig meget svær at håndt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re.</w:t>
            </w:r>
          </w:p>
        </w:tc>
        <w:tc>
          <w:tcPr>
            <w:tcW w:w="3940" w:type="dxa"/>
          </w:tcPr>
          <w:p w:rsidR="00856F23" w:rsidRDefault="00856F23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Default="00F042CE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Det er prioriteret at indføre et klart 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og e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kelt regelsæt uden undtagelser og valgm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u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ligheder. </w:t>
            </w:r>
            <w:r w:rsidR="00902706">
              <w:rPr>
                <w:rFonts w:asciiTheme="minorHAnsi" w:eastAsia="Times New Roman" w:hAnsiTheme="minorHAnsi" w:cs="Calibri"/>
                <w:szCs w:val="24"/>
              </w:rPr>
              <w:t>Der er ikke i høringsprocessen komme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t</w:t>
            </w:r>
            <w:r w:rsidR="00A906A3">
              <w:rPr>
                <w:rFonts w:asciiTheme="minorHAnsi" w:eastAsia="Times New Roman" w:hAnsiTheme="minorHAnsi" w:cs="Calibri"/>
                <w:szCs w:val="24"/>
              </w:rPr>
              <w:t xml:space="preserve"> konkrete bemærkninger om, at denne del af forslaget giver 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væsentlige </w:t>
            </w:r>
            <w:r w:rsidR="00A906A3">
              <w:rPr>
                <w:rFonts w:asciiTheme="minorHAnsi" w:eastAsia="Times New Roman" w:hAnsiTheme="minorHAnsi" w:cs="Calibri"/>
                <w:szCs w:val="24"/>
              </w:rPr>
              <w:t>pr</w:t>
            </w:r>
            <w:r w:rsidR="00A906A3">
              <w:rPr>
                <w:rFonts w:asciiTheme="minorHAnsi" w:eastAsia="Times New Roman" w:hAnsiTheme="minorHAnsi" w:cs="Calibri"/>
                <w:szCs w:val="24"/>
              </w:rPr>
              <w:t>o</w:t>
            </w:r>
            <w:r w:rsidR="00A906A3">
              <w:rPr>
                <w:rFonts w:asciiTheme="minorHAnsi" w:eastAsia="Times New Roman" w:hAnsiTheme="minorHAnsi" w:cs="Calibri"/>
                <w:szCs w:val="24"/>
              </w:rPr>
              <w:t>blemer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i praksis</w:t>
            </w:r>
            <w:r w:rsidR="00A906A3">
              <w:rPr>
                <w:rFonts w:asciiTheme="minorHAnsi" w:eastAsia="Times New Roman" w:hAnsiTheme="minorHAnsi" w:cs="Calibri"/>
                <w:szCs w:val="24"/>
              </w:rPr>
              <w:t xml:space="preserve">, jf. f.eks. høringssvaret fra TDC. </w:t>
            </w:r>
          </w:p>
          <w:p w:rsidR="00902706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02706" w:rsidRPr="00406A5C" w:rsidRDefault="00902706" w:rsidP="0090270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</w:tc>
      </w:tr>
      <w:tr w:rsidR="00F00D52" w:rsidRPr="00406A5C" w:rsidTr="00801D62">
        <w:trPr>
          <w:trHeight w:val="343"/>
        </w:trPr>
        <w:tc>
          <w:tcPr>
            <w:tcW w:w="1871" w:type="dxa"/>
          </w:tcPr>
          <w:p w:rsidR="00F00D52" w:rsidRDefault="00F00D52" w:rsidP="00801D6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Danske Advok</w:t>
            </w:r>
            <w:r>
              <w:rPr>
                <w:rFonts w:asciiTheme="minorHAnsi" w:eastAsia="Times New Roman" w:hAnsiTheme="minorHAnsi" w:cs="Calibri"/>
                <w:szCs w:val="24"/>
              </w:rPr>
              <w:t>a</w:t>
            </w:r>
            <w:r>
              <w:rPr>
                <w:rFonts w:asciiTheme="minorHAnsi" w:eastAsia="Times New Roman" w:hAnsiTheme="minorHAnsi" w:cs="Calibri"/>
                <w:szCs w:val="24"/>
              </w:rPr>
              <w:t>ter og Danmarks Skatteadvokater</w:t>
            </w:r>
          </w:p>
        </w:tc>
        <w:tc>
          <w:tcPr>
            <w:tcW w:w="3950" w:type="dxa"/>
          </w:tcPr>
          <w:p w:rsidR="00F00D52" w:rsidRDefault="00144CF2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Danske Advokater og Danmarks Skatteadvokater foreslår, at også momslovens § 27, stk. 1, ændres, så ordlyden kommer bedre i overen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stemmelse med ordlyden i momss</w:t>
            </w:r>
            <w:r>
              <w:rPr>
                <w:rFonts w:asciiTheme="minorHAnsi" w:eastAsia="Times New Roman" w:hAnsiTheme="minorHAnsi" w:cs="Calibri"/>
                <w:szCs w:val="24"/>
              </w:rPr>
              <w:t>y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stemdirektivets artikel 73. </w:t>
            </w:r>
          </w:p>
          <w:p w:rsidR="0037434C" w:rsidRDefault="0037434C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7434C" w:rsidRDefault="009532AD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Danske Advokater og Danmarks Skatteadvokater </w:t>
            </w:r>
            <w:r w:rsidR="0037434C">
              <w:rPr>
                <w:rFonts w:asciiTheme="minorHAnsi" w:eastAsia="Times New Roman" w:hAnsiTheme="minorHAnsi" w:cs="Calibri"/>
                <w:szCs w:val="24"/>
              </w:rPr>
              <w:t>opfordrer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37434C">
              <w:rPr>
                <w:rFonts w:asciiTheme="minorHAnsi" w:eastAsia="Times New Roman" w:hAnsiTheme="minorHAnsi" w:cs="Calibri"/>
                <w:szCs w:val="24"/>
              </w:rPr>
              <w:t>til</w:t>
            </w:r>
            <w:r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37434C">
              <w:rPr>
                <w:rFonts w:asciiTheme="minorHAnsi" w:eastAsia="Times New Roman" w:hAnsiTheme="minorHAnsi" w:cs="Calibri"/>
                <w:szCs w:val="24"/>
              </w:rPr>
              <w:t xml:space="preserve"> at de specielle bemærkninger til forslagets § 1, stk. 2, gøres mere klare.</w:t>
            </w:r>
          </w:p>
          <w:p w:rsidR="00F84A38" w:rsidRDefault="00F84A38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84A38" w:rsidRDefault="00F84A38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Danske Advokater og Danmarks Skatteadvokater opfordrer til, at det overvejes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om provenuet ved forsl</w:t>
            </w:r>
            <w:r>
              <w:rPr>
                <w:rFonts w:asciiTheme="minorHAnsi" w:eastAsia="Times New Roman" w:hAnsiTheme="minorHAnsi" w:cs="Calibri"/>
                <w:szCs w:val="24"/>
              </w:rPr>
              <w:t>a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get om at udvide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investering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god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begrebet</w:t>
            </w:r>
            <w:proofErr w:type="spellEnd"/>
            <w:r w:rsidR="009532AD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står mål med de forøgede administrative byrder, som forslaget giver virksomhederne. Byrderne opstår ved, at virksomheder med både momspligtig og ikke mom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pligtig virksomhed skal føre en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i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vesteringsgodekonto</w:t>
            </w:r>
            <w:proofErr w:type="spellEnd"/>
            <w:r>
              <w:rPr>
                <w:rFonts w:asciiTheme="minorHAnsi" w:eastAsia="Times New Roman" w:hAnsiTheme="minorHAnsi" w:cs="Calibri"/>
                <w:szCs w:val="24"/>
              </w:rPr>
              <w:t xml:space="preserve"> i deres reg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skab. Som alternativ til forslaget kan indføres en særlig reguleringsregel for virksomheder, som foretager en fællesregistrering.</w:t>
            </w:r>
          </w:p>
          <w:p w:rsidR="000B4CBD" w:rsidRDefault="000B4CBD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84A38" w:rsidRDefault="000B4CBD" w:rsidP="009532A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Danske Advokater og Danmarks Skatteadvokater anbefaler, at der i bemærkningerne til udvidelsen af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investeringsgodebegrebet</w:t>
            </w:r>
            <w:proofErr w:type="spellEnd"/>
            <w:r>
              <w:rPr>
                <w:rFonts w:asciiTheme="minorHAnsi" w:eastAsia="Times New Roman" w:hAnsiTheme="minorHAnsi" w:cs="Calibri"/>
                <w:szCs w:val="24"/>
              </w:rPr>
              <w:t xml:space="preserve"> foretages en mere præcis definition af de o</w:t>
            </w:r>
            <w:r>
              <w:rPr>
                <w:rFonts w:asciiTheme="minorHAnsi" w:eastAsia="Times New Roman" w:hAnsiTheme="minorHAnsi" w:cs="Calibri"/>
                <w:szCs w:val="24"/>
              </w:rPr>
              <w:t>m</w:t>
            </w:r>
            <w:r>
              <w:rPr>
                <w:rFonts w:asciiTheme="minorHAnsi" w:eastAsia="Times New Roman" w:hAnsiTheme="minorHAnsi" w:cs="Calibri"/>
                <w:szCs w:val="24"/>
              </w:rPr>
              <w:t>fattede ydelser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og 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 xml:space="preserve">at der </w:t>
            </w:r>
            <w:r>
              <w:rPr>
                <w:rFonts w:asciiTheme="minorHAnsi" w:eastAsia="Times New Roman" w:hAnsiTheme="minorHAnsi" w:cs="Calibri"/>
                <w:szCs w:val="24"/>
              </w:rPr>
              <w:t>gives nogle eksempler.</w:t>
            </w:r>
          </w:p>
        </w:tc>
        <w:tc>
          <w:tcPr>
            <w:tcW w:w="3940" w:type="dxa"/>
          </w:tcPr>
          <w:p w:rsidR="00F00D52" w:rsidRDefault="00144CF2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Den foreslåede ændring er ikke medtaget</w:t>
            </w:r>
            <w:r w:rsidR="00312F57">
              <w:rPr>
                <w:rFonts w:asciiTheme="minorHAnsi" w:eastAsia="Times New Roman" w:hAnsiTheme="minorHAnsi" w:cs="Calibri"/>
                <w:szCs w:val="24"/>
              </w:rPr>
              <w:t>, da momslovens § 27, stk. 1, og tilhørende praksis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 xml:space="preserve"> vurderes at være</w:t>
            </w:r>
            <w:r w:rsidR="00312F57">
              <w:rPr>
                <w:rFonts w:asciiTheme="minorHAnsi" w:eastAsia="Times New Roman" w:hAnsiTheme="minorHAnsi" w:cs="Calibri"/>
                <w:szCs w:val="24"/>
              </w:rPr>
              <w:t xml:space="preserve"> i overensstemme</w:t>
            </w:r>
            <w:r w:rsidR="00312F57">
              <w:rPr>
                <w:rFonts w:asciiTheme="minorHAnsi" w:eastAsia="Times New Roman" w:hAnsiTheme="minorHAnsi" w:cs="Calibri"/>
                <w:szCs w:val="24"/>
              </w:rPr>
              <w:t>l</w:t>
            </w:r>
            <w:r w:rsidR="00312F57">
              <w:rPr>
                <w:rFonts w:asciiTheme="minorHAnsi" w:eastAsia="Times New Roman" w:hAnsiTheme="minorHAnsi" w:cs="Calibri"/>
                <w:szCs w:val="24"/>
              </w:rPr>
              <w:t>se med EU-reglerne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. </w:t>
            </w:r>
          </w:p>
          <w:p w:rsidR="0037434C" w:rsidRDefault="0037434C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7434C" w:rsidRDefault="0037434C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55742" w:rsidRDefault="00655742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7434C" w:rsidRDefault="0037434C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Idet det antages, at der henvises til forsl</w:t>
            </w:r>
            <w:r>
              <w:rPr>
                <w:rFonts w:asciiTheme="minorHAnsi" w:eastAsia="Times New Roman" w:hAnsiTheme="minorHAnsi" w:cs="Calibri"/>
                <w:szCs w:val="24"/>
              </w:rPr>
              <w:t>a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gets specielle bemærkninger til § 1, nr. 2, anføres, at bemærkningerne er </w:t>
            </w:r>
            <w:r w:rsidR="00F84A38">
              <w:rPr>
                <w:rFonts w:asciiTheme="minorHAnsi" w:eastAsia="Times New Roman" w:hAnsiTheme="minorHAnsi" w:cs="Calibri"/>
                <w:szCs w:val="24"/>
              </w:rPr>
              <w:t>just</w:t>
            </w:r>
            <w:r w:rsidR="00151ED9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F84A38">
              <w:rPr>
                <w:rFonts w:asciiTheme="minorHAnsi" w:eastAsia="Times New Roman" w:hAnsiTheme="minorHAnsi" w:cs="Calibri"/>
                <w:szCs w:val="24"/>
              </w:rPr>
              <w:t xml:space="preserve">ret for at gøre meningen mere tydelig. </w:t>
            </w:r>
          </w:p>
          <w:p w:rsidR="0037434C" w:rsidRDefault="0037434C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7434C" w:rsidRDefault="000B4CBD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Begrebet investeringsgode og regler 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herom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findes allerede i den gældende momslov. Der er alene tale om, at begrebet foreslås udvidet med visse ydelser. Kun for vir</w:t>
            </w:r>
            <w:r>
              <w:rPr>
                <w:rFonts w:asciiTheme="minorHAnsi" w:eastAsia="Times New Roman" w:hAnsiTheme="minorHAnsi" w:cs="Calibri"/>
                <w:szCs w:val="24"/>
              </w:rPr>
              <w:t>k</w:t>
            </w:r>
            <w:r>
              <w:rPr>
                <w:rFonts w:asciiTheme="minorHAnsi" w:eastAsia="Times New Roman" w:hAnsiTheme="minorHAnsi" w:cs="Calibri"/>
                <w:szCs w:val="24"/>
              </w:rPr>
              <w:t>somheder, der ikke hidtil har anskaffet eller fremstillet investeringsgoder, vil udvidelsen betyde nævneværdige administrative by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>der.</w:t>
            </w:r>
          </w:p>
          <w:p w:rsidR="00F84A38" w:rsidRDefault="00F84A38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84A38" w:rsidRDefault="00F84A38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84A38" w:rsidRDefault="00F84A38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0B4CBD" w:rsidRDefault="000B4CBD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0B4CBD" w:rsidRDefault="000B4CBD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0B4CBD" w:rsidRDefault="000B4CBD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55742" w:rsidRDefault="00655742" w:rsidP="0037434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532AD" w:rsidRDefault="009532AD" w:rsidP="00801D6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0B4CBD" w:rsidRDefault="000B4CBD" w:rsidP="00801D6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Der henvises til kommentarerne til </w:t>
            </w:r>
            <w:r w:rsidR="00801D62">
              <w:rPr>
                <w:rFonts w:asciiTheme="minorHAnsi" w:eastAsia="Times New Roman" w:hAnsiTheme="minorHAnsi" w:cs="Calibri"/>
                <w:szCs w:val="24"/>
              </w:rPr>
              <w:t>Dansk Erhverv og FSR.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 </w:t>
            </w:r>
          </w:p>
        </w:tc>
      </w:tr>
      <w:tr w:rsidR="00801D62" w:rsidRPr="00406A5C" w:rsidTr="003D3034">
        <w:trPr>
          <w:trHeight w:val="343"/>
        </w:trPr>
        <w:tc>
          <w:tcPr>
            <w:tcW w:w="1871" w:type="dxa"/>
          </w:tcPr>
          <w:p w:rsidR="00801D62" w:rsidRDefault="003D3034" w:rsidP="003D3034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Danske Bu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vognmænd</w:t>
            </w:r>
          </w:p>
        </w:tc>
        <w:tc>
          <w:tcPr>
            <w:tcW w:w="3950" w:type="dxa"/>
          </w:tcPr>
          <w:p w:rsidR="00801D62" w:rsidRDefault="003D3034" w:rsidP="003D3034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Danske Busvognmænd er helt enige i motivet og hensigten med forslaget om at afskaffe 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den særlige mom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ordning for udenlandske turistbu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 xml:space="preserve">ser i </w:t>
            </w:r>
            <w:r>
              <w:rPr>
                <w:rFonts w:asciiTheme="minorHAnsi" w:eastAsia="Times New Roman" w:hAnsiTheme="minorHAnsi" w:cs="Calibri"/>
                <w:szCs w:val="24"/>
              </w:rPr>
              <w:t>momslovens § 73. Forslaget vil skabe konkurrencemæssig ligestilling af danske og udenlandske busse</w:t>
            </w:r>
            <w:r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>skaber, og Danske Busvognmænd hilser derfor fors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>aget velkomment.</w:t>
            </w:r>
          </w:p>
          <w:p w:rsidR="003D3034" w:rsidRDefault="003D3034" w:rsidP="003D3034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312F57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Danske </w:t>
            </w:r>
            <w:r w:rsidR="00037523">
              <w:rPr>
                <w:rFonts w:asciiTheme="minorHAnsi" w:eastAsia="Times New Roman" w:hAnsiTheme="minorHAnsi" w:cs="Calibri"/>
                <w:szCs w:val="24"/>
              </w:rPr>
              <w:t>B</w:t>
            </w:r>
            <w:r>
              <w:rPr>
                <w:rFonts w:asciiTheme="minorHAnsi" w:eastAsia="Times New Roman" w:hAnsiTheme="minorHAnsi" w:cs="Calibri"/>
                <w:szCs w:val="24"/>
              </w:rPr>
              <w:t>usvognmænd opfordrer til, at der udarbejdes en online i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formation om, h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vordan registrering, betaling m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v. skal ske. Danske B</w:t>
            </w:r>
            <w:r>
              <w:rPr>
                <w:rFonts w:asciiTheme="minorHAnsi" w:eastAsia="Times New Roman" w:hAnsiTheme="minorHAnsi" w:cs="Calibri"/>
                <w:szCs w:val="24"/>
              </w:rPr>
              <w:t>u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vognmænd deltager gerne i inform</w:t>
            </w:r>
            <w:r>
              <w:rPr>
                <w:rFonts w:asciiTheme="minorHAnsi" w:eastAsia="Times New Roman" w:hAnsiTheme="minorHAnsi" w:cs="Calibri"/>
                <w:szCs w:val="24"/>
              </w:rPr>
              <w:t>a</w:t>
            </w:r>
            <w:r>
              <w:rPr>
                <w:rFonts w:asciiTheme="minorHAnsi" w:eastAsia="Times New Roman" w:hAnsiTheme="minorHAnsi" w:cs="Calibri"/>
                <w:szCs w:val="24"/>
              </w:rPr>
              <w:t>tionsarbejdet i forhold til deres e</w:t>
            </w:r>
            <w:r>
              <w:rPr>
                <w:rFonts w:asciiTheme="minorHAnsi" w:eastAsia="Times New Roman" w:hAnsiTheme="minorHAnsi" w:cs="Calibri"/>
                <w:szCs w:val="24"/>
              </w:rPr>
              <w:t>u</w:t>
            </w:r>
            <w:r>
              <w:rPr>
                <w:rFonts w:asciiTheme="minorHAnsi" w:eastAsia="Times New Roman" w:hAnsiTheme="minorHAnsi" w:cs="Calibri"/>
                <w:szCs w:val="24"/>
              </w:rPr>
              <w:t>ropæiske søsterorganisationer.</w:t>
            </w:r>
          </w:p>
        </w:tc>
        <w:tc>
          <w:tcPr>
            <w:tcW w:w="3940" w:type="dxa"/>
          </w:tcPr>
          <w:p w:rsidR="00801D62" w:rsidRDefault="00801D62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144CF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D3034" w:rsidRDefault="003D3034" w:rsidP="009532A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SKAT vil sørge for den nødvendige info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>mation om ændringen, herunder om momsregistrering og efterfølgende angive</w:t>
            </w:r>
            <w:r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>se og indbetaling af moms. Danske Bu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vognmænds tilbud om kontakt til deres europæiske søsterorganisationer er vider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givet til SKAT. </w:t>
            </w:r>
          </w:p>
        </w:tc>
      </w:tr>
      <w:tr w:rsidR="005B33A4" w:rsidRPr="00406A5C" w:rsidTr="00801D62">
        <w:trPr>
          <w:trHeight w:val="343"/>
        </w:trPr>
        <w:tc>
          <w:tcPr>
            <w:tcW w:w="1871" w:type="dxa"/>
          </w:tcPr>
          <w:p w:rsidR="005B33A4" w:rsidRDefault="005B33A4" w:rsidP="0088798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Danske Revisorer (FSR)</w:t>
            </w:r>
          </w:p>
        </w:tc>
        <w:tc>
          <w:tcPr>
            <w:tcW w:w="3950" w:type="dxa"/>
          </w:tcPr>
          <w:p w:rsidR="005B33A4" w:rsidRDefault="005B33A4" w:rsidP="007C369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FSR anfører, at forslagets </w:t>
            </w:r>
            <w:r w:rsidR="007C369C">
              <w:rPr>
                <w:rFonts w:asciiTheme="minorHAnsi" w:eastAsia="Times New Roman" w:hAnsiTheme="minorHAnsi" w:cs="Calibri"/>
                <w:szCs w:val="24"/>
              </w:rPr>
              <w:t xml:space="preserve">§ 1, </w:t>
            </w:r>
            <w:r>
              <w:rPr>
                <w:rFonts w:asciiTheme="minorHAnsi" w:eastAsia="Times New Roman" w:hAnsiTheme="minorHAnsi" w:cs="Calibri"/>
                <w:szCs w:val="24"/>
              </w:rPr>
              <w:t>nr. 3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7C369C">
              <w:rPr>
                <w:rFonts w:asciiTheme="minorHAnsi" w:eastAsia="Times New Roman" w:hAnsiTheme="minorHAnsi" w:cs="Calibri"/>
                <w:szCs w:val="24"/>
              </w:rPr>
              <w:t>vil betyde en ændring for danske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re</w:t>
            </w:r>
            <w:r w:rsidR="007C369C">
              <w:rPr>
                <w:rFonts w:asciiTheme="minorHAnsi" w:eastAsia="Times New Roman" w:hAnsiTheme="minorHAnsi" w:cs="Calibri"/>
                <w:szCs w:val="24"/>
              </w:rPr>
              <w:t>s forbrug af f.eks. mobiltelefoni uden for EU, idet et sådant forbrug vil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 xml:space="preserve"> være momspligtigt i Danmark. F</w:t>
            </w:r>
            <w:r w:rsidR="007C369C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7C369C">
              <w:rPr>
                <w:rFonts w:asciiTheme="minorHAnsi" w:eastAsia="Times New Roman" w:hAnsiTheme="minorHAnsi" w:cs="Calibri"/>
                <w:szCs w:val="24"/>
              </w:rPr>
              <w:t xml:space="preserve"> mener, at dette giver et begrænset merprovenu, hvilket bør fremgå af bemærkningerne.</w:t>
            </w:r>
          </w:p>
          <w:p w:rsidR="005439A8" w:rsidRDefault="005439A8" w:rsidP="007C369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5439A8" w:rsidRDefault="005439A8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FSR mener principielt ikke, at fo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ordningstekst bør skrives i loven. 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 xml:space="preserve">Ønskes dette alligevel, er det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F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Rs</w:t>
            </w:r>
            <w:proofErr w:type="spellEnd"/>
            <w:r>
              <w:rPr>
                <w:rFonts w:asciiTheme="minorHAnsi" w:eastAsia="Times New Roman" w:hAnsiTheme="minorHAnsi" w:cs="Calibri"/>
                <w:szCs w:val="24"/>
              </w:rPr>
              <w:t xml:space="preserve"> opfattelse at også </w:t>
            </w:r>
            <w:r w:rsidR="00FD3DF5">
              <w:rPr>
                <w:rFonts w:asciiTheme="minorHAnsi" w:eastAsia="Times New Roman" w:hAnsiTheme="minorHAnsi" w:cs="Calibri"/>
                <w:szCs w:val="24"/>
              </w:rPr>
              <w:t xml:space="preserve">”negativlisterne” i 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forordningen, dvs. hvad </w:t>
            </w:r>
            <w:r w:rsidR="00AC30A0">
              <w:rPr>
                <w:rFonts w:asciiTheme="minorHAnsi" w:eastAsia="Times New Roman" w:hAnsiTheme="minorHAnsi" w:cs="Calibri"/>
                <w:szCs w:val="24"/>
              </w:rPr>
              <w:t xml:space="preserve">der ikke </w:t>
            </w:r>
            <w:r>
              <w:rPr>
                <w:rFonts w:asciiTheme="minorHAnsi" w:eastAsia="Times New Roman" w:hAnsiTheme="minorHAnsi" w:cs="Calibri"/>
                <w:szCs w:val="24"/>
              </w:rPr>
              <w:t>anses for henholdsvis teleydelser og radio- og tv</w:t>
            </w:r>
            <w:r w:rsidR="00FD3DF5">
              <w:rPr>
                <w:rFonts w:asciiTheme="minorHAnsi" w:eastAsia="Times New Roman" w:hAnsiTheme="minorHAnsi" w:cs="Calibri"/>
                <w:szCs w:val="24"/>
              </w:rPr>
              <w:t>-</w:t>
            </w:r>
            <w:r>
              <w:rPr>
                <w:rFonts w:asciiTheme="minorHAnsi" w:eastAsia="Times New Roman" w:hAnsiTheme="minorHAnsi" w:cs="Calibri"/>
                <w:szCs w:val="24"/>
              </w:rPr>
              <w:t>spredningstjenester</w:t>
            </w:r>
            <w:r w:rsidR="00FD3DF5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bør indskrives i momslovens § 21 c. </w:t>
            </w:r>
          </w:p>
          <w:p w:rsidR="00FD3DF5" w:rsidRDefault="00FD3DF5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D3DF5" w:rsidRDefault="00FD3DF5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D3DF5" w:rsidRDefault="00FD3DF5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D3DF5" w:rsidRDefault="00FD3DF5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D3DF5" w:rsidRDefault="00F042CE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FSR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 xml:space="preserve"> er positiv over for forslaget om</w:t>
            </w:r>
            <w:r w:rsidR="00AC30A0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 xml:space="preserve"> at visse ydelser skal anses som investeringsgoder. Dog mener fo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eningen, at det er forkert at begru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de forslaget i et misbrug</w:t>
            </w:r>
            <w:r w:rsidR="00AC30A0">
              <w:rPr>
                <w:rFonts w:asciiTheme="minorHAnsi" w:eastAsia="Times New Roman" w:hAnsiTheme="minorHAnsi" w:cs="Calibri"/>
                <w:szCs w:val="24"/>
              </w:rPr>
              <w:t xml:space="preserve">. </w:t>
            </w:r>
            <w:r>
              <w:rPr>
                <w:rFonts w:asciiTheme="minorHAnsi" w:eastAsia="Times New Roman" w:hAnsiTheme="minorHAnsi" w:cs="Calibri"/>
                <w:szCs w:val="24"/>
              </w:rPr>
              <w:t>FSR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 xml:space="preserve"> anf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ø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rer desuden, at da brug af fællesreg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i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 xml:space="preserve">strering kræver tilladelse fra SKAT, kan det </w:t>
            </w:r>
            <w:r w:rsidR="007C457F">
              <w:rPr>
                <w:rFonts w:asciiTheme="minorHAnsi" w:eastAsia="Times New Roman" w:hAnsiTheme="minorHAnsi" w:cs="Calibri"/>
                <w:szCs w:val="24"/>
              </w:rPr>
              <w:t xml:space="preserve">overvejes, om det 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 xml:space="preserve">tilsigtede mål med forslaget </w:t>
            </w:r>
            <w:r w:rsidR="007C457F">
              <w:rPr>
                <w:rFonts w:asciiTheme="minorHAnsi" w:eastAsia="Times New Roman" w:hAnsiTheme="minorHAnsi" w:cs="Calibri"/>
                <w:szCs w:val="24"/>
              </w:rPr>
              <w:t xml:space="preserve">ikke kan </w:t>
            </w:r>
            <w:r w:rsidR="00052DBF">
              <w:rPr>
                <w:rFonts w:asciiTheme="minorHAnsi" w:eastAsia="Times New Roman" w:hAnsiTheme="minorHAnsi" w:cs="Calibri"/>
                <w:szCs w:val="24"/>
              </w:rPr>
              <w:t>nås ved justering af reglerne om at bruge fællesregistrering.</w:t>
            </w:r>
            <w:r w:rsidR="007C457F">
              <w:rPr>
                <w:rFonts w:asciiTheme="minorHAnsi" w:eastAsia="Times New Roman" w:hAnsiTheme="minorHAnsi" w:cs="Calibri"/>
                <w:szCs w:val="24"/>
              </w:rPr>
              <w:t xml:space="preserve"> En sådan justering vil ikke berøre alle virksomheder, og især være mindre indgribende for fuldt momspligtige virksomheder. </w:t>
            </w:r>
          </w:p>
          <w:p w:rsidR="007E06FE" w:rsidRDefault="007E06FE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E06FE" w:rsidRDefault="007E06FE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E06FE" w:rsidRDefault="007E06FE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949F0" w:rsidRDefault="006949F0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949F0" w:rsidRDefault="006949F0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6949F0" w:rsidRDefault="006949F0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FSR </w:t>
            </w:r>
            <w:r w:rsidR="00D81462">
              <w:rPr>
                <w:rFonts w:asciiTheme="minorHAnsi" w:eastAsia="Times New Roman" w:hAnsiTheme="minorHAnsi" w:cs="Calibri"/>
                <w:szCs w:val="24"/>
              </w:rPr>
              <w:t>anfører, at definitioner, a</w:t>
            </w:r>
            <w:r w:rsidR="00D81462">
              <w:rPr>
                <w:rFonts w:asciiTheme="minorHAnsi" w:eastAsia="Times New Roman" w:hAnsiTheme="minorHAnsi" w:cs="Calibri"/>
                <w:szCs w:val="24"/>
              </w:rPr>
              <w:t>f</w:t>
            </w:r>
            <w:r w:rsidR="00D81462">
              <w:rPr>
                <w:rFonts w:asciiTheme="minorHAnsi" w:eastAsia="Times New Roman" w:hAnsiTheme="minorHAnsi" w:cs="Calibri"/>
                <w:szCs w:val="24"/>
              </w:rPr>
              <w:t>grænsninger</w:t>
            </w:r>
            <w:r w:rsidR="00203FE1">
              <w:rPr>
                <w:rFonts w:asciiTheme="minorHAnsi" w:eastAsia="Times New Roman" w:hAnsiTheme="minorHAnsi" w:cs="Calibri"/>
                <w:szCs w:val="24"/>
              </w:rPr>
              <w:t xml:space="preserve"> og</w:t>
            </w:r>
            <w:r w:rsidR="00D81462">
              <w:rPr>
                <w:rFonts w:asciiTheme="minorHAnsi" w:eastAsia="Times New Roman" w:hAnsiTheme="minorHAnsi" w:cs="Calibri"/>
                <w:szCs w:val="24"/>
              </w:rPr>
              <w:t xml:space="preserve"> overgangsregler er meget vigtige, hvis ikke virksomh</w:t>
            </w:r>
            <w:r w:rsidR="00D81462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D81462">
              <w:rPr>
                <w:rFonts w:asciiTheme="minorHAnsi" w:eastAsia="Times New Roman" w:hAnsiTheme="minorHAnsi" w:cs="Calibri"/>
                <w:szCs w:val="24"/>
              </w:rPr>
              <w:t xml:space="preserve">derne helt unødvendigt skal belastes med betydelig ekstra administration. FSR </w:t>
            </w:r>
            <w:r>
              <w:rPr>
                <w:rFonts w:asciiTheme="minorHAnsi" w:eastAsia="Times New Roman" w:hAnsiTheme="minorHAnsi" w:cs="Calibri"/>
                <w:szCs w:val="24"/>
              </w:rPr>
              <w:t>opfordrer til, at der i bemær</w:t>
            </w:r>
            <w:r>
              <w:rPr>
                <w:rFonts w:asciiTheme="minorHAnsi" w:eastAsia="Times New Roman" w:hAnsiTheme="minorHAnsi" w:cs="Calibri"/>
                <w:szCs w:val="24"/>
              </w:rPr>
              <w:t>k</w:t>
            </w:r>
            <w:r>
              <w:rPr>
                <w:rFonts w:asciiTheme="minorHAnsi" w:eastAsia="Times New Roman" w:hAnsiTheme="minorHAnsi" w:cs="Calibri"/>
                <w:szCs w:val="24"/>
              </w:rPr>
              <w:t>ningerne til forslaget foretages a</w:t>
            </w:r>
            <w:r>
              <w:rPr>
                <w:rFonts w:asciiTheme="minorHAnsi" w:eastAsia="Times New Roman" w:hAnsiTheme="minorHAnsi" w:cs="Calibri"/>
                <w:szCs w:val="24"/>
              </w:rPr>
              <w:t>f</w:t>
            </w:r>
            <w:r>
              <w:rPr>
                <w:rFonts w:asciiTheme="minorHAnsi" w:eastAsia="Times New Roman" w:hAnsiTheme="minorHAnsi" w:cs="Calibri"/>
                <w:szCs w:val="24"/>
              </w:rPr>
              <w:t>grænsninger af begreberne ”sof</w:t>
            </w:r>
            <w:r>
              <w:rPr>
                <w:rFonts w:asciiTheme="minorHAnsi" w:eastAsia="Times New Roman" w:hAnsiTheme="minorHAnsi" w:cs="Calibri"/>
                <w:szCs w:val="24"/>
              </w:rPr>
              <w:t>t</w:t>
            </w:r>
            <w:r>
              <w:rPr>
                <w:rFonts w:asciiTheme="minorHAnsi" w:eastAsia="Times New Roman" w:hAnsiTheme="minorHAnsi" w:cs="Calibri"/>
                <w:szCs w:val="24"/>
              </w:rPr>
              <w:t>ware/rettighed”, og gives eksempler på, hvad der anses for at være o</w:t>
            </w:r>
            <w:r>
              <w:rPr>
                <w:rFonts w:asciiTheme="minorHAnsi" w:eastAsia="Times New Roman" w:hAnsiTheme="minorHAnsi" w:cs="Calibri"/>
                <w:szCs w:val="24"/>
              </w:rPr>
              <w:t>m</w:t>
            </w:r>
            <w:r>
              <w:rPr>
                <w:rFonts w:asciiTheme="minorHAnsi" w:eastAsia="Times New Roman" w:hAnsiTheme="minorHAnsi" w:cs="Calibri"/>
                <w:szCs w:val="24"/>
              </w:rPr>
              <w:t>fattet og ikke omfattet.</w:t>
            </w:r>
            <w:r w:rsidR="00D81462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6638C3">
              <w:rPr>
                <w:rFonts w:asciiTheme="minorHAnsi" w:eastAsia="Times New Roman" w:hAnsiTheme="minorHAnsi" w:cs="Calibri"/>
                <w:szCs w:val="24"/>
              </w:rPr>
              <w:t>FSR nævner nogle konkrete eksempler på, hvor en afgrænsning bør foretages.</w:t>
            </w:r>
          </w:p>
          <w:p w:rsidR="007E06FE" w:rsidRDefault="007E06FE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</w:tc>
        <w:tc>
          <w:tcPr>
            <w:tcW w:w="3940" w:type="dxa"/>
          </w:tcPr>
          <w:p w:rsidR="005B33A4" w:rsidRDefault="007C369C" w:rsidP="007C369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Det skønnes, at et merprovenu som følge af forslagets </w:t>
            </w:r>
            <w:r w:rsidR="005439A8">
              <w:rPr>
                <w:rFonts w:asciiTheme="minorHAnsi" w:eastAsia="Times New Roman" w:hAnsiTheme="minorHAnsi" w:cs="Calibri"/>
                <w:szCs w:val="24"/>
              </w:rPr>
              <w:t xml:space="preserve">§ 1, </w:t>
            </w:r>
            <w:r>
              <w:rPr>
                <w:rFonts w:asciiTheme="minorHAnsi" w:eastAsia="Times New Roman" w:hAnsiTheme="minorHAnsi" w:cs="Calibri"/>
                <w:szCs w:val="24"/>
              </w:rPr>
              <w:t>nr. 3</w:t>
            </w:r>
            <w:r w:rsidR="005439A8">
              <w:rPr>
                <w:rFonts w:asciiTheme="minorHAnsi" w:eastAsia="Times New Roman" w:hAnsiTheme="minorHAnsi" w:cs="Calibri"/>
                <w:szCs w:val="24"/>
              </w:rPr>
              <w:t>, ikke er nævnevæ</w:t>
            </w:r>
            <w:r w:rsidR="005439A8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5439A8">
              <w:rPr>
                <w:rFonts w:asciiTheme="minorHAnsi" w:eastAsia="Times New Roman" w:hAnsiTheme="minorHAnsi" w:cs="Calibri"/>
                <w:szCs w:val="24"/>
              </w:rPr>
              <w:t>digt.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 xml:space="preserve"> Det er det samlede merprovenu i rel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a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tion til ændringerne om ændret leveringsted og One Stop Shop, som er angivet i forsl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>a</w:t>
            </w:r>
            <w:r w:rsidR="009532AD">
              <w:rPr>
                <w:rFonts w:asciiTheme="minorHAnsi" w:eastAsia="Times New Roman" w:hAnsiTheme="minorHAnsi" w:cs="Calibri"/>
                <w:szCs w:val="24"/>
              </w:rPr>
              <w:t xml:space="preserve">gets afsnit 4. </w:t>
            </w:r>
          </w:p>
          <w:p w:rsidR="00FD3DF5" w:rsidRDefault="00FD3DF5" w:rsidP="007C369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D3DF5" w:rsidRDefault="00FD3DF5" w:rsidP="007C369C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532AD" w:rsidRDefault="009532AD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D3DF5" w:rsidRDefault="00FD3DF5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En positivliste over, hvad der forstås ved elektroniske ydelser</w:t>
            </w:r>
            <w:r w:rsidR="00AC30A0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fremgår af </w:t>
            </w:r>
            <w:r w:rsidR="00AC30A0">
              <w:rPr>
                <w:rFonts w:asciiTheme="minorHAnsi" w:eastAsia="Times New Roman" w:hAnsiTheme="minorHAnsi" w:cs="Calibri"/>
                <w:szCs w:val="24"/>
              </w:rPr>
              <w:t xml:space="preserve">det </w:t>
            </w:r>
            <w:r>
              <w:rPr>
                <w:rFonts w:asciiTheme="minorHAnsi" w:eastAsia="Times New Roman" w:hAnsiTheme="minorHAnsi" w:cs="Calibri"/>
                <w:szCs w:val="24"/>
              </w:rPr>
              <w:t>gæ</w:t>
            </w:r>
            <w:r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>dende momsdirektiv, og dermed også af gældende momslov, mens tilsvarende lister for teleydelser og radio- og tv-spredningstjenester blev sat ind i foror</w:t>
            </w:r>
            <w:r>
              <w:rPr>
                <w:rFonts w:asciiTheme="minorHAnsi" w:eastAsia="Times New Roman" w:hAnsiTheme="minorHAnsi" w:cs="Calibri"/>
                <w:szCs w:val="24"/>
              </w:rPr>
              <w:t>d</w:t>
            </w:r>
            <w:r>
              <w:rPr>
                <w:rFonts w:asciiTheme="minorHAnsi" w:eastAsia="Times New Roman" w:hAnsiTheme="minorHAnsi" w:cs="Calibri"/>
                <w:szCs w:val="24"/>
              </w:rPr>
              <w:t>ningen. For at få sammenhæng i momsl</w:t>
            </w:r>
            <w:r>
              <w:rPr>
                <w:rFonts w:asciiTheme="minorHAnsi" w:eastAsia="Times New Roman" w:hAnsiTheme="minorHAnsi" w:cs="Calibri"/>
                <w:szCs w:val="24"/>
              </w:rPr>
              <w:t>o</w:t>
            </w:r>
            <w:r>
              <w:rPr>
                <w:rFonts w:asciiTheme="minorHAnsi" w:eastAsia="Times New Roman" w:hAnsiTheme="minorHAnsi" w:cs="Calibri"/>
                <w:szCs w:val="24"/>
              </w:rPr>
              <w:t>ven foreslås forordningens positivlister indsat i loven. Negativlister har ikke tidlig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re forekommet i momsloven, </w:t>
            </w:r>
            <w:r w:rsidR="00AC30A0">
              <w:rPr>
                <w:rFonts w:asciiTheme="minorHAnsi" w:eastAsia="Times New Roman" w:hAnsiTheme="minorHAnsi" w:cs="Calibri"/>
                <w:szCs w:val="24"/>
              </w:rPr>
              <w:t>men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vil fremgå af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SKATs</w:t>
            </w:r>
            <w:proofErr w:type="spellEnd"/>
            <w:r>
              <w:rPr>
                <w:rFonts w:asciiTheme="minorHAnsi" w:eastAsia="Times New Roman" w:hAnsiTheme="minorHAnsi" w:cs="Calibri"/>
                <w:szCs w:val="24"/>
              </w:rPr>
              <w:t xml:space="preserve"> juridiske vejledning.  </w:t>
            </w:r>
          </w:p>
          <w:p w:rsidR="00052DBF" w:rsidRDefault="00052DBF" w:rsidP="00FD3DF5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052DBF" w:rsidRDefault="00052DBF" w:rsidP="007E06FE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Efter gældende praksis kan virksomheder fællesregistreres, hvis de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 xml:space="preserve">n ene virksomhed har 100 pct. ejeskab over 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en anden vir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k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somhed/andre virksomheder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>. Dette er en praksis, der giver en høj grad af retssikke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hed for virksomhederne. Indfør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>el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se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 xml:space="preserve"> af re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>g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>ler om, at SKAT i visse tilfælde kan nægte fællesregistrering, selv om ejerskabskravet er opfyldt, kan, selv om tilfældene søges eksemplifice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>ret, føre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 xml:space="preserve"> til mere subjektive afgørelser og mindre retssikkerhed</w:t>
            </w:r>
            <w:r w:rsidR="007C457F">
              <w:rPr>
                <w:rFonts w:asciiTheme="minorHAnsi" w:eastAsia="Times New Roman" w:hAnsiTheme="minorHAnsi" w:cs="Calibri"/>
                <w:szCs w:val="24"/>
              </w:rPr>
              <w:t xml:space="preserve"> for alle virksomheder, der overvejer fællesregistr</w:t>
            </w:r>
            <w:r w:rsidR="007C457F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7C457F">
              <w:rPr>
                <w:rFonts w:asciiTheme="minorHAnsi" w:eastAsia="Times New Roman" w:hAnsiTheme="minorHAnsi" w:cs="Calibri"/>
                <w:szCs w:val="24"/>
              </w:rPr>
              <w:t>ring</w:t>
            </w:r>
            <w:r w:rsidR="007E06FE">
              <w:rPr>
                <w:rFonts w:asciiTheme="minorHAnsi" w:eastAsia="Times New Roman" w:hAnsiTheme="minorHAnsi" w:cs="Calibri"/>
                <w:szCs w:val="24"/>
              </w:rPr>
              <w:t>.</w:t>
            </w:r>
            <w:r w:rsidR="006949F0">
              <w:rPr>
                <w:rFonts w:asciiTheme="minorHAnsi" w:eastAsia="Times New Roman" w:hAnsiTheme="minorHAnsi" w:cs="Calibri"/>
                <w:szCs w:val="24"/>
              </w:rPr>
              <w:t xml:space="preserve"> Det skal tilføjes, at fuldt momspligtige virksomhe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der</w:t>
            </w:r>
            <w:r w:rsidR="006949F0">
              <w:rPr>
                <w:rFonts w:asciiTheme="minorHAnsi" w:eastAsia="Times New Roman" w:hAnsiTheme="minorHAnsi" w:cs="Calibri"/>
                <w:szCs w:val="24"/>
              </w:rPr>
              <w:t xml:space="preserve"> har fuldt momsfradrag for købsmoms til investeringsgoder, så længe disse bruges i den momspligtige virkso</w:t>
            </w:r>
            <w:r w:rsidR="006949F0">
              <w:rPr>
                <w:rFonts w:asciiTheme="minorHAnsi" w:eastAsia="Times New Roman" w:hAnsiTheme="minorHAnsi" w:cs="Calibri"/>
                <w:szCs w:val="24"/>
              </w:rPr>
              <w:t>m</w:t>
            </w:r>
            <w:r w:rsidR="006949F0">
              <w:rPr>
                <w:rFonts w:asciiTheme="minorHAnsi" w:eastAsia="Times New Roman" w:hAnsiTheme="minorHAnsi" w:cs="Calibri"/>
                <w:szCs w:val="24"/>
              </w:rPr>
              <w:t>hed, og forslaget vil dermed ikke med</w:t>
            </w:r>
            <w:r w:rsidR="00FF2A32">
              <w:rPr>
                <w:rFonts w:asciiTheme="minorHAnsi" w:eastAsia="Times New Roman" w:hAnsiTheme="minorHAnsi" w:cs="Calibri"/>
                <w:szCs w:val="24"/>
              </w:rPr>
              <w:t>føre</w:t>
            </w:r>
            <w:r w:rsidR="006949F0">
              <w:rPr>
                <w:rFonts w:asciiTheme="minorHAnsi" w:eastAsia="Times New Roman" w:hAnsiTheme="minorHAnsi" w:cs="Calibri"/>
                <w:szCs w:val="24"/>
              </w:rPr>
              <w:t xml:space="preserve"> reguleringsforpligtigelser for disse.</w:t>
            </w:r>
          </w:p>
          <w:p w:rsidR="007E06FE" w:rsidRDefault="007E06FE" w:rsidP="007E06FE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7E06FE" w:rsidRDefault="00D81462" w:rsidP="009B476A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Der er i forslagets § 11, stk. 4, indsat en overgangsbestemmelse, hvori det fastsæ</w:t>
            </w:r>
            <w:r>
              <w:rPr>
                <w:rFonts w:asciiTheme="minorHAnsi" w:eastAsia="Times New Roman" w:hAnsiTheme="minorHAnsi" w:cs="Calibri"/>
                <w:szCs w:val="24"/>
              </w:rPr>
              <w:t>t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tes, at forslaget kun har virkning for ydelser anskaffet eller taget i brug den 1. juli 2014 eller derefter. I såvel bemærkningerne til denne bestemmelse, som i 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de specielle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b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mærkninger til forslagets § 1, nr.</w:t>
            </w:r>
            <w:r w:rsidR="000F19B2">
              <w:rPr>
                <w:rFonts w:asciiTheme="minorHAnsi" w:eastAsia="Times New Roman" w:hAnsiTheme="minorHAnsi" w:cs="Calibri"/>
                <w:szCs w:val="24"/>
              </w:rPr>
              <w:t xml:space="preserve">12, er </w:t>
            </w:r>
            <w:r w:rsidR="00AA485F">
              <w:rPr>
                <w:rFonts w:asciiTheme="minorHAnsi" w:eastAsia="Times New Roman" w:hAnsiTheme="minorHAnsi" w:cs="Calibri"/>
                <w:szCs w:val="24"/>
              </w:rPr>
              <w:t>ræ</w:t>
            </w:r>
            <w:r w:rsidR="00AA485F">
              <w:rPr>
                <w:rFonts w:asciiTheme="minorHAnsi" w:eastAsia="Times New Roman" w:hAnsiTheme="minorHAnsi" w:cs="Calibri"/>
                <w:szCs w:val="24"/>
              </w:rPr>
              <w:t>k</w:t>
            </w:r>
            <w:r w:rsidR="00AA485F">
              <w:rPr>
                <w:rFonts w:asciiTheme="minorHAnsi" w:eastAsia="Times New Roman" w:hAnsiTheme="minorHAnsi" w:cs="Calibri"/>
                <w:szCs w:val="24"/>
              </w:rPr>
              <w:t>kevidden af bestemmelsen uddybet. F.eks. anføres, at køb af tilladelse/licens til at bruge et investerin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gs</w:t>
            </w:r>
            <w:r w:rsidR="00AA485F">
              <w:rPr>
                <w:rFonts w:asciiTheme="minorHAnsi" w:eastAsia="Times New Roman" w:hAnsiTheme="minorHAnsi" w:cs="Calibri"/>
                <w:szCs w:val="24"/>
              </w:rPr>
              <w:t xml:space="preserve">gode (f.eks. et it-system) 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i en given periode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uden </w:t>
            </w:r>
            <w:r w:rsidR="007E5C1C">
              <w:rPr>
                <w:rFonts w:asciiTheme="minorHAnsi" w:eastAsia="Times New Roman" w:hAnsiTheme="minorHAnsi" w:cs="Calibri"/>
                <w:szCs w:val="24"/>
              </w:rPr>
              <w:t xml:space="preserve">at køber får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afgørende indflydelse på godets yderl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i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gere </w:t>
            </w:r>
            <w:r w:rsidR="007E5C1C">
              <w:rPr>
                <w:rFonts w:asciiTheme="minorHAnsi" w:eastAsia="Times New Roman" w:hAnsiTheme="minorHAnsi" w:cs="Calibri"/>
                <w:szCs w:val="24"/>
              </w:rPr>
              <w:t xml:space="preserve">funktionalitet eller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anvendelse, 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er sid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stillet med leje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 xml:space="preserve"> og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ikke </w:t>
            </w:r>
            <w:r w:rsidR="00F042CE">
              <w:rPr>
                <w:rFonts w:asciiTheme="minorHAnsi" w:eastAsia="Times New Roman" w:hAnsiTheme="minorHAnsi" w:cs="Calibri"/>
                <w:szCs w:val="24"/>
              </w:rPr>
              <w:t xml:space="preserve">udgør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et invest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ringsgode i sig selv.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ettighed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er, der 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anses for et investeringsgode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 i sig selv,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 xml:space="preserve"> er f.eks. 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 xml:space="preserve">køb af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p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atent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er</w:t>
            </w:r>
            <w:r w:rsidR="009B476A">
              <w:rPr>
                <w:rFonts w:asciiTheme="minorHAnsi" w:eastAsia="Times New Roman" w:hAnsiTheme="minorHAnsi" w:cs="Calibri"/>
                <w:szCs w:val="24"/>
              </w:rPr>
              <w:t xml:space="preserve"> og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 koncessioner, hvor 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re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t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>t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en til at bestemme over </w:t>
            </w:r>
            <w:r w:rsidR="007E5C1C">
              <w:rPr>
                <w:rFonts w:asciiTheme="minorHAnsi" w:eastAsia="Times New Roman" w:hAnsiTheme="minorHAnsi" w:cs="Calibri"/>
                <w:szCs w:val="24"/>
              </w:rPr>
              <w:t xml:space="preserve">funktionalitet og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>b</w:t>
            </w:r>
            <w:r w:rsidR="00E14BA1">
              <w:rPr>
                <w:rFonts w:asciiTheme="minorHAnsi" w:eastAsia="Times New Roman" w:hAnsiTheme="minorHAnsi" w:cs="Calibri"/>
                <w:szCs w:val="24"/>
              </w:rPr>
              <w:t>rugen af den underliggende vare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 eller ydelse overgår til køber.</w:t>
            </w:r>
            <w:r w:rsidR="00A53927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3A3C56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</w:p>
          <w:p w:rsidR="00133157" w:rsidRDefault="00133157" w:rsidP="009B476A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133157" w:rsidRPr="00406A5C" w:rsidRDefault="00133157" w:rsidP="00133157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Er en virksomhed i et konkret tilfælde i tvivl om, hvorvidt en ydelse anses for et investeringsgode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kan den søge om bi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dende svar fra SKAT.</w:t>
            </w:r>
          </w:p>
        </w:tc>
      </w:tr>
      <w:tr w:rsidR="00406A5C" w:rsidRPr="00406A5C" w:rsidTr="00801D62">
        <w:trPr>
          <w:trHeight w:val="343"/>
        </w:trPr>
        <w:tc>
          <w:tcPr>
            <w:tcW w:w="1871" w:type="dxa"/>
          </w:tcPr>
          <w:p w:rsidR="00406A5C" w:rsidRPr="009A2612" w:rsidRDefault="009A2612" w:rsidP="004A1FE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Erhvervsstyrelsen</w:t>
            </w:r>
          </w:p>
        </w:tc>
        <w:tc>
          <w:tcPr>
            <w:tcW w:w="3950" w:type="dxa"/>
          </w:tcPr>
          <w:p w:rsidR="00406A5C" w:rsidRDefault="004A1FE0" w:rsidP="004A1FE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Erhvervsstyrelsen oplyser, at den skal stå for gennemførelse af One Stop Shop ordningernes registreri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ger, og vil have udgifter i den fo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>bindelse.</w:t>
            </w:r>
          </w:p>
          <w:p w:rsidR="004A1FE0" w:rsidRDefault="004A1FE0" w:rsidP="004A1FE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4A1FE0" w:rsidRPr="004A1FE0" w:rsidRDefault="004A1FE0" w:rsidP="004A1FE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Styrelsens Team Effektiv Regulering (TER) vurderer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at forslagets adm</w:t>
            </w:r>
            <w:r>
              <w:rPr>
                <w:rFonts w:asciiTheme="minorHAnsi" w:eastAsia="Times New Roman" w:hAnsiTheme="minorHAnsi" w:cs="Calibri"/>
                <w:szCs w:val="24"/>
              </w:rPr>
              <w:t>i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nistrative byrder for erhvervslivet ikke overstiger 10.000 timer årligt på samfundsniveau. </w:t>
            </w:r>
          </w:p>
        </w:tc>
        <w:tc>
          <w:tcPr>
            <w:tcW w:w="3940" w:type="dxa"/>
          </w:tcPr>
          <w:p w:rsidR="004A1FE0" w:rsidRPr="004A1FE0" w:rsidRDefault="00E76546" w:rsidP="004A1FE0">
            <w:pPr>
              <w:jc w:val="left"/>
              <w:rPr>
                <w:rFonts w:asciiTheme="minorHAnsi" w:eastAsia="Times New Roman" w:hAnsiTheme="minorHAnsi" w:cs="Calibri"/>
                <w:color w:val="1F497D"/>
                <w:szCs w:val="24"/>
                <w:lang w:eastAsia="da-DK"/>
              </w:rPr>
            </w:pPr>
            <w:r>
              <w:rPr>
                <w:rFonts w:asciiTheme="minorHAnsi" w:eastAsia="Times New Roman" w:hAnsiTheme="minorHAnsi" w:cs="Calibri"/>
                <w:szCs w:val="24"/>
                <w:lang w:eastAsia="da-DK"/>
              </w:rPr>
              <w:t>Erhvervsstyrelsens</w:t>
            </w:r>
            <w:r w:rsidR="004A1FE0" w:rsidRPr="004A1FE0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 udgifter dækkes af </w:t>
            </w:r>
            <w:proofErr w:type="spellStart"/>
            <w:r w:rsidR="004A1FE0" w:rsidRPr="004A1FE0">
              <w:rPr>
                <w:rFonts w:asciiTheme="minorHAnsi" w:eastAsia="Times New Roman" w:hAnsiTheme="minorHAnsi" w:cs="Calibri"/>
                <w:szCs w:val="24"/>
                <w:lang w:eastAsia="da-DK"/>
              </w:rPr>
              <w:t>SKATs</w:t>
            </w:r>
            <w:proofErr w:type="spellEnd"/>
            <w:r w:rsidR="004A1FE0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 </w:t>
            </w:r>
            <w:r w:rsidR="004A1FE0" w:rsidRPr="004A1FE0">
              <w:rPr>
                <w:rFonts w:asciiTheme="minorHAnsi" w:eastAsia="Times New Roman" w:hAnsiTheme="minorHAnsi" w:cs="Calibri"/>
                <w:szCs w:val="24"/>
                <w:lang w:eastAsia="da-DK"/>
              </w:rPr>
              <w:t>One Stop Shop-projekt</w:t>
            </w:r>
            <w:r w:rsidR="004A1FE0" w:rsidRPr="004A1FE0">
              <w:rPr>
                <w:rFonts w:asciiTheme="minorHAnsi" w:eastAsia="Times New Roman" w:hAnsiTheme="minorHAnsi" w:cs="Calibri"/>
                <w:color w:val="1F497D"/>
                <w:szCs w:val="24"/>
                <w:lang w:eastAsia="da-DK"/>
              </w:rPr>
              <w:t xml:space="preserve">. </w:t>
            </w:r>
          </w:p>
          <w:p w:rsidR="00406A5C" w:rsidRPr="00406A5C" w:rsidRDefault="00406A5C" w:rsidP="004A1FE0">
            <w:pPr>
              <w:jc w:val="left"/>
              <w:rPr>
                <w:rFonts w:asciiTheme="minorHAnsi" w:eastAsia="Times New Roman" w:hAnsiTheme="minorHAnsi" w:cs="Calibri"/>
                <w:color w:val="808080"/>
                <w:szCs w:val="24"/>
              </w:rPr>
            </w:pPr>
          </w:p>
        </w:tc>
      </w:tr>
      <w:tr w:rsidR="00B875DA" w:rsidRPr="00406A5C" w:rsidTr="00801D62">
        <w:trPr>
          <w:trHeight w:val="343"/>
        </w:trPr>
        <w:tc>
          <w:tcPr>
            <w:tcW w:w="1871" w:type="dxa"/>
          </w:tcPr>
          <w:p w:rsidR="00B875DA" w:rsidRDefault="00B875DA" w:rsidP="00B875DA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FDIH - Foreni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gen for Dansk Internethandel</w:t>
            </w:r>
          </w:p>
        </w:tc>
        <w:tc>
          <w:tcPr>
            <w:tcW w:w="3950" w:type="dxa"/>
          </w:tcPr>
          <w:p w:rsidR="00B875DA" w:rsidRDefault="00B875DA" w:rsidP="009112D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FDIH anfører, at moms er afgøre</w:t>
            </w:r>
            <w:r>
              <w:rPr>
                <w:rFonts w:asciiTheme="minorHAnsi" w:eastAsia="Times New Roman" w:hAnsiTheme="minorHAnsi" w:cs="Calibri"/>
                <w:szCs w:val="24"/>
              </w:rPr>
              <w:t>n</w:t>
            </w:r>
            <w:r>
              <w:rPr>
                <w:rFonts w:asciiTheme="minorHAnsi" w:eastAsia="Times New Roman" w:hAnsiTheme="minorHAnsi" w:cs="Calibri"/>
                <w:szCs w:val="24"/>
              </w:rPr>
              <w:t>de for konkurrenceevnen ved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Calibri"/>
                <w:szCs w:val="24"/>
              </w:rPr>
              <w:t>e-handel.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 xml:space="preserve"> Den høje danske moms udgør derfor en konkurrencemæssig barriere, da danske forbrugere lo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k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kes af lavere priser i udlandet. Fo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slaget om at ændre beskatningsst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 xml:space="preserve">det 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 xml:space="preserve">for elektroniske ydelser 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til fo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brugslandet og indføre en One Stop Shop ordning er positivt. Forslaget vil øge konkurrenceevnen for da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090BBC">
              <w:rPr>
                <w:rFonts w:asciiTheme="minorHAnsi" w:eastAsia="Times New Roman" w:hAnsiTheme="minorHAnsi" w:cs="Calibri"/>
                <w:szCs w:val="24"/>
              </w:rPr>
              <w:t xml:space="preserve">ske </w:t>
            </w:r>
            <w:proofErr w:type="spellStart"/>
            <w:r w:rsidR="00090BBC">
              <w:rPr>
                <w:rFonts w:asciiTheme="minorHAnsi" w:eastAsia="Times New Roman" w:hAnsiTheme="minorHAnsi" w:cs="Calibri"/>
                <w:szCs w:val="24"/>
              </w:rPr>
              <w:t>net</w:t>
            </w:r>
            <w:r w:rsidR="009D035F">
              <w:rPr>
                <w:rFonts w:asciiTheme="minorHAnsi" w:eastAsia="Times New Roman" w:hAnsiTheme="minorHAnsi" w:cs="Calibri"/>
                <w:szCs w:val="24"/>
              </w:rPr>
              <w:t>butikker</w:t>
            </w:r>
            <w:proofErr w:type="spellEnd"/>
            <w:r w:rsidR="009112D6">
              <w:rPr>
                <w:rFonts w:asciiTheme="minorHAnsi" w:eastAsia="Times New Roman" w:hAnsiTheme="minorHAnsi" w:cs="Calibri"/>
                <w:szCs w:val="24"/>
              </w:rPr>
              <w:t xml:space="preserve"> og forhåbentlig fastholde virksomheder og arbejd</w:t>
            </w:r>
            <w:r w:rsidR="009112D6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9112D6">
              <w:rPr>
                <w:rFonts w:asciiTheme="minorHAnsi" w:eastAsia="Times New Roman" w:hAnsiTheme="minorHAnsi" w:cs="Calibri"/>
                <w:szCs w:val="24"/>
              </w:rPr>
              <w:t>pladser i Danmark.</w:t>
            </w:r>
          </w:p>
          <w:p w:rsidR="009112D6" w:rsidRDefault="009112D6" w:rsidP="009112D6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9112D6" w:rsidRDefault="009112D6" w:rsidP="00856F2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FDIH anfører, at det er afgørende, at myndighedere etablerer et system, så </w:t>
            </w:r>
            <w:r w:rsidR="00856F23">
              <w:rPr>
                <w:rFonts w:asciiTheme="minorHAnsi" w:eastAsia="Times New Roman" w:hAnsiTheme="minorHAnsi" w:cs="Calibri"/>
                <w:szCs w:val="24"/>
              </w:rPr>
              <w:t xml:space="preserve">virksomhederne har overblik 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>over</w:t>
            </w:r>
            <w:r w:rsidR="00856F23">
              <w:rPr>
                <w:rFonts w:asciiTheme="minorHAnsi" w:eastAsia="Times New Roman" w:hAnsiTheme="minorHAnsi" w:cs="Calibri"/>
                <w:szCs w:val="24"/>
              </w:rPr>
              <w:t xml:space="preserve"> de forskellige EU-landes momssatser.</w:t>
            </w:r>
          </w:p>
          <w:p w:rsidR="00856F23" w:rsidRDefault="00856F23" w:rsidP="00856F2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B224B7" w:rsidRDefault="00B224B7" w:rsidP="00856F2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856F23" w:rsidRDefault="00E14BA1" w:rsidP="00856F2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FDIH</w:t>
            </w:r>
            <w:r w:rsidR="00856F23">
              <w:rPr>
                <w:rFonts w:asciiTheme="minorHAnsi" w:eastAsia="Times New Roman" w:hAnsiTheme="minorHAnsi" w:cs="Calibri"/>
                <w:szCs w:val="24"/>
              </w:rPr>
              <w:t xml:space="preserve"> bemærker, at det er ærgerligt, at forslaget ikke omfatter alle var</w:t>
            </w:r>
            <w:r w:rsidR="00856F23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856F23">
              <w:rPr>
                <w:rFonts w:asciiTheme="minorHAnsi" w:eastAsia="Times New Roman" w:hAnsiTheme="minorHAnsi" w:cs="Calibri"/>
                <w:szCs w:val="24"/>
              </w:rPr>
              <w:t>grupper – også de fysiske varer.</w:t>
            </w:r>
          </w:p>
        </w:tc>
        <w:tc>
          <w:tcPr>
            <w:tcW w:w="3940" w:type="dxa"/>
          </w:tcPr>
          <w:p w:rsidR="00B875DA" w:rsidRDefault="00B875DA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E76546" w:rsidRDefault="00E76546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B224B7" w:rsidRPr="00E76546" w:rsidRDefault="00B224B7" w:rsidP="00B224B7">
            <w:pPr>
              <w:rPr>
                <w:rFonts w:asciiTheme="minorHAnsi" w:hAnsiTheme="minorHAnsi" w:cs="Times New Roman"/>
                <w:szCs w:val="24"/>
              </w:rPr>
            </w:pPr>
            <w:r w:rsidRPr="00E76546">
              <w:rPr>
                <w:rFonts w:asciiTheme="minorHAnsi" w:hAnsiTheme="minorHAnsi" w:cs="Times New Roman"/>
                <w:szCs w:val="24"/>
              </w:rPr>
              <w:t>Kommissionen har lavet en internetside, der hedder TIC (=</w:t>
            </w:r>
            <w:proofErr w:type="spellStart"/>
            <w:r w:rsidRPr="00E76546">
              <w:rPr>
                <w:rFonts w:asciiTheme="minorHAnsi" w:hAnsiTheme="minorHAnsi" w:cs="Times New Roman"/>
                <w:szCs w:val="24"/>
              </w:rPr>
              <w:t>Taxation</w:t>
            </w:r>
            <w:proofErr w:type="spellEnd"/>
            <w:r w:rsidRPr="00E76546">
              <w:rPr>
                <w:rFonts w:asciiTheme="minorHAnsi" w:hAnsiTheme="minorHAnsi" w:cs="Times New Roman"/>
                <w:szCs w:val="24"/>
              </w:rPr>
              <w:t xml:space="preserve">, information and </w:t>
            </w:r>
            <w:proofErr w:type="spellStart"/>
            <w:r w:rsidRPr="00E76546">
              <w:rPr>
                <w:rFonts w:asciiTheme="minorHAnsi" w:hAnsiTheme="minorHAnsi" w:cs="Times New Roman"/>
                <w:szCs w:val="24"/>
              </w:rPr>
              <w:t>communication</w:t>
            </w:r>
            <w:proofErr w:type="spellEnd"/>
            <w:r w:rsidRPr="00E76546">
              <w:rPr>
                <w:rFonts w:asciiTheme="minorHAnsi" w:hAnsiTheme="minorHAnsi" w:cs="Times New Roman"/>
                <w:szCs w:val="24"/>
              </w:rPr>
              <w:t xml:space="preserve">), hvor momssatserne kan findes. Siden er: </w:t>
            </w:r>
          </w:p>
          <w:p w:rsidR="00B224B7" w:rsidRPr="00B224B7" w:rsidRDefault="00313A0A" w:rsidP="00B224B7">
            <w:pPr>
              <w:rPr>
                <w:rFonts w:ascii="Calibri" w:hAnsi="Calibri" w:cs="Calibri"/>
                <w:sz w:val="22"/>
              </w:rPr>
            </w:pPr>
            <w:hyperlink r:id="rId8" w:history="1">
              <w:r w:rsidR="00B224B7" w:rsidRPr="00E76546">
                <w:rPr>
                  <w:rStyle w:val="Hyperlink"/>
                  <w:rFonts w:asciiTheme="minorHAnsi" w:hAnsiTheme="minorHAnsi" w:cs="Times New Roman"/>
                  <w:color w:val="auto"/>
                  <w:szCs w:val="24"/>
                </w:rPr>
                <w:t>http://ec.europa.eu/taxation_customs/tic/</w:t>
              </w:r>
            </w:hyperlink>
          </w:p>
          <w:p w:rsidR="00856F23" w:rsidRDefault="00856F23" w:rsidP="004A1FE0">
            <w:pPr>
              <w:jc w:val="left"/>
              <w:rPr>
                <w:rFonts w:asciiTheme="minorHAnsi" w:eastAsia="Times New Roman" w:hAnsiTheme="minorHAnsi" w:cs="Calibri"/>
                <w:color w:val="FF0000"/>
                <w:szCs w:val="24"/>
                <w:lang w:eastAsia="da-DK"/>
              </w:rPr>
            </w:pPr>
          </w:p>
          <w:p w:rsidR="00856F23" w:rsidRPr="00856F23" w:rsidRDefault="00856F23" w:rsidP="004A1FE0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</w:p>
          <w:p w:rsidR="00856F23" w:rsidRPr="004A1FE0" w:rsidRDefault="00856F23" w:rsidP="00F042CE">
            <w:pPr>
              <w:jc w:val="left"/>
              <w:rPr>
                <w:rFonts w:asciiTheme="minorHAnsi" w:eastAsia="Times New Roman" w:hAnsiTheme="minorHAnsi" w:cs="Calibri"/>
                <w:szCs w:val="24"/>
                <w:lang w:eastAsia="da-DK"/>
              </w:rPr>
            </w:pPr>
            <w:r w:rsidRPr="00856F23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One </w:t>
            </w:r>
            <w:r w:rsidR="00E76546">
              <w:rPr>
                <w:rFonts w:asciiTheme="minorHAnsi" w:eastAsia="Times New Roman" w:hAnsiTheme="minorHAnsi" w:cs="Calibri"/>
                <w:szCs w:val="24"/>
                <w:lang w:eastAsia="da-DK"/>
              </w:rPr>
              <w:t>S</w:t>
            </w:r>
            <w:r w:rsidR="00CD23C1">
              <w:rPr>
                <w:rFonts w:asciiTheme="minorHAnsi" w:eastAsia="Times New Roman" w:hAnsiTheme="minorHAnsi" w:cs="Calibri"/>
                <w:szCs w:val="24"/>
                <w:lang w:eastAsia="da-DK"/>
              </w:rPr>
              <w:t>top Shop ordningen er</w:t>
            </w:r>
            <w:r w:rsidRPr="00856F23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 begrænset til elektroniske ydelser, teleydelser og radio- og tv-spredningsydelser. </w:t>
            </w:r>
            <w:r w:rsidR="00F042CE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Efter en tids brug </w:t>
            </w:r>
            <w:r w:rsidRPr="00856F23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vil </w:t>
            </w:r>
            <w:r w:rsidR="00F042CE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ordningen blive evalueret med henblik på </w:t>
            </w:r>
            <w:r w:rsidRPr="00856F23">
              <w:rPr>
                <w:rFonts w:asciiTheme="minorHAnsi" w:eastAsia="Times New Roman" w:hAnsiTheme="minorHAnsi" w:cs="Calibri"/>
                <w:szCs w:val="24"/>
                <w:lang w:eastAsia="da-DK"/>
              </w:rPr>
              <w:t>drøftelser om øget brug af sy</w:t>
            </w:r>
            <w:r w:rsidR="00F042CE">
              <w:rPr>
                <w:rFonts w:asciiTheme="minorHAnsi" w:eastAsia="Times New Roman" w:hAnsiTheme="minorHAnsi" w:cs="Calibri"/>
                <w:szCs w:val="24"/>
                <w:lang w:eastAsia="da-DK"/>
              </w:rPr>
              <w:t>stemet</w:t>
            </w:r>
            <w:r w:rsidRPr="00856F23">
              <w:rPr>
                <w:rFonts w:asciiTheme="minorHAnsi" w:eastAsia="Times New Roman" w:hAnsiTheme="minorHAnsi" w:cs="Calibri"/>
                <w:szCs w:val="24"/>
                <w:lang w:eastAsia="da-DK"/>
              </w:rPr>
              <w:t xml:space="preserve">. </w:t>
            </w:r>
          </w:p>
        </w:tc>
      </w:tr>
      <w:tr w:rsidR="00406A5C" w:rsidRPr="00406A5C" w:rsidTr="00801D62">
        <w:trPr>
          <w:trHeight w:val="343"/>
        </w:trPr>
        <w:tc>
          <w:tcPr>
            <w:tcW w:w="1871" w:type="dxa"/>
            <w:vAlign w:val="center"/>
          </w:tcPr>
          <w:p w:rsidR="00406A5C" w:rsidRPr="004A1FE0" w:rsidRDefault="004A1FE0" w:rsidP="009A2612">
            <w:pPr>
              <w:jc w:val="left"/>
              <w:rPr>
                <w:rFonts w:asciiTheme="minorHAnsi" w:eastAsia="Times New Roman" w:hAnsiTheme="minorHAnsi" w:cs="Calibri"/>
                <w:color w:val="808080"/>
                <w:szCs w:val="24"/>
              </w:rPr>
            </w:pPr>
            <w:r w:rsidRPr="004A1FE0">
              <w:rPr>
                <w:rFonts w:asciiTheme="minorHAnsi" w:eastAsia="Times New Roman" w:hAnsiTheme="minorHAnsi" w:cs="Calibri"/>
                <w:szCs w:val="24"/>
              </w:rPr>
              <w:t>Finansrådet</w:t>
            </w:r>
          </w:p>
        </w:tc>
        <w:tc>
          <w:tcPr>
            <w:tcW w:w="3950" w:type="dxa"/>
            <w:vAlign w:val="center"/>
          </w:tcPr>
          <w:p w:rsidR="00406A5C" w:rsidRPr="004A1FE0" w:rsidRDefault="004A1FE0" w:rsidP="004A1FE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Ingen bemærkninger.</w:t>
            </w:r>
          </w:p>
        </w:tc>
        <w:tc>
          <w:tcPr>
            <w:tcW w:w="3940" w:type="dxa"/>
            <w:vAlign w:val="center"/>
          </w:tcPr>
          <w:p w:rsidR="00406A5C" w:rsidRPr="00406A5C" w:rsidRDefault="00406A5C" w:rsidP="009A2612">
            <w:pPr>
              <w:jc w:val="left"/>
              <w:rPr>
                <w:rFonts w:asciiTheme="minorHAnsi" w:eastAsia="Times New Roman" w:hAnsiTheme="minorHAnsi" w:cs="Calibri"/>
                <w:color w:val="808080"/>
                <w:szCs w:val="24"/>
              </w:rPr>
            </w:pPr>
          </w:p>
        </w:tc>
      </w:tr>
      <w:tr w:rsidR="005B33A4" w:rsidRPr="00406A5C" w:rsidTr="00801D62">
        <w:trPr>
          <w:trHeight w:val="343"/>
        </w:trPr>
        <w:tc>
          <w:tcPr>
            <w:tcW w:w="1871" w:type="dxa"/>
            <w:vAlign w:val="center"/>
          </w:tcPr>
          <w:p w:rsidR="005B33A4" w:rsidRPr="004A1FE0" w:rsidRDefault="005B33A4" w:rsidP="005B33A4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Forsikring &amp; Pension</w:t>
            </w:r>
          </w:p>
        </w:tc>
        <w:tc>
          <w:tcPr>
            <w:tcW w:w="3950" w:type="dxa"/>
            <w:vAlign w:val="center"/>
          </w:tcPr>
          <w:p w:rsidR="005B33A4" w:rsidRDefault="005B33A4" w:rsidP="004A1FE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Ingen bemærkninger.</w:t>
            </w:r>
          </w:p>
        </w:tc>
        <w:tc>
          <w:tcPr>
            <w:tcW w:w="3940" w:type="dxa"/>
            <w:vAlign w:val="center"/>
          </w:tcPr>
          <w:p w:rsidR="005B33A4" w:rsidRPr="00406A5C" w:rsidRDefault="005B33A4" w:rsidP="009A2612">
            <w:pPr>
              <w:jc w:val="left"/>
              <w:rPr>
                <w:rFonts w:asciiTheme="minorHAnsi" w:eastAsia="Times New Roman" w:hAnsiTheme="minorHAnsi" w:cs="Calibri"/>
                <w:color w:val="808080"/>
                <w:szCs w:val="24"/>
              </w:rPr>
            </w:pPr>
          </w:p>
        </w:tc>
      </w:tr>
      <w:tr w:rsidR="00406A5C" w:rsidRPr="00406A5C" w:rsidTr="00801D62">
        <w:trPr>
          <w:trHeight w:val="343"/>
        </w:trPr>
        <w:tc>
          <w:tcPr>
            <w:tcW w:w="1871" w:type="dxa"/>
            <w:vAlign w:val="center"/>
          </w:tcPr>
          <w:p w:rsidR="00406A5C" w:rsidRPr="004A1FE0" w:rsidRDefault="004A1FE0" w:rsidP="009A2612">
            <w:pPr>
              <w:jc w:val="left"/>
              <w:rPr>
                <w:rFonts w:asciiTheme="minorHAnsi" w:eastAsia="Times New Roman" w:hAnsiTheme="minorHAnsi" w:cs="Calibri"/>
                <w:color w:val="808080"/>
                <w:szCs w:val="24"/>
              </w:rPr>
            </w:pPr>
            <w:r w:rsidRPr="004A1FE0">
              <w:rPr>
                <w:rFonts w:asciiTheme="minorHAnsi" w:eastAsia="Times New Roman" w:hAnsiTheme="minorHAnsi" w:cs="Calibri"/>
                <w:szCs w:val="24"/>
              </w:rPr>
              <w:t>KL</w:t>
            </w:r>
          </w:p>
        </w:tc>
        <w:tc>
          <w:tcPr>
            <w:tcW w:w="3950" w:type="dxa"/>
            <w:vAlign w:val="center"/>
          </w:tcPr>
          <w:p w:rsidR="00406A5C" w:rsidRPr="004A1FE0" w:rsidRDefault="004A1FE0" w:rsidP="009A261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Ingen bemærkninger.</w:t>
            </w:r>
          </w:p>
        </w:tc>
        <w:tc>
          <w:tcPr>
            <w:tcW w:w="3940" w:type="dxa"/>
            <w:vAlign w:val="center"/>
          </w:tcPr>
          <w:p w:rsidR="00406A5C" w:rsidRPr="00406A5C" w:rsidRDefault="00406A5C" w:rsidP="009A2612">
            <w:pPr>
              <w:jc w:val="left"/>
              <w:rPr>
                <w:rFonts w:asciiTheme="minorHAnsi" w:eastAsia="Times New Roman" w:hAnsiTheme="minorHAnsi" w:cs="Calibri"/>
                <w:color w:val="808080"/>
                <w:szCs w:val="24"/>
              </w:rPr>
            </w:pPr>
          </w:p>
        </w:tc>
      </w:tr>
      <w:tr w:rsidR="009A50CD" w:rsidRPr="00406A5C" w:rsidTr="00801D62">
        <w:trPr>
          <w:trHeight w:val="343"/>
        </w:trPr>
        <w:tc>
          <w:tcPr>
            <w:tcW w:w="1871" w:type="dxa"/>
          </w:tcPr>
          <w:p w:rsidR="009A50CD" w:rsidRPr="004A1FE0" w:rsidRDefault="009A50CD" w:rsidP="00801D6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Landbrug &amp; F</w:t>
            </w:r>
            <w:r>
              <w:rPr>
                <w:rFonts w:asciiTheme="minorHAnsi" w:eastAsia="Times New Roman" w:hAnsiTheme="minorHAnsi" w:cs="Calibri"/>
                <w:szCs w:val="24"/>
              </w:rPr>
              <w:t>ø</w:t>
            </w:r>
            <w:r>
              <w:rPr>
                <w:rFonts w:asciiTheme="minorHAnsi" w:eastAsia="Times New Roman" w:hAnsiTheme="minorHAnsi" w:cs="Calibri"/>
                <w:szCs w:val="24"/>
              </w:rPr>
              <w:t>devarer</w:t>
            </w:r>
          </w:p>
        </w:tc>
        <w:tc>
          <w:tcPr>
            <w:tcW w:w="3950" w:type="dxa"/>
          </w:tcPr>
          <w:p w:rsidR="009A50CD" w:rsidRDefault="009A50CD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Landbrug &amp; Fødevarer anbefaler, at der foretages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Calibri"/>
                <w:szCs w:val="24"/>
              </w:rPr>
              <w:t>en nærmere afgræn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ning af, hvilke type ydelser, der vil blive omfattet af </w:t>
            </w:r>
            <w:proofErr w:type="spellStart"/>
            <w:r>
              <w:rPr>
                <w:rFonts w:asciiTheme="minorHAnsi" w:eastAsia="Times New Roman" w:hAnsiTheme="minorHAnsi" w:cs="Calibri"/>
                <w:szCs w:val="24"/>
              </w:rPr>
              <w:t>investeringsgod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begrebet</w:t>
            </w:r>
            <w:proofErr w:type="spellEnd"/>
            <w:r>
              <w:rPr>
                <w:rFonts w:asciiTheme="minorHAnsi" w:eastAsia="Times New Roman" w:hAnsiTheme="minorHAnsi" w:cs="Calibri"/>
                <w:szCs w:val="24"/>
              </w:rPr>
              <w:t>.</w:t>
            </w:r>
          </w:p>
        </w:tc>
        <w:tc>
          <w:tcPr>
            <w:tcW w:w="3940" w:type="dxa"/>
          </w:tcPr>
          <w:p w:rsidR="009A50CD" w:rsidRPr="009A50CD" w:rsidRDefault="009A50CD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Der </w:t>
            </w:r>
            <w:r w:rsidR="00B875DA">
              <w:rPr>
                <w:rFonts w:asciiTheme="minorHAnsi" w:eastAsia="Times New Roman" w:hAnsiTheme="minorHAnsi" w:cs="Calibri"/>
                <w:szCs w:val="24"/>
              </w:rPr>
              <w:t>henvises til kommentarerne til D</w:t>
            </w:r>
            <w:r>
              <w:rPr>
                <w:rFonts w:asciiTheme="minorHAnsi" w:eastAsia="Times New Roman" w:hAnsiTheme="minorHAnsi" w:cs="Calibri"/>
                <w:szCs w:val="24"/>
              </w:rPr>
              <w:t>ansk Erhverv og FSR.</w:t>
            </w:r>
          </w:p>
        </w:tc>
      </w:tr>
      <w:tr w:rsidR="00A906A3" w:rsidRPr="00406A5C" w:rsidTr="00801D62">
        <w:trPr>
          <w:trHeight w:val="343"/>
        </w:trPr>
        <w:tc>
          <w:tcPr>
            <w:tcW w:w="1871" w:type="dxa"/>
          </w:tcPr>
          <w:p w:rsidR="00A906A3" w:rsidRDefault="00A906A3" w:rsidP="00801D6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SAXO.com</w:t>
            </w:r>
          </w:p>
        </w:tc>
        <w:tc>
          <w:tcPr>
            <w:tcW w:w="3950" w:type="dxa"/>
          </w:tcPr>
          <w:p w:rsidR="00A906A3" w:rsidRDefault="00F54181" w:rsidP="00E47BC8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SAXO.com anfører, at selv om R</w:t>
            </w:r>
            <w:r>
              <w:rPr>
                <w:rFonts w:asciiTheme="minorHAnsi" w:eastAsia="Times New Roman" w:hAnsiTheme="minorHAnsi" w:cs="Calibri"/>
                <w:szCs w:val="24"/>
              </w:rPr>
              <w:t>å</w:t>
            </w:r>
            <w:r>
              <w:rPr>
                <w:rFonts w:asciiTheme="minorHAnsi" w:eastAsia="Times New Roman" w:hAnsiTheme="minorHAnsi" w:cs="Calibri"/>
                <w:szCs w:val="24"/>
              </w:rPr>
              <w:t>dets forordning er direkte gældende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og derfor ikke omtales 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>direkte i lo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>v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 xml:space="preserve">forslaget, 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 xml:space="preserve">vil virksomheden 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>anmode om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, at i tilfælde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 xml:space="preserve"> 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>hvor virksomheden efter bedste evne har forsøgt at leve op til dokumentationskravene i fo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>ordningen, men hvor det senere viser sig, at kunden har givet uko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E47BC8">
              <w:rPr>
                <w:rFonts w:asciiTheme="minorHAnsi" w:eastAsia="Times New Roman" w:hAnsiTheme="minorHAnsi" w:cs="Calibri"/>
                <w:szCs w:val="24"/>
              </w:rPr>
              <w:t xml:space="preserve">rekte oplysninger, skal SKAT ikke kunne opkræve manglende betalt moms fra virksomheden. </w:t>
            </w:r>
          </w:p>
          <w:p w:rsidR="004E16F9" w:rsidRDefault="004E16F9" w:rsidP="00E47BC8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E76546" w:rsidRDefault="00E76546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E76546" w:rsidRDefault="00E76546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E76546" w:rsidRDefault="00E76546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90F5D" w:rsidRDefault="00390F5D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4E16F9" w:rsidRDefault="00CD23C1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SAXO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.com ser positivt på One Stop Shop ordningen, der betyder en reduktion i de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>t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 administrative arbejde, da der ikke skal indrappo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teres direkte i alle EU-lande. Dog kræver det en lang række tilpasni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ger og nye interne systemer i vir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k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somhederne. SAXO.com er beky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m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ret for</w:t>
            </w:r>
            <w:r w:rsidR="00777E72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 at manglende rettidig ge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nemførelse af systemerne i nogle EU-lande</w:t>
            </w:r>
            <w:r w:rsidR="00777E72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 vil medføre ulige konku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renceforhold og andre problemer for virksomhederne. </w:t>
            </w:r>
          </w:p>
          <w:p w:rsidR="00A04ACB" w:rsidRDefault="00A04ACB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A04ACB" w:rsidRDefault="00A04ACB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A04ACB" w:rsidRDefault="00A04ACB" w:rsidP="004E16F9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A04ACB" w:rsidRDefault="00A04ACB" w:rsidP="00777E7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SAX</w:t>
            </w:r>
            <w:r w:rsidR="00777E72">
              <w:rPr>
                <w:rFonts w:asciiTheme="minorHAnsi" w:eastAsia="Times New Roman" w:hAnsiTheme="minorHAnsi" w:cs="Calibri"/>
                <w:szCs w:val="24"/>
              </w:rPr>
              <w:t>O</w:t>
            </w:r>
            <w:r>
              <w:rPr>
                <w:rFonts w:asciiTheme="minorHAnsi" w:eastAsia="Times New Roman" w:hAnsiTheme="minorHAnsi" w:cs="Calibri"/>
                <w:szCs w:val="24"/>
              </w:rPr>
              <w:t>.com mener, at de nye regler sandsynligvis vil betyde, at små, innovative virksomheder vil få sv</w:t>
            </w:r>
            <w:r>
              <w:rPr>
                <w:rFonts w:asciiTheme="minorHAnsi" w:eastAsia="Times New Roman" w:hAnsiTheme="minorHAnsi" w:cs="Calibri"/>
                <w:szCs w:val="24"/>
              </w:rPr>
              <w:t>æ</w:t>
            </w:r>
            <w:r>
              <w:rPr>
                <w:rFonts w:asciiTheme="minorHAnsi" w:eastAsia="Times New Roman" w:hAnsiTheme="minorHAnsi" w:cs="Calibri"/>
                <w:szCs w:val="24"/>
              </w:rPr>
              <w:t>rere ved at etablere sig på det inte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>nationale marked, da man øger kompleksiteten ved lancering af nye produkter på tværs af grænserne i EU</w:t>
            </w:r>
            <w:r w:rsidR="00F00D52">
              <w:rPr>
                <w:rFonts w:asciiTheme="minorHAnsi" w:eastAsia="Times New Roman" w:hAnsiTheme="minorHAnsi" w:cs="Calibri"/>
                <w:szCs w:val="24"/>
              </w:rPr>
              <w:t>.</w:t>
            </w:r>
          </w:p>
        </w:tc>
        <w:tc>
          <w:tcPr>
            <w:tcW w:w="3940" w:type="dxa"/>
          </w:tcPr>
          <w:p w:rsidR="00A906A3" w:rsidRDefault="00E47BC8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Det fremgår af forordningens artikel 24 d, stk. 2, at en skattemyndighed kan afvise 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 xml:space="preserve">en virksomheds </w:t>
            </w:r>
            <w:r>
              <w:rPr>
                <w:rFonts w:asciiTheme="minorHAnsi" w:eastAsia="Times New Roman" w:hAnsiTheme="minorHAnsi" w:cs="Calibri"/>
                <w:szCs w:val="24"/>
              </w:rPr>
              <w:t>formodning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 xml:space="preserve"> om, hvor kunden er etableret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– det vil sige det beskatning</w:t>
            </w:r>
            <w:r>
              <w:rPr>
                <w:rFonts w:asciiTheme="minorHAnsi" w:eastAsia="Times New Roman" w:hAnsiTheme="minorHAnsi" w:cs="Calibri"/>
                <w:szCs w:val="24"/>
              </w:rPr>
              <w:t>s</w:t>
            </w:r>
            <w:r>
              <w:rPr>
                <w:rFonts w:asciiTheme="minorHAnsi" w:eastAsia="Times New Roman" w:hAnsiTheme="minorHAnsi" w:cs="Calibri"/>
                <w:szCs w:val="24"/>
              </w:rPr>
              <w:t>sted, som virksomheden har fastsat på ba</w:t>
            </w:r>
            <w:r>
              <w:rPr>
                <w:rFonts w:asciiTheme="minorHAnsi" w:eastAsia="Times New Roman" w:hAnsiTheme="minorHAnsi" w:cs="Calibri"/>
                <w:szCs w:val="24"/>
              </w:rPr>
              <w:t>g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grund af 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dokumentationskravene – når der er tegn på fejlagtig anvendelse 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 xml:space="preserve">af reglerne 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eller misbrug 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 xml:space="preserve">af disse 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fra leverandørens side. I tilfælde, hvor virksomheden 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 xml:space="preserve">efter </w:t>
            </w:r>
            <w:proofErr w:type="spellStart"/>
            <w:r w:rsidR="00CD23C1">
              <w:rPr>
                <w:rFonts w:asciiTheme="minorHAnsi" w:eastAsia="Times New Roman" w:hAnsiTheme="minorHAnsi" w:cs="Calibri"/>
                <w:szCs w:val="24"/>
              </w:rPr>
              <w:t>SKATs</w:t>
            </w:r>
            <w:proofErr w:type="spellEnd"/>
            <w:r w:rsidR="00CD23C1">
              <w:rPr>
                <w:rFonts w:asciiTheme="minorHAnsi" w:eastAsia="Times New Roman" w:hAnsiTheme="minorHAnsi" w:cs="Calibri"/>
                <w:szCs w:val="24"/>
              </w:rPr>
              <w:t xml:space="preserve"> vurdering 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har gjort som den skal, men kunden har afgivet ukorrekte oply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s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ninger, som virksomheden ikke kan forve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n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tes at kunne opdage, vil SKAT derfor ikke ændre det af virksomheden fastlagte b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e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>skatningssted</w:t>
            </w:r>
            <w:r w:rsidR="00E76546">
              <w:rPr>
                <w:rFonts w:asciiTheme="minorHAnsi" w:eastAsia="Times New Roman" w:hAnsiTheme="minorHAnsi" w:cs="Calibri"/>
                <w:szCs w:val="24"/>
              </w:rPr>
              <w:t>,</w:t>
            </w:r>
            <w:r w:rsidR="004E16F9">
              <w:rPr>
                <w:rFonts w:asciiTheme="minorHAnsi" w:eastAsia="Times New Roman" w:hAnsiTheme="minorHAnsi" w:cs="Calibri"/>
                <w:szCs w:val="24"/>
              </w:rPr>
              <w:t xml:space="preserve"> og der vil derfor ikke være noget moms at efteropkræve.  </w:t>
            </w:r>
          </w:p>
          <w:p w:rsidR="00A04ACB" w:rsidRDefault="00A04ACB" w:rsidP="009A50CD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0D52" w:rsidRDefault="00A04ACB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Direktivet, som ændrede reglerne, blev vedtaget tilbage i 2008. Datoen for ikraf</w:t>
            </w:r>
            <w:r>
              <w:rPr>
                <w:rFonts w:asciiTheme="minorHAnsi" w:eastAsia="Times New Roman" w:hAnsiTheme="minorHAnsi" w:cs="Calibri"/>
                <w:szCs w:val="24"/>
              </w:rPr>
              <w:t>t</w:t>
            </w:r>
            <w:r>
              <w:rPr>
                <w:rFonts w:asciiTheme="minorHAnsi" w:eastAsia="Times New Roman" w:hAnsiTheme="minorHAnsi" w:cs="Calibri"/>
                <w:szCs w:val="24"/>
              </w:rPr>
              <w:t>trædelse af reglerne blev fastsat til 1. januar 2015 netop for at give den fornødne tid til</w:t>
            </w:r>
            <w:r w:rsidR="00777E72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at en rettidig gennemførelse kunne sikres. Arbejdet med gennemførelsen af de nye regler, herunder it-systemerne til One Stop Shop ordningen, har derfor været i gang længe både på EU-plan og nationalt. </w:t>
            </w:r>
          </w:p>
          <w:p w:rsidR="00F042CE" w:rsidRDefault="00F042CE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42CE" w:rsidRDefault="00F042CE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42CE" w:rsidRDefault="00F042CE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42CE" w:rsidRDefault="00F042CE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42CE" w:rsidRDefault="00F042CE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42CE" w:rsidRDefault="00F042CE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42CE" w:rsidRDefault="00F042CE" w:rsidP="00A04ACB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F00D52" w:rsidRDefault="00F00D52" w:rsidP="00777E72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Virksomheder etableret i Danmark, har hidtil skul</w:t>
            </w:r>
            <w:r w:rsidR="00777E72">
              <w:rPr>
                <w:rFonts w:asciiTheme="minorHAnsi" w:eastAsia="Times New Roman" w:hAnsiTheme="minorHAnsi" w:cs="Calibri"/>
                <w:szCs w:val="24"/>
              </w:rPr>
              <w:t>let betale 25 pct. dansk moms af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 xml:space="preserve"> salg af ydelser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til kunder i de øvrige EU-lande, mens virksomheder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etableret i lande med lav momssats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,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har kunnet sælge til kunder overalt i EU til den lave sats. De nye regler</w:t>
            </w:r>
            <w:r w:rsidR="00655742">
              <w:rPr>
                <w:rFonts w:asciiTheme="minorHAnsi" w:eastAsia="Times New Roman" w:hAnsiTheme="minorHAnsi" w:cs="Calibri"/>
                <w:szCs w:val="24"/>
              </w:rPr>
              <w:t xml:space="preserve"> betyder, at alle virksomheder -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uanset hvor de er etableret - skal betale moms med den momssats, der er i kundens land. Dette vil stille alle virksomheder lige, og øge de dansk etablerede virksomhedes konkurrenceevne.</w:t>
            </w:r>
          </w:p>
        </w:tc>
      </w:tr>
      <w:tr w:rsidR="004A1FE0" w:rsidRPr="00406A5C" w:rsidTr="00312F57">
        <w:trPr>
          <w:trHeight w:val="343"/>
        </w:trPr>
        <w:tc>
          <w:tcPr>
            <w:tcW w:w="1871" w:type="dxa"/>
          </w:tcPr>
          <w:p w:rsidR="004A1FE0" w:rsidRPr="004A1FE0" w:rsidRDefault="004A1FE0" w:rsidP="004A1FE0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TDC</w:t>
            </w:r>
          </w:p>
        </w:tc>
        <w:tc>
          <w:tcPr>
            <w:tcW w:w="3950" w:type="dxa"/>
          </w:tcPr>
          <w:p w:rsidR="004A1FE0" w:rsidRDefault="004A1FE0" w:rsidP="00312F57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 xml:space="preserve">Finder det positivt, at den ulige konkurrence for levering af 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tele</w:t>
            </w:r>
            <w:r>
              <w:rPr>
                <w:rFonts w:asciiTheme="minorHAnsi" w:eastAsia="Times New Roman" w:hAnsiTheme="minorHAnsi" w:cs="Calibri"/>
                <w:szCs w:val="24"/>
              </w:rPr>
              <w:t>yde</w:t>
            </w:r>
            <w:r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>ser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 xml:space="preserve"> mv. </w:t>
            </w:r>
            <w:r>
              <w:rPr>
                <w:rFonts w:asciiTheme="minorHAnsi" w:eastAsia="Times New Roman" w:hAnsiTheme="minorHAnsi" w:cs="Calibri"/>
                <w:szCs w:val="24"/>
              </w:rPr>
              <w:t>omfattet af One Stop Shop ordningerne stoppes med forslaget.</w:t>
            </w:r>
          </w:p>
          <w:p w:rsidR="004A1FE0" w:rsidRDefault="004A1FE0" w:rsidP="00312F57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4A1FE0" w:rsidRDefault="000C07A4" w:rsidP="00312F57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Savner en afgrænsning og definition af, hvilke ydelser der har samme karakter som materielle invest</w:t>
            </w:r>
            <w:r>
              <w:rPr>
                <w:rFonts w:asciiTheme="minorHAnsi" w:eastAsia="Times New Roman" w:hAnsiTheme="minorHAnsi" w:cs="Calibri"/>
                <w:szCs w:val="24"/>
              </w:rPr>
              <w:t>e</w:t>
            </w:r>
            <w:r>
              <w:rPr>
                <w:rFonts w:asciiTheme="minorHAnsi" w:eastAsia="Times New Roman" w:hAnsiTheme="minorHAnsi" w:cs="Calibri"/>
                <w:szCs w:val="24"/>
              </w:rPr>
              <w:t>ringsgoder. Endvidere bør der være en afklaring af, hvordan software og systemers opdateringer og udby</w:t>
            </w:r>
            <w:r>
              <w:rPr>
                <w:rFonts w:asciiTheme="minorHAnsi" w:eastAsia="Times New Roman" w:hAnsiTheme="minorHAnsi" w:cs="Calibri"/>
                <w:szCs w:val="24"/>
              </w:rPr>
              <w:t>g</w:t>
            </w:r>
            <w:r>
              <w:rPr>
                <w:rFonts w:asciiTheme="minorHAnsi" w:eastAsia="Times New Roman" w:hAnsiTheme="minorHAnsi" w:cs="Calibri"/>
                <w:szCs w:val="24"/>
              </w:rPr>
              <w:t>ninger skal behandles i forhold til den 5-årige reguleringsperiode.</w:t>
            </w:r>
          </w:p>
        </w:tc>
        <w:tc>
          <w:tcPr>
            <w:tcW w:w="3940" w:type="dxa"/>
          </w:tcPr>
          <w:p w:rsidR="00312F57" w:rsidRDefault="00312F57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12F57" w:rsidRDefault="00312F57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12F57" w:rsidRDefault="00312F57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12F57" w:rsidRDefault="00312F57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312F57" w:rsidRDefault="00312F57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223943" w:rsidRDefault="00223943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Efter forslaget er der alene tale om</w:t>
            </w:r>
            <w:r w:rsidR="00777E72">
              <w:rPr>
                <w:rFonts w:asciiTheme="minorHAnsi" w:eastAsia="Times New Roman" w:hAnsiTheme="minorHAnsi" w:cs="Calibri"/>
                <w:szCs w:val="24"/>
              </w:rPr>
              <w:t xml:space="preserve"> at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yde</w:t>
            </w:r>
            <w:r>
              <w:rPr>
                <w:rFonts w:asciiTheme="minorHAnsi" w:eastAsia="Times New Roman" w:hAnsiTheme="minorHAnsi" w:cs="Calibri"/>
                <w:szCs w:val="24"/>
              </w:rPr>
              <w:t>l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ser, som kan anvendes over længere tid og har et værditab over en årrække, og hvis anskaffelses- eller fremstillingspris ekskl. moms overstiger 100.000 kr., anses for at være investeringsgoder. </w:t>
            </w:r>
            <w:r w:rsidR="000C07A4">
              <w:rPr>
                <w:rFonts w:asciiTheme="minorHAnsi" w:eastAsia="Times New Roman" w:hAnsiTheme="minorHAnsi" w:cs="Calibri"/>
                <w:szCs w:val="24"/>
              </w:rPr>
              <w:t>Det skønnes hve</w:t>
            </w:r>
            <w:r w:rsidR="000C07A4">
              <w:rPr>
                <w:rFonts w:asciiTheme="minorHAnsi" w:eastAsia="Times New Roman" w:hAnsiTheme="minorHAnsi" w:cs="Calibri"/>
                <w:szCs w:val="24"/>
              </w:rPr>
              <w:t>r</w:t>
            </w:r>
            <w:r w:rsidR="000C07A4">
              <w:rPr>
                <w:rFonts w:asciiTheme="minorHAnsi" w:eastAsia="Times New Roman" w:hAnsiTheme="minorHAnsi" w:cs="Calibri"/>
                <w:szCs w:val="24"/>
              </w:rPr>
              <w:t>ken muligt eller nødvendigt at lave en u</w:t>
            </w:r>
            <w:r w:rsidR="000C07A4">
              <w:rPr>
                <w:rFonts w:asciiTheme="minorHAnsi" w:eastAsia="Times New Roman" w:hAnsiTheme="minorHAnsi" w:cs="Calibri"/>
                <w:szCs w:val="24"/>
              </w:rPr>
              <w:t>d</w:t>
            </w:r>
            <w:r w:rsidR="000C07A4">
              <w:rPr>
                <w:rFonts w:asciiTheme="minorHAnsi" w:eastAsia="Times New Roman" w:hAnsiTheme="minorHAnsi" w:cs="Calibri"/>
                <w:szCs w:val="24"/>
              </w:rPr>
              <w:t>tømmende liste over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de konkrete</w:t>
            </w:r>
            <w:r w:rsidR="000C07A4">
              <w:rPr>
                <w:rFonts w:asciiTheme="minorHAnsi" w:eastAsia="Times New Roman" w:hAnsiTheme="minorHAnsi" w:cs="Calibri"/>
                <w:szCs w:val="24"/>
              </w:rPr>
              <w:t xml:space="preserve"> ydelser</w:t>
            </w:r>
            <w:r>
              <w:rPr>
                <w:rFonts w:asciiTheme="minorHAnsi" w:eastAsia="Times New Roman" w:hAnsiTheme="minorHAnsi" w:cs="Calibri"/>
                <w:szCs w:val="24"/>
              </w:rPr>
              <w:t>. I tvivlstilfælde kan virksomhederne anmo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de om et bindende svar fra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 SKAT.</w:t>
            </w:r>
          </w:p>
          <w:p w:rsidR="00223943" w:rsidRDefault="00223943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</w:p>
          <w:p w:rsidR="000C07A4" w:rsidRPr="000C07A4" w:rsidRDefault="00223943" w:rsidP="00223943">
            <w:pPr>
              <w:jc w:val="left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Der er i forslagets § 11 indsat en ove</w:t>
            </w:r>
            <w:r>
              <w:rPr>
                <w:rFonts w:asciiTheme="minorHAnsi" w:eastAsia="Times New Roman" w:hAnsiTheme="minorHAnsi" w:cs="Calibri"/>
                <w:szCs w:val="24"/>
              </w:rPr>
              <w:t>r</w:t>
            </w:r>
            <w:r>
              <w:rPr>
                <w:rFonts w:asciiTheme="minorHAnsi" w:eastAsia="Times New Roman" w:hAnsiTheme="minorHAnsi" w:cs="Calibri"/>
                <w:szCs w:val="24"/>
              </w:rPr>
              <w:t>gangsbestemmelse, der med tilhørende bemærkninger præciserer behandlingen af ydels</w:t>
            </w:r>
            <w:r w:rsidR="00CD23C1">
              <w:rPr>
                <w:rFonts w:asciiTheme="minorHAnsi" w:eastAsia="Times New Roman" w:hAnsiTheme="minorHAnsi" w:cs="Calibri"/>
                <w:szCs w:val="24"/>
              </w:rPr>
              <w:t>erne i relation til reguleringsperioden</w:t>
            </w:r>
            <w:r>
              <w:rPr>
                <w:rFonts w:asciiTheme="minorHAnsi" w:eastAsia="Times New Roman" w:hAnsiTheme="minorHAnsi" w:cs="Calibri"/>
                <w:szCs w:val="24"/>
              </w:rPr>
              <w:t xml:space="preserve">. </w:t>
            </w:r>
          </w:p>
        </w:tc>
      </w:tr>
    </w:tbl>
    <w:p w:rsidR="00406A5C" w:rsidRPr="00D97706" w:rsidRDefault="00406A5C">
      <w:pPr>
        <w:rPr>
          <w:rFonts w:ascii="Calibri" w:hAnsi="Calibri" w:cs="Calibri"/>
          <w:sz w:val="18"/>
          <w:szCs w:val="18"/>
          <w:lang w:eastAsia="da-DK"/>
        </w:rPr>
      </w:pPr>
    </w:p>
    <w:sectPr w:rsidR="00406A5C" w:rsidRPr="00D97706" w:rsidSect="00E23A98">
      <w:footerReference w:type="default" r:id="rId9"/>
      <w:headerReference w:type="first" r:id="rId10"/>
      <w:footerReference w:type="first" r:id="rId11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0A" w:rsidRDefault="00313A0A" w:rsidP="00431D4B">
      <w:r>
        <w:separator/>
      </w:r>
    </w:p>
  </w:endnote>
  <w:endnote w:type="continuationSeparator" w:id="0">
    <w:p w:rsidR="00313A0A" w:rsidRDefault="00313A0A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46" w:rsidRPr="00295C4C" w:rsidRDefault="00E76546">
    <w:pPr>
      <w:pStyle w:val="Sidefod"/>
      <w:rPr>
        <w:rFonts w:ascii="Calibri" w:hAnsi="Calibri" w:cs="Calibri"/>
        <w:sz w:val="20"/>
        <w:szCs w:val="20"/>
      </w:rPr>
    </w:pPr>
    <w:r w:rsidRPr="00295C4C">
      <w:rPr>
        <w:rFonts w:ascii="Calibri" w:hAnsi="Calibri" w:cs="Calibri"/>
        <w:sz w:val="20"/>
        <w:szCs w:val="20"/>
      </w:rPr>
      <w:fldChar w:fldCharType="begin"/>
    </w:r>
    <w:r w:rsidRPr="00295C4C">
      <w:rPr>
        <w:rFonts w:ascii="Calibri" w:hAnsi="Calibri" w:cs="Calibri"/>
        <w:sz w:val="20"/>
        <w:szCs w:val="20"/>
      </w:rPr>
      <w:instrText>PAGE   \* MERGEFORMAT</w:instrText>
    </w:r>
    <w:r w:rsidRPr="00295C4C">
      <w:rPr>
        <w:rFonts w:ascii="Calibri" w:hAnsi="Calibri" w:cs="Calibri"/>
        <w:sz w:val="20"/>
        <w:szCs w:val="20"/>
      </w:rPr>
      <w:fldChar w:fldCharType="separate"/>
    </w:r>
    <w:r w:rsidR="000455E5">
      <w:rPr>
        <w:rFonts w:ascii="Calibri" w:hAnsi="Calibri" w:cs="Calibri"/>
        <w:noProof/>
        <w:sz w:val="20"/>
        <w:szCs w:val="20"/>
      </w:rPr>
      <w:t>8</w:t>
    </w:r>
    <w:r w:rsidRPr="00295C4C">
      <w:rPr>
        <w:rFonts w:ascii="Calibri" w:hAnsi="Calibri" w:cs="Calibri"/>
        <w:sz w:val="20"/>
        <w:szCs w:val="20"/>
      </w:rPr>
      <w:fldChar w:fldCharType="end"/>
    </w:r>
    <w:r w:rsidRPr="00295C4C">
      <w:rPr>
        <w:rFonts w:ascii="Calibri" w:hAnsi="Calibri" w:cs="Calibri"/>
        <w:sz w:val="20"/>
        <w:szCs w:val="20"/>
      </w:rPr>
      <w:t xml:space="preserve"> / </w:t>
    </w:r>
    <w:r w:rsidRPr="00295C4C">
      <w:rPr>
        <w:rFonts w:ascii="Calibri" w:hAnsi="Calibri" w:cs="Calibri"/>
        <w:sz w:val="20"/>
        <w:szCs w:val="20"/>
      </w:rPr>
      <w:fldChar w:fldCharType="begin"/>
    </w:r>
    <w:r w:rsidRPr="00295C4C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295C4C">
      <w:rPr>
        <w:rFonts w:ascii="Calibri" w:hAnsi="Calibri" w:cs="Calibri"/>
        <w:sz w:val="20"/>
        <w:szCs w:val="20"/>
      </w:rPr>
      <w:fldChar w:fldCharType="separate"/>
    </w:r>
    <w:r w:rsidR="000455E5">
      <w:rPr>
        <w:rFonts w:ascii="Calibri" w:hAnsi="Calibri" w:cs="Calibri"/>
        <w:noProof/>
        <w:sz w:val="20"/>
        <w:szCs w:val="20"/>
      </w:rPr>
      <w:t>8</w:t>
    </w:r>
    <w:r w:rsidRPr="00295C4C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46" w:rsidRPr="00AD7E07" w:rsidRDefault="00E76546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0455E5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0455E5">
      <w:rPr>
        <w:rFonts w:ascii="Calibri" w:hAnsi="Calibri" w:cs="Calibri"/>
        <w:noProof/>
        <w:sz w:val="20"/>
        <w:szCs w:val="20"/>
      </w:rPr>
      <w:t>8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0A" w:rsidRDefault="00313A0A" w:rsidP="00431D4B">
      <w:r>
        <w:separator/>
      </w:r>
    </w:p>
  </w:footnote>
  <w:footnote w:type="continuationSeparator" w:id="0">
    <w:p w:rsidR="00313A0A" w:rsidRDefault="00313A0A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</w:p>
  <w:p w:rsidR="00E76546" w:rsidRDefault="00E765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6A17CBB" wp14:editId="2C3AFEA8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67"/>
    <w:rsid w:val="00001311"/>
    <w:rsid w:val="00037523"/>
    <w:rsid w:val="00040B5B"/>
    <w:rsid w:val="000455E5"/>
    <w:rsid w:val="00047FE5"/>
    <w:rsid w:val="00052DBF"/>
    <w:rsid w:val="00053A9B"/>
    <w:rsid w:val="000614B4"/>
    <w:rsid w:val="00077668"/>
    <w:rsid w:val="000810F2"/>
    <w:rsid w:val="00082762"/>
    <w:rsid w:val="000905B9"/>
    <w:rsid w:val="00090BBC"/>
    <w:rsid w:val="000A0CEF"/>
    <w:rsid w:val="000A2AF5"/>
    <w:rsid w:val="000B4CBD"/>
    <w:rsid w:val="000C07A4"/>
    <w:rsid w:val="000D6E69"/>
    <w:rsid w:val="000E2C37"/>
    <w:rsid w:val="000E614B"/>
    <w:rsid w:val="000F19B2"/>
    <w:rsid w:val="000F7B05"/>
    <w:rsid w:val="00114964"/>
    <w:rsid w:val="00133157"/>
    <w:rsid w:val="001409D4"/>
    <w:rsid w:val="00142982"/>
    <w:rsid w:val="00144CF2"/>
    <w:rsid w:val="00151AD8"/>
    <w:rsid w:val="00151ED9"/>
    <w:rsid w:val="001F1906"/>
    <w:rsid w:val="00203FE1"/>
    <w:rsid w:val="00204BD9"/>
    <w:rsid w:val="00210A2E"/>
    <w:rsid w:val="002164D4"/>
    <w:rsid w:val="00223943"/>
    <w:rsid w:val="00271300"/>
    <w:rsid w:val="00292B73"/>
    <w:rsid w:val="00292D4D"/>
    <w:rsid w:val="00293255"/>
    <w:rsid w:val="00295C4C"/>
    <w:rsid w:val="002A2B99"/>
    <w:rsid w:val="002A4613"/>
    <w:rsid w:val="002B557C"/>
    <w:rsid w:val="002B7D29"/>
    <w:rsid w:val="002D3162"/>
    <w:rsid w:val="002E067B"/>
    <w:rsid w:val="0030541F"/>
    <w:rsid w:val="00312F57"/>
    <w:rsid w:val="00313A0A"/>
    <w:rsid w:val="003171A6"/>
    <w:rsid w:val="00346C1E"/>
    <w:rsid w:val="00372AFB"/>
    <w:rsid w:val="0037434C"/>
    <w:rsid w:val="00390510"/>
    <w:rsid w:val="00390F5D"/>
    <w:rsid w:val="003A3C56"/>
    <w:rsid w:val="003B3EC2"/>
    <w:rsid w:val="003D3034"/>
    <w:rsid w:val="003E16FE"/>
    <w:rsid w:val="003F120D"/>
    <w:rsid w:val="00406A5C"/>
    <w:rsid w:val="00421F40"/>
    <w:rsid w:val="00431D4B"/>
    <w:rsid w:val="00434584"/>
    <w:rsid w:val="00451855"/>
    <w:rsid w:val="00453EA3"/>
    <w:rsid w:val="00461F2E"/>
    <w:rsid w:val="00462889"/>
    <w:rsid w:val="004724B8"/>
    <w:rsid w:val="00481547"/>
    <w:rsid w:val="00485F0D"/>
    <w:rsid w:val="0048702A"/>
    <w:rsid w:val="00490490"/>
    <w:rsid w:val="004A1FE0"/>
    <w:rsid w:val="004B2435"/>
    <w:rsid w:val="004B6BDD"/>
    <w:rsid w:val="004C0361"/>
    <w:rsid w:val="004E16F9"/>
    <w:rsid w:val="004E74AA"/>
    <w:rsid w:val="004F6D6D"/>
    <w:rsid w:val="004F7D52"/>
    <w:rsid w:val="00507D3B"/>
    <w:rsid w:val="00513DEB"/>
    <w:rsid w:val="0051644C"/>
    <w:rsid w:val="00516D8C"/>
    <w:rsid w:val="0052064B"/>
    <w:rsid w:val="005439A8"/>
    <w:rsid w:val="00596D81"/>
    <w:rsid w:val="005B33A4"/>
    <w:rsid w:val="005D3567"/>
    <w:rsid w:val="006227B0"/>
    <w:rsid w:val="006254F5"/>
    <w:rsid w:val="006333F7"/>
    <w:rsid w:val="00646243"/>
    <w:rsid w:val="00655742"/>
    <w:rsid w:val="00656D4B"/>
    <w:rsid w:val="006638C3"/>
    <w:rsid w:val="006640A4"/>
    <w:rsid w:val="006738C1"/>
    <w:rsid w:val="00675483"/>
    <w:rsid w:val="00683DCB"/>
    <w:rsid w:val="006949F0"/>
    <w:rsid w:val="006A1E31"/>
    <w:rsid w:val="006B38B0"/>
    <w:rsid w:val="006B61A1"/>
    <w:rsid w:val="006E1C89"/>
    <w:rsid w:val="006E78F8"/>
    <w:rsid w:val="007028CC"/>
    <w:rsid w:val="00735751"/>
    <w:rsid w:val="007675FC"/>
    <w:rsid w:val="00777E72"/>
    <w:rsid w:val="0079590A"/>
    <w:rsid w:val="007B3F83"/>
    <w:rsid w:val="007B60AA"/>
    <w:rsid w:val="007C369C"/>
    <w:rsid w:val="007C457F"/>
    <w:rsid w:val="007C68EE"/>
    <w:rsid w:val="007D1FCB"/>
    <w:rsid w:val="007E06FE"/>
    <w:rsid w:val="007E5C1C"/>
    <w:rsid w:val="00801D62"/>
    <w:rsid w:val="0083219F"/>
    <w:rsid w:val="0085657A"/>
    <w:rsid w:val="00856F23"/>
    <w:rsid w:val="008620B1"/>
    <w:rsid w:val="008653D5"/>
    <w:rsid w:val="00887980"/>
    <w:rsid w:val="008D77E1"/>
    <w:rsid w:val="00902706"/>
    <w:rsid w:val="00907893"/>
    <w:rsid w:val="009112D6"/>
    <w:rsid w:val="0093095C"/>
    <w:rsid w:val="00932237"/>
    <w:rsid w:val="009330A6"/>
    <w:rsid w:val="00934D6E"/>
    <w:rsid w:val="009532AD"/>
    <w:rsid w:val="0096387E"/>
    <w:rsid w:val="00980121"/>
    <w:rsid w:val="009959AA"/>
    <w:rsid w:val="009A2612"/>
    <w:rsid w:val="009A50CD"/>
    <w:rsid w:val="009B17CF"/>
    <w:rsid w:val="009B476A"/>
    <w:rsid w:val="009D035F"/>
    <w:rsid w:val="00A04ACB"/>
    <w:rsid w:val="00A25227"/>
    <w:rsid w:val="00A30173"/>
    <w:rsid w:val="00A315F2"/>
    <w:rsid w:val="00A32367"/>
    <w:rsid w:val="00A407F4"/>
    <w:rsid w:val="00A5005E"/>
    <w:rsid w:val="00A50F89"/>
    <w:rsid w:val="00A53927"/>
    <w:rsid w:val="00A85CF2"/>
    <w:rsid w:val="00A906A3"/>
    <w:rsid w:val="00AA485F"/>
    <w:rsid w:val="00AA7C3B"/>
    <w:rsid w:val="00AB73C8"/>
    <w:rsid w:val="00AC30A0"/>
    <w:rsid w:val="00AD7E07"/>
    <w:rsid w:val="00B224B7"/>
    <w:rsid w:val="00B2692D"/>
    <w:rsid w:val="00B32E57"/>
    <w:rsid w:val="00B36403"/>
    <w:rsid w:val="00B76181"/>
    <w:rsid w:val="00B875DA"/>
    <w:rsid w:val="00BB6E93"/>
    <w:rsid w:val="00BC5D4C"/>
    <w:rsid w:val="00BD0A5C"/>
    <w:rsid w:val="00C02547"/>
    <w:rsid w:val="00C6362E"/>
    <w:rsid w:val="00C942E1"/>
    <w:rsid w:val="00CC0582"/>
    <w:rsid w:val="00CD23C1"/>
    <w:rsid w:val="00CE2C69"/>
    <w:rsid w:val="00D65FA4"/>
    <w:rsid w:val="00D66306"/>
    <w:rsid w:val="00D81462"/>
    <w:rsid w:val="00D97706"/>
    <w:rsid w:val="00DA04B1"/>
    <w:rsid w:val="00E14BA1"/>
    <w:rsid w:val="00E23A98"/>
    <w:rsid w:val="00E4264D"/>
    <w:rsid w:val="00E47BC8"/>
    <w:rsid w:val="00E76546"/>
    <w:rsid w:val="00E977A5"/>
    <w:rsid w:val="00EB3F9A"/>
    <w:rsid w:val="00F00D52"/>
    <w:rsid w:val="00F042CE"/>
    <w:rsid w:val="00F06F96"/>
    <w:rsid w:val="00F20B70"/>
    <w:rsid w:val="00F333CA"/>
    <w:rsid w:val="00F34C54"/>
    <w:rsid w:val="00F54181"/>
    <w:rsid w:val="00F6444A"/>
    <w:rsid w:val="00F720D8"/>
    <w:rsid w:val="00F84A38"/>
    <w:rsid w:val="00F971D6"/>
    <w:rsid w:val="00FA0956"/>
    <w:rsid w:val="00FB59A5"/>
    <w:rsid w:val="00FC26F8"/>
    <w:rsid w:val="00FC7C4C"/>
    <w:rsid w:val="00FD3DF5"/>
    <w:rsid w:val="00FE12D4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959AA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959AA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959AA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959AA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59AA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959AA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uiPriority w:val="59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22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959AA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959AA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959AA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959AA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59AA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959AA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uiPriority w:val="59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22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ti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FT%20h&#248;ringsskema.dotx" TargetMode="External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A763-9C79-4CFF-9834-8C0AFB4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 høringsskema</Template>
  <TotalTime>0</TotalTime>
  <Pages>1</Pages>
  <Words>2523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 høringsskema</vt:lpstr>
    </vt:vector>
  </TitlesOfParts>
  <Company>Skatteministeriet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 høringsskema</dc:title>
  <dc:creator>Daniel Bujandric</dc:creator>
  <cp:lastModifiedBy>Daniel Bujandric</cp:lastModifiedBy>
  <cp:revision>2</cp:revision>
  <cp:lastPrinted>2014-02-06T11:27:00Z</cp:lastPrinted>
  <dcterms:created xsi:type="dcterms:W3CDTF">2014-03-06T12:04:00Z</dcterms:created>
  <dcterms:modified xsi:type="dcterms:W3CDTF">2014-03-06T12:04:00Z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C:\Users\w19089\AppData\Local\Temp\Scanjour\Captia\SJ2014020706293547 [DOK33496529].DOCX</vt:lpwstr>
  </property>
  <property fmtid="{D5CDD505-2E9C-101B-9397-08002B2CF9AE}" pid="3" name="title">
    <vt:lpwstr>Høringsskema - LF. (DOK33496529)</vt:lpwstr>
  </property>
  <property fmtid="{D5CDD505-2E9C-101B-9397-08002B2CF9AE}" pid="4" name="command">
    <vt:lpwstr/>
  </property>
</Properties>
</file>