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186" w:tblpY="1645"/>
        <w:tblOverlap w:val="never"/>
        <w:tblW w:w="2484" w:type="dxa"/>
        <w:tblCellMar>
          <w:left w:w="0" w:type="dxa"/>
        </w:tblCellMar>
        <w:tblLook w:val="01E0" w:firstRow="1" w:lastRow="1" w:firstColumn="1" w:lastColumn="1" w:noHBand="0" w:noVBand="0"/>
      </w:tblPr>
      <w:tblGrid>
        <w:gridCol w:w="2484"/>
      </w:tblGrid>
      <w:tr w:rsidR="00596D81" w:rsidRPr="007D1FCB" w:rsidTr="002164D4">
        <w:trPr>
          <w:trHeight w:val="3129"/>
        </w:trPr>
        <w:tc>
          <w:tcPr>
            <w:tcW w:w="2484" w:type="dxa"/>
          </w:tcPr>
          <w:p w:rsidR="00481547" w:rsidRPr="00204BD9" w:rsidRDefault="00481547" w:rsidP="002164D4">
            <w:pPr>
              <w:pStyle w:val="Departementtekst"/>
              <w:spacing w:after="0"/>
              <w:ind w:right="-108"/>
              <w:rPr>
                <w:rFonts w:ascii="Calibri" w:hAnsi="Calibri" w:cs="Calibri"/>
                <w:sz w:val="18"/>
                <w:szCs w:val="18"/>
              </w:rPr>
            </w:pPr>
            <w:bookmarkStart w:id="0" w:name="_GoBack"/>
            <w:bookmarkEnd w:id="0"/>
          </w:p>
          <w:p w:rsidR="00481547" w:rsidRPr="00204BD9" w:rsidRDefault="00481547" w:rsidP="00675483">
            <w:pPr>
              <w:pStyle w:val="Departementtekst"/>
              <w:spacing w:after="0"/>
              <w:ind w:right="-108"/>
              <w:rPr>
                <w:rFonts w:ascii="Calibri" w:hAnsi="Calibri" w:cs="Calibri"/>
                <w:sz w:val="18"/>
                <w:szCs w:val="18"/>
              </w:rPr>
            </w:pPr>
          </w:p>
          <w:p w:rsidR="00675483" w:rsidRPr="00204BD9" w:rsidRDefault="00675483" w:rsidP="00204BD9">
            <w:pPr>
              <w:rPr>
                <w:rFonts w:ascii="Calibri" w:hAnsi="Calibri" w:cs="Calibri"/>
                <w:sz w:val="18"/>
                <w:szCs w:val="18"/>
              </w:rPr>
            </w:pPr>
          </w:p>
          <w:p w:rsidR="00675483" w:rsidRDefault="00675483" w:rsidP="00675483">
            <w:pPr>
              <w:jc w:val="left"/>
              <w:rPr>
                <w:rFonts w:ascii="Calibri" w:hAnsi="Calibri" w:cs="Calibri"/>
                <w:bCs/>
                <w:sz w:val="18"/>
                <w:szCs w:val="18"/>
                <w:lang w:eastAsia="da-DK"/>
              </w:rPr>
            </w:pPr>
            <w:r w:rsidRPr="00204BD9">
              <w:rPr>
                <w:rFonts w:ascii="Calibri" w:hAnsi="Calibri" w:cs="Calibri"/>
                <w:bCs/>
                <w:sz w:val="18"/>
                <w:szCs w:val="18"/>
                <w:lang w:eastAsia="da-DK"/>
              </w:rPr>
              <w:t xml:space="preserve">J.nr. </w:t>
            </w:r>
            <w:bookmarkStart w:id="1" w:name="sagsnr"/>
            <w:bookmarkEnd w:id="1"/>
            <w:r w:rsidR="00BE66B6">
              <w:rPr>
                <w:rFonts w:ascii="Calibri" w:hAnsi="Calibri" w:cs="Calibri"/>
                <w:bCs/>
                <w:sz w:val="18"/>
                <w:szCs w:val="18"/>
                <w:lang w:eastAsia="da-DK"/>
              </w:rPr>
              <w:t>13-0189237</w:t>
            </w:r>
          </w:p>
          <w:p w:rsidR="00675483" w:rsidRPr="00204BD9" w:rsidRDefault="00AC78F7" w:rsidP="00675483">
            <w:pPr>
              <w:jc w:val="left"/>
              <w:rPr>
                <w:rFonts w:ascii="Calibri" w:hAnsi="Calibri" w:cs="Calibri"/>
                <w:bCs/>
                <w:sz w:val="18"/>
                <w:szCs w:val="18"/>
                <w:lang w:eastAsia="da-DK"/>
              </w:rPr>
            </w:pPr>
            <w:r>
              <w:rPr>
                <w:rFonts w:ascii="Calibri" w:hAnsi="Calibri" w:cs="Calibri"/>
                <w:bCs/>
                <w:sz w:val="18"/>
                <w:szCs w:val="18"/>
                <w:lang w:eastAsia="da-DK"/>
              </w:rPr>
              <w:t xml:space="preserve">Den </w:t>
            </w:r>
            <w:r w:rsidR="00BE66B6">
              <w:rPr>
                <w:rFonts w:ascii="Calibri" w:hAnsi="Calibri" w:cs="Calibri"/>
                <w:bCs/>
                <w:sz w:val="18"/>
                <w:szCs w:val="18"/>
                <w:lang w:eastAsia="da-DK"/>
              </w:rPr>
              <w:t>18. september 2013</w:t>
            </w:r>
          </w:p>
          <w:p w:rsidR="00675483" w:rsidRPr="0027722C" w:rsidRDefault="00675483" w:rsidP="00675483">
            <w:pPr>
              <w:jc w:val="left"/>
              <w:rPr>
                <w:rFonts w:ascii="Calibri" w:hAnsi="Calibri" w:cs="Calibri"/>
                <w:bCs/>
                <w:sz w:val="18"/>
                <w:szCs w:val="18"/>
                <w:lang w:eastAsia="da-DK"/>
              </w:rPr>
            </w:pPr>
          </w:p>
          <w:p w:rsidR="00675483" w:rsidRPr="0027722C" w:rsidRDefault="00675483" w:rsidP="00675483">
            <w:pPr>
              <w:rPr>
                <w:rFonts w:ascii="Calibri" w:hAnsi="Calibri" w:cs="Calibri"/>
                <w:bCs/>
                <w:sz w:val="18"/>
                <w:szCs w:val="18"/>
                <w:lang w:eastAsia="da-DK"/>
              </w:rPr>
            </w:pPr>
          </w:p>
          <w:p w:rsidR="00F971D6" w:rsidRPr="007D1FCB" w:rsidRDefault="00F971D6" w:rsidP="00F971D6">
            <w:pPr>
              <w:pStyle w:val="Departementtekst"/>
              <w:rPr>
                <w:rFonts w:ascii="Calibri" w:hAnsi="Calibri" w:cs="Calibri"/>
                <w:sz w:val="18"/>
                <w:szCs w:val="18"/>
              </w:rPr>
            </w:pPr>
          </w:p>
        </w:tc>
      </w:tr>
    </w:tbl>
    <w:p w:rsidR="000C78A3" w:rsidRPr="00DB5FB4" w:rsidRDefault="000C78A3" w:rsidP="00C226DD">
      <w:pPr>
        <w:pStyle w:val="Overskrift2"/>
        <w:jc w:val="both"/>
      </w:pPr>
      <w:r w:rsidRPr="00DB5FB4">
        <w:t xml:space="preserve">Resumé af </w:t>
      </w:r>
      <w:r w:rsidR="00BE66B6">
        <w:t>Europa-Kommissionens forslag af 12. juni 2013 om ændring af direktiv 2011/16/EU for så vidt angår obligatorisk automatisk udveksling af oplysninger på beskatningsområdet</w:t>
      </w:r>
      <w:r w:rsidR="00E15B51" w:rsidRPr="00DB5FB4">
        <w:tab/>
      </w:r>
    </w:p>
    <w:p w:rsidR="000C78A3" w:rsidRDefault="000C78A3" w:rsidP="00E15B51">
      <w:pPr>
        <w:spacing w:line="276" w:lineRule="auto"/>
      </w:pPr>
    </w:p>
    <w:p w:rsidR="00BE66B6" w:rsidRDefault="00BE66B6" w:rsidP="00E15B51">
      <w:pPr>
        <w:spacing w:line="276" w:lineRule="auto"/>
      </w:pPr>
      <w:r>
        <w:t>Direktivet om administrativt samarbejde 2011/16/EU (forkortet DAC) reg</w:t>
      </w:r>
      <w:r>
        <w:t>u</w:t>
      </w:r>
      <w:r>
        <w:t>lerer medlemsstaternes samarbejde om udveksling af oplysninger vedrørende de skatter og afgifter, der ikke er omfattet af andre retsgrundlag (primært moms og told). Direktivets artikel 8 om automatisk udveksling af oplysninger</w:t>
      </w:r>
      <w:r w:rsidR="000420D5">
        <w:t>, som finder anvendelse fra den 1. januar 2015,</w:t>
      </w:r>
      <w:r>
        <w:t xml:space="preserve"> bestemmer bl.a.:</w:t>
      </w:r>
    </w:p>
    <w:p w:rsidR="000C78A3" w:rsidRDefault="00BE66B6" w:rsidP="00BE66B6">
      <w:pPr>
        <w:pStyle w:val="Listeafsnit"/>
        <w:numPr>
          <w:ilvl w:val="0"/>
          <w:numId w:val="1"/>
        </w:numPr>
        <w:spacing w:line="276" w:lineRule="auto"/>
      </w:pPr>
      <w:r>
        <w:t xml:space="preserve">At medlemsstaterne </w:t>
      </w:r>
      <w:r w:rsidR="000420D5">
        <w:t xml:space="preserve">med virkning </w:t>
      </w:r>
      <w:r>
        <w:t>fra og med 2014 skal udveksle o</w:t>
      </w:r>
      <w:r>
        <w:t>p</w:t>
      </w:r>
      <w:r>
        <w:t>lysninger med hinanden inden for fem kategorier: lønindkomst, best</w:t>
      </w:r>
      <w:r>
        <w:t>y</w:t>
      </w:r>
      <w:r>
        <w:t xml:space="preserve">relseshonorarer, pensioner, ejerskab til og indtægt fra fast ejendom samt livsforsikringsprodukter, i det omfang disse ikke er omfattet af andre EU-retsakter om udveksling af oplysninger. </w:t>
      </w:r>
    </w:p>
    <w:p w:rsidR="00BE66B6" w:rsidRDefault="00BE66B6" w:rsidP="00BE66B6">
      <w:pPr>
        <w:pStyle w:val="Listeafsnit"/>
        <w:numPr>
          <w:ilvl w:val="0"/>
          <w:numId w:val="1"/>
        </w:numPr>
        <w:spacing w:line="276" w:lineRule="auto"/>
      </w:pPr>
      <w:r>
        <w:t>At oplysninger inden for de nævnte 5 kategorier kun skal udveksles, i det omfang oplysninger om dem er tilgængelige.</w:t>
      </w:r>
    </w:p>
    <w:p w:rsidR="00BE66B6" w:rsidRDefault="00BE66B6" w:rsidP="00BE66B6">
      <w:pPr>
        <w:pStyle w:val="Listeafsnit"/>
        <w:numPr>
          <w:ilvl w:val="0"/>
          <w:numId w:val="1"/>
        </w:numPr>
        <w:spacing w:line="276" w:lineRule="auto"/>
      </w:pPr>
      <w:r>
        <w:t>At Rådet efter forslag fra Kommissionen kan beslutte, at</w:t>
      </w:r>
    </w:p>
    <w:p w:rsidR="00BE66B6" w:rsidRDefault="00BE66B6" w:rsidP="00BE66B6">
      <w:pPr>
        <w:pStyle w:val="Listeafsnit"/>
        <w:numPr>
          <w:ilvl w:val="1"/>
          <w:numId w:val="1"/>
        </w:numPr>
        <w:spacing w:line="276" w:lineRule="auto"/>
      </w:pPr>
      <w:r>
        <w:t>Der fra og med 2017 også skal udveksles oplysninger om u</w:t>
      </w:r>
      <w:r>
        <w:t>d</w:t>
      </w:r>
      <w:r>
        <w:t>bytte, kapitalgevinster og royalties, og at</w:t>
      </w:r>
    </w:p>
    <w:p w:rsidR="00E037A5" w:rsidRDefault="00BE66B6" w:rsidP="00BE66B6">
      <w:pPr>
        <w:pStyle w:val="Listeafsnit"/>
        <w:numPr>
          <w:ilvl w:val="1"/>
          <w:numId w:val="1"/>
        </w:numPr>
        <w:spacing w:line="276" w:lineRule="auto"/>
      </w:pPr>
      <w:r>
        <w:t>Forbeholdet om, at der kun skal udveksles tilgængelige oply</w:t>
      </w:r>
      <w:r>
        <w:t>s</w:t>
      </w:r>
      <w:r>
        <w:t>ninger, fra og med 2017 erstattes af et krav om, at hver me</w:t>
      </w:r>
      <w:r>
        <w:t>d</w:t>
      </w:r>
      <w:r>
        <w:t>lemsstat skal udveksle oplysninger om mindst 3 af de 5 opri</w:t>
      </w:r>
      <w:r>
        <w:t>n</w:t>
      </w:r>
      <w:r>
        <w:t>delige kategorier.</w:t>
      </w:r>
    </w:p>
    <w:p w:rsidR="00E037A5" w:rsidRDefault="00E037A5" w:rsidP="00E037A5">
      <w:pPr>
        <w:spacing w:line="276" w:lineRule="auto"/>
      </w:pPr>
    </w:p>
    <w:p w:rsidR="00E037A5" w:rsidRDefault="00E037A5" w:rsidP="00E037A5">
      <w:pPr>
        <w:spacing w:line="276" w:lineRule="auto"/>
      </w:pPr>
      <w:r>
        <w:t>Kommissionens forslag indeholder følgende ændringer af direktivet om adm</w:t>
      </w:r>
      <w:r>
        <w:t>i</w:t>
      </w:r>
      <w:r>
        <w:t xml:space="preserve">nistrativt samarbejde: </w:t>
      </w:r>
    </w:p>
    <w:p w:rsidR="00E037A5" w:rsidRDefault="00E037A5" w:rsidP="00E037A5">
      <w:pPr>
        <w:spacing w:line="276" w:lineRule="auto"/>
      </w:pPr>
    </w:p>
    <w:p w:rsidR="00E037A5" w:rsidRDefault="00E037A5" w:rsidP="00E037A5">
      <w:pPr>
        <w:pStyle w:val="Listeafsnit"/>
        <w:numPr>
          <w:ilvl w:val="0"/>
          <w:numId w:val="1"/>
        </w:numPr>
        <w:spacing w:line="276" w:lineRule="auto"/>
      </w:pPr>
      <w:r>
        <w:t>Forpligtelsen til at udveksle oplysninger om udbytte og kapitalgevi</w:t>
      </w:r>
      <w:r>
        <w:t>n</w:t>
      </w:r>
      <w:r>
        <w:t>ster fremrykkes fra 2017 til 2014 for så vidt angår fysiske personer.</w:t>
      </w:r>
    </w:p>
    <w:p w:rsidR="00E037A5" w:rsidRDefault="00E037A5" w:rsidP="00E037A5">
      <w:pPr>
        <w:pStyle w:val="Listeafsnit"/>
        <w:numPr>
          <w:ilvl w:val="0"/>
          <w:numId w:val="1"/>
        </w:numPr>
        <w:spacing w:line="276" w:lineRule="auto"/>
      </w:pPr>
      <w:r>
        <w:t xml:space="preserve">Fra 2014 indføres endvidere pligt til at udveksle oplysninger om 3 nye </w:t>
      </w:r>
      <w:r w:rsidR="000420D5">
        <w:t>elementer</w:t>
      </w:r>
      <w:r>
        <w:t>: enhver anden genereret indkomst fra aktiver, der indestår på en finansiel konto, ethvert andet beløb, som det finansielle institut har indgået en forpligtelse for eller er debitor for, herunder alle indlø</w:t>
      </w:r>
      <w:r>
        <w:t>s</w:t>
      </w:r>
      <w:r>
        <w:t>ningsbeløb, samt kontosaldi, alt for så vidt angår fysiske personer.</w:t>
      </w:r>
    </w:p>
    <w:p w:rsidR="00E037A5" w:rsidRDefault="00E037A5" w:rsidP="00E037A5">
      <w:pPr>
        <w:pStyle w:val="Listeafsnit"/>
        <w:numPr>
          <w:ilvl w:val="0"/>
          <w:numId w:val="1"/>
        </w:numPr>
        <w:spacing w:line="276" w:lineRule="auto"/>
      </w:pPr>
      <w:r>
        <w:t xml:space="preserve">For de 5 ovennævnte kategorier gælder forbeholdet om, at der kun skal udveksles tilgængelige oplysninger, ikke. Det angives som årsag, at oplysningerne vil være tilgængelige, eftersom de finansielle formidlere </w:t>
      </w:r>
      <w:r>
        <w:lastRenderedPageBreak/>
        <w:t>vil skulle indberette dem i henhold til de aftaler, som medlemsstaterne har indgået med USA for så vidt angår FATCA (</w:t>
      </w:r>
      <w:proofErr w:type="spellStart"/>
      <w:r>
        <w:t>Foreign</w:t>
      </w:r>
      <w:proofErr w:type="spellEnd"/>
      <w:r>
        <w:t xml:space="preserve"> </w:t>
      </w:r>
      <w:proofErr w:type="spellStart"/>
      <w:r>
        <w:t>Account</w:t>
      </w:r>
      <w:proofErr w:type="spellEnd"/>
      <w:r>
        <w:t xml:space="preserve"> </w:t>
      </w:r>
      <w:proofErr w:type="spellStart"/>
      <w:r>
        <w:t>Tax</w:t>
      </w:r>
      <w:proofErr w:type="spellEnd"/>
      <w:r>
        <w:t xml:space="preserve"> </w:t>
      </w:r>
      <w:proofErr w:type="spellStart"/>
      <w:r>
        <w:t>Comliance</w:t>
      </w:r>
      <w:proofErr w:type="spellEnd"/>
      <w:r>
        <w:t xml:space="preserve"> </w:t>
      </w:r>
      <w:proofErr w:type="spellStart"/>
      <w:r>
        <w:t>Act</w:t>
      </w:r>
      <w:proofErr w:type="spellEnd"/>
      <w:r>
        <w:t xml:space="preserve">). </w:t>
      </w:r>
    </w:p>
    <w:p w:rsidR="000420D5" w:rsidRDefault="00E037A5" w:rsidP="00E037A5">
      <w:pPr>
        <w:pStyle w:val="Listeafsnit"/>
        <w:numPr>
          <w:ilvl w:val="0"/>
          <w:numId w:val="1"/>
        </w:numPr>
        <w:spacing w:line="276" w:lineRule="auto"/>
      </w:pPr>
      <w:r>
        <w:t xml:space="preserve">Rådet kan efter forslag fra Kommissionen </w:t>
      </w:r>
      <w:r w:rsidR="000420D5">
        <w:t>i</w:t>
      </w:r>
      <w:r>
        <w:t xml:space="preserve"> 2017 beslutte</w:t>
      </w:r>
      <w:r w:rsidR="000420D5">
        <w:t>:</w:t>
      </w:r>
    </w:p>
    <w:p w:rsidR="000420D5" w:rsidRDefault="00E037A5" w:rsidP="000420D5">
      <w:pPr>
        <w:pStyle w:val="Listeafsnit"/>
        <w:numPr>
          <w:ilvl w:val="1"/>
          <w:numId w:val="1"/>
        </w:numPr>
        <w:spacing w:line="276" w:lineRule="auto"/>
      </w:pPr>
      <w:r>
        <w:t xml:space="preserve"> </w:t>
      </w:r>
      <w:r w:rsidR="000420D5">
        <w:t>A</w:t>
      </w:r>
      <w:r>
        <w:t>t forbeholdet om, at der kun skal udveksles tilgængelige o</w:t>
      </w:r>
      <w:r>
        <w:t>p</w:t>
      </w:r>
      <w:r>
        <w:t>lysninger,</w:t>
      </w:r>
      <w:r w:rsidR="000420D5">
        <w:t xml:space="preserve"> skal bortfalde for de 5 oprindelige kategorier af o</w:t>
      </w:r>
      <w:r w:rsidR="000420D5">
        <w:t>p</w:t>
      </w:r>
      <w:r w:rsidR="000420D5">
        <w:t>lysninger, således at alle medlemsstater fra og med 2017 oblig</w:t>
      </w:r>
      <w:r w:rsidR="000420D5">
        <w:t>a</w:t>
      </w:r>
      <w:r w:rsidR="000420D5">
        <w:t>torisk skal udveksle oplysninger om alle kategorier.</w:t>
      </w:r>
      <w:r>
        <w:t xml:space="preserve"> </w:t>
      </w:r>
    </w:p>
    <w:p w:rsidR="000420D5" w:rsidRDefault="000420D5" w:rsidP="000420D5">
      <w:pPr>
        <w:pStyle w:val="Listeafsnit"/>
        <w:numPr>
          <w:ilvl w:val="1"/>
          <w:numId w:val="1"/>
        </w:numPr>
        <w:spacing w:line="276" w:lineRule="auto"/>
      </w:pPr>
      <w:r>
        <w:t>At listerne over kategorier og elementer udvides til også at o</w:t>
      </w:r>
      <w:r>
        <w:t>m</w:t>
      </w:r>
      <w:r>
        <w:t xml:space="preserve">fatte andre kategorier og elementer, herunder royalties.  </w:t>
      </w:r>
    </w:p>
    <w:p w:rsidR="007B3F83" w:rsidRDefault="007B3F83" w:rsidP="00E15B51">
      <w:pPr>
        <w:spacing w:line="276" w:lineRule="auto"/>
        <w:rPr>
          <w:lang w:eastAsia="da-DK"/>
        </w:rPr>
      </w:pPr>
    </w:p>
    <w:p w:rsidR="000420D5" w:rsidRDefault="000420D5" w:rsidP="00E15B51">
      <w:pPr>
        <w:spacing w:line="276" w:lineRule="auto"/>
        <w:rPr>
          <w:lang w:eastAsia="da-DK"/>
        </w:rPr>
      </w:pPr>
      <w:r>
        <w:rPr>
          <w:lang w:eastAsia="da-DK"/>
        </w:rPr>
        <w:t xml:space="preserve">Kommissionens forslag skal efter sit indhold anvendes fra den 1. januar 2015, dvs. samtidig med anvendelsestidspunktet for det gældende direktivs artikel om automatisk udveksling af oplysninger (artikel 8).  </w:t>
      </w:r>
    </w:p>
    <w:p w:rsidR="007D1FCB" w:rsidRDefault="007D1FCB" w:rsidP="00E15B51">
      <w:pPr>
        <w:spacing w:line="276" w:lineRule="auto"/>
        <w:jc w:val="left"/>
        <w:rPr>
          <w:lang w:eastAsia="da-DK"/>
        </w:rPr>
      </w:pPr>
    </w:p>
    <w:sectPr w:rsidR="007D1FCB" w:rsidSect="00E23A98">
      <w:footerReference w:type="default" r:id="rId9"/>
      <w:headerReference w:type="first" r:id="rId10"/>
      <w:footerReference w:type="first" r:id="rId11"/>
      <w:pgSz w:w="11906" w:h="16838" w:code="9"/>
      <w:pgMar w:top="993" w:right="3175"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77" w:rsidRDefault="003A4677" w:rsidP="00431D4B">
      <w:r>
        <w:separator/>
      </w:r>
    </w:p>
  </w:endnote>
  <w:endnote w:type="continuationSeparator" w:id="0">
    <w:p w:rsidR="003A4677" w:rsidRDefault="003A4677" w:rsidP="0043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D9" w:rsidRPr="009B3308" w:rsidRDefault="00204BD9">
    <w:pPr>
      <w:pStyle w:val="Sidefod"/>
      <w:rPr>
        <w:rFonts w:ascii="Calibri" w:hAnsi="Calibri" w:cs="Calibri"/>
        <w:sz w:val="20"/>
        <w:szCs w:val="20"/>
      </w:rPr>
    </w:pPr>
    <w:r w:rsidRPr="009B3308">
      <w:rPr>
        <w:rFonts w:ascii="Calibri" w:hAnsi="Calibri" w:cs="Calibri"/>
        <w:sz w:val="20"/>
        <w:szCs w:val="20"/>
      </w:rPr>
      <w:fldChar w:fldCharType="begin"/>
    </w:r>
    <w:r w:rsidRPr="009B3308">
      <w:rPr>
        <w:rFonts w:ascii="Calibri" w:hAnsi="Calibri" w:cs="Calibri"/>
        <w:sz w:val="20"/>
        <w:szCs w:val="20"/>
      </w:rPr>
      <w:instrText>PAGE   \* MERGEFORMAT</w:instrText>
    </w:r>
    <w:r w:rsidRPr="009B3308">
      <w:rPr>
        <w:rFonts w:ascii="Calibri" w:hAnsi="Calibri" w:cs="Calibri"/>
        <w:sz w:val="20"/>
        <w:szCs w:val="20"/>
      </w:rPr>
      <w:fldChar w:fldCharType="separate"/>
    </w:r>
    <w:r w:rsidR="002F6C1C">
      <w:rPr>
        <w:rFonts w:ascii="Calibri" w:hAnsi="Calibri" w:cs="Calibri"/>
        <w:noProof/>
        <w:sz w:val="20"/>
        <w:szCs w:val="20"/>
      </w:rPr>
      <w:t>2</w:t>
    </w:r>
    <w:r w:rsidRPr="009B3308">
      <w:rPr>
        <w:rFonts w:ascii="Calibri" w:hAnsi="Calibri" w:cs="Calibri"/>
        <w:sz w:val="20"/>
        <w:szCs w:val="20"/>
      </w:rPr>
      <w:fldChar w:fldCharType="end"/>
    </w:r>
    <w:r w:rsidRPr="009B3308">
      <w:rPr>
        <w:rFonts w:ascii="Calibri" w:hAnsi="Calibri" w:cs="Calibri"/>
        <w:sz w:val="20"/>
        <w:szCs w:val="20"/>
      </w:rPr>
      <w:t xml:space="preserve"> / </w:t>
    </w:r>
    <w:r w:rsidRPr="009B3308">
      <w:rPr>
        <w:rFonts w:ascii="Calibri" w:hAnsi="Calibri" w:cs="Calibri"/>
        <w:sz w:val="20"/>
        <w:szCs w:val="20"/>
      </w:rPr>
      <w:fldChar w:fldCharType="begin"/>
    </w:r>
    <w:r w:rsidRPr="009B3308">
      <w:rPr>
        <w:rFonts w:ascii="Calibri" w:hAnsi="Calibri" w:cs="Calibri"/>
        <w:sz w:val="20"/>
        <w:szCs w:val="20"/>
      </w:rPr>
      <w:instrText xml:space="preserve"> NUMPAGES  \# "0" \* Arabic  \* MERGEFORMAT </w:instrText>
    </w:r>
    <w:r w:rsidRPr="009B3308">
      <w:rPr>
        <w:rFonts w:ascii="Calibri" w:hAnsi="Calibri" w:cs="Calibri"/>
        <w:sz w:val="20"/>
        <w:szCs w:val="20"/>
      </w:rPr>
      <w:fldChar w:fldCharType="separate"/>
    </w:r>
    <w:r w:rsidR="002F6C1C">
      <w:rPr>
        <w:rFonts w:ascii="Calibri" w:hAnsi="Calibri" w:cs="Calibri"/>
        <w:noProof/>
        <w:sz w:val="20"/>
        <w:szCs w:val="20"/>
      </w:rPr>
      <w:t>2</w:t>
    </w:r>
    <w:r w:rsidRPr="009B3308">
      <w:rP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D9" w:rsidRPr="00AD7E07" w:rsidRDefault="00204BD9">
    <w:pPr>
      <w:pStyle w:val="Sidefod"/>
      <w:rPr>
        <w:rFonts w:ascii="Calibri" w:hAnsi="Calibri" w:cs="Calibri"/>
        <w:sz w:val="20"/>
        <w:szCs w:val="20"/>
      </w:rPr>
    </w:pPr>
    <w:r w:rsidRPr="00AD7E07">
      <w:rPr>
        <w:rFonts w:ascii="Calibri" w:hAnsi="Calibri" w:cs="Calibri"/>
        <w:sz w:val="20"/>
        <w:szCs w:val="20"/>
      </w:rPr>
      <w:fldChar w:fldCharType="begin"/>
    </w:r>
    <w:r w:rsidRPr="00AD7E07">
      <w:rPr>
        <w:rFonts w:ascii="Calibri" w:hAnsi="Calibri" w:cs="Calibri"/>
        <w:sz w:val="20"/>
        <w:szCs w:val="20"/>
      </w:rPr>
      <w:instrText>PAGE   \* MERGEFORMAT</w:instrText>
    </w:r>
    <w:r w:rsidRPr="00AD7E07">
      <w:rPr>
        <w:rFonts w:ascii="Calibri" w:hAnsi="Calibri" w:cs="Calibri"/>
        <w:sz w:val="20"/>
        <w:szCs w:val="20"/>
      </w:rPr>
      <w:fldChar w:fldCharType="separate"/>
    </w:r>
    <w:r w:rsidR="002F6C1C">
      <w:rPr>
        <w:rFonts w:ascii="Calibri" w:hAnsi="Calibri" w:cs="Calibri"/>
        <w:noProof/>
        <w:sz w:val="20"/>
        <w:szCs w:val="20"/>
      </w:rPr>
      <w:t>1</w:t>
    </w:r>
    <w:r w:rsidRPr="00AD7E07">
      <w:rPr>
        <w:rFonts w:ascii="Calibri" w:hAnsi="Calibri" w:cs="Calibri"/>
        <w:sz w:val="20"/>
        <w:szCs w:val="20"/>
      </w:rPr>
      <w:fldChar w:fldCharType="end"/>
    </w:r>
    <w:r w:rsidRPr="00AD7E07">
      <w:rPr>
        <w:rFonts w:ascii="Calibri" w:hAnsi="Calibri" w:cs="Calibri"/>
        <w:sz w:val="20"/>
        <w:szCs w:val="20"/>
      </w:rPr>
      <w:t xml:space="preserve"> / </w:t>
    </w:r>
    <w:r w:rsidRPr="00AD7E07">
      <w:rPr>
        <w:rFonts w:ascii="Calibri" w:hAnsi="Calibri" w:cs="Calibri"/>
        <w:sz w:val="20"/>
        <w:szCs w:val="20"/>
      </w:rPr>
      <w:fldChar w:fldCharType="begin"/>
    </w:r>
    <w:r w:rsidRPr="00AD7E07">
      <w:rPr>
        <w:rFonts w:ascii="Calibri" w:hAnsi="Calibri" w:cs="Calibri"/>
        <w:sz w:val="20"/>
        <w:szCs w:val="20"/>
      </w:rPr>
      <w:instrText xml:space="preserve"> NUMPAGES  \# "0" \* Arabic  \* MERGEFORMAT </w:instrText>
    </w:r>
    <w:r w:rsidRPr="00AD7E07">
      <w:rPr>
        <w:rFonts w:ascii="Calibri" w:hAnsi="Calibri" w:cs="Calibri"/>
        <w:sz w:val="20"/>
        <w:szCs w:val="20"/>
      </w:rPr>
      <w:fldChar w:fldCharType="separate"/>
    </w:r>
    <w:r w:rsidR="002F6C1C">
      <w:rPr>
        <w:rFonts w:ascii="Calibri" w:hAnsi="Calibri" w:cs="Calibri"/>
        <w:noProof/>
        <w:sz w:val="20"/>
        <w:szCs w:val="20"/>
      </w:rPr>
      <w:t>1</w:t>
    </w:r>
    <w:r w:rsidRPr="00AD7E07">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77" w:rsidRDefault="003A4677" w:rsidP="00431D4B">
      <w:r>
        <w:separator/>
      </w:r>
    </w:p>
  </w:footnote>
  <w:footnote w:type="continuationSeparator" w:id="0">
    <w:p w:rsidR="003A4677" w:rsidRDefault="003A4677" w:rsidP="0043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p>
  <w:p w:rsidR="00204BD9" w:rsidRDefault="00204BD9">
    <w:pPr>
      <w:pStyle w:val="Sidehoved"/>
    </w:pPr>
    <w:r>
      <w:rPr>
        <w:noProof/>
        <w:lang w:eastAsia="da-DK"/>
      </w:rPr>
      <w:drawing>
        <wp:anchor distT="0" distB="0" distL="114300" distR="114300" simplePos="0" relativeHeight="251659264" behindDoc="0" locked="1" layoutInCell="1" allowOverlap="1" wp14:anchorId="76A17CBB" wp14:editId="2C3AFEA8">
          <wp:simplePos x="0" y="0"/>
          <wp:positionH relativeFrom="rightMargin">
            <wp:posOffset>-2012950</wp:posOffset>
          </wp:positionH>
          <wp:positionV relativeFrom="page">
            <wp:posOffset>323850</wp:posOffset>
          </wp:positionV>
          <wp:extent cx="2088000" cy="619200"/>
          <wp:effectExtent l="0" t="0" r="0" b="0"/>
          <wp:wrapSquare wrapText="bothSides"/>
          <wp:docPr id="2" name="Billede 2" descr="C:\Skat\Skm\SKM_CMYK.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kat\Skm\SKM_CMYK.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8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E588D"/>
    <w:multiLevelType w:val="hybridMultilevel"/>
    <w:tmpl w:val="B6F2D294"/>
    <w:lvl w:ilvl="0" w:tplc="34B08A64">
      <w:start w:val="10"/>
      <w:numFmt w:val="bullet"/>
      <w:lvlText w:val="-"/>
      <w:lvlJc w:val="left"/>
      <w:pPr>
        <w:ind w:left="720" w:hanging="360"/>
      </w:pPr>
      <w:rPr>
        <w:rFonts w:ascii="Garamond" w:eastAsiaTheme="minorHAnsi" w:hAnsi="Garamond"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77"/>
    <w:rsid w:val="00040B5B"/>
    <w:rsid w:val="000420D5"/>
    <w:rsid w:val="00053A9B"/>
    <w:rsid w:val="000614B4"/>
    <w:rsid w:val="00077668"/>
    <w:rsid w:val="000905B9"/>
    <w:rsid w:val="000A0CEF"/>
    <w:rsid w:val="000C78A3"/>
    <w:rsid w:val="000D6E69"/>
    <w:rsid w:val="000E2C37"/>
    <w:rsid w:val="000E614B"/>
    <w:rsid w:val="00114964"/>
    <w:rsid w:val="001409D4"/>
    <w:rsid w:val="00151AD8"/>
    <w:rsid w:val="001F1906"/>
    <w:rsid w:val="00204AA5"/>
    <w:rsid w:val="00204BD9"/>
    <w:rsid w:val="00210A2E"/>
    <w:rsid w:val="002164D4"/>
    <w:rsid w:val="00271300"/>
    <w:rsid w:val="00292D4D"/>
    <w:rsid w:val="00293255"/>
    <w:rsid w:val="002A2B99"/>
    <w:rsid w:val="002A4613"/>
    <w:rsid w:val="002B557C"/>
    <w:rsid w:val="002B7D29"/>
    <w:rsid w:val="002D3162"/>
    <w:rsid w:val="002F6C1C"/>
    <w:rsid w:val="0030541F"/>
    <w:rsid w:val="00372AFB"/>
    <w:rsid w:val="00390510"/>
    <w:rsid w:val="003A4677"/>
    <w:rsid w:val="003B3EC2"/>
    <w:rsid w:val="003E16FE"/>
    <w:rsid w:val="003F120D"/>
    <w:rsid w:val="00421F40"/>
    <w:rsid w:val="00431D4B"/>
    <w:rsid w:val="00434584"/>
    <w:rsid w:val="00451855"/>
    <w:rsid w:val="00453EA3"/>
    <w:rsid w:val="00461F2E"/>
    <w:rsid w:val="004724B8"/>
    <w:rsid w:val="00481547"/>
    <w:rsid w:val="00485F0D"/>
    <w:rsid w:val="0048702A"/>
    <w:rsid w:val="00490490"/>
    <w:rsid w:val="004B2435"/>
    <w:rsid w:val="004E74AA"/>
    <w:rsid w:val="004F7D52"/>
    <w:rsid w:val="00507D3B"/>
    <w:rsid w:val="00513DEB"/>
    <w:rsid w:val="0052064B"/>
    <w:rsid w:val="00596D81"/>
    <w:rsid w:val="006227B0"/>
    <w:rsid w:val="006333F7"/>
    <w:rsid w:val="00646243"/>
    <w:rsid w:val="00675483"/>
    <w:rsid w:val="00683DCB"/>
    <w:rsid w:val="006B61A1"/>
    <w:rsid w:val="006E78F8"/>
    <w:rsid w:val="007B3F83"/>
    <w:rsid w:val="007D1FCB"/>
    <w:rsid w:val="0083219F"/>
    <w:rsid w:val="0085657A"/>
    <w:rsid w:val="008653D5"/>
    <w:rsid w:val="00907893"/>
    <w:rsid w:val="00934D6E"/>
    <w:rsid w:val="00980121"/>
    <w:rsid w:val="009B3308"/>
    <w:rsid w:val="00A25227"/>
    <w:rsid w:val="00A30173"/>
    <w:rsid w:val="00A315F2"/>
    <w:rsid w:val="00A32367"/>
    <w:rsid w:val="00A5005E"/>
    <w:rsid w:val="00A50F89"/>
    <w:rsid w:val="00A85CF2"/>
    <w:rsid w:val="00AA7C3B"/>
    <w:rsid w:val="00AB14BD"/>
    <w:rsid w:val="00AC78F7"/>
    <w:rsid w:val="00AD7E07"/>
    <w:rsid w:val="00AF028A"/>
    <w:rsid w:val="00B2692D"/>
    <w:rsid w:val="00B32E57"/>
    <w:rsid w:val="00B76181"/>
    <w:rsid w:val="00BB4E95"/>
    <w:rsid w:val="00BC5D4C"/>
    <w:rsid w:val="00BD0A5C"/>
    <w:rsid w:val="00BE66B6"/>
    <w:rsid w:val="00C02547"/>
    <w:rsid w:val="00C226DD"/>
    <w:rsid w:val="00C6362E"/>
    <w:rsid w:val="00CB7ACF"/>
    <w:rsid w:val="00CC0582"/>
    <w:rsid w:val="00CE2C69"/>
    <w:rsid w:val="00D55D4B"/>
    <w:rsid w:val="00D66306"/>
    <w:rsid w:val="00DA04B1"/>
    <w:rsid w:val="00DB5FB4"/>
    <w:rsid w:val="00E037A5"/>
    <w:rsid w:val="00E15B51"/>
    <w:rsid w:val="00E23A98"/>
    <w:rsid w:val="00EB3F9A"/>
    <w:rsid w:val="00F20B70"/>
    <w:rsid w:val="00F333CA"/>
    <w:rsid w:val="00F34C54"/>
    <w:rsid w:val="00F6444A"/>
    <w:rsid w:val="00F720D8"/>
    <w:rsid w:val="00F971D6"/>
    <w:rsid w:val="00FB59A5"/>
    <w:rsid w:val="00FC26F8"/>
    <w:rsid w:val="00FC7C4C"/>
    <w:rsid w:val="00FE1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47"/>
    <w:pPr>
      <w:spacing w:line="240" w:lineRule="auto"/>
      <w:jc w:val="both"/>
    </w:pPr>
    <w:rPr>
      <w:rFonts w:ascii="Garamond" w:hAnsi="Garamond"/>
      <w:sz w:val="24"/>
    </w:rPr>
  </w:style>
  <w:style w:type="paragraph" w:styleId="Overskrift1">
    <w:name w:val="heading 1"/>
    <w:basedOn w:val="Normal"/>
    <w:next w:val="Normal"/>
    <w:link w:val="Overskrift1Tegn"/>
    <w:qFormat/>
    <w:rsid w:val="00E15B51"/>
    <w:pPr>
      <w:keepLines/>
      <w:spacing w:line="360" w:lineRule="exact"/>
      <w:jc w:val="left"/>
      <w:outlineLvl w:val="0"/>
    </w:pPr>
    <w:rPr>
      <w:rFonts w:ascii="Calibri" w:eastAsia="Times New Roman" w:hAnsi="Calibri" w:cs="Arial"/>
      <w:bCs/>
      <w:sz w:val="32"/>
      <w:szCs w:val="32"/>
      <w:lang w:eastAsia="da-DK"/>
    </w:rPr>
  </w:style>
  <w:style w:type="paragraph" w:styleId="Overskrift2">
    <w:name w:val="heading 2"/>
    <w:basedOn w:val="Normal"/>
    <w:next w:val="Normal"/>
    <w:link w:val="Overskrift2Tegn"/>
    <w:qFormat/>
    <w:rsid w:val="00E15B51"/>
    <w:pPr>
      <w:keepLines/>
      <w:suppressAutoHyphens/>
      <w:spacing w:before="240" w:line="288" w:lineRule="exact"/>
      <w:jc w:val="left"/>
      <w:outlineLvl w:val="1"/>
    </w:pPr>
    <w:rPr>
      <w:rFonts w:ascii="Calibri" w:eastAsia="Times New Roman" w:hAnsi="Calibri" w:cs="Arial"/>
      <w:bCs/>
      <w:iCs/>
      <w:sz w:val="26"/>
      <w:szCs w:val="28"/>
      <w:lang w:eastAsia="da-DK"/>
    </w:rPr>
  </w:style>
  <w:style w:type="paragraph" w:styleId="Overskrift3">
    <w:name w:val="heading 3"/>
    <w:basedOn w:val="Normal"/>
    <w:next w:val="Normal"/>
    <w:link w:val="Overskrift3Tegn"/>
    <w:qFormat/>
    <w:rsid w:val="00E15B51"/>
    <w:pPr>
      <w:keepNext/>
      <w:spacing w:before="240" w:after="60" w:line="288" w:lineRule="exact"/>
      <w:jc w:val="left"/>
      <w:outlineLvl w:val="2"/>
    </w:pPr>
    <w:rPr>
      <w:rFonts w:ascii="Calibri" w:eastAsia="Times New Roman" w:hAnsi="Calibri" w:cs="Arial"/>
      <w:bCs/>
      <w:sz w:val="22"/>
      <w:szCs w:val="26"/>
      <w:lang w:eastAsia="da-DK"/>
    </w:rPr>
  </w:style>
  <w:style w:type="paragraph" w:styleId="Overskrift4">
    <w:name w:val="heading 4"/>
    <w:basedOn w:val="Normal"/>
    <w:next w:val="Normal"/>
    <w:link w:val="Overskrift4Tegn"/>
    <w:qFormat/>
    <w:rsid w:val="000614B4"/>
    <w:pPr>
      <w:keepLines/>
      <w:suppressAutoHyphens/>
      <w:spacing w:line="288" w:lineRule="exact"/>
      <w:outlineLvl w:val="3"/>
    </w:pPr>
    <w:rPr>
      <w:rFonts w:eastAsia="Times New Roman" w:cs="Times New Roman"/>
      <w:bCs/>
      <w:i/>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15B51"/>
    <w:rPr>
      <w:rFonts w:ascii="Calibri" w:eastAsia="Times New Roman" w:hAnsi="Calibri" w:cs="Arial"/>
      <w:bCs/>
      <w:sz w:val="32"/>
      <w:szCs w:val="32"/>
      <w:lang w:eastAsia="da-DK"/>
    </w:rPr>
  </w:style>
  <w:style w:type="character" w:customStyle="1" w:styleId="Overskrift2Tegn">
    <w:name w:val="Overskrift 2 Tegn"/>
    <w:basedOn w:val="Standardskrifttypeiafsnit"/>
    <w:link w:val="Overskrift2"/>
    <w:rsid w:val="00E15B51"/>
    <w:rPr>
      <w:rFonts w:ascii="Calibri" w:eastAsia="Times New Roman" w:hAnsi="Calibri" w:cs="Arial"/>
      <w:bCs/>
      <w:iCs/>
      <w:sz w:val="26"/>
      <w:szCs w:val="28"/>
      <w:lang w:eastAsia="da-DK"/>
    </w:rPr>
  </w:style>
  <w:style w:type="character" w:customStyle="1" w:styleId="Overskrift3Tegn">
    <w:name w:val="Overskrift 3 Tegn"/>
    <w:basedOn w:val="Standardskrifttypeiafsnit"/>
    <w:link w:val="Overskrift3"/>
    <w:rsid w:val="00E15B51"/>
    <w:rPr>
      <w:rFonts w:ascii="Calibri" w:eastAsia="Times New Roman" w:hAnsi="Calibri" w:cs="Arial"/>
      <w:bCs/>
      <w:szCs w:val="26"/>
      <w:lang w:eastAsia="da-DK"/>
    </w:rPr>
  </w:style>
  <w:style w:type="character" w:customStyle="1" w:styleId="Overskrift4Tegn">
    <w:name w:val="Overskrift 4 Tegn"/>
    <w:basedOn w:val="Standardskrifttypeiafsnit"/>
    <w:link w:val="Overskrift4"/>
    <w:rsid w:val="000614B4"/>
    <w:rPr>
      <w:rFonts w:ascii="Times New Roman" w:eastAsia="Times New Roman" w:hAnsi="Times New Roman" w:cs="Times New Roman"/>
      <w:bCs/>
      <w:i/>
      <w:sz w:val="24"/>
      <w:szCs w:val="28"/>
      <w:lang w:eastAsia="da-DK"/>
    </w:rPr>
  </w:style>
  <w:style w:type="paragraph" w:styleId="Markeringsbobletekst">
    <w:name w:val="Balloon Text"/>
    <w:basedOn w:val="Normal"/>
    <w:link w:val="MarkeringsbobletekstTegn"/>
    <w:uiPriority w:val="99"/>
    <w:semiHidden/>
    <w:unhideWhenUsed/>
    <w:rsid w:val="004E74A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4AA"/>
    <w:rPr>
      <w:rFonts w:ascii="Tahoma" w:hAnsi="Tahoma" w:cs="Tahoma"/>
      <w:sz w:val="16"/>
      <w:szCs w:val="16"/>
    </w:rPr>
  </w:style>
  <w:style w:type="paragraph" w:styleId="Sidehoved">
    <w:name w:val="header"/>
    <w:basedOn w:val="Normal"/>
    <w:link w:val="SidehovedTegn"/>
    <w:unhideWhenUsed/>
    <w:rsid w:val="00431D4B"/>
    <w:pPr>
      <w:tabs>
        <w:tab w:val="center" w:pos="4819"/>
        <w:tab w:val="right" w:pos="9638"/>
      </w:tabs>
    </w:pPr>
  </w:style>
  <w:style w:type="character" w:customStyle="1" w:styleId="SidehovedTegn">
    <w:name w:val="Sidehoved Tegn"/>
    <w:basedOn w:val="Standardskrifttypeiafsnit"/>
    <w:link w:val="Sidehoved"/>
    <w:uiPriority w:val="99"/>
    <w:rsid w:val="00431D4B"/>
    <w:rPr>
      <w:rFonts w:ascii="Times New Roman" w:hAnsi="Times New Roman"/>
      <w:sz w:val="24"/>
    </w:rPr>
  </w:style>
  <w:style w:type="paragraph" w:styleId="Sidefod">
    <w:name w:val="footer"/>
    <w:basedOn w:val="Normal"/>
    <w:link w:val="SidefodTegn"/>
    <w:uiPriority w:val="99"/>
    <w:unhideWhenUsed/>
    <w:rsid w:val="00431D4B"/>
    <w:pPr>
      <w:tabs>
        <w:tab w:val="center" w:pos="4819"/>
        <w:tab w:val="right" w:pos="9638"/>
      </w:tabs>
    </w:pPr>
  </w:style>
  <w:style w:type="character" w:customStyle="1" w:styleId="SidefodTegn">
    <w:name w:val="Sidefod Tegn"/>
    <w:basedOn w:val="Standardskrifttypeiafsnit"/>
    <w:link w:val="Sidefod"/>
    <w:uiPriority w:val="99"/>
    <w:rsid w:val="00431D4B"/>
    <w:rPr>
      <w:rFonts w:ascii="Times New Roman" w:hAnsi="Times New Roman"/>
      <w:sz w:val="24"/>
    </w:rPr>
  </w:style>
  <w:style w:type="character" w:styleId="Pladsholdertekst">
    <w:name w:val="Placeholder Text"/>
    <w:basedOn w:val="Standardskrifttypeiafsnit"/>
    <w:uiPriority w:val="99"/>
    <w:semiHidden/>
    <w:rsid w:val="00F333CA"/>
    <w:rPr>
      <w:color w:val="808080"/>
    </w:rPr>
  </w:style>
  <w:style w:type="table" w:styleId="Tabel-Gitter">
    <w:name w:val="Table Grid"/>
    <w:basedOn w:val="Tabel-Normal"/>
    <w:rsid w:val="009801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artementtekst">
    <w:name w:val="Departement tekst"/>
    <w:rsid w:val="00596D81"/>
    <w:pPr>
      <w:spacing w:after="130" w:line="240" w:lineRule="auto"/>
    </w:pPr>
    <w:rPr>
      <w:rFonts w:ascii="Verdana" w:eastAsia="Times New Roman" w:hAnsi="Verdana" w:cs="Times New Roman"/>
      <w:sz w:val="17"/>
      <w:szCs w:val="24"/>
      <w:lang w:eastAsia="da-DK"/>
    </w:rPr>
  </w:style>
  <w:style w:type="character" w:styleId="Hyperlink">
    <w:name w:val="Hyperlink"/>
    <w:basedOn w:val="Standardskrifttypeiafsnit"/>
    <w:uiPriority w:val="99"/>
    <w:unhideWhenUsed/>
    <w:rsid w:val="00481547"/>
    <w:rPr>
      <w:color w:val="0000FF" w:themeColor="hyperlink"/>
      <w:u w:val="single"/>
    </w:rPr>
  </w:style>
  <w:style w:type="paragraph" w:styleId="Listeafsnit">
    <w:name w:val="List Paragraph"/>
    <w:basedOn w:val="Normal"/>
    <w:uiPriority w:val="34"/>
    <w:qFormat/>
    <w:rsid w:val="00BE6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47"/>
    <w:pPr>
      <w:spacing w:line="240" w:lineRule="auto"/>
      <w:jc w:val="both"/>
    </w:pPr>
    <w:rPr>
      <w:rFonts w:ascii="Garamond" w:hAnsi="Garamond"/>
      <w:sz w:val="24"/>
    </w:rPr>
  </w:style>
  <w:style w:type="paragraph" w:styleId="Overskrift1">
    <w:name w:val="heading 1"/>
    <w:basedOn w:val="Normal"/>
    <w:next w:val="Normal"/>
    <w:link w:val="Overskrift1Tegn"/>
    <w:qFormat/>
    <w:rsid w:val="00E15B51"/>
    <w:pPr>
      <w:keepLines/>
      <w:spacing w:line="360" w:lineRule="exact"/>
      <w:jc w:val="left"/>
      <w:outlineLvl w:val="0"/>
    </w:pPr>
    <w:rPr>
      <w:rFonts w:ascii="Calibri" w:eastAsia="Times New Roman" w:hAnsi="Calibri" w:cs="Arial"/>
      <w:bCs/>
      <w:sz w:val="32"/>
      <w:szCs w:val="32"/>
      <w:lang w:eastAsia="da-DK"/>
    </w:rPr>
  </w:style>
  <w:style w:type="paragraph" w:styleId="Overskrift2">
    <w:name w:val="heading 2"/>
    <w:basedOn w:val="Normal"/>
    <w:next w:val="Normal"/>
    <w:link w:val="Overskrift2Tegn"/>
    <w:qFormat/>
    <w:rsid w:val="00E15B51"/>
    <w:pPr>
      <w:keepLines/>
      <w:suppressAutoHyphens/>
      <w:spacing w:before="240" w:line="288" w:lineRule="exact"/>
      <w:jc w:val="left"/>
      <w:outlineLvl w:val="1"/>
    </w:pPr>
    <w:rPr>
      <w:rFonts w:ascii="Calibri" w:eastAsia="Times New Roman" w:hAnsi="Calibri" w:cs="Arial"/>
      <w:bCs/>
      <w:iCs/>
      <w:sz w:val="26"/>
      <w:szCs w:val="28"/>
      <w:lang w:eastAsia="da-DK"/>
    </w:rPr>
  </w:style>
  <w:style w:type="paragraph" w:styleId="Overskrift3">
    <w:name w:val="heading 3"/>
    <w:basedOn w:val="Normal"/>
    <w:next w:val="Normal"/>
    <w:link w:val="Overskrift3Tegn"/>
    <w:qFormat/>
    <w:rsid w:val="00E15B51"/>
    <w:pPr>
      <w:keepNext/>
      <w:spacing w:before="240" w:after="60" w:line="288" w:lineRule="exact"/>
      <w:jc w:val="left"/>
      <w:outlineLvl w:val="2"/>
    </w:pPr>
    <w:rPr>
      <w:rFonts w:ascii="Calibri" w:eastAsia="Times New Roman" w:hAnsi="Calibri" w:cs="Arial"/>
      <w:bCs/>
      <w:sz w:val="22"/>
      <w:szCs w:val="26"/>
      <w:lang w:eastAsia="da-DK"/>
    </w:rPr>
  </w:style>
  <w:style w:type="paragraph" w:styleId="Overskrift4">
    <w:name w:val="heading 4"/>
    <w:basedOn w:val="Normal"/>
    <w:next w:val="Normal"/>
    <w:link w:val="Overskrift4Tegn"/>
    <w:qFormat/>
    <w:rsid w:val="000614B4"/>
    <w:pPr>
      <w:keepLines/>
      <w:suppressAutoHyphens/>
      <w:spacing w:line="288" w:lineRule="exact"/>
      <w:outlineLvl w:val="3"/>
    </w:pPr>
    <w:rPr>
      <w:rFonts w:eastAsia="Times New Roman" w:cs="Times New Roman"/>
      <w:bCs/>
      <w:i/>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15B51"/>
    <w:rPr>
      <w:rFonts w:ascii="Calibri" w:eastAsia="Times New Roman" w:hAnsi="Calibri" w:cs="Arial"/>
      <w:bCs/>
      <w:sz w:val="32"/>
      <w:szCs w:val="32"/>
      <w:lang w:eastAsia="da-DK"/>
    </w:rPr>
  </w:style>
  <w:style w:type="character" w:customStyle="1" w:styleId="Overskrift2Tegn">
    <w:name w:val="Overskrift 2 Tegn"/>
    <w:basedOn w:val="Standardskrifttypeiafsnit"/>
    <w:link w:val="Overskrift2"/>
    <w:rsid w:val="00E15B51"/>
    <w:rPr>
      <w:rFonts w:ascii="Calibri" w:eastAsia="Times New Roman" w:hAnsi="Calibri" w:cs="Arial"/>
      <w:bCs/>
      <w:iCs/>
      <w:sz w:val="26"/>
      <w:szCs w:val="28"/>
      <w:lang w:eastAsia="da-DK"/>
    </w:rPr>
  </w:style>
  <w:style w:type="character" w:customStyle="1" w:styleId="Overskrift3Tegn">
    <w:name w:val="Overskrift 3 Tegn"/>
    <w:basedOn w:val="Standardskrifttypeiafsnit"/>
    <w:link w:val="Overskrift3"/>
    <w:rsid w:val="00E15B51"/>
    <w:rPr>
      <w:rFonts w:ascii="Calibri" w:eastAsia="Times New Roman" w:hAnsi="Calibri" w:cs="Arial"/>
      <w:bCs/>
      <w:szCs w:val="26"/>
      <w:lang w:eastAsia="da-DK"/>
    </w:rPr>
  </w:style>
  <w:style w:type="character" w:customStyle="1" w:styleId="Overskrift4Tegn">
    <w:name w:val="Overskrift 4 Tegn"/>
    <w:basedOn w:val="Standardskrifttypeiafsnit"/>
    <w:link w:val="Overskrift4"/>
    <w:rsid w:val="000614B4"/>
    <w:rPr>
      <w:rFonts w:ascii="Times New Roman" w:eastAsia="Times New Roman" w:hAnsi="Times New Roman" w:cs="Times New Roman"/>
      <w:bCs/>
      <w:i/>
      <w:sz w:val="24"/>
      <w:szCs w:val="28"/>
      <w:lang w:eastAsia="da-DK"/>
    </w:rPr>
  </w:style>
  <w:style w:type="paragraph" w:styleId="Markeringsbobletekst">
    <w:name w:val="Balloon Text"/>
    <w:basedOn w:val="Normal"/>
    <w:link w:val="MarkeringsbobletekstTegn"/>
    <w:uiPriority w:val="99"/>
    <w:semiHidden/>
    <w:unhideWhenUsed/>
    <w:rsid w:val="004E74A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4AA"/>
    <w:rPr>
      <w:rFonts w:ascii="Tahoma" w:hAnsi="Tahoma" w:cs="Tahoma"/>
      <w:sz w:val="16"/>
      <w:szCs w:val="16"/>
    </w:rPr>
  </w:style>
  <w:style w:type="paragraph" w:styleId="Sidehoved">
    <w:name w:val="header"/>
    <w:basedOn w:val="Normal"/>
    <w:link w:val="SidehovedTegn"/>
    <w:unhideWhenUsed/>
    <w:rsid w:val="00431D4B"/>
    <w:pPr>
      <w:tabs>
        <w:tab w:val="center" w:pos="4819"/>
        <w:tab w:val="right" w:pos="9638"/>
      </w:tabs>
    </w:pPr>
  </w:style>
  <w:style w:type="character" w:customStyle="1" w:styleId="SidehovedTegn">
    <w:name w:val="Sidehoved Tegn"/>
    <w:basedOn w:val="Standardskrifttypeiafsnit"/>
    <w:link w:val="Sidehoved"/>
    <w:uiPriority w:val="99"/>
    <w:rsid w:val="00431D4B"/>
    <w:rPr>
      <w:rFonts w:ascii="Times New Roman" w:hAnsi="Times New Roman"/>
      <w:sz w:val="24"/>
    </w:rPr>
  </w:style>
  <w:style w:type="paragraph" w:styleId="Sidefod">
    <w:name w:val="footer"/>
    <w:basedOn w:val="Normal"/>
    <w:link w:val="SidefodTegn"/>
    <w:uiPriority w:val="99"/>
    <w:unhideWhenUsed/>
    <w:rsid w:val="00431D4B"/>
    <w:pPr>
      <w:tabs>
        <w:tab w:val="center" w:pos="4819"/>
        <w:tab w:val="right" w:pos="9638"/>
      </w:tabs>
    </w:pPr>
  </w:style>
  <w:style w:type="character" w:customStyle="1" w:styleId="SidefodTegn">
    <w:name w:val="Sidefod Tegn"/>
    <w:basedOn w:val="Standardskrifttypeiafsnit"/>
    <w:link w:val="Sidefod"/>
    <w:uiPriority w:val="99"/>
    <w:rsid w:val="00431D4B"/>
    <w:rPr>
      <w:rFonts w:ascii="Times New Roman" w:hAnsi="Times New Roman"/>
      <w:sz w:val="24"/>
    </w:rPr>
  </w:style>
  <w:style w:type="character" w:styleId="Pladsholdertekst">
    <w:name w:val="Placeholder Text"/>
    <w:basedOn w:val="Standardskrifttypeiafsnit"/>
    <w:uiPriority w:val="99"/>
    <w:semiHidden/>
    <w:rsid w:val="00F333CA"/>
    <w:rPr>
      <w:color w:val="808080"/>
    </w:rPr>
  </w:style>
  <w:style w:type="table" w:styleId="Tabel-Gitter">
    <w:name w:val="Table Grid"/>
    <w:basedOn w:val="Tabel-Normal"/>
    <w:rsid w:val="009801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artementtekst">
    <w:name w:val="Departement tekst"/>
    <w:rsid w:val="00596D81"/>
    <w:pPr>
      <w:spacing w:after="130" w:line="240" w:lineRule="auto"/>
    </w:pPr>
    <w:rPr>
      <w:rFonts w:ascii="Verdana" w:eastAsia="Times New Roman" w:hAnsi="Verdana" w:cs="Times New Roman"/>
      <w:sz w:val="17"/>
      <w:szCs w:val="24"/>
      <w:lang w:eastAsia="da-DK"/>
    </w:rPr>
  </w:style>
  <w:style w:type="character" w:styleId="Hyperlink">
    <w:name w:val="Hyperlink"/>
    <w:basedOn w:val="Standardskrifttypeiafsnit"/>
    <w:uiPriority w:val="99"/>
    <w:unhideWhenUsed/>
    <w:rsid w:val="00481547"/>
    <w:rPr>
      <w:color w:val="0000FF" w:themeColor="hyperlink"/>
      <w:u w:val="single"/>
    </w:rPr>
  </w:style>
  <w:style w:type="paragraph" w:styleId="Listeafsnit">
    <w:name w:val="List Paragraph"/>
    <w:basedOn w:val="Normal"/>
    <w:uiPriority w:val="34"/>
    <w:qFormat/>
    <w:rsid w:val="00BE6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skm">
  <a:themeElements>
    <a:clrScheme name="Skm">
      <a:dk1>
        <a:srgbClr val="000000"/>
      </a:dk1>
      <a:lt1>
        <a:srgbClr val="FFFFFF"/>
      </a:lt1>
      <a:dk2>
        <a:srgbClr val="57788E"/>
      </a:dk2>
      <a:lt2>
        <a:srgbClr val="C0C0C0"/>
      </a:lt2>
      <a:accent1>
        <a:srgbClr val="000D2F"/>
      </a:accent1>
      <a:accent2>
        <a:srgbClr val="57788E"/>
      </a:accent2>
      <a:accent3>
        <a:srgbClr val="88A7B7"/>
      </a:accent3>
      <a:accent4>
        <a:srgbClr val="BBCFD5"/>
      </a:accent4>
      <a:accent5>
        <a:srgbClr val="99252C"/>
      </a:accent5>
      <a:accent6>
        <a:srgbClr val="777777"/>
      </a:accent6>
      <a:hlink>
        <a:srgbClr val="0000FF"/>
      </a:hlink>
      <a:folHlink>
        <a:srgbClr val="800080"/>
      </a:folHlink>
    </a:clrScheme>
    <a:fontScheme name="Skm">
      <a:majorFont>
        <a:latin typeface="Calibri"/>
        <a:ea typeface=""/>
        <a:cs typeface=""/>
      </a:majorFont>
      <a:minorFont>
        <a:latin typeface="Garamond"/>
        <a:ea typeface=""/>
        <a:cs typeface=""/>
      </a:minorFont>
    </a:fontScheme>
    <a:fmtScheme name="Horis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64D8-C62B-43BE-B3B8-E3D199D2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2556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resumé</vt:lpstr>
    </vt:vector>
  </TitlesOfParts>
  <Company>Skatteministeriet</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resumé</dc:title>
  <dc:creator>Susanne Poulsen</dc:creator>
  <cp:lastModifiedBy>Susanne Poulsen</cp:lastModifiedBy>
  <cp:revision>2</cp:revision>
  <cp:lastPrinted>2013-04-22T08:25:00Z</cp:lastPrinted>
  <dcterms:created xsi:type="dcterms:W3CDTF">2013-09-19T07:07:00Z</dcterms:created>
  <dcterms:modified xsi:type="dcterms:W3CDTF">2013-09-19T07:07:00Z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resumé af direktivforslaget</vt:lpwstr>
  </property>
  <property fmtid="{D5CDD505-2E9C-101B-9397-08002B2CF9AE}" pid="3" name="path">
    <vt:lpwstr>C:\Users\W09380\AppData\Local\Temp\SJ20130910103758365.DOCX</vt:lpwstr>
  </property>
</Properties>
</file>