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1574" w14:textId="77777777" w:rsidR="00B321F5" w:rsidRPr="003B602A" w:rsidRDefault="00B321F5" w:rsidP="0086555D"/>
    <w:p w14:paraId="195DC8D4" w14:textId="77777777" w:rsidR="00010860" w:rsidRPr="003B602A" w:rsidRDefault="00435360" w:rsidP="0086555D">
      <w:bookmarkStart w:id="0" w:name="navn"/>
      <w:bookmarkStart w:id="1" w:name="att"/>
      <w:bookmarkEnd w:id="0"/>
      <w:bookmarkEnd w:id="1"/>
      <w:r w:rsidRPr="003B602A">
        <w:t xml:space="preserve">Til organisationer og myndigheder anført på vedlagte høringsliste </w:t>
      </w:r>
    </w:p>
    <w:p w14:paraId="3DEE1DA5" w14:textId="77777777" w:rsidR="00B321F5" w:rsidRPr="003B602A" w:rsidRDefault="00010860" w:rsidP="0086555D">
      <w:bookmarkStart w:id="2" w:name="adresse"/>
      <w:bookmarkEnd w:id="2"/>
      <w:r w:rsidRPr="003B602A">
        <w:t xml:space="preserve"> </w:t>
      </w:r>
    </w:p>
    <w:p w14:paraId="72F4185B" w14:textId="77777777" w:rsidR="00B321F5" w:rsidRPr="003B602A" w:rsidRDefault="00DF65FB" w:rsidP="0086555D">
      <w:bookmarkStart w:id="3" w:name="postnr"/>
      <w:bookmarkEnd w:id="3"/>
      <w:r w:rsidRPr="003B602A">
        <w:t xml:space="preserve"> </w:t>
      </w:r>
      <w:bookmarkStart w:id="4" w:name="by"/>
      <w:bookmarkEnd w:id="4"/>
    </w:p>
    <w:p w14:paraId="19575DF6" w14:textId="77777777" w:rsidR="00B321F5" w:rsidRPr="003B602A" w:rsidRDefault="00B321F5" w:rsidP="0086555D"/>
    <w:p w14:paraId="47BC666E" w14:textId="77777777" w:rsidR="00B321F5" w:rsidRPr="003B602A" w:rsidRDefault="00B321F5" w:rsidP="0086555D"/>
    <w:p w14:paraId="21B26F6B" w14:textId="77777777" w:rsidR="00B321F5" w:rsidRPr="003B602A" w:rsidRDefault="00B321F5" w:rsidP="0086555D"/>
    <w:p w14:paraId="55690D19" w14:textId="77777777" w:rsidR="00550A09" w:rsidRPr="003B602A" w:rsidRDefault="00E522DB" w:rsidP="0086555D">
      <w:r w:rsidRPr="003B60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7A4E79" wp14:editId="02214297">
                <wp:simplePos x="0" y="0"/>
                <wp:positionH relativeFrom="column">
                  <wp:posOffset>4943578</wp:posOffset>
                </wp:positionH>
                <wp:positionV relativeFrom="page">
                  <wp:posOffset>1488558</wp:posOffset>
                </wp:positionV>
                <wp:extent cx="1600200" cy="5143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85A" w14:textId="4BB94B4F" w:rsidR="00396B7B" w:rsidRPr="00027964" w:rsidRDefault="003B0ACF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C6440D" w:rsidRPr="0002796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august</w:t>
                            </w:r>
                            <w:r w:rsidR="008C03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40D" w:rsidRPr="00027964">
                              <w:rPr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  <w:p w14:paraId="0AA3C9DA" w14:textId="77777777" w:rsidR="00396B7B" w:rsidRPr="0002796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837761" w14:textId="1D1A9849" w:rsidR="00396B7B" w:rsidRPr="0002796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27964">
                              <w:rPr>
                                <w:sz w:val="16"/>
                                <w:szCs w:val="16"/>
                              </w:rPr>
                              <w:t xml:space="preserve">Ref. </w:t>
                            </w:r>
                            <w:bookmarkStart w:id="5" w:name="ref"/>
                            <w:bookmarkEnd w:id="5"/>
                            <w:r w:rsidR="00E92515" w:rsidRPr="00027964">
                              <w:rPr>
                                <w:sz w:val="16"/>
                                <w:szCs w:val="16"/>
                              </w:rPr>
                              <w:t>JUWE</w:t>
                            </w:r>
                          </w:p>
                          <w:p w14:paraId="76878D24" w14:textId="77777777" w:rsidR="00396B7B" w:rsidRPr="0002796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3E942A" w14:textId="254A6E8F" w:rsidR="00396B7B" w:rsidRPr="0002796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27964">
                              <w:rPr>
                                <w:sz w:val="16"/>
                                <w:szCs w:val="16"/>
                              </w:rPr>
                              <w:t xml:space="preserve">J.nr. </w:t>
                            </w:r>
                            <w:r w:rsidR="00C6440D" w:rsidRPr="00027964">
                              <w:rPr>
                                <w:sz w:val="16"/>
                                <w:szCs w:val="16"/>
                              </w:rPr>
                              <w:t>23-006</w:t>
                            </w:r>
                            <w:r w:rsidR="00027964">
                              <w:rPr>
                                <w:sz w:val="16"/>
                                <w:szCs w:val="16"/>
                              </w:rPr>
                              <w:t>913</w:t>
                            </w:r>
                          </w:p>
                          <w:p w14:paraId="00C6F34B" w14:textId="77777777" w:rsidR="00396B7B" w:rsidRPr="00027964" w:rsidRDefault="00396B7B" w:rsidP="00A95D28">
                            <w:pPr>
                              <w:spacing w:line="19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70242A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D54CB">
                              <w:rPr>
                                <w:rFonts w:ascii="Arial Black" w:hAnsi="Arial Black"/>
                                <w:sz w:val="13"/>
                                <w:szCs w:val="13"/>
                              </w:rPr>
                              <w:t>FINANSTILSYNET</w:t>
                            </w:r>
                          </w:p>
                          <w:p w14:paraId="482847A2" w14:textId="77777777" w:rsidR="00396B7B" w:rsidRPr="000F3B7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3B74">
                              <w:rPr>
                                <w:sz w:val="16"/>
                                <w:szCs w:val="16"/>
                              </w:rPr>
                              <w:t>Århusgade 110</w:t>
                            </w:r>
                          </w:p>
                          <w:p w14:paraId="4C50F847" w14:textId="77777777" w:rsidR="00396B7B" w:rsidRPr="000F3B74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3B74">
                              <w:rPr>
                                <w:sz w:val="16"/>
                                <w:szCs w:val="16"/>
                              </w:rPr>
                              <w:t>2100 København Ø</w:t>
                            </w:r>
                          </w:p>
                          <w:p w14:paraId="5951A13F" w14:textId="77777777" w:rsidR="00396B7B" w:rsidRDefault="00396B7B" w:rsidP="00A95D28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A3C57B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Tlf</w:t>
                            </w:r>
                            <w:r w:rsidR="00A95D28" w:rsidRPr="000E77E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33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55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</w:p>
                          <w:p w14:paraId="44DBC01F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Fax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33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55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82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00</w:t>
                            </w:r>
                          </w:p>
                          <w:p w14:paraId="3D664732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36"/>
                                <w:tab w:val="left" w:pos="1162"/>
                                <w:tab w:val="left" w:pos="1389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CVR-nr</w:t>
                            </w:r>
                            <w:r w:rsidR="00A95D28" w:rsidRPr="000E77E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59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81</w:t>
                            </w:r>
                            <w:r w:rsidRPr="000E77E6">
                              <w:rPr>
                                <w:sz w:val="16"/>
                                <w:szCs w:val="16"/>
                              </w:rPr>
                              <w:tab/>
                              <w:t>84</w:t>
                            </w:r>
                          </w:p>
                          <w:p w14:paraId="17C60C27" w14:textId="77777777" w:rsidR="00396B7B" w:rsidRPr="000E77E6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77E6">
                              <w:rPr>
                                <w:sz w:val="16"/>
                                <w:szCs w:val="16"/>
                              </w:rPr>
                              <w:t>finanstilsynet@ftnet.dk</w:t>
                            </w:r>
                          </w:p>
                          <w:p w14:paraId="23CCF67B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8786C">
                              <w:rPr>
                                <w:sz w:val="16"/>
                                <w:szCs w:val="16"/>
                              </w:rPr>
                              <w:t>www.finanstilsynet.dk</w:t>
                            </w:r>
                          </w:p>
                          <w:p w14:paraId="09189D03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4C24C7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2BB1F8" w14:textId="77777777" w:rsidR="00396B7B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576278" w14:textId="77777777" w:rsidR="00F34C19" w:rsidRDefault="00F34C19" w:rsidP="00F34C19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</w:p>
                          <w:p w14:paraId="5269543C" w14:textId="77777777" w:rsidR="00F34C19" w:rsidRDefault="00E522DB" w:rsidP="00F34C19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  <w:t>erhvervs</w:t>
                            </w:r>
                            <w:r w:rsidR="00F34C19"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  <w:t>ministeriet</w:t>
                            </w:r>
                          </w:p>
                          <w:p w14:paraId="2DD155F1" w14:textId="77777777" w:rsidR="00396B7B" w:rsidRPr="00193ABA" w:rsidRDefault="00396B7B" w:rsidP="00A95D28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</w:tabs>
                              <w:spacing w:line="220" w:lineRule="exact"/>
                              <w:jc w:val="left"/>
                              <w:rPr>
                                <w:rFonts w:ascii="Arial Black" w:hAnsi="Arial Black"/>
                                <w:smallCap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A4E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25pt;margin-top:117.2pt;width:126pt;height:4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" stroked="f">
                <v:textbox>
                  <w:txbxContent>
                    <w:p w14:paraId="4548885A" w14:textId="4BB94B4F" w:rsidR="00396B7B" w:rsidRPr="00027964" w:rsidRDefault="003B0ACF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 w:rsidR="00C6440D" w:rsidRPr="00027964">
                        <w:rPr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>august</w:t>
                      </w:r>
                      <w:r w:rsidR="008C033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440D" w:rsidRPr="00027964">
                        <w:rPr>
                          <w:sz w:val="16"/>
                          <w:szCs w:val="16"/>
                        </w:rPr>
                        <w:t>2023</w:t>
                      </w:r>
                    </w:p>
                    <w:p w14:paraId="0AA3C9DA" w14:textId="77777777" w:rsidR="00396B7B" w:rsidRPr="0002796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48837761" w14:textId="1D1A9849" w:rsidR="00396B7B" w:rsidRPr="0002796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27964">
                        <w:rPr>
                          <w:sz w:val="16"/>
                          <w:szCs w:val="16"/>
                        </w:rPr>
                        <w:t xml:space="preserve">Ref. </w:t>
                      </w:r>
                      <w:bookmarkStart w:id="6" w:name="ref"/>
                      <w:bookmarkEnd w:id="6"/>
                      <w:r w:rsidR="00E92515" w:rsidRPr="00027964">
                        <w:rPr>
                          <w:sz w:val="16"/>
                          <w:szCs w:val="16"/>
                        </w:rPr>
                        <w:t>JUWE</w:t>
                      </w:r>
                    </w:p>
                    <w:p w14:paraId="76878D24" w14:textId="77777777" w:rsidR="00396B7B" w:rsidRPr="0002796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493E942A" w14:textId="254A6E8F" w:rsidR="00396B7B" w:rsidRPr="0002796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27964">
                        <w:rPr>
                          <w:sz w:val="16"/>
                          <w:szCs w:val="16"/>
                        </w:rPr>
                        <w:t xml:space="preserve">J.nr. </w:t>
                      </w:r>
                      <w:r w:rsidR="00C6440D" w:rsidRPr="00027964">
                        <w:rPr>
                          <w:sz w:val="16"/>
                          <w:szCs w:val="16"/>
                        </w:rPr>
                        <w:t>23-006</w:t>
                      </w:r>
                      <w:r w:rsidR="00027964">
                        <w:rPr>
                          <w:sz w:val="16"/>
                          <w:szCs w:val="16"/>
                        </w:rPr>
                        <w:t>913</w:t>
                      </w:r>
                    </w:p>
                    <w:p w14:paraId="00C6F34B" w14:textId="77777777" w:rsidR="00396B7B" w:rsidRPr="00027964" w:rsidRDefault="00396B7B" w:rsidP="00A95D28">
                      <w:pPr>
                        <w:spacing w:line="190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6B70242A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ED54CB">
                        <w:rPr>
                          <w:rFonts w:ascii="Arial Black" w:hAnsi="Arial Black"/>
                          <w:sz w:val="13"/>
                          <w:szCs w:val="13"/>
                        </w:rPr>
                        <w:t>FINANSTILSYNET</w:t>
                      </w:r>
                    </w:p>
                    <w:p w14:paraId="482847A2" w14:textId="77777777" w:rsidR="00396B7B" w:rsidRPr="000F3B7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F3B74">
                        <w:rPr>
                          <w:sz w:val="16"/>
                          <w:szCs w:val="16"/>
                        </w:rPr>
                        <w:t>Århusgade 110</w:t>
                      </w:r>
                    </w:p>
                    <w:p w14:paraId="4C50F847" w14:textId="77777777" w:rsidR="00396B7B" w:rsidRPr="000F3B74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F3B74">
                        <w:rPr>
                          <w:sz w:val="16"/>
                          <w:szCs w:val="16"/>
                        </w:rPr>
                        <w:t>2100 København Ø</w:t>
                      </w:r>
                    </w:p>
                    <w:p w14:paraId="5951A13F" w14:textId="77777777" w:rsidR="00396B7B" w:rsidRDefault="00396B7B" w:rsidP="00A95D28">
                      <w:pPr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2BA3C57B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Tlf</w:t>
                      </w:r>
                      <w:r w:rsidR="00A95D28" w:rsidRPr="000E77E6">
                        <w:rPr>
                          <w:sz w:val="16"/>
                          <w:szCs w:val="16"/>
                        </w:rPr>
                        <w:t>.</w:t>
                      </w:r>
                      <w:r w:rsidRPr="000E77E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33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55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</w:p>
                    <w:p w14:paraId="44DBC01F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Fax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33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55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82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00</w:t>
                      </w:r>
                    </w:p>
                    <w:p w14:paraId="3D664732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36"/>
                          <w:tab w:val="left" w:pos="1162"/>
                          <w:tab w:val="left" w:pos="1389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CVR-nr</w:t>
                      </w:r>
                      <w:r w:rsidR="00A95D28" w:rsidRPr="000E77E6">
                        <w:rPr>
                          <w:sz w:val="16"/>
                          <w:szCs w:val="16"/>
                        </w:rPr>
                        <w:t>.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10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59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81</w:t>
                      </w:r>
                      <w:r w:rsidRPr="000E77E6">
                        <w:rPr>
                          <w:sz w:val="16"/>
                          <w:szCs w:val="16"/>
                        </w:rPr>
                        <w:tab/>
                        <w:t>84</w:t>
                      </w:r>
                    </w:p>
                    <w:p w14:paraId="17C60C27" w14:textId="77777777" w:rsidR="00396B7B" w:rsidRPr="000E77E6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E77E6">
                        <w:rPr>
                          <w:sz w:val="16"/>
                          <w:szCs w:val="16"/>
                        </w:rPr>
                        <w:t>finanstilsynet@ftnet.dk</w:t>
                      </w:r>
                    </w:p>
                    <w:p w14:paraId="23CCF67B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C8786C">
                        <w:rPr>
                          <w:sz w:val="16"/>
                          <w:szCs w:val="16"/>
                        </w:rPr>
                        <w:t>www.finanstilsynet.dk</w:t>
                      </w:r>
                    </w:p>
                    <w:p w14:paraId="09189D03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104C24C7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542BB1F8" w14:textId="77777777" w:rsidR="00396B7B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2B576278" w14:textId="77777777" w:rsidR="00F34C19" w:rsidRDefault="00F34C19" w:rsidP="00F34C19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</w:p>
                    <w:p w14:paraId="5269543C" w14:textId="77777777" w:rsidR="00F34C19" w:rsidRDefault="00E522DB" w:rsidP="00F34C19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  <w:t>erhvervs</w:t>
                      </w:r>
                      <w:r w:rsidR="00F34C19"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  <w:t>ministeriet</w:t>
                      </w:r>
                    </w:p>
                    <w:p w14:paraId="2DD155F1" w14:textId="77777777" w:rsidR="00396B7B" w:rsidRPr="00193ABA" w:rsidRDefault="00396B7B" w:rsidP="00A95D28">
                      <w:pPr>
                        <w:tabs>
                          <w:tab w:val="left" w:pos="709"/>
                          <w:tab w:val="left" w:pos="993"/>
                          <w:tab w:val="left" w:pos="1276"/>
                          <w:tab w:val="left" w:pos="1560"/>
                        </w:tabs>
                        <w:spacing w:line="220" w:lineRule="exact"/>
                        <w:jc w:val="left"/>
                        <w:rPr>
                          <w:rFonts w:ascii="Arial Black" w:hAnsi="Arial Black"/>
                          <w:smallCaps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A285EE2" w14:textId="77777777" w:rsidR="00304920" w:rsidRPr="003B602A" w:rsidRDefault="00304920" w:rsidP="0086555D"/>
    <w:p w14:paraId="39CCE609" w14:textId="77777777" w:rsidR="00550A09" w:rsidRPr="003B602A" w:rsidRDefault="00550A09" w:rsidP="0086555D"/>
    <w:p w14:paraId="04A1AA42" w14:textId="77777777" w:rsidR="00396B7B" w:rsidRPr="003B602A" w:rsidRDefault="00396B7B" w:rsidP="0086555D"/>
    <w:p w14:paraId="490D684A" w14:textId="1E8AF490" w:rsidR="00396B7B" w:rsidRPr="003B602A" w:rsidRDefault="00BE7171" w:rsidP="00097EBE">
      <w:pPr>
        <w:pStyle w:val="Overskrift1"/>
      </w:pPr>
      <w:bookmarkStart w:id="7" w:name="overskrift"/>
      <w:bookmarkEnd w:id="7"/>
      <w:r w:rsidRPr="003B602A">
        <w:t>Høring</w:t>
      </w:r>
      <w:r w:rsidR="00435360" w:rsidRPr="003B602A">
        <w:t xml:space="preserve"> </w:t>
      </w:r>
      <w:r w:rsidR="002B5DEA" w:rsidRPr="003B602A">
        <w:t xml:space="preserve">over udkast til bekendtgørelse </w:t>
      </w:r>
      <w:r w:rsidR="00E92515" w:rsidRPr="003B602A">
        <w:t xml:space="preserve">om ændring af bekendtgørelse </w:t>
      </w:r>
      <w:r w:rsidR="002B5DEA" w:rsidRPr="003B602A">
        <w:t xml:space="preserve">om </w:t>
      </w:r>
      <w:r w:rsidR="00334F7B">
        <w:t>visse skattebegunstigende opsparingsformer</w:t>
      </w:r>
      <w:r w:rsidR="008C0330">
        <w:t xml:space="preserve"> i pengeinstitutter</w:t>
      </w:r>
      <w:r w:rsidR="00334F7B">
        <w:t xml:space="preserve"> </w:t>
      </w:r>
    </w:p>
    <w:p w14:paraId="2266AF35" w14:textId="77777777" w:rsidR="001D3D14" w:rsidRPr="003B602A" w:rsidRDefault="001D3D14" w:rsidP="0086555D"/>
    <w:p w14:paraId="371941D6" w14:textId="3DBEB6E2" w:rsidR="00532D56" w:rsidRDefault="00435360" w:rsidP="00334F7B">
      <w:pPr>
        <w:autoSpaceDE w:val="0"/>
        <w:autoSpaceDN w:val="0"/>
        <w:adjustRightInd w:val="0"/>
      </w:pPr>
      <w:bookmarkStart w:id="8" w:name="start"/>
      <w:bookmarkEnd w:id="8"/>
      <w:r w:rsidRPr="003B602A">
        <w:t xml:space="preserve">Finanstilsynet sender hermed udkast til </w:t>
      </w:r>
      <w:r w:rsidR="00334F7B" w:rsidRPr="00334F7B">
        <w:t>bekendtgørelse om ændring af bekendtgørelse om visse skattebegunstigende opsparingsformer</w:t>
      </w:r>
      <w:r w:rsidR="008C0330">
        <w:t xml:space="preserve"> i pengeinstitutter</w:t>
      </w:r>
      <w:r w:rsidR="003B0ACF">
        <w:t>.</w:t>
      </w:r>
    </w:p>
    <w:p w14:paraId="7874927E" w14:textId="77777777" w:rsidR="003B0ACF" w:rsidRDefault="003B0ACF" w:rsidP="00334F7B">
      <w:pPr>
        <w:autoSpaceDE w:val="0"/>
        <w:autoSpaceDN w:val="0"/>
        <w:adjustRightInd w:val="0"/>
      </w:pPr>
    </w:p>
    <w:p w14:paraId="0CF9645D" w14:textId="2523BEEA" w:rsidR="00532D56" w:rsidRPr="003B602A" w:rsidRDefault="00532D56" w:rsidP="00334F7B">
      <w:pPr>
        <w:autoSpaceDE w:val="0"/>
        <w:autoSpaceDN w:val="0"/>
        <w:adjustRightInd w:val="0"/>
      </w:pPr>
      <w:r>
        <w:t>Der er tale om en ændringsbekendtgørelse</w:t>
      </w:r>
      <w:r w:rsidR="003B0ACF">
        <w:t xml:space="preserve">. </w:t>
      </w:r>
    </w:p>
    <w:p w14:paraId="0C58B4E0" w14:textId="4A0E2011" w:rsidR="002B5DEA" w:rsidRPr="003B602A" w:rsidRDefault="002B5DEA" w:rsidP="002B5DEA">
      <w:pPr>
        <w:pStyle w:val="Overskrift2"/>
      </w:pPr>
      <w:r w:rsidRPr="003B602A">
        <w:t>Ændring</w:t>
      </w:r>
      <w:r w:rsidR="00601483">
        <w:t>erne</w:t>
      </w:r>
    </w:p>
    <w:p w14:paraId="72E4CE59" w14:textId="7CA34DAA" w:rsidR="008C0330" w:rsidRDefault="008C0330" w:rsidP="008C0330">
      <w:pPr>
        <w:pStyle w:val="Brdtekst"/>
      </w:pPr>
      <w:r>
        <w:t xml:space="preserve">§ 9, stk. 3, i bekendtgørelse om visse skattebegunstigende opsparinger i pengeinstitutter (Puljebekendtgørelsen) fastlægger, at pengeinstitutter skal oplyse kunde om ÅOP og ÅOK. </w:t>
      </w:r>
    </w:p>
    <w:p w14:paraId="4ECD1635" w14:textId="77777777" w:rsidR="008C0330" w:rsidRDefault="008C0330" w:rsidP="008C0330">
      <w:pPr>
        <w:pStyle w:val="Brdtekst"/>
      </w:pPr>
    </w:p>
    <w:p w14:paraId="2CD9BC0F" w14:textId="77777777" w:rsidR="008C0330" w:rsidRDefault="008C0330" w:rsidP="008C0330">
      <w:pPr>
        <w:pStyle w:val="Brdtekst"/>
      </w:pPr>
      <w:r>
        <w:t>Formålet</w:t>
      </w:r>
      <w:r w:rsidRPr="00F702FC">
        <w:t xml:space="preserve"> med § 9, stk. 3, i </w:t>
      </w:r>
      <w:r>
        <w:t>P</w:t>
      </w:r>
      <w:r w:rsidRPr="00F702FC">
        <w:t xml:space="preserve">uljebekendtgørelsen, er at sikre, at der er sammenlignelighed ved opgørelsen af omkostninger mellem puljemidler og frie midler omfattet af </w:t>
      </w:r>
      <w:proofErr w:type="spellStart"/>
      <w:r w:rsidRPr="00F702FC">
        <w:t>MiFID</w:t>
      </w:r>
      <w:proofErr w:type="spellEnd"/>
      <w:r w:rsidRPr="00F702FC">
        <w:t xml:space="preserve"> II.</w:t>
      </w:r>
      <w:r>
        <w:t xml:space="preserve"> For frie midler omfattet af </w:t>
      </w:r>
      <w:proofErr w:type="spellStart"/>
      <w:r>
        <w:t>MiFID</w:t>
      </w:r>
      <w:proofErr w:type="spellEnd"/>
      <w:r>
        <w:t xml:space="preserve"> II skulle der fra 1. januar 2023 foretages ex-post-beregning jf. artikel 50 i </w:t>
      </w:r>
      <w:proofErr w:type="spellStart"/>
      <w:r w:rsidRPr="00147EB0">
        <w:t>MiFID</w:t>
      </w:r>
      <w:proofErr w:type="spellEnd"/>
      <w:r w:rsidRPr="00147EB0">
        <w:t xml:space="preserve"> II</w:t>
      </w:r>
      <w:r>
        <w:t xml:space="preserve"> delegerede forordning</w:t>
      </w:r>
      <w:r>
        <w:rPr>
          <w:rStyle w:val="Fodnotehenvisning"/>
        </w:rPr>
        <w:footnoteReference w:id="1"/>
      </w:r>
      <w:r>
        <w:t>.</w:t>
      </w:r>
    </w:p>
    <w:p w14:paraId="7C7265C9" w14:textId="77777777" w:rsidR="008C0330" w:rsidRDefault="008C0330" w:rsidP="008C0330">
      <w:pPr>
        <w:pStyle w:val="Brdtekst"/>
      </w:pPr>
    </w:p>
    <w:p w14:paraId="4BB7C116" w14:textId="6E612A06" w:rsidR="008C0330" w:rsidRDefault="008C0330" w:rsidP="008C0330">
      <w:pPr>
        <w:pStyle w:val="Brdtekst"/>
      </w:pPr>
      <w:r>
        <w:t>PRIIP-forordningen</w:t>
      </w:r>
      <w:r>
        <w:rPr>
          <w:rStyle w:val="Fodnotehenvisning"/>
        </w:rPr>
        <w:footnoteReference w:id="2"/>
      </w:r>
      <w:r>
        <w:t>, der fastlægger en række oplysningsforpligtelser over for investorer, har desuden overflødiggjort de sidste dele af ÅOP- og ÅOK-oplysningerne.</w:t>
      </w:r>
    </w:p>
    <w:p w14:paraId="44F025B3" w14:textId="77777777" w:rsidR="003F0813" w:rsidRDefault="003F0813" w:rsidP="008C0330">
      <w:pPr>
        <w:pStyle w:val="Brdtekst"/>
      </w:pPr>
    </w:p>
    <w:p w14:paraId="142ABD4A" w14:textId="00BC3D43" w:rsidR="00526337" w:rsidRDefault="00526337" w:rsidP="008C0330">
      <w:pPr>
        <w:pStyle w:val="Brdtekst"/>
      </w:pPr>
      <w:r>
        <w:t xml:space="preserve">Det foreslås derfor </w:t>
      </w:r>
      <w:r w:rsidR="003F0813">
        <w:t>at</w:t>
      </w:r>
      <w:r>
        <w:t xml:space="preserve"> ændre § 9, stk. 3, i Puljebekendtgørelsen så pengeinstitutter omfattet af bestemmelsen fremover skal oplyse kunder om ex-post-beregninger jf. art. 50 i </w:t>
      </w:r>
      <w:proofErr w:type="spellStart"/>
      <w:r w:rsidR="00E42AD8">
        <w:t>MiFID</w:t>
      </w:r>
      <w:proofErr w:type="spellEnd"/>
      <w:r w:rsidR="00E42AD8">
        <w:t xml:space="preserve"> II delegerede forordning. </w:t>
      </w:r>
    </w:p>
    <w:p w14:paraId="52C30EB2" w14:textId="1F53F866" w:rsidR="003D633E" w:rsidRPr="003B602A" w:rsidRDefault="008C0330" w:rsidP="00526337">
      <w:pPr>
        <w:pStyle w:val="Brdtekst"/>
      </w:pPr>
      <w:r>
        <w:lastRenderedPageBreak/>
        <w:t xml:space="preserve">Det fremgår af § 9, stk. 3, 2. pkt. i Puljebekendtgørelsen, at </w:t>
      </w:r>
      <w:r w:rsidR="00E42AD8">
        <w:t>de nævnte oplysninger</w:t>
      </w:r>
      <w:r>
        <w:t xml:space="preserve"> skal meddeles kunden senest 8 uger efter kalenderårets udløb. Denne frist udvides til 12 uger. </w:t>
      </w:r>
    </w:p>
    <w:p w14:paraId="00645DFE" w14:textId="77777777" w:rsidR="00435360" w:rsidRPr="003B602A" w:rsidRDefault="002B5DEA" w:rsidP="002B5DEA">
      <w:pPr>
        <w:pStyle w:val="Overskrift2"/>
      </w:pPr>
      <w:r w:rsidRPr="003B602A">
        <w:t>Høring</w:t>
      </w:r>
    </w:p>
    <w:p w14:paraId="25767C44" w14:textId="67483ADC" w:rsidR="00435360" w:rsidRPr="003B602A" w:rsidRDefault="00BE7171" w:rsidP="00435360">
      <w:pPr>
        <w:autoSpaceDE w:val="0"/>
        <w:autoSpaceDN w:val="0"/>
        <w:adjustRightInd w:val="0"/>
      </w:pPr>
      <w:r w:rsidRPr="003B602A">
        <w:t xml:space="preserve">Finanstilsynet skal anmode om </w:t>
      </w:r>
      <w:r w:rsidR="00CB6CF8" w:rsidRPr="003B602A">
        <w:t xml:space="preserve">at modtage </w:t>
      </w:r>
      <w:r w:rsidRPr="003B602A">
        <w:t>eventuelle bemærkninger til udkast til bekendtgørelse</w:t>
      </w:r>
      <w:r w:rsidR="00834223">
        <w:t>n</w:t>
      </w:r>
      <w:r w:rsidR="00CB6CF8" w:rsidRPr="003B602A">
        <w:t>,</w:t>
      </w:r>
      <w:r w:rsidR="00435360" w:rsidRPr="003B602A">
        <w:t xml:space="preserve"> senest </w:t>
      </w:r>
      <w:r w:rsidR="00960FF2">
        <w:rPr>
          <w:b/>
        </w:rPr>
        <w:t>tors</w:t>
      </w:r>
      <w:r w:rsidR="003B602A">
        <w:rPr>
          <w:b/>
        </w:rPr>
        <w:t>dag d</w:t>
      </w:r>
      <w:r w:rsidR="00435360" w:rsidRPr="003B602A">
        <w:rPr>
          <w:b/>
        </w:rPr>
        <w:t xml:space="preserve">en </w:t>
      </w:r>
      <w:r w:rsidR="00834223">
        <w:rPr>
          <w:b/>
        </w:rPr>
        <w:t>14</w:t>
      </w:r>
      <w:r w:rsidR="00435360" w:rsidRPr="003B602A">
        <w:rPr>
          <w:b/>
        </w:rPr>
        <w:t xml:space="preserve">. </w:t>
      </w:r>
      <w:r w:rsidR="00834223">
        <w:rPr>
          <w:b/>
        </w:rPr>
        <w:t>september</w:t>
      </w:r>
      <w:r w:rsidR="00E92515" w:rsidRPr="003B602A">
        <w:rPr>
          <w:b/>
        </w:rPr>
        <w:t xml:space="preserve"> 2023</w:t>
      </w:r>
      <w:r w:rsidR="00435360" w:rsidRPr="003B602A">
        <w:rPr>
          <w:b/>
        </w:rPr>
        <w:t xml:space="preserve"> kl. </w:t>
      </w:r>
      <w:r w:rsidR="00955604" w:rsidRPr="003B602A">
        <w:rPr>
          <w:b/>
        </w:rPr>
        <w:t>12</w:t>
      </w:r>
      <w:r w:rsidR="00435360" w:rsidRPr="003B602A">
        <w:rPr>
          <w:b/>
        </w:rPr>
        <w:t>:00</w:t>
      </w:r>
      <w:r w:rsidR="00435360" w:rsidRPr="003B602A">
        <w:t>.</w:t>
      </w:r>
    </w:p>
    <w:p w14:paraId="4D8A0FE0" w14:textId="77777777" w:rsidR="00435360" w:rsidRPr="003B602A" w:rsidRDefault="00435360" w:rsidP="00435360">
      <w:pPr>
        <w:autoSpaceDE w:val="0"/>
        <w:autoSpaceDN w:val="0"/>
        <w:adjustRightInd w:val="0"/>
      </w:pPr>
    </w:p>
    <w:p w14:paraId="448FDE10" w14:textId="2F4C0D48" w:rsidR="00C124B8" w:rsidRPr="003B602A" w:rsidRDefault="00C124B8" w:rsidP="00435360">
      <w:pPr>
        <w:autoSpaceDE w:val="0"/>
        <w:autoSpaceDN w:val="0"/>
        <w:adjustRightInd w:val="0"/>
      </w:pPr>
      <w:r w:rsidRPr="003B602A">
        <w:t xml:space="preserve">Bemærkninger kan sendes pr. e-mail på </w:t>
      </w:r>
      <w:r w:rsidR="00E92515" w:rsidRPr="003B602A">
        <w:t>JUWE</w:t>
      </w:r>
      <w:r w:rsidRPr="003B602A">
        <w:t xml:space="preserve">@ftnet.dk eller pr. post til Finanstilsynet, </w:t>
      </w:r>
      <w:r w:rsidR="00324336" w:rsidRPr="003B602A">
        <w:t>Strandgade</w:t>
      </w:r>
      <w:r w:rsidRPr="003B602A">
        <w:t xml:space="preserve"> </w:t>
      </w:r>
      <w:r w:rsidR="00324336" w:rsidRPr="003B602A">
        <w:t>29</w:t>
      </w:r>
      <w:r w:rsidRPr="003B602A">
        <w:t xml:space="preserve">, </w:t>
      </w:r>
      <w:r w:rsidR="00324336" w:rsidRPr="003B602A">
        <w:t>1401 København K</w:t>
      </w:r>
      <w:r w:rsidRPr="003B602A">
        <w:t xml:space="preserve">, Att.: </w:t>
      </w:r>
      <w:r w:rsidR="00E92515" w:rsidRPr="003B602A">
        <w:t>Julie Marie Boye Weigel</w:t>
      </w:r>
      <w:r w:rsidRPr="003B602A">
        <w:t>.</w:t>
      </w:r>
    </w:p>
    <w:p w14:paraId="5E46F5E9" w14:textId="77777777" w:rsidR="00435360" w:rsidRPr="003B602A" w:rsidRDefault="00435360" w:rsidP="00435360">
      <w:pPr>
        <w:autoSpaceDE w:val="0"/>
        <w:autoSpaceDN w:val="0"/>
        <w:adjustRightInd w:val="0"/>
      </w:pPr>
    </w:p>
    <w:p w14:paraId="6354CD46" w14:textId="2F499C2F" w:rsidR="00435360" w:rsidRPr="003B602A" w:rsidRDefault="00435360" w:rsidP="00435360">
      <w:pPr>
        <w:autoSpaceDE w:val="0"/>
        <w:autoSpaceDN w:val="0"/>
        <w:adjustRightInd w:val="0"/>
      </w:pPr>
      <w:r w:rsidRPr="003B602A">
        <w:t>Bekendtgørelse</w:t>
      </w:r>
      <w:r w:rsidR="00834223">
        <w:t xml:space="preserve">n </w:t>
      </w:r>
      <w:r w:rsidRPr="003B602A">
        <w:t xml:space="preserve">forventes at </w:t>
      </w:r>
      <w:r w:rsidR="00F87397" w:rsidRPr="003B602A">
        <w:t xml:space="preserve">træde i kraft den 1. </w:t>
      </w:r>
      <w:r w:rsidR="008A2D55">
        <w:t>januar</w:t>
      </w:r>
      <w:r w:rsidR="00F87397" w:rsidRPr="003B602A">
        <w:t xml:space="preserve"> 202</w:t>
      </w:r>
      <w:r w:rsidR="00C1031E">
        <w:t>4</w:t>
      </w:r>
      <w:r w:rsidRPr="003B602A">
        <w:t>.</w:t>
      </w:r>
    </w:p>
    <w:p w14:paraId="4753EA45" w14:textId="77777777" w:rsidR="00435360" w:rsidRPr="003B602A" w:rsidRDefault="00435360" w:rsidP="00435360">
      <w:pPr>
        <w:autoSpaceDE w:val="0"/>
        <w:autoSpaceDN w:val="0"/>
        <w:adjustRightInd w:val="0"/>
      </w:pPr>
    </w:p>
    <w:p w14:paraId="794F2BDC" w14:textId="499A4DCF" w:rsidR="00435360" w:rsidRPr="003B602A" w:rsidRDefault="00435360" w:rsidP="00435360">
      <w:pPr>
        <w:autoSpaceDE w:val="0"/>
        <w:autoSpaceDN w:val="0"/>
        <w:adjustRightInd w:val="0"/>
      </w:pPr>
      <w:r w:rsidRPr="003B602A">
        <w:t>Spørgsmål til bekendtgørelse</w:t>
      </w:r>
      <w:r w:rsidR="00834223">
        <w:t xml:space="preserve">n </w:t>
      </w:r>
      <w:r w:rsidRPr="003B602A">
        <w:t xml:space="preserve">kan rettes til </w:t>
      </w:r>
      <w:r w:rsidR="00E92515" w:rsidRPr="003B602A">
        <w:t>specialkonsulent Julie Weigel</w:t>
      </w:r>
      <w:r w:rsidR="00F87397" w:rsidRPr="003B602A">
        <w:t xml:space="preserve"> på tlf. </w:t>
      </w:r>
      <w:r w:rsidR="00E92515" w:rsidRPr="003B602A">
        <w:t>33 55 84 48</w:t>
      </w:r>
      <w:r w:rsidRPr="003B602A">
        <w:t xml:space="preserve"> eller på e-mail </w:t>
      </w:r>
      <w:hyperlink r:id="rId8" w:history="1">
        <w:r w:rsidR="00E92515" w:rsidRPr="003B602A">
          <w:rPr>
            <w:rStyle w:val="Hyperlink"/>
          </w:rPr>
          <w:t>juwe@ftnet.dk</w:t>
        </w:r>
      </w:hyperlink>
      <w:r w:rsidRPr="003B602A">
        <w:t>.</w:t>
      </w:r>
    </w:p>
    <w:p w14:paraId="6D528C1B" w14:textId="77777777" w:rsidR="00435360" w:rsidRPr="003B602A" w:rsidRDefault="00435360" w:rsidP="00435360">
      <w:pPr>
        <w:autoSpaceDE w:val="0"/>
        <w:autoSpaceDN w:val="0"/>
        <w:adjustRightInd w:val="0"/>
      </w:pPr>
    </w:p>
    <w:p w14:paraId="12D5EB50" w14:textId="77777777" w:rsidR="00C17F4C" w:rsidRPr="003B602A" w:rsidRDefault="00C17F4C" w:rsidP="00C17F4C">
      <w:pPr>
        <w:autoSpaceDE w:val="0"/>
        <w:autoSpaceDN w:val="0"/>
        <w:adjustRightInd w:val="0"/>
      </w:pPr>
      <w:r w:rsidRPr="003B602A">
        <w:t>Eventuelle høringssvar offentliggør Finanstilsynet her på Høringsportalen.</w:t>
      </w:r>
    </w:p>
    <w:p w14:paraId="33B10726" w14:textId="77777777" w:rsidR="00C17F4C" w:rsidRPr="003B602A" w:rsidRDefault="00C17F4C" w:rsidP="00C17F4C">
      <w:pPr>
        <w:autoSpaceDE w:val="0"/>
        <w:autoSpaceDN w:val="0"/>
        <w:adjustRightInd w:val="0"/>
      </w:pPr>
    </w:p>
    <w:p w14:paraId="296C014A" w14:textId="77777777" w:rsidR="00435360" w:rsidRPr="003B602A" w:rsidRDefault="00C17F4C" w:rsidP="00C17F4C">
      <w:pPr>
        <w:autoSpaceDE w:val="0"/>
        <w:autoSpaceDN w:val="0"/>
        <w:adjustRightInd w:val="0"/>
        <w:rPr>
          <w:i/>
        </w:rPr>
      </w:pPr>
      <w:r w:rsidRPr="003B602A">
        <w:rPr>
          <w:i/>
        </w:rPr>
        <w:t xml:space="preserve">Finanstilsynet er </w:t>
      </w:r>
      <w:r w:rsidR="00F87397" w:rsidRPr="003B602A">
        <w:rPr>
          <w:i/>
        </w:rPr>
        <w:t>en styrelse i Erhvervs</w:t>
      </w:r>
      <w:r w:rsidRPr="003B602A">
        <w:rPr>
          <w:i/>
        </w:rPr>
        <w:t>ministeriet. Finanstilsynets primære opgave er at føre tilsyn med den finansielle sektor. Desuden deltager Finanstilsynet inden for sit ansvarsområde i lovgivnings- og EU-arbejde om den finansielle sektor.</w:t>
      </w:r>
    </w:p>
    <w:sectPr w:rsidR="00435360" w:rsidRPr="003B602A" w:rsidSect="00006CC0">
      <w:headerReference w:type="default" r:id="rId9"/>
      <w:headerReference w:type="first" r:id="rId10"/>
      <w:type w:val="continuous"/>
      <w:pgSz w:w="11907" w:h="16840" w:code="9"/>
      <w:pgMar w:top="2127" w:right="3714" w:bottom="1418" w:left="1106" w:header="340" w:footer="970" w:gutter="0"/>
      <w:paperSrc w:first="11" w:other="1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51A6" w14:textId="77777777" w:rsidR="00951EAB" w:rsidRDefault="00951EAB">
      <w:pPr>
        <w:spacing w:line="240" w:lineRule="auto"/>
      </w:pPr>
      <w:r>
        <w:separator/>
      </w:r>
    </w:p>
  </w:endnote>
  <w:endnote w:type="continuationSeparator" w:id="0">
    <w:p w14:paraId="3B15FD75" w14:textId="77777777" w:rsidR="00951EAB" w:rsidRDefault="00951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CB56" w14:textId="77777777" w:rsidR="00951EAB" w:rsidRDefault="00951EAB">
      <w:pPr>
        <w:spacing w:line="240" w:lineRule="auto"/>
      </w:pPr>
      <w:r>
        <w:separator/>
      </w:r>
    </w:p>
  </w:footnote>
  <w:footnote w:type="continuationSeparator" w:id="0">
    <w:p w14:paraId="21F0180D" w14:textId="77777777" w:rsidR="00951EAB" w:rsidRDefault="00951EAB">
      <w:pPr>
        <w:spacing w:line="240" w:lineRule="auto"/>
      </w:pPr>
      <w:r>
        <w:continuationSeparator/>
      </w:r>
    </w:p>
  </w:footnote>
  <w:footnote w:id="1">
    <w:p w14:paraId="1A1B2AB8" w14:textId="77777777" w:rsidR="008C0330" w:rsidRDefault="008C0330" w:rsidP="008C033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MiFID</w:t>
      </w:r>
      <w:proofErr w:type="spellEnd"/>
      <w:r>
        <w:t xml:space="preserve"> II delegerede forordning nr. 2017/565 af 25. april 2016</w:t>
      </w:r>
    </w:p>
  </w:footnote>
  <w:footnote w:id="2">
    <w:p w14:paraId="1F4286D3" w14:textId="77777777" w:rsidR="008C0330" w:rsidRDefault="008C0330" w:rsidP="008C033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40FB1">
        <w:t xml:space="preserve">Europa-Parlamentets og Rådets forordning (EU) nr. 1286/2014 af 26. november 2014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626F" w14:textId="77777777" w:rsidR="00396B7B" w:rsidRDefault="00396B7B">
    <w:pPr>
      <w:pStyle w:val="Sidehoved"/>
      <w:tabs>
        <w:tab w:val="clear" w:pos="4819"/>
        <w:tab w:val="center" w:pos="4253"/>
      </w:tabs>
    </w:pPr>
  </w:p>
  <w:p w14:paraId="21A34080" w14:textId="3D98A51A" w:rsidR="00396B7B" w:rsidRDefault="00396B7B">
    <w:pPr>
      <w:pStyle w:val="Sidehoved"/>
      <w:tabs>
        <w:tab w:val="clear" w:pos="4819"/>
        <w:tab w:val="center" w:pos="4111"/>
      </w:tabs>
      <w:rPr>
        <w:rStyle w:val="Sidetal"/>
      </w:rPr>
    </w:pPr>
    <w:r>
      <w:tab/>
    </w:r>
    <w:r w:rsidR="00614CB5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614CB5">
      <w:rPr>
        <w:rStyle w:val="Sidetal"/>
      </w:rPr>
      <w:fldChar w:fldCharType="separate"/>
    </w:r>
    <w:r w:rsidR="00410FEA">
      <w:rPr>
        <w:rStyle w:val="Sidetal"/>
        <w:noProof/>
      </w:rPr>
      <w:t>2</w:t>
    </w:r>
    <w:r w:rsidR="00614CB5">
      <w:rPr>
        <w:rStyle w:val="Sidetal"/>
      </w:rPr>
      <w:fldChar w:fldCharType="end"/>
    </w:r>
  </w:p>
  <w:p w14:paraId="0EEE31DD" w14:textId="77777777" w:rsidR="00396B7B" w:rsidRDefault="00396B7B">
    <w:pPr>
      <w:pStyle w:val="Sidehoved"/>
      <w:tabs>
        <w:tab w:val="clear" w:pos="4819"/>
        <w:tab w:val="center" w:pos="4253"/>
      </w:tabs>
      <w:rPr>
        <w:rStyle w:val="Sidetal"/>
      </w:rPr>
    </w:pPr>
  </w:p>
  <w:p w14:paraId="62FBAA13" w14:textId="77777777" w:rsidR="00396B7B" w:rsidRDefault="00396B7B">
    <w:pPr>
      <w:pStyle w:val="Sidehoved"/>
      <w:tabs>
        <w:tab w:val="clear" w:pos="4819"/>
        <w:tab w:val="center" w:pos="4253"/>
      </w:tabs>
      <w:rPr>
        <w:rStyle w:val="Sidetal"/>
      </w:rPr>
    </w:pPr>
  </w:p>
  <w:p w14:paraId="6BB87CFB" w14:textId="77777777" w:rsidR="00396B7B" w:rsidRDefault="00396B7B">
    <w:pPr>
      <w:pStyle w:val="Sidehoved"/>
      <w:tabs>
        <w:tab w:val="clear" w:pos="4819"/>
        <w:tab w:val="center" w:pos="4253"/>
      </w:tabs>
    </w:pPr>
  </w:p>
  <w:p w14:paraId="1F9FA079" w14:textId="77777777" w:rsidR="00396B7B" w:rsidRDefault="00396B7B">
    <w:pPr>
      <w:pStyle w:val="Sidehoved"/>
      <w:tabs>
        <w:tab w:val="clear" w:pos="4819"/>
        <w:tab w:val="center" w:pos="4253"/>
      </w:tabs>
    </w:pPr>
  </w:p>
  <w:p w14:paraId="49DBFC07" w14:textId="77777777" w:rsidR="00396B7B" w:rsidRDefault="00396B7B">
    <w:pPr>
      <w:pStyle w:val="Sidehoved"/>
      <w:tabs>
        <w:tab w:val="clear" w:pos="4819"/>
        <w:tab w:val="center" w:pos="4253"/>
      </w:tabs>
    </w:pPr>
  </w:p>
  <w:p w14:paraId="1760699E" w14:textId="77777777" w:rsidR="00396B7B" w:rsidRDefault="00396B7B">
    <w:pPr>
      <w:pStyle w:val="Sidehoved"/>
      <w:tabs>
        <w:tab w:val="clear" w:pos="4819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509D" w14:textId="77777777" w:rsidR="00396B7B" w:rsidRDefault="00396B7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53DAD" wp14:editId="159C0D40">
          <wp:simplePos x="0" y="0"/>
          <wp:positionH relativeFrom="page">
            <wp:posOffset>2953497</wp:posOffset>
          </wp:positionH>
          <wp:positionV relativeFrom="page">
            <wp:posOffset>143435</wp:posOffset>
          </wp:positionV>
          <wp:extent cx="1600574" cy="502024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1B5"/>
    <w:multiLevelType w:val="hybridMultilevel"/>
    <w:tmpl w:val="E2B4D40A"/>
    <w:lvl w:ilvl="0" w:tplc="420645EC">
      <w:start w:val="1"/>
      <w:numFmt w:val="lowerLetter"/>
      <w:pStyle w:val="ListeBogstav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80E"/>
    <w:multiLevelType w:val="multilevel"/>
    <w:tmpl w:val="98B01B52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1A3D8A"/>
    <w:multiLevelType w:val="hybridMultilevel"/>
    <w:tmpl w:val="3CD63400"/>
    <w:lvl w:ilvl="0" w:tplc="5566833A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27DA"/>
    <w:multiLevelType w:val="multilevel"/>
    <w:tmpl w:val="C42A1B88"/>
    <w:styleLink w:val="FT-1-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92" w:hanging="4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062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4196" w:hanging="1134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EE866C3"/>
    <w:multiLevelType w:val="multilevel"/>
    <w:tmpl w:val="0D749554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647F2"/>
    <w:multiLevelType w:val="hybridMultilevel"/>
    <w:tmpl w:val="99A02D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B51"/>
    <w:multiLevelType w:val="multilevel"/>
    <w:tmpl w:val="7CEA8BAE"/>
    <w:styleLink w:val="FT-I-flereniveauer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227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1"/>
        </w:tabs>
        <w:ind w:left="102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  <w:rPr>
        <w:rFonts w:hint="default"/>
      </w:rPr>
    </w:lvl>
  </w:abstractNum>
  <w:abstractNum w:abstractNumId="7" w15:restartNumberingAfterBreak="0">
    <w:nsid w:val="7E6417B2"/>
    <w:multiLevelType w:val="hybridMultilevel"/>
    <w:tmpl w:val="D37A795A"/>
    <w:lvl w:ilvl="0" w:tplc="15B4DBD2">
      <w:start w:val="1"/>
      <w:numFmt w:val="decimal"/>
      <w:pStyle w:val="ListeT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90254">
    <w:abstractNumId w:val="3"/>
  </w:num>
  <w:num w:numId="2" w16cid:durableId="836070698">
    <w:abstractNumId w:val="1"/>
  </w:num>
  <w:num w:numId="3" w16cid:durableId="850417335">
    <w:abstractNumId w:val="6"/>
  </w:num>
  <w:num w:numId="4" w16cid:durableId="737437570">
    <w:abstractNumId w:val="5"/>
  </w:num>
  <w:num w:numId="5" w16cid:durableId="1178618808">
    <w:abstractNumId w:val="2"/>
  </w:num>
  <w:num w:numId="6" w16cid:durableId="548495304">
    <w:abstractNumId w:val="4"/>
  </w:num>
  <w:num w:numId="7" w16cid:durableId="695421260">
    <w:abstractNumId w:val="7"/>
  </w:num>
  <w:num w:numId="8" w16cid:durableId="190575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adresse" w:val="Empty"/>
    <w:docVar w:name="att" w:val="Empty"/>
    <w:docVar w:name="by" w:val="Empty"/>
    <w:docVar w:name="dato" w:val="Empty"/>
    <w:docVar w:name="jnr" w:val="Empty"/>
    <w:docVar w:name="navn" w:val="Empty"/>
    <w:docVar w:name="overskrift" w:val="Empty"/>
    <w:docVar w:name="postnr" w:val="Empty"/>
    <w:docVar w:name="ref" w:val="Empty"/>
    <w:docVar w:name="start" w:val="Empty"/>
  </w:docVars>
  <w:rsids>
    <w:rsidRoot w:val="00435360"/>
    <w:rsid w:val="00000001"/>
    <w:rsid w:val="000066BC"/>
    <w:rsid w:val="00006CC0"/>
    <w:rsid w:val="00010860"/>
    <w:rsid w:val="00027964"/>
    <w:rsid w:val="000618A7"/>
    <w:rsid w:val="00061980"/>
    <w:rsid w:val="00061D94"/>
    <w:rsid w:val="00097EBE"/>
    <w:rsid w:val="000A33C9"/>
    <w:rsid w:val="000A5555"/>
    <w:rsid w:val="000C47C9"/>
    <w:rsid w:val="000D2305"/>
    <w:rsid w:val="000D239C"/>
    <w:rsid w:val="000E526B"/>
    <w:rsid w:val="000E77E6"/>
    <w:rsid w:val="000F3B74"/>
    <w:rsid w:val="000F4FA5"/>
    <w:rsid w:val="000F7693"/>
    <w:rsid w:val="00143CDF"/>
    <w:rsid w:val="00147603"/>
    <w:rsid w:val="00151EC1"/>
    <w:rsid w:val="00152085"/>
    <w:rsid w:val="00152A3B"/>
    <w:rsid w:val="00152C2B"/>
    <w:rsid w:val="00161780"/>
    <w:rsid w:val="00166FB2"/>
    <w:rsid w:val="0017265C"/>
    <w:rsid w:val="00190C7E"/>
    <w:rsid w:val="00193ABA"/>
    <w:rsid w:val="001A34A1"/>
    <w:rsid w:val="001D3D14"/>
    <w:rsid w:val="001D67BD"/>
    <w:rsid w:val="00203DE7"/>
    <w:rsid w:val="0020625A"/>
    <w:rsid w:val="00232756"/>
    <w:rsid w:val="00267470"/>
    <w:rsid w:val="002943D7"/>
    <w:rsid w:val="00295266"/>
    <w:rsid w:val="00296E89"/>
    <w:rsid w:val="002B5DEA"/>
    <w:rsid w:val="002C6041"/>
    <w:rsid w:val="002D6882"/>
    <w:rsid w:val="002E6474"/>
    <w:rsid w:val="002E7A64"/>
    <w:rsid w:val="00301D5E"/>
    <w:rsid w:val="00304920"/>
    <w:rsid w:val="00310822"/>
    <w:rsid w:val="00324336"/>
    <w:rsid w:val="003250FB"/>
    <w:rsid w:val="00331A3C"/>
    <w:rsid w:val="00334F7B"/>
    <w:rsid w:val="00345231"/>
    <w:rsid w:val="003660BC"/>
    <w:rsid w:val="00370607"/>
    <w:rsid w:val="003833B9"/>
    <w:rsid w:val="00396B7B"/>
    <w:rsid w:val="003B0ACF"/>
    <w:rsid w:val="003B602A"/>
    <w:rsid w:val="003C10F9"/>
    <w:rsid w:val="003D633E"/>
    <w:rsid w:val="003E79E9"/>
    <w:rsid w:val="003F0813"/>
    <w:rsid w:val="00403B0A"/>
    <w:rsid w:val="00406A39"/>
    <w:rsid w:val="00410FEA"/>
    <w:rsid w:val="0041487C"/>
    <w:rsid w:val="00423270"/>
    <w:rsid w:val="00435360"/>
    <w:rsid w:val="0045325E"/>
    <w:rsid w:val="0046477C"/>
    <w:rsid w:val="00466AC7"/>
    <w:rsid w:val="004B2069"/>
    <w:rsid w:val="004B6774"/>
    <w:rsid w:val="004C3E96"/>
    <w:rsid w:val="004E08AE"/>
    <w:rsid w:val="004F63A8"/>
    <w:rsid w:val="00501797"/>
    <w:rsid w:val="0050434B"/>
    <w:rsid w:val="00526337"/>
    <w:rsid w:val="00532D56"/>
    <w:rsid w:val="00550A09"/>
    <w:rsid w:val="005644B2"/>
    <w:rsid w:val="00587C55"/>
    <w:rsid w:val="005941FC"/>
    <w:rsid w:val="005C4E2A"/>
    <w:rsid w:val="005C5066"/>
    <w:rsid w:val="005D7A44"/>
    <w:rsid w:val="00601483"/>
    <w:rsid w:val="00607B3F"/>
    <w:rsid w:val="00614CB5"/>
    <w:rsid w:val="00667CA4"/>
    <w:rsid w:val="006A081F"/>
    <w:rsid w:val="006A49B8"/>
    <w:rsid w:val="006B3F97"/>
    <w:rsid w:val="006C4E43"/>
    <w:rsid w:val="006D0414"/>
    <w:rsid w:val="0073225D"/>
    <w:rsid w:val="00774471"/>
    <w:rsid w:val="0077586E"/>
    <w:rsid w:val="007853DC"/>
    <w:rsid w:val="007A0122"/>
    <w:rsid w:val="007F605C"/>
    <w:rsid w:val="00801D58"/>
    <w:rsid w:val="0080258D"/>
    <w:rsid w:val="00834223"/>
    <w:rsid w:val="0086555D"/>
    <w:rsid w:val="008A2D55"/>
    <w:rsid w:val="008C0330"/>
    <w:rsid w:val="008C1DF5"/>
    <w:rsid w:val="008C2C84"/>
    <w:rsid w:val="008E3BA1"/>
    <w:rsid w:val="008F31B4"/>
    <w:rsid w:val="008F773C"/>
    <w:rsid w:val="009033BD"/>
    <w:rsid w:val="00911F7A"/>
    <w:rsid w:val="00914E66"/>
    <w:rsid w:val="00951EAB"/>
    <w:rsid w:val="00953BC4"/>
    <w:rsid w:val="00955604"/>
    <w:rsid w:val="00960FF2"/>
    <w:rsid w:val="009624C6"/>
    <w:rsid w:val="00974DDB"/>
    <w:rsid w:val="00980920"/>
    <w:rsid w:val="00996768"/>
    <w:rsid w:val="009A6406"/>
    <w:rsid w:val="009B22E0"/>
    <w:rsid w:val="009B2A32"/>
    <w:rsid w:val="009D673B"/>
    <w:rsid w:val="009E1B00"/>
    <w:rsid w:val="009F7449"/>
    <w:rsid w:val="00A027CC"/>
    <w:rsid w:val="00A11A2F"/>
    <w:rsid w:val="00A1697D"/>
    <w:rsid w:val="00A50EB2"/>
    <w:rsid w:val="00A53448"/>
    <w:rsid w:val="00A664BF"/>
    <w:rsid w:val="00A94937"/>
    <w:rsid w:val="00A95D28"/>
    <w:rsid w:val="00A96049"/>
    <w:rsid w:val="00AA289C"/>
    <w:rsid w:val="00AB5EE6"/>
    <w:rsid w:val="00B06C0E"/>
    <w:rsid w:val="00B07CC2"/>
    <w:rsid w:val="00B153DF"/>
    <w:rsid w:val="00B321F5"/>
    <w:rsid w:val="00B379E7"/>
    <w:rsid w:val="00B51D48"/>
    <w:rsid w:val="00B843FA"/>
    <w:rsid w:val="00B91C4A"/>
    <w:rsid w:val="00BA295F"/>
    <w:rsid w:val="00BC3859"/>
    <w:rsid w:val="00BC41BD"/>
    <w:rsid w:val="00BD4FD7"/>
    <w:rsid w:val="00BE496E"/>
    <w:rsid w:val="00BE7171"/>
    <w:rsid w:val="00C04CF8"/>
    <w:rsid w:val="00C1031E"/>
    <w:rsid w:val="00C11547"/>
    <w:rsid w:val="00C1155A"/>
    <w:rsid w:val="00C124B8"/>
    <w:rsid w:val="00C17F4C"/>
    <w:rsid w:val="00C258BA"/>
    <w:rsid w:val="00C2604D"/>
    <w:rsid w:val="00C3301D"/>
    <w:rsid w:val="00C41C44"/>
    <w:rsid w:val="00C41EAC"/>
    <w:rsid w:val="00C457B0"/>
    <w:rsid w:val="00C5376A"/>
    <w:rsid w:val="00C6440D"/>
    <w:rsid w:val="00C64A2C"/>
    <w:rsid w:val="00C810EE"/>
    <w:rsid w:val="00C8786C"/>
    <w:rsid w:val="00C93DF0"/>
    <w:rsid w:val="00C973D4"/>
    <w:rsid w:val="00CA1D79"/>
    <w:rsid w:val="00CB6CF8"/>
    <w:rsid w:val="00CD189E"/>
    <w:rsid w:val="00CE48E8"/>
    <w:rsid w:val="00D07A31"/>
    <w:rsid w:val="00D24B15"/>
    <w:rsid w:val="00D50321"/>
    <w:rsid w:val="00D644EB"/>
    <w:rsid w:val="00D939DA"/>
    <w:rsid w:val="00DF10F6"/>
    <w:rsid w:val="00DF65FB"/>
    <w:rsid w:val="00E02D7F"/>
    <w:rsid w:val="00E37237"/>
    <w:rsid w:val="00E41E32"/>
    <w:rsid w:val="00E42AD8"/>
    <w:rsid w:val="00E43E9E"/>
    <w:rsid w:val="00E522DB"/>
    <w:rsid w:val="00E87C5B"/>
    <w:rsid w:val="00E9142F"/>
    <w:rsid w:val="00E92515"/>
    <w:rsid w:val="00E9506B"/>
    <w:rsid w:val="00EE5739"/>
    <w:rsid w:val="00F34C19"/>
    <w:rsid w:val="00F56B4F"/>
    <w:rsid w:val="00F75B2D"/>
    <w:rsid w:val="00F8001C"/>
    <w:rsid w:val="00F87397"/>
    <w:rsid w:val="00FB0185"/>
    <w:rsid w:val="00FB38E2"/>
    <w:rsid w:val="00FB3A5C"/>
    <w:rsid w:val="00FC308A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3EC3BA"/>
  <w15:docId w15:val="{2B2568FF-54A3-4A64-AA42-B6382FFB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F8"/>
    <w:pPr>
      <w:spacing w:line="280" w:lineRule="exact"/>
      <w:jc w:val="both"/>
    </w:pPr>
    <w:rPr>
      <w:rFonts w:ascii="Arial" w:hAnsi="Arial"/>
      <w:sz w:val="21"/>
      <w:szCs w:val="24"/>
    </w:rPr>
  </w:style>
  <w:style w:type="paragraph" w:styleId="Overskrift1">
    <w:name w:val="heading 1"/>
    <w:basedOn w:val="Normal"/>
    <w:next w:val="Normal"/>
    <w:qFormat/>
    <w:rsid w:val="000E77E6"/>
    <w:pPr>
      <w:keepNext/>
      <w:spacing w:after="140" w:line="440" w:lineRule="exact"/>
      <w:outlineLvl w:val="0"/>
    </w:pPr>
    <w:rPr>
      <w:rFonts w:ascii="Constantia" w:hAnsi="Constantia" w:cs="Arial"/>
      <w:b/>
      <w:bCs/>
      <w:color w:val="000000" w:themeColor="text1"/>
      <w:kern w:val="32"/>
      <w:sz w:val="32"/>
    </w:rPr>
  </w:style>
  <w:style w:type="paragraph" w:styleId="Overskrift2">
    <w:name w:val="heading 2"/>
    <w:basedOn w:val="Normal"/>
    <w:next w:val="Normal"/>
    <w:qFormat/>
    <w:rsid w:val="00F8001C"/>
    <w:pPr>
      <w:keepNext/>
      <w:spacing w:before="280" w:after="140"/>
      <w:outlineLvl w:val="1"/>
    </w:pPr>
    <w:rPr>
      <w:rFonts w:ascii="Constantia" w:hAnsi="Constantia"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uiPriority w:val="2"/>
    <w:rsid w:val="006B3F9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2"/>
    <w:rsid w:val="006B3F97"/>
    <w:pPr>
      <w:keepNext/>
      <w:spacing w:before="240" w:after="60"/>
      <w:outlineLvl w:val="3"/>
    </w:pPr>
    <w:rPr>
      <w:bCs/>
      <w:small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B3F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D239C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styleId="Sidetal">
    <w:name w:val="page number"/>
    <w:basedOn w:val="Standardskrifttypeiafsnit"/>
    <w:rsid w:val="006B3F97"/>
  </w:style>
  <w:style w:type="numbering" w:customStyle="1" w:styleId="FT-1-flereniveauer">
    <w:name w:val="FT - 1 - flere niveauer"/>
    <w:basedOn w:val="Ingenoversigt"/>
    <w:rsid w:val="006B3F97"/>
    <w:pPr>
      <w:numPr>
        <w:numId w:val="1"/>
      </w:numPr>
    </w:pPr>
  </w:style>
  <w:style w:type="paragraph" w:styleId="Fodnotetekst">
    <w:name w:val="footnote text"/>
    <w:basedOn w:val="Normal"/>
    <w:link w:val="FodnotetekstTegn"/>
    <w:qFormat/>
    <w:rsid w:val="00406A39"/>
    <w:pPr>
      <w:spacing w:line="360" w:lineRule="auto"/>
      <w:ind w:left="142" w:hanging="142"/>
    </w:pPr>
    <w:rPr>
      <w:sz w:val="16"/>
      <w:szCs w:val="20"/>
    </w:rPr>
  </w:style>
  <w:style w:type="numbering" w:customStyle="1" w:styleId="FT-I-flereniveauer">
    <w:name w:val="FT - I - flere niveauer"/>
    <w:basedOn w:val="Ingenoversigt"/>
    <w:rsid w:val="006B3F97"/>
    <w:pPr>
      <w:numPr>
        <w:numId w:val="3"/>
      </w:numPr>
    </w:pPr>
  </w:style>
  <w:style w:type="character" w:styleId="Hyperlink">
    <w:name w:val="Hyperlink"/>
    <w:basedOn w:val="Standardskrifttypeiafsnit"/>
    <w:rsid w:val="006B3F9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C2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1"/>
    <w:qFormat/>
    <w:rsid w:val="000E77E6"/>
    <w:pPr>
      <w:numPr>
        <w:numId w:val="5"/>
      </w:numPr>
      <w:spacing w:after="140"/>
      <w:ind w:left="425" w:hanging="425"/>
      <w:contextualSpacing/>
    </w:pPr>
  </w:style>
  <w:style w:type="paragraph" w:customStyle="1" w:styleId="Underoverskrift">
    <w:name w:val="Underoverskrift"/>
    <w:basedOn w:val="Overskrift2"/>
    <w:next w:val="Normal"/>
    <w:qFormat/>
    <w:rsid w:val="00F8001C"/>
    <w:pPr>
      <w:numPr>
        <w:numId w:val="6"/>
      </w:numPr>
      <w:tabs>
        <w:tab w:val="left" w:pos="-284"/>
      </w:tabs>
    </w:pPr>
  </w:style>
  <w:style w:type="paragraph" w:customStyle="1" w:styleId="ListeTal">
    <w:name w:val="ListeTal"/>
    <w:basedOn w:val="Listeafsnit"/>
    <w:uiPriority w:val="1"/>
    <w:qFormat/>
    <w:rsid w:val="00F8001C"/>
    <w:pPr>
      <w:numPr>
        <w:numId w:val="7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F8001C"/>
    <w:pPr>
      <w:numPr>
        <w:numId w:val="8"/>
      </w:numPr>
      <w:ind w:left="426" w:hanging="426"/>
    </w:pPr>
  </w:style>
  <w:style w:type="character" w:styleId="Fodnotehenvisning">
    <w:name w:val="footnote reference"/>
    <w:basedOn w:val="Standardskrifttypeiafsnit"/>
    <w:semiHidden/>
    <w:unhideWhenUsed/>
    <w:rsid w:val="00406A39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25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9251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9251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25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2515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B91C4A"/>
    <w:rPr>
      <w:rFonts w:ascii="Arial" w:hAnsi="Arial"/>
      <w:sz w:val="21"/>
      <w:szCs w:val="24"/>
    </w:rPr>
  </w:style>
  <w:style w:type="paragraph" w:styleId="Brdtekst">
    <w:name w:val="Body Text"/>
    <w:basedOn w:val="Normal"/>
    <w:link w:val="BrdtekstTegn"/>
    <w:rsid w:val="008C0330"/>
    <w:rPr>
      <w:szCs w:val="20"/>
    </w:rPr>
  </w:style>
  <w:style w:type="character" w:customStyle="1" w:styleId="BrdtekstTegn">
    <w:name w:val="Brødtekst Tegn"/>
    <w:basedOn w:val="Standardskrifttypeiafsnit"/>
    <w:link w:val="Brdtekst"/>
    <w:rsid w:val="008C0330"/>
    <w:rPr>
      <w:rFonts w:ascii="Arial" w:hAnsi="Arial"/>
      <w:sz w:val="21"/>
    </w:rPr>
  </w:style>
  <w:style w:type="character" w:customStyle="1" w:styleId="FodnotetekstTegn">
    <w:name w:val="Fodnotetekst Tegn"/>
    <w:basedOn w:val="Standardskrifttypeiafsnit"/>
    <w:link w:val="Fodnotetekst"/>
    <w:rsid w:val="008C033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we@ftn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Brev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EAEE-1C1A-48A4-A586-BD7D4A01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155</TotalTime>
  <Pages>2</Pages>
  <Words>312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koncept</vt:lpstr>
    </vt:vector>
  </TitlesOfParts>
  <Company>Finanstilsynet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</dc:title>
  <dc:subject/>
  <dc:creator>Anders Fløjstrup Jessen (FT)</dc:creator>
  <cp:keywords/>
  <dc:description/>
  <cp:lastModifiedBy>Julie Marie Boye Weigel (FT)</cp:lastModifiedBy>
  <cp:revision>23</cp:revision>
  <cp:lastPrinted>2023-04-28T09:14:00Z</cp:lastPrinted>
  <dcterms:created xsi:type="dcterms:W3CDTF">2023-04-28T07:31:00Z</dcterms:created>
  <dcterms:modified xsi:type="dcterms:W3CDTF">2023-08-07T07:33:00Z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