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A507D" w14:textId="27A17DA2" w:rsidR="004874A6" w:rsidRDefault="00CF237C" w:rsidP="00FF442F">
      <w:bookmarkStart w:id="0" w:name="udfafd__"/>
      <w:bookmarkEnd w:id="0"/>
      <w:r>
        <w:t xml:space="preserve">   </w:t>
      </w:r>
      <w:r w:rsidR="00D13559">
        <w:t xml:space="preserve">  </w:t>
      </w:r>
    </w:p>
    <w:p w14:paraId="2D5DF585" w14:textId="77777777" w:rsidR="006108C2" w:rsidRPr="007244D5" w:rsidRDefault="006108C2" w:rsidP="006108C2">
      <w:pPr>
        <w:jc w:val="center"/>
        <w:rPr>
          <w:rFonts w:eastAsia="Calibri" w:cs="Times New Roman"/>
          <w:b/>
          <w:sz w:val="24"/>
          <w:szCs w:val="24"/>
        </w:rPr>
      </w:pPr>
      <w:bookmarkStart w:id="1" w:name="bmkStart"/>
      <w:bookmarkEnd w:id="1"/>
      <w:r w:rsidRPr="007244D5">
        <w:rPr>
          <w:rFonts w:eastAsia="Calibri" w:cs="Times New Roman"/>
          <w:b/>
          <w:sz w:val="24"/>
          <w:szCs w:val="24"/>
        </w:rPr>
        <w:t>Forslag</w:t>
      </w:r>
    </w:p>
    <w:p w14:paraId="08A0C629" w14:textId="77777777" w:rsidR="006108C2" w:rsidRPr="007244D5" w:rsidRDefault="006108C2" w:rsidP="006108C2">
      <w:pPr>
        <w:jc w:val="center"/>
        <w:rPr>
          <w:rFonts w:eastAsia="Calibri" w:cs="Times New Roman"/>
          <w:sz w:val="24"/>
          <w:szCs w:val="24"/>
        </w:rPr>
      </w:pPr>
      <w:r w:rsidRPr="007244D5">
        <w:rPr>
          <w:rFonts w:eastAsia="Calibri" w:cs="Times New Roman"/>
          <w:sz w:val="24"/>
          <w:szCs w:val="24"/>
        </w:rPr>
        <w:t>til</w:t>
      </w:r>
    </w:p>
    <w:p w14:paraId="177E9608" w14:textId="77777777" w:rsidR="00CF492E" w:rsidRPr="00CF492E" w:rsidRDefault="00CF492E" w:rsidP="00CF492E">
      <w:pPr>
        <w:jc w:val="center"/>
        <w:rPr>
          <w:rFonts w:eastAsia="Calibri" w:cs="Times New Roman"/>
          <w:sz w:val="24"/>
          <w:szCs w:val="24"/>
        </w:rPr>
      </w:pPr>
      <w:r w:rsidRPr="00CF492E">
        <w:rPr>
          <w:rFonts w:eastAsia="Calibri" w:cs="Times New Roman"/>
          <w:sz w:val="24"/>
          <w:szCs w:val="24"/>
        </w:rPr>
        <w:t>Lov om ændring af lov om rammerne for arealanvendelsen i Københavns Lufthavn, Kastrup</w:t>
      </w:r>
    </w:p>
    <w:p w14:paraId="642FA8B4" w14:textId="77777777" w:rsidR="00CF492E" w:rsidRPr="00CF492E" w:rsidRDefault="00CF492E" w:rsidP="00CF492E">
      <w:pPr>
        <w:jc w:val="center"/>
        <w:rPr>
          <w:rFonts w:eastAsia="Calibri" w:cs="Times New Roman"/>
          <w:sz w:val="24"/>
          <w:szCs w:val="24"/>
        </w:rPr>
      </w:pPr>
      <w:r w:rsidRPr="00CF492E">
        <w:rPr>
          <w:rFonts w:eastAsia="Calibri" w:cs="Times New Roman"/>
          <w:sz w:val="24"/>
          <w:szCs w:val="24"/>
        </w:rPr>
        <w:t>(Hjemmel til fastsættelse af regler om overordnede støjforhold)</w:t>
      </w:r>
    </w:p>
    <w:p w14:paraId="4683E145" w14:textId="77777777" w:rsidR="006108C2" w:rsidRPr="007244D5" w:rsidRDefault="006108C2" w:rsidP="006108C2">
      <w:pPr>
        <w:jc w:val="center"/>
        <w:rPr>
          <w:rFonts w:eastAsia="Calibri" w:cs="Times New Roman"/>
          <w:sz w:val="24"/>
          <w:szCs w:val="24"/>
        </w:rPr>
      </w:pPr>
    </w:p>
    <w:p w14:paraId="4C65F998" w14:textId="77777777" w:rsidR="006108C2" w:rsidRPr="007244D5" w:rsidRDefault="006108C2" w:rsidP="006108C2">
      <w:pPr>
        <w:jc w:val="center"/>
        <w:rPr>
          <w:rFonts w:eastAsia="Calibri" w:cs="Times New Roman"/>
          <w:b/>
          <w:sz w:val="24"/>
          <w:szCs w:val="24"/>
        </w:rPr>
      </w:pPr>
      <w:r w:rsidRPr="007244D5">
        <w:rPr>
          <w:rFonts w:eastAsia="Calibri" w:cs="Times New Roman"/>
          <w:b/>
          <w:sz w:val="24"/>
          <w:szCs w:val="24"/>
        </w:rPr>
        <w:t>§ 1</w:t>
      </w:r>
    </w:p>
    <w:p w14:paraId="7F251AC6" w14:textId="77777777" w:rsidR="006108C2" w:rsidRPr="007244D5" w:rsidRDefault="006108C2" w:rsidP="006108C2">
      <w:pPr>
        <w:jc w:val="center"/>
        <w:rPr>
          <w:rFonts w:eastAsia="Calibri" w:cs="Times New Roman"/>
          <w:sz w:val="24"/>
          <w:szCs w:val="24"/>
        </w:rPr>
      </w:pPr>
    </w:p>
    <w:p w14:paraId="12F610BD" w14:textId="77777777" w:rsidR="00CF492E" w:rsidRPr="00CF492E" w:rsidRDefault="00CF492E" w:rsidP="00CF492E">
      <w:pPr>
        <w:rPr>
          <w:rFonts w:eastAsia="Calibri" w:cs="Times New Roman"/>
          <w:sz w:val="24"/>
          <w:szCs w:val="24"/>
        </w:rPr>
      </w:pPr>
      <w:r w:rsidRPr="00CF492E">
        <w:rPr>
          <w:rFonts w:eastAsia="Calibri" w:cs="Times New Roman"/>
          <w:sz w:val="24"/>
          <w:szCs w:val="24"/>
        </w:rPr>
        <w:t>I lov nr. 1537 af 12. december 2023 om rammerne for arealanvendelsen i Københavns Lufthavn, Kastrup, foretages følgende ændring:</w:t>
      </w:r>
    </w:p>
    <w:p w14:paraId="6EC100D6" w14:textId="77777777" w:rsidR="006108C2" w:rsidRPr="007244D5" w:rsidRDefault="006108C2" w:rsidP="006108C2">
      <w:pPr>
        <w:rPr>
          <w:rFonts w:eastAsia="Calibri" w:cs="Times New Roman"/>
          <w:sz w:val="24"/>
          <w:szCs w:val="24"/>
        </w:rPr>
      </w:pPr>
    </w:p>
    <w:p w14:paraId="7D49FE89" w14:textId="3560244B" w:rsidR="006108C2" w:rsidRPr="007244D5" w:rsidRDefault="006108C2" w:rsidP="006108C2">
      <w:pPr>
        <w:rPr>
          <w:rFonts w:cs="Times New Roman"/>
          <w:sz w:val="24"/>
          <w:szCs w:val="24"/>
        </w:rPr>
      </w:pPr>
      <w:r w:rsidRPr="007244D5">
        <w:rPr>
          <w:rFonts w:eastAsia="Calibri" w:cs="Times New Roman"/>
          <w:b/>
          <w:sz w:val="24"/>
          <w:szCs w:val="24"/>
        </w:rPr>
        <w:t>1.</w:t>
      </w:r>
      <w:r w:rsidRPr="007244D5">
        <w:rPr>
          <w:rFonts w:eastAsia="Calibri" w:cs="Times New Roman"/>
          <w:sz w:val="24"/>
          <w:szCs w:val="24"/>
        </w:rPr>
        <w:t xml:space="preserve"> </w:t>
      </w:r>
      <w:r w:rsidR="00CF492E" w:rsidRPr="00CF492E">
        <w:rPr>
          <w:rFonts w:eastAsia="Calibri" w:cs="Times New Roman"/>
          <w:sz w:val="24"/>
          <w:szCs w:val="24"/>
        </w:rPr>
        <w:t xml:space="preserve">I </w:t>
      </w:r>
      <w:r w:rsidR="00CF492E" w:rsidRPr="00CF492E">
        <w:rPr>
          <w:rFonts w:eastAsia="Calibri" w:cs="Times New Roman"/>
          <w:i/>
          <w:iCs/>
          <w:sz w:val="24"/>
          <w:szCs w:val="24"/>
        </w:rPr>
        <w:t>§ 5, stk. 1,</w:t>
      </w:r>
      <w:r w:rsidR="00CF492E" w:rsidRPr="00CF492E">
        <w:rPr>
          <w:rFonts w:eastAsia="Calibri" w:cs="Times New Roman"/>
          <w:sz w:val="24"/>
          <w:szCs w:val="24"/>
        </w:rPr>
        <w:t xml:space="preserve"> indsættes efter »fastsætte nærmere regler for</w:t>
      </w:r>
      <w:bookmarkStart w:id="2" w:name="_Hlk201072113"/>
      <w:r w:rsidR="00CF492E" w:rsidRPr="00CF492E">
        <w:rPr>
          <w:rFonts w:eastAsia="Calibri" w:cs="Times New Roman"/>
          <w:sz w:val="24"/>
          <w:szCs w:val="24"/>
        </w:rPr>
        <w:t>«</w:t>
      </w:r>
      <w:bookmarkEnd w:id="2"/>
      <w:r w:rsidR="00CF492E" w:rsidRPr="00CF492E">
        <w:rPr>
          <w:rFonts w:eastAsia="Calibri" w:cs="Times New Roman"/>
          <w:sz w:val="24"/>
          <w:szCs w:val="24"/>
        </w:rPr>
        <w:t>: »lufthavnens overordnede støjforhold og for«.</w:t>
      </w:r>
    </w:p>
    <w:p w14:paraId="62E4DFE3" w14:textId="77777777" w:rsidR="006108C2" w:rsidRPr="007244D5" w:rsidRDefault="006108C2" w:rsidP="006108C2">
      <w:pPr>
        <w:ind w:firstLine="238"/>
        <w:rPr>
          <w:rFonts w:eastAsia="Calibri" w:cs="Times New Roman"/>
          <w:sz w:val="24"/>
          <w:szCs w:val="24"/>
        </w:rPr>
      </w:pPr>
    </w:p>
    <w:p w14:paraId="016DF025" w14:textId="77777777" w:rsidR="006108C2" w:rsidRPr="007244D5" w:rsidRDefault="006108C2" w:rsidP="006108C2">
      <w:pPr>
        <w:ind w:firstLine="238"/>
        <w:jc w:val="center"/>
        <w:rPr>
          <w:rFonts w:eastAsia="Calibri" w:cs="Times New Roman"/>
          <w:b/>
          <w:sz w:val="24"/>
          <w:szCs w:val="24"/>
        </w:rPr>
      </w:pPr>
      <w:r w:rsidRPr="007244D5">
        <w:rPr>
          <w:rFonts w:eastAsia="Calibri" w:cs="Times New Roman"/>
          <w:b/>
          <w:sz w:val="24"/>
          <w:szCs w:val="24"/>
        </w:rPr>
        <w:t>§ 2</w:t>
      </w:r>
    </w:p>
    <w:p w14:paraId="71A26566" w14:textId="77777777" w:rsidR="006108C2" w:rsidRPr="007244D5" w:rsidRDefault="006108C2" w:rsidP="006108C2">
      <w:pPr>
        <w:ind w:firstLine="238"/>
        <w:rPr>
          <w:rFonts w:eastAsia="Calibri" w:cs="Times New Roman"/>
          <w:sz w:val="24"/>
          <w:szCs w:val="24"/>
        </w:rPr>
      </w:pPr>
    </w:p>
    <w:p w14:paraId="48B8EF95" w14:textId="77777777" w:rsidR="00CF492E" w:rsidRPr="00F3270A" w:rsidRDefault="00CF492E" w:rsidP="00CF492E">
      <w:pPr>
        <w:rPr>
          <w:rFonts w:cs="Times New Roman"/>
          <w:sz w:val="24"/>
          <w:szCs w:val="24"/>
        </w:rPr>
      </w:pPr>
      <w:r w:rsidRPr="00F3270A">
        <w:rPr>
          <w:rFonts w:cs="Times New Roman"/>
          <w:i/>
          <w:iCs/>
          <w:sz w:val="24"/>
          <w:szCs w:val="24"/>
        </w:rPr>
        <w:t>Stk. 1.</w:t>
      </w:r>
      <w:r w:rsidRPr="00F3270A">
        <w:rPr>
          <w:rFonts w:cs="Times New Roman"/>
          <w:sz w:val="24"/>
          <w:szCs w:val="24"/>
        </w:rPr>
        <w:t xml:space="preserve"> Loven træder i kraft den 1. januar 2026.</w:t>
      </w:r>
    </w:p>
    <w:p w14:paraId="05C15ED6" w14:textId="77777777" w:rsidR="006108C2" w:rsidRPr="007244D5" w:rsidRDefault="006108C2" w:rsidP="006108C2">
      <w:pPr>
        <w:ind w:firstLine="238"/>
        <w:jc w:val="right"/>
        <w:rPr>
          <w:rFonts w:eastAsia="Calibri" w:cs="Times New Roman"/>
          <w:sz w:val="24"/>
          <w:szCs w:val="24"/>
        </w:rPr>
        <w:sectPr w:rsidR="006108C2" w:rsidRPr="007244D5" w:rsidSect="00DF743A">
          <w:headerReference w:type="even" r:id="rId10"/>
          <w:headerReference w:type="default" r:id="rId11"/>
          <w:footerReference w:type="even" r:id="rId12"/>
          <w:footerReference w:type="default" r:id="rId13"/>
          <w:headerReference w:type="first" r:id="rId14"/>
          <w:footerReference w:type="first" r:id="rId15"/>
          <w:pgSz w:w="11906" w:h="16838" w:code="9"/>
          <w:pgMar w:top="1418" w:right="3260" w:bottom="1134" w:left="1418" w:header="0" w:footer="709" w:gutter="0"/>
          <w:paperSrc w:first="15" w:other="15"/>
          <w:cols w:space="708"/>
          <w:titlePg/>
          <w:docGrid w:linePitch="360"/>
        </w:sectPr>
      </w:pPr>
    </w:p>
    <w:p w14:paraId="665FDC4E" w14:textId="77777777" w:rsidR="006108C2" w:rsidRPr="007244D5" w:rsidRDefault="006108C2" w:rsidP="006108C2">
      <w:pPr>
        <w:spacing w:after="240"/>
        <w:jc w:val="center"/>
        <w:rPr>
          <w:rFonts w:eastAsia="Calibri" w:cs="Times New Roman"/>
          <w:i/>
          <w:sz w:val="24"/>
          <w:szCs w:val="24"/>
        </w:rPr>
      </w:pPr>
      <w:r w:rsidRPr="007244D5">
        <w:rPr>
          <w:rFonts w:eastAsia="Calibri" w:cs="Times New Roman"/>
          <w:i/>
          <w:sz w:val="24"/>
          <w:szCs w:val="24"/>
        </w:rPr>
        <w:lastRenderedPageBreak/>
        <w:t>Bemærkninger til lovforslaget</w:t>
      </w:r>
    </w:p>
    <w:p w14:paraId="205E2166" w14:textId="089459EC" w:rsidR="006108C2" w:rsidRPr="002C561B" w:rsidRDefault="006108C2" w:rsidP="002C561B">
      <w:pPr>
        <w:spacing w:after="240"/>
        <w:jc w:val="center"/>
        <w:rPr>
          <w:rFonts w:eastAsia="Calibri" w:cs="Times New Roman"/>
          <w:i/>
          <w:sz w:val="24"/>
          <w:szCs w:val="24"/>
        </w:rPr>
      </w:pPr>
      <w:r w:rsidRPr="007244D5">
        <w:rPr>
          <w:rFonts w:eastAsia="Calibri" w:cs="Times New Roman"/>
          <w:i/>
          <w:sz w:val="24"/>
          <w:szCs w:val="24"/>
        </w:rPr>
        <w:t>Almindelige bemærkninger</w:t>
      </w:r>
    </w:p>
    <w:p w14:paraId="563405E4" w14:textId="77777777" w:rsidR="006108C2" w:rsidRPr="007244D5" w:rsidRDefault="006108C2" w:rsidP="006108C2">
      <w:pPr>
        <w:pStyle w:val="Overskrift1"/>
        <w:rPr>
          <w:rFonts w:ascii="Times New Roman" w:hAnsi="Times New Roman" w:cs="Times New Roman"/>
          <w:bCs w:val="0"/>
          <w:iCs/>
          <w:sz w:val="24"/>
          <w:szCs w:val="24"/>
        </w:rPr>
      </w:pPr>
      <w:bookmarkStart w:id="3" w:name="_Toc442277386"/>
      <w:bookmarkStart w:id="4" w:name="_Toc442281298"/>
      <w:bookmarkStart w:id="5" w:name="_Toc442281328"/>
      <w:bookmarkStart w:id="6" w:name="_Toc442777834"/>
      <w:bookmarkStart w:id="7" w:name="_Toc442787232"/>
      <w:bookmarkStart w:id="8" w:name="_Toc442787524"/>
      <w:bookmarkStart w:id="9" w:name="_Toc442953229"/>
      <w:bookmarkStart w:id="10" w:name="_Toc443047614"/>
      <w:bookmarkStart w:id="11" w:name="_Toc444095974"/>
      <w:bookmarkStart w:id="12" w:name="_Toc444244500"/>
      <w:bookmarkStart w:id="13" w:name="_Toc498557071"/>
      <w:bookmarkStart w:id="14" w:name="_Toc498557151"/>
      <w:bookmarkStart w:id="15" w:name="_Toc498557218"/>
      <w:bookmarkStart w:id="16" w:name="_Toc498557282"/>
      <w:bookmarkStart w:id="17" w:name="_Toc498590016"/>
      <w:bookmarkStart w:id="18" w:name="_Toc498681499"/>
      <w:bookmarkStart w:id="19" w:name="_Toc499152771"/>
      <w:bookmarkStart w:id="20" w:name="_Toc499158730"/>
      <w:bookmarkStart w:id="21" w:name="_Toc499648599"/>
      <w:bookmarkStart w:id="22" w:name="_Toc499728092"/>
      <w:bookmarkStart w:id="23" w:name="_Toc499732940"/>
      <w:bookmarkStart w:id="24" w:name="_Toc499736971"/>
      <w:bookmarkStart w:id="25" w:name="_Toc499812911"/>
      <w:bookmarkStart w:id="26" w:name="_Toc499813714"/>
      <w:bookmarkStart w:id="27" w:name="_Toc500921460"/>
      <w:bookmarkStart w:id="28" w:name="_Toc500921486"/>
      <w:bookmarkStart w:id="29" w:name="_Toc500921594"/>
      <w:bookmarkStart w:id="30" w:name="_Toc501019204"/>
      <w:bookmarkStart w:id="31" w:name="_Toc504483849"/>
      <w:bookmarkStart w:id="32" w:name="_Toc505180547"/>
      <w:bookmarkStart w:id="33" w:name="_Toc505690192"/>
      <w:bookmarkStart w:id="34" w:name="_Toc505701745"/>
      <w:bookmarkStart w:id="35" w:name="_Toc505759537"/>
      <w:bookmarkStart w:id="36" w:name="_Toc505759554"/>
      <w:bookmarkStart w:id="37" w:name="_Toc505762647"/>
      <w:bookmarkStart w:id="38" w:name="_Toc505785987"/>
      <w:bookmarkStart w:id="39" w:name="_Toc506799572"/>
      <w:bookmarkStart w:id="40" w:name="_Toc506799589"/>
      <w:bookmarkStart w:id="41" w:name="_Toc506894548"/>
      <w:bookmarkStart w:id="42" w:name="_Toc507486285"/>
      <w:bookmarkStart w:id="43" w:name="_Toc515271224"/>
      <w:bookmarkStart w:id="44" w:name="_Toc515271547"/>
      <w:bookmarkStart w:id="45" w:name="_Toc515271575"/>
      <w:bookmarkStart w:id="46" w:name="_Toc515280471"/>
      <w:bookmarkStart w:id="47" w:name="_Toc515280622"/>
      <w:bookmarkStart w:id="48" w:name="_Toc515352774"/>
      <w:bookmarkStart w:id="49" w:name="_Toc515540847"/>
      <w:bookmarkStart w:id="50" w:name="_Toc515543683"/>
      <w:bookmarkStart w:id="51" w:name="_Toc515543868"/>
      <w:bookmarkStart w:id="52" w:name="_Toc515551669"/>
      <w:bookmarkStart w:id="53" w:name="_Toc515627611"/>
      <w:bookmarkStart w:id="54" w:name="_Toc516039921"/>
      <w:bookmarkStart w:id="55" w:name="_Toc516155344"/>
      <w:bookmarkStart w:id="56" w:name="_Toc516490245"/>
      <w:bookmarkStart w:id="57" w:name="_Toc518037927"/>
      <w:bookmarkStart w:id="58" w:name="_Toc524599575"/>
      <w:bookmarkStart w:id="59" w:name="_Toc526154928"/>
      <w:bookmarkStart w:id="60" w:name="_Toc526155474"/>
      <w:bookmarkStart w:id="61" w:name="_Toc526155547"/>
      <w:bookmarkStart w:id="62" w:name="_Toc526253984"/>
      <w:bookmarkStart w:id="63" w:name="_Toc526348408"/>
      <w:bookmarkStart w:id="64" w:name="_Toc526374599"/>
      <w:bookmarkStart w:id="65" w:name="_Toc526374615"/>
      <w:bookmarkStart w:id="66" w:name="_Toc526406478"/>
      <w:bookmarkStart w:id="67" w:name="_Toc526409498"/>
      <w:bookmarkStart w:id="68" w:name="_Toc526491397"/>
      <w:bookmarkStart w:id="69" w:name="_Toc526505509"/>
      <w:bookmarkStart w:id="70" w:name="_Toc526756601"/>
      <w:r w:rsidRPr="007244D5">
        <w:rPr>
          <w:rFonts w:ascii="Times New Roman" w:hAnsi="Times New Roman" w:cs="Times New Roman"/>
          <w:bCs w:val="0"/>
          <w:iCs/>
          <w:sz w:val="24"/>
          <w:szCs w:val="24"/>
        </w:rPr>
        <w:t>1. Indledning</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F489B88" w14:textId="05C4459A" w:rsidR="00905813" w:rsidRPr="00905813" w:rsidRDefault="00905813" w:rsidP="00905813">
      <w:pPr>
        <w:spacing w:after="240"/>
        <w:rPr>
          <w:rFonts w:eastAsia="Calibri" w:cs="Times New Roman"/>
          <w:sz w:val="24"/>
          <w:szCs w:val="24"/>
        </w:rPr>
      </w:pPr>
      <w:r w:rsidRPr="00905813">
        <w:rPr>
          <w:rFonts w:eastAsia="Calibri" w:cs="Times New Roman"/>
          <w:sz w:val="24"/>
          <w:szCs w:val="24"/>
        </w:rPr>
        <w:t>Københavns Lufthavn, Kastrup er omfattet af særlig</w:t>
      </w:r>
      <w:r w:rsidR="004273B5">
        <w:rPr>
          <w:rFonts w:eastAsia="Calibri" w:cs="Times New Roman"/>
          <w:sz w:val="24"/>
          <w:szCs w:val="24"/>
        </w:rPr>
        <w:t>e rammer for</w:t>
      </w:r>
      <w:r w:rsidRPr="00905813">
        <w:rPr>
          <w:rFonts w:eastAsia="Calibri" w:cs="Times New Roman"/>
          <w:sz w:val="24"/>
          <w:szCs w:val="24"/>
        </w:rPr>
        <w:t xml:space="preserve"> støj</w:t>
      </w:r>
      <w:r w:rsidR="004273B5">
        <w:rPr>
          <w:rFonts w:eastAsia="Calibri" w:cs="Times New Roman"/>
          <w:sz w:val="24"/>
          <w:szCs w:val="24"/>
        </w:rPr>
        <w:t>udledningen</w:t>
      </w:r>
      <w:r w:rsidRPr="00905813">
        <w:rPr>
          <w:rFonts w:eastAsia="Calibri" w:cs="Times New Roman"/>
          <w:sz w:val="24"/>
          <w:szCs w:val="24"/>
        </w:rPr>
        <w:t xml:space="preserve">, der indebærer, at nogle boligområder nær lufthavnen er udsat for støjniveauer over Miljøstyrelsens vejledende støjgrænser. De særlige </w:t>
      </w:r>
      <w:r w:rsidR="004273B5">
        <w:rPr>
          <w:rFonts w:eastAsia="Calibri" w:cs="Times New Roman"/>
          <w:sz w:val="24"/>
          <w:szCs w:val="24"/>
        </w:rPr>
        <w:t xml:space="preserve">støjrammer </w:t>
      </w:r>
      <w:r w:rsidRPr="00905813">
        <w:rPr>
          <w:rFonts w:eastAsia="Calibri" w:cs="Times New Roman"/>
          <w:sz w:val="24"/>
          <w:szCs w:val="24"/>
        </w:rPr>
        <w:t xml:space="preserve">er </w:t>
      </w:r>
      <w:r w:rsidR="00024830" w:rsidRPr="00905813">
        <w:rPr>
          <w:rFonts w:eastAsia="Calibri" w:cs="Times New Roman"/>
          <w:sz w:val="24"/>
          <w:szCs w:val="24"/>
        </w:rPr>
        <w:t>nødvendige</w:t>
      </w:r>
      <w:r w:rsidRPr="00905813">
        <w:rPr>
          <w:rFonts w:eastAsia="Calibri" w:cs="Times New Roman"/>
          <w:sz w:val="24"/>
          <w:szCs w:val="24"/>
        </w:rPr>
        <w:t xml:space="preserve"> for at opretholde nuværende drift af lufthavnen og skal ses i lyset af lufthavnens bynære placering, og hensynet til at Københavns Lufthavn, Kastrup er infrastruktur med stor betydning for Danmarks forbindelser til omverdenen</w:t>
      </w:r>
      <w:bookmarkStart w:id="71" w:name="_GoBack"/>
      <w:bookmarkEnd w:id="71"/>
      <w:r w:rsidRPr="00905813">
        <w:rPr>
          <w:rFonts w:eastAsia="Calibri" w:cs="Times New Roman"/>
          <w:sz w:val="24"/>
          <w:szCs w:val="24"/>
        </w:rPr>
        <w:t xml:space="preserve">. </w:t>
      </w:r>
    </w:p>
    <w:p w14:paraId="0F83732C" w14:textId="6EC6A59A" w:rsidR="00905813" w:rsidRPr="00905813" w:rsidRDefault="00DD572D" w:rsidP="00905813">
      <w:pPr>
        <w:spacing w:after="240"/>
        <w:rPr>
          <w:rFonts w:eastAsia="Calibri" w:cs="Times New Roman"/>
          <w:sz w:val="24"/>
          <w:szCs w:val="24"/>
        </w:rPr>
      </w:pPr>
      <w:r>
        <w:rPr>
          <w:rFonts w:eastAsia="Calibri" w:cs="Times New Roman"/>
          <w:sz w:val="24"/>
          <w:szCs w:val="24"/>
        </w:rPr>
        <w:t xml:space="preserve">De </w:t>
      </w:r>
      <w:r w:rsidR="00905813" w:rsidRPr="00905813">
        <w:rPr>
          <w:rFonts w:eastAsia="Calibri" w:cs="Times New Roman"/>
          <w:sz w:val="24"/>
          <w:szCs w:val="24"/>
        </w:rPr>
        <w:t xml:space="preserve">særlige </w:t>
      </w:r>
      <w:r w:rsidR="0063720C">
        <w:rPr>
          <w:rFonts w:eastAsia="Calibri" w:cs="Times New Roman"/>
          <w:sz w:val="24"/>
          <w:szCs w:val="24"/>
        </w:rPr>
        <w:t>rammer for</w:t>
      </w:r>
      <w:r w:rsidR="001806F0">
        <w:rPr>
          <w:rFonts w:eastAsia="Calibri" w:cs="Times New Roman"/>
          <w:sz w:val="24"/>
          <w:szCs w:val="24"/>
        </w:rPr>
        <w:t xml:space="preserve"> </w:t>
      </w:r>
      <w:r w:rsidR="00241494">
        <w:rPr>
          <w:rFonts w:eastAsia="Calibri" w:cs="Times New Roman"/>
          <w:sz w:val="24"/>
          <w:szCs w:val="24"/>
        </w:rPr>
        <w:t xml:space="preserve">støjudledningen </w:t>
      </w:r>
      <w:r w:rsidR="001806F0">
        <w:rPr>
          <w:rFonts w:eastAsia="Calibri" w:cs="Times New Roman"/>
          <w:sz w:val="24"/>
          <w:szCs w:val="24"/>
        </w:rPr>
        <w:t>fra</w:t>
      </w:r>
      <w:r w:rsidR="0063720C">
        <w:rPr>
          <w:rFonts w:eastAsia="Calibri" w:cs="Times New Roman"/>
          <w:sz w:val="24"/>
          <w:szCs w:val="24"/>
        </w:rPr>
        <w:t xml:space="preserve"> Københavns Lufthavn</w:t>
      </w:r>
      <w:r w:rsidR="00D62CF5">
        <w:rPr>
          <w:rFonts w:eastAsia="Calibri" w:cs="Times New Roman"/>
          <w:sz w:val="24"/>
          <w:szCs w:val="24"/>
        </w:rPr>
        <w:t>, som er</w:t>
      </w:r>
      <w:r w:rsidR="00905813" w:rsidRPr="00905813">
        <w:rPr>
          <w:rFonts w:eastAsia="Calibri" w:cs="Times New Roman"/>
          <w:sz w:val="24"/>
          <w:szCs w:val="24"/>
        </w:rPr>
        <w:t xml:space="preserve"> fastsat i cirkulære nr. 56 af 30. april 1997 om udbygning af Københavns Lufthavn, Kastrup, samt bygge- og anvendelsesregulerende bestemmelser for områder, der er belastet af støj fra trafikken på lufthavnen (herefter støjcirkulæret). Støjcirkulæret er udstedt med hjemmel i lov om planlægning, jf. lovbekendtgørelse nr. 572 af 29. maj 2024 (herefter planloven), som på daværende tidspunkt lå under Miljøministeriet, og i dag hører under By-, Land- og Kirkeministeriet.</w:t>
      </w:r>
    </w:p>
    <w:p w14:paraId="40E60C64" w14:textId="77777777" w:rsidR="00905813" w:rsidRPr="00905813" w:rsidRDefault="00905813" w:rsidP="00905813">
      <w:pPr>
        <w:spacing w:after="240"/>
        <w:rPr>
          <w:rFonts w:eastAsia="Calibri" w:cs="Times New Roman"/>
          <w:sz w:val="24"/>
          <w:szCs w:val="24"/>
        </w:rPr>
      </w:pPr>
      <w:r w:rsidRPr="00905813">
        <w:rPr>
          <w:rFonts w:eastAsia="Calibri" w:cs="Times New Roman"/>
          <w:sz w:val="24"/>
          <w:szCs w:val="24"/>
        </w:rPr>
        <w:t>Med vedtagelsen af lov nr. 1537 af 12. december 2023 om rammerne for arealanvendelsen i Københavns Lufthavn, Kastrup (arealanvendelsesloven) fik lufthavnen nye muligheder for anvendelse af det eksisterende lufthavnsareal. For at lufthavnen kan udnytte de nye arealanvendelsesmuligheder skal kommune- og lokalplaner samt bestemmelserne i støjcirkulæret opdateres i overensstemmelse hermed.</w:t>
      </w:r>
    </w:p>
    <w:p w14:paraId="54763503" w14:textId="77777777" w:rsidR="00905813" w:rsidRPr="00905813" w:rsidRDefault="00905813" w:rsidP="00905813">
      <w:pPr>
        <w:spacing w:after="240"/>
        <w:rPr>
          <w:rFonts w:eastAsia="Calibri" w:cs="Times New Roman"/>
          <w:sz w:val="24"/>
          <w:szCs w:val="24"/>
        </w:rPr>
      </w:pPr>
      <w:r w:rsidRPr="00905813">
        <w:rPr>
          <w:rFonts w:eastAsia="Calibri" w:cs="Times New Roman"/>
          <w:sz w:val="24"/>
          <w:szCs w:val="24"/>
        </w:rPr>
        <w:t>Da bestemmelser om støjbelastningen fra starter, landinger mv. med fly i dag særligt er reguleret i anden lovgivning end planloven og falder uden for planlovens formål, vurderes det, at sådanne bestemmelser ikke kan udstedes med hjemmel i planloven.</w:t>
      </w:r>
    </w:p>
    <w:p w14:paraId="55DCA861" w14:textId="1CBEAABB" w:rsidR="00905813" w:rsidRPr="00905813" w:rsidRDefault="00905813" w:rsidP="00905813">
      <w:pPr>
        <w:spacing w:after="240"/>
        <w:rPr>
          <w:rFonts w:eastAsia="Calibri" w:cs="Times New Roman"/>
          <w:sz w:val="24"/>
          <w:szCs w:val="24"/>
        </w:rPr>
      </w:pPr>
      <w:r w:rsidRPr="00905813">
        <w:rPr>
          <w:rFonts w:eastAsia="Calibri" w:cs="Times New Roman"/>
          <w:sz w:val="24"/>
          <w:szCs w:val="24"/>
        </w:rPr>
        <w:t>Lovforslaget har til formål at skabe hjemmel til at videreføre de særlige r</w:t>
      </w:r>
      <w:r w:rsidR="0063720C">
        <w:rPr>
          <w:rFonts w:eastAsia="Calibri" w:cs="Times New Roman"/>
          <w:sz w:val="24"/>
          <w:szCs w:val="24"/>
        </w:rPr>
        <w:t>ammer</w:t>
      </w:r>
      <w:r w:rsidR="00241494">
        <w:rPr>
          <w:rFonts w:eastAsia="Calibri" w:cs="Times New Roman"/>
          <w:sz w:val="24"/>
          <w:szCs w:val="24"/>
        </w:rPr>
        <w:t xml:space="preserve"> for støj</w:t>
      </w:r>
      <w:r w:rsidRPr="00905813">
        <w:rPr>
          <w:rFonts w:eastAsia="Calibri" w:cs="Times New Roman"/>
          <w:sz w:val="24"/>
          <w:szCs w:val="24"/>
        </w:rPr>
        <w:t xml:space="preserve">, der i dag gælder for Københavns Lufthavn, Kastrup, og som er nødvendig for at opretholde nuværende drift af lufthavnen. Konkret foreslås det, at transportministeren efter forhandling med ministeren for </w:t>
      </w:r>
      <w:r w:rsidR="007C7516">
        <w:rPr>
          <w:rFonts w:eastAsia="Calibri" w:cs="Times New Roman"/>
          <w:sz w:val="24"/>
          <w:szCs w:val="24"/>
        </w:rPr>
        <w:t xml:space="preserve">byer og </w:t>
      </w:r>
      <w:r w:rsidRPr="00905813">
        <w:rPr>
          <w:rFonts w:eastAsia="Calibri" w:cs="Times New Roman"/>
          <w:sz w:val="24"/>
          <w:szCs w:val="24"/>
        </w:rPr>
        <w:t xml:space="preserve">landdistrikter og miljøministeren får bemyndigelse til at fastsætte nærmere regler for lufthavnens overordnede støjforhold. </w:t>
      </w:r>
    </w:p>
    <w:p w14:paraId="24D2F2BE" w14:textId="7708FFC2" w:rsidR="006108C2" w:rsidRPr="007244D5" w:rsidRDefault="006108C2" w:rsidP="006108C2">
      <w:pPr>
        <w:spacing w:after="240"/>
        <w:rPr>
          <w:rFonts w:eastAsia="Calibri" w:cs="Times New Roman"/>
          <w:sz w:val="24"/>
          <w:szCs w:val="24"/>
        </w:rPr>
      </w:pPr>
    </w:p>
    <w:p w14:paraId="64D38E9D" w14:textId="57563700" w:rsidR="006108C2" w:rsidRPr="007244D5" w:rsidRDefault="00905813" w:rsidP="006108C2">
      <w:pPr>
        <w:pStyle w:val="Overskrift1"/>
        <w:rPr>
          <w:rFonts w:ascii="Times New Roman" w:hAnsi="Times New Roman" w:cs="Times New Roman"/>
          <w:bCs w:val="0"/>
          <w:iCs/>
          <w:sz w:val="24"/>
          <w:szCs w:val="24"/>
        </w:rPr>
      </w:pPr>
      <w:bookmarkStart w:id="72" w:name="_Toc498557219"/>
      <w:bookmarkStart w:id="73" w:name="_Toc498557283"/>
      <w:bookmarkStart w:id="74" w:name="_Toc498590017"/>
      <w:bookmarkStart w:id="75" w:name="_Toc498681500"/>
      <w:bookmarkStart w:id="76" w:name="_Toc499152772"/>
      <w:bookmarkStart w:id="77" w:name="_Toc499158731"/>
      <w:bookmarkStart w:id="78" w:name="_Toc499648600"/>
      <w:bookmarkStart w:id="79" w:name="_Toc499728093"/>
      <w:bookmarkStart w:id="80" w:name="_Toc499732941"/>
      <w:bookmarkStart w:id="81" w:name="_Toc499736972"/>
      <w:bookmarkStart w:id="82" w:name="_Toc499812912"/>
      <w:bookmarkStart w:id="83" w:name="_Toc499813715"/>
      <w:bookmarkStart w:id="84" w:name="_Toc500921461"/>
      <w:bookmarkStart w:id="85" w:name="_Toc500921487"/>
      <w:bookmarkStart w:id="86" w:name="_Toc500921595"/>
      <w:bookmarkStart w:id="87" w:name="_Toc501019205"/>
      <w:bookmarkStart w:id="88" w:name="_Toc504483850"/>
      <w:bookmarkStart w:id="89" w:name="_Toc505180548"/>
      <w:bookmarkStart w:id="90" w:name="_Toc505690193"/>
      <w:bookmarkStart w:id="91" w:name="_Toc505701746"/>
      <w:bookmarkStart w:id="92" w:name="_Toc505759538"/>
      <w:bookmarkStart w:id="93" w:name="_Toc505759555"/>
      <w:bookmarkStart w:id="94" w:name="_Toc505762648"/>
      <w:bookmarkStart w:id="95" w:name="_Toc505785988"/>
      <w:bookmarkStart w:id="96" w:name="_Toc506799573"/>
      <w:bookmarkStart w:id="97" w:name="_Toc506799590"/>
      <w:bookmarkStart w:id="98" w:name="_Toc506894549"/>
      <w:bookmarkStart w:id="99" w:name="_Toc507486286"/>
      <w:bookmarkStart w:id="100" w:name="_Toc515271225"/>
      <w:bookmarkStart w:id="101" w:name="_Toc515271548"/>
      <w:bookmarkStart w:id="102" w:name="_Toc515271576"/>
      <w:bookmarkStart w:id="103" w:name="_Toc515280472"/>
      <w:bookmarkStart w:id="104" w:name="_Toc515280623"/>
      <w:bookmarkStart w:id="105" w:name="_Toc515352775"/>
      <w:bookmarkStart w:id="106" w:name="_Toc515540848"/>
      <w:bookmarkStart w:id="107" w:name="_Toc515543684"/>
      <w:bookmarkStart w:id="108" w:name="_Toc515543869"/>
      <w:bookmarkStart w:id="109" w:name="_Toc515551670"/>
      <w:bookmarkStart w:id="110" w:name="_Toc515627612"/>
      <w:bookmarkStart w:id="111" w:name="_Toc516039922"/>
      <w:bookmarkStart w:id="112" w:name="_Toc516155345"/>
      <w:bookmarkStart w:id="113" w:name="_Toc516490246"/>
      <w:bookmarkStart w:id="114" w:name="_Toc518037928"/>
      <w:bookmarkStart w:id="115" w:name="_Toc524599576"/>
      <w:bookmarkStart w:id="116" w:name="_Toc526154929"/>
      <w:bookmarkStart w:id="117" w:name="_Toc526155475"/>
      <w:bookmarkStart w:id="118" w:name="_Toc526155548"/>
      <w:bookmarkStart w:id="119" w:name="_Toc526253985"/>
      <w:bookmarkStart w:id="120" w:name="_Toc526348409"/>
      <w:bookmarkStart w:id="121" w:name="_Toc526374600"/>
      <w:bookmarkStart w:id="122" w:name="_Toc526374616"/>
      <w:bookmarkStart w:id="123" w:name="_Toc526406479"/>
      <w:bookmarkStart w:id="124" w:name="_Toc526409499"/>
      <w:bookmarkStart w:id="125" w:name="_Toc526491398"/>
      <w:bookmarkStart w:id="126" w:name="_Toc526505510"/>
      <w:bookmarkStart w:id="127" w:name="_Toc526756602"/>
      <w:r>
        <w:rPr>
          <w:rFonts w:ascii="Times New Roman" w:hAnsi="Times New Roman" w:cs="Times New Roman"/>
          <w:bCs w:val="0"/>
          <w:iCs/>
          <w:sz w:val="24"/>
          <w:szCs w:val="24"/>
        </w:rPr>
        <w:lastRenderedPageBreak/>
        <w:t>2</w:t>
      </w:r>
      <w:r w:rsidR="006108C2" w:rsidRPr="007244D5">
        <w:rPr>
          <w:rFonts w:ascii="Times New Roman" w:hAnsi="Times New Roman" w:cs="Times New Roman"/>
          <w:bCs w:val="0"/>
          <w:iCs/>
          <w:sz w:val="24"/>
          <w:szCs w:val="24"/>
        </w:rPr>
        <w:t>. Lovforslagets hovedpunkter</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312F77A" w14:textId="56830F24" w:rsidR="006108C2" w:rsidRPr="007244D5" w:rsidRDefault="00905813" w:rsidP="006108C2">
      <w:pPr>
        <w:pStyle w:val="Overskrift2"/>
        <w:rPr>
          <w:rFonts w:cs="Times New Roman"/>
          <w:sz w:val="24"/>
          <w:szCs w:val="24"/>
        </w:rPr>
      </w:pPr>
      <w:bookmarkStart w:id="128" w:name="_Toc526348410"/>
      <w:bookmarkStart w:id="129" w:name="_Toc526374601"/>
      <w:bookmarkStart w:id="130" w:name="_Toc526374617"/>
      <w:bookmarkStart w:id="131" w:name="_Toc526406480"/>
      <w:bookmarkStart w:id="132" w:name="_Toc526409500"/>
      <w:bookmarkStart w:id="133" w:name="_Toc526491399"/>
      <w:bookmarkStart w:id="134" w:name="_Toc526505511"/>
      <w:bookmarkStart w:id="135" w:name="_Toc526756603"/>
      <w:r>
        <w:rPr>
          <w:rFonts w:cs="Times New Roman"/>
          <w:sz w:val="24"/>
          <w:szCs w:val="24"/>
        </w:rPr>
        <w:t>2</w:t>
      </w:r>
      <w:r w:rsidR="006108C2" w:rsidRPr="007244D5">
        <w:rPr>
          <w:rFonts w:cs="Times New Roman"/>
          <w:sz w:val="24"/>
          <w:szCs w:val="24"/>
        </w:rPr>
        <w:t xml:space="preserve">.1. </w:t>
      </w:r>
      <w:bookmarkEnd w:id="128"/>
      <w:bookmarkEnd w:id="129"/>
      <w:bookmarkEnd w:id="130"/>
      <w:bookmarkEnd w:id="131"/>
      <w:bookmarkEnd w:id="132"/>
      <w:bookmarkEnd w:id="133"/>
      <w:bookmarkEnd w:id="134"/>
      <w:bookmarkEnd w:id="135"/>
      <w:r w:rsidRPr="00905813">
        <w:rPr>
          <w:rFonts w:cs="Times New Roman"/>
          <w:sz w:val="24"/>
          <w:szCs w:val="24"/>
        </w:rPr>
        <w:t>Hjemmel til at videreføre særlig støjregulering</w:t>
      </w:r>
    </w:p>
    <w:p w14:paraId="29ACC004" w14:textId="5D4F353D" w:rsidR="006108C2" w:rsidRDefault="00905813" w:rsidP="006108C2">
      <w:pPr>
        <w:pStyle w:val="Undertitel"/>
        <w:spacing w:after="0"/>
        <w:rPr>
          <w:sz w:val="24"/>
        </w:rPr>
      </w:pPr>
      <w:bookmarkStart w:id="136" w:name="_Toc526409501"/>
      <w:bookmarkStart w:id="137" w:name="_Toc526491400"/>
      <w:bookmarkStart w:id="138" w:name="_Toc526505512"/>
      <w:bookmarkStart w:id="139" w:name="_Toc526756604"/>
      <w:r>
        <w:rPr>
          <w:sz w:val="24"/>
        </w:rPr>
        <w:t>2</w:t>
      </w:r>
      <w:r w:rsidR="006108C2" w:rsidRPr="007244D5">
        <w:rPr>
          <w:sz w:val="24"/>
        </w:rPr>
        <w:t>.1.1. Gældende ret</w:t>
      </w:r>
      <w:bookmarkEnd w:id="136"/>
      <w:bookmarkEnd w:id="137"/>
      <w:bookmarkEnd w:id="138"/>
      <w:bookmarkEnd w:id="139"/>
    </w:p>
    <w:p w14:paraId="2145000D" w14:textId="16A4FB56" w:rsidR="006B35D0" w:rsidRDefault="00822FE2" w:rsidP="00905813">
      <w:pPr>
        <w:rPr>
          <w:i/>
          <w:sz w:val="24"/>
          <w:szCs w:val="24"/>
        </w:rPr>
      </w:pPr>
      <w:r w:rsidRPr="006B35D0">
        <w:rPr>
          <w:i/>
          <w:sz w:val="24"/>
          <w:szCs w:val="24"/>
        </w:rPr>
        <w:t>2.1.1.1. Lov om rammerne for arealanvendelsen i Københavns Lufthavn, Kastrup</w:t>
      </w:r>
    </w:p>
    <w:p w14:paraId="2107ADDD" w14:textId="7738AC5A" w:rsidR="006B35D0" w:rsidRPr="006B35D0" w:rsidRDefault="006B35D0" w:rsidP="006B35D0">
      <w:pPr>
        <w:spacing w:after="240"/>
        <w:rPr>
          <w:rFonts w:eastAsia="Calibri" w:cs="Times New Roman"/>
          <w:sz w:val="24"/>
          <w:szCs w:val="24"/>
        </w:rPr>
      </w:pPr>
      <w:r w:rsidRPr="006B35D0">
        <w:rPr>
          <w:rFonts w:eastAsia="Calibri" w:cs="Times New Roman"/>
          <w:sz w:val="24"/>
          <w:szCs w:val="24"/>
        </w:rPr>
        <w:t>Arealanvendelsesloven udgør den overordnede ramme for, hvordan lufthavnens areal kan anvendes. Loven erstattede den tidligere lov om udbygning af Københavns Lufthavn, Kastrup, jf. lovbekendtgørelse nr. 252 af 9. april 1992 (herefter udbygningsloven). Arealanvendelsesloven har til formål at sikre en mere optimal udnyttelse af de eksisterende arealer i Københavns Lufthavn, Kastrup, med henblik på at understøtte lufthavnens udvikling i dens nuværende og fremtidige position som trafikknudepunkt for flytrafik i Nordeuropa.</w:t>
      </w:r>
    </w:p>
    <w:p w14:paraId="3EA5C6C9" w14:textId="1EFC12A9" w:rsidR="006B35D0" w:rsidRPr="006B35D0" w:rsidRDefault="006B35D0" w:rsidP="006B35D0">
      <w:pPr>
        <w:spacing w:after="240"/>
        <w:rPr>
          <w:rFonts w:eastAsia="Calibri" w:cs="Times New Roman"/>
          <w:sz w:val="24"/>
          <w:szCs w:val="24"/>
        </w:rPr>
      </w:pPr>
      <w:r w:rsidRPr="006B35D0">
        <w:rPr>
          <w:rFonts w:eastAsia="Calibri" w:cs="Times New Roman"/>
          <w:sz w:val="24"/>
          <w:szCs w:val="24"/>
        </w:rPr>
        <w:t>§ 5 i arealanvendelsesloven bemyndiger transportministeren efter forhandling med ministeren for</w:t>
      </w:r>
      <w:r w:rsidR="00D5334F">
        <w:rPr>
          <w:rFonts w:eastAsia="Calibri" w:cs="Times New Roman"/>
          <w:sz w:val="24"/>
          <w:szCs w:val="24"/>
        </w:rPr>
        <w:t xml:space="preserve"> byer</w:t>
      </w:r>
      <w:r w:rsidR="00BE2028">
        <w:rPr>
          <w:rFonts w:eastAsia="Calibri" w:cs="Times New Roman"/>
          <w:sz w:val="24"/>
          <w:szCs w:val="24"/>
        </w:rPr>
        <w:t xml:space="preserve"> og</w:t>
      </w:r>
      <w:r w:rsidRPr="006B35D0">
        <w:rPr>
          <w:rFonts w:eastAsia="Calibri" w:cs="Times New Roman"/>
          <w:sz w:val="24"/>
          <w:szCs w:val="24"/>
        </w:rPr>
        <w:t xml:space="preserve"> landdistrikter og miljøministeren til, at fastsætte nærmere regler for varetagelse af plan- og miljøhensyn i forbindelse med drift og udvikling af Københavns Lufthavn, Kastrup.</w:t>
      </w:r>
    </w:p>
    <w:p w14:paraId="78C7DC24" w14:textId="0769355C" w:rsidR="006B35D0" w:rsidRPr="006B35D0" w:rsidRDefault="006B35D0" w:rsidP="006B35D0">
      <w:pPr>
        <w:spacing w:after="240"/>
        <w:rPr>
          <w:rFonts w:eastAsia="Calibri" w:cs="Times New Roman"/>
          <w:sz w:val="24"/>
          <w:szCs w:val="24"/>
        </w:rPr>
      </w:pPr>
      <w:r w:rsidRPr="006B35D0">
        <w:rPr>
          <w:rFonts w:eastAsia="Calibri" w:cs="Times New Roman"/>
          <w:sz w:val="24"/>
          <w:szCs w:val="24"/>
        </w:rPr>
        <w:t xml:space="preserve">§ 5 er en videreførelse af § 4 i udbygningsloven, dog således, at fastsættelsen af de nærmere regler foruden miljøministeren også vil skulle ske efter forhandling med ministeren for </w:t>
      </w:r>
      <w:r w:rsidR="00D5334F">
        <w:rPr>
          <w:rFonts w:eastAsia="Calibri" w:cs="Times New Roman"/>
          <w:sz w:val="24"/>
          <w:szCs w:val="24"/>
        </w:rPr>
        <w:t xml:space="preserve">byer og </w:t>
      </w:r>
      <w:r w:rsidRPr="006B35D0">
        <w:rPr>
          <w:rFonts w:eastAsia="Calibri" w:cs="Times New Roman"/>
          <w:sz w:val="24"/>
          <w:szCs w:val="24"/>
        </w:rPr>
        <w:t>landdistrikter.</w:t>
      </w:r>
    </w:p>
    <w:p w14:paraId="26554A17" w14:textId="385954C3" w:rsidR="006B35D0" w:rsidRDefault="006B35D0" w:rsidP="006B35D0">
      <w:pPr>
        <w:spacing w:after="240"/>
        <w:rPr>
          <w:rFonts w:eastAsia="Calibri" w:cs="Times New Roman"/>
          <w:sz w:val="24"/>
          <w:szCs w:val="24"/>
        </w:rPr>
      </w:pPr>
      <w:r w:rsidRPr="006B35D0">
        <w:rPr>
          <w:rFonts w:eastAsia="Calibri" w:cs="Times New Roman"/>
          <w:sz w:val="24"/>
          <w:szCs w:val="24"/>
        </w:rPr>
        <w:t>Det fremgår af bemærkningerne til § 5 i arealanvendelsesloven, jf. Folketingstidende 2023-24, tillæg A, L 19 som fremsat, side 27, at de overordnede støj- og luftforhold for lufthavnen reguleres i den relevante plan- og miljølovgivning. Den eksisterende bestemmelse kan derfor ikke udgøre hjemmel til at fastsætte regulering af de overordnede støjforhold, som for nuværende findes i støjcirkulæret.</w:t>
      </w:r>
    </w:p>
    <w:p w14:paraId="62EA48D2" w14:textId="689D0835" w:rsidR="005719D4" w:rsidRDefault="006B35D0" w:rsidP="006B35D0">
      <w:pPr>
        <w:rPr>
          <w:rFonts w:eastAsia="Calibri" w:cs="Times New Roman"/>
          <w:i/>
          <w:sz w:val="24"/>
          <w:szCs w:val="24"/>
        </w:rPr>
      </w:pPr>
      <w:r>
        <w:rPr>
          <w:rFonts w:eastAsia="Calibri" w:cs="Times New Roman"/>
          <w:i/>
          <w:sz w:val="24"/>
          <w:szCs w:val="24"/>
        </w:rPr>
        <w:t>2.1.1.2. C</w:t>
      </w:r>
      <w:r w:rsidRPr="006B35D0">
        <w:rPr>
          <w:rFonts w:eastAsia="Calibri" w:cs="Times New Roman"/>
          <w:i/>
          <w:sz w:val="24"/>
          <w:szCs w:val="24"/>
        </w:rPr>
        <w:t>irkulære om udbygning af Københavns Lufthavn, Kastrup, samt bygge- og anvendelsesregulerende bestemmelser for områder, der er belastet af støj fra trafikken på lufthavnen</w:t>
      </w:r>
    </w:p>
    <w:p w14:paraId="3099D6D9" w14:textId="77777777" w:rsidR="006B35D0" w:rsidRPr="006B35D0" w:rsidRDefault="006B35D0" w:rsidP="006B35D0">
      <w:pPr>
        <w:spacing w:after="240"/>
        <w:rPr>
          <w:rFonts w:eastAsia="Calibri" w:cs="Times New Roman"/>
          <w:sz w:val="24"/>
          <w:szCs w:val="24"/>
        </w:rPr>
      </w:pPr>
      <w:r w:rsidRPr="006B35D0">
        <w:rPr>
          <w:rFonts w:eastAsia="Calibri" w:cs="Times New Roman"/>
          <w:sz w:val="24"/>
          <w:szCs w:val="24"/>
        </w:rPr>
        <w:t>Støjcirkulæret er udstedt den 30. april 1997 med hjemmel i planlovens § 3, stk. 1 og har til formål at medvirke til, at udbygningen af Københavns Lufthavn kan fortsættes i overensstemmelse med den udbygning, som var forudsat i udbygningsloven. Cirkulæret har endvidere til formål at fastlægge rammerne for lufthavnens miljømæssige påvirkning af omgivelserne, således at der bl.a. sker en reduktion af støjniveauet.</w:t>
      </w:r>
    </w:p>
    <w:p w14:paraId="18D41089" w14:textId="77777777" w:rsidR="006B35D0" w:rsidRPr="006B35D0" w:rsidRDefault="006B35D0" w:rsidP="006B35D0">
      <w:pPr>
        <w:spacing w:after="240"/>
        <w:rPr>
          <w:rFonts w:eastAsia="Calibri" w:cs="Times New Roman"/>
          <w:sz w:val="24"/>
          <w:szCs w:val="24"/>
        </w:rPr>
      </w:pPr>
      <w:r w:rsidRPr="006B35D0">
        <w:rPr>
          <w:rFonts w:eastAsia="Calibri" w:cs="Times New Roman"/>
          <w:sz w:val="24"/>
          <w:szCs w:val="24"/>
        </w:rPr>
        <w:t xml:space="preserve">Støjcirkulæret indeholder en række planrelaterede bestemmelser, herunder anvendelsesbestemmelser for lufthavnens område, der knytter sig til den gamle udbygningslov, som nu er erstattet af arealanvendelsesloven. Det er </w:t>
      </w:r>
      <w:r w:rsidRPr="006B35D0">
        <w:rPr>
          <w:rFonts w:eastAsia="Calibri" w:cs="Times New Roman"/>
          <w:sz w:val="24"/>
          <w:szCs w:val="24"/>
        </w:rPr>
        <w:lastRenderedPageBreak/>
        <w:t xml:space="preserve">nødvendigt at ophæve de eksisterende anvendelsesbestemmelser for lufthavnens område </w:t>
      </w:r>
      <w:bookmarkStart w:id="140" w:name="_Hlk201156164"/>
      <w:r w:rsidRPr="006B35D0">
        <w:rPr>
          <w:rFonts w:eastAsia="Calibri" w:cs="Times New Roman"/>
          <w:sz w:val="24"/>
          <w:szCs w:val="24"/>
        </w:rPr>
        <w:t>for at muliggøre de nye anvendelser, som er fastlagt i arealanvendelsesloven.</w:t>
      </w:r>
    </w:p>
    <w:bookmarkEnd w:id="140"/>
    <w:p w14:paraId="1A8B191C" w14:textId="59A876C3" w:rsidR="006B35D0" w:rsidRPr="006B35D0" w:rsidRDefault="006B35D0" w:rsidP="006B35D0">
      <w:pPr>
        <w:spacing w:after="240"/>
        <w:rPr>
          <w:rFonts w:eastAsia="Calibri" w:cs="Times New Roman"/>
          <w:sz w:val="24"/>
          <w:szCs w:val="24"/>
        </w:rPr>
      </w:pPr>
      <w:r w:rsidRPr="006B35D0">
        <w:rPr>
          <w:rFonts w:eastAsia="Calibri" w:cs="Times New Roman"/>
          <w:sz w:val="24"/>
          <w:szCs w:val="24"/>
        </w:rPr>
        <w:t>Støjcirkulæret indeholder derudover bestemmelser om grænser for den overordnede støjbelastning fra fly ved</w:t>
      </w:r>
      <w:r w:rsidR="00605C75">
        <w:rPr>
          <w:rFonts w:eastAsia="Calibri" w:cs="Times New Roman"/>
          <w:sz w:val="24"/>
          <w:szCs w:val="24"/>
        </w:rPr>
        <w:t xml:space="preserve"> boligområder</w:t>
      </w:r>
      <w:r w:rsidRPr="006B35D0">
        <w:rPr>
          <w:rFonts w:eastAsia="Calibri" w:cs="Times New Roman"/>
          <w:sz w:val="24"/>
          <w:szCs w:val="24"/>
        </w:rPr>
        <w:t xml:space="preserve"> omkring lufthavnens område. Disse bestemmelser findes i støjcirkulærets §§ 8-10. § 9 indeholder grænser for støjbelastningen fra starter, landinger og taxikørsel med fly, som gælder i dag. § 9 henviser til cirkulærets bilag 3, der indeholder et kort over lufthavnen og omegn, hvori der er indtegnet de støjkurver, som lufthavnens støj i dag skal holde sig indenfor.</w:t>
      </w:r>
    </w:p>
    <w:p w14:paraId="654F09A2" w14:textId="789CB465" w:rsidR="006B35D0" w:rsidRDefault="006B35D0" w:rsidP="006B35D0">
      <w:pPr>
        <w:spacing w:after="240"/>
        <w:rPr>
          <w:rFonts w:eastAsia="Calibri" w:cs="Times New Roman"/>
          <w:sz w:val="24"/>
          <w:szCs w:val="24"/>
        </w:rPr>
      </w:pPr>
      <w:r w:rsidRPr="006B35D0">
        <w:rPr>
          <w:rFonts w:eastAsia="Calibri" w:cs="Times New Roman"/>
          <w:sz w:val="24"/>
          <w:szCs w:val="24"/>
        </w:rPr>
        <w:t xml:space="preserve">Som planlovens § 3, stk. 1 i dag fortolkes og anvendes, kan ministeren for byer og landdistrikter ikke med hjemmel i § 3 stk. 1 udstede nye regler om støjbelastningen fra flystøj ved og omkring lufthavne, som fremgår af støjcirkulærets §§ 8-10. Det skyldes, at støjcirkulærets §§ 8-10 regulerer støjudledningen fra en virksomhed i form af Københavns Lufthavn, Kastrup. Regulering af støj fra virksomheder er i dag særligt er reguleret i miljøbeskyttelseslovgivningen. Specialitetsbetragtninger medfører derfor, at lignende bestemmelser, som dem, der fremgår i støjcirkulærets §§ 8-10, ikke kan fastsættes med hjemmel i planlovens § 3, stk. 1. </w:t>
      </w:r>
    </w:p>
    <w:p w14:paraId="66C4341E" w14:textId="36707AFA" w:rsidR="009C3B43" w:rsidRPr="009C3B43" w:rsidRDefault="009C3B43" w:rsidP="009C3B43">
      <w:pPr>
        <w:rPr>
          <w:rFonts w:eastAsia="Calibri" w:cs="Times New Roman"/>
          <w:i/>
          <w:sz w:val="24"/>
          <w:szCs w:val="24"/>
        </w:rPr>
      </w:pPr>
      <w:r w:rsidRPr="009C3B43">
        <w:rPr>
          <w:rFonts w:eastAsia="Calibri" w:cs="Times New Roman"/>
          <w:i/>
          <w:sz w:val="24"/>
          <w:szCs w:val="24"/>
        </w:rPr>
        <w:t>2.1.1.3. Vejledning nr. 5/1994 Støj fra flyvepladser og vejledning nr. 67/2024 Tillæg til vejledning om støj fra flyvepladser</w:t>
      </w:r>
    </w:p>
    <w:p w14:paraId="5D81D7F7" w14:textId="5CC60DC8" w:rsidR="009C3B43" w:rsidRDefault="009C3B43" w:rsidP="009C3B43">
      <w:pPr>
        <w:spacing w:after="240"/>
        <w:rPr>
          <w:rFonts w:eastAsia="Calibri" w:cs="Times New Roman"/>
          <w:sz w:val="24"/>
          <w:szCs w:val="24"/>
        </w:rPr>
      </w:pPr>
      <w:r w:rsidRPr="009C3B43">
        <w:rPr>
          <w:rFonts w:eastAsia="Calibri" w:cs="Times New Roman"/>
          <w:sz w:val="24"/>
          <w:szCs w:val="24"/>
        </w:rPr>
        <w:t>Miljøgodkendelsen for Københavns Lufthavn, Kastrup, henviser til støjcirkulæret og til støjkurverne i kortene, som fremgår af bilag til støjcirkulæret. Miljøstyrelsens vejledende støjgrænser for lufthavne er fastsat i vejledning nr. 5/1994 Støj fra flyvepladser og vejledning nr. 67/2024 Tillæg til vejledning nr. 5/1994 Støj fra flyvepladser. Disse vejledende støjgrænser, som er lavere end de grænser, der fremgår af støjcirkulæret, danner udgangspunktet for regulering af støjbelastningen fra andre lufthavne i Danmark end Københavns Lufthavn, Kastrup.</w:t>
      </w:r>
    </w:p>
    <w:p w14:paraId="6DB4C4F3" w14:textId="08E7FFB3" w:rsidR="005719D4" w:rsidRDefault="005719D4" w:rsidP="005719D4">
      <w:pPr>
        <w:pStyle w:val="Undertitel"/>
        <w:rPr>
          <w:sz w:val="24"/>
        </w:rPr>
      </w:pPr>
      <w:r w:rsidRPr="005719D4">
        <w:rPr>
          <w:sz w:val="24"/>
        </w:rPr>
        <w:t>2.1.2 Transportministeriets overvejelser og den foreslåede ordning</w:t>
      </w:r>
    </w:p>
    <w:p w14:paraId="0C7C3AE1" w14:textId="77777777" w:rsidR="005719D4" w:rsidRPr="005719D4" w:rsidRDefault="005719D4" w:rsidP="005719D4">
      <w:pPr>
        <w:rPr>
          <w:sz w:val="24"/>
          <w:szCs w:val="24"/>
        </w:rPr>
      </w:pPr>
      <w:r w:rsidRPr="005719D4">
        <w:rPr>
          <w:sz w:val="24"/>
          <w:szCs w:val="24"/>
        </w:rPr>
        <w:t xml:space="preserve">Der er efter Transportministeriets vurdering behov for at revidere støjcirkulæret for at muliggøre de nye arealanvendelsesmuligheder, som er fastlagt i arealanvendelsesloven. Ved vedtagelsen af arealanvendelsesloven var det forudsat, at støjreguleringen fortsat skulle ske i støjcirkulæret. Der er dog ikke mulighed for at videreføre bestemmelser om grænser for støjbelastningen fra flytrafikken med hjemmel i planlovens § 3, stk. 1. </w:t>
      </w:r>
    </w:p>
    <w:p w14:paraId="27B13E34" w14:textId="09835219" w:rsidR="005719D4" w:rsidRDefault="005719D4" w:rsidP="005719D4">
      <w:pPr>
        <w:rPr>
          <w:sz w:val="24"/>
          <w:szCs w:val="24"/>
        </w:rPr>
      </w:pPr>
      <w:r w:rsidRPr="005719D4">
        <w:rPr>
          <w:sz w:val="24"/>
          <w:szCs w:val="24"/>
        </w:rPr>
        <w:lastRenderedPageBreak/>
        <w:t xml:space="preserve">Såfremt de særlige bestemmelser om støjbelastning for Københavns Lufthavn, Kastrup, der i dag fremgår af støjcirkulæret, ikke videreføres, vil de vejledende støjgrænser for </w:t>
      </w:r>
      <w:r w:rsidR="002343AD">
        <w:rPr>
          <w:sz w:val="24"/>
          <w:szCs w:val="24"/>
        </w:rPr>
        <w:t xml:space="preserve">lufthavne </w:t>
      </w:r>
      <w:r w:rsidRPr="005719D4">
        <w:rPr>
          <w:sz w:val="24"/>
          <w:szCs w:val="24"/>
        </w:rPr>
        <w:t>i Miljøstyrelsen vejledninger danne udgangspunkt for regulering af lufthavnens støjbelastning i miljøgodkendelsen</w:t>
      </w:r>
      <w:r w:rsidR="00E45098">
        <w:rPr>
          <w:sz w:val="24"/>
          <w:szCs w:val="24"/>
        </w:rPr>
        <w:t xml:space="preserve"> og lufthavnens nuværende og fremtidige drift vil</w:t>
      </w:r>
      <w:r w:rsidR="002343AD">
        <w:rPr>
          <w:sz w:val="24"/>
          <w:szCs w:val="24"/>
        </w:rPr>
        <w:t>le</w:t>
      </w:r>
      <w:r w:rsidR="00E45098">
        <w:rPr>
          <w:sz w:val="24"/>
          <w:szCs w:val="24"/>
        </w:rPr>
        <w:t xml:space="preserve"> ikke kunne opretholdes</w:t>
      </w:r>
      <w:r w:rsidRPr="005719D4">
        <w:rPr>
          <w:sz w:val="24"/>
          <w:szCs w:val="24"/>
        </w:rPr>
        <w:t>.</w:t>
      </w:r>
    </w:p>
    <w:p w14:paraId="350D28CF" w14:textId="77777777" w:rsidR="005719D4" w:rsidRPr="005719D4" w:rsidRDefault="005719D4" w:rsidP="005719D4">
      <w:pPr>
        <w:rPr>
          <w:sz w:val="24"/>
          <w:szCs w:val="24"/>
        </w:rPr>
      </w:pPr>
    </w:p>
    <w:p w14:paraId="2A492BFB" w14:textId="0DF14015" w:rsidR="005719D4" w:rsidRDefault="005719D4" w:rsidP="005719D4">
      <w:pPr>
        <w:rPr>
          <w:sz w:val="24"/>
          <w:szCs w:val="24"/>
        </w:rPr>
      </w:pPr>
      <w:r w:rsidRPr="005719D4">
        <w:rPr>
          <w:sz w:val="24"/>
          <w:szCs w:val="24"/>
        </w:rPr>
        <w:t xml:space="preserve">De nugældende grænser for støjbelastningen i støjcirkulæret giver lufthavnen mulighed for at udlede mere støj ved nærmeste boligområder, end det ville have været tilfældet, hvis de vejledende støjgrænser </w:t>
      </w:r>
      <w:r w:rsidR="002343AD">
        <w:rPr>
          <w:sz w:val="24"/>
          <w:szCs w:val="24"/>
        </w:rPr>
        <w:t>var gældende</w:t>
      </w:r>
      <w:r w:rsidRPr="005719D4">
        <w:rPr>
          <w:sz w:val="24"/>
          <w:szCs w:val="24"/>
        </w:rPr>
        <w:t>. Det skyldes en samfundsbegrundet afvejning mellem hensynet til støjgener for boligområder nær lufthavn og hensynet til, at Københavns Lufthavn, Kastrup er infrastruktur med stor betydning for Danmarks forbindelser til omverdenen.</w:t>
      </w:r>
    </w:p>
    <w:p w14:paraId="6522F76C" w14:textId="77777777" w:rsidR="00FD5B8D" w:rsidRPr="005719D4" w:rsidRDefault="00FD5B8D" w:rsidP="005719D4">
      <w:pPr>
        <w:rPr>
          <w:sz w:val="24"/>
          <w:szCs w:val="24"/>
        </w:rPr>
      </w:pPr>
    </w:p>
    <w:p w14:paraId="54290157" w14:textId="7EE4A592" w:rsidR="005719D4" w:rsidRPr="002343AD" w:rsidRDefault="006D3CAF" w:rsidP="005719D4">
      <w:pPr>
        <w:rPr>
          <w:rFonts w:cs="Times New Roman"/>
          <w:sz w:val="24"/>
          <w:szCs w:val="24"/>
        </w:rPr>
      </w:pPr>
      <w:r>
        <w:rPr>
          <w:rFonts w:cs="Times New Roman"/>
          <w:sz w:val="24"/>
          <w:szCs w:val="24"/>
        </w:rPr>
        <w:t xml:space="preserve">Muligheden for at udlede mere støj ved nærmeste boligområder, end det ville have været tilfældet, hvis de vejledende støjgrænser </w:t>
      </w:r>
      <w:r w:rsidR="001F134A">
        <w:rPr>
          <w:rFonts w:cs="Times New Roman"/>
          <w:sz w:val="24"/>
          <w:szCs w:val="24"/>
        </w:rPr>
        <w:t>var gældende</w:t>
      </w:r>
      <w:r>
        <w:rPr>
          <w:rFonts w:cs="Times New Roman"/>
          <w:sz w:val="24"/>
          <w:szCs w:val="24"/>
        </w:rPr>
        <w:t xml:space="preserve">, </w:t>
      </w:r>
      <w:r w:rsidR="005719D4" w:rsidRPr="005719D4">
        <w:rPr>
          <w:sz w:val="24"/>
          <w:szCs w:val="24"/>
        </w:rPr>
        <w:t>er en forudsætning for, at nuværende antal flyoperationer i Københavns Lufthavn, Kastrup kan opretholdes. Det vurderes således at kræve en væsentlig begrænsning af antallet af flyoperationer i lufthavnen, hvis de vejledende støjgrænser i stedet skal gælde fremover. Denne begrænsning vil betyde en væsentlig nedgang i Danmarks flyforbindelser til omverdenen, og derigennem en reduktion i de arbejdspladser som i dag er knyttet til lufthavnen. En begrænsning i antallet af flyforbindelser fra Københavns Lufthavn, Kastrup vil også have afledte effekter på erhverv, som ikke direkte er knyttet op på luftfartaktiviteter. For eksempel virksomheder der er afhængige af turisme eller eksport af varer og tjenester til udlandet.</w:t>
      </w:r>
      <w:r w:rsidR="002343AD" w:rsidRPr="002343AD">
        <w:rPr>
          <w:rFonts w:cs="Times New Roman"/>
          <w:sz w:val="24"/>
          <w:szCs w:val="24"/>
        </w:rPr>
        <w:t xml:space="preserve"> </w:t>
      </w:r>
      <w:r w:rsidR="002343AD">
        <w:rPr>
          <w:rFonts w:cs="Times New Roman"/>
          <w:sz w:val="24"/>
          <w:szCs w:val="24"/>
        </w:rPr>
        <w:t xml:space="preserve">De nugældende grænser for støjbelastning betyder samtidigt, at boligområder nær lufthavnen </w:t>
      </w:r>
      <w:r w:rsidR="001806F0">
        <w:rPr>
          <w:rFonts w:cs="Times New Roman"/>
          <w:sz w:val="24"/>
          <w:szCs w:val="24"/>
        </w:rPr>
        <w:t>er udsat for</w:t>
      </w:r>
      <w:r w:rsidR="002343AD">
        <w:rPr>
          <w:rFonts w:cs="Times New Roman"/>
          <w:sz w:val="24"/>
          <w:szCs w:val="24"/>
        </w:rPr>
        <w:t xml:space="preserve"> mere støj end </w:t>
      </w:r>
      <w:r w:rsidR="001806F0">
        <w:rPr>
          <w:rFonts w:cs="Times New Roman"/>
          <w:sz w:val="24"/>
          <w:szCs w:val="24"/>
        </w:rPr>
        <w:t>boligområder ved</w:t>
      </w:r>
      <w:r w:rsidR="002343AD">
        <w:rPr>
          <w:rFonts w:cs="Times New Roman"/>
          <w:sz w:val="24"/>
          <w:szCs w:val="24"/>
        </w:rPr>
        <w:t xml:space="preserve"> andre lufthavne i Danmark. </w:t>
      </w:r>
    </w:p>
    <w:p w14:paraId="2F824402" w14:textId="77777777" w:rsidR="005719D4" w:rsidRPr="005719D4" w:rsidRDefault="005719D4" w:rsidP="005719D4">
      <w:pPr>
        <w:rPr>
          <w:sz w:val="24"/>
          <w:szCs w:val="24"/>
        </w:rPr>
      </w:pPr>
    </w:p>
    <w:p w14:paraId="4425598C" w14:textId="33B774FC" w:rsidR="005719D4" w:rsidRDefault="005719D4" w:rsidP="005719D4">
      <w:pPr>
        <w:rPr>
          <w:sz w:val="24"/>
          <w:szCs w:val="24"/>
        </w:rPr>
      </w:pPr>
      <w:r w:rsidRPr="005719D4">
        <w:rPr>
          <w:sz w:val="24"/>
          <w:szCs w:val="24"/>
        </w:rPr>
        <w:t xml:space="preserve">Det foreslås på den baggrund at etablere hjemmel til administrativt at videreføre de støjregulerende bestemmelser, der i dag fremgår af støjcirkulæret. </w:t>
      </w:r>
    </w:p>
    <w:p w14:paraId="200FC8CE" w14:textId="77777777" w:rsidR="005719D4" w:rsidRPr="005719D4" w:rsidRDefault="005719D4" w:rsidP="005719D4">
      <w:pPr>
        <w:rPr>
          <w:sz w:val="24"/>
          <w:szCs w:val="24"/>
        </w:rPr>
      </w:pPr>
    </w:p>
    <w:p w14:paraId="1CBD5866" w14:textId="16466111" w:rsidR="006108C2" w:rsidRPr="007244D5" w:rsidRDefault="005719D4" w:rsidP="006108C2">
      <w:pPr>
        <w:pStyle w:val="Overskrift1"/>
        <w:rPr>
          <w:rFonts w:ascii="Times New Roman" w:hAnsi="Times New Roman" w:cs="Times New Roman"/>
          <w:bCs w:val="0"/>
          <w:iCs/>
          <w:sz w:val="24"/>
          <w:szCs w:val="24"/>
        </w:rPr>
      </w:pPr>
      <w:bookmarkStart w:id="141" w:name="_Toc505180549"/>
      <w:bookmarkStart w:id="142" w:name="_Toc505690202"/>
      <w:bookmarkStart w:id="143" w:name="_Toc505701755"/>
      <w:bookmarkStart w:id="144" w:name="_Toc505759547"/>
      <w:bookmarkStart w:id="145" w:name="_Toc505759564"/>
      <w:bookmarkStart w:id="146" w:name="_Toc505762657"/>
      <w:bookmarkStart w:id="147" w:name="_Toc505785997"/>
      <w:bookmarkStart w:id="148" w:name="_Toc506799582"/>
      <w:bookmarkStart w:id="149" w:name="_Toc506799599"/>
      <w:bookmarkStart w:id="150" w:name="_Toc506894558"/>
      <w:bookmarkStart w:id="151" w:name="_Toc507486295"/>
      <w:bookmarkStart w:id="152" w:name="_Toc515271230"/>
      <w:bookmarkStart w:id="153" w:name="_Toc515271553"/>
      <w:bookmarkStart w:id="154" w:name="_Toc515271581"/>
      <w:bookmarkStart w:id="155" w:name="_Toc515280489"/>
      <w:bookmarkStart w:id="156" w:name="_Toc515280640"/>
      <w:bookmarkStart w:id="157" w:name="_Toc515352792"/>
      <w:bookmarkStart w:id="158" w:name="_Toc515540865"/>
      <w:bookmarkStart w:id="159" w:name="_Toc515543705"/>
      <w:bookmarkStart w:id="160" w:name="_Toc515543890"/>
      <w:bookmarkStart w:id="161" w:name="_Toc515551691"/>
      <w:bookmarkStart w:id="162" w:name="_Toc515627633"/>
      <w:bookmarkStart w:id="163" w:name="_Toc516039943"/>
      <w:bookmarkStart w:id="164" w:name="_Toc516155366"/>
      <w:bookmarkStart w:id="165" w:name="_Toc516490267"/>
      <w:bookmarkStart w:id="166" w:name="_Toc518037949"/>
      <w:bookmarkStart w:id="167" w:name="_Toc524599601"/>
      <w:bookmarkStart w:id="168" w:name="_Toc526154934"/>
      <w:bookmarkStart w:id="169" w:name="_Toc526155480"/>
      <w:bookmarkStart w:id="170" w:name="_Toc526155553"/>
      <w:bookmarkStart w:id="171" w:name="_Toc526253990"/>
      <w:bookmarkStart w:id="172" w:name="_Toc526348415"/>
      <w:bookmarkStart w:id="173" w:name="_Toc526374606"/>
      <w:bookmarkStart w:id="174" w:name="_Toc526374622"/>
      <w:bookmarkStart w:id="175" w:name="_Toc526406485"/>
      <w:bookmarkStart w:id="176" w:name="_Toc526409511"/>
      <w:bookmarkStart w:id="177" w:name="_Toc526491410"/>
      <w:bookmarkStart w:id="178" w:name="_Toc526505522"/>
      <w:bookmarkStart w:id="179" w:name="_Toc526756614"/>
      <w:r>
        <w:rPr>
          <w:rFonts w:ascii="Times New Roman" w:hAnsi="Times New Roman" w:cs="Times New Roman"/>
          <w:bCs w:val="0"/>
          <w:iCs/>
          <w:sz w:val="24"/>
          <w:szCs w:val="24"/>
        </w:rPr>
        <w:t>3</w:t>
      </w:r>
      <w:r w:rsidR="006108C2" w:rsidRPr="007244D5">
        <w:rPr>
          <w:rFonts w:ascii="Times New Roman" w:hAnsi="Times New Roman" w:cs="Times New Roman"/>
          <w:bCs w:val="0"/>
          <w:iCs/>
          <w:sz w:val="24"/>
          <w:szCs w:val="24"/>
        </w:rPr>
        <w:t>. Økonomiske konsekvenser og implementeringskonsekvenser for det offentlige</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55DA954B" w14:textId="78DC15BD" w:rsidR="00434FBA" w:rsidRPr="007244D5" w:rsidRDefault="005719D4" w:rsidP="006108C2">
      <w:pPr>
        <w:spacing w:after="240"/>
        <w:rPr>
          <w:rFonts w:cs="Times New Roman"/>
          <w:sz w:val="24"/>
          <w:szCs w:val="24"/>
        </w:rPr>
      </w:pPr>
      <w:r w:rsidRPr="005719D4">
        <w:rPr>
          <w:rFonts w:cs="Times New Roman"/>
          <w:sz w:val="24"/>
          <w:szCs w:val="24"/>
        </w:rPr>
        <w:t xml:space="preserve">Lovforslaget vil ikke have økonomiske konsekvenser for det offentlige. </w:t>
      </w:r>
    </w:p>
    <w:p w14:paraId="1D953FBF" w14:textId="372CB180" w:rsidR="006108C2" w:rsidRPr="007244D5" w:rsidRDefault="005719D4" w:rsidP="006108C2">
      <w:pPr>
        <w:pStyle w:val="Overskrift1"/>
        <w:rPr>
          <w:rFonts w:ascii="Times New Roman" w:hAnsi="Times New Roman" w:cs="Times New Roman"/>
          <w:bCs w:val="0"/>
          <w:iCs/>
          <w:sz w:val="24"/>
          <w:szCs w:val="24"/>
        </w:rPr>
      </w:pPr>
      <w:bookmarkStart w:id="180" w:name="_Toc515271231"/>
      <w:bookmarkStart w:id="181" w:name="_Toc515271554"/>
      <w:bookmarkStart w:id="182" w:name="_Toc515271582"/>
      <w:bookmarkStart w:id="183" w:name="_Toc515280490"/>
      <w:bookmarkStart w:id="184" w:name="_Toc515280641"/>
      <w:bookmarkStart w:id="185" w:name="_Toc515352793"/>
      <w:bookmarkStart w:id="186" w:name="_Toc515540866"/>
      <w:bookmarkStart w:id="187" w:name="_Toc515543706"/>
      <w:bookmarkStart w:id="188" w:name="_Toc515543891"/>
      <w:bookmarkStart w:id="189" w:name="_Toc515551692"/>
      <w:bookmarkStart w:id="190" w:name="_Toc515627634"/>
      <w:bookmarkStart w:id="191" w:name="_Toc516039944"/>
      <w:bookmarkStart w:id="192" w:name="_Toc516155367"/>
      <w:bookmarkStart w:id="193" w:name="_Toc516490268"/>
      <w:bookmarkStart w:id="194" w:name="_Toc518037950"/>
      <w:bookmarkStart w:id="195" w:name="_Toc524599602"/>
      <w:bookmarkStart w:id="196" w:name="_Toc526154935"/>
      <w:bookmarkStart w:id="197" w:name="_Toc526155481"/>
      <w:bookmarkStart w:id="198" w:name="_Toc526155554"/>
      <w:bookmarkStart w:id="199" w:name="_Toc526253991"/>
      <w:bookmarkStart w:id="200" w:name="_Toc526348416"/>
      <w:bookmarkStart w:id="201" w:name="_Toc526374607"/>
      <w:bookmarkStart w:id="202" w:name="_Toc526374623"/>
      <w:bookmarkStart w:id="203" w:name="_Toc526406486"/>
      <w:bookmarkStart w:id="204" w:name="_Toc526409512"/>
      <w:bookmarkStart w:id="205" w:name="_Toc526491411"/>
      <w:bookmarkStart w:id="206" w:name="_Toc526505523"/>
      <w:bookmarkStart w:id="207" w:name="_Toc526756615"/>
      <w:r>
        <w:rPr>
          <w:rFonts w:ascii="Times New Roman" w:hAnsi="Times New Roman" w:cs="Times New Roman"/>
          <w:bCs w:val="0"/>
          <w:iCs/>
          <w:sz w:val="24"/>
          <w:szCs w:val="24"/>
        </w:rPr>
        <w:t>4</w:t>
      </w:r>
      <w:r w:rsidR="006108C2" w:rsidRPr="007244D5">
        <w:rPr>
          <w:rFonts w:ascii="Times New Roman" w:hAnsi="Times New Roman" w:cs="Times New Roman"/>
          <w:bCs w:val="0"/>
          <w:iCs/>
          <w:sz w:val="24"/>
          <w:szCs w:val="24"/>
        </w:rPr>
        <w:t>. Økonomiske og administrative konsekvenser for erhvervslivet m.v.</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1BB3CFC" w14:textId="1D8218D4" w:rsidR="006108C2" w:rsidRPr="007244D5" w:rsidRDefault="005719D4" w:rsidP="006108C2">
      <w:pPr>
        <w:spacing w:after="240"/>
        <w:rPr>
          <w:rFonts w:eastAsia="Calibri" w:cs="Times New Roman"/>
          <w:sz w:val="24"/>
          <w:szCs w:val="24"/>
        </w:rPr>
      </w:pPr>
      <w:r w:rsidRPr="005719D4">
        <w:rPr>
          <w:rFonts w:eastAsia="Calibri" w:cs="Times New Roman"/>
          <w:sz w:val="24"/>
          <w:szCs w:val="24"/>
        </w:rPr>
        <w:t xml:space="preserve">Lovforslaget vil ikke have økonomiske og administrative konsekvenser for erhvervslivet. </w:t>
      </w:r>
    </w:p>
    <w:p w14:paraId="071F44AD" w14:textId="1A900420" w:rsidR="006108C2" w:rsidRPr="007244D5" w:rsidRDefault="005719D4" w:rsidP="006108C2">
      <w:pPr>
        <w:pStyle w:val="Overskrift1"/>
        <w:rPr>
          <w:rFonts w:ascii="Times New Roman" w:hAnsi="Times New Roman" w:cs="Times New Roman"/>
          <w:bCs w:val="0"/>
          <w:iCs/>
          <w:sz w:val="24"/>
          <w:szCs w:val="24"/>
        </w:rPr>
      </w:pPr>
      <w:bookmarkStart w:id="208" w:name="_Toc329931204"/>
      <w:bookmarkStart w:id="209" w:name="_Toc329931315"/>
      <w:bookmarkStart w:id="210" w:name="_Toc442277390"/>
      <w:bookmarkStart w:id="211" w:name="_Toc442281308"/>
      <w:bookmarkStart w:id="212" w:name="_Toc442281338"/>
      <w:bookmarkStart w:id="213" w:name="_Toc442777848"/>
      <w:bookmarkStart w:id="214" w:name="_Toc442787245"/>
      <w:bookmarkStart w:id="215" w:name="_Toc442787537"/>
      <w:bookmarkStart w:id="216" w:name="_Toc442953243"/>
      <w:bookmarkStart w:id="217" w:name="_Toc443047627"/>
      <w:bookmarkStart w:id="218" w:name="_Toc444095987"/>
      <w:bookmarkStart w:id="219" w:name="_Toc444244513"/>
      <w:bookmarkStart w:id="220" w:name="_Toc498557228"/>
      <w:bookmarkStart w:id="221" w:name="_Toc498557298"/>
      <w:bookmarkStart w:id="222" w:name="_Toc498590032"/>
      <w:bookmarkStart w:id="223" w:name="_Toc498681515"/>
      <w:bookmarkStart w:id="224" w:name="_Toc499152787"/>
      <w:bookmarkStart w:id="225" w:name="_Toc499158746"/>
      <w:bookmarkStart w:id="226" w:name="_Toc499648619"/>
      <w:bookmarkStart w:id="227" w:name="_Toc499728112"/>
      <w:bookmarkStart w:id="228" w:name="_Toc499732960"/>
      <w:bookmarkStart w:id="229" w:name="_Toc499736991"/>
      <w:bookmarkStart w:id="230" w:name="_Toc499812931"/>
      <w:bookmarkStart w:id="231" w:name="_Toc499813734"/>
      <w:bookmarkStart w:id="232" w:name="_Toc500921481"/>
      <w:bookmarkStart w:id="233" w:name="_Toc500921507"/>
      <w:bookmarkStart w:id="234" w:name="_Toc500921618"/>
      <w:bookmarkStart w:id="235" w:name="_Toc501019228"/>
      <w:bookmarkStart w:id="236" w:name="_Toc504483873"/>
      <w:bookmarkStart w:id="237" w:name="_Toc505180551"/>
      <w:bookmarkStart w:id="238" w:name="_Toc505690204"/>
      <w:bookmarkStart w:id="239" w:name="_Toc505701757"/>
      <w:bookmarkStart w:id="240" w:name="_Toc505759549"/>
      <w:bookmarkStart w:id="241" w:name="_Toc505759566"/>
      <w:bookmarkStart w:id="242" w:name="_Toc505762659"/>
      <w:bookmarkStart w:id="243" w:name="_Toc505785999"/>
      <w:bookmarkStart w:id="244" w:name="_Toc506799584"/>
      <w:bookmarkStart w:id="245" w:name="_Toc506799601"/>
      <w:bookmarkStart w:id="246" w:name="_Toc506894560"/>
      <w:bookmarkStart w:id="247" w:name="_Toc507486297"/>
      <w:bookmarkStart w:id="248" w:name="_Toc515271232"/>
      <w:bookmarkStart w:id="249" w:name="_Toc515271555"/>
      <w:bookmarkStart w:id="250" w:name="_Toc515271583"/>
      <w:bookmarkStart w:id="251" w:name="_Toc515280491"/>
      <w:bookmarkStart w:id="252" w:name="_Toc515280642"/>
      <w:bookmarkStart w:id="253" w:name="_Toc515352794"/>
      <w:bookmarkStart w:id="254" w:name="_Toc515540867"/>
      <w:bookmarkStart w:id="255" w:name="_Toc515543707"/>
      <w:bookmarkStart w:id="256" w:name="_Toc515543892"/>
      <w:bookmarkStart w:id="257" w:name="_Toc515551693"/>
      <w:bookmarkStart w:id="258" w:name="_Toc515627635"/>
      <w:bookmarkStart w:id="259" w:name="_Toc516039945"/>
      <w:bookmarkStart w:id="260" w:name="_Toc516155368"/>
      <w:bookmarkStart w:id="261" w:name="_Toc516490269"/>
      <w:bookmarkStart w:id="262" w:name="_Toc518037951"/>
      <w:bookmarkStart w:id="263" w:name="_Toc524599603"/>
      <w:bookmarkStart w:id="264" w:name="_Toc526154936"/>
      <w:bookmarkStart w:id="265" w:name="_Toc526155482"/>
      <w:bookmarkStart w:id="266" w:name="_Toc526155555"/>
      <w:bookmarkStart w:id="267" w:name="_Toc526253992"/>
      <w:bookmarkStart w:id="268" w:name="_Toc526348417"/>
      <w:bookmarkStart w:id="269" w:name="_Toc526374608"/>
      <w:bookmarkStart w:id="270" w:name="_Toc526374624"/>
      <w:bookmarkStart w:id="271" w:name="_Toc526406487"/>
      <w:bookmarkStart w:id="272" w:name="_Toc526409513"/>
      <w:bookmarkStart w:id="273" w:name="_Toc526491412"/>
      <w:bookmarkStart w:id="274" w:name="_Toc526505524"/>
      <w:bookmarkStart w:id="275" w:name="_Toc526756616"/>
      <w:r>
        <w:rPr>
          <w:rFonts w:ascii="Times New Roman" w:hAnsi="Times New Roman" w:cs="Times New Roman"/>
          <w:bCs w:val="0"/>
          <w:iCs/>
          <w:sz w:val="24"/>
          <w:szCs w:val="24"/>
        </w:rPr>
        <w:lastRenderedPageBreak/>
        <w:t>5</w:t>
      </w:r>
      <w:r w:rsidR="006108C2" w:rsidRPr="007244D5">
        <w:rPr>
          <w:rFonts w:ascii="Times New Roman" w:hAnsi="Times New Roman" w:cs="Times New Roman"/>
          <w:bCs w:val="0"/>
          <w:iCs/>
          <w:sz w:val="24"/>
          <w:szCs w:val="24"/>
        </w:rPr>
        <w:t>. Administrative konsekvenser for borgerne</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559A4C02" w14:textId="2EF83F8F" w:rsidR="006108C2" w:rsidRPr="007244D5" w:rsidRDefault="005719D4" w:rsidP="006108C2">
      <w:pPr>
        <w:spacing w:after="240"/>
        <w:rPr>
          <w:rFonts w:cs="Times New Roman"/>
          <w:sz w:val="24"/>
          <w:szCs w:val="24"/>
        </w:rPr>
      </w:pPr>
      <w:r w:rsidRPr="005719D4">
        <w:rPr>
          <w:rFonts w:cs="Times New Roman"/>
          <w:sz w:val="24"/>
          <w:szCs w:val="24"/>
        </w:rPr>
        <w:t>Lovforslaget vil ikke have konsekvenser for borgerne.</w:t>
      </w:r>
    </w:p>
    <w:p w14:paraId="1B62CB2D" w14:textId="065FBBB6" w:rsidR="006108C2" w:rsidRPr="007244D5" w:rsidRDefault="005719D4" w:rsidP="006108C2">
      <w:pPr>
        <w:pStyle w:val="Overskrift1"/>
        <w:rPr>
          <w:rFonts w:ascii="Times New Roman" w:hAnsi="Times New Roman" w:cs="Times New Roman"/>
          <w:bCs w:val="0"/>
          <w:iCs/>
          <w:sz w:val="24"/>
          <w:szCs w:val="24"/>
        </w:rPr>
      </w:pPr>
      <w:bookmarkStart w:id="276" w:name="_Toc329931205"/>
      <w:bookmarkStart w:id="277" w:name="_Toc329931316"/>
      <w:bookmarkStart w:id="278" w:name="_Toc442277391"/>
      <w:bookmarkStart w:id="279" w:name="_Toc442281309"/>
      <w:bookmarkStart w:id="280" w:name="_Toc442281339"/>
      <w:bookmarkStart w:id="281" w:name="_Toc442777849"/>
      <w:bookmarkStart w:id="282" w:name="_Toc442787246"/>
      <w:bookmarkStart w:id="283" w:name="_Toc442787538"/>
      <w:bookmarkStart w:id="284" w:name="_Toc442953244"/>
      <w:bookmarkStart w:id="285" w:name="_Toc443047628"/>
      <w:bookmarkStart w:id="286" w:name="_Toc444095988"/>
      <w:bookmarkStart w:id="287" w:name="_Toc444244514"/>
      <w:bookmarkStart w:id="288" w:name="_Toc498557229"/>
      <w:bookmarkStart w:id="289" w:name="_Toc498557299"/>
      <w:bookmarkStart w:id="290" w:name="_Toc498590033"/>
      <w:bookmarkStart w:id="291" w:name="_Toc498681516"/>
      <w:bookmarkStart w:id="292" w:name="_Toc499152788"/>
      <w:bookmarkStart w:id="293" w:name="_Toc499158747"/>
      <w:bookmarkStart w:id="294" w:name="_Toc499648620"/>
      <w:bookmarkStart w:id="295" w:name="_Toc499728113"/>
      <w:bookmarkStart w:id="296" w:name="_Toc499732961"/>
      <w:bookmarkStart w:id="297" w:name="_Toc499736992"/>
      <w:bookmarkStart w:id="298" w:name="_Toc499812932"/>
      <w:bookmarkStart w:id="299" w:name="_Toc499813735"/>
      <w:bookmarkStart w:id="300" w:name="_Toc500921482"/>
      <w:bookmarkStart w:id="301" w:name="_Toc500921508"/>
      <w:bookmarkStart w:id="302" w:name="_Toc500921619"/>
      <w:bookmarkStart w:id="303" w:name="_Toc501019229"/>
      <w:bookmarkStart w:id="304" w:name="_Toc504483874"/>
      <w:bookmarkStart w:id="305" w:name="_Toc505180552"/>
      <w:bookmarkStart w:id="306" w:name="_Toc505690205"/>
      <w:bookmarkStart w:id="307" w:name="_Toc505701758"/>
      <w:bookmarkStart w:id="308" w:name="_Toc505759550"/>
      <w:bookmarkStart w:id="309" w:name="_Toc505759567"/>
      <w:bookmarkStart w:id="310" w:name="_Toc505762660"/>
      <w:bookmarkStart w:id="311" w:name="_Toc505786000"/>
      <w:bookmarkStart w:id="312" w:name="_Toc506799585"/>
      <w:bookmarkStart w:id="313" w:name="_Toc506799602"/>
      <w:bookmarkStart w:id="314" w:name="_Toc506894561"/>
      <w:bookmarkStart w:id="315" w:name="_Toc507486298"/>
      <w:bookmarkStart w:id="316" w:name="_Toc515271233"/>
      <w:bookmarkStart w:id="317" w:name="_Toc515271556"/>
      <w:bookmarkStart w:id="318" w:name="_Toc515271584"/>
      <w:bookmarkStart w:id="319" w:name="_Toc515280492"/>
      <w:bookmarkStart w:id="320" w:name="_Toc515280643"/>
      <w:bookmarkStart w:id="321" w:name="_Toc515352795"/>
      <w:bookmarkStart w:id="322" w:name="_Toc515540868"/>
      <w:bookmarkStart w:id="323" w:name="_Toc515543708"/>
      <w:bookmarkStart w:id="324" w:name="_Toc515543893"/>
      <w:bookmarkStart w:id="325" w:name="_Toc515551694"/>
      <w:bookmarkStart w:id="326" w:name="_Toc515627636"/>
      <w:bookmarkStart w:id="327" w:name="_Toc516039946"/>
      <w:bookmarkStart w:id="328" w:name="_Toc516155369"/>
      <w:bookmarkStart w:id="329" w:name="_Toc516490270"/>
      <w:bookmarkStart w:id="330" w:name="_Toc518037952"/>
      <w:bookmarkStart w:id="331" w:name="_Toc524599604"/>
      <w:bookmarkStart w:id="332" w:name="_Toc526154937"/>
      <w:bookmarkStart w:id="333" w:name="_Toc526155483"/>
      <w:bookmarkStart w:id="334" w:name="_Toc526155556"/>
      <w:bookmarkStart w:id="335" w:name="_Toc526253993"/>
      <w:bookmarkStart w:id="336" w:name="_Toc526348418"/>
      <w:bookmarkStart w:id="337" w:name="_Toc526374609"/>
      <w:bookmarkStart w:id="338" w:name="_Toc526374625"/>
      <w:bookmarkStart w:id="339" w:name="_Toc526406488"/>
      <w:bookmarkStart w:id="340" w:name="_Toc526409514"/>
      <w:bookmarkStart w:id="341" w:name="_Toc526491413"/>
      <w:bookmarkStart w:id="342" w:name="_Toc526505525"/>
      <w:bookmarkStart w:id="343" w:name="_Toc526756617"/>
      <w:r>
        <w:rPr>
          <w:rFonts w:ascii="Times New Roman" w:hAnsi="Times New Roman" w:cs="Times New Roman"/>
          <w:bCs w:val="0"/>
          <w:iCs/>
          <w:sz w:val="24"/>
          <w:szCs w:val="24"/>
        </w:rPr>
        <w:t>6</w:t>
      </w:r>
      <w:r w:rsidR="006108C2" w:rsidRPr="007244D5">
        <w:rPr>
          <w:rFonts w:ascii="Times New Roman" w:hAnsi="Times New Roman" w:cs="Times New Roman"/>
          <w:bCs w:val="0"/>
          <w:iCs/>
          <w:sz w:val="24"/>
          <w:szCs w:val="24"/>
        </w:rPr>
        <w:t>. Klimamæssige konsekvenser</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38193B77" w14:textId="78BD426B" w:rsidR="006108C2" w:rsidRDefault="005719D4" w:rsidP="005719D4">
      <w:pPr>
        <w:rPr>
          <w:sz w:val="24"/>
        </w:rPr>
      </w:pPr>
      <w:r>
        <w:rPr>
          <w:sz w:val="24"/>
        </w:rPr>
        <w:t>Lovforslaget</w:t>
      </w:r>
      <w:r w:rsidRPr="00F3270A">
        <w:rPr>
          <w:sz w:val="24"/>
        </w:rPr>
        <w:t xml:space="preserve"> vil ikke have klimamæssige konsekvenser.  </w:t>
      </w:r>
    </w:p>
    <w:p w14:paraId="0FAA0B52" w14:textId="77777777" w:rsidR="005719D4" w:rsidRPr="005719D4" w:rsidRDefault="005719D4" w:rsidP="005719D4">
      <w:pPr>
        <w:rPr>
          <w:sz w:val="24"/>
        </w:rPr>
      </w:pPr>
    </w:p>
    <w:p w14:paraId="3B0B0DF6" w14:textId="782554B7" w:rsidR="006108C2" w:rsidRPr="007244D5" w:rsidRDefault="005719D4" w:rsidP="006108C2">
      <w:pPr>
        <w:pStyle w:val="Overskrift1"/>
        <w:rPr>
          <w:rFonts w:ascii="Times New Roman" w:hAnsi="Times New Roman" w:cs="Times New Roman"/>
          <w:bCs w:val="0"/>
          <w:iCs/>
          <w:sz w:val="24"/>
          <w:szCs w:val="24"/>
        </w:rPr>
      </w:pPr>
      <w:bookmarkStart w:id="344" w:name="_Toc329931206"/>
      <w:bookmarkStart w:id="345" w:name="_Toc329931317"/>
      <w:bookmarkStart w:id="346" w:name="_Toc442277392"/>
      <w:bookmarkStart w:id="347" w:name="_Toc442281310"/>
      <w:bookmarkStart w:id="348" w:name="_Toc442281340"/>
      <w:bookmarkStart w:id="349" w:name="_Toc442777850"/>
      <w:bookmarkStart w:id="350" w:name="_Toc442787247"/>
      <w:bookmarkStart w:id="351" w:name="_Toc442787539"/>
      <w:bookmarkStart w:id="352" w:name="_Toc442953245"/>
      <w:bookmarkStart w:id="353" w:name="_Toc443047629"/>
      <w:bookmarkStart w:id="354" w:name="_Toc444095989"/>
      <w:bookmarkStart w:id="355" w:name="_Toc444244515"/>
      <w:bookmarkStart w:id="356" w:name="_Toc498557230"/>
      <w:bookmarkStart w:id="357" w:name="_Toc498557300"/>
      <w:bookmarkStart w:id="358" w:name="_Toc498590034"/>
      <w:bookmarkStart w:id="359" w:name="_Toc498681517"/>
      <w:bookmarkStart w:id="360" w:name="_Toc499152789"/>
      <w:bookmarkStart w:id="361" w:name="_Toc499158748"/>
      <w:bookmarkStart w:id="362" w:name="_Toc499648621"/>
      <w:bookmarkStart w:id="363" w:name="_Toc499728114"/>
      <w:bookmarkStart w:id="364" w:name="_Toc499732962"/>
      <w:bookmarkStart w:id="365" w:name="_Toc499736993"/>
      <w:bookmarkStart w:id="366" w:name="_Toc499812933"/>
      <w:bookmarkStart w:id="367" w:name="_Toc499813736"/>
      <w:bookmarkStart w:id="368" w:name="_Toc500921483"/>
      <w:bookmarkStart w:id="369" w:name="_Toc500921509"/>
      <w:bookmarkStart w:id="370" w:name="_Toc500921620"/>
      <w:bookmarkStart w:id="371" w:name="_Toc501019230"/>
      <w:bookmarkStart w:id="372" w:name="_Toc504483875"/>
      <w:bookmarkStart w:id="373" w:name="_Toc505180553"/>
      <w:bookmarkStart w:id="374" w:name="_Toc505690206"/>
      <w:bookmarkStart w:id="375" w:name="_Toc505701759"/>
      <w:bookmarkStart w:id="376" w:name="_Toc505759551"/>
      <w:bookmarkStart w:id="377" w:name="_Toc505759568"/>
      <w:bookmarkStart w:id="378" w:name="_Toc505762661"/>
      <w:bookmarkStart w:id="379" w:name="_Toc505786001"/>
      <w:bookmarkStart w:id="380" w:name="_Toc506799586"/>
      <w:bookmarkStart w:id="381" w:name="_Toc506799603"/>
      <w:bookmarkStart w:id="382" w:name="_Toc506894562"/>
      <w:bookmarkStart w:id="383" w:name="_Toc507486299"/>
      <w:bookmarkStart w:id="384" w:name="_Toc515271234"/>
      <w:bookmarkStart w:id="385" w:name="_Toc515271557"/>
      <w:bookmarkStart w:id="386" w:name="_Toc515271585"/>
      <w:bookmarkStart w:id="387" w:name="_Toc515280493"/>
      <w:bookmarkStart w:id="388" w:name="_Toc515280644"/>
      <w:bookmarkStart w:id="389" w:name="_Toc515352796"/>
      <w:bookmarkStart w:id="390" w:name="_Toc515540869"/>
      <w:bookmarkStart w:id="391" w:name="_Toc515543709"/>
      <w:bookmarkStart w:id="392" w:name="_Toc515543894"/>
      <w:bookmarkStart w:id="393" w:name="_Toc515551695"/>
      <w:bookmarkStart w:id="394" w:name="_Toc515627637"/>
      <w:bookmarkStart w:id="395" w:name="_Toc516039947"/>
      <w:bookmarkStart w:id="396" w:name="_Toc516155370"/>
      <w:bookmarkStart w:id="397" w:name="_Toc516490271"/>
      <w:bookmarkStart w:id="398" w:name="_Toc518037953"/>
      <w:bookmarkStart w:id="399" w:name="_Toc524599605"/>
      <w:bookmarkStart w:id="400" w:name="_Toc526154938"/>
      <w:bookmarkStart w:id="401" w:name="_Toc526155484"/>
      <w:bookmarkStart w:id="402" w:name="_Toc526155557"/>
      <w:bookmarkStart w:id="403" w:name="_Toc526253994"/>
      <w:bookmarkStart w:id="404" w:name="_Toc526348419"/>
      <w:bookmarkStart w:id="405" w:name="_Toc526374610"/>
      <w:bookmarkStart w:id="406" w:name="_Toc526374626"/>
      <w:bookmarkStart w:id="407" w:name="_Toc526406489"/>
      <w:bookmarkStart w:id="408" w:name="_Toc526409515"/>
      <w:bookmarkStart w:id="409" w:name="_Toc526491414"/>
      <w:bookmarkStart w:id="410" w:name="_Toc526505526"/>
      <w:bookmarkStart w:id="411" w:name="_Toc526756618"/>
      <w:r>
        <w:rPr>
          <w:rFonts w:ascii="Times New Roman" w:hAnsi="Times New Roman" w:cs="Times New Roman"/>
          <w:bCs w:val="0"/>
          <w:iCs/>
          <w:sz w:val="24"/>
          <w:szCs w:val="24"/>
        </w:rPr>
        <w:t>7</w:t>
      </w:r>
      <w:r w:rsidR="006108C2" w:rsidRPr="007244D5">
        <w:rPr>
          <w:rFonts w:ascii="Times New Roman" w:hAnsi="Times New Roman" w:cs="Times New Roman"/>
          <w:bCs w:val="0"/>
          <w:iCs/>
          <w:sz w:val="24"/>
          <w:szCs w:val="24"/>
        </w:rPr>
        <w:t>. Miljø- og naturmæssige konsekvenser</w:t>
      </w:r>
    </w:p>
    <w:p w14:paraId="32236604" w14:textId="241A7372" w:rsidR="006108C2" w:rsidRDefault="005719D4" w:rsidP="005719D4">
      <w:pPr>
        <w:rPr>
          <w:sz w:val="24"/>
        </w:rPr>
      </w:pPr>
      <w:r>
        <w:rPr>
          <w:sz w:val="24"/>
        </w:rPr>
        <w:t xml:space="preserve">Lovforslaget </w:t>
      </w:r>
      <w:r w:rsidRPr="00F3270A">
        <w:rPr>
          <w:sz w:val="24"/>
        </w:rPr>
        <w:t xml:space="preserve">vil ikke have </w:t>
      </w:r>
      <w:r>
        <w:rPr>
          <w:sz w:val="24"/>
        </w:rPr>
        <w:t>m</w:t>
      </w:r>
      <w:r w:rsidRPr="00F3270A">
        <w:rPr>
          <w:sz w:val="24"/>
        </w:rPr>
        <w:t xml:space="preserve">iljø- og naturmæssige konsekvenser. </w:t>
      </w:r>
      <w:r>
        <w:rPr>
          <w:sz w:val="24"/>
        </w:rPr>
        <w:t xml:space="preserve">Det bemærkes hertil, at </w:t>
      </w:r>
      <w:r>
        <w:rPr>
          <w:rFonts w:eastAsia="Times New Roman"/>
          <w:color w:val="000000"/>
          <w:sz w:val="24"/>
          <w:szCs w:val="24"/>
          <w:lang w:eastAsia="da-DK"/>
        </w:rPr>
        <w:t>der er tale om tilvejebringelse af</w:t>
      </w:r>
      <w:r w:rsidRPr="00F63EA8">
        <w:rPr>
          <w:rFonts w:eastAsia="Times New Roman"/>
          <w:color w:val="000000"/>
          <w:sz w:val="24"/>
          <w:szCs w:val="24"/>
          <w:lang w:eastAsia="da-DK"/>
        </w:rPr>
        <w:t xml:space="preserve"> hjemmel</w:t>
      </w:r>
      <w:r>
        <w:rPr>
          <w:rFonts w:eastAsia="Times New Roman"/>
          <w:color w:val="000000"/>
          <w:sz w:val="24"/>
          <w:szCs w:val="24"/>
          <w:lang w:eastAsia="da-DK"/>
        </w:rPr>
        <w:t xml:space="preserve"> til</w:t>
      </w:r>
      <w:r w:rsidRPr="00F63EA8">
        <w:rPr>
          <w:rFonts w:eastAsia="Times New Roman"/>
          <w:color w:val="000000"/>
          <w:sz w:val="24"/>
          <w:szCs w:val="24"/>
          <w:lang w:eastAsia="da-DK"/>
        </w:rPr>
        <w:t xml:space="preserve"> at videreføre de</w:t>
      </w:r>
      <w:r w:rsidR="00F41762">
        <w:rPr>
          <w:rFonts w:eastAsia="Times New Roman"/>
          <w:color w:val="000000"/>
          <w:sz w:val="24"/>
          <w:szCs w:val="24"/>
          <w:lang w:eastAsia="da-DK"/>
        </w:rPr>
        <w:t xml:space="preserve"> </w:t>
      </w:r>
      <w:r w:rsidRPr="00F63EA8">
        <w:rPr>
          <w:rFonts w:eastAsia="Times New Roman"/>
          <w:color w:val="000000"/>
          <w:sz w:val="24"/>
          <w:szCs w:val="24"/>
          <w:lang w:eastAsia="da-DK"/>
        </w:rPr>
        <w:t xml:space="preserve">særlige </w:t>
      </w:r>
      <w:r w:rsidR="00F41762">
        <w:rPr>
          <w:rFonts w:eastAsia="Times New Roman"/>
          <w:color w:val="000000"/>
          <w:sz w:val="24"/>
          <w:szCs w:val="24"/>
          <w:lang w:eastAsia="da-DK"/>
        </w:rPr>
        <w:t xml:space="preserve">rammer for </w:t>
      </w:r>
      <w:r w:rsidRPr="00F63EA8">
        <w:rPr>
          <w:rFonts w:eastAsia="Times New Roman"/>
          <w:color w:val="000000"/>
          <w:sz w:val="24"/>
          <w:szCs w:val="24"/>
          <w:lang w:eastAsia="da-DK"/>
        </w:rPr>
        <w:t>støj, der</w:t>
      </w:r>
      <w:r>
        <w:rPr>
          <w:rFonts w:eastAsia="Times New Roman"/>
          <w:color w:val="000000"/>
          <w:sz w:val="24"/>
          <w:szCs w:val="24"/>
          <w:lang w:eastAsia="da-DK"/>
        </w:rPr>
        <w:t xml:space="preserve"> allerede</w:t>
      </w:r>
      <w:r w:rsidRPr="00F63EA8">
        <w:rPr>
          <w:rFonts w:eastAsia="Times New Roman"/>
          <w:color w:val="000000"/>
          <w:sz w:val="24"/>
          <w:szCs w:val="24"/>
          <w:lang w:eastAsia="da-DK"/>
        </w:rPr>
        <w:t xml:space="preserve"> i dag gælder for Københavns Lufthavn, Kastrup.</w:t>
      </w:r>
      <w:r w:rsidRPr="00F3270A">
        <w:rPr>
          <w:sz w:val="24"/>
        </w:rPr>
        <w:t xml:space="preserve"> </w:t>
      </w:r>
    </w:p>
    <w:p w14:paraId="71D4DF0B" w14:textId="77777777" w:rsidR="005719D4" w:rsidRPr="005719D4" w:rsidRDefault="005719D4" w:rsidP="005719D4">
      <w:pPr>
        <w:rPr>
          <w:sz w:val="24"/>
        </w:rPr>
      </w:pPr>
    </w:p>
    <w:p w14:paraId="130D8484" w14:textId="3F0488C1" w:rsidR="006108C2" w:rsidRPr="007244D5" w:rsidRDefault="005719D4" w:rsidP="006108C2">
      <w:pPr>
        <w:pStyle w:val="Overskrift1"/>
        <w:rPr>
          <w:rFonts w:ascii="Times New Roman" w:hAnsi="Times New Roman" w:cs="Times New Roman"/>
          <w:bCs w:val="0"/>
          <w:iCs/>
          <w:sz w:val="24"/>
          <w:szCs w:val="24"/>
        </w:rPr>
      </w:pPr>
      <w:r>
        <w:rPr>
          <w:rFonts w:ascii="Times New Roman" w:hAnsi="Times New Roman" w:cs="Times New Roman"/>
          <w:bCs w:val="0"/>
          <w:iCs/>
          <w:sz w:val="24"/>
          <w:szCs w:val="24"/>
        </w:rPr>
        <w:t>8</w:t>
      </w:r>
      <w:r w:rsidR="006108C2" w:rsidRPr="007244D5">
        <w:rPr>
          <w:rFonts w:ascii="Times New Roman" w:hAnsi="Times New Roman" w:cs="Times New Roman"/>
          <w:bCs w:val="0"/>
          <w:iCs/>
          <w:sz w:val="24"/>
          <w:szCs w:val="24"/>
        </w:rPr>
        <w:t>. Forholdet til EU-retten</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08A1865C" w14:textId="7BABACCD" w:rsidR="006108C2" w:rsidRDefault="005719D4" w:rsidP="005719D4">
      <w:pPr>
        <w:rPr>
          <w:sz w:val="24"/>
        </w:rPr>
      </w:pPr>
      <w:r>
        <w:rPr>
          <w:sz w:val="24"/>
        </w:rPr>
        <w:t>Lovforslaget</w:t>
      </w:r>
      <w:r w:rsidRPr="00F3270A">
        <w:rPr>
          <w:sz w:val="24"/>
        </w:rPr>
        <w:t xml:space="preserve"> vil ikke have </w:t>
      </w:r>
      <w:proofErr w:type="spellStart"/>
      <w:r w:rsidRPr="00F3270A">
        <w:rPr>
          <w:sz w:val="24"/>
        </w:rPr>
        <w:t>EU-retlige</w:t>
      </w:r>
      <w:proofErr w:type="spellEnd"/>
      <w:r w:rsidRPr="00F3270A">
        <w:rPr>
          <w:sz w:val="24"/>
        </w:rPr>
        <w:t xml:space="preserve"> konsekvenser.  </w:t>
      </w:r>
    </w:p>
    <w:p w14:paraId="04112D7C" w14:textId="77777777" w:rsidR="005719D4" w:rsidRPr="005719D4" w:rsidRDefault="005719D4" w:rsidP="005719D4">
      <w:pPr>
        <w:rPr>
          <w:sz w:val="24"/>
        </w:rPr>
      </w:pPr>
    </w:p>
    <w:p w14:paraId="37AC390F" w14:textId="6CAD5D8E" w:rsidR="006108C2" w:rsidRPr="007244D5" w:rsidRDefault="005719D4" w:rsidP="006108C2">
      <w:pPr>
        <w:pStyle w:val="Overskrift1"/>
        <w:rPr>
          <w:rFonts w:ascii="Times New Roman" w:hAnsi="Times New Roman" w:cs="Times New Roman"/>
          <w:bCs w:val="0"/>
          <w:iCs/>
          <w:sz w:val="24"/>
          <w:szCs w:val="24"/>
        </w:rPr>
      </w:pPr>
      <w:bookmarkStart w:id="412" w:name="_Toc243705913"/>
      <w:bookmarkStart w:id="413" w:name="_Toc329931207"/>
      <w:bookmarkStart w:id="414" w:name="_Toc329931318"/>
      <w:bookmarkStart w:id="415" w:name="_Toc442277393"/>
      <w:bookmarkStart w:id="416" w:name="_Toc442281311"/>
      <w:bookmarkStart w:id="417" w:name="_Toc442281341"/>
      <w:bookmarkStart w:id="418" w:name="_Toc442777851"/>
      <w:bookmarkStart w:id="419" w:name="_Toc442787248"/>
      <w:bookmarkStart w:id="420" w:name="_Toc442787540"/>
      <w:bookmarkStart w:id="421" w:name="_Toc442953246"/>
      <w:bookmarkStart w:id="422" w:name="_Toc443047630"/>
      <w:bookmarkStart w:id="423" w:name="_Toc444095990"/>
      <w:bookmarkStart w:id="424" w:name="_Toc444244516"/>
      <w:bookmarkStart w:id="425" w:name="_Toc498557231"/>
      <w:bookmarkStart w:id="426" w:name="_Toc498557301"/>
      <w:bookmarkStart w:id="427" w:name="_Toc498590035"/>
      <w:bookmarkStart w:id="428" w:name="_Toc498681518"/>
      <w:bookmarkStart w:id="429" w:name="_Toc499152790"/>
      <w:bookmarkStart w:id="430" w:name="_Toc499158749"/>
      <w:bookmarkStart w:id="431" w:name="_Toc499648622"/>
      <w:bookmarkStart w:id="432" w:name="_Toc499728115"/>
      <w:bookmarkStart w:id="433" w:name="_Toc499732963"/>
      <w:bookmarkStart w:id="434" w:name="_Toc499736994"/>
      <w:bookmarkStart w:id="435" w:name="_Toc499812934"/>
      <w:bookmarkStart w:id="436" w:name="_Toc499813737"/>
      <w:bookmarkStart w:id="437" w:name="_Toc500921484"/>
      <w:bookmarkStart w:id="438" w:name="_Toc500921510"/>
      <w:bookmarkStart w:id="439" w:name="_Toc500921621"/>
      <w:bookmarkStart w:id="440" w:name="_Toc501019231"/>
      <w:bookmarkStart w:id="441" w:name="_Toc504483876"/>
      <w:bookmarkStart w:id="442" w:name="_Toc505180554"/>
      <w:bookmarkStart w:id="443" w:name="_Toc505690207"/>
      <w:bookmarkStart w:id="444" w:name="_Toc505701760"/>
      <w:bookmarkStart w:id="445" w:name="_Toc505759552"/>
      <w:bookmarkStart w:id="446" w:name="_Toc505759569"/>
      <w:bookmarkStart w:id="447" w:name="_Toc505762662"/>
      <w:bookmarkStart w:id="448" w:name="_Toc505786002"/>
      <w:bookmarkStart w:id="449" w:name="_Toc506799587"/>
      <w:bookmarkStart w:id="450" w:name="_Toc506799604"/>
      <w:bookmarkStart w:id="451" w:name="_Toc506894563"/>
      <w:bookmarkStart w:id="452" w:name="_Toc507486300"/>
      <w:bookmarkStart w:id="453" w:name="_Toc515271235"/>
      <w:bookmarkStart w:id="454" w:name="_Toc515271558"/>
      <w:bookmarkStart w:id="455" w:name="_Toc515271586"/>
      <w:bookmarkStart w:id="456" w:name="_Toc515280494"/>
      <w:bookmarkStart w:id="457" w:name="_Toc515280645"/>
      <w:bookmarkStart w:id="458" w:name="_Toc515352797"/>
      <w:bookmarkStart w:id="459" w:name="_Toc515540870"/>
      <w:bookmarkStart w:id="460" w:name="_Toc515543710"/>
      <w:bookmarkStart w:id="461" w:name="_Toc515543895"/>
      <w:bookmarkStart w:id="462" w:name="_Toc515551696"/>
      <w:bookmarkStart w:id="463" w:name="_Toc515627638"/>
      <w:bookmarkStart w:id="464" w:name="_Toc516039948"/>
      <w:bookmarkStart w:id="465" w:name="_Toc516155371"/>
      <w:bookmarkStart w:id="466" w:name="_Toc516490272"/>
      <w:bookmarkStart w:id="467" w:name="_Toc518037954"/>
      <w:bookmarkStart w:id="468" w:name="_Toc524599606"/>
      <w:bookmarkStart w:id="469" w:name="_Toc526154939"/>
      <w:bookmarkStart w:id="470" w:name="_Toc526155485"/>
      <w:bookmarkStart w:id="471" w:name="_Toc526155558"/>
      <w:bookmarkStart w:id="472" w:name="_Toc526253995"/>
      <w:bookmarkStart w:id="473" w:name="_Toc526348420"/>
      <w:bookmarkStart w:id="474" w:name="_Toc526374611"/>
      <w:bookmarkStart w:id="475" w:name="_Toc526374627"/>
      <w:bookmarkStart w:id="476" w:name="_Toc526406490"/>
      <w:bookmarkStart w:id="477" w:name="_Toc526409516"/>
      <w:bookmarkStart w:id="478" w:name="_Toc526491415"/>
      <w:bookmarkStart w:id="479" w:name="_Toc526505527"/>
      <w:bookmarkStart w:id="480" w:name="_Toc526756619"/>
      <w:r>
        <w:rPr>
          <w:rFonts w:ascii="Times New Roman" w:hAnsi="Times New Roman" w:cs="Times New Roman"/>
          <w:bCs w:val="0"/>
          <w:iCs/>
          <w:sz w:val="24"/>
          <w:szCs w:val="24"/>
        </w:rPr>
        <w:t>9</w:t>
      </w:r>
      <w:r w:rsidR="006108C2" w:rsidRPr="007244D5">
        <w:rPr>
          <w:rFonts w:ascii="Times New Roman" w:hAnsi="Times New Roman" w:cs="Times New Roman"/>
          <w:bCs w:val="0"/>
          <w:iCs/>
          <w:sz w:val="24"/>
          <w:szCs w:val="24"/>
        </w:rPr>
        <w:t>. Hørte myndigheder og organisationer m.v.</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6515D2C8" w14:textId="1F2C5BFF" w:rsidR="006108C2" w:rsidRPr="007244D5" w:rsidRDefault="006108C2" w:rsidP="006108C2">
      <w:pPr>
        <w:spacing w:after="240"/>
        <w:rPr>
          <w:sz w:val="24"/>
          <w:szCs w:val="24"/>
        </w:rPr>
      </w:pPr>
      <w:r w:rsidRPr="007244D5">
        <w:rPr>
          <w:sz w:val="24"/>
          <w:szCs w:val="24"/>
        </w:rPr>
        <w:t xml:space="preserve">Et udkast til lovforslag har i perioden fra den … til den … </w:t>
      </w:r>
      <w:r w:rsidR="00D31B5F" w:rsidRPr="007244D5">
        <w:rPr>
          <w:sz w:val="24"/>
          <w:szCs w:val="24"/>
        </w:rPr>
        <w:t xml:space="preserve">(… dage) </w:t>
      </w:r>
      <w:r w:rsidRPr="007244D5">
        <w:rPr>
          <w:sz w:val="24"/>
          <w:szCs w:val="24"/>
        </w:rPr>
        <w:t>været sendt i høring hos følgende myndigheder og organisationer m.v.:</w:t>
      </w:r>
    </w:p>
    <w:p w14:paraId="114436CC" w14:textId="77777777" w:rsidR="006108C2" w:rsidRPr="007244D5" w:rsidRDefault="006108C2" w:rsidP="006108C2">
      <w:pPr>
        <w:autoSpaceDE w:val="0"/>
        <w:autoSpaceDN w:val="0"/>
        <w:adjustRightInd w:val="0"/>
        <w:spacing w:after="240"/>
        <w:jc w:val="left"/>
        <w:rPr>
          <w:rFonts w:eastAsia="Calibri" w:cs="Times New Roman"/>
          <w:sz w:val="24"/>
          <w:szCs w:val="24"/>
        </w:rPr>
      </w:pPr>
      <w:r w:rsidRPr="007244D5">
        <w:rPr>
          <w:rFonts w:eastAsia="Calibri" w:cs="Times New Roman"/>
          <w:sz w:val="24"/>
          <w:szCs w:val="24"/>
        </w:rPr>
        <w:t>…</w:t>
      </w:r>
    </w:p>
    <w:p w14:paraId="00F6F86B" w14:textId="2E979671" w:rsidR="006108C2" w:rsidRPr="007244D5" w:rsidRDefault="006108C2" w:rsidP="006108C2">
      <w:pPr>
        <w:pStyle w:val="Overskrift1"/>
        <w:rPr>
          <w:rFonts w:ascii="Times New Roman" w:hAnsi="Times New Roman" w:cs="Times New Roman"/>
          <w:bCs w:val="0"/>
          <w:iCs/>
          <w:sz w:val="24"/>
          <w:szCs w:val="24"/>
        </w:rPr>
      </w:pPr>
    </w:p>
    <w:tbl>
      <w:tblPr>
        <w:tblW w:w="8930" w:type="dxa"/>
        <w:tblInd w:w="299" w:type="dxa"/>
        <w:tblCellMar>
          <w:top w:w="15" w:type="dxa"/>
          <w:left w:w="15" w:type="dxa"/>
          <w:bottom w:w="15" w:type="dxa"/>
          <w:right w:w="15" w:type="dxa"/>
        </w:tblCellMar>
        <w:tblLook w:val="04A0" w:firstRow="1" w:lastRow="0" w:firstColumn="1" w:lastColumn="0" w:noHBand="0" w:noVBand="1"/>
      </w:tblPr>
      <w:tblGrid>
        <w:gridCol w:w="1676"/>
        <w:gridCol w:w="3627"/>
        <w:gridCol w:w="58"/>
        <w:gridCol w:w="3569"/>
      </w:tblGrid>
      <w:tr w:rsidR="00434FBA" w:rsidRPr="007244D5" w14:paraId="3E2B6F66" w14:textId="77777777" w:rsidTr="00D07139">
        <w:tc>
          <w:tcPr>
            <w:tcW w:w="8930" w:type="dxa"/>
            <w:gridSpan w:val="4"/>
            <w:tcBorders>
              <w:top w:val="single" w:sz="8" w:space="0" w:color="000000"/>
              <w:left w:val="single" w:sz="8" w:space="0" w:color="000000"/>
              <w:bottom w:val="single" w:sz="8" w:space="0" w:color="000000"/>
              <w:right w:val="single" w:sz="8" w:space="0" w:color="000000"/>
            </w:tcBorders>
          </w:tcPr>
          <w:p w14:paraId="2499DFCD" w14:textId="5ED68584" w:rsidR="00434FBA" w:rsidRPr="00FD4402" w:rsidRDefault="00434FBA" w:rsidP="00FD4402">
            <w:pPr>
              <w:pStyle w:val="Overskrift1"/>
              <w:rPr>
                <w:rFonts w:cs="Times New Roman"/>
                <w:iCs/>
                <w:sz w:val="24"/>
                <w:szCs w:val="24"/>
              </w:rPr>
            </w:pPr>
            <w:r w:rsidRPr="007244D5">
              <w:rPr>
                <w:rFonts w:ascii="Times New Roman" w:hAnsi="Times New Roman" w:cs="Times New Roman"/>
                <w:bCs w:val="0"/>
                <w:iCs/>
                <w:sz w:val="24"/>
                <w:szCs w:val="24"/>
              </w:rPr>
              <w:t>1</w:t>
            </w:r>
            <w:r w:rsidR="005719D4">
              <w:rPr>
                <w:rFonts w:ascii="Times New Roman" w:hAnsi="Times New Roman" w:cs="Times New Roman"/>
                <w:bCs w:val="0"/>
                <w:iCs/>
                <w:sz w:val="24"/>
                <w:szCs w:val="24"/>
              </w:rPr>
              <w:t>0</w:t>
            </w:r>
            <w:r w:rsidRPr="007244D5">
              <w:rPr>
                <w:rFonts w:ascii="Times New Roman" w:hAnsi="Times New Roman" w:cs="Times New Roman"/>
                <w:bCs w:val="0"/>
                <w:iCs/>
                <w:sz w:val="24"/>
                <w:szCs w:val="24"/>
              </w:rPr>
              <w:t>. Sammenfattende skema</w:t>
            </w:r>
          </w:p>
        </w:tc>
      </w:tr>
      <w:tr w:rsidR="006108C2" w:rsidRPr="007244D5" w14:paraId="419892DA" w14:textId="77777777" w:rsidTr="00DF743A">
        <w:tc>
          <w:tcPr>
            <w:tcW w:w="1676" w:type="dxa"/>
            <w:tcBorders>
              <w:top w:val="single" w:sz="8" w:space="0" w:color="000000"/>
              <w:left w:val="single" w:sz="8" w:space="0" w:color="000000"/>
              <w:bottom w:val="single" w:sz="8" w:space="0" w:color="000000"/>
              <w:right w:val="single" w:sz="8" w:space="0" w:color="000000"/>
            </w:tcBorders>
            <w:hideMark/>
          </w:tcPr>
          <w:p w14:paraId="1DA4DF37" w14:textId="77777777" w:rsidR="006108C2" w:rsidRPr="007244D5" w:rsidRDefault="006108C2" w:rsidP="00DF743A">
            <w:pPr>
              <w:spacing w:after="240"/>
              <w:ind w:firstLine="238"/>
              <w:contextualSpacing/>
              <w:jc w:val="left"/>
              <w:rPr>
                <w:rFonts w:eastAsia="Times New Roman"/>
                <w:color w:val="000000"/>
                <w:sz w:val="24"/>
                <w:szCs w:val="24"/>
                <w:lang w:eastAsia="da-DK"/>
              </w:rPr>
            </w:pPr>
            <w:r w:rsidRPr="007244D5">
              <w:rPr>
                <w:rFonts w:eastAsia="Times New Roman"/>
                <w:color w:val="000000"/>
                <w:sz w:val="24"/>
                <w:szCs w:val="24"/>
                <w:lang w:eastAsia="da-DK"/>
              </w:rPr>
              <w:t> </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5913F940" w14:textId="77777777" w:rsidR="006108C2" w:rsidRPr="007244D5" w:rsidRDefault="006108C2" w:rsidP="00DF743A">
            <w:pPr>
              <w:spacing w:after="240"/>
              <w:ind w:firstLine="238"/>
              <w:contextualSpacing/>
              <w:jc w:val="center"/>
              <w:rPr>
                <w:rFonts w:eastAsia="Times New Roman"/>
                <w:color w:val="000000"/>
                <w:sz w:val="24"/>
                <w:szCs w:val="24"/>
                <w:lang w:eastAsia="da-DK"/>
              </w:rPr>
            </w:pPr>
            <w:r w:rsidRPr="007244D5">
              <w:rPr>
                <w:rFonts w:eastAsia="Times New Roman"/>
                <w:color w:val="000000"/>
                <w:sz w:val="24"/>
                <w:szCs w:val="24"/>
                <w:lang w:eastAsia="da-DK"/>
              </w:rPr>
              <w:t>Positive konsekvenser/</w:t>
            </w:r>
            <w:proofErr w:type="spellStart"/>
            <w:r w:rsidRPr="007244D5">
              <w:rPr>
                <w:rFonts w:eastAsia="Times New Roman"/>
                <w:color w:val="000000"/>
                <w:sz w:val="24"/>
                <w:szCs w:val="24"/>
                <w:lang w:eastAsia="da-DK"/>
              </w:rPr>
              <w:t>mindreudgifter</w:t>
            </w:r>
            <w:proofErr w:type="spellEnd"/>
            <w:r w:rsidRPr="007244D5">
              <w:rPr>
                <w:rFonts w:eastAsia="Times New Roman"/>
                <w:color w:val="000000"/>
                <w:sz w:val="24"/>
                <w:szCs w:val="24"/>
                <w:lang w:eastAsia="da-DK"/>
              </w:rPr>
              <w:t xml:space="preserve"> (hvis ja, angiv omfang/hvis nej, anfør »Ingen«)</w:t>
            </w:r>
          </w:p>
        </w:tc>
        <w:tc>
          <w:tcPr>
            <w:tcW w:w="3569" w:type="dxa"/>
            <w:tcBorders>
              <w:top w:val="single" w:sz="8" w:space="0" w:color="000000"/>
              <w:left w:val="single" w:sz="8" w:space="0" w:color="000000"/>
              <w:bottom w:val="single" w:sz="8" w:space="0" w:color="000000"/>
              <w:right w:val="single" w:sz="8" w:space="0" w:color="000000"/>
            </w:tcBorders>
            <w:hideMark/>
          </w:tcPr>
          <w:p w14:paraId="6E4E0166" w14:textId="77777777" w:rsidR="006108C2" w:rsidRPr="007244D5" w:rsidRDefault="006108C2" w:rsidP="00DF743A">
            <w:pPr>
              <w:spacing w:after="240"/>
              <w:ind w:firstLine="238"/>
              <w:contextualSpacing/>
              <w:jc w:val="center"/>
              <w:rPr>
                <w:rFonts w:ascii="Tahoma" w:eastAsia="Times New Roman" w:hAnsi="Tahoma" w:cs="Tahoma"/>
                <w:color w:val="000000"/>
                <w:sz w:val="24"/>
                <w:szCs w:val="24"/>
                <w:lang w:eastAsia="da-DK"/>
              </w:rPr>
            </w:pPr>
            <w:r w:rsidRPr="007244D5">
              <w:rPr>
                <w:rFonts w:eastAsia="Times New Roman" w:cs="Times New Roman"/>
                <w:color w:val="000000"/>
                <w:sz w:val="24"/>
                <w:szCs w:val="24"/>
                <w:lang w:eastAsia="da-DK"/>
              </w:rPr>
              <w:t>Negative konsekvenser/merudgifter (hvis ja, angiv omfang/hvis nej, anfør »Ingen«)</w:t>
            </w:r>
          </w:p>
        </w:tc>
      </w:tr>
      <w:tr w:rsidR="006108C2" w:rsidRPr="007244D5" w14:paraId="7D5EB402" w14:textId="77777777" w:rsidTr="00DF743A">
        <w:tc>
          <w:tcPr>
            <w:tcW w:w="1676" w:type="dxa"/>
            <w:tcBorders>
              <w:top w:val="single" w:sz="8" w:space="0" w:color="000000"/>
              <w:left w:val="single" w:sz="8" w:space="0" w:color="000000"/>
              <w:bottom w:val="single" w:sz="8" w:space="0" w:color="000000"/>
              <w:right w:val="single" w:sz="8" w:space="0" w:color="000000"/>
            </w:tcBorders>
            <w:hideMark/>
          </w:tcPr>
          <w:p w14:paraId="15468526" w14:textId="77777777" w:rsidR="006108C2" w:rsidRPr="007244D5" w:rsidRDefault="006108C2" w:rsidP="00DF743A">
            <w:pPr>
              <w:spacing w:after="240"/>
              <w:contextualSpacing/>
              <w:rPr>
                <w:rFonts w:eastAsia="Times New Roman"/>
                <w:color w:val="000000"/>
                <w:sz w:val="24"/>
                <w:szCs w:val="24"/>
                <w:lang w:eastAsia="da-DK"/>
              </w:rPr>
            </w:pPr>
            <w:r w:rsidRPr="007244D5">
              <w:rPr>
                <w:rFonts w:eastAsia="Times New Roman"/>
                <w:color w:val="000000"/>
                <w:sz w:val="24"/>
                <w:szCs w:val="24"/>
                <w:lang w:eastAsia="da-DK"/>
              </w:rPr>
              <w:t>Økonomiske konsekvenser for stat, kommuner og regioner</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4D6EAF03" w14:textId="5039A9EA" w:rsidR="006108C2" w:rsidRPr="007244D5" w:rsidRDefault="00B232D4" w:rsidP="00DF743A">
            <w:pPr>
              <w:spacing w:after="240"/>
              <w:ind w:firstLine="238"/>
              <w:contextualSpacing/>
              <w:jc w:val="left"/>
              <w:rPr>
                <w:rFonts w:eastAsia="Times New Roman"/>
                <w:color w:val="000000"/>
                <w:sz w:val="24"/>
                <w:szCs w:val="24"/>
                <w:lang w:eastAsia="da-DK"/>
              </w:rPr>
            </w:pPr>
            <w:r>
              <w:rPr>
                <w:rFonts w:eastAsia="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2A3CE660" w14:textId="1D2ADA81" w:rsidR="006108C2" w:rsidRPr="007244D5" w:rsidRDefault="00B232D4" w:rsidP="00DF743A">
            <w:pPr>
              <w:spacing w:after="240"/>
              <w:ind w:firstLine="238"/>
              <w:contextualSpacing/>
              <w:jc w:val="left"/>
              <w:rPr>
                <w:rFonts w:eastAsia="Times New Roman"/>
                <w:color w:val="000000"/>
                <w:sz w:val="24"/>
                <w:szCs w:val="24"/>
                <w:lang w:eastAsia="da-DK"/>
              </w:rPr>
            </w:pPr>
            <w:r>
              <w:rPr>
                <w:rFonts w:eastAsia="Times New Roman"/>
                <w:color w:val="000000"/>
                <w:sz w:val="24"/>
                <w:szCs w:val="24"/>
                <w:lang w:eastAsia="da-DK"/>
              </w:rPr>
              <w:t>Ingen</w:t>
            </w:r>
          </w:p>
        </w:tc>
      </w:tr>
      <w:tr w:rsidR="006108C2" w:rsidRPr="007244D5" w14:paraId="0E8EF030" w14:textId="77777777" w:rsidTr="00DF743A">
        <w:tc>
          <w:tcPr>
            <w:tcW w:w="1676" w:type="dxa"/>
            <w:tcBorders>
              <w:top w:val="single" w:sz="8" w:space="0" w:color="000000"/>
              <w:left w:val="single" w:sz="8" w:space="0" w:color="000000"/>
              <w:bottom w:val="single" w:sz="8" w:space="0" w:color="000000"/>
              <w:right w:val="single" w:sz="8" w:space="0" w:color="000000"/>
            </w:tcBorders>
            <w:hideMark/>
          </w:tcPr>
          <w:p w14:paraId="352CA757" w14:textId="77777777" w:rsidR="006108C2" w:rsidRPr="007244D5" w:rsidRDefault="006108C2" w:rsidP="00DF743A">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Implementeringskonsekvenser for stat, kommuner og regioner</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0D1C7CC4" w14:textId="0C28DCAA" w:rsidR="006108C2" w:rsidRPr="007244D5" w:rsidRDefault="00B232D4" w:rsidP="00DF743A">
            <w:pPr>
              <w:spacing w:after="240"/>
              <w:ind w:firstLine="238"/>
              <w:contextualSpacing/>
              <w:jc w:val="left"/>
              <w:rPr>
                <w:rFonts w:eastAsia="Times New Roman"/>
                <w:color w:val="000000"/>
                <w:sz w:val="24"/>
                <w:szCs w:val="24"/>
                <w:lang w:eastAsia="da-DK"/>
              </w:rPr>
            </w:pPr>
            <w:r>
              <w:rPr>
                <w:rFonts w:eastAsia="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18EB1B9C" w14:textId="2C402789" w:rsidR="006108C2" w:rsidRPr="007244D5" w:rsidRDefault="00B232D4" w:rsidP="00DF743A">
            <w:pPr>
              <w:spacing w:after="240"/>
              <w:ind w:firstLine="238"/>
              <w:contextualSpacing/>
              <w:jc w:val="left"/>
              <w:rPr>
                <w:rFonts w:eastAsia="Times New Roman"/>
                <w:color w:val="000000"/>
                <w:sz w:val="24"/>
                <w:szCs w:val="24"/>
                <w:lang w:eastAsia="da-DK"/>
              </w:rPr>
            </w:pPr>
            <w:r>
              <w:rPr>
                <w:rFonts w:eastAsia="Times New Roman"/>
                <w:color w:val="000000"/>
                <w:sz w:val="24"/>
                <w:szCs w:val="24"/>
                <w:lang w:eastAsia="da-DK"/>
              </w:rPr>
              <w:t>Ingen</w:t>
            </w:r>
          </w:p>
        </w:tc>
      </w:tr>
      <w:tr w:rsidR="006108C2" w:rsidRPr="007244D5" w14:paraId="09726D14" w14:textId="77777777" w:rsidTr="00DF743A">
        <w:tc>
          <w:tcPr>
            <w:tcW w:w="1676" w:type="dxa"/>
            <w:tcBorders>
              <w:top w:val="single" w:sz="8" w:space="0" w:color="000000"/>
              <w:left w:val="single" w:sz="8" w:space="0" w:color="000000"/>
              <w:bottom w:val="single" w:sz="8" w:space="0" w:color="000000"/>
              <w:right w:val="single" w:sz="8" w:space="0" w:color="000000"/>
            </w:tcBorders>
            <w:hideMark/>
          </w:tcPr>
          <w:p w14:paraId="1CA123FA" w14:textId="77777777" w:rsidR="006108C2" w:rsidRPr="007244D5" w:rsidRDefault="006108C2" w:rsidP="00DF743A">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Økonomiske konsekvenser for erhvervslivet m.v.</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6CEDECAF" w14:textId="74123946" w:rsidR="006108C2" w:rsidRPr="007244D5" w:rsidRDefault="00B232D4" w:rsidP="00DF743A">
            <w:pPr>
              <w:spacing w:after="240"/>
              <w:ind w:firstLine="238"/>
              <w:contextualSpacing/>
              <w:jc w:val="left"/>
              <w:rPr>
                <w:rFonts w:eastAsia="Times New Roman"/>
                <w:color w:val="000000"/>
                <w:sz w:val="24"/>
                <w:szCs w:val="24"/>
                <w:lang w:eastAsia="da-DK"/>
              </w:rPr>
            </w:pPr>
            <w:r>
              <w:rPr>
                <w:rFonts w:eastAsia="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7E9DDE9F" w14:textId="6EE3AD72" w:rsidR="006108C2" w:rsidRPr="007244D5" w:rsidRDefault="00B232D4" w:rsidP="00DF743A">
            <w:pPr>
              <w:spacing w:after="240"/>
              <w:ind w:firstLine="238"/>
              <w:contextualSpacing/>
              <w:jc w:val="left"/>
              <w:rPr>
                <w:rFonts w:eastAsia="Times New Roman"/>
                <w:color w:val="000000"/>
                <w:sz w:val="24"/>
                <w:szCs w:val="24"/>
                <w:lang w:eastAsia="da-DK"/>
              </w:rPr>
            </w:pPr>
            <w:r>
              <w:rPr>
                <w:rFonts w:eastAsia="Times New Roman"/>
                <w:color w:val="000000"/>
                <w:sz w:val="24"/>
                <w:szCs w:val="24"/>
                <w:lang w:eastAsia="da-DK"/>
              </w:rPr>
              <w:t>Ingen</w:t>
            </w:r>
          </w:p>
        </w:tc>
      </w:tr>
      <w:tr w:rsidR="006108C2" w:rsidRPr="007244D5" w14:paraId="5777DF29" w14:textId="77777777" w:rsidTr="00DF743A">
        <w:tc>
          <w:tcPr>
            <w:tcW w:w="1676" w:type="dxa"/>
            <w:tcBorders>
              <w:top w:val="single" w:sz="8" w:space="0" w:color="000000"/>
              <w:left w:val="single" w:sz="8" w:space="0" w:color="000000"/>
              <w:bottom w:val="single" w:sz="8" w:space="0" w:color="000000"/>
              <w:right w:val="single" w:sz="8" w:space="0" w:color="000000"/>
            </w:tcBorders>
            <w:hideMark/>
          </w:tcPr>
          <w:p w14:paraId="05CF60BA" w14:textId="77777777" w:rsidR="006108C2" w:rsidRPr="007244D5" w:rsidRDefault="006108C2" w:rsidP="00DF743A">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 xml:space="preserve">Administrative konsekvenser </w:t>
            </w:r>
            <w:r w:rsidRPr="007244D5">
              <w:rPr>
                <w:rFonts w:eastAsia="Times New Roman"/>
                <w:color w:val="000000"/>
                <w:sz w:val="24"/>
                <w:szCs w:val="24"/>
                <w:lang w:eastAsia="da-DK"/>
              </w:rPr>
              <w:lastRenderedPageBreak/>
              <w:t>for erhvervslivet m.v.</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7FBE657B" w14:textId="538C169F" w:rsidR="006108C2" w:rsidRPr="007244D5" w:rsidRDefault="00B232D4" w:rsidP="00DF743A">
            <w:pPr>
              <w:spacing w:after="240"/>
              <w:ind w:firstLine="238"/>
              <w:contextualSpacing/>
              <w:jc w:val="left"/>
              <w:rPr>
                <w:rFonts w:eastAsia="Times New Roman"/>
                <w:color w:val="000000"/>
                <w:sz w:val="24"/>
                <w:szCs w:val="24"/>
                <w:lang w:eastAsia="da-DK"/>
              </w:rPr>
            </w:pPr>
            <w:r>
              <w:rPr>
                <w:rFonts w:eastAsia="Times New Roman"/>
                <w:color w:val="000000"/>
                <w:sz w:val="24"/>
                <w:szCs w:val="24"/>
                <w:lang w:eastAsia="da-DK"/>
              </w:rPr>
              <w:lastRenderedPageBreak/>
              <w:t>Ingen</w:t>
            </w:r>
          </w:p>
        </w:tc>
        <w:tc>
          <w:tcPr>
            <w:tcW w:w="3569" w:type="dxa"/>
            <w:tcBorders>
              <w:top w:val="single" w:sz="8" w:space="0" w:color="000000"/>
              <w:left w:val="single" w:sz="8" w:space="0" w:color="000000"/>
              <w:bottom w:val="single" w:sz="8" w:space="0" w:color="000000"/>
              <w:right w:val="single" w:sz="8" w:space="0" w:color="000000"/>
            </w:tcBorders>
            <w:hideMark/>
          </w:tcPr>
          <w:p w14:paraId="46481C70" w14:textId="0F311398" w:rsidR="006108C2" w:rsidRPr="007244D5" w:rsidRDefault="00B232D4" w:rsidP="00DF743A">
            <w:pPr>
              <w:spacing w:after="240"/>
              <w:ind w:firstLine="238"/>
              <w:contextualSpacing/>
              <w:jc w:val="left"/>
              <w:rPr>
                <w:rFonts w:eastAsia="Times New Roman"/>
                <w:color w:val="000000"/>
                <w:sz w:val="24"/>
                <w:szCs w:val="24"/>
                <w:lang w:eastAsia="da-DK"/>
              </w:rPr>
            </w:pPr>
            <w:r>
              <w:rPr>
                <w:rFonts w:eastAsia="Times New Roman"/>
                <w:color w:val="000000"/>
                <w:sz w:val="24"/>
                <w:szCs w:val="24"/>
                <w:lang w:eastAsia="da-DK"/>
              </w:rPr>
              <w:t>Ingen</w:t>
            </w:r>
          </w:p>
        </w:tc>
      </w:tr>
      <w:tr w:rsidR="006108C2" w:rsidRPr="007244D5" w14:paraId="3916FFD5" w14:textId="77777777" w:rsidTr="00DF743A">
        <w:tc>
          <w:tcPr>
            <w:tcW w:w="1676" w:type="dxa"/>
            <w:tcBorders>
              <w:top w:val="single" w:sz="8" w:space="0" w:color="000000"/>
              <w:left w:val="single" w:sz="8" w:space="0" w:color="000000"/>
              <w:bottom w:val="single" w:sz="8" w:space="0" w:color="000000"/>
              <w:right w:val="single" w:sz="8" w:space="0" w:color="000000"/>
            </w:tcBorders>
            <w:hideMark/>
          </w:tcPr>
          <w:p w14:paraId="2CB90602" w14:textId="77777777" w:rsidR="006108C2" w:rsidRPr="007244D5" w:rsidRDefault="006108C2" w:rsidP="00DF743A">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Administrative konsekvenser for borgerne</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51283399" w14:textId="6EE8746C" w:rsidR="006108C2" w:rsidRPr="007244D5" w:rsidRDefault="00B232D4" w:rsidP="00DF743A">
            <w:pPr>
              <w:spacing w:after="240"/>
              <w:ind w:firstLine="238"/>
              <w:contextualSpacing/>
              <w:jc w:val="left"/>
              <w:rPr>
                <w:rFonts w:eastAsia="Times New Roman"/>
                <w:color w:val="000000"/>
                <w:sz w:val="24"/>
                <w:szCs w:val="24"/>
                <w:lang w:eastAsia="da-DK"/>
              </w:rPr>
            </w:pPr>
            <w:r>
              <w:rPr>
                <w:rFonts w:eastAsia="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0E504941" w14:textId="623C5A81" w:rsidR="006108C2" w:rsidRPr="007244D5" w:rsidRDefault="00B232D4" w:rsidP="00DF743A">
            <w:pPr>
              <w:spacing w:after="240"/>
              <w:ind w:firstLine="238"/>
              <w:contextualSpacing/>
              <w:jc w:val="left"/>
              <w:rPr>
                <w:rFonts w:eastAsia="Times New Roman"/>
                <w:color w:val="000000"/>
                <w:sz w:val="24"/>
                <w:szCs w:val="24"/>
                <w:lang w:eastAsia="da-DK"/>
              </w:rPr>
            </w:pPr>
            <w:r>
              <w:rPr>
                <w:rFonts w:eastAsia="Times New Roman"/>
                <w:color w:val="000000"/>
                <w:sz w:val="24"/>
                <w:szCs w:val="24"/>
                <w:lang w:eastAsia="da-DK"/>
              </w:rPr>
              <w:t>Ingen</w:t>
            </w:r>
          </w:p>
        </w:tc>
      </w:tr>
      <w:tr w:rsidR="006108C2" w:rsidRPr="007244D5" w14:paraId="4D23D672" w14:textId="77777777" w:rsidTr="00DF743A">
        <w:tc>
          <w:tcPr>
            <w:tcW w:w="1676" w:type="dxa"/>
            <w:tcBorders>
              <w:top w:val="single" w:sz="8" w:space="0" w:color="000000"/>
              <w:left w:val="single" w:sz="8" w:space="0" w:color="000000"/>
              <w:bottom w:val="single" w:sz="8" w:space="0" w:color="000000"/>
              <w:right w:val="single" w:sz="8" w:space="0" w:color="000000"/>
            </w:tcBorders>
          </w:tcPr>
          <w:p w14:paraId="42615137" w14:textId="77777777" w:rsidR="006108C2" w:rsidRPr="007244D5" w:rsidRDefault="006108C2" w:rsidP="00DF743A">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Klimamæssige konsekvenser</w:t>
            </w:r>
          </w:p>
        </w:tc>
        <w:tc>
          <w:tcPr>
            <w:tcW w:w="3685" w:type="dxa"/>
            <w:gridSpan w:val="2"/>
            <w:tcBorders>
              <w:top w:val="single" w:sz="8" w:space="0" w:color="000000"/>
              <w:left w:val="single" w:sz="8" w:space="0" w:color="000000"/>
              <w:bottom w:val="single" w:sz="8" w:space="0" w:color="000000"/>
              <w:right w:val="single" w:sz="8" w:space="0" w:color="000000"/>
            </w:tcBorders>
          </w:tcPr>
          <w:p w14:paraId="2A7585B8" w14:textId="19CCCD52" w:rsidR="006108C2" w:rsidRPr="007244D5" w:rsidRDefault="00B232D4" w:rsidP="00DF743A">
            <w:pPr>
              <w:spacing w:after="240"/>
              <w:ind w:firstLine="238"/>
              <w:contextualSpacing/>
              <w:jc w:val="left"/>
              <w:rPr>
                <w:rFonts w:eastAsia="Times New Roman"/>
                <w:color w:val="000000"/>
                <w:sz w:val="24"/>
                <w:szCs w:val="24"/>
                <w:lang w:eastAsia="da-DK"/>
              </w:rPr>
            </w:pPr>
            <w:r>
              <w:rPr>
                <w:rFonts w:eastAsia="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tcPr>
          <w:p w14:paraId="7997BC68" w14:textId="17473837" w:rsidR="006108C2" w:rsidRPr="007244D5" w:rsidRDefault="00B232D4" w:rsidP="00DF743A">
            <w:pPr>
              <w:spacing w:after="240"/>
              <w:ind w:firstLine="238"/>
              <w:contextualSpacing/>
              <w:jc w:val="left"/>
              <w:rPr>
                <w:rFonts w:eastAsia="Times New Roman"/>
                <w:color w:val="000000"/>
                <w:sz w:val="24"/>
                <w:szCs w:val="24"/>
                <w:lang w:eastAsia="da-DK"/>
              </w:rPr>
            </w:pPr>
            <w:r>
              <w:rPr>
                <w:rFonts w:eastAsia="Times New Roman"/>
                <w:color w:val="000000"/>
                <w:sz w:val="24"/>
                <w:szCs w:val="24"/>
                <w:lang w:eastAsia="da-DK"/>
              </w:rPr>
              <w:t>Ingen</w:t>
            </w:r>
          </w:p>
        </w:tc>
      </w:tr>
      <w:tr w:rsidR="006108C2" w:rsidRPr="007244D5" w14:paraId="6E96F2CF" w14:textId="77777777" w:rsidTr="00DF743A">
        <w:tc>
          <w:tcPr>
            <w:tcW w:w="1676" w:type="dxa"/>
            <w:tcBorders>
              <w:top w:val="single" w:sz="8" w:space="0" w:color="000000"/>
              <w:left w:val="single" w:sz="8" w:space="0" w:color="000000"/>
              <w:bottom w:val="single" w:sz="18" w:space="0" w:color="auto"/>
              <w:right w:val="single" w:sz="8" w:space="0" w:color="000000"/>
            </w:tcBorders>
            <w:hideMark/>
          </w:tcPr>
          <w:p w14:paraId="72E6A635" w14:textId="77777777" w:rsidR="006108C2" w:rsidRPr="007244D5" w:rsidRDefault="006108C2" w:rsidP="00DF743A">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Miljø- og naturmæssige konsekvenser</w:t>
            </w:r>
          </w:p>
        </w:tc>
        <w:tc>
          <w:tcPr>
            <w:tcW w:w="3685" w:type="dxa"/>
            <w:gridSpan w:val="2"/>
            <w:tcBorders>
              <w:top w:val="single" w:sz="8" w:space="0" w:color="000000"/>
              <w:left w:val="single" w:sz="8" w:space="0" w:color="000000"/>
              <w:bottom w:val="single" w:sz="18" w:space="0" w:color="auto"/>
              <w:right w:val="single" w:sz="8" w:space="0" w:color="000000"/>
            </w:tcBorders>
            <w:hideMark/>
          </w:tcPr>
          <w:p w14:paraId="15833472" w14:textId="611AD55C" w:rsidR="006108C2" w:rsidRPr="007244D5" w:rsidRDefault="00B232D4" w:rsidP="00DF743A">
            <w:pPr>
              <w:spacing w:after="240"/>
              <w:ind w:firstLine="238"/>
              <w:contextualSpacing/>
              <w:jc w:val="left"/>
              <w:rPr>
                <w:rFonts w:eastAsia="Times New Roman"/>
                <w:color w:val="000000"/>
                <w:sz w:val="24"/>
                <w:szCs w:val="24"/>
                <w:lang w:eastAsia="da-DK"/>
              </w:rPr>
            </w:pPr>
            <w:r>
              <w:rPr>
                <w:rFonts w:eastAsia="Times New Roman"/>
                <w:color w:val="000000"/>
                <w:sz w:val="24"/>
                <w:szCs w:val="24"/>
                <w:lang w:eastAsia="da-DK"/>
              </w:rPr>
              <w:t>Ingen</w:t>
            </w:r>
          </w:p>
        </w:tc>
        <w:tc>
          <w:tcPr>
            <w:tcW w:w="3569" w:type="dxa"/>
            <w:tcBorders>
              <w:top w:val="single" w:sz="8" w:space="0" w:color="000000"/>
              <w:left w:val="single" w:sz="8" w:space="0" w:color="000000"/>
              <w:bottom w:val="single" w:sz="18" w:space="0" w:color="auto"/>
              <w:right w:val="single" w:sz="8" w:space="0" w:color="000000"/>
            </w:tcBorders>
            <w:hideMark/>
          </w:tcPr>
          <w:p w14:paraId="36FD693C" w14:textId="58BFFFFE" w:rsidR="00B232D4" w:rsidRPr="00B232D4" w:rsidRDefault="00B232D4" w:rsidP="00B232D4">
            <w:pPr>
              <w:spacing w:after="240"/>
              <w:ind w:firstLine="238"/>
              <w:contextualSpacing/>
              <w:jc w:val="left"/>
              <w:rPr>
                <w:rFonts w:eastAsia="Times New Roman"/>
                <w:color w:val="000000"/>
                <w:sz w:val="24"/>
                <w:szCs w:val="24"/>
                <w:lang w:eastAsia="da-DK"/>
              </w:rPr>
            </w:pPr>
            <w:r w:rsidRPr="00B232D4">
              <w:rPr>
                <w:rFonts w:eastAsia="Times New Roman"/>
                <w:color w:val="000000"/>
                <w:sz w:val="24"/>
                <w:szCs w:val="24"/>
                <w:lang w:eastAsia="da-DK"/>
              </w:rPr>
              <w:t>Ingen</w:t>
            </w:r>
            <w:r w:rsidR="00010551">
              <w:rPr>
                <w:rFonts w:eastAsia="Times New Roman"/>
                <w:color w:val="000000"/>
                <w:sz w:val="24"/>
                <w:szCs w:val="24"/>
                <w:lang w:eastAsia="da-DK"/>
              </w:rPr>
              <w:t xml:space="preserve"> ændrede konsekvenser</w:t>
            </w:r>
            <w:r w:rsidRPr="00B232D4">
              <w:rPr>
                <w:rFonts w:eastAsia="Times New Roman"/>
                <w:color w:val="000000"/>
                <w:sz w:val="24"/>
                <w:szCs w:val="24"/>
                <w:lang w:eastAsia="da-DK"/>
              </w:rPr>
              <w:t>, da der er tale om tilvejebringelse af hjemmel til at videreføre de særlige støjr</w:t>
            </w:r>
            <w:r w:rsidR="00C72115">
              <w:rPr>
                <w:rFonts w:eastAsia="Times New Roman"/>
                <w:color w:val="000000"/>
                <w:sz w:val="24"/>
                <w:szCs w:val="24"/>
                <w:lang w:eastAsia="da-DK"/>
              </w:rPr>
              <w:t>ammer</w:t>
            </w:r>
            <w:r w:rsidRPr="00B232D4">
              <w:rPr>
                <w:rFonts w:eastAsia="Times New Roman"/>
                <w:color w:val="000000"/>
                <w:sz w:val="24"/>
                <w:szCs w:val="24"/>
                <w:lang w:eastAsia="da-DK"/>
              </w:rPr>
              <w:t>, der i dag gælder for Københavns Lufthavn, Kastrup.</w:t>
            </w:r>
          </w:p>
          <w:p w14:paraId="657FB02F" w14:textId="0E75B0BC" w:rsidR="006108C2" w:rsidRPr="007244D5" w:rsidRDefault="006108C2" w:rsidP="00DF743A">
            <w:pPr>
              <w:spacing w:after="240"/>
              <w:ind w:firstLine="238"/>
              <w:contextualSpacing/>
              <w:jc w:val="left"/>
              <w:rPr>
                <w:rFonts w:eastAsia="Times New Roman"/>
                <w:color w:val="000000"/>
                <w:sz w:val="24"/>
                <w:szCs w:val="24"/>
                <w:lang w:eastAsia="da-DK"/>
              </w:rPr>
            </w:pPr>
          </w:p>
        </w:tc>
      </w:tr>
      <w:tr w:rsidR="006108C2" w:rsidRPr="007244D5" w14:paraId="6E4814F1" w14:textId="77777777" w:rsidTr="00DF743A">
        <w:tc>
          <w:tcPr>
            <w:tcW w:w="1676" w:type="dxa"/>
            <w:tcBorders>
              <w:top w:val="single" w:sz="18" w:space="0" w:color="auto"/>
              <w:left w:val="single" w:sz="8" w:space="0" w:color="000000"/>
              <w:bottom w:val="single" w:sz="4" w:space="0" w:color="auto"/>
              <w:right w:val="single" w:sz="8" w:space="0" w:color="000000"/>
            </w:tcBorders>
            <w:hideMark/>
          </w:tcPr>
          <w:p w14:paraId="2FEDD314" w14:textId="77777777" w:rsidR="006108C2" w:rsidRPr="007244D5" w:rsidRDefault="006108C2" w:rsidP="00DF743A">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Forholdet til EU-retten</w:t>
            </w:r>
          </w:p>
        </w:tc>
        <w:tc>
          <w:tcPr>
            <w:tcW w:w="7254" w:type="dxa"/>
            <w:gridSpan w:val="3"/>
            <w:tcBorders>
              <w:top w:val="single" w:sz="18" w:space="0" w:color="auto"/>
              <w:left w:val="single" w:sz="8" w:space="0" w:color="000000"/>
              <w:bottom w:val="single" w:sz="4" w:space="0" w:color="auto"/>
              <w:right w:val="single" w:sz="8" w:space="0" w:color="000000"/>
            </w:tcBorders>
            <w:hideMark/>
          </w:tcPr>
          <w:p w14:paraId="51C7850D" w14:textId="161150D4" w:rsidR="006108C2" w:rsidRPr="007244D5" w:rsidRDefault="00B232D4" w:rsidP="00DF743A">
            <w:pPr>
              <w:spacing w:after="240"/>
              <w:contextualSpacing/>
              <w:jc w:val="left"/>
              <w:rPr>
                <w:sz w:val="24"/>
                <w:szCs w:val="24"/>
              </w:rPr>
            </w:pPr>
            <w:r w:rsidRPr="00B232D4">
              <w:rPr>
                <w:sz w:val="24"/>
                <w:szCs w:val="24"/>
              </w:rPr>
              <w:t>Regler om de overordnede støjforhold for lufthavnen udstedt i medfør af lovens § 5 vil blive fastsat med respekt af relevant EU-lovgivning.</w:t>
            </w:r>
          </w:p>
        </w:tc>
      </w:tr>
      <w:tr w:rsidR="007244D5" w:rsidRPr="007244D5" w14:paraId="3D912491" w14:textId="77777777" w:rsidTr="00D77DDB">
        <w:tc>
          <w:tcPr>
            <w:tcW w:w="1676" w:type="dxa"/>
            <w:tcBorders>
              <w:top w:val="single" w:sz="4" w:space="0" w:color="auto"/>
              <w:left w:val="single" w:sz="8" w:space="0" w:color="000000"/>
              <w:bottom w:val="single" w:sz="8" w:space="0" w:color="000000"/>
              <w:right w:val="single" w:sz="8" w:space="0" w:color="auto"/>
            </w:tcBorders>
          </w:tcPr>
          <w:p w14:paraId="5E585DDB" w14:textId="77777777" w:rsidR="007244D5" w:rsidRPr="007244D5" w:rsidRDefault="007244D5" w:rsidP="00DF743A">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Er i strid med de fem principper for implementering af erhvervsrettet EU-regulering (der i relevant omfang også gælder ved implementering af ikke-erhvervsrettet EU-regulering) (sæt X)</w:t>
            </w:r>
          </w:p>
        </w:tc>
        <w:tc>
          <w:tcPr>
            <w:tcW w:w="3627" w:type="dxa"/>
            <w:tcBorders>
              <w:top w:val="single" w:sz="8" w:space="0" w:color="auto"/>
              <w:left w:val="single" w:sz="8" w:space="0" w:color="auto"/>
              <w:bottom w:val="single" w:sz="8" w:space="0" w:color="auto"/>
            </w:tcBorders>
          </w:tcPr>
          <w:p w14:paraId="2795A52B" w14:textId="77777777" w:rsidR="007244D5" w:rsidRDefault="007244D5" w:rsidP="007244D5">
            <w:pPr>
              <w:spacing w:after="240"/>
              <w:ind w:firstLine="238"/>
              <w:contextualSpacing/>
              <w:jc w:val="center"/>
              <w:rPr>
                <w:sz w:val="24"/>
                <w:szCs w:val="24"/>
              </w:rPr>
            </w:pPr>
            <w:r>
              <w:rPr>
                <w:sz w:val="24"/>
                <w:szCs w:val="24"/>
              </w:rPr>
              <w:t>Ja</w:t>
            </w:r>
          </w:p>
          <w:p w14:paraId="7617091E" w14:textId="77777777" w:rsidR="007244D5" w:rsidRDefault="007244D5" w:rsidP="007244D5">
            <w:pPr>
              <w:spacing w:after="240"/>
              <w:ind w:firstLine="238"/>
              <w:contextualSpacing/>
              <w:jc w:val="center"/>
              <w:rPr>
                <w:sz w:val="24"/>
                <w:szCs w:val="24"/>
              </w:rPr>
            </w:pPr>
          </w:p>
          <w:p w14:paraId="112D8618" w14:textId="0531B62D" w:rsidR="007244D5" w:rsidRPr="007244D5" w:rsidRDefault="007244D5" w:rsidP="007244D5">
            <w:pPr>
              <w:spacing w:after="240"/>
              <w:ind w:firstLine="238"/>
              <w:contextualSpacing/>
              <w:jc w:val="center"/>
              <w:rPr>
                <w:sz w:val="24"/>
                <w:szCs w:val="24"/>
              </w:rPr>
            </w:pPr>
          </w:p>
        </w:tc>
        <w:tc>
          <w:tcPr>
            <w:tcW w:w="3627" w:type="dxa"/>
            <w:gridSpan w:val="2"/>
            <w:tcBorders>
              <w:top w:val="single" w:sz="8" w:space="0" w:color="auto"/>
              <w:left w:val="nil"/>
              <w:bottom w:val="single" w:sz="8" w:space="0" w:color="auto"/>
              <w:right w:val="single" w:sz="8" w:space="0" w:color="auto"/>
            </w:tcBorders>
          </w:tcPr>
          <w:p w14:paraId="2119C056" w14:textId="77777777" w:rsidR="007244D5" w:rsidRDefault="007244D5" w:rsidP="007244D5">
            <w:pPr>
              <w:tabs>
                <w:tab w:val="left" w:pos="1991"/>
                <w:tab w:val="left" w:pos="5522"/>
              </w:tabs>
              <w:spacing w:after="240"/>
              <w:contextualSpacing/>
              <w:jc w:val="center"/>
              <w:rPr>
                <w:sz w:val="24"/>
                <w:szCs w:val="24"/>
              </w:rPr>
            </w:pPr>
            <w:r>
              <w:rPr>
                <w:sz w:val="24"/>
                <w:szCs w:val="24"/>
              </w:rPr>
              <w:t>Nej</w:t>
            </w:r>
          </w:p>
          <w:p w14:paraId="02A96040" w14:textId="77777777" w:rsidR="007244D5" w:rsidRDefault="007244D5" w:rsidP="007244D5">
            <w:pPr>
              <w:tabs>
                <w:tab w:val="left" w:pos="1991"/>
                <w:tab w:val="left" w:pos="5522"/>
              </w:tabs>
              <w:spacing w:after="240"/>
              <w:contextualSpacing/>
              <w:jc w:val="center"/>
              <w:rPr>
                <w:sz w:val="24"/>
                <w:szCs w:val="24"/>
              </w:rPr>
            </w:pPr>
          </w:p>
          <w:p w14:paraId="1B1F0BDE" w14:textId="6000733E" w:rsidR="007244D5" w:rsidRPr="007244D5" w:rsidRDefault="007244D5" w:rsidP="007244D5">
            <w:pPr>
              <w:tabs>
                <w:tab w:val="left" w:pos="1991"/>
                <w:tab w:val="left" w:pos="5522"/>
              </w:tabs>
              <w:spacing w:after="240"/>
              <w:contextualSpacing/>
              <w:jc w:val="center"/>
              <w:rPr>
                <w:sz w:val="24"/>
                <w:szCs w:val="24"/>
              </w:rPr>
            </w:pPr>
            <w:r w:rsidRPr="007244D5">
              <w:rPr>
                <w:sz w:val="24"/>
                <w:szCs w:val="24"/>
              </w:rPr>
              <w:t>X</w:t>
            </w:r>
          </w:p>
          <w:p w14:paraId="11171519" w14:textId="77777777" w:rsidR="007244D5" w:rsidRPr="007244D5" w:rsidRDefault="007244D5" w:rsidP="007244D5">
            <w:pPr>
              <w:tabs>
                <w:tab w:val="left" w:pos="2116"/>
              </w:tabs>
              <w:spacing w:after="240"/>
              <w:contextualSpacing/>
              <w:jc w:val="center"/>
              <w:rPr>
                <w:sz w:val="24"/>
                <w:szCs w:val="24"/>
              </w:rPr>
            </w:pPr>
          </w:p>
        </w:tc>
      </w:tr>
    </w:tbl>
    <w:p w14:paraId="0434A945" w14:textId="77777777" w:rsidR="006108C2" w:rsidRPr="007244D5" w:rsidRDefault="006108C2" w:rsidP="006108C2">
      <w:pPr>
        <w:spacing w:after="160"/>
        <w:rPr>
          <w:rFonts w:eastAsia="Calibri" w:cs="Times New Roman"/>
          <w:sz w:val="24"/>
          <w:szCs w:val="24"/>
        </w:rPr>
      </w:pPr>
    </w:p>
    <w:p w14:paraId="734E6054" w14:textId="77777777" w:rsidR="006108C2" w:rsidRPr="007244D5" w:rsidRDefault="006108C2" w:rsidP="006108C2">
      <w:pPr>
        <w:spacing w:after="160"/>
        <w:ind w:firstLine="238"/>
        <w:jc w:val="center"/>
        <w:rPr>
          <w:rFonts w:eastAsia="Calibri" w:cs="Times New Roman"/>
          <w:i/>
          <w:sz w:val="24"/>
          <w:szCs w:val="24"/>
        </w:rPr>
        <w:sectPr w:rsidR="006108C2" w:rsidRPr="007244D5" w:rsidSect="00DF743A">
          <w:pgSz w:w="11906" w:h="16838" w:code="9"/>
          <w:pgMar w:top="1418" w:right="3260" w:bottom="1134" w:left="1418" w:header="0" w:footer="709" w:gutter="0"/>
          <w:paperSrc w:first="15" w:other="15"/>
          <w:cols w:space="708"/>
          <w:titlePg/>
          <w:docGrid w:linePitch="360"/>
        </w:sectPr>
      </w:pPr>
    </w:p>
    <w:p w14:paraId="20D2736C" w14:textId="77777777" w:rsidR="006108C2" w:rsidRPr="007244D5" w:rsidRDefault="006108C2" w:rsidP="006108C2">
      <w:pPr>
        <w:spacing w:after="240"/>
        <w:ind w:firstLine="238"/>
        <w:jc w:val="center"/>
        <w:rPr>
          <w:rFonts w:eastAsia="Calibri" w:cs="Times New Roman"/>
          <w:i/>
          <w:sz w:val="24"/>
          <w:szCs w:val="24"/>
        </w:rPr>
      </w:pPr>
      <w:r w:rsidRPr="007244D5">
        <w:rPr>
          <w:rFonts w:eastAsia="Calibri" w:cs="Times New Roman"/>
          <w:i/>
          <w:sz w:val="24"/>
          <w:szCs w:val="24"/>
        </w:rPr>
        <w:lastRenderedPageBreak/>
        <w:t>Bemærkninger til lovforslagets enkelte bestemmelser</w:t>
      </w:r>
    </w:p>
    <w:p w14:paraId="44A2C848" w14:textId="77777777" w:rsidR="006108C2" w:rsidRPr="007244D5" w:rsidRDefault="006108C2" w:rsidP="006108C2">
      <w:pPr>
        <w:spacing w:after="240"/>
        <w:ind w:firstLine="238"/>
        <w:jc w:val="center"/>
        <w:rPr>
          <w:rFonts w:eastAsia="Calibri" w:cs="Times New Roman"/>
          <w:i/>
          <w:sz w:val="24"/>
          <w:szCs w:val="24"/>
        </w:rPr>
      </w:pPr>
      <w:r w:rsidRPr="007244D5">
        <w:rPr>
          <w:rFonts w:eastAsia="Calibri" w:cs="Times New Roman"/>
          <w:i/>
          <w:sz w:val="24"/>
          <w:szCs w:val="24"/>
        </w:rPr>
        <w:t>Til § 1</w:t>
      </w:r>
    </w:p>
    <w:p w14:paraId="33EA4806" w14:textId="77777777" w:rsidR="006108C2" w:rsidRPr="007244D5" w:rsidRDefault="006108C2" w:rsidP="006108C2">
      <w:pPr>
        <w:spacing w:after="240"/>
        <w:rPr>
          <w:rFonts w:eastAsia="Calibri" w:cs="Times New Roman"/>
          <w:sz w:val="24"/>
          <w:szCs w:val="24"/>
        </w:rPr>
      </w:pPr>
      <w:r w:rsidRPr="007244D5">
        <w:rPr>
          <w:rFonts w:eastAsia="Calibri" w:cs="Times New Roman"/>
          <w:sz w:val="24"/>
          <w:szCs w:val="24"/>
        </w:rPr>
        <w:t>Til nr. 1</w:t>
      </w:r>
    </w:p>
    <w:p w14:paraId="217028B6" w14:textId="77777777" w:rsidR="009830CA" w:rsidRPr="009830CA" w:rsidRDefault="009830CA" w:rsidP="009830CA">
      <w:pPr>
        <w:spacing w:after="240"/>
        <w:rPr>
          <w:rFonts w:eastAsia="Calibri" w:cs="Times New Roman"/>
          <w:sz w:val="24"/>
          <w:szCs w:val="24"/>
        </w:rPr>
      </w:pPr>
      <w:r w:rsidRPr="009830CA">
        <w:rPr>
          <w:rFonts w:eastAsia="Calibri" w:cs="Times New Roman"/>
          <w:sz w:val="24"/>
          <w:szCs w:val="24"/>
        </w:rPr>
        <w:t xml:space="preserve">Det følger af § 5 i arealanvendelsesloven, at transportministeren efter forhandling med ministeren for landdistrikter og miljøministeren kan fastsætte nærmere regler for varetagelse af plan- og miljøhensyn i forbindelse med drift og udvikling af Københavns Lufthavn, Kastrup. Det følger af bemærkningerne til bestemmelsen, at de overordnede støj- og luftforhold for lufthavnen reguleres i den relevante plan- og miljølovgivning. </w:t>
      </w:r>
    </w:p>
    <w:p w14:paraId="66D6972C" w14:textId="13DCE969" w:rsidR="009830CA" w:rsidRPr="009830CA" w:rsidRDefault="009830CA" w:rsidP="009830CA">
      <w:pPr>
        <w:spacing w:after="240"/>
        <w:rPr>
          <w:rFonts w:eastAsia="Calibri" w:cs="Times New Roman"/>
          <w:sz w:val="24"/>
          <w:szCs w:val="24"/>
        </w:rPr>
      </w:pPr>
      <w:r w:rsidRPr="009830CA">
        <w:rPr>
          <w:rFonts w:eastAsia="Calibri" w:cs="Times New Roman"/>
          <w:sz w:val="24"/>
          <w:szCs w:val="24"/>
        </w:rPr>
        <w:t xml:space="preserve">Det foreslås i arealanvendelseslovens </w:t>
      </w:r>
      <w:r w:rsidRPr="009830CA">
        <w:rPr>
          <w:rFonts w:eastAsia="Calibri" w:cs="Times New Roman"/>
          <w:i/>
          <w:iCs/>
          <w:sz w:val="24"/>
          <w:szCs w:val="24"/>
        </w:rPr>
        <w:t>§ 5, stk. 1,</w:t>
      </w:r>
      <w:r w:rsidRPr="009830CA">
        <w:rPr>
          <w:rFonts w:eastAsia="Calibri" w:cs="Times New Roman"/>
          <w:sz w:val="24"/>
          <w:szCs w:val="24"/>
        </w:rPr>
        <w:t xml:space="preserve"> at</w:t>
      </w:r>
      <w:r w:rsidR="00B4108E" w:rsidRPr="009830CA">
        <w:rPr>
          <w:rFonts w:eastAsia="Calibri" w:cs="Times New Roman"/>
          <w:sz w:val="24"/>
          <w:szCs w:val="24"/>
        </w:rPr>
        <w:t xml:space="preserve"> »lufthavnens overordnede støjforhold og for« indsættes efter</w:t>
      </w:r>
      <w:r w:rsidR="00B4108E">
        <w:rPr>
          <w:rFonts w:eastAsia="Calibri" w:cs="Times New Roman"/>
          <w:sz w:val="24"/>
          <w:szCs w:val="24"/>
        </w:rPr>
        <w:t xml:space="preserve"> </w:t>
      </w:r>
      <w:r w:rsidRPr="009830CA">
        <w:rPr>
          <w:rFonts w:eastAsia="Calibri" w:cs="Times New Roman"/>
          <w:sz w:val="24"/>
          <w:szCs w:val="24"/>
        </w:rPr>
        <w:t>»fastsætte nærmere regler for«</w:t>
      </w:r>
      <w:r w:rsidR="00B4108E">
        <w:rPr>
          <w:rFonts w:eastAsia="Calibri" w:cs="Times New Roman"/>
          <w:sz w:val="24"/>
          <w:szCs w:val="24"/>
        </w:rPr>
        <w:t>.</w:t>
      </w:r>
      <w:r w:rsidRPr="009830CA">
        <w:rPr>
          <w:rFonts w:eastAsia="Calibri" w:cs="Times New Roman"/>
          <w:sz w:val="24"/>
          <w:szCs w:val="24"/>
        </w:rPr>
        <w:t xml:space="preserve"> </w:t>
      </w:r>
    </w:p>
    <w:p w14:paraId="517250A5" w14:textId="74463758" w:rsidR="009830CA" w:rsidRPr="009830CA" w:rsidRDefault="009830CA" w:rsidP="009830CA">
      <w:pPr>
        <w:spacing w:after="240"/>
        <w:rPr>
          <w:rFonts w:eastAsia="Calibri" w:cs="Times New Roman"/>
          <w:sz w:val="24"/>
          <w:szCs w:val="24"/>
        </w:rPr>
      </w:pPr>
      <w:r w:rsidRPr="009830CA">
        <w:rPr>
          <w:rFonts w:eastAsia="Calibri" w:cs="Times New Roman"/>
          <w:sz w:val="24"/>
          <w:szCs w:val="24"/>
        </w:rPr>
        <w:t xml:space="preserve">Den foreslåede bestemmelse vil medføre, at transportministeren efter forhandling med ministeren for </w:t>
      </w:r>
      <w:r w:rsidR="00D5334F">
        <w:rPr>
          <w:rFonts w:eastAsia="Calibri" w:cs="Times New Roman"/>
          <w:sz w:val="24"/>
          <w:szCs w:val="24"/>
        </w:rPr>
        <w:t xml:space="preserve">byer og </w:t>
      </w:r>
      <w:r w:rsidRPr="009830CA">
        <w:rPr>
          <w:rFonts w:eastAsia="Calibri" w:cs="Times New Roman"/>
          <w:sz w:val="24"/>
          <w:szCs w:val="24"/>
        </w:rPr>
        <w:t>landdistrikter og miljøministeren kan fastsætte nærmere regler for varetagelse af de overordnede støjforhold i Københavns Lufthavn, Kastrup. Bestemmelsen vil sikre, at der på tværs af de relevante ressortministerier vil kunne fastsættes nærmere regler for varetagelsen af de overordnede støjforhold for Københavns Lufthavn, Kastrup med forankring i Transportministeriet som ansvarlig myndighed for vurderingen af lufthavnens samfundsmæssige betydning.</w:t>
      </w:r>
    </w:p>
    <w:p w14:paraId="298CA5BB" w14:textId="5FDE8067" w:rsidR="009830CA" w:rsidRPr="009830CA" w:rsidRDefault="009830CA" w:rsidP="009830CA">
      <w:pPr>
        <w:spacing w:after="240"/>
        <w:rPr>
          <w:rFonts w:eastAsia="Calibri" w:cs="Times New Roman"/>
          <w:sz w:val="24"/>
          <w:szCs w:val="24"/>
        </w:rPr>
      </w:pPr>
      <w:r w:rsidRPr="009830CA">
        <w:rPr>
          <w:rFonts w:eastAsia="Calibri" w:cs="Times New Roman"/>
          <w:sz w:val="24"/>
          <w:szCs w:val="24"/>
        </w:rPr>
        <w:t xml:space="preserve">Det er hensigten at udmønte bemyndigelsen ved i bekendtgørelsesform at videreføre de særlige </w:t>
      </w:r>
      <w:r w:rsidR="00C72115">
        <w:rPr>
          <w:rFonts w:eastAsia="Calibri" w:cs="Times New Roman"/>
          <w:sz w:val="24"/>
          <w:szCs w:val="24"/>
        </w:rPr>
        <w:t>rammer for</w:t>
      </w:r>
      <w:r w:rsidRPr="009830CA">
        <w:rPr>
          <w:rFonts w:eastAsia="Calibri" w:cs="Times New Roman"/>
          <w:sz w:val="24"/>
          <w:szCs w:val="24"/>
        </w:rPr>
        <w:t xml:space="preserve"> de overordnede støjforhold for Københavns Lufthavn, Kastrup, som i dag findes i støjcirkulæret. Bestemmelsen vil eksempelvis kunne anvendes til at fastsætte grænser for støjbelastningen fra starter, landinger og taxikørsel med fly. Bestemmelsen vil endvidere kunne anvendes til at fastlægge, hvor motorafprøvninger eller anden særligt støjende aktivitet må finde sted. </w:t>
      </w:r>
    </w:p>
    <w:p w14:paraId="0ABEC5E7" w14:textId="77777777" w:rsidR="006108C2" w:rsidRPr="007244D5" w:rsidRDefault="006108C2" w:rsidP="006108C2">
      <w:pPr>
        <w:spacing w:after="240"/>
        <w:ind w:firstLine="238"/>
        <w:jc w:val="center"/>
        <w:rPr>
          <w:rFonts w:cs="Times New Roman"/>
          <w:i/>
          <w:sz w:val="24"/>
          <w:szCs w:val="24"/>
        </w:rPr>
      </w:pPr>
      <w:r w:rsidRPr="007244D5">
        <w:rPr>
          <w:rFonts w:cs="Times New Roman"/>
          <w:i/>
          <w:sz w:val="24"/>
          <w:szCs w:val="24"/>
        </w:rPr>
        <w:t>Til § 2</w:t>
      </w:r>
    </w:p>
    <w:p w14:paraId="53BAD641" w14:textId="24318613" w:rsidR="006108C2" w:rsidRPr="007244D5" w:rsidRDefault="009830CA" w:rsidP="006108C2">
      <w:pPr>
        <w:spacing w:after="240"/>
        <w:rPr>
          <w:rFonts w:cs="Times New Roman"/>
          <w:sz w:val="24"/>
          <w:szCs w:val="24"/>
        </w:rPr>
      </w:pPr>
      <w:r w:rsidRPr="009830CA">
        <w:rPr>
          <w:rFonts w:cs="Times New Roman"/>
          <w:sz w:val="24"/>
          <w:szCs w:val="24"/>
        </w:rPr>
        <w:t xml:space="preserve">Det foreslås i </w:t>
      </w:r>
      <w:r w:rsidRPr="009830CA">
        <w:rPr>
          <w:rFonts w:cs="Times New Roman"/>
          <w:i/>
          <w:iCs/>
          <w:sz w:val="24"/>
          <w:szCs w:val="24"/>
        </w:rPr>
        <w:t xml:space="preserve">stk. 1, </w:t>
      </w:r>
      <w:r w:rsidRPr="009830CA">
        <w:rPr>
          <w:rFonts w:cs="Times New Roman"/>
          <w:sz w:val="24"/>
          <w:szCs w:val="24"/>
        </w:rPr>
        <w:t>at loven træder i kraft den 1. januar 2026.</w:t>
      </w:r>
    </w:p>
    <w:p w14:paraId="6D2F8CCF" w14:textId="77777777" w:rsidR="006108C2" w:rsidRPr="007244D5" w:rsidRDefault="006108C2" w:rsidP="006108C2">
      <w:pPr>
        <w:pageBreakBefore/>
        <w:spacing w:after="240"/>
        <w:jc w:val="right"/>
        <w:rPr>
          <w:b/>
          <w:sz w:val="24"/>
          <w:szCs w:val="24"/>
        </w:rPr>
      </w:pPr>
      <w:r w:rsidRPr="007244D5">
        <w:rPr>
          <w:b/>
          <w:sz w:val="24"/>
          <w:szCs w:val="24"/>
        </w:rPr>
        <w:lastRenderedPageBreak/>
        <w:t>Bilag 1</w:t>
      </w:r>
    </w:p>
    <w:p w14:paraId="5439D231" w14:textId="77777777" w:rsidR="006108C2" w:rsidRPr="007244D5" w:rsidRDefault="006108C2" w:rsidP="006108C2">
      <w:pPr>
        <w:spacing w:after="240"/>
        <w:jc w:val="center"/>
        <w:rPr>
          <w:b/>
          <w:sz w:val="24"/>
          <w:szCs w:val="24"/>
        </w:rPr>
      </w:pPr>
      <w:r w:rsidRPr="007244D5">
        <w:rPr>
          <w:b/>
          <w:sz w:val="24"/>
          <w:szCs w:val="24"/>
        </w:rPr>
        <w:t>Lovforslaget sammenholdt med gældende lov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610"/>
        <w:gridCol w:w="3608"/>
      </w:tblGrid>
      <w:tr w:rsidR="001C4AA3" w:rsidRPr="00397F77" w14:paraId="61C30976" w14:textId="77777777" w:rsidTr="00261665">
        <w:tc>
          <w:tcPr>
            <w:tcW w:w="3610" w:type="dxa"/>
          </w:tcPr>
          <w:p w14:paraId="4223A0AF" w14:textId="77777777" w:rsidR="001C4AA3" w:rsidRPr="00397F77" w:rsidRDefault="001C4AA3" w:rsidP="00261665">
            <w:pPr>
              <w:spacing w:after="240"/>
              <w:contextualSpacing/>
              <w:jc w:val="center"/>
              <w:rPr>
                <w:rFonts w:eastAsia="Calibri" w:cs="Times New Roman"/>
                <w:i/>
                <w:sz w:val="24"/>
                <w:szCs w:val="24"/>
              </w:rPr>
            </w:pPr>
            <w:r w:rsidRPr="00397F77">
              <w:rPr>
                <w:rFonts w:eastAsia="Calibri" w:cs="Times New Roman"/>
                <w:i/>
                <w:sz w:val="24"/>
                <w:szCs w:val="24"/>
              </w:rPr>
              <w:t>Gældende formulering</w:t>
            </w:r>
          </w:p>
        </w:tc>
        <w:tc>
          <w:tcPr>
            <w:tcW w:w="3608" w:type="dxa"/>
          </w:tcPr>
          <w:p w14:paraId="6BD83DAD" w14:textId="77777777" w:rsidR="001C4AA3" w:rsidRPr="00397F77" w:rsidRDefault="001C4AA3" w:rsidP="00261665">
            <w:pPr>
              <w:spacing w:after="240"/>
              <w:contextualSpacing/>
              <w:jc w:val="center"/>
              <w:rPr>
                <w:rFonts w:eastAsia="Calibri" w:cs="Times New Roman"/>
                <w:i/>
                <w:sz w:val="24"/>
                <w:szCs w:val="24"/>
              </w:rPr>
            </w:pPr>
            <w:r w:rsidRPr="00397F77">
              <w:rPr>
                <w:rFonts w:eastAsia="Calibri" w:cs="Times New Roman"/>
                <w:i/>
                <w:sz w:val="24"/>
                <w:szCs w:val="24"/>
              </w:rPr>
              <w:t>Lovforslaget</w:t>
            </w:r>
          </w:p>
        </w:tc>
      </w:tr>
      <w:tr w:rsidR="001C4AA3" w:rsidRPr="00397F77" w14:paraId="7B9A525C" w14:textId="77777777" w:rsidTr="00261665">
        <w:tc>
          <w:tcPr>
            <w:tcW w:w="3610" w:type="dxa"/>
          </w:tcPr>
          <w:p w14:paraId="124ED833" w14:textId="77777777" w:rsidR="001C4AA3" w:rsidRPr="00397F77" w:rsidRDefault="001C4AA3" w:rsidP="00261665">
            <w:pPr>
              <w:spacing w:after="240"/>
              <w:contextualSpacing/>
              <w:jc w:val="center"/>
              <w:rPr>
                <w:rFonts w:eastAsia="Calibri" w:cs="Times New Roman"/>
                <w:i/>
                <w:sz w:val="24"/>
                <w:szCs w:val="24"/>
              </w:rPr>
            </w:pPr>
          </w:p>
        </w:tc>
        <w:tc>
          <w:tcPr>
            <w:tcW w:w="3608" w:type="dxa"/>
          </w:tcPr>
          <w:p w14:paraId="75C8D851" w14:textId="77777777" w:rsidR="001C4AA3" w:rsidRPr="00397F77" w:rsidRDefault="001C4AA3" w:rsidP="00261665">
            <w:pPr>
              <w:spacing w:after="240"/>
              <w:contextualSpacing/>
              <w:jc w:val="center"/>
              <w:rPr>
                <w:rFonts w:eastAsia="Calibri" w:cs="Times New Roman"/>
                <w:sz w:val="24"/>
                <w:szCs w:val="24"/>
              </w:rPr>
            </w:pPr>
          </w:p>
          <w:p w14:paraId="351F99AE" w14:textId="77777777" w:rsidR="001C4AA3" w:rsidRPr="00397F77" w:rsidRDefault="001C4AA3" w:rsidP="00261665">
            <w:pPr>
              <w:spacing w:after="240"/>
              <w:contextualSpacing/>
              <w:jc w:val="center"/>
              <w:rPr>
                <w:rFonts w:eastAsia="Calibri" w:cs="Times New Roman"/>
                <w:b/>
                <w:sz w:val="24"/>
                <w:szCs w:val="24"/>
              </w:rPr>
            </w:pPr>
            <w:r w:rsidRPr="00397F77">
              <w:rPr>
                <w:rFonts w:eastAsia="Calibri" w:cs="Times New Roman"/>
                <w:b/>
                <w:sz w:val="24"/>
                <w:szCs w:val="24"/>
              </w:rPr>
              <w:t>§ 1</w:t>
            </w:r>
          </w:p>
          <w:p w14:paraId="1857849A" w14:textId="77777777" w:rsidR="001C4AA3" w:rsidRPr="00397F77" w:rsidRDefault="001C4AA3" w:rsidP="00261665">
            <w:pPr>
              <w:spacing w:after="240"/>
              <w:contextualSpacing/>
              <w:rPr>
                <w:rFonts w:eastAsia="Calibri" w:cs="Times New Roman"/>
                <w:sz w:val="24"/>
                <w:szCs w:val="24"/>
              </w:rPr>
            </w:pPr>
            <w:r w:rsidRPr="00F75794">
              <w:rPr>
                <w:rFonts w:eastAsia="Calibri" w:cs="Times New Roman"/>
                <w:sz w:val="24"/>
                <w:szCs w:val="24"/>
              </w:rPr>
              <w:t>I lov nr. 1537 af 12. december 2023 om rammerne for arealanvendelsen i Københavns Lufthavn, Kastrup, foretages følgende ændring:</w:t>
            </w:r>
          </w:p>
          <w:p w14:paraId="7086B9FF" w14:textId="77777777" w:rsidR="001C4AA3" w:rsidRPr="00397F77" w:rsidRDefault="001C4AA3" w:rsidP="00261665">
            <w:pPr>
              <w:spacing w:after="240"/>
              <w:contextualSpacing/>
              <w:rPr>
                <w:rFonts w:eastAsia="Calibri" w:cs="Times New Roman"/>
                <w:sz w:val="24"/>
                <w:szCs w:val="24"/>
              </w:rPr>
            </w:pPr>
          </w:p>
        </w:tc>
      </w:tr>
      <w:tr w:rsidR="001C4AA3" w:rsidRPr="00397F77" w14:paraId="77C1FA6D" w14:textId="77777777" w:rsidTr="00261665">
        <w:tc>
          <w:tcPr>
            <w:tcW w:w="3610" w:type="dxa"/>
          </w:tcPr>
          <w:p w14:paraId="6A5694D2" w14:textId="77777777" w:rsidR="001C4AA3" w:rsidRDefault="001C4AA3" w:rsidP="00261665">
            <w:pPr>
              <w:spacing w:after="240"/>
              <w:contextualSpacing/>
              <w:rPr>
                <w:rFonts w:eastAsia="Calibri" w:cs="Times New Roman"/>
                <w:b/>
                <w:sz w:val="24"/>
                <w:szCs w:val="24"/>
              </w:rPr>
            </w:pPr>
            <w:r w:rsidRPr="00397F77">
              <w:rPr>
                <w:rFonts w:eastAsia="Calibri" w:cs="Times New Roman"/>
                <w:b/>
                <w:sz w:val="24"/>
                <w:szCs w:val="24"/>
              </w:rPr>
              <w:t xml:space="preserve">§ </w:t>
            </w:r>
            <w:r>
              <w:rPr>
                <w:rFonts w:eastAsia="Calibri" w:cs="Times New Roman"/>
                <w:b/>
                <w:sz w:val="24"/>
                <w:szCs w:val="24"/>
              </w:rPr>
              <w:t xml:space="preserve">5 </w:t>
            </w:r>
          </w:p>
          <w:p w14:paraId="169830CE" w14:textId="77777777" w:rsidR="001C4AA3" w:rsidRPr="00005DA4" w:rsidRDefault="001C4AA3" w:rsidP="00261665">
            <w:pPr>
              <w:spacing w:after="240"/>
              <w:contextualSpacing/>
              <w:rPr>
                <w:rFonts w:eastAsia="Calibri" w:cs="Times New Roman"/>
                <w:b/>
                <w:sz w:val="24"/>
                <w:szCs w:val="24"/>
              </w:rPr>
            </w:pPr>
            <w:r w:rsidRPr="00F75794">
              <w:rPr>
                <w:rFonts w:eastAsia="Calibri" w:cs="Times New Roman"/>
                <w:i/>
                <w:sz w:val="24"/>
                <w:szCs w:val="24"/>
              </w:rPr>
              <w:t xml:space="preserve">Stk. 1. </w:t>
            </w:r>
            <w:r w:rsidRPr="00F75794">
              <w:rPr>
                <w:rFonts w:eastAsia="Calibri" w:cs="Times New Roman"/>
                <w:sz w:val="24"/>
                <w:szCs w:val="24"/>
              </w:rPr>
              <w:t>Transportministeren kan efter forhandling med ministeren for landdistrikter og miljøministeren fastsætte nærmere regler for varetagelse af plan- og miljøhensyn i forbindelse med drift og udvikling af Københavns Lufthavn, Kastrup.</w:t>
            </w:r>
          </w:p>
          <w:p w14:paraId="6795139E" w14:textId="77777777" w:rsidR="001C4AA3" w:rsidRPr="00397F77" w:rsidRDefault="001C4AA3" w:rsidP="00261665">
            <w:pPr>
              <w:spacing w:after="240"/>
              <w:contextualSpacing/>
              <w:rPr>
                <w:rFonts w:eastAsia="Calibri" w:cs="Times New Roman"/>
                <w:sz w:val="24"/>
                <w:szCs w:val="24"/>
              </w:rPr>
            </w:pPr>
          </w:p>
        </w:tc>
        <w:tc>
          <w:tcPr>
            <w:tcW w:w="3608" w:type="dxa"/>
          </w:tcPr>
          <w:p w14:paraId="5D1E8ADC" w14:textId="77777777" w:rsidR="001C4AA3" w:rsidRPr="00397F77" w:rsidRDefault="001C4AA3" w:rsidP="00261665">
            <w:pPr>
              <w:spacing w:after="240"/>
              <w:contextualSpacing/>
              <w:rPr>
                <w:rFonts w:eastAsia="Calibri" w:cs="Times New Roman"/>
                <w:sz w:val="24"/>
                <w:szCs w:val="24"/>
              </w:rPr>
            </w:pPr>
            <w:r w:rsidRPr="00397F77">
              <w:rPr>
                <w:rFonts w:eastAsia="Calibri" w:cs="Times New Roman"/>
                <w:b/>
                <w:sz w:val="24"/>
                <w:szCs w:val="24"/>
              </w:rPr>
              <w:t>1.</w:t>
            </w:r>
            <w:r w:rsidRPr="00397F77">
              <w:rPr>
                <w:rFonts w:eastAsia="Calibri" w:cs="Times New Roman"/>
                <w:sz w:val="24"/>
                <w:szCs w:val="24"/>
              </w:rPr>
              <w:t xml:space="preserve"> </w:t>
            </w:r>
            <w:r>
              <w:rPr>
                <w:rFonts w:eastAsia="Calibri" w:cs="Times New Roman"/>
                <w:sz w:val="24"/>
                <w:szCs w:val="24"/>
              </w:rPr>
              <w:t>I</w:t>
            </w:r>
            <w:r w:rsidRPr="00F75794">
              <w:rPr>
                <w:rFonts w:eastAsia="Calibri" w:cs="Times New Roman"/>
                <w:i/>
                <w:sz w:val="24"/>
                <w:szCs w:val="24"/>
              </w:rPr>
              <w:t xml:space="preserve"> </w:t>
            </w:r>
            <w:r w:rsidRPr="00F75794">
              <w:rPr>
                <w:rFonts w:eastAsia="Calibri" w:cs="Times New Roman"/>
                <w:i/>
                <w:iCs/>
                <w:sz w:val="24"/>
                <w:szCs w:val="24"/>
              </w:rPr>
              <w:t>§ 5, stk. 1,</w:t>
            </w:r>
            <w:r w:rsidRPr="00F75794">
              <w:rPr>
                <w:rFonts w:eastAsia="Calibri" w:cs="Times New Roman"/>
                <w:sz w:val="24"/>
                <w:szCs w:val="24"/>
              </w:rPr>
              <w:t xml:space="preserve"> indsættes efter »fastsætte nærmere regler for«: »lufthavnens overordnede støjforhold og for«. </w:t>
            </w:r>
            <w:r w:rsidRPr="00F75794">
              <w:rPr>
                <w:rFonts w:eastAsia="Calibri" w:cs="Times New Roman"/>
                <w:i/>
                <w:sz w:val="24"/>
                <w:szCs w:val="24"/>
              </w:rPr>
              <w:tab/>
            </w:r>
          </w:p>
        </w:tc>
      </w:tr>
    </w:tbl>
    <w:p w14:paraId="2D47CBAF" w14:textId="18686128" w:rsidR="006108C2" w:rsidRDefault="006108C2" w:rsidP="006108C2"/>
    <w:p w14:paraId="776404A9" w14:textId="77777777" w:rsidR="00517D5B" w:rsidRPr="005C5198" w:rsidRDefault="00517D5B" w:rsidP="006108C2"/>
    <w:p w14:paraId="0A6EAD58" w14:textId="77777777" w:rsidR="00D85865" w:rsidRDefault="00D85865" w:rsidP="00973597"/>
    <w:sectPr w:rsidR="00D85865" w:rsidSect="002E3EA1">
      <w:footerReference w:type="default" r:id="rId16"/>
      <w:headerReference w:type="first" r:id="rId17"/>
      <w:footerReference w:type="first" r:id="rId18"/>
      <w:pgSz w:w="11906" w:h="16838" w:code="9"/>
      <w:pgMar w:top="1418" w:right="3260" w:bottom="1531"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8094E" w14:textId="77777777" w:rsidR="00C27AD1" w:rsidRDefault="00C27AD1" w:rsidP="00D712BA">
      <w:pPr>
        <w:spacing w:line="240" w:lineRule="auto"/>
      </w:pPr>
      <w:r>
        <w:separator/>
      </w:r>
    </w:p>
  </w:endnote>
  <w:endnote w:type="continuationSeparator" w:id="0">
    <w:p w14:paraId="29091D25" w14:textId="77777777" w:rsidR="00C27AD1" w:rsidRDefault="00C27AD1" w:rsidP="00D71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146F" w14:textId="77777777" w:rsidR="00D310E9" w:rsidRDefault="00D310E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8444" w:tblpY="15724"/>
      <w:tblOverlap w:val="never"/>
      <w:tblW w:w="1418" w:type="dxa"/>
      <w:tblCellMar>
        <w:left w:w="0" w:type="dxa"/>
        <w:right w:w="0" w:type="dxa"/>
      </w:tblCellMar>
      <w:tblLook w:val="04A0" w:firstRow="1" w:lastRow="0" w:firstColumn="1" w:lastColumn="0" w:noHBand="0" w:noVBand="1"/>
    </w:tblPr>
    <w:tblGrid>
      <w:gridCol w:w="1418"/>
    </w:tblGrid>
    <w:tr w:rsidR="00D07139" w14:paraId="79481E7C" w14:textId="77777777" w:rsidTr="007112C6">
      <w:trPr>
        <w:trHeight w:val="255"/>
      </w:trPr>
      <w:tc>
        <w:tcPr>
          <w:tcW w:w="1418" w:type="dxa"/>
          <w:hideMark/>
        </w:tcPr>
        <w:p w14:paraId="320EB525" w14:textId="77777777" w:rsidR="00D07139" w:rsidRPr="006A1B98" w:rsidRDefault="00D07139">
          <w:pPr>
            <w:pStyle w:val="Sidefod"/>
            <w:rPr>
              <w:sz w:val="16"/>
              <w:szCs w:val="16"/>
            </w:rPr>
          </w:pPr>
          <w:r w:rsidRPr="006A1B98">
            <w:rPr>
              <w:rStyle w:val="Sidetal"/>
              <w:sz w:val="16"/>
              <w:szCs w:val="16"/>
            </w:rPr>
            <w:fldChar w:fldCharType="begin"/>
          </w:r>
          <w:r w:rsidRPr="006A1B98">
            <w:rPr>
              <w:rStyle w:val="Sidetal"/>
              <w:sz w:val="16"/>
              <w:szCs w:val="16"/>
            </w:rPr>
            <w:instrText xml:space="preserve"> PAGE </w:instrText>
          </w:r>
          <w:r w:rsidRPr="006A1B98">
            <w:rPr>
              <w:rStyle w:val="Sidetal"/>
              <w:sz w:val="16"/>
              <w:szCs w:val="16"/>
            </w:rPr>
            <w:fldChar w:fldCharType="separate"/>
          </w:r>
          <w:r>
            <w:rPr>
              <w:rStyle w:val="Sidetal"/>
              <w:noProof/>
              <w:sz w:val="16"/>
              <w:szCs w:val="16"/>
            </w:rPr>
            <w:t>6</w:t>
          </w:r>
          <w:r w:rsidRPr="006A1B98">
            <w:rPr>
              <w:rStyle w:val="Sidetal"/>
              <w:sz w:val="16"/>
              <w:szCs w:val="16"/>
            </w:rPr>
            <w:fldChar w:fldCharType="end"/>
          </w:r>
        </w:p>
      </w:tc>
    </w:tr>
  </w:tbl>
  <w:p w14:paraId="5EC67747" w14:textId="77777777" w:rsidR="00D07139" w:rsidRDefault="00D0713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081B9" w14:textId="77777777" w:rsidR="00D310E9" w:rsidRDefault="00D310E9">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page" w:horzAnchor="page" w:tblpX="8903"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detal"/>
      <w:tblDescription w:val="sidetal"/>
    </w:tblPr>
    <w:tblGrid>
      <w:gridCol w:w="1555"/>
    </w:tblGrid>
    <w:tr w:rsidR="00D07139" w14:paraId="70CEA7F2" w14:textId="77777777" w:rsidTr="00DF743A">
      <w:tc>
        <w:tcPr>
          <w:tcW w:w="1555" w:type="dxa"/>
        </w:tcPr>
        <w:p w14:paraId="7EA3E680" w14:textId="77777777" w:rsidR="00D07139" w:rsidRPr="00BD7A47" w:rsidRDefault="00D07139" w:rsidP="005E03DB">
          <w:pPr>
            <w:pStyle w:val="Sidefod"/>
            <w:rPr>
              <w:sz w:val="16"/>
              <w:szCs w:val="16"/>
            </w:rPr>
          </w:pPr>
          <w:r w:rsidRPr="00BD7A47">
            <w:rPr>
              <w:sz w:val="16"/>
              <w:szCs w:val="16"/>
            </w:rPr>
            <w:t xml:space="preserve">Side </w:t>
          </w:r>
          <w:r w:rsidRPr="00BD7A47">
            <w:rPr>
              <w:sz w:val="16"/>
              <w:szCs w:val="16"/>
            </w:rPr>
            <w:fldChar w:fldCharType="begin"/>
          </w:r>
          <w:r w:rsidRPr="00BD7A47">
            <w:rPr>
              <w:sz w:val="16"/>
              <w:szCs w:val="16"/>
            </w:rPr>
            <w:instrText xml:space="preserve"> PAGE   \* MERGEFORMAT </w:instrText>
          </w:r>
          <w:r w:rsidRPr="00BD7A47">
            <w:rPr>
              <w:sz w:val="16"/>
              <w:szCs w:val="16"/>
            </w:rPr>
            <w:fldChar w:fldCharType="separate"/>
          </w:r>
          <w:r w:rsidRPr="00BD7A47">
            <w:rPr>
              <w:noProof/>
              <w:sz w:val="16"/>
              <w:szCs w:val="16"/>
            </w:rPr>
            <w:t>1</w:t>
          </w:r>
          <w:r w:rsidRPr="00BD7A47">
            <w:rPr>
              <w:sz w:val="16"/>
              <w:szCs w:val="16"/>
            </w:rPr>
            <w:fldChar w:fldCharType="end"/>
          </w:r>
          <w:r w:rsidRPr="00BD7A47">
            <w:rPr>
              <w:sz w:val="16"/>
              <w:szCs w:val="16"/>
            </w:rPr>
            <w:t>/</w:t>
          </w:r>
          <w:r w:rsidRPr="00BD7A47">
            <w:rPr>
              <w:sz w:val="16"/>
              <w:szCs w:val="16"/>
            </w:rPr>
            <w:fldChar w:fldCharType="begin"/>
          </w:r>
          <w:r w:rsidRPr="00BD7A47">
            <w:rPr>
              <w:sz w:val="16"/>
              <w:szCs w:val="16"/>
            </w:rPr>
            <w:instrText xml:space="preserve"> NUMPAGES   \* MERGEFORMAT </w:instrText>
          </w:r>
          <w:r w:rsidRPr="00BD7A47">
            <w:rPr>
              <w:sz w:val="16"/>
              <w:szCs w:val="16"/>
            </w:rPr>
            <w:fldChar w:fldCharType="separate"/>
          </w:r>
          <w:r w:rsidRPr="00BD7A47">
            <w:rPr>
              <w:noProof/>
              <w:sz w:val="16"/>
              <w:szCs w:val="16"/>
            </w:rPr>
            <w:t>1</w:t>
          </w:r>
          <w:r w:rsidRPr="00BD7A47">
            <w:rPr>
              <w:sz w:val="16"/>
              <w:szCs w:val="16"/>
            </w:rPr>
            <w:fldChar w:fldCharType="end"/>
          </w:r>
        </w:p>
      </w:tc>
    </w:tr>
  </w:tbl>
  <w:p w14:paraId="430DDB09" w14:textId="77777777" w:rsidR="00D07139" w:rsidRDefault="00D07139">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page" w:horzAnchor="page" w:tblpX="8903"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detal"/>
      <w:tblDescription w:val="sidetal"/>
    </w:tblPr>
    <w:tblGrid>
      <w:gridCol w:w="1555"/>
    </w:tblGrid>
    <w:tr w:rsidR="00D07139" w14:paraId="77355518" w14:textId="77777777" w:rsidTr="00960D54">
      <w:tc>
        <w:tcPr>
          <w:tcW w:w="1555" w:type="dxa"/>
        </w:tcPr>
        <w:p w14:paraId="12DE5A27" w14:textId="77777777" w:rsidR="00D07139" w:rsidRPr="00BD7A47" w:rsidRDefault="00D07139" w:rsidP="00960D54">
          <w:pPr>
            <w:pStyle w:val="Sidefod"/>
            <w:rPr>
              <w:sz w:val="16"/>
              <w:szCs w:val="16"/>
            </w:rPr>
          </w:pPr>
          <w:r w:rsidRPr="00BD7A47">
            <w:rPr>
              <w:sz w:val="16"/>
              <w:szCs w:val="16"/>
            </w:rPr>
            <w:t xml:space="preserve">Side </w:t>
          </w:r>
          <w:r w:rsidRPr="00BD7A47">
            <w:rPr>
              <w:sz w:val="16"/>
              <w:szCs w:val="16"/>
            </w:rPr>
            <w:fldChar w:fldCharType="begin"/>
          </w:r>
          <w:r w:rsidRPr="00BD7A47">
            <w:rPr>
              <w:sz w:val="16"/>
              <w:szCs w:val="16"/>
            </w:rPr>
            <w:instrText xml:space="preserve"> PAGE   \* MERGEFORMAT </w:instrText>
          </w:r>
          <w:r w:rsidRPr="00BD7A47">
            <w:rPr>
              <w:sz w:val="16"/>
              <w:szCs w:val="16"/>
            </w:rPr>
            <w:fldChar w:fldCharType="separate"/>
          </w:r>
          <w:r>
            <w:rPr>
              <w:noProof/>
              <w:sz w:val="16"/>
              <w:szCs w:val="16"/>
            </w:rPr>
            <w:t>1</w:t>
          </w:r>
          <w:r w:rsidRPr="00BD7A47">
            <w:rPr>
              <w:sz w:val="16"/>
              <w:szCs w:val="16"/>
            </w:rPr>
            <w:fldChar w:fldCharType="end"/>
          </w:r>
          <w:r w:rsidRPr="00BD7A47">
            <w:rPr>
              <w:sz w:val="16"/>
              <w:szCs w:val="16"/>
            </w:rPr>
            <w:t>/</w:t>
          </w:r>
          <w:r w:rsidRPr="00BD7A47">
            <w:rPr>
              <w:sz w:val="16"/>
              <w:szCs w:val="16"/>
            </w:rPr>
            <w:fldChar w:fldCharType="begin"/>
          </w:r>
          <w:r w:rsidRPr="00BD7A47">
            <w:rPr>
              <w:sz w:val="16"/>
              <w:szCs w:val="16"/>
            </w:rPr>
            <w:instrText xml:space="preserve"> NUMPAGES   \* MERGEFORMAT </w:instrText>
          </w:r>
          <w:r w:rsidRPr="00BD7A47">
            <w:rPr>
              <w:sz w:val="16"/>
              <w:szCs w:val="16"/>
            </w:rPr>
            <w:fldChar w:fldCharType="separate"/>
          </w:r>
          <w:r>
            <w:rPr>
              <w:noProof/>
              <w:sz w:val="16"/>
              <w:szCs w:val="16"/>
            </w:rPr>
            <w:t>1</w:t>
          </w:r>
          <w:r w:rsidRPr="00BD7A47">
            <w:rPr>
              <w:sz w:val="16"/>
              <w:szCs w:val="16"/>
            </w:rPr>
            <w:fldChar w:fldCharType="end"/>
          </w:r>
        </w:p>
      </w:tc>
    </w:tr>
  </w:tbl>
  <w:p w14:paraId="540E6C22" w14:textId="77777777" w:rsidR="00D07139" w:rsidRDefault="00D0713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A2678" w14:textId="77777777" w:rsidR="00C27AD1" w:rsidRDefault="00C27AD1" w:rsidP="00D712BA">
      <w:pPr>
        <w:spacing w:line="240" w:lineRule="auto"/>
      </w:pPr>
      <w:r>
        <w:separator/>
      </w:r>
    </w:p>
  </w:footnote>
  <w:footnote w:type="continuationSeparator" w:id="0">
    <w:p w14:paraId="55D03F48" w14:textId="77777777" w:rsidR="00C27AD1" w:rsidRDefault="00C27AD1" w:rsidP="00D712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50A28" w14:textId="77777777" w:rsidR="00D310E9" w:rsidRDefault="00D310E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8A98" w14:textId="77777777" w:rsidR="00D07139" w:rsidRDefault="00D07139">
    <w:pPr>
      <w:pStyle w:val="Sidehoved"/>
    </w:pPr>
  </w:p>
  <w:p w14:paraId="4A73D32B" w14:textId="77777777" w:rsidR="00D07139" w:rsidRPr="004A7268" w:rsidRDefault="00D07139" w:rsidP="00DF743A">
    <w:pPr>
      <w:pStyle w:val="Sidehoved"/>
      <w:jc w:val="center"/>
      <w:rPr>
        <w:b/>
      </w:rPr>
    </w:pPr>
    <w:r w:rsidRPr="004A7268">
      <w:rPr>
        <w:b/>
      </w:rPr>
      <w:t>UDKAST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65A9" w14:textId="77777777" w:rsidR="00D07139" w:rsidRDefault="00D07139">
    <w:pPr>
      <w:pStyle w:val="Sidehoved"/>
    </w:pPr>
  </w:p>
  <w:p w14:paraId="35CC940D" w14:textId="524D7C55" w:rsidR="00D07139" w:rsidRPr="00D310E9" w:rsidRDefault="00D07139" w:rsidP="00D310E9">
    <w:pPr>
      <w:pStyle w:val="Sidehoved"/>
      <w:jc w:val="center"/>
      <w:rPr>
        <w:b/>
      </w:rPr>
    </w:pPr>
    <w:r w:rsidRPr="004A7268">
      <w:rPr>
        <w:b/>
      </w:rPr>
      <w:t>UDKAST</w:t>
    </w:r>
  </w:p>
  <w:p w14:paraId="045879A3" w14:textId="77777777" w:rsidR="00D07139" w:rsidRDefault="00D07139">
    <w:pPr>
      <w:pStyle w:val="Sidehoved"/>
    </w:pPr>
  </w:p>
  <w:p w14:paraId="513F1D8F" w14:textId="77777777" w:rsidR="00D07139" w:rsidRDefault="00D07139" w:rsidP="00D712BA">
    <w:pPr>
      <w:pStyle w:val="Sidehoved"/>
      <w:spacing w:line="20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769A" w14:textId="77777777" w:rsidR="00D07139" w:rsidRDefault="00D07139">
    <w:pPr>
      <w:pStyle w:val="Sidehoved"/>
    </w:pPr>
  </w:p>
  <w:p w14:paraId="005ECABD" w14:textId="77777777" w:rsidR="00D07139" w:rsidRDefault="00D07139">
    <w:pPr>
      <w:pStyle w:val="Sidehoved"/>
    </w:pPr>
  </w:p>
  <w:p w14:paraId="4F947180" w14:textId="77777777" w:rsidR="00D07139" w:rsidRDefault="00D07139">
    <w:pPr>
      <w:pStyle w:val="Sidehoved"/>
    </w:pPr>
  </w:p>
  <w:p w14:paraId="0CD3283A" w14:textId="77777777" w:rsidR="00D07139" w:rsidRDefault="00D07139" w:rsidP="00B60A17">
    <w:pPr>
      <w:pStyle w:val="Sidehoved"/>
      <w:tabs>
        <w:tab w:val="clear" w:pos="4819"/>
        <w:tab w:val="clear" w:pos="9638"/>
        <w:tab w:val="left" w:pos="2070"/>
      </w:tabs>
    </w:pPr>
  </w:p>
  <w:p w14:paraId="1BBAEA13" w14:textId="77777777" w:rsidR="00D07139" w:rsidRDefault="00D07139">
    <w:pPr>
      <w:pStyle w:val="Sidehoved"/>
    </w:pPr>
  </w:p>
  <w:p w14:paraId="6CB2ACCC" w14:textId="77777777" w:rsidR="00D07139" w:rsidRDefault="00D07139">
    <w:pPr>
      <w:pStyle w:val="Sidehoved"/>
    </w:pPr>
  </w:p>
  <w:p w14:paraId="1D9BFC68" w14:textId="77777777" w:rsidR="00D07139" w:rsidRDefault="00D07139">
    <w:pPr>
      <w:pStyle w:val="Sidehoved"/>
    </w:pPr>
  </w:p>
  <w:p w14:paraId="042EE3A6" w14:textId="77777777" w:rsidR="00D07139" w:rsidRDefault="00D07139">
    <w:pPr>
      <w:pStyle w:val="Sidehoved"/>
    </w:pPr>
  </w:p>
  <w:p w14:paraId="15DFFDD2" w14:textId="77777777" w:rsidR="00D07139" w:rsidRDefault="00D07139">
    <w:pPr>
      <w:pStyle w:val="Sidehoved"/>
    </w:pPr>
  </w:p>
  <w:p w14:paraId="4D1922B3" w14:textId="77777777" w:rsidR="00D07139" w:rsidRDefault="00D07139">
    <w:pPr>
      <w:pStyle w:val="Sidehoved"/>
    </w:pPr>
  </w:p>
  <w:p w14:paraId="58551CD2" w14:textId="77777777" w:rsidR="00D07139" w:rsidRDefault="00D07139">
    <w:pPr>
      <w:pStyle w:val="Sidehoved"/>
    </w:pPr>
  </w:p>
  <w:p w14:paraId="543F7E6D" w14:textId="77777777" w:rsidR="00D07139" w:rsidRDefault="00D07139">
    <w:pPr>
      <w:pStyle w:val="Sidehoved"/>
    </w:pPr>
  </w:p>
  <w:p w14:paraId="22E20925" w14:textId="77777777" w:rsidR="00D07139" w:rsidRDefault="00D07139">
    <w:pPr>
      <w:pStyle w:val="Sidehoved"/>
    </w:pPr>
  </w:p>
  <w:p w14:paraId="54859959" w14:textId="77777777" w:rsidR="00D07139" w:rsidRDefault="00D07139">
    <w:pPr>
      <w:pStyle w:val="Sidehoved"/>
    </w:pPr>
  </w:p>
  <w:p w14:paraId="2458BB0F" w14:textId="77777777" w:rsidR="00D07139" w:rsidRDefault="00D07139">
    <w:pPr>
      <w:pStyle w:val="Sidehoved"/>
    </w:pPr>
  </w:p>
  <w:p w14:paraId="7B0CEC1D" w14:textId="77777777" w:rsidR="00D07139" w:rsidRDefault="00D07139">
    <w:pPr>
      <w:pStyle w:val="Sidehoved"/>
    </w:pPr>
  </w:p>
  <w:p w14:paraId="39CB012F" w14:textId="77777777" w:rsidR="00D07139" w:rsidRDefault="00D07139">
    <w:pPr>
      <w:pStyle w:val="Sidehoved"/>
    </w:pPr>
  </w:p>
  <w:p w14:paraId="3BF92A3D" w14:textId="77777777" w:rsidR="00D07139" w:rsidRDefault="00D07139" w:rsidP="00D712BA">
    <w:pPr>
      <w:pStyle w:val="Sidehoved"/>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10819D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2A8048A"/>
    <w:multiLevelType w:val="hybridMultilevel"/>
    <w:tmpl w:val="BF86233C"/>
    <w:lvl w:ilvl="0" w:tplc="DB7812EA">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B204AD"/>
    <w:multiLevelType w:val="hybridMultilevel"/>
    <w:tmpl w:val="AE8003CC"/>
    <w:lvl w:ilvl="0" w:tplc="D9BC82E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2DF66DAF"/>
    <w:multiLevelType w:val="hybridMultilevel"/>
    <w:tmpl w:val="2B00198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D847889"/>
    <w:multiLevelType w:val="hybridMultilevel"/>
    <w:tmpl w:val="0A580F94"/>
    <w:lvl w:ilvl="0" w:tplc="E3D4F1BE">
      <w:start w:val="1"/>
      <w:numFmt w:val="bullet"/>
      <w:pStyle w:val="Punktopstilling-Tal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25"/>
    <w:rsid w:val="000044EF"/>
    <w:rsid w:val="00010551"/>
    <w:rsid w:val="00017296"/>
    <w:rsid w:val="00017431"/>
    <w:rsid w:val="00024830"/>
    <w:rsid w:val="00053907"/>
    <w:rsid w:val="00055950"/>
    <w:rsid w:val="00056C9E"/>
    <w:rsid w:val="00092308"/>
    <w:rsid w:val="000B5607"/>
    <w:rsid w:val="000C52E2"/>
    <w:rsid w:val="00100CC7"/>
    <w:rsid w:val="0013238A"/>
    <w:rsid w:val="00135C31"/>
    <w:rsid w:val="001362F6"/>
    <w:rsid w:val="00144A58"/>
    <w:rsid w:val="0016636C"/>
    <w:rsid w:val="001757C4"/>
    <w:rsid w:val="001806F0"/>
    <w:rsid w:val="001C4AA3"/>
    <w:rsid w:val="001D1AF2"/>
    <w:rsid w:val="001D1F70"/>
    <w:rsid w:val="001D6EE1"/>
    <w:rsid w:val="001F134A"/>
    <w:rsid w:val="001F6783"/>
    <w:rsid w:val="00210440"/>
    <w:rsid w:val="0021195A"/>
    <w:rsid w:val="0021689A"/>
    <w:rsid w:val="00216E9D"/>
    <w:rsid w:val="002251C9"/>
    <w:rsid w:val="002343AD"/>
    <w:rsid w:val="00241494"/>
    <w:rsid w:val="0024639C"/>
    <w:rsid w:val="00275CD7"/>
    <w:rsid w:val="0028319D"/>
    <w:rsid w:val="00297E57"/>
    <w:rsid w:val="002A100C"/>
    <w:rsid w:val="002B21BA"/>
    <w:rsid w:val="002C561B"/>
    <w:rsid w:val="002C77A2"/>
    <w:rsid w:val="002E3EA1"/>
    <w:rsid w:val="002E631B"/>
    <w:rsid w:val="002F0644"/>
    <w:rsid w:val="0032303D"/>
    <w:rsid w:val="00336263"/>
    <w:rsid w:val="003526CD"/>
    <w:rsid w:val="003A14A8"/>
    <w:rsid w:val="003B174B"/>
    <w:rsid w:val="003B4EED"/>
    <w:rsid w:val="003C55ED"/>
    <w:rsid w:val="003D27B0"/>
    <w:rsid w:val="003D4F0A"/>
    <w:rsid w:val="003E23A0"/>
    <w:rsid w:val="003E422F"/>
    <w:rsid w:val="003E6F1B"/>
    <w:rsid w:val="004273B5"/>
    <w:rsid w:val="00434FBA"/>
    <w:rsid w:val="00440C5E"/>
    <w:rsid w:val="00450BA6"/>
    <w:rsid w:val="004576D3"/>
    <w:rsid w:val="00466CFB"/>
    <w:rsid w:val="004702A5"/>
    <w:rsid w:val="004703D9"/>
    <w:rsid w:val="004874A6"/>
    <w:rsid w:val="00491C90"/>
    <w:rsid w:val="00493E75"/>
    <w:rsid w:val="004B2B00"/>
    <w:rsid w:val="004B309A"/>
    <w:rsid w:val="004C1429"/>
    <w:rsid w:val="004C61DF"/>
    <w:rsid w:val="004E3D3D"/>
    <w:rsid w:val="005063C7"/>
    <w:rsid w:val="00511129"/>
    <w:rsid w:val="005175C9"/>
    <w:rsid w:val="00517D5B"/>
    <w:rsid w:val="00534E2B"/>
    <w:rsid w:val="00537312"/>
    <w:rsid w:val="005512C2"/>
    <w:rsid w:val="005719D4"/>
    <w:rsid w:val="005931A1"/>
    <w:rsid w:val="005D15FC"/>
    <w:rsid w:val="005D509B"/>
    <w:rsid w:val="005E03DB"/>
    <w:rsid w:val="005E04AE"/>
    <w:rsid w:val="005F35D5"/>
    <w:rsid w:val="00605C75"/>
    <w:rsid w:val="006108C2"/>
    <w:rsid w:val="006224EE"/>
    <w:rsid w:val="00626D0A"/>
    <w:rsid w:val="0063720C"/>
    <w:rsid w:val="006509DB"/>
    <w:rsid w:val="00662B0E"/>
    <w:rsid w:val="006766DC"/>
    <w:rsid w:val="006839C5"/>
    <w:rsid w:val="0068659A"/>
    <w:rsid w:val="006A1B98"/>
    <w:rsid w:val="006A3B04"/>
    <w:rsid w:val="006A6DC2"/>
    <w:rsid w:val="006B35D0"/>
    <w:rsid w:val="006B6177"/>
    <w:rsid w:val="006D3CAF"/>
    <w:rsid w:val="007112C6"/>
    <w:rsid w:val="00711787"/>
    <w:rsid w:val="007162AF"/>
    <w:rsid w:val="00720979"/>
    <w:rsid w:val="007244D5"/>
    <w:rsid w:val="00741C07"/>
    <w:rsid w:val="0074454B"/>
    <w:rsid w:val="00751348"/>
    <w:rsid w:val="00775C03"/>
    <w:rsid w:val="00784F00"/>
    <w:rsid w:val="00787D82"/>
    <w:rsid w:val="007B03B8"/>
    <w:rsid w:val="007B13EB"/>
    <w:rsid w:val="007B1B35"/>
    <w:rsid w:val="007B5D58"/>
    <w:rsid w:val="007C27DC"/>
    <w:rsid w:val="007C5CF8"/>
    <w:rsid w:val="007C7516"/>
    <w:rsid w:val="007D7D56"/>
    <w:rsid w:val="00815525"/>
    <w:rsid w:val="008165C2"/>
    <w:rsid w:val="00816AB3"/>
    <w:rsid w:val="00822FE2"/>
    <w:rsid w:val="00844FA9"/>
    <w:rsid w:val="00851E5B"/>
    <w:rsid w:val="008630E4"/>
    <w:rsid w:val="00880B7D"/>
    <w:rsid w:val="0088153C"/>
    <w:rsid w:val="00882E68"/>
    <w:rsid w:val="008A5D52"/>
    <w:rsid w:val="008A6E21"/>
    <w:rsid w:val="008C4B2D"/>
    <w:rsid w:val="008C5F41"/>
    <w:rsid w:val="008E3AEB"/>
    <w:rsid w:val="009030D7"/>
    <w:rsid w:val="00905813"/>
    <w:rsid w:val="00927CB2"/>
    <w:rsid w:val="00952124"/>
    <w:rsid w:val="00960D54"/>
    <w:rsid w:val="00973597"/>
    <w:rsid w:val="009761EA"/>
    <w:rsid w:val="009830CA"/>
    <w:rsid w:val="009A7105"/>
    <w:rsid w:val="009B0694"/>
    <w:rsid w:val="009B0F51"/>
    <w:rsid w:val="009C3B43"/>
    <w:rsid w:val="009E38F7"/>
    <w:rsid w:val="00A06563"/>
    <w:rsid w:val="00A10FC4"/>
    <w:rsid w:val="00A233FC"/>
    <w:rsid w:val="00A64DBF"/>
    <w:rsid w:val="00A667B9"/>
    <w:rsid w:val="00A74517"/>
    <w:rsid w:val="00A80022"/>
    <w:rsid w:val="00A846E0"/>
    <w:rsid w:val="00AA1FEE"/>
    <w:rsid w:val="00AA412E"/>
    <w:rsid w:val="00AB22EE"/>
    <w:rsid w:val="00AD68C6"/>
    <w:rsid w:val="00AE6E03"/>
    <w:rsid w:val="00AE79FC"/>
    <w:rsid w:val="00B00231"/>
    <w:rsid w:val="00B12A6E"/>
    <w:rsid w:val="00B232D4"/>
    <w:rsid w:val="00B2539C"/>
    <w:rsid w:val="00B27CEA"/>
    <w:rsid w:val="00B4108E"/>
    <w:rsid w:val="00B60A17"/>
    <w:rsid w:val="00B72EAD"/>
    <w:rsid w:val="00B74844"/>
    <w:rsid w:val="00BA7F0A"/>
    <w:rsid w:val="00BB4D75"/>
    <w:rsid w:val="00BC292B"/>
    <w:rsid w:val="00BD7A47"/>
    <w:rsid w:val="00BE2028"/>
    <w:rsid w:val="00BE52AC"/>
    <w:rsid w:val="00C00ABA"/>
    <w:rsid w:val="00C27AD1"/>
    <w:rsid w:val="00C33F1E"/>
    <w:rsid w:val="00C40496"/>
    <w:rsid w:val="00C72115"/>
    <w:rsid w:val="00CB4B2A"/>
    <w:rsid w:val="00CD05D8"/>
    <w:rsid w:val="00CD4695"/>
    <w:rsid w:val="00CE5137"/>
    <w:rsid w:val="00CF237C"/>
    <w:rsid w:val="00CF492E"/>
    <w:rsid w:val="00D06325"/>
    <w:rsid w:val="00D07139"/>
    <w:rsid w:val="00D1030B"/>
    <w:rsid w:val="00D13559"/>
    <w:rsid w:val="00D310E9"/>
    <w:rsid w:val="00D31B5F"/>
    <w:rsid w:val="00D31F3A"/>
    <w:rsid w:val="00D36136"/>
    <w:rsid w:val="00D45314"/>
    <w:rsid w:val="00D5334F"/>
    <w:rsid w:val="00D62CF5"/>
    <w:rsid w:val="00D712BA"/>
    <w:rsid w:val="00D719C6"/>
    <w:rsid w:val="00D77DDB"/>
    <w:rsid w:val="00D85865"/>
    <w:rsid w:val="00D918A2"/>
    <w:rsid w:val="00DA07BD"/>
    <w:rsid w:val="00DA2B91"/>
    <w:rsid w:val="00DA2E5D"/>
    <w:rsid w:val="00DB2E1A"/>
    <w:rsid w:val="00DB668D"/>
    <w:rsid w:val="00DD572D"/>
    <w:rsid w:val="00DD7E20"/>
    <w:rsid w:val="00DE7DDA"/>
    <w:rsid w:val="00DF743A"/>
    <w:rsid w:val="00E126EB"/>
    <w:rsid w:val="00E45098"/>
    <w:rsid w:val="00E53BD8"/>
    <w:rsid w:val="00E6518D"/>
    <w:rsid w:val="00ED7426"/>
    <w:rsid w:val="00EE2B5D"/>
    <w:rsid w:val="00F16342"/>
    <w:rsid w:val="00F21157"/>
    <w:rsid w:val="00F27992"/>
    <w:rsid w:val="00F37EE9"/>
    <w:rsid w:val="00F41762"/>
    <w:rsid w:val="00F444CE"/>
    <w:rsid w:val="00F73009"/>
    <w:rsid w:val="00F74C84"/>
    <w:rsid w:val="00F77E47"/>
    <w:rsid w:val="00F85476"/>
    <w:rsid w:val="00FA78F7"/>
    <w:rsid w:val="00FB1859"/>
    <w:rsid w:val="00FC7419"/>
    <w:rsid w:val="00FD4402"/>
    <w:rsid w:val="00FD5B8D"/>
    <w:rsid w:val="00FF0281"/>
    <w:rsid w:val="00FF44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5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F51"/>
    <w:pPr>
      <w:spacing w:after="0" w:line="300" w:lineRule="auto"/>
      <w:jc w:val="both"/>
    </w:pPr>
    <w:rPr>
      <w:rFonts w:ascii="Times New Roman" w:hAnsi="Times New Roman"/>
      <w:sz w:val="26"/>
    </w:rPr>
  </w:style>
  <w:style w:type="paragraph" w:styleId="Overskrift1">
    <w:name w:val="heading 1"/>
    <w:basedOn w:val="Normal"/>
    <w:next w:val="Normal"/>
    <w:link w:val="Overskrift1Tegn"/>
    <w:uiPriority w:val="9"/>
    <w:qFormat/>
    <w:rsid w:val="007B03B8"/>
    <w:pPr>
      <w:keepNext/>
      <w:keepLines/>
      <w:outlineLvl w:val="0"/>
    </w:pPr>
    <w:rPr>
      <w:rFonts w:ascii="Franklin Gothic Book" w:eastAsiaTheme="majorEastAsia" w:hAnsi="Franklin Gothic Book" w:cstheme="majorBidi"/>
      <w:b/>
      <w:bCs/>
      <w:sz w:val="32"/>
      <w:szCs w:val="28"/>
    </w:rPr>
  </w:style>
  <w:style w:type="paragraph" w:styleId="Overskrift2">
    <w:name w:val="heading 2"/>
    <w:basedOn w:val="Normal"/>
    <w:next w:val="Normal"/>
    <w:link w:val="Overskrift2Tegn"/>
    <w:uiPriority w:val="9"/>
    <w:unhideWhenUsed/>
    <w:qFormat/>
    <w:rsid w:val="009B0F51"/>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9"/>
    <w:semiHidden/>
    <w:unhideWhenUsed/>
    <w:rsid w:val="004702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822F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03B8"/>
    <w:rPr>
      <w:rFonts w:ascii="Franklin Gothic Book" w:eastAsiaTheme="majorEastAsia" w:hAnsi="Franklin Gothic Book" w:cstheme="majorBidi"/>
      <w:b/>
      <w:bCs/>
      <w:sz w:val="32"/>
      <w:szCs w:val="28"/>
    </w:rPr>
  </w:style>
  <w:style w:type="character" w:customStyle="1" w:styleId="Overskrift2Tegn">
    <w:name w:val="Overskrift 2 Tegn"/>
    <w:basedOn w:val="Standardskrifttypeiafsnit"/>
    <w:link w:val="Overskrift2"/>
    <w:uiPriority w:val="9"/>
    <w:rsid w:val="009B0F51"/>
    <w:rPr>
      <w:rFonts w:ascii="Times New Roman" w:eastAsiaTheme="majorEastAsia" w:hAnsi="Times New Roman" w:cstheme="majorBidi"/>
      <w:b/>
      <w:bCs/>
      <w:sz w:val="26"/>
      <w:szCs w:val="26"/>
    </w:rPr>
  </w:style>
  <w:style w:type="paragraph" w:styleId="Titel">
    <w:name w:val="Title"/>
    <w:basedOn w:val="Normal"/>
    <w:next w:val="Normal"/>
    <w:link w:val="TitelTegn"/>
    <w:uiPriority w:val="10"/>
    <w:qFormat/>
    <w:rsid w:val="007B03B8"/>
    <w:pPr>
      <w:spacing w:before="240" w:after="60"/>
      <w:contextualSpacing/>
    </w:pPr>
    <w:rPr>
      <w:rFonts w:ascii="Franklin Gothic Book" w:eastAsiaTheme="majorEastAsia" w:hAnsi="Franklin Gothic Book" w:cstheme="majorBidi"/>
      <w:b/>
      <w:spacing w:val="5"/>
      <w:kern w:val="28"/>
      <w:sz w:val="32"/>
      <w:szCs w:val="52"/>
    </w:rPr>
  </w:style>
  <w:style w:type="character" w:customStyle="1" w:styleId="TitelTegn">
    <w:name w:val="Titel Tegn"/>
    <w:basedOn w:val="Standardskrifttypeiafsnit"/>
    <w:link w:val="Titel"/>
    <w:uiPriority w:val="10"/>
    <w:rsid w:val="007B03B8"/>
    <w:rPr>
      <w:rFonts w:ascii="Franklin Gothic Book" w:eastAsiaTheme="majorEastAsia" w:hAnsi="Franklin Gothic Book" w:cstheme="majorBidi"/>
      <w:b/>
      <w:spacing w:val="5"/>
      <w:kern w:val="28"/>
      <w:sz w:val="32"/>
      <w:szCs w:val="52"/>
    </w:rPr>
  </w:style>
  <w:style w:type="paragraph" w:styleId="Undertitel">
    <w:name w:val="Subtitle"/>
    <w:basedOn w:val="Normal"/>
    <w:next w:val="Normal"/>
    <w:link w:val="UndertitelTegn"/>
    <w:uiPriority w:val="11"/>
    <w:qFormat/>
    <w:rsid w:val="00A10FC4"/>
    <w:pPr>
      <w:numPr>
        <w:ilvl w:val="1"/>
      </w:numPr>
      <w:spacing w:after="60"/>
      <w:outlineLvl w:val="1"/>
    </w:pPr>
    <w:rPr>
      <w:rFonts w:eastAsiaTheme="majorEastAsia" w:cstheme="majorBidi"/>
      <w:iCs/>
      <w:spacing w:val="15"/>
      <w:szCs w:val="24"/>
    </w:rPr>
  </w:style>
  <w:style w:type="character" w:customStyle="1" w:styleId="UndertitelTegn">
    <w:name w:val="Undertitel Tegn"/>
    <w:basedOn w:val="Standardskrifttypeiafsnit"/>
    <w:link w:val="Undertitel"/>
    <w:uiPriority w:val="11"/>
    <w:rsid w:val="00A10FC4"/>
    <w:rPr>
      <w:rFonts w:ascii="Times New Roman" w:eastAsiaTheme="majorEastAsia" w:hAnsi="Times New Roman" w:cstheme="majorBidi"/>
      <w:iCs/>
      <w:spacing w:val="15"/>
      <w:sz w:val="24"/>
      <w:szCs w:val="24"/>
    </w:rPr>
  </w:style>
  <w:style w:type="paragraph" w:styleId="Sidehoved">
    <w:name w:val="header"/>
    <w:basedOn w:val="Normal"/>
    <w:link w:val="SidehovedTegn"/>
    <w:uiPriority w:val="99"/>
    <w:unhideWhenUsed/>
    <w:rsid w:val="00D712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12BA"/>
    <w:rPr>
      <w:rFonts w:ascii="Times New Roman" w:hAnsi="Times New Roman"/>
      <w:sz w:val="24"/>
    </w:rPr>
  </w:style>
  <w:style w:type="paragraph" w:styleId="Sidefod">
    <w:name w:val="footer"/>
    <w:basedOn w:val="Normal"/>
    <w:link w:val="SidefodTegn"/>
    <w:unhideWhenUsed/>
    <w:rsid w:val="00D712BA"/>
    <w:pPr>
      <w:tabs>
        <w:tab w:val="center" w:pos="4819"/>
        <w:tab w:val="right" w:pos="9638"/>
      </w:tabs>
      <w:spacing w:line="240" w:lineRule="auto"/>
    </w:pPr>
  </w:style>
  <w:style w:type="character" w:customStyle="1" w:styleId="SidefodTegn">
    <w:name w:val="Sidefod Tegn"/>
    <w:basedOn w:val="Standardskrifttypeiafsnit"/>
    <w:link w:val="Sidefod"/>
    <w:rsid w:val="00D712BA"/>
    <w:rPr>
      <w:rFonts w:ascii="Times New Roman" w:hAnsi="Times New Roman"/>
      <w:sz w:val="24"/>
    </w:rPr>
  </w:style>
  <w:style w:type="paragraph" w:styleId="Markeringsbobletekst">
    <w:name w:val="Balloon Text"/>
    <w:basedOn w:val="Normal"/>
    <w:link w:val="MarkeringsbobletekstTegn"/>
    <w:uiPriority w:val="99"/>
    <w:semiHidden/>
    <w:unhideWhenUsed/>
    <w:rsid w:val="00D712B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712BA"/>
    <w:rPr>
      <w:rFonts w:ascii="Tahoma" w:hAnsi="Tahoma" w:cs="Tahoma"/>
      <w:sz w:val="16"/>
      <w:szCs w:val="16"/>
    </w:rPr>
  </w:style>
  <w:style w:type="character" w:styleId="Sidetal">
    <w:name w:val="page number"/>
    <w:basedOn w:val="Standardskrifttypeiafsnit"/>
    <w:semiHidden/>
    <w:unhideWhenUsed/>
    <w:rsid w:val="005931A1"/>
  </w:style>
  <w:style w:type="paragraph" w:styleId="Citat">
    <w:name w:val="Quote"/>
    <w:basedOn w:val="Normal"/>
    <w:next w:val="Normal"/>
    <w:link w:val="CitatTegn"/>
    <w:uiPriority w:val="29"/>
    <w:qFormat/>
    <w:rsid w:val="00450BA6"/>
    <w:pPr>
      <w:ind w:left="567" w:right="567"/>
    </w:pPr>
    <w:rPr>
      <w:i/>
      <w:iCs/>
      <w:color w:val="000000" w:themeColor="text1"/>
    </w:rPr>
  </w:style>
  <w:style w:type="character" w:customStyle="1" w:styleId="CitatTegn">
    <w:name w:val="Citat Tegn"/>
    <w:basedOn w:val="Standardskrifttypeiafsnit"/>
    <w:link w:val="Citat"/>
    <w:uiPriority w:val="29"/>
    <w:rsid w:val="00450BA6"/>
    <w:rPr>
      <w:rFonts w:ascii="Times New Roman" w:hAnsi="Times New Roman"/>
      <w:i/>
      <w:iCs/>
      <w:color w:val="000000" w:themeColor="text1"/>
      <w:sz w:val="24"/>
    </w:rPr>
  </w:style>
  <w:style w:type="character" w:styleId="Hyperlink">
    <w:name w:val="Hyperlink"/>
    <w:basedOn w:val="Standardskrifttypeiafsnit"/>
    <w:uiPriority w:val="99"/>
    <w:unhideWhenUsed/>
    <w:rsid w:val="00092308"/>
    <w:rPr>
      <w:color w:val="0000FF" w:themeColor="hyperlink"/>
      <w:u w:val="single"/>
    </w:rPr>
  </w:style>
  <w:style w:type="table" w:customStyle="1" w:styleId="IndreTabel">
    <w:name w:val="IndreTabel"/>
    <w:basedOn w:val="Tabel-Normal"/>
    <w:uiPriority w:val="99"/>
    <w:rsid w:val="003B174B"/>
    <w:pPr>
      <w:spacing w:after="0"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paragraph" w:customStyle="1" w:styleId="IndreTabelTekstVenstre">
    <w:name w:val="IndreTabelTekstVenstre"/>
    <w:basedOn w:val="Normal"/>
    <w:rsid w:val="003B174B"/>
    <w:pPr>
      <w:spacing w:line="150" w:lineRule="atLeast"/>
      <w:jc w:val="left"/>
    </w:pPr>
    <w:rPr>
      <w:sz w:val="14"/>
    </w:rPr>
  </w:style>
  <w:style w:type="paragraph" w:customStyle="1" w:styleId="IndreTabelTekstHjre">
    <w:name w:val="IndreTabelTekstHøjre"/>
    <w:basedOn w:val="IndreTabelTekstVenstre"/>
    <w:rsid w:val="003B174B"/>
    <w:pPr>
      <w:jc w:val="right"/>
    </w:pPr>
  </w:style>
  <w:style w:type="paragraph" w:customStyle="1" w:styleId="IndreTabelOverskriftHjre">
    <w:name w:val="IndreTabelOverskriftHøjre"/>
    <w:basedOn w:val="IndreTabelTekstHjre"/>
    <w:rsid w:val="003B174B"/>
    <w:rPr>
      <w:b/>
    </w:rPr>
  </w:style>
  <w:style w:type="paragraph" w:customStyle="1" w:styleId="IndreTabelOverskriftVenstre">
    <w:name w:val="IndreTabelOverskriftVenstre"/>
    <w:basedOn w:val="IndreTabelTekstVenstre"/>
    <w:rsid w:val="003B174B"/>
    <w:rPr>
      <w:i/>
    </w:rPr>
  </w:style>
  <w:style w:type="paragraph" w:customStyle="1" w:styleId="IndreTabelUnderoverskriftHjre">
    <w:name w:val="IndreTabelUnderoverskriftHøjre"/>
    <w:basedOn w:val="IndreTabelTekstHjre"/>
    <w:rsid w:val="003B174B"/>
    <w:rPr>
      <w:b/>
    </w:rPr>
  </w:style>
  <w:style w:type="paragraph" w:customStyle="1" w:styleId="IndreTabelUnderoverskriftVenstre">
    <w:name w:val="IndreTabelUnderoverskriftVenstre"/>
    <w:basedOn w:val="IndreTabelTekstVenstre"/>
    <w:rsid w:val="003B174B"/>
    <w:rPr>
      <w:b/>
    </w:rPr>
  </w:style>
  <w:style w:type="paragraph" w:customStyle="1" w:styleId="TabelKilde">
    <w:name w:val="TabelKilde"/>
    <w:basedOn w:val="Normal"/>
    <w:rsid w:val="003B174B"/>
    <w:pPr>
      <w:ind w:left="227" w:right="227"/>
    </w:pPr>
    <w:rPr>
      <w:color w:val="000000"/>
      <w:sz w:val="14"/>
    </w:rPr>
  </w:style>
  <w:style w:type="paragraph" w:customStyle="1" w:styleId="TabelOverskrift">
    <w:name w:val="TabelOverskrift"/>
    <w:basedOn w:val="Normal"/>
    <w:rsid w:val="003B174B"/>
    <w:pPr>
      <w:spacing w:after="210" w:line="210" w:lineRule="atLeast"/>
      <w:ind w:left="227" w:right="227"/>
    </w:pPr>
    <w:rPr>
      <w:b/>
      <w:color w:val="000000"/>
      <w:sz w:val="14"/>
    </w:rPr>
  </w:style>
  <w:style w:type="paragraph" w:customStyle="1" w:styleId="TabelTitel">
    <w:name w:val="TabelTitel"/>
    <w:basedOn w:val="Normal"/>
    <w:rsid w:val="003B174B"/>
    <w:pPr>
      <w:spacing w:before="170" w:line="230" w:lineRule="atLeast"/>
      <w:ind w:left="227" w:right="227"/>
    </w:pPr>
    <w:rPr>
      <w:b/>
      <w:color w:val="031D5C"/>
      <w:sz w:val="15"/>
    </w:rPr>
  </w:style>
  <w:style w:type="table" w:customStyle="1" w:styleId="YdreTabel">
    <w:name w:val="YdreTabel"/>
    <w:basedOn w:val="Tabel-Normal"/>
    <w:uiPriority w:val="99"/>
    <w:rsid w:val="003B174B"/>
    <w:pPr>
      <w:spacing w:after="0" w:line="240" w:lineRule="auto"/>
    </w:pPr>
    <w:rPr>
      <w:rFonts w:ascii="Times New Roman" w:hAnsi="Times New Roman"/>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 w:type="table" w:styleId="Tabel-Gitter">
    <w:name w:val="Table Grid"/>
    <w:basedOn w:val="Tabel-Normal"/>
    <w:uiPriority w:val="59"/>
    <w:rsid w:val="00BD7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ertedText">
    <w:name w:val="InsertedText"/>
    <w:basedOn w:val="Normal"/>
    <w:next w:val="Normal"/>
    <w:rsid w:val="005063C7"/>
    <w:pPr>
      <w:spacing w:line="240" w:lineRule="auto"/>
    </w:pPr>
    <w:rPr>
      <w:rFonts w:ascii="Franklin Gothic Book" w:hAnsi="Franklin Gothic Book" w:cs="Times New Roman"/>
      <w:b/>
      <w:sz w:val="32"/>
      <w:szCs w:val="32"/>
    </w:rPr>
  </w:style>
  <w:style w:type="paragraph" w:customStyle="1" w:styleId="Klassifikation">
    <w:name w:val="Klassifikation"/>
    <w:basedOn w:val="Normal"/>
    <w:rsid w:val="00952124"/>
  </w:style>
  <w:style w:type="character" w:styleId="Pladsholdertekst">
    <w:name w:val="Placeholder Text"/>
    <w:basedOn w:val="Standardskrifttypeiafsnit"/>
    <w:uiPriority w:val="99"/>
    <w:semiHidden/>
    <w:rsid w:val="00B00231"/>
    <w:rPr>
      <w:color w:val="808080"/>
    </w:rPr>
  </w:style>
  <w:style w:type="paragraph" w:customStyle="1" w:styleId="Punktopstilling">
    <w:name w:val="Punktopstilling"/>
    <w:basedOn w:val="Normal"/>
    <w:link w:val="PunktopstillingTegn"/>
    <w:qFormat/>
    <w:rsid w:val="00DA2E5D"/>
    <w:pPr>
      <w:numPr>
        <w:numId w:val="1"/>
      </w:numPr>
      <w:spacing w:before="120" w:after="120"/>
      <w:ind w:left="357" w:hanging="357"/>
    </w:pPr>
  </w:style>
  <w:style w:type="character" w:customStyle="1" w:styleId="PunktopstillingTegn">
    <w:name w:val="Punktopstilling Tegn"/>
    <w:basedOn w:val="Standardskrifttypeiafsnit"/>
    <w:link w:val="Punktopstilling"/>
    <w:rsid w:val="00DA2E5D"/>
    <w:rPr>
      <w:rFonts w:ascii="Times New Roman" w:hAnsi="Times New Roman"/>
      <w:sz w:val="26"/>
    </w:rPr>
  </w:style>
  <w:style w:type="paragraph" w:customStyle="1" w:styleId="Normal-Tale">
    <w:name w:val="Normal - Tale"/>
    <w:basedOn w:val="Punktopstilling"/>
    <w:link w:val="Normal-TaleTegn"/>
    <w:qFormat/>
    <w:rsid w:val="00BE52AC"/>
    <w:pPr>
      <w:numPr>
        <w:numId w:val="0"/>
      </w:numPr>
      <w:ind w:left="360" w:hanging="360"/>
    </w:pPr>
    <w:rPr>
      <w:sz w:val="32"/>
    </w:rPr>
  </w:style>
  <w:style w:type="paragraph" w:customStyle="1" w:styleId="Punktopstilling-Tale">
    <w:name w:val="Punktopstilling - Tale"/>
    <w:basedOn w:val="Punktopstilling"/>
    <w:link w:val="Punktopstilling-TaleTegn"/>
    <w:autoRedefine/>
    <w:qFormat/>
    <w:rsid w:val="00973597"/>
    <w:pPr>
      <w:numPr>
        <w:numId w:val="2"/>
      </w:numPr>
      <w:spacing w:before="240" w:after="240"/>
      <w:ind w:left="357" w:hanging="357"/>
    </w:pPr>
    <w:rPr>
      <w:sz w:val="32"/>
    </w:rPr>
  </w:style>
  <w:style w:type="character" w:customStyle="1" w:styleId="Normal-TaleTegn">
    <w:name w:val="Normal - Tale Tegn"/>
    <w:basedOn w:val="PunktopstillingTegn"/>
    <w:link w:val="Normal-Tale"/>
    <w:rsid w:val="00BE52AC"/>
    <w:rPr>
      <w:rFonts w:ascii="Times New Roman" w:hAnsi="Times New Roman"/>
      <w:sz w:val="32"/>
    </w:rPr>
  </w:style>
  <w:style w:type="paragraph" w:customStyle="1" w:styleId="Normal-Baggrund">
    <w:name w:val="Normal - Baggrund"/>
    <w:basedOn w:val="Normal"/>
    <w:link w:val="Normal-BaggrundTegn"/>
    <w:qFormat/>
    <w:rsid w:val="00BE52AC"/>
    <w:rPr>
      <w:sz w:val="24"/>
    </w:rPr>
  </w:style>
  <w:style w:type="character" w:customStyle="1" w:styleId="Punktopstilling-TaleTegn">
    <w:name w:val="Punktopstilling - Tale Tegn"/>
    <w:basedOn w:val="Normal-TaleTegn"/>
    <w:link w:val="Punktopstilling-Tale"/>
    <w:rsid w:val="00973597"/>
    <w:rPr>
      <w:rFonts w:ascii="Times New Roman" w:hAnsi="Times New Roman"/>
      <w:sz w:val="32"/>
    </w:rPr>
  </w:style>
  <w:style w:type="character" w:customStyle="1" w:styleId="Normal-BaggrundTegn">
    <w:name w:val="Normal - Baggrund Tegn"/>
    <w:basedOn w:val="Standardskrifttypeiafsnit"/>
    <w:link w:val="Normal-Baggrund"/>
    <w:rsid w:val="00BE52AC"/>
    <w:rPr>
      <w:rFonts w:ascii="Times New Roman" w:hAnsi="Times New Roman"/>
      <w:sz w:val="24"/>
    </w:rPr>
  </w:style>
  <w:style w:type="paragraph" w:customStyle="1" w:styleId="Tale-Overskrift">
    <w:name w:val="Tale - Overskrift"/>
    <w:basedOn w:val="Overskrift3"/>
    <w:link w:val="Tale-OverskriftTegn"/>
    <w:qFormat/>
    <w:rsid w:val="004702A5"/>
    <w:rPr>
      <w:rFonts w:ascii="Times New Roman" w:hAnsi="Times New Roman"/>
      <w:b/>
      <w:color w:val="000000" w:themeColor="text1"/>
      <w:sz w:val="32"/>
    </w:rPr>
  </w:style>
  <w:style w:type="character" w:customStyle="1" w:styleId="Tale-OverskriftTegn">
    <w:name w:val="Tale - Overskrift Tegn"/>
    <w:basedOn w:val="Normal-TaleTegn"/>
    <w:link w:val="Tale-Overskrift"/>
    <w:rsid w:val="004702A5"/>
    <w:rPr>
      <w:rFonts w:ascii="Times New Roman" w:eastAsiaTheme="majorEastAsia" w:hAnsi="Times New Roman" w:cstheme="majorBidi"/>
      <w:b/>
      <w:color w:val="000000" w:themeColor="text1"/>
      <w:sz w:val="32"/>
      <w:szCs w:val="24"/>
    </w:rPr>
  </w:style>
  <w:style w:type="character" w:customStyle="1" w:styleId="Overskrift3Tegn">
    <w:name w:val="Overskrift 3 Tegn"/>
    <w:basedOn w:val="Standardskrifttypeiafsnit"/>
    <w:link w:val="Overskrift3"/>
    <w:uiPriority w:val="9"/>
    <w:semiHidden/>
    <w:rsid w:val="004702A5"/>
    <w:rPr>
      <w:rFonts w:asciiTheme="majorHAnsi" w:eastAsiaTheme="majorEastAsia" w:hAnsiTheme="majorHAnsi" w:cstheme="majorBidi"/>
      <w:color w:val="243F60" w:themeColor="accent1" w:themeShade="7F"/>
      <w:sz w:val="24"/>
      <w:szCs w:val="24"/>
    </w:rPr>
  </w:style>
  <w:style w:type="paragraph" w:styleId="Opstilling-punkttegn">
    <w:name w:val="List Bullet"/>
    <w:basedOn w:val="Normal"/>
    <w:uiPriority w:val="99"/>
    <w:semiHidden/>
    <w:unhideWhenUsed/>
    <w:rsid w:val="00DA2E5D"/>
    <w:pPr>
      <w:numPr>
        <w:numId w:val="3"/>
      </w:numPr>
      <w:contextualSpacing/>
    </w:pPr>
  </w:style>
  <w:style w:type="character" w:customStyle="1" w:styleId="KommentartekstTegn">
    <w:name w:val="Kommentartekst Tegn"/>
    <w:basedOn w:val="Standardskrifttypeiafsnit"/>
    <w:link w:val="Kommentartekst"/>
    <w:uiPriority w:val="99"/>
    <w:rsid w:val="006108C2"/>
    <w:rPr>
      <w:rFonts w:ascii="Times New Roman" w:hAnsi="Times New Roman"/>
      <w:sz w:val="20"/>
      <w:szCs w:val="20"/>
    </w:rPr>
  </w:style>
  <w:style w:type="paragraph" w:styleId="Kommentartekst">
    <w:name w:val="annotation text"/>
    <w:basedOn w:val="Normal"/>
    <w:link w:val="KommentartekstTegn"/>
    <w:uiPriority w:val="99"/>
    <w:unhideWhenUsed/>
    <w:rsid w:val="006108C2"/>
    <w:pPr>
      <w:spacing w:line="240" w:lineRule="auto"/>
    </w:pPr>
    <w:rPr>
      <w:sz w:val="20"/>
      <w:szCs w:val="20"/>
    </w:rPr>
  </w:style>
  <w:style w:type="character" w:customStyle="1" w:styleId="KommentartekstTegn1">
    <w:name w:val="Kommentartekst Tegn1"/>
    <w:basedOn w:val="Standardskrifttypeiafsnit"/>
    <w:uiPriority w:val="99"/>
    <w:semiHidden/>
    <w:rsid w:val="006108C2"/>
    <w:rPr>
      <w:rFonts w:ascii="Times New Roman" w:hAnsi="Times New Roman"/>
      <w:sz w:val="20"/>
      <w:szCs w:val="20"/>
    </w:rPr>
  </w:style>
  <w:style w:type="character" w:styleId="Kommentarhenvisning">
    <w:name w:val="annotation reference"/>
    <w:basedOn w:val="Standardskrifttypeiafsnit"/>
    <w:uiPriority w:val="99"/>
    <w:semiHidden/>
    <w:unhideWhenUsed/>
    <w:rsid w:val="006108C2"/>
    <w:rPr>
      <w:sz w:val="16"/>
      <w:szCs w:val="16"/>
    </w:rPr>
  </w:style>
  <w:style w:type="paragraph" w:styleId="Fodnotetekst">
    <w:name w:val="footnote text"/>
    <w:basedOn w:val="Normal"/>
    <w:link w:val="FodnotetekstTegn"/>
    <w:uiPriority w:val="99"/>
    <w:semiHidden/>
    <w:unhideWhenUsed/>
    <w:rsid w:val="006108C2"/>
    <w:pPr>
      <w:spacing w:line="240" w:lineRule="auto"/>
    </w:pPr>
    <w:rPr>
      <w:sz w:val="20"/>
      <w:szCs w:val="20"/>
    </w:rPr>
  </w:style>
  <w:style w:type="character" w:customStyle="1" w:styleId="FodnotetekstTegn">
    <w:name w:val="Fodnotetekst Tegn"/>
    <w:basedOn w:val="Standardskrifttypeiafsnit"/>
    <w:link w:val="Fodnotetekst"/>
    <w:uiPriority w:val="99"/>
    <w:semiHidden/>
    <w:rsid w:val="006108C2"/>
    <w:rPr>
      <w:rFonts w:ascii="Times New Roman" w:hAnsi="Times New Roman"/>
      <w:sz w:val="20"/>
      <w:szCs w:val="20"/>
    </w:rPr>
  </w:style>
  <w:style w:type="character" w:styleId="Fodnotehenvisning">
    <w:name w:val="footnote reference"/>
    <w:basedOn w:val="Standardskrifttypeiafsnit"/>
    <w:uiPriority w:val="99"/>
    <w:semiHidden/>
    <w:unhideWhenUsed/>
    <w:rsid w:val="006108C2"/>
    <w:rPr>
      <w:vertAlign w:val="superscript"/>
    </w:rPr>
  </w:style>
  <w:style w:type="paragraph" w:styleId="Kommentaremne">
    <w:name w:val="annotation subject"/>
    <w:basedOn w:val="Kommentartekst"/>
    <w:next w:val="Kommentartekst"/>
    <w:link w:val="KommentaremneTegn"/>
    <w:uiPriority w:val="99"/>
    <w:semiHidden/>
    <w:unhideWhenUsed/>
    <w:rsid w:val="000044EF"/>
    <w:rPr>
      <w:b/>
      <w:bCs/>
    </w:rPr>
  </w:style>
  <w:style w:type="character" w:customStyle="1" w:styleId="KommentaremneTegn">
    <w:name w:val="Kommentaremne Tegn"/>
    <w:basedOn w:val="KommentartekstTegn"/>
    <w:link w:val="Kommentaremne"/>
    <w:uiPriority w:val="99"/>
    <w:semiHidden/>
    <w:rsid w:val="000044EF"/>
    <w:rPr>
      <w:rFonts w:ascii="Times New Roman" w:hAnsi="Times New Roman"/>
      <w:b/>
      <w:bCs/>
      <w:sz w:val="20"/>
      <w:szCs w:val="20"/>
    </w:rPr>
  </w:style>
  <w:style w:type="table" w:customStyle="1" w:styleId="TableNormal">
    <w:name w:val="Table Normal"/>
    <w:uiPriority w:val="59"/>
    <w:rsid w:val="00517D5B"/>
    <w:pPr>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paragraph" w:styleId="Korrektur">
    <w:name w:val="Revision"/>
    <w:hidden/>
    <w:uiPriority w:val="99"/>
    <w:semiHidden/>
    <w:rsid w:val="004576D3"/>
    <w:pPr>
      <w:spacing w:after="0" w:line="240" w:lineRule="auto"/>
    </w:pPr>
    <w:rPr>
      <w:rFonts w:ascii="Times New Roman" w:hAnsi="Times New Roman"/>
      <w:sz w:val="26"/>
    </w:rPr>
  </w:style>
  <w:style w:type="character" w:styleId="Ulstomtale">
    <w:name w:val="Unresolved Mention"/>
    <w:basedOn w:val="Standardskrifttypeiafsnit"/>
    <w:uiPriority w:val="99"/>
    <w:semiHidden/>
    <w:unhideWhenUsed/>
    <w:rsid w:val="00B12A6E"/>
    <w:rPr>
      <w:color w:val="605E5C"/>
      <w:shd w:val="clear" w:color="auto" w:fill="E1DFDD"/>
    </w:rPr>
  </w:style>
  <w:style w:type="character" w:styleId="BesgtLink">
    <w:name w:val="FollowedHyperlink"/>
    <w:basedOn w:val="Standardskrifttypeiafsnit"/>
    <w:uiPriority w:val="99"/>
    <w:semiHidden/>
    <w:unhideWhenUsed/>
    <w:rsid w:val="00822FE2"/>
    <w:rPr>
      <w:color w:val="800080" w:themeColor="followedHyperlink"/>
      <w:u w:val="single"/>
    </w:rPr>
  </w:style>
  <w:style w:type="character" w:customStyle="1" w:styleId="Overskrift4Tegn">
    <w:name w:val="Overskrift 4 Tegn"/>
    <w:basedOn w:val="Standardskrifttypeiafsnit"/>
    <w:link w:val="Overskrift4"/>
    <w:uiPriority w:val="9"/>
    <w:semiHidden/>
    <w:rsid w:val="00822FE2"/>
    <w:rPr>
      <w:rFonts w:asciiTheme="majorHAnsi" w:eastAsiaTheme="majorEastAsia" w:hAnsiTheme="majorHAnsi" w:cstheme="majorBidi"/>
      <w:i/>
      <w:iCs/>
      <w:color w:val="365F91" w:themeColor="accent1" w:themeShade="B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89625">
      <w:bodyDiv w:val="1"/>
      <w:marLeft w:val="0"/>
      <w:marRight w:val="0"/>
      <w:marTop w:val="0"/>
      <w:marBottom w:val="0"/>
      <w:divBdr>
        <w:top w:val="none" w:sz="0" w:space="0" w:color="auto"/>
        <w:left w:val="none" w:sz="0" w:space="0" w:color="auto"/>
        <w:bottom w:val="none" w:sz="0" w:space="0" w:color="auto"/>
        <w:right w:val="none" w:sz="0" w:space="0" w:color="auto"/>
      </w:divBdr>
    </w:div>
    <w:div w:id="794525015">
      <w:bodyDiv w:val="1"/>
      <w:marLeft w:val="0"/>
      <w:marRight w:val="0"/>
      <w:marTop w:val="0"/>
      <w:marBottom w:val="0"/>
      <w:divBdr>
        <w:top w:val="none" w:sz="0" w:space="0" w:color="auto"/>
        <w:left w:val="none" w:sz="0" w:space="0" w:color="auto"/>
        <w:bottom w:val="none" w:sz="0" w:space="0" w:color="auto"/>
        <w:right w:val="none" w:sz="0" w:space="0" w:color="auto"/>
      </w:divBdr>
    </w:div>
    <w:div w:id="833952995">
      <w:bodyDiv w:val="1"/>
      <w:marLeft w:val="0"/>
      <w:marRight w:val="0"/>
      <w:marTop w:val="0"/>
      <w:marBottom w:val="0"/>
      <w:divBdr>
        <w:top w:val="none" w:sz="0" w:space="0" w:color="auto"/>
        <w:left w:val="none" w:sz="0" w:space="0" w:color="auto"/>
        <w:bottom w:val="none" w:sz="0" w:space="0" w:color="auto"/>
        <w:right w:val="none" w:sz="0" w:space="0" w:color="auto"/>
      </w:divBdr>
    </w:div>
    <w:div w:id="1021736095">
      <w:bodyDiv w:val="1"/>
      <w:marLeft w:val="0"/>
      <w:marRight w:val="0"/>
      <w:marTop w:val="0"/>
      <w:marBottom w:val="0"/>
      <w:divBdr>
        <w:top w:val="none" w:sz="0" w:space="0" w:color="auto"/>
        <w:left w:val="none" w:sz="0" w:space="0" w:color="auto"/>
        <w:bottom w:val="none" w:sz="0" w:space="0" w:color="auto"/>
        <w:right w:val="none" w:sz="0" w:space="0" w:color="auto"/>
      </w:divBdr>
    </w:div>
    <w:div w:id="203515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xmlns="Captia"/>
</file>

<file path=customXml/item2.xml><?xml version="1.0" encoding="utf-8"?>
<Root xmlns="Workzone">
  <data id="B9C8395A-22D1-4D7C-9486-93FBFBEAF2F3">
    <value/>
  </data>
  <data id="447B1C19-BC31-48A7-856E-A9F697E5C8B1">
    <value/>
  </data>
  <data id="4A247CA3-F186-4472-80F1-88BC39AA9062">
    <value/>
  </data>
  <data id="9733590E-B905-4B87-B8C7-4FE6DE8F80A3">
    <value>Ida Heene Bendtsen</value>
  </data>
  <data id="B480A2E6-4AA4-46BB-A3EB-50BB1BF32DCA">
    <value>Høiberg</value>
  </data>
</Root>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09886-5726-446E-BD8F-49B2237A8A7E}">
  <ds:schemaRefs>
    <ds:schemaRef ds:uri="Captia"/>
  </ds:schemaRefs>
</ds:datastoreItem>
</file>

<file path=customXml/itemProps2.xml><?xml version="1.0" encoding="utf-8"?>
<ds:datastoreItem xmlns:ds="http://schemas.openxmlformats.org/officeDocument/2006/customXml" ds:itemID="{246174EA-52C8-4468-947B-5F342AEC6C9B}">
  <ds:schemaRefs>
    <ds:schemaRef ds:uri="Workzone"/>
  </ds:schemaRefs>
</ds:datastoreItem>
</file>

<file path=customXml/itemProps3.xml><?xml version="1.0" encoding="utf-8"?>
<ds:datastoreItem xmlns:ds="http://schemas.openxmlformats.org/officeDocument/2006/customXml" ds:itemID="{16B4F070-B90A-406E-BF96-FB69A1D0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1972</Words>
  <Characters>12033</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2025-07-14T07:34:00Z</dcterms:created>
  <dcterms:modified xsi:type="dcterms:W3CDTF">2025-07-14T07:35:00Z</dcterms:modified>
</cp:coreProperties>
</file>