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0" w:name="TSCC"/>
            <w:bookmarkEnd w:id="0"/>
          </w:p>
        </w:tc>
      </w:tr>
    </w:tbl>
    <w:p w:rsidR="00914A0A" w:rsidRDefault="004B7D0E" w:rsidP="00D62428">
      <w:pPr>
        <w:pStyle w:val="TSJournalnummer"/>
      </w:pPr>
      <w:bookmarkStart w:id="1" w:name="TSJournal"/>
      <w:bookmarkEnd w:id="1"/>
      <w:r>
        <w:t xml:space="preserve">Journal </w:t>
      </w:r>
      <w:r w:rsidR="00C55970" w:rsidRPr="00C55970">
        <w:t>TS10301-00021</w:t>
      </w:r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2" w:name="TSDato"/>
      <w:bookmarkEnd w:id="2"/>
      <w:r w:rsidR="0095697E">
        <w:t>6</w:t>
      </w:r>
      <w:r w:rsidR="004B7D0E">
        <w:t xml:space="preserve">. </w:t>
      </w:r>
      <w:r w:rsidR="0095697E">
        <w:t>november</w:t>
      </w:r>
      <w:r w:rsidR="004B7D0E">
        <w:t xml:space="preserve"> 2013</w:t>
      </w:r>
    </w:p>
    <w:p w:rsidR="00BA0B34" w:rsidRDefault="004B7D0E" w:rsidP="00A352D1">
      <w:pPr>
        <w:pStyle w:val="Titeloverskrift"/>
        <w:spacing w:before="0"/>
      </w:pPr>
      <w:r w:rsidRPr="004B7D0E">
        <w:t xml:space="preserve">Høring om udkast til </w:t>
      </w:r>
      <w:r w:rsidR="00B0735E">
        <w:t>overkørsels</w:t>
      </w:r>
      <w:r w:rsidRPr="004B7D0E">
        <w:t xml:space="preserve">bekendtgørelse </w:t>
      </w:r>
    </w:p>
    <w:p w:rsidR="00BA0B34" w:rsidRDefault="00BA0B34" w:rsidP="00A352D1"/>
    <w:p w:rsidR="004B7D0E" w:rsidRDefault="0095697E" w:rsidP="004B7D0E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pt;margin-top:1.05pt;width:30pt;height:18pt;z-index:251658240" stroked="f">
            <v:textbox inset=",0">
              <w:txbxContent>
                <w:p w:rsidR="00A36EE7" w:rsidRDefault="00A36EE7" w:rsidP="00A36EE7">
                  <w:r>
                    <w:t>./.</w:t>
                  </w:r>
                </w:p>
              </w:txbxContent>
            </v:textbox>
          </v:shape>
        </w:pict>
      </w:r>
      <w:r w:rsidR="004B7D0E">
        <w:t xml:space="preserve">Hermed fremsendes udkast til bekendtgørelse om </w:t>
      </w:r>
      <w:r w:rsidR="00F00B35" w:rsidRPr="00F00B35">
        <w:t>sikkerhedsfora</w:t>
      </w:r>
      <w:r w:rsidR="00F00B35" w:rsidRPr="00F00B35">
        <w:t>n</w:t>
      </w:r>
      <w:r w:rsidR="00F00B35" w:rsidRPr="00F00B35">
        <w:t>staltninger i jernbaneoverkørsler, der er åbne for almindelig færdsel</w:t>
      </w:r>
      <w:r w:rsidR="00051AB0">
        <w:t xml:space="preserve"> </w:t>
      </w:r>
      <w:r w:rsidR="00305D78">
        <w:t xml:space="preserve">(overkørselsbekendtgørelse) </w:t>
      </w:r>
      <w:r w:rsidR="004B7D0E">
        <w:t>i høring til vurdering af bekendtgørelsens konsekvenser, herunder økonomiske og administrative.</w:t>
      </w:r>
    </w:p>
    <w:p w:rsidR="00BA0B34" w:rsidRDefault="004B7D0E" w:rsidP="004B7D0E">
      <w:r>
        <w:t>Danske Regioner og Kommunernes Landsforening (KL</w:t>
      </w:r>
      <w:bookmarkStart w:id="3" w:name="_GoBack"/>
      <w:bookmarkEnd w:id="3"/>
      <w:r>
        <w:t>) anmodes om høring af bekendtgørelsens eventuelle økonomiske konsekvenser i forhold til det udvidede totalbalanceprincip (DUT).</w:t>
      </w:r>
    </w:p>
    <w:p w:rsidR="00BA0B34" w:rsidRDefault="00CB13E2" w:rsidP="00A352D1">
      <w:pPr>
        <w:rPr>
          <w:b/>
        </w:rPr>
      </w:pPr>
      <w:r>
        <w:rPr>
          <w:b/>
        </w:rPr>
        <w:t>Baggrund og f</w:t>
      </w:r>
      <w:r w:rsidR="006D1AD7">
        <w:rPr>
          <w:b/>
        </w:rPr>
        <w:t>ormål</w:t>
      </w:r>
      <w:r>
        <w:rPr>
          <w:b/>
        </w:rPr>
        <w:t xml:space="preserve"> </w:t>
      </w:r>
    </w:p>
    <w:p w:rsidR="00305D78" w:rsidRDefault="00305D78" w:rsidP="00A352D1">
      <w:r>
        <w:t>Revision af overkørselsbekendtgørelse</w:t>
      </w:r>
      <w:r w:rsidRPr="00305D78">
        <w:t xml:space="preserve"> sker på baggrund af de erfari</w:t>
      </w:r>
      <w:r w:rsidRPr="00305D78">
        <w:t>n</w:t>
      </w:r>
      <w:r w:rsidRPr="00305D78">
        <w:t>ger, som styrelsen har indhentet med den gældende bekendtgørelse</w:t>
      </w:r>
      <w:r>
        <w:t xml:space="preserve"> (bekendtgørelse nr. 1142 af 7. december 2011)</w:t>
      </w:r>
      <w:r w:rsidRPr="00305D78">
        <w:t>.</w:t>
      </w:r>
      <w:r>
        <w:t xml:space="preserve"> </w:t>
      </w:r>
    </w:p>
    <w:p w:rsidR="007400A1" w:rsidRDefault="00FA04D9" w:rsidP="00A352D1">
      <w:r>
        <w:t>Revisionen har desuden været drøftet på møder med branchen den</w:t>
      </w:r>
      <w:r w:rsidR="0082520D">
        <w:t xml:space="preserve"> </w:t>
      </w:r>
      <w:r w:rsidR="00471123">
        <w:t>27.</w:t>
      </w:r>
      <w:r w:rsidR="00805EF0">
        <w:t xml:space="preserve"> august og </w:t>
      </w:r>
      <w:r w:rsidR="00471123">
        <w:t xml:space="preserve">9. </w:t>
      </w:r>
      <w:r>
        <w:t xml:space="preserve">den </w:t>
      </w:r>
      <w:r w:rsidR="00805EF0">
        <w:t>oktober 2013</w:t>
      </w:r>
      <w:r w:rsidR="00301946">
        <w:t xml:space="preserve">. Formålet med møderne har været at inddrage branchen aktivt i </w:t>
      </w:r>
      <w:r w:rsidR="0082520D">
        <w:t>drøftelserne</w:t>
      </w:r>
      <w:r w:rsidR="00301946">
        <w:t xml:space="preserve"> om ændring</w:t>
      </w:r>
      <w:r>
        <w:t>en</w:t>
      </w:r>
      <w:r w:rsidR="00301946" w:rsidRPr="00805EF0">
        <w:t xml:space="preserve"> af overkø</w:t>
      </w:r>
      <w:r w:rsidR="00301946" w:rsidRPr="00805EF0">
        <w:t>r</w:t>
      </w:r>
      <w:r w:rsidR="00301946" w:rsidRPr="00805EF0">
        <w:t>selsreg</w:t>
      </w:r>
      <w:r w:rsidR="00301946">
        <w:t>ler</w:t>
      </w:r>
      <w:r>
        <w:t>ne</w:t>
      </w:r>
      <w:r w:rsidR="00301946">
        <w:t xml:space="preserve">. </w:t>
      </w:r>
    </w:p>
    <w:p w:rsidR="007400A1" w:rsidRDefault="00301946" w:rsidP="00A352D1">
      <w:r>
        <w:t xml:space="preserve">Mødet </w:t>
      </w:r>
      <w:r w:rsidR="00FA04D9">
        <w:t xml:space="preserve">i august </w:t>
      </w:r>
      <w:r>
        <w:t xml:space="preserve">var møntet på at drøfte </w:t>
      </w:r>
      <w:r w:rsidR="00FA04D9">
        <w:t>særligt</w:t>
      </w:r>
      <w:r>
        <w:t xml:space="preserve"> jernbaneinfrastruktu</w:t>
      </w:r>
      <w:r>
        <w:t>r</w:t>
      </w:r>
      <w:r>
        <w:t>forvalter</w:t>
      </w:r>
      <w:r w:rsidR="00FA04D9">
        <w:t>n</w:t>
      </w:r>
      <w:r>
        <w:t>es erfaring med bekendtgørelsen</w:t>
      </w:r>
      <w:r w:rsidR="0082520D">
        <w:t>.</w:t>
      </w:r>
    </w:p>
    <w:p w:rsidR="00805EF0" w:rsidRDefault="00FA04D9" w:rsidP="00A352D1">
      <w:r>
        <w:t>M</w:t>
      </w:r>
      <w:r w:rsidR="00301946">
        <w:t xml:space="preserve">ødet i </w:t>
      </w:r>
      <w:r w:rsidR="00301946" w:rsidRPr="00301946">
        <w:t xml:space="preserve">oktober </w:t>
      </w:r>
      <w:r>
        <w:t>havde til hensigt at favne interessenters tilkendeg</w:t>
      </w:r>
      <w:r>
        <w:t>i</w:t>
      </w:r>
      <w:r>
        <w:t>velser</w:t>
      </w:r>
      <w:r w:rsidR="007400A1">
        <w:t xml:space="preserve"> på tværs. I mødet </w:t>
      </w:r>
      <w:r w:rsidR="00301946">
        <w:t xml:space="preserve">deltog </w:t>
      </w:r>
      <w:r w:rsidR="00301946" w:rsidRPr="00301946">
        <w:t xml:space="preserve">30 </w:t>
      </w:r>
      <w:r w:rsidR="007400A1">
        <w:t>repræsentanter</w:t>
      </w:r>
      <w:r w:rsidR="00301946" w:rsidRPr="00301946">
        <w:t xml:space="preserve"> fra jernbaneinfr</w:t>
      </w:r>
      <w:r w:rsidR="00301946" w:rsidRPr="00301946">
        <w:t>a</w:t>
      </w:r>
      <w:r w:rsidR="00301946" w:rsidRPr="00301946">
        <w:t>strukturforvaltere</w:t>
      </w:r>
      <w:r w:rsidR="007400A1">
        <w:t>, jernbane</w:t>
      </w:r>
      <w:r w:rsidR="00301946">
        <w:t>virksomheder</w:t>
      </w:r>
      <w:r w:rsidR="00301946" w:rsidRPr="00301946">
        <w:t>, Vejdirektoratet, Havar</w:t>
      </w:r>
      <w:r w:rsidR="00301946" w:rsidRPr="00301946">
        <w:t>i</w:t>
      </w:r>
      <w:r w:rsidR="00301946" w:rsidRPr="00301946">
        <w:t>kommissionen for Civil Luftfart og Jernbane samt rådgivervirksomh</w:t>
      </w:r>
      <w:r w:rsidR="00301946" w:rsidRPr="00301946">
        <w:t>e</w:t>
      </w:r>
      <w:r w:rsidR="00301946" w:rsidRPr="00301946">
        <w:t>der.</w:t>
      </w:r>
      <w:r w:rsidR="00301946">
        <w:t xml:space="preserve"> </w:t>
      </w:r>
    </w:p>
    <w:p w:rsidR="00CB13E2" w:rsidRPr="005E0F95" w:rsidRDefault="007400A1" w:rsidP="00CB13E2">
      <w:r>
        <w:t xml:space="preserve">På møderne har branchen </w:t>
      </w:r>
      <w:r w:rsidR="00CB13E2" w:rsidRPr="005E0F95">
        <w:t>bl.a.</w:t>
      </w:r>
      <w:r>
        <w:t xml:space="preserve"> stillet spørgsmål til</w:t>
      </w:r>
      <w:r w:rsidR="00CB13E2" w:rsidRPr="005E0F95">
        <w:t>: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 xml:space="preserve">Anvendelsesområde 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>Begrebet ”infrastrukturforvalter”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>Vejledning og ansøgningsskema til bekendtgørelsen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 xml:space="preserve">Misforståelser pga. opbygning af bekendtgørelse 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>Hvornår der skal søges om godkendelse af sikkerhedsfora</w:t>
      </w:r>
      <w:r w:rsidRPr="005E0F95">
        <w:t>n</w:t>
      </w:r>
      <w:r w:rsidRPr="005E0F95">
        <w:t xml:space="preserve">staltninger </w:t>
      </w:r>
    </w:p>
    <w:p w:rsidR="00CB13E2" w:rsidRPr="005E0F95" w:rsidRDefault="00CB13E2" w:rsidP="00CB13E2">
      <w:pPr>
        <w:pStyle w:val="Listeafsnit"/>
        <w:numPr>
          <w:ilvl w:val="0"/>
          <w:numId w:val="18"/>
        </w:numPr>
      </w:pPr>
      <w:r w:rsidRPr="005E0F95">
        <w:t xml:space="preserve">Krav til sikkerhedsforanstaltninger </w:t>
      </w:r>
    </w:p>
    <w:p w:rsidR="00CB13E2" w:rsidRPr="005E0F95" w:rsidRDefault="00CB13E2" w:rsidP="00A352D1">
      <w:pPr>
        <w:pStyle w:val="Listeafsnit"/>
        <w:numPr>
          <w:ilvl w:val="0"/>
          <w:numId w:val="18"/>
        </w:numPr>
      </w:pPr>
      <w:r w:rsidRPr="005E0F95">
        <w:lastRenderedPageBreak/>
        <w:t>Dispensationsmuligheder</w:t>
      </w:r>
      <w:r w:rsidR="008B0314" w:rsidRPr="005E0F95">
        <w:t>.</w:t>
      </w:r>
      <w:r w:rsidRPr="005E0F95">
        <w:t xml:space="preserve"> </w:t>
      </w:r>
    </w:p>
    <w:p w:rsidR="008B0314" w:rsidRDefault="008B0314" w:rsidP="008B0314">
      <w:r>
        <w:t xml:space="preserve">Branchens bemærkninger </w:t>
      </w:r>
      <w:r w:rsidR="007400A1">
        <w:t xml:space="preserve">og spørgsmål </w:t>
      </w:r>
      <w:r>
        <w:t>er</w:t>
      </w:r>
      <w:r w:rsidR="007400A1">
        <w:t xml:space="preserve"> i videst mulige omfang søgt </w:t>
      </w:r>
      <w:r>
        <w:t xml:space="preserve">imødekommet ved </w:t>
      </w:r>
      <w:r w:rsidR="007400A1">
        <w:t xml:space="preserve">henholdsvis at </w:t>
      </w:r>
      <w:r>
        <w:t>ændre bekendtgørelse (se n</w:t>
      </w:r>
      <w:r>
        <w:t>e</w:t>
      </w:r>
      <w:r>
        <w:t xml:space="preserve">denfor) og ved </w:t>
      </w:r>
      <w:r w:rsidR="001F4A3F">
        <w:t xml:space="preserve">tilpasning </w:t>
      </w:r>
      <w:r>
        <w:t xml:space="preserve">af den </w:t>
      </w:r>
      <w:r w:rsidR="007400A1">
        <w:t>kommende vejledning til bekendtg</w:t>
      </w:r>
      <w:r w:rsidR="007400A1">
        <w:t>ø</w:t>
      </w:r>
      <w:r w:rsidR="007400A1">
        <w:t>relsen</w:t>
      </w:r>
      <w:r>
        <w:t xml:space="preserve">. </w:t>
      </w:r>
    </w:p>
    <w:p w:rsidR="00CB13E2" w:rsidRPr="008B0314" w:rsidRDefault="008B0314" w:rsidP="00CB13E2">
      <w:pPr>
        <w:rPr>
          <w:i/>
        </w:rPr>
      </w:pPr>
      <w:r>
        <w:rPr>
          <w:i/>
        </w:rPr>
        <w:t>Ændringer i bekendtgørelsen</w:t>
      </w:r>
    </w:p>
    <w:p w:rsidR="00305D78" w:rsidRDefault="00305D78" w:rsidP="00CB13E2">
      <w:r>
        <w:t>Hovedreglen om</w:t>
      </w:r>
      <w:r w:rsidR="002367F8">
        <w:t>,</w:t>
      </w:r>
      <w:r>
        <w:t xml:space="preserve"> at jernbaneinfrastrukturforvalter</w:t>
      </w:r>
      <w:r w:rsidR="007400A1">
        <w:t>en</w:t>
      </w:r>
      <w:r>
        <w:t xml:space="preserve"> er ansvarlig for sikkerhed</w:t>
      </w:r>
      <w:r w:rsidR="007400A1">
        <w:t>en</w:t>
      </w:r>
      <w:r>
        <w:t xml:space="preserve"> i overkørsler</w:t>
      </w:r>
      <w:r w:rsidR="007400A1">
        <w:t>ne</w:t>
      </w:r>
      <w:r>
        <w:t xml:space="preserve"> </w:t>
      </w:r>
      <w:r w:rsidR="007400A1">
        <w:t>gælder fortsat</w:t>
      </w:r>
      <w:r>
        <w:t xml:space="preserve">. </w:t>
      </w:r>
      <w:r w:rsidR="00521C79">
        <w:t>Dog udvides bekendtg</w:t>
      </w:r>
      <w:r w:rsidR="00521C79">
        <w:t>ø</w:t>
      </w:r>
      <w:r w:rsidR="00521C79">
        <w:t>relsens anvendelsesområde således, at den nu omfatter alle infr</w:t>
      </w:r>
      <w:r w:rsidR="00521C79">
        <w:t>a</w:t>
      </w:r>
      <w:r w:rsidR="00521C79">
        <w:t>strukturforvaltere</w:t>
      </w:r>
      <w:r w:rsidR="0006555E">
        <w:t xml:space="preserve"> og ikke alene </w:t>
      </w:r>
      <w:proofErr w:type="spellStart"/>
      <w:r w:rsidR="0006555E">
        <w:t>Banedanmark</w:t>
      </w:r>
      <w:proofErr w:type="spellEnd"/>
      <w:r w:rsidR="00521C79">
        <w:t>.</w:t>
      </w:r>
      <w:r w:rsidR="008B0314">
        <w:t xml:space="preserve"> </w:t>
      </w:r>
    </w:p>
    <w:p w:rsidR="00471123" w:rsidRDefault="00B20157" w:rsidP="00A352D1">
      <w:r>
        <w:t>Desuden præciseres</w:t>
      </w:r>
      <w:r w:rsidR="00676028" w:rsidRPr="00676028">
        <w:t>, at b</w:t>
      </w:r>
      <w:r w:rsidR="00471123" w:rsidRPr="00676028">
        <w:t xml:space="preserve">ekendtgørelsen </w:t>
      </w:r>
      <w:r w:rsidR="00676028" w:rsidRPr="00676028">
        <w:t xml:space="preserve">ikke </w:t>
      </w:r>
      <w:r w:rsidR="00471123" w:rsidRPr="00676028">
        <w:t xml:space="preserve">finder anvendelse </w:t>
      </w:r>
      <w:r>
        <w:t xml:space="preserve">på </w:t>
      </w:r>
      <w:proofErr w:type="spellStart"/>
      <w:r w:rsidRPr="00676028">
        <w:t>usikrede</w:t>
      </w:r>
      <w:proofErr w:type="spellEnd"/>
      <w:r w:rsidRPr="00676028">
        <w:t xml:space="preserve"> overkørsler</w:t>
      </w:r>
      <w:r w:rsidR="00471123" w:rsidRPr="00676028">
        <w:t>, med mindre benyttelsen af jernbaneoverkørslen skifter karakter eller omfang</w:t>
      </w:r>
      <w:r w:rsidR="007400A1">
        <w:t>, fx</w:t>
      </w:r>
      <w:r w:rsidR="00676028" w:rsidRPr="00676028">
        <w:t xml:space="preserve"> </w:t>
      </w:r>
      <w:r w:rsidR="00E445B1">
        <w:t xml:space="preserve">ved </w:t>
      </w:r>
      <w:r w:rsidR="00676028" w:rsidRPr="00676028">
        <w:t>en hastighedsopgradering på jernbanen eller ændring af trafikomfanget på vejen</w:t>
      </w:r>
      <w:r w:rsidR="00471123" w:rsidRPr="00676028">
        <w:t>.</w:t>
      </w:r>
    </w:p>
    <w:p w:rsidR="001F4A3F" w:rsidRDefault="007400A1" w:rsidP="00A352D1">
      <w:r>
        <w:t>Opbygningen af</w:t>
      </w:r>
      <w:r w:rsidR="001F4A3F">
        <w:t xml:space="preserve"> bekendtgørelsen har givet anledning til misforståe</w:t>
      </w:r>
      <w:r w:rsidR="001F4A3F">
        <w:t>l</w:t>
      </w:r>
      <w:r w:rsidR="001F4A3F">
        <w:t>ser, hvorfor det er fundet hensigtsmæssigt at ændre opbygning</w:t>
      </w:r>
      <w:r>
        <w:t>en</w:t>
      </w:r>
      <w:r w:rsidR="001F4A3F">
        <w:t xml:space="preserve"> af bekendtgørelsen. </w:t>
      </w:r>
    </w:p>
    <w:p w:rsidR="00B20157" w:rsidRDefault="00B20157" w:rsidP="00B20157">
      <w:r>
        <w:t>Kravene til sikkerhedsforanstaltninger afspejler den hidtidige praksis på området</w:t>
      </w:r>
      <w:r w:rsidR="00B0735E">
        <w:t>,</w:t>
      </w:r>
      <w:r>
        <w:t xml:space="preserve"> og som </w:t>
      </w:r>
      <w:r w:rsidRPr="005C3B0C">
        <w:t>hidtil kan eksisterende sikkerhedsforanstaltninger i overkørsler bestå i overensstemmelse med det grundlag, som de o</w:t>
      </w:r>
      <w:r w:rsidRPr="005C3B0C">
        <w:t>p</w:t>
      </w:r>
      <w:r w:rsidRPr="005C3B0C">
        <w:t>rindeligt er etableret efter.</w:t>
      </w:r>
      <w:r>
        <w:t xml:space="preserve"> Bekendtgørelsens krav til sikkerhedsfora</w:t>
      </w:r>
      <w:r>
        <w:t>n</w:t>
      </w:r>
      <w:r>
        <w:t xml:space="preserve">staltninger gælder således kun, hvis der sker ændringer i overkørslens sikkerhedsforanstaltninger.  </w:t>
      </w:r>
    </w:p>
    <w:p w:rsidR="005E0F95" w:rsidRDefault="00B20157" w:rsidP="005E0F95">
      <w:r>
        <w:t>Som hidtil</w:t>
      </w:r>
      <w:r w:rsidR="0082520D">
        <w:t xml:space="preserve"> </w:t>
      </w:r>
      <w:r>
        <w:t>skal</w:t>
      </w:r>
      <w:r w:rsidR="005E0F95">
        <w:t xml:space="preserve"> ændringer i sikkerhedsforanstaltninger godkendes af Trafikstyrelsen. Det er dog vurderet hensigtsmæssigt at indarbejde en </w:t>
      </w:r>
      <w:r>
        <w:t xml:space="preserve">mulighed for </w:t>
      </w:r>
      <w:r w:rsidR="005E0F95">
        <w:t>dispensation</w:t>
      </w:r>
      <w:r w:rsidR="0082520D">
        <w:t xml:space="preserve"> </w:t>
      </w:r>
      <w:r>
        <w:t>til anvendelse i</w:t>
      </w:r>
      <w:r w:rsidR="00141274">
        <w:t xml:space="preserve"> de tilfælde,</w:t>
      </w:r>
      <w:r w:rsidR="00141274" w:rsidRPr="00141274">
        <w:t xml:space="preserve"> hvor </w:t>
      </w:r>
      <w:r>
        <w:t>infrastru</w:t>
      </w:r>
      <w:r>
        <w:t>k</w:t>
      </w:r>
      <w:r>
        <w:t xml:space="preserve">turforvalteren kan sandsynliggøre, at </w:t>
      </w:r>
      <w:r w:rsidR="00141274" w:rsidRPr="00141274">
        <w:t>ændringen er sikkerhedsmæ</w:t>
      </w:r>
      <w:r w:rsidR="00141274" w:rsidRPr="00141274">
        <w:t>s</w:t>
      </w:r>
      <w:r w:rsidR="00141274" w:rsidRPr="00141274">
        <w:t>sigt ubetydelig</w:t>
      </w:r>
      <w:r w:rsidR="005E0F95">
        <w:t xml:space="preserve">. </w:t>
      </w:r>
    </w:p>
    <w:p w:rsidR="0084737C" w:rsidRDefault="00B20157" w:rsidP="0084737C">
      <w:r>
        <w:t>V</w:t>
      </w:r>
      <w:r w:rsidR="005E0F95" w:rsidRPr="00842899">
        <w:t xml:space="preserve">ed etablering af nye sikkerhedsforanstaltninger eller ændring af </w:t>
      </w:r>
      <w:r w:rsidR="005E0F95">
        <w:t>eks</w:t>
      </w:r>
      <w:r w:rsidR="005E0F95">
        <w:t>i</w:t>
      </w:r>
      <w:r w:rsidR="005E0F95">
        <w:t>sterende</w:t>
      </w:r>
      <w:r w:rsidR="005E0F95" w:rsidRPr="00842899">
        <w:t xml:space="preserve">, skal </w:t>
      </w:r>
      <w:r w:rsidR="005E0F95">
        <w:t>infrastrukturforvalter</w:t>
      </w:r>
      <w:r w:rsidR="0082520D">
        <w:t xml:space="preserve"> </w:t>
      </w:r>
      <w:r>
        <w:t xml:space="preserve">som i dag </w:t>
      </w:r>
      <w:r w:rsidR="005E0F95" w:rsidRPr="00842899">
        <w:t>foretage en risikovu</w:t>
      </w:r>
      <w:r w:rsidR="005E0F95" w:rsidRPr="00842899">
        <w:t>r</w:t>
      </w:r>
      <w:r w:rsidR="005E0F95" w:rsidRPr="00842899">
        <w:t xml:space="preserve">dering for at afgøre, om et halvbom-, </w:t>
      </w:r>
      <w:proofErr w:type="spellStart"/>
      <w:r w:rsidR="005E0F95" w:rsidRPr="00842899">
        <w:t>helbom</w:t>
      </w:r>
      <w:proofErr w:type="spellEnd"/>
      <w:r w:rsidR="005E0F95" w:rsidRPr="00842899">
        <w:t>- eller advarselssignala</w:t>
      </w:r>
      <w:r w:rsidR="005E0F95" w:rsidRPr="00842899">
        <w:t>n</w:t>
      </w:r>
      <w:r w:rsidR="005E0F95" w:rsidRPr="00842899">
        <w:t xml:space="preserve">læg er den bedst egnede sikring i den </w:t>
      </w:r>
      <w:r w:rsidR="005E0F95" w:rsidRPr="0084737C">
        <w:t xml:space="preserve">konkrete overkørsel. </w:t>
      </w:r>
      <w:r w:rsidR="0084737C" w:rsidRPr="0084737C">
        <w:t>D</w:t>
      </w:r>
      <w:r>
        <w:t xml:space="preserve">og </w:t>
      </w:r>
      <w:r w:rsidR="0084737C" w:rsidRPr="0084737C">
        <w:t xml:space="preserve">er </w:t>
      </w:r>
      <w:r>
        <w:t xml:space="preserve">der </w:t>
      </w:r>
      <w:r w:rsidR="0084737C" w:rsidRPr="0084737C">
        <w:t>indarbejde</w:t>
      </w:r>
      <w:r>
        <w:t>t</w:t>
      </w:r>
      <w:r w:rsidR="0084737C" w:rsidRPr="0084737C">
        <w:t xml:space="preserve"> en mulighed</w:t>
      </w:r>
      <w:r>
        <w:t xml:space="preserve"> for dispensation</w:t>
      </w:r>
      <w:r w:rsidR="0084737C" w:rsidRPr="0084737C">
        <w:t xml:space="preserve"> </w:t>
      </w:r>
      <w:r>
        <w:t>som gør det muligt at a</w:t>
      </w:r>
      <w:r>
        <w:t>n</w:t>
      </w:r>
      <w:r>
        <w:t>vende</w:t>
      </w:r>
      <w:r w:rsidR="0084737C" w:rsidRPr="0084737C">
        <w:t xml:space="preserve"> alternative tiltag til sikring af vej- og banetrafikken, hvis infr</w:t>
      </w:r>
      <w:r w:rsidR="0084737C" w:rsidRPr="0084737C">
        <w:t>a</w:t>
      </w:r>
      <w:r w:rsidR="0084737C" w:rsidRPr="0084737C">
        <w:t>strukturforvalteren på baggrund af en risikovurdering</w:t>
      </w:r>
      <w:r>
        <w:t xml:space="preserve"> kan påvise</w:t>
      </w:r>
      <w:r w:rsidR="0084737C" w:rsidRPr="0084737C">
        <w:t xml:space="preserve">, at disse </w:t>
      </w:r>
      <w:r w:rsidR="0084737C">
        <w:t xml:space="preserve">er tilstrækkelige. </w:t>
      </w:r>
    </w:p>
    <w:p w:rsidR="0006555E" w:rsidRDefault="00A0182E" w:rsidP="00A352D1">
      <w:r>
        <w:t>Endeligt er d</w:t>
      </w:r>
      <w:r w:rsidR="0006555E">
        <w:t xml:space="preserve">er foretaget en mindre </w:t>
      </w:r>
      <w:r w:rsidR="00185F4C">
        <w:t xml:space="preserve">præcisering af </w:t>
      </w:r>
      <w:r w:rsidR="0006555E">
        <w:t>anvendelse af si</w:t>
      </w:r>
      <w:r w:rsidR="0006555E">
        <w:t>k</w:t>
      </w:r>
      <w:r w:rsidR="0006555E">
        <w:t>kerhedsforanstaltninger</w:t>
      </w:r>
      <w:r w:rsidR="0082520D">
        <w:t xml:space="preserve">. Det fremgår nu </w:t>
      </w:r>
      <w:r w:rsidR="005E0F95">
        <w:t>tydeligt, at</w:t>
      </w:r>
      <w:r w:rsidR="0082520D">
        <w:t>,</w:t>
      </w:r>
      <w:r w:rsidR="005E0F95">
        <w:t xml:space="preserve"> </w:t>
      </w:r>
      <w:r w:rsidR="0082520D">
        <w:t xml:space="preserve">for så vidt angår overkørsler, hvor der kan forekomme flere end én togpassage under samme spærring, skal et </w:t>
      </w:r>
      <w:proofErr w:type="spellStart"/>
      <w:r w:rsidR="0082520D">
        <w:t>helbomanlæg</w:t>
      </w:r>
      <w:proofErr w:type="spellEnd"/>
      <w:r w:rsidR="0082520D">
        <w:t xml:space="preserve"> anvendes</w:t>
      </w:r>
      <w:r w:rsidR="0006555E">
        <w:t xml:space="preserve">.  </w:t>
      </w:r>
    </w:p>
    <w:p w:rsidR="007A2DFD" w:rsidRDefault="007A2DF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B7D0E" w:rsidRDefault="004B7D0E" w:rsidP="00A352D1">
      <w:pPr>
        <w:rPr>
          <w:b/>
        </w:rPr>
      </w:pPr>
      <w:r w:rsidRPr="004B7D0E">
        <w:rPr>
          <w:b/>
        </w:rPr>
        <w:lastRenderedPageBreak/>
        <w:t>Administrative og økonomiske konsekvenser, herunder DUT</w:t>
      </w:r>
    </w:p>
    <w:p w:rsidR="00095135" w:rsidRPr="009C5857" w:rsidRDefault="00CC5504" w:rsidP="00A352D1">
      <w:r>
        <w:t xml:space="preserve">Udvidelse af </w:t>
      </w:r>
      <w:r w:rsidR="009C5857" w:rsidRPr="009C5857">
        <w:t>bekendtgørelse</w:t>
      </w:r>
      <w:r>
        <w:t>n</w:t>
      </w:r>
      <w:r w:rsidR="009C5857" w:rsidRPr="009C5857">
        <w:t xml:space="preserve">s </w:t>
      </w:r>
      <w:r w:rsidR="00095135" w:rsidRPr="009C5857">
        <w:t xml:space="preserve">anvendelsesområde har </w:t>
      </w:r>
      <w:r w:rsidRPr="009C5857">
        <w:t xml:space="preserve">i praksis </w:t>
      </w:r>
      <w:r>
        <w:t>m</w:t>
      </w:r>
      <w:r>
        <w:t>e</w:t>
      </w:r>
      <w:r>
        <w:t xml:space="preserve">get begrænset </w:t>
      </w:r>
      <w:r w:rsidR="00095135" w:rsidRPr="009C5857">
        <w:t xml:space="preserve">betydning </w:t>
      </w:r>
      <w:r w:rsidR="0051224C" w:rsidRPr="009C5857">
        <w:t>for privatbanerne</w:t>
      </w:r>
      <w:r w:rsidR="00095135" w:rsidRPr="009C5857">
        <w:t xml:space="preserve">, idet </w:t>
      </w:r>
      <w:r w:rsidR="0051224C" w:rsidRPr="009C5857">
        <w:t xml:space="preserve">der kun </w:t>
      </w:r>
      <w:r w:rsidR="009C5857" w:rsidRPr="009C5857">
        <w:t xml:space="preserve">findes </w:t>
      </w:r>
      <w:r w:rsidR="0051224C" w:rsidRPr="009C5857">
        <w:t xml:space="preserve">få </w:t>
      </w:r>
      <w:r w:rsidR="009C5857" w:rsidRPr="009C5857">
        <w:t>si</w:t>
      </w:r>
      <w:r w:rsidR="009C5857" w:rsidRPr="009C5857">
        <w:t>k</w:t>
      </w:r>
      <w:r w:rsidR="009C5857" w:rsidRPr="009C5857">
        <w:t xml:space="preserve">rede </w:t>
      </w:r>
      <w:r w:rsidR="0051224C" w:rsidRPr="009C5857">
        <w:t xml:space="preserve">overkørsler, </w:t>
      </w:r>
      <w:r w:rsidR="009C5857" w:rsidRPr="009C5857">
        <w:t xml:space="preserve">som privatbanerne </w:t>
      </w:r>
      <w:r>
        <w:t xml:space="preserve">selv </w:t>
      </w:r>
      <w:r w:rsidR="009C5857" w:rsidRPr="009C5857">
        <w:t xml:space="preserve">forvalter. </w:t>
      </w:r>
      <w:r w:rsidR="0051224C" w:rsidRPr="009C5857">
        <w:t xml:space="preserve">Dertil kommer, at bekendtgørelsen først skal anvendes, når der foretages ændringer i det eksisterende eller etableres nye sikkerhedsforanstaltninger. </w:t>
      </w:r>
    </w:p>
    <w:p w:rsidR="007571A3" w:rsidRDefault="007571A3" w:rsidP="007571A3">
      <w:r w:rsidRPr="007571A3">
        <w:t xml:space="preserve">Præcisering af kravet om </w:t>
      </w:r>
      <w:proofErr w:type="spellStart"/>
      <w:r w:rsidRPr="007571A3">
        <w:t>helbomanlæg</w:t>
      </w:r>
      <w:proofErr w:type="spellEnd"/>
      <w:r w:rsidRPr="007571A3">
        <w:t xml:space="preserve"> </w:t>
      </w:r>
      <w:r w:rsidR="00CC5504">
        <w:t>ved fler</w:t>
      </w:r>
      <w:r w:rsidRPr="007571A3">
        <w:t>e</w:t>
      </w:r>
      <w:r>
        <w:t xml:space="preserve"> end én togpassage under samme spærring, er en præcisering af gældende praksis og vurderes derfor ikke at medføre økonomiske eller administrative me</w:t>
      </w:r>
      <w:r w:rsidR="00B0735E">
        <w:t>r</w:t>
      </w:r>
      <w:r>
        <w:t xml:space="preserve">omkostninger.  </w:t>
      </w:r>
      <w:r w:rsidR="0051224C" w:rsidRPr="00185F4C">
        <w:rPr>
          <w:highlight w:val="yellow"/>
        </w:rPr>
        <w:t xml:space="preserve"> </w:t>
      </w:r>
      <w:r>
        <w:t xml:space="preserve">  </w:t>
      </w:r>
    </w:p>
    <w:p w:rsidR="007571A3" w:rsidRDefault="00A0182E" w:rsidP="007571A3">
      <w:r>
        <w:t xml:space="preserve">Endeligt er der </w:t>
      </w:r>
      <w:r w:rsidR="007571A3">
        <w:t>indarbejde</w:t>
      </w:r>
      <w:r>
        <w:t>t</w:t>
      </w:r>
      <w:r w:rsidR="007571A3">
        <w:t xml:space="preserve"> mulighed </w:t>
      </w:r>
      <w:r>
        <w:t xml:space="preserve">for at dispensere fra kravene </w:t>
      </w:r>
      <w:r w:rsidR="007571A3">
        <w:t xml:space="preserve">i bekendtgørelsen. </w:t>
      </w:r>
      <w:r w:rsidR="004970E8">
        <w:t>Dette vurderes at medføre en l</w:t>
      </w:r>
      <w:r w:rsidR="00CC5504">
        <w:t>ettelse</w:t>
      </w:r>
      <w:r w:rsidR="004970E8">
        <w:t xml:space="preserve"> for infrastru</w:t>
      </w:r>
      <w:r w:rsidR="004970E8">
        <w:t>k</w:t>
      </w:r>
      <w:r w:rsidR="004970E8">
        <w:t xml:space="preserve">turforvaltere i de tilfælde, hvor </w:t>
      </w:r>
      <w:r w:rsidR="00B41829">
        <w:t xml:space="preserve">der ikke er behov for godkendelse af sikkerhedsforanstaltninger, idet ændringen er sikkerhedsmæssigt ubetydelig eller hvor </w:t>
      </w:r>
      <w:r w:rsidR="004970E8">
        <w:t xml:space="preserve">der er behov for at anvende </w:t>
      </w:r>
      <w:r w:rsidR="00CC5504">
        <w:t>andre egnede alte</w:t>
      </w:r>
      <w:r w:rsidR="00CC5504">
        <w:t>r</w:t>
      </w:r>
      <w:r w:rsidR="00CC5504">
        <w:t xml:space="preserve">nativer </w:t>
      </w:r>
      <w:r w:rsidR="004970E8">
        <w:t xml:space="preserve">til sikkerhedsforanstaltninger </w:t>
      </w:r>
      <w:r w:rsidR="00CC5504">
        <w:t>end advarselsanlæg</w:t>
      </w:r>
      <w:r w:rsidR="00471123">
        <w:t>, halv- eller helbomme</w:t>
      </w:r>
      <w:r w:rsidR="00CC5504">
        <w:t xml:space="preserve">. </w:t>
      </w:r>
    </w:p>
    <w:p w:rsidR="004B7D0E" w:rsidRPr="004B7D0E" w:rsidRDefault="004B7D0E" w:rsidP="004B7D0E">
      <w:pPr>
        <w:rPr>
          <w:b/>
        </w:rPr>
      </w:pPr>
      <w:r w:rsidRPr="004B7D0E">
        <w:rPr>
          <w:b/>
        </w:rPr>
        <w:t>Øvrig information</w:t>
      </w:r>
    </w:p>
    <w:p w:rsidR="004B7D0E" w:rsidRDefault="0095697E" w:rsidP="004B7D0E">
      <w:r>
        <w:rPr>
          <w:noProof/>
          <w:lang w:eastAsia="da-DK"/>
        </w:rPr>
        <w:pict>
          <v:shape id="_x0000_s1027" type="#_x0000_t202" style="position:absolute;margin-left:-40pt;margin-top:.1pt;width:30pt;height:18pt;z-index:251659264" stroked="f">
            <v:textbox inset=",0">
              <w:txbxContent>
                <w:p w:rsidR="00A36EE7" w:rsidRDefault="00A36EE7" w:rsidP="00A36EE7">
                  <w:r>
                    <w:t>./.</w:t>
                  </w:r>
                </w:p>
              </w:txbxContent>
            </v:textbox>
          </v:shape>
        </w:pict>
      </w:r>
      <w:r w:rsidR="004B7D0E">
        <w:t>Der vedlægges en fortegnelse over de hørte myndigheder og organ</w:t>
      </w:r>
      <w:r w:rsidR="004B7D0E">
        <w:t>i</w:t>
      </w:r>
      <w:r w:rsidR="004B7D0E">
        <w:t>sationer.</w:t>
      </w:r>
    </w:p>
    <w:p w:rsidR="004B7D0E" w:rsidRDefault="004B7D0E" w:rsidP="004B7D0E">
      <w:r>
        <w:t xml:space="preserve">Eventuelle bemærkninger bedes sendt til info@trafikstyrelsen.dk </w:t>
      </w:r>
      <w:r w:rsidRPr="00087581">
        <w:t>s</w:t>
      </w:r>
      <w:r w:rsidRPr="00087581">
        <w:t>e</w:t>
      </w:r>
      <w:r w:rsidRPr="00087581">
        <w:t xml:space="preserve">nest den </w:t>
      </w:r>
      <w:r w:rsidR="001C3693" w:rsidRPr="00087581">
        <w:t>4</w:t>
      </w:r>
      <w:r w:rsidRPr="00087581">
        <w:t xml:space="preserve">. </w:t>
      </w:r>
      <w:r w:rsidR="001C3693" w:rsidRPr="00087581">
        <w:t>december</w:t>
      </w:r>
      <w:r w:rsidRPr="00087581">
        <w:t xml:space="preserve"> 2013.</w:t>
      </w:r>
    </w:p>
    <w:p w:rsidR="004B7D0E" w:rsidRDefault="004B7D0E" w:rsidP="004B7D0E">
      <w:r>
        <w:t xml:space="preserve">Høringsmaterialet kan også ses på Høringsportalen på </w:t>
      </w:r>
      <w:hyperlink r:id="rId9" w:history="1">
        <w:r w:rsidRPr="00727C0D">
          <w:rPr>
            <w:rStyle w:val="Hyperlink"/>
          </w:rPr>
          <w:t>www.borger.dk</w:t>
        </w:r>
      </w:hyperlink>
      <w:r>
        <w:t xml:space="preserve"> under Lovgivning.</w:t>
      </w:r>
    </w:p>
    <w:p w:rsidR="004B7D0E" w:rsidRDefault="004B7D0E" w:rsidP="004B7D0E">
      <w:r>
        <w:t xml:space="preserve">Trafikstyrelsens nyhedsbrev indeholder information om </w:t>
      </w:r>
      <w:r w:rsidR="00A36EE7">
        <w:t xml:space="preserve">høringer, </w:t>
      </w:r>
      <w:r>
        <w:t>u</w:t>
      </w:r>
      <w:r>
        <w:t>d</w:t>
      </w:r>
      <w:r>
        <w:t xml:space="preserve">stedte bekendtgørelser og </w:t>
      </w:r>
      <w:proofErr w:type="spellStart"/>
      <w:r>
        <w:t>BJ’er</w:t>
      </w:r>
      <w:proofErr w:type="spellEnd"/>
      <w:r>
        <w:t>. Tilmelding til Trafikstyrelsens n</w:t>
      </w:r>
      <w:r>
        <w:t>y</w:t>
      </w:r>
      <w:r>
        <w:t xml:space="preserve">hedsbrev kan ske på </w:t>
      </w:r>
      <w:hyperlink r:id="rId10" w:history="1">
        <w:r w:rsidRPr="00727C0D">
          <w:rPr>
            <w:rStyle w:val="Hyperlink"/>
          </w:rPr>
          <w:t>www.trafikstyrelsen.dk</w:t>
        </w:r>
      </w:hyperlink>
    </w:p>
    <w:p w:rsidR="004B7D0E" w:rsidRDefault="004B7D0E" w:rsidP="004B7D0E">
      <w:r>
        <w:t xml:space="preserve">Udstedte bekendtgørelser og </w:t>
      </w:r>
      <w:proofErr w:type="spellStart"/>
      <w:r>
        <w:t>BJ’er</w:t>
      </w:r>
      <w:proofErr w:type="spellEnd"/>
      <w:r>
        <w:t xml:space="preserve"> kan endvidere ses på Trafikstyre</w:t>
      </w:r>
      <w:r>
        <w:t>l</w:t>
      </w:r>
      <w:r>
        <w:t xml:space="preserve">sens hjemmeside på adressen </w:t>
      </w:r>
      <w:hyperlink r:id="rId11" w:history="1">
        <w:r w:rsidRPr="00727C0D">
          <w:rPr>
            <w:rStyle w:val="Hyperlink"/>
          </w:rPr>
          <w:t>www.trafikstyrelsen.dk</w:t>
        </w:r>
      </w:hyperlink>
      <w:r>
        <w:t xml:space="preserve"> under Lovstof.</w:t>
      </w:r>
    </w:p>
    <w:p w:rsidR="004B7D0E" w:rsidRDefault="004B7D0E" w:rsidP="004B7D0E">
      <w:r>
        <w:t>Eventulle spørgsmål til bekendtgørelsen kan rettes til undertegnede:</w:t>
      </w:r>
      <w:r w:rsidR="00F00B35">
        <w:t xml:space="preserve"> </w:t>
      </w:r>
      <w:r>
        <w:t xml:space="preserve">Mari Ruuhi, </w:t>
      </w:r>
      <w:hyperlink r:id="rId12" w:history="1">
        <w:r w:rsidRPr="00727C0D">
          <w:rPr>
            <w:rStyle w:val="Hyperlink"/>
          </w:rPr>
          <w:t>mru@trafikstyrelsen.dk</w:t>
        </w:r>
      </w:hyperlink>
      <w:r>
        <w:t xml:space="preserve">, tlf. nr. </w:t>
      </w:r>
      <w:r w:rsidR="00F00B35" w:rsidRPr="00F00B35">
        <w:t>4178 0217</w:t>
      </w:r>
      <w:r w:rsidR="00F00B35">
        <w:t>.</w:t>
      </w:r>
    </w:p>
    <w:p w:rsidR="00F00B35" w:rsidRPr="004B7D0E" w:rsidRDefault="00F00B35" w:rsidP="004B7D0E"/>
    <w:p w:rsidR="00BA0B34" w:rsidRDefault="00BA0B34" w:rsidP="00A352D1">
      <w:r>
        <w:t>Med venlig hilsen</w:t>
      </w:r>
    </w:p>
    <w:p w:rsidR="000937CA" w:rsidRDefault="000937CA" w:rsidP="00A352D1"/>
    <w:p w:rsidR="006A67B0" w:rsidRDefault="004B7D0E" w:rsidP="00E6578E">
      <w:pPr>
        <w:spacing w:after="0"/>
      </w:pPr>
      <w:bookmarkStart w:id="4" w:name="TSNavn"/>
      <w:bookmarkEnd w:id="4"/>
      <w:r>
        <w:t>Mari Ruuhi</w:t>
      </w:r>
      <w:bookmarkStart w:id="5" w:name="TSTitel"/>
      <w:bookmarkEnd w:id="5"/>
    </w:p>
    <w:p w:rsidR="006A67B0" w:rsidRDefault="006A67B0" w:rsidP="00E6578E">
      <w:pPr>
        <w:spacing w:after="0"/>
      </w:pPr>
    </w:p>
    <w:p w:rsidR="00A61BE3" w:rsidRDefault="00A61BE3" w:rsidP="00FC7F9C">
      <w:pPr>
        <w:spacing w:after="0"/>
      </w:pPr>
    </w:p>
    <w:sectPr w:rsidR="00A61BE3" w:rsidSect="00BA0B3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A8" w:rsidRDefault="00337AA8">
      <w:r>
        <w:separator/>
      </w:r>
    </w:p>
  </w:endnote>
  <w:endnote w:type="continuationSeparator" w:id="0">
    <w:p w:rsidR="00337AA8" w:rsidRDefault="0033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95697E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95697E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95697E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95697E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A8" w:rsidRDefault="00337AA8">
      <w:r>
        <w:separator/>
      </w:r>
    </w:p>
  </w:footnote>
  <w:footnote w:type="continuationSeparator" w:id="0">
    <w:p w:rsidR="00337AA8" w:rsidRDefault="0033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95697E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D62428" w:rsidRDefault="00337AA8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Journalnummer  \* MERGEFORMAT ">
                  <w:r w:rsidR="0095697E">
                    <w:rPr>
                      <w:noProof/>
                    </w:rPr>
                    <w:t>Journal TS10301-00021</w:t>
                  </w:r>
                </w:fldSimple>
              </w:p>
              <w:p w:rsidR="00D62428" w:rsidRDefault="00337AA8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Dato  \* MERGEFORMAT ">
                  <w:r w:rsidR="0095697E">
                    <w:rPr>
                      <w:noProof/>
                    </w:rPr>
                    <w:t>Dato 6. november 2013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4B7D0E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E7D3E2C" wp14:editId="45C6DDE6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93BA392" wp14:editId="7FFF068E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97E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</w:t>
                </w:r>
                <w:r w:rsidR="004B7D0E">
                  <w:rPr>
                    <w:noProof/>
                  </w:rPr>
                  <w:t xml:space="preserve"> </w:t>
                </w:r>
                <w:r w:rsidR="004B7D0E" w:rsidRPr="004B7D0E">
                  <w:rPr>
                    <w:noProof/>
                  </w:rPr>
                  <w:t xml:space="preserve">7221 8800 </w:t>
                </w:r>
                <w:r>
                  <w:rPr>
                    <w:noProof/>
                  </w:rPr>
                  <w:t xml:space="preserve"> </w:t>
                </w:r>
              </w:p>
              <w:p w:rsidR="006A67B0" w:rsidRPr="004B7D0E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4B7D0E" w:rsidRPr="004B7D0E">
                  <w:rPr>
                    <w:noProof/>
                  </w:rPr>
                  <w:t>7262 6790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info@trafikstyrelsen.dk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83BF8"/>
    <w:multiLevelType w:val="hybridMultilevel"/>
    <w:tmpl w:val="D8721DD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030E6"/>
    <w:multiLevelType w:val="hybridMultilevel"/>
    <w:tmpl w:val="F79E0B1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952"/>
    <w:multiLevelType w:val="hybridMultilevel"/>
    <w:tmpl w:val="89AC0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0E"/>
    <w:rsid w:val="0002485A"/>
    <w:rsid w:val="00024FA8"/>
    <w:rsid w:val="00033784"/>
    <w:rsid w:val="0003564B"/>
    <w:rsid w:val="00037B7A"/>
    <w:rsid w:val="00040C40"/>
    <w:rsid w:val="00042668"/>
    <w:rsid w:val="000465AD"/>
    <w:rsid w:val="00051AB0"/>
    <w:rsid w:val="00056E4E"/>
    <w:rsid w:val="0006555E"/>
    <w:rsid w:val="00066F5C"/>
    <w:rsid w:val="00067E85"/>
    <w:rsid w:val="00087581"/>
    <w:rsid w:val="000922C9"/>
    <w:rsid w:val="000937CA"/>
    <w:rsid w:val="00095135"/>
    <w:rsid w:val="000952E7"/>
    <w:rsid w:val="000A78BC"/>
    <w:rsid w:val="000B170C"/>
    <w:rsid w:val="000B419B"/>
    <w:rsid w:val="000B5F5D"/>
    <w:rsid w:val="000D4ED0"/>
    <w:rsid w:val="000D6963"/>
    <w:rsid w:val="000D7EAC"/>
    <w:rsid w:val="000E4D84"/>
    <w:rsid w:val="000F7189"/>
    <w:rsid w:val="00141274"/>
    <w:rsid w:val="00150DF2"/>
    <w:rsid w:val="00185F4C"/>
    <w:rsid w:val="00190049"/>
    <w:rsid w:val="001B5EFB"/>
    <w:rsid w:val="001C3693"/>
    <w:rsid w:val="001D3341"/>
    <w:rsid w:val="001D48A3"/>
    <w:rsid w:val="001D5B8B"/>
    <w:rsid w:val="001F3655"/>
    <w:rsid w:val="001F4A3F"/>
    <w:rsid w:val="002004A0"/>
    <w:rsid w:val="00222497"/>
    <w:rsid w:val="00226E9A"/>
    <w:rsid w:val="00231337"/>
    <w:rsid w:val="0023164C"/>
    <w:rsid w:val="002367F8"/>
    <w:rsid w:val="00257786"/>
    <w:rsid w:val="00281F2E"/>
    <w:rsid w:val="00285700"/>
    <w:rsid w:val="002B0062"/>
    <w:rsid w:val="002B4952"/>
    <w:rsid w:val="002B6382"/>
    <w:rsid w:val="002E4320"/>
    <w:rsid w:val="002F2888"/>
    <w:rsid w:val="002F6A2C"/>
    <w:rsid w:val="00301946"/>
    <w:rsid w:val="00305D78"/>
    <w:rsid w:val="003123F8"/>
    <w:rsid w:val="00317218"/>
    <w:rsid w:val="00327C7C"/>
    <w:rsid w:val="00333916"/>
    <w:rsid w:val="00337AA8"/>
    <w:rsid w:val="00347AD5"/>
    <w:rsid w:val="00376F78"/>
    <w:rsid w:val="00384859"/>
    <w:rsid w:val="0039544C"/>
    <w:rsid w:val="00395C25"/>
    <w:rsid w:val="003C4573"/>
    <w:rsid w:val="003C51E6"/>
    <w:rsid w:val="003E7522"/>
    <w:rsid w:val="00402177"/>
    <w:rsid w:val="0042477C"/>
    <w:rsid w:val="00453149"/>
    <w:rsid w:val="00464A88"/>
    <w:rsid w:val="00464B62"/>
    <w:rsid w:val="0046759B"/>
    <w:rsid w:val="00471123"/>
    <w:rsid w:val="004970E8"/>
    <w:rsid w:val="004B4FAB"/>
    <w:rsid w:val="004B505F"/>
    <w:rsid w:val="004B6006"/>
    <w:rsid w:val="004B7D0E"/>
    <w:rsid w:val="004D46CE"/>
    <w:rsid w:val="004D779A"/>
    <w:rsid w:val="004F5205"/>
    <w:rsid w:val="00506537"/>
    <w:rsid w:val="00506A57"/>
    <w:rsid w:val="0051224C"/>
    <w:rsid w:val="00521C79"/>
    <w:rsid w:val="00532438"/>
    <w:rsid w:val="005375AE"/>
    <w:rsid w:val="00542E5F"/>
    <w:rsid w:val="0054686B"/>
    <w:rsid w:val="00550D17"/>
    <w:rsid w:val="00553348"/>
    <w:rsid w:val="00560810"/>
    <w:rsid w:val="00565DA9"/>
    <w:rsid w:val="00574AE0"/>
    <w:rsid w:val="00583D57"/>
    <w:rsid w:val="0058604C"/>
    <w:rsid w:val="00590D34"/>
    <w:rsid w:val="0059715F"/>
    <w:rsid w:val="005C3B0C"/>
    <w:rsid w:val="005D2B07"/>
    <w:rsid w:val="005E0F95"/>
    <w:rsid w:val="00600D52"/>
    <w:rsid w:val="006124BF"/>
    <w:rsid w:val="00620455"/>
    <w:rsid w:val="006251D7"/>
    <w:rsid w:val="00637331"/>
    <w:rsid w:val="006431EB"/>
    <w:rsid w:val="00660E69"/>
    <w:rsid w:val="00676028"/>
    <w:rsid w:val="00697858"/>
    <w:rsid w:val="006A20D7"/>
    <w:rsid w:val="006A67B0"/>
    <w:rsid w:val="006D1AD7"/>
    <w:rsid w:val="007025D5"/>
    <w:rsid w:val="00705289"/>
    <w:rsid w:val="0071623C"/>
    <w:rsid w:val="00716B32"/>
    <w:rsid w:val="00720660"/>
    <w:rsid w:val="007400A1"/>
    <w:rsid w:val="007571A3"/>
    <w:rsid w:val="007860BD"/>
    <w:rsid w:val="007918E4"/>
    <w:rsid w:val="007A0127"/>
    <w:rsid w:val="007A2DFD"/>
    <w:rsid w:val="007B0FD7"/>
    <w:rsid w:val="007D09A2"/>
    <w:rsid w:val="007D261E"/>
    <w:rsid w:val="007D5F97"/>
    <w:rsid w:val="007E4F0D"/>
    <w:rsid w:val="00805EF0"/>
    <w:rsid w:val="00812A94"/>
    <w:rsid w:val="0082321C"/>
    <w:rsid w:val="0082520D"/>
    <w:rsid w:val="00842899"/>
    <w:rsid w:val="0084737C"/>
    <w:rsid w:val="00884BAE"/>
    <w:rsid w:val="00886FE2"/>
    <w:rsid w:val="008A2BF7"/>
    <w:rsid w:val="008B0314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5697E"/>
    <w:rsid w:val="00967D1A"/>
    <w:rsid w:val="00973A48"/>
    <w:rsid w:val="0098258E"/>
    <w:rsid w:val="00990E96"/>
    <w:rsid w:val="00992A5D"/>
    <w:rsid w:val="009939CC"/>
    <w:rsid w:val="009C3E3C"/>
    <w:rsid w:val="009C4B9F"/>
    <w:rsid w:val="009C5857"/>
    <w:rsid w:val="009D64D4"/>
    <w:rsid w:val="00A0182E"/>
    <w:rsid w:val="00A22802"/>
    <w:rsid w:val="00A22E46"/>
    <w:rsid w:val="00A25A55"/>
    <w:rsid w:val="00A27566"/>
    <w:rsid w:val="00A352D1"/>
    <w:rsid w:val="00A36EE7"/>
    <w:rsid w:val="00A50517"/>
    <w:rsid w:val="00A61BE3"/>
    <w:rsid w:val="00AA2EC8"/>
    <w:rsid w:val="00AB1DAA"/>
    <w:rsid w:val="00AE47DC"/>
    <w:rsid w:val="00AF0233"/>
    <w:rsid w:val="00B0735E"/>
    <w:rsid w:val="00B1743D"/>
    <w:rsid w:val="00B20157"/>
    <w:rsid w:val="00B225B3"/>
    <w:rsid w:val="00B41829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55970"/>
    <w:rsid w:val="00C606DA"/>
    <w:rsid w:val="00C843AC"/>
    <w:rsid w:val="00C844BC"/>
    <w:rsid w:val="00C93A04"/>
    <w:rsid w:val="00C9591D"/>
    <w:rsid w:val="00CB13E2"/>
    <w:rsid w:val="00CB3279"/>
    <w:rsid w:val="00CC5504"/>
    <w:rsid w:val="00CD470A"/>
    <w:rsid w:val="00CE6E4A"/>
    <w:rsid w:val="00CE6EFF"/>
    <w:rsid w:val="00CF1D6D"/>
    <w:rsid w:val="00D15CF2"/>
    <w:rsid w:val="00D3762E"/>
    <w:rsid w:val="00D62428"/>
    <w:rsid w:val="00D63700"/>
    <w:rsid w:val="00D72869"/>
    <w:rsid w:val="00D85D37"/>
    <w:rsid w:val="00DA0932"/>
    <w:rsid w:val="00DB0718"/>
    <w:rsid w:val="00E06B93"/>
    <w:rsid w:val="00E36672"/>
    <w:rsid w:val="00E43934"/>
    <w:rsid w:val="00E445B1"/>
    <w:rsid w:val="00E45D3C"/>
    <w:rsid w:val="00E502D4"/>
    <w:rsid w:val="00E5466E"/>
    <w:rsid w:val="00E55425"/>
    <w:rsid w:val="00E55D22"/>
    <w:rsid w:val="00E6578E"/>
    <w:rsid w:val="00E6773B"/>
    <w:rsid w:val="00E85D2A"/>
    <w:rsid w:val="00E85FF6"/>
    <w:rsid w:val="00E93DCD"/>
    <w:rsid w:val="00E94877"/>
    <w:rsid w:val="00E967CD"/>
    <w:rsid w:val="00EB4DCF"/>
    <w:rsid w:val="00EB66EC"/>
    <w:rsid w:val="00EC6C3B"/>
    <w:rsid w:val="00EE0818"/>
    <w:rsid w:val="00EF52A5"/>
    <w:rsid w:val="00F00B35"/>
    <w:rsid w:val="00F12595"/>
    <w:rsid w:val="00F26096"/>
    <w:rsid w:val="00F50E9C"/>
    <w:rsid w:val="00F562D7"/>
    <w:rsid w:val="00F653C8"/>
    <w:rsid w:val="00F74685"/>
    <w:rsid w:val="00FA04D9"/>
    <w:rsid w:val="00FC5549"/>
    <w:rsid w:val="00FC7F9C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7D0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1AB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D4E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ED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ED0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E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ED0"/>
    <w:rPr>
      <w:rFonts w:ascii="Verdana" w:hAnsi="Verdan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ru@trafikstyrelsen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fikstyrelsen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rafik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ger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B8AE-CB39-4D4C-ABF4-6CF595A2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5217</Characters>
  <Application>Microsoft Office Word</Application>
  <DocSecurity>0</DocSecurity>
  <PresentationFormat>BrevX</PresentationFormat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2013-11-06T10:04:00Z</dcterms:created>
  <dcterms:modified xsi:type="dcterms:W3CDTF">2013-11-06T10:06:00Z</dcterms:modified>
</cp:coreProperties>
</file>