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430" w:rsidRDefault="00B00430" w:rsidP="00B00430">
      <w:pPr>
        <w:pStyle w:val="Departementtekst"/>
        <w:tabs>
          <w:tab w:val="left" w:pos="180"/>
          <w:tab w:val="right" w:pos="8963"/>
        </w:tabs>
        <w:ind w:right="638"/>
        <w:jc w:val="right"/>
        <w:rPr>
          <w:lang w:val="fr-FR"/>
        </w:rPr>
      </w:pPr>
      <w:r>
        <w:rPr>
          <w:lang w:val="fr-FR"/>
        </w:rPr>
        <w:tab/>
      </w:r>
      <w:r w:rsidR="004F5E44" w:rsidRPr="004F5E44">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15pt;height:66.1pt">
            <v:imagedata r:id="rId8" o:title="SKM"/>
          </v:shape>
        </w:pict>
      </w:r>
    </w:p>
    <w:p w:rsidR="00B00430" w:rsidRDefault="00B00430" w:rsidP="00B00430">
      <w:pPr>
        <w:pStyle w:val="Brdtekst"/>
        <w:jc w:val="right"/>
      </w:pPr>
    </w:p>
    <w:p w:rsidR="00B00430" w:rsidRPr="00AD203A" w:rsidRDefault="00B00430" w:rsidP="00B00430">
      <w:pPr>
        <w:pStyle w:val="Departementtekst"/>
        <w:ind w:right="-105"/>
        <w:jc w:val="right"/>
        <w:rPr>
          <w:rFonts w:ascii="Arial" w:hAnsi="Arial" w:cs="Arial"/>
          <w:sz w:val="14"/>
        </w:rPr>
      </w:pPr>
      <w:r w:rsidRPr="00AD203A">
        <w:rPr>
          <w:rFonts w:ascii="Arial" w:hAnsi="Arial" w:cs="Arial"/>
          <w:sz w:val="14"/>
        </w:rPr>
        <w:t xml:space="preserve">J.nr. </w:t>
      </w:r>
      <w:bookmarkStart w:id="0" w:name="sagsnr"/>
      <w:bookmarkEnd w:id="0"/>
      <w:r w:rsidRPr="00AD203A">
        <w:rPr>
          <w:rFonts w:ascii="Arial" w:hAnsi="Arial" w:cs="Arial"/>
          <w:sz w:val="14"/>
        </w:rPr>
        <w:t>20</w:t>
      </w:r>
      <w:r w:rsidR="009362FF" w:rsidRPr="00AD203A">
        <w:rPr>
          <w:rFonts w:ascii="Arial" w:hAnsi="Arial" w:cs="Arial"/>
          <w:sz w:val="14"/>
        </w:rPr>
        <w:t>11</w:t>
      </w:r>
      <w:r w:rsidRPr="00AD203A">
        <w:rPr>
          <w:rFonts w:ascii="Arial" w:hAnsi="Arial" w:cs="Arial"/>
          <w:sz w:val="14"/>
        </w:rPr>
        <w:t>-</w:t>
      </w:r>
      <w:r w:rsidR="009362FF" w:rsidRPr="00AD203A">
        <w:rPr>
          <w:rFonts w:ascii="Arial" w:hAnsi="Arial" w:cs="Arial"/>
          <w:sz w:val="14"/>
        </w:rPr>
        <w:t>2</w:t>
      </w:r>
      <w:r w:rsidRPr="00AD203A">
        <w:rPr>
          <w:rFonts w:ascii="Arial" w:hAnsi="Arial" w:cs="Arial"/>
          <w:sz w:val="14"/>
        </w:rPr>
        <w:t>11-00</w:t>
      </w:r>
      <w:r w:rsidR="009362FF" w:rsidRPr="00AD203A">
        <w:rPr>
          <w:rFonts w:ascii="Arial" w:hAnsi="Arial" w:cs="Arial"/>
          <w:sz w:val="14"/>
        </w:rPr>
        <w:t>20</w:t>
      </w:r>
    </w:p>
    <w:p w:rsidR="00B00430" w:rsidRPr="00AD203A" w:rsidRDefault="00B00430" w:rsidP="00B00430">
      <w:pPr>
        <w:pStyle w:val="Departementtekst"/>
        <w:ind w:right="-105"/>
        <w:jc w:val="right"/>
        <w:rPr>
          <w:rFonts w:ascii="Arial" w:hAnsi="Arial" w:cs="Arial"/>
          <w:bCs/>
          <w:sz w:val="14"/>
        </w:rPr>
      </w:pPr>
      <w:r w:rsidRPr="00AD203A">
        <w:rPr>
          <w:rFonts w:ascii="Arial" w:hAnsi="Arial" w:cs="Arial"/>
          <w:bCs/>
          <w:sz w:val="14"/>
        </w:rPr>
        <w:t xml:space="preserve">  Dato: </w:t>
      </w:r>
      <w:r w:rsidR="005A30DB">
        <w:rPr>
          <w:rFonts w:ascii="Arial" w:hAnsi="Arial" w:cs="Arial"/>
          <w:bCs/>
          <w:sz w:val="14"/>
        </w:rPr>
        <w:t>1</w:t>
      </w:r>
      <w:r w:rsidR="007C3889">
        <w:rPr>
          <w:rFonts w:ascii="Arial" w:hAnsi="Arial" w:cs="Arial"/>
          <w:bCs/>
          <w:sz w:val="14"/>
        </w:rPr>
        <w:t>8</w:t>
      </w:r>
      <w:r w:rsidR="005A30DB">
        <w:rPr>
          <w:rFonts w:ascii="Arial" w:hAnsi="Arial" w:cs="Arial"/>
          <w:bCs/>
          <w:sz w:val="14"/>
        </w:rPr>
        <w:t>. oktober 2011</w:t>
      </w:r>
    </w:p>
    <w:p w:rsidR="00B00430" w:rsidRDefault="00B00430" w:rsidP="008E596B">
      <w:pPr>
        <w:pStyle w:val="Brdtekst"/>
      </w:pPr>
    </w:p>
    <w:p w:rsidR="00B00430" w:rsidRDefault="00B00430" w:rsidP="008E596B">
      <w:pPr>
        <w:pStyle w:val="Brdtekst"/>
      </w:pPr>
    </w:p>
    <w:p w:rsidR="00B00430" w:rsidRDefault="00B00430" w:rsidP="008E596B">
      <w:pPr>
        <w:pStyle w:val="Brdtekst"/>
      </w:pPr>
    </w:p>
    <w:p w:rsidR="00B00430" w:rsidRDefault="00B00430" w:rsidP="00B00430">
      <w:pPr>
        <w:spacing w:line="288" w:lineRule="auto"/>
        <w:ind w:left="1417"/>
        <w:jc w:val="both"/>
      </w:pPr>
      <w:r>
        <w:t>Til</w:t>
      </w:r>
    </w:p>
    <w:p w:rsidR="00B00430" w:rsidRDefault="004F5E44" w:rsidP="00B00430">
      <w:pPr>
        <w:spacing w:line="288" w:lineRule="auto"/>
        <w:ind w:left="1417"/>
        <w:jc w:val="both"/>
      </w:pPr>
      <w:r>
        <w:fldChar w:fldCharType="begin"/>
      </w:r>
      <w:r w:rsidR="00B00430">
        <w:instrText>ADVANCE \x119</w:instrText>
      </w:r>
      <w:r>
        <w:fldChar w:fldCharType="end"/>
      </w:r>
      <w:r w:rsidR="00B00430">
        <w:t>Folketinget - Skatteudvalget</w:t>
      </w:r>
    </w:p>
    <w:p w:rsidR="00B00430" w:rsidRDefault="00B00430" w:rsidP="00B00430">
      <w:pPr>
        <w:spacing w:line="288" w:lineRule="auto"/>
        <w:ind w:left="1417"/>
        <w:jc w:val="both"/>
      </w:pPr>
    </w:p>
    <w:p w:rsidR="00B00430" w:rsidRDefault="00B00430" w:rsidP="00B00430">
      <w:pPr>
        <w:spacing w:line="288" w:lineRule="auto"/>
        <w:ind w:left="1417"/>
        <w:jc w:val="both"/>
      </w:pPr>
      <w:r>
        <w:t>Til udvalgets orientering vedlægges høringsskema samt de</w:t>
      </w:r>
      <w:r w:rsidR="009362FF">
        <w:t xml:space="preserve"> </w:t>
      </w:r>
      <w:r>
        <w:t xml:space="preserve">modtagne høringssvar vedrørende </w:t>
      </w:r>
      <w:r w:rsidR="009362FF">
        <w:t xml:space="preserve">forslag til </w:t>
      </w:r>
      <w:r w:rsidR="005A30DB" w:rsidRPr="005A30DB">
        <w:t>Lov om ændring af lønsumsafgiftsloven, momsloven, opkræ</w:t>
      </w:r>
      <w:r w:rsidR="005A30DB" w:rsidRPr="005A30DB">
        <w:t>v</w:t>
      </w:r>
      <w:r w:rsidR="005A30DB" w:rsidRPr="005A30DB">
        <w:t>ningsloven, lov om offentligt hasardspil i turneringsform og forskellige andre love</w:t>
      </w:r>
      <w:r>
        <w:t>.</w:t>
      </w:r>
    </w:p>
    <w:p w:rsidR="00B00430" w:rsidRDefault="00B00430" w:rsidP="00B00430">
      <w:pPr>
        <w:spacing w:line="288" w:lineRule="auto"/>
        <w:ind w:left="1417"/>
        <w:jc w:val="both"/>
      </w:pPr>
    </w:p>
    <w:p w:rsidR="00B00430" w:rsidRDefault="00B00430" w:rsidP="00B00430">
      <w:pPr>
        <w:spacing w:line="288" w:lineRule="auto"/>
        <w:ind w:left="1417"/>
        <w:jc w:val="both"/>
      </w:pPr>
    </w:p>
    <w:p w:rsidR="00B00430" w:rsidRDefault="00B00430" w:rsidP="00B00430">
      <w:pPr>
        <w:spacing w:line="288" w:lineRule="auto"/>
        <w:ind w:left="1417"/>
        <w:jc w:val="both"/>
      </w:pPr>
    </w:p>
    <w:p w:rsidR="00B00430" w:rsidRDefault="00B00430" w:rsidP="00B00430">
      <w:pPr>
        <w:spacing w:line="288" w:lineRule="auto"/>
        <w:ind w:left="1417"/>
        <w:jc w:val="both"/>
      </w:pPr>
    </w:p>
    <w:p w:rsidR="00B00430" w:rsidRDefault="00B00430" w:rsidP="00B00430">
      <w:pPr>
        <w:spacing w:line="288" w:lineRule="auto"/>
        <w:ind w:left="1417"/>
        <w:jc w:val="both"/>
      </w:pPr>
    </w:p>
    <w:p w:rsidR="00B00430" w:rsidRDefault="00B00430" w:rsidP="00B00430">
      <w:pPr>
        <w:spacing w:line="288" w:lineRule="auto"/>
        <w:ind w:left="1417"/>
        <w:jc w:val="both"/>
      </w:pPr>
    </w:p>
    <w:p w:rsidR="00B1170E" w:rsidRDefault="005A30DB" w:rsidP="00B00430">
      <w:pPr>
        <w:spacing w:line="288" w:lineRule="auto"/>
        <w:ind w:left="1417"/>
        <w:jc w:val="both"/>
      </w:pPr>
      <w:r w:rsidRPr="005A30DB">
        <w:t>Thor Möger Pedersen</w:t>
      </w:r>
    </w:p>
    <w:p w:rsidR="00B1170E" w:rsidRDefault="00B1170E" w:rsidP="00B00430">
      <w:pPr>
        <w:spacing w:line="288" w:lineRule="auto"/>
        <w:ind w:left="1417"/>
        <w:jc w:val="both"/>
      </w:pPr>
    </w:p>
    <w:p w:rsidR="00B00430" w:rsidRDefault="00B00430" w:rsidP="00B00430">
      <w:pPr>
        <w:tabs>
          <w:tab w:val="left" w:pos="3960"/>
        </w:tabs>
        <w:spacing w:line="288" w:lineRule="auto"/>
        <w:ind w:left="1417"/>
        <w:jc w:val="both"/>
      </w:pPr>
      <w:r>
        <w:tab/>
        <w:t>/</w:t>
      </w:r>
      <w:r w:rsidR="009362FF">
        <w:t>Susanne Reinholdt Andersen</w:t>
      </w:r>
    </w:p>
    <w:p w:rsidR="00B1170E" w:rsidRDefault="00B00430" w:rsidP="008E596B">
      <w:pPr>
        <w:pStyle w:val="Brdtekst"/>
      </w:pPr>
      <w:r>
        <w:br w:type="page"/>
      </w:r>
    </w:p>
    <w:p w:rsidR="008E596B" w:rsidRDefault="008E596B" w:rsidP="008E596B">
      <w:pPr>
        <w:pStyle w:val="Brdtekst"/>
      </w:pPr>
      <w:r>
        <w:t xml:space="preserve">Høringsskema indeholdende høringssvar og kommentarer hertil vedrørende </w:t>
      </w:r>
      <w:r w:rsidR="009362FF" w:rsidRPr="009362FF">
        <w:t>Lov om ændring af lønsumsa</w:t>
      </w:r>
      <w:r w:rsidR="009362FF" w:rsidRPr="009362FF">
        <w:t>f</w:t>
      </w:r>
      <w:r w:rsidR="009362FF" w:rsidRPr="009362FF">
        <w:t>giftsloven, momsloven, opkrævningsloven, lov om offentligt hasardspil i turneringsform og forskellige andre love</w:t>
      </w:r>
      <w:r w:rsidR="009362F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3240"/>
        <w:gridCol w:w="4090"/>
      </w:tblGrid>
      <w:tr w:rsidR="00BD3730" w:rsidRPr="00481E36" w:rsidTr="00982CC6">
        <w:tc>
          <w:tcPr>
            <w:tcW w:w="2448" w:type="dxa"/>
          </w:tcPr>
          <w:p w:rsidR="00BD3730" w:rsidRPr="00481E36" w:rsidRDefault="00BD3730" w:rsidP="00982CC6">
            <w:pPr>
              <w:rPr>
                <w:b/>
                <w:sz w:val="22"/>
                <w:szCs w:val="22"/>
              </w:rPr>
            </w:pPr>
            <w:r w:rsidRPr="00481E36">
              <w:rPr>
                <w:b/>
              </w:rPr>
              <w:t>Organisationer</w:t>
            </w:r>
          </w:p>
        </w:tc>
        <w:tc>
          <w:tcPr>
            <w:tcW w:w="3240" w:type="dxa"/>
          </w:tcPr>
          <w:p w:rsidR="00BD3730" w:rsidRPr="00481E36" w:rsidRDefault="00BD3730" w:rsidP="00982CC6">
            <w:pPr>
              <w:rPr>
                <w:sz w:val="22"/>
                <w:szCs w:val="22"/>
              </w:rPr>
            </w:pPr>
            <w:r w:rsidRPr="00481E36">
              <w:rPr>
                <w:b/>
                <w:bCs/>
                <w:sz w:val="22"/>
              </w:rPr>
              <w:t>Bemærkninger i høringssvar</w:t>
            </w:r>
          </w:p>
        </w:tc>
        <w:tc>
          <w:tcPr>
            <w:tcW w:w="4090" w:type="dxa"/>
          </w:tcPr>
          <w:p w:rsidR="00BD3730" w:rsidRPr="00481E36" w:rsidRDefault="00BD3730" w:rsidP="00982CC6">
            <w:pPr>
              <w:rPr>
                <w:sz w:val="22"/>
                <w:szCs w:val="22"/>
              </w:rPr>
            </w:pPr>
            <w:r w:rsidRPr="00481E36">
              <w:rPr>
                <w:b/>
                <w:bCs/>
                <w:sz w:val="22"/>
              </w:rPr>
              <w:t>Kommentar til bemærkninger</w:t>
            </w:r>
          </w:p>
        </w:tc>
      </w:tr>
      <w:tr w:rsidR="006025F4" w:rsidRPr="00481E36" w:rsidTr="00982CC6">
        <w:tc>
          <w:tcPr>
            <w:tcW w:w="2448" w:type="dxa"/>
          </w:tcPr>
          <w:p w:rsidR="006025F4" w:rsidRDefault="006025F4" w:rsidP="00982CC6">
            <w:pPr>
              <w:spacing w:line="288" w:lineRule="auto"/>
              <w:rPr>
                <w:sz w:val="22"/>
                <w:szCs w:val="22"/>
              </w:rPr>
            </w:pPr>
            <w:r>
              <w:rPr>
                <w:sz w:val="22"/>
                <w:szCs w:val="22"/>
              </w:rPr>
              <w:t>Advokatrådet</w:t>
            </w:r>
          </w:p>
        </w:tc>
        <w:tc>
          <w:tcPr>
            <w:tcW w:w="3240" w:type="dxa"/>
          </w:tcPr>
          <w:p w:rsidR="00212201" w:rsidRDefault="006025F4" w:rsidP="006025F4">
            <w:pPr>
              <w:rPr>
                <w:sz w:val="22"/>
                <w:szCs w:val="22"/>
              </w:rPr>
            </w:pPr>
            <w:r>
              <w:rPr>
                <w:sz w:val="22"/>
                <w:szCs w:val="22"/>
              </w:rPr>
              <w:t xml:space="preserve">Advokatrådet bemærker i relation til forslaget </w:t>
            </w:r>
            <w:r w:rsidRPr="0044006F">
              <w:rPr>
                <w:b/>
                <w:i/>
                <w:sz w:val="22"/>
                <w:szCs w:val="22"/>
              </w:rPr>
              <w:t xml:space="preserve">vedrørende </w:t>
            </w:r>
            <w:r w:rsidR="008C3043">
              <w:rPr>
                <w:b/>
                <w:i/>
                <w:sz w:val="22"/>
                <w:szCs w:val="22"/>
              </w:rPr>
              <w:t xml:space="preserve">privates </w:t>
            </w:r>
            <w:r w:rsidRPr="0044006F">
              <w:rPr>
                <w:b/>
                <w:i/>
                <w:sz w:val="22"/>
                <w:szCs w:val="22"/>
              </w:rPr>
              <w:t xml:space="preserve">indførsel af </w:t>
            </w:r>
            <w:r w:rsidR="008C3043">
              <w:rPr>
                <w:b/>
                <w:i/>
                <w:sz w:val="22"/>
                <w:szCs w:val="22"/>
              </w:rPr>
              <w:t xml:space="preserve">magasiner, </w:t>
            </w:r>
            <w:r w:rsidRPr="0044006F">
              <w:rPr>
                <w:b/>
                <w:i/>
                <w:sz w:val="22"/>
                <w:szCs w:val="22"/>
              </w:rPr>
              <w:t>tidsskri</w:t>
            </w:r>
            <w:r w:rsidRPr="0044006F">
              <w:rPr>
                <w:b/>
                <w:i/>
                <w:sz w:val="22"/>
                <w:szCs w:val="22"/>
              </w:rPr>
              <w:t>f</w:t>
            </w:r>
            <w:r w:rsidRPr="0044006F">
              <w:rPr>
                <w:b/>
                <w:i/>
                <w:sz w:val="22"/>
                <w:szCs w:val="22"/>
              </w:rPr>
              <w:t>ter</w:t>
            </w:r>
            <w:r w:rsidR="008C3043">
              <w:rPr>
                <w:b/>
                <w:i/>
                <w:sz w:val="22"/>
                <w:szCs w:val="22"/>
              </w:rPr>
              <w:t xml:space="preserve"> o.lign.</w:t>
            </w:r>
            <w:r>
              <w:rPr>
                <w:i/>
                <w:sz w:val="22"/>
                <w:szCs w:val="22"/>
              </w:rPr>
              <w:t>,</w:t>
            </w:r>
            <w:r>
              <w:rPr>
                <w:sz w:val="22"/>
                <w:szCs w:val="22"/>
              </w:rPr>
              <w:t xml:space="preserve"> at lovforslaget går ud over ordlyden </w:t>
            </w:r>
            <w:r w:rsidR="00E57493">
              <w:rPr>
                <w:sz w:val="22"/>
                <w:szCs w:val="22"/>
              </w:rPr>
              <w:t>af hjemlen</w:t>
            </w:r>
            <w:r>
              <w:rPr>
                <w:sz w:val="22"/>
                <w:szCs w:val="22"/>
              </w:rPr>
              <w:t xml:space="preserve"> i artikel 23 i Rådets direktiv 2009/132/EF, som forslaget støtter sig på. </w:t>
            </w:r>
          </w:p>
          <w:p w:rsidR="00212201" w:rsidRDefault="00212201" w:rsidP="006025F4">
            <w:pPr>
              <w:rPr>
                <w:sz w:val="22"/>
                <w:szCs w:val="22"/>
              </w:rPr>
            </w:pPr>
          </w:p>
          <w:p w:rsidR="0070100A" w:rsidRDefault="0070100A" w:rsidP="0070100A">
            <w:pPr>
              <w:rPr>
                <w:sz w:val="22"/>
                <w:szCs w:val="22"/>
              </w:rPr>
            </w:pPr>
            <w:r>
              <w:rPr>
                <w:sz w:val="22"/>
                <w:szCs w:val="22"/>
              </w:rPr>
              <w:t>Advokatrådet finder det endvidere betænkeligt, at der i det foreli</w:t>
            </w:r>
            <w:r>
              <w:rPr>
                <w:sz w:val="22"/>
                <w:szCs w:val="22"/>
              </w:rPr>
              <w:t>g</w:t>
            </w:r>
            <w:r>
              <w:rPr>
                <w:sz w:val="22"/>
                <w:szCs w:val="22"/>
              </w:rPr>
              <w:t>gende udkast til lovforslag tils</w:t>
            </w:r>
            <w:r>
              <w:rPr>
                <w:sz w:val="22"/>
                <w:szCs w:val="22"/>
              </w:rPr>
              <w:t>y</w:t>
            </w:r>
            <w:r>
              <w:rPr>
                <w:sz w:val="22"/>
                <w:szCs w:val="22"/>
              </w:rPr>
              <w:t>neladende ikke er anført nogen saglig begrundelse for at gøre netop magasiner og tidsskrifter momspligtige.</w:t>
            </w:r>
          </w:p>
          <w:p w:rsidR="0070100A" w:rsidRDefault="0070100A" w:rsidP="006025F4">
            <w:pPr>
              <w:rPr>
                <w:sz w:val="22"/>
                <w:szCs w:val="22"/>
              </w:rPr>
            </w:pPr>
          </w:p>
          <w:p w:rsidR="00597EF0" w:rsidRDefault="00597EF0" w:rsidP="00597EF0">
            <w:pPr>
              <w:rPr>
                <w:sz w:val="22"/>
                <w:szCs w:val="22"/>
              </w:rPr>
            </w:pPr>
            <w:r>
              <w:rPr>
                <w:sz w:val="22"/>
                <w:szCs w:val="22"/>
              </w:rPr>
              <w:t>Advokatrådet bemærker endvid</w:t>
            </w:r>
            <w:r>
              <w:rPr>
                <w:sz w:val="22"/>
                <w:szCs w:val="22"/>
              </w:rPr>
              <w:t>e</w:t>
            </w:r>
            <w:r>
              <w:rPr>
                <w:sz w:val="22"/>
                <w:szCs w:val="22"/>
              </w:rPr>
              <w:t>re, at formålet med lovforslaget som det er angivet i bemærkni</w:t>
            </w:r>
            <w:r>
              <w:rPr>
                <w:sz w:val="22"/>
                <w:szCs w:val="22"/>
              </w:rPr>
              <w:t>n</w:t>
            </w:r>
            <w:r>
              <w:rPr>
                <w:sz w:val="22"/>
                <w:szCs w:val="22"/>
              </w:rPr>
              <w:t>gerne er, at beskytte indenlandsk produktion. Advokatrådet finder det betænkeligt at begrunde p</w:t>
            </w:r>
            <w:r>
              <w:rPr>
                <w:sz w:val="22"/>
                <w:szCs w:val="22"/>
              </w:rPr>
              <w:t>å</w:t>
            </w:r>
            <w:r>
              <w:rPr>
                <w:sz w:val="22"/>
                <w:szCs w:val="22"/>
              </w:rPr>
              <w:t>læggelse af moms på varer pr</w:t>
            </w:r>
            <w:r>
              <w:rPr>
                <w:sz w:val="22"/>
                <w:szCs w:val="22"/>
              </w:rPr>
              <w:t>o</w:t>
            </w:r>
            <w:r>
              <w:rPr>
                <w:sz w:val="22"/>
                <w:szCs w:val="22"/>
              </w:rPr>
              <w:t>duceret udenfor EU med besky</w:t>
            </w:r>
            <w:r>
              <w:rPr>
                <w:sz w:val="22"/>
                <w:szCs w:val="22"/>
              </w:rPr>
              <w:t>t</w:t>
            </w:r>
            <w:r>
              <w:rPr>
                <w:sz w:val="22"/>
                <w:szCs w:val="22"/>
              </w:rPr>
              <w:t>telse af indenlandsk produktion.</w:t>
            </w:r>
          </w:p>
          <w:p w:rsidR="0070100A" w:rsidRDefault="0070100A" w:rsidP="006025F4">
            <w:pPr>
              <w:rPr>
                <w:sz w:val="22"/>
                <w:szCs w:val="22"/>
              </w:rPr>
            </w:pPr>
          </w:p>
          <w:p w:rsidR="0070100A" w:rsidRDefault="0070100A" w:rsidP="006025F4">
            <w:pPr>
              <w:rPr>
                <w:sz w:val="22"/>
                <w:szCs w:val="22"/>
              </w:rPr>
            </w:pPr>
          </w:p>
          <w:p w:rsidR="0070100A" w:rsidRDefault="0070100A" w:rsidP="006025F4">
            <w:pPr>
              <w:rPr>
                <w:sz w:val="22"/>
                <w:szCs w:val="22"/>
              </w:rPr>
            </w:pPr>
          </w:p>
          <w:p w:rsidR="0070100A" w:rsidRDefault="0070100A" w:rsidP="006025F4">
            <w:pPr>
              <w:rPr>
                <w:sz w:val="22"/>
                <w:szCs w:val="22"/>
              </w:rPr>
            </w:pPr>
          </w:p>
          <w:p w:rsidR="0070100A" w:rsidRDefault="0070100A" w:rsidP="006025F4">
            <w:pPr>
              <w:rPr>
                <w:sz w:val="22"/>
                <w:szCs w:val="22"/>
              </w:rPr>
            </w:pPr>
          </w:p>
          <w:p w:rsidR="0070100A" w:rsidRDefault="0070100A" w:rsidP="006025F4">
            <w:pPr>
              <w:rPr>
                <w:sz w:val="22"/>
                <w:szCs w:val="22"/>
              </w:rPr>
            </w:pPr>
          </w:p>
          <w:p w:rsidR="0070100A" w:rsidRDefault="0070100A" w:rsidP="006025F4">
            <w:pPr>
              <w:rPr>
                <w:sz w:val="22"/>
                <w:szCs w:val="22"/>
              </w:rPr>
            </w:pPr>
          </w:p>
          <w:p w:rsidR="0070100A" w:rsidRDefault="0070100A" w:rsidP="006025F4">
            <w:pPr>
              <w:rPr>
                <w:sz w:val="22"/>
                <w:szCs w:val="22"/>
              </w:rPr>
            </w:pPr>
          </w:p>
          <w:p w:rsidR="0070100A" w:rsidRDefault="0070100A" w:rsidP="006025F4">
            <w:pPr>
              <w:rPr>
                <w:sz w:val="22"/>
                <w:szCs w:val="22"/>
              </w:rPr>
            </w:pPr>
          </w:p>
          <w:p w:rsidR="0070100A" w:rsidRDefault="0070100A" w:rsidP="006025F4">
            <w:pPr>
              <w:rPr>
                <w:sz w:val="22"/>
                <w:szCs w:val="22"/>
              </w:rPr>
            </w:pPr>
          </w:p>
          <w:p w:rsidR="0070100A" w:rsidRDefault="0070100A" w:rsidP="006025F4">
            <w:pPr>
              <w:rPr>
                <w:sz w:val="22"/>
                <w:szCs w:val="22"/>
              </w:rPr>
            </w:pPr>
          </w:p>
          <w:p w:rsidR="0070100A" w:rsidRDefault="0070100A" w:rsidP="006025F4">
            <w:pPr>
              <w:rPr>
                <w:sz w:val="22"/>
                <w:szCs w:val="22"/>
              </w:rPr>
            </w:pPr>
          </w:p>
          <w:p w:rsidR="0070100A" w:rsidRDefault="0070100A" w:rsidP="006025F4">
            <w:pPr>
              <w:rPr>
                <w:sz w:val="22"/>
                <w:szCs w:val="22"/>
              </w:rPr>
            </w:pPr>
          </w:p>
          <w:p w:rsidR="0070100A" w:rsidRDefault="0070100A" w:rsidP="006025F4">
            <w:pPr>
              <w:rPr>
                <w:sz w:val="22"/>
                <w:szCs w:val="22"/>
              </w:rPr>
            </w:pPr>
          </w:p>
          <w:p w:rsidR="0070100A" w:rsidRDefault="0070100A" w:rsidP="006025F4">
            <w:pPr>
              <w:rPr>
                <w:sz w:val="22"/>
                <w:szCs w:val="22"/>
              </w:rPr>
            </w:pPr>
          </w:p>
          <w:p w:rsidR="0070100A" w:rsidRDefault="0070100A" w:rsidP="006025F4">
            <w:pPr>
              <w:rPr>
                <w:sz w:val="22"/>
                <w:szCs w:val="22"/>
              </w:rPr>
            </w:pPr>
          </w:p>
          <w:p w:rsidR="0070100A" w:rsidRDefault="0070100A" w:rsidP="006025F4">
            <w:pPr>
              <w:rPr>
                <w:sz w:val="22"/>
                <w:szCs w:val="22"/>
              </w:rPr>
            </w:pPr>
          </w:p>
          <w:p w:rsidR="0070100A" w:rsidRDefault="0070100A" w:rsidP="006025F4">
            <w:pPr>
              <w:rPr>
                <w:sz w:val="22"/>
                <w:szCs w:val="22"/>
              </w:rPr>
            </w:pPr>
          </w:p>
          <w:p w:rsidR="0070100A" w:rsidRDefault="0070100A" w:rsidP="006025F4">
            <w:pPr>
              <w:rPr>
                <w:sz w:val="22"/>
                <w:szCs w:val="22"/>
              </w:rPr>
            </w:pPr>
          </w:p>
          <w:p w:rsidR="0070100A" w:rsidRDefault="0070100A" w:rsidP="006025F4">
            <w:pPr>
              <w:rPr>
                <w:sz w:val="22"/>
                <w:szCs w:val="22"/>
              </w:rPr>
            </w:pPr>
          </w:p>
          <w:p w:rsidR="0070100A" w:rsidRDefault="0070100A" w:rsidP="006025F4">
            <w:pPr>
              <w:rPr>
                <w:sz w:val="22"/>
                <w:szCs w:val="22"/>
              </w:rPr>
            </w:pPr>
          </w:p>
          <w:p w:rsidR="006025F4" w:rsidRDefault="006025F4" w:rsidP="006025F4">
            <w:pPr>
              <w:rPr>
                <w:sz w:val="22"/>
                <w:szCs w:val="22"/>
              </w:rPr>
            </w:pPr>
            <w:r>
              <w:rPr>
                <w:sz w:val="22"/>
                <w:szCs w:val="22"/>
              </w:rPr>
              <w:t>Momspligten bør alene begrænse sig til magasiner mv. ”der indf</w:t>
            </w:r>
            <w:r>
              <w:rPr>
                <w:sz w:val="22"/>
                <w:szCs w:val="22"/>
              </w:rPr>
              <w:t>ø</w:t>
            </w:r>
            <w:r>
              <w:rPr>
                <w:sz w:val="22"/>
                <w:szCs w:val="22"/>
              </w:rPr>
              <w:t>res i forbindelse med postordr</w:t>
            </w:r>
            <w:r>
              <w:rPr>
                <w:sz w:val="22"/>
                <w:szCs w:val="22"/>
              </w:rPr>
              <w:t>e</w:t>
            </w:r>
            <w:r>
              <w:rPr>
                <w:sz w:val="22"/>
                <w:szCs w:val="22"/>
              </w:rPr>
              <w:lastRenderedPageBreak/>
              <w:t>salg”. Når man i lovforslaget vælger ikke at undtage alle varer, der indføres i forbindelse med postordresalg fra momsfritage</w:t>
            </w:r>
            <w:r>
              <w:rPr>
                <w:sz w:val="22"/>
                <w:szCs w:val="22"/>
              </w:rPr>
              <w:t>l</w:t>
            </w:r>
            <w:r>
              <w:rPr>
                <w:sz w:val="22"/>
                <w:szCs w:val="22"/>
              </w:rPr>
              <w:t>sen, men kun visse bestemte v</w:t>
            </w:r>
            <w:r>
              <w:rPr>
                <w:sz w:val="22"/>
                <w:szCs w:val="22"/>
              </w:rPr>
              <w:t>a</w:t>
            </w:r>
            <w:r>
              <w:rPr>
                <w:sz w:val="22"/>
                <w:szCs w:val="22"/>
              </w:rPr>
              <w:t>rer, vil der ofte kunne opstå tvivl med hensyn til afgrænsningen af de varer, der er omfattet af b</w:t>
            </w:r>
            <w:r>
              <w:rPr>
                <w:sz w:val="22"/>
                <w:szCs w:val="22"/>
              </w:rPr>
              <w:t>e</w:t>
            </w:r>
            <w:r>
              <w:rPr>
                <w:sz w:val="22"/>
                <w:szCs w:val="22"/>
              </w:rPr>
              <w:t>stemmelsen.</w:t>
            </w:r>
          </w:p>
          <w:p w:rsidR="00224D87" w:rsidRDefault="00224D87" w:rsidP="006025F4">
            <w:pPr>
              <w:rPr>
                <w:sz w:val="22"/>
                <w:szCs w:val="22"/>
              </w:rPr>
            </w:pPr>
          </w:p>
          <w:p w:rsidR="00224D87" w:rsidRDefault="00224D87" w:rsidP="006025F4">
            <w:pPr>
              <w:rPr>
                <w:sz w:val="22"/>
                <w:szCs w:val="22"/>
              </w:rPr>
            </w:pPr>
            <w:r>
              <w:rPr>
                <w:sz w:val="22"/>
                <w:szCs w:val="22"/>
              </w:rPr>
              <w:t>Advokatrådet har herudover den opfattelse, at anvendelsen af tilf</w:t>
            </w:r>
            <w:r>
              <w:rPr>
                <w:sz w:val="22"/>
                <w:szCs w:val="22"/>
              </w:rPr>
              <w:t>ø</w:t>
            </w:r>
            <w:r>
              <w:rPr>
                <w:sz w:val="22"/>
                <w:szCs w:val="22"/>
              </w:rPr>
              <w:t>jelsen ”og lignende” bør undgås i lovregler, da det er retssikke</w:t>
            </w:r>
            <w:r>
              <w:rPr>
                <w:sz w:val="22"/>
                <w:szCs w:val="22"/>
              </w:rPr>
              <w:t>r</w:t>
            </w:r>
            <w:r>
              <w:rPr>
                <w:sz w:val="22"/>
                <w:szCs w:val="22"/>
              </w:rPr>
              <w:t>hedsmæssigt betænkeligt at a</w:t>
            </w:r>
            <w:r>
              <w:rPr>
                <w:sz w:val="22"/>
                <w:szCs w:val="22"/>
              </w:rPr>
              <w:t>n</w:t>
            </w:r>
            <w:r>
              <w:rPr>
                <w:sz w:val="22"/>
                <w:szCs w:val="22"/>
              </w:rPr>
              <w:t>vende løse og rummelige beskr</w:t>
            </w:r>
            <w:r>
              <w:rPr>
                <w:sz w:val="22"/>
                <w:szCs w:val="22"/>
              </w:rPr>
              <w:t>i</w:t>
            </w:r>
            <w:r>
              <w:rPr>
                <w:sz w:val="22"/>
                <w:szCs w:val="22"/>
              </w:rPr>
              <w:t>velser i momslovgivningen af, hvad der objektivt er omfattet af afgiftspligten.</w:t>
            </w:r>
          </w:p>
          <w:p w:rsidR="00003A1E" w:rsidRDefault="00003A1E" w:rsidP="006025F4">
            <w:pPr>
              <w:rPr>
                <w:sz w:val="22"/>
                <w:szCs w:val="22"/>
              </w:rPr>
            </w:pPr>
          </w:p>
          <w:p w:rsidR="006025F4" w:rsidRDefault="006025F4" w:rsidP="006025F4">
            <w:pPr>
              <w:rPr>
                <w:sz w:val="22"/>
                <w:szCs w:val="22"/>
              </w:rPr>
            </w:pPr>
            <w:r>
              <w:rPr>
                <w:sz w:val="22"/>
                <w:szCs w:val="22"/>
              </w:rPr>
              <w:t>Advokatrådet påpeger tillige, at det er misvisende at kalde publ</w:t>
            </w:r>
            <w:r>
              <w:rPr>
                <w:sz w:val="22"/>
                <w:szCs w:val="22"/>
              </w:rPr>
              <w:t>i</w:t>
            </w:r>
            <w:r>
              <w:rPr>
                <w:sz w:val="22"/>
                <w:szCs w:val="22"/>
              </w:rPr>
              <w:t>kationerne for ”private magas</w:t>
            </w:r>
            <w:r>
              <w:rPr>
                <w:sz w:val="22"/>
                <w:szCs w:val="22"/>
              </w:rPr>
              <w:t>i</w:t>
            </w:r>
            <w:r>
              <w:rPr>
                <w:sz w:val="22"/>
                <w:szCs w:val="22"/>
              </w:rPr>
              <w:t>ner”, idet det er alle slags magas</w:t>
            </w:r>
            <w:r>
              <w:rPr>
                <w:sz w:val="22"/>
                <w:szCs w:val="22"/>
              </w:rPr>
              <w:t>i</w:t>
            </w:r>
            <w:r>
              <w:rPr>
                <w:sz w:val="22"/>
                <w:szCs w:val="22"/>
              </w:rPr>
              <w:t>ner og tidsskrifter med ethvert tænkeligt indhold – ikke kun ”private” magasiner mv. – der vil blive omfattet af momspligten.</w:t>
            </w:r>
          </w:p>
          <w:p w:rsidR="00003A1E" w:rsidRDefault="00003A1E" w:rsidP="006025F4">
            <w:pPr>
              <w:rPr>
                <w:sz w:val="22"/>
                <w:szCs w:val="22"/>
              </w:rPr>
            </w:pPr>
          </w:p>
          <w:p w:rsidR="006025F4" w:rsidRDefault="006025F4" w:rsidP="006025F4">
            <w:pPr>
              <w:rPr>
                <w:sz w:val="22"/>
                <w:szCs w:val="22"/>
              </w:rPr>
            </w:pPr>
            <w:r>
              <w:rPr>
                <w:sz w:val="22"/>
                <w:szCs w:val="22"/>
              </w:rPr>
              <w:t>Endelig påpeger Advokatrådet, at forslaget betyder, at udenlandske magasiner ud over moms vil ku</w:t>
            </w:r>
            <w:r>
              <w:rPr>
                <w:sz w:val="22"/>
                <w:szCs w:val="22"/>
              </w:rPr>
              <w:t>n</w:t>
            </w:r>
            <w:r>
              <w:rPr>
                <w:sz w:val="22"/>
                <w:szCs w:val="22"/>
              </w:rPr>
              <w:t>ne blive pålagt f.eks. Post Da</w:t>
            </w:r>
            <w:r>
              <w:rPr>
                <w:sz w:val="22"/>
                <w:szCs w:val="22"/>
              </w:rPr>
              <w:t>n</w:t>
            </w:r>
            <w:r>
              <w:rPr>
                <w:sz w:val="22"/>
                <w:szCs w:val="22"/>
              </w:rPr>
              <w:t>marks ”importafgift” på 160 kr. Advokatrådet vurderer, at ”i</w:t>
            </w:r>
            <w:r>
              <w:rPr>
                <w:sz w:val="22"/>
                <w:szCs w:val="22"/>
              </w:rPr>
              <w:t>m</w:t>
            </w:r>
            <w:r>
              <w:rPr>
                <w:sz w:val="22"/>
                <w:szCs w:val="22"/>
              </w:rPr>
              <w:t xml:space="preserve">portafgiften” og den omstændige </w:t>
            </w:r>
            <w:r w:rsidR="00FB15C5">
              <w:rPr>
                <w:sz w:val="22"/>
                <w:szCs w:val="22"/>
              </w:rPr>
              <w:t>p</w:t>
            </w:r>
            <w:r>
              <w:rPr>
                <w:sz w:val="22"/>
                <w:szCs w:val="22"/>
              </w:rPr>
              <w:t>rocedure som modtagere af m</w:t>
            </w:r>
            <w:r>
              <w:rPr>
                <w:sz w:val="22"/>
                <w:szCs w:val="22"/>
              </w:rPr>
              <w:t>a</w:t>
            </w:r>
            <w:r>
              <w:rPr>
                <w:sz w:val="22"/>
                <w:szCs w:val="22"/>
              </w:rPr>
              <w:t>gasiner skal igennem, i sig selv vil kunne blive betragtet som en kvantitativ handelshindring i fo</w:t>
            </w:r>
            <w:r>
              <w:rPr>
                <w:sz w:val="22"/>
                <w:szCs w:val="22"/>
              </w:rPr>
              <w:t>r</w:t>
            </w:r>
            <w:r>
              <w:rPr>
                <w:sz w:val="22"/>
                <w:szCs w:val="22"/>
              </w:rPr>
              <w:t>holdet til de tidligere EFTA-stater, jf. Traktaten om Det Eur</w:t>
            </w:r>
            <w:r>
              <w:rPr>
                <w:sz w:val="22"/>
                <w:szCs w:val="22"/>
              </w:rPr>
              <w:t>o</w:t>
            </w:r>
            <w:r>
              <w:rPr>
                <w:sz w:val="22"/>
                <w:szCs w:val="22"/>
              </w:rPr>
              <w:t>pæiske Økonomiske Område, artikel 11. Ligeledes vil ”impor</w:t>
            </w:r>
            <w:r>
              <w:rPr>
                <w:sz w:val="22"/>
                <w:szCs w:val="22"/>
              </w:rPr>
              <w:t>t</w:t>
            </w:r>
            <w:r>
              <w:rPr>
                <w:sz w:val="22"/>
                <w:szCs w:val="22"/>
              </w:rPr>
              <w:t>afgiften” kunne stride mod Råd</w:t>
            </w:r>
            <w:r>
              <w:rPr>
                <w:sz w:val="22"/>
                <w:szCs w:val="22"/>
              </w:rPr>
              <w:t>s</w:t>
            </w:r>
            <w:r>
              <w:rPr>
                <w:sz w:val="22"/>
                <w:szCs w:val="22"/>
              </w:rPr>
              <w:t>forordning (EF) nr. 1186/2009, artikel 23.</w:t>
            </w:r>
          </w:p>
          <w:p w:rsidR="006025F4" w:rsidRDefault="006025F4" w:rsidP="006025F4">
            <w:pPr>
              <w:rPr>
                <w:sz w:val="22"/>
                <w:szCs w:val="22"/>
              </w:rPr>
            </w:pPr>
          </w:p>
          <w:p w:rsidR="006025F4" w:rsidRDefault="0012377E" w:rsidP="006025F4">
            <w:pPr>
              <w:rPr>
                <w:sz w:val="22"/>
                <w:szCs w:val="22"/>
              </w:rPr>
            </w:pPr>
            <w:r>
              <w:rPr>
                <w:sz w:val="22"/>
                <w:szCs w:val="22"/>
              </w:rPr>
              <w:t>Advokatrådet anfører, at der i bemærkningerne til den foreslå</w:t>
            </w:r>
            <w:r>
              <w:rPr>
                <w:sz w:val="22"/>
                <w:szCs w:val="22"/>
              </w:rPr>
              <w:t>e</w:t>
            </w:r>
            <w:r>
              <w:rPr>
                <w:sz w:val="22"/>
                <w:szCs w:val="22"/>
              </w:rPr>
              <w:t>de nye bestemmelse i momsl</w:t>
            </w:r>
            <w:r>
              <w:rPr>
                <w:sz w:val="22"/>
                <w:szCs w:val="22"/>
              </w:rPr>
              <w:t>o</w:t>
            </w:r>
            <w:r>
              <w:rPr>
                <w:sz w:val="22"/>
                <w:szCs w:val="22"/>
              </w:rPr>
              <w:t>vens § 75, stk. 6 om oplysning</w:t>
            </w:r>
            <w:r>
              <w:rPr>
                <w:sz w:val="22"/>
                <w:szCs w:val="22"/>
              </w:rPr>
              <w:t>s</w:t>
            </w:r>
            <w:r>
              <w:rPr>
                <w:sz w:val="22"/>
                <w:szCs w:val="22"/>
              </w:rPr>
              <w:t>pligt, er nævnt virksomhedernes ”rådgivere m</w:t>
            </w:r>
            <w:r w:rsidR="00C770FB">
              <w:rPr>
                <w:sz w:val="22"/>
                <w:szCs w:val="22"/>
              </w:rPr>
              <w:t>.</w:t>
            </w:r>
            <w:r>
              <w:rPr>
                <w:sz w:val="22"/>
                <w:szCs w:val="22"/>
              </w:rPr>
              <w:t xml:space="preserve">v”. </w:t>
            </w:r>
            <w:r w:rsidR="00C770FB">
              <w:rPr>
                <w:sz w:val="22"/>
                <w:szCs w:val="22"/>
              </w:rPr>
              <w:t>Advokatrådet mener ikke, at bestemmelsen er tænkt at skulle gælde fx advok</w:t>
            </w:r>
            <w:r w:rsidR="00C770FB">
              <w:rPr>
                <w:sz w:val="22"/>
                <w:szCs w:val="22"/>
              </w:rPr>
              <w:t>a</w:t>
            </w:r>
            <w:r w:rsidR="00C770FB">
              <w:rPr>
                <w:sz w:val="22"/>
                <w:szCs w:val="22"/>
              </w:rPr>
              <w:lastRenderedPageBreak/>
              <w:t>ter i deres egenskab af rådgivere for virksomheder. Advokatrådet opfordrer derfor til, at ”rådgivere” tages ud af teksten i bemærkni</w:t>
            </w:r>
            <w:r w:rsidR="00C770FB">
              <w:rPr>
                <w:sz w:val="22"/>
                <w:szCs w:val="22"/>
              </w:rPr>
              <w:t>n</w:t>
            </w:r>
            <w:r w:rsidR="00C770FB">
              <w:rPr>
                <w:sz w:val="22"/>
                <w:szCs w:val="22"/>
              </w:rPr>
              <w:t>gerne.</w:t>
            </w:r>
          </w:p>
          <w:p w:rsidR="00C770FB" w:rsidRDefault="00C770FB" w:rsidP="006025F4">
            <w:pPr>
              <w:rPr>
                <w:sz w:val="22"/>
                <w:szCs w:val="22"/>
              </w:rPr>
            </w:pPr>
          </w:p>
          <w:p w:rsidR="00FB15C5" w:rsidRDefault="004E589D" w:rsidP="007C3889">
            <w:pPr>
              <w:rPr>
                <w:sz w:val="22"/>
                <w:szCs w:val="22"/>
              </w:rPr>
            </w:pPr>
            <w:r w:rsidRPr="004E589D">
              <w:rPr>
                <w:sz w:val="22"/>
                <w:szCs w:val="22"/>
              </w:rPr>
              <w:t>Advokatrådet har en række fo</w:t>
            </w:r>
            <w:r w:rsidRPr="004E589D">
              <w:rPr>
                <w:sz w:val="22"/>
                <w:szCs w:val="22"/>
              </w:rPr>
              <w:t>r</w:t>
            </w:r>
            <w:r w:rsidRPr="004E589D">
              <w:rPr>
                <w:sz w:val="22"/>
                <w:szCs w:val="22"/>
              </w:rPr>
              <w:t>slag til at præcisere lovtekst og bemærkninger til forslaget til nye regler i momsloven for faktura og for påbud og daglige bøder.</w:t>
            </w:r>
          </w:p>
        </w:tc>
        <w:tc>
          <w:tcPr>
            <w:tcW w:w="4090" w:type="dxa"/>
          </w:tcPr>
          <w:p w:rsidR="006025F4" w:rsidRDefault="006D1571" w:rsidP="00982CC6">
            <w:pPr>
              <w:rPr>
                <w:sz w:val="22"/>
                <w:szCs w:val="22"/>
              </w:rPr>
            </w:pPr>
            <w:r>
              <w:rPr>
                <w:sz w:val="22"/>
                <w:szCs w:val="22"/>
              </w:rPr>
              <w:lastRenderedPageBreak/>
              <w:t>Der skal beregnes moms ved produktion af varer indenfor EU. For momsmæssigt at sidestille varer produceret udenfor EU med varer produceret indenfor EU, er den al</w:t>
            </w:r>
            <w:r>
              <w:rPr>
                <w:sz w:val="22"/>
                <w:szCs w:val="22"/>
              </w:rPr>
              <w:t>t</w:t>
            </w:r>
            <w:r>
              <w:rPr>
                <w:sz w:val="22"/>
                <w:szCs w:val="22"/>
              </w:rPr>
              <w:t>overvejende h</w:t>
            </w:r>
            <w:r w:rsidR="00212201">
              <w:rPr>
                <w:sz w:val="22"/>
                <w:szCs w:val="22"/>
              </w:rPr>
              <w:t>ovedreg</w:t>
            </w:r>
            <w:r>
              <w:rPr>
                <w:sz w:val="22"/>
                <w:szCs w:val="22"/>
              </w:rPr>
              <w:t>el derfor,</w:t>
            </w:r>
            <w:r w:rsidR="00212201">
              <w:rPr>
                <w:sz w:val="22"/>
                <w:szCs w:val="22"/>
              </w:rPr>
              <w:t xml:space="preserve"> at </w:t>
            </w:r>
            <w:r>
              <w:rPr>
                <w:sz w:val="22"/>
                <w:szCs w:val="22"/>
              </w:rPr>
              <w:t>der skal beregnes moms ved indførsel af varer fra lande udenfor EU</w:t>
            </w:r>
            <w:r w:rsidR="00E948C4">
              <w:rPr>
                <w:sz w:val="22"/>
                <w:szCs w:val="22"/>
              </w:rPr>
              <w:t>.</w:t>
            </w:r>
          </w:p>
          <w:p w:rsidR="006D0F6C" w:rsidRDefault="006D0F6C" w:rsidP="00982CC6">
            <w:pPr>
              <w:rPr>
                <w:sz w:val="22"/>
                <w:szCs w:val="22"/>
              </w:rPr>
            </w:pPr>
          </w:p>
          <w:p w:rsidR="007A7A5E" w:rsidRDefault="00CD410E" w:rsidP="00982CC6">
            <w:pPr>
              <w:rPr>
                <w:sz w:val="22"/>
                <w:szCs w:val="22"/>
              </w:rPr>
            </w:pPr>
            <w:r>
              <w:rPr>
                <w:sz w:val="22"/>
                <w:szCs w:val="22"/>
              </w:rPr>
              <w:t>Som en undtagelse herfra gælder</w:t>
            </w:r>
            <w:r w:rsidR="006D1571">
              <w:rPr>
                <w:sz w:val="22"/>
                <w:szCs w:val="22"/>
              </w:rPr>
              <w:t xml:space="preserve"> dog</w:t>
            </w:r>
            <w:r>
              <w:rPr>
                <w:sz w:val="22"/>
                <w:szCs w:val="22"/>
              </w:rPr>
              <w:t>, at visse</w:t>
            </w:r>
            <w:r w:rsidR="00E948C4">
              <w:rPr>
                <w:sz w:val="22"/>
                <w:szCs w:val="22"/>
              </w:rPr>
              <w:t xml:space="preserve"> former for indførse</w:t>
            </w:r>
            <w:r w:rsidR="007A7A5E">
              <w:rPr>
                <w:sz w:val="22"/>
                <w:szCs w:val="22"/>
              </w:rPr>
              <w:t>l af varer er frit</w:t>
            </w:r>
            <w:r w:rsidR="007A7A5E">
              <w:rPr>
                <w:sz w:val="22"/>
                <w:szCs w:val="22"/>
              </w:rPr>
              <w:t>a</w:t>
            </w:r>
            <w:r w:rsidR="006D1571">
              <w:rPr>
                <w:sz w:val="22"/>
                <w:szCs w:val="22"/>
              </w:rPr>
              <w:t xml:space="preserve">get for moms. Primært af administrative grunde er </w:t>
            </w:r>
            <w:r>
              <w:rPr>
                <w:sz w:val="22"/>
                <w:szCs w:val="22"/>
              </w:rPr>
              <w:t>varer af ringe værdi</w:t>
            </w:r>
            <w:r w:rsidR="006D1571">
              <w:rPr>
                <w:sz w:val="22"/>
                <w:szCs w:val="22"/>
              </w:rPr>
              <w:t xml:space="preserve"> (under 80 kr.) som udgangspunkt fritaget for moms ved indførsel</w:t>
            </w:r>
            <w:r>
              <w:rPr>
                <w:sz w:val="22"/>
                <w:szCs w:val="22"/>
              </w:rPr>
              <w:t xml:space="preserve">, </w:t>
            </w:r>
            <w:r w:rsidR="007A7A5E">
              <w:rPr>
                <w:sz w:val="22"/>
                <w:szCs w:val="22"/>
              </w:rPr>
              <w:t>jf. momssystemdirekti</w:t>
            </w:r>
            <w:r>
              <w:rPr>
                <w:sz w:val="22"/>
                <w:szCs w:val="22"/>
              </w:rPr>
              <w:t>vets art. 143. stk. 1, litra b), som nærmere a</w:t>
            </w:r>
            <w:r>
              <w:rPr>
                <w:sz w:val="22"/>
                <w:szCs w:val="22"/>
              </w:rPr>
              <w:t>f</w:t>
            </w:r>
            <w:r>
              <w:rPr>
                <w:sz w:val="22"/>
                <w:szCs w:val="22"/>
              </w:rPr>
              <w:t xml:space="preserve">grænset ved </w:t>
            </w:r>
            <w:r w:rsidR="006D1571">
              <w:rPr>
                <w:sz w:val="22"/>
                <w:szCs w:val="22"/>
              </w:rPr>
              <w:t xml:space="preserve">art 23 i </w:t>
            </w:r>
            <w:r>
              <w:rPr>
                <w:sz w:val="22"/>
                <w:szCs w:val="22"/>
              </w:rPr>
              <w:t>Rådets direktiv 2009/132/EF om fritagelse for moms ved visser former for endelig indførsel af varer.</w:t>
            </w:r>
          </w:p>
          <w:p w:rsidR="007A7A5E" w:rsidRDefault="007A7A5E" w:rsidP="00982CC6">
            <w:pPr>
              <w:rPr>
                <w:sz w:val="22"/>
                <w:szCs w:val="22"/>
              </w:rPr>
            </w:pPr>
          </w:p>
          <w:p w:rsidR="007A7A5E" w:rsidRDefault="006D1571" w:rsidP="00982CC6">
            <w:pPr>
              <w:rPr>
                <w:sz w:val="22"/>
                <w:szCs w:val="22"/>
              </w:rPr>
            </w:pPr>
            <w:r>
              <w:rPr>
                <w:sz w:val="22"/>
                <w:szCs w:val="22"/>
              </w:rPr>
              <w:t xml:space="preserve">Det fremgår imidlertid af </w:t>
            </w:r>
            <w:r w:rsidR="007A7A5E">
              <w:rPr>
                <w:sz w:val="22"/>
                <w:szCs w:val="22"/>
              </w:rPr>
              <w:t>betragtning 5) i præamblen til Rå</w:t>
            </w:r>
            <w:r>
              <w:rPr>
                <w:sz w:val="22"/>
                <w:szCs w:val="22"/>
              </w:rPr>
              <w:t>dets direktiv 2009/132/EF</w:t>
            </w:r>
            <w:r w:rsidR="007A7A5E">
              <w:rPr>
                <w:sz w:val="22"/>
                <w:szCs w:val="22"/>
              </w:rPr>
              <w:t>, at ”…Der må kun indrømmes afgiftsfrit</w:t>
            </w:r>
            <w:r w:rsidR="007A7A5E">
              <w:rPr>
                <w:sz w:val="22"/>
                <w:szCs w:val="22"/>
              </w:rPr>
              <w:t>a</w:t>
            </w:r>
            <w:r w:rsidR="007A7A5E">
              <w:rPr>
                <w:sz w:val="22"/>
                <w:szCs w:val="22"/>
              </w:rPr>
              <w:t>gelse ved indførsel, såfremt der ikke opstår fare for, at fritagelsen griber ind i konku</w:t>
            </w:r>
            <w:r w:rsidR="007A7A5E">
              <w:rPr>
                <w:sz w:val="22"/>
                <w:szCs w:val="22"/>
              </w:rPr>
              <w:t>r</w:t>
            </w:r>
            <w:r w:rsidR="007A7A5E">
              <w:rPr>
                <w:sz w:val="22"/>
                <w:szCs w:val="22"/>
              </w:rPr>
              <w:t>renceforholdene på hjemmemarkedet.”</w:t>
            </w:r>
          </w:p>
          <w:p w:rsidR="007A7A5E" w:rsidRDefault="007A7A5E" w:rsidP="00982CC6">
            <w:pPr>
              <w:rPr>
                <w:sz w:val="22"/>
                <w:szCs w:val="22"/>
              </w:rPr>
            </w:pPr>
          </w:p>
          <w:p w:rsidR="007A7A5E" w:rsidRDefault="006D1571" w:rsidP="00982CC6">
            <w:pPr>
              <w:rPr>
                <w:sz w:val="22"/>
                <w:szCs w:val="22"/>
              </w:rPr>
            </w:pPr>
            <w:r>
              <w:rPr>
                <w:sz w:val="22"/>
                <w:szCs w:val="22"/>
              </w:rPr>
              <w:t xml:space="preserve">Art. 23 i direktivet giver </w:t>
            </w:r>
            <w:r w:rsidR="004516AA">
              <w:rPr>
                <w:sz w:val="22"/>
                <w:szCs w:val="22"/>
              </w:rPr>
              <w:t>da også</w:t>
            </w:r>
            <w:r>
              <w:rPr>
                <w:sz w:val="22"/>
                <w:szCs w:val="22"/>
              </w:rPr>
              <w:t xml:space="preserve"> </w:t>
            </w:r>
            <w:r w:rsidR="004516AA">
              <w:rPr>
                <w:sz w:val="22"/>
                <w:szCs w:val="22"/>
              </w:rPr>
              <w:t>medlem</w:t>
            </w:r>
            <w:r w:rsidR="004516AA">
              <w:rPr>
                <w:sz w:val="22"/>
                <w:szCs w:val="22"/>
              </w:rPr>
              <w:t>s</w:t>
            </w:r>
            <w:r w:rsidR="004516AA">
              <w:rPr>
                <w:sz w:val="22"/>
                <w:szCs w:val="22"/>
              </w:rPr>
              <w:t>staterne mulighed for at fastsætte, at varer af ringe værdi ikke skal være omfattet af fritagelsen.</w:t>
            </w:r>
          </w:p>
          <w:p w:rsidR="006D0F6C" w:rsidRDefault="006D0F6C" w:rsidP="00982CC6">
            <w:pPr>
              <w:rPr>
                <w:sz w:val="22"/>
                <w:szCs w:val="22"/>
              </w:rPr>
            </w:pPr>
          </w:p>
          <w:p w:rsidR="006D0F6C" w:rsidRDefault="00E57493" w:rsidP="00982CC6">
            <w:pPr>
              <w:rPr>
                <w:sz w:val="22"/>
                <w:szCs w:val="22"/>
              </w:rPr>
            </w:pPr>
            <w:r>
              <w:rPr>
                <w:sz w:val="22"/>
                <w:szCs w:val="22"/>
              </w:rPr>
              <w:t>Ved forslaget anvendes denne mulighed for at undtage magasiner m.v. af ringe værdi fra momsfritagelsen, da d</w:t>
            </w:r>
            <w:r w:rsidR="004516AA">
              <w:rPr>
                <w:sz w:val="22"/>
                <w:szCs w:val="22"/>
              </w:rPr>
              <w:t xml:space="preserve">et har vist sig, at </w:t>
            </w:r>
            <w:r>
              <w:rPr>
                <w:sz w:val="22"/>
                <w:szCs w:val="22"/>
              </w:rPr>
              <w:t>fritagelsen griber ind i konkurrenceforho</w:t>
            </w:r>
            <w:r>
              <w:rPr>
                <w:sz w:val="22"/>
                <w:szCs w:val="22"/>
              </w:rPr>
              <w:t>l</w:t>
            </w:r>
            <w:r>
              <w:rPr>
                <w:sz w:val="22"/>
                <w:szCs w:val="22"/>
              </w:rPr>
              <w:t>dene på hjemmemarkedet, der i denne fo</w:t>
            </w:r>
            <w:r>
              <w:rPr>
                <w:sz w:val="22"/>
                <w:szCs w:val="22"/>
              </w:rPr>
              <w:t>r</w:t>
            </w:r>
            <w:r>
              <w:rPr>
                <w:sz w:val="22"/>
                <w:szCs w:val="22"/>
              </w:rPr>
              <w:t>bindelse skal forstås som hele EU’s hje</w:t>
            </w:r>
            <w:r>
              <w:rPr>
                <w:sz w:val="22"/>
                <w:szCs w:val="22"/>
              </w:rPr>
              <w:t>m</w:t>
            </w:r>
            <w:r>
              <w:rPr>
                <w:sz w:val="22"/>
                <w:szCs w:val="22"/>
              </w:rPr>
              <w:t>memarked.</w:t>
            </w:r>
          </w:p>
          <w:p w:rsidR="00E57493" w:rsidRDefault="00E57493" w:rsidP="00982CC6">
            <w:pPr>
              <w:rPr>
                <w:sz w:val="22"/>
                <w:szCs w:val="22"/>
              </w:rPr>
            </w:pPr>
          </w:p>
          <w:p w:rsidR="00E57493" w:rsidRDefault="00E57493" w:rsidP="00982CC6">
            <w:pPr>
              <w:rPr>
                <w:sz w:val="22"/>
                <w:szCs w:val="22"/>
              </w:rPr>
            </w:pPr>
            <w:r>
              <w:rPr>
                <w:sz w:val="22"/>
                <w:szCs w:val="22"/>
              </w:rPr>
              <w:t xml:space="preserve">Forslaget </w:t>
            </w:r>
            <w:r w:rsidR="0070100A">
              <w:rPr>
                <w:sz w:val="22"/>
                <w:szCs w:val="22"/>
              </w:rPr>
              <w:t>til ændring af momsloven i relat</w:t>
            </w:r>
            <w:r w:rsidR="0070100A">
              <w:rPr>
                <w:sz w:val="22"/>
                <w:szCs w:val="22"/>
              </w:rPr>
              <w:t>i</w:t>
            </w:r>
            <w:r w:rsidR="0070100A">
              <w:rPr>
                <w:sz w:val="22"/>
                <w:szCs w:val="22"/>
              </w:rPr>
              <w:t xml:space="preserve">on til magasiner m.v. </w:t>
            </w:r>
            <w:r>
              <w:rPr>
                <w:sz w:val="22"/>
                <w:szCs w:val="22"/>
              </w:rPr>
              <w:t>har derfor den fo</w:t>
            </w:r>
            <w:r>
              <w:rPr>
                <w:sz w:val="22"/>
                <w:szCs w:val="22"/>
              </w:rPr>
              <w:t>r</w:t>
            </w:r>
            <w:r>
              <w:rPr>
                <w:sz w:val="22"/>
                <w:szCs w:val="22"/>
              </w:rPr>
              <w:t xml:space="preserve">nødne hjemmel i momsdirektiverne – en opfattelse </w:t>
            </w:r>
            <w:r w:rsidR="0070100A">
              <w:rPr>
                <w:sz w:val="22"/>
                <w:szCs w:val="22"/>
              </w:rPr>
              <w:t xml:space="preserve">der </w:t>
            </w:r>
            <w:r>
              <w:rPr>
                <w:sz w:val="22"/>
                <w:szCs w:val="22"/>
              </w:rPr>
              <w:t>de</w:t>
            </w:r>
            <w:r w:rsidR="0070100A">
              <w:rPr>
                <w:sz w:val="22"/>
                <w:szCs w:val="22"/>
              </w:rPr>
              <w:t>les af Kommissionen, lig</w:t>
            </w:r>
            <w:r w:rsidR="0070100A">
              <w:rPr>
                <w:sz w:val="22"/>
                <w:szCs w:val="22"/>
              </w:rPr>
              <w:t>e</w:t>
            </w:r>
            <w:r w:rsidR="0070100A">
              <w:rPr>
                <w:sz w:val="22"/>
                <w:szCs w:val="22"/>
              </w:rPr>
              <w:t>som der foreligger en saglig begrundelse for forslaget.</w:t>
            </w:r>
          </w:p>
          <w:p w:rsidR="001F4B28" w:rsidRDefault="001F4B28" w:rsidP="00982CC6">
            <w:pPr>
              <w:rPr>
                <w:sz w:val="22"/>
                <w:szCs w:val="22"/>
              </w:rPr>
            </w:pPr>
          </w:p>
          <w:p w:rsidR="006D0F6C" w:rsidRDefault="0078575C" w:rsidP="00982CC6">
            <w:pPr>
              <w:rPr>
                <w:sz w:val="22"/>
                <w:szCs w:val="22"/>
              </w:rPr>
            </w:pPr>
            <w:r>
              <w:rPr>
                <w:sz w:val="22"/>
                <w:szCs w:val="22"/>
              </w:rPr>
              <w:t>Det er i lovforslaget præciseret, at beste</w:t>
            </w:r>
            <w:r>
              <w:rPr>
                <w:sz w:val="22"/>
                <w:szCs w:val="22"/>
              </w:rPr>
              <w:t>m</w:t>
            </w:r>
            <w:r>
              <w:rPr>
                <w:sz w:val="22"/>
                <w:szCs w:val="22"/>
              </w:rPr>
              <w:t xml:space="preserve">melsen gælder for tidsskrifter, magasiner og lignende, som en hvervsdrivende </w:t>
            </w:r>
            <w:r w:rsidR="00061561">
              <w:rPr>
                <w:sz w:val="22"/>
                <w:szCs w:val="22"/>
              </w:rPr>
              <w:t xml:space="preserve">sælger </w:t>
            </w:r>
            <w:r w:rsidR="00061561">
              <w:rPr>
                <w:sz w:val="22"/>
                <w:szCs w:val="22"/>
              </w:rPr>
              <w:lastRenderedPageBreak/>
              <w:t>til privat</w:t>
            </w:r>
            <w:r>
              <w:rPr>
                <w:sz w:val="22"/>
                <w:szCs w:val="22"/>
              </w:rPr>
              <w:t xml:space="preserve">personer i Danmark i forbindelse med postordresalg.  </w:t>
            </w:r>
          </w:p>
          <w:p w:rsidR="007C3889" w:rsidRDefault="007C3889" w:rsidP="00982CC6">
            <w:pPr>
              <w:rPr>
                <w:sz w:val="22"/>
                <w:szCs w:val="22"/>
              </w:rPr>
            </w:pPr>
          </w:p>
          <w:p w:rsidR="006D0F6C" w:rsidRDefault="006D0F6C" w:rsidP="00982CC6">
            <w:pPr>
              <w:rPr>
                <w:sz w:val="22"/>
                <w:szCs w:val="22"/>
              </w:rPr>
            </w:pPr>
          </w:p>
          <w:p w:rsidR="007C3889" w:rsidRDefault="007C3889" w:rsidP="00982CC6">
            <w:pPr>
              <w:rPr>
                <w:sz w:val="22"/>
                <w:szCs w:val="22"/>
              </w:rPr>
            </w:pPr>
          </w:p>
          <w:p w:rsidR="007C3889" w:rsidRDefault="007C3889" w:rsidP="00982CC6">
            <w:pPr>
              <w:rPr>
                <w:sz w:val="22"/>
                <w:szCs w:val="22"/>
              </w:rPr>
            </w:pPr>
          </w:p>
          <w:p w:rsidR="007C3889" w:rsidRDefault="007C3889" w:rsidP="00982CC6">
            <w:pPr>
              <w:rPr>
                <w:sz w:val="22"/>
                <w:szCs w:val="22"/>
              </w:rPr>
            </w:pPr>
          </w:p>
          <w:p w:rsidR="007C3889" w:rsidRDefault="007C3889" w:rsidP="00982CC6">
            <w:pPr>
              <w:rPr>
                <w:sz w:val="22"/>
                <w:szCs w:val="22"/>
              </w:rPr>
            </w:pPr>
          </w:p>
          <w:p w:rsidR="007C3889" w:rsidRDefault="007C3889" w:rsidP="00982CC6">
            <w:pPr>
              <w:rPr>
                <w:sz w:val="22"/>
                <w:szCs w:val="22"/>
              </w:rPr>
            </w:pPr>
          </w:p>
          <w:p w:rsidR="007C3889" w:rsidRDefault="007C3889" w:rsidP="00982CC6">
            <w:pPr>
              <w:rPr>
                <w:sz w:val="22"/>
                <w:szCs w:val="22"/>
              </w:rPr>
            </w:pPr>
          </w:p>
          <w:p w:rsidR="00224D87" w:rsidRDefault="001F4B28" w:rsidP="00982CC6">
            <w:pPr>
              <w:rPr>
                <w:sz w:val="22"/>
                <w:szCs w:val="22"/>
              </w:rPr>
            </w:pPr>
            <w:r>
              <w:rPr>
                <w:sz w:val="22"/>
                <w:szCs w:val="22"/>
              </w:rPr>
              <w:t>Den gældende regel</w:t>
            </w:r>
            <w:r w:rsidR="00224D87">
              <w:rPr>
                <w:sz w:val="22"/>
                <w:szCs w:val="22"/>
              </w:rPr>
              <w:t xml:space="preserve"> om, at der skal moms på alle magasiner, tidsskrifter og lignende trykt i EU og eksporteret ud af EU, hvorfra de sendes til abonnenter her i landet, har eksisteret siden 1. juli 2004 uden, at dette har skabt problemer med omfanget af varer underlagt reglen.</w:t>
            </w:r>
          </w:p>
          <w:p w:rsidR="00224D87" w:rsidRDefault="00224D87" w:rsidP="00982CC6">
            <w:pPr>
              <w:rPr>
                <w:sz w:val="22"/>
                <w:szCs w:val="22"/>
              </w:rPr>
            </w:pPr>
          </w:p>
          <w:p w:rsidR="00224D87" w:rsidRDefault="00224D87" w:rsidP="00982CC6">
            <w:pPr>
              <w:rPr>
                <w:sz w:val="22"/>
                <w:szCs w:val="22"/>
              </w:rPr>
            </w:pPr>
          </w:p>
          <w:p w:rsidR="00224D87" w:rsidRDefault="00224D87" w:rsidP="00982CC6">
            <w:pPr>
              <w:rPr>
                <w:sz w:val="22"/>
                <w:szCs w:val="22"/>
              </w:rPr>
            </w:pPr>
          </w:p>
          <w:p w:rsidR="006D0F6C" w:rsidRDefault="00003A1E" w:rsidP="00982CC6">
            <w:pPr>
              <w:rPr>
                <w:sz w:val="22"/>
                <w:szCs w:val="22"/>
              </w:rPr>
            </w:pPr>
            <w:r>
              <w:rPr>
                <w:sz w:val="22"/>
                <w:szCs w:val="22"/>
              </w:rPr>
              <w:t>Bemærkningen er indarbejdet i forslaget.</w:t>
            </w:r>
          </w:p>
          <w:p w:rsidR="006D0F6C" w:rsidRDefault="006D0F6C" w:rsidP="00982CC6">
            <w:pPr>
              <w:rPr>
                <w:sz w:val="22"/>
                <w:szCs w:val="22"/>
              </w:rPr>
            </w:pPr>
          </w:p>
          <w:p w:rsidR="006D0F6C" w:rsidRDefault="006D0F6C" w:rsidP="00982CC6">
            <w:pPr>
              <w:rPr>
                <w:sz w:val="22"/>
                <w:szCs w:val="22"/>
              </w:rPr>
            </w:pPr>
          </w:p>
          <w:p w:rsidR="006D0F6C" w:rsidRDefault="006D0F6C" w:rsidP="00982CC6">
            <w:pPr>
              <w:rPr>
                <w:sz w:val="22"/>
                <w:szCs w:val="22"/>
              </w:rPr>
            </w:pPr>
          </w:p>
          <w:p w:rsidR="006D0F6C" w:rsidRDefault="006D0F6C" w:rsidP="00982CC6">
            <w:pPr>
              <w:rPr>
                <w:sz w:val="22"/>
                <w:szCs w:val="22"/>
              </w:rPr>
            </w:pPr>
          </w:p>
          <w:p w:rsidR="006D0F6C" w:rsidRDefault="006D0F6C" w:rsidP="00982CC6">
            <w:pPr>
              <w:rPr>
                <w:sz w:val="22"/>
                <w:szCs w:val="22"/>
              </w:rPr>
            </w:pPr>
          </w:p>
          <w:p w:rsidR="006D0F6C" w:rsidRDefault="006D0F6C" w:rsidP="00982CC6">
            <w:pPr>
              <w:rPr>
                <w:sz w:val="22"/>
                <w:szCs w:val="22"/>
              </w:rPr>
            </w:pPr>
          </w:p>
          <w:p w:rsidR="006D0F6C" w:rsidRDefault="006D0F6C" w:rsidP="00982CC6">
            <w:pPr>
              <w:rPr>
                <w:sz w:val="22"/>
                <w:szCs w:val="22"/>
              </w:rPr>
            </w:pPr>
          </w:p>
          <w:p w:rsidR="006D0F6C" w:rsidRDefault="006D0F6C" w:rsidP="00982CC6">
            <w:pPr>
              <w:rPr>
                <w:sz w:val="22"/>
                <w:szCs w:val="22"/>
              </w:rPr>
            </w:pPr>
          </w:p>
          <w:p w:rsidR="006D0F6C" w:rsidRDefault="00597EF0" w:rsidP="00982CC6">
            <w:pPr>
              <w:rPr>
                <w:sz w:val="22"/>
                <w:szCs w:val="22"/>
              </w:rPr>
            </w:pPr>
            <w:r>
              <w:rPr>
                <w:sz w:val="22"/>
                <w:szCs w:val="22"/>
              </w:rPr>
              <w:t xml:space="preserve">Det gebyr, som opkræves af Post Danmark i forbindelse med indførsel af </w:t>
            </w:r>
            <w:r w:rsidR="00456C65">
              <w:rPr>
                <w:sz w:val="22"/>
                <w:szCs w:val="22"/>
              </w:rPr>
              <w:t xml:space="preserve">alle varer sendt med post til private fra virksomheder uden for EU, hvoraf der skal betales moms, </w:t>
            </w:r>
            <w:r>
              <w:rPr>
                <w:sz w:val="22"/>
                <w:szCs w:val="22"/>
              </w:rPr>
              <w:t xml:space="preserve">forudsættes i overensstemmelse med </w:t>
            </w:r>
            <w:r w:rsidR="00B2287B">
              <w:rPr>
                <w:sz w:val="22"/>
                <w:szCs w:val="22"/>
              </w:rPr>
              <w:t>Post Danmarks prisoversigt at dække omkos</w:t>
            </w:r>
            <w:r w:rsidR="00B2287B">
              <w:rPr>
                <w:sz w:val="22"/>
                <w:szCs w:val="22"/>
              </w:rPr>
              <w:t>t</w:t>
            </w:r>
            <w:r w:rsidR="00B2287B">
              <w:rPr>
                <w:sz w:val="22"/>
                <w:szCs w:val="22"/>
              </w:rPr>
              <w:t>ninger ved arbejdet med forsendelserne i relation til opgørelse, opkrævning og ang</w:t>
            </w:r>
            <w:r w:rsidR="00B2287B">
              <w:rPr>
                <w:sz w:val="22"/>
                <w:szCs w:val="22"/>
              </w:rPr>
              <w:t>i</w:t>
            </w:r>
            <w:r w:rsidR="00B2287B">
              <w:rPr>
                <w:sz w:val="22"/>
                <w:szCs w:val="22"/>
              </w:rPr>
              <w:t>velse/afregning af momsen.</w:t>
            </w:r>
          </w:p>
          <w:p w:rsidR="006D0F6C" w:rsidRDefault="006D0F6C" w:rsidP="00982CC6">
            <w:pPr>
              <w:rPr>
                <w:sz w:val="22"/>
                <w:szCs w:val="22"/>
              </w:rPr>
            </w:pPr>
          </w:p>
          <w:p w:rsidR="006D0F6C" w:rsidRDefault="00DA122D" w:rsidP="00982CC6">
            <w:pPr>
              <w:rPr>
                <w:sz w:val="22"/>
                <w:szCs w:val="22"/>
              </w:rPr>
            </w:pPr>
            <w:r>
              <w:rPr>
                <w:sz w:val="22"/>
                <w:szCs w:val="22"/>
              </w:rPr>
              <w:t>Forslaget vurderes</w:t>
            </w:r>
            <w:r w:rsidR="00F31E1C">
              <w:rPr>
                <w:sz w:val="22"/>
                <w:szCs w:val="22"/>
              </w:rPr>
              <w:t xml:space="preserve"> at være i</w:t>
            </w:r>
            <w:r w:rsidR="00B2287B">
              <w:rPr>
                <w:sz w:val="22"/>
                <w:szCs w:val="22"/>
              </w:rPr>
              <w:t xml:space="preserve"> overensste</w:t>
            </w:r>
            <w:r w:rsidR="00B2287B">
              <w:rPr>
                <w:sz w:val="22"/>
                <w:szCs w:val="22"/>
              </w:rPr>
              <w:t>m</w:t>
            </w:r>
            <w:r w:rsidR="00B2287B">
              <w:rPr>
                <w:sz w:val="22"/>
                <w:szCs w:val="22"/>
              </w:rPr>
              <w:t xml:space="preserve">melse </w:t>
            </w:r>
            <w:r>
              <w:rPr>
                <w:sz w:val="22"/>
                <w:szCs w:val="22"/>
              </w:rPr>
              <w:t xml:space="preserve">både </w:t>
            </w:r>
            <w:r w:rsidR="00B2287B">
              <w:rPr>
                <w:sz w:val="22"/>
                <w:szCs w:val="22"/>
              </w:rPr>
              <w:t xml:space="preserve">med </w:t>
            </w:r>
            <w:r>
              <w:rPr>
                <w:sz w:val="22"/>
                <w:szCs w:val="22"/>
              </w:rPr>
              <w:t>Aftale om det Europæiske Økonomiske Samarbejdsområde (EØS-aftalen) og med Rådsforordning (EF) nr. 1186/2009.</w:t>
            </w:r>
          </w:p>
          <w:p w:rsidR="006D0F6C" w:rsidRDefault="006D0F6C" w:rsidP="00982CC6">
            <w:pPr>
              <w:rPr>
                <w:sz w:val="22"/>
                <w:szCs w:val="22"/>
              </w:rPr>
            </w:pPr>
          </w:p>
          <w:p w:rsidR="006D0F6C" w:rsidRDefault="006D0F6C" w:rsidP="00982CC6">
            <w:pPr>
              <w:rPr>
                <w:sz w:val="22"/>
                <w:szCs w:val="22"/>
              </w:rPr>
            </w:pPr>
          </w:p>
          <w:p w:rsidR="006D0F6C" w:rsidRDefault="006D0F6C" w:rsidP="00982CC6">
            <w:pPr>
              <w:rPr>
                <w:sz w:val="22"/>
                <w:szCs w:val="22"/>
              </w:rPr>
            </w:pPr>
          </w:p>
          <w:p w:rsidR="006D0F6C" w:rsidRDefault="006D0F6C" w:rsidP="00982CC6">
            <w:pPr>
              <w:rPr>
                <w:sz w:val="22"/>
                <w:szCs w:val="22"/>
              </w:rPr>
            </w:pPr>
          </w:p>
          <w:p w:rsidR="006D0F6C" w:rsidRDefault="00C770FB" w:rsidP="00982CC6">
            <w:pPr>
              <w:rPr>
                <w:sz w:val="22"/>
                <w:szCs w:val="22"/>
              </w:rPr>
            </w:pPr>
            <w:r>
              <w:rPr>
                <w:sz w:val="22"/>
                <w:szCs w:val="22"/>
              </w:rPr>
              <w:t>Advokatrådet har ret i synspunkt, og ordet ”rådgivere” er derfor slette i bemærkni</w:t>
            </w:r>
            <w:r>
              <w:rPr>
                <w:sz w:val="22"/>
                <w:szCs w:val="22"/>
              </w:rPr>
              <w:t>n</w:t>
            </w:r>
            <w:r>
              <w:rPr>
                <w:sz w:val="22"/>
                <w:szCs w:val="22"/>
              </w:rPr>
              <w:t xml:space="preserve">gerne. </w:t>
            </w:r>
          </w:p>
          <w:p w:rsidR="00C770FB" w:rsidRDefault="00C770FB" w:rsidP="00982CC6">
            <w:pPr>
              <w:rPr>
                <w:sz w:val="22"/>
                <w:szCs w:val="22"/>
              </w:rPr>
            </w:pPr>
          </w:p>
          <w:p w:rsidR="00C770FB" w:rsidRDefault="00C770FB" w:rsidP="00982CC6">
            <w:pPr>
              <w:rPr>
                <w:sz w:val="22"/>
                <w:szCs w:val="22"/>
              </w:rPr>
            </w:pPr>
          </w:p>
          <w:p w:rsidR="00C770FB" w:rsidRDefault="00C770FB" w:rsidP="00982CC6">
            <w:pPr>
              <w:rPr>
                <w:sz w:val="22"/>
                <w:szCs w:val="22"/>
              </w:rPr>
            </w:pPr>
          </w:p>
          <w:p w:rsidR="00C770FB" w:rsidRDefault="00C770FB" w:rsidP="00982CC6">
            <w:pPr>
              <w:rPr>
                <w:sz w:val="22"/>
                <w:szCs w:val="22"/>
              </w:rPr>
            </w:pPr>
          </w:p>
          <w:p w:rsidR="00C770FB" w:rsidRDefault="00C770FB" w:rsidP="00982CC6">
            <w:pPr>
              <w:rPr>
                <w:sz w:val="22"/>
                <w:szCs w:val="22"/>
              </w:rPr>
            </w:pPr>
          </w:p>
          <w:p w:rsidR="00C770FB" w:rsidRDefault="00C770FB" w:rsidP="00982CC6">
            <w:pPr>
              <w:rPr>
                <w:sz w:val="22"/>
                <w:szCs w:val="22"/>
              </w:rPr>
            </w:pPr>
          </w:p>
          <w:p w:rsidR="00C770FB" w:rsidRDefault="00C770FB" w:rsidP="00982CC6">
            <w:pPr>
              <w:rPr>
                <w:sz w:val="22"/>
                <w:szCs w:val="22"/>
              </w:rPr>
            </w:pPr>
          </w:p>
          <w:p w:rsidR="00C770FB" w:rsidRDefault="00C770FB" w:rsidP="00982CC6">
            <w:pPr>
              <w:rPr>
                <w:sz w:val="22"/>
                <w:szCs w:val="22"/>
              </w:rPr>
            </w:pPr>
          </w:p>
          <w:p w:rsidR="00C770FB" w:rsidRDefault="00C770FB" w:rsidP="00982CC6">
            <w:pPr>
              <w:rPr>
                <w:sz w:val="22"/>
                <w:szCs w:val="22"/>
              </w:rPr>
            </w:pPr>
          </w:p>
          <w:p w:rsidR="00C770FB" w:rsidRDefault="00C770FB" w:rsidP="00982CC6">
            <w:pPr>
              <w:rPr>
                <w:sz w:val="22"/>
                <w:szCs w:val="22"/>
              </w:rPr>
            </w:pPr>
          </w:p>
          <w:p w:rsidR="00BC4F5B" w:rsidRDefault="00BC4F5B" w:rsidP="00982CC6">
            <w:pPr>
              <w:rPr>
                <w:sz w:val="22"/>
                <w:szCs w:val="22"/>
              </w:rPr>
            </w:pPr>
          </w:p>
          <w:p w:rsidR="006D0F6C" w:rsidRDefault="004E589D" w:rsidP="00982CC6">
            <w:pPr>
              <w:rPr>
                <w:sz w:val="22"/>
                <w:szCs w:val="22"/>
              </w:rPr>
            </w:pPr>
            <w:r w:rsidRPr="004E589D">
              <w:rPr>
                <w:sz w:val="22"/>
                <w:szCs w:val="22"/>
              </w:rPr>
              <w:t>Advokatrådets forslag er søgt indarbejdet i lovforslaget.</w:t>
            </w:r>
          </w:p>
          <w:p w:rsidR="006D0F6C" w:rsidRDefault="006D0F6C" w:rsidP="00982CC6">
            <w:pPr>
              <w:rPr>
                <w:sz w:val="22"/>
                <w:szCs w:val="22"/>
              </w:rPr>
            </w:pPr>
          </w:p>
        </w:tc>
      </w:tr>
      <w:tr w:rsidR="00A55A4C" w:rsidRPr="00481E36" w:rsidTr="00982CC6">
        <w:tc>
          <w:tcPr>
            <w:tcW w:w="2448" w:type="dxa"/>
          </w:tcPr>
          <w:p w:rsidR="00A55A4C" w:rsidRPr="00AD203A" w:rsidRDefault="00A55A4C" w:rsidP="00A55A4C">
            <w:pPr>
              <w:spacing w:line="288" w:lineRule="auto"/>
              <w:rPr>
                <w:sz w:val="22"/>
                <w:szCs w:val="22"/>
                <w:lang w:val="en-US"/>
              </w:rPr>
            </w:pPr>
            <w:r w:rsidRPr="00AD203A">
              <w:rPr>
                <w:sz w:val="22"/>
                <w:szCs w:val="22"/>
                <w:lang w:val="en-US"/>
              </w:rPr>
              <w:lastRenderedPageBreak/>
              <w:t>Audio Media A/S</w:t>
            </w:r>
          </w:p>
          <w:p w:rsidR="00A55A4C" w:rsidRPr="00AD203A" w:rsidRDefault="00A55A4C" w:rsidP="00A55A4C">
            <w:pPr>
              <w:spacing w:line="288" w:lineRule="auto"/>
              <w:rPr>
                <w:sz w:val="22"/>
                <w:szCs w:val="22"/>
                <w:lang w:val="en-US"/>
              </w:rPr>
            </w:pPr>
            <w:r w:rsidRPr="00AD203A">
              <w:rPr>
                <w:sz w:val="22"/>
                <w:szCs w:val="22"/>
                <w:lang w:val="en-US"/>
              </w:rPr>
              <w:t>Oxygen A/S</w:t>
            </w:r>
          </w:p>
          <w:p w:rsidR="00A55A4C" w:rsidRDefault="00A55A4C" w:rsidP="00A55A4C">
            <w:pPr>
              <w:spacing w:line="288" w:lineRule="auto"/>
              <w:rPr>
                <w:sz w:val="22"/>
                <w:szCs w:val="22"/>
                <w:lang w:val="en-US"/>
              </w:rPr>
            </w:pPr>
            <w:r>
              <w:rPr>
                <w:sz w:val="22"/>
                <w:szCs w:val="22"/>
                <w:lang w:val="en-US"/>
              </w:rPr>
              <w:t>Jacobsen Publications A/S</w:t>
            </w:r>
          </w:p>
          <w:p w:rsidR="00A55A4C" w:rsidRPr="00AD203A" w:rsidRDefault="00A55A4C" w:rsidP="00A55A4C">
            <w:pPr>
              <w:spacing w:line="288" w:lineRule="auto"/>
              <w:rPr>
                <w:sz w:val="22"/>
                <w:szCs w:val="22"/>
                <w:lang w:val="en-US"/>
              </w:rPr>
            </w:pPr>
            <w:r>
              <w:rPr>
                <w:sz w:val="22"/>
                <w:szCs w:val="22"/>
                <w:lang w:val="en-US"/>
              </w:rPr>
              <w:t>JSL Publications A/S</w:t>
            </w:r>
          </w:p>
        </w:tc>
        <w:tc>
          <w:tcPr>
            <w:tcW w:w="3240" w:type="dxa"/>
          </w:tcPr>
          <w:p w:rsidR="00A55A4C" w:rsidRDefault="00A55A4C" w:rsidP="00A55A4C">
            <w:pPr>
              <w:rPr>
                <w:sz w:val="22"/>
                <w:szCs w:val="22"/>
              </w:rPr>
            </w:pPr>
            <w:r>
              <w:rPr>
                <w:sz w:val="22"/>
                <w:szCs w:val="22"/>
              </w:rPr>
              <w:t xml:space="preserve">Selskaberne bemærker i relation til forslaget </w:t>
            </w:r>
            <w:r w:rsidRPr="0044006F">
              <w:rPr>
                <w:b/>
                <w:i/>
                <w:sz w:val="22"/>
                <w:szCs w:val="22"/>
              </w:rPr>
              <w:t xml:space="preserve">vedrørende </w:t>
            </w:r>
            <w:r w:rsidR="008C3043">
              <w:rPr>
                <w:b/>
                <w:i/>
                <w:sz w:val="22"/>
                <w:szCs w:val="22"/>
              </w:rPr>
              <w:t xml:space="preserve">privates </w:t>
            </w:r>
            <w:r w:rsidRPr="0044006F">
              <w:rPr>
                <w:b/>
                <w:i/>
                <w:sz w:val="22"/>
                <w:szCs w:val="22"/>
              </w:rPr>
              <w:t xml:space="preserve">indførsel af </w:t>
            </w:r>
            <w:r w:rsidR="008C3043">
              <w:rPr>
                <w:b/>
                <w:i/>
                <w:sz w:val="22"/>
                <w:szCs w:val="22"/>
              </w:rPr>
              <w:t xml:space="preserve">magasiner, </w:t>
            </w:r>
            <w:r w:rsidRPr="0044006F">
              <w:rPr>
                <w:b/>
                <w:i/>
                <w:sz w:val="22"/>
                <w:szCs w:val="22"/>
              </w:rPr>
              <w:t>tidsskri</w:t>
            </w:r>
            <w:r w:rsidRPr="0044006F">
              <w:rPr>
                <w:b/>
                <w:i/>
                <w:sz w:val="22"/>
                <w:szCs w:val="22"/>
              </w:rPr>
              <w:t>f</w:t>
            </w:r>
            <w:r w:rsidRPr="0044006F">
              <w:rPr>
                <w:b/>
                <w:i/>
                <w:sz w:val="22"/>
                <w:szCs w:val="22"/>
              </w:rPr>
              <w:t>ter</w:t>
            </w:r>
            <w:r w:rsidR="008C3043">
              <w:rPr>
                <w:b/>
                <w:i/>
                <w:sz w:val="22"/>
                <w:szCs w:val="22"/>
              </w:rPr>
              <w:t xml:space="preserve"> o.lign.</w:t>
            </w:r>
            <w:r>
              <w:rPr>
                <w:i/>
                <w:sz w:val="22"/>
                <w:szCs w:val="22"/>
              </w:rPr>
              <w:t>,</w:t>
            </w:r>
            <w:r>
              <w:rPr>
                <w:sz w:val="22"/>
                <w:szCs w:val="22"/>
              </w:rPr>
              <w:t xml:space="preserve"> at en vedtagelse af forslaget vil få massiv negativ indflydelse på virksomhederne og det fremadrettede danske medi</w:t>
            </w:r>
            <w:r>
              <w:rPr>
                <w:sz w:val="22"/>
                <w:szCs w:val="22"/>
              </w:rPr>
              <w:t>e</w:t>
            </w:r>
            <w:r>
              <w:rPr>
                <w:sz w:val="22"/>
                <w:szCs w:val="22"/>
              </w:rPr>
              <w:t>billede.</w:t>
            </w:r>
          </w:p>
          <w:p w:rsidR="006E78C9" w:rsidRDefault="006E78C9" w:rsidP="00A55A4C">
            <w:pPr>
              <w:rPr>
                <w:sz w:val="22"/>
                <w:szCs w:val="22"/>
              </w:rPr>
            </w:pPr>
          </w:p>
          <w:p w:rsidR="006E78C9" w:rsidRDefault="006E78C9" w:rsidP="00A55A4C">
            <w:pPr>
              <w:rPr>
                <w:sz w:val="22"/>
                <w:szCs w:val="22"/>
              </w:rPr>
            </w:pPr>
            <w:r>
              <w:rPr>
                <w:sz w:val="22"/>
                <w:szCs w:val="22"/>
              </w:rPr>
              <w:t>Selskaberne anser endvidere det i forslaget skønnede årlige tab på 60 mio. kr. for udgivere af mag</w:t>
            </w:r>
            <w:r>
              <w:rPr>
                <w:sz w:val="22"/>
                <w:szCs w:val="22"/>
              </w:rPr>
              <w:t>a</w:t>
            </w:r>
            <w:r>
              <w:rPr>
                <w:sz w:val="22"/>
                <w:szCs w:val="22"/>
              </w:rPr>
              <w:t>siner m.v. for at være lavt sat</w:t>
            </w:r>
            <w:r w:rsidR="000121E8">
              <w:rPr>
                <w:sz w:val="22"/>
                <w:szCs w:val="22"/>
              </w:rPr>
              <w:t>, og uden indregning af tab af læsere og annoncører til udenlandske netsider.</w:t>
            </w:r>
            <w:r>
              <w:rPr>
                <w:sz w:val="22"/>
                <w:szCs w:val="22"/>
              </w:rPr>
              <w:t xml:space="preserve"> </w:t>
            </w:r>
          </w:p>
          <w:p w:rsidR="00871E75" w:rsidRDefault="00871E75" w:rsidP="00A55A4C">
            <w:pPr>
              <w:rPr>
                <w:sz w:val="22"/>
                <w:szCs w:val="22"/>
              </w:rPr>
            </w:pPr>
          </w:p>
          <w:p w:rsidR="00A55A4C" w:rsidRDefault="00A55A4C" w:rsidP="00A55A4C">
            <w:pPr>
              <w:rPr>
                <w:sz w:val="22"/>
                <w:szCs w:val="22"/>
              </w:rPr>
            </w:pPr>
            <w:r>
              <w:rPr>
                <w:sz w:val="22"/>
                <w:szCs w:val="22"/>
              </w:rPr>
              <w:t>Selskaberne påpeger endvidere, at det må anses for tvivlsomt, om forslaget er i overensstemmelse med det underliggende EU-direktiv for magasiner, der ikke indføres ved postordresalg.</w:t>
            </w:r>
          </w:p>
          <w:p w:rsidR="00304F0F" w:rsidRDefault="00304F0F" w:rsidP="00A55A4C">
            <w:pPr>
              <w:rPr>
                <w:sz w:val="22"/>
                <w:szCs w:val="22"/>
              </w:rPr>
            </w:pPr>
          </w:p>
          <w:p w:rsidR="00A55A4C" w:rsidRDefault="00A55A4C" w:rsidP="00A55A4C">
            <w:pPr>
              <w:rPr>
                <w:sz w:val="22"/>
                <w:szCs w:val="22"/>
              </w:rPr>
            </w:pPr>
            <w:r>
              <w:rPr>
                <w:sz w:val="22"/>
                <w:szCs w:val="22"/>
              </w:rPr>
              <w:t>Endelig understreger selskaberne, at forslagets ikrafttrædelse bør udsættes, idet en så hurtig ikraf</w:t>
            </w:r>
            <w:r>
              <w:rPr>
                <w:sz w:val="22"/>
                <w:szCs w:val="22"/>
              </w:rPr>
              <w:t>t</w:t>
            </w:r>
            <w:r>
              <w:rPr>
                <w:sz w:val="22"/>
                <w:szCs w:val="22"/>
              </w:rPr>
              <w:t>trædelse vil forværre virksomh</w:t>
            </w:r>
            <w:r>
              <w:rPr>
                <w:sz w:val="22"/>
                <w:szCs w:val="22"/>
              </w:rPr>
              <w:t>e</w:t>
            </w:r>
            <w:r>
              <w:rPr>
                <w:sz w:val="22"/>
                <w:szCs w:val="22"/>
              </w:rPr>
              <w:t>dernes situation.</w:t>
            </w:r>
          </w:p>
        </w:tc>
        <w:tc>
          <w:tcPr>
            <w:tcW w:w="4090" w:type="dxa"/>
          </w:tcPr>
          <w:p w:rsidR="00A55A4C" w:rsidRDefault="00871E75" w:rsidP="00641B45">
            <w:pPr>
              <w:rPr>
                <w:sz w:val="22"/>
                <w:szCs w:val="22"/>
              </w:rPr>
            </w:pPr>
            <w:r>
              <w:rPr>
                <w:sz w:val="22"/>
                <w:szCs w:val="22"/>
              </w:rPr>
              <w:t>Hensigten med forslaget er at sikre, at m</w:t>
            </w:r>
            <w:r>
              <w:rPr>
                <w:sz w:val="22"/>
                <w:szCs w:val="22"/>
              </w:rPr>
              <w:t>a</w:t>
            </w:r>
            <w:r>
              <w:rPr>
                <w:sz w:val="22"/>
                <w:szCs w:val="22"/>
              </w:rPr>
              <w:t xml:space="preserve">gasiner m.v. </w:t>
            </w:r>
            <w:r w:rsidR="00456C65">
              <w:rPr>
                <w:sz w:val="22"/>
                <w:szCs w:val="22"/>
              </w:rPr>
              <w:t>produceret</w:t>
            </w:r>
            <w:r>
              <w:rPr>
                <w:sz w:val="22"/>
                <w:szCs w:val="22"/>
              </w:rPr>
              <w:t xml:space="preserve"> udenfor EU i momsmæssig henseende sidestilles med magasiner m.v. </w:t>
            </w:r>
            <w:r w:rsidR="00456C65">
              <w:rPr>
                <w:sz w:val="22"/>
                <w:szCs w:val="22"/>
              </w:rPr>
              <w:t>produceret</w:t>
            </w:r>
            <w:r>
              <w:rPr>
                <w:sz w:val="22"/>
                <w:szCs w:val="22"/>
              </w:rPr>
              <w:t xml:space="preserve"> indenfor EU, således at momsen i sig selv ikke </w:t>
            </w:r>
            <w:r w:rsidR="0063147F">
              <w:rPr>
                <w:sz w:val="22"/>
                <w:szCs w:val="22"/>
              </w:rPr>
              <w:t>udgør</w:t>
            </w:r>
            <w:r>
              <w:rPr>
                <w:sz w:val="22"/>
                <w:szCs w:val="22"/>
              </w:rPr>
              <w:t xml:space="preserve"> e</w:t>
            </w:r>
            <w:r w:rsidR="00AD203A">
              <w:rPr>
                <w:sz w:val="22"/>
                <w:szCs w:val="22"/>
              </w:rPr>
              <w:t>t</w:t>
            </w:r>
            <w:r>
              <w:rPr>
                <w:sz w:val="22"/>
                <w:szCs w:val="22"/>
              </w:rPr>
              <w:t xml:space="preserve"> selvstæn</w:t>
            </w:r>
            <w:r w:rsidR="0063147F">
              <w:rPr>
                <w:sz w:val="22"/>
                <w:szCs w:val="22"/>
              </w:rPr>
              <w:t>dig</w:t>
            </w:r>
            <w:r w:rsidR="00AD203A">
              <w:rPr>
                <w:sz w:val="22"/>
                <w:szCs w:val="22"/>
              </w:rPr>
              <w:t>t</w:t>
            </w:r>
            <w:r>
              <w:rPr>
                <w:sz w:val="22"/>
                <w:szCs w:val="22"/>
              </w:rPr>
              <w:t xml:space="preserve"> konkurrenceparameter</w:t>
            </w:r>
            <w:r w:rsidR="00641B45">
              <w:rPr>
                <w:sz w:val="22"/>
                <w:szCs w:val="22"/>
              </w:rPr>
              <w:t>.</w:t>
            </w:r>
          </w:p>
          <w:p w:rsidR="00641B45" w:rsidRDefault="00641B45" w:rsidP="00641B45">
            <w:pPr>
              <w:rPr>
                <w:sz w:val="22"/>
                <w:szCs w:val="22"/>
              </w:rPr>
            </w:pPr>
          </w:p>
          <w:p w:rsidR="006E78C9" w:rsidRDefault="006E78C9" w:rsidP="00641B45">
            <w:pPr>
              <w:rPr>
                <w:sz w:val="22"/>
                <w:szCs w:val="22"/>
              </w:rPr>
            </w:pPr>
          </w:p>
          <w:p w:rsidR="001445F4" w:rsidRDefault="001445F4" w:rsidP="00641B45">
            <w:pPr>
              <w:rPr>
                <w:sz w:val="22"/>
                <w:szCs w:val="22"/>
              </w:rPr>
            </w:pPr>
          </w:p>
          <w:p w:rsidR="006E78C9" w:rsidRDefault="000121E8" w:rsidP="00641B45">
            <w:pPr>
              <w:rPr>
                <w:sz w:val="22"/>
                <w:szCs w:val="22"/>
              </w:rPr>
            </w:pPr>
            <w:r>
              <w:rPr>
                <w:sz w:val="22"/>
                <w:szCs w:val="22"/>
              </w:rPr>
              <w:t xml:space="preserve">Provenuet er eksklusive afledte effekter, hvorfor der ikke er indregnet </w:t>
            </w:r>
            <w:r w:rsidR="00456C65">
              <w:rPr>
                <w:sz w:val="22"/>
                <w:szCs w:val="22"/>
              </w:rPr>
              <w:t>eventuel</w:t>
            </w:r>
            <w:r w:rsidR="00BC4F5B">
              <w:rPr>
                <w:sz w:val="22"/>
                <w:szCs w:val="22"/>
              </w:rPr>
              <w:t>le</w:t>
            </w:r>
            <w:r w:rsidR="00456C65">
              <w:rPr>
                <w:sz w:val="22"/>
                <w:szCs w:val="22"/>
              </w:rPr>
              <w:t xml:space="preserve"> </w:t>
            </w:r>
            <w:r>
              <w:rPr>
                <w:sz w:val="22"/>
                <w:szCs w:val="22"/>
              </w:rPr>
              <w:t>effekter i form af et skifte fra papirudgive</w:t>
            </w:r>
            <w:r>
              <w:rPr>
                <w:sz w:val="22"/>
                <w:szCs w:val="22"/>
              </w:rPr>
              <w:t>l</w:t>
            </w:r>
            <w:r>
              <w:rPr>
                <w:sz w:val="22"/>
                <w:szCs w:val="22"/>
              </w:rPr>
              <w:t>se til udgivelse på internettet.</w:t>
            </w:r>
          </w:p>
          <w:p w:rsidR="006E78C9" w:rsidRDefault="006E78C9" w:rsidP="00641B45">
            <w:pPr>
              <w:rPr>
                <w:sz w:val="22"/>
                <w:szCs w:val="22"/>
              </w:rPr>
            </w:pPr>
          </w:p>
          <w:p w:rsidR="006E78C9" w:rsidRDefault="006E78C9" w:rsidP="00641B45">
            <w:pPr>
              <w:rPr>
                <w:sz w:val="22"/>
                <w:szCs w:val="22"/>
              </w:rPr>
            </w:pPr>
          </w:p>
          <w:p w:rsidR="006E78C9" w:rsidRDefault="006E78C9" w:rsidP="00641B45">
            <w:pPr>
              <w:rPr>
                <w:sz w:val="22"/>
                <w:szCs w:val="22"/>
              </w:rPr>
            </w:pPr>
          </w:p>
          <w:p w:rsidR="006E78C9" w:rsidRDefault="006E78C9" w:rsidP="00641B45">
            <w:pPr>
              <w:rPr>
                <w:sz w:val="22"/>
                <w:szCs w:val="22"/>
              </w:rPr>
            </w:pPr>
          </w:p>
          <w:p w:rsidR="006E78C9" w:rsidRDefault="00C73616" w:rsidP="00641B45">
            <w:pPr>
              <w:rPr>
                <w:sz w:val="22"/>
                <w:szCs w:val="22"/>
              </w:rPr>
            </w:pPr>
            <w:r>
              <w:rPr>
                <w:sz w:val="22"/>
                <w:szCs w:val="22"/>
              </w:rPr>
              <w:t>Der henvises til kommentar til høringssvar fra Advokatrådet.</w:t>
            </w:r>
          </w:p>
          <w:p w:rsidR="006E78C9" w:rsidRDefault="006E78C9" w:rsidP="00641B45">
            <w:pPr>
              <w:rPr>
                <w:sz w:val="22"/>
                <w:szCs w:val="22"/>
              </w:rPr>
            </w:pPr>
          </w:p>
          <w:p w:rsidR="000121E8" w:rsidRDefault="000121E8" w:rsidP="00641B45">
            <w:pPr>
              <w:rPr>
                <w:sz w:val="22"/>
                <w:szCs w:val="22"/>
              </w:rPr>
            </w:pPr>
          </w:p>
          <w:p w:rsidR="000121E8" w:rsidRDefault="000121E8" w:rsidP="00641B45">
            <w:pPr>
              <w:rPr>
                <w:sz w:val="22"/>
                <w:szCs w:val="22"/>
              </w:rPr>
            </w:pPr>
          </w:p>
          <w:p w:rsidR="000121E8" w:rsidRDefault="000121E8" w:rsidP="00641B45">
            <w:pPr>
              <w:rPr>
                <w:sz w:val="22"/>
                <w:szCs w:val="22"/>
              </w:rPr>
            </w:pPr>
          </w:p>
          <w:p w:rsidR="000121E8" w:rsidRDefault="000121E8" w:rsidP="00641B45">
            <w:pPr>
              <w:rPr>
                <w:sz w:val="22"/>
                <w:szCs w:val="22"/>
              </w:rPr>
            </w:pPr>
          </w:p>
          <w:p w:rsidR="006E78C9" w:rsidRDefault="006E78C9" w:rsidP="00641B45">
            <w:pPr>
              <w:rPr>
                <w:sz w:val="22"/>
                <w:szCs w:val="22"/>
              </w:rPr>
            </w:pPr>
            <w:r>
              <w:rPr>
                <w:sz w:val="22"/>
                <w:szCs w:val="22"/>
              </w:rPr>
              <w:t>Synspunktet er noteret, men der er ikke fundet anledning til at ændre ikrafttræde</w:t>
            </w:r>
            <w:r>
              <w:rPr>
                <w:sz w:val="22"/>
                <w:szCs w:val="22"/>
              </w:rPr>
              <w:t>l</w:t>
            </w:r>
            <w:r>
              <w:rPr>
                <w:sz w:val="22"/>
                <w:szCs w:val="22"/>
              </w:rPr>
              <w:t>sen.</w:t>
            </w:r>
          </w:p>
          <w:p w:rsidR="00641B45" w:rsidRDefault="00641B45" w:rsidP="00641B45">
            <w:pPr>
              <w:rPr>
                <w:sz w:val="22"/>
                <w:szCs w:val="22"/>
              </w:rPr>
            </w:pPr>
          </w:p>
        </w:tc>
      </w:tr>
      <w:tr w:rsidR="0012377E" w:rsidRPr="00481E36" w:rsidTr="00982CC6">
        <w:tc>
          <w:tcPr>
            <w:tcW w:w="2448" w:type="dxa"/>
          </w:tcPr>
          <w:p w:rsidR="0012377E" w:rsidRDefault="0012377E" w:rsidP="00A55A4C">
            <w:pPr>
              <w:spacing w:line="288" w:lineRule="auto"/>
              <w:rPr>
                <w:sz w:val="22"/>
                <w:szCs w:val="22"/>
              </w:rPr>
            </w:pPr>
            <w:r>
              <w:rPr>
                <w:sz w:val="22"/>
                <w:szCs w:val="22"/>
              </w:rPr>
              <w:t>Danske Advokater</w:t>
            </w:r>
          </w:p>
        </w:tc>
        <w:tc>
          <w:tcPr>
            <w:tcW w:w="3240" w:type="dxa"/>
          </w:tcPr>
          <w:p w:rsidR="0012377E" w:rsidRDefault="0012377E" w:rsidP="00C770FB">
            <w:pPr>
              <w:rPr>
                <w:sz w:val="22"/>
                <w:szCs w:val="22"/>
              </w:rPr>
            </w:pPr>
            <w:r>
              <w:rPr>
                <w:sz w:val="22"/>
                <w:szCs w:val="22"/>
              </w:rPr>
              <w:t xml:space="preserve">Danske Advokater </w:t>
            </w:r>
            <w:r w:rsidR="00C770FB">
              <w:rPr>
                <w:sz w:val="22"/>
                <w:szCs w:val="22"/>
              </w:rPr>
              <w:t>mener, at ordet ”rådgivere” i bemærkningerne til den foreslåede nye bestemmelse i momslovens § 75, stk. 6 om o</w:t>
            </w:r>
            <w:r w:rsidR="00C770FB">
              <w:rPr>
                <w:sz w:val="22"/>
                <w:szCs w:val="22"/>
              </w:rPr>
              <w:t>p</w:t>
            </w:r>
            <w:r w:rsidR="00C770FB">
              <w:rPr>
                <w:sz w:val="22"/>
                <w:szCs w:val="22"/>
              </w:rPr>
              <w:t xml:space="preserve">lysningspligt, skal udgå. </w:t>
            </w:r>
          </w:p>
        </w:tc>
        <w:tc>
          <w:tcPr>
            <w:tcW w:w="4090" w:type="dxa"/>
          </w:tcPr>
          <w:p w:rsidR="0012377E" w:rsidRDefault="00C770FB" w:rsidP="00641B45">
            <w:pPr>
              <w:rPr>
                <w:sz w:val="22"/>
                <w:szCs w:val="22"/>
              </w:rPr>
            </w:pPr>
            <w:r>
              <w:rPr>
                <w:sz w:val="22"/>
                <w:szCs w:val="22"/>
              </w:rPr>
              <w:t>Ordet ”rådgivere” er udgået, jf. kommentar til høringssvar fra Advokatrådet.</w:t>
            </w:r>
          </w:p>
        </w:tc>
      </w:tr>
      <w:tr w:rsidR="00FB15C5" w:rsidRPr="00481E36" w:rsidTr="00982CC6">
        <w:tc>
          <w:tcPr>
            <w:tcW w:w="2448" w:type="dxa"/>
          </w:tcPr>
          <w:p w:rsidR="00FB15C5" w:rsidRPr="00481E36" w:rsidRDefault="00FB15C5" w:rsidP="00FB15C5">
            <w:pPr>
              <w:spacing w:line="288" w:lineRule="auto"/>
              <w:rPr>
                <w:sz w:val="22"/>
                <w:szCs w:val="22"/>
              </w:rPr>
            </w:pPr>
            <w:r>
              <w:rPr>
                <w:sz w:val="22"/>
                <w:szCs w:val="22"/>
              </w:rPr>
              <w:t>Dansk Erhverv</w:t>
            </w:r>
          </w:p>
        </w:tc>
        <w:tc>
          <w:tcPr>
            <w:tcW w:w="3240" w:type="dxa"/>
          </w:tcPr>
          <w:p w:rsidR="00FB15C5" w:rsidRDefault="00FB15C5" w:rsidP="00FB15C5">
            <w:pPr>
              <w:rPr>
                <w:sz w:val="22"/>
                <w:szCs w:val="22"/>
              </w:rPr>
            </w:pPr>
            <w:r>
              <w:rPr>
                <w:sz w:val="22"/>
                <w:szCs w:val="22"/>
              </w:rPr>
              <w:t xml:space="preserve">Dansk Erhverv finder, at forslaget om at udvide </w:t>
            </w:r>
            <w:r w:rsidRPr="00FB15C5">
              <w:rPr>
                <w:b/>
                <w:i/>
                <w:sz w:val="22"/>
                <w:szCs w:val="22"/>
              </w:rPr>
              <w:t>lønsumsafgiftsfr</w:t>
            </w:r>
            <w:r w:rsidRPr="00FB15C5">
              <w:rPr>
                <w:b/>
                <w:i/>
                <w:sz w:val="22"/>
                <w:szCs w:val="22"/>
              </w:rPr>
              <w:t>i</w:t>
            </w:r>
            <w:r w:rsidRPr="00FB15C5">
              <w:rPr>
                <w:b/>
                <w:i/>
                <w:sz w:val="22"/>
                <w:szCs w:val="22"/>
              </w:rPr>
              <w:t>tagelsen</w:t>
            </w:r>
            <w:r>
              <w:rPr>
                <w:sz w:val="22"/>
                <w:szCs w:val="22"/>
              </w:rPr>
              <w:t xml:space="preserve"> for museumsvirksomhed er et positivt initiativ, der skaber afgiftsmæssig ligestilling mellem museerne.</w:t>
            </w:r>
          </w:p>
          <w:p w:rsidR="00FB15C5" w:rsidRDefault="00FB15C5" w:rsidP="00FB15C5">
            <w:pPr>
              <w:rPr>
                <w:sz w:val="22"/>
                <w:szCs w:val="22"/>
              </w:rPr>
            </w:pPr>
          </w:p>
          <w:p w:rsidR="00FB15C5" w:rsidRDefault="00FB15C5" w:rsidP="00FB15C5">
            <w:pPr>
              <w:rPr>
                <w:sz w:val="22"/>
                <w:szCs w:val="22"/>
              </w:rPr>
            </w:pPr>
            <w:r>
              <w:rPr>
                <w:sz w:val="22"/>
                <w:szCs w:val="22"/>
              </w:rPr>
              <w:t>Dansk Erhverv bemærker i fo</w:t>
            </w:r>
            <w:r>
              <w:rPr>
                <w:sz w:val="22"/>
                <w:szCs w:val="22"/>
              </w:rPr>
              <w:t>r</w:t>
            </w:r>
            <w:r>
              <w:rPr>
                <w:sz w:val="22"/>
                <w:szCs w:val="22"/>
              </w:rPr>
              <w:t>hold til lempelsen af betalingsfr</w:t>
            </w:r>
            <w:r>
              <w:rPr>
                <w:sz w:val="22"/>
                <w:szCs w:val="22"/>
              </w:rPr>
              <w:t>i</w:t>
            </w:r>
            <w:r>
              <w:rPr>
                <w:sz w:val="22"/>
                <w:szCs w:val="22"/>
              </w:rPr>
              <w:t xml:space="preserve">sten i forhold til </w:t>
            </w:r>
            <w:r w:rsidRPr="00FB15C5">
              <w:rPr>
                <w:b/>
                <w:i/>
                <w:sz w:val="22"/>
                <w:szCs w:val="22"/>
              </w:rPr>
              <w:t>offentlige h</w:t>
            </w:r>
            <w:r w:rsidRPr="00FB15C5">
              <w:rPr>
                <w:b/>
                <w:i/>
                <w:sz w:val="22"/>
                <w:szCs w:val="22"/>
              </w:rPr>
              <w:t>a</w:t>
            </w:r>
            <w:r w:rsidRPr="00FB15C5">
              <w:rPr>
                <w:b/>
                <w:i/>
                <w:sz w:val="22"/>
                <w:szCs w:val="22"/>
              </w:rPr>
              <w:t>sardspilsturneringer</w:t>
            </w:r>
            <w:r>
              <w:rPr>
                <w:sz w:val="22"/>
                <w:szCs w:val="22"/>
              </w:rPr>
              <w:t>, at den o</w:t>
            </w:r>
            <w:r>
              <w:rPr>
                <w:sz w:val="22"/>
                <w:szCs w:val="22"/>
              </w:rPr>
              <w:t>p</w:t>
            </w:r>
            <w:r>
              <w:rPr>
                <w:sz w:val="22"/>
                <w:szCs w:val="22"/>
              </w:rPr>
              <w:lastRenderedPageBreak/>
              <w:t>rindelige lov stammer fra 2009, og at den således ikke har fung</w:t>
            </w:r>
            <w:r>
              <w:rPr>
                <w:sz w:val="22"/>
                <w:szCs w:val="22"/>
              </w:rPr>
              <w:t>e</w:t>
            </w:r>
            <w:r>
              <w:rPr>
                <w:sz w:val="22"/>
                <w:szCs w:val="22"/>
              </w:rPr>
              <w:t>ret i så lang en tidsperiode. Det er Dansk Erhvervs vurdering, at det på denne baggrund er svært at vurdere, om loven virker efter hensigten.</w:t>
            </w:r>
          </w:p>
          <w:p w:rsidR="00FB15C5" w:rsidRDefault="00FB15C5" w:rsidP="00FB15C5">
            <w:pPr>
              <w:rPr>
                <w:sz w:val="22"/>
                <w:szCs w:val="22"/>
              </w:rPr>
            </w:pPr>
          </w:p>
          <w:p w:rsidR="00FB15C5" w:rsidRDefault="00FB15C5" w:rsidP="00FB15C5">
            <w:pPr>
              <w:rPr>
                <w:sz w:val="22"/>
                <w:szCs w:val="22"/>
              </w:rPr>
            </w:pPr>
            <w:r>
              <w:rPr>
                <w:sz w:val="22"/>
                <w:szCs w:val="22"/>
              </w:rPr>
              <w:t>Dansk Erhverv anfører endvidere, at såfremt man lemper loven som foreslået, bliver det vanskeligt at håndhæve reglen om, at alle bet</w:t>
            </w:r>
            <w:r>
              <w:rPr>
                <w:sz w:val="22"/>
                <w:szCs w:val="22"/>
              </w:rPr>
              <w:t>a</w:t>
            </w:r>
            <w:r>
              <w:rPr>
                <w:sz w:val="22"/>
                <w:szCs w:val="22"/>
              </w:rPr>
              <w:t>linger til og fra turneringspuljen skal overføres mellem konti i pengeinstitutter eller kreditinst</w:t>
            </w:r>
            <w:r>
              <w:rPr>
                <w:sz w:val="22"/>
                <w:szCs w:val="22"/>
              </w:rPr>
              <w:t>i</w:t>
            </w:r>
            <w:r>
              <w:rPr>
                <w:sz w:val="22"/>
                <w:szCs w:val="22"/>
              </w:rPr>
              <w:t>tutter, jf. § 20 i loven.</w:t>
            </w:r>
          </w:p>
          <w:p w:rsidR="00FB15C5" w:rsidRDefault="00FB15C5" w:rsidP="00FB15C5">
            <w:pPr>
              <w:rPr>
                <w:sz w:val="22"/>
                <w:szCs w:val="22"/>
              </w:rPr>
            </w:pPr>
          </w:p>
          <w:p w:rsidR="00FB15C5" w:rsidRDefault="00FB15C5" w:rsidP="00FB15C5">
            <w:pPr>
              <w:rPr>
                <w:sz w:val="22"/>
                <w:szCs w:val="22"/>
              </w:rPr>
            </w:pPr>
          </w:p>
          <w:p w:rsidR="00FB15C5" w:rsidRDefault="00FB15C5" w:rsidP="00FB15C5">
            <w:pPr>
              <w:rPr>
                <w:sz w:val="22"/>
                <w:szCs w:val="22"/>
              </w:rPr>
            </w:pPr>
          </w:p>
          <w:p w:rsidR="00FB15C5" w:rsidRDefault="00FB15C5" w:rsidP="00FB15C5">
            <w:pPr>
              <w:rPr>
                <w:sz w:val="22"/>
                <w:szCs w:val="22"/>
              </w:rPr>
            </w:pPr>
          </w:p>
          <w:p w:rsidR="00FB15C5" w:rsidRDefault="00FB15C5" w:rsidP="00FB15C5">
            <w:pPr>
              <w:rPr>
                <w:sz w:val="22"/>
                <w:szCs w:val="22"/>
              </w:rPr>
            </w:pPr>
          </w:p>
          <w:p w:rsidR="00FB15C5" w:rsidRDefault="00FB15C5" w:rsidP="00FB15C5">
            <w:pPr>
              <w:rPr>
                <w:sz w:val="22"/>
                <w:szCs w:val="22"/>
              </w:rPr>
            </w:pPr>
          </w:p>
          <w:p w:rsidR="00FB15C5" w:rsidRDefault="00FB15C5" w:rsidP="00FB15C5">
            <w:pPr>
              <w:rPr>
                <w:sz w:val="22"/>
                <w:szCs w:val="22"/>
              </w:rPr>
            </w:pPr>
          </w:p>
          <w:p w:rsidR="00FB15C5" w:rsidRDefault="00FB15C5" w:rsidP="00FB15C5">
            <w:pPr>
              <w:rPr>
                <w:sz w:val="22"/>
                <w:szCs w:val="22"/>
              </w:rPr>
            </w:pPr>
          </w:p>
          <w:p w:rsidR="00FB15C5" w:rsidRDefault="00FB15C5" w:rsidP="00FB15C5">
            <w:pPr>
              <w:rPr>
                <w:sz w:val="22"/>
                <w:szCs w:val="22"/>
              </w:rPr>
            </w:pPr>
          </w:p>
          <w:p w:rsidR="00FB15C5" w:rsidRDefault="00FB15C5" w:rsidP="00FB15C5">
            <w:pPr>
              <w:rPr>
                <w:sz w:val="22"/>
                <w:szCs w:val="22"/>
              </w:rPr>
            </w:pPr>
          </w:p>
          <w:p w:rsidR="00FB15C5" w:rsidRDefault="00FB15C5" w:rsidP="00FB15C5">
            <w:pPr>
              <w:rPr>
                <w:sz w:val="22"/>
                <w:szCs w:val="22"/>
              </w:rPr>
            </w:pPr>
          </w:p>
          <w:p w:rsidR="00FB15C5" w:rsidRDefault="00FB15C5" w:rsidP="00FB15C5">
            <w:pPr>
              <w:rPr>
                <w:sz w:val="22"/>
                <w:szCs w:val="22"/>
              </w:rPr>
            </w:pPr>
          </w:p>
          <w:p w:rsidR="00FB15C5" w:rsidRDefault="00FB15C5" w:rsidP="00FB15C5">
            <w:pPr>
              <w:rPr>
                <w:sz w:val="22"/>
                <w:szCs w:val="22"/>
              </w:rPr>
            </w:pPr>
          </w:p>
          <w:p w:rsidR="00FB15C5" w:rsidRDefault="00FB15C5" w:rsidP="00FB15C5">
            <w:pPr>
              <w:rPr>
                <w:sz w:val="22"/>
                <w:szCs w:val="22"/>
              </w:rPr>
            </w:pPr>
          </w:p>
          <w:p w:rsidR="00FB15C5" w:rsidRDefault="00FB15C5" w:rsidP="00FB15C5">
            <w:pPr>
              <w:rPr>
                <w:sz w:val="22"/>
                <w:szCs w:val="22"/>
              </w:rPr>
            </w:pPr>
          </w:p>
          <w:p w:rsidR="00FB15C5" w:rsidRPr="00481E36" w:rsidRDefault="00FB15C5" w:rsidP="00FB15C5">
            <w:pPr>
              <w:rPr>
                <w:sz w:val="22"/>
                <w:szCs w:val="22"/>
              </w:rPr>
            </w:pPr>
            <w:r>
              <w:rPr>
                <w:sz w:val="22"/>
                <w:szCs w:val="22"/>
              </w:rPr>
              <w:t>Dansk Erhverv har ikke bemær</w:t>
            </w:r>
            <w:r>
              <w:rPr>
                <w:sz w:val="22"/>
                <w:szCs w:val="22"/>
              </w:rPr>
              <w:t>k</w:t>
            </w:r>
            <w:r>
              <w:rPr>
                <w:sz w:val="22"/>
                <w:szCs w:val="22"/>
              </w:rPr>
              <w:t>ninger til de øvrige dele af lo</w:t>
            </w:r>
            <w:r>
              <w:rPr>
                <w:sz w:val="22"/>
                <w:szCs w:val="22"/>
              </w:rPr>
              <w:t>v</w:t>
            </w:r>
            <w:r>
              <w:rPr>
                <w:sz w:val="22"/>
                <w:szCs w:val="22"/>
              </w:rPr>
              <w:t>forslaget.</w:t>
            </w:r>
          </w:p>
        </w:tc>
        <w:tc>
          <w:tcPr>
            <w:tcW w:w="4090" w:type="dxa"/>
          </w:tcPr>
          <w:p w:rsidR="00FB15C5" w:rsidRDefault="00FB15C5" w:rsidP="00FB15C5">
            <w:pPr>
              <w:rPr>
                <w:sz w:val="22"/>
                <w:szCs w:val="22"/>
              </w:rPr>
            </w:pPr>
          </w:p>
          <w:p w:rsidR="00FB15C5" w:rsidRDefault="00FB15C5" w:rsidP="00FB15C5">
            <w:pPr>
              <w:rPr>
                <w:sz w:val="22"/>
                <w:szCs w:val="22"/>
              </w:rPr>
            </w:pPr>
          </w:p>
          <w:p w:rsidR="00FB15C5" w:rsidRDefault="00FB15C5" w:rsidP="00FB15C5">
            <w:pPr>
              <w:rPr>
                <w:sz w:val="22"/>
                <w:szCs w:val="22"/>
              </w:rPr>
            </w:pPr>
          </w:p>
          <w:p w:rsidR="00FB15C5" w:rsidRDefault="00FB15C5" w:rsidP="00FB15C5">
            <w:pPr>
              <w:rPr>
                <w:sz w:val="22"/>
                <w:szCs w:val="22"/>
              </w:rPr>
            </w:pPr>
          </w:p>
          <w:p w:rsidR="00FB15C5" w:rsidRDefault="00FB15C5" w:rsidP="00FB15C5">
            <w:pPr>
              <w:rPr>
                <w:sz w:val="22"/>
                <w:szCs w:val="22"/>
              </w:rPr>
            </w:pPr>
          </w:p>
          <w:p w:rsidR="00FB15C5" w:rsidRDefault="00FB15C5" w:rsidP="00FB15C5">
            <w:pPr>
              <w:rPr>
                <w:sz w:val="22"/>
                <w:szCs w:val="22"/>
              </w:rPr>
            </w:pPr>
          </w:p>
          <w:p w:rsidR="00FB15C5" w:rsidRDefault="00FB15C5" w:rsidP="00FB15C5">
            <w:pPr>
              <w:rPr>
                <w:sz w:val="22"/>
                <w:szCs w:val="22"/>
              </w:rPr>
            </w:pPr>
          </w:p>
          <w:p w:rsidR="00FB15C5" w:rsidRDefault="00FB15C5" w:rsidP="00FB15C5">
            <w:pPr>
              <w:rPr>
                <w:sz w:val="22"/>
                <w:szCs w:val="22"/>
              </w:rPr>
            </w:pPr>
            <w:r>
              <w:rPr>
                <w:sz w:val="22"/>
                <w:szCs w:val="22"/>
              </w:rPr>
              <w:t>Med baggrund i den dialog tilsynsmyndi</w:t>
            </w:r>
            <w:r>
              <w:rPr>
                <w:sz w:val="22"/>
                <w:szCs w:val="22"/>
              </w:rPr>
              <w:t>g</w:t>
            </w:r>
            <w:r>
              <w:rPr>
                <w:sz w:val="22"/>
                <w:szCs w:val="22"/>
              </w:rPr>
              <w:t>heden har haft med bevillingshaverne og Dansk Pokerforbund, finder Skatteminist</w:t>
            </w:r>
            <w:r>
              <w:rPr>
                <w:sz w:val="22"/>
                <w:szCs w:val="22"/>
              </w:rPr>
              <w:t>e</w:t>
            </w:r>
            <w:r>
              <w:rPr>
                <w:sz w:val="22"/>
                <w:szCs w:val="22"/>
              </w:rPr>
              <w:t>riet det nødvendigt med en ændring af bet</w:t>
            </w:r>
            <w:r>
              <w:rPr>
                <w:sz w:val="22"/>
                <w:szCs w:val="22"/>
              </w:rPr>
              <w:t>a</w:t>
            </w:r>
            <w:r>
              <w:rPr>
                <w:sz w:val="22"/>
                <w:szCs w:val="22"/>
              </w:rPr>
              <w:lastRenderedPageBreak/>
              <w:t>lingstidspunktet på nuværende tidspunkt, for at forhindre at der sker lukning af lovl</w:t>
            </w:r>
            <w:r>
              <w:rPr>
                <w:sz w:val="22"/>
                <w:szCs w:val="22"/>
              </w:rPr>
              <w:t>i</w:t>
            </w:r>
            <w:r>
              <w:rPr>
                <w:sz w:val="22"/>
                <w:szCs w:val="22"/>
              </w:rPr>
              <w:t xml:space="preserve">ge pokerklubber, hvilket kan føre til, at spillerne fristes til at deltage i ulovlige spil. </w:t>
            </w:r>
          </w:p>
          <w:p w:rsidR="00FB15C5" w:rsidRDefault="00FB15C5" w:rsidP="00FB15C5">
            <w:pPr>
              <w:rPr>
                <w:sz w:val="22"/>
                <w:szCs w:val="22"/>
              </w:rPr>
            </w:pPr>
          </w:p>
          <w:p w:rsidR="00FB15C5" w:rsidRDefault="00FB15C5" w:rsidP="00FB15C5">
            <w:pPr>
              <w:rPr>
                <w:sz w:val="22"/>
                <w:szCs w:val="22"/>
              </w:rPr>
            </w:pPr>
          </w:p>
          <w:p w:rsidR="00FB15C5" w:rsidRDefault="00FB15C5" w:rsidP="00FB15C5">
            <w:pPr>
              <w:rPr>
                <w:sz w:val="22"/>
                <w:szCs w:val="22"/>
              </w:rPr>
            </w:pPr>
          </w:p>
          <w:p w:rsidR="00FB15C5" w:rsidRDefault="00FB15C5" w:rsidP="00FB15C5">
            <w:pPr>
              <w:rPr>
                <w:sz w:val="22"/>
                <w:szCs w:val="22"/>
              </w:rPr>
            </w:pPr>
          </w:p>
          <w:p w:rsidR="00FB15C5" w:rsidRDefault="00FB15C5" w:rsidP="00FB15C5">
            <w:pPr>
              <w:rPr>
                <w:sz w:val="22"/>
                <w:szCs w:val="22"/>
              </w:rPr>
            </w:pPr>
            <w:r>
              <w:rPr>
                <w:sz w:val="22"/>
                <w:szCs w:val="22"/>
              </w:rPr>
              <w:t>Som følge af ændringen af betalingstid</w:t>
            </w:r>
            <w:r>
              <w:rPr>
                <w:sz w:val="22"/>
                <w:szCs w:val="22"/>
              </w:rPr>
              <w:t>s</w:t>
            </w:r>
            <w:r>
              <w:rPr>
                <w:sz w:val="22"/>
                <w:szCs w:val="22"/>
              </w:rPr>
              <w:t>punktet i lovens § 17, stk. 3, er der desuden foreslået indsættelse af et nyt stykke 4 i § 17, som giver tilsynsmyndigheden muli</w:t>
            </w:r>
            <w:r>
              <w:rPr>
                <w:sz w:val="22"/>
                <w:szCs w:val="22"/>
              </w:rPr>
              <w:t>g</w:t>
            </w:r>
            <w:r>
              <w:rPr>
                <w:sz w:val="22"/>
                <w:szCs w:val="22"/>
              </w:rPr>
              <w:t>hed for at fastsætte vilkår for betalingen. Bestemmelsen giver tilsynsmyndigheden mulighed for at fastsætte vilkår, der gør det nemmere at kontrollere og håndhæve re</w:t>
            </w:r>
            <w:r>
              <w:rPr>
                <w:sz w:val="22"/>
                <w:szCs w:val="22"/>
              </w:rPr>
              <w:t>g</w:t>
            </w:r>
            <w:r>
              <w:rPr>
                <w:sz w:val="22"/>
                <w:szCs w:val="22"/>
              </w:rPr>
              <w:t>lerne om, at betalingerne til og fra turn</w:t>
            </w:r>
            <w:r>
              <w:rPr>
                <w:sz w:val="22"/>
                <w:szCs w:val="22"/>
              </w:rPr>
              <w:t>e</w:t>
            </w:r>
            <w:r>
              <w:rPr>
                <w:sz w:val="22"/>
                <w:szCs w:val="22"/>
              </w:rPr>
              <w:t>ringspuljen er foretaget ved en kontoove</w:t>
            </w:r>
            <w:r>
              <w:rPr>
                <w:sz w:val="22"/>
                <w:szCs w:val="22"/>
              </w:rPr>
              <w:t>r</w:t>
            </w:r>
            <w:r>
              <w:rPr>
                <w:sz w:val="22"/>
                <w:szCs w:val="22"/>
              </w:rPr>
              <w:t>førsel eller via et af tilsynsmyndighedens godkendte betalingssystemer. Sådanne vilkår kan f.eks. være vilkår om dokume</w:t>
            </w:r>
            <w:r>
              <w:rPr>
                <w:sz w:val="22"/>
                <w:szCs w:val="22"/>
              </w:rPr>
              <w:t>n</w:t>
            </w:r>
            <w:r>
              <w:rPr>
                <w:sz w:val="22"/>
                <w:szCs w:val="22"/>
              </w:rPr>
              <w:t>tation for betalingen eller vilkår om et bet</w:t>
            </w:r>
            <w:r>
              <w:rPr>
                <w:sz w:val="22"/>
                <w:szCs w:val="22"/>
              </w:rPr>
              <w:t>a</w:t>
            </w:r>
            <w:r>
              <w:rPr>
                <w:sz w:val="22"/>
                <w:szCs w:val="22"/>
              </w:rPr>
              <w:t>lingstidspunkt der går forud for en poke</w:t>
            </w:r>
            <w:r>
              <w:rPr>
                <w:sz w:val="22"/>
                <w:szCs w:val="22"/>
              </w:rPr>
              <w:t>r</w:t>
            </w:r>
            <w:r>
              <w:rPr>
                <w:sz w:val="22"/>
                <w:szCs w:val="22"/>
              </w:rPr>
              <w:t>turnerings start.</w:t>
            </w:r>
          </w:p>
          <w:p w:rsidR="00FB15C5" w:rsidRDefault="00FB15C5" w:rsidP="00FB15C5">
            <w:pPr>
              <w:rPr>
                <w:sz w:val="22"/>
                <w:szCs w:val="22"/>
              </w:rPr>
            </w:pPr>
          </w:p>
          <w:p w:rsidR="00FB15C5" w:rsidRDefault="00FB15C5" w:rsidP="00FB15C5">
            <w:pPr>
              <w:rPr>
                <w:sz w:val="22"/>
                <w:szCs w:val="22"/>
              </w:rPr>
            </w:pPr>
            <w:r>
              <w:rPr>
                <w:sz w:val="22"/>
                <w:szCs w:val="22"/>
              </w:rPr>
              <w:t>Efter Skatteministeriets opfattelse, er lø</w:t>
            </w:r>
            <w:r>
              <w:rPr>
                <w:sz w:val="22"/>
                <w:szCs w:val="22"/>
              </w:rPr>
              <w:t>s</w:t>
            </w:r>
            <w:r>
              <w:rPr>
                <w:sz w:val="22"/>
                <w:szCs w:val="22"/>
              </w:rPr>
              <w:t>ningen egnet og forholdsmæssig i forhold til varetagelsen af hensynet til bekæmpelse af misbrug af offentlige pokerturneringer til hvidvask af penge eller anden kriminalitet.</w:t>
            </w:r>
          </w:p>
          <w:p w:rsidR="00FB15C5" w:rsidRPr="00481E36" w:rsidRDefault="00FB15C5" w:rsidP="00FB15C5">
            <w:pPr>
              <w:rPr>
                <w:sz w:val="22"/>
                <w:szCs w:val="22"/>
              </w:rPr>
            </w:pPr>
          </w:p>
        </w:tc>
      </w:tr>
      <w:tr w:rsidR="00605516" w:rsidRPr="00481E36" w:rsidTr="00982CC6">
        <w:tc>
          <w:tcPr>
            <w:tcW w:w="2448" w:type="dxa"/>
          </w:tcPr>
          <w:p w:rsidR="00605516" w:rsidRDefault="00605516" w:rsidP="00605516">
            <w:pPr>
              <w:spacing w:line="288" w:lineRule="auto"/>
              <w:rPr>
                <w:sz w:val="22"/>
                <w:szCs w:val="22"/>
                <w:lang w:val="en-US"/>
              </w:rPr>
            </w:pPr>
            <w:r>
              <w:rPr>
                <w:sz w:val="22"/>
                <w:szCs w:val="22"/>
                <w:lang w:val="en-US"/>
              </w:rPr>
              <w:lastRenderedPageBreak/>
              <w:t>Dansk Industri</w:t>
            </w:r>
          </w:p>
        </w:tc>
        <w:tc>
          <w:tcPr>
            <w:tcW w:w="3240" w:type="dxa"/>
          </w:tcPr>
          <w:p w:rsidR="00605516" w:rsidRDefault="00605516" w:rsidP="00605516">
            <w:pPr>
              <w:rPr>
                <w:sz w:val="22"/>
                <w:szCs w:val="22"/>
              </w:rPr>
            </w:pPr>
            <w:r>
              <w:rPr>
                <w:sz w:val="22"/>
                <w:szCs w:val="22"/>
              </w:rPr>
              <w:t xml:space="preserve">Dansk </w:t>
            </w:r>
            <w:r w:rsidR="0027142E">
              <w:rPr>
                <w:sz w:val="22"/>
                <w:szCs w:val="22"/>
              </w:rPr>
              <w:t>I</w:t>
            </w:r>
            <w:r>
              <w:rPr>
                <w:sz w:val="22"/>
                <w:szCs w:val="22"/>
              </w:rPr>
              <w:t>ndustri finder det positivt, at der med lovforslaget lægges op til gennemførelse af nye direkti</w:t>
            </w:r>
            <w:r>
              <w:rPr>
                <w:sz w:val="22"/>
                <w:szCs w:val="22"/>
              </w:rPr>
              <w:t>v</w:t>
            </w:r>
            <w:r>
              <w:rPr>
                <w:sz w:val="22"/>
                <w:szCs w:val="22"/>
              </w:rPr>
              <w:t xml:space="preserve">regler på momsområdet i </w:t>
            </w:r>
            <w:r w:rsidR="0012377E">
              <w:rPr>
                <w:sz w:val="22"/>
                <w:szCs w:val="22"/>
              </w:rPr>
              <w:t>g</w:t>
            </w:r>
            <w:r>
              <w:rPr>
                <w:sz w:val="22"/>
                <w:szCs w:val="22"/>
              </w:rPr>
              <w:t xml:space="preserve">od tid inden disse reglers ikrafttræden. </w:t>
            </w:r>
          </w:p>
          <w:p w:rsidR="00605516" w:rsidRDefault="00605516" w:rsidP="00605516">
            <w:pPr>
              <w:rPr>
                <w:sz w:val="22"/>
                <w:szCs w:val="22"/>
              </w:rPr>
            </w:pPr>
          </w:p>
          <w:p w:rsidR="00605516" w:rsidRDefault="00605516" w:rsidP="00605516">
            <w:pPr>
              <w:rPr>
                <w:sz w:val="22"/>
                <w:szCs w:val="22"/>
              </w:rPr>
            </w:pPr>
            <w:r>
              <w:rPr>
                <w:sz w:val="22"/>
                <w:szCs w:val="22"/>
              </w:rPr>
              <w:t>Dansk Industri har spørgsmål til fortolkningen af begreber som ”</w:t>
            </w:r>
            <w:r w:rsidRPr="001354B3">
              <w:rPr>
                <w:sz w:val="22"/>
                <w:szCs w:val="22"/>
              </w:rPr>
              <w:t>løbende levering af varer</w:t>
            </w:r>
            <w:r>
              <w:rPr>
                <w:sz w:val="22"/>
                <w:szCs w:val="22"/>
              </w:rPr>
              <w:t>”, der indgår i forslaget til momslovens § 24, stk. 2. Dansk Industri o</w:t>
            </w:r>
            <w:r>
              <w:rPr>
                <w:sz w:val="22"/>
                <w:szCs w:val="22"/>
              </w:rPr>
              <w:t>p</w:t>
            </w:r>
            <w:r>
              <w:rPr>
                <w:sz w:val="22"/>
                <w:szCs w:val="22"/>
              </w:rPr>
              <w:t>fordrer til, at det i lovforslagets bemærkninger eller i SKATs Momsvejledning præciseres, hvordan begrebet skal forstås.</w:t>
            </w:r>
          </w:p>
          <w:p w:rsidR="00605516" w:rsidRDefault="00605516" w:rsidP="00605516">
            <w:pPr>
              <w:rPr>
                <w:sz w:val="22"/>
                <w:szCs w:val="22"/>
              </w:rPr>
            </w:pPr>
          </w:p>
          <w:p w:rsidR="00605516" w:rsidRDefault="00605516" w:rsidP="00605516">
            <w:pPr>
              <w:rPr>
                <w:sz w:val="22"/>
                <w:szCs w:val="22"/>
              </w:rPr>
            </w:pPr>
            <w:r>
              <w:rPr>
                <w:sz w:val="22"/>
                <w:szCs w:val="22"/>
              </w:rPr>
              <w:t xml:space="preserve">  </w:t>
            </w:r>
          </w:p>
          <w:p w:rsidR="00605516" w:rsidRDefault="00605516" w:rsidP="00605516">
            <w:pPr>
              <w:rPr>
                <w:sz w:val="22"/>
                <w:szCs w:val="22"/>
              </w:rPr>
            </w:pPr>
          </w:p>
          <w:p w:rsidR="00605516" w:rsidRDefault="00605516" w:rsidP="00605516">
            <w:pPr>
              <w:rPr>
                <w:sz w:val="22"/>
                <w:szCs w:val="22"/>
              </w:rPr>
            </w:pPr>
          </w:p>
          <w:p w:rsidR="00605516" w:rsidRDefault="00605516" w:rsidP="00605516">
            <w:pPr>
              <w:rPr>
                <w:sz w:val="22"/>
                <w:szCs w:val="22"/>
              </w:rPr>
            </w:pPr>
          </w:p>
          <w:p w:rsidR="00605516" w:rsidRDefault="00605516" w:rsidP="00605516">
            <w:pPr>
              <w:rPr>
                <w:sz w:val="22"/>
                <w:szCs w:val="22"/>
              </w:rPr>
            </w:pPr>
          </w:p>
          <w:p w:rsidR="00605516" w:rsidRDefault="00605516" w:rsidP="00605516">
            <w:pPr>
              <w:rPr>
                <w:sz w:val="22"/>
                <w:szCs w:val="22"/>
              </w:rPr>
            </w:pPr>
          </w:p>
          <w:p w:rsidR="00605516" w:rsidRDefault="00605516" w:rsidP="00605516">
            <w:pPr>
              <w:rPr>
                <w:sz w:val="22"/>
                <w:szCs w:val="22"/>
              </w:rPr>
            </w:pPr>
            <w:r>
              <w:rPr>
                <w:sz w:val="22"/>
                <w:szCs w:val="22"/>
              </w:rPr>
              <w:lastRenderedPageBreak/>
              <w:t>Som kommentar til forslaget til momslovens § 51 b, stk. 2, der angår supplerende danske regler til EU’s forordninger på mom</w:t>
            </w:r>
            <w:r>
              <w:rPr>
                <w:sz w:val="22"/>
                <w:szCs w:val="22"/>
              </w:rPr>
              <w:t>s</w:t>
            </w:r>
            <w:r>
              <w:rPr>
                <w:sz w:val="22"/>
                <w:szCs w:val="22"/>
              </w:rPr>
              <w:t>området, henstiller Dansk Industri til en afbalanceret dansk praksis ved eventuel bødestraf for danske virksomheders overtrædelse af pligter til oplysning om og ege</w:t>
            </w:r>
            <w:r>
              <w:rPr>
                <w:sz w:val="22"/>
                <w:szCs w:val="22"/>
              </w:rPr>
              <w:t>n</w:t>
            </w:r>
            <w:r>
              <w:rPr>
                <w:sz w:val="22"/>
                <w:szCs w:val="22"/>
              </w:rPr>
              <w:t>kontrol af momsnumre efter fo</w:t>
            </w:r>
            <w:r>
              <w:rPr>
                <w:sz w:val="22"/>
                <w:szCs w:val="22"/>
              </w:rPr>
              <w:t>r</w:t>
            </w:r>
            <w:r>
              <w:rPr>
                <w:sz w:val="22"/>
                <w:szCs w:val="22"/>
              </w:rPr>
              <w:t>ordning 282/2011. Dansk Industri mener, at ansvaret for kontrol af momsnumre må antages at blive flyttet fra virksomhederne til ska</w:t>
            </w:r>
            <w:r>
              <w:rPr>
                <w:sz w:val="22"/>
                <w:szCs w:val="22"/>
              </w:rPr>
              <w:t>t</w:t>
            </w:r>
            <w:r>
              <w:rPr>
                <w:sz w:val="22"/>
                <w:szCs w:val="22"/>
              </w:rPr>
              <w:t>temyndighederne i kraft af my</w:t>
            </w:r>
            <w:r>
              <w:rPr>
                <w:sz w:val="22"/>
                <w:szCs w:val="22"/>
              </w:rPr>
              <w:t>n</w:t>
            </w:r>
            <w:r>
              <w:rPr>
                <w:sz w:val="22"/>
                <w:szCs w:val="22"/>
              </w:rPr>
              <w:t xml:space="preserve">dighedernes it- systemer. </w:t>
            </w:r>
          </w:p>
          <w:p w:rsidR="00605516" w:rsidRDefault="00605516" w:rsidP="00605516">
            <w:pPr>
              <w:rPr>
                <w:sz w:val="22"/>
                <w:szCs w:val="22"/>
              </w:rPr>
            </w:pPr>
          </w:p>
          <w:p w:rsidR="00605516" w:rsidRPr="00625BEC" w:rsidRDefault="00605516" w:rsidP="00605516">
            <w:pPr>
              <w:rPr>
                <w:sz w:val="22"/>
                <w:szCs w:val="22"/>
              </w:rPr>
            </w:pPr>
            <w:r>
              <w:rPr>
                <w:sz w:val="22"/>
                <w:szCs w:val="22"/>
              </w:rPr>
              <w:t>Dansk Industri spørger, om de foreslåede danske momsregler, der gennemfører direktiv 2010/45/EU, og som forudsæ</w:t>
            </w:r>
            <w:r>
              <w:rPr>
                <w:sz w:val="22"/>
                <w:szCs w:val="22"/>
              </w:rPr>
              <w:t>t</w:t>
            </w:r>
            <w:r>
              <w:rPr>
                <w:sz w:val="22"/>
                <w:szCs w:val="22"/>
              </w:rPr>
              <w:t>ningsvis åbner for, at danske vir</w:t>
            </w:r>
            <w:r>
              <w:rPr>
                <w:sz w:val="22"/>
                <w:szCs w:val="22"/>
              </w:rPr>
              <w:t>k</w:t>
            </w:r>
            <w:r>
              <w:rPr>
                <w:sz w:val="22"/>
                <w:szCs w:val="22"/>
              </w:rPr>
              <w:t>somheder kan opbevare fakturaer i udlandet, må forventes at gælde forud for en restriktiv national dansk praksis efter bogføringsl</w:t>
            </w:r>
            <w:r>
              <w:rPr>
                <w:sz w:val="22"/>
                <w:szCs w:val="22"/>
              </w:rPr>
              <w:t>o</w:t>
            </w:r>
            <w:r>
              <w:rPr>
                <w:sz w:val="22"/>
                <w:szCs w:val="22"/>
              </w:rPr>
              <w:t>ven, hvorefter danske virksomh</w:t>
            </w:r>
            <w:r>
              <w:rPr>
                <w:sz w:val="22"/>
                <w:szCs w:val="22"/>
              </w:rPr>
              <w:t>e</w:t>
            </w:r>
            <w:r>
              <w:rPr>
                <w:sz w:val="22"/>
                <w:szCs w:val="22"/>
              </w:rPr>
              <w:t>der ikke får tilladelse til at opb</w:t>
            </w:r>
            <w:r>
              <w:rPr>
                <w:sz w:val="22"/>
                <w:szCs w:val="22"/>
              </w:rPr>
              <w:t>e</w:t>
            </w:r>
            <w:r>
              <w:rPr>
                <w:sz w:val="22"/>
                <w:szCs w:val="22"/>
              </w:rPr>
              <w:t>vare regnskabsmateriale i udla</w:t>
            </w:r>
            <w:r>
              <w:rPr>
                <w:sz w:val="22"/>
                <w:szCs w:val="22"/>
              </w:rPr>
              <w:t>n</w:t>
            </w:r>
            <w:r>
              <w:rPr>
                <w:sz w:val="22"/>
                <w:szCs w:val="22"/>
              </w:rPr>
              <w:t>det?</w:t>
            </w:r>
          </w:p>
          <w:p w:rsidR="00605516" w:rsidRDefault="00605516" w:rsidP="00605516">
            <w:pPr>
              <w:rPr>
                <w:sz w:val="22"/>
                <w:szCs w:val="22"/>
              </w:rPr>
            </w:pPr>
          </w:p>
          <w:p w:rsidR="00605516" w:rsidRDefault="00605516" w:rsidP="00605516">
            <w:pPr>
              <w:rPr>
                <w:sz w:val="22"/>
                <w:szCs w:val="22"/>
              </w:rPr>
            </w:pPr>
            <w:r>
              <w:rPr>
                <w:sz w:val="22"/>
                <w:szCs w:val="22"/>
              </w:rPr>
              <w:t xml:space="preserve">Dansk Industri bemærker, at den foreslåede bemyndigelse </w:t>
            </w:r>
            <w:r w:rsidRPr="00625BEC">
              <w:rPr>
                <w:sz w:val="22"/>
                <w:szCs w:val="22"/>
              </w:rPr>
              <w:t>til</w:t>
            </w:r>
            <w:r>
              <w:rPr>
                <w:sz w:val="22"/>
                <w:szCs w:val="22"/>
              </w:rPr>
              <w:t xml:space="preserve"> </w:t>
            </w:r>
            <w:r w:rsidRPr="00625BEC">
              <w:rPr>
                <w:sz w:val="22"/>
                <w:szCs w:val="22"/>
              </w:rPr>
              <w:t>ska</w:t>
            </w:r>
            <w:r w:rsidRPr="00625BEC">
              <w:rPr>
                <w:sz w:val="22"/>
                <w:szCs w:val="22"/>
              </w:rPr>
              <w:t>t</w:t>
            </w:r>
            <w:r w:rsidRPr="00625BEC">
              <w:rPr>
                <w:sz w:val="22"/>
                <w:szCs w:val="22"/>
              </w:rPr>
              <w:t>teministeren</w:t>
            </w:r>
            <w:r>
              <w:rPr>
                <w:sz w:val="22"/>
                <w:szCs w:val="22"/>
              </w:rPr>
              <w:t xml:space="preserve"> til at </w:t>
            </w:r>
            <w:r w:rsidRPr="00625BEC">
              <w:rPr>
                <w:sz w:val="22"/>
                <w:szCs w:val="22"/>
              </w:rPr>
              <w:t>fastsætte re</w:t>
            </w:r>
            <w:r w:rsidRPr="00625BEC">
              <w:rPr>
                <w:sz w:val="22"/>
                <w:szCs w:val="22"/>
              </w:rPr>
              <w:t>g</w:t>
            </w:r>
            <w:r w:rsidRPr="00625BEC">
              <w:rPr>
                <w:sz w:val="22"/>
                <w:szCs w:val="22"/>
              </w:rPr>
              <w:t>lerne for opbevaring af fakturaer og systembeskrivelser</w:t>
            </w:r>
            <w:r>
              <w:rPr>
                <w:sz w:val="22"/>
                <w:szCs w:val="22"/>
              </w:rPr>
              <w:t xml:space="preserve"> </w:t>
            </w:r>
            <w:r w:rsidRPr="00625BEC">
              <w:rPr>
                <w:sz w:val="22"/>
                <w:szCs w:val="22"/>
              </w:rPr>
              <w:t>for ele</w:t>
            </w:r>
            <w:r w:rsidRPr="00625BEC">
              <w:rPr>
                <w:sz w:val="22"/>
                <w:szCs w:val="22"/>
              </w:rPr>
              <w:t>k</w:t>
            </w:r>
            <w:r w:rsidRPr="00625BEC">
              <w:rPr>
                <w:sz w:val="22"/>
                <w:szCs w:val="22"/>
              </w:rPr>
              <w:t>tronisk fakturering</w:t>
            </w:r>
            <w:r>
              <w:rPr>
                <w:sz w:val="22"/>
                <w:szCs w:val="22"/>
              </w:rPr>
              <w:t xml:space="preserve"> ikke bør a</w:t>
            </w:r>
            <w:r>
              <w:rPr>
                <w:sz w:val="22"/>
                <w:szCs w:val="22"/>
              </w:rPr>
              <w:t>n</w:t>
            </w:r>
            <w:r>
              <w:rPr>
                <w:sz w:val="22"/>
                <w:szCs w:val="22"/>
              </w:rPr>
              <w:t>vendes til at skærpe kravene til opbevaring af fakturaer.</w:t>
            </w:r>
          </w:p>
          <w:p w:rsidR="001354B3" w:rsidRDefault="001354B3" w:rsidP="00605516">
            <w:pPr>
              <w:rPr>
                <w:sz w:val="22"/>
                <w:szCs w:val="22"/>
              </w:rPr>
            </w:pPr>
          </w:p>
          <w:p w:rsidR="001354B3" w:rsidRDefault="001354B3" w:rsidP="00605516">
            <w:pPr>
              <w:rPr>
                <w:sz w:val="22"/>
                <w:szCs w:val="22"/>
              </w:rPr>
            </w:pPr>
          </w:p>
          <w:p w:rsidR="001354B3" w:rsidRDefault="001354B3" w:rsidP="001354B3">
            <w:pPr>
              <w:rPr>
                <w:sz w:val="22"/>
                <w:szCs w:val="22"/>
              </w:rPr>
            </w:pPr>
            <w:r>
              <w:rPr>
                <w:sz w:val="22"/>
                <w:szCs w:val="22"/>
              </w:rPr>
              <w:t>Dansk Industri bemærker i relat</w:t>
            </w:r>
            <w:r>
              <w:rPr>
                <w:sz w:val="22"/>
                <w:szCs w:val="22"/>
              </w:rPr>
              <w:t>i</w:t>
            </w:r>
            <w:r>
              <w:rPr>
                <w:sz w:val="22"/>
                <w:szCs w:val="22"/>
              </w:rPr>
              <w:t xml:space="preserve">on til forslaget </w:t>
            </w:r>
            <w:r w:rsidRPr="0044006F">
              <w:rPr>
                <w:b/>
                <w:i/>
                <w:sz w:val="22"/>
                <w:szCs w:val="22"/>
              </w:rPr>
              <w:t xml:space="preserve">vedrørende </w:t>
            </w:r>
            <w:r w:rsidR="008C3043">
              <w:rPr>
                <w:b/>
                <w:i/>
                <w:sz w:val="22"/>
                <w:szCs w:val="22"/>
              </w:rPr>
              <w:t>priv</w:t>
            </w:r>
            <w:r w:rsidR="008C3043">
              <w:rPr>
                <w:b/>
                <w:i/>
                <w:sz w:val="22"/>
                <w:szCs w:val="22"/>
              </w:rPr>
              <w:t>a</w:t>
            </w:r>
            <w:r w:rsidR="008C3043">
              <w:rPr>
                <w:b/>
                <w:i/>
                <w:sz w:val="22"/>
                <w:szCs w:val="22"/>
              </w:rPr>
              <w:t xml:space="preserve">tes </w:t>
            </w:r>
            <w:r w:rsidRPr="0044006F">
              <w:rPr>
                <w:b/>
                <w:i/>
                <w:sz w:val="22"/>
                <w:szCs w:val="22"/>
              </w:rPr>
              <w:t>ind</w:t>
            </w:r>
            <w:r w:rsidR="008C3043">
              <w:rPr>
                <w:b/>
                <w:i/>
                <w:sz w:val="22"/>
                <w:szCs w:val="22"/>
              </w:rPr>
              <w:t>førsel af</w:t>
            </w:r>
            <w:r w:rsidRPr="0044006F">
              <w:rPr>
                <w:b/>
                <w:i/>
                <w:sz w:val="22"/>
                <w:szCs w:val="22"/>
              </w:rPr>
              <w:t xml:space="preserve"> magasi</w:t>
            </w:r>
            <w:r w:rsidR="008C3043">
              <w:rPr>
                <w:b/>
                <w:i/>
                <w:sz w:val="22"/>
                <w:szCs w:val="22"/>
              </w:rPr>
              <w:t xml:space="preserve">ner, </w:t>
            </w:r>
            <w:r w:rsidRPr="0044006F">
              <w:rPr>
                <w:b/>
                <w:i/>
                <w:sz w:val="22"/>
                <w:szCs w:val="22"/>
              </w:rPr>
              <w:t>tid</w:t>
            </w:r>
            <w:r w:rsidRPr="0044006F">
              <w:rPr>
                <w:b/>
                <w:i/>
                <w:sz w:val="22"/>
                <w:szCs w:val="22"/>
              </w:rPr>
              <w:t>s</w:t>
            </w:r>
            <w:r w:rsidRPr="0044006F">
              <w:rPr>
                <w:b/>
                <w:i/>
                <w:sz w:val="22"/>
                <w:szCs w:val="22"/>
              </w:rPr>
              <w:t>skrifter</w:t>
            </w:r>
            <w:r w:rsidR="008C3043">
              <w:rPr>
                <w:b/>
                <w:i/>
                <w:sz w:val="22"/>
                <w:szCs w:val="22"/>
              </w:rPr>
              <w:t xml:space="preserve"> o.lign.</w:t>
            </w:r>
            <w:r>
              <w:rPr>
                <w:i/>
                <w:sz w:val="22"/>
                <w:szCs w:val="22"/>
              </w:rPr>
              <w:t>,</w:t>
            </w:r>
            <w:r>
              <w:rPr>
                <w:sz w:val="22"/>
                <w:szCs w:val="22"/>
              </w:rPr>
              <w:t xml:space="preserve"> at forslaget vil få væsentlige administrative udfo</w:t>
            </w:r>
            <w:r>
              <w:rPr>
                <w:sz w:val="22"/>
                <w:szCs w:val="22"/>
              </w:rPr>
              <w:t>r</w:t>
            </w:r>
            <w:r>
              <w:rPr>
                <w:sz w:val="22"/>
                <w:szCs w:val="22"/>
              </w:rPr>
              <w:t xml:space="preserve">dringer. </w:t>
            </w:r>
          </w:p>
          <w:p w:rsidR="001354B3" w:rsidRDefault="001354B3" w:rsidP="001354B3">
            <w:pPr>
              <w:rPr>
                <w:sz w:val="22"/>
                <w:szCs w:val="22"/>
              </w:rPr>
            </w:pPr>
          </w:p>
          <w:p w:rsidR="001354B3" w:rsidRDefault="001354B3" w:rsidP="001354B3">
            <w:pPr>
              <w:rPr>
                <w:sz w:val="22"/>
                <w:szCs w:val="22"/>
              </w:rPr>
            </w:pPr>
            <w:r>
              <w:rPr>
                <w:sz w:val="22"/>
                <w:szCs w:val="22"/>
              </w:rPr>
              <w:t xml:space="preserve">Den manglende momsfritagelse vil betyde, at forsendelserne </w:t>
            </w:r>
            <w:r w:rsidRPr="007A4A46">
              <w:rPr>
                <w:sz w:val="22"/>
                <w:szCs w:val="22"/>
              </w:rPr>
              <w:t>skal toldbehandles, når de ankommer til Danmark. Dette</w:t>
            </w:r>
            <w:r>
              <w:rPr>
                <w:sz w:val="22"/>
                <w:szCs w:val="22"/>
              </w:rPr>
              <w:t xml:space="preserve"> </w:t>
            </w:r>
            <w:r w:rsidRPr="007A4A46">
              <w:rPr>
                <w:sz w:val="22"/>
                <w:szCs w:val="22"/>
              </w:rPr>
              <w:t>arbejde var</w:t>
            </w:r>
            <w:r w:rsidRPr="007A4A46">
              <w:rPr>
                <w:sz w:val="22"/>
                <w:szCs w:val="22"/>
              </w:rPr>
              <w:t>e</w:t>
            </w:r>
            <w:r w:rsidRPr="007A4A46">
              <w:rPr>
                <w:sz w:val="22"/>
                <w:szCs w:val="22"/>
              </w:rPr>
              <w:t>tages af Post Danmark, som SKAT har pålagt ansvaret for, at postforsendelser</w:t>
            </w:r>
            <w:r>
              <w:rPr>
                <w:sz w:val="22"/>
                <w:szCs w:val="22"/>
              </w:rPr>
              <w:t xml:space="preserve"> </w:t>
            </w:r>
            <w:r w:rsidRPr="007A4A46">
              <w:rPr>
                <w:sz w:val="22"/>
                <w:szCs w:val="22"/>
              </w:rPr>
              <w:t>angives og a</w:t>
            </w:r>
            <w:r w:rsidRPr="007A4A46">
              <w:rPr>
                <w:sz w:val="22"/>
                <w:szCs w:val="22"/>
              </w:rPr>
              <w:t>f</w:t>
            </w:r>
            <w:r w:rsidRPr="007A4A46">
              <w:rPr>
                <w:sz w:val="22"/>
                <w:szCs w:val="22"/>
              </w:rPr>
              <w:t>giftsberigtiges. Forslaget vil me</w:t>
            </w:r>
            <w:r w:rsidRPr="007A4A46">
              <w:rPr>
                <w:sz w:val="22"/>
                <w:szCs w:val="22"/>
              </w:rPr>
              <w:t>d</w:t>
            </w:r>
            <w:r w:rsidRPr="007A4A46">
              <w:rPr>
                <w:sz w:val="22"/>
                <w:szCs w:val="22"/>
              </w:rPr>
              <w:lastRenderedPageBreak/>
              <w:t>føre, at alle tidsskrifter</w:t>
            </w:r>
            <w:r>
              <w:rPr>
                <w:sz w:val="22"/>
                <w:szCs w:val="22"/>
              </w:rPr>
              <w:t xml:space="preserve"> </w:t>
            </w:r>
            <w:r w:rsidRPr="007A4A46">
              <w:rPr>
                <w:sz w:val="22"/>
                <w:szCs w:val="22"/>
              </w:rPr>
              <w:t xml:space="preserve">fremover skal frasorteres ved </w:t>
            </w:r>
            <w:r>
              <w:rPr>
                <w:sz w:val="22"/>
                <w:szCs w:val="22"/>
              </w:rPr>
              <w:t>a</w:t>
            </w:r>
            <w:r w:rsidRPr="007A4A46">
              <w:rPr>
                <w:sz w:val="22"/>
                <w:szCs w:val="22"/>
              </w:rPr>
              <w:t>nkomst til Danmark, og at momsen skal</w:t>
            </w:r>
            <w:r>
              <w:rPr>
                <w:sz w:val="22"/>
                <w:szCs w:val="22"/>
              </w:rPr>
              <w:t xml:space="preserve"> </w:t>
            </w:r>
            <w:r w:rsidRPr="007A4A46">
              <w:rPr>
                <w:sz w:val="22"/>
                <w:szCs w:val="22"/>
              </w:rPr>
              <w:t>betales af kunden, inden tidsskri</w:t>
            </w:r>
            <w:r w:rsidRPr="007A4A46">
              <w:rPr>
                <w:sz w:val="22"/>
                <w:szCs w:val="22"/>
              </w:rPr>
              <w:t>f</w:t>
            </w:r>
            <w:r w:rsidRPr="007A4A46">
              <w:rPr>
                <w:sz w:val="22"/>
                <w:szCs w:val="22"/>
              </w:rPr>
              <w:t>tet kan frigives / afhentes. Dette giver anledning</w:t>
            </w:r>
            <w:r>
              <w:rPr>
                <w:sz w:val="22"/>
                <w:szCs w:val="22"/>
              </w:rPr>
              <w:t xml:space="preserve"> </w:t>
            </w:r>
            <w:r w:rsidRPr="007A4A46">
              <w:rPr>
                <w:sz w:val="22"/>
                <w:szCs w:val="22"/>
              </w:rPr>
              <w:t>til problemer i forhold til at identificere, hvad der er tidsskrifter (momspligtigt), og</w:t>
            </w:r>
            <w:r>
              <w:rPr>
                <w:sz w:val="22"/>
                <w:szCs w:val="22"/>
              </w:rPr>
              <w:t xml:space="preserve"> </w:t>
            </w:r>
            <w:r w:rsidRPr="007A4A46">
              <w:rPr>
                <w:sz w:val="22"/>
                <w:szCs w:val="22"/>
              </w:rPr>
              <w:t>hvad der er reklamer (mom</w:t>
            </w:r>
            <w:r w:rsidRPr="007A4A46">
              <w:rPr>
                <w:sz w:val="22"/>
                <w:szCs w:val="22"/>
              </w:rPr>
              <w:t>s</w:t>
            </w:r>
            <w:r w:rsidRPr="007A4A46">
              <w:rPr>
                <w:sz w:val="22"/>
                <w:szCs w:val="22"/>
              </w:rPr>
              <w:t>frit). Herudover vil de ekstra o</w:t>
            </w:r>
            <w:r w:rsidRPr="007A4A46">
              <w:rPr>
                <w:sz w:val="22"/>
                <w:szCs w:val="22"/>
              </w:rPr>
              <w:t>m</w:t>
            </w:r>
            <w:r w:rsidRPr="007A4A46">
              <w:rPr>
                <w:sz w:val="22"/>
                <w:szCs w:val="22"/>
              </w:rPr>
              <w:t>kostninger til toldbehandlingsg</w:t>
            </w:r>
            <w:r w:rsidRPr="007A4A46">
              <w:rPr>
                <w:sz w:val="22"/>
                <w:szCs w:val="22"/>
              </w:rPr>
              <w:t>e</w:t>
            </w:r>
            <w:r w:rsidRPr="007A4A46">
              <w:rPr>
                <w:sz w:val="22"/>
                <w:szCs w:val="22"/>
              </w:rPr>
              <w:t>byr,</w:t>
            </w:r>
            <w:r>
              <w:rPr>
                <w:sz w:val="22"/>
                <w:szCs w:val="22"/>
              </w:rPr>
              <w:t xml:space="preserve"> </w:t>
            </w:r>
            <w:r w:rsidRPr="007A4A46">
              <w:rPr>
                <w:sz w:val="22"/>
                <w:szCs w:val="22"/>
              </w:rPr>
              <w:t>der pt. er på 160 kr. inkl. moms, reelt medføre et stop for abonnementer</w:t>
            </w:r>
            <w:r>
              <w:rPr>
                <w:sz w:val="22"/>
                <w:szCs w:val="22"/>
              </w:rPr>
              <w:t xml:space="preserve"> </w:t>
            </w:r>
            <w:r w:rsidRPr="007A4A46">
              <w:rPr>
                <w:sz w:val="22"/>
                <w:szCs w:val="22"/>
              </w:rPr>
              <w:t>af udenlandske tidsskrifter, der ikke udkommer i EU.</w:t>
            </w:r>
          </w:p>
          <w:p w:rsidR="001354B3" w:rsidRPr="00625BEC" w:rsidRDefault="001354B3" w:rsidP="00605516">
            <w:pPr>
              <w:rPr>
                <w:sz w:val="22"/>
                <w:szCs w:val="22"/>
              </w:rPr>
            </w:pPr>
          </w:p>
        </w:tc>
        <w:tc>
          <w:tcPr>
            <w:tcW w:w="4090" w:type="dxa"/>
          </w:tcPr>
          <w:p w:rsidR="00605516" w:rsidRDefault="00605516" w:rsidP="00605516">
            <w:pPr>
              <w:rPr>
                <w:sz w:val="22"/>
                <w:szCs w:val="22"/>
              </w:rPr>
            </w:pPr>
          </w:p>
          <w:p w:rsidR="00605516" w:rsidRDefault="00605516" w:rsidP="00605516">
            <w:pPr>
              <w:rPr>
                <w:sz w:val="22"/>
                <w:szCs w:val="22"/>
              </w:rPr>
            </w:pPr>
          </w:p>
          <w:p w:rsidR="00605516" w:rsidRDefault="00605516" w:rsidP="00605516">
            <w:pPr>
              <w:rPr>
                <w:sz w:val="22"/>
                <w:szCs w:val="22"/>
              </w:rPr>
            </w:pPr>
          </w:p>
          <w:p w:rsidR="00605516" w:rsidRDefault="00605516" w:rsidP="00605516">
            <w:pPr>
              <w:rPr>
                <w:sz w:val="22"/>
                <w:szCs w:val="22"/>
              </w:rPr>
            </w:pPr>
          </w:p>
          <w:p w:rsidR="00605516" w:rsidRDefault="00605516" w:rsidP="00605516">
            <w:pPr>
              <w:rPr>
                <w:sz w:val="22"/>
                <w:szCs w:val="22"/>
              </w:rPr>
            </w:pPr>
          </w:p>
          <w:p w:rsidR="00605516" w:rsidRDefault="00605516" w:rsidP="00605516">
            <w:pPr>
              <w:rPr>
                <w:sz w:val="22"/>
                <w:szCs w:val="22"/>
              </w:rPr>
            </w:pPr>
          </w:p>
          <w:p w:rsidR="00605516" w:rsidRDefault="001354B3" w:rsidP="00605516">
            <w:pPr>
              <w:rPr>
                <w:sz w:val="22"/>
                <w:szCs w:val="22"/>
              </w:rPr>
            </w:pPr>
            <w:r>
              <w:rPr>
                <w:sz w:val="22"/>
                <w:szCs w:val="22"/>
              </w:rPr>
              <w:t>D</w:t>
            </w:r>
            <w:r w:rsidR="00605516" w:rsidRPr="00007D63">
              <w:rPr>
                <w:sz w:val="22"/>
                <w:szCs w:val="22"/>
              </w:rPr>
              <w:t>et indgik i EU-landenes forhandlinger om forslaget, der førte til det vedtagne direktiv 2010/45/EU, at anvendelsesområdet for de foreslåede periodiseringsregler for løbende grænseoverskridende vareleverancer inden for EU må anses for begrænset til typisk ledningsførte leverancer af varer i luft- eller dampform samt i flydende -, nedkølet - eller elektronisk form. Individuelt transpo</w:t>
            </w:r>
            <w:r w:rsidR="00605516" w:rsidRPr="00007D63">
              <w:rPr>
                <w:sz w:val="22"/>
                <w:szCs w:val="22"/>
              </w:rPr>
              <w:t>r</w:t>
            </w:r>
            <w:r w:rsidR="00605516" w:rsidRPr="00007D63">
              <w:rPr>
                <w:sz w:val="22"/>
                <w:szCs w:val="22"/>
              </w:rPr>
              <w:t>terede vareleverancer må således anses for at falde uden for reglernes anvendelseso</w:t>
            </w:r>
            <w:r w:rsidR="00605516" w:rsidRPr="00007D63">
              <w:rPr>
                <w:sz w:val="22"/>
                <w:szCs w:val="22"/>
              </w:rPr>
              <w:t>m</w:t>
            </w:r>
            <w:r w:rsidR="00605516" w:rsidRPr="00007D63">
              <w:rPr>
                <w:sz w:val="22"/>
                <w:szCs w:val="22"/>
              </w:rPr>
              <w:t>råde, selv om varerne eventuelt leveres løbende på faste tidspunkter hen over en periode og begrebsmæssigt må anses for genuskøb efter dansk køberet.</w:t>
            </w:r>
            <w:r w:rsidR="00605516">
              <w:rPr>
                <w:sz w:val="22"/>
                <w:szCs w:val="22"/>
              </w:rPr>
              <w:t xml:space="preserve"> </w:t>
            </w:r>
          </w:p>
          <w:p w:rsidR="00BC4F5B" w:rsidRDefault="00BC4F5B" w:rsidP="00605516">
            <w:pPr>
              <w:rPr>
                <w:sz w:val="22"/>
                <w:szCs w:val="22"/>
              </w:rPr>
            </w:pPr>
          </w:p>
          <w:p w:rsidR="00605516" w:rsidRDefault="00605516" w:rsidP="00605516">
            <w:pPr>
              <w:rPr>
                <w:sz w:val="22"/>
                <w:szCs w:val="22"/>
              </w:rPr>
            </w:pPr>
            <w:r>
              <w:rPr>
                <w:sz w:val="22"/>
                <w:szCs w:val="22"/>
              </w:rPr>
              <w:lastRenderedPageBreak/>
              <w:t>En eventuel bødestraf for virksomheders overtrædelse af pligter til oplysning om og egenkontrol af momsnumre efter foror</w:t>
            </w:r>
            <w:r>
              <w:rPr>
                <w:sz w:val="22"/>
                <w:szCs w:val="22"/>
              </w:rPr>
              <w:t>d</w:t>
            </w:r>
            <w:r>
              <w:rPr>
                <w:sz w:val="22"/>
                <w:szCs w:val="22"/>
              </w:rPr>
              <w:t>ning 282/2011 vil følge sædvanlig praksis for ordensbøde efter den danske momsb</w:t>
            </w:r>
            <w:r>
              <w:rPr>
                <w:sz w:val="22"/>
                <w:szCs w:val="22"/>
              </w:rPr>
              <w:t>e</w:t>
            </w:r>
            <w:r>
              <w:rPr>
                <w:sz w:val="22"/>
                <w:szCs w:val="22"/>
              </w:rPr>
              <w:t xml:space="preserve">kendtgørelse: Bøde vil som hovedregel kun kunne komme på tale efter en eller flere forudgående advarsler. Dog kan der blive tale om bøde ved førstegangsovertrædelser af særdeles grov karakter. Virksomheder og myndigheder må anses for omfattet af et fælles ansvar for at sikre, at der foreligger korrekte oplysninger for at gennemføre handel mellem virksomheder inden for EU. </w:t>
            </w:r>
          </w:p>
          <w:p w:rsidR="00605516" w:rsidRDefault="00605516" w:rsidP="00605516">
            <w:pPr>
              <w:rPr>
                <w:sz w:val="22"/>
                <w:szCs w:val="22"/>
              </w:rPr>
            </w:pPr>
          </w:p>
          <w:p w:rsidR="00BC4F5B" w:rsidRDefault="00BC4F5B" w:rsidP="00605516">
            <w:pPr>
              <w:rPr>
                <w:sz w:val="22"/>
                <w:szCs w:val="22"/>
              </w:rPr>
            </w:pPr>
          </w:p>
          <w:p w:rsidR="00BC4F5B" w:rsidRDefault="00BC4F5B" w:rsidP="00605516">
            <w:pPr>
              <w:rPr>
                <w:sz w:val="22"/>
                <w:szCs w:val="22"/>
              </w:rPr>
            </w:pPr>
          </w:p>
          <w:p w:rsidR="00605516" w:rsidRDefault="00605516" w:rsidP="00605516">
            <w:pPr>
              <w:rPr>
                <w:sz w:val="22"/>
                <w:szCs w:val="22"/>
              </w:rPr>
            </w:pPr>
            <w:r>
              <w:rPr>
                <w:sz w:val="22"/>
                <w:szCs w:val="22"/>
              </w:rPr>
              <w:t>Artikel 247, stk. 3, og artikel 249 i mom</w:t>
            </w:r>
            <w:r>
              <w:rPr>
                <w:sz w:val="22"/>
                <w:szCs w:val="22"/>
              </w:rPr>
              <w:t>s</w:t>
            </w:r>
            <w:r>
              <w:rPr>
                <w:sz w:val="22"/>
                <w:szCs w:val="22"/>
              </w:rPr>
              <w:t>systemdirektivet 2006/112/EF, som ændret ved direktiv 2010/45/EU, foreslås formelt gennemført i den danske momslovs § 52 c, stk. 3-5. Disse regler kan under hensyn til spørgsmålet om national suverænitet ved forebyggelse og bekæmpelse af økonomisk kriminalitet ikke forventes at gælde forud for praksis efter bogføringsloven om da</w:t>
            </w:r>
            <w:r>
              <w:rPr>
                <w:sz w:val="22"/>
                <w:szCs w:val="22"/>
              </w:rPr>
              <w:t>n</w:t>
            </w:r>
            <w:r>
              <w:rPr>
                <w:sz w:val="22"/>
                <w:szCs w:val="22"/>
              </w:rPr>
              <w:t xml:space="preserve">ske virksomheders adgang til at opbevare regnskabsmateriale i udlandet.   </w:t>
            </w:r>
          </w:p>
          <w:p w:rsidR="00605516" w:rsidRDefault="00605516" w:rsidP="00605516">
            <w:pPr>
              <w:rPr>
                <w:sz w:val="22"/>
                <w:szCs w:val="22"/>
              </w:rPr>
            </w:pPr>
          </w:p>
          <w:p w:rsidR="00605516" w:rsidRDefault="00605516" w:rsidP="00605516">
            <w:pPr>
              <w:rPr>
                <w:sz w:val="22"/>
                <w:szCs w:val="22"/>
              </w:rPr>
            </w:pPr>
          </w:p>
          <w:p w:rsidR="00605516" w:rsidRDefault="00605516" w:rsidP="00605516">
            <w:pPr>
              <w:rPr>
                <w:sz w:val="22"/>
                <w:szCs w:val="22"/>
              </w:rPr>
            </w:pPr>
          </w:p>
          <w:p w:rsidR="00605516" w:rsidRDefault="00605516" w:rsidP="00605516">
            <w:pPr>
              <w:rPr>
                <w:sz w:val="22"/>
                <w:szCs w:val="22"/>
              </w:rPr>
            </w:pPr>
            <w:r>
              <w:rPr>
                <w:sz w:val="22"/>
                <w:szCs w:val="22"/>
              </w:rPr>
              <w:t>Forslaget formaliserer, at der kan fastsættes regler, som svarer til de gældende regler i momsbekendtgørelsens § 45, stk. 3-4, for opbevaring af elektroniske fakturaer og systembeskrivelser for elektronisk faktur</w:t>
            </w:r>
            <w:r>
              <w:rPr>
                <w:sz w:val="22"/>
                <w:szCs w:val="22"/>
              </w:rPr>
              <w:t>e</w:t>
            </w:r>
            <w:r>
              <w:rPr>
                <w:sz w:val="22"/>
                <w:szCs w:val="22"/>
              </w:rPr>
              <w:t>ring. Bekendtgørelsens regler forventes videreført uændret med hensyn til indho</w:t>
            </w:r>
            <w:r>
              <w:rPr>
                <w:sz w:val="22"/>
                <w:szCs w:val="22"/>
              </w:rPr>
              <w:t>l</w:t>
            </w:r>
            <w:r>
              <w:rPr>
                <w:sz w:val="22"/>
                <w:szCs w:val="22"/>
              </w:rPr>
              <w:t xml:space="preserve">det.              </w:t>
            </w:r>
          </w:p>
          <w:p w:rsidR="00230A5E" w:rsidRDefault="00230A5E" w:rsidP="00605516">
            <w:pPr>
              <w:rPr>
                <w:sz w:val="22"/>
                <w:szCs w:val="22"/>
              </w:rPr>
            </w:pPr>
          </w:p>
          <w:p w:rsidR="00230A5E" w:rsidRDefault="00230A5E" w:rsidP="00605516">
            <w:pPr>
              <w:rPr>
                <w:sz w:val="22"/>
                <w:szCs w:val="22"/>
              </w:rPr>
            </w:pPr>
          </w:p>
          <w:p w:rsidR="00230A5E" w:rsidRDefault="00230A5E" w:rsidP="00230A5E">
            <w:pPr>
              <w:rPr>
                <w:sz w:val="22"/>
                <w:szCs w:val="22"/>
              </w:rPr>
            </w:pPr>
            <w:r>
              <w:rPr>
                <w:sz w:val="22"/>
                <w:szCs w:val="22"/>
              </w:rPr>
              <w:t>Mange større udgivere fra lande udenfor EU af tidsskrifter o.lign. har enten europæ</w:t>
            </w:r>
            <w:r>
              <w:rPr>
                <w:sz w:val="22"/>
                <w:szCs w:val="22"/>
              </w:rPr>
              <w:t>i</w:t>
            </w:r>
            <w:r>
              <w:rPr>
                <w:sz w:val="22"/>
                <w:szCs w:val="22"/>
              </w:rPr>
              <w:t>ske udgaver af tidsskriftet, som produceres inden for EU, eller tidsskrifterne til eur</w:t>
            </w:r>
            <w:r>
              <w:rPr>
                <w:sz w:val="22"/>
                <w:szCs w:val="22"/>
              </w:rPr>
              <w:t>o</w:t>
            </w:r>
            <w:r>
              <w:rPr>
                <w:sz w:val="22"/>
                <w:szCs w:val="22"/>
              </w:rPr>
              <w:t>pæiske kunder sendes samlet til et kontor (fast etableringssted) i Europa, hvorfra de ompakkes og sendes til de enkelte abonne</w:t>
            </w:r>
            <w:r>
              <w:rPr>
                <w:sz w:val="22"/>
                <w:szCs w:val="22"/>
              </w:rPr>
              <w:t>n</w:t>
            </w:r>
            <w:r>
              <w:rPr>
                <w:sz w:val="22"/>
                <w:szCs w:val="22"/>
              </w:rPr>
              <w:t>ter. I begge tilfælde, vil der blive betalt moms af tidsskriftet i det europæiske land, hvorfra det afsendes til den danske private abonnent – eller tidsskriftet pålægges dansk moms, hvis salget til danske private kunder overstiger 280.000 kr. om året.</w:t>
            </w:r>
          </w:p>
          <w:p w:rsidR="00230A5E" w:rsidRDefault="00230A5E" w:rsidP="00230A5E">
            <w:pPr>
              <w:rPr>
                <w:sz w:val="22"/>
                <w:szCs w:val="22"/>
              </w:rPr>
            </w:pPr>
          </w:p>
          <w:p w:rsidR="00230A5E" w:rsidRDefault="00230A5E" w:rsidP="00230A5E">
            <w:pPr>
              <w:rPr>
                <w:sz w:val="22"/>
                <w:szCs w:val="22"/>
              </w:rPr>
            </w:pPr>
            <w:r>
              <w:rPr>
                <w:sz w:val="22"/>
                <w:szCs w:val="22"/>
              </w:rPr>
              <w:t xml:space="preserve">Kun i de tilfælde, hvor et forlag uden for </w:t>
            </w:r>
            <w:r>
              <w:rPr>
                <w:sz w:val="22"/>
                <w:szCs w:val="22"/>
              </w:rPr>
              <w:lastRenderedPageBreak/>
              <w:t>EU sender tidsskrifterne enkeltvis ind i EU til danske, private abonnenter, vil der ud over momsbetaling skulle betales toldb</w:t>
            </w:r>
            <w:r>
              <w:rPr>
                <w:sz w:val="22"/>
                <w:szCs w:val="22"/>
              </w:rPr>
              <w:t>e</w:t>
            </w:r>
            <w:r>
              <w:rPr>
                <w:sz w:val="22"/>
                <w:szCs w:val="22"/>
              </w:rPr>
              <w:t xml:space="preserve">handlingsgebyr til Post Danmark. I disse tilfælde vil reglerne svare til de regler, som gælder, når en privatperson i Danmark bestiller og får tilsendt andre varer til en værdi over 80 kr. </w:t>
            </w:r>
          </w:p>
          <w:p w:rsidR="00230A5E" w:rsidRDefault="00230A5E" w:rsidP="00230A5E">
            <w:pPr>
              <w:rPr>
                <w:sz w:val="22"/>
                <w:szCs w:val="22"/>
              </w:rPr>
            </w:pPr>
          </w:p>
          <w:p w:rsidR="00230A5E" w:rsidRDefault="00230A5E" w:rsidP="00230A5E">
            <w:pPr>
              <w:rPr>
                <w:sz w:val="22"/>
                <w:szCs w:val="22"/>
              </w:rPr>
            </w:pPr>
            <w:r>
              <w:rPr>
                <w:sz w:val="22"/>
                <w:szCs w:val="22"/>
              </w:rPr>
              <w:t>Private danskere vil fortsat have adgang til udenlandske tidsskrifter, da en del af disse sælges i løssalg i kiosker med dansk moms. Lovændringen vil kunne medføre, at det kan være en fordel for kunderne at købe magasiner m.v. fra lande udenfor EU i ki</w:t>
            </w:r>
            <w:r>
              <w:rPr>
                <w:sz w:val="22"/>
                <w:szCs w:val="22"/>
              </w:rPr>
              <w:t>o</w:t>
            </w:r>
            <w:r>
              <w:rPr>
                <w:sz w:val="22"/>
                <w:szCs w:val="22"/>
              </w:rPr>
              <w:t>sker i stedet for i abonnement.</w:t>
            </w:r>
          </w:p>
          <w:p w:rsidR="00230A5E" w:rsidRDefault="00230A5E" w:rsidP="00230A5E">
            <w:pPr>
              <w:rPr>
                <w:sz w:val="22"/>
                <w:szCs w:val="22"/>
              </w:rPr>
            </w:pPr>
          </w:p>
          <w:p w:rsidR="00230A5E" w:rsidRDefault="00230A5E" w:rsidP="00230A5E">
            <w:pPr>
              <w:rPr>
                <w:sz w:val="22"/>
                <w:szCs w:val="22"/>
              </w:rPr>
            </w:pPr>
            <w:r>
              <w:rPr>
                <w:sz w:val="22"/>
                <w:szCs w:val="22"/>
              </w:rPr>
              <w:t>Forslaget berører kun forsendelser af tid</w:t>
            </w:r>
            <w:r>
              <w:rPr>
                <w:sz w:val="22"/>
                <w:szCs w:val="22"/>
              </w:rPr>
              <w:t>s</w:t>
            </w:r>
            <w:r>
              <w:rPr>
                <w:sz w:val="22"/>
                <w:szCs w:val="22"/>
              </w:rPr>
              <w:t>skrifter m.v. fra lande udenfor EU til priv</w:t>
            </w:r>
            <w:r>
              <w:rPr>
                <w:sz w:val="22"/>
                <w:szCs w:val="22"/>
              </w:rPr>
              <w:t>a</w:t>
            </w:r>
            <w:r>
              <w:rPr>
                <w:sz w:val="22"/>
                <w:szCs w:val="22"/>
              </w:rPr>
              <w:t>te. Andre abonnenter, eksempelvis bibli</w:t>
            </w:r>
            <w:r>
              <w:rPr>
                <w:sz w:val="22"/>
                <w:szCs w:val="22"/>
              </w:rPr>
              <w:t>o</w:t>
            </w:r>
            <w:r>
              <w:rPr>
                <w:sz w:val="22"/>
                <w:szCs w:val="22"/>
              </w:rPr>
              <w:t>teker og virksomheder berøres ikke af fo</w:t>
            </w:r>
            <w:r>
              <w:rPr>
                <w:sz w:val="22"/>
                <w:szCs w:val="22"/>
              </w:rPr>
              <w:t>r</w:t>
            </w:r>
            <w:r>
              <w:rPr>
                <w:sz w:val="22"/>
                <w:szCs w:val="22"/>
              </w:rPr>
              <w:t>slaget.</w:t>
            </w:r>
          </w:p>
          <w:p w:rsidR="00230A5E" w:rsidRDefault="00230A5E" w:rsidP="00230A5E">
            <w:pPr>
              <w:rPr>
                <w:sz w:val="22"/>
                <w:szCs w:val="22"/>
              </w:rPr>
            </w:pPr>
          </w:p>
          <w:p w:rsidR="00230A5E" w:rsidRDefault="00230A5E" w:rsidP="00230A5E">
            <w:pPr>
              <w:rPr>
                <w:sz w:val="22"/>
                <w:szCs w:val="22"/>
              </w:rPr>
            </w:pPr>
            <w:r>
              <w:rPr>
                <w:sz w:val="22"/>
                <w:szCs w:val="22"/>
              </w:rPr>
              <w:t>Tidsskrifter m.v., hvis værdi overstiger 80 kr. skal allerede efter gældende regler momses af Post Danmark ved forsendelse direkte fra et forlag uden for EU. Sortering af post fra udlandet burde derfor allerede finde sted.</w:t>
            </w:r>
          </w:p>
          <w:p w:rsidR="00230A5E" w:rsidRDefault="00230A5E" w:rsidP="00605516">
            <w:pPr>
              <w:rPr>
                <w:sz w:val="22"/>
                <w:szCs w:val="22"/>
              </w:rPr>
            </w:pPr>
          </w:p>
        </w:tc>
      </w:tr>
      <w:tr w:rsidR="00D54CDE" w:rsidRPr="00481E36" w:rsidTr="00982CC6">
        <w:tc>
          <w:tcPr>
            <w:tcW w:w="2448" w:type="dxa"/>
          </w:tcPr>
          <w:p w:rsidR="00D54CDE" w:rsidRDefault="00D54CDE" w:rsidP="00D54CDE">
            <w:pPr>
              <w:spacing w:line="288" w:lineRule="auto"/>
              <w:rPr>
                <w:sz w:val="22"/>
                <w:szCs w:val="22"/>
                <w:lang w:val="en-US"/>
              </w:rPr>
            </w:pPr>
            <w:r>
              <w:rPr>
                <w:sz w:val="22"/>
                <w:szCs w:val="22"/>
                <w:lang w:val="en-US"/>
              </w:rPr>
              <w:lastRenderedPageBreak/>
              <w:t>Danske Revisorer</w:t>
            </w:r>
          </w:p>
        </w:tc>
        <w:tc>
          <w:tcPr>
            <w:tcW w:w="3240" w:type="dxa"/>
          </w:tcPr>
          <w:p w:rsidR="004E589D" w:rsidRPr="004E589D" w:rsidRDefault="004E589D" w:rsidP="004E589D">
            <w:pPr>
              <w:jc w:val="both"/>
              <w:rPr>
                <w:sz w:val="22"/>
                <w:szCs w:val="22"/>
              </w:rPr>
            </w:pPr>
            <w:r w:rsidRPr="004E589D">
              <w:rPr>
                <w:sz w:val="22"/>
                <w:szCs w:val="22"/>
              </w:rPr>
              <w:t xml:space="preserve">Danske Revisorer bemærker om </w:t>
            </w:r>
            <w:r w:rsidRPr="004E589D">
              <w:rPr>
                <w:b/>
                <w:i/>
                <w:sz w:val="22"/>
                <w:szCs w:val="22"/>
              </w:rPr>
              <w:t>forslaget til fakturaregler</w:t>
            </w:r>
            <w:r w:rsidRPr="004E589D">
              <w:rPr>
                <w:sz w:val="22"/>
                <w:szCs w:val="22"/>
              </w:rPr>
              <w:t>, at mange virksomheder vil kunne få udfordringer i praksis med at forstå og implementere reglerne, der forekommer unødigt indvi</w:t>
            </w:r>
            <w:r w:rsidRPr="004E589D">
              <w:rPr>
                <w:sz w:val="22"/>
                <w:szCs w:val="22"/>
              </w:rPr>
              <w:t>k</w:t>
            </w:r>
            <w:r w:rsidRPr="004E589D">
              <w:rPr>
                <w:sz w:val="22"/>
                <w:szCs w:val="22"/>
              </w:rPr>
              <w:t>lede. Det foreslås derfor, at fo</w:t>
            </w:r>
            <w:r w:rsidRPr="004E589D">
              <w:rPr>
                <w:sz w:val="22"/>
                <w:szCs w:val="22"/>
              </w:rPr>
              <w:t>r</w:t>
            </w:r>
            <w:r w:rsidRPr="004E589D">
              <w:rPr>
                <w:sz w:val="22"/>
                <w:szCs w:val="22"/>
              </w:rPr>
              <w:t>muleringerne i bestemmelserne forenkles.</w:t>
            </w:r>
          </w:p>
          <w:p w:rsidR="004E589D" w:rsidRPr="004E589D" w:rsidRDefault="004E589D" w:rsidP="004E589D">
            <w:pPr>
              <w:jc w:val="both"/>
              <w:rPr>
                <w:sz w:val="22"/>
                <w:szCs w:val="22"/>
              </w:rPr>
            </w:pPr>
          </w:p>
          <w:p w:rsidR="004E589D" w:rsidRPr="004E589D" w:rsidRDefault="004E589D" w:rsidP="004E589D">
            <w:pPr>
              <w:jc w:val="both"/>
              <w:rPr>
                <w:sz w:val="22"/>
                <w:szCs w:val="22"/>
              </w:rPr>
            </w:pPr>
            <w:r w:rsidRPr="004E589D">
              <w:rPr>
                <w:sz w:val="22"/>
                <w:szCs w:val="22"/>
              </w:rPr>
              <w:t>Det bemærkes også, at de foresl</w:t>
            </w:r>
            <w:r w:rsidRPr="004E589D">
              <w:rPr>
                <w:sz w:val="22"/>
                <w:szCs w:val="22"/>
              </w:rPr>
              <w:t>å</w:t>
            </w:r>
            <w:r w:rsidRPr="004E589D">
              <w:rPr>
                <w:sz w:val="22"/>
                <w:szCs w:val="22"/>
              </w:rPr>
              <w:t>ede ændringer af regler om opb</w:t>
            </w:r>
            <w:r w:rsidRPr="004E589D">
              <w:rPr>
                <w:sz w:val="22"/>
                <w:szCs w:val="22"/>
              </w:rPr>
              <w:t>e</w:t>
            </w:r>
            <w:r w:rsidRPr="004E589D">
              <w:rPr>
                <w:sz w:val="22"/>
                <w:szCs w:val="22"/>
              </w:rPr>
              <w:t>varing af regnskabsmateriale i udlandet kan føre til, at virkso</w:t>
            </w:r>
            <w:r w:rsidRPr="004E589D">
              <w:rPr>
                <w:sz w:val="22"/>
                <w:szCs w:val="22"/>
              </w:rPr>
              <w:t>m</w:t>
            </w:r>
            <w:r w:rsidRPr="004E589D">
              <w:rPr>
                <w:sz w:val="22"/>
                <w:szCs w:val="22"/>
              </w:rPr>
              <w:t>heder mener, at de nu kan opb</w:t>
            </w:r>
            <w:r w:rsidRPr="004E589D">
              <w:rPr>
                <w:sz w:val="22"/>
                <w:szCs w:val="22"/>
              </w:rPr>
              <w:t>e</w:t>
            </w:r>
            <w:r w:rsidRPr="004E589D">
              <w:rPr>
                <w:sz w:val="22"/>
                <w:szCs w:val="22"/>
              </w:rPr>
              <w:t>vare regnskabsmateriale i udla</w:t>
            </w:r>
            <w:r w:rsidRPr="004E589D">
              <w:rPr>
                <w:sz w:val="22"/>
                <w:szCs w:val="22"/>
              </w:rPr>
              <w:t>n</w:t>
            </w:r>
            <w:r w:rsidRPr="004E589D">
              <w:rPr>
                <w:sz w:val="22"/>
                <w:szCs w:val="22"/>
              </w:rPr>
              <w:t>det, uden den tilsvarende fornø</w:t>
            </w:r>
            <w:r w:rsidRPr="004E589D">
              <w:rPr>
                <w:sz w:val="22"/>
                <w:szCs w:val="22"/>
              </w:rPr>
              <w:t>d</w:t>
            </w:r>
            <w:r w:rsidRPr="004E589D">
              <w:rPr>
                <w:sz w:val="22"/>
                <w:szCs w:val="22"/>
              </w:rPr>
              <w:t>ne hjemmel i bogføringsloven, der kun giver ret til at opbevare regnskabsmateriale i Finland, Island, Norge eller Sverige. Ska</w:t>
            </w:r>
            <w:r w:rsidRPr="004E589D">
              <w:rPr>
                <w:sz w:val="22"/>
                <w:szCs w:val="22"/>
              </w:rPr>
              <w:t>t</w:t>
            </w:r>
            <w:r w:rsidRPr="004E589D">
              <w:rPr>
                <w:sz w:val="22"/>
                <w:szCs w:val="22"/>
              </w:rPr>
              <w:t>teministeriet opfordres derfor til at drøfte en udvidelse af adgangen til at opbevare bogføringsmateri</w:t>
            </w:r>
            <w:r w:rsidRPr="004E589D">
              <w:rPr>
                <w:sz w:val="22"/>
                <w:szCs w:val="22"/>
              </w:rPr>
              <w:t>a</w:t>
            </w:r>
            <w:r w:rsidRPr="004E589D">
              <w:rPr>
                <w:sz w:val="22"/>
                <w:szCs w:val="22"/>
              </w:rPr>
              <w:t>le med Erhvervsministeriet samt Erhvervs- og Selskabsstyrelsen.</w:t>
            </w:r>
          </w:p>
          <w:p w:rsidR="004E589D" w:rsidRPr="004E589D" w:rsidRDefault="004E589D" w:rsidP="004E589D">
            <w:pPr>
              <w:jc w:val="both"/>
              <w:rPr>
                <w:sz w:val="22"/>
                <w:szCs w:val="22"/>
              </w:rPr>
            </w:pPr>
          </w:p>
          <w:p w:rsidR="00D54CDE" w:rsidRPr="004E589D" w:rsidRDefault="004E589D" w:rsidP="004E589D">
            <w:pPr>
              <w:rPr>
                <w:sz w:val="22"/>
                <w:szCs w:val="22"/>
              </w:rPr>
            </w:pPr>
            <w:r w:rsidRPr="004E589D">
              <w:rPr>
                <w:sz w:val="22"/>
                <w:szCs w:val="22"/>
              </w:rPr>
              <w:t xml:space="preserve">Danske Revisorer bemærker om </w:t>
            </w:r>
            <w:r w:rsidRPr="004E589D">
              <w:rPr>
                <w:b/>
                <w:i/>
                <w:sz w:val="22"/>
                <w:szCs w:val="22"/>
              </w:rPr>
              <w:t>forslaget om</w:t>
            </w:r>
            <w:r w:rsidRPr="004E589D">
              <w:rPr>
                <w:b/>
                <w:sz w:val="22"/>
                <w:szCs w:val="22"/>
              </w:rPr>
              <w:t xml:space="preserve"> </w:t>
            </w:r>
            <w:r w:rsidRPr="004E589D">
              <w:rPr>
                <w:b/>
                <w:bCs/>
                <w:i/>
                <w:iCs/>
                <w:sz w:val="22"/>
                <w:szCs w:val="22"/>
              </w:rPr>
              <w:t>dagbøder og ko</w:t>
            </w:r>
            <w:r w:rsidRPr="004E589D">
              <w:rPr>
                <w:b/>
                <w:bCs/>
                <w:i/>
                <w:iCs/>
                <w:sz w:val="22"/>
                <w:szCs w:val="22"/>
              </w:rPr>
              <w:t>n</w:t>
            </w:r>
            <w:r w:rsidRPr="004E589D">
              <w:rPr>
                <w:b/>
                <w:bCs/>
                <w:i/>
                <w:iCs/>
                <w:sz w:val="22"/>
                <w:szCs w:val="22"/>
              </w:rPr>
              <w:t>trolregler</w:t>
            </w:r>
            <w:r w:rsidRPr="004E589D">
              <w:rPr>
                <w:sz w:val="22"/>
                <w:szCs w:val="22"/>
              </w:rPr>
              <w:t>, at det bør eksemplif</w:t>
            </w:r>
            <w:r w:rsidRPr="004E589D">
              <w:rPr>
                <w:sz w:val="22"/>
                <w:szCs w:val="22"/>
              </w:rPr>
              <w:t>i</w:t>
            </w:r>
            <w:r w:rsidRPr="004E589D">
              <w:rPr>
                <w:sz w:val="22"/>
                <w:szCs w:val="22"/>
              </w:rPr>
              <w:t>ceres i lovforslagets bemærkni</w:t>
            </w:r>
            <w:r w:rsidRPr="004E589D">
              <w:rPr>
                <w:sz w:val="22"/>
                <w:szCs w:val="22"/>
              </w:rPr>
              <w:t>n</w:t>
            </w:r>
            <w:r w:rsidRPr="004E589D">
              <w:rPr>
                <w:sz w:val="22"/>
                <w:szCs w:val="22"/>
              </w:rPr>
              <w:t>ger i hvilke tilfælde, der kan p</w:t>
            </w:r>
            <w:r w:rsidRPr="004E589D">
              <w:rPr>
                <w:sz w:val="22"/>
                <w:szCs w:val="22"/>
              </w:rPr>
              <w:t>å</w:t>
            </w:r>
            <w:r w:rsidRPr="004E589D">
              <w:rPr>
                <w:sz w:val="22"/>
                <w:szCs w:val="22"/>
              </w:rPr>
              <w:t>lægges dagbøder, så pålæg af dagbøder ikke bliver et vilkårligt og tilfældig pressionsmiddel. For det første bør dagbøder begrænses til situationer, hvor en virkso</w:t>
            </w:r>
            <w:r w:rsidRPr="004E589D">
              <w:rPr>
                <w:sz w:val="22"/>
                <w:szCs w:val="22"/>
              </w:rPr>
              <w:t>m</w:t>
            </w:r>
            <w:r w:rsidRPr="004E589D">
              <w:rPr>
                <w:sz w:val="22"/>
                <w:szCs w:val="22"/>
              </w:rPr>
              <w:t>hed nægter at samarbejde om udlevering af materiale, der er direkte relevant for ansættelsen af virksomhedens momstilsvar. For det andet bør det præciseres, at oplysningspligtige alene kan p</w:t>
            </w:r>
            <w:r w:rsidRPr="004E589D">
              <w:rPr>
                <w:sz w:val="22"/>
                <w:szCs w:val="22"/>
              </w:rPr>
              <w:t>å</w:t>
            </w:r>
            <w:r w:rsidRPr="004E589D">
              <w:rPr>
                <w:sz w:val="22"/>
                <w:szCs w:val="22"/>
              </w:rPr>
              <w:t>lægges at udlevere oplysninger i form af fakturaer mv., som den oplysningspligtige har udstedt. SKAT kan således ikke kræve selve det materiale, notater mv., som en rådgiver f.eks. har uda</w:t>
            </w:r>
            <w:r w:rsidRPr="004E589D">
              <w:rPr>
                <w:sz w:val="22"/>
                <w:szCs w:val="22"/>
              </w:rPr>
              <w:t>r</w:t>
            </w:r>
            <w:r w:rsidRPr="004E589D">
              <w:rPr>
                <w:sz w:val="22"/>
                <w:szCs w:val="22"/>
              </w:rPr>
              <w:t>bejdet og herefter faktureret for, udleveret.</w:t>
            </w:r>
          </w:p>
          <w:p w:rsidR="00D54CDE" w:rsidRPr="004E589D" w:rsidRDefault="00D54CDE" w:rsidP="00D54CDE">
            <w:pPr>
              <w:rPr>
                <w:sz w:val="22"/>
                <w:szCs w:val="22"/>
              </w:rPr>
            </w:pPr>
          </w:p>
          <w:p w:rsidR="00D54CDE" w:rsidRDefault="00D54CDE" w:rsidP="00D54CDE">
            <w:pPr>
              <w:rPr>
                <w:sz w:val="22"/>
                <w:szCs w:val="22"/>
              </w:rPr>
            </w:pPr>
            <w:r>
              <w:rPr>
                <w:sz w:val="22"/>
                <w:szCs w:val="22"/>
              </w:rPr>
              <w:t xml:space="preserve">Danske Revisorer bemærker i relation til forslaget </w:t>
            </w:r>
            <w:r w:rsidRPr="00D54CDE">
              <w:rPr>
                <w:b/>
                <w:i/>
                <w:sz w:val="22"/>
                <w:szCs w:val="22"/>
              </w:rPr>
              <w:t>vedrørende fradrag i stedet for godtgørelse</w:t>
            </w:r>
            <w:r>
              <w:rPr>
                <w:sz w:val="22"/>
                <w:szCs w:val="22"/>
              </w:rPr>
              <w:t xml:space="preserve">, at Skatteministeriet bør bekræfte, at </w:t>
            </w:r>
            <w:r w:rsidRPr="00D54CDE">
              <w:rPr>
                <w:sz w:val="22"/>
                <w:szCs w:val="22"/>
              </w:rPr>
              <w:t>ikke de facto sker nogen æ</w:t>
            </w:r>
            <w:r w:rsidRPr="00D54CDE">
              <w:rPr>
                <w:sz w:val="22"/>
                <w:szCs w:val="22"/>
              </w:rPr>
              <w:t>n</w:t>
            </w:r>
            <w:r w:rsidRPr="00D54CDE">
              <w:rPr>
                <w:sz w:val="22"/>
                <w:szCs w:val="22"/>
              </w:rPr>
              <w:t>dring i gældende</w:t>
            </w:r>
            <w:r>
              <w:rPr>
                <w:sz w:val="22"/>
                <w:szCs w:val="22"/>
              </w:rPr>
              <w:t xml:space="preserve"> </w:t>
            </w:r>
            <w:r w:rsidRPr="00D54CDE">
              <w:rPr>
                <w:sz w:val="22"/>
                <w:szCs w:val="22"/>
              </w:rPr>
              <w:t>retstilstand og praksis for finansielle virksomh</w:t>
            </w:r>
            <w:r w:rsidRPr="00D54CDE">
              <w:rPr>
                <w:sz w:val="22"/>
                <w:szCs w:val="22"/>
              </w:rPr>
              <w:t>e</w:t>
            </w:r>
            <w:r w:rsidRPr="00D54CDE">
              <w:rPr>
                <w:sz w:val="22"/>
                <w:szCs w:val="22"/>
              </w:rPr>
              <w:t>ders udøvelse af momsafløf</w:t>
            </w:r>
            <w:r w:rsidRPr="00D54CDE">
              <w:rPr>
                <w:sz w:val="22"/>
                <w:szCs w:val="22"/>
              </w:rPr>
              <w:t>t</w:t>
            </w:r>
            <w:r w:rsidRPr="00D54CDE">
              <w:rPr>
                <w:sz w:val="22"/>
                <w:szCs w:val="22"/>
              </w:rPr>
              <w:t>ningsretten, som</w:t>
            </w:r>
            <w:r>
              <w:rPr>
                <w:sz w:val="22"/>
                <w:szCs w:val="22"/>
              </w:rPr>
              <w:t xml:space="preserve"> </w:t>
            </w:r>
            <w:r w:rsidRPr="00D54CDE">
              <w:rPr>
                <w:sz w:val="22"/>
                <w:szCs w:val="22"/>
              </w:rPr>
              <w:t>pri</w:t>
            </w:r>
            <w:r>
              <w:rPr>
                <w:sz w:val="22"/>
                <w:szCs w:val="22"/>
              </w:rPr>
              <w:t>mært fastsat i TfS 1997, 374 og S</w:t>
            </w:r>
            <w:r w:rsidRPr="00D54CDE">
              <w:rPr>
                <w:sz w:val="22"/>
                <w:szCs w:val="22"/>
              </w:rPr>
              <w:t>KM2010.446.SKAT.</w:t>
            </w:r>
          </w:p>
          <w:p w:rsidR="00D54CDE" w:rsidRDefault="00D54CDE" w:rsidP="00D54CDE">
            <w:pPr>
              <w:rPr>
                <w:sz w:val="22"/>
                <w:szCs w:val="22"/>
              </w:rPr>
            </w:pPr>
          </w:p>
          <w:p w:rsidR="005B50EE" w:rsidRPr="005B50EE" w:rsidRDefault="005B50EE" w:rsidP="005B50EE">
            <w:pPr>
              <w:rPr>
                <w:sz w:val="22"/>
                <w:szCs w:val="22"/>
              </w:rPr>
            </w:pPr>
            <w:r>
              <w:rPr>
                <w:sz w:val="22"/>
                <w:szCs w:val="22"/>
              </w:rPr>
              <w:t>Endelig bemærker Danske Rev</w:t>
            </w:r>
            <w:r>
              <w:rPr>
                <w:sz w:val="22"/>
                <w:szCs w:val="22"/>
              </w:rPr>
              <w:t>i</w:t>
            </w:r>
            <w:r>
              <w:rPr>
                <w:sz w:val="22"/>
                <w:szCs w:val="22"/>
              </w:rPr>
              <w:t>sorer i relation til forslaget vedr</w:t>
            </w:r>
            <w:r>
              <w:rPr>
                <w:sz w:val="22"/>
                <w:szCs w:val="22"/>
              </w:rPr>
              <w:t>ø</w:t>
            </w:r>
            <w:r>
              <w:rPr>
                <w:sz w:val="22"/>
                <w:szCs w:val="22"/>
              </w:rPr>
              <w:t xml:space="preserve">rende ændring af </w:t>
            </w:r>
            <w:r w:rsidRPr="00F767E3">
              <w:rPr>
                <w:b/>
                <w:i/>
                <w:sz w:val="22"/>
                <w:szCs w:val="22"/>
              </w:rPr>
              <w:t>energiafgiftsl</w:t>
            </w:r>
            <w:r w:rsidRPr="00F767E3">
              <w:rPr>
                <w:b/>
                <w:i/>
                <w:sz w:val="22"/>
                <w:szCs w:val="22"/>
              </w:rPr>
              <w:t>o</w:t>
            </w:r>
            <w:r w:rsidRPr="00F767E3">
              <w:rPr>
                <w:b/>
                <w:i/>
                <w:sz w:val="22"/>
                <w:szCs w:val="22"/>
              </w:rPr>
              <w:t>vene og vandafgiftsloven</w:t>
            </w:r>
            <w:r>
              <w:rPr>
                <w:sz w:val="22"/>
                <w:szCs w:val="22"/>
              </w:rPr>
              <w:t xml:space="preserve"> i ko</w:t>
            </w:r>
            <w:r>
              <w:rPr>
                <w:sz w:val="22"/>
                <w:szCs w:val="22"/>
              </w:rPr>
              <w:t>n</w:t>
            </w:r>
            <w:r>
              <w:rPr>
                <w:sz w:val="22"/>
                <w:szCs w:val="22"/>
              </w:rPr>
              <w:t>sekvens af, at man erstatter m</w:t>
            </w:r>
            <w:r>
              <w:rPr>
                <w:sz w:val="22"/>
                <w:szCs w:val="22"/>
              </w:rPr>
              <w:t>u</w:t>
            </w:r>
            <w:r>
              <w:rPr>
                <w:sz w:val="22"/>
                <w:szCs w:val="22"/>
              </w:rPr>
              <w:t>ligheden i momsloven for godtg</w:t>
            </w:r>
            <w:r>
              <w:rPr>
                <w:sz w:val="22"/>
                <w:szCs w:val="22"/>
              </w:rPr>
              <w:t>ø</w:t>
            </w:r>
            <w:r>
              <w:rPr>
                <w:sz w:val="22"/>
                <w:szCs w:val="22"/>
              </w:rPr>
              <w:t>relse med en mulighed for fr</w:t>
            </w:r>
            <w:r>
              <w:rPr>
                <w:sz w:val="22"/>
                <w:szCs w:val="22"/>
              </w:rPr>
              <w:t>a</w:t>
            </w:r>
            <w:r>
              <w:rPr>
                <w:sz w:val="22"/>
                <w:szCs w:val="22"/>
              </w:rPr>
              <w:t>drag, at n</w:t>
            </w:r>
            <w:r w:rsidRPr="005B50EE">
              <w:rPr>
                <w:sz w:val="22"/>
                <w:szCs w:val="22"/>
              </w:rPr>
              <w:t>år der henses til dels, at momsfradragsmuligheden for den finansielle sektor for omsætning</w:t>
            </w:r>
          </w:p>
          <w:p w:rsidR="00D54CDE" w:rsidRDefault="005B50EE" w:rsidP="005B50EE">
            <w:pPr>
              <w:rPr>
                <w:sz w:val="22"/>
                <w:szCs w:val="22"/>
              </w:rPr>
            </w:pPr>
            <w:r w:rsidRPr="005B50EE">
              <w:rPr>
                <w:sz w:val="22"/>
                <w:szCs w:val="22"/>
              </w:rPr>
              <w:t>med 3. lande og fradragsretten for energiafgifter generelt bunder i, at man principielt ikke har</w:t>
            </w:r>
            <w:r>
              <w:rPr>
                <w:sz w:val="22"/>
                <w:szCs w:val="22"/>
              </w:rPr>
              <w:t xml:space="preserve"> </w:t>
            </w:r>
            <w:r w:rsidRPr="005B50EE">
              <w:rPr>
                <w:sz w:val="22"/>
                <w:szCs w:val="22"/>
              </w:rPr>
              <w:t>ønsket at afgiftsbelaste eksporterhverv, som udøves i konkurrence med virksomheder i lande,</w:t>
            </w:r>
            <w:r>
              <w:rPr>
                <w:sz w:val="22"/>
                <w:szCs w:val="22"/>
              </w:rPr>
              <w:t xml:space="preserve"> </w:t>
            </w:r>
            <w:r w:rsidRPr="005B50EE">
              <w:rPr>
                <w:sz w:val="22"/>
                <w:szCs w:val="22"/>
              </w:rPr>
              <w:t>hvor der ikke er sådanne afgiftsbelastni</w:t>
            </w:r>
            <w:r w:rsidRPr="005B50EE">
              <w:rPr>
                <w:sz w:val="22"/>
                <w:szCs w:val="22"/>
              </w:rPr>
              <w:t>n</w:t>
            </w:r>
            <w:r w:rsidRPr="005B50EE">
              <w:rPr>
                <w:sz w:val="22"/>
                <w:szCs w:val="22"/>
              </w:rPr>
              <w:t xml:space="preserve">ger, kan det forekomme noget </w:t>
            </w:r>
            <w:r w:rsidRPr="005B50EE">
              <w:rPr>
                <w:sz w:val="22"/>
                <w:szCs w:val="22"/>
              </w:rPr>
              <w:lastRenderedPageBreak/>
              <w:t>ulogisk, at den</w:t>
            </w:r>
            <w:r>
              <w:rPr>
                <w:sz w:val="22"/>
                <w:szCs w:val="22"/>
              </w:rPr>
              <w:t xml:space="preserve"> </w:t>
            </w:r>
            <w:r w:rsidRPr="005B50EE">
              <w:rPr>
                <w:sz w:val="22"/>
                <w:szCs w:val="22"/>
              </w:rPr>
              <w:t>finansielle sektor skal pålægges en energiafgift</w:t>
            </w:r>
            <w:r w:rsidRPr="005B50EE">
              <w:rPr>
                <w:sz w:val="22"/>
                <w:szCs w:val="22"/>
              </w:rPr>
              <w:t>s</w:t>
            </w:r>
            <w:r w:rsidRPr="005B50EE">
              <w:rPr>
                <w:sz w:val="22"/>
                <w:szCs w:val="22"/>
              </w:rPr>
              <w:t>byrde for en så entydig ekspor</w:t>
            </w:r>
            <w:r w:rsidRPr="005B50EE">
              <w:rPr>
                <w:sz w:val="22"/>
                <w:szCs w:val="22"/>
              </w:rPr>
              <w:t>t</w:t>
            </w:r>
            <w:r w:rsidRPr="005B50EE">
              <w:rPr>
                <w:sz w:val="22"/>
                <w:szCs w:val="22"/>
              </w:rPr>
              <w:t>omsætning,</w:t>
            </w:r>
            <w:r>
              <w:rPr>
                <w:sz w:val="22"/>
                <w:szCs w:val="22"/>
              </w:rPr>
              <w:t xml:space="preserve"> </w:t>
            </w:r>
            <w:r w:rsidRPr="005B50EE">
              <w:rPr>
                <w:sz w:val="22"/>
                <w:szCs w:val="22"/>
              </w:rPr>
              <w:t>som der her er tale om.</w:t>
            </w:r>
          </w:p>
          <w:p w:rsidR="005B50EE" w:rsidRDefault="005B50EE" w:rsidP="005B50EE">
            <w:pPr>
              <w:rPr>
                <w:sz w:val="22"/>
                <w:szCs w:val="22"/>
              </w:rPr>
            </w:pPr>
          </w:p>
          <w:p w:rsidR="005B50EE" w:rsidRDefault="005A30DB" w:rsidP="005B50EE">
            <w:pPr>
              <w:rPr>
                <w:sz w:val="22"/>
                <w:szCs w:val="22"/>
              </w:rPr>
            </w:pPr>
            <w:r w:rsidRPr="005A30DB">
              <w:rPr>
                <w:sz w:val="22"/>
                <w:szCs w:val="22"/>
              </w:rPr>
              <w:t>Foreningen foreslår, at den for</w:t>
            </w:r>
            <w:r w:rsidRPr="005A30DB">
              <w:rPr>
                <w:sz w:val="22"/>
                <w:szCs w:val="22"/>
              </w:rPr>
              <w:t>e</w:t>
            </w:r>
            <w:r w:rsidRPr="005A30DB">
              <w:rPr>
                <w:sz w:val="22"/>
                <w:szCs w:val="22"/>
              </w:rPr>
              <w:t>slåede indsættelse efter elafgift</w:t>
            </w:r>
            <w:r w:rsidRPr="005A30DB">
              <w:rPr>
                <w:sz w:val="22"/>
                <w:szCs w:val="22"/>
              </w:rPr>
              <w:t>s</w:t>
            </w:r>
            <w:r w:rsidRPr="005A30DB">
              <w:rPr>
                <w:sz w:val="22"/>
                <w:szCs w:val="22"/>
              </w:rPr>
              <w:t>lovens § 11, stk. 16, 1. pkt., (lo</w:t>
            </w:r>
            <w:r w:rsidRPr="005A30DB">
              <w:rPr>
                <w:sz w:val="22"/>
                <w:szCs w:val="22"/>
              </w:rPr>
              <w:t>v</w:t>
            </w:r>
            <w:r w:rsidRPr="005A30DB">
              <w:rPr>
                <w:sz w:val="22"/>
                <w:szCs w:val="22"/>
              </w:rPr>
              <w:t>forslagets § 3) affattes med en ”dog” henvisning til elafgiftsl</w:t>
            </w:r>
            <w:r w:rsidRPr="005A30DB">
              <w:rPr>
                <w:sz w:val="22"/>
                <w:szCs w:val="22"/>
              </w:rPr>
              <w:t>o</w:t>
            </w:r>
            <w:r w:rsidRPr="005A30DB">
              <w:rPr>
                <w:sz w:val="22"/>
                <w:szCs w:val="22"/>
              </w:rPr>
              <w:t>vens § 11, stk. 2, således at de to bestemmelser efter foreningens opfattelse ikke utilsigtet får et gensidigt modsatrettet indhold.</w:t>
            </w:r>
          </w:p>
        </w:tc>
        <w:tc>
          <w:tcPr>
            <w:tcW w:w="4090" w:type="dxa"/>
          </w:tcPr>
          <w:p w:rsidR="004E589D" w:rsidRPr="004E589D" w:rsidRDefault="004E589D" w:rsidP="004E589D">
            <w:pPr>
              <w:jc w:val="both"/>
              <w:rPr>
                <w:sz w:val="22"/>
                <w:szCs w:val="22"/>
              </w:rPr>
            </w:pPr>
            <w:r w:rsidRPr="004E589D">
              <w:rPr>
                <w:sz w:val="22"/>
                <w:szCs w:val="22"/>
              </w:rPr>
              <w:lastRenderedPageBreak/>
              <w:t>Ved formulering af forslaget til fakturare</w:t>
            </w:r>
            <w:r w:rsidRPr="004E589D">
              <w:rPr>
                <w:sz w:val="22"/>
                <w:szCs w:val="22"/>
              </w:rPr>
              <w:t>g</w:t>
            </w:r>
            <w:r w:rsidRPr="004E589D">
              <w:rPr>
                <w:sz w:val="22"/>
                <w:szCs w:val="22"/>
              </w:rPr>
              <w:t>ler er der tilstræbt en balance mellem på den ene side et dansk lovsprog, mens re</w:t>
            </w:r>
            <w:r w:rsidRPr="004E589D">
              <w:rPr>
                <w:sz w:val="22"/>
                <w:szCs w:val="22"/>
              </w:rPr>
              <w:t>g</w:t>
            </w:r>
            <w:r w:rsidRPr="004E589D">
              <w:rPr>
                <w:sz w:val="22"/>
                <w:szCs w:val="22"/>
              </w:rPr>
              <w:t>lerne på den anden side ikke må afvige alt for meget fra ordlyden af EU-reglerne, som skal gennemføres i dansk lov. De gældende regler er ikke mindre indviklede, men der er over tid sket en tilvænning. Dette forve</w:t>
            </w:r>
            <w:r w:rsidRPr="004E589D">
              <w:rPr>
                <w:sz w:val="22"/>
                <w:szCs w:val="22"/>
              </w:rPr>
              <w:t>n</w:t>
            </w:r>
            <w:r w:rsidRPr="004E589D">
              <w:rPr>
                <w:sz w:val="22"/>
                <w:szCs w:val="22"/>
              </w:rPr>
              <w:t>tes også at blive tilfældet for de nye regler.</w:t>
            </w:r>
          </w:p>
          <w:p w:rsidR="004E589D" w:rsidRPr="004E589D" w:rsidRDefault="004E589D" w:rsidP="004E589D">
            <w:pPr>
              <w:jc w:val="both"/>
              <w:rPr>
                <w:sz w:val="22"/>
                <w:szCs w:val="22"/>
              </w:rPr>
            </w:pPr>
          </w:p>
          <w:p w:rsidR="00D54CDE" w:rsidRPr="004E589D" w:rsidRDefault="004E589D" w:rsidP="004E589D">
            <w:pPr>
              <w:rPr>
                <w:sz w:val="22"/>
                <w:szCs w:val="22"/>
              </w:rPr>
            </w:pPr>
            <w:r w:rsidRPr="004E589D">
              <w:rPr>
                <w:sz w:val="22"/>
                <w:szCs w:val="22"/>
              </w:rPr>
              <w:t>Danske Revisorer opfordres til at rejse spørgsmålet direkte over for Erhvervsmin</w:t>
            </w:r>
            <w:r w:rsidRPr="004E589D">
              <w:rPr>
                <w:sz w:val="22"/>
                <w:szCs w:val="22"/>
              </w:rPr>
              <w:t>i</w:t>
            </w:r>
            <w:r w:rsidRPr="004E589D">
              <w:rPr>
                <w:sz w:val="22"/>
                <w:szCs w:val="22"/>
              </w:rPr>
              <w:t>steriet samt Erhvervs- og Selskabsstyrelsen, eftersom det er lovgivning og praksis på Erhvervsministeriets område, der i givet fald vil skulle justeres.</w:t>
            </w:r>
          </w:p>
          <w:p w:rsidR="005B50EE" w:rsidRDefault="005B50EE" w:rsidP="00605516">
            <w:pPr>
              <w:rPr>
                <w:sz w:val="22"/>
                <w:szCs w:val="22"/>
              </w:rPr>
            </w:pPr>
          </w:p>
          <w:p w:rsidR="005B50EE" w:rsidRDefault="005B50EE" w:rsidP="00605516">
            <w:pPr>
              <w:rPr>
                <w:sz w:val="22"/>
                <w:szCs w:val="22"/>
              </w:rPr>
            </w:pPr>
          </w:p>
          <w:p w:rsidR="005B50EE" w:rsidRDefault="005B50EE" w:rsidP="00605516">
            <w:pPr>
              <w:rPr>
                <w:sz w:val="22"/>
                <w:szCs w:val="22"/>
              </w:rPr>
            </w:pPr>
          </w:p>
          <w:p w:rsidR="005B50EE" w:rsidRDefault="005B50EE" w:rsidP="00605516">
            <w:pPr>
              <w:rPr>
                <w:sz w:val="22"/>
                <w:szCs w:val="22"/>
              </w:rPr>
            </w:pPr>
          </w:p>
          <w:p w:rsidR="005B50EE" w:rsidRDefault="005B50EE" w:rsidP="00605516">
            <w:pPr>
              <w:rPr>
                <w:sz w:val="22"/>
                <w:szCs w:val="22"/>
              </w:rPr>
            </w:pPr>
          </w:p>
          <w:p w:rsidR="005B50EE" w:rsidRDefault="005B50EE" w:rsidP="00605516">
            <w:pPr>
              <w:rPr>
                <w:sz w:val="22"/>
                <w:szCs w:val="22"/>
              </w:rPr>
            </w:pPr>
          </w:p>
          <w:p w:rsidR="005B50EE" w:rsidRDefault="005B50EE" w:rsidP="00605516">
            <w:pPr>
              <w:rPr>
                <w:sz w:val="22"/>
                <w:szCs w:val="22"/>
              </w:rPr>
            </w:pPr>
          </w:p>
          <w:p w:rsidR="005B50EE" w:rsidRDefault="005B50EE" w:rsidP="00605516">
            <w:pPr>
              <w:rPr>
                <w:sz w:val="22"/>
                <w:szCs w:val="22"/>
              </w:rPr>
            </w:pPr>
          </w:p>
          <w:p w:rsidR="005B50EE" w:rsidRDefault="005B50EE" w:rsidP="00605516">
            <w:pPr>
              <w:rPr>
                <w:sz w:val="22"/>
                <w:szCs w:val="22"/>
              </w:rPr>
            </w:pPr>
          </w:p>
          <w:p w:rsidR="005B50EE" w:rsidRDefault="005B50EE" w:rsidP="00605516">
            <w:pPr>
              <w:rPr>
                <w:sz w:val="22"/>
                <w:szCs w:val="22"/>
              </w:rPr>
            </w:pPr>
          </w:p>
          <w:p w:rsidR="005B50EE" w:rsidRDefault="005B50EE" w:rsidP="00605516">
            <w:pPr>
              <w:rPr>
                <w:sz w:val="22"/>
                <w:szCs w:val="22"/>
              </w:rPr>
            </w:pPr>
          </w:p>
          <w:p w:rsidR="005B50EE" w:rsidRDefault="005B50EE" w:rsidP="00605516">
            <w:pPr>
              <w:rPr>
                <w:sz w:val="22"/>
                <w:szCs w:val="22"/>
              </w:rPr>
            </w:pPr>
          </w:p>
          <w:p w:rsidR="005B50EE" w:rsidRPr="004E589D" w:rsidRDefault="004E589D" w:rsidP="00605516">
            <w:pPr>
              <w:rPr>
                <w:sz w:val="22"/>
                <w:szCs w:val="22"/>
              </w:rPr>
            </w:pPr>
            <w:r w:rsidRPr="004E589D">
              <w:rPr>
                <w:sz w:val="22"/>
                <w:szCs w:val="22"/>
              </w:rPr>
              <w:t>Der er efter, at udkastet til lovforslag har været i ekstern høring, foretaget en række præciseringer af både lovtekst og bemær</w:t>
            </w:r>
            <w:r w:rsidRPr="004E589D">
              <w:rPr>
                <w:sz w:val="22"/>
                <w:szCs w:val="22"/>
              </w:rPr>
              <w:t>k</w:t>
            </w:r>
            <w:r w:rsidRPr="004E589D">
              <w:rPr>
                <w:sz w:val="22"/>
                <w:szCs w:val="22"/>
              </w:rPr>
              <w:t>ninger, der alt andet lige skulle imød</w:t>
            </w:r>
            <w:r w:rsidRPr="004E589D">
              <w:rPr>
                <w:sz w:val="22"/>
                <w:szCs w:val="22"/>
              </w:rPr>
              <w:t>e</w:t>
            </w:r>
            <w:r w:rsidRPr="004E589D">
              <w:rPr>
                <w:sz w:val="22"/>
                <w:szCs w:val="22"/>
              </w:rPr>
              <w:t>komme Danske Revisorers bemærkninger.</w:t>
            </w:r>
          </w:p>
          <w:p w:rsidR="005B50EE" w:rsidRDefault="005B50EE" w:rsidP="00605516">
            <w:pPr>
              <w:rPr>
                <w:sz w:val="22"/>
                <w:szCs w:val="22"/>
              </w:rPr>
            </w:pPr>
          </w:p>
          <w:p w:rsidR="005B50EE" w:rsidRDefault="005B50EE" w:rsidP="00605516">
            <w:pPr>
              <w:rPr>
                <w:sz w:val="22"/>
                <w:szCs w:val="22"/>
              </w:rPr>
            </w:pPr>
          </w:p>
          <w:p w:rsidR="005B50EE" w:rsidRDefault="005B50EE" w:rsidP="00605516">
            <w:pPr>
              <w:rPr>
                <w:sz w:val="22"/>
                <w:szCs w:val="22"/>
              </w:rPr>
            </w:pPr>
          </w:p>
          <w:p w:rsidR="005B50EE" w:rsidRDefault="005B50EE" w:rsidP="00605516">
            <w:pPr>
              <w:rPr>
                <w:sz w:val="22"/>
                <w:szCs w:val="22"/>
              </w:rPr>
            </w:pPr>
          </w:p>
          <w:p w:rsidR="005B50EE" w:rsidRDefault="005B50EE" w:rsidP="00605516">
            <w:pPr>
              <w:rPr>
                <w:sz w:val="22"/>
                <w:szCs w:val="22"/>
              </w:rPr>
            </w:pPr>
          </w:p>
          <w:p w:rsidR="005B50EE" w:rsidRDefault="005B50EE" w:rsidP="00605516">
            <w:pPr>
              <w:rPr>
                <w:sz w:val="22"/>
                <w:szCs w:val="22"/>
              </w:rPr>
            </w:pPr>
          </w:p>
          <w:p w:rsidR="005B50EE" w:rsidRDefault="005B50EE" w:rsidP="00605516">
            <w:pPr>
              <w:rPr>
                <w:sz w:val="22"/>
                <w:szCs w:val="22"/>
              </w:rPr>
            </w:pPr>
          </w:p>
          <w:p w:rsidR="005B50EE" w:rsidRDefault="005B50EE" w:rsidP="00605516">
            <w:pPr>
              <w:rPr>
                <w:sz w:val="22"/>
                <w:szCs w:val="22"/>
              </w:rPr>
            </w:pPr>
          </w:p>
          <w:p w:rsidR="005B50EE" w:rsidRDefault="005B50EE" w:rsidP="00605516">
            <w:pPr>
              <w:rPr>
                <w:sz w:val="22"/>
                <w:szCs w:val="22"/>
              </w:rPr>
            </w:pPr>
          </w:p>
          <w:p w:rsidR="005B50EE" w:rsidRDefault="005B50EE" w:rsidP="00605516">
            <w:pPr>
              <w:rPr>
                <w:sz w:val="22"/>
                <w:szCs w:val="22"/>
              </w:rPr>
            </w:pPr>
          </w:p>
          <w:p w:rsidR="005B50EE" w:rsidRDefault="005B50EE" w:rsidP="00605516">
            <w:pPr>
              <w:rPr>
                <w:sz w:val="22"/>
                <w:szCs w:val="22"/>
              </w:rPr>
            </w:pPr>
          </w:p>
          <w:p w:rsidR="005B50EE" w:rsidRDefault="005B50EE" w:rsidP="00605516">
            <w:pPr>
              <w:rPr>
                <w:sz w:val="22"/>
                <w:szCs w:val="22"/>
              </w:rPr>
            </w:pPr>
          </w:p>
          <w:p w:rsidR="005B50EE" w:rsidRDefault="005B50EE" w:rsidP="00605516">
            <w:pPr>
              <w:rPr>
                <w:sz w:val="22"/>
                <w:szCs w:val="22"/>
              </w:rPr>
            </w:pPr>
          </w:p>
          <w:p w:rsidR="005B50EE" w:rsidRDefault="005B50EE" w:rsidP="00605516">
            <w:pPr>
              <w:rPr>
                <w:sz w:val="22"/>
                <w:szCs w:val="22"/>
              </w:rPr>
            </w:pPr>
          </w:p>
          <w:p w:rsidR="005B50EE" w:rsidRDefault="005B50EE" w:rsidP="00605516">
            <w:pPr>
              <w:rPr>
                <w:sz w:val="22"/>
                <w:szCs w:val="22"/>
              </w:rPr>
            </w:pPr>
          </w:p>
          <w:p w:rsidR="005B50EE" w:rsidRDefault="005B50EE" w:rsidP="00605516">
            <w:pPr>
              <w:rPr>
                <w:sz w:val="22"/>
                <w:szCs w:val="22"/>
              </w:rPr>
            </w:pPr>
          </w:p>
          <w:p w:rsidR="005B50EE" w:rsidRDefault="005B50EE" w:rsidP="00605516">
            <w:pPr>
              <w:rPr>
                <w:sz w:val="22"/>
                <w:szCs w:val="22"/>
              </w:rPr>
            </w:pPr>
          </w:p>
          <w:p w:rsidR="005A30DB" w:rsidRDefault="005A30DB" w:rsidP="00605516">
            <w:pPr>
              <w:rPr>
                <w:sz w:val="22"/>
                <w:szCs w:val="22"/>
              </w:rPr>
            </w:pPr>
          </w:p>
          <w:p w:rsidR="005B50EE" w:rsidRDefault="005B50EE" w:rsidP="00605516">
            <w:pPr>
              <w:rPr>
                <w:sz w:val="22"/>
                <w:szCs w:val="22"/>
              </w:rPr>
            </w:pPr>
          </w:p>
          <w:p w:rsidR="005B50EE" w:rsidRDefault="00907A82" w:rsidP="00605516">
            <w:pPr>
              <w:rPr>
                <w:sz w:val="22"/>
                <w:szCs w:val="22"/>
              </w:rPr>
            </w:pPr>
            <w:r>
              <w:rPr>
                <w:sz w:val="22"/>
                <w:szCs w:val="22"/>
              </w:rPr>
              <w:t>Der henvises til kommentar til høringssvar fra Finansrådet</w:t>
            </w:r>
          </w:p>
          <w:p w:rsidR="005B50EE" w:rsidRDefault="005B50EE" w:rsidP="00605516">
            <w:pPr>
              <w:rPr>
                <w:sz w:val="22"/>
                <w:szCs w:val="22"/>
              </w:rPr>
            </w:pPr>
          </w:p>
          <w:p w:rsidR="005B50EE" w:rsidRDefault="005B50EE" w:rsidP="00605516">
            <w:pPr>
              <w:rPr>
                <w:sz w:val="22"/>
                <w:szCs w:val="22"/>
              </w:rPr>
            </w:pPr>
          </w:p>
          <w:p w:rsidR="005B50EE" w:rsidRDefault="005B50EE" w:rsidP="00605516">
            <w:pPr>
              <w:rPr>
                <w:sz w:val="22"/>
                <w:szCs w:val="22"/>
              </w:rPr>
            </w:pPr>
          </w:p>
          <w:p w:rsidR="005B50EE" w:rsidRDefault="005B50EE" w:rsidP="00605516">
            <w:pPr>
              <w:rPr>
                <w:sz w:val="22"/>
                <w:szCs w:val="22"/>
              </w:rPr>
            </w:pPr>
          </w:p>
          <w:p w:rsidR="005B50EE" w:rsidRDefault="005B50EE" w:rsidP="00605516">
            <w:pPr>
              <w:rPr>
                <w:sz w:val="22"/>
                <w:szCs w:val="22"/>
              </w:rPr>
            </w:pPr>
          </w:p>
          <w:p w:rsidR="005B50EE" w:rsidRDefault="005B50EE" w:rsidP="00605516">
            <w:pPr>
              <w:rPr>
                <w:sz w:val="22"/>
                <w:szCs w:val="22"/>
              </w:rPr>
            </w:pPr>
          </w:p>
          <w:p w:rsidR="005B50EE" w:rsidRDefault="005B50EE" w:rsidP="00605516">
            <w:pPr>
              <w:rPr>
                <w:sz w:val="22"/>
                <w:szCs w:val="22"/>
              </w:rPr>
            </w:pPr>
          </w:p>
          <w:p w:rsidR="005B50EE" w:rsidRDefault="005B50EE" w:rsidP="00605516">
            <w:pPr>
              <w:rPr>
                <w:sz w:val="22"/>
                <w:szCs w:val="22"/>
              </w:rPr>
            </w:pPr>
          </w:p>
          <w:p w:rsidR="005B50EE" w:rsidRDefault="005B50EE" w:rsidP="00605516">
            <w:pPr>
              <w:rPr>
                <w:sz w:val="22"/>
                <w:szCs w:val="22"/>
              </w:rPr>
            </w:pPr>
          </w:p>
          <w:p w:rsidR="005A30DB" w:rsidRDefault="005A30DB" w:rsidP="00605516">
            <w:pPr>
              <w:rPr>
                <w:sz w:val="22"/>
                <w:szCs w:val="22"/>
              </w:rPr>
            </w:pPr>
          </w:p>
          <w:p w:rsidR="005B50EE" w:rsidRDefault="005B50EE" w:rsidP="00605516">
            <w:pPr>
              <w:rPr>
                <w:sz w:val="22"/>
                <w:szCs w:val="22"/>
              </w:rPr>
            </w:pPr>
            <w:r>
              <w:rPr>
                <w:sz w:val="22"/>
                <w:szCs w:val="22"/>
              </w:rPr>
              <w:t>Der henvises til kommentar til høringssvar fra DSB</w:t>
            </w:r>
          </w:p>
          <w:p w:rsidR="005B50EE" w:rsidRDefault="005B50EE" w:rsidP="00605516">
            <w:pPr>
              <w:rPr>
                <w:sz w:val="22"/>
                <w:szCs w:val="22"/>
              </w:rPr>
            </w:pPr>
          </w:p>
          <w:p w:rsidR="005B50EE" w:rsidRDefault="005B50EE" w:rsidP="00605516">
            <w:pPr>
              <w:rPr>
                <w:sz w:val="22"/>
                <w:szCs w:val="22"/>
              </w:rPr>
            </w:pPr>
          </w:p>
          <w:p w:rsidR="005B50EE" w:rsidRDefault="005B50EE" w:rsidP="00605516">
            <w:pPr>
              <w:rPr>
                <w:sz w:val="22"/>
                <w:szCs w:val="22"/>
              </w:rPr>
            </w:pPr>
          </w:p>
          <w:p w:rsidR="005B50EE" w:rsidRDefault="005B50EE" w:rsidP="00605516">
            <w:pPr>
              <w:rPr>
                <w:sz w:val="22"/>
                <w:szCs w:val="22"/>
              </w:rPr>
            </w:pPr>
          </w:p>
          <w:p w:rsidR="005B50EE" w:rsidRDefault="005B50EE" w:rsidP="00605516">
            <w:pPr>
              <w:rPr>
                <w:sz w:val="22"/>
                <w:szCs w:val="22"/>
              </w:rPr>
            </w:pPr>
          </w:p>
          <w:p w:rsidR="005B50EE" w:rsidRDefault="005B50EE" w:rsidP="00605516">
            <w:pPr>
              <w:rPr>
                <w:sz w:val="22"/>
                <w:szCs w:val="22"/>
              </w:rPr>
            </w:pPr>
          </w:p>
          <w:p w:rsidR="005B50EE" w:rsidRDefault="005B50EE" w:rsidP="00605516">
            <w:pPr>
              <w:rPr>
                <w:sz w:val="22"/>
                <w:szCs w:val="22"/>
              </w:rPr>
            </w:pPr>
          </w:p>
          <w:p w:rsidR="005B50EE" w:rsidRDefault="005B50EE" w:rsidP="00605516">
            <w:pPr>
              <w:rPr>
                <w:sz w:val="22"/>
                <w:szCs w:val="22"/>
              </w:rPr>
            </w:pPr>
          </w:p>
          <w:p w:rsidR="005B50EE" w:rsidRDefault="005B50EE" w:rsidP="00605516">
            <w:pPr>
              <w:rPr>
                <w:sz w:val="22"/>
                <w:szCs w:val="22"/>
              </w:rPr>
            </w:pPr>
          </w:p>
          <w:p w:rsidR="005B50EE" w:rsidRDefault="005B50EE" w:rsidP="00605516">
            <w:pPr>
              <w:rPr>
                <w:sz w:val="22"/>
                <w:szCs w:val="22"/>
              </w:rPr>
            </w:pPr>
          </w:p>
          <w:p w:rsidR="005B50EE" w:rsidRDefault="005B50EE" w:rsidP="00605516">
            <w:pPr>
              <w:rPr>
                <w:sz w:val="22"/>
                <w:szCs w:val="22"/>
              </w:rPr>
            </w:pPr>
          </w:p>
          <w:p w:rsidR="005B50EE" w:rsidRDefault="005B50EE" w:rsidP="00605516">
            <w:pPr>
              <w:rPr>
                <w:sz w:val="22"/>
                <w:szCs w:val="22"/>
              </w:rPr>
            </w:pPr>
          </w:p>
          <w:p w:rsidR="005B50EE" w:rsidRDefault="005B50EE" w:rsidP="00605516">
            <w:pPr>
              <w:rPr>
                <w:sz w:val="22"/>
                <w:szCs w:val="22"/>
              </w:rPr>
            </w:pPr>
          </w:p>
          <w:p w:rsidR="005B50EE" w:rsidRDefault="005B50EE" w:rsidP="00605516">
            <w:pPr>
              <w:rPr>
                <w:sz w:val="22"/>
                <w:szCs w:val="22"/>
              </w:rPr>
            </w:pPr>
          </w:p>
          <w:p w:rsidR="005B50EE" w:rsidRDefault="005B50EE" w:rsidP="00605516">
            <w:pPr>
              <w:rPr>
                <w:sz w:val="22"/>
                <w:szCs w:val="22"/>
              </w:rPr>
            </w:pPr>
          </w:p>
          <w:p w:rsidR="005A30DB" w:rsidRDefault="005A30DB" w:rsidP="00605516">
            <w:pPr>
              <w:rPr>
                <w:sz w:val="22"/>
                <w:szCs w:val="22"/>
              </w:rPr>
            </w:pPr>
          </w:p>
          <w:p w:rsidR="005A30DB" w:rsidRDefault="005A30DB" w:rsidP="00605516">
            <w:pPr>
              <w:rPr>
                <w:sz w:val="22"/>
                <w:szCs w:val="22"/>
              </w:rPr>
            </w:pPr>
          </w:p>
          <w:p w:rsidR="007C3889" w:rsidRDefault="007C3889" w:rsidP="00605516">
            <w:pPr>
              <w:rPr>
                <w:sz w:val="22"/>
                <w:szCs w:val="22"/>
              </w:rPr>
            </w:pPr>
          </w:p>
          <w:p w:rsidR="007C3889" w:rsidRDefault="007C3889" w:rsidP="00605516">
            <w:pPr>
              <w:rPr>
                <w:sz w:val="22"/>
                <w:szCs w:val="22"/>
              </w:rPr>
            </w:pPr>
          </w:p>
          <w:p w:rsidR="005A30DB" w:rsidRDefault="005A30DB" w:rsidP="00605516">
            <w:pPr>
              <w:rPr>
                <w:sz w:val="22"/>
                <w:szCs w:val="22"/>
              </w:rPr>
            </w:pPr>
          </w:p>
          <w:p w:rsidR="005A30DB" w:rsidRDefault="005A30DB" w:rsidP="00605516">
            <w:pPr>
              <w:rPr>
                <w:sz w:val="22"/>
                <w:szCs w:val="22"/>
              </w:rPr>
            </w:pPr>
          </w:p>
          <w:p w:rsidR="005A30DB" w:rsidRDefault="005A30DB" w:rsidP="00605516">
            <w:pPr>
              <w:rPr>
                <w:sz w:val="22"/>
                <w:szCs w:val="22"/>
              </w:rPr>
            </w:pPr>
          </w:p>
          <w:p w:rsidR="005A30DB" w:rsidRDefault="005A30DB" w:rsidP="00605516">
            <w:pPr>
              <w:rPr>
                <w:sz w:val="22"/>
                <w:szCs w:val="22"/>
              </w:rPr>
            </w:pPr>
            <w:r w:rsidRPr="005A30DB">
              <w:rPr>
                <w:sz w:val="22"/>
                <w:szCs w:val="22"/>
              </w:rPr>
              <w:t>Skatteministeriet bibeholder den oprindel</w:t>
            </w:r>
            <w:r w:rsidRPr="005A30DB">
              <w:rPr>
                <w:sz w:val="22"/>
                <w:szCs w:val="22"/>
              </w:rPr>
              <w:t>i</w:t>
            </w:r>
            <w:r w:rsidRPr="005A30DB">
              <w:rPr>
                <w:sz w:val="22"/>
                <w:szCs w:val="22"/>
              </w:rPr>
              <w:t>ge affattelse af lovforslagets § 3. Derimod vil Skatteministeriet i lovforslagets almi</w:t>
            </w:r>
            <w:r w:rsidRPr="005A30DB">
              <w:rPr>
                <w:sz w:val="22"/>
                <w:szCs w:val="22"/>
              </w:rPr>
              <w:t>n</w:t>
            </w:r>
            <w:r w:rsidRPr="005A30DB">
              <w:rPr>
                <w:sz w:val="22"/>
                <w:szCs w:val="22"/>
              </w:rPr>
              <w:t>delige bemærkninger afsnit 3.4. tilføje et nyt sidste afsnit: »Virksomheder omfattet af momslovens § 37, stk. 7 og 8, som i den forbindelse har ydelser omfattet af bilag 1 til elafgiftsloven, kan dog allerede som følge heraf ikke få tilbagebetalt elafgift af elforbrug i relation til disse ydelser«.</w:t>
            </w:r>
          </w:p>
        </w:tc>
      </w:tr>
      <w:tr w:rsidR="0027142E" w:rsidRPr="00481E36" w:rsidTr="00982CC6">
        <w:tc>
          <w:tcPr>
            <w:tcW w:w="2448" w:type="dxa"/>
          </w:tcPr>
          <w:p w:rsidR="0027142E" w:rsidRPr="001375AC" w:rsidRDefault="0027142E" w:rsidP="0027142E">
            <w:pPr>
              <w:spacing w:line="288" w:lineRule="auto"/>
              <w:rPr>
                <w:sz w:val="22"/>
                <w:szCs w:val="22"/>
                <w:lang w:val="en-US"/>
              </w:rPr>
            </w:pPr>
            <w:r>
              <w:rPr>
                <w:sz w:val="22"/>
                <w:szCs w:val="22"/>
                <w:lang w:val="en-US"/>
              </w:rPr>
              <w:lastRenderedPageBreak/>
              <w:t>Danske Specialmedier</w:t>
            </w:r>
          </w:p>
        </w:tc>
        <w:tc>
          <w:tcPr>
            <w:tcW w:w="3240" w:type="dxa"/>
          </w:tcPr>
          <w:p w:rsidR="0027142E" w:rsidRDefault="0027142E" w:rsidP="0027142E">
            <w:pPr>
              <w:rPr>
                <w:sz w:val="22"/>
                <w:szCs w:val="22"/>
              </w:rPr>
            </w:pPr>
            <w:r>
              <w:rPr>
                <w:sz w:val="22"/>
                <w:szCs w:val="22"/>
              </w:rPr>
              <w:t xml:space="preserve">Danske specialmedier bemærker i relation til forslaget </w:t>
            </w:r>
            <w:r w:rsidRPr="0044006F">
              <w:rPr>
                <w:b/>
                <w:i/>
                <w:sz w:val="22"/>
                <w:szCs w:val="22"/>
              </w:rPr>
              <w:t xml:space="preserve">vedrørende </w:t>
            </w:r>
            <w:r w:rsidR="008C3043">
              <w:rPr>
                <w:b/>
                <w:i/>
                <w:sz w:val="22"/>
                <w:szCs w:val="22"/>
              </w:rPr>
              <w:t xml:space="preserve">privates </w:t>
            </w:r>
            <w:r w:rsidRPr="0044006F">
              <w:rPr>
                <w:b/>
                <w:i/>
                <w:sz w:val="22"/>
                <w:szCs w:val="22"/>
              </w:rPr>
              <w:t xml:space="preserve">indførsel af </w:t>
            </w:r>
            <w:r w:rsidR="008C3043">
              <w:rPr>
                <w:b/>
                <w:i/>
                <w:sz w:val="22"/>
                <w:szCs w:val="22"/>
              </w:rPr>
              <w:t xml:space="preserve">magasiner, </w:t>
            </w:r>
            <w:r w:rsidRPr="0044006F">
              <w:rPr>
                <w:b/>
                <w:i/>
                <w:sz w:val="22"/>
                <w:szCs w:val="22"/>
              </w:rPr>
              <w:t>tidsskrifter</w:t>
            </w:r>
            <w:r w:rsidR="008C3043">
              <w:rPr>
                <w:b/>
                <w:i/>
                <w:sz w:val="22"/>
                <w:szCs w:val="22"/>
              </w:rPr>
              <w:t xml:space="preserve"> o.lign.</w:t>
            </w:r>
            <w:r>
              <w:rPr>
                <w:i/>
                <w:sz w:val="22"/>
                <w:szCs w:val="22"/>
              </w:rPr>
              <w:t>,</w:t>
            </w:r>
            <w:r>
              <w:rPr>
                <w:sz w:val="22"/>
                <w:szCs w:val="22"/>
              </w:rPr>
              <w:t xml:space="preserve"> at forslaget vil få væsentlige konsekvenser for en række forbrugerrettede magas</w:t>
            </w:r>
            <w:r>
              <w:rPr>
                <w:sz w:val="22"/>
                <w:szCs w:val="22"/>
              </w:rPr>
              <w:t>i</w:t>
            </w:r>
            <w:r>
              <w:rPr>
                <w:sz w:val="22"/>
                <w:szCs w:val="22"/>
              </w:rPr>
              <w:t>ner, som i dag trykkes udenfor EU – bl.a. i Norge og Makedon</w:t>
            </w:r>
            <w:r>
              <w:rPr>
                <w:sz w:val="22"/>
                <w:szCs w:val="22"/>
              </w:rPr>
              <w:t>i</w:t>
            </w:r>
            <w:r>
              <w:rPr>
                <w:sz w:val="22"/>
                <w:szCs w:val="22"/>
              </w:rPr>
              <w:t xml:space="preserve">en. </w:t>
            </w:r>
          </w:p>
          <w:p w:rsidR="0027142E" w:rsidRDefault="0027142E" w:rsidP="0027142E">
            <w:pPr>
              <w:rPr>
                <w:sz w:val="22"/>
                <w:szCs w:val="22"/>
              </w:rPr>
            </w:pPr>
          </w:p>
          <w:p w:rsidR="0027142E" w:rsidRDefault="0027142E" w:rsidP="0027142E">
            <w:pPr>
              <w:rPr>
                <w:sz w:val="22"/>
                <w:szCs w:val="22"/>
              </w:rPr>
            </w:pPr>
            <w:r>
              <w:rPr>
                <w:sz w:val="22"/>
                <w:szCs w:val="22"/>
              </w:rPr>
              <w:t>Lovændringen vil føre til, at de pågældende magasiner flytter produktionen til andre lande, hvor produktionsomkostningerne er væsentligt lavere end i Danmark, og man vil derfor ikke opnå den ønskede effekt i form af at sikre danske arbejdspladser.</w:t>
            </w:r>
          </w:p>
          <w:p w:rsidR="0027142E" w:rsidRDefault="0027142E" w:rsidP="0027142E">
            <w:pPr>
              <w:rPr>
                <w:sz w:val="22"/>
                <w:szCs w:val="22"/>
              </w:rPr>
            </w:pPr>
            <w:r>
              <w:rPr>
                <w:sz w:val="22"/>
                <w:szCs w:val="22"/>
              </w:rPr>
              <w:t>Forslaget kan til gengæld få en negativ beskæftigelseseffekt i Danmark, idet de nye regler vil påvirke de berørte magasiners økonomi negativt.</w:t>
            </w:r>
          </w:p>
          <w:p w:rsidR="0027142E" w:rsidRDefault="0027142E" w:rsidP="0027142E">
            <w:pPr>
              <w:rPr>
                <w:sz w:val="22"/>
                <w:szCs w:val="22"/>
              </w:rPr>
            </w:pPr>
          </w:p>
          <w:p w:rsidR="0027142E" w:rsidRDefault="0027142E" w:rsidP="0027142E">
            <w:pPr>
              <w:rPr>
                <w:sz w:val="22"/>
                <w:szCs w:val="22"/>
              </w:rPr>
            </w:pPr>
            <w:r>
              <w:rPr>
                <w:sz w:val="22"/>
                <w:szCs w:val="22"/>
              </w:rPr>
              <w:t>Endelig bemærker Danske Spec</w:t>
            </w:r>
            <w:r>
              <w:rPr>
                <w:sz w:val="22"/>
                <w:szCs w:val="22"/>
              </w:rPr>
              <w:t>i</w:t>
            </w:r>
            <w:r>
              <w:rPr>
                <w:sz w:val="22"/>
                <w:szCs w:val="22"/>
              </w:rPr>
              <w:t>almedier, at såfremt forslaget vedtages, så er det vigtigt, at der tages højde for, at betaling af magasiner sker forud – ofte for det efterfølgende år. Det bør de</w:t>
            </w:r>
            <w:r>
              <w:rPr>
                <w:sz w:val="22"/>
                <w:szCs w:val="22"/>
              </w:rPr>
              <w:t>r</w:t>
            </w:r>
            <w:r>
              <w:rPr>
                <w:sz w:val="22"/>
                <w:szCs w:val="22"/>
              </w:rPr>
              <w:t xml:space="preserve">for præciseres, at der kun skal betales moms af indbetalinger fra nye abonnementer og gentegning af gamle. </w:t>
            </w:r>
          </w:p>
        </w:tc>
        <w:tc>
          <w:tcPr>
            <w:tcW w:w="4090" w:type="dxa"/>
          </w:tcPr>
          <w:p w:rsidR="00384750" w:rsidRDefault="00384750" w:rsidP="00384750">
            <w:pPr>
              <w:rPr>
                <w:sz w:val="22"/>
                <w:szCs w:val="22"/>
              </w:rPr>
            </w:pPr>
            <w:r>
              <w:rPr>
                <w:sz w:val="22"/>
                <w:szCs w:val="22"/>
              </w:rPr>
              <w:t>Der henvises til kommentar til høringssvar fra Audio Media A/S m.fl.</w:t>
            </w:r>
          </w:p>
          <w:p w:rsidR="0027142E" w:rsidRDefault="0027142E" w:rsidP="00605516">
            <w:pPr>
              <w:rPr>
                <w:sz w:val="22"/>
                <w:szCs w:val="22"/>
              </w:rPr>
            </w:pPr>
          </w:p>
        </w:tc>
      </w:tr>
      <w:tr w:rsidR="00D93621" w:rsidRPr="00481E36" w:rsidTr="00982CC6">
        <w:tc>
          <w:tcPr>
            <w:tcW w:w="2448" w:type="dxa"/>
          </w:tcPr>
          <w:p w:rsidR="00D93621" w:rsidRDefault="00D93621" w:rsidP="00D93621">
            <w:pPr>
              <w:spacing w:line="288" w:lineRule="auto"/>
              <w:rPr>
                <w:sz w:val="22"/>
                <w:szCs w:val="22"/>
              </w:rPr>
            </w:pPr>
            <w:r>
              <w:rPr>
                <w:sz w:val="22"/>
                <w:szCs w:val="22"/>
              </w:rPr>
              <w:t>Dansk Told &amp; Skattefo</w:t>
            </w:r>
            <w:r>
              <w:rPr>
                <w:sz w:val="22"/>
                <w:szCs w:val="22"/>
              </w:rPr>
              <w:t>r</w:t>
            </w:r>
            <w:r>
              <w:rPr>
                <w:sz w:val="22"/>
                <w:szCs w:val="22"/>
              </w:rPr>
              <w:t>bund</w:t>
            </w:r>
          </w:p>
        </w:tc>
        <w:tc>
          <w:tcPr>
            <w:tcW w:w="3240" w:type="dxa"/>
          </w:tcPr>
          <w:p w:rsidR="00D93621" w:rsidRDefault="00D93621" w:rsidP="00D93621">
            <w:pPr>
              <w:rPr>
                <w:sz w:val="22"/>
                <w:szCs w:val="22"/>
              </w:rPr>
            </w:pPr>
            <w:r>
              <w:rPr>
                <w:sz w:val="22"/>
                <w:szCs w:val="22"/>
              </w:rPr>
              <w:t>Dansk Told &amp; Skatteforbund foreslår, at regler fra momsb</w:t>
            </w:r>
            <w:r>
              <w:rPr>
                <w:sz w:val="22"/>
                <w:szCs w:val="22"/>
              </w:rPr>
              <w:t>e</w:t>
            </w:r>
            <w:r>
              <w:rPr>
                <w:sz w:val="22"/>
                <w:szCs w:val="22"/>
              </w:rPr>
              <w:t>kendtgørelsen dels ophøjes til regler i momsloven, dels in</w:t>
            </w:r>
            <w:r>
              <w:rPr>
                <w:sz w:val="22"/>
                <w:szCs w:val="22"/>
              </w:rPr>
              <w:t>d</w:t>
            </w:r>
            <w:r>
              <w:rPr>
                <w:sz w:val="22"/>
                <w:szCs w:val="22"/>
              </w:rPr>
              <w:t xml:space="preserve">holdsmæssigt ændres således, at en virksomhed ved afslutning af </w:t>
            </w:r>
            <w:r>
              <w:rPr>
                <w:sz w:val="22"/>
                <w:szCs w:val="22"/>
              </w:rPr>
              <w:lastRenderedPageBreak/>
              <w:t>momsregnskabet for en periode skal ligge ind med dokumentation for købsmomsen eller brugtmo</w:t>
            </w:r>
            <w:r>
              <w:rPr>
                <w:sz w:val="22"/>
                <w:szCs w:val="22"/>
              </w:rPr>
              <w:t>m</w:t>
            </w:r>
            <w:r>
              <w:rPr>
                <w:sz w:val="22"/>
                <w:szCs w:val="22"/>
              </w:rPr>
              <w:t>sordningen.</w:t>
            </w:r>
          </w:p>
        </w:tc>
        <w:tc>
          <w:tcPr>
            <w:tcW w:w="4090" w:type="dxa"/>
          </w:tcPr>
          <w:p w:rsidR="00D93621" w:rsidRDefault="00D93621" w:rsidP="00D93621">
            <w:pPr>
              <w:rPr>
                <w:sz w:val="22"/>
                <w:szCs w:val="22"/>
              </w:rPr>
            </w:pPr>
            <w:r>
              <w:rPr>
                <w:sz w:val="22"/>
                <w:szCs w:val="22"/>
              </w:rPr>
              <w:lastRenderedPageBreak/>
              <w:t>Regler, hvorefter en virksomhed ved a</w:t>
            </w:r>
            <w:r>
              <w:rPr>
                <w:sz w:val="22"/>
                <w:szCs w:val="22"/>
              </w:rPr>
              <w:t>f</w:t>
            </w:r>
            <w:r>
              <w:rPr>
                <w:sz w:val="22"/>
                <w:szCs w:val="22"/>
              </w:rPr>
              <w:t xml:space="preserve">slutning af momsregnskabet for en periode skal ligge ind med dokumentation for købsmomsen eller brugtmomsordningen, vil i givet fald være mest egnet til at blive fastsat i momsbekendtgørelsen frem for i </w:t>
            </w:r>
            <w:r>
              <w:rPr>
                <w:sz w:val="22"/>
                <w:szCs w:val="22"/>
              </w:rPr>
              <w:lastRenderedPageBreak/>
              <w:t>momsloven.</w:t>
            </w:r>
          </w:p>
        </w:tc>
      </w:tr>
      <w:tr w:rsidR="00D93621" w:rsidRPr="00481E36" w:rsidTr="00982CC6">
        <w:tc>
          <w:tcPr>
            <w:tcW w:w="2448" w:type="dxa"/>
          </w:tcPr>
          <w:p w:rsidR="00D93621" w:rsidRDefault="00D93621" w:rsidP="00D93621">
            <w:pPr>
              <w:spacing w:line="288" w:lineRule="auto"/>
              <w:rPr>
                <w:sz w:val="22"/>
                <w:szCs w:val="22"/>
              </w:rPr>
            </w:pPr>
            <w:r>
              <w:rPr>
                <w:sz w:val="22"/>
                <w:szCs w:val="22"/>
              </w:rPr>
              <w:lastRenderedPageBreak/>
              <w:t>Datatilsynet</w:t>
            </w:r>
          </w:p>
        </w:tc>
        <w:tc>
          <w:tcPr>
            <w:tcW w:w="3240" w:type="dxa"/>
          </w:tcPr>
          <w:p w:rsidR="00D93621" w:rsidRDefault="00D93621" w:rsidP="00D93621">
            <w:pPr>
              <w:rPr>
                <w:sz w:val="22"/>
                <w:szCs w:val="22"/>
              </w:rPr>
            </w:pPr>
            <w:r>
              <w:rPr>
                <w:sz w:val="22"/>
                <w:szCs w:val="22"/>
              </w:rPr>
              <w:t>Datatilsynet har ingen bemær</w:t>
            </w:r>
            <w:r>
              <w:rPr>
                <w:sz w:val="22"/>
                <w:szCs w:val="22"/>
              </w:rPr>
              <w:t>k</w:t>
            </w:r>
            <w:r>
              <w:rPr>
                <w:sz w:val="22"/>
                <w:szCs w:val="22"/>
              </w:rPr>
              <w:t>ninger til lovforslaget.</w:t>
            </w:r>
          </w:p>
        </w:tc>
        <w:tc>
          <w:tcPr>
            <w:tcW w:w="4090" w:type="dxa"/>
          </w:tcPr>
          <w:p w:rsidR="00D93621" w:rsidRDefault="00D93621" w:rsidP="00D93621">
            <w:pPr>
              <w:rPr>
                <w:sz w:val="22"/>
                <w:szCs w:val="22"/>
              </w:rPr>
            </w:pPr>
          </w:p>
        </w:tc>
      </w:tr>
      <w:tr w:rsidR="00D93621" w:rsidRPr="00481E36" w:rsidTr="00982CC6">
        <w:tc>
          <w:tcPr>
            <w:tcW w:w="2448" w:type="dxa"/>
          </w:tcPr>
          <w:p w:rsidR="00D93621" w:rsidRPr="00481E36" w:rsidRDefault="00D93621" w:rsidP="00D93621">
            <w:pPr>
              <w:spacing w:line="288" w:lineRule="auto"/>
              <w:rPr>
                <w:sz w:val="22"/>
                <w:szCs w:val="22"/>
              </w:rPr>
            </w:pPr>
            <w:r>
              <w:rPr>
                <w:sz w:val="22"/>
                <w:szCs w:val="22"/>
              </w:rPr>
              <w:t>DSB</w:t>
            </w:r>
          </w:p>
        </w:tc>
        <w:tc>
          <w:tcPr>
            <w:tcW w:w="3240" w:type="dxa"/>
          </w:tcPr>
          <w:p w:rsidR="00D93621" w:rsidRDefault="00D93621" w:rsidP="00D93621">
            <w:pPr>
              <w:rPr>
                <w:sz w:val="22"/>
                <w:szCs w:val="22"/>
              </w:rPr>
            </w:pPr>
            <w:r>
              <w:rPr>
                <w:sz w:val="22"/>
                <w:szCs w:val="22"/>
              </w:rPr>
              <w:t xml:space="preserve">DSB bemærker, at forslaget om ændring af </w:t>
            </w:r>
            <w:r w:rsidRPr="00D93621">
              <w:rPr>
                <w:b/>
                <w:sz w:val="22"/>
                <w:szCs w:val="22"/>
              </w:rPr>
              <w:t>momsgodtgørelse til fradrag</w:t>
            </w:r>
            <w:r>
              <w:rPr>
                <w:sz w:val="22"/>
                <w:szCs w:val="22"/>
              </w:rPr>
              <w:t xml:space="preserve"> skønnes at være neutral for DSB, idet den foreslåede m</w:t>
            </w:r>
            <w:r>
              <w:rPr>
                <w:sz w:val="22"/>
                <w:szCs w:val="22"/>
              </w:rPr>
              <w:t>o</w:t>
            </w:r>
            <w:r>
              <w:rPr>
                <w:sz w:val="22"/>
                <w:szCs w:val="22"/>
              </w:rPr>
              <w:t>del svarer til måde DSB i dag opgør fradragsretten på.</w:t>
            </w:r>
          </w:p>
          <w:p w:rsidR="00D93621" w:rsidRDefault="00D93621" w:rsidP="00D93621">
            <w:pPr>
              <w:rPr>
                <w:sz w:val="22"/>
                <w:szCs w:val="22"/>
              </w:rPr>
            </w:pPr>
          </w:p>
          <w:p w:rsidR="00D93621" w:rsidRDefault="00D93621" w:rsidP="00D93621">
            <w:pPr>
              <w:rPr>
                <w:sz w:val="22"/>
                <w:szCs w:val="22"/>
              </w:rPr>
            </w:pPr>
            <w:r>
              <w:rPr>
                <w:sz w:val="22"/>
                <w:szCs w:val="22"/>
              </w:rPr>
              <w:t xml:space="preserve">DSB bemærker, at forslaget til ændring af </w:t>
            </w:r>
            <w:r w:rsidRPr="00D93621">
              <w:rPr>
                <w:b/>
                <w:sz w:val="22"/>
                <w:szCs w:val="22"/>
              </w:rPr>
              <w:t>energiafgiftslovene og vandafgiftsloven</w:t>
            </w:r>
            <w:r>
              <w:rPr>
                <w:sz w:val="22"/>
                <w:szCs w:val="22"/>
              </w:rPr>
              <w:t xml:space="preserve"> i kons</w:t>
            </w:r>
            <w:r>
              <w:rPr>
                <w:sz w:val="22"/>
                <w:szCs w:val="22"/>
              </w:rPr>
              <w:t>e</w:t>
            </w:r>
            <w:r>
              <w:rPr>
                <w:sz w:val="22"/>
                <w:szCs w:val="22"/>
              </w:rPr>
              <w:t>kvens af, at man erstatter muli</w:t>
            </w:r>
            <w:r>
              <w:rPr>
                <w:sz w:val="22"/>
                <w:szCs w:val="22"/>
              </w:rPr>
              <w:t>g</w:t>
            </w:r>
            <w:r>
              <w:rPr>
                <w:sz w:val="22"/>
                <w:szCs w:val="22"/>
              </w:rPr>
              <w:t>heden i momsloven for godtgøre</w:t>
            </w:r>
            <w:r>
              <w:rPr>
                <w:sz w:val="22"/>
                <w:szCs w:val="22"/>
              </w:rPr>
              <w:t>l</w:t>
            </w:r>
            <w:r>
              <w:rPr>
                <w:sz w:val="22"/>
                <w:szCs w:val="22"/>
              </w:rPr>
              <w:t>se med en mulighed for fradrag, vil være en skærpelse af de nuv</w:t>
            </w:r>
            <w:r>
              <w:rPr>
                <w:sz w:val="22"/>
                <w:szCs w:val="22"/>
              </w:rPr>
              <w:t>æ</w:t>
            </w:r>
            <w:r>
              <w:rPr>
                <w:sz w:val="22"/>
                <w:szCs w:val="22"/>
              </w:rPr>
              <w:t>rende regler for energiafgiftsfr</w:t>
            </w:r>
            <w:r>
              <w:rPr>
                <w:sz w:val="22"/>
                <w:szCs w:val="22"/>
              </w:rPr>
              <w:t>a</w:t>
            </w:r>
            <w:r>
              <w:rPr>
                <w:sz w:val="22"/>
                <w:szCs w:val="22"/>
              </w:rPr>
              <w:t>drag, hvilket strider imod det i bemærkningerne anførte om, at den nuværende retstilstand opre</w:t>
            </w:r>
            <w:r>
              <w:rPr>
                <w:sz w:val="22"/>
                <w:szCs w:val="22"/>
              </w:rPr>
              <w:t>t</w:t>
            </w:r>
            <w:r>
              <w:rPr>
                <w:sz w:val="22"/>
                <w:szCs w:val="22"/>
              </w:rPr>
              <w:t>holdes.</w:t>
            </w:r>
          </w:p>
          <w:p w:rsidR="00AE5F8B" w:rsidRDefault="00AE5F8B" w:rsidP="00D93621">
            <w:pPr>
              <w:rPr>
                <w:sz w:val="22"/>
                <w:szCs w:val="22"/>
              </w:rPr>
            </w:pPr>
          </w:p>
          <w:p w:rsidR="00D93621" w:rsidRDefault="00D93621" w:rsidP="00D93621">
            <w:pPr>
              <w:rPr>
                <w:sz w:val="22"/>
                <w:szCs w:val="22"/>
              </w:rPr>
            </w:pPr>
            <w:r>
              <w:rPr>
                <w:sz w:val="22"/>
                <w:szCs w:val="22"/>
              </w:rPr>
              <w:t>DSB anfører, at forslaget på dette punkt strider mod de hensigter, der generelt ligger i afgiftslovgi</w:t>
            </w:r>
            <w:r>
              <w:rPr>
                <w:sz w:val="22"/>
                <w:szCs w:val="22"/>
              </w:rPr>
              <w:t>v</w:t>
            </w:r>
            <w:r>
              <w:rPr>
                <w:sz w:val="22"/>
                <w:szCs w:val="22"/>
              </w:rPr>
              <w:t>ningen om at sikre, at danske virksomheder med internationale aktiviteter friholdes for danske afgifter. DSB henviser bl.a. til forarbejderne til indførelsen af reglerne om energiafgiftsgodtg</w:t>
            </w:r>
            <w:r>
              <w:rPr>
                <w:sz w:val="22"/>
                <w:szCs w:val="22"/>
              </w:rPr>
              <w:t>ø</w:t>
            </w:r>
            <w:r>
              <w:rPr>
                <w:sz w:val="22"/>
                <w:szCs w:val="22"/>
              </w:rPr>
              <w:t>relse fra 1979.</w:t>
            </w:r>
          </w:p>
          <w:p w:rsidR="00D93621" w:rsidRPr="00481E36" w:rsidRDefault="00D93621" w:rsidP="00D93621">
            <w:pPr>
              <w:rPr>
                <w:sz w:val="22"/>
                <w:szCs w:val="22"/>
              </w:rPr>
            </w:pPr>
            <w:r>
              <w:rPr>
                <w:sz w:val="22"/>
                <w:szCs w:val="22"/>
              </w:rPr>
              <w:t>Forslaget vil endvidere medføre en negativ administrativ effekt, idet DSB fremover vil skulle o</w:t>
            </w:r>
            <w:r>
              <w:rPr>
                <w:sz w:val="22"/>
                <w:szCs w:val="22"/>
              </w:rPr>
              <w:t>p</w:t>
            </w:r>
            <w:r>
              <w:rPr>
                <w:sz w:val="22"/>
                <w:szCs w:val="22"/>
              </w:rPr>
              <w:t>gøre en separat brøk til godtgøre</w:t>
            </w:r>
            <w:r>
              <w:rPr>
                <w:sz w:val="22"/>
                <w:szCs w:val="22"/>
              </w:rPr>
              <w:t>l</w:t>
            </w:r>
            <w:r>
              <w:rPr>
                <w:sz w:val="22"/>
                <w:szCs w:val="22"/>
              </w:rPr>
              <w:t>se af visse afgifter, og indtægter fra udenrigspersonbefordring vil ikke skulle medtages i tælleren i denne brøk.</w:t>
            </w:r>
          </w:p>
        </w:tc>
        <w:tc>
          <w:tcPr>
            <w:tcW w:w="4090" w:type="dxa"/>
          </w:tcPr>
          <w:p w:rsidR="00D93621" w:rsidRDefault="00D93621" w:rsidP="00D93621">
            <w:pPr>
              <w:rPr>
                <w:sz w:val="22"/>
                <w:szCs w:val="22"/>
              </w:rPr>
            </w:pPr>
          </w:p>
          <w:p w:rsidR="00AE5F8B" w:rsidRDefault="00AE5F8B" w:rsidP="00D93621">
            <w:pPr>
              <w:rPr>
                <w:sz w:val="22"/>
                <w:szCs w:val="22"/>
              </w:rPr>
            </w:pPr>
          </w:p>
          <w:p w:rsidR="00AE5F8B" w:rsidRDefault="00AE5F8B" w:rsidP="00D93621">
            <w:pPr>
              <w:rPr>
                <w:sz w:val="22"/>
                <w:szCs w:val="22"/>
              </w:rPr>
            </w:pPr>
          </w:p>
          <w:p w:rsidR="00AE5F8B" w:rsidRDefault="00AE5F8B" w:rsidP="00D93621">
            <w:pPr>
              <w:rPr>
                <w:sz w:val="22"/>
                <w:szCs w:val="22"/>
              </w:rPr>
            </w:pPr>
          </w:p>
          <w:p w:rsidR="00AE5F8B" w:rsidRDefault="00AE5F8B" w:rsidP="00D93621">
            <w:pPr>
              <w:rPr>
                <w:sz w:val="22"/>
                <w:szCs w:val="22"/>
              </w:rPr>
            </w:pPr>
          </w:p>
          <w:p w:rsidR="00AE5F8B" w:rsidRDefault="00AE5F8B" w:rsidP="00D93621">
            <w:pPr>
              <w:rPr>
                <w:sz w:val="22"/>
                <w:szCs w:val="22"/>
              </w:rPr>
            </w:pPr>
          </w:p>
          <w:p w:rsidR="00AE5F8B" w:rsidRDefault="00AE5F8B" w:rsidP="00D93621">
            <w:pPr>
              <w:rPr>
                <w:sz w:val="22"/>
                <w:szCs w:val="22"/>
              </w:rPr>
            </w:pPr>
          </w:p>
          <w:p w:rsidR="00AE5F8B" w:rsidRPr="00AE5F8B" w:rsidRDefault="00AE5F8B" w:rsidP="00AE5F8B">
            <w:pPr>
              <w:rPr>
                <w:bCs/>
                <w:sz w:val="22"/>
                <w:szCs w:val="22"/>
              </w:rPr>
            </w:pPr>
            <w:r w:rsidRPr="00AE5F8B">
              <w:rPr>
                <w:bCs/>
                <w:sz w:val="22"/>
                <w:szCs w:val="22"/>
              </w:rPr>
              <w:t>Grundlæggende skelnes der i energiafgift</w:t>
            </w:r>
            <w:r w:rsidRPr="00AE5F8B">
              <w:rPr>
                <w:bCs/>
                <w:sz w:val="22"/>
                <w:szCs w:val="22"/>
              </w:rPr>
              <w:t>s</w:t>
            </w:r>
            <w:r w:rsidRPr="00AE5F8B">
              <w:rPr>
                <w:bCs/>
                <w:sz w:val="22"/>
                <w:szCs w:val="22"/>
              </w:rPr>
              <w:t>lovenes godtgørelsesbestemmelser imellem energiforbrug til selve jernbanedriften og energiforbrug til andre driftsformål.  De foreslåede ændringer af energiafgiftslovene og vandafgiftsloven vedrører sidstnævnte forbrug.</w:t>
            </w:r>
          </w:p>
          <w:p w:rsidR="00AE5F8B" w:rsidRPr="00AE5F8B" w:rsidRDefault="00AE5F8B" w:rsidP="00AE5F8B">
            <w:pPr>
              <w:rPr>
                <w:bCs/>
                <w:sz w:val="22"/>
                <w:szCs w:val="22"/>
              </w:rPr>
            </w:pPr>
          </w:p>
          <w:p w:rsidR="00AE5F8B" w:rsidRPr="00AE5F8B" w:rsidRDefault="00AE5F8B" w:rsidP="00AE5F8B">
            <w:pPr>
              <w:rPr>
                <w:sz w:val="22"/>
                <w:szCs w:val="22"/>
              </w:rPr>
            </w:pPr>
            <w:r w:rsidRPr="00AE5F8B">
              <w:rPr>
                <w:sz w:val="22"/>
                <w:szCs w:val="22"/>
              </w:rPr>
              <w:t>Ved at ændre adgangen til godtgørelse for moms af indkøbte varer og ydelser til et fradrag efter momslovens almindelige re</w:t>
            </w:r>
            <w:r w:rsidRPr="00AE5F8B">
              <w:rPr>
                <w:sz w:val="22"/>
                <w:szCs w:val="22"/>
              </w:rPr>
              <w:t>g</w:t>
            </w:r>
            <w:r w:rsidRPr="00AE5F8B">
              <w:rPr>
                <w:sz w:val="22"/>
                <w:szCs w:val="22"/>
              </w:rPr>
              <w:t>ler for fradrag bringes den danske momslov i overensstemmelse med momssystemd</w:t>
            </w:r>
            <w:r w:rsidRPr="00AE5F8B">
              <w:rPr>
                <w:sz w:val="22"/>
                <w:szCs w:val="22"/>
              </w:rPr>
              <w:t>i</w:t>
            </w:r>
            <w:r w:rsidRPr="00AE5F8B">
              <w:rPr>
                <w:sz w:val="22"/>
                <w:szCs w:val="22"/>
              </w:rPr>
              <w:t>rektivets (2006/112/EØF) bestemmelser, idet direktivet – i modsætning til det tidl</w:t>
            </w:r>
            <w:r w:rsidRPr="00AE5F8B">
              <w:rPr>
                <w:sz w:val="22"/>
                <w:szCs w:val="22"/>
              </w:rPr>
              <w:t>i</w:t>
            </w:r>
            <w:r w:rsidRPr="00AE5F8B">
              <w:rPr>
                <w:sz w:val="22"/>
                <w:szCs w:val="22"/>
              </w:rPr>
              <w:t>gere sjette momsdirektiv - alene indeholder hjemmel til at fradrage momsen men ikke til at tilbagebetale (godtgøre) momsen af indkøbte varer og ydelser.</w:t>
            </w:r>
          </w:p>
          <w:p w:rsidR="00AE5F8B" w:rsidRPr="00AE5F8B" w:rsidRDefault="00AE5F8B" w:rsidP="00AE5F8B">
            <w:pPr>
              <w:rPr>
                <w:sz w:val="22"/>
                <w:szCs w:val="22"/>
              </w:rPr>
            </w:pPr>
          </w:p>
          <w:p w:rsidR="00AE5F8B" w:rsidRPr="00AE5F8B" w:rsidRDefault="00AE5F8B" w:rsidP="00AE5F8B">
            <w:pPr>
              <w:rPr>
                <w:sz w:val="22"/>
                <w:szCs w:val="22"/>
              </w:rPr>
            </w:pPr>
            <w:r w:rsidRPr="00AE5F8B">
              <w:rPr>
                <w:sz w:val="22"/>
                <w:szCs w:val="22"/>
              </w:rPr>
              <w:t>Efter Skatteministeriets opfattelse strider lovforslaget ikke mod de hensigter, som ligger i afgiftslovgivningen, eller at lovfor</w:t>
            </w:r>
            <w:r w:rsidRPr="00AE5F8B">
              <w:rPr>
                <w:sz w:val="22"/>
                <w:szCs w:val="22"/>
              </w:rPr>
              <w:t>s</w:t>
            </w:r>
            <w:r w:rsidRPr="00AE5F8B">
              <w:rPr>
                <w:sz w:val="22"/>
                <w:szCs w:val="22"/>
              </w:rPr>
              <w:t>laget er udtryk for en skærpelse af gælde</w:t>
            </w:r>
            <w:r w:rsidRPr="00AE5F8B">
              <w:rPr>
                <w:sz w:val="22"/>
                <w:szCs w:val="22"/>
              </w:rPr>
              <w:t>n</w:t>
            </w:r>
            <w:r w:rsidRPr="00AE5F8B">
              <w:rPr>
                <w:sz w:val="22"/>
                <w:szCs w:val="22"/>
              </w:rPr>
              <w:t>de ret. Derimod er lovforslaget udtryk for en præcisering af gældende ret, således at fradrag for energiafgifter forudsætter, at energien forbruges i en momsregistreret virksomhed i forbindelse med aktiviteter, der er omfattet af afgiftspligten og registr</w:t>
            </w:r>
            <w:r w:rsidRPr="00AE5F8B">
              <w:rPr>
                <w:sz w:val="22"/>
                <w:szCs w:val="22"/>
              </w:rPr>
              <w:t>e</w:t>
            </w:r>
            <w:r w:rsidRPr="00AE5F8B">
              <w:rPr>
                <w:sz w:val="22"/>
                <w:szCs w:val="22"/>
              </w:rPr>
              <w:t>ringspligten i medfør af momsloven.</w:t>
            </w:r>
          </w:p>
          <w:p w:rsidR="00AE5F8B" w:rsidRPr="00AE5F8B" w:rsidRDefault="00AE5F8B" w:rsidP="00AE5F8B">
            <w:pPr>
              <w:rPr>
                <w:sz w:val="22"/>
                <w:szCs w:val="22"/>
              </w:rPr>
            </w:pPr>
          </w:p>
          <w:p w:rsidR="00AE5F8B" w:rsidRPr="00AE5F8B" w:rsidRDefault="00AE5F8B" w:rsidP="00AE5F8B">
            <w:pPr>
              <w:rPr>
                <w:bCs/>
                <w:sz w:val="22"/>
                <w:szCs w:val="22"/>
              </w:rPr>
            </w:pPr>
            <w:r w:rsidRPr="00AE5F8B">
              <w:rPr>
                <w:bCs/>
                <w:sz w:val="22"/>
                <w:szCs w:val="22"/>
              </w:rPr>
              <w:t>Den foreslåede ændring er udtryk for, at transportvirksomheder efter gældende re</w:t>
            </w:r>
            <w:r w:rsidRPr="00AE5F8B">
              <w:rPr>
                <w:bCs/>
                <w:sz w:val="22"/>
                <w:szCs w:val="22"/>
              </w:rPr>
              <w:t>g</w:t>
            </w:r>
            <w:r w:rsidRPr="00AE5F8B">
              <w:rPr>
                <w:bCs/>
                <w:sz w:val="22"/>
                <w:szCs w:val="22"/>
              </w:rPr>
              <w:t>ler ikke har ret til tilbagebetaling af energ</w:t>
            </w:r>
            <w:r w:rsidRPr="00AE5F8B">
              <w:rPr>
                <w:bCs/>
                <w:sz w:val="22"/>
                <w:szCs w:val="22"/>
              </w:rPr>
              <w:t>i</w:t>
            </w:r>
            <w:r w:rsidRPr="00AE5F8B">
              <w:rPr>
                <w:bCs/>
                <w:sz w:val="22"/>
                <w:szCs w:val="22"/>
              </w:rPr>
              <w:t>afgifter på forbrug vedrørende momsfri personbefordring som følge af bestemme</w:t>
            </w:r>
            <w:r w:rsidRPr="00AE5F8B">
              <w:rPr>
                <w:bCs/>
                <w:sz w:val="22"/>
                <w:szCs w:val="22"/>
              </w:rPr>
              <w:t>l</w:t>
            </w:r>
            <w:r w:rsidRPr="00AE5F8B">
              <w:rPr>
                <w:bCs/>
                <w:sz w:val="22"/>
                <w:szCs w:val="22"/>
              </w:rPr>
              <w:t>sen i energiafgiftslovene om, at energiafgifter kan tilbagebetales i samme omfang, som virksomheden har fradragsret for indgående moms. Dette var efter Ska</w:t>
            </w:r>
            <w:r w:rsidRPr="00AE5F8B">
              <w:rPr>
                <w:bCs/>
                <w:sz w:val="22"/>
                <w:szCs w:val="22"/>
              </w:rPr>
              <w:t>t</w:t>
            </w:r>
            <w:r w:rsidRPr="00AE5F8B">
              <w:rPr>
                <w:bCs/>
                <w:sz w:val="22"/>
                <w:szCs w:val="22"/>
              </w:rPr>
              <w:t>teministeriets opfattelse også gældende i 1979.</w:t>
            </w:r>
          </w:p>
          <w:p w:rsidR="00AE5F8B" w:rsidRPr="00AE5F8B" w:rsidRDefault="00AE5F8B" w:rsidP="00AE5F8B">
            <w:pPr>
              <w:rPr>
                <w:sz w:val="22"/>
                <w:szCs w:val="22"/>
              </w:rPr>
            </w:pPr>
          </w:p>
          <w:p w:rsidR="00AE5F8B" w:rsidRPr="00AE5F8B" w:rsidRDefault="00AE5F8B" w:rsidP="00AE5F8B">
            <w:pPr>
              <w:rPr>
                <w:bCs/>
                <w:sz w:val="22"/>
                <w:szCs w:val="22"/>
              </w:rPr>
            </w:pPr>
            <w:r w:rsidRPr="00AE5F8B">
              <w:rPr>
                <w:bCs/>
                <w:sz w:val="22"/>
                <w:szCs w:val="22"/>
              </w:rPr>
              <w:t>Baggrunden for forslaget er samtidig, at der efter Skatteministeriets opfattelse ikke er grundlag for i forhold til energiafgiftslov</w:t>
            </w:r>
            <w:r w:rsidRPr="00AE5F8B">
              <w:rPr>
                <w:bCs/>
                <w:sz w:val="22"/>
                <w:szCs w:val="22"/>
              </w:rPr>
              <w:t>e</w:t>
            </w:r>
            <w:r w:rsidRPr="00AE5F8B">
              <w:rPr>
                <w:bCs/>
                <w:sz w:val="22"/>
                <w:szCs w:val="22"/>
              </w:rPr>
              <w:t>nes bestemmelser om tilbagebetaling i samme omfang, som virksomheden har fradragsret for indgående moms, at sidesti</w:t>
            </w:r>
            <w:r w:rsidRPr="00AE5F8B">
              <w:rPr>
                <w:bCs/>
                <w:sz w:val="22"/>
                <w:szCs w:val="22"/>
              </w:rPr>
              <w:t>l</w:t>
            </w:r>
            <w:r w:rsidRPr="00AE5F8B">
              <w:rPr>
                <w:bCs/>
                <w:sz w:val="22"/>
                <w:szCs w:val="22"/>
              </w:rPr>
              <w:t>le denne fradragsret for moms med retten til godtgørelse af moms efter den beste</w:t>
            </w:r>
            <w:r w:rsidRPr="00AE5F8B">
              <w:rPr>
                <w:bCs/>
                <w:sz w:val="22"/>
                <w:szCs w:val="22"/>
              </w:rPr>
              <w:t>m</w:t>
            </w:r>
            <w:r w:rsidRPr="00AE5F8B">
              <w:rPr>
                <w:bCs/>
                <w:sz w:val="22"/>
                <w:szCs w:val="22"/>
              </w:rPr>
              <w:t>melse i momsloven, som nu foreslås oph</w:t>
            </w:r>
            <w:r w:rsidRPr="00AE5F8B">
              <w:rPr>
                <w:bCs/>
                <w:sz w:val="22"/>
                <w:szCs w:val="22"/>
              </w:rPr>
              <w:t>æ</w:t>
            </w:r>
            <w:r w:rsidRPr="00AE5F8B">
              <w:rPr>
                <w:bCs/>
                <w:sz w:val="22"/>
                <w:szCs w:val="22"/>
              </w:rPr>
              <w:t xml:space="preserve">vet. </w:t>
            </w:r>
          </w:p>
          <w:p w:rsidR="00AE5F8B" w:rsidRPr="00AE5F8B" w:rsidRDefault="00AE5F8B" w:rsidP="00AE5F8B">
            <w:pPr>
              <w:rPr>
                <w:bCs/>
                <w:sz w:val="22"/>
                <w:szCs w:val="22"/>
              </w:rPr>
            </w:pPr>
          </w:p>
          <w:p w:rsidR="00AE5F8B" w:rsidRPr="00AE5F8B" w:rsidRDefault="00AE5F8B" w:rsidP="00AE5F8B">
            <w:pPr>
              <w:rPr>
                <w:bCs/>
                <w:sz w:val="22"/>
                <w:szCs w:val="22"/>
              </w:rPr>
            </w:pPr>
            <w:r w:rsidRPr="00AE5F8B">
              <w:rPr>
                <w:bCs/>
                <w:sz w:val="22"/>
                <w:szCs w:val="22"/>
              </w:rPr>
              <w:t>Dette indebærer, at transportvirksomheder, der hidtil har fået moms godtgjort vedr</w:t>
            </w:r>
            <w:r w:rsidRPr="00AE5F8B">
              <w:rPr>
                <w:bCs/>
                <w:sz w:val="22"/>
                <w:szCs w:val="22"/>
              </w:rPr>
              <w:t>ø</w:t>
            </w:r>
            <w:r w:rsidRPr="00AE5F8B">
              <w:rPr>
                <w:bCs/>
                <w:sz w:val="22"/>
                <w:szCs w:val="22"/>
              </w:rPr>
              <w:t>rende driftsformål, som knytter sig til pe</w:t>
            </w:r>
            <w:r w:rsidRPr="00AE5F8B">
              <w:rPr>
                <w:bCs/>
                <w:sz w:val="22"/>
                <w:szCs w:val="22"/>
              </w:rPr>
              <w:t>r</w:t>
            </w:r>
            <w:r w:rsidRPr="00AE5F8B">
              <w:rPr>
                <w:bCs/>
                <w:sz w:val="22"/>
                <w:szCs w:val="22"/>
              </w:rPr>
              <w:t>sonbefordring til udlandet efter den særski</w:t>
            </w:r>
            <w:r w:rsidRPr="00AE5F8B">
              <w:rPr>
                <w:bCs/>
                <w:sz w:val="22"/>
                <w:szCs w:val="22"/>
              </w:rPr>
              <w:t>l</w:t>
            </w:r>
            <w:r w:rsidRPr="00AE5F8B">
              <w:rPr>
                <w:bCs/>
                <w:sz w:val="22"/>
                <w:szCs w:val="22"/>
              </w:rPr>
              <w:t>te godtgørelsesbestemmelse i momsloven, ikke samtidig er omfattet af retten til tilb</w:t>
            </w:r>
            <w:r w:rsidRPr="00AE5F8B">
              <w:rPr>
                <w:bCs/>
                <w:sz w:val="22"/>
                <w:szCs w:val="22"/>
              </w:rPr>
              <w:t>a</w:t>
            </w:r>
            <w:r w:rsidRPr="00AE5F8B">
              <w:rPr>
                <w:bCs/>
                <w:sz w:val="22"/>
                <w:szCs w:val="22"/>
              </w:rPr>
              <w:t xml:space="preserve">gebetaling af fx elafgift og energiafgift på mineralolie. </w:t>
            </w:r>
          </w:p>
          <w:p w:rsidR="00AE5F8B" w:rsidRPr="00AE5F8B" w:rsidRDefault="00AE5F8B" w:rsidP="00AE5F8B">
            <w:pPr>
              <w:rPr>
                <w:bCs/>
                <w:sz w:val="22"/>
                <w:szCs w:val="22"/>
              </w:rPr>
            </w:pPr>
          </w:p>
          <w:p w:rsidR="00AE5F8B" w:rsidRDefault="00AE5F8B" w:rsidP="00AE5F8B">
            <w:pPr>
              <w:rPr>
                <w:sz w:val="22"/>
                <w:szCs w:val="22"/>
              </w:rPr>
            </w:pPr>
            <w:r w:rsidRPr="00AE5F8B">
              <w:rPr>
                <w:bCs/>
                <w:sz w:val="22"/>
                <w:szCs w:val="22"/>
              </w:rPr>
              <w:t>Skatteministeriet er umiddelbart enig i, at en fradragsprocent for momsen ikke direkte kan anvendes for energiafgiften</w:t>
            </w:r>
            <w:r>
              <w:rPr>
                <w:bCs/>
              </w:rPr>
              <w:t>.</w:t>
            </w:r>
          </w:p>
        </w:tc>
      </w:tr>
      <w:tr w:rsidR="00D93621" w:rsidRPr="00481E36" w:rsidTr="00982CC6">
        <w:tc>
          <w:tcPr>
            <w:tcW w:w="2448" w:type="dxa"/>
          </w:tcPr>
          <w:p w:rsidR="00D93621" w:rsidRDefault="00D93621" w:rsidP="00352B9A">
            <w:pPr>
              <w:spacing w:line="288" w:lineRule="auto"/>
              <w:rPr>
                <w:sz w:val="22"/>
                <w:szCs w:val="22"/>
                <w:lang w:val="en-US"/>
              </w:rPr>
            </w:pPr>
            <w:r>
              <w:rPr>
                <w:sz w:val="22"/>
                <w:szCs w:val="22"/>
                <w:lang w:val="en-US"/>
              </w:rPr>
              <w:lastRenderedPageBreak/>
              <w:t>DSBFirst</w:t>
            </w:r>
          </w:p>
        </w:tc>
        <w:tc>
          <w:tcPr>
            <w:tcW w:w="3240" w:type="dxa"/>
          </w:tcPr>
          <w:p w:rsidR="00D93621" w:rsidRDefault="00D93621" w:rsidP="00D93621">
            <w:pPr>
              <w:rPr>
                <w:sz w:val="22"/>
                <w:szCs w:val="22"/>
              </w:rPr>
            </w:pPr>
            <w:r>
              <w:rPr>
                <w:sz w:val="22"/>
                <w:szCs w:val="22"/>
              </w:rPr>
              <w:t xml:space="preserve">DSBFirst bemærker, at forslaget </w:t>
            </w:r>
            <w:r w:rsidRPr="00010104">
              <w:rPr>
                <w:sz w:val="22"/>
                <w:szCs w:val="22"/>
              </w:rPr>
              <w:t xml:space="preserve">vedrørende </w:t>
            </w:r>
            <w:r w:rsidRPr="00D93621">
              <w:rPr>
                <w:b/>
                <w:sz w:val="22"/>
                <w:szCs w:val="22"/>
              </w:rPr>
              <w:t>fradrag i stedet for godtgørelse</w:t>
            </w:r>
            <w:r w:rsidRPr="00010104">
              <w:rPr>
                <w:sz w:val="22"/>
                <w:szCs w:val="22"/>
              </w:rPr>
              <w:t xml:space="preserve"> vil</w:t>
            </w:r>
            <w:r>
              <w:rPr>
                <w:sz w:val="22"/>
                <w:szCs w:val="22"/>
              </w:rPr>
              <w:t xml:space="preserve"> medføre en v</w:t>
            </w:r>
            <w:r>
              <w:rPr>
                <w:sz w:val="22"/>
                <w:szCs w:val="22"/>
              </w:rPr>
              <w:t>æ</w:t>
            </w:r>
            <w:r>
              <w:rPr>
                <w:sz w:val="22"/>
                <w:szCs w:val="22"/>
              </w:rPr>
              <w:t>sentlig negativ effekt på selsk</w:t>
            </w:r>
            <w:r>
              <w:rPr>
                <w:sz w:val="22"/>
                <w:szCs w:val="22"/>
              </w:rPr>
              <w:t>a</w:t>
            </w:r>
            <w:r>
              <w:rPr>
                <w:sz w:val="22"/>
                <w:szCs w:val="22"/>
              </w:rPr>
              <w:t>bets momsfradragspr</w:t>
            </w:r>
            <w:r>
              <w:rPr>
                <w:sz w:val="22"/>
                <w:szCs w:val="22"/>
              </w:rPr>
              <w:t>o</w:t>
            </w:r>
            <w:r>
              <w:rPr>
                <w:sz w:val="22"/>
                <w:szCs w:val="22"/>
              </w:rPr>
              <w:t>cent/momsgodtgørelsesprocent, og dermed en væsentlig negativ effekt på selskabets resultat.</w:t>
            </w:r>
          </w:p>
          <w:p w:rsidR="00D93621" w:rsidRDefault="00D93621" w:rsidP="00D93621">
            <w:pPr>
              <w:rPr>
                <w:sz w:val="22"/>
                <w:szCs w:val="22"/>
              </w:rPr>
            </w:pPr>
            <w:r>
              <w:rPr>
                <w:sz w:val="22"/>
                <w:szCs w:val="22"/>
              </w:rPr>
              <w:t>Såfremt DSBFirst fremadrettet kun skal lave en samlet brøk, vil det betyde, at selskabets ko</w:t>
            </w:r>
            <w:r>
              <w:rPr>
                <w:sz w:val="22"/>
                <w:szCs w:val="22"/>
              </w:rPr>
              <w:t>n</w:t>
            </w:r>
            <w:r>
              <w:rPr>
                <w:sz w:val="22"/>
                <w:szCs w:val="22"/>
              </w:rPr>
              <w:t>traktbetaling skal deles op i en del som han henføres til indenrig</w:t>
            </w:r>
            <w:r>
              <w:rPr>
                <w:sz w:val="22"/>
                <w:szCs w:val="22"/>
              </w:rPr>
              <w:t>s</w:t>
            </w:r>
            <w:r>
              <w:rPr>
                <w:sz w:val="22"/>
                <w:szCs w:val="22"/>
              </w:rPr>
              <w:t>personbefordring og i en del som kan henføres til udenrigsperso</w:t>
            </w:r>
            <w:r>
              <w:rPr>
                <w:sz w:val="22"/>
                <w:szCs w:val="22"/>
              </w:rPr>
              <w:t>n</w:t>
            </w:r>
            <w:r>
              <w:rPr>
                <w:sz w:val="22"/>
                <w:szCs w:val="22"/>
              </w:rPr>
              <w:t>befordring. Såfremt man anve</w:t>
            </w:r>
            <w:r>
              <w:rPr>
                <w:sz w:val="22"/>
                <w:szCs w:val="22"/>
              </w:rPr>
              <w:t>n</w:t>
            </w:r>
            <w:r>
              <w:rPr>
                <w:sz w:val="22"/>
                <w:szCs w:val="22"/>
              </w:rPr>
              <w:t>der Trafikstyrelsens billetindtæ</w:t>
            </w:r>
            <w:r>
              <w:rPr>
                <w:sz w:val="22"/>
                <w:szCs w:val="22"/>
              </w:rPr>
              <w:t>g</w:t>
            </w:r>
            <w:r>
              <w:rPr>
                <w:sz w:val="22"/>
                <w:szCs w:val="22"/>
              </w:rPr>
              <w:t>ter vedrørende Kystbanen som fordelingsnøgle i forbindelse med opsplitning af kontraktbetalingen, og derefter beregner en samlet fradragsprocent for DSBFirst, vil dette betyde, at selskabets delvise fradragsprocent vil falde med flere procentpoint.</w:t>
            </w:r>
          </w:p>
          <w:p w:rsidR="00D93621" w:rsidRDefault="00D93621" w:rsidP="00D93621">
            <w:pPr>
              <w:rPr>
                <w:sz w:val="22"/>
                <w:szCs w:val="22"/>
              </w:rPr>
            </w:pPr>
          </w:p>
          <w:p w:rsidR="00D93621" w:rsidRDefault="00D93621" w:rsidP="00352B9A">
            <w:pPr>
              <w:rPr>
                <w:sz w:val="22"/>
                <w:szCs w:val="22"/>
              </w:rPr>
            </w:pPr>
            <w:r>
              <w:rPr>
                <w:sz w:val="22"/>
                <w:szCs w:val="22"/>
              </w:rPr>
              <w:t>DSBFirst skønne</w:t>
            </w:r>
            <w:r w:rsidR="00226385">
              <w:rPr>
                <w:sz w:val="22"/>
                <w:szCs w:val="22"/>
              </w:rPr>
              <w:t>r</w:t>
            </w:r>
            <w:r>
              <w:rPr>
                <w:sz w:val="22"/>
                <w:szCs w:val="22"/>
              </w:rPr>
              <w:t xml:space="preserve">, at forslagets øvrige ændringer kun medfører ubetydelige ændringer for </w:t>
            </w:r>
            <w:r w:rsidR="00352B9A">
              <w:rPr>
                <w:sz w:val="22"/>
                <w:szCs w:val="22"/>
              </w:rPr>
              <w:t>DSBFirst.</w:t>
            </w:r>
          </w:p>
        </w:tc>
        <w:tc>
          <w:tcPr>
            <w:tcW w:w="4090" w:type="dxa"/>
          </w:tcPr>
          <w:p w:rsidR="00D93621" w:rsidRDefault="00D93621" w:rsidP="00D93621">
            <w:pPr>
              <w:rPr>
                <w:sz w:val="22"/>
                <w:szCs w:val="22"/>
              </w:rPr>
            </w:pPr>
            <w:r>
              <w:rPr>
                <w:sz w:val="22"/>
                <w:szCs w:val="22"/>
              </w:rPr>
              <w:t>Skatteministeriet har noteret DSBFirsts synspunkt, men der er ikke mulighed for at videreføre godtgørelsesordningen, da der ikke er hjemmel hertil i momssystemdire</w:t>
            </w:r>
            <w:r>
              <w:rPr>
                <w:sz w:val="22"/>
                <w:szCs w:val="22"/>
              </w:rPr>
              <w:t>k</w:t>
            </w:r>
            <w:r>
              <w:rPr>
                <w:sz w:val="22"/>
                <w:szCs w:val="22"/>
              </w:rPr>
              <w:t>tivet. Hvorvidt Trafikstyrelsens fordeling af billetindtægterne kan anses for et retvise</w:t>
            </w:r>
            <w:r>
              <w:rPr>
                <w:sz w:val="22"/>
                <w:szCs w:val="22"/>
              </w:rPr>
              <w:t>n</w:t>
            </w:r>
            <w:r>
              <w:rPr>
                <w:sz w:val="22"/>
                <w:szCs w:val="22"/>
              </w:rPr>
              <w:t>de billede af DSBFirsts omsætning med udenrigsbefordring, må komme an på en konkret vurdering.</w:t>
            </w:r>
          </w:p>
          <w:p w:rsidR="00D93621" w:rsidRDefault="00D93621" w:rsidP="00D93621">
            <w:pPr>
              <w:rPr>
                <w:sz w:val="22"/>
                <w:szCs w:val="22"/>
              </w:rPr>
            </w:pPr>
          </w:p>
        </w:tc>
      </w:tr>
      <w:tr w:rsidR="00352B9A" w:rsidRPr="00481E36" w:rsidTr="00982CC6">
        <w:tc>
          <w:tcPr>
            <w:tcW w:w="2448" w:type="dxa"/>
          </w:tcPr>
          <w:p w:rsidR="00352B9A" w:rsidRPr="00481E36" w:rsidRDefault="00352B9A" w:rsidP="00352B9A">
            <w:pPr>
              <w:spacing w:line="288" w:lineRule="auto"/>
              <w:rPr>
                <w:sz w:val="22"/>
                <w:szCs w:val="22"/>
              </w:rPr>
            </w:pPr>
            <w:r>
              <w:rPr>
                <w:sz w:val="22"/>
                <w:szCs w:val="22"/>
              </w:rPr>
              <w:t xml:space="preserve">Finansrådet </w:t>
            </w:r>
          </w:p>
        </w:tc>
        <w:tc>
          <w:tcPr>
            <w:tcW w:w="3240" w:type="dxa"/>
          </w:tcPr>
          <w:p w:rsidR="00352B9A" w:rsidRDefault="00352B9A" w:rsidP="00352B9A">
            <w:pPr>
              <w:rPr>
                <w:sz w:val="22"/>
                <w:szCs w:val="22"/>
              </w:rPr>
            </w:pPr>
            <w:r>
              <w:rPr>
                <w:sz w:val="22"/>
                <w:szCs w:val="22"/>
              </w:rPr>
              <w:t xml:space="preserve">Finansrådet bemærker, at der med forslaget </w:t>
            </w:r>
            <w:r w:rsidRPr="00010104">
              <w:rPr>
                <w:sz w:val="22"/>
                <w:szCs w:val="22"/>
              </w:rPr>
              <w:t xml:space="preserve">vedrørende </w:t>
            </w:r>
            <w:r w:rsidRPr="00352B9A">
              <w:rPr>
                <w:b/>
                <w:sz w:val="22"/>
                <w:szCs w:val="22"/>
              </w:rPr>
              <w:t xml:space="preserve">fradrag i </w:t>
            </w:r>
            <w:r w:rsidRPr="00352B9A">
              <w:rPr>
                <w:b/>
                <w:sz w:val="22"/>
                <w:szCs w:val="22"/>
              </w:rPr>
              <w:lastRenderedPageBreak/>
              <w:t>stedet for godtgørelse</w:t>
            </w:r>
            <w:r w:rsidRPr="00010104">
              <w:rPr>
                <w:sz w:val="22"/>
                <w:szCs w:val="22"/>
              </w:rPr>
              <w:t xml:space="preserve"> ikke</w:t>
            </w:r>
            <w:r>
              <w:rPr>
                <w:sz w:val="22"/>
                <w:szCs w:val="22"/>
              </w:rPr>
              <w:t xml:space="preserve"> tils</w:t>
            </w:r>
            <w:r>
              <w:rPr>
                <w:sz w:val="22"/>
                <w:szCs w:val="22"/>
              </w:rPr>
              <w:t>i</w:t>
            </w:r>
            <w:r>
              <w:rPr>
                <w:sz w:val="22"/>
                <w:szCs w:val="22"/>
              </w:rPr>
              <w:t>ges nogen negative konsekve</w:t>
            </w:r>
            <w:r>
              <w:rPr>
                <w:sz w:val="22"/>
                <w:szCs w:val="22"/>
              </w:rPr>
              <w:t>n</w:t>
            </w:r>
            <w:r>
              <w:rPr>
                <w:sz w:val="22"/>
                <w:szCs w:val="22"/>
              </w:rPr>
              <w:t xml:space="preserve">ser/merudgifter for erhvervslivet. </w:t>
            </w:r>
          </w:p>
          <w:p w:rsidR="00352B9A" w:rsidRDefault="00352B9A" w:rsidP="00352B9A">
            <w:pPr>
              <w:rPr>
                <w:sz w:val="22"/>
                <w:szCs w:val="22"/>
              </w:rPr>
            </w:pPr>
            <w:r>
              <w:rPr>
                <w:sz w:val="22"/>
                <w:szCs w:val="22"/>
              </w:rPr>
              <w:t>Finansrådet anmoder i den fo</w:t>
            </w:r>
            <w:r>
              <w:rPr>
                <w:sz w:val="22"/>
                <w:szCs w:val="22"/>
              </w:rPr>
              <w:t>r</w:t>
            </w:r>
            <w:r>
              <w:rPr>
                <w:sz w:val="22"/>
                <w:szCs w:val="22"/>
              </w:rPr>
              <w:t>bindelse Skatteministeriet om at bekræfte, at der ved ændringen er tale om en rent lovteknisk æ</w:t>
            </w:r>
            <w:r>
              <w:rPr>
                <w:sz w:val="22"/>
                <w:szCs w:val="22"/>
              </w:rPr>
              <w:t>n</w:t>
            </w:r>
            <w:r>
              <w:rPr>
                <w:sz w:val="22"/>
                <w:szCs w:val="22"/>
              </w:rPr>
              <w:t>dring, og at gældende regler om praksis, som følger af TfS1997.374 og SKM2010.446 opretholdes uændret, også efter vedtagelsen af de nye regler.</w:t>
            </w:r>
          </w:p>
          <w:p w:rsidR="00352B9A" w:rsidRDefault="00352B9A" w:rsidP="00352B9A">
            <w:pPr>
              <w:rPr>
                <w:sz w:val="22"/>
                <w:szCs w:val="22"/>
              </w:rPr>
            </w:pPr>
          </w:p>
          <w:p w:rsidR="00352B9A" w:rsidRDefault="00352B9A" w:rsidP="00352B9A">
            <w:pPr>
              <w:rPr>
                <w:sz w:val="22"/>
                <w:szCs w:val="22"/>
              </w:rPr>
            </w:pPr>
            <w:r>
              <w:rPr>
                <w:sz w:val="22"/>
                <w:szCs w:val="22"/>
              </w:rPr>
              <w:t xml:space="preserve">Finansrådet anfører, at forslaget til ændring af </w:t>
            </w:r>
            <w:r w:rsidRPr="00352B9A">
              <w:rPr>
                <w:b/>
                <w:sz w:val="22"/>
                <w:szCs w:val="22"/>
              </w:rPr>
              <w:t>energiafgiftslovene og vandafgiftsloven</w:t>
            </w:r>
            <w:r>
              <w:rPr>
                <w:sz w:val="22"/>
                <w:szCs w:val="22"/>
              </w:rPr>
              <w:t xml:space="preserve"> i kons</w:t>
            </w:r>
            <w:r>
              <w:rPr>
                <w:sz w:val="22"/>
                <w:szCs w:val="22"/>
              </w:rPr>
              <w:t>e</w:t>
            </w:r>
            <w:r>
              <w:rPr>
                <w:sz w:val="22"/>
                <w:szCs w:val="22"/>
              </w:rPr>
              <w:t>kvens af, at man erstatter muli</w:t>
            </w:r>
            <w:r>
              <w:rPr>
                <w:sz w:val="22"/>
                <w:szCs w:val="22"/>
              </w:rPr>
              <w:t>g</w:t>
            </w:r>
            <w:r>
              <w:rPr>
                <w:sz w:val="22"/>
                <w:szCs w:val="22"/>
              </w:rPr>
              <w:t>heden i momsloven for godtgøre</w:t>
            </w:r>
            <w:r>
              <w:rPr>
                <w:sz w:val="22"/>
                <w:szCs w:val="22"/>
              </w:rPr>
              <w:t>l</w:t>
            </w:r>
            <w:r>
              <w:rPr>
                <w:sz w:val="22"/>
                <w:szCs w:val="22"/>
              </w:rPr>
              <w:t>se med en mulighed for fradrag, vil stille danske finansielle vir</w:t>
            </w:r>
            <w:r>
              <w:rPr>
                <w:sz w:val="22"/>
                <w:szCs w:val="22"/>
              </w:rPr>
              <w:t>k</w:t>
            </w:r>
            <w:r>
              <w:rPr>
                <w:sz w:val="22"/>
                <w:szCs w:val="22"/>
              </w:rPr>
              <w:t>somheder ulige i den internation</w:t>
            </w:r>
            <w:r>
              <w:rPr>
                <w:sz w:val="22"/>
                <w:szCs w:val="22"/>
              </w:rPr>
              <w:t>a</w:t>
            </w:r>
            <w:r>
              <w:rPr>
                <w:sz w:val="22"/>
                <w:szCs w:val="22"/>
              </w:rPr>
              <w:t>le konkurrence med udenlandske finansielle virksomheder.</w:t>
            </w:r>
          </w:p>
          <w:p w:rsidR="00352B9A" w:rsidRDefault="00352B9A" w:rsidP="00352B9A">
            <w:pPr>
              <w:rPr>
                <w:sz w:val="22"/>
                <w:szCs w:val="22"/>
              </w:rPr>
            </w:pPr>
          </w:p>
          <w:p w:rsidR="00352B9A" w:rsidRDefault="00352B9A" w:rsidP="00352B9A">
            <w:pPr>
              <w:rPr>
                <w:sz w:val="22"/>
                <w:szCs w:val="22"/>
              </w:rPr>
            </w:pPr>
            <w:r>
              <w:rPr>
                <w:sz w:val="22"/>
                <w:szCs w:val="22"/>
              </w:rPr>
              <w:t>Finansrådet finder det ejendo</w:t>
            </w:r>
            <w:r>
              <w:rPr>
                <w:sz w:val="22"/>
                <w:szCs w:val="22"/>
              </w:rPr>
              <w:t>m</w:t>
            </w:r>
            <w:r>
              <w:rPr>
                <w:sz w:val="22"/>
                <w:szCs w:val="22"/>
              </w:rPr>
              <w:t>meligt, at en specifik sektor som den finansielle er blandt de e</w:t>
            </w:r>
            <w:r>
              <w:rPr>
                <w:sz w:val="22"/>
                <w:szCs w:val="22"/>
              </w:rPr>
              <w:t>r</w:t>
            </w:r>
            <w:r>
              <w:rPr>
                <w:sz w:val="22"/>
                <w:szCs w:val="22"/>
              </w:rPr>
              <w:t>hverv, som skal afgiftsbelastes med energiafgifter relateret til en omsætning, der så entydigt, som det er gældende med finansiel omsætning til tredjelande, er u</w:t>
            </w:r>
            <w:r>
              <w:rPr>
                <w:sz w:val="22"/>
                <w:szCs w:val="22"/>
              </w:rPr>
              <w:t>d</w:t>
            </w:r>
            <w:r>
              <w:rPr>
                <w:sz w:val="22"/>
                <w:szCs w:val="22"/>
              </w:rPr>
              <w:t>tryk for en eksportomsætning.</w:t>
            </w:r>
          </w:p>
          <w:p w:rsidR="00352B9A" w:rsidRPr="00481E36" w:rsidRDefault="00352B9A" w:rsidP="00352B9A">
            <w:pPr>
              <w:rPr>
                <w:sz w:val="22"/>
                <w:szCs w:val="22"/>
              </w:rPr>
            </w:pPr>
          </w:p>
        </w:tc>
        <w:tc>
          <w:tcPr>
            <w:tcW w:w="4090" w:type="dxa"/>
          </w:tcPr>
          <w:p w:rsidR="00352B9A" w:rsidRDefault="00352B9A" w:rsidP="00352B9A">
            <w:pPr>
              <w:rPr>
                <w:sz w:val="22"/>
                <w:szCs w:val="22"/>
              </w:rPr>
            </w:pPr>
            <w:r>
              <w:rPr>
                <w:sz w:val="22"/>
                <w:szCs w:val="22"/>
              </w:rPr>
              <w:lastRenderedPageBreak/>
              <w:t xml:space="preserve">Skatteministeriet kan bekræfte, at SKM2010.446 fortsat vil være gældende i </w:t>
            </w:r>
            <w:r>
              <w:rPr>
                <w:sz w:val="22"/>
                <w:szCs w:val="22"/>
              </w:rPr>
              <w:lastRenderedPageBreak/>
              <w:t>relation til opgørelsen af den delvise fr</w:t>
            </w:r>
            <w:r>
              <w:rPr>
                <w:sz w:val="22"/>
                <w:szCs w:val="22"/>
              </w:rPr>
              <w:t>a</w:t>
            </w:r>
            <w:r>
              <w:rPr>
                <w:sz w:val="22"/>
                <w:szCs w:val="22"/>
              </w:rPr>
              <w:t>dragsret.</w:t>
            </w:r>
          </w:p>
          <w:p w:rsidR="00352B9A" w:rsidRDefault="00352B9A" w:rsidP="00352B9A">
            <w:pPr>
              <w:rPr>
                <w:sz w:val="22"/>
                <w:szCs w:val="22"/>
              </w:rPr>
            </w:pPr>
          </w:p>
          <w:p w:rsidR="00352B9A" w:rsidRDefault="00352B9A" w:rsidP="00352B9A">
            <w:pPr>
              <w:rPr>
                <w:sz w:val="22"/>
                <w:szCs w:val="22"/>
              </w:rPr>
            </w:pPr>
            <w:r>
              <w:rPr>
                <w:sz w:val="22"/>
                <w:szCs w:val="22"/>
              </w:rPr>
              <w:t>Skatteministeriet kan derimod ikke bekræ</w:t>
            </w:r>
            <w:r>
              <w:rPr>
                <w:sz w:val="22"/>
                <w:szCs w:val="22"/>
              </w:rPr>
              <w:t>f</w:t>
            </w:r>
            <w:r>
              <w:rPr>
                <w:sz w:val="22"/>
                <w:szCs w:val="22"/>
              </w:rPr>
              <w:t>te, at TfS1997.374 fortsat er gældende, idet denne alene relaterer sig til opgørelsen af godtgørelse efter momslovens § 45, stk. 4, som nu foreslås ophævet.</w:t>
            </w:r>
          </w:p>
          <w:p w:rsidR="00AE5F8B" w:rsidRDefault="00AE5F8B" w:rsidP="00352B9A">
            <w:pPr>
              <w:rPr>
                <w:sz w:val="22"/>
                <w:szCs w:val="22"/>
              </w:rPr>
            </w:pPr>
          </w:p>
          <w:p w:rsidR="00AE5F8B" w:rsidRDefault="00AE5F8B" w:rsidP="00352B9A">
            <w:pPr>
              <w:rPr>
                <w:sz w:val="22"/>
                <w:szCs w:val="22"/>
              </w:rPr>
            </w:pPr>
          </w:p>
          <w:p w:rsidR="00AE5F8B" w:rsidRDefault="00AE5F8B" w:rsidP="00352B9A">
            <w:pPr>
              <w:rPr>
                <w:sz w:val="22"/>
                <w:szCs w:val="22"/>
              </w:rPr>
            </w:pPr>
          </w:p>
          <w:p w:rsidR="00AE5F8B" w:rsidRDefault="00AE5F8B" w:rsidP="00352B9A">
            <w:pPr>
              <w:rPr>
                <w:sz w:val="22"/>
                <w:szCs w:val="22"/>
              </w:rPr>
            </w:pPr>
          </w:p>
          <w:p w:rsidR="00AE5F8B" w:rsidRDefault="00AE5F8B" w:rsidP="00352B9A">
            <w:pPr>
              <w:rPr>
                <w:sz w:val="22"/>
                <w:szCs w:val="22"/>
              </w:rPr>
            </w:pPr>
          </w:p>
          <w:p w:rsidR="00AE5F8B" w:rsidRPr="00AE5F8B" w:rsidRDefault="00AE5F8B" w:rsidP="00AE5F8B">
            <w:pPr>
              <w:rPr>
                <w:sz w:val="22"/>
                <w:szCs w:val="22"/>
              </w:rPr>
            </w:pPr>
            <w:r w:rsidRPr="00AE5F8B">
              <w:rPr>
                <w:sz w:val="22"/>
                <w:szCs w:val="22"/>
              </w:rPr>
              <w:t>Med lovforslaget bliver den danske mom</w:t>
            </w:r>
            <w:r w:rsidRPr="00AE5F8B">
              <w:rPr>
                <w:sz w:val="22"/>
                <w:szCs w:val="22"/>
              </w:rPr>
              <w:t>s</w:t>
            </w:r>
            <w:r w:rsidRPr="00AE5F8B">
              <w:rPr>
                <w:sz w:val="22"/>
                <w:szCs w:val="22"/>
              </w:rPr>
              <w:t>lov i overensstemmelse med momssyste</w:t>
            </w:r>
            <w:r w:rsidRPr="00AE5F8B">
              <w:rPr>
                <w:sz w:val="22"/>
                <w:szCs w:val="22"/>
              </w:rPr>
              <w:t>m</w:t>
            </w:r>
            <w:r w:rsidRPr="00AE5F8B">
              <w:rPr>
                <w:sz w:val="22"/>
                <w:szCs w:val="22"/>
              </w:rPr>
              <w:t>direktivet (2006/112/EF), idet momss</w:t>
            </w:r>
            <w:r w:rsidRPr="00AE5F8B">
              <w:rPr>
                <w:sz w:val="22"/>
                <w:szCs w:val="22"/>
              </w:rPr>
              <w:t>y</w:t>
            </w:r>
            <w:r w:rsidRPr="00AE5F8B">
              <w:rPr>
                <w:sz w:val="22"/>
                <w:szCs w:val="22"/>
              </w:rPr>
              <w:t>stemdirektivet – i modsætning til det tidl</w:t>
            </w:r>
            <w:r w:rsidRPr="00AE5F8B">
              <w:rPr>
                <w:sz w:val="22"/>
                <w:szCs w:val="22"/>
              </w:rPr>
              <w:t>i</w:t>
            </w:r>
            <w:r w:rsidRPr="00AE5F8B">
              <w:rPr>
                <w:sz w:val="22"/>
                <w:szCs w:val="22"/>
              </w:rPr>
              <w:t>gere sjette momsdirektiv (77/388/EØF) – ikke giver mulighed for at tilbagebetale (godtgøre) moms af varer og ydelser, der relaterer sig til forsikringsmæssige og f</w:t>
            </w:r>
            <w:r w:rsidRPr="00AE5F8B">
              <w:rPr>
                <w:sz w:val="22"/>
                <w:szCs w:val="22"/>
              </w:rPr>
              <w:t>i</w:t>
            </w:r>
            <w:r w:rsidRPr="00AE5F8B">
              <w:rPr>
                <w:sz w:val="22"/>
                <w:szCs w:val="22"/>
              </w:rPr>
              <w:t>nansielle ydelser, såfremt disse leveres til aftagere uden for EU. I stedet er der hje</w:t>
            </w:r>
            <w:r w:rsidRPr="00AE5F8B">
              <w:rPr>
                <w:sz w:val="22"/>
                <w:szCs w:val="22"/>
              </w:rPr>
              <w:t>m</w:t>
            </w:r>
            <w:r w:rsidRPr="00AE5F8B">
              <w:rPr>
                <w:sz w:val="22"/>
                <w:szCs w:val="22"/>
              </w:rPr>
              <w:t>mel i momssystemdirektivet til at yde et fradrag for momsen på køb af de pågæ</w:t>
            </w:r>
            <w:r w:rsidRPr="00AE5F8B">
              <w:rPr>
                <w:sz w:val="22"/>
                <w:szCs w:val="22"/>
              </w:rPr>
              <w:t>l</w:t>
            </w:r>
            <w:r w:rsidRPr="00AE5F8B">
              <w:rPr>
                <w:sz w:val="22"/>
                <w:szCs w:val="22"/>
              </w:rPr>
              <w:t>dende varer og ydelser efter momslovens almindelige regler for fradrag.</w:t>
            </w:r>
          </w:p>
          <w:p w:rsidR="00AE5F8B" w:rsidRPr="00AE5F8B" w:rsidRDefault="00AE5F8B" w:rsidP="00AE5F8B">
            <w:pPr>
              <w:rPr>
                <w:sz w:val="22"/>
                <w:szCs w:val="22"/>
              </w:rPr>
            </w:pPr>
          </w:p>
          <w:p w:rsidR="00AE5F8B" w:rsidRPr="00AE5F8B" w:rsidRDefault="00AE5F8B" w:rsidP="00AE5F8B">
            <w:pPr>
              <w:rPr>
                <w:sz w:val="22"/>
                <w:szCs w:val="22"/>
              </w:rPr>
            </w:pPr>
            <w:r w:rsidRPr="00AE5F8B">
              <w:rPr>
                <w:sz w:val="22"/>
                <w:szCs w:val="22"/>
              </w:rPr>
              <w:t>Med hensyn til godtgørelse og med lovfor</w:t>
            </w:r>
            <w:r w:rsidRPr="00AE5F8B">
              <w:rPr>
                <w:sz w:val="22"/>
                <w:szCs w:val="22"/>
              </w:rPr>
              <w:t>s</w:t>
            </w:r>
            <w:r w:rsidRPr="00AE5F8B">
              <w:rPr>
                <w:sz w:val="22"/>
                <w:szCs w:val="22"/>
              </w:rPr>
              <w:t>laget fradrag for energiafgifter forudsætter en sådan godtgørelse og med lovforslaget et sådant fradrag, at energien forbruges i en momsregistreret virksomhed i forbindelse med udøvelse af aktiviteter, der er omfattet af afgiftspligten og registreringspligten i medfør af momsloven. Lovforslaget ændrer ikke ved den gældende retstilstand.</w:t>
            </w:r>
          </w:p>
          <w:p w:rsidR="00AE5F8B" w:rsidRPr="00481E36" w:rsidRDefault="00AE5F8B" w:rsidP="00352B9A">
            <w:pPr>
              <w:rPr>
                <w:sz w:val="22"/>
                <w:szCs w:val="22"/>
              </w:rPr>
            </w:pPr>
          </w:p>
        </w:tc>
      </w:tr>
      <w:tr w:rsidR="00352B9A" w:rsidRPr="00481E36" w:rsidTr="00982CC6">
        <w:tc>
          <w:tcPr>
            <w:tcW w:w="2448" w:type="dxa"/>
          </w:tcPr>
          <w:p w:rsidR="00352B9A" w:rsidRDefault="00352B9A" w:rsidP="00352B9A">
            <w:pPr>
              <w:spacing w:line="288" w:lineRule="auto"/>
              <w:rPr>
                <w:sz w:val="22"/>
                <w:szCs w:val="22"/>
              </w:rPr>
            </w:pPr>
            <w:r>
              <w:rPr>
                <w:sz w:val="22"/>
                <w:szCs w:val="22"/>
              </w:rPr>
              <w:lastRenderedPageBreak/>
              <w:t>Finanstilsynet</w:t>
            </w:r>
          </w:p>
        </w:tc>
        <w:tc>
          <w:tcPr>
            <w:tcW w:w="3240" w:type="dxa"/>
          </w:tcPr>
          <w:p w:rsidR="00352B9A" w:rsidRDefault="00352B9A" w:rsidP="00352B9A">
            <w:pPr>
              <w:rPr>
                <w:sz w:val="22"/>
                <w:szCs w:val="22"/>
              </w:rPr>
            </w:pPr>
            <w:r>
              <w:rPr>
                <w:sz w:val="22"/>
                <w:szCs w:val="22"/>
              </w:rPr>
              <w:t>Finanstilsynet har ingen bemær</w:t>
            </w:r>
            <w:r>
              <w:rPr>
                <w:sz w:val="22"/>
                <w:szCs w:val="22"/>
              </w:rPr>
              <w:t>k</w:t>
            </w:r>
            <w:r>
              <w:rPr>
                <w:sz w:val="22"/>
                <w:szCs w:val="22"/>
              </w:rPr>
              <w:t>ninger til lovforslaget.</w:t>
            </w:r>
          </w:p>
        </w:tc>
        <w:tc>
          <w:tcPr>
            <w:tcW w:w="4090" w:type="dxa"/>
          </w:tcPr>
          <w:p w:rsidR="00352B9A" w:rsidRDefault="00352B9A" w:rsidP="00352B9A">
            <w:pPr>
              <w:rPr>
                <w:sz w:val="22"/>
                <w:szCs w:val="22"/>
              </w:rPr>
            </w:pPr>
          </w:p>
        </w:tc>
      </w:tr>
      <w:tr w:rsidR="00352B9A" w:rsidRPr="00481E36" w:rsidTr="00982CC6">
        <w:tc>
          <w:tcPr>
            <w:tcW w:w="2448" w:type="dxa"/>
          </w:tcPr>
          <w:p w:rsidR="00352B9A" w:rsidRDefault="00352B9A" w:rsidP="004C4A2D">
            <w:pPr>
              <w:spacing w:line="288" w:lineRule="auto"/>
              <w:rPr>
                <w:sz w:val="22"/>
                <w:szCs w:val="22"/>
              </w:rPr>
            </w:pPr>
            <w:r>
              <w:rPr>
                <w:sz w:val="22"/>
                <w:szCs w:val="22"/>
              </w:rPr>
              <w:t xml:space="preserve">Forsikring &amp; </w:t>
            </w:r>
            <w:r w:rsidR="00226385">
              <w:rPr>
                <w:sz w:val="22"/>
                <w:szCs w:val="22"/>
              </w:rPr>
              <w:t>P</w:t>
            </w:r>
            <w:r>
              <w:rPr>
                <w:sz w:val="22"/>
                <w:szCs w:val="22"/>
              </w:rPr>
              <w:t>ension</w:t>
            </w:r>
          </w:p>
        </w:tc>
        <w:tc>
          <w:tcPr>
            <w:tcW w:w="3240" w:type="dxa"/>
          </w:tcPr>
          <w:p w:rsidR="00352B9A" w:rsidRDefault="00352B9A" w:rsidP="00226385">
            <w:pPr>
              <w:rPr>
                <w:sz w:val="22"/>
                <w:szCs w:val="22"/>
              </w:rPr>
            </w:pPr>
            <w:r>
              <w:rPr>
                <w:sz w:val="22"/>
                <w:szCs w:val="22"/>
              </w:rPr>
              <w:t xml:space="preserve">Forsikring &amp; Pension </w:t>
            </w:r>
            <w:r w:rsidR="00226385">
              <w:rPr>
                <w:sz w:val="22"/>
                <w:szCs w:val="22"/>
              </w:rPr>
              <w:t xml:space="preserve">forudsætter </w:t>
            </w:r>
            <w:r>
              <w:rPr>
                <w:sz w:val="22"/>
                <w:szCs w:val="22"/>
              </w:rPr>
              <w:t>i relation til forslaget om at æ</w:t>
            </w:r>
            <w:r>
              <w:rPr>
                <w:sz w:val="22"/>
                <w:szCs w:val="22"/>
              </w:rPr>
              <w:t>n</w:t>
            </w:r>
            <w:r>
              <w:rPr>
                <w:sz w:val="22"/>
                <w:szCs w:val="22"/>
              </w:rPr>
              <w:t>drer godtgørelses</w:t>
            </w:r>
            <w:r w:rsidR="00226385">
              <w:rPr>
                <w:sz w:val="22"/>
                <w:szCs w:val="22"/>
              </w:rPr>
              <w:t xml:space="preserve">ordningen til fradrag, at </w:t>
            </w:r>
            <w:r>
              <w:rPr>
                <w:sz w:val="22"/>
                <w:szCs w:val="22"/>
              </w:rPr>
              <w:t>den kommende u</w:t>
            </w:r>
            <w:r>
              <w:rPr>
                <w:sz w:val="22"/>
                <w:szCs w:val="22"/>
              </w:rPr>
              <w:t>d</w:t>
            </w:r>
            <w:r>
              <w:rPr>
                <w:sz w:val="22"/>
                <w:szCs w:val="22"/>
              </w:rPr>
              <w:t>møntning af</w:t>
            </w:r>
            <w:r w:rsidR="00226385">
              <w:rPr>
                <w:sz w:val="22"/>
                <w:szCs w:val="22"/>
              </w:rPr>
              <w:t xml:space="preserve"> reglerne så vidt m</w:t>
            </w:r>
            <w:r w:rsidR="00226385">
              <w:rPr>
                <w:sz w:val="22"/>
                <w:szCs w:val="22"/>
              </w:rPr>
              <w:t>u</w:t>
            </w:r>
            <w:r w:rsidR="00226385">
              <w:rPr>
                <w:sz w:val="22"/>
                <w:szCs w:val="22"/>
              </w:rPr>
              <w:t>ligt sikrer, at omlægningen bliver provenuneutral og kun får meget beskeden økonomisk effekt for de enkelte virksomheder.</w:t>
            </w:r>
          </w:p>
          <w:p w:rsidR="00226385" w:rsidRDefault="00226385" w:rsidP="00226385">
            <w:pPr>
              <w:rPr>
                <w:sz w:val="22"/>
                <w:szCs w:val="22"/>
              </w:rPr>
            </w:pPr>
          </w:p>
          <w:p w:rsidR="00226385" w:rsidRDefault="00226385" w:rsidP="00D32AB3">
            <w:pPr>
              <w:rPr>
                <w:sz w:val="22"/>
                <w:szCs w:val="22"/>
              </w:rPr>
            </w:pPr>
            <w:r>
              <w:rPr>
                <w:sz w:val="22"/>
                <w:szCs w:val="22"/>
              </w:rPr>
              <w:t xml:space="preserve">Forsikring </w:t>
            </w:r>
            <w:r w:rsidR="00D32AB3">
              <w:rPr>
                <w:sz w:val="22"/>
                <w:szCs w:val="22"/>
              </w:rPr>
              <w:t>&amp;</w:t>
            </w:r>
            <w:r>
              <w:rPr>
                <w:sz w:val="22"/>
                <w:szCs w:val="22"/>
              </w:rPr>
              <w:t xml:space="preserve"> Pension har ikke yderligere bemærkninger til fo</w:t>
            </w:r>
            <w:r>
              <w:rPr>
                <w:sz w:val="22"/>
                <w:szCs w:val="22"/>
              </w:rPr>
              <w:t>r</w:t>
            </w:r>
            <w:r>
              <w:rPr>
                <w:sz w:val="22"/>
                <w:szCs w:val="22"/>
              </w:rPr>
              <w:t>slaget.</w:t>
            </w:r>
          </w:p>
        </w:tc>
        <w:tc>
          <w:tcPr>
            <w:tcW w:w="4090" w:type="dxa"/>
          </w:tcPr>
          <w:p w:rsidR="00352B9A" w:rsidRDefault="00352B9A" w:rsidP="00352B9A">
            <w:pPr>
              <w:rPr>
                <w:sz w:val="22"/>
                <w:szCs w:val="22"/>
              </w:rPr>
            </w:pPr>
          </w:p>
        </w:tc>
      </w:tr>
      <w:tr w:rsidR="00D32AB3" w:rsidRPr="00481E36" w:rsidTr="00982CC6">
        <w:tc>
          <w:tcPr>
            <w:tcW w:w="2448" w:type="dxa"/>
          </w:tcPr>
          <w:p w:rsidR="00D32AB3" w:rsidRDefault="00D32AB3" w:rsidP="00226385">
            <w:pPr>
              <w:spacing w:line="288" w:lineRule="auto"/>
              <w:rPr>
                <w:sz w:val="22"/>
                <w:szCs w:val="22"/>
              </w:rPr>
            </w:pPr>
            <w:r>
              <w:rPr>
                <w:sz w:val="22"/>
                <w:szCs w:val="22"/>
              </w:rPr>
              <w:t>Grafisk Arbejdsgiverfo</w:t>
            </w:r>
            <w:r>
              <w:rPr>
                <w:sz w:val="22"/>
                <w:szCs w:val="22"/>
              </w:rPr>
              <w:t>r</w:t>
            </w:r>
            <w:r>
              <w:rPr>
                <w:sz w:val="22"/>
                <w:szCs w:val="22"/>
              </w:rPr>
              <w:t>ening (GA)</w:t>
            </w:r>
          </w:p>
        </w:tc>
        <w:tc>
          <w:tcPr>
            <w:tcW w:w="3240" w:type="dxa"/>
          </w:tcPr>
          <w:p w:rsidR="003A7038" w:rsidRDefault="00D32AB3" w:rsidP="003A7038">
            <w:pPr>
              <w:rPr>
                <w:sz w:val="22"/>
                <w:szCs w:val="22"/>
              </w:rPr>
            </w:pPr>
            <w:r>
              <w:rPr>
                <w:sz w:val="22"/>
                <w:szCs w:val="22"/>
              </w:rPr>
              <w:t>GA er særdeles positiv over for ændringen</w:t>
            </w:r>
            <w:r w:rsidRPr="0044006F">
              <w:rPr>
                <w:b/>
                <w:i/>
                <w:sz w:val="22"/>
                <w:szCs w:val="22"/>
              </w:rPr>
              <w:t xml:space="preserve"> vedrørende</w:t>
            </w:r>
            <w:r w:rsidR="008C3043">
              <w:rPr>
                <w:b/>
                <w:i/>
                <w:sz w:val="22"/>
                <w:szCs w:val="22"/>
              </w:rPr>
              <w:t xml:space="preserve"> privates </w:t>
            </w:r>
            <w:r w:rsidRPr="0044006F">
              <w:rPr>
                <w:b/>
                <w:i/>
                <w:sz w:val="22"/>
                <w:szCs w:val="22"/>
              </w:rPr>
              <w:t>indførsel af magasiner</w:t>
            </w:r>
            <w:r w:rsidR="008C3043">
              <w:rPr>
                <w:b/>
                <w:i/>
                <w:sz w:val="22"/>
                <w:szCs w:val="22"/>
              </w:rPr>
              <w:t>,</w:t>
            </w:r>
            <w:r w:rsidRPr="0044006F">
              <w:rPr>
                <w:b/>
                <w:i/>
                <w:sz w:val="22"/>
                <w:szCs w:val="22"/>
              </w:rPr>
              <w:t xml:space="preserve"> tidsskri</w:t>
            </w:r>
            <w:r w:rsidRPr="0044006F">
              <w:rPr>
                <w:b/>
                <w:i/>
                <w:sz w:val="22"/>
                <w:szCs w:val="22"/>
              </w:rPr>
              <w:t>f</w:t>
            </w:r>
            <w:r w:rsidRPr="0044006F">
              <w:rPr>
                <w:b/>
                <w:i/>
                <w:sz w:val="22"/>
                <w:szCs w:val="22"/>
              </w:rPr>
              <w:lastRenderedPageBreak/>
              <w:t>ter</w:t>
            </w:r>
            <w:r w:rsidR="008C3043">
              <w:rPr>
                <w:b/>
                <w:i/>
                <w:sz w:val="22"/>
                <w:szCs w:val="22"/>
              </w:rPr>
              <w:t xml:space="preserve"> o.lign</w:t>
            </w:r>
            <w:r w:rsidR="003A7038">
              <w:rPr>
                <w:sz w:val="22"/>
                <w:szCs w:val="22"/>
              </w:rPr>
              <w:t xml:space="preserve">. </w:t>
            </w:r>
          </w:p>
          <w:p w:rsidR="003A7038" w:rsidRDefault="003A7038" w:rsidP="003A7038">
            <w:pPr>
              <w:rPr>
                <w:sz w:val="22"/>
                <w:szCs w:val="22"/>
              </w:rPr>
            </w:pPr>
          </w:p>
          <w:p w:rsidR="00D32AB3" w:rsidRDefault="003A7038" w:rsidP="003A7038">
            <w:pPr>
              <w:rPr>
                <w:sz w:val="22"/>
                <w:szCs w:val="22"/>
              </w:rPr>
            </w:pPr>
            <w:r>
              <w:rPr>
                <w:sz w:val="22"/>
                <w:szCs w:val="22"/>
              </w:rPr>
              <w:t>GA anfører at den gældende regel om momsfritagelse for indførsel af tidsskrifter m.v., hvis de er trykt uden for EU, og koster u</w:t>
            </w:r>
            <w:r>
              <w:rPr>
                <w:sz w:val="22"/>
                <w:szCs w:val="22"/>
              </w:rPr>
              <w:t>n</w:t>
            </w:r>
            <w:r>
              <w:rPr>
                <w:sz w:val="22"/>
                <w:szCs w:val="22"/>
              </w:rPr>
              <w:t>der 80 kr., er konkurrenceforvr</w:t>
            </w:r>
            <w:r>
              <w:rPr>
                <w:sz w:val="22"/>
                <w:szCs w:val="22"/>
              </w:rPr>
              <w:t>i</w:t>
            </w:r>
            <w:r>
              <w:rPr>
                <w:sz w:val="22"/>
                <w:szCs w:val="22"/>
              </w:rPr>
              <w:t>dende for den danske grafiske branche. GA finder det afgørende, at forslaget sikrer, at trykkestedet ikke længere er afgørende for momsbetalingen.</w:t>
            </w:r>
          </w:p>
          <w:p w:rsidR="003A7038" w:rsidRDefault="003A7038" w:rsidP="003A7038">
            <w:pPr>
              <w:rPr>
                <w:sz w:val="22"/>
                <w:szCs w:val="22"/>
              </w:rPr>
            </w:pPr>
          </w:p>
          <w:p w:rsidR="003A7038" w:rsidRDefault="003A7038" w:rsidP="003A7038">
            <w:pPr>
              <w:rPr>
                <w:sz w:val="22"/>
                <w:szCs w:val="22"/>
              </w:rPr>
            </w:pPr>
            <w:r>
              <w:rPr>
                <w:sz w:val="22"/>
                <w:szCs w:val="22"/>
              </w:rPr>
              <w:t>GA anmoder om, at forslaget gennemføres hurtigst muligt for at undgå yderligere tab af omsæ</w:t>
            </w:r>
            <w:r>
              <w:rPr>
                <w:sz w:val="22"/>
                <w:szCs w:val="22"/>
              </w:rPr>
              <w:t>t</w:t>
            </w:r>
            <w:r>
              <w:rPr>
                <w:sz w:val="22"/>
                <w:szCs w:val="22"/>
              </w:rPr>
              <w:t>ning og arbejdspladser.</w:t>
            </w:r>
          </w:p>
          <w:p w:rsidR="003A7038" w:rsidRPr="003A7038" w:rsidRDefault="003A7038" w:rsidP="003A7038">
            <w:pPr>
              <w:rPr>
                <w:sz w:val="22"/>
                <w:szCs w:val="22"/>
              </w:rPr>
            </w:pPr>
          </w:p>
        </w:tc>
        <w:tc>
          <w:tcPr>
            <w:tcW w:w="4090" w:type="dxa"/>
          </w:tcPr>
          <w:p w:rsidR="00D32AB3" w:rsidRDefault="00D32AB3" w:rsidP="00352B9A">
            <w:pPr>
              <w:rPr>
                <w:sz w:val="22"/>
                <w:szCs w:val="22"/>
              </w:rPr>
            </w:pPr>
          </w:p>
        </w:tc>
      </w:tr>
      <w:tr w:rsidR="003A7038" w:rsidRPr="00481E36" w:rsidTr="00982CC6">
        <w:tc>
          <w:tcPr>
            <w:tcW w:w="2448" w:type="dxa"/>
          </w:tcPr>
          <w:p w:rsidR="003A7038" w:rsidRDefault="003A7038" w:rsidP="00226385">
            <w:pPr>
              <w:spacing w:line="288" w:lineRule="auto"/>
              <w:rPr>
                <w:sz w:val="22"/>
                <w:szCs w:val="22"/>
              </w:rPr>
            </w:pPr>
            <w:r>
              <w:rPr>
                <w:sz w:val="22"/>
                <w:szCs w:val="22"/>
              </w:rPr>
              <w:lastRenderedPageBreak/>
              <w:t>LO</w:t>
            </w:r>
          </w:p>
        </w:tc>
        <w:tc>
          <w:tcPr>
            <w:tcW w:w="3240" w:type="dxa"/>
          </w:tcPr>
          <w:p w:rsidR="00132327" w:rsidRDefault="003A7038" w:rsidP="003A7038">
            <w:pPr>
              <w:rPr>
                <w:sz w:val="22"/>
                <w:szCs w:val="22"/>
              </w:rPr>
            </w:pPr>
            <w:r>
              <w:rPr>
                <w:sz w:val="22"/>
                <w:szCs w:val="22"/>
              </w:rPr>
              <w:t xml:space="preserve">LO støtter forslaget </w:t>
            </w:r>
            <w:r w:rsidRPr="0044006F">
              <w:rPr>
                <w:b/>
                <w:i/>
                <w:sz w:val="22"/>
                <w:szCs w:val="22"/>
              </w:rPr>
              <w:t xml:space="preserve">vedrørende </w:t>
            </w:r>
            <w:r w:rsidR="008C3043">
              <w:rPr>
                <w:b/>
                <w:i/>
                <w:sz w:val="22"/>
                <w:szCs w:val="22"/>
              </w:rPr>
              <w:t xml:space="preserve">privates </w:t>
            </w:r>
            <w:r w:rsidRPr="0044006F">
              <w:rPr>
                <w:b/>
                <w:i/>
                <w:sz w:val="22"/>
                <w:szCs w:val="22"/>
              </w:rPr>
              <w:t>indførsel af magasiner</w:t>
            </w:r>
            <w:r w:rsidR="008C3043">
              <w:rPr>
                <w:b/>
                <w:i/>
                <w:sz w:val="22"/>
                <w:szCs w:val="22"/>
              </w:rPr>
              <w:t xml:space="preserve">, </w:t>
            </w:r>
            <w:r w:rsidRPr="0044006F">
              <w:rPr>
                <w:b/>
                <w:i/>
                <w:sz w:val="22"/>
                <w:szCs w:val="22"/>
              </w:rPr>
              <w:t>tidsskrifter</w:t>
            </w:r>
            <w:r w:rsidR="008C3043">
              <w:rPr>
                <w:b/>
                <w:i/>
                <w:sz w:val="22"/>
                <w:szCs w:val="22"/>
              </w:rPr>
              <w:t xml:space="preserve"> o.lign.</w:t>
            </w:r>
            <w:r>
              <w:rPr>
                <w:b/>
                <w:i/>
                <w:sz w:val="22"/>
                <w:szCs w:val="22"/>
              </w:rPr>
              <w:t>,</w:t>
            </w:r>
            <w:r>
              <w:rPr>
                <w:sz w:val="22"/>
                <w:szCs w:val="22"/>
              </w:rPr>
              <w:t xml:space="preserve"> idet forslaget vil sik</w:t>
            </w:r>
            <w:r w:rsidR="00384750">
              <w:rPr>
                <w:sz w:val="22"/>
                <w:szCs w:val="22"/>
              </w:rPr>
              <w:t>re</w:t>
            </w:r>
            <w:r>
              <w:rPr>
                <w:sz w:val="22"/>
                <w:szCs w:val="22"/>
              </w:rPr>
              <w:t>, at den gældende konku</w:t>
            </w:r>
            <w:r>
              <w:rPr>
                <w:sz w:val="22"/>
                <w:szCs w:val="22"/>
              </w:rPr>
              <w:t>r</w:t>
            </w:r>
            <w:r>
              <w:rPr>
                <w:sz w:val="22"/>
                <w:szCs w:val="22"/>
              </w:rPr>
              <w:t xml:space="preserve">renceforvridning til ugunst for </w:t>
            </w:r>
            <w:r w:rsidR="00132327">
              <w:rPr>
                <w:sz w:val="22"/>
                <w:szCs w:val="22"/>
              </w:rPr>
              <w:t>grafiske virksomheder i EU fje</w:t>
            </w:r>
            <w:r w:rsidR="00132327">
              <w:rPr>
                <w:sz w:val="22"/>
                <w:szCs w:val="22"/>
              </w:rPr>
              <w:t>r</w:t>
            </w:r>
            <w:r w:rsidR="00132327">
              <w:rPr>
                <w:sz w:val="22"/>
                <w:szCs w:val="22"/>
              </w:rPr>
              <w:t>nes</w:t>
            </w:r>
            <w:r>
              <w:rPr>
                <w:sz w:val="22"/>
                <w:szCs w:val="22"/>
              </w:rPr>
              <w:t>.</w:t>
            </w:r>
            <w:r w:rsidR="00132327">
              <w:rPr>
                <w:sz w:val="22"/>
                <w:szCs w:val="22"/>
              </w:rPr>
              <w:t xml:space="preserve"> </w:t>
            </w:r>
          </w:p>
          <w:p w:rsidR="00132327" w:rsidRDefault="00132327" w:rsidP="003A7038">
            <w:pPr>
              <w:rPr>
                <w:sz w:val="22"/>
                <w:szCs w:val="22"/>
              </w:rPr>
            </w:pPr>
          </w:p>
          <w:p w:rsidR="003A7038" w:rsidRDefault="00132327" w:rsidP="003A7038">
            <w:pPr>
              <w:rPr>
                <w:sz w:val="22"/>
                <w:szCs w:val="22"/>
              </w:rPr>
            </w:pPr>
            <w:r>
              <w:rPr>
                <w:sz w:val="22"/>
                <w:szCs w:val="22"/>
              </w:rPr>
              <w:t>LO ønsker forslaget gennemført hurtigst muligt.</w:t>
            </w:r>
            <w:r w:rsidR="003A7038">
              <w:rPr>
                <w:sz w:val="22"/>
                <w:szCs w:val="22"/>
              </w:rPr>
              <w:t xml:space="preserve"> </w:t>
            </w:r>
          </w:p>
        </w:tc>
        <w:tc>
          <w:tcPr>
            <w:tcW w:w="4090" w:type="dxa"/>
          </w:tcPr>
          <w:p w:rsidR="003A7038" w:rsidRDefault="003A7038" w:rsidP="00352B9A">
            <w:pPr>
              <w:rPr>
                <w:sz w:val="22"/>
                <w:szCs w:val="22"/>
              </w:rPr>
            </w:pPr>
          </w:p>
        </w:tc>
      </w:tr>
      <w:tr w:rsidR="00132327" w:rsidRPr="00481E36" w:rsidTr="00982CC6">
        <w:tc>
          <w:tcPr>
            <w:tcW w:w="2448" w:type="dxa"/>
          </w:tcPr>
          <w:p w:rsidR="00132327" w:rsidRPr="008C3043" w:rsidRDefault="00132327" w:rsidP="00EC36E6">
            <w:pPr>
              <w:spacing w:line="288" w:lineRule="auto"/>
              <w:rPr>
                <w:sz w:val="22"/>
                <w:szCs w:val="22"/>
              </w:rPr>
            </w:pPr>
            <w:r w:rsidRPr="008C3043">
              <w:rPr>
                <w:sz w:val="22"/>
                <w:szCs w:val="22"/>
              </w:rPr>
              <w:t>National Geographic</w:t>
            </w:r>
          </w:p>
        </w:tc>
        <w:tc>
          <w:tcPr>
            <w:tcW w:w="3240" w:type="dxa"/>
          </w:tcPr>
          <w:p w:rsidR="00384750" w:rsidRDefault="00132327" w:rsidP="00EC36E6">
            <w:pPr>
              <w:rPr>
                <w:sz w:val="22"/>
                <w:szCs w:val="22"/>
              </w:rPr>
            </w:pPr>
            <w:r>
              <w:rPr>
                <w:sz w:val="22"/>
                <w:szCs w:val="22"/>
              </w:rPr>
              <w:t xml:space="preserve">National Geographic bemærker i relation til forslaget </w:t>
            </w:r>
            <w:r w:rsidRPr="0044006F">
              <w:rPr>
                <w:b/>
                <w:i/>
                <w:sz w:val="22"/>
                <w:szCs w:val="22"/>
              </w:rPr>
              <w:t xml:space="preserve">vedrørende </w:t>
            </w:r>
            <w:r w:rsidR="008C3043">
              <w:rPr>
                <w:b/>
                <w:i/>
                <w:sz w:val="22"/>
                <w:szCs w:val="22"/>
              </w:rPr>
              <w:t xml:space="preserve">privates </w:t>
            </w:r>
            <w:r w:rsidRPr="0044006F">
              <w:rPr>
                <w:b/>
                <w:i/>
                <w:sz w:val="22"/>
                <w:szCs w:val="22"/>
              </w:rPr>
              <w:t>indførsel af magasiner</w:t>
            </w:r>
            <w:r w:rsidR="008C3043">
              <w:rPr>
                <w:b/>
                <w:i/>
                <w:sz w:val="22"/>
                <w:szCs w:val="22"/>
              </w:rPr>
              <w:t>,</w:t>
            </w:r>
            <w:r w:rsidRPr="0044006F">
              <w:rPr>
                <w:b/>
                <w:i/>
                <w:sz w:val="22"/>
                <w:szCs w:val="22"/>
              </w:rPr>
              <w:t xml:space="preserve"> tidsskrifter</w:t>
            </w:r>
            <w:r w:rsidR="008C3043">
              <w:rPr>
                <w:b/>
                <w:i/>
                <w:sz w:val="22"/>
                <w:szCs w:val="22"/>
              </w:rPr>
              <w:t xml:space="preserve"> o.lign.</w:t>
            </w:r>
            <w:r>
              <w:rPr>
                <w:i/>
                <w:sz w:val="22"/>
                <w:szCs w:val="22"/>
              </w:rPr>
              <w:t>,</w:t>
            </w:r>
            <w:r>
              <w:rPr>
                <w:sz w:val="22"/>
                <w:szCs w:val="22"/>
              </w:rPr>
              <w:t xml:space="preserve"> at forslaget ikke blot vil medføre moms på de relevante magasiner, men der vil ligeledes skulle betales et gebyr på 160 kr. til Post Danmark i forbindelse med, at abonnenterne skal på posthuset for at hente deres magasiner. </w:t>
            </w:r>
          </w:p>
          <w:p w:rsidR="00384750" w:rsidRDefault="00384750" w:rsidP="00EC36E6">
            <w:pPr>
              <w:rPr>
                <w:sz w:val="22"/>
                <w:szCs w:val="22"/>
              </w:rPr>
            </w:pPr>
          </w:p>
          <w:p w:rsidR="00132327" w:rsidRDefault="00132327" w:rsidP="00EC36E6">
            <w:pPr>
              <w:rPr>
                <w:sz w:val="22"/>
                <w:szCs w:val="22"/>
              </w:rPr>
            </w:pPr>
            <w:r>
              <w:rPr>
                <w:sz w:val="22"/>
                <w:szCs w:val="22"/>
              </w:rPr>
              <w:t>Gebyret og den meget besværlige proces har en effekt svarende til told, og i kraft heraf er lovforsl</w:t>
            </w:r>
            <w:r>
              <w:rPr>
                <w:sz w:val="22"/>
                <w:szCs w:val="22"/>
              </w:rPr>
              <w:t>a</w:t>
            </w:r>
            <w:r>
              <w:rPr>
                <w:sz w:val="22"/>
                <w:szCs w:val="22"/>
              </w:rPr>
              <w:t>get i strid med EU direktiv 1186/2000.</w:t>
            </w:r>
          </w:p>
          <w:p w:rsidR="00132327" w:rsidRDefault="00132327" w:rsidP="00EC36E6">
            <w:pPr>
              <w:rPr>
                <w:sz w:val="22"/>
                <w:szCs w:val="22"/>
              </w:rPr>
            </w:pPr>
          </w:p>
          <w:p w:rsidR="00132327" w:rsidRDefault="00132327" w:rsidP="00EC36E6">
            <w:pPr>
              <w:rPr>
                <w:sz w:val="22"/>
                <w:szCs w:val="22"/>
              </w:rPr>
            </w:pPr>
            <w:r>
              <w:rPr>
                <w:sz w:val="22"/>
                <w:szCs w:val="22"/>
              </w:rPr>
              <w:t>Det er endvidere National Geographics opfattelse, at lovæ</w:t>
            </w:r>
            <w:r>
              <w:rPr>
                <w:sz w:val="22"/>
                <w:szCs w:val="22"/>
              </w:rPr>
              <w:t>n</w:t>
            </w:r>
            <w:r>
              <w:rPr>
                <w:sz w:val="22"/>
                <w:szCs w:val="22"/>
              </w:rPr>
              <w:t>dringen vil betyde, at ingen da</w:t>
            </w:r>
            <w:r>
              <w:rPr>
                <w:sz w:val="22"/>
                <w:szCs w:val="22"/>
              </w:rPr>
              <w:t>n</w:t>
            </w:r>
            <w:r>
              <w:rPr>
                <w:sz w:val="22"/>
                <w:szCs w:val="22"/>
              </w:rPr>
              <w:t>skere vil tegne abonnementer på magasiner, der udgives udenfor EU.</w:t>
            </w:r>
          </w:p>
          <w:p w:rsidR="00132327" w:rsidRDefault="00132327" w:rsidP="00EC36E6">
            <w:pPr>
              <w:rPr>
                <w:sz w:val="22"/>
                <w:szCs w:val="22"/>
              </w:rPr>
            </w:pPr>
          </w:p>
          <w:p w:rsidR="00132327" w:rsidRDefault="00132327" w:rsidP="00EC36E6">
            <w:pPr>
              <w:rPr>
                <w:sz w:val="22"/>
                <w:szCs w:val="22"/>
              </w:rPr>
            </w:pPr>
            <w:r>
              <w:rPr>
                <w:sz w:val="22"/>
                <w:szCs w:val="22"/>
              </w:rPr>
              <w:t>Endelig bemærker National Geographics, at såfremt lovfor</w:t>
            </w:r>
            <w:r>
              <w:rPr>
                <w:sz w:val="22"/>
                <w:szCs w:val="22"/>
              </w:rPr>
              <w:t>s</w:t>
            </w:r>
            <w:r>
              <w:rPr>
                <w:sz w:val="22"/>
                <w:szCs w:val="22"/>
              </w:rPr>
              <w:t>laget bliver vedtaget i sin nuv</w:t>
            </w:r>
            <w:r>
              <w:rPr>
                <w:sz w:val="22"/>
                <w:szCs w:val="22"/>
              </w:rPr>
              <w:t>æ</w:t>
            </w:r>
            <w:r>
              <w:rPr>
                <w:sz w:val="22"/>
                <w:szCs w:val="22"/>
              </w:rPr>
              <w:lastRenderedPageBreak/>
              <w:t>rende form, så vil det under he</w:t>
            </w:r>
            <w:r>
              <w:rPr>
                <w:sz w:val="22"/>
                <w:szCs w:val="22"/>
              </w:rPr>
              <w:t>n</w:t>
            </w:r>
            <w:r>
              <w:rPr>
                <w:sz w:val="22"/>
                <w:szCs w:val="22"/>
              </w:rPr>
              <w:t>syn til den meget korte impl</w:t>
            </w:r>
            <w:r>
              <w:rPr>
                <w:sz w:val="22"/>
                <w:szCs w:val="22"/>
              </w:rPr>
              <w:t>e</w:t>
            </w:r>
            <w:r>
              <w:rPr>
                <w:sz w:val="22"/>
                <w:szCs w:val="22"/>
              </w:rPr>
              <w:t>menteringsfrist, bliver umuligt for forlag udenfor EU at nå at tage de nødvendige skridt for at kunne leve op til forpligtelserne i he</w:t>
            </w:r>
            <w:r>
              <w:rPr>
                <w:sz w:val="22"/>
                <w:szCs w:val="22"/>
              </w:rPr>
              <w:t>n</w:t>
            </w:r>
            <w:r>
              <w:rPr>
                <w:sz w:val="22"/>
                <w:szCs w:val="22"/>
              </w:rPr>
              <w:t>hold til de nuværende abonn</w:t>
            </w:r>
            <w:r>
              <w:rPr>
                <w:sz w:val="22"/>
                <w:szCs w:val="22"/>
              </w:rPr>
              <w:t>e</w:t>
            </w:r>
            <w:r>
              <w:rPr>
                <w:sz w:val="22"/>
                <w:szCs w:val="22"/>
              </w:rPr>
              <w:t>menter.</w:t>
            </w:r>
          </w:p>
        </w:tc>
        <w:tc>
          <w:tcPr>
            <w:tcW w:w="4090" w:type="dxa"/>
          </w:tcPr>
          <w:p w:rsidR="00384750" w:rsidRDefault="00384750" w:rsidP="00384750">
            <w:pPr>
              <w:rPr>
                <w:sz w:val="22"/>
                <w:szCs w:val="22"/>
              </w:rPr>
            </w:pPr>
            <w:r>
              <w:rPr>
                <w:sz w:val="22"/>
                <w:szCs w:val="22"/>
              </w:rPr>
              <w:lastRenderedPageBreak/>
              <w:t>Der henvises til kommentar til høringssvar fra Dansk Industri.</w:t>
            </w:r>
          </w:p>
          <w:p w:rsidR="00384750" w:rsidRDefault="00384750" w:rsidP="00384750">
            <w:pPr>
              <w:rPr>
                <w:sz w:val="22"/>
                <w:szCs w:val="22"/>
              </w:rPr>
            </w:pPr>
          </w:p>
          <w:p w:rsidR="00384750" w:rsidRDefault="00384750" w:rsidP="00384750">
            <w:pPr>
              <w:rPr>
                <w:sz w:val="22"/>
                <w:szCs w:val="22"/>
              </w:rPr>
            </w:pPr>
          </w:p>
          <w:p w:rsidR="00384750" w:rsidRDefault="00384750" w:rsidP="00384750">
            <w:pPr>
              <w:rPr>
                <w:sz w:val="22"/>
                <w:szCs w:val="22"/>
              </w:rPr>
            </w:pPr>
          </w:p>
          <w:p w:rsidR="00384750" w:rsidRDefault="00384750" w:rsidP="00384750">
            <w:pPr>
              <w:rPr>
                <w:sz w:val="22"/>
                <w:szCs w:val="22"/>
              </w:rPr>
            </w:pPr>
          </w:p>
          <w:p w:rsidR="00384750" w:rsidRDefault="00384750" w:rsidP="00384750">
            <w:pPr>
              <w:rPr>
                <w:sz w:val="22"/>
                <w:szCs w:val="22"/>
              </w:rPr>
            </w:pPr>
          </w:p>
          <w:p w:rsidR="00384750" w:rsidRDefault="00384750" w:rsidP="00384750">
            <w:pPr>
              <w:rPr>
                <w:sz w:val="22"/>
                <w:szCs w:val="22"/>
              </w:rPr>
            </w:pPr>
          </w:p>
          <w:p w:rsidR="00384750" w:rsidRDefault="00384750" w:rsidP="00384750">
            <w:pPr>
              <w:rPr>
                <w:sz w:val="22"/>
                <w:szCs w:val="22"/>
              </w:rPr>
            </w:pPr>
          </w:p>
          <w:p w:rsidR="00384750" w:rsidRDefault="00384750" w:rsidP="00384750">
            <w:pPr>
              <w:rPr>
                <w:sz w:val="22"/>
                <w:szCs w:val="22"/>
              </w:rPr>
            </w:pPr>
          </w:p>
          <w:p w:rsidR="00384750" w:rsidRDefault="00384750" w:rsidP="00384750">
            <w:pPr>
              <w:rPr>
                <w:sz w:val="22"/>
                <w:szCs w:val="22"/>
              </w:rPr>
            </w:pPr>
          </w:p>
          <w:p w:rsidR="00384750" w:rsidRDefault="00384750" w:rsidP="00384750">
            <w:pPr>
              <w:rPr>
                <w:sz w:val="22"/>
                <w:szCs w:val="22"/>
              </w:rPr>
            </w:pPr>
          </w:p>
          <w:p w:rsidR="00384750" w:rsidRDefault="00384750" w:rsidP="00384750">
            <w:pPr>
              <w:rPr>
                <w:sz w:val="22"/>
                <w:szCs w:val="22"/>
              </w:rPr>
            </w:pPr>
            <w:r>
              <w:rPr>
                <w:sz w:val="22"/>
                <w:szCs w:val="22"/>
              </w:rPr>
              <w:t>Der henvises til kommentar til høringssvar fra Advokatrådet.</w:t>
            </w:r>
          </w:p>
          <w:p w:rsidR="00384750" w:rsidRDefault="00384750" w:rsidP="00384750">
            <w:pPr>
              <w:rPr>
                <w:sz w:val="22"/>
                <w:szCs w:val="22"/>
              </w:rPr>
            </w:pPr>
          </w:p>
          <w:p w:rsidR="00132327" w:rsidRDefault="00132327" w:rsidP="00352B9A">
            <w:pPr>
              <w:rPr>
                <w:sz w:val="22"/>
                <w:szCs w:val="22"/>
              </w:rPr>
            </w:pPr>
          </w:p>
          <w:p w:rsidR="008B059F" w:rsidRDefault="008B059F" w:rsidP="00352B9A">
            <w:pPr>
              <w:rPr>
                <w:sz w:val="22"/>
                <w:szCs w:val="22"/>
              </w:rPr>
            </w:pPr>
          </w:p>
          <w:p w:rsidR="008B059F" w:rsidRDefault="008B059F" w:rsidP="00352B9A">
            <w:pPr>
              <w:rPr>
                <w:sz w:val="22"/>
                <w:szCs w:val="22"/>
              </w:rPr>
            </w:pPr>
          </w:p>
          <w:p w:rsidR="008B059F" w:rsidRDefault="008B059F" w:rsidP="008B059F">
            <w:pPr>
              <w:rPr>
                <w:sz w:val="22"/>
                <w:szCs w:val="22"/>
              </w:rPr>
            </w:pPr>
            <w:r>
              <w:rPr>
                <w:sz w:val="22"/>
                <w:szCs w:val="22"/>
              </w:rPr>
              <w:t>Der henvises til kommentar til høringssvar fra Dansk Industri.</w:t>
            </w:r>
          </w:p>
          <w:p w:rsidR="008B059F" w:rsidRDefault="008B059F" w:rsidP="00352B9A">
            <w:pPr>
              <w:rPr>
                <w:sz w:val="22"/>
                <w:szCs w:val="22"/>
              </w:rPr>
            </w:pPr>
          </w:p>
          <w:p w:rsidR="008B059F" w:rsidRDefault="008B059F" w:rsidP="00352B9A">
            <w:pPr>
              <w:rPr>
                <w:sz w:val="22"/>
                <w:szCs w:val="22"/>
              </w:rPr>
            </w:pPr>
          </w:p>
          <w:p w:rsidR="008B059F" w:rsidRDefault="008B059F" w:rsidP="00352B9A">
            <w:pPr>
              <w:rPr>
                <w:sz w:val="22"/>
                <w:szCs w:val="22"/>
              </w:rPr>
            </w:pPr>
          </w:p>
          <w:p w:rsidR="008B059F" w:rsidRDefault="008B059F" w:rsidP="00352B9A">
            <w:pPr>
              <w:rPr>
                <w:sz w:val="22"/>
                <w:szCs w:val="22"/>
              </w:rPr>
            </w:pPr>
          </w:p>
          <w:p w:rsidR="008B059F" w:rsidRDefault="008B059F" w:rsidP="00352B9A">
            <w:pPr>
              <w:rPr>
                <w:sz w:val="22"/>
                <w:szCs w:val="22"/>
              </w:rPr>
            </w:pPr>
          </w:p>
          <w:p w:rsidR="008B059F" w:rsidRDefault="008B059F" w:rsidP="0012377E">
            <w:pPr>
              <w:rPr>
                <w:sz w:val="22"/>
                <w:szCs w:val="22"/>
              </w:rPr>
            </w:pPr>
            <w:r>
              <w:rPr>
                <w:sz w:val="22"/>
                <w:szCs w:val="22"/>
              </w:rPr>
              <w:t>Forslaget i sig selv vil ikke medføre, at forlag udenfor EU, vil skulle leve op til yderligere forpligtelser.</w:t>
            </w:r>
          </w:p>
        </w:tc>
      </w:tr>
      <w:tr w:rsidR="00132327" w:rsidRPr="00481E36" w:rsidTr="00982CC6">
        <w:tc>
          <w:tcPr>
            <w:tcW w:w="2448" w:type="dxa"/>
          </w:tcPr>
          <w:p w:rsidR="00132327" w:rsidRPr="00481E36" w:rsidRDefault="00132327" w:rsidP="00982CC6">
            <w:pPr>
              <w:spacing w:line="288" w:lineRule="auto"/>
              <w:rPr>
                <w:sz w:val="22"/>
                <w:szCs w:val="22"/>
              </w:rPr>
            </w:pPr>
            <w:r>
              <w:rPr>
                <w:sz w:val="22"/>
                <w:szCs w:val="22"/>
              </w:rPr>
              <w:lastRenderedPageBreak/>
              <w:t>Post Danmark</w:t>
            </w:r>
          </w:p>
        </w:tc>
        <w:tc>
          <w:tcPr>
            <w:tcW w:w="3240" w:type="dxa"/>
          </w:tcPr>
          <w:p w:rsidR="00132327" w:rsidRDefault="00132327" w:rsidP="0044006F">
            <w:pPr>
              <w:rPr>
                <w:sz w:val="22"/>
                <w:szCs w:val="22"/>
              </w:rPr>
            </w:pPr>
            <w:r>
              <w:rPr>
                <w:sz w:val="22"/>
                <w:szCs w:val="22"/>
              </w:rPr>
              <w:t>Post Danmark bemærker, at fo</w:t>
            </w:r>
            <w:r>
              <w:rPr>
                <w:sz w:val="22"/>
                <w:szCs w:val="22"/>
              </w:rPr>
              <w:t>r</w:t>
            </w:r>
            <w:r>
              <w:rPr>
                <w:sz w:val="22"/>
                <w:szCs w:val="22"/>
              </w:rPr>
              <w:t xml:space="preserve">slaget </w:t>
            </w:r>
            <w:r w:rsidRPr="0044006F">
              <w:rPr>
                <w:b/>
                <w:i/>
                <w:sz w:val="22"/>
                <w:szCs w:val="22"/>
              </w:rPr>
              <w:t xml:space="preserve">vedrørende </w:t>
            </w:r>
            <w:r w:rsidR="008C3043">
              <w:rPr>
                <w:b/>
                <w:i/>
                <w:sz w:val="22"/>
                <w:szCs w:val="22"/>
              </w:rPr>
              <w:t xml:space="preserve">privates </w:t>
            </w:r>
            <w:r w:rsidRPr="0044006F">
              <w:rPr>
                <w:b/>
                <w:i/>
                <w:sz w:val="22"/>
                <w:szCs w:val="22"/>
              </w:rPr>
              <w:t>in</w:t>
            </w:r>
            <w:r w:rsidRPr="0044006F">
              <w:rPr>
                <w:b/>
                <w:i/>
                <w:sz w:val="22"/>
                <w:szCs w:val="22"/>
              </w:rPr>
              <w:t>d</w:t>
            </w:r>
            <w:r w:rsidR="004A3CAC">
              <w:rPr>
                <w:b/>
                <w:i/>
                <w:sz w:val="22"/>
                <w:szCs w:val="22"/>
              </w:rPr>
              <w:t xml:space="preserve">førsel af </w:t>
            </w:r>
            <w:r w:rsidR="008C3043">
              <w:rPr>
                <w:b/>
                <w:i/>
                <w:sz w:val="22"/>
                <w:szCs w:val="22"/>
              </w:rPr>
              <w:t xml:space="preserve">magasiner, </w:t>
            </w:r>
            <w:r w:rsidRPr="0044006F">
              <w:rPr>
                <w:b/>
                <w:i/>
                <w:sz w:val="22"/>
                <w:szCs w:val="22"/>
              </w:rPr>
              <w:t>tidsskrift</w:t>
            </w:r>
            <w:r w:rsidRPr="0044006F">
              <w:rPr>
                <w:b/>
                <w:i/>
                <w:sz w:val="22"/>
                <w:szCs w:val="22"/>
              </w:rPr>
              <w:t>e</w:t>
            </w:r>
            <w:r w:rsidRPr="0044006F">
              <w:rPr>
                <w:b/>
                <w:i/>
                <w:sz w:val="22"/>
                <w:szCs w:val="22"/>
              </w:rPr>
              <w:t>r</w:t>
            </w:r>
            <w:r w:rsidR="008C3043">
              <w:rPr>
                <w:b/>
                <w:i/>
                <w:sz w:val="22"/>
                <w:szCs w:val="22"/>
              </w:rPr>
              <w:t>o.lign.</w:t>
            </w:r>
            <w:r w:rsidR="008C3043">
              <w:rPr>
                <w:i/>
                <w:sz w:val="22"/>
                <w:szCs w:val="22"/>
              </w:rPr>
              <w:t>,</w:t>
            </w:r>
            <w:r>
              <w:rPr>
                <w:sz w:val="22"/>
                <w:szCs w:val="22"/>
              </w:rPr>
              <w:t>for så vidt angår magas</w:t>
            </w:r>
            <w:r>
              <w:rPr>
                <w:sz w:val="22"/>
                <w:szCs w:val="22"/>
              </w:rPr>
              <w:t>i</w:t>
            </w:r>
            <w:r>
              <w:rPr>
                <w:sz w:val="22"/>
                <w:szCs w:val="22"/>
              </w:rPr>
              <w:t>ner</w:t>
            </w:r>
            <w:r w:rsidR="004A3CAC">
              <w:rPr>
                <w:sz w:val="22"/>
                <w:szCs w:val="22"/>
              </w:rPr>
              <w:t xml:space="preserve"> m.v.</w:t>
            </w:r>
            <w:r>
              <w:rPr>
                <w:sz w:val="22"/>
                <w:szCs w:val="22"/>
              </w:rPr>
              <w:t>, som sendes via ude</w:t>
            </w:r>
            <w:r>
              <w:rPr>
                <w:sz w:val="22"/>
                <w:szCs w:val="22"/>
              </w:rPr>
              <w:t>n</w:t>
            </w:r>
            <w:r>
              <w:rPr>
                <w:sz w:val="22"/>
                <w:szCs w:val="22"/>
              </w:rPr>
              <w:t>landske postvæsener, vil få vid</w:t>
            </w:r>
            <w:r>
              <w:rPr>
                <w:sz w:val="22"/>
                <w:szCs w:val="22"/>
              </w:rPr>
              <w:t>t</w:t>
            </w:r>
            <w:r>
              <w:rPr>
                <w:sz w:val="22"/>
                <w:szCs w:val="22"/>
              </w:rPr>
              <w:t>rækkende konsekvenser, som reelt vil betyde, at danskere vil ophøre med at abonnere på ude</w:t>
            </w:r>
            <w:r>
              <w:rPr>
                <w:sz w:val="22"/>
                <w:szCs w:val="22"/>
              </w:rPr>
              <w:t>n</w:t>
            </w:r>
            <w:r>
              <w:rPr>
                <w:sz w:val="22"/>
                <w:szCs w:val="22"/>
              </w:rPr>
              <w:t>landske magasiner, der udko</w:t>
            </w:r>
            <w:r>
              <w:rPr>
                <w:sz w:val="22"/>
                <w:szCs w:val="22"/>
              </w:rPr>
              <w:t>m</w:t>
            </w:r>
            <w:r>
              <w:rPr>
                <w:sz w:val="22"/>
                <w:szCs w:val="22"/>
              </w:rPr>
              <w:t xml:space="preserve">mer i lande udenfor EU. Dette skyldes, at </w:t>
            </w:r>
          </w:p>
          <w:p w:rsidR="00132327" w:rsidRDefault="00132327" w:rsidP="0044006F">
            <w:pPr>
              <w:numPr>
                <w:ilvl w:val="0"/>
                <w:numId w:val="1"/>
              </w:numPr>
              <w:rPr>
                <w:sz w:val="22"/>
                <w:szCs w:val="22"/>
              </w:rPr>
            </w:pPr>
            <w:r>
              <w:rPr>
                <w:sz w:val="22"/>
                <w:szCs w:val="22"/>
              </w:rPr>
              <w:t>der skal tillægges moms på 25 pct.</w:t>
            </w:r>
          </w:p>
          <w:p w:rsidR="00132327" w:rsidRDefault="00132327" w:rsidP="0044006F">
            <w:pPr>
              <w:numPr>
                <w:ilvl w:val="0"/>
                <w:numId w:val="1"/>
              </w:numPr>
              <w:rPr>
                <w:sz w:val="22"/>
                <w:szCs w:val="22"/>
              </w:rPr>
            </w:pPr>
            <w:r>
              <w:rPr>
                <w:sz w:val="22"/>
                <w:szCs w:val="22"/>
              </w:rPr>
              <w:t>der skal betales toldb</w:t>
            </w:r>
            <w:r>
              <w:rPr>
                <w:sz w:val="22"/>
                <w:szCs w:val="22"/>
              </w:rPr>
              <w:t>e</w:t>
            </w:r>
            <w:r>
              <w:rPr>
                <w:sz w:val="22"/>
                <w:szCs w:val="22"/>
              </w:rPr>
              <w:t>handlingsgebyr på 160 kr. (inkl. moms)</w:t>
            </w:r>
          </w:p>
          <w:p w:rsidR="00132327" w:rsidRDefault="00132327" w:rsidP="0044006F">
            <w:pPr>
              <w:numPr>
                <w:ilvl w:val="0"/>
                <w:numId w:val="1"/>
              </w:numPr>
              <w:rPr>
                <w:sz w:val="22"/>
                <w:szCs w:val="22"/>
              </w:rPr>
            </w:pPr>
            <w:r>
              <w:rPr>
                <w:sz w:val="22"/>
                <w:szCs w:val="22"/>
              </w:rPr>
              <w:t>magasinet vil ikke læng</w:t>
            </w:r>
            <w:r>
              <w:rPr>
                <w:sz w:val="22"/>
                <w:szCs w:val="22"/>
              </w:rPr>
              <w:t>e</w:t>
            </w:r>
            <w:r>
              <w:rPr>
                <w:sz w:val="22"/>
                <w:szCs w:val="22"/>
              </w:rPr>
              <w:t>re kunne leveres direkte på borgerens bopæl, og momsbeløbet skal betales ved afhentning, idet Post Danmark hæfter for momsen over for SKAT.</w:t>
            </w:r>
          </w:p>
          <w:p w:rsidR="00132327" w:rsidRDefault="00132327" w:rsidP="0044006F">
            <w:pPr>
              <w:rPr>
                <w:sz w:val="22"/>
                <w:szCs w:val="22"/>
              </w:rPr>
            </w:pPr>
          </w:p>
          <w:p w:rsidR="004A3CAC" w:rsidRDefault="00132327" w:rsidP="0044006F">
            <w:pPr>
              <w:rPr>
                <w:sz w:val="22"/>
                <w:szCs w:val="22"/>
              </w:rPr>
            </w:pPr>
            <w:r>
              <w:rPr>
                <w:sz w:val="22"/>
                <w:szCs w:val="22"/>
              </w:rPr>
              <w:t>Forslaget vil endvidere medføre væsentlige konsekvenser for Post Danmark i forbindelse med fo</w:t>
            </w:r>
            <w:r>
              <w:rPr>
                <w:sz w:val="22"/>
                <w:szCs w:val="22"/>
              </w:rPr>
              <w:t>r</w:t>
            </w:r>
            <w:r>
              <w:rPr>
                <w:sz w:val="22"/>
                <w:szCs w:val="22"/>
              </w:rPr>
              <w:t>sendelserne fra udenlandske pos</w:t>
            </w:r>
            <w:r>
              <w:rPr>
                <w:sz w:val="22"/>
                <w:szCs w:val="22"/>
              </w:rPr>
              <w:t>t</w:t>
            </w:r>
            <w:r>
              <w:rPr>
                <w:sz w:val="22"/>
                <w:szCs w:val="22"/>
              </w:rPr>
              <w:t>væsener. Fremover vil Post Da</w:t>
            </w:r>
            <w:r>
              <w:rPr>
                <w:sz w:val="22"/>
                <w:szCs w:val="22"/>
              </w:rPr>
              <w:t>n</w:t>
            </w:r>
            <w:r>
              <w:rPr>
                <w:sz w:val="22"/>
                <w:szCs w:val="22"/>
              </w:rPr>
              <w:t xml:space="preserve">mark skulle kontrollere al post fra ikke EU-lande for at identificere magasiner, der indsendes </w:t>
            </w:r>
            <w:r w:rsidR="004A3CAC">
              <w:rPr>
                <w:sz w:val="22"/>
                <w:szCs w:val="22"/>
              </w:rPr>
              <w:t xml:space="preserve">blandet </w:t>
            </w:r>
            <w:r>
              <w:rPr>
                <w:sz w:val="22"/>
                <w:szCs w:val="22"/>
              </w:rPr>
              <w:t>sammen med den øvrige post fra udlandet.</w:t>
            </w:r>
          </w:p>
          <w:p w:rsidR="004A3CAC" w:rsidRDefault="004A3CAC" w:rsidP="0044006F">
            <w:pPr>
              <w:rPr>
                <w:sz w:val="22"/>
                <w:szCs w:val="22"/>
              </w:rPr>
            </w:pPr>
          </w:p>
          <w:p w:rsidR="00132327" w:rsidRPr="00481E36" w:rsidRDefault="00132327" w:rsidP="0044006F">
            <w:pPr>
              <w:rPr>
                <w:sz w:val="22"/>
                <w:szCs w:val="22"/>
              </w:rPr>
            </w:pPr>
            <w:r>
              <w:rPr>
                <w:sz w:val="22"/>
                <w:szCs w:val="22"/>
              </w:rPr>
              <w:t>Det kan endvidere i praksis være særdeles vanskeligt at afgøre, hvad der forstås ved magasiner, tidsskrifter og lignende.</w:t>
            </w:r>
          </w:p>
        </w:tc>
        <w:tc>
          <w:tcPr>
            <w:tcW w:w="4090" w:type="dxa"/>
          </w:tcPr>
          <w:p w:rsidR="004A3CAC" w:rsidRDefault="004A3CAC" w:rsidP="004A3CAC">
            <w:pPr>
              <w:rPr>
                <w:sz w:val="22"/>
                <w:szCs w:val="22"/>
              </w:rPr>
            </w:pPr>
            <w:r>
              <w:rPr>
                <w:sz w:val="22"/>
                <w:szCs w:val="22"/>
              </w:rPr>
              <w:t>Der henvises til kommentar til høringssvar fra Dansk Industri.</w:t>
            </w:r>
          </w:p>
          <w:p w:rsidR="00132327" w:rsidRDefault="00132327" w:rsidP="00982CC6">
            <w:pPr>
              <w:rPr>
                <w:sz w:val="22"/>
                <w:szCs w:val="22"/>
              </w:rPr>
            </w:pPr>
          </w:p>
          <w:p w:rsidR="004A3CAC" w:rsidRDefault="004A3CAC" w:rsidP="00982CC6">
            <w:pPr>
              <w:rPr>
                <w:sz w:val="22"/>
                <w:szCs w:val="22"/>
              </w:rPr>
            </w:pPr>
          </w:p>
          <w:p w:rsidR="004A3CAC" w:rsidRDefault="004A3CAC" w:rsidP="00982CC6">
            <w:pPr>
              <w:rPr>
                <w:sz w:val="22"/>
                <w:szCs w:val="22"/>
              </w:rPr>
            </w:pPr>
          </w:p>
          <w:p w:rsidR="004A3CAC" w:rsidRDefault="004A3CAC" w:rsidP="00982CC6">
            <w:pPr>
              <w:rPr>
                <w:sz w:val="22"/>
                <w:szCs w:val="22"/>
              </w:rPr>
            </w:pPr>
          </w:p>
          <w:p w:rsidR="004A3CAC" w:rsidRDefault="004A3CAC" w:rsidP="00982CC6">
            <w:pPr>
              <w:rPr>
                <w:sz w:val="22"/>
                <w:szCs w:val="22"/>
              </w:rPr>
            </w:pPr>
          </w:p>
          <w:p w:rsidR="004A3CAC" w:rsidRDefault="004A3CAC" w:rsidP="00982CC6">
            <w:pPr>
              <w:rPr>
                <w:sz w:val="22"/>
                <w:szCs w:val="22"/>
              </w:rPr>
            </w:pPr>
          </w:p>
          <w:p w:rsidR="004A3CAC" w:rsidRDefault="004A3CAC" w:rsidP="00982CC6">
            <w:pPr>
              <w:rPr>
                <w:sz w:val="22"/>
                <w:szCs w:val="22"/>
              </w:rPr>
            </w:pPr>
          </w:p>
          <w:p w:rsidR="004A3CAC" w:rsidRDefault="004A3CAC" w:rsidP="00982CC6">
            <w:pPr>
              <w:rPr>
                <w:sz w:val="22"/>
                <w:szCs w:val="22"/>
              </w:rPr>
            </w:pPr>
          </w:p>
          <w:p w:rsidR="004A3CAC" w:rsidRDefault="004A3CAC" w:rsidP="00982CC6">
            <w:pPr>
              <w:rPr>
                <w:sz w:val="22"/>
                <w:szCs w:val="22"/>
              </w:rPr>
            </w:pPr>
          </w:p>
          <w:p w:rsidR="004A3CAC" w:rsidRDefault="004A3CAC" w:rsidP="00982CC6">
            <w:pPr>
              <w:rPr>
                <w:sz w:val="22"/>
                <w:szCs w:val="22"/>
              </w:rPr>
            </w:pPr>
          </w:p>
          <w:p w:rsidR="004A3CAC" w:rsidRDefault="004A3CAC" w:rsidP="00982CC6">
            <w:pPr>
              <w:rPr>
                <w:sz w:val="22"/>
                <w:szCs w:val="22"/>
              </w:rPr>
            </w:pPr>
          </w:p>
          <w:p w:rsidR="004A3CAC" w:rsidRDefault="004A3CAC" w:rsidP="00982CC6">
            <w:pPr>
              <w:rPr>
                <w:sz w:val="22"/>
                <w:szCs w:val="22"/>
              </w:rPr>
            </w:pPr>
          </w:p>
          <w:p w:rsidR="004A3CAC" w:rsidRDefault="004A3CAC" w:rsidP="00982CC6">
            <w:pPr>
              <w:rPr>
                <w:sz w:val="22"/>
                <w:szCs w:val="22"/>
              </w:rPr>
            </w:pPr>
          </w:p>
          <w:p w:rsidR="004A3CAC" w:rsidRDefault="004A3CAC" w:rsidP="00982CC6">
            <w:pPr>
              <w:rPr>
                <w:sz w:val="22"/>
                <w:szCs w:val="22"/>
              </w:rPr>
            </w:pPr>
          </w:p>
          <w:p w:rsidR="004A3CAC" w:rsidRDefault="004A3CAC" w:rsidP="00982CC6">
            <w:pPr>
              <w:rPr>
                <w:sz w:val="22"/>
                <w:szCs w:val="22"/>
              </w:rPr>
            </w:pPr>
          </w:p>
          <w:p w:rsidR="004A3CAC" w:rsidRDefault="004A3CAC" w:rsidP="00982CC6">
            <w:pPr>
              <w:rPr>
                <w:sz w:val="22"/>
                <w:szCs w:val="22"/>
              </w:rPr>
            </w:pPr>
          </w:p>
          <w:p w:rsidR="004A3CAC" w:rsidRDefault="004A3CAC" w:rsidP="00982CC6">
            <w:pPr>
              <w:rPr>
                <w:sz w:val="22"/>
                <w:szCs w:val="22"/>
              </w:rPr>
            </w:pPr>
          </w:p>
          <w:p w:rsidR="004A3CAC" w:rsidRDefault="004A3CAC" w:rsidP="00982CC6">
            <w:pPr>
              <w:rPr>
                <w:sz w:val="22"/>
                <w:szCs w:val="22"/>
              </w:rPr>
            </w:pPr>
          </w:p>
          <w:p w:rsidR="004A3CAC" w:rsidRDefault="004A3CAC" w:rsidP="00982CC6">
            <w:pPr>
              <w:rPr>
                <w:sz w:val="22"/>
                <w:szCs w:val="22"/>
              </w:rPr>
            </w:pPr>
          </w:p>
          <w:p w:rsidR="004A3CAC" w:rsidRDefault="004A3CAC" w:rsidP="00982CC6">
            <w:pPr>
              <w:rPr>
                <w:sz w:val="22"/>
                <w:szCs w:val="22"/>
              </w:rPr>
            </w:pPr>
          </w:p>
          <w:p w:rsidR="004A3CAC" w:rsidRDefault="004A3CAC" w:rsidP="00982CC6">
            <w:pPr>
              <w:rPr>
                <w:sz w:val="22"/>
                <w:szCs w:val="22"/>
              </w:rPr>
            </w:pPr>
          </w:p>
          <w:p w:rsidR="004A3CAC" w:rsidRDefault="004A3CAC" w:rsidP="00982CC6">
            <w:pPr>
              <w:rPr>
                <w:sz w:val="22"/>
                <w:szCs w:val="22"/>
              </w:rPr>
            </w:pPr>
          </w:p>
          <w:p w:rsidR="001445F4" w:rsidRDefault="001445F4" w:rsidP="004A3CAC">
            <w:pPr>
              <w:rPr>
                <w:sz w:val="22"/>
                <w:szCs w:val="22"/>
              </w:rPr>
            </w:pPr>
          </w:p>
          <w:p w:rsidR="004A3CAC" w:rsidRDefault="004A3CAC" w:rsidP="004A3CAC">
            <w:pPr>
              <w:rPr>
                <w:sz w:val="22"/>
                <w:szCs w:val="22"/>
              </w:rPr>
            </w:pPr>
            <w:r>
              <w:rPr>
                <w:sz w:val="22"/>
                <w:szCs w:val="22"/>
              </w:rPr>
              <w:t>Der henvises til kommentar til høringssvar fra Dansk Industri.</w:t>
            </w:r>
          </w:p>
          <w:p w:rsidR="004A3CAC" w:rsidRDefault="004A3CAC" w:rsidP="00982CC6">
            <w:pPr>
              <w:rPr>
                <w:sz w:val="22"/>
                <w:szCs w:val="22"/>
              </w:rPr>
            </w:pPr>
          </w:p>
          <w:p w:rsidR="004A3CAC" w:rsidRDefault="004A3CAC" w:rsidP="00982CC6">
            <w:pPr>
              <w:rPr>
                <w:sz w:val="22"/>
                <w:szCs w:val="22"/>
              </w:rPr>
            </w:pPr>
          </w:p>
          <w:p w:rsidR="004A3CAC" w:rsidRDefault="004A3CAC" w:rsidP="00982CC6">
            <w:pPr>
              <w:rPr>
                <w:sz w:val="22"/>
                <w:szCs w:val="22"/>
              </w:rPr>
            </w:pPr>
          </w:p>
          <w:p w:rsidR="004A3CAC" w:rsidRDefault="004A3CAC" w:rsidP="00982CC6">
            <w:pPr>
              <w:rPr>
                <w:sz w:val="22"/>
                <w:szCs w:val="22"/>
              </w:rPr>
            </w:pPr>
          </w:p>
          <w:p w:rsidR="004A3CAC" w:rsidRDefault="004A3CAC" w:rsidP="00982CC6">
            <w:pPr>
              <w:rPr>
                <w:sz w:val="22"/>
                <w:szCs w:val="22"/>
              </w:rPr>
            </w:pPr>
          </w:p>
          <w:p w:rsidR="004A3CAC" w:rsidRDefault="004A3CAC" w:rsidP="00982CC6">
            <w:pPr>
              <w:rPr>
                <w:sz w:val="22"/>
                <w:szCs w:val="22"/>
              </w:rPr>
            </w:pPr>
          </w:p>
          <w:p w:rsidR="004A3CAC" w:rsidRDefault="004A3CAC" w:rsidP="00982CC6">
            <w:pPr>
              <w:rPr>
                <w:sz w:val="22"/>
                <w:szCs w:val="22"/>
              </w:rPr>
            </w:pPr>
          </w:p>
          <w:p w:rsidR="004A3CAC" w:rsidRDefault="004A3CAC" w:rsidP="00982CC6">
            <w:pPr>
              <w:rPr>
                <w:sz w:val="22"/>
                <w:szCs w:val="22"/>
              </w:rPr>
            </w:pPr>
          </w:p>
          <w:p w:rsidR="004A3CAC" w:rsidRDefault="004A3CAC" w:rsidP="00982CC6">
            <w:pPr>
              <w:rPr>
                <w:sz w:val="22"/>
                <w:szCs w:val="22"/>
              </w:rPr>
            </w:pPr>
          </w:p>
          <w:p w:rsidR="004A3CAC" w:rsidRDefault="004A3CAC" w:rsidP="004A3CAC">
            <w:pPr>
              <w:rPr>
                <w:sz w:val="22"/>
                <w:szCs w:val="22"/>
              </w:rPr>
            </w:pPr>
            <w:r>
              <w:rPr>
                <w:sz w:val="22"/>
                <w:szCs w:val="22"/>
              </w:rPr>
              <w:t>Der henvises til kommentar til høringssvar fra Advokatrådet.</w:t>
            </w:r>
          </w:p>
          <w:p w:rsidR="004A3CAC" w:rsidRDefault="004A3CAC" w:rsidP="00982CC6">
            <w:pPr>
              <w:rPr>
                <w:sz w:val="22"/>
                <w:szCs w:val="22"/>
              </w:rPr>
            </w:pPr>
          </w:p>
          <w:p w:rsidR="004A3CAC" w:rsidRPr="00481E36" w:rsidRDefault="004A3CAC" w:rsidP="00982CC6">
            <w:pPr>
              <w:rPr>
                <w:sz w:val="22"/>
                <w:szCs w:val="22"/>
              </w:rPr>
            </w:pPr>
          </w:p>
        </w:tc>
      </w:tr>
      <w:tr w:rsidR="00132327" w:rsidRPr="00481E36" w:rsidTr="00982CC6">
        <w:tc>
          <w:tcPr>
            <w:tcW w:w="2448" w:type="dxa"/>
          </w:tcPr>
          <w:p w:rsidR="00132327" w:rsidRPr="00481E36" w:rsidRDefault="00132327" w:rsidP="00982CC6">
            <w:pPr>
              <w:spacing w:line="288" w:lineRule="auto"/>
              <w:rPr>
                <w:sz w:val="22"/>
                <w:szCs w:val="22"/>
              </w:rPr>
            </w:pPr>
            <w:r>
              <w:rPr>
                <w:sz w:val="22"/>
                <w:szCs w:val="22"/>
              </w:rPr>
              <w:t>Realkreditrådet</w:t>
            </w:r>
          </w:p>
        </w:tc>
        <w:tc>
          <w:tcPr>
            <w:tcW w:w="3240" w:type="dxa"/>
          </w:tcPr>
          <w:p w:rsidR="00132327" w:rsidRPr="00481E36" w:rsidRDefault="00132327" w:rsidP="0044006F">
            <w:pPr>
              <w:rPr>
                <w:sz w:val="22"/>
                <w:szCs w:val="22"/>
              </w:rPr>
            </w:pPr>
            <w:r>
              <w:rPr>
                <w:sz w:val="22"/>
                <w:szCs w:val="22"/>
              </w:rPr>
              <w:t>Realkreditrådet har ingen b</w:t>
            </w:r>
            <w:r>
              <w:rPr>
                <w:sz w:val="22"/>
                <w:szCs w:val="22"/>
              </w:rPr>
              <w:t>e</w:t>
            </w:r>
            <w:r>
              <w:rPr>
                <w:sz w:val="22"/>
                <w:szCs w:val="22"/>
              </w:rPr>
              <w:t>mærkninger til lovforslaget.</w:t>
            </w:r>
          </w:p>
        </w:tc>
        <w:tc>
          <w:tcPr>
            <w:tcW w:w="4090" w:type="dxa"/>
          </w:tcPr>
          <w:p w:rsidR="00132327" w:rsidRPr="00481E36" w:rsidRDefault="00132327" w:rsidP="009C65EB">
            <w:pPr>
              <w:rPr>
                <w:sz w:val="22"/>
                <w:szCs w:val="22"/>
              </w:rPr>
            </w:pPr>
          </w:p>
        </w:tc>
      </w:tr>
      <w:tr w:rsidR="00132327" w:rsidRPr="00481E36" w:rsidTr="00982CC6">
        <w:tc>
          <w:tcPr>
            <w:tcW w:w="2448" w:type="dxa"/>
          </w:tcPr>
          <w:p w:rsidR="00132327" w:rsidRDefault="00132327" w:rsidP="00982CC6">
            <w:pPr>
              <w:spacing w:line="288" w:lineRule="auto"/>
              <w:rPr>
                <w:sz w:val="22"/>
                <w:szCs w:val="22"/>
              </w:rPr>
            </w:pPr>
            <w:r>
              <w:rPr>
                <w:sz w:val="22"/>
                <w:szCs w:val="22"/>
              </w:rPr>
              <w:t>Tobaksindustrien</w:t>
            </w:r>
          </w:p>
        </w:tc>
        <w:tc>
          <w:tcPr>
            <w:tcW w:w="3240" w:type="dxa"/>
          </w:tcPr>
          <w:p w:rsidR="00132327" w:rsidRPr="001734B1" w:rsidRDefault="00132327" w:rsidP="00132327">
            <w:pPr>
              <w:rPr>
                <w:sz w:val="22"/>
                <w:szCs w:val="22"/>
              </w:rPr>
            </w:pPr>
            <w:r>
              <w:rPr>
                <w:sz w:val="22"/>
                <w:szCs w:val="22"/>
              </w:rPr>
              <w:t>Tobaksindustrien har ingen b</w:t>
            </w:r>
            <w:r>
              <w:rPr>
                <w:sz w:val="22"/>
                <w:szCs w:val="22"/>
              </w:rPr>
              <w:t>e</w:t>
            </w:r>
            <w:r>
              <w:rPr>
                <w:sz w:val="22"/>
                <w:szCs w:val="22"/>
              </w:rPr>
              <w:t>mærkninger til lovforslaget.</w:t>
            </w:r>
          </w:p>
        </w:tc>
        <w:tc>
          <w:tcPr>
            <w:tcW w:w="4090" w:type="dxa"/>
          </w:tcPr>
          <w:p w:rsidR="00132327" w:rsidRDefault="00132327" w:rsidP="00982CC6">
            <w:pPr>
              <w:rPr>
                <w:sz w:val="22"/>
                <w:szCs w:val="22"/>
              </w:rPr>
            </w:pPr>
          </w:p>
          <w:p w:rsidR="00132327" w:rsidRDefault="00132327" w:rsidP="005832BE">
            <w:pPr>
              <w:rPr>
                <w:sz w:val="22"/>
                <w:szCs w:val="22"/>
              </w:rPr>
            </w:pPr>
          </w:p>
        </w:tc>
      </w:tr>
    </w:tbl>
    <w:p w:rsidR="00BD3730" w:rsidRPr="008E596B" w:rsidRDefault="00BD3730" w:rsidP="00BD3730">
      <w:pPr>
        <w:pStyle w:val="Brdtekst"/>
        <w:rPr>
          <w:sz w:val="22"/>
          <w:szCs w:val="22"/>
        </w:rPr>
      </w:pPr>
    </w:p>
    <w:sectPr w:rsidR="00BD3730" w:rsidRPr="008E596B" w:rsidSect="00B00430">
      <w:footerReference w:type="even" r:id="rId9"/>
      <w:footerReference w:type="default" r:id="rId10"/>
      <w:pgSz w:w="11906" w:h="16838"/>
      <w:pgMar w:top="719"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4D5" w:rsidRDefault="00A954D5">
      <w:r>
        <w:separator/>
      </w:r>
    </w:p>
  </w:endnote>
  <w:endnote w:type="continuationSeparator" w:id="0">
    <w:p w:rsidR="00A954D5" w:rsidRDefault="00A954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4D5" w:rsidRDefault="00A954D5" w:rsidP="00ED507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rsidR="00A954D5" w:rsidRDefault="00A954D5" w:rsidP="00D14FD1">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4D5" w:rsidRDefault="00A954D5" w:rsidP="00ED507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A05F3A">
      <w:rPr>
        <w:rStyle w:val="Sidetal"/>
        <w:noProof/>
      </w:rPr>
      <w:t>1</w:t>
    </w:r>
    <w:r>
      <w:rPr>
        <w:rStyle w:val="Sidetal"/>
      </w:rPr>
      <w:fldChar w:fldCharType="end"/>
    </w:r>
  </w:p>
  <w:p w:rsidR="00A954D5" w:rsidRDefault="00A954D5" w:rsidP="00D14FD1">
    <w:pPr>
      <w:pStyle w:val="Sidefo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4D5" w:rsidRDefault="00A954D5">
      <w:r>
        <w:separator/>
      </w:r>
    </w:p>
  </w:footnote>
  <w:footnote w:type="continuationSeparator" w:id="0">
    <w:p w:rsidR="00A954D5" w:rsidRDefault="00A954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B0762"/>
    <w:multiLevelType w:val="hybridMultilevel"/>
    <w:tmpl w:val="DC0088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1304"/>
  <w:autoHyphenation/>
  <w:hyphenationZone w:val="425"/>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596B"/>
    <w:rsid w:val="00003A1E"/>
    <w:rsid w:val="00007D63"/>
    <w:rsid w:val="00010104"/>
    <w:rsid w:val="000121E8"/>
    <w:rsid w:val="000313CF"/>
    <w:rsid w:val="00032835"/>
    <w:rsid w:val="000336E0"/>
    <w:rsid w:val="000418A1"/>
    <w:rsid w:val="0004568A"/>
    <w:rsid w:val="00061561"/>
    <w:rsid w:val="00077B1A"/>
    <w:rsid w:val="0008116D"/>
    <w:rsid w:val="000A0646"/>
    <w:rsid w:val="000A798B"/>
    <w:rsid w:val="000B6AC7"/>
    <w:rsid w:val="000B79C3"/>
    <w:rsid w:val="000D0234"/>
    <w:rsid w:val="000D3955"/>
    <w:rsid w:val="000E3143"/>
    <w:rsid w:val="000F079F"/>
    <w:rsid w:val="00104CA0"/>
    <w:rsid w:val="001221A9"/>
    <w:rsid w:val="0012377E"/>
    <w:rsid w:val="00124FE5"/>
    <w:rsid w:val="00132327"/>
    <w:rsid w:val="001354B3"/>
    <w:rsid w:val="001375AC"/>
    <w:rsid w:val="001445F4"/>
    <w:rsid w:val="00147146"/>
    <w:rsid w:val="0015202B"/>
    <w:rsid w:val="00153011"/>
    <w:rsid w:val="001554AD"/>
    <w:rsid w:val="00165EEE"/>
    <w:rsid w:val="00171022"/>
    <w:rsid w:val="001734B1"/>
    <w:rsid w:val="0018500A"/>
    <w:rsid w:val="00190157"/>
    <w:rsid w:val="00195508"/>
    <w:rsid w:val="00195550"/>
    <w:rsid w:val="00195BB4"/>
    <w:rsid w:val="001A03C8"/>
    <w:rsid w:val="001B6B52"/>
    <w:rsid w:val="001D2F1E"/>
    <w:rsid w:val="001D7F41"/>
    <w:rsid w:val="001E03F3"/>
    <w:rsid w:val="001F2AAC"/>
    <w:rsid w:val="001F4B28"/>
    <w:rsid w:val="001F519C"/>
    <w:rsid w:val="001F72C7"/>
    <w:rsid w:val="002110B8"/>
    <w:rsid w:val="00212201"/>
    <w:rsid w:val="00212E4A"/>
    <w:rsid w:val="00224D87"/>
    <w:rsid w:val="00226385"/>
    <w:rsid w:val="00230A5E"/>
    <w:rsid w:val="00240EAF"/>
    <w:rsid w:val="00242A4A"/>
    <w:rsid w:val="00255869"/>
    <w:rsid w:val="002613E7"/>
    <w:rsid w:val="002619EE"/>
    <w:rsid w:val="0027142E"/>
    <w:rsid w:val="0027618D"/>
    <w:rsid w:val="00286D6F"/>
    <w:rsid w:val="00292082"/>
    <w:rsid w:val="002A05C7"/>
    <w:rsid w:val="002C1EA8"/>
    <w:rsid w:val="002C2FB7"/>
    <w:rsid w:val="002D119E"/>
    <w:rsid w:val="002D1587"/>
    <w:rsid w:val="002D3732"/>
    <w:rsid w:val="002E297F"/>
    <w:rsid w:val="002F1819"/>
    <w:rsid w:val="002F34D6"/>
    <w:rsid w:val="00304330"/>
    <w:rsid w:val="00304F0F"/>
    <w:rsid w:val="00310121"/>
    <w:rsid w:val="003140FC"/>
    <w:rsid w:val="00317B57"/>
    <w:rsid w:val="00320CAA"/>
    <w:rsid w:val="00334DF5"/>
    <w:rsid w:val="0033672A"/>
    <w:rsid w:val="00340018"/>
    <w:rsid w:val="00342013"/>
    <w:rsid w:val="00351BF0"/>
    <w:rsid w:val="00352B9A"/>
    <w:rsid w:val="00355733"/>
    <w:rsid w:val="0038159A"/>
    <w:rsid w:val="00384750"/>
    <w:rsid w:val="00390000"/>
    <w:rsid w:val="003902EE"/>
    <w:rsid w:val="003A39F5"/>
    <w:rsid w:val="003A4034"/>
    <w:rsid w:val="003A7038"/>
    <w:rsid w:val="003C365B"/>
    <w:rsid w:val="003E6479"/>
    <w:rsid w:val="004019D0"/>
    <w:rsid w:val="00402F9B"/>
    <w:rsid w:val="0040496C"/>
    <w:rsid w:val="00414439"/>
    <w:rsid w:val="004231C6"/>
    <w:rsid w:val="004305F7"/>
    <w:rsid w:val="0043527D"/>
    <w:rsid w:val="0044006F"/>
    <w:rsid w:val="004474B9"/>
    <w:rsid w:val="0045159F"/>
    <w:rsid w:val="004516AA"/>
    <w:rsid w:val="00454958"/>
    <w:rsid w:val="00456C65"/>
    <w:rsid w:val="0046181E"/>
    <w:rsid w:val="00461D23"/>
    <w:rsid w:val="00463AA4"/>
    <w:rsid w:val="00466084"/>
    <w:rsid w:val="00467886"/>
    <w:rsid w:val="00472000"/>
    <w:rsid w:val="00481E36"/>
    <w:rsid w:val="00493D39"/>
    <w:rsid w:val="004A1EE6"/>
    <w:rsid w:val="004A3CAC"/>
    <w:rsid w:val="004B1C32"/>
    <w:rsid w:val="004C4A2D"/>
    <w:rsid w:val="004D3245"/>
    <w:rsid w:val="004D58D7"/>
    <w:rsid w:val="004D6292"/>
    <w:rsid w:val="004D6F74"/>
    <w:rsid w:val="004D7D45"/>
    <w:rsid w:val="004E589D"/>
    <w:rsid w:val="004F5E44"/>
    <w:rsid w:val="004F698C"/>
    <w:rsid w:val="004F6BDF"/>
    <w:rsid w:val="005203C7"/>
    <w:rsid w:val="005241D7"/>
    <w:rsid w:val="00527223"/>
    <w:rsid w:val="00536F33"/>
    <w:rsid w:val="00547F9E"/>
    <w:rsid w:val="00571BFF"/>
    <w:rsid w:val="005832BE"/>
    <w:rsid w:val="00590614"/>
    <w:rsid w:val="00597455"/>
    <w:rsid w:val="00597C0B"/>
    <w:rsid w:val="00597EF0"/>
    <w:rsid w:val="005A30DB"/>
    <w:rsid w:val="005A57BF"/>
    <w:rsid w:val="005B50EE"/>
    <w:rsid w:val="005B5C5E"/>
    <w:rsid w:val="005C1D8C"/>
    <w:rsid w:val="005C2E72"/>
    <w:rsid w:val="005C7692"/>
    <w:rsid w:val="005D01D7"/>
    <w:rsid w:val="005D6EE3"/>
    <w:rsid w:val="005D725F"/>
    <w:rsid w:val="005E0CC5"/>
    <w:rsid w:val="005E4542"/>
    <w:rsid w:val="005E60CF"/>
    <w:rsid w:val="006025F4"/>
    <w:rsid w:val="00605516"/>
    <w:rsid w:val="00624140"/>
    <w:rsid w:val="00625BEC"/>
    <w:rsid w:val="0063147F"/>
    <w:rsid w:val="00640344"/>
    <w:rsid w:val="00641B45"/>
    <w:rsid w:val="00642EA8"/>
    <w:rsid w:val="00646A1C"/>
    <w:rsid w:val="006560AA"/>
    <w:rsid w:val="00662E85"/>
    <w:rsid w:val="00674789"/>
    <w:rsid w:val="00681A23"/>
    <w:rsid w:val="00681CB5"/>
    <w:rsid w:val="00686329"/>
    <w:rsid w:val="006876EF"/>
    <w:rsid w:val="006A3FD2"/>
    <w:rsid w:val="006B3F6D"/>
    <w:rsid w:val="006D0F6C"/>
    <w:rsid w:val="006D1571"/>
    <w:rsid w:val="006E78C9"/>
    <w:rsid w:val="006F64F9"/>
    <w:rsid w:val="0070100A"/>
    <w:rsid w:val="00701E82"/>
    <w:rsid w:val="007124E5"/>
    <w:rsid w:val="00715509"/>
    <w:rsid w:val="00716FB4"/>
    <w:rsid w:val="00720267"/>
    <w:rsid w:val="007240C6"/>
    <w:rsid w:val="0074375E"/>
    <w:rsid w:val="00745E63"/>
    <w:rsid w:val="007570C9"/>
    <w:rsid w:val="00760EFF"/>
    <w:rsid w:val="007612B6"/>
    <w:rsid w:val="0076748D"/>
    <w:rsid w:val="007801BA"/>
    <w:rsid w:val="007822CE"/>
    <w:rsid w:val="0078494E"/>
    <w:rsid w:val="0078575C"/>
    <w:rsid w:val="007A1AE4"/>
    <w:rsid w:val="007A209B"/>
    <w:rsid w:val="007A4A46"/>
    <w:rsid w:val="007A7A5E"/>
    <w:rsid w:val="007B00AE"/>
    <w:rsid w:val="007C3889"/>
    <w:rsid w:val="007D5460"/>
    <w:rsid w:val="007E3173"/>
    <w:rsid w:val="007F490C"/>
    <w:rsid w:val="008020B1"/>
    <w:rsid w:val="008051C0"/>
    <w:rsid w:val="008053A2"/>
    <w:rsid w:val="00814266"/>
    <w:rsid w:val="00844ADE"/>
    <w:rsid w:val="008476C0"/>
    <w:rsid w:val="00855815"/>
    <w:rsid w:val="00861EB9"/>
    <w:rsid w:val="00871E75"/>
    <w:rsid w:val="00877140"/>
    <w:rsid w:val="008774D0"/>
    <w:rsid w:val="008872B7"/>
    <w:rsid w:val="008954B7"/>
    <w:rsid w:val="0089736E"/>
    <w:rsid w:val="008A7FAB"/>
    <w:rsid w:val="008B059F"/>
    <w:rsid w:val="008B6465"/>
    <w:rsid w:val="008B780E"/>
    <w:rsid w:val="008C2137"/>
    <w:rsid w:val="008C3043"/>
    <w:rsid w:val="008D48B2"/>
    <w:rsid w:val="008E14BD"/>
    <w:rsid w:val="008E596B"/>
    <w:rsid w:val="008E5C24"/>
    <w:rsid w:val="008F0D05"/>
    <w:rsid w:val="008F278B"/>
    <w:rsid w:val="00902839"/>
    <w:rsid w:val="00904EEA"/>
    <w:rsid w:val="00907A82"/>
    <w:rsid w:val="009220E6"/>
    <w:rsid w:val="00922683"/>
    <w:rsid w:val="00925C56"/>
    <w:rsid w:val="009362FF"/>
    <w:rsid w:val="009365E8"/>
    <w:rsid w:val="009374AF"/>
    <w:rsid w:val="0096704A"/>
    <w:rsid w:val="00971142"/>
    <w:rsid w:val="00982CC6"/>
    <w:rsid w:val="00991A7B"/>
    <w:rsid w:val="0099458E"/>
    <w:rsid w:val="009C65EB"/>
    <w:rsid w:val="009E3080"/>
    <w:rsid w:val="00A05F3A"/>
    <w:rsid w:val="00A13FD3"/>
    <w:rsid w:val="00A20ABF"/>
    <w:rsid w:val="00A44EF8"/>
    <w:rsid w:val="00A5107B"/>
    <w:rsid w:val="00A5441F"/>
    <w:rsid w:val="00A55A4C"/>
    <w:rsid w:val="00A64DE8"/>
    <w:rsid w:val="00A76B26"/>
    <w:rsid w:val="00A8133D"/>
    <w:rsid w:val="00A8163B"/>
    <w:rsid w:val="00A877AE"/>
    <w:rsid w:val="00A954D5"/>
    <w:rsid w:val="00A97ADB"/>
    <w:rsid w:val="00AA1116"/>
    <w:rsid w:val="00AA470F"/>
    <w:rsid w:val="00AB33E7"/>
    <w:rsid w:val="00AB35DD"/>
    <w:rsid w:val="00AD203A"/>
    <w:rsid w:val="00AD476F"/>
    <w:rsid w:val="00AE5F8B"/>
    <w:rsid w:val="00AE7D31"/>
    <w:rsid w:val="00AF098B"/>
    <w:rsid w:val="00AF1F9B"/>
    <w:rsid w:val="00B00430"/>
    <w:rsid w:val="00B105EB"/>
    <w:rsid w:val="00B1170E"/>
    <w:rsid w:val="00B17DD2"/>
    <w:rsid w:val="00B2287B"/>
    <w:rsid w:val="00B34FBF"/>
    <w:rsid w:val="00B728E5"/>
    <w:rsid w:val="00B74134"/>
    <w:rsid w:val="00B87EAC"/>
    <w:rsid w:val="00B91C15"/>
    <w:rsid w:val="00B975C7"/>
    <w:rsid w:val="00BA4F13"/>
    <w:rsid w:val="00BC38BF"/>
    <w:rsid w:val="00BC4F5B"/>
    <w:rsid w:val="00BD3730"/>
    <w:rsid w:val="00BD65C3"/>
    <w:rsid w:val="00BE244C"/>
    <w:rsid w:val="00BE57E8"/>
    <w:rsid w:val="00BF7254"/>
    <w:rsid w:val="00C0133E"/>
    <w:rsid w:val="00C06697"/>
    <w:rsid w:val="00C22774"/>
    <w:rsid w:val="00C27ED8"/>
    <w:rsid w:val="00C42125"/>
    <w:rsid w:val="00C46649"/>
    <w:rsid w:val="00C63BBB"/>
    <w:rsid w:val="00C73616"/>
    <w:rsid w:val="00C770FB"/>
    <w:rsid w:val="00C91D5E"/>
    <w:rsid w:val="00C93615"/>
    <w:rsid w:val="00CA744E"/>
    <w:rsid w:val="00CB7666"/>
    <w:rsid w:val="00CC0C84"/>
    <w:rsid w:val="00CC349A"/>
    <w:rsid w:val="00CC351C"/>
    <w:rsid w:val="00CD002E"/>
    <w:rsid w:val="00CD410E"/>
    <w:rsid w:val="00CE43BB"/>
    <w:rsid w:val="00CF6ED1"/>
    <w:rsid w:val="00D02814"/>
    <w:rsid w:val="00D06B6C"/>
    <w:rsid w:val="00D14FD1"/>
    <w:rsid w:val="00D17CE1"/>
    <w:rsid w:val="00D26E62"/>
    <w:rsid w:val="00D32AB3"/>
    <w:rsid w:val="00D341D7"/>
    <w:rsid w:val="00D411A7"/>
    <w:rsid w:val="00D4378D"/>
    <w:rsid w:val="00D523CA"/>
    <w:rsid w:val="00D54CDE"/>
    <w:rsid w:val="00D5768B"/>
    <w:rsid w:val="00D60F01"/>
    <w:rsid w:val="00D93621"/>
    <w:rsid w:val="00D95353"/>
    <w:rsid w:val="00DA122D"/>
    <w:rsid w:val="00DA1F30"/>
    <w:rsid w:val="00DB569F"/>
    <w:rsid w:val="00DD319A"/>
    <w:rsid w:val="00DD42F9"/>
    <w:rsid w:val="00DE1B7B"/>
    <w:rsid w:val="00DF1646"/>
    <w:rsid w:val="00DF3ABB"/>
    <w:rsid w:val="00DF3BDF"/>
    <w:rsid w:val="00DF6865"/>
    <w:rsid w:val="00E041F3"/>
    <w:rsid w:val="00E115AB"/>
    <w:rsid w:val="00E357F5"/>
    <w:rsid w:val="00E52E21"/>
    <w:rsid w:val="00E546ED"/>
    <w:rsid w:val="00E57493"/>
    <w:rsid w:val="00E71DEC"/>
    <w:rsid w:val="00E84EB1"/>
    <w:rsid w:val="00E8698C"/>
    <w:rsid w:val="00E948C4"/>
    <w:rsid w:val="00E97971"/>
    <w:rsid w:val="00EB6A5E"/>
    <w:rsid w:val="00EC0E30"/>
    <w:rsid w:val="00EC348C"/>
    <w:rsid w:val="00EC36E6"/>
    <w:rsid w:val="00ED5076"/>
    <w:rsid w:val="00F05551"/>
    <w:rsid w:val="00F075AC"/>
    <w:rsid w:val="00F1625C"/>
    <w:rsid w:val="00F1752F"/>
    <w:rsid w:val="00F31E1C"/>
    <w:rsid w:val="00F47CB8"/>
    <w:rsid w:val="00F6127C"/>
    <w:rsid w:val="00F746AE"/>
    <w:rsid w:val="00F767E3"/>
    <w:rsid w:val="00F7699B"/>
    <w:rsid w:val="00F83004"/>
    <w:rsid w:val="00F90F3A"/>
    <w:rsid w:val="00FA1CDB"/>
    <w:rsid w:val="00FA20DA"/>
    <w:rsid w:val="00FB15C5"/>
    <w:rsid w:val="00FB2A86"/>
    <w:rsid w:val="00FD02D9"/>
    <w:rsid w:val="00FF23E3"/>
    <w:rsid w:val="00FF2631"/>
    <w:rsid w:val="00FF66C6"/>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004"/>
    <w:rPr>
      <w:sz w:val="24"/>
      <w:szCs w:val="24"/>
    </w:rPr>
  </w:style>
  <w:style w:type="paragraph" w:styleId="Overskrift1">
    <w:name w:val="heading 1"/>
    <w:basedOn w:val="Normal"/>
    <w:next w:val="Normal"/>
    <w:qFormat/>
    <w:rsid w:val="00195550"/>
    <w:pPr>
      <w:keepLines/>
      <w:spacing w:line="360" w:lineRule="exact"/>
      <w:outlineLvl w:val="0"/>
    </w:pPr>
    <w:rPr>
      <w:rFonts w:ascii="Arial" w:hAnsi="Arial" w:cs="Arial"/>
      <w:b/>
      <w:bCs/>
      <w:sz w:val="30"/>
      <w:szCs w:val="32"/>
    </w:rPr>
  </w:style>
  <w:style w:type="paragraph" w:styleId="Overskrift2">
    <w:name w:val="heading 2"/>
    <w:basedOn w:val="Normal"/>
    <w:next w:val="Normal"/>
    <w:qFormat/>
    <w:rsid w:val="00195550"/>
    <w:pPr>
      <w:keepLines/>
      <w:suppressAutoHyphens/>
      <w:spacing w:line="288" w:lineRule="exact"/>
      <w:outlineLvl w:val="1"/>
    </w:pPr>
    <w:rPr>
      <w:rFonts w:ascii="Arial" w:hAnsi="Arial" w:cs="Arial"/>
      <w:b/>
      <w:bCs/>
      <w:iCs/>
      <w:szCs w:val="28"/>
    </w:rPr>
  </w:style>
  <w:style w:type="paragraph" w:styleId="Overskrift3">
    <w:name w:val="heading 3"/>
    <w:basedOn w:val="Normal"/>
    <w:next w:val="Normal"/>
    <w:qFormat/>
    <w:rsid w:val="00195550"/>
    <w:pPr>
      <w:keepNext/>
      <w:spacing w:before="240" w:after="60" w:line="288" w:lineRule="exact"/>
      <w:outlineLvl w:val="2"/>
    </w:pPr>
    <w:rPr>
      <w:rFonts w:ascii="Arial" w:hAnsi="Arial" w:cs="Arial"/>
      <w:b/>
      <w:bCs/>
      <w:sz w:val="20"/>
      <w:szCs w:val="26"/>
    </w:rPr>
  </w:style>
  <w:style w:type="paragraph" w:styleId="Overskrift4">
    <w:name w:val="heading 4"/>
    <w:basedOn w:val="Normal"/>
    <w:next w:val="Normal"/>
    <w:qFormat/>
    <w:rsid w:val="00195550"/>
    <w:pPr>
      <w:keepLines/>
      <w:suppressAutoHyphens/>
      <w:spacing w:line="288" w:lineRule="exact"/>
      <w:outlineLvl w:val="3"/>
    </w:pPr>
    <w:rPr>
      <w:bCs/>
      <w:i/>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rsid w:val="008E596B"/>
    <w:pPr>
      <w:spacing w:after="240" w:line="240" w:lineRule="atLeast"/>
    </w:pPr>
    <w:rPr>
      <w:spacing w:val="-5"/>
      <w:sz w:val="23"/>
      <w:szCs w:val="20"/>
      <w:lang w:eastAsia="en-US"/>
    </w:rPr>
  </w:style>
  <w:style w:type="table" w:styleId="Tabel-Gitter">
    <w:name w:val="Table Grid"/>
    <w:basedOn w:val="Tabel-Normal"/>
    <w:rsid w:val="008E5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fod">
    <w:name w:val="footer"/>
    <w:basedOn w:val="Normal"/>
    <w:rsid w:val="008E596B"/>
    <w:pPr>
      <w:tabs>
        <w:tab w:val="center" w:pos="4819"/>
        <w:tab w:val="right" w:pos="9638"/>
      </w:tabs>
      <w:spacing w:after="150"/>
    </w:pPr>
    <w:rPr>
      <w:sz w:val="23"/>
    </w:rPr>
  </w:style>
  <w:style w:type="character" w:styleId="Sidetal">
    <w:name w:val="page number"/>
    <w:basedOn w:val="Standardskrifttypeiafsnit"/>
    <w:rsid w:val="00D14FD1"/>
  </w:style>
  <w:style w:type="paragraph" w:customStyle="1" w:styleId="Departementtekst">
    <w:name w:val="Departement tekst"/>
    <w:rsid w:val="00B00430"/>
    <w:pPr>
      <w:spacing w:after="130"/>
    </w:pPr>
    <w:rPr>
      <w:rFonts w:ascii="Verdana" w:hAnsi="Verdana"/>
      <w:sz w:val="17"/>
      <w:szCs w:val="24"/>
    </w:rPr>
  </w:style>
  <w:style w:type="paragraph" w:styleId="Markeringsbobletekst">
    <w:name w:val="Balloon Text"/>
    <w:basedOn w:val="Normal"/>
    <w:semiHidden/>
    <w:rsid w:val="00646A1C"/>
    <w:rPr>
      <w:rFonts w:ascii="Tahoma" w:hAnsi="Tahoma" w:cs="Tahoma"/>
      <w:sz w:val="16"/>
      <w:szCs w:val="16"/>
    </w:rPr>
  </w:style>
  <w:style w:type="paragraph" w:styleId="Sidehoved">
    <w:name w:val="header"/>
    <w:basedOn w:val="Normal"/>
    <w:link w:val="SidehovedTegn"/>
    <w:rsid w:val="002619EE"/>
    <w:pPr>
      <w:tabs>
        <w:tab w:val="center" w:pos="4819"/>
        <w:tab w:val="right" w:pos="9638"/>
      </w:tabs>
    </w:pPr>
  </w:style>
  <w:style w:type="character" w:customStyle="1" w:styleId="SidehovedTegn">
    <w:name w:val="Sidehoved Tegn"/>
    <w:basedOn w:val="Standardskrifttypeiafsnit"/>
    <w:link w:val="Sidehoved"/>
    <w:rsid w:val="002619EE"/>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D1AC7-4F46-47F3-831D-F1D7572A6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Pages>
  <Words>4595</Words>
  <Characters>28034</Characters>
  <Application>Microsoft Office Word</Application>
  <DocSecurity>0</DocSecurity>
  <Lines>1321</Lines>
  <Paragraphs>160</Paragraphs>
  <ScaleCrop>false</ScaleCrop>
  <HeadingPairs>
    <vt:vector size="2" baseType="variant">
      <vt:variant>
        <vt:lpstr>Titel</vt:lpstr>
      </vt:variant>
      <vt:variant>
        <vt:i4>1</vt:i4>
      </vt:variant>
    </vt:vector>
  </HeadingPairs>
  <TitlesOfParts>
    <vt:vector size="1" baseType="lpstr">
      <vt:lpstr>Høringsskema indeholdende høringssvar og kommentarer hertil vedrørende udkast til Forslag til lov om Spil (Spilleloven)</vt:lpstr>
    </vt:vector>
  </TitlesOfParts>
  <Company>SKAT</Company>
  <LinksUpToDate>false</LinksUpToDate>
  <CharactersWithSpaces>32526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Høringsskema indeholdende høringssvar og kommentarer hertil vedrørende udkast til Forslag til lov om Spil (Spilleloven)</dc:title>
  <dc:creator>w17243</dc:creator>
  <cp:lastModifiedBy>w17243</cp:lastModifiedBy>
  <cp:revision>5</cp:revision>
  <cp:lastPrinted>2011-10-26T11:57:00Z</cp:lastPrinted>
  <dcterms:created xsi:type="dcterms:W3CDTF">2011-10-18T10:31:00Z</dcterms:created>
  <dcterms:modified xsi:type="dcterms:W3CDTF">2011-10-26T12:43:00Z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C:\Users\w17243\AppData\Local\Temp\SJ20111007101133940 [DOR549465].DOC</vt:lpwstr>
  </property>
  <property fmtid="{D5CDD505-2E9C-101B-9397-08002B2CF9AE}" pid="3" name="title">
    <vt:lpwstr>Høringsskema -- 25</vt:lpwstr>
  </property>
  <property fmtid="{D5CDD505-2E9C-101B-9397-08002B2CF9AE}" pid="4" name="command">
    <vt:lpwstr/>
  </property>
  <property fmtid="{D5CDD505-2E9C-101B-9397-08002B2CF9AE}" pid="5" name="_AdHocReviewCycleID">
    <vt:i4>1637343086</vt:i4>
  </property>
  <property fmtid="{D5CDD505-2E9C-101B-9397-08002B2CF9AE}" pid="6" name="_NewReviewCycle">
    <vt:lpwstr/>
  </property>
  <property fmtid="{D5CDD505-2E9C-101B-9397-08002B2CF9AE}" pid="7" name="_EmailSubject">
    <vt:lpwstr>Høringssvar vedr. L 12</vt:lpwstr>
  </property>
  <property fmtid="{D5CDD505-2E9C-101B-9397-08002B2CF9AE}" pid="8" name="_AuthorEmail">
    <vt:lpwstr>Michael.Bisgaard@Skat.dk</vt:lpwstr>
  </property>
  <property fmtid="{D5CDD505-2E9C-101B-9397-08002B2CF9AE}" pid="9" name="_AuthorEmailDisplayName">
    <vt:lpwstr>Michael Bisgaard</vt:lpwstr>
  </property>
</Properties>
</file>