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0D" w:rsidRPr="00C55823" w:rsidRDefault="00C55823" w:rsidP="000A158B">
      <w:pPr>
        <w:spacing w:before="360" w:after="0"/>
        <w:jc w:val="center"/>
        <w:rPr>
          <w:rFonts w:eastAsia="Calibri"/>
          <w:b/>
          <w:sz w:val="40"/>
          <w:szCs w:val="40"/>
          <w:lang w:eastAsia="en-GB"/>
        </w:rPr>
      </w:pPr>
      <w:bookmarkStart w:id="0" w:name="_GoBack"/>
      <w:bookmarkEnd w:id="0"/>
      <w:r>
        <w:rPr>
          <w:rFonts w:eastAsia="Calibri"/>
          <w:b/>
          <w:sz w:val="40"/>
          <w:szCs w:val="40"/>
          <w:lang w:eastAsia="en-GB"/>
        </w:rPr>
        <w:t>SANTE/11706/2016 Rev. 2</w:t>
      </w:r>
    </w:p>
    <w:p w:rsidR="00525B0D" w:rsidRPr="00C55823" w:rsidRDefault="00525B0D" w:rsidP="000A158B">
      <w:pPr>
        <w:spacing w:before="360" w:after="0"/>
        <w:jc w:val="center"/>
        <w:rPr>
          <w:rFonts w:eastAsia="Calibri"/>
          <w:b/>
          <w:szCs w:val="22"/>
          <w:lang w:eastAsia="en-GB"/>
        </w:rPr>
      </w:pPr>
    </w:p>
    <w:p w:rsidR="00525B0D" w:rsidRPr="00C55823" w:rsidRDefault="00525B0D" w:rsidP="000A158B">
      <w:pPr>
        <w:spacing w:before="360" w:after="0"/>
        <w:jc w:val="center"/>
        <w:rPr>
          <w:rFonts w:eastAsia="Calibri"/>
          <w:b/>
          <w:szCs w:val="22"/>
          <w:lang w:eastAsia="en-GB"/>
        </w:rPr>
      </w:pPr>
    </w:p>
    <w:p w:rsidR="000A158B" w:rsidRPr="00C55823" w:rsidRDefault="000A158B" w:rsidP="000A158B">
      <w:pPr>
        <w:spacing w:before="360" w:after="0"/>
        <w:jc w:val="center"/>
        <w:rPr>
          <w:rFonts w:eastAsia="Calibri"/>
          <w:b/>
          <w:szCs w:val="22"/>
          <w:lang w:eastAsia="en-GB"/>
        </w:rPr>
      </w:pPr>
      <w:proofErr w:type="gramStart"/>
      <w:r w:rsidRPr="00C55823">
        <w:rPr>
          <w:rFonts w:eastAsia="Calibri"/>
          <w:b/>
          <w:szCs w:val="22"/>
          <w:lang w:eastAsia="en-GB"/>
        </w:rPr>
        <w:t>COMMISSION REGULATION (EU) …/…</w:t>
      </w:r>
      <w:proofErr w:type="gramEnd"/>
    </w:p>
    <w:p w:rsidR="000A158B" w:rsidRPr="00C55823" w:rsidRDefault="000A158B" w:rsidP="000A158B">
      <w:pPr>
        <w:spacing w:before="360" w:after="0"/>
        <w:jc w:val="center"/>
        <w:rPr>
          <w:rFonts w:eastAsia="Calibri"/>
          <w:b/>
          <w:szCs w:val="22"/>
          <w:lang w:eastAsia="en-GB"/>
        </w:rPr>
      </w:pPr>
      <w:proofErr w:type="gramStart"/>
      <w:r w:rsidRPr="00C55823">
        <w:rPr>
          <w:rFonts w:eastAsia="Calibri"/>
          <w:b/>
          <w:szCs w:val="22"/>
          <w:lang w:eastAsia="en-GB"/>
        </w:rPr>
        <w:t>of</w:t>
      </w:r>
      <w:proofErr w:type="gramEnd"/>
      <w:r w:rsidRPr="00C55823">
        <w:rPr>
          <w:rFonts w:eastAsia="Calibri"/>
          <w:b/>
          <w:szCs w:val="22"/>
          <w:lang w:eastAsia="en-GB"/>
        </w:rPr>
        <w:t xml:space="preserve"> </w:t>
      </w:r>
      <w:r w:rsidRPr="00C55823">
        <w:rPr>
          <w:rFonts w:eastAsia="Calibri"/>
          <w:b/>
          <w:color w:val="FF0000"/>
          <w:szCs w:val="22"/>
          <w:lang w:eastAsia="en-GB"/>
        </w:rPr>
        <w:t>XXX</w:t>
      </w:r>
    </w:p>
    <w:p w:rsidR="00573AC2" w:rsidRDefault="00573AC2" w:rsidP="00573AC2">
      <w:pPr>
        <w:pStyle w:val="Titreobjet"/>
      </w:pPr>
      <w:proofErr w:type="gramStart"/>
      <w:r>
        <w:t>amending</w:t>
      </w:r>
      <w:proofErr w:type="gramEnd"/>
      <w:r>
        <w:t xml:space="preserve"> Annex II to Regulation (EC) No 396/2005 of the European Parliament and of the Council as regards maximum residue levels for </w:t>
      </w:r>
      <w:proofErr w:type="spellStart"/>
      <w:r>
        <w:t>fenpropidin</w:t>
      </w:r>
      <w:proofErr w:type="spellEnd"/>
      <w:r>
        <w:t xml:space="preserve"> and </w:t>
      </w:r>
      <w:proofErr w:type="spellStart"/>
      <w:r>
        <w:t>pymetrozin</w:t>
      </w:r>
      <w:proofErr w:type="spellEnd"/>
      <w:r>
        <w:t xml:space="preserve"> in or on certain products</w:t>
      </w:r>
    </w:p>
    <w:p w:rsidR="00573AC2" w:rsidRDefault="00573AC2" w:rsidP="00573AC2">
      <w:pPr>
        <w:pStyle w:val="IntrtEEE"/>
      </w:pPr>
      <w:r>
        <w:t>(Text with EEA relevance)</w:t>
      </w:r>
    </w:p>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 w:rsidR="000A158B" w:rsidRDefault="000A158B" w:rsidP="000A158B">
      <w:pPr>
        <w:pBdr>
          <w:top w:val="single" w:sz="4" w:space="1" w:color="auto"/>
          <w:left w:val="single" w:sz="4" w:space="4" w:color="auto"/>
          <w:bottom w:val="single" w:sz="4" w:space="1" w:color="auto"/>
          <w:right w:val="single" w:sz="4" w:space="4" w:color="auto"/>
        </w:pBdr>
        <w:rPr>
          <w:i/>
          <w:sz w:val="28"/>
          <w:szCs w:val="28"/>
        </w:rPr>
      </w:pPr>
      <w:r>
        <w:rPr>
          <w:i/>
          <w:sz w:val="28"/>
          <w:szCs w:val="28"/>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 </w:t>
      </w:r>
    </w:p>
    <w:p w:rsidR="000A158B" w:rsidRDefault="000A158B" w:rsidP="000A158B"/>
    <w:p w:rsidR="00573AC2" w:rsidRDefault="00573AC2" w:rsidP="000A158B"/>
    <w:p w:rsidR="00573AC2" w:rsidRDefault="00573AC2" w:rsidP="00573AC2">
      <w:pPr>
        <w:pStyle w:val="Institutionquiagit"/>
      </w:pPr>
      <w:r>
        <w:lastRenderedPageBreak/>
        <w:t>THE EUROPEAN COMMISSION,</w:t>
      </w:r>
    </w:p>
    <w:p w:rsidR="00573AC2" w:rsidRDefault="00573AC2" w:rsidP="00573AC2">
      <w:r>
        <w:t>Having regard to the Treaty on the Functioning of the European Union,</w:t>
      </w:r>
    </w:p>
    <w:p w:rsidR="00573AC2" w:rsidRDefault="00573AC2" w:rsidP="00573AC2">
      <w:r>
        <w:t>Having regard to Regulation (EC) No 396/2005 of the European Parliament and of the Council of 23 February 2005 on maximum residue levels of pesticides in or on food and feed of plant and animal origin and amending Council Directive 91/414/EEC</w:t>
      </w:r>
      <w:r>
        <w:rPr>
          <w:rStyle w:val="Fodnotehenvisning"/>
        </w:rPr>
        <w:footnoteReference w:id="1"/>
      </w:r>
      <w:r>
        <w:t>, and in particular Article 14(1)(a) and Article 49(2) thereof,</w:t>
      </w:r>
    </w:p>
    <w:p w:rsidR="00573AC2" w:rsidRDefault="00573AC2" w:rsidP="00573AC2">
      <w:pPr>
        <w:rPr>
          <w:i/>
        </w:rPr>
      </w:pPr>
      <w:r>
        <w:t xml:space="preserve">Whereas: </w:t>
      </w:r>
    </w:p>
    <w:p w:rsidR="00573AC2" w:rsidRDefault="00573AC2" w:rsidP="00573AC2">
      <w:pPr>
        <w:pStyle w:val="Considrant"/>
      </w:pPr>
      <w:r>
        <w:t xml:space="preserve">For </w:t>
      </w:r>
      <w:proofErr w:type="spellStart"/>
      <w:r>
        <w:t>fenpropidin</w:t>
      </w:r>
      <w:proofErr w:type="spellEnd"/>
      <w:r>
        <w:t xml:space="preserve"> and </w:t>
      </w:r>
      <w:proofErr w:type="spellStart"/>
      <w:r>
        <w:t>pymetrozin</w:t>
      </w:r>
      <w:proofErr w:type="spellEnd"/>
      <w:r>
        <w:t>, maximum residue levels (MRLs) were set in Annex II to Regulation (EC) No 396/2005.</w:t>
      </w:r>
    </w:p>
    <w:p w:rsidR="00573AC2" w:rsidRDefault="00573AC2" w:rsidP="00875634">
      <w:pPr>
        <w:pStyle w:val="Considrant"/>
      </w:pPr>
      <w:r>
        <w:t xml:space="preserve">For </w:t>
      </w:r>
      <w:proofErr w:type="spellStart"/>
      <w:r>
        <w:t>fenpropidin</w:t>
      </w:r>
      <w:proofErr w:type="spellEnd"/>
      <w:r>
        <w:t>, European Food Safety Authority, hereinafter "the Authority"</w:t>
      </w:r>
      <w:proofErr w:type="gramStart"/>
      <w:r>
        <w:t>,  submitted</w:t>
      </w:r>
      <w:proofErr w:type="gramEnd"/>
      <w:r>
        <w:t xml:space="preserve"> a reasoned opinion on the existing MRLs in accordance with Article 12(1) of Regulation (EC) No 396/2005</w:t>
      </w:r>
      <w:r>
        <w:rPr>
          <w:rStyle w:val="Fodnotehenvisning"/>
        </w:rPr>
        <w:footnoteReference w:id="2"/>
      </w:r>
      <w:r>
        <w:t>. It proposed to change the residue definition. By Regulation (EU) No 61/2014</w:t>
      </w:r>
      <w:r>
        <w:rPr>
          <w:rStyle w:val="Fodnotehenvisning"/>
        </w:rPr>
        <w:footnoteReference w:id="3"/>
      </w:r>
      <w:r>
        <w:t xml:space="preserve"> the recommendations of the Authority on the review of the existing MRLs were implemented. Since the European Union reference laboratories for residues of pesticides, hereinafter "the EU reference laboratories",  identified the reference standard for 2-methyl-2-[4-(2-methyl-3- piperidin-1-yl-propyl)-phenyl]propionic acid as not commercially available, a footnote concerning </w:t>
      </w:r>
      <w:proofErr w:type="spellStart"/>
      <w:r>
        <w:t>fenpropidin</w:t>
      </w:r>
      <w:proofErr w:type="spellEnd"/>
      <w:r>
        <w:t xml:space="preserve">  was added in Annex II to Regulation (EC) No 396/2005, according to which the Commission would take into account the commercial availability of that reference standard by 25 January 2015, or, if that reference standard is not commercially available by that date, the unavailability of it. That deadline has expired and the requested standard is still not commercially available. As that unavailability hampers the enforcement of the MRLs that are established in Annex II to Regulation (EC) No 396/2005 for commodities of animal origin, those MRLs should be lowered to the limit of determination (LOD). In order to avoid residues exceeding the MRLs for commodities of animal origin, also the MRLs for commodities of plant origin that can be used as feed should be lowered. Therefore the MRLs for barley, oat, rye, wheat and sugar beet root should be lowered to the LOD. In order to allow for the enforcement of the MRLs at the LOD for commodities of animal origin, the residue definition for those commodities should be changed to '</w:t>
      </w:r>
      <w:proofErr w:type="spellStart"/>
      <w:r>
        <w:t>fenpropidin</w:t>
      </w:r>
      <w:proofErr w:type="spellEnd"/>
      <w:r w:rsidR="00875634">
        <w:t xml:space="preserve"> </w:t>
      </w:r>
      <w:r w:rsidR="00875634" w:rsidRPr="00875634">
        <w:t xml:space="preserve">(sum of </w:t>
      </w:r>
      <w:proofErr w:type="spellStart"/>
      <w:r w:rsidR="00875634" w:rsidRPr="00875634">
        <w:t>fenpropidin</w:t>
      </w:r>
      <w:proofErr w:type="spellEnd"/>
      <w:r w:rsidR="00875634" w:rsidRPr="00875634">
        <w:t xml:space="preserve"> and its s</w:t>
      </w:r>
      <w:r w:rsidR="008D216B">
        <w:t xml:space="preserve">alts, expressed as </w:t>
      </w:r>
      <w:proofErr w:type="spellStart"/>
      <w:r w:rsidR="008D216B">
        <w:t>fenpropidin</w:t>
      </w:r>
      <w:proofErr w:type="spellEnd"/>
      <w:r w:rsidR="008D216B">
        <w:t>)</w:t>
      </w:r>
      <w:r>
        <w:t>'.</w:t>
      </w:r>
    </w:p>
    <w:p w:rsidR="00573AC2" w:rsidRDefault="00573AC2" w:rsidP="00573AC2">
      <w:pPr>
        <w:pStyle w:val="Considrant"/>
      </w:pPr>
      <w:r>
        <w:t xml:space="preserve">For </w:t>
      </w:r>
      <w:proofErr w:type="spellStart"/>
      <w:r>
        <w:t>pymetrozine</w:t>
      </w:r>
      <w:proofErr w:type="spellEnd"/>
      <w:r>
        <w:t>, the Authority submitted a reasoned opinion on the existing MRLs in accordance with Article 12(2) of Regulation (EC) No 396/2005 in conjunction with Article 12(1) thereof</w:t>
      </w:r>
      <w:r>
        <w:rPr>
          <w:rStyle w:val="Fodnotehenvisning"/>
        </w:rPr>
        <w:footnoteReference w:id="4"/>
      </w:r>
      <w:r>
        <w:t xml:space="preserve">. It proposed to change the residue definition. By Regulation </w:t>
      </w:r>
      <w:r>
        <w:lastRenderedPageBreak/>
        <w:t>(EU) No 398/2014</w:t>
      </w:r>
      <w:r>
        <w:rPr>
          <w:rStyle w:val="Fodnotehenvisning"/>
        </w:rPr>
        <w:footnoteReference w:id="5"/>
      </w:r>
      <w:r>
        <w:t xml:space="preserve"> the recommendations of the Authority on the review of the existing MRLs were implemented. Since the EU reference laboratories identified the reference standards for 6-hydroxymethylpymetrozine and its phosphate conjugate as not commercially available, a footnote concerning </w:t>
      </w:r>
      <w:proofErr w:type="spellStart"/>
      <w:r>
        <w:t>pymetrozine</w:t>
      </w:r>
      <w:proofErr w:type="spellEnd"/>
      <w:r>
        <w:t xml:space="preserve"> was added in Annex II to Regulation (EC) No 396/2005, according to which the Commission would take into account the commercial availability of those reference standards by 25 April 2015, or, if those reference standards are not commercially available by that date, the unavailability of them. That deadline has expired and the requested standards are still not commercially available. As that unavailability hampers the enforcement of the MRLs that are established in Annex II to Regulation (EC) No 396/2005 for commodities of animal origin, those MRLs should be lowered to the limit of determination (LOD). In order to avoid residues exceeding the MRLs for commodities of animal origin, also the MRLs for commodities of plant origin that can be used as feed should be lowered. Therefore the MRLs for citrus fruits, head cabbage, kale and cotton seed should be lowered to the LOD. In order to allow for the enforcement of the MRLs at the LOD for commodities of animal origin, the residue definition for those commodities should be changed to '</w:t>
      </w:r>
      <w:proofErr w:type="spellStart"/>
      <w:r>
        <w:t>pymetrozine</w:t>
      </w:r>
      <w:proofErr w:type="spellEnd"/>
      <w:r>
        <w:t>'.</w:t>
      </w:r>
    </w:p>
    <w:p w:rsidR="00573AC2" w:rsidRDefault="00573AC2" w:rsidP="00573AC2">
      <w:pPr>
        <w:pStyle w:val="Considrant"/>
        <w:rPr>
          <w:noProof/>
        </w:rPr>
      </w:pPr>
      <w:r>
        <w:rPr>
          <w:noProof/>
        </w:rPr>
        <w:t>Through the World Trade Organisation, the trading partners of the Union were consulted on the new MRLs and their comments have been taken into account.</w:t>
      </w:r>
    </w:p>
    <w:p w:rsidR="00573AC2" w:rsidRDefault="00573AC2" w:rsidP="00573AC2">
      <w:pPr>
        <w:pStyle w:val="Considrant"/>
        <w:rPr>
          <w:noProof/>
        </w:rPr>
      </w:pPr>
      <w:r>
        <w:rPr>
          <w:noProof/>
        </w:rPr>
        <w:t>Regulation (EC) No 396/2005 should therefore be amended accordingly.</w:t>
      </w:r>
    </w:p>
    <w:p w:rsidR="00573AC2" w:rsidRDefault="00573AC2" w:rsidP="00573AC2">
      <w:pPr>
        <w:pStyle w:val="Considrant"/>
        <w:rPr>
          <w:noProof/>
        </w:rPr>
      </w:pPr>
      <w:r>
        <w:rPr>
          <w:noProof/>
        </w:rPr>
        <w:t>In order to allow for normal marketing, processing and consumption of products, this Regulation should provide for a transitional arrangement for products which have been lawfully produced before the modification of the MRLs and for which information shows that a high level of consumer protection is maintained.</w:t>
      </w:r>
    </w:p>
    <w:p w:rsidR="00573AC2" w:rsidRDefault="00573AC2" w:rsidP="00573AC2">
      <w:pPr>
        <w:pStyle w:val="Considrant"/>
        <w:rPr>
          <w:noProof/>
        </w:rPr>
      </w:pPr>
      <w:r>
        <w:rPr>
          <w:noProof/>
        </w:rPr>
        <w:t>A reasonable period should be allowed to elapse before the modified MRLs become applicable in order to permit Member States and interested parties to prepare themselves to meet the new requirements which will result from the modification of the MRLs.</w:t>
      </w:r>
    </w:p>
    <w:p w:rsidR="00573AC2" w:rsidRDefault="00573AC2" w:rsidP="00573AC2">
      <w:pPr>
        <w:pStyle w:val="Considrant"/>
        <w:rPr>
          <w:noProof/>
        </w:rPr>
      </w:pPr>
      <w:r>
        <w:rPr>
          <w:noProof/>
        </w:rPr>
        <w:t>The measures provided for in this Regulation are in accordance with the opinion of the Standing Committee on Plants, Animals, Food and Feed,</w:t>
      </w:r>
    </w:p>
    <w:p w:rsidR="00573AC2" w:rsidRDefault="00573AC2" w:rsidP="00573AC2">
      <w:pPr>
        <w:pStyle w:val="Formuledadoption"/>
        <w:keepNext w:val="0"/>
      </w:pPr>
      <w:r>
        <w:t>HAS ADOPTED THIS REGULATION:</w:t>
      </w:r>
    </w:p>
    <w:p w:rsidR="00573AC2" w:rsidRDefault="00573AC2" w:rsidP="00573AC2">
      <w:pPr>
        <w:pStyle w:val="Titrearticle"/>
      </w:pPr>
      <w:r>
        <w:t xml:space="preserve">Article 1 </w:t>
      </w:r>
    </w:p>
    <w:p w:rsidR="00573AC2" w:rsidRDefault="00573AC2" w:rsidP="00573AC2">
      <w:r>
        <w:t>Annex II to Regulation (EC) No 396/2005 is amended in accordance with the Annex to this Regulation.</w:t>
      </w:r>
    </w:p>
    <w:p w:rsidR="00573AC2" w:rsidRDefault="00573AC2" w:rsidP="00573AC2">
      <w:pPr>
        <w:pStyle w:val="Titrearticle"/>
        <w:rPr>
          <w:noProof/>
        </w:rPr>
      </w:pPr>
      <w:r>
        <w:rPr>
          <w:noProof/>
        </w:rPr>
        <w:t>Article 2</w:t>
      </w:r>
    </w:p>
    <w:p w:rsidR="00573AC2" w:rsidRDefault="00573AC2" w:rsidP="00573AC2">
      <w:pPr>
        <w:rPr>
          <w:noProof/>
        </w:rPr>
      </w:pPr>
      <w:r>
        <w:rPr>
          <w:noProof/>
        </w:rPr>
        <w:t>As regards the active substances fenpropidin and pymetrozin in and on all products, Regulation (EC) No 396/2005 as it stood before being amended by this Regulation shall continue to apply to products which were produced before [</w:t>
      </w:r>
      <w:r>
        <w:rPr>
          <w:i/>
          <w:noProof/>
        </w:rPr>
        <w:t>Office of Publications please insert date 6 months after entry into force of this Regulation</w:t>
      </w:r>
      <w:r>
        <w:rPr>
          <w:noProof/>
        </w:rPr>
        <w:t>].</w:t>
      </w:r>
    </w:p>
    <w:p w:rsidR="00573AC2" w:rsidRDefault="00573AC2" w:rsidP="00573AC2">
      <w:pPr>
        <w:pStyle w:val="Titrearticle"/>
        <w:keepLines/>
        <w:rPr>
          <w:noProof/>
        </w:rPr>
      </w:pPr>
      <w:r>
        <w:rPr>
          <w:noProof/>
        </w:rPr>
        <w:lastRenderedPageBreak/>
        <w:t>Article 3</w:t>
      </w:r>
    </w:p>
    <w:p w:rsidR="00573AC2" w:rsidRDefault="00573AC2" w:rsidP="00573AC2">
      <w:pPr>
        <w:rPr>
          <w:noProof/>
        </w:rPr>
      </w:pPr>
      <w:r>
        <w:rPr>
          <w:noProof/>
        </w:rPr>
        <w:t xml:space="preserve">This Regulation shall enter into force on the twentieth day following that of its publication in the </w:t>
      </w:r>
      <w:r>
        <w:rPr>
          <w:i/>
          <w:noProof/>
        </w:rPr>
        <w:t>Official Journal of the European Union</w:t>
      </w:r>
      <w:r>
        <w:rPr>
          <w:noProof/>
        </w:rPr>
        <w:t>.</w:t>
      </w:r>
    </w:p>
    <w:p w:rsidR="00573AC2" w:rsidRDefault="00573AC2" w:rsidP="00573AC2">
      <w:pPr>
        <w:rPr>
          <w:i/>
          <w:noProof/>
        </w:rPr>
      </w:pPr>
      <w:r>
        <w:rPr>
          <w:noProof/>
        </w:rPr>
        <w:t xml:space="preserve">It shall apply from </w:t>
      </w:r>
      <w:r>
        <w:rPr>
          <w:i/>
          <w:noProof/>
        </w:rPr>
        <w:t>[Office of Publication: please insert date 6 months after entry into force]</w:t>
      </w:r>
      <w:r>
        <w:rPr>
          <w:noProof/>
        </w:rPr>
        <w:t>.</w:t>
      </w:r>
    </w:p>
    <w:p w:rsidR="00573AC2" w:rsidRDefault="00573AC2" w:rsidP="00573AC2">
      <w:pPr>
        <w:pStyle w:val="Applicationdirecte"/>
        <w:keepNext/>
        <w:keepLines/>
        <w:rPr>
          <w:noProof/>
        </w:rPr>
      </w:pPr>
      <w:r>
        <w:rPr>
          <w:noProof/>
        </w:rPr>
        <w:t>This Regulation shall be binding in its entirety and directly applicable in all Member States.</w:t>
      </w:r>
    </w:p>
    <w:p w:rsidR="00573AC2" w:rsidRDefault="00573AC2" w:rsidP="00573AC2">
      <w:pPr>
        <w:pStyle w:val="Fait"/>
      </w:pPr>
      <w:r>
        <w:t>Done at Brussels,</w:t>
      </w:r>
    </w:p>
    <w:p w:rsidR="00573AC2" w:rsidRDefault="00573AC2" w:rsidP="00573AC2">
      <w:pPr>
        <w:pStyle w:val="Institutionquisigne"/>
        <w:keepLines/>
      </w:pPr>
      <w:r>
        <w:tab/>
        <w:t>For the Commission</w:t>
      </w:r>
    </w:p>
    <w:p w:rsidR="00573AC2" w:rsidRDefault="00573AC2" w:rsidP="00573AC2">
      <w:pPr>
        <w:pStyle w:val="Personnequisigne"/>
        <w:keepNext/>
        <w:keepLines/>
      </w:pPr>
      <w:r>
        <w:tab/>
        <w:t xml:space="preserve">The President </w:t>
      </w:r>
    </w:p>
    <w:p w:rsidR="00573AC2" w:rsidRDefault="00573AC2" w:rsidP="00573AC2">
      <w:pPr>
        <w:pStyle w:val="Personnequisigne"/>
        <w:keepNext/>
        <w:keepLines/>
      </w:pPr>
      <w:r>
        <w:tab/>
        <w:t>Jean-Claude JUNCKER</w:t>
      </w:r>
    </w:p>
    <w:p w:rsidR="000A158B" w:rsidRDefault="000A158B" w:rsidP="00573AC2">
      <w:pPr>
        <w:keepNext/>
        <w:spacing w:before="600" w:after="120"/>
        <w:outlineLvl w:val="0"/>
      </w:pPr>
    </w:p>
    <w:sectPr w:rsidR="000A158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8B" w:rsidRDefault="000A158B" w:rsidP="000A158B">
      <w:pPr>
        <w:spacing w:after="0"/>
      </w:pPr>
      <w:r>
        <w:separator/>
      </w:r>
    </w:p>
  </w:endnote>
  <w:endnote w:type="continuationSeparator" w:id="0">
    <w:p w:rsidR="000A158B" w:rsidRDefault="000A158B" w:rsidP="000A1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8B" w:rsidRDefault="000A158B" w:rsidP="000A158B">
      <w:pPr>
        <w:spacing w:after="0"/>
      </w:pPr>
      <w:r>
        <w:separator/>
      </w:r>
    </w:p>
  </w:footnote>
  <w:footnote w:type="continuationSeparator" w:id="0">
    <w:p w:rsidR="000A158B" w:rsidRDefault="000A158B" w:rsidP="000A158B">
      <w:pPr>
        <w:spacing w:after="0"/>
      </w:pPr>
      <w:r>
        <w:continuationSeparator/>
      </w:r>
    </w:p>
  </w:footnote>
  <w:footnote w:id="1">
    <w:p w:rsidR="00573AC2" w:rsidRDefault="00573AC2" w:rsidP="00573AC2">
      <w:pPr>
        <w:pStyle w:val="Fodnotetekst"/>
      </w:pPr>
      <w:r>
        <w:rPr>
          <w:rStyle w:val="Fodnotehenvisning"/>
        </w:rPr>
        <w:footnoteRef/>
      </w:r>
      <w:r>
        <w:tab/>
        <w:t>OJ L 70, 16.3.2005, p. 1.</w:t>
      </w:r>
    </w:p>
  </w:footnote>
  <w:footnote w:id="2">
    <w:p w:rsidR="00573AC2" w:rsidRDefault="00573AC2" w:rsidP="00573AC2">
      <w:pPr>
        <w:pStyle w:val="Fodnotetekst"/>
      </w:pPr>
      <w:r>
        <w:rPr>
          <w:rStyle w:val="Fodnotehenvisning"/>
        </w:rPr>
        <w:footnoteRef/>
      </w:r>
      <w:r>
        <w:tab/>
      </w:r>
      <w:proofErr w:type="gramStart"/>
      <w:r>
        <w:t xml:space="preserve">European Food Safety Authority; Review of the existing maximum residue levels (MRLs) for </w:t>
      </w:r>
      <w:proofErr w:type="spellStart"/>
      <w:r>
        <w:t>fenpropidin</w:t>
      </w:r>
      <w:proofErr w:type="spellEnd"/>
      <w:r>
        <w:t xml:space="preserve"> according to Article 12 of Regulation (EC) No 396/2005.</w:t>
      </w:r>
      <w:proofErr w:type="gramEnd"/>
      <w:r>
        <w:t xml:space="preserve"> EFSA Journal 2011</w:t>
      </w:r>
      <w:proofErr w:type="gramStart"/>
      <w:r>
        <w:t>;9</w:t>
      </w:r>
      <w:proofErr w:type="gramEnd"/>
      <w:r>
        <w:t xml:space="preserve">(8):2333. </w:t>
      </w:r>
      <w:proofErr w:type="gramStart"/>
      <w:r>
        <w:t>[42 pp.].</w:t>
      </w:r>
      <w:proofErr w:type="gramEnd"/>
    </w:p>
  </w:footnote>
  <w:footnote w:id="3">
    <w:p w:rsidR="00573AC2" w:rsidRDefault="00573AC2" w:rsidP="00573AC2">
      <w:pPr>
        <w:pStyle w:val="Fodnotetekst"/>
      </w:pPr>
      <w:r>
        <w:rPr>
          <w:rStyle w:val="Fodnotehenvisning"/>
        </w:rPr>
        <w:footnoteRef/>
      </w:r>
      <w:r>
        <w:tab/>
      </w:r>
      <w:proofErr w:type="gramStart"/>
      <w:r>
        <w:t xml:space="preserve">Commission Regulation (EU) No 61/2014 of 24 January 2014 amending Annexes II and III to Regulation (EC) No 396/2005 of the European Parliament and of the Council as regards maximum residue levels for </w:t>
      </w:r>
      <w:proofErr w:type="spellStart"/>
      <w:r>
        <w:t>cyromazine</w:t>
      </w:r>
      <w:proofErr w:type="spellEnd"/>
      <w:r>
        <w:t xml:space="preserve">, </w:t>
      </w:r>
      <w:proofErr w:type="spellStart"/>
      <w:r>
        <w:t>fenpropidin</w:t>
      </w:r>
      <w:proofErr w:type="spellEnd"/>
      <w:r>
        <w:t xml:space="preserve">, </w:t>
      </w:r>
      <w:proofErr w:type="spellStart"/>
      <w:r>
        <w:t>formetanate</w:t>
      </w:r>
      <w:proofErr w:type="spellEnd"/>
      <w:r>
        <w:t xml:space="preserve">, </w:t>
      </w:r>
      <w:proofErr w:type="spellStart"/>
      <w:r>
        <w:t>oxamyl</w:t>
      </w:r>
      <w:proofErr w:type="spellEnd"/>
      <w:r>
        <w:t xml:space="preserve"> and </w:t>
      </w:r>
      <w:proofErr w:type="spellStart"/>
      <w:r>
        <w:t>tebuconazole</w:t>
      </w:r>
      <w:proofErr w:type="spellEnd"/>
      <w:r>
        <w:t xml:space="preserve"> in or on certain products (OJ L 22, 25.1.2014, p. 1).</w:t>
      </w:r>
      <w:proofErr w:type="gramEnd"/>
    </w:p>
    <w:p w:rsidR="00573AC2" w:rsidRDefault="00573AC2" w:rsidP="00573AC2">
      <w:pPr>
        <w:pStyle w:val="Fodnotetekst"/>
      </w:pPr>
    </w:p>
  </w:footnote>
  <w:footnote w:id="4">
    <w:p w:rsidR="00573AC2" w:rsidRDefault="00573AC2" w:rsidP="00573AC2">
      <w:pPr>
        <w:pStyle w:val="Fodnotetekst"/>
      </w:pPr>
      <w:r>
        <w:rPr>
          <w:rStyle w:val="Fodnotehenvisning"/>
        </w:rPr>
        <w:footnoteRef/>
      </w:r>
      <w:r>
        <w:tab/>
      </w:r>
      <w:proofErr w:type="gramStart"/>
      <w:r>
        <w:t xml:space="preserve">European Food Safety Authority; Review of the existing maximum residue levels (MRLs) for </w:t>
      </w:r>
      <w:proofErr w:type="spellStart"/>
      <w:r>
        <w:t>pymetrozine</w:t>
      </w:r>
      <w:proofErr w:type="spellEnd"/>
      <w:r>
        <w:t xml:space="preserve"> according to Article 12 of Regulation (EC) No 396/2005.</w:t>
      </w:r>
      <w:proofErr w:type="gramEnd"/>
      <w:r>
        <w:t xml:space="preserve"> EFSA Journal 2012; 10(10):2919. </w:t>
      </w:r>
      <w:proofErr w:type="gramStart"/>
      <w:r>
        <w:t>[67 pp.], revised version of 10 January 2013.</w:t>
      </w:r>
      <w:proofErr w:type="gramEnd"/>
    </w:p>
  </w:footnote>
  <w:footnote w:id="5">
    <w:p w:rsidR="00573AC2" w:rsidRDefault="00573AC2" w:rsidP="00573AC2">
      <w:pPr>
        <w:pStyle w:val="Fodnotetekst"/>
        <w:rPr>
          <w:lang w:val="sk-SK"/>
        </w:rPr>
      </w:pPr>
      <w:r>
        <w:rPr>
          <w:rStyle w:val="Fodnotehenvisning"/>
        </w:rPr>
        <w:footnoteRef/>
      </w:r>
      <w:r>
        <w:t xml:space="preserve"> </w:t>
      </w:r>
      <w:r>
        <w:rPr>
          <w:lang w:val="sk-SK"/>
        </w:rPr>
        <w:tab/>
      </w:r>
      <w:r>
        <w:rPr>
          <w:lang w:val="sk-SK"/>
        </w:rPr>
        <w:t xml:space="preserve">Commission Regulation (EU) No 398/2014 of 22 April 2014 amending Annexes II and III to Regulation (EC) No 396/2005 of the European Parliament and of the Council as regards maximum residue levels for benthiavalicarb, cyazofamid, cyhalofop-butyl, forchlorfenuron, pymetrozine and silthiofam in or on certain products </w:t>
      </w:r>
      <w:r>
        <w:t>(OJ L 119, 23.4.2014, p.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181"/>
      <w:docPartObj>
        <w:docPartGallery w:val="Watermarks"/>
        <w:docPartUnique/>
      </w:docPartObj>
    </w:sdtPr>
    <w:sdtEndPr/>
    <w:sdtContent>
      <w:p w:rsidR="00264CE1" w:rsidRDefault="0084524A">
        <w:pPr>
          <w:pStyle w:val="Sidehoved"/>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8205" o:spid="_x0000_s2049" type="#_x0000_t136" style="position:absolute;left:0;text-align:left;margin-left:0;margin-top:0;width:456.8pt;height:182.7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CE1" w:rsidRDefault="00264CE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0"/>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A158B"/>
    <w:rsid w:val="000A158B"/>
    <w:rsid w:val="00264CE1"/>
    <w:rsid w:val="00465C44"/>
    <w:rsid w:val="00525B0D"/>
    <w:rsid w:val="00573AC2"/>
    <w:rsid w:val="0084524A"/>
    <w:rsid w:val="00875634"/>
    <w:rsid w:val="00891CBF"/>
    <w:rsid w:val="008D216B"/>
    <w:rsid w:val="00C55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8B"/>
    <w:pPr>
      <w:spacing w:after="240" w:line="240" w:lineRule="auto"/>
      <w:jc w:val="both"/>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0A158B"/>
    <w:pPr>
      <w:spacing w:after="0"/>
    </w:pPr>
    <w:rPr>
      <w:sz w:val="20"/>
    </w:rPr>
  </w:style>
  <w:style w:type="character" w:customStyle="1" w:styleId="FodnotetekstTegn">
    <w:name w:val="Fodnotetekst Tegn"/>
    <w:basedOn w:val="Standardskrifttypeiafsnit"/>
    <w:link w:val="Fodnotetekst"/>
    <w:uiPriority w:val="99"/>
    <w:semiHidden/>
    <w:rsid w:val="000A158B"/>
    <w:rPr>
      <w:rFonts w:ascii="Times New Roman" w:eastAsia="Times New Roman" w:hAnsi="Times New Roman" w:cs="Times New Roman"/>
      <w:sz w:val="20"/>
      <w:szCs w:val="20"/>
    </w:rPr>
  </w:style>
  <w:style w:type="character" w:styleId="Hyperlink">
    <w:name w:val="Hyperlink"/>
    <w:rsid w:val="000A158B"/>
    <w:rPr>
      <w:color w:val="0000FF"/>
      <w:u w:val="single"/>
      <w:shd w:val="clear" w:color="auto" w:fill="auto"/>
    </w:rPr>
  </w:style>
  <w:style w:type="character" w:styleId="Fodnotehenvisning">
    <w:name w:val="footnote reference"/>
    <w:uiPriority w:val="99"/>
    <w:semiHidden/>
    <w:unhideWhenUsed/>
    <w:rsid w:val="000A158B"/>
    <w:rPr>
      <w:shd w:val="clear" w:color="auto" w:fill="auto"/>
      <w:vertAlign w:val="superscript"/>
    </w:rPr>
  </w:style>
  <w:style w:type="paragraph" w:customStyle="1" w:styleId="Considrant">
    <w:name w:val="Considérant"/>
    <w:basedOn w:val="Normal"/>
    <w:rsid w:val="000A158B"/>
    <w:pPr>
      <w:numPr>
        <w:numId w:val="1"/>
      </w:numPr>
      <w:spacing w:before="120" w:after="120"/>
    </w:pPr>
    <w:rPr>
      <w:rFonts w:eastAsia="Calibri"/>
      <w:szCs w:val="22"/>
      <w:lang w:eastAsia="en-GB"/>
    </w:rPr>
  </w:style>
  <w:style w:type="paragraph" w:styleId="Sidehoved">
    <w:name w:val="header"/>
    <w:basedOn w:val="Normal"/>
    <w:link w:val="SidehovedTegn"/>
    <w:uiPriority w:val="99"/>
    <w:unhideWhenUsed/>
    <w:rsid w:val="00264CE1"/>
    <w:pPr>
      <w:tabs>
        <w:tab w:val="center" w:pos="4536"/>
        <w:tab w:val="right" w:pos="9072"/>
      </w:tabs>
      <w:spacing w:after="0"/>
    </w:pPr>
  </w:style>
  <w:style w:type="character" w:customStyle="1" w:styleId="SidehovedTegn">
    <w:name w:val="Sidehoved Tegn"/>
    <w:basedOn w:val="Standardskrifttypeiafsnit"/>
    <w:link w:val="Sidehoved"/>
    <w:uiPriority w:val="99"/>
    <w:rsid w:val="00264CE1"/>
    <w:rPr>
      <w:rFonts w:ascii="Times New Roman" w:eastAsia="Times New Roman" w:hAnsi="Times New Roman" w:cs="Times New Roman"/>
      <w:sz w:val="24"/>
      <w:szCs w:val="20"/>
    </w:rPr>
  </w:style>
  <w:style w:type="paragraph" w:styleId="Sidefod">
    <w:name w:val="footer"/>
    <w:basedOn w:val="Normal"/>
    <w:link w:val="SidefodTegn"/>
    <w:uiPriority w:val="99"/>
    <w:unhideWhenUsed/>
    <w:rsid w:val="00264CE1"/>
    <w:pPr>
      <w:tabs>
        <w:tab w:val="center" w:pos="4536"/>
        <w:tab w:val="right" w:pos="9072"/>
      </w:tabs>
      <w:spacing w:after="0"/>
    </w:pPr>
  </w:style>
  <w:style w:type="character" w:customStyle="1" w:styleId="SidefodTegn">
    <w:name w:val="Sidefod Tegn"/>
    <w:basedOn w:val="Standardskrifttypeiafsnit"/>
    <w:link w:val="Sidefod"/>
    <w:uiPriority w:val="99"/>
    <w:rsid w:val="00264CE1"/>
    <w:rPr>
      <w:rFonts w:ascii="Times New Roman" w:eastAsia="Times New Roman" w:hAnsi="Times New Roman" w:cs="Times New Roman"/>
      <w:sz w:val="24"/>
      <w:szCs w:val="20"/>
    </w:rPr>
  </w:style>
  <w:style w:type="paragraph" w:styleId="Markeringsbobletekst">
    <w:name w:val="Balloon Text"/>
    <w:basedOn w:val="Normal"/>
    <w:link w:val="MarkeringsbobletekstTegn"/>
    <w:uiPriority w:val="99"/>
    <w:semiHidden/>
    <w:unhideWhenUsed/>
    <w:rsid w:val="00264CE1"/>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4CE1"/>
    <w:rPr>
      <w:rFonts w:ascii="Tahoma" w:eastAsia="Times New Roman" w:hAnsi="Tahoma" w:cs="Tahoma"/>
      <w:sz w:val="16"/>
      <w:szCs w:val="16"/>
    </w:rPr>
  </w:style>
  <w:style w:type="paragraph" w:customStyle="1" w:styleId="Titreobjet">
    <w:name w:val="Titre objet"/>
    <w:basedOn w:val="Normal"/>
    <w:next w:val="Normal"/>
    <w:rsid w:val="00573AC2"/>
    <w:pPr>
      <w:spacing w:before="360" w:after="360"/>
      <w:jc w:val="center"/>
    </w:pPr>
    <w:rPr>
      <w:rFonts w:eastAsiaTheme="minorHAnsi"/>
      <w:b/>
      <w:szCs w:val="22"/>
    </w:rPr>
  </w:style>
  <w:style w:type="paragraph" w:customStyle="1" w:styleId="IntrtEEE">
    <w:name w:val="Intérêt EEE"/>
    <w:basedOn w:val="Normal"/>
    <w:next w:val="Normal"/>
    <w:rsid w:val="00573AC2"/>
    <w:pPr>
      <w:spacing w:before="360"/>
      <w:jc w:val="center"/>
    </w:pPr>
    <w:rPr>
      <w:rFonts w:eastAsiaTheme="minorHAnsi"/>
      <w:szCs w:val="22"/>
    </w:rPr>
  </w:style>
  <w:style w:type="paragraph" w:customStyle="1" w:styleId="Fait">
    <w:name w:val="Fait à"/>
    <w:basedOn w:val="Normal"/>
    <w:next w:val="Institutionquisigne"/>
    <w:rsid w:val="00573AC2"/>
    <w:pPr>
      <w:keepNext/>
      <w:spacing w:before="120" w:after="0"/>
    </w:pPr>
    <w:rPr>
      <w:rFonts w:eastAsiaTheme="minorHAnsi"/>
      <w:szCs w:val="22"/>
    </w:rPr>
  </w:style>
  <w:style w:type="paragraph" w:customStyle="1" w:styleId="Applicationdirecte">
    <w:name w:val="Application directe"/>
    <w:basedOn w:val="Normal"/>
    <w:next w:val="Fait"/>
    <w:rsid w:val="00573AC2"/>
    <w:pPr>
      <w:spacing w:before="480" w:after="120"/>
    </w:pPr>
    <w:rPr>
      <w:rFonts w:eastAsiaTheme="minorHAnsi"/>
      <w:szCs w:val="22"/>
    </w:rPr>
  </w:style>
  <w:style w:type="paragraph" w:customStyle="1" w:styleId="Institutionquisigne">
    <w:name w:val="Institution qui signe"/>
    <w:basedOn w:val="Normal"/>
    <w:next w:val="Personnequisigne"/>
    <w:rsid w:val="00573AC2"/>
    <w:pPr>
      <w:keepNext/>
      <w:tabs>
        <w:tab w:val="left" w:pos="4252"/>
      </w:tabs>
      <w:spacing w:before="720" w:after="0"/>
    </w:pPr>
    <w:rPr>
      <w:rFonts w:eastAsiaTheme="minorHAnsi"/>
      <w:i/>
      <w:szCs w:val="22"/>
    </w:rPr>
  </w:style>
  <w:style w:type="paragraph" w:customStyle="1" w:styleId="Titrearticle">
    <w:name w:val="Titre article"/>
    <w:basedOn w:val="Normal"/>
    <w:next w:val="Normal"/>
    <w:rsid w:val="00573AC2"/>
    <w:pPr>
      <w:keepNext/>
      <w:spacing w:before="360" w:after="120"/>
      <w:jc w:val="center"/>
    </w:pPr>
    <w:rPr>
      <w:rFonts w:eastAsiaTheme="minorHAnsi"/>
      <w:i/>
      <w:szCs w:val="22"/>
    </w:rPr>
  </w:style>
  <w:style w:type="paragraph" w:customStyle="1" w:styleId="Formuledadoption">
    <w:name w:val="Formule d'adoption"/>
    <w:basedOn w:val="Normal"/>
    <w:next w:val="Titrearticle"/>
    <w:rsid w:val="00573AC2"/>
    <w:pPr>
      <w:keepNext/>
      <w:spacing w:before="120" w:after="120"/>
    </w:pPr>
    <w:rPr>
      <w:rFonts w:eastAsiaTheme="minorHAnsi"/>
      <w:szCs w:val="22"/>
    </w:rPr>
  </w:style>
  <w:style w:type="paragraph" w:customStyle="1" w:styleId="Institutionquiagit">
    <w:name w:val="Institution qui agit"/>
    <w:basedOn w:val="Normal"/>
    <w:next w:val="Normal"/>
    <w:rsid w:val="00573AC2"/>
    <w:pPr>
      <w:keepNext/>
      <w:spacing w:before="600" w:after="120"/>
    </w:pPr>
    <w:rPr>
      <w:rFonts w:eastAsiaTheme="minorHAnsi"/>
      <w:szCs w:val="22"/>
    </w:rPr>
  </w:style>
  <w:style w:type="paragraph" w:customStyle="1" w:styleId="Personnequisigne">
    <w:name w:val="Personne qui signe"/>
    <w:basedOn w:val="Normal"/>
    <w:next w:val="Institutionquisigne"/>
    <w:rsid w:val="00573AC2"/>
    <w:pPr>
      <w:tabs>
        <w:tab w:val="left" w:pos="4252"/>
      </w:tabs>
      <w:spacing w:after="0"/>
      <w:jc w:val="left"/>
    </w:pPr>
    <w:rPr>
      <w:rFonts w:eastAsiaTheme="minorHAnsi"/>
      <w: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58B"/>
    <w:pPr>
      <w:spacing w:after="240" w:line="240" w:lineRule="auto"/>
      <w:jc w:val="both"/>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0A158B"/>
    <w:pPr>
      <w:spacing w:after="0"/>
    </w:pPr>
    <w:rPr>
      <w:sz w:val="20"/>
    </w:rPr>
  </w:style>
  <w:style w:type="character" w:customStyle="1" w:styleId="FodnotetekstTegn">
    <w:name w:val="Fodnotetekst Tegn"/>
    <w:basedOn w:val="Standardskrifttypeiafsnit"/>
    <w:link w:val="Fodnotetekst"/>
    <w:uiPriority w:val="99"/>
    <w:semiHidden/>
    <w:rsid w:val="000A158B"/>
    <w:rPr>
      <w:rFonts w:ascii="Times New Roman" w:eastAsia="Times New Roman" w:hAnsi="Times New Roman" w:cs="Times New Roman"/>
      <w:sz w:val="20"/>
      <w:szCs w:val="20"/>
    </w:rPr>
  </w:style>
  <w:style w:type="character" w:styleId="Hyperlink">
    <w:name w:val="Hyperlink"/>
    <w:rsid w:val="000A158B"/>
    <w:rPr>
      <w:color w:val="0000FF"/>
      <w:u w:val="single"/>
      <w:shd w:val="clear" w:color="auto" w:fill="auto"/>
    </w:rPr>
  </w:style>
  <w:style w:type="character" w:styleId="Fodnotehenvisning">
    <w:name w:val="footnote reference"/>
    <w:uiPriority w:val="99"/>
    <w:semiHidden/>
    <w:unhideWhenUsed/>
    <w:rsid w:val="000A158B"/>
    <w:rPr>
      <w:shd w:val="clear" w:color="auto" w:fill="auto"/>
      <w:vertAlign w:val="superscript"/>
    </w:rPr>
  </w:style>
  <w:style w:type="paragraph" w:customStyle="1" w:styleId="Considrant">
    <w:name w:val="Considérant"/>
    <w:basedOn w:val="Normal"/>
    <w:rsid w:val="000A158B"/>
    <w:pPr>
      <w:numPr>
        <w:numId w:val="1"/>
      </w:numPr>
      <w:spacing w:before="120" w:after="120"/>
    </w:pPr>
    <w:rPr>
      <w:rFonts w:eastAsia="Calibri"/>
      <w:szCs w:val="22"/>
      <w:lang w:eastAsia="en-GB"/>
    </w:rPr>
  </w:style>
  <w:style w:type="paragraph" w:styleId="Sidehoved">
    <w:name w:val="header"/>
    <w:basedOn w:val="Normal"/>
    <w:link w:val="SidehovedTegn"/>
    <w:uiPriority w:val="99"/>
    <w:unhideWhenUsed/>
    <w:rsid w:val="00264CE1"/>
    <w:pPr>
      <w:tabs>
        <w:tab w:val="center" w:pos="4536"/>
        <w:tab w:val="right" w:pos="9072"/>
      </w:tabs>
      <w:spacing w:after="0"/>
    </w:pPr>
  </w:style>
  <w:style w:type="character" w:customStyle="1" w:styleId="SidehovedTegn">
    <w:name w:val="Sidehoved Tegn"/>
    <w:basedOn w:val="Standardskrifttypeiafsnit"/>
    <w:link w:val="Sidehoved"/>
    <w:uiPriority w:val="99"/>
    <w:rsid w:val="00264CE1"/>
    <w:rPr>
      <w:rFonts w:ascii="Times New Roman" w:eastAsia="Times New Roman" w:hAnsi="Times New Roman" w:cs="Times New Roman"/>
      <w:sz w:val="24"/>
      <w:szCs w:val="20"/>
    </w:rPr>
  </w:style>
  <w:style w:type="paragraph" w:styleId="Sidefod">
    <w:name w:val="footer"/>
    <w:basedOn w:val="Normal"/>
    <w:link w:val="SidefodTegn"/>
    <w:uiPriority w:val="99"/>
    <w:unhideWhenUsed/>
    <w:rsid w:val="00264CE1"/>
    <w:pPr>
      <w:tabs>
        <w:tab w:val="center" w:pos="4536"/>
        <w:tab w:val="right" w:pos="9072"/>
      </w:tabs>
      <w:spacing w:after="0"/>
    </w:pPr>
  </w:style>
  <w:style w:type="character" w:customStyle="1" w:styleId="SidefodTegn">
    <w:name w:val="Sidefod Tegn"/>
    <w:basedOn w:val="Standardskrifttypeiafsnit"/>
    <w:link w:val="Sidefod"/>
    <w:uiPriority w:val="99"/>
    <w:rsid w:val="00264CE1"/>
    <w:rPr>
      <w:rFonts w:ascii="Times New Roman" w:eastAsia="Times New Roman" w:hAnsi="Times New Roman" w:cs="Times New Roman"/>
      <w:sz w:val="24"/>
      <w:szCs w:val="20"/>
    </w:rPr>
  </w:style>
  <w:style w:type="paragraph" w:styleId="Markeringsbobletekst">
    <w:name w:val="Balloon Text"/>
    <w:basedOn w:val="Normal"/>
    <w:link w:val="MarkeringsbobletekstTegn"/>
    <w:uiPriority w:val="99"/>
    <w:semiHidden/>
    <w:unhideWhenUsed/>
    <w:rsid w:val="00264CE1"/>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64CE1"/>
    <w:rPr>
      <w:rFonts w:ascii="Tahoma" w:eastAsia="Times New Roman" w:hAnsi="Tahoma" w:cs="Tahoma"/>
      <w:sz w:val="16"/>
      <w:szCs w:val="16"/>
    </w:rPr>
  </w:style>
  <w:style w:type="paragraph" w:customStyle="1" w:styleId="Titreobjet">
    <w:name w:val="Titre objet"/>
    <w:basedOn w:val="Normal"/>
    <w:next w:val="Normal"/>
    <w:rsid w:val="00573AC2"/>
    <w:pPr>
      <w:spacing w:before="360" w:after="360"/>
      <w:jc w:val="center"/>
    </w:pPr>
    <w:rPr>
      <w:rFonts w:eastAsiaTheme="minorHAnsi"/>
      <w:b/>
      <w:szCs w:val="22"/>
    </w:rPr>
  </w:style>
  <w:style w:type="paragraph" w:customStyle="1" w:styleId="IntrtEEE">
    <w:name w:val="Intérêt EEE"/>
    <w:basedOn w:val="Normal"/>
    <w:next w:val="Normal"/>
    <w:rsid w:val="00573AC2"/>
    <w:pPr>
      <w:spacing w:before="360"/>
      <w:jc w:val="center"/>
    </w:pPr>
    <w:rPr>
      <w:rFonts w:eastAsiaTheme="minorHAnsi"/>
      <w:szCs w:val="22"/>
    </w:rPr>
  </w:style>
  <w:style w:type="paragraph" w:customStyle="1" w:styleId="Fait">
    <w:name w:val="Fait à"/>
    <w:basedOn w:val="Normal"/>
    <w:next w:val="Institutionquisigne"/>
    <w:rsid w:val="00573AC2"/>
    <w:pPr>
      <w:keepNext/>
      <w:spacing w:before="120" w:after="0"/>
    </w:pPr>
    <w:rPr>
      <w:rFonts w:eastAsiaTheme="minorHAnsi"/>
      <w:szCs w:val="22"/>
    </w:rPr>
  </w:style>
  <w:style w:type="paragraph" w:customStyle="1" w:styleId="Applicationdirecte">
    <w:name w:val="Application directe"/>
    <w:basedOn w:val="Normal"/>
    <w:next w:val="Fait"/>
    <w:rsid w:val="00573AC2"/>
    <w:pPr>
      <w:spacing w:before="480" w:after="120"/>
    </w:pPr>
    <w:rPr>
      <w:rFonts w:eastAsiaTheme="minorHAnsi"/>
      <w:szCs w:val="22"/>
    </w:rPr>
  </w:style>
  <w:style w:type="paragraph" w:customStyle="1" w:styleId="Institutionquisigne">
    <w:name w:val="Institution qui signe"/>
    <w:basedOn w:val="Normal"/>
    <w:next w:val="Personnequisigne"/>
    <w:rsid w:val="00573AC2"/>
    <w:pPr>
      <w:keepNext/>
      <w:tabs>
        <w:tab w:val="left" w:pos="4252"/>
      </w:tabs>
      <w:spacing w:before="720" w:after="0"/>
    </w:pPr>
    <w:rPr>
      <w:rFonts w:eastAsiaTheme="minorHAnsi"/>
      <w:i/>
      <w:szCs w:val="22"/>
    </w:rPr>
  </w:style>
  <w:style w:type="paragraph" w:customStyle="1" w:styleId="Titrearticle">
    <w:name w:val="Titre article"/>
    <w:basedOn w:val="Normal"/>
    <w:next w:val="Normal"/>
    <w:rsid w:val="00573AC2"/>
    <w:pPr>
      <w:keepNext/>
      <w:spacing w:before="360" w:after="120"/>
      <w:jc w:val="center"/>
    </w:pPr>
    <w:rPr>
      <w:rFonts w:eastAsiaTheme="minorHAnsi"/>
      <w:i/>
      <w:szCs w:val="22"/>
    </w:rPr>
  </w:style>
  <w:style w:type="paragraph" w:customStyle="1" w:styleId="Formuledadoption">
    <w:name w:val="Formule d'adoption"/>
    <w:basedOn w:val="Normal"/>
    <w:next w:val="Titrearticle"/>
    <w:rsid w:val="00573AC2"/>
    <w:pPr>
      <w:keepNext/>
      <w:spacing w:before="120" w:after="120"/>
    </w:pPr>
    <w:rPr>
      <w:rFonts w:eastAsiaTheme="minorHAnsi"/>
      <w:szCs w:val="22"/>
    </w:rPr>
  </w:style>
  <w:style w:type="paragraph" w:customStyle="1" w:styleId="Institutionquiagit">
    <w:name w:val="Institution qui agit"/>
    <w:basedOn w:val="Normal"/>
    <w:next w:val="Normal"/>
    <w:rsid w:val="00573AC2"/>
    <w:pPr>
      <w:keepNext/>
      <w:spacing w:before="600" w:after="120"/>
    </w:pPr>
    <w:rPr>
      <w:rFonts w:eastAsiaTheme="minorHAnsi"/>
      <w:szCs w:val="22"/>
    </w:rPr>
  </w:style>
  <w:style w:type="paragraph" w:customStyle="1" w:styleId="Personnequisigne">
    <w:name w:val="Personne qui signe"/>
    <w:basedOn w:val="Normal"/>
    <w:next w:val="Institutionquisigne"/>
    <w:rsid w:val="00573AC2"/>
    <w:pPr>
      <w:tabs>
        <w:tab w:val="left" w:pos="4252"/>
      </w:tabs>
      <w:spacing w:after="0"/>
      <w:jc w:val="left"/>
    </w:pPr>
    <w:rPr>
      <w:rFonts w:eastAsiaTheme="minorHAnsi"/>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6889">
      <w:bodyDiv w:val="1"/>
      <w:marLeft w:val="0"/>
      <w:marRight w:val="0"/>
      <w:marTop w:val="0"/>
      <w:marBottom w:val="0"/>
      <w:divBdr>
        <w:top w:val="none" w:sz="0" w:space="0" w:color="auto"/>
        <w:left w:val="none" w:sz="0" w:space="0" w:color="auto"/>
        <w:bottom w:val="none" w:sz="0" w:space="0" w:color="auto"/>
        <w:right w:val="none" w:sz="0" w:space="0" w:color="auto"/>
      </w:divBdr>
    </w:div>
    <w:div w:id="1238515789">
      <w:bodyDiv w:val="1"/>
      <w:marLeft w:val="0"/>
      <w:marRight w:val="0"/>
      <w:marTop w:val="0"/>
      <w:marBottom w:val="0"/>
      <w:divBdr>
        <w:top w:val="none" w:sz="0" w:space="0" w:color="auto"/>
        <w:left w:val="none" w:sz="0" w:space="0" w:color="auto"/>
        <w:bottom w:val="none" w:sz="0" w:space="0" w:color="auto"/>
        <w:right w:val="none" w:sz="0" w:space="0" w:color="auto"/>
      </w:divBdr>
    </w:div>
    <w:div w:id="16903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5518</Characters>
  <Application>Microsoft Office Word</Application>
  <DocSecurity>4</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LEGUEN DE LACROIX Marc (SANTE)</dc:creator>
  <cp:lastModifiedBy>Gudrun Hilbert (FVST)</cp:lastModifiedBy>
  <cp:revision>2</cp:revision>
  <cp:lastPrinted>2017-05-24T12:50:00Z</cp:lastPrinted>
  <dcterms:created xsi:type="dcterms:W3CDTF">2017-05-24T12:51:00Z</dcterms:created>
  <dcterms:modified xsi:type="dcterms:W3CDTF">2017-05-24T12:51:00Z</dcterms:modified>
</cp:coreProperties>
</file>