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1564" w14:textId="77777777" w:rsidR="00565A8F" w:rsidRPr="00992A77" w:rsidRDefault="00565A8F" w:rsidP="00565A8F">
      <w:pPr>
        <w:spacing w:after="0"/>
        <w:jc w:val="center"/>
        <w:rPr>
          <w:b/>
          <w:szCs w:val="24"/>
          <w:u w:val="single"/>
        </w:rPr>
      </w:pPr>
      <w:r>
        <w:rPr>
          <w:rFonts w:ascii="Calibri" w:hAnsi="Calibri"/>
          <w:noProof/>
          <w:sz w:val="22"/>
        </w:rPr>
        <mc:AlternateContent>
          <mc:Choice Requires="wps">
            <w:drawing>
              <wp:anchor distT="0" distB="0" distL="114300" distR="114300" simplePos="0" relativeHeight="251659264" behindDoc="0" locked="0" layoutInCell="1" allowOverlap="1" wp14:anchorId="3C675B25" wp14:editId="64206EA9">
                <wp:simplePos x="0" y="0"/>
                <wp:positionH relativeFrom="column">
                  <wp:posOffset>4417695</wp:posOffset>
                </wp:positionH>
                <wp:positionV relativeFrom="paragraph">
                  <wp:posOffset>-273050</wp:posOffset>
                </wp:positionV>
                <wp:extent cx="1304925" cy="254000"/>
                <wp:effectExtent l="0" t="0" r="28575" b="12700"/>
                <wp:wrapNone/>
                <wp:docPr id="661058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4000"/>
                        </a:xfrm>
                        <a:prstGeom prst="rect">
                          <a:avLst/>
                        </a:prstGeom>
                        <a:solidFill>
                          <a:srgbClr val="FFFFFF"/>
                        </a:solidFill>
                        <a:ln w="9525">
                          <a:solidFill>
                            <a:srgbClr val="000000"/>
                          </a:solidFill>
                          <a:miter lim="800000"/>
                          <a:headEnd/>
                          <a:tailEnd/>
                        </a:ln>
                      </wps:spPr>
                      <wps:txbx>
                        <w:txbxContent>
                          <w:p w14:paraId="203555FB" w14:textId="243FB219" w:rsidR="00565A8F" w:rsidRPr="005545F8" w:rsidRDefault="00565A8F" w:rsidP="00565A8F">
                            <w:pPr>
                              <w:jc w:val="center"/>
                              <w:rPr>
                                <w:sz w:val="20"/>
                                <w:szCs w:val="20"/>
                                <w:lang w:val="fr-BE"/>
                              </w:rPr>
                            </w:pPr>
                            <w:r>
                              <w:rPr>
                                <w:sz w:val="20"/>
                                <w:szCs w:val="20"/>
                                <w:lang w:val="fr-BE"/>
                              </w:rPr>
                              <w:t>WG 04-05/11/2025</w:t>
                            </w:r>
                          </w:p>
                          <w:p w14:paraId="393045BE" w14:textId="77777777" w:rsidR="00565A8F" w:rsidRPr="005545F8" w:rsidRDefault="00565A8F" w:rsidP="00565A8F">
                            <w:pPr>
                              <w:jc w:val="center"/>
                              <w:rPr>
                                <w:sz w:val="20"/>
                                <w:szCs w:val="20"/>
                                <w:lang w:val="fr-B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75B25" id="_x0000_t202" coordsize="21600,21600" o:spt="202" path="m,l,21600r21600,l21600,xe">
                <v:stroke joinstyle="miter"/>
                <v:path gradientshapeok="t" o:connecttype="rect"/>
              </v:shapetype>
              <v:shape id="Text Box 2" o:spid="_x0000_s1026" type="#_x0000_t202" style="position:absolute;left:0;text-align:left;margin-left:347.85pt;margin-top:-21.5pt;width:102.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">
                <v:textbox inset="0,0,0,0">
                  <w:txbxContent>
                    <w:p w14:paraId="203555FB" w14:textId="243FB219" w:rsidR="00565A8F" w:rsidRPr="005545F8" w:rsidRDefault="00565A8F" w:rsidP="00565A8F">
                      <w:pPr>
                        <w:jc w:val="center"/>
                        <w:rPr>
                          <w:sz w:val="20"/>
                          <w:szCs w:val="20"/>
                          <w:lang w:val="fr-BE"/>
                        </w:rPr>
                      </w:pPr>
                      <w:r>
                        <w:rPr>
                          <w:sz w:val="20"/>
                          <w:szCs w:val="20"/>
                          <w:lang w:val="fr-BE"/>
                        </w:rPr>
                        <w:t>WG 04-05/11/2025</w:t>
                      </w:r>
                    </w:p>
                    <w:p w14:paraId="393045BE" w14:textId="77777777" w:rsidR="00565A8F" w:rsidRPr="005545F8" w:rsidRDefault="00565A8F" w:rsidP="00565A8F">
                      <w:pPr>
                        <w:jc w:val="center"/>
                        <w:rPr>
                          <w:sz w:val="20"/>
                          <w:szCs w:val="20"/>
                          <w:lang w:val="fr-BE"/>
                        </w:rPr>
                      </w:pPr>
                    </w:p>
                  </w:txbxContent>
                </v:textbox>
              </v:shape>
            </w:pict>
          </mc:Fallback>
        </mc:AlternateContent>
      </w:r>
      <w:r>
        <w:rPr>
          <w:b/>
          <w:noProof/>
          <w:szCs w:val="24"/>
          <w:u w:val="single"/>
        </w:rPr>
        <mc:AlternateContent>
          <mc:Choice Requires="wps">
            <w:drawing>
              <wp:anchor distT="0" distB="0" distL="114300" distR="114300" simplePos="0" relativeHeight="251660288" behindDoc="0" locked="0" layoutInCell="1" allowOverlap="1" wp14:anchorId="4B422987" wp14:editId="443FFB9B">
                <wp:simplePos x="0" y="0"/>
                <wp:positionH relativeFrom="column">
                  <wp:posOffset>7643495</wp:posOffset>
                </wp:positionH>
                <wp:positionV relativeFrom="paragraph">
                  <wp:posOffset>153035</wp:posOffset>
                </wp:positionV>
                <wp:extent cx="1304925" cy="254000"/>
                <wp:effectExtent l="0" t="0" r="28575" b="12700"/>
                <wp:wrapNone/>
                <wp:docPr id="20254034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4000"/>
                        </a:xfrm>
                        <a:prstGeom prst="rect">
                          <a:avLst/>
                        </a:prstGeom>
                        <a:solidFill>
                          <a:srgbClr val="FFFFFF"/>
                        </a:solidFill>
                        <a:ln w="9525">
                          <a:solidFill>
                            <a:srgbClr val="000000"/>
                          </a:solidFill>
                          <a:miter lim="800000"/>
                          <a:headEnd/>
                          <a:tailEnd/>
                        </a:ln>
                      </wps:spPr>
                      <wps:txbx>
                        <w:txbxContent>
                          <w:p w14:paraId="1D232A44" w14:textId="77777777" w:rsidR="00565A8F" w:rsidRPr="005545F8" w:rsidRDefault="00565A8F" w:rsidP="00565A8F">
                            <w:pPr>
                              <w:jc w:val="center"/>
                              <w:rPr>
                                <w:sz w:val="20"/>
                                <w:szCs w:val="20"/>
                                <w:lang w:val="fr-BE"/>
                              </w:rPr>
                            </w:pPr>
                            <w:r>
                              <w:rPr>
                                <w:sz w:val="20"/>
                                <w:szCs w:val="20"/>
                                <w:lang w:val="fr-BE"/>
                              </w:rPr>
                              <w:t>WG 05-06/06/2025</w:t>
                            </w:r>
                          </w:p>
                          <w:p w14:paraId="6919323D" w14:textId="77777777" w:rsidR="00565A8F" w:rsidRPr="005545F8" w:rsidRDefault="00565A8F" w:rsidP="00565A8F">
                            <w:pPr>
                              <w:jc w:val="center"/>
                              <w:rPr>
                                <w:sz w:val="20"/>
                                <w:szCs w:val="20"/>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22987" id="Text Box 1" o:spid="_x0000_s1027" type="#_x0000_t202" style="position:absolute;left:0;text-align:left;margin-left:601.85pt;margin-top:12.05pt;width:102.7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">
                <v:textbox>
                  <w:txbxContent>
                    <w:p w14:paraId="1D232A44" w14:textId="77777777" w:rsidR="00565A8F" w:rsidRPr="005545F8" w:rsidRDefault="00565A8F" w:rsidP="00565A8F">
                      <w:pPr>
                        <w:jc w:val="center"/>
                        <w:rPr>
                          <w:sz w:val="20"/>
                          <w:szCs w:val="20"/>
                          <w:lang w:val="fr-BE"/>
                        </w:rPr>
                      </w:pPr>
                      <w:r>
                        <w:rPr>
                          <w:sz w:val="20"/>
                          <w:szCs w:val="20"/>
                          <w:lang w:val="fr-BE"/>
                        </w:rPr>
                        <w:t>WG 05-06/06/2025</w:t>
                      </w:r>
                    </w:p>
                    <w:p w14:paraId="6919323D" w14:textId="77777777" w:rsidR="00565A8F" w:rsidRPr="005545F8" w:rsidRDefault="00565A8F" w:rsidP="00565A8F">
                      <w:pPr>
                        <w:jc w:val="center"/>
                        <w:rPr>
                          <w:sz w:val="20"/>
                          <w:szCs w:val="20"/>
                          <w:lang w:val="fr-BE"/>
                        </w:rPr>
                      </w:pPr>
                    </w:p>
                  </w:txbxContent>
                </v:textbox>
              </v:shape>
            </w:pict>
          </mc:Fallback>
        </mc:AlternateContent>
      </w:r>
      <w:bookmarkStart w:id="0" w:name="_Hlk199172798"/>
      <w:r w:rsidRPr="00992A77">
        <w:rPr>
          <w:b/>
          <w:szCs w:val="24"/>
          <w:u w:val="single"/>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bookmarkEnd w:id="0"/>
    </w:p>
    <w:p w14:paraId="3D68CA25" w14:textId="185BADDC" w:rsidR="0029533F" w:rsidRPr="00565A8F" w:rsidRDefault="00837388" w:rsidP="00565A8F">
      <w:pPr>
        <w:pStyle w:val="Pagedecouverture"/>
      </w:pPr>
      <w:r>
        <w:rPr>
          <w:noProof/>
        </w:rPr>
        <w:drawing>
          <wp:inline distT="0" distB="0" distL="0" distR="0" wp14:anchorId="6FDFE364" wp14:editId="07BDD331">
            <wp:extent cx="5781675" cy="5591175"/>
            <wp:effectExtent l="0" t="0" r="0" b="0"/>
            <wp:docPr id="1" name="Billede 1" descr="FFB7CC75-994C-461D-B848-B96DC2FFB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B7CC75-994C-461D-B848-B96DC2FFB2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5591175"/>
                    </a:xfrm>
                    <a:prstGeom prst="rect">
                      <a:avLst/>
                    </a:prstGeom>
                    <a:noFill/>
                    <a:ln>
                      <a:noFill/>
                    </a:ln>
                  </pic:spPr>
                </pic:pic>
              </a:graphicData>
            </a:graphic>
          </wp:inline>
        </w:drawing>
      </w:r>
    </w:p>
    <w:p w14:paraId="781FD1C4" w14:textId="77777777" w:rsidR="00C47122" w:rsidRPr="00565A8F" w:rsidRDefault="00C47122">
      <w:pPr>
        <w:sectPr w:rsidR="00C47122" w:rsidRPr="00565A8F" w:rsidSect="00565A8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7BF54B8" w14:textId="67A91864" w:rsidR="00C47122" w:rsidRPr="00565A8F" w:rsidRDefault="00565A8F" w:rsidP="00565A8F">
      <w:pPr>
        <w:pStyle w:val="Typedudocument"/>
      </w:pPr>
      <w:r w:rsidRPr="00565A8F">
        <w:lastRenderedPageBreak/>
        <w:t>COMMISSION IMPLEMENTING REGULATION (EU) …/...</w:t>
      </w:r>
    </w:p>
    <w:p w14:paraId="02221540" w14:textId="1183D691" w:rsidR="00C47122" w:rsidRPr="00565A8F" w:rsidRDefault="00565A8F" w:rsidP="00565A8F">
      <w:pPr>
        <w:pStyle w:val="Datedadoption"/>
      </w:pPr>
      <w:r w:rsidRPr="00565A8F">
        <w:t xml:space="preserve">of </w:t>
      </w:r>
      <w:r w:rsidRPr="00565A8F">
        <w:rPr>
          <w:rStyle w:val="Marker2"/>
        </w:rPr>
        <w:t>XXX</w:t>
      </w:r>
    </w:p>
    <w:p w14:paraId="7095FC35" w14:textId="4C71C4C2" w:rsidR="00C47122" w:rsidRPr="00565A8F" w:rsidRDefault="00565A8F" w:rsidP="00565A8F">
      <w:pPr>
        <w:pStyle w:val="Titreobjet"/>
      </w:pPr>
      <w:r w:rsidRPr="00565A8F">
        <w:t>amending Regulation (EC) No 429/2008 as regards the application form for authorisations of feed additives and the designation of target animal species and categories</w:t>
      </w:r>
    </w:p>
    <w:p w14:paraId="44F973CB" w14:textId="1F7BAB13" w:rsidR="00C47122" w:rsidRPr="00565A8F" w:rsidRDefault="00565A8F" w:rsidP="00565A8F">
      <w:pPr>
        <w:pStyle w:val="IntrtEEE"/>
      </w:pPr>
      <w:r w:rsidRPr="00565A8F">
        <w:t>(Text with EEA relevance)</w:t>
      </w:r>
    </w:p>
    <w:p w14:paraId="30DC0AF0" w14:textId="77777777" w:rsidR="00C47122" w:rsidRPr="00565A8F" w:rsidRDefault="00C47122" w:rsidP="00623259">
      <w:pPr>
        <w:pStyle w:val="Institutionquiagit"/>
      </w:pPr>
      <w:r w:rsidRPr="00565A8F">
        <w:t>THE EUROPEAN COMMISSION,</w:t>
      </w:r>
    </w:p>
    <w:p w14:paraId="049C6B03" w14:textId="77777777" w:rsidR="00C47122" w:rsidRPr="00565A8F" w:rsidRDefault="00C47122" w:rsidP="00623259">
      <w:r w:rsidRPr="00565A8F">
        <w:rPr>
          <w:color w:val="000000"/>
        </w:rPr>
        <w:t>Having regard to the Treaty on the Functioning of the European Union</w:t>
      </w:r>
      <w:r w:rsidRPr="00565A8F">
        <w:t>,</w:t>
      </w:r>
    </w:p>
    <w:p w14:paraId="7FC2130D" w14:textId="4F2FF065" w:rsidR="00C47122" w:rsidRPr="00565A8F" w:rsidRDefault="00C47122" w:rsidP="00C47122">
      <w:r w:rsidRPr="00565A8F">
        <w:t>Having regard to Regulation (EC) No 1831/2003 of the European Parliament and of the Council of 22 September 2003 on additives for use in animal nutrition</w:t>
      </w:r>
      <w:r w:rsidRPr="00565A8F">
        <w:rPr>
          <w:rStyle w:val="Fodnotehenvisning"/>
        </w:rPr>
        <w:footnoteReference w:id="2"/>
      </w:r>
      <w:r w:rsidRPr="00565A8F">
        <w:t>, and in particular Article 7(4)</w:t>
      </w:r>
      <w:r w:rsidR="00FE1764" w:rsidRPr="00565A8F">
        <w:t>,</w:t>
      </w:r>
      <w:r w:rsidR="00254A20" w:rsidRPr="00565A8F">
        <w:t xml:space="preserve"> </w:t>
      </w:r>
      <w:r w:rsidR="00FE1764" w:rsidRPr="00565A8F">
        <w:t xml:space="preserve">first subparagraph, </w:t>
      </w:r>
      <w:r w:rsidR="00254A20" w:rsidRPr="00565A8F">
        <w:t xml:space="preserve">and </w:t>
      </w:r>
      <w:r w:rsidR="00FE1764" w:rsidRPr="00565A8F">
        <w:t xml:space="preserve">Article </w:t>
      </w:r>
      <w:r w:rsidR="00254A20" w:rsidRPr="00565A8F">
        <w:t>7(5)</w:t>
      </w:r>
      <w:r w:rsidR="00FE1764" w:rsidRPr="00565A8F">
        <w:t xml:space="preserve">, first subparagraph, </w:t>
      </w:r>
      <w:r w:rsidRPr="00565A8F">
        <w:t>thereof,</w:t>
      </w:r>
    </w:p>
    <w:p w14:paraId="5361C611" w14:textId="77777777" w:rsidR="00C47122" w:rsidRPr="00565A8F" w:rsidRDefault="00C47122" w:rsidP="00C47122">
      <w:r w:rsidRPr="00565A8F">
        <w:t>After consulting the European Food Safety Authority,</w:t>
      </w:r>
    </w:p>
    <w:p w14:paraId="68F86D30" w14:textId="77777777" w:rsidR="00C47122" w:rsidRPr="00565A8F" w:rsidRDefault="00C47122" w:rsidP="00C47122">
      <w:r w:rsidRPr="00565A8F">
        <w:t>Whereas:</w:t>
      </w:r>
    </w:p>
    <w:p w14:paraId="1D81C3AD" w14:textId="77777777" w:rsidR="00C47122" w:rsidRPr="00565A8F" w:rsidRDefault="00C47122" w:rsidP="00C06DB9">
      <w:pPr>
        <w:pStyle w:val="Considrant"/>
        <w:numPr>
          <w:ilvl w:val="0"/>
          <w:numId w:val="6"/>
        </w:numPr>
      </w:pPr>
      <w:r w:rsidRPr="00565A8F">
        <w:t>Regulation (EC) No 1831/2003 establishes the procedure for authorising the placing on the market and use of feed additives. It provides that any person seeking an authorisation for a feed additive, or a new use of a feed additive is to submit an application for authorisation to the Commission in accordance with that Regulation.</w:t>
      </w:r>
    </w:p>
    <w:p w14:paraId="163C7348" w14:textId="3EE893A9" w:rsidR="0037361D" w:rsidRPr="00565A8F" w:rsidRDefault="00C47122" w:rsidP="00C47122">
      <w:pPr>
        <w:pStyle w:val="Considrant"/>
      </w:pPr>
      <w:r w:rsidRPr="00565A8F">
        <w:t>Commission Regulation (EC) No 429/2008</w:t>
      </w:r>
      <w:r w:rsidRPr="00565A8F">
        <w:rPr>
          <w:rStyle w:val="Fodnotehenvisning"/>
        </w:rPr>
        <w:footnoteReference w:id="3"/>
      </w:r>
      <w:r w:rsidRPr="00565A8F">
        <w:t> sets out detailed rules for the implementation of Regulation (EC) No 1831/2003 as regards the preparation and the presentation of applications for the authorisation of feed additives and the assessment of such applications.</w:t>
      </w:r>
      <w:r w:rsidR="001C38B3" w:rsidRPr="00565A8F">
        <w:t xml:space="preserve"> Annex I to Regulation (EC) No 429/2008 sets out the form that must be used to submit an application </w:t>
      </w:r>
      <w:r w:rsidR="0037361D" w:rsidRPr="00565A8F">
        <w:t xml:space="preserve">for the authorisation of a feed additive, and Annex IV to that Regulation lays down </w:t>
      </w:r>
      <w:r w:rsidR="000D6307" w:rsidRPr="00565A8F">
        <w:t xml:space="preserve">target animals’ </w:t>
      </w:r>
      <w:r w:rsidR="0037361D" w:rsidRPr="00565A8F">
        <w:t xml:space="preserve">categories and </w:t>
      </w:r>
      <w:r w:rsidR="000D6307" w:rsidRPr="00565A8F">
        <w:t xml:space="preserve">their respective </w:t>
      </w:r>
      <w:r w:rsidR="0037361D" w:rsidRPr="00565A8F">
        <w:t>definitions and indicat</w:t>
      </w:r>
      <w:r w:rsidR="00C16AAF" w:rsidRPr="00565A8F">
        <w:t xml:space="preserve">es </w:t>
      </w:r>
      <w:r w:rsidR="0037361D" w:rsidRPr="00565A8F">
        <w:t xml:space="preserve">the minimum duration of </w:t>
      </w:r>
      <w:r w:rsidR="00C16AAF" w:rsidRPr="00565A8F">
        <w:t>the re</w:t>
      </w:r>
      <w:r w:rsidR="00EA49DF" w:rsidRPr="00565A8F">
        <w:t>lated</w:t>
      </w:r>
      <w:r w:rsidR="00C16AAF" w:rsidRPr="00565A8F">
        <w:t xml:space="preserve"> </w:t>
      </w:r>
      <w:r w:rsidR="0037361D" w:rsidRPr="00565A8F">
        <w:t>efficacy studies.</w:t>
      </w:r>
    </w:p>
    <w:p w14:paraId="281F43CF" w14:textId="6A0684FB" w:rsidR="00E97BF1" w:rsidRPr="00565A8F" w:rsidRDefault="00FD370C" w:rsidP="00C47122">
      <w:pPr>
        <w:pStyle w:val="Considrant"/>
      </w:pPr>
      <w:r w:rsidRPr="00565A8F">
        <w:t xml:space="preserve">The application form set out in Annex I to Regulation (EC) No 429/2008 was established at a time when applications </w:t>
      </w:r>
      <w:r w:rsidR="00E97BF1" w:rsidRPr="00565A8F">
        <w:t xml:space="preserve">for the authorisation of feed additives </w:t>
      </w:r>
      <w:r w:rsidRPr="00565A8F">
        <w:t xml:space="preserve">were submitted </w:t>
      </w:r>
      <w:r w:rsidR="009D2E78" w:rsidRPr="00565A8F">
        <w:t>as</w:t>
      </w:r>
      <w:r w:rsidR="00B41719" w:rsidRPr="00565A8F">
        <w:t xml:space="preserve"> physical or scanned documents</w:t>
      </w:r>
      <w:r w:rsidR="00377445" w:rsidRPr="00565A8F">
        <w:t xml:space="preserve">. Since 2021, all applications </w:t>
      </w:r>
      <w:r w:rsidR="00BA12B6" w:rsidRPr="00565A8F">
        <w:t xml:space="preserve">for feed additives </w:t>
      </w:r>
      <w:r w:rsidR="00377445" w:rsidRPr="00565A8F">
        <w:t xml:space="preserve">must be submitted via the electronic submission system </w:t>
      </w:r>
      <w:r w:rsidR="00A2061B" w:rsidRPr="00565A8F">
        <w:t>of</w:t>
      </w:r>
      <w:r w:rsidR="00377445" w:rsidRPr="00565A8F">
        <w:t xml:space="preserve"> the Commission. Th</w:t>
      </w:r>
      <w:r w:rsidR="007149A8" w:rsidRPr="00565A8F">
        <w:t>at</w:t>
      </w:r>
      <w:r w:rsidR="00377445" w:rsidRPr="00565A8F">
        <w:t xml:space="preserve"> evolution </w:t>
      </w:r>
      <w:r w:rsidR="0037393E" w:rsidRPr="00565A8F">
        <w:t xml:space="preserve">would </w:t>
      </w:r>
      <w:r w:rsidR="00377445" w:rsidRPr="00565A8F">
        <w:t xml:space="preserve">allow </w:t>
      </w:r>
      <w:r w:rsidR="00FB77D8" w:rsidRPr="00565A8F">
        <w:t xml:space="preserve">the system to </w:t>
      </w:r>
      <w:r w:rsidR="00441520" w:rsidRPr="00565A8F">
        <w:t xml:space="preserve">have an </w:t>
      </w:r>
      <w:r w:rsidR="00FB77D8" w:rsidRPr="00565A8F">
        <w:t>automatically generate</w:t>
      </w:r>
      <w:r w:rsidR="00441520" w:rsidRPr="00565A8F">
        <w:t>d</w:t>
      </w:r>
      <w:r w:rsidR="00FB77D8" w:rsidRPr="00565A8F">
        <w:t xml:space="preserve"> </w:t>
      </w:r>
      <w:r w:rsidR="00377445" w:rsidRPr="00565A8F">
        <w:t>application form</w:t>
      </w:r>
      <w:r w:rsidR="00F242C6" w:rsidRPr="00565A8F">
        <w:t>,</w:t>
      </w:r>
      <w:r w:rsidR="00377445" w:rsidRPr="00565A8F">
        <w:t xml:space="preserve"> </w:t>
      </w:r>
      <w:r w:rsidR="00E97BF1" w:rsidRPr="00565A8F">
        <w:t xml:space="preserve">by </w:t>
      </w:r>
      <w:r w:rsidR="00377445" w:rsidRPr="00565A8F">
        <w:t>extracting the necessary information from the electronic submission</w:t>
      </w:r>
      <w:r w:rsidR="00E97BF1" w:rsidRPr="00565A8F">
        <w:t xml:space="preserve">. </w:t>
      </w:r>
      <w:r w:rsidR="00A2247C" w:rsidRPr="00565A8F">
        <w:t>[</w:t>
      </w:r>
      <w:r w:rsidR="00E97BF1" w:rsidRPr="00565A8F">
        <w:t xml:space="preserve">In addition, the content of the application form should be </w:t>
      </w:r>
      <w:r w:rsidR="00623259" w:rsidRPr="00565A8F">
        <w:t xml:space="preserve">simplified </w:t>
      </w:r>
      <w:r w:rsidR="00C7294A" w:rsidRPr="00565A8F">
        <w:t>with a view to optimise the treatment of applications</w:t>
      </w:r>
      <w:r w:rsidR="00E97BF1" w:rsidRPr="00365BFD">
        <w:t>.</w:t>
      </w:r>
      <w:r w:rsidR="00CA7DC2" w:rsidRPr="00365BFD">
        <w:t xml:space="preserve"> </w:t>
      </w:r>
    </w:p>
    <w:p w14:paraId="52792DF2" w14:textId="426184CB" w:rsidR="00C47122" w:rsidRPr="00565A8F" w:rsidRDefault="00C7294A" w:rsidP="00C47122">
      <w:pPr>
        <w:pStyle w:val="Considrant"/>
      </w:pPr>
      <w:r w:rsidRPr="00565A8F">
        <w:t>The experience accumulated by the Commission, the European Food Safety Authority (‘the Authority’) and the Standing Committee on Plants, Animals, Food and Feed in processing applications for authorisation of feed additives</w:t>
      </w:r>
      <w:r w:rsidR="00FD370C" w:rsidRPr="00565A8F">
        <w:t xml:space="preserve"> has show</w:t>
      </w:r>
      <w:r w:rsidR="000D5EF1" w:rsidRPr="00565A8F">
        <w:t>n</w:t>
      </w:r>
      <w:r w:rsidR="00FD370C" w:rsidRPr="00565A8F">
        <w:t xml:space="preserve"> the need </w:t>
      </w:r>
      <w:r w:rsidR="006B1F27" w:rsidRPr="00565A8F">
        <w:t xml:space="preserve">to </w:t>
      </w:r>
      <w:r w:rsidR="00E725B2" w:rsidRPr="00565A8F">
        <w:t xml:space="preserve">update </w:t>
      </w:r>
      <w:r w:rsidR="00E725B2" w:rsidRPr="00565A8F">
        <w:lastRenderedPageBreak/>
        <w:t>the terminology used</w:t>
      </w:r>
      <w:r w:rsidR="006B1F27" w:rsidRPr="00565A8F">
        <w:t xml:space="preserve"> in Annex IV to Regulation (EC) No 429/2008 </w:t>
      </w:r>
      <w:r w:rsidR="006603AF" w:rsidRPr="00565A8F">
        <w:t xml:space="preserve">for designating the </w:t>
      </w:r>
      <w:r w:rsidR="00FD370C" w:rsidRPr="00565A8F">
        <w:t>animal species and categories</w:t>
      </w:r>
      <w:r w:rsidR="006603AF" w:rsidRPr="00565A8F">
        <w:t xml:space="preserve"> subject to a particular application</w:t>
      </w:r>
      <w:r w:rsidR="00417502" w:rsidRPr="00565A8F">
        <w:t>, while also ensuring that Annex IV covers all possible animal species and categories and not just the main food-producing animal species and categories</w:t>
      </w:r>
      <w:r w:rsidR="00F73F27" w:rsidRPr="00565A8F">
        <w:t xml:space="preserve">. Such approach </w:t>
      </w:r>
      <w:r w:rsidR="001D284C" w:rsidRPr="00565A8F">
        <w:t xml:space="preserve">would give clarity as </w:t>
      </w:r>
      <w:r w:rsidR="00C47B34" w:rsidRPr="00565A8F">
        <w:t xml:space="preserve">to </w:t>
      </w:r>
      <w:r w:rsidR="00E97BF1" w:rsidRPr="00565A8F">
        <w:t xml:space="preserve">the </w:t>
      </w:r>
      <w:r w:rsidR="00A540D2" w:rsidRPr="00565A8F">
        <w:t xml:space="preserve">concrete </w:t>
      </w:r>
      <w:r w:rsidR="00E97BF1" w:rsidRPr="00565A8F">
        <w:t xml:space="preserve">scope of </w:t>
      </w:r>
      <w:r w:rsidR="00647322" w:rsidRPr="00565A8F">
        <w:t>the applications</w:t>
      </w:r>
      <w:r w:rsidR="00C47B34" w:rsidRPr="00565A8F">
        <w:t xml:space="preserve"> and facilitate</w:t>
      </w:r>
      <w:r w:rsidR="00E06CC7" w:rsidRPr="00565A8F">
        <w:t xml:space="preserve"> the</w:t>
      </w:r>
      <w:r w:rsidR="00C53B93" w:rsidRPr="00565A8F">
        <w:t xml:space="preserve"> </w:t>
      </w:r>
      <w:r w:rsidR="00E97BF1" w:rsidRPr="00565A8F">
        <w:t>authorisation process.</w:t>
      </w:r>
      <w:r w:rsidR="00B65E4A" w:rsidRPr="00565A8F">
        <w:t xml:space="preserve"> </w:t>
      </w:r>
      <w:r w:rsidR="0068222F" w:rsidRPr="00565A8F">
        <w:t>Article 1(2), Article 3(2)</w:t>
      </w:r>
      <w:r w:rsidR="00754E32" w:rsidRPr="00565A8F">
        <w:t xml:space="preserve">, last subparagraph, </w:t>
      </w:r>
      <w:r w:rsidR="00FA5D7F" w:rsidRPr="00565A8F">
        <w:t xml:space="preserve">of Regulation (EC) No 429/2008 </w:t>
      </w:r>
      <w:r w:rsidR="0068222F" w:rsidRPr="00565A8F">
        <w:t>and Annexes II, III and IV thereto should therefore be amended accordingly.</w:t>
      </w:r>
    </w:p>
    <w:p w14:paraId="0DE47D46" w14:textId="2ABBC21B" w:rsidR="00647322" w:rsidRPr="00565A8F" w:rsidRDefault="00647322" w:rsidP="00C47122">
      <w:pPr>
        <w:pStyle w:val="Considrant"/>
      </w:pPr>
      <w:r w:rsidRPr="00565A8F">
        <w:t>The minimum duration of long</w:t>
      </w:r>
      <w:r w:rsidR="00DD50D5" w:rsidRPr="00565A8F">
        <w:t>-</w:t>
      </w:r>
      <w:r w:rsidRPr="00565A8F">
        <w:t xml:space="preserve">term efficacy studies </w:t>
      </w:r>
      <w:r w:rsidR="00D729FB" w:rsidRPr="00565A8F">
        <w:t xml:space="preserve">laid down </w:t>
      </w:r>
      <w:r w:rsidRPr="00565A8F">
        <w:t xml:space="preserve">in </w:t>
      </w:r>
      <w:r w:rsidR="00FA5D7F" w:rsidRPr="00565A8F">
        <w:t>point 4.4</w:t>
      </w:r>
      <w:r w:rsidR="009E6EEE" w:rsidRPr="00565A8F">
        <w:t>,</w:t>
      </w:r>
      <w:r w:rsidR="00FA5D7F" w:rsidRPr="00565A8F">
        <w:t xml:space="preserve"> </w:t>
      </w:r>
      <w:r w:rsidR="009E6EEE" w:rsidRPr="00565A8F">
        <w:t xml:space="preserve">fourth subparagraph, </w:t>
      </w:r>
      <w:r w:rsidR="00FA5D7F" w:rsidRPr="00565A8F">
        <w:t xml:space="preserve">of Annex II </w:t>
      </w:r>
      <w:r w:rsidR="003E6E0F" w:rsidRPr="00565A8F">
        <w:t xml:space="preserve">to Regulation (EC) No 429/2008 </w:t>
      </w:r>
      <w:r w:rsidR="00FA5D7F" w:rsidRPr="00565A8F">
        <w:t xml:space="preserve">and </w:t>
      </w:r>
      <w:r w:rsidR="00426A31" w:rsidRPr="00565A8F">
        <w:t xml:space="preserve">in </w:t>
      </w:r>
      <w:r w:rsidRPr="00565A8F">
        <w:t xml:space="preserve">the last column of Annex IV </w:t>
      </w:r>
      <w:r w:rsidR="00074C2F" w:rsidRPr="00565A8F">
        <w:t xml:space="preserve">to that Regulation </w:t>
      </w:r>
      <w:r w:rsidR="005B66DF" w:rsidRPr="00565A8F">
        <w:t xml:space="preserve">was </w:t>
      </w:r>
      <w:r w:rsidR="00D729FB" w:rsidRPr="00565A8F">
        <w:t xml:space="preserve">set out in 2008. </w:t>
      </w:r>
      <w:r w:rsidR="00FA5D7F" w:rsidRPr="00565A8F">
        <w:t>Th</w:t>
      </w:r>
      <w:r w:rsidR="005B66DF" w:rsidRPr="00565A8F">
        <w:t>at</w:t>
      </w:r>
      <w:r w:rsidR="00FA5D7F" w:rsidRPr="00565A8F">
        <w:t xml:space="preserve"> </w:t>
      </w:r>
      <w:r w:rsidR="000D5CC4" w:rsidRPr="00565A8F">
        <w:t xml:space="preserve">minimum duration </w:t>
      </w:r>
      <w:r w:rsidR="00D729FB" w:rsidRPr="00565A8F">
        <w:t xml:space="preserve">should be adjusted in accordance with the latest recommendations </w:t>
      </w:r>
      <w:r w:rsidR="006E629C" w:rsidRPr="00565A8F">
        <w:t xml:space="preserve">of </w:t>
      </w:r>
      <w:r w:rsidR="00D729FB" w:rsidRPr="00565A8F">
        <w:t>the Authority</w:t>
      </w:r>
      <w:r w:rsidR="006E629C" w:rsidRPr="00565A8F">
        <w:rPr>
          <w:rStyle w:val="Fodnotehenvisning"/>
        </w:rPr>
        <w:footnoteReference w:id="4"/>
      </w:r>
      <w:r w:rsidR="00D729FB" w:rsidRPr="00565A8F">
        <w:t xml:space="preserve">, which reflect </w:t>
      </w:r>
      <w:r w:rsidR="00590D69" w:rsidRPr="00565A8F">
        <w:t xml:space="preserve">the </w:t>
      </w:r>
      <w:r w:rsidR="00D729FB" w:rsidRPr="00565A8F">
        <w:t xml:space="preserve">recent </w:t>
      </w:r>
      <w:r w:rsidR="00D729FB" w:rsidRPr="00565A8F">
        <w:rPr>
          <w:rFonts w:eastAsia="Times New Roman"/>
          <w:szCs w:val="20"/>
        </w:rPr>
        <w:t>technological progress and scientific developments</w:t>
      </w:r>
      <w:r w:rsidR="008B582D" w:rsidRPr="00565A8F">
        <w:rPr>
          <w:rFonts w:eastAsia="Times New Roman"/>
          <w:szCs w:val="20"/>
        </w:rPr>
        <w:t xml:space="preserve"> </w:t>
      </w:r>
      <w:r w:rsidR="00820405" w:rsidRPr="00565A8F">
        <w:rPr>
          <w:rFonts w:eastAsia="Times New Roman"/>
          <w:szCs w:val="20"/>
        </w:rPr>
        <w:t xml:space="preserve">and </w:t>
      </w:r>
      <w:r w:rsidR="00331E26" w:rsidRPr="00565A8F">
        <w:rPr>
          <w:rFonts w:eastAsia="Times New Roman"/>
          <w:szCs w:val="20"/>
        </w:rPr>
        <w:t>advise</w:t>
      </w:r>
      <w:r w:rsidR="008B582D" w:rsidRPr="00565A8F">
        <w:rPr>
          <w:rFonts w:eastAsia="Times New Roman"/>
          <w:szCs w:val="20"/>
        </w:rPr>
        <w:t xml:space="preserve"> for a shorte</w:t>
      </w:r>
      <w:r w:rsidR="00820405" w:rsidRPr="00565A8F">
        <w:rPr>
          <w:rFonts w:eastAsia="Times New Roman"/>
          <w:szCs w:val="20"/>
        </w:rPr>
        <w:t>r</w:t>
      </w:r>
      <w:r w:rsidR="008B582D" w:rsidRPr="00565A8F">
        <w:rPr>
          <w:rFonts w:eastAsia="Times New Roman"/>
          <w:szCs w:val="20"/>
        </w:rPr>
        <w:t xml:space="preserve"> </w:t>
      </w:r>
      <w:r w:rsidR="008B582D" w:rsidRPr="00565A8F">
        <w:t>minimum duration of long-term efficacy studies</w:t>
      </w:r>
      <w:r w:rsidR="00820405" w:rsidRPr="00565A8F">
        <w:t xml:space="preserve"> for some animal species and categories s</w:t>
      </w:r>
      <w:r w:rsidR="001C23CA" w:rsidRPr="00565A8F">
        <w:t>uch as</w:t>
      </w:r>
      <w:r w:rsidR="008B582D" w:rsidRPr="00565A8F">
        <w:t xml:space="preserve"> </w:t>
      </w:r>
      <w:r w:rsidR="001C23CA" w:rsidRPr="00565A8F">
        <w:t>laying hens</w:t>
      </w:r>
      <w:r w:rsidR="0035108E" w:rsidRPr="00565A8F">
        <w:t xml:space="preserve"> or salmon </w:t>
      </w:r>
      <w:r w:rsidR="00820405" w:rsidRPr="00565A8F">
        <w:t xml:space="preserve">and </w:t>
      </w:r>
      <w:r w:rsidR="0035108E" w:rsidRPr="00565A8F">
        <w:t>trout</w:t>
      </w:r>
      <w:r w:rsidR="00D729FB" w:rsidRPr="00565A8F">
        <w:rPr>
          <w:rFonts w:eastAsia="Times New Roman"/>
          <w:szCs w:val="20"/>
        </w:rPr>
        <w:t>.</w:t>
      </w:r>
      <w:r w:rsidR="0068222F" w:rsidRPr="00565A8F">
        <w:t xml:space="preserve"> </w:t>
      </w:r>
    </w:p>
    <w:p w14:paraId="38BEE70A" w14:textId="6000E9BA" w:rsidR="00BA05D0" w:rsidRPr="00565A8F" w:rsidRDefault="00D5405A" w:rsidP="00C47122">
      <w:pPr>
        <w:pStyle w:val="Considrant"/>
      </w:pPr>
      <w:r w:rsidRPr="00565A8F">
        <w:rPr>
          <w:rFonts w:eastAsia="Times New Roman"/>
          <w:szCs w:val="20"/>
        </w:rPr>
        <w:t>T</w:t>
      </w:r>
      <w:r w:rsidR="00F30C62" w:rsidRPr="00565A8F">
        <w:rPr>
          <w:rFonts w:eastAsia="Times New Roman"/>
          <w:szCs w:val="20"/>
        </w:rPr>
        <w:t xml:space="preserve">he definition of ‘minor </w:t>
      </w:r>
      <w:proofErr w:type="gramStart"/>
      <w:r w:rsidR="00F30C62" w:rsidRPr="00565A8F">
        <w:rPr>
          <w:rFonts w:eastAsia="Times New Roman"/>
          <w:szCs w:val="20"/>
        </w:rPr>
        <w:t>species’</w:t>
      </w:r>
      <w:proofErr w:type="gramEnd"/>
      <w:r w:rsidR="00F30C62" w:rsidRPr="00565A8F">
        <w:rPr>
          <w:rFonts w:eastAsia="Times New Roman"/>
          <w:szCs w:val="20"/>
        </w:rPr>
        <w:t xml:space="preserve"> laid down in Article 1(2) </w:t>
      </w:r>
      <w:r w:rsidR="00F30C62" w:rsidRPr="00565A8F">
        <w:t>of Regulation (EC) No 429/2008 should be complemented</w:t>
      </w:r>
      <w:r w:rsidR="009E062A" w:rsidRPr="00565A8F">
        <w:t xml:space="preserve"> for more clarity</w:t>
      </w:r>
      <w:r w:rsidR="00F30C62" w:rsidRPr="00565A8F">
        <w:t xml:space="preserve"> by </w:t>
      </w:r>
      <w:r w:rsidR="00BA05D0" w:rsidRPr="00565A8F">
        <w:t xml:space="preserve">introducing a </w:t>
      </w:r>
      <w:r w:rsidR="00F30C62" w:rsidRPr="00565A8F">
        <w:t>definition of ‘major species’</w:t>
      </w:r>
      <w:r w:rsidR="00BA05D0" w:rsidRPr="00565A8F">
        <w:t>.</w:t>
      </w:r>
    </w:p>
    <w:p w14:paraId="42CF43E6" w14:textId="6B8F0BFB" w:rsidR="00F30C62" w:rsidRPr="00565A8F" w:rsidRDefault="00BA05D0" w:rsidP="00C47122">
      <w:pPr>
        <w:pStyle w:val="Considrant"/>
      </w:pPr>
      <w:r w:rsidRPr="00565A8F">
        <w:t>A</w:t>
      </w:r>
      <w:r w:rsidR="001502B4" w:rsidRPr="00565A8F">
        <w:t xml:space="preserve"> new</w:t>
      </w:r>
      <w:r w:rsidR="00F30C62" w:rsidRPr="00565A8F">
        <w:t xml:space="preserve"> Annex V </w:t>
      </w:r>
      <w:r w:rsidRPr="00565A8F">
        <w:t xml:space="preserve">should be added </w:t>
      </w:r>
      <w:r w:rsidR="00F30C62" w:rsidRPr="00565A8F">
        <w:t xml:space="preserve">to that Regulation </w:t>
      </w:r>
      <w:r w:rsidR="001502B4" w:rsidRPr="00565A8F">
        <w:t>on definition</w:t>
      </w:r>
      <w:r w:rsidRPr="00565A8F">
        <w:t>s</w:t>
      </w:r>
      <w:r w:rsidR="001502B4" w:rsidRPr="00565A8F">
        <w:t xml:space="preserve"> of </w:t>
      </w:r>
      <w:r w:rsidRPr="00565A8F">
        <w:t xml:space="preserve">the respective animal </w:t>
      </w:r>
      <w:r w:rsidR="001502B4" w:rsidRPr="00565A8F">
        <w:t xml:space="preserve">species and </w:t>
      </w:r>
      <w:r w:rsidRPr="00565A8F">
        <w:t>the differentiation</w:t>
      </w:r>
      <w:r w:rsidR="001502B4" w:rsidRPr="00565A8F">
        <w:t xml:space="preserve"> </w:t>
      </w:r>
      <w:r w:rsidRPr="00565A8F">
        <w:t xml:space="preserve">between the </w:t>
      </w:r>
      <w:r w:rsidR="001502B4" w:rsidRPr="00565A8F">
        <w:t>major and minor species</w:t>
      </w:r>
      <w:r w:rsidRPr="00565A8F">
        <w:t>, comprised therein</w:t>
      </w:r>
      <w:r w:rsidR="00F30C62" w:rsidRPr="00565A8F">
        <w:t>.</w:t>
      </w:r>
      <w:r w:rsidR="00363925" w:rsidRPr="00565A8F">
        <w:t xml:space="preserve"> I</w:t>
      </w:r>
      <w:r w:rsidR="007E2441" w:rsidRPr="00565A8F">
        <w:t>n addition, i</w:t>
      </w:r>
      <w:r w:rsidR="00363925" w:rsidRPr="00565A8F">
        <w:t xml:space="preserve">t should be made clear in </w:t>
      </w:r>
      <w:r w:rsidR="001502B4" w:rsidRPr="00565A8F">
        <w:t xml:space="preserve">the new </w:t>
      </w:r>
      <w:r w:rsidR="00363925" w:rsidRPr="00565A8F">
        <w:t xml:space="preserve">Annex </w:t>
      </w:r>
      <w:r w:rsidR="002E461A" w:rsidRPr="00565A8F">
        <w:t xml:space="preserve">V </w:t>
      </w:r>
      <w:r w:rsidR="00363925" w:rsidRPr="00565A8F">
        <w:t>to that Regulation that rabbits and horses</w:t>
      </w:r>
      <w:r w:rsidR="007E2441" w:rsidRPr="00565A8F">
        <w:t xml:space="preserve">, </w:t>
      </w:r>
      <w:bookmarkStart w:id="1" w:name="_Hlk209513851"/>
      <w:r w:rsidR="007E2441" w:rsidRPr="00565A8F">
        <w:t>including animals thereof that are not used for human consumption,</w:t>
      </w:r>
      <w:r w:rsidR="00363925" w:rsidRPr="00565A8F">
        <w:t xml:space="preserve"> </w:t>
      </w:r>
      <w:bookmarkEnd w:id="1"/>
      <w:r w:rsidR="00363925" w:rsidRPr="00565A8F">
        <w:t xml:space="preserve">do not belong to </w:t>
      </w:r>
      <w:r w:rsidR="007E2441" w:rsidRPr="00565A8F">
        <w:t>th</w:t>
      </w:r>
      <w:r w:rsidR="00331E26" w:rsidRPr="00565A8F">
        <w:t>e</w:t>
      </w:r>
      <w:r w:rsidR="007E2441" w:rsidRPr="00565A8F">
        <w:t xml:space="preserve"> </w:t>
      </w:r>
      <w:r w:rsidR="00363925" w:rsidRPr="00565A8F">
        <w:t>group of pets and non-food producing animals</w:t>
      </w:r>
      <w:r w:rsidR="007E2441" w:rsidRPr="00565A8F">
        <w:t xml:space="preserve"> </w:t>
      </w:r>
      <w:r w:rsidR="00363925" w:rsidRPr="00565A8F">
        <w:t xml:space="preserve">but to </w:t>
      </w:r>
      <w:r w:rsidR="007E2441" w:rsidRPr="00565A8F">
        <w:t>the group</w:t>
      </w:r>
      <w:r w:rsidR="00363925" w:rsidRPr="00565A8F">
        <w:t xml:space="preserve"> of leporids (Leporidae) and equines (Equidae) respectively</w:t>
      </w:r>
      <w:r w:rsidR="007E2441" w:rsidRPr="00565A8F">
        <w:t>, since they are species normally used for human consumption in the Union</w:t>
      </w:r>
      <w:r w:rsidR="00363925" w:rsidRPr="00565A8F">
        <w:t>.</w:t>
      </w:r>
    </w:p>
    <w:p w14:paraId="4B632C0F" w14:textId="6A7E2E43" w:rsidR="006374EA" w:rsidRPr="00565A8F" w:rsidRDefault="009E062A" w:rsidP="00F01478">
      <w:pPr>
        <w:pStyle w:val="Considrant"/>
      </w:pPr>
      <w:r w:rsidRPr="00565A8F">
        <w:t>A concordance table should be provided</w:t>
      </w:r>
      <w:r w:rsidR="00141FD7" w:rsidRPr="00565A8F">
        <w:t xml:space="preserve">, </w:t>
      </w:r>
      <w:r w:rsidR="00A6539F" w:rsidRPr="00565A8F">
        <w:t xml:space="preserve">in Annex III to this Implementing Regulation, </w:t>
      </w:r>
      <w:r w:rsidR="00141FD7" w:rsidRPr="00565A8F">
        <w:t xml:space="preserve">offering a correspondence between the terms commonly used for the designation of animal species and categories in </w:t>
      </w:r>
      <w:r w:rsidR="00F01478" w:rsidRPr="00565A8F">
        <w:t xml:space="preserve">the </w:t>
      </w:r>
      <w:r w:rsidR="00141FD7" w:rsidRPr="00565A8F">
        <w:t xml:space="preserve">authorisations </w:t>
      </w:r>
      <w:r w:rsidR="00F01478" w:rsidRPr="00565A8F">
        <w:t xml:space="preserve">of feed additives </w:t>
      </w:r>
      <w:r w:rsidR="00141FD7" w:rsidRPr="00565A8F">
        <w:t xml:space="preserve">granted </w:t>
      </w:r>
      <w:r w:rsidR="00E725B2" w:rsidRPr="00565A8F">
        <w:t>before the date of application of</w:t>
      </w:r>
      <w:r w:rsidR="00141FD7" w:rsidRPr="00565A8F">
        <w:t xml:space="preserve"> this Implementing Regulation</w:t>
      </w:r>
      <w:r w:rsidR="00E725B2" w:rsidRPr="00565A8F">
        <w:t xml:space="preserve"> </w:t>
      </w:r>
      <w:r w:rsidR="00141FD7" w:rsidRPr="00565A8F">
        <w:t xml:space="preserve">and the terms designating the same animal species and categories </w:t>
      </w:r>
      <w:r w:rsidR="00E725B2" w:rsidRPr="00565A8F">
        <w:t>to be used as of the date of application of</w:t>
      </w:r>
      <w:r w:rsidR="00141FD7" w:rsidRPr="00565A8F">
        <w:t xml:space="preserve"> this Implementing Regulation</w:t>
      </w:r>
      <w:r w:rsidR="00F01478" w:rsidRPr="00565A8F">
        <w:t xml:space="preserve">. The objective of that concordance table is to assist </w:t>
      </w:r>
      <w:r w:rsidR="00141FD7" w:rsidRPr="00565A8F">
        <w:t xml:space="preserve">applicants </w:t>
      </w:r>
      <w:r w:rsidR="00331E26" w:rsidRPr="00565A8F">
        <w:t xml:space="preserve">in </w:t>
      </w:r>
      <w:r w:rsidR="00F01478" w:rsidRPr="00565A8F">
        <w:t>designat</w:t>
      </w:r>
      <w:r w:rsidR="00331E26" w:rsidRPr="00565A8F">
        <w:t>ing</w:t>
      </w:r>
      <w:r w:rsidR="00F01478" w:rsidRPr="00565A8F">
        <w:t xml:space="preserve"> the relevant scope of target animal species</w:t>
      </w:r>
      <w:r w:rsidR="00331E26" w:rsidRPr="00565A8F">
        <w:t>,</w:t>
      </w:r>
      <w:r w:rsidR="00F01478" w:rsidRPr="00565A8F">
        <w:t xml:space="preserve"> when preparing </w:t>
      </w:r>
      <w:r w:rsidR="00141FD7" w:rsidRPr="00565A8F">
        <w:t>applications in accordance with Article 13 and Article 14 of Regulation (EC) 1831/2003 for the modification or the renewal of existing authorisation</w:t>
      </w:r>
      <w:r w:rsidR="00F01478" w:rsidRPr="00565A8F">
        <w:t>s</w:t>
      </w:r>
      <w:r w:rsidR="00A401A2" w:rsidRPr="00565A8F">
        <w:t>,</w:t>
      </w:r>
      <w:r w:rsidR="00F01478" w:rsidRPr="00565A8F">
        <w:t xml:space="preserve"> to be submitted as of the date of application of this Implementing Regulation</w:t>
      </w:r>
      <w:r w:rsidRPr="00565A8F">
        <w:t>.</w:t>
      </w:r>
    </w:p>
    <w:p w14:paraId="68BCB2C2" w14:textId="5E49AC48" w:rsidR="001479E3" w:rsidRPr="00565A8F" w:rsidRDefault="001479E3" w:rsidP="00C47122">
      <w:pPr>
        <w:pStyle w:val="Considrant"/>
      </w:pPr>
      <w:r w:rsidRPr="00565A8F">
        <w:t>Regulation (EC) No 429/2008</w:t>
      </w:r>
      <w:r w:rsidR="00D87BEF" w:rsidRPr="00565A8F">
        <w:t xml:space="preserve"> should therefore be amended accordingly.</w:t>
      </w:r>
    </w:p>
    <w:p w14:paraId="246C9703" w14:textId="03BD47C7" w:rsidR="00D5405A" w:rsidRPr="00565A8F" w:rsidRDefault="00D5405A" w:rsidP="00C47122">
      <w:pPr>
        <w:pStyle w:val="Considrant"/>
      </w:pPr>
      <w:r w:rsidRPr="00565A8F">
        <w:t xml:space="preserve">In order to enable business operators to adapt to the new requirements set by this </w:t>
      </w:r>
      <w:r w:rsidR="00A401A2" w:rsidRPr="00565A8F">
        <w:t xml:space="preserve">Implementing </w:t>
      </w:r>
      <w:r w:rsidRPr="00565A8F">
        <w:t>Regulation, it is necessary</w:t>
      </w:r>
      <w:r w:rsidR="00BA7A11" w:rsidRPr="00565A8F">
        <w:t xml:space="preserve"> that</w:t>
      </w:r>
      <w:r w:rsidRPr="00565A8F">
        <w:t xml:space="preserve"> this Regulation</w:t>
      </w:r>
      <w:r w:rsidR="00D002CF" w:rsidRPr="00565A8F">
        <w:t xml:space="preserve"> </w:t>
      </w:r>
      <w:r w:rsidR="00A401A2" w:rsidRPr="00565A8F">
        <w:t xml:space="preserve">starts </w:t>
      </w:r>
      <w:r w:rsidR="00BA7A11" w:rsidRPr="00565A8F">
        <w:t>appl</w:t>
      </w:r>
      <w:r w:rsidR="00A401A2" w:rsidRPr="00565A8F">
        <w:t>ying</w:t>
      </w:r>
      <w:r w:rsidR="00BA7A11" w:rsidRPr="00565A8F">
        <w:t xml:space="preserve"> 6 months after its </w:t>
      </w:r>
      <w:r w:rsidR="0012398D" w:rsidRPr="00565A8F">
        <w:t xml:space="preserve">date of </w:t>
      </w:r>
      <w:r w:rsidR="00BA7A11" w:rsidRPr="00565A8F">
        <w:t>entry into force</w:t>
      </w:r>
      <w:r w:rsidRPr="00565A8F">
        <w:t>.</w:t>
      </w:r>
    </w:p>
    <w:p w14:paraId="74EA1A5D" w14:textId="77777777" w:rsidR="00090119" w:rsidRPr="00565A8F" w:rsidRDefault="00090119" w:rsidP="00090119">
      <w:pPr>
        <w:pStyle w:val="Considrant"/>
      </w:pPr>
      <w:r w:rsidRPr="00565A8F">
        <w:t>The measures provided for in this Regulation are in accordance with the opinion of the Standing Committee on Plants, Animals, Food and Feed,</w:t>
      </w:r>
    </w:p>
    <w:p w14:paraId="54025E8A" w14:textId="77777777" w:rsidR="00C47122" w:rsidRPr="00565A8F" w:rsidRDefault="00C47122" w:rsidP="00623259">
      <w:pPr>
        <w:pStyle w:val="Formuledadoption"/>
      </w:pPr>
      <w:r w:rsidRPr="00565A8F">
        <w:lastRenderedPageBreak/>
        <w:t>HAS ADOPTED THIS REGULATION:</w:t>
      </w:r>
    </w:p>
    <w:p w14:paraId="79F1BE9A" w14:textId="77777777" w:rsidR="00C47122" w:rsidRPr="00565A8F" w:rsidRDefault="00C47122" w:rsidP="007000C7">
      <w:pPr>
        <w:pStyle w:val="Titrearticle"/>
        <w:spacing w:after="0"/>
      </w:pPr>
      <w:r w:rsidRPr="00565A8F">
        <w:t>Article 1</w:t>
      </w:r>
    </w:p>
    <w:p w14:paraId="4A2A1E6B" w14:textId="77777777" w:rsidR="00090119" w:rsidRPr="00565A8F" w:rsidRDefault="00090119" w:rsidP="007000C7">
      <w:pPr>
        <w:pStyle w:val="Titrearticle"/>
        <w:spacing w:before="0"/>
      </w:pPr>
      <w:r w:rsidRPr="00565A8F">
        <w:rPr>
          <w:b/>
          <w:bCs/>
          <w:i w:val="0"/>
          <w:iCs/>
        </w:rPr>
        <w:t>Amendments to Regulation (EC) No 429/2008</w:t>
      </w:r>
    </w:p>
    <w:p w14:paraId="4CDDCE1B" w14:textId="77777777" w:rsidR="00090119" w:rsidRPr="00565A8F" w:rsidRDefault="00090119" w:rsidP="00947611">
      <w:r w:rsidRPr="00565A8F">
        <w:t xml:space="preserve">Regulation (EC) No 429/2008 is amended as follows: </w:t>
      </w:r>
    </w:p>
    <w:p w14:paraId="7438B67A" w14:textId="77777777" w:rsidR="00090119" w:rsidRPr="00565A8F" w:rsidRDefault="00090119" w:rsidP="00393A6A">
      <w:pPr>
        <w:pStyle w:val="Point0number"/>
        <w:numPr>
          <w:ilvl w:val="0"/>
          <w:numId w:val="7"/>
        </w:numPr>
        <w:tabs>
          <w:tab w:val="clear" w:pos="850"/>
          <w:tab w:val="num" w:pos="720"/>
        </w:tabs>
        <w:ind w:left="720" w:hanging="720"/>
      </w:pPr>
      <w:r w:rsidRPr="00565A8F">
        <w:t>Article 1 is replaced by the following:</w:t>
      </w:r>
    </w:p>
    <w:p w14:paraId="3EBD49E7" w14:textId="5B5C1978" w:rsidR="00090119" w:rsidRPr="00565A8F" w:rsidRDefault="00090119" w:rsidP="0018747E">
      <w:pPr>
        <w:pStyle w:val="Text1"/>
        <w:jc w:val="center"/>
      </w:pPr>
      <w:r w:rsidRPr="00565A8F">
        <w:t>‘</w:t>
      </w:r>
      <w:r w:rsidRPr="00565A8F">
        <w:rPr>
          <w:i/>
          <w:iCs/>
        </w:rPr>
        <w:t>Article 1</w:t>
      </w:r>
      <w:r w:rsidR="008A6FAD" w:rsidRPr="00565A8F">
        <w:rPr>
          <w:i/>
          <w:iCs/>
        </w:rPr>
        <w:t xml:space="preserve"> </w:t>
      </w:r>
    </w:p>
    <w:p w14:paraId="7EC8E5D3" w14:textId="77777777" w:rsidR="00090119" w:rsidRPr="00565A8F" w:rsidRDefault="00090119" w:rsidP="0018747E">
      <w:pPr>
        <w:pStyle w:val="Text1"/>
        <w:jc w:val="center"/>
        <w:rPr>
          <w:b/>
          <w:bCs/>
        </w:rPr>
      </w:pPr>
      <w:r w:rsidRPr="00565A8F">
        <w:rPr>
          <w:b/>
          <w:bCs/>
        </w:rPr>
        <w:t>Definitions</w:t>
      </w:r>
    </w:p>
    <w:p w14:paraId="4AE34B01" w14:textId="6FCF6363" w:rsidR="00E12048" w:rsidRPr="00565A8F" w:rsidRDefault="00090119" w:rsidP="006071DD">
      <w:pPr>
        <w:pStyle w:val="Text1"/>
      </w:pPr>
      <w:r w:rsidRPr="00565A8F">
        <w:t>The following definitions shall apply for the purpose of this Regulation:</w:t>
      </w:r>
    </w:p>
    <w:p w14:paraId="52D1A8A7" w14:textId="6C027624" w:rsidR="008F1A68" w:rsidRPr="00565A8F" w:rsidRDefault="008F1A68" w:rsidP="0064262F">
      <w:pPr>
        <w:pStyle w:val="Point1number"/>
      </w:pPr>
      <w:r w:rsidRPr="00565A8F">
        <w:t>‘</w:t>
      </w:r>
      <w:proofErr w:type="gramStart"/>
      <w:r w:rsidRPr="00565A8F">
        <w:t>pets</w:t>
      </w:r>
      <w:proofErr w:type="gramEnd"/>
      <w:r w:rsidRPr="00565A8F">
        <w:t xml:space="preserve"> and other non-food producing animals’ means animals belonging to species normally nourished, bred or kept, but not consumed by humans, as detailed in point 8</w:t>
      </w:r>
      <w:r w:rsidR="00613205" w:rsidRPr="00565A8F">
        <w:t xml:space="preserve"> </w:t>
      </w:r>
      <w:r w:rsidRPr="00565A8F">
        <w:t>of Annex V;</w:t>
      </w:r>
    </w:p>
    <w:p w14:paraId="503FDD6B" w14:textId="69CB98A3" w:rsidR="008F1A68" w:rsidRPr="00565A8F" w:rsidRDefault="008F1A68" w:rsidP="008F1A68">
      <w:pPr>
        <w:pStyle w:val="Point1number"/>
      </w:pPr>
      <w:r w:rsidRPr="00565A8F">
        <w:t>‘</w:t>
      </w:r>
      <w:proofErr w:type="gramStart"/>
      <w:r w:rsidRPr="00565A8F">
        <w:t>major</w:t>
      </w:r>
      <w:proofErr w:type="gramEnd"/>
      <w:r w:rsidRPr="00565A8F">
        <w:t xml:space="preserve"> species’ means animal species normally used for human consumption in the Union as detailed in points 1</w:t>
      </w:r>
      <w:r w:rsidR="00D40668" w:rsidRPr="00565A8F">
        <w:t xml:space="preserve"> to 4 </w:t>
      </w:r>
      <w:r w:rsidRPr="00565A8F">
        <w:t>of Annex V.</w:t>
      </w:r>
    </w:p>
    <w:p w14:paraId="3D1E280A" w14:textId="42AB9A2E" w:rsidR="008F1A68" w:rsidRPr="00565A8F" w:rsidRDefault="008F1A68" w:rsidP="008F1A68">
      <w:pPr>
        <w:pStyle w:val="Point1number"/>
      </w:pPr>
      <w:r w:rsidRPr="00565A8F">
        <w:t>‘</w:t>
      </w:r>
      <w:proofErr w:type="gramStart"/>
      <w:r w:rsidRPr="00565A8F">
        <w:t>minor</w:t>
      </w:r>
      <w:proofErr w:type="gramEnd"/>
      <w:r w:rsidRPr="00565A8F">
        <w:t xml:space="preserve"> species’ means animal species normally used for human consumption in the Union as detailed in points 1</w:t>
      </w:r>
      <w:r w:rsidR="00D40668" w:rsidRPr="00565A8F">
        <w:t xml:space="preserve"> to </w:t>
      </w:r>
      <w:r w:rsidR="00D40668" w:rsidRPr="00365BFD">
        <w:t>7</w:t>
      </w:r>
      <w:r w:rsidR="00365466">
        <w:t xml:space="preserve"> </w:t>
      </w:r>
      <w:r w:rsidRPr="00365BFD">
        <w:t>of</w:t>
      </w:r>
      <w:r w:rsidRPr="00565A8F">
        <w:t xml:space="preserve"> Annex V.’</w:t>
      </w:r>
      <w:r w:rsidR="00296BA8" w:rsidRPr="00565A8F">
        <w:t>;</w:t>
      </w:r>
    </w:p>
    <w:p w14:paraId="48F2DD20" w14:textId="7BAE7853" w:rsidR="00090119" w:rsidRPr="00565A8F" w:rsidRDefault="00090119" w:rsidP="000C1FFB">
      <w:pPr>
        <w:pStyle w:val="Point0number"/>
        <w:tabs>
          <w:tab w:val="clear" w:pos="850"/>
          <w:tab w:val="num" w:pos="720"/>
        </w:tabs>
        <w:ind w:left="720" w:hanging="720"/>
      </w:pPr>
      <w:r w:rsidRPr="00565A8F">
        <w:t>Article 2(1)</w:t>
      </w:r>
      <w:r w:rsidR="00E60A4A" w:rsidRPr="00565A8F">
        <w:t>, first subparagraph,</w:t>
      </w:r>
      <w:r w:rsidRPr="00565A8F">
        <w:t xml:space="preserve"> is replaced by the following: </w:t>
      </w:r>
    </w:p>
    <w:p w14:paraId="2819F822" w14:textId="5378F7B5" w:rsidR="00ED26BB" w:rsidRPr="00565A8F" w:rsidRDefault="00ED26BB" w:rsidP="0018747E">
      <w:pPr>
        <w:pStyle w:val="Text1"/>
      </w:pPr>
      <w:r w:rsidRPr="00565A8F">
        <w:t>‘1.</w:t>
      </w:r>
      <w:r w:rsidRPr="00565A8F">
        <w:tab/>
        <w:t xml:space="preserve">An application for the authorisation of a feed additive, as provided for in Article 7 of Regulation (EC) No 1831/2003, shall be submitted to the Commission via the electronic submission system </w:t>
      </w:r>
      <w:r w:rsidR="00BD219A" w:rsidRPr="00565A8F">
        <w:t>of</w:t>
      </w:r>
      <w:r w:rsidRPr="00565A8F">
        <w:t xml:space="preserve"> the Commission</w:t>
      </w:r>
      <w:r w:rsidR="00E9246D" w:rsidRPr="00565A8F">
        <w:t xml:space="preserve">. </w:t>
      </w:r>
      <w:r w:rsidR="003B7AE0" w:rsidRPr="00565A8F">
        <w:t>Once the</w:t>
      </w:r>
      <w:r w:rsidR="00E9246D" w:rsidRPr="00565A8F">
        <w:t xml:space="preserve"> application </w:t>
      </w:r>
      <w:r w:rsidR="003B7AE0" w:rsidRPr="00565A8F">
        <w:t xml:space="preserve">is submitted </w:t>
      </w:r>
      <w:r w:rsidR="00E9246D" w:rsidRPr="00565A8F">
        <w:t>in th</w:t>
      </w:r>
      <w:r w:rsidR="003B7AE0" w:rsidRPr="00565A8F">
        <w:t>e</w:t>
      </w:r>
      <w:r w:rsidR="00E9246D" w:rsidRPr="00565A8F">
        <w:t xml:space="preserve"> electronic system, </w:t>
      </w:r>
      <w:r w:rsidR="00A23F9B" w:rsidRPr="00565A8F">
        <w:t>the applicant, the Commission, the Authority and the Member States</w:t>
      </w:r>
      <w:r w:rsidR="00E9246D" w:rsidRPr="00565A8F">
        <w:t xml:space="preserve"> to</w:t>
      </w:r>
      <w:r w:rsidRPr="00565A8F">
        <w:t xml:space="preserve"> the </w:t>
      </w:r>
      <w:r w:rsidR="008B703E" w:rsidRPr="00565A8F">
        <w:t xml:space="preserve">application </w:t>
      </w:r>
      <w:r w:rsidRPr="00565A8F">
        <w:t xml:space="preserve">form </w:t>
      </w:r>
      <w:r w:rsidR="00F72497" w:rsidRPr="00565A8F">
        <w:t xml:space="preserve">as </w:t>
      </w:r>
      <w:r w:rsidRPr="00565A8F">
        <w:t>set out in Annex I.’</w:t>
      </w:r>
      <w:r w:rsidR="0000069D" w:rsidRPr="00565A8F">
        <w:t>;</w:t>
      </w:r>
    </w:p>
    <w:p w14:paraId="0750EC39" w14:textId="1DAAA2CF" w:rsidR="00ED26BB" w:rsidRPr="00565A8F" w:rsidRDefault="00ED26BB" w:rsidP="000C1FFB">
      <w:pPr>
        <w:pStyle w:val="Point0number"/>
        <w:tabs>
          <w:tab w:val="clear" w:pos="850"/>
          <w:tab w:val="num" w:pos="720"/>
        </w:tabs>
        <w:ind w:left="720" w:hanging="720"/>
      </w:pPr>
      <w:r w:rsidRPr="00565A8F">
        <w:t>Article 3(2)</w:t>
      </w:r>
      <w:r w:rsidR="00E60A4A" w:rsidRPr="00565A8F">
        <w:t>, third subparagraph</w:t>
      </w:r>
      <w:r w:rsidR="00AD2CD3" w:rsidRPr="00565A8F">
        <w:t>,</w:t>
      </w:r>
      <w:r w:rsidRPr="00565A8F">
        <w:t xml:space="preserve"> is replaced by the following: </w:t>
      </w:r>
    </w:p>
    <w:p w14:paraId="51C4E9B3" w14:textId="293D1047" w:rsidR="00E73F56" w:rsidRPr="00565A8F" w:rsidRDefault="00ED26BB" w:rsidP="0018747E">
      <w:pPr>
        <w:pStyle w:val="Text1"/>
      </w:pPr>
      <w:r w:rsidRPr="00565A8F">
        <w:t xml:space="preserve">‘The </w:t>
      </w:r>
      <w:r w:rsidR="00BD499B" w:rsidRPr="00565A8F">
        <w:t>terminology to be used for designating the</w:t>
      </w:r>
      <w:r w:rsidRPr="00565A8F">
        <w:t xml:space="preserve"> target animal species and categories, as well as the minimum duration of </w:t>
      </w:r>
      <w:proofErr w:type="gramStart"/>
      <w:r w:rsidRPr="00565A8F">
        <w:t>long term</w:t>
      </w:r>
      <w:proofErr w:type="gramEnd"/>
      <w:r w:rsidRPr="00565A8F">
        <w:t xml:space="preserve"> studies shall be as set out in Annex IV.</w:t>
      </w:r>
    </w:p>
    <w:p w14:paraId="4682FF34" w14:textId="26A636B5" w:rsidR="00ED26BB" w:rsidRPr="00565A8F" w:rsidRDefault="009E4F50" w:rsidP="0018747E">
      <w:pPr>
        <w:pStyle w:val="Text1"/>
      </w:pPr>
      <w:r w:rsidRPr="00565A8F">
        <w:t>The d</w:t>
      </w:r>
      <w:r w:rsidR="00E73F56" w:rsidRPr="00565A8F">
        <w:t xml:space="preserve">efinitions of </w:t>
      </w:r>
      <w:r w:rsidRPr="00565A8F">
        <w:t xml:space="preserve">the respective animal </w:t>
      </w:r>
      <w:r w:rsidR="00E73F56" w:rsidRPr="00565A8F">
        <w:t>species shall be set out in Annex V.</w:t>
      </w:r>
      <w:r w:rsidR="00ED26BB" w:rsidRPr="00565A8F">
        <w:t>’</w:t>
      </w:r>
      <w:r w:rsidR="0000069D" w:rsidRPr="00565A8F">
        <w:t>;</w:t>
      </w:r>
    </w:p>
    <w:p w14:paraId="2A854615" w14:textId="663B94D7" w:rsidR="00947611" w:rsidRPr="00565A8F" w:rsidRDefault="00320625" w:rsidP="000C1FFB">
      <w:pPr>
        <w:pStyle w:val="Point0number"/>
        <w:tabs>
          <w:tab w:val="clear" w:pos="850"/>
          <w:tab w:val="num" w:pos="720"/>
        </w:tabs>
        <w:ind w:left="720" w:hanging="720"/>
      </w:pPr>
      <w:r w:rsidRPr="00565A8F">
        <w:t xml:space="preserve">Annexes I, II, III and IV to Regulation (EC) No 429/2008 are amended in accordance with </w:t>
      </w:r>
      <w:r w:rsidR="00ED26BB" w:rsidRPr="00565A8F">
        <w:t xml:space="preserve">Annex I to this </w:t>
      </w:r>
      <w:r w:rsidR="00A6539F" w:rsidRPr="00565A8F">
        <w:t xml:space="preserve">Implementing </w:t>
      </w:r>
      <w:r w:rsidR="00ED26BB" w:rsidRPr="00565A8F">
        <w:t>Regulation</w:t>
      </w:r>
      <w:r w:rsidR="007F5230" w:rsidRPr="00565A8F">
        <w:t>.</w:t>
      </w:r>
    </w:p>
    <w:p w14:paraId="2F456C1F" w14:textId="518D7919" w:rsidR="00BB34B4" w:rsidRPr="00565A8F" w:rsidRDefault="00A6539F" w:rsidP="00565A8F">
      <w:pPr>
        <w:pStyle w:val="Point0number"/>
        <w:tabs>
          <w:tab w:val="clear" w:pos="850"/>
          <w:tab w:val="num" w:pos="720"/>
        </w:tabs>
        <w:ind w:left="720" w:hanging="720"/>
      </w:pPr>
      <w:r w:rsidRPr="00565A8F">
        <w:t>A</w:t>
      </w:r>
      <w:r w:rsidR="009E4F50" w:rsidRPr="00565A8F">
        <w:t xml:space="preserve"> new</w:t>
      </w:r>
      <w:r w:rsidRPr="00565A8F">
        <w:t xml:space="preserve"> Annex V is added to Regulation (EC) No 429/2008 in accordance with Annex II to this Implementing Regulation.</w:t>
      </w:r>
    </w:p>
    <w:p w14:paraId="1EBCF130" w14:textId="5B1CDC39" w:rsidR="00C47122" w:rsidRPr="00565A8F" w:rsidRDefault="00C47122" w:rsidP="007000C7">
      <w:pPr>
        <w:pStyle w:val="Titrearticle"/>
        <w:spacing w:after="0"/>
      </w:pPr>
      <w:r w:rsidRPr="00565A8F">
        <w:t>Article</w:t>
      </w:r>
      <w:r w:rsidR="006E7317" w:rsidRPr="00565A8F">
        <w:t xml:space="preserve"> </w:t>
      </w:r>
      <w:r w:rsidR="001E4805" w:rsidRPr="00565A8F">
        <w:t>2</w:t>
      </w:r>
    </w:p>
    <w:p w14:paraId="517D761C" w14:textId="7AAD13EE" w:rsidR="006E7317" w:rsidRPr="00565A8F" w:rsidRDefault="006E7317" w:rsidP="007000C7">
      <w:pPr>
        <w:pStyle w:val="Titrearticle"/>
        <w:spacing w:before="0"/>
        <w:rPr>
          <w:b/>
          <w:bCs/>
          <w:i w:val="0"/>
          <w:iCs/>
        </w:rPr>
      </w:pPr>
      <w:r w:rsidRPr="00565A8F">
        <w:rPr>
          <w:b/>
          <w:bCs/>
          <w:i w:val="0"/>
          <w:iCs/>
        </w:rPr>
        <w:t>Entry into force</w:t>
      </w:r>
      <w:r w:rsidR="00A1746F" w:rsidRPr="00565A8F">
        <w:rPr>
          <w:b/>
          <w:bCs/>
          <w:i w:val="0"/>
          <w:iCs/>
        </w:rPr>
        <w:t xml:space="preserve"> and application</w:t>
      </w:r>
    </w:p>
    <w:p w14:paraId="5528E870" w14:textId="77777777" w:rsidR="00C47122" w:rsidRPr="00565A8F" w:rsidRDefault="00C47122" w:rsidP="00947611">
      <w:r w:rsidRPr="00565A8F">
        <w:t xml:space="preserve">This Regulation shall enter into force on the </w:t>
      </w:r>
      <w:r w:rsidR="00090119" w:rsidRPr="00565A8F">
        <w:t>twentieth</w:t>
      </w:r>
      <w:r w:rsidRPr="00565A8F">
        <w:t xml:space="preserve"> day following that of its publication in the </w:t>
      </w:r>
      <w:r w:rsidRPr="00565A8F">
        <w:rPr>
          <w:i/>
        </w:rPr>
        <w:t>Official Journal of the European Union</w:t>
      </w:r>
      <w:r w:rsidRPr="00565A8F">
        <w:t>.</w:t>
      </w:r>
    </w:p>
    <w:p w14:paraId="1D69E97B" w14:textId="77777777" w:rsidR="00713A94" w:rsidRPr="00565A8F" w:rsidRDefault="00713A94" w:rsidP="00947611">
      <w:r w:rsidRPr="00565A8F">
        <w:t xml:space="preserve">It shall apply from </w:t>
      </w:r>
      <w:r w:rsidR="00873038" w:rsidRPr="00565A8F">
        <w:t>[</w:t>
      </w:r>
      <w:r w:rsidR="00873038" w:rsidRPr="00565A8F">
        <w:rPr>
          <w:i/>
          <w:iCs/>
        </w:rPr>
        <w:t>6 months from the date of entry into force of this Regulation. To be completed by the Service responsible for the publication</w:t>
      </w:r>
      <w:r w:rsidR="00873038" w:rsidRPr="00565A8F">
        <w:t>]</w:t>
      </w:r>
      <w:r w:rsidRPr="00565A8F">
        <w:t>.</w:t>
      </w:r>
    </w:p>
    <w:p w14:paraId="032ED088" w14:textId="77777777" w:rsidR="00090119" w:rsidRPr="00565A8F" w:rsidRDefault="00C47122" w:rsidP="00947611">
      <w:pPr>
        <w:pStyle w:val="Applicationdirecte"/>
        <w:spacing w:before="120"/>
      </w:pPr>
      <w:r w:rsidRPr="00565A8F">
        <w:t>This Regulation shall be binding in its entirety and directly applicable in all Member States.</w:t>
      </w:r>
    </w:p>
    <w:p w14:paraId="36029167" w14:textId="51C005F3" w:rsidR="00167A5D" w:rsidRPr="00565A8F" w:rsidRDefault="00565A8F" w:rsidP="00565A8F">
      <w:pPr>
        <w:pStyle w:val="Fait"/>
      </w:pPr>
      <w:r w:rsidRPr="00565A8F">
        <w:lastRenderedPageBreak/>
        <w:t>Done at Brussels,</w:t>
      </w:r>
    </w:p>
    <w:p w14:paraId="1B90E567" w14:textId="77777777" w:rsidR="00167A5D" w:rsidRPr="00565A8F" w:rsidRDefault="00167A5D" w:rsidP="0018747E">
      <w:pPr>
        <w:pStyle w:val="Institutionquisigne"/>
      </w:pPr>
      <w:r w:rsidRPr="00565A8F">
        <w:tab/>
        <w:t>For the Commission</w:t>
      </w:r>
    </w:p>
    <w:p w14:paraId="20BD67C0" w14:textId="77777777" w:rsidR="00167A5D" w:rsidRPr="00565A8F" w:rsidRDefault="00167A5D" w:rsidP="0018747E">
      <w:pPr>
        <w:pStyle w:val="Personnequisigne"/>
        <w:rPr>
          <w:lang w:val="de-DE"/>
        </w:rPr>
      </w:pPr>
      <w:r w:rsidRPr="00565A8F">
        <w:tab/>
      </w:r>
      <w:r w:rsidRPr="00565A8F">
        <w:rPr>
          <w:lang w:val="de-DE"/>
        </w:rPr>
        <w:t xml:space="preserve">The </w:t>
      </w:r>
      <w:proofErr w:type="spellStart"/>
      <w:r w:rsidRPr="00565A8F">
        <w:rPr>
          <w:lang w:val="de-DE"/>
        </w:rPr>
        <w:t>President</w:t>
      </w:r>
      <w:proofErr w:type="spellEnd"/>
      <w:r w:rsidRPr="00565A8F">
        <w:rPr>
          <w:lang w:val="de-DE"/>
        </w:rPr>
        <w:t xml:space="preserve"> </w:t>
      </w:r>
    </w:p>
    <w:p w14:paraId="1D420798" w14:textId="77777777" w:rsidR="00C47122" w:rsidRPr="00947611" w:rsidRDefault="00167A5D" w:rsidP="0018747E">
      <w:pPr>
        <w:pStyle w:val="Personnequisigne"/>
        <w:spacing w:after="120"/>
        <w:rPr>
          <w:i w:val="0"/>
          <w:iCs/>
          <w:lang w:val="de-DE"/>
        </w:rPr>
      </w:pPr>
      <w:r w:rsidRPr="00565A8F">
        <w:rPr>
          <w:lang w:val="de-DE"/>
        </w:rPr>
        <w:tab/>
      </w:r>
      <w:r w:rsidRPr="00565A8F">
        <w:rPr>
          <w:i w:val="0"/>
          <w:iCs/>
          <w:lang w:val="de-DE"/>
        </w:rPr>
        <w:t>Ursula VON DER LEYEN</w:t>
      </w:r>
    </w:p>
    <w:sectPr w:rsidR="00C47122" w:rsidRPr="00947611" w:rsidSect="00565A8F">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CD12" w14:textId="77777777" w:rsidR="00365466" w:rsidRDefault="00365466" w:rsidP="00C47122">
      <w:pPr>
        <w:spacing w:before="0" w:after="0"/>
      </w:pPr>
      <w:r>
        <w:separator/>
      </w:r>
    </w:p>
  </w:endnote>
  <w:endnote w:type="continuationSeparator" w:id="0">
    <w:p w14:paraId="3F093EB4" w14:textId="77777777" w:rsidR="00365466" w:rsidRDefault="00365466" w:rsidP="00C47122">
      <w:pPr>
        <w:spacing w:before="0" w:after="0"/>
      </w:pPr>
      <w:r>
        <w:continuationSeparator/>
      </w:r>
    </w:p>
  </w:endnote>
  <w:endnote w:type="continuationNotice" w:id="1">
    <w:p w14:paraId="7415278B" w14:textId="77777777" w:rsidR="00365466" w:rsidRDefault="003654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B7B" w14:textId="5B678BFF" w:rsidR="00565A8F" w:rsidRPr="00565A8F" w:rsidRDefault="00565A8F" w:rsidP="00565A8F">
    <w:pPr>
      <w:pStyle w:val="Sidefod"/>
      <w:rPr>
        <w:rFonts w:ascii="Arial" w:hAnsi="Arial" w:cs="Arial"/>
        <w:b/>
        <w:sz w:val="48"/>
      </w:rPr>
    </w:pPr>
    <w:r w:rsidRPr="00565A8F">
      <w:rPr>
        <w:rFonts w:ascii="Arial" w:hAnsi="Arial" w:cs="Arial"/>
        <w:b/>
        <w:sz w:val="48"/>
      </w:rPr>
      <w:t>EN</w:t>
    </w:r>
    <w:r w:rsidRPr="00565A8F">
      <w:rPr>
        <w:rFonts w:ascii="Arial" w:hAnsi="Arial" w:cs="Arial"/>
        <w:b/>
        <w:sz w:val="48"/>
      </w:rPr>
      <w:tab/>
    </w:r>
    <w:r w:rsidRPr="00565A8F">
      <w:rPr>
        <w:rFonts w:ascii="Arial" w:hAnsi="Arial" w:cs="Arial"/>
        <w:b/>
        <w:sz w:val="48"/>
      </w:rPr>
      <w:tab/>
    </w:r>
    <w:r w:rsidRPr="00565A8F">
      <w:tab/>
    </w:r>
    <w:proofErr w:type="spellStart"/>
    <w:r w:rsidRPr="00565A8F">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5FEF" w14:textId="69E92BC0" w:rsidR="00565A8F" w:rsidRPr="00565A8F" w:rsidRDefault="00565A8F" w:rsidP="00565A8F">
    <w:pPr>
      <w:pStyle w:val="Sidefod"/>
      <w:rPr>
        <w:rFonts w:ascii="Arial" w:hAnsi="Arial" w:cs="Arial"/>
        <w:b/>
        <w:sz w:val="48"/>
      </w:rPr>
    </w:pPr>
    <w:r w:rsidRPr="00565A8F">
      <w:rPr>
        <w:rFonts w:ascii="Arial" w:hAnsi="Arial" w:cs="Arial"/>
        <w:b/>
        <w:sz w:val="48"/>
      </w:rPr>
      <w:t>EN</w:t>
    </w:r>
    <w:r w:rsidRPr="00565A8F">
      <w:rPr>
        <w:rFonts w:ascii="Arial" w:hAnsi="Arial" w:cs="Arial"/>
        <w:b/>
        <w:sz w:val="48"/>
      </w:rPr>
      <w:tab/>
    </w:r>
    <w:r w:rsidRPr="00565A8F">
      <w:rPr>
        <w:rFonts w:ascii="Arial" w:hAnsi="Arial" w:cs="Arial"/>
        <w:b/>
        <w:sz w:val="48"/>
      </w:rPr>
      <w:tab/>
    </w:r>
    <w:r w:rsidRPr="00565A8F">
      <w:tab/>
    </w:r>
    <w:proofErr w:type="spellStart"/>
    <w:r w:rsidRPr="00565A8F">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145E" w14:textId="77777777" w:rsidR="00565A8F" w:rsidRPr="00565A8F" w:rsidRDefault="00565A8F" w:rsidP="00565A8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D01E" w14:textId="77777777" w:rsidR="0037361D" w:rsidRPr="00C47122" w:rsidRDefault="0037361D" w:rsidP="00C47122">
    <w:pPr>
      <w:pStyle w:val="Sidefod"/>
      <w:rPr>
        <w:rFonts w:ascii="Arial" w:hAnsi="Arial" w:cs="Arial"/>
        <w:b/>
        <w:sz w:val="48"/>
      </w:rPr>
    </w:pPr>
    <w:r w:rsidRPr="00C47122">
      <w:rPr>
        <w:rFonts w:ascii="Arial" w:hAnsi="Arial" w:cs="Arial"/>
        <w:b/>
        <w:sz w:val="48"/>
      </w:rPr>
      <w:t>EN</w:t>
    </w:r>
    <w:r w:rsidRPr="00C47122">
      <w:rPr>
        <w:rFonts w:ascii="Arial" w:hAnsi="Arial" w:cs="Arial"/>
        <w:b/>
        <w:sz w:val="48"/>
      </w:rPr>
      <w:tab/>
    </w:r>
    <w:r w:rsidRPr="00C47122">
      <w:rPr>
        <w:rFonts w:ascii="Arial" w:hAnsi="Arial" w:cs="Arial"/>
        <w:b/>
        <w:sz w:val="48"/>
      </w:rPr>
      <w:tab/>
    </w:r>
    <w:r w:rsidRPr="00C47122">
      <w:tab/>
    </w:r>
    <w:proofErr w:type="spellStart"/>
    <w:r w:rsidRPr="00C47122">
      <w:rPr>
        <w:rFonts w:ascii="Arial" w:hAnsi="Arial" w:cs="Arial"/>
        <w:b/>
        <w:sz w:val="48"/>
      </w:rPr>
      <w:t>EN</w:t>
    </w:r>
    <w:proofErr w:type="spellEnd"/>
  </w:p>
  <w:p w14:paraId="6BD4D601" w14:textId="77777777" w:rsidR="002F5B3F" w:rsidRDefault="002F5B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C15" w14:textId="70733F98" w:rsidR="00565A8F" w:rsidRPr="00565A8F" w:rsidRDefault="00565A8F" w:rsidP="00565A8F">
    <w:pPr>
      <w:pStyle w:val="Sidefod"/>
      <w:rPr>
        <w:rFonts w:ascii="Arial" w:hAnsi="Arial" w:cs="Arial"/>
        <w:b/>
        <w:sz w:val="48"/>
      </w:rPr>
    </w:pPr>
    <w:r w:rsidRPr="00565A8F">
      <w:rPr>
        <w:rFonts w:ascii="Arial" w:hAnsi="Arial" w:cs="Arial"/>
        <w:b/>
        <w:sz w:val="48"/>
      </w:rPr>
      <w:t>EN</w:t>
    </w:r>
    <w:r w:rsidRPr="00565A8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65A8F">
      <w:tab/>
    </w:r>
    <w:r w:rsidRPr="00565A8F">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AC18" w14:textId="77777777" w:rsidR="0037361D" w:rsidRDefault="0037361D" w:rsidP="00565A8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18A9" w14:textId="77777777" w:rsidR="00365466" w:rsidRDefault="00365466" w:rsidP="00C47122">
      <w:pPr>
        <w:spacing w:before="0" w:after="0"/>
      </w:pPr>
      <w:r>
        <w:separator/>
      </w:r>
    </w:p>
  </w:footnote>
  <w:footnote w:type="continuationSeparator" w:id="0">
    <w:p w14:paraId="464B5031" w14:textId="77777777" w:rsidR="00365466" w:rsidRDefault="00365466" w:rsidP="00C47122">
      <w:pPr>
        <w:spacing w:before="0" w:after="0"/>
      </w:pPr>
      <w:r>
        <w:continuationSeparator/>
      </w:r>
    </w:p>
  </w:footnote>
  <w:footnote w:type="continuationNotice" w:id="1">
    <w:p w14:paraId="69CDFAF3" w14:textId="77777777" w:rsidR="00365466" w:rsidRDefault="00365466">
      <w:pPr>
        <w:spacing w:before="0" w:after="0"/>
      </w:pPr>
    </w:p>
  </w:footnote>
  <w:footnote w:id="2">
    <w:p w14:paraId="5D7D821B" w14:textId="77777777" w:rsidR="00C47122" w:rsidRPr="00A81E25" w:rsidRDefault="00C47122" w:rsidP="00C47122">
      <w:pPr>
        <w:pStyle w:val="Fodnotetekst"/>
        <w:rPr>
          <w:lang w:val="es-ES"/>
        </w:rPr>
      </w:pPr>
      <w:r>
        <w:rPr>
          <w:rStyle w:val="Fodnotehenvisning"/>
        </w:rPr>
        <w:footnoteRef/>
      </w:r>
      <w:r w:rsidRPr="00A81E25">
        <w:rPr>
          <w:lang w:val="es-ES"/>
        </w:rPr>
        <w:tab/>
        <w:t xml:space="preserve">OJ </w:t>
      </w:r>
      <w:r w:rsidRPr="00A81E25">
        <w:rPr>
          <w:color w:val="000000"/>
          <w:lang w:val="es-ES"/>
        </w:rPr>
        <w:t xml:space="preserve">L </w:t>
      </w:r>
      <w:r w:rsidRPr="00A81E25">
        <w:rPr>
          <w:lang w:val="es-ES"/>
        </w:rPr>
        <w:t>268</w:t>
      </w:r>
      <w:r w:rsidRPr="00A81E25">
        <w:rPr>
          <w:color w:val="000000"/>
          <w:lang w:val="es-ES"/>
        </w:rPr>
        <w:t xml:space="preserve">, </w:t>
      </w:r>
      <w:r w:rsidRPr="00A81E25">
        <w:rPr>
          <w:lang w:val="es-ES"/>
        </w:rPr>
        <w:t>18.10.2003</w:t>
      </w:r>
      <w:r w:rsidRPr="00A81E25">
        <w:rPr>
          <w:color w:val="000000"/>
          <w:lang w:val="es-ES"/>
        </w:rPr>
        <w:t xml:space="preserve">, p. </w:t>
      </w:r>
      <w:r w:rsidRPr="00A81E25">
        <w:rPr>
          <w:lang w:val="es-ES"/>
        </w:rPr>
        <w:t>29</w:t>
      </w:r>
      <w:r w:rsidRPr="00A81E25">
        <w:rPr>
          <w:color w:val="000000"/>
          <w:lang w:val="es-ES"/>
        </w:rPr>
        <w:t xml:space="preserve">, ELI: </w:t>
      </w:r>
      <w:r w:rsidR="006B3885">
        <w:fldChar w:fldCharType="begin"/>
      </w:r>
      <w:r w:rsidR="006B3885" w:rsidRPr="00837388">
        <w:rPr>
          <w:lang w:val="da-DK"/>
        </w:rPr>
        <w:instrText>HYPERLINK "http://data.europa.eu/eli/reg/2003/1831/oj" \o "Gives access to this document through its ELI URI."</w:instrText>
      </w:r>
      <w:r w:rsidR="006B3885">
        <w:fldChar w:fldCharType="separate"/>
      </w:r>
      <w:r w:rsidRPr="00A81E25">
        <w:rPr>
          <w:rStyle w:val="Hyperlink"/>
          <w:color w:val="23527C"/>
          <w:shd w:val="clear" w:color="auto" w:fill="FFFFFF"/>
          <w:lang w:val="es-ES"/>
        </w:rPr>
        <w:t>http://data.europa.eu/eli/reg/2003/1831/oj</w:t>
      </w:r>
      <w:r w:rsidR="006B3885">
        <w:rPr>
          <w:rStyle w:val="Hyperlink"/>
          <w:color w:val="23527C"/>
          <w:shd w:val="clear" w:color="auto" w:fill="FFFFFF"/>
          <w:lang w:val="es-ES"/>
        </w:rPr>
        <w:fldChar w:fldCharType="end"/>
      </w:r>
      <w:r w:rsidRPr="00A81E25">
        <w:rPr>
          <w:lang w:val="es-ES"/>
        </w:rPr>
        <w:t>.</w:t>
      </w:r>
    </w:p>
  </w:footnote>
  <w:footnote w:id="3">
    <w:p w14:paraId="32F53BD2" w14:textId="02629A62" w:rsidR="00C47122" w:rsidRPr="00565A8F" w:rsidRDefault="00C47122" w:rsidP="00C47122">
      <w:pPr>
        <w:pStyle w:val="Fodnotetekst"/>
        <w:rPr>
          <w:lang w:val="en-IE"/>
        </w:rPr>
      </w:pPr>
      <w:r>
        <w:rPr>
          <w:rStyle w:val="Fodnotehenvisning"/>
        </w:rPr>
        <w:footnoteRef/>
      </w:r>
      <w:r w:rsidRPr="00C47122">
        <w:rPr>
          <w:lang w:val="en-IE"/>
        </w:rPr>
        <w:tab/>
        <w:t>Commission Regulation (EC) No 429/2008 of 25 April 2008 on detailed rules for the implementation of Regulation (EC)</w:t>
      </w:r>
      <w:r>
        <w:rPr>
          <w:lang w:val="en-IE"/>
        </w:rPr>
        <w:t xml:space="preserve"> </w:t>
      </w:r>
      <w:r w:rsidRPr="00C47122">
        <w:rPr>
          <w:lang w:val="en-IE"/>
        </w:rPr>
        <w:t>No 1831/2003 of the European Parliament and of the Council as regards the preparation and the presentation of applications and the</w:t>
      </w:r>
      <w:r>
        <w:rPr>
          <w:lang w:val="en-IE"/>
        </w:rPr>
        <w:t xml:space="preserve"> </w:t>
      </w:r>
      <w:r w:rsidRPr="00C47122">
        <w:rPr>
          <w:lang w:val="en-IE"/>
        </w:rPr>
        <w:t>assessment and the authorisation of feed additives</w:t>
      </w:r>
      <w:r>
        <w:rPr>
          <w:lang w:val="en-IE"/>
        </w:rPr>
        <w:t xml:space="preserve"> </w:t>
      </w:r>
      <w:r w:rsidR="00E00668">
        <w:rPr>
          <w:lang w:val="en-IE"/>
        </w:rPr>
        <w:t>(</w:t>
      </w:r>
      <w:r w:rsidRPr="00565A8F">
        <w:rPr>
          <w:lang w:val="en-IE"/>
        </w:rPr>
        <w:t xml:space="preserve">OJ L 133, 22.5.2008, p. 1, </w:t>
      </w:r>
      <w:r w:rsidRPr="00565A8F">
        <w:rPr>
          <w:color w:val="000000"/>
          <w:lang w:val="en-IE"/>
        </w:rPr>
        <w:t>ELI:</w:t>
      </w:r>
      <w:r w:rsidR="000C1FFB" w:rsidRPr="00565A8F">
        <w:rPr>
          <w:lang w:val="en-IE"/>
        </w:rPr>
        <w:t xml:space="preserve"> </w:t>
      </w:r>
      <w:hyperlink r:id="rId1" w:history="1">
        <w:r w:rsidR="000C1FFB" w:rsidRPr="00565A8F">
          <w:rPr>
            <w:rStyle w:val="Hyperlink"/>
            <w:lang w:val="en-IE"/>
          </w:rPr>
          <w:t>http://data.europa.eu/eli/reg/2008/429/oj</w:t>
        </w:r>
      </w:hyperlink>
      <w:r w:rsidR="00E00668">
        <w:t>)</w:t>
      </w:r>
      <w:r w:rsidRPr="00565A8F">
        <w:rPr>
          <w:color w:val="000000"/>
          <w:lang w:val="en-IE"/>
        </w:rPr>
        <w:t>.</w:t>
      </w:r>
      <w:r w:rsidR="000C1FFB" w:rsidRPr="00565A8F">
        <w:rPr>
          <w:color w:val="000000"/>
          <w:lang w:val="en-IE"/>
        </w:rPr>
        <w:t xml:space="preserve"> </w:t>
      </w:r>
    </w:p>
  </w:footnote>
  <w:footnote w:id="4">
    <w:p w14:paraId="0504C45B" w14:textId="1512FA7D" w:rsidR="006E629C" w:rsidRPr="006E629C" w:rsidRDefault="006E629C" w:rsidP="006E629C">
      <w:pPr>
        <w:pStyle w:val="Fodnotetekst"/>
        <w:rPr>
          <w:lang w:val="en-IE"/>
        </w:rPr>
      </w:pPr>
      <w:r>
        <w:rPr>
          <w:rStyle w:val="Fodnotehenvisning"/>
        </w:rPr>
        <w:footnoteRef/>
      </w:r>
      <w:r w:rsidRPr="006E629C">
        <w:rPr>
          <w:lang w:val="en-IE"/>
        </w:rPr>
        <w:tab/>
        <w:t>Guidance on the assessment of the efficacy of feed additives</w:t>
      </w:r>
      <w:r>
        <w:rPr>
          <w:lang w:val="en-IE"/>
        </w:rPr>
        <w:t xml:space="preserve">, </w:t>
      </w:r>
      <w:r w:rsidRPr="006E629C">
        <w:rPr>
          <w:i/>
          <w:iCs/>
          <w:lang w:val="en-IE"/>
        </w:rPr>
        <w:t xml:space="preserve">EFSA Journal. </w:t>
      </w:r>
      <w:r w:rsidRPr="006E629C">
        <w:rPr>
          <w:lang w:val="en-IE"/>
        </w:rPr>
        <w:t>2024;</w:t>
      </w:r>
      <w:proofErr w:type="gramStart"/>
      <w:r w:rsidRPr="006E629C">
        <w:rPr>
          <w:lang w:val="en-IE"/>
        </w:rPr>
        <w:t>22:e</w:t>
      </w:r>
      <w:proofErr w:type="gramEnd"/>
      <w:r w:rsidRPr="006E629C">
        <w:rPr>
          <w:lang w:val="en-IE"/>
        </w:rPr>
        <w:t>8856.</w:t>
      </w:r>
      <w:r>
        <w:rPr>
          <w:lang w:val="en-IE"/>
        </w:rPr>
        <w:t xml:space="preserve"> </w:t>
      </w:r>
      <w:r w:rsidRPr="006E629C">
        <w:rPr>
          <w:lang w:val="en-IE"/>
        </w:rPr>
        <w:t>https://doi.org/10.2903/j.efsa.2024.8856</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C514" w14:textId="77777777" w:rsidR="00565A8F" w:rsidRPr="00565A8F" w:rsidRDefault="00565A8F" w:rsidP="00565A8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DB02" w14:textId="77777777" w:rsidR="00565A8F" w:rsidRPr="00565A8F" w:rsidRDefault="00565A8F" w:rsidP="00565A8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CBCD" w14:textId="77777777" w:rsidR="00565A8F" w:rsidRPr="00565A8F" w:rsidRDefault="00565A8F" w:rsidP="00565A8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06DF" w14:textId="77777777" w:rsidR="0037361D" w:rsidRDefault="0037361D">
    <w:pPr>
      <w:pStyle w:val="Sidehoved"/>
    </w:pPr>
  </w:p>
  <w:p w14:paraId="4CFB716D" w14:textId="77777777" w:rsidR="002F5B3F" w:rsidRDefault="002F5B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09C1" w14:textId="77777777" w:rsidR="0037361D" w:rsidRDefault="003736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0E44C5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0E44C2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9B47D6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67B3D15"/>
    <w:multiLevelType w:val="hybridMultilevel"/>
    <w:tmpl w:val="06F43CD2"/>
    <w:lvl w:ilvl="0" w:tplc="C882A208">
      <w:start w:val="1"/>
      <w:numFmt w:val="decimal"/>
      <w:lvlText w:val="%1)"/>
      <w:lvlJc w:val="left"/>
      <w:pPr>
        <w:ind w:left="720" w:hanging="360"/>
      </w:pPr>
    </w:lvl>
    <w:lvl w:ilvl="1" w:tplc="8FBC8736">
      <w:start w:val="1"/>
      <w:numFmt w:val="decimal"/>
      <w:lvlText w:val="%2)"/>
      <w:lvlJc w:val="left"/>
      <w:pPr>
        <w:ind w:left="720" w:hanging="360"/>
      </w:pPr>
    </w:lvl>
    <w:lvl w:ilvl="2" w:tplc="CB30AA3A">
      <w:start w:val="1"/>
      <w:numFmt w:val="decimal"/>
      <w:lvlText w:val="%3)"/>
      <w:lvlJc w:val="left"/>
      <w:pPr>
        <w:ind w:left="720" w:hanging="360"/>
      </w:pPr>
    </w:lvl>
    <w:lvl w:ilvl="3" w:tplc="FEDCF524">
      <w:start w:val="1"/>
      <w:numFmt w:val="decimal"/>
      <w:lvlText w:val="%4)"/>
      <w:lvlJc w:val="left"/>
      <w:pPr>
        <w:ind w:left="720" w:hanging="360"/>
      </w:pPr>
    </w:lvl>
    <w:lvl w:ilvl="4" w:tplc="0E9CDDD6">
      <w:start w:val="1"/>
      <w:numFmt w:val="decimal"/>
      <w:lvlText w:val="%5)"/>
      <w:lvlJc w:val="left"/>
      <w:pPr>
        <w:ind w:left="720" w:hanging="360"/>
      </w:pPr>
    </w:lvl>
    <w:lvl w:ilvl="5" w:tplc="1F3A5CBE">
      <w:start w:val="1"/>
      <w:numFmt w:val="decimal"/>
      <w:lvlText w:val="%6)"/>
      <w:lvlJc w:val="left"/>
      <w:pPr>
        <w:ind w:left="720" w:hanging="360"/>
      </w:pPr>
    </w:lvl>
    <w:lvl w:ilvl="6" w:tplc="81A0554A">
      <w:start w:val="1"/>
      <w:numFmt w:val="decimal"/>
      <w:lvlText w:val="%7)"/>
      <w:lvlJc w:val="left"/>
      <w:pPr>
        <w:ind w:left="720" w:hanging="360"/>
      </w:pPr>
    </w:lvl>
    <w:lvl w:ilvl="7" w:tplc="58CE4BC0">
      <w:start w:val="1"/>
      <w:numFmt w:val="decimal"/>
      <w:lvlText w:val="%8)"/>
      <w:lvlJc w:val="left"/>
      <w:pPr>
        <w:ind w:left="720" w:hanging="360"/>
      </w:pPr>
    </w:lvl>
    <w:lvl w:ilvl="8" w:tplc="591E2AF6">
      <w:start w:val="1"/>
      <w:numFmt w:val="decimal"/>
      <w:lvlText w:val="%9)"/>
      <w:lvlJc w:val="left"/>
      <w:pPr>
        <w:ind w:left="720" w:hanging="36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077AA5"/>
    <w:multiLevelType w:val="hybridMultilevel"/>
    <w:tmpl w:val="B6348980"/>
    <w:lvl w:ilvl="0" w:tplc="68120DBA">
      <w:start w:val="1"/>
      <w:numFmt w:val="decimal"/>
      <w:lvlText w:val="%1)"/>
      <w:lvlJc w:val="left"/>
      <w:pPr>
        <w:ind w:left="720" w:hanging="360"/>
      </w:pPr>
    </w:lvl>
    <w:lvl w:ilvl="1" w:tplc="FB907598">
      <w:start w:val="1"/>
      <w:numFmt w:val="decimal"/>
      <w:lvlText w:val="%2)"/>
      <w:lvlJc w:val="left"/>
      <w:pPr>
        <w:ind w:left="720" w:hanging="360"/>
      </w:pPr>
    </w:lvl>
    <w:lvl w:ilvl="2" w:tplc="D4A41888">
      <w:start w:val="1"/>
      <w:numFmt w:val="decimal"/>
      <w:lvlText w:val="%3)"/>
      <w:lvlJc w:val="left"/>
      <w:pPr>
        <w:ind w:left="720" w:hanging="360"/>
      </w:pPr>
    </w:lvl>
    <w:lvl w:ilvl="3" w:tplc="9510293C">
      <w:start w:val="1"/>
      <w:numFmt w:val="decimal"/>
      <w:lvlText w:val="%4)"/>
      <w:lvlJc w:val="left"/>
      <w:pPr>
        <w:ind w:left="720" w:hanging="360"/>
      </w:pPr>
    </w:lvl>
    <w:lvl w:ilvl="4" w:tplc="5D284C70">
      <w:start w:val="1"/>
      <w:numFmt w:val="decimal"/>
      <w:lvlText w:val="%5)"/>
      <w:lvlJc w:val="left"/>
      <w:pPr>
        <w:ind w:left="720" w:hanging="360"/>
      </w:pPr>
    </w:lvl>
    <w:lvl w:ilvl="5" w:tplc="D99CEEF0">
      <w:start w:val="1"/>
      <w:numFmt w:val="decimal"/>
      <w:lvlText w:val="%6)"/>
      <w:lvlJc w:val="left"/>
      <w:pPr>
        <w:ind w:left="720" w:hanging="360"/>
      </w:pPr>
    </w:lvl>
    <w:lvl w:ilvl="6" w:tplc="24786046">
      <w:start w:val="1"/>
      <w:numFmt w:val="decimal"/>
      <w:lvlText w:val="%7)"/>
      <w:lvlJc w:val="left"/>
      <w:pPr>
        <w:ind w:left="720" w:hanging="360"/>
      </w:pPr>
    </w:lvl>
    <w:lvl w:ilvl="7" w:tplc="EE40C886">
      <w:start w:val="1"/>
      <w:numFmt w:val="decimal"/>
      <w:lvlText w:val="%8)"/>
      <w:lvlJc w:val="left"/>
      <w:pPr>
        <w:ind w:left="720" w:hanging="360"/>
      </w:pPr>
    </w:lvl>
    <w:lvl w:ilvl="8" w:tplc="3E4E8722">
      <w:start w:val="1"/>
      <w:numFmt w:val="decimal"/>
      <w:lvlText w:val="%9)"/>
      <w:lvlJc w:val="left"/>
      <w:pPr>
        <w:ind w:left="72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C1870E8"/>
    <w:multiLevelType w:val="hybridMultilevel"/>
    <w:tmpl w:val="AA7E37C6"/>
    <w:lvl w:ilvl="0" w:tplc="343A1142">
      <w:start w:val="1"/>
      <w:numFmt w:val="decimal"/>
      <w:lvlText w:val="%1."/>
      <w:lvlJc w:val="left"/>
      <w:pPr>
        <w:ind w:left="1020" w:hanging="360"/>
      </w:pPr>
    </w:lvl>
    <w:lvl w:ilvl="1" w:tplc="868E7AC6">
      <w:start w:val="1"/>
      <w:numFmt w:val="decimal"/>
      <w:lvlText w:val="%2."/>
      <w:lvlJc w:val="left"/>
      <w:pPr>
        <w:ind w:left="1020" w:hanging="360"/>
      </w:pPr>
    </w:lvl>
    <w:lvl w:ilvl="2" w:tplc="5A249A44">
      <w:start w:val="1"/>
      <w:numFmt w:val="decimal"/>
      <w:lvlText w:val="%3."/>
      <w:lvlJc w:val="left"/>
      <w:pPr>
        <w:ind w:left="1020" w:hanging="360"/>
      </w:pPr>
    </w:lvl>
    <w:lvl w:ilvl="3" w:tplc="D36EDC20">
      <w:start w:val="1"/>
      <w:numFmt w:val="decimal"/>
      <w:lvlText w:val="%4."/>
      <w:lvlJc w:val="left"/>
      <w:pPr>
        <w:ind w:left="1020" w:hanging="360"/>
      </w:pPr>
    </w:lvl>
    <w:lvl w:ilvl="4" w:tplc="52C26290">
      <w:start w:val="1"/>
      <w:numFmt w:val="decimal"/>
      <w:lvlText w:val="%5."/>
      <w:lvlJc w:val="left"/>
      <w:pPr>
        <w:ind w:left="1020" w:hanging="360"/>
      </w:pPr>
    </w:lvl>
    <w:lvl w:ilvl="5" w:tplc="A6FA3E14">
      <w:start w:val="1"/>
      <w:numFmt w:val="decimal"/>
      <w:lvlText w:val="%6."/>
      <w:lvlJc w:val="left"/>
      <w:pPr>
        <w:ind w:left="1020" w:hanging="360"/>
      </w:pPr>
    </w:lvl>
    <w:lvl w:ilvl="6" w:tplc="F4AAE700">
      <w:start w:val="1"/>
      <w:numFmt w:val="decimal"/>
      <w:lvlText w:val="%7."/>
      <w:lvlJc w:val="left"/>
      <w:pPr>
        <w:ind w:left="1020" w:hanging="360"/>
      </w:pPr>
    </w:lvl>
    <w:lvl w:ilvl="7" w:tplc="A5AC4C56">
      <w:start w:val="1"/>
      <w:numFmt w:val="decimal"/>
      <w:lvlText w:val="%8."/>
      <w:lvlJc w:val="left"/>
      <w:pPr>
        <w:ind w:left="1020" w:hanging="360"/>
      </w:pPr>
    </w:lvl>
    <w:lvl w:ilvl="8" w:tplc="E0D87BD2">
      <w:start w:val="1"/>
      <w:numFmt w:val="decimal"/>
      <w:lvlText w:val="%9."/>
      <w:lvlJc w:val="left"/>
      <w:pPr>
        <w:ind w:left="1020" w:hanging="360"/>
      </w:p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88E03E4"/>
    <w:multiLevelType w:val="hybridMultilevel"/>
    <w:tmpl w:val="06E62998"/>
    <w:lvl w:ilvl="0" w:tplc="25F805E2">
      <w:start w:val="1"/>
      <w:numFmt w:val="decimal"/>
      <w:lvlText w:val="%1)"/>
      <w:lvlJc w:val="left"/>
      <w:pPr>
        <w:ind w:left="720" w:hanging="360"/>
      </w:pPr>
    </w:lvl>
    <w:lvl w:ilvl="1" w:tplc="FAFEA8FE">
      <w:start w:val="1"/>
      <w:numFmt w:val="decimal"/>
      <w:lvlText w:val="%2)"/>
      <w:lvlJc w:val="left"/>
      <w:pPr>
        <w:ind w:left="720" w:hanging="360"/>
      </w:pPr>
    </w:lvl>
    <w:lvl w:ilvl="2" w:tplc="C5F043B2">
      <w:start w:val="1"/>
      <w:numFmt w:val="decimal"/>
      <w:lvlText w:val="%3)"/>
      <w:lvlJc w:val="left"/>
      <w:pPr>
        <w:ind w:left="720" w:hanging="360"/>
      </w:pPr>
    </w:lvl>
    <w:lvl w:ilvl="3" w:tplc="9814CECE">
      <w:start w:val="1"/>
      <w:numFmt w:val="decimal"/>
      <w:lvlText w:val="%4)"/>
      <w:lvlJc w:val="left"/>
      <w:pPr>
        <w:ind w:left="720" w:hanging="360"/>
      </w:pPr>
    </w:lvl>
    <w:lvl w:ilvl="4" w:tplc="476A0D56">
      <w:start w:val="1"/>
      <w:numFmt w:val="decimal"/>
      <w:lvlText w:val="%5)"/>
      <w:lvlJc w:val="left"/>
      <w:pPr>
        <w:ind w:left="720" w:hanging="360"/>
      </w:pPr>
    </w:lvl>
    <w:lvl w:ilvl="5" w:tplc="11101862">
      <w:start w:val="1"/>
      <w:numFmt w:val="decimal"/>
      <w:lvlText w:val="%6)"/>
      <w:lvlJc w:val="left"/>
      <w:pPr>
        <w:ind w:left="720" w:hanging="360"/>
      </w:pPr>
    </w:lvl>
    <w:lvl w:ilvl="6" w:tplc="ED14A4E4">
      <w:start w:val="1"/>
      <w:numFmt w:val="decimal"/>
      <w:lvlText w:val="%7)"/>
      <w:lvlJc w:val="left"/>
      <w:pPr>
        <w:ind w:left="720" w:hanging="360"/>
      </w:pPr>
    </w:lvl>
    <w:lvl w:ilvl="7" w:tplc="329CF6A2">
      <w:start w:val="1"/>
      <w:numFmt w:val="decimal"/>
      <w:lvlText w:val="%8)"/>
      <w:lvlJc w:val="left"/>
      <w:pPr>
        <w:ind w:left="720" w:hanging="360"/>
      </w:pPr>
    </w:lvl>
    <w:lvl w:ilvl="8" w:tplc="5AECAD32">
      <w:start w:val="1"/>
      <w:numFmt w:val="decimal"/>
      <w:lvlText w:val="%9)"/>
      <w:lvlJc w:val="left"/>
      <w:pPr>
        <w:ind w:left="720" w:hanging="360"/>
      </w:p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3EE3CF8"/>
    <w:multiLevelType w:val="hybridMultilevel"/>
    <w:tmpl w:val="2872FCAA"/>
    <w:lvl w:ilvl="0" w:tplc="E5E28A5A">
      <w:start w:val="1"/>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30919553">
    <w:abstractNumId w:val="3"/>
  </w:num>
  <w:num w:numId="2" w16cid:durableId="2133818612">
    <w:abstractNumId w:val="2"/>
  </w:num>
  <w:num w:numId="3" w16cid:durableId="1992979507">
    <w:abstractNumId w:val="1"/>
  </w:num>
  <w:num w:numId="4" w16cid:durableId="875123826">
    <w:abstractNumId w:val="0"/>
  </w:num>
  <w:num w:numId="5" w16cid:durableId="1514146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911031">
    <w:abstractNumId w:val="23"/>
    <w:lvlOverride w:ilvl="0">
      <w:startOverride w:val="1"/>
    </w:lvlOverride>
  </w:num>
  <w:num w:numId="7" w16cid:durableId="512652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8738520">
    <w:abstractNumId w:val="22"/>
  </w:num>
  <w:num w:numId="9" w16cid:durableId="1578322458">
    <w:abstractNumId w:val="19"/>
  </w:num>
  <w:num w:numId="10" w16cid:durableId="252129417">
    <w:abstractNumId w:val="10"/>
  </w:num>
  <w:num w:numId="11" w16cid:durableId="1332297567">
    <w:abstractNumId w:val="21"/>
  </w:num>
  <w:num w:numId="12" w16cid:durableId="1797290632">
    <w:abstractNumId w:val="9"/>
  </w:num>
  <w:num w:numId="13" w16cid:durableId="1877890052">
    <w:abstractNumId w:val="11"/>
  </w:num>
  <w:num w:numId="14" w16cid:durableId="1836452940">
    <w:abstractNumId w:val="12"/>
  </w:num>
  <w:num w:numId="15" w16cid:durableId="29116739">
    <w:abstractNumId w:val="6"/>
  </w:num>
  <w:num w:numId="16" w16cid:durableId="1911184903">
    <w:abstractNumId w:val="20"/>
  </w:num>
  <w:num w:numId="17" w16cid:durableId="582759604">
    <w:abstractNumId w:val="5"/>
  </w:num>
  <w:num w:numId="18" w16cid:durableId="302545217">
    <w:abstractNumId w:val="13"/>
  </w:num>
  <w:num w:numId="19" w16cid:durableId="1865094813">
    <w:abstractNumId w:val="17"/>
  </w:num>
  <w:num w:numId="20" w16cid:durableId="501353979">
    <w:abstractNumId w:val="18"/>
  </w:num>
  <w:num w:numId="21" w16cid:durableId="1552837262">
    <w:abstractNumId w:val="8"/>
  </w:num>
  <w:num w:numId="22" w16cid:durableId="1917088120">
    <w:abstractNumId w:val="15"/>
  </w:num>
  <w:num w:numId="23" w16cid:durableId="1768428639">
    <w:abstractNumId w:val="23"/>
  </w:num>
  <w:num w:numId="24" w16cid:durableId="645666935">
    <w:abstractNumId w:val="19"/>
  </w:num>
  <w:num w:numId="25" w16cid:durableId="1846626218">
    <w:abstractNumId w:val="10"/>
  </w:num>
  <w:num w:numId="26" w16cid:durableId="872159648">
    <w:abstractNumId w:val="21"/>
  </w:num>
  <w:num w:numId="27" w16cid:durableId="68622383">
    <w:abstractNumId w:val="9"/>
  </w:num>
  <w:num w:numId="28" w16cid:durableId="1908539722">
    <w:abstractNumId w:val="11"/>
  </w:num>
  <w:num w:numId="29" w16cid:durableId="991258187">
    <w:abstractNumId w:val="12"/>
  </w:num>
  <w:num w:numId="30" w16cid:durableId="1281645266">
    <w:abstractNumId w:val="6"/>
  </w:num>
  <w:num w:numId="31" w16cid:durableId="159196966">
    <w:abstractNumId w:val="20"/>
  </w:num>
  <w:num w:numId="32" w16cid:durableId="2118212741">
    <w:abstractNumId w:val="5"/>
  </w:num>
  <w:num w:numId="33" w16cid:durableId="2137678133">
    <w:abstractNumId w:val="13"/>
  </w:num>
  <w:num w:numId="34" w16cid:durableId="1572277901">
    <w:abstractNumId w:val="17"/>
  </w:num>
  <w:num w:numId="35" w16cid:durableId="1828395922">
    <w:abstractNumId w:val="18"/>
  </w:num>
  <w:num w:numId="36" w16cid:durableId="177472993">
    <w:abstractNumId w:val="8"/>
  </w:num>
  <w:num w:numId="37" w16cid:durableId="734164481">
    <w:abstractNumId w:val="15"/>
  </w:num>
  <w:num w:numId="38" w16cid:durableId="659424617">
    <w:abstractNumId w:val="23"/>
  </w:num>
  <w:num w:numId="39" w16cid:durableId="1032611554">
    <w:abstractNumId w:val="4"/>
  </w:num>
  <w:num w:numId="40" w16cid:durableId="1332566946">
    <w:abstractNumId w:val="14"/>
  </w:num>
  <w:num w:numId="41" w16cid:durableId="1979534220">
    <w:abstractNumId w:val="16"/>
  </w:num>
  <w:num w:numId="42" w16cid:durableId="143609370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8-25 17:34: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FFB7CC75-994C-461D-B848-B96DC2FFB2AA"/>
    <w:docVar w:name="LW_COVERPAGE_TYPE" w:val="1"/>
    <w:docVar w:name="LW_CreatedUtc" w:val="2025-05-23T13:35:50.2064963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5) XXX"/>
    <w:docVar w:name="LW_REF.INTERNE" w:val="PLAN/2025/1126 CIS (POOL/G5/2025/1126/1126-EN CIS.docx)"/>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429/2008 as regards the application form for authorisations of feed additives and the designation of target animal species and categories"/>
    <w:docVar w:name="LW_TYPE.DOC.CP" w:val="COMMISSION IMPLEMENTING REGULATION (EU) \u8230?/..."/>
  </w:docVars>
  <w:rsids>
    <w:rsidRoot w:val="00C47122"/>
    <w:rsid w:val="00000141"/>
    <w:rsid w:val="0000069D"/>
    <w:rsid w:val="000028FE"/>
    <w:rsid w:val="000035FC"/>
    <w:rsid w:val="00003B4B"/>
    <w:rsid w:val="00006C0B"/>
    <w:rsid w:val="00007884"/>
    <w:rsid w:val="00015914"/>
    <w:rsid w:val="0001609A"/>
    <w:rsid w:val="00017DCF"/>
    <w:rsid w:val="00030CAF"/>
    <w:rsid w:val="0004128B"/>
    <w:rsid w:val="00045055"/>
    <w:rsid w:val="00060D44"/>
    <w:rsid w:val="00072301"/>
    <w:rsid w:val="00072E3A"/>
    <w:rsid w:val="00073631"/>
    <w:rsid w:val="00074C2F"/>
    <w:rsid w:val="000750C4"/>
    <w:rsid w:val="00075D4B"/>
    <w:rsid w:val="00080479"/>
    <w:rsid w:val="00083244"/>
    <w:rsid w:val="00090119"/>
    <w:rsid w:val="00090C9E"/>
    <w:rsid w:val="00096D4D"/>
    <w:rsid w:val="0009703E"/>
    <w:rsid w:val="000A0D61"/>
    <w:rsid w:val="000A381D"/>
    <w:rsid w:val="000C1FFB"/>
    <w:rsid w:val="000C51C1"/>
    <w:rsid w:val="000C68CD"/>
    <w:rsid w:val="000D5CC4"/>
    <w:rsid w:val="000D5EF1"/>
    <w:rsid w:val="000D6307"/>
    <w:rsid w:val="000E268F"/>
    <w:rsid w:val="000E51E8"/>
    <w:rsid w:val="000F1189"/>
    <w:rsid w:val="000F287E"/>
    <w:rsid w:val="001065F5"/>
    <w:rsid w:val="001159C7"/>
    <w:rsid w:val="00117E86"/>
    <w:rsid w:val="00122A22"/>
    <w:rsid w:val="001238EF"/>
    <w:rsid w:val="0012398D"/>
    <w:rsid w:val="0013680A"/>
    <w:rsid w:val="00136A00"/>
    <w:rsid w:val="00141115"/>
    <w:rsid w:val="00141FD7"/>
    <w:rsid w:val="0014586E"/>
    <w:rsid w:val="001479E3"/>
    <w:rsid w:val="0015005D"/>
    <w:rsid w:val="001502B4"/>
    <w:rsid w:val="001509EF"/>
    <w:rsid w:val="00151809"/>
    <w:rsid w:val="0015554B"/>
    <w:rsid w:val="00162E6D"/>
    <w:rsid w:val="00163265"/>
    <w:rsid w:val="00167921"/>
    <w:rsid w:val="00167A5D"/>
    <w:rsid w:val="0018747E"/>
    <w:rsid w:val="00190D35"/>
    <w:rsid w:val="00197613"/>
    <w:rsid w:val="00197F40"/>
    <w:rsid w:val="001A1BE4"/>
    <w:rsid w:val="001A47C0"/>
    <w:rsid w:val="001A74D1"/>
    <w:rsid w:val="001B014C"/>
    <w:rsid w:val="001C0100"/>
    <w:rsid w:val="001C23CA"/>
    <w:rsid w:val="001C2804"/>
    <w:rsid w:val="001C38B3"/>
    <w:rsid w:val="001D23AA"/>
    <w:rsid w:val="001D284C"/>
    <w:rsid w:val="001E4805"/>
    <w:rsid w:val="001E6138"/>
    <w:rsid w:val="001E6801"/>
    <w:rsid w:val="001F4007"/>
    <w:rsid w:val="001F4826"/>
    <w:rsid w:val="00200A3D"/>
    <w:rsid w:val="0020639E"/>
    <w:rsid w:val="00220FEB"/>
    <w:rsid w:val="00224856"/>
    <w:rsid w:val="00231747"/>
    <w:rsid w:val="002323C2"/>
    <w:rsid w:val="002331AA"/>
    <w:rsid w:val="00233DC7"/>
    <w:rsid w:val="00234309"/>
    <w:rsid w:val="002353FF"/>
    <w:rsid w:val="00235FC6"/>
    <w:rsid w:val="00242F98"/>
    <w:rsid w:val="00243744"/>
    <w:rsid w:val="002442D2"/>
    <w:rsid w:val="00247779"/>
    <w:rsid w:val="00254A20"/>
    <w:rsid w:val="00257CB8"/>
    <w:rsid w:val="00265626"/>
    <w:rsid w:val="002679B7"/>
    <w:rsid w:val="00270549"/>
    <w:rsid w:val="002730B5"/>
    <w:rsid w:val="002752F1"/>
    <w:rsid w:val="00285BEE"/>
    <w:rsid w:val="0029427C"/>
    <w:rsid w:val="0029533F"/>
    <w:rsid w:val="00296BA8"/>
    <w:rsid w:val="002A086B"/>
    <w:rsid w:val="002A2923"/>
    <w:rsid w:val="002A69F9"/>
    <w:rsid w:val="002B30AF"/>
    <w:rsid w:val="002B77AA"/>
    <w:rsid w:val="002B7BC5"/>
    <w:rsid w:val="002C135B"/>
    <w:rsid w:val="002C1639"/>
    <w:rsid w:val="002C4C4D"/>
    <w:rsid w:val="002C5556"/>
    <w:rsid w:val="002D27A7"/>
    <w:rsid w:val="002D325D"/>
    <w:rsid w:val="002E461A"/>
    <w:rsid w:val="002E4969"/>
    <w:rsid w:val="002F5B3F"/>
    <w:rsid w:val="002F7740"/>
    <w:rsid w:val="0030200D"/>
    <w:rsid w:val="00307B29"/>
    <w:rsid w:val="003137D2"/>
    <w:rsid w:val="00314D2C"/>
    <w:rsid w:val="00320625"/>
    <w:rsid w:val="003305F7"/>
    <w:rsid w:val="00331979"/>
    <w:rsid w:val="00331E26"/>
    <w:rsid w:val="0033344A"/>
    <w:rsid w:val="00333D5E"/>
    <w:rsid w:val="00343094"/>
    <w:rsid w:val="003430BE"/>
    <w:rsid w:val="0035108E"/>
    <w:rsid w:val="00351F89"/>
    <w:rsid w:val="0035272A"/>
    <w:rsid w:val="00355DB6"/>
    <w:rsid w:val="003566C5"/>
    <w:rsid w:val="00363925"/>
    <w:rsid w:val="00365466"/>
    <w:rsid w:val="00365BFD"/>
    <w:rsid w:val="0037361D"/>
    <w:rsid w:val="0037393E"/>
    <w:rsid w:val="00377445"/>
    <w:rsid w:val="003828ED"/>
    <w:rsid w:val="00391752"/>
    <w:rsid w:val="00392863"/>
    <w:rsid w:val="00393A6A"/>
    <w:rsid w:val="003A1053"/>
    <w:rsid w:val="003A26FC"/>
    <w:rsid w:val="003A27A3"/>
    <w:rsid w:val="003A2B3E"/>
    <w:rsid w:val="003A48C6"/>
    <w:rsid w:val="003B0B10"/>
    <w:rsid w:val="003B6C01"/>
    <w:rsid w:val="003B7AE0"/>
    <w:rsid w:val="003B7AE6"/>
    <w:rsid w:val="003C196F"/>
    <w:rsid w:val="003C1D45"/>
    <w:rsid w:val="003C4322"/>
    <w:rsid w:val="003C4943"/>
    <w:rsid w:val="003C6C1D"/>
    <w:rsid w:val="003D4933"/>
    <w:rsid w:val="003D778A"/>
    <w:rsid w:val="003E0E07"/>
    <w:rsid w:val="003E27CA"/>
    <w:rsid w:val="003E6E0F"/>
    <w:rsid w:val="003E764C"/>
    <w:rsid w:val="003F731B"/>
    <w:rsid w:val="00404DD5"/>
    <w:rsid w:val="00417502"/>
    <w:rsid w:val="004223E1"/>
    <w:rsid w:val="004247F3"/>
    <w:rsid w:val="0042648E"/>
    <w:rsid w:val="00426A31"/>
    <w:rsid w:val="0043031D"/>
    <w:rsid w:val="0043350F"/>
    <w:rsid w:val="00441520"/>
    <w:rsid w:val="00442BCE"/>
    <w:rsid w:val="004672C8"/>
    <w:rsid w:val="004678FE"/>
    <w:rsid w:val="00480588"/>
    <w:rsid w:val="004936D2"/>
    <w:rsid w:val="004949B7"/>
    <w:rsid w:val="0049584C"/>
    <w:rsid w:val="00497B14"/>
    <w:rsid w:val="004A577F"/>
    <w:rsid w:val="004B5992"/>
    <w:rsid w:val="004C0144"/>
    <w:rsid w:val="004C2892"/>
    <w:rsid w:val="004D7B48"/>
    <w:rsid w:val="004E4E7D"/>
    <w:rsid w:val="004F32CE"/>
    <w:rsid w:val="00502767"/>
    <w:rsid w:val="00503D08"/>
    <w:rsid w:val="00506C14"/>
    <w:rsid w:val="0050723A"/>
    <w:rsid w:val="0051196A"/>
    <w:rsid w:val="005138B8"/>
    <w:rsid w:val="0052405F"/>
    <w:rsid w:val="005317DF"/>
    <w:rsid w:val="005358BB"/>
    <w:rsid w:val="005436E6"/>
    <w:rsid w:val="005438B0"/>
    <w:rsid w:val="00555F1A"/>
    <w:rsid w:val="00560888"/>
    <w:rsid w:val="00564DF3"/>
    <w:rsid w:val="00565A8F"/>
    <w:rsid w:val="00582D7E"/>
    <w:rsid w:val="005841EC"/>
    <w:rsid w:val="00590D69"/>
    <w:rsid w:val="005A370D"/>
    <w:rsid w:val="005A5E3B"/>
    <w:rsid w:val="005B1EB6"/>
    <w:rsid w:val="005B66DF"/>
    <w:rsid w:val="005D4158"/>
    <w:rsid w:val="005E2D43"/>
    <w:rsid w:val="005F00CB"/>
    <w:rsid w:val="005F2E6C"/>
    <w:rsid w:val="005F35FE"/>
    <w:rsid w:val="005F7109"/>
    <w:rsid w:val="005F71C6"/>
    <w:rsid w:val="00602158"/>
    <w:rsid w:val="00602398"/>
    <w:rsid w:val="00605ACC"/>
    <w:rsid w:val="006071DD"/>
    <w:rsid w:val="0061078E"/>
    <w:rsid w:val="00613205"/>
    <w:rsid w:val="00613C73"/>
    <w:rsid w:val="0061529E"/>
    <w:rsid w:val="00620BD8"/>
    <w:rsid w:val="00621F51"/>
    <w:rsid w:val="00623259"/>
    <w:rsid w:val="00625219"/>
    <w:rsid w:val="006308F8"/>
    <w:rsid w:val="006374EA"/>
    <w:rsid w:val="00637D98"/>
    <w:rsid w:val="0064262F"/>
    <w:rsid w:val="00647322"/>
    <w:rsid w:val="00651836"/>
    <w:rsid w:val="006603AF"/>
    <w:rsid w:val="0066224D"/>
    <w:rsid w:val="00666503"/>
    <w:rsid w:val="00681101"/>
    <w:rsid w:val="0068222F"/>
    <w:rsid w:val="00686142"/>
    <w:rsid w:val="0069114D"/>
    <w:rsid w:val="00693061"/>
    <w:rsid w:val="00694FD5"/>
    <w:rsid w:val="00697A35"/>
    <w:rsid w:val="006B1F27"/>
    <w:rsid w:val="006B2555"/>
    <w:rsid w:val="006B3885"/>
    <w:rsid w:val="006B50CD"/>
    <w:rsid w:val="006C102E"/>
    <w:rsid w:val="006C10EA"/>
    <w:rsid w:val="006C61C0"/>
    <w:rsid w:val="006E13F8"/>
    <w:rsid w:val="006E20B0"/>
    <w:rsid w:val="006E629C"/>
    <w:rsid w:val="006E7317"/>
    <w:rsid w:val="006F5AF1"/>
    <w:rsid w:val="006F5D11"/>
    <w:rsid w:val="007000C7"/>
    <w:rsid w:val="00700E3E"/>
    <w:rsid w:val="00702E9C"/>
    <w:rsid w:val="007035E0"/>
    <w:rsid w:val="0070471D"/>
    <w:rsid w:val="007108AC"/>
    <w:rsid w:val="00713A94"/>
    <w:rsid w:val="00713B21"/>
    <w:rsid w:val="00713B52"/>
    <w:rsid w:val="007149A8"/>
    <w:rsid w:val="00722626"/>
    <w:rsid w:val="007362EF"/>
    <w:rsid w:val="0074037F"/>
    <w:rsid w:val="00750D89"/>
    <w:rsid w:val="007530C5"/>
    <w:rsid w:val="00754E32"/>
    <w:rsid w:val="0076047F"/>
    <w:rsid w:val="00760BCE"/>
    <w:rsid w:val="007641E5"/>
    <w:rsid w:val="007646DA"/>
    <w:rsid w:val="0076652D"/>
    <w:rsid w:val="00766EBE"/>
    <w:rsid w:val="00766F75"/>
    <w:rsid w:val="007709B4"/>
    <w:rsid w:val="00773331"/>
    <w:rsid w:val="00773D12"/>
    <w:rsid w:val="007779C2"/>
    <w:rsid w:val="00780CB5"/>
    <w:rsid w:val="00782AB8"/>
    <w:rsid w:val="00783F2E"/>
    <w:rsid w:val="0078569A"/>
    <w:rsid w:val="0079262D"/>
    <w:rsid w:val="007932EF"/>
    <w:rsid w:val="007A00E5"/>
    <w:rsid w:val="007A1345"/>
    <w:rsid w:val="007A25BB"/>
    <w:rsid w:val="007A6AEC"/>
    <w:rsid w:val="007A7E88"/>
    <w:rsid w:val="007C0F6A"/>
    <w:rsid w:val="007D4CB1"/>
    <w:rsid w:val="007D5C59"/>
    <w:rsid w:val="007E05B0"/>
    <w:rsid w:val="007E2441"/>
    <w:rsid w:val="007E32C2"/>
    <w:rsid w:val="007F1844"/>
    <w:rsid w:val="007F1C35"/>
    <w:rsid w:val="007F3741"/>
    <w:rsid w:val="007F5230"/>
    <w:rsid w:val="008009E4"/>
    <w:rsid w:val="00807DEB"/>
    <w:rsid w:val="008146D8"/>
    <w:rsid w:val="0081555A"/>
    <w:rsid w:val="008169F0"/>
    <w:rsid w:val="00820405"/>
    <w:rsid w:val="00820B6D"/>
    <w:rsid w:val="00830199"/>
    <w:rsid w:val="00830E4D"/>
    <w:rsid w:val="00830F4A"/>
    <w:rsid w:val="0083264D"/>
    <w:rsid w:val="00837388"/>
    <w:rsid w:val="00841726"/>
    <w:rsid w:val="00845084"/>
    <w:rsid w:val="00851FCE"/>
    <w:rsid w:val="00852E16"/>
    <w:rsid w:val="00873038"/>
    <w:rsid w:val="00874D22"/>
    <w:rsid w:val="008766E3"/>
    <w:rsid w:val="00882E13"/>
    <w:rsid w:val="00883C19"/>
    <w:rsid w:val="0088633B"/>
    <w:rsid w:val="00895429"/>
    <w:rsid w:val="00896DAF"/>
    <w:rsid w:val="008A0CB4"/>
    <w:rsid w:val="008A2914"/>
    <w:rsid w:val="008A64B1"/>
    <w:rsid w:val="008A6FAD"/>
    <w:rsid w:val="008B21CA"/>
    <w:rsid w:val="008B582D"/>
    <w:rsid w:val="008B5AAD"/>
    <w:rsid w:val="008B692A"/>
    <w:rsid w:val="008B703E"/>
    <w:rsid w:val="008C1194"/>
    <w:rsid w:val="008C2A08"/>
    <w:rsid w:val="008C5A5F"/>
    <w:rsid w:val="008E240F"/>
    <w:rsid w:val="008E4D8E"/>
    <w:rsid w:val="008F1A68"/>
    <w:rsid w:val="008F3B31"/>
    <w:rsid w:val="008F423D"/>
    <w:rsid w:val="008F5174"/>
    <w:rsid w:val="009136AB"/>
    <w:rsid w:val="00915BD8"/>
    <w:rsid w:val="00917A9B"/>
    <w:rsid w:val="00923741"/>
    <w:rsid w:val="0092474E"/>
    <w:rsid w:val="00924BF0"/>
    <w:rsid w:val="009253A7"/>
    <w:rsid w:val="00925B33"/>
    <w:rsid w:val="0093389A"/>
    <w:rsid w:val="00933CC8"/>
    <w:rsid w:val="00935720"/>
    <w:rsid w:val="00945EB7"/>
    <w:rsid w:val="00947611"/>
    <w:rsid w:val="00954F85"/>
    <w:rsid w:val="00955186"/>
    <w:rsid w:val="00956C1E"/>
    <w:rsid w:val="009648D0"/>
    <w:rsid w:val="00964B33"/>
    <w:rsid w:val="009665FE"/>
    <w:rsid w:val="00966B55"/>
    <w:rsid w:val="00974B8F"/>
    <w:rsid w:val="00977FD2"/>
    <w:rsid w:val="00980BD2"/>
    <w:rsid w:val="00983125"/>
    <w:rsid w:val="00984E83"/>
    <w:rsid w:val="00985A50"/>
    <w:rsid w:val="00990546"/>
    <w:rsid w:val="00995725"/>
    <w:rsid w:val="009A2182"/>
    <w:rsid w:val="009A4A81"/>
    <w:rsid w:val="009A5520"/>
    <w:rsid w:val="009B120C"/>
    <w:rsid w:val="009B38A5"/>
    <w:rsid w:val="009B76FC"/>
    <w:rsid w:val="009C1D0E"/>
    <w:rsid w:val="009C6688"/>
    <w:rsid w:val="009D0DB1"/>
    <w:rsid w:val="009D2E78"/>
    <w:rsid w:val="009E062A"/>
    <w:rsid w:val="009E4F50"/>
    <w:rsid w:val="009E6EEE"/>
    <w:rsid w:val="009F1645"/>
    <w:rsid w:val="009F195F"/>
    <w:rsid w:val="00A014E8"/>
    <w:rsid w:val="00A1746F"/>
    <w:rsid w:val="00A17AF9"/>
    <w:rsid w:val="00A2061B"/>
    <w:rsid w:val="00A2247C"/>
    <w:rsid w:val="00A23F9B"/>
    <w:rsid w:val="00A3505A"/>
    <w:rsid w:val="00A401A2"/>
    <w:rsid w:val="00A43CDF"/>
    <w:rsid w:val="00A44AD6"/>
    <w:rsid w:val="00A46663"/>
    <w:rsid w:val="00A540D2"/>
    <w:rsid w:val="00A5707B"/>
    <w:rsid w:val="00A6539F"/>
    <w:rsid w:val="00A70B7F"/>
    <w:rsid w:val="00A7532D"/>
    <w:rsid w:val="00A816C7"/>
    <w:rsid w:val="00A904C3"/>
    <w:rsid w:val="00A91413"/>
    <w:rsid w:val="00A914BF"/>
    <w:rsid w:val="00A94A05"/>
    <w:rsid w:val="00AA6294"/>
    <w:rsid w:val="00AB2BEE"/>
    <w:rsid w:val="00AB58E7"/>
    <w:rsid w:val="00AC4689"/>
    <w:rsid w:val="00AC55EA"/>
    <w:rsid w:val="00AC763E"/>
    <w:rsid w:val="00AD0A44"/>
    <w:rsid w:val="00AD1C52"/>
    <w:rsid w:val="00AD20DD"/>
    <w:rsid w:val="00AD2CD3"/>
    <w:rsid w:val="00AD62E4"/>
    <w:rsid w:val="00AE5AB5"/>
    <w:rsid w:val="00B057F8"/>
    <w:rsid w:val="00B07E73"/>
    <w:rsid w:val="00B10C8F"/>
    <w:rsid w:val="00B12D5A"/>
    <w:rsid w:val="00B14562"/>
    <w:rsid w:val="00B166C0"/>
    <w:rsid w:val="00B216BC"/>
    <w:rsid w:val="00B239F8"/>
    <w:rsid w:val="00B31E5F"/>
    <w:rsid w:val="00B36D99"/>
    <w:rsid w:val="00B40260"/>
    <w:rsid w:val="00B41719"/>
    <w:rsid w:val="00B41FD8"/>
    <w:rsid w:val="00B42C64"/>
    <w:rsid w:val="00B50719"/>
    <w:rsid w:val="00B50D1A"/>
    <w:rsid w:val="00B5349F"/>
    <w:rsid w:val="00B53809"/>
    <w:rsid w:val="00B647CE"/>
    <w:rsid w:val="00B65E4A"/>
    <w:rsid w:val="00B73BD4"/>
    <w:rsid w:val="00B749B5"/>
    <w:rsid w:val="00B7588E"/>
    <w:rsid w:val="00B77C3F"/>
    <w:rsid w:val="00B82E98"/>
    <w:rsid w:val="00B87347"/>
    <w:rsid w:val="00BA05D0"/>
    <w:rsid w:val="00BA12B6"/>
    <w:rsid w:val="00BA1CBF"/>
    <w:rsid w:val="00BA2A61"/>
    <w:rsid w:val="00BA7A11"/>
    <w:rsid w:val="00BA7D29"/>
    <w:rsid w:val="00BB34B4"/>
    <w:rsid w:val="00BB6766"/>
    <w:rsid w:val="00BC114A"/>
    <w:rsid w:val="00BC5A09"/>
    <w:rsid w:val="00BC7F89"/>
    <w:rsid w:val="00BD219A"/>
    <w:rsid w:val="00BD499B"/>
    <w:rsid w:val="00BE0C5E"/>
    <w:rsid w:val="00BF108C"/>
    <w:rsid w:val="00BF3360"/>
    <w:rsid w:val="00BF4559"/>
    <w:rsid w:val="00BF45BD"/>
    <w:rsid w:val="00C06DB9"/>
    <w:rsid w:val="00C12301"/>
    <w:rsid w:val="00C16AAF"/>
    <w:rsid w:val="00C16F0F"/>
    <w:rsid w:val="00C20683"/>
    <w:rsid w:val="00C31889"/>
    <w:rsid w:val="00C4425D"/>
    <w:rsid w:val="00C47122"/>
    <w:rsid w:val="00C478EB"/>
    <w:rsid w:val="00C47B34"/>
    <w:rsid w:val="00C53B93"/>
    <w:rsid w:val="00C72490"/>
    <w:rsid w:val="00C7294A"/>
    <w:rsid w:val="00C76539"/>
    <w:rsid w:val="00C8428E"/>
    <w:rsid w:val="00CA206C"/>
    <w:rsid w:val="00CA7DC2"/>
    <w:rsid w:val="00CB4D8C"/>
    <w:rsid w:val="00CB670E"/>
    <w:rsid w:val="00CC14E3"/>
    <w:rsid w:val="00CC6DC1"/>
    <w:rsid w:val="00CF00DD"/>
    <w:rsid w:val="00CF1B1D"/>
    <w:rsid w:val="00CF3F83"/>
    <w:rsid w:val="00CF4E0A"/>
    <w:rsid w:val="00CF6C24"/>
    <w:rsid w:val="00CF74D7"/>
    <w:rsid w:val="00CF789B"/>
    <w:rsid w:val="00D002CF"/>
    <w:rsid w:val="00D021B6"/>
    <w:rsid w:val="00D02F07"/>
    <w:rsid w:val="00D10277"/>
    <w:rsid w:val="00D12CB1"/>
    <w:rsid w:val="00D152E1"/>
    <w:rsid w:val="00D20381"/>
    <w:rsid w:val="00D21AF1"/>
    <w:rsid w:val="00D244C3"/>
    <w:rsid w:val="00D31988"/>
    <w:rsid w:val="00D31F37"/>
    <w:rsid w:val="00D374E5"/>
    <w:rsid w:val="00D40668"/>
    <w:rsid w:val="00D4426C"/>
    <w:rsid w:val="00D4739F"/>
    <w:rsid w:val="00D51C67"/>
    <w:rsid w:val="00D5405A"/>
    <w:rsid w:val="00D5610D"/>
    <w:rsid w:val="00D65F62"/>
    <w:rsid w:val="00D7034D"/>
    <w:rsid w:val="00D729FB"/>
    <w:rsid w:val="00D7458D"/>
    <w:rsid w:val="00D76370"/>
    <w:rsid w:val="00D766F2"/>
    <w:rsid w:val="00D8060C"/>
    <w:rsid w:val="00D865A5"/>
    <w:rsid w:val="00D87BEF"/>
    <w:rsid w:val="00D94240"/>
    <w:rsid w:val="00DA4968"/>
    <w:rsid w:val="00DB5B3E"/>
    <w:rsid w:val="00DB5FD4"/>
    <w:rsid w:val="00DB71B1"/>
    <w:rsid w:val="00DB7923"/>
    <w:rsid w:val="00DB7EF9"/>
    <w:rsid w:val="00DC4DD3"/>
    <w:rsid w:val="00DC7027"/>
    <w:rsid w:val="00DD0138"/>
    <w:rsid w:val="00DD4056"/>
    <w:rsid w:val="00DD50D5"/>
    <w:rsid w:val="00DD59C0"/>
    <w:rsid w:val="00DD6961"/>
    <w:rsid w:val="00DD6EA0"/>
    <w:rsid w:val="00DF529A"/>
    <w:rsid w:val="00DF73F9"/>
    <w:rsid w:val="00E00668"/>
    <w:rsid w:val="00E030D3"/>
    <w:rsid w:val="00E039FC"/>
    <w:rsid w:val="00E053D3"/>
    <w:rsid w:val="00E06CC7"/>
    <w:rsid w:val="00E07AA2"/>
    <w:rsid w:val="00E07E48"/>
    <w:rsid w:val="00E12048"/>
    <w:rsid w:val="00E17207"/>
    <w:rsid w:val="00E179F0"/>
    <w:rsid w:val="00E226FD"/>
    <w:rsid w:val="00E22A14"/>
    <w:rsid w:val="00E31031"/>
    <w:rsid w:val="00E42625"/>
    <w:rsid w:val="00E50E0F"/>
    <w:rsid w:val="00E54E77"/>
    <w:rsid w:val="00E575CB"/>
    <w:rsid w:val="00E57B11"/>
    <w:rsid w:val="00E60A4A"/>
    <w:rsid w:val="00E63AFD"/>
    <w:rsid w:val="00E70161"/>
    <w:rsid w:val="00E724CF"/>
    <w:rsid w:val="00E725B2"/>
    <w:rsid w:val="00E72BED"/>
    <w:rsid w:val="00E73F56"/>
    <w:rsid w:val="00E74333"/>
    <w:rsid w:val="00E77D3F"/>
    <w:rsid w:val="00E77FA3"/>
    <w:rsid w:val="00E848CB"/>
    <w:rsid w:val="00E90149"/>
    <w:rsid w:val="00E9246D"/>
    <w:rsid w:val="00E93F4E"/>
    <w:rsid w:val="00E94FF2"/>
    <w:rsid w:val="00E97BF1"/>
    <w:rsid w:val="00EA49DF"/>
    <w:rsid w:val="00EA54B1"/>
    <w:rsid w:val="00EA6D4E"/>
    <w:rsid w:val="00EA7A1C"/>
    <w:rsid w:val="00EB25CF"/>
    <w:rsid w:val="00EB2B19"/>
    <w:rsid w:val="00EB67F7"/>
    <w:rsid w:val="00EC0F6D"/>
    <w:rsid w:val="00EC299A"/>
    <w:rsid w:val="00EC699D"/>
    <w:rsid w:val="00ED18EE"/>
    <w:rsid w:val="00ED26BB"/>
    <w:rsid w:val="00EE230D"/>
    <w:rsid w:val="00EF773E"/>
    <w:rsid w:val="00F00686"/>
    <w:rsid w:val="00F01478"/>
    <w:rsid w:val="00F01B48"/>
    <w:rsid w:val="00F021D9"/>
    <w:rsid w:val="00F03071"/>
    <w:rsid w:val="00F03E6F"/>
    <w:rsid w:val="00F1531C"/>
    <w:rsid w:val="00F179C1"/>
    <w:rsid w:val="00F220A3"/>
    <w:rsid w:val="00F22AD4"/>
    <w:rsid w:val="00F242C6"/>
    <w:rsid w:val="00F30C62"/>
    <w:rsid w:val="00F32423"/>
    <w:rsid w:val="00F326CD"/>
    <w:rsid w:val="00F36E4C"/>
    <w:rsid w:val="00F44D01"/>
    <w:rsid w:val="00F45191"/>
    <w:rsid w:val="00F47673"/>
    <w:rsid w:val="00F55D45"/>
    <w:rsid w:val="00F56FED"/>
    <w:rsid w:val="00F577E1"/>
    <w:rsid w:val="00F60DDA"/>
    <w:rsid w:val="00F72497"/>
    <w:rsid w:val="00F73588"/>
    <w:rsid w:val="00F73F27"/>
    <w:rsid w:val="00F75590"/>
    <w:rsid w:val="00F75F91"/>
    <w:rsid w:val="00F846EC"/>
    <w:rsid w:val="00F84A7D"/>
    <w:rsid w:val="00F9013E"/>
    <w:rsid w:val="00F922B0"/>
    <w:rsid w:val="00FA22E9"/>
    <w:rsid w:val="00FA5D7F"/>
    <w:rsid w:val="00FB1601"/>
    <w:rsid w:val="00FB2295"/>
    <w:rsid w:val="00FB77CE"/>
    <w:rsid w:val="00FB77D8"/>
    <w:rsid w:val="00FB7E1F"/>
    <w:rsid w:val="00FC17BA"/>
    <w:rsid w:val="00FC38F8"/>
    <w:rsid w:val="00FC562D"/>
    <w:rsid w:val="00FC583B"/>
    <w:rsid w:val="00FC6929"/>
    <w:rsid w:val="00FC753E"/>
    <w:rsid w:val="00FD370C"/>
    <w:rsid w:val="00FE1764"/>
    <w:rsid w:val="00FE3C7F"/>
    <w:rsid w:val="00FF1BF2"/>
    <w:rsid w:val="00FF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8E6E82"/>
  <w15:docId w15:val="{914E0F7D-195D-460E-BDC6-8984DC77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31"/>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31"/>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31"/>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31"/>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31"/>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31"/>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31"/>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rsid w:val="00C47122"/>
    <w:pPr>
      <w:numPr>
        <w:numId w:val="1"/>
      </w:numPr>
    </w:pPr>
    <w:rPr>
      <w:rFonts w:eastAsia="Times New Roman"/>
      <w:lang w:eastAsia="en-GB"/>
    </w:rPr>
  </w:style>
  <w:style w:type="character" w:styleId="Hyperlink">
    <w:name w:val="Hyperlink"/>
    <w:basedOn w:val="Standardskrifttypeiafsnit"/>
    <w:uiPriority w:val="99"/>
    <w:unhideWhenUsed/>
    <w:rsid w:val="00C47122"/>
    <w:rPr>
      <w:color w:val="0000FF" w:themeColor="hyperlink"/>
      <w:u w:val="single"/>
    </w:rPr>
  </w:style>
  <w:style w:type="character" w:styleId="Ulstomtale">
    <w:name w:val="Unresolved Mention"/>
    <w:basedOn w:val="Standardskrifttypeiafsnit"/>
    <w:uiPriority w:val="99"/>
    <w:semiHidden/>
    <w:unhideWhenUsed/>
    <w:rsid w:val="00C47122"/>
    <w:rPr>
      <w:color w:val="605E5C"/>
      <w:shd w:val="clear" w:color="auto" w:fill="E1DFDD"/>
    </w:rPr>
  </w:style>
  <w:style w:type="paragraph" w:styleId="Listeafsnit">
    <w:name w:val="List Paragraph"/>
    <w:basedOn w:val="Normal"/>
    <w:uiPriority w:val="34"/>
    <w:qFormat/>
    <w:rsid w:val="00090119"/>
    <w:pPr>
      <w:ind w:left="720"/>
      <w:contextualSpacing/>
    </w:pPr>
  </w:style>
  <w:style w:type="paragraph" w:styleId="Brdtekst">
    <w:name w:val="Body Text"/>
    <w:basedOn w:val="Normal"/>
    <w:link w:val="BrdtekstTegn"/>
    <w:uiPriority w:val="1"/>
    <w:qFormat/>
    <w:rsid w:val="00CB670E"/>
    <w:pPr>
      <w:widowControl w:val="0"/>
      <w:autoSpaceDE w:val="0"/>
      <w:autoSpaceDN w:val="0"/>
      <w:spacing w:before="0" w:after="0"/>
      <w:jc w:val="left"/>
    </w:pPr>
    <w:rPr>
      <w:rFonts w:eastAsia="Times New Roman"/>
      <w:sz w:val="17"/>
      <w:szCs w:val="17"/>
      <w:lang w:val="en-US"/>
    </w:rPr>
  </w:style>
  <w:style w:type="character" w:customStyle="1" w:styleId="BrdtekstTegn">
    <w:name w:val="Brødtekst Tegn"/>
    <w:basedOn w:val="Standardskrifttypeiafsnit"/>
    <w:link w:val="Brdtekst"/>
    <w:uiPriority w:val="1"/>
    <w:rsid w:val="00CB670E"/>
    <w:rPr>
      <w:rFonts w:ascii="Times New Roman" w:eastAsia="Times New Roman" w:hAnsi="Times New Roman" w:cs="Times New Roman"/>
      <w:sz w:val="17"/>
      <w:szCs w:val="17"/>
    </w:rPr>
  </w:style>
  <w:style w:type="paragraph" w:customStyle="1" w:styleId="TableParagraph">
    <w:name w:val="Table Paragraph"/>
    <w:basedOn w:val="Normal"/>
    <w:uiPriority w:val="1"/>
    <w:qFormat/>
    <w:rsid w:val="00CB670E"/>
    <w:pPr>
      <w:widowControl w:val="0"/>
      <w:autoSpaceDE w:val="0"/>
      <w:autoSpaceDN w:val="0"/>
      <w:spacing w:before="0" w:after="0"/>
      <w:jc w:val="left"/>
    </w:pPr>
    <w:rPr>
      <w:rFonts w:eastAsia="Times New Roman"/>
      <w:sz w:val="22"/>
      <w:lang w:val="en-US"/>
    </w:rPr>
  </w:style>
  <w:style w:type="paragraph" w:styleId="Opstilling-punkttegn2">
    <w:name w:val="List Bullet 2"/>
    <w:basedOn w:val="Normal"/>
    <w:uiPriority w:val="99"/>
    <w:semiHidden/>
    <w:unhideWhenUsed/>
    <w:rsid w:val="0013680A"/>
    <w:pPr>
      <w:numPr>
        <w:numId w:val="2"/>
      </w:numPr>
      <w:contextualSpacing/>
    </w:pPr>
  </w:style>
  <w:style w:type="paragraph" w:styleId="Opstilling-punkttegn3">
    <w:name w:val="List Bullet 3"/>
    <w:basedOn w:val="Normal"/>
    <w:uiPriority w:val="99"/>
    <w:semiHidden/>
    <w:unhideWhenUsed/>
    <w:rsid w:val="0013680A"/>
    <w:pPr>
      <w:numPr>
        <w:numId w:val="3"/>
      </w:numPr>
      <w:contextualSpacing/>
    </w:pPr>
  </w:style>
  <w:style w:type="paragraph" w:styleId="Opstilling-punkttegn4">
    <w:name w:val="List Bullet 4"/>
    <w:basedOn w:val="Normal"/>
    <w:uiPriority w:val="99"/>
    <w:semiHidden/>
    <w:unhideWhenUsed/>
    <w:rsid w:val="0013680A"/>
    <w:pPr>
      <w:numPr>
        <w:numId w:val="4"/>
      </w:numPr>
      <w:contextualSpacing/>
    </w:pPr>
  </w:style>
  <w:style w:type="paragraph" w:styleId="Korrektur">
    <w:name w:val="Revision"/>
    <w:hidden/>
    <w:uiPriority w:val="99"/>
    <w:semiHidden/>
    <w:rsid w:val="003137D2"/>
    <w:pPr>
      <w:spacing w:after="0" w:line="240" w:lineRule="auto"/>
    </w:pPr>
    <w:rPr>
      <w:rFonts w:ascii="Times New Roman" w:hAnsi="Times New Roman" w:cs="Times New Roman"/>
      <w:sz w:val="24"/>
      <w:lang w:val="en-GB"/>
    </w:rPr>
  </w:style>
  <w:style w:type="character" w:styleId="Kommentarhenvisning">
    <w:name w:val="annotation reference"/>
    <w:basedOn w:val="Standardskrifttypeiafsnit"/>
    <w:uiPriority w:val="99"/>
    <w:rsid w:val="00136A00"/>
    <w:rPr>
      <w:sz w:val="16"/>
      <w:szCs w:val="16"/>
    </w:rPr>
  </w:style>
  <w:style w:type="paragraph" w:styleId="Kommentartekst">
    <w:name w:val="annotation text"/>
    <w:basedOn w:val="Normal"/>
    <w:link w:val="KommentartekstTegn"/>
    <w:semiHidden/>
    <w:rsid w:val="00136A00"/>
    <w:rPr>
      <w:rFonts w:eastAsia="Times New Roman"/>
      <w:snapToGrid w:val="0"/>
      <w:sz w:val="20"/>
      <w:szCs w:val="24"/>
      <w:lang w:eastAsia="en-GB"/>
    </w:rPr>
  </w:style>
  <w:style w:type="character" w:customStyle="1" w:styleId="KommentartekstTegn">
    <w:name w:val="Kommentartekst Tegn"/>
    <w:basedOn w:val="Standardskrifttypeiafsnit"/>
    <w:link w:val="Kommentartekst"/>
    <w:semiHidden/>
    <w:rsid w:val="00136A00"/>
    <w:rPr>
      <w:rFonts w:ascii="Times New Roman" w:eastAsia="Times New Roman" w:hAnsi="Times New Roman" w:cs="Times New Roman"/>
      <w:snapToGrid w:val="0"/>
      <w:sz w:val="20"/>
      <w:szCs w:val="24"/>
      <w:lang w:val="en-GB" w:eastAsia="en-GB"/>
    </w:rPr>
  </w:style>
  <w:style w:type="paragraph" w:styleId="Kommentaremne">
    <w:name w:val="annotation subject"/>
    <w:basedOn w:val="Kommentartekst"/>
    <w:next w:val="Kommentartekst"/>
    <w:link w:val="KommentaremneTegn"/>
    <w:uiPriority w:val="99"/>
    <w:semiHidden/>
    <w:unhideWhenUsed/>
    <w:rsid w:val="00136A00"/>
    <w:rPr>
      <w:rFonts w:eastAsiaTheme="minorHAnsi"/>
      <w:b/>
      <w:bCs/>
      <w:snapToGrid/>
      <w:szCs w:val="20"/>
      <w:lang w:eastAsia="en-US"/>
    </w:rPr>
  </w:style>
  <w:style w:type="character" w:customStyle="1" w:styleId="KommentaremneTegn">
    <w:name w:val="Kommentaremne Tegn"/>
    <w:basedOn w:val="KommentartekstTegn"/>
    <w:link w:val="Kommentaremne"/>
    <w:uiPriority w:val="99"/>
    <w:semiHidden/>
    <w:rsid w:val="00136A00"/>
    <w:rPr>
      <w:rFonts w:ascii="Times New Roman" w:eastAsia="Times New Roman" w:hAnsi="Times New Roman" w:cs="Times New Roman"/>
      <w:b/>
      <w:bCs/>
      <w:snapToGrid/>
      <w:sz w:val="20"/>
      <w:szCs w:val="20"/>
      <w:lang w:val="en-GB" w:eastAsia="en-GB"/>
    </w:rPr>
  </w:style>
  <w:style w:type="character" w:styleId="BesgtLink">
    <w:name w:val="FollowedHyperlink"/>
    <w:basedOn w:val="Standardskrifttypeiafsnit"/>
    <w:uiPriority w:val="99"/>
    <w:semiHidden/>
    <w:unhideWhenUsed/>
    <w:rsid w:val="000C1FFB"/>
    <w:rPr>
      <w:color w:val="800080" w:themeColor="followedHyperlink"/>
      <w:u w:val="single"/>
    </w:rPr>
  </w:style>
  <w:style w:type="paragraph" w:styleId="Sidehoved">
    <w:name w:val="header"/>
    <w:basedOn w:val="Normal"/>
    <w:link w:val="SidehovedTegn"/>
    <w:uiPriority w:val="99"/>
    <w:unhideWhenUsed/>
    <w:rsid w:val="00565A8F"/>
    <w:pPr>
      <w:tabs>
        <w:tab w:val="center" w:pos="4535"/>
        <w:tab w:val="right" w:pos="9071"/>
      </w:tabs>
      <w:spacing w:before="0"/>
    </w:pPr>
  </w:style>
  <w:style w:type="character" w:customStyle="1" w:styleId="SidehovedTegn">
    <w:name w:val="Sidehoved Tegn"/>
    <w:basedOn w:val="Standardskrifttypeiafsnit"/>
    <w:link w:val="Sidehoved"/>
    <w:uiPriority w:val="99"/>
    <w:rsid w:val="00565A8F"/>
    <w:rPr>
      <w:rFonts w:ascii="Times New Roman" w:hAnsi="Times New Roman" w:cs="Times New Roman"/>
      <w:sz w:val="24"/>
      <w:lang w:val="en-GB"/>
    </w:rPr>
  </w:style>
  <w:style w:type="paragraph" w:styleId="Sidefod">
    <w:name w:val="footer"/>
    <w:basedOn w:val="Normal"/>
    <w:link w:val="SidefodTegn"/>
    <w:uiPriority w:val="99"/>
    <w:unhideWhenUsed/>
    <w:rsid w:val="00565A8F"/>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565A8F"/>
    <w:rPr>
      <w:rFonts w:ascii="Times New Roman" w:hAnsi="Times New Roman" w:cs="Times New Roman"/>
      <w:sz w:val="24"/>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shd w:val="clear" w:color="auto" w:fill="auto"/>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shd w:val="clear" w:color="auto" w:fill="auto"/>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shd w:val="clear" w:color="auto" w:fill="auto"/>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shd w:val="clear" w:color="auto" w:fill="auto"/>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65A8F"/>
    <w:pPr>
      <w:tabs>
        <w:tab w:val="center" w:pos="7285"/>
        <w:tab w:val="right" w:pos="14003"/>
      </w:tabs>
      <w:spacing w:before="0"/>
    </w:pPr>
  </w:style>
  <w:style w:type="paragraph" w:customStyle="1" w:styleId="FooterLandscape">
    <w:name w:val="FooterLandscape"/>
    <w:basedOn w:val="Normal"/>
    <w:rsid w:val="00565A8F"/>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rsid w:val="00565A8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65A8F"/>
    <w:pPr>
      <w:spacing w:before="0"/>
      <w:jc w:val="right"/>
    </w:pPr>
    <w:rPr>
      <w:sz w:val="28"/>
    </w:rPr>
  </w:style>
  <w:style w:type="paragraph" w:customStyle="1" w:styleId="FooterSensitivity">
    <w:name w:val="Footer Sensitivity"/>
    <w:basedOn w:val="Normal"/>
    <w:rsid w:val="00565A8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638751">
      <w:bodyDiv w:val="1"/>
      <w:marLeft w:val="0"/>
      <w:marRight w:val="0"/>
      <w:marTop w:val="0"/>
      <w:marBottom w:val="0"/>
      <w:divBdr>
        <w:top w:val="none" w:sz="0" w:space="0" w:color="auto"/>
        <w:left w:val="none" w:sz="0" w:space="0" w:color="auto"/>
        <w:bottom w:val="none" w:sz="0" w:space="0" w:color="auto"/>
        <w:right w:val="none" w:sz="0" w:space="0" w:color="auto"/>
      </w:divBdr>
      <w:divsChild>
        <w:div w:id="159394151">
          <w:marLeft w:val="0"/>
          <w:marRight w:val="0"/>
          <w:marTop w:val="0"/>
          <w:marBottom w:val="0"/>
          <w:divBdr>
            <w:top w:val="none" w:sz="0" w:space="0" w:color="auto"/>
            <w:left w:val="none" w:sz="0" w:space="0" w:color="auto"/>
            <w:bottom w:val="none" w:sz="0" w:space="0" w:color="auto"/>
            <w:right w:val="none" w:sz="0" w:space="0" w:color="auto"/>
          </w:divBdr>
        </w:div>
        <w:div w:id="666447452">
          <w:marLeft w:val="0"/>
          <w:marRight w:val="0"/>
          <w:marTop w:val="0"/>
          <w:marBottom w:val="0"/>
          <w:divBdr>
            <w:top w:val="none" w:sz="0" w:space="0" w:color="auto"/>
            <w:left w:val="none" w:sz="0" w:space="0" w:color="auto"/>
            <w:bottom w:val="none" w:sz="0" w:space="0" w:color="auto"/>
            <w:right w:val="none" w:sz="0" w:space="0" w:color="auto"/>
          </w:divBdr>
        </w:div>
        <w:div w:id="1195773524">
          <w:marLeft w:val="0"/>
          <w:marRight w:val="0"/>
          <w:marTop w:val="0"/>
          <w:marBottom w:val="0"/>
          <w:divBdr>
            <w:top w:val="none" w:sz="0" w:space="0" w:color="auto"/>
            <w:left w:val="none" w:sz="0" w:space="0" w:color="auto"/>
            <w:bottom w:val="none" w:sz="0" w:space="0" w:color="auto"/>
            <w:right w:val="none" w:sz="0" w:space="0" w:color="auto"/>
          </w:divBdr>
        </w:div>
      </w:divsChild>
    </w:div>
    <w:div w:id="1654990978">
      <w:bodyDiv w:val="1"/>
      <w:marLeft w:val="0"/>
      <w:marRight w:val="0"/>
      <w:marTop w:val="0"/>
      <w:marBottom w:val="0"/>
      <w:divBdr>
        <w:top w:val="none" w:sz="0" w:space="0" w:color="auto"/>
        <w:left w:val="none" w:sz="0" w:space="0" w:color="auto"/>
        <w:bottom w:val="none" w:sz="0" w:space="0" w:color="auto"/>
        <w:right w:val="none" w:sz="0" w:space="0" w:color="auto"/>
      </w:divBdr>
      <w:divsChild>
        <w:div w:id="762844534">
          <w:marLeft w:val="0"/>
          <w:marRight w:val="0"/>
          <w:marTop w:val="0"/>
          <w:marBottom w:val="0"/>
          <w:divBdr>
            <w:top w:val="none" w:sz="0" w:space="0" w:color="auto"/>
            <w:left w:val="none" w:sz="0" w:space="0" w:color="auto"/>
            <w:bottom w:val="none" w:sz="0" w:space="0" w:color="auto"/>
            <w:right w:val="none" w:sz="0" w:space="0" w:color="auto"/>
          </w:divBdr>
        </w:div>
        <w:div w:id="1120150805">
          <w:marLeft w:val="0"/>
          <w:marRight w:val="0"/>
          <w:marTop w:val="0"/>
          <w:marBottom w:val="0"/>
          <w:divBdr>
            <w:top w:val="none" w:sz="0" w:space="0" w:color="auto"/>
            <w:left w:val="none" w:sz="0" w:space="0" w:color="auto"/>
            <w:bottom w:val="none" w:sz="0" w:space="0" w:color="auto"/>
            <w:right w:val="none" w:sz="0" w:space="0" w:color="auto"/>
          </w:divBdr>
        </w:div>
        <w:div w:id="146978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08/42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6D762331-CE74-4D9B-AFB0-2EBEDBA26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6E389-8144-493A-80E3-34698E54BD5D}">
  <ds:schemaRefs>
    <ds:schemaRef ds:uri="http://schemas.openxmlformats.org/officeDocument/2006/bibliography"/>
  </ds:schemaRefs>
</ds:datastoreItem>
</file>

<file path=customXml/itemProps3.xml><?xml version="1.0" encoding="utf-8"?>
<ds:datastoreItem xmlns:ds="http://schemas.openxmlformats.org/officeDocument/2006/customXml" ds:itemID="{23767DA5-7674-4457-B8AE-2C889B9DA086}">
  <ds:schemaRefs>
    <ds:schemaRef ds:uri="http://schemas.microsoft.com/sharepoint/v3/contenttype/forms"/>
  </ds:schemaRefs>
</ds:datastoreItem>
</file>

<file path=customXml/itemProps4.xml><?xml version="1.0" encoding="utf-8"?>
<ds:datastoreItem xmlns:ds="http://schemas.openxmlformats.org/officeDocument/2006/customXml" ds:itemID="{A7EDD6A8-1992-4359-90F7-333DD5AFE876}">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1299</Words>
  <Characters>6873</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Links>
    <vt:vector size="12" baseType="variant">
      <vt:variant>
        <vt:i4>4653084</vt:i4>
      </vt:variant>
      <vt:variant>
        <vt:i4>3</vt:i4>
      </vt:variant>
      <vt:variant>
        <vt:i4>0</vt:i4>
      </vt:variant>
      <vt:variant>
        <vt:i4>5</vt:i4>
      </vt:variant>
      <vt:variant>
        <vt:lpwstr>http://data.europa.eu/eli/reg/2008/429/oj</vt:lpwstr>
      </vt:variant>
      <vt:variant>
        <vt:lpwstr/>
      </vt:variant>
      <vt:variant>
        <vt:i4>6881383</vt:i4>
      </vt:variant>
      <vt:variant>
        <vt:i4>0</vt:i4>
      </vt:variant>
      <vt:variant>
        <vt:i4>0</vt:i4>
      </vt:variant>
      <vt:variant>
        <vt:i4>5</vt:i4>
      </vt:variant>
      <vt:variant>
        <vt:lpwstr>http://data.europa.eu/eli/reg/2003/1831/oj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SCHNEEGANS Fabien (SANTE)</dc:creator>
  <cp:keywords/>
  <dc:description/>
  <cp:lastModifiedBy>Kristina Elisabeth Rørbo</cp:lastModifiedBy>
  <cp:revision>3</cp:revision>
  <dcterms:created xsi:type="dcterms:W3CDTF">2025-10-31T17:07:00Z</dcterms:created>
  <dcterms:modified xsi:type="dcterms:W3CDTF">2025-10-31T17:07:00Z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2025-05-23T14:00:58Z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b62d39e0-c2c9-4c1a-b84f-6ac4f73ba63f</vt:lpwstr>
  </property>
  <property fmtid="{D5CDD505-2E9C-101B-9397-08002B2CF9AE}" pid="16" name="MSIP_Label_6bd9ddd1-4d20-43f6-abfa-fc3c07406f94_ContentBits">
    <vt:lpwstr>0</vt:lpwstr>
  </property>
  <property fmtid="{D5CDD505-2E9C-101B-9397-08002B2CF9AE}" pid="17" name="DQCStatus">
    <vt:lpwstr>Yellow (DQC version 03)</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ies>
</file>