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92" w:rsidRDefault="00D51A92">
      <w:pPr>
        <w:rPr>
          <w:sz w:val="24"/>
        </w:rPr>
      </w:pPr>
    </w:p>
    <w:p w:rsidR="00D51A92" w:rsidRDefault="00D51A92">
      <w:pPr>
        <w:spacing w:after="0"/>
        <w:rPr>
          <w:sz w:val="24"/>
        </w:rPr>
      </w:pPr>
    </w:p>
    <w:p w:rsidR="003318CB" w:rsidRDefault="003318CB">
      <w:pPr>
        <w:spacing w:after="0"/>
        <w:rPr>
          <w:sz w:val="24"/>
        </w:rPr>
      </w:pPr>
    </w:p>
    <w:p w:rsidR="00D0223F" w:rsidRDefault="00D0223F">
      <w:pPr>
        <w:pStyle w:val="Overskrift1"/>
        <w:spacing w:after="0" w:line="240" w:lineRule="auto"/>
      </w:pPr>
    </w:p>
    <w:p w:rsidR="00D0223F" w:rsidRDefault="00D0223F">
      <w:pPr>
        <w:pStyle w:val="Overskrift1"/>
        <w:spacing w:after="0" w:line="240" w:lineRule="auto"/>
      </w:pPr>
    </w:p>
    <w:p w:rsidR="00D0223F" w:rsidRDefault="00D0223F">
      <w:pPr>
        <w:pStyle w:val="Overskrift1"/>
        <w:spacing w:after="0" w:line="240" w:lineRule="auto"/>
      </w:pPr>
    </w:p>
    <w:p w:rsidR="00D51A92" w:rsidRDefault="00D51A92">
      <w:pPr>
        <w:pStyle w:val="Overskrift1"/>
        <w:spacing w:after="0" w:line="240" w:lineRule="auto"/>
      </w:pPr>
      <w:r>
        <w:t>Resumé</w:t>
      </w:r>
    </w:p>
    <w:p w:rsidR="00D51A92" w:rsidRDefault="00D51A92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af</w:t>
      </w:r>
    </w:p>
    <w:p w:rsidR="00D51A92" w:rsidRDefault="008A376C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Forslag til </w:t>
      </w:r>
      <w:r w:rsidR="00EB0E14">
        <w:rPr>
          <w:b/>
          <w:bCs/>
          <w:sz w:val="24"/>
        </w:rPr>
        <w:t xml:space="preserve">lov om </w:t>
      </w:r>
      <w:r>
        <w:rPr>
          <w:b/>
          <w:bCs/>
          <w:sz w:val="24"/>
        </w:rPr>
        <w:t xml:space="preserve">ændring af ligningsloven og </w:t>
      </w:r>
      <w:r w:rsidR="001F5FB5">
        <w:rPr>
          <w:b/>
          <w:bCs/>
          <w:sz w:val="24"/>
        </w:rPr>
        <w:t xml:space="preserve">forskellige </w:t>
      </w:r>
      <w:r>
        <w:rPr>
          <w:b/>
          <w:bCs/>
          <w:sz w:val="24"/>
        </w:rPr>
        <w:t>andre love (</w:t>
      </w:r>
      <w:r w:rsidR="00D0223F">
        <w:rPr>
          <w:b/>
          <w:bCs/>
          <w:sz w:val="24"/>
        </w:rPr>
        <w:t>I</w:t>
      </w:r>
      <w:r>
        <w:rPr>
          <w:b/>
          <w:bCs/>
          <w:sz w:val="24"/>
        </w:rPr>
        <w:t>ndberetning af indtægter fra somme</w:t>
      </w:r>
      <w:r>
        <w:rPr>
          <w:b/>
          <w:bCs/>
          <w:sz w:val="24"/>
        </w:rPr>
        <w:t>r</w:t>
      </w:r>
      <w:r>
        <w:rPr>
          <w:b/>
          <w:bCs/>
          <w:sz w:val="24"/>
        </w:rPr>
        <w:t>husudlejning kombineret med forhøjet bundfradrag, ophævelse af fradrag for tobaksudgifter m.v.)</w:t>
      </w:r>
    </w:p>
    <w:p w:rsidR="003318CB" w:rsidRDefault="003318CB" w:rsidP="00511CEB">
      <w:pPr>
        <w:spacing w:line="288" w:lineRule="auto"/>
        <w:jc w:val="both"/>
        <w:rPr>
          <w:sz w:val="24"/>
        </w:rPr>
      </w:pPr>
    </w:p>
    <w:p w:rsidR="00511CEB" w:rsidRDefault="005C7A3B" w:rsidP="00511CEB">
      <w:pPr>
        <w:spacing w:line="288" w:lineRule="auto"/>
        <w:jc w:val="both"/>
        <w:rPr>
          <w:sz w:val="24"/>
        </w:rPr>
      </w:pPr>
      <w:r>
        <w:rPr>
          <w:sz w:val="24"/>
        </w:rPr>
        <w:t>Det foreslås</w:t>
      </w:r>
      <w:r w:rsidR="00511CEB">
        <w:rPr>
          <w:sz w:val="24"/>
        </w:rPr>
        <w:t>, at der indføres e</w:t>
      </w:r>
      <w:r w:rsidR="00511CEB" w:rsidRPr="007037ED">
        <w:rPr>
          <w:sz w:val="24"/>
        </w:rPr>
        <w:t>n obligatorisk indberetningsordning for sommerhusudlejningsfirma</w:t>
      </w:r>
      <w:r w:rsidR="00511CEB">
        <w:rPr>
          <w:sz w:val="24"/>
        </w:rPr>
        <w:t>er kombineret med</w:t>
      </w:r>
      <w:r w:rsidR="00D82F16">
        <w:rPr>
          <w:sz w:val="24"/>
        </w:rPr>
        <w:t>,</w:t>
      </w:r>
      <w:r w:rsidR="00511CEB">
        <w:rPr>
          <w:sz w:val="24"/>
        </w:rPr>
        <w:t xml:space="preserve"> at bundgrænsen for udlejere forhøjes fra 10.000 til</w:t>
      </w:r>
      <w:r w:rsidR="00511CEB" w:rsidRPr="007037ED">
        <w:rPr>
          <w:sz w:val="24"/>
        </w:rPr>
        <w:t xml:space="preserve"> </w:t>
      </w:r>
      <w:r w:rsidR="00511CEB">
        <w:rPr>
          <w:sz w:val="24"/>
        </w:rPr>
        <w:t>20</w:t>
      </w:r>
      <w:r w:rsidR="00511CEB" w:rsidRPr="007037ED">
        <w:rPr>
          <w:sz w:val="24"/>
        </w:rPr>
        <w:t>.000 kr.</w:t>
      </w:r>
      <w:r w:rsidR="00511CEB">
        <w:rPr>
          <w:sz w:val="24"/>
        </w:rPr>
        <w:t xml:space="preserve"> Forhøjelsen gælder alene ejere</w:t>
      </w:r>
      <w:r w:rsidR="003318CB">
        <w:rPr>
          <w:sz w:val="24"/>
        </w:rPr>
        <w:t xml:space="preserve"> af sommerhuse</w:t>
      </w:r>
      <w:r w:rsidR="00511CEB">
        <w:rPr>
          <w:sz w:val="24"/>
        </w:rPr>
        <w:t xml:space="preserve">, der </w:t>
      </w:r>
      <w:r w:rsidR="00D82F16">
        <w:rPr>
          <w:sz w:val="24"/>
        </w:rPr>
        <w:t>a</w:t>
      </w:r>
      <w:r w:rsidR="00D82F16">
        <w:rPr>
          <w:sz w:val="24"/>
        </w:rPr>
        <w:t>n</w:t>
      </w:r>
      <w:r w:rsidR="00D82F16">
        <w:rPr>
          <w:sz w:val="24"/>
        </w:rPr>
        <w:t>vender</w:t>
      </w:r>
      <w:r w:rsidR="00511CEB">
        <w:rPr>
          <w:sz w:val="24"/>
        </w:rPr>
        <w:t xml:space="preserve"> den obligatoriske indberetningsordning. Fo</w:t>
      </w:r>
      <w:r w:rsidR="00511CEB" w:rsidRPr="00EA440F">
        <w:rPr>
          <w:sz w:val="24"/>
        </w:rPr>
        <w:t xml:space="preserve">rslaget skal ses i lyset af regeringens bestræbelser på at </w:t>
      </w:r>
      <w:r w:rsidR="00511CEB">
        <w:rPr>
          <w:sz w:val="24"/>
        </w:rPr>
        <w:t>begrænse</w:t>
      </w:r>
      <w:r w:rsidR="00511CEB" w:rsidRPr="00EA440F">
        <w:rPr>
          <w:sz w:val="24"/>
        </w:rPr>
        <w:t xml:space="preserve"> s</w:t>
      </w:r>
      <w:r w:rsidR="00511CEB">
        <w:rPr>
          <w:sz w:val="24"/>
        </w:rPr>
        <w:t>ort indkomst</w:t>
      </w:r>
      <w:r w:rsidR="00511CEB" w:rsidRPr="00EA440F">
        <w:rPr>
          <w:sz w:val="24"/>
        </w:rPr>
        <w:t xml:space="preserve"> samt at sikre, at der bliver dannet mere korrekte årsopgørelser.</w:t>
      </w:r>
      <w:r w:rsidR="008B0063">
        <w:rPr>
          <w:sz w:val="24"/>
        </w:rPr>
        <w:t xml:space="preserve"> Forslaget </w:t>
      </w:r>
      <w:r w:rsidR="008B0063" w:rsidRPr="007037ED">
        <w:rPr>
          <w:sz w:val="24"/>
        </w:rPr>
        <w:t xml:space="preserve">indgår </w:t>
      </w:r>
      <w:r w:rsidR="008B0063">
        <w:rPr>
          <w:sz w:val="24"/>
        </w:rPr>
        <w:t xml:space="preserve">som en del af </w:t>
      </w:r>
      <w:r w:rsidR="008B0063" w:rsidRPr="007037ED">
        <w:rPr>
          <w:sz w:val="24"/>
        </w:rPr>
        <w:t>”Da</w:t>
      </w:r>
      <w:r w:rsidR="008B0063" w:rsidRPr="007037ED">
        <w:rPr>
          <w:sz w:val="24"/>
        </w:rPr>
        <w:t>n</w:t>
      </w:r>
      <w:r w:rsidR="008B0063" w:rsidRPr="007037ED">
        <w:rPr>
          <w:sz w:val="24"/>
        </w:rPr>
        <w:t>mark i balance</w:t>
      </w:r>
      <w:r w:rsidR="008B0063">
        <w:rPr>
          <w:sz w:val="24"/>
        </w:rPr>
        <w:t xml:space="preserve"> i en global verden</w:t>
      </w:r>
      <w:r w:rsidR="008B0063" w:rsidRPr="007037ED">
        <w:rPr>
          <w:sz w:val="24"/>
        </w:rPr>
        <w:t>”</w:t>
      </w:r>
      <w:r w:rsidR="008B0063">
        <w:rPr>
          <w:sz w:val="24"/>
        </w:rPr>
        <w:t>.</w:t>
      </w:r>
    </w:p>
    <w:p w:rsidR="003941B6" w:rsidRDefault="00745DD1" w:rsidP="00745DD1">
      <w:pPr>
        <w:spacing w:line="288" w:lineRule="auto"/>
        <w:jc w:val="both"/>
        <w:rPr>
          <w:sz w:val="24"/>
        </w:rPr>
      </w:pPr>
      <w:r w:rsidRPr="00745DD1">
        <w:rPr>
          <w:sz w:val="24"/>
        </w:rPr>
        <w:t>Herudover foreslås afskaffe</w:t>
      </w:r>
      <w:r w:rsidR="00455761">
        <w:rPr>
          <w:sz w:val="24"/>
        </w:rPr>
        <w:t>lse af</w:t>
      </w:r>
      <w:r w:rsidRPr="00745DD1">
        <w:rPr>
          <w:sz w:val="24"/>
        </w:rPr>
        <w:t xml:space="preserve"> virksomheders fradrag for udgifter til tobak.</w:t>
      </w:r>
      <w:r>
        <w:rPr>
          <w:sz w:val="24"/>
        </w:rPr>
        <w:t xml:space="preserve"> </w:t>
      </w:r>
      <w:r w:rsidR="00A6539E">
        <w:rPr>
          <w:sz w:val="24"/>
        </w:rPr>
        <w:t>Det gælder både</w:t>
      </w:r>
      <w:r>
        <w:rPr>
          <w:sz w:val="24"/>
        </w:rPr>
        <w:t xml:space="preserve"> fradrag</w:t>
      </w:r>
      <w:r w:rsidRPr="006A30B6">
        <w:rPr>
          <w:sz w:val="24"/>
        </w:rPr>
        <w:t xml:space="preserve"> for person</w:t>
      </w:r>
      <w:r w:rsidRPr="006A30B6">
        <w:rPr>
          <w:sz w:val="24"/>
        </w:rPr>
        <w:t>a</w:t>
      </w:r>
      <w:r w:rsidRPr="006A30B6">
        <w:rPr>
          <w:sz w:val="24"/>
        </w:rPr>
        <w:t>leudgifter til tobak</w:t>
      </w:r>
      <w:r>
        <w:rPr>
          <w:sz w:val="24"/>
        </w:rPr>
        <w:t xml:space="preserve"> og </w:t>
      </w:r>
      <w:r w:rsidRPr="006A30B6">
        <w:rPr>
          <w:sz w:val="24"/>
        </w:rPr>
        <w:t>fradrag for tobaksudgifter, der er afholdt til repræsentation eller reklame.</w:t>
      </w:r>
    </w:p>
    <w:p w:rsidR="003941B6" w:rsidRDefault="003941B6" w:rsidP="003941B6">
      <w:pPr>
        <w:spacing w:line="288" w:lineRule="auto"/>
        <w:jc w:val="both"/>
        <w:rPr>
          <w:sz w:val="24"/>
        </w:rPr>
      </w:pPr>
      <w:r>
        <w:rPr>
          <w:sz w:val="24"/>
        </w:rPr>
        <w:t>Desuden</w:t>
      </w:r>
      <w:r w:rsidR="00745DD1">
        <w:rPr>
          <w:sz w:val="24"/>
        </w:rPr>
        <w:t xml:space="preserve"> foreslås, at fortjeneste ved salg af en ejendom, hvor fortjenesten er genanbragt i en ejendom, der eksproprieres m.v., fremover beskattes. Forslaget ændrer ikke ved</w:t>
      </w:r>
      <w:r w:rsidR="003318CB">
        <w:rPr>
          <w:sz w:val="24"/>
        </w:rPr>
        <w:t>,</w:t>
      </w:r>
      <w:r w:rsidR="00745DD1">
        <w:rPr>
          <w:sz w:val="24"/>
        </w:rPr>
        <w:t xml:space="preserve"> at fortjenesten for den ejendom, der ekspropr</w:t>
      </w:r>
      <w:r w:rsidR="00745DD1">
        <w:rPr>
          <w:sz w:val="24"/>
        </w:rPr>
        <w:t>i</w:t>
      </w:r>
      <w:r w:rsidR="00745DD1">
        <w:rPr>
          <w:sz w:val="24"/>
        </w:rPr>
        <w:t>eres</w:t>
      </w:r>
      <w:r w:rsidR="003318CB">
        <w:rPr>
          <w:sz w:val="24"/>
        </w:rPr>
        <w:t>,</w:t>
      </w:r>
      <w:r w:rsidR="00745DD1">
        <w:rPr>
          <w:sz w:val="24"/>
        </w:rPr>
        <w:t xml:space="preserve"> fortsat er skattefri.</w:t>
      </w:r>
    </w:p>
    <w:p w:rsidR="003941B6" w:rsidRDefault="003941B6" w:rsidP="003941B6">
      <w:pPr>
        <w:spacing w:line="288" w:lineRule="auto"/>
        <w:jc w:val="both"/>
        <w:rPr>
          <w:sz w:val="24"/>
        </w:rPr>
      </w:pPr>
      <w:r>
        <w:rPr>
          <w:sz w:val="24"/>
        </w:rPr>
        <w:t>Endvidere</w:t>
      </w:r>
      <w:r w:rsidRPr="00BB6CD9">
        <w:rPr>
          <w:sz w:val="24"/>
        </w:rPr>
        <w:t xml:space="preserve"> foreslås en mindre justering af </w:t>
      </w:r>
      <w:r>
        <w:rPr>
          <w:sz w:val="24"/>
        </w:rPr>
        <w:t xml:space="preserve">reglerne for </w:t>
      </w:r>
      <w:r w:rsidRPr="00BB6CD9">
        <w:rPr>
          <w:sz w:val="24"/>
        </w:rPr>
        <w:t xml:space="preserve">beskatning </w:t>
      </w:r>
      <w:r>
        <w:rPr>
          <w:sz w:val="24"/>
        </w:rPr>
        <w:t>af fri helårsbolig med b</w:t>
      </w:r>
      <w:r>
        <w:rPr>
          <w:sz w:val="24"/>
        </w:rPr>
        <w:t>o</w:t>
      </w:r>
      <w:r>
        <w:rPr>
          <w:sz w:val="24"/>
        </w:rPr>
        <w:t xml:space="preserve">pælspligt for </w:t>
      </w:r>
      <w:r w:rsidRPr="00BB6CD9">
        <w:rPr>
          <w:sz w:val="24"/>
        </w:rPr>
        <w:t>ansatte med væsentlig indflydelse på egen aflønningsform, så det sikres</w:t>
      </w:r>
      <w:r>
        <w:rPr>
          <w:sz w:val="24"/>
        </w:rPr>
        <w:t>,</w:t>
      </w:r>
      <w:r w:rsidRPr="00BB6CD9">
        <w:rPr>
          <w:sz w:val="24"/>
        </w:rPr>
        <w:t xml:space="preserve"> at ændringer af landbrugslovens regler om bopælspligt</w:t>
      </w:r>
      <w:r>
        <w:rPr>
          <w:sz w:val="24"/>
        </w:rPr>
        <w:t xml:space="preserve"> </w:t>
      </w:r>
      <w:r w:rsidRPr="00BB6CD9">
        <w:rPr>
          <w:sz w:val="24"/>
        </w:rPr>
        <w:t xml:space="preserve">ikke utilsigtet medfører en ændret beskatning af den hidtil omfattede persongruppe.  </w:t>
      </w:r>
    </w:p>
    <w:p w:rsidR="00745DD1" w:rsidRDefault="00745DD1" w:rsidP="003318CB">
      <w:pPr>
        <w:spacing w:line="288" w:lineRule="auto"/>
        <w:jc w:val="both"/>
        <w:rPr>
          <w:iCs/>
          <w:sz w:val="24"/>
        </w:rPr>
      </w:pPr>
      <w:r>
        <w:rPr>
          <w:sz w:val="24"/>
        </w:rPr>
        <w:t xml:space="preserve">Derudover </w:t>
      </w:r>
      <w:r w:rsidR="005151B8">
        <w:rPr>
          <w:sz w:val="24"/>
        </w:rPr>
        <w:t>foreslås</w:t>
      </w:r>
      <w:r w:rsidR="00A6539E">
        <w:rPr>
          <w:sz w:val="24"/>
        </w:rPr>
        <w:t>,</w:t>
      </w:r>
      <w:r w:rsidR="003318CB">
        <w:rPr>
          <w:sz w:val="24"/>
        </w:rPr>
        <w:t xml:space="preserve"> </w:t>
      </w:r>
      <w:r w:rsidR="00034E31">
        <w:rPr>
          <w:sz w:val="24"/>
        </w:rPr>
        <w:t xml:space="preserve">at for meget betalt </w:t>
      </w:r>
      <w:proofErr w:type="spellStart"/>
      <w:r w:rsidR="00034E31">
        <w:rPr>
          <w:sz w:val="24"/>
        </w:rPr>
        <w:t>dag-til-dag</w:t>
      </w:r>
      <w:proofErr w:type="spellEnd"/>
      <w:r w:rsidR="00034E31">
        <w:rPr>
          <w:sz w:val="24"/>
        </w:rPr>
        <w:t xml:space="preserve"> rente tilbagebetales. Videre foreslås en forenkling af ikrafttrædelsesbestemmelsen for én ska</w:t>
      </w:r>
      <w:r w:rsidR="00034E31">
        <w:rPr>
          <w:sz w:val="24"/>
        </w:rPr>
        <w:t>t</w:t>
      </w:r>
      <w:r w:rsidR="00034E31">
        <w:rPr>
          <w:sz w:val="24"/>
        </w:rPr>
        <w:t>tekonto.</w:t>
      </w:r>
    </w:p>
    <w:p w:rsidR="006E79CB" w:rsidRPr="006E79CB" w:rsidRDefault="006E79CB" w:rsidP="006E79CB">
      <w:pPr>
        <w:spacing w:line="288" w:lineRule="auto"/>
        <w:jc w:val="both"/>
        <w:rPr>
          <w:iCs/>
          <w:sz w:val="24"/>
        </w:rPr>
      </w:pPr>
      <w:r w:rsidRPr="006E79CB">
        <w:rPr>
          <w:sz w:val="24"/>
        </w:rPr>
        <w:t xml:space="preserve">Endelig foreslås en reparation af en bestemmelse i skattekontrolloven, som blev gennemført i forbindelse med Forårspakke 2.0 om indberetning af </w:t>
      </w:r>
      <w:r w:rsidRPr="006E79CB">
        <w:rPr>
          <w:iCs/>
          <w:sz w:val="24"/>
        </w:rPr>
        <w:t>arbejdsmarkedsbidrag vedr. a</w:t>
      </w:r>
      <w:r w:rsidRPr="006E79CB">
        <w:rPr>
          <w:iCs/>
          <w:sz w:val="24"/>
        </w:rPr>
        <w:t>r</w:t>
      </w:r>
      <w:r w:rsidRPr="006E79CB">
        <w:rPr>
          <w:iCs/>
          <w:sz w:val="24"/>
        </w:rPr>
        <w:t>bejdsgiveradministrerede pensionsbidrag.</w:t>
      </w:r>
    </w:p>
    <w:p w:rsidR="00A63F3E" w:rsidRDefault="00A63F3E" w:rsidP="00A63F3E">
      <w:pPr>
        <w:spacing w:line="288" w:lineRule="auto"/>
        <w:jc w:val="both"/>
        <w:rPr>
          <w:sz w:val="24"/>
        </w:rPr>
      </w:pPr>
      <w:r w:rsidRPr="005151B8">
        <w:rPr>
          <w:i/>
          <w:sz w:val="24"/>
        </w:rPr>
        <w:t>Provenu</w:t>
      </w:r>
      <w:r>
        <w:rPr>
          <w:sz w:val="24"/>
        </w:rPr>
        <w:t xml:space="preserve"> </w:t>
      </w:r>
    </w:p>
    <w:p w:rsidR="008317B6" w:rsidRDefault="008317B6" w:rsidP="008317B6">
      <w:pPr>
        <w:spacing w:line="288" w:lineRule="auto"/>
        <w:jc w:val="both"/>
        <w:rPr>
          <w:iCs/>
          <w:sz w:val="24"/>
        </w:rPr>
      </w:pPr>
      <w:r>
        <w:rPr>
          <w:iCs/>
          <w:sz w:val="24"/>
        </w:rPr>
        <w:t xml:space="preserve">Samlet set skønnes lovforslaget at medføre et provenutab på ca. </w:t>
      </w:r>
      <w:r w:rsidR="00735490">
        <w:rPr>
          <w:iCs/>
          <w:sz w:val="24"/>
        </w:rPr>
        <w:t>1</w:t>
      </w:r>
      <w:r>
        <w:rPr>
          <w:iCs/>
          <w:sz w:val="24"/>
        </w:rPr>
        <w:t>,5 mio. kr. årligt målt i varig virkning.</w:t>
      </w:r>
      <w:r w:rsidRPr="009F0ECF">
        <w:rPr>
          <w:iCs/>
          <w:sz w:val="24"/>
        </w:rPr>
        <w:t xml:space="preserve"> </w:t>
      </w:r>
      <w:r>
        <w:rPr>
          <w:iCs/>
          <w:sz w:val="24"/>
        </w:rPr>
        <w:t xml:space="preserve">For finansåret 2011 skønnes forslaget ikke </w:t>
      </w:r>
      <w:r>
        <w:rPr>
          <w:iCs/>
          <w:sz w:val="24"/>
        </w:rPr>
        <w:lastRenderedPageBreak/>
        <w:t>at have provenumæssige konsekvenser, mens det skønnes at medføre et provenutab på ca. 3,5 mio. kr. for f</w:t>
      </w:r>
      <w:r>
        <w:rPr>
          <w:iCs/>
          <w:sz w:val="24"/>
        </w:rPr>
        <w:t>i</w:t>
      </w:r>
      <w:r>
        <w:rPr>
          <w:iCs/>
          <w:sz w:val="24"/>
        </w:rPr>
        <w:t>nansåret 2012. Forslaget medfører ingen økonomiske konsekvenser for kommuner og regi</w:t>
      </w:r>
      <w:r>
        <w:rPr>
          <w:iCs/>
          <w:sz w:val="24"/>
        </w:rPr>
        <w:t>o</w:t>
      </w:r>
      <w:r>
        <w:rPr>
          <w:iCs/>
          <w:sz w:val="24"/>
        </w:rPr>
        <w:t>ner.</w:t>
      </w:r>
    </w:p>
    <w:sectPr w:rsidR="008317B6" w:rsidSect="00F26F23">
      <w:footerReference w:type="default" r:id="rId7"/>
      <w:headerReference w:type="first" r:id="rId8"/>
      <w:pgSz w:w="11906" w:h="16838" w:code="9"/>
      <w:pgMar w:top="1258" w:right="1826" w:bottom="1134" w:left="1247" w:header="180" w:footer="709" w:gutter="0"/>
      <w:paperSrc w:first="256" w:other="25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DC" w:rsidRDefault="00A511DC">
      <w:r>
        <w:separator/>
      </w:r>
    </w:p>
  </w:endnote>
  <w:endnote w:type="continuationSeparator" w:id="0">
    <w:p w:rsidR="00A511DC" w:rsidRDefault="00A5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CB" w:rsidRDefault="006E79CB">
    <w:pPr>
      <w:pStyle w:val="DepartementSidefod"/>
      <w:jc w:val="right"/>
    </w:pPr>
    <w:r>
      <w:t xml:space="preserve">Side </w:t>
    </w:r>
    <w:r w:rsidR="004A14BD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4A14BD">
      <w:rPr>
        <w:rStyle w:val="Sidetal"/>
      </w:rPr>
      <w:fldChar w:fldCharType="separate"/>
    </w:r>
    <w:r w:rsidR="00533195">
      <w:rPr>
        <w:rStyle w:val="Sidetal"/>
        <w:noProof/>
      </w:rPr>
      <w:t>2</w:t>
    </w:r>
    <w:r w:rsidR="004A14BD">
      <w:rPr>
        <w:rStyle w:val="Sidet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DC" w:rsidRDefault="00A511DC">
      <w:r>
        <w:separator/>
      </w:r>
    </w:p>
  </w:footnote>
  <w:footnote w:type="continuationSeparator" w:id="0">
    <w:p w:rsidR="00A511DC" w:rsidRDefault="00A51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8699" w:tblpY="1"/>
      <w:tblOverlap w:val="never"/>
      <w:tblW w:w="2484" w:type="dxa"/>
      <w:tblInd w:w="805" w:type="dxa"/>
      <w:tblCellMar>
        <w:top w:w="2262" w:type="dxa"/>
      </w:tblCellMar>
      <w:tblLook w:val="01E0"/>
    </w:tblPr>
    <w:tblGrid>
      <w:gridCol w:w="2484"/>
    </w:tblGrid>
    <w:tr w:rsidR="006E79CB">
      <w:trPr>
        <w:trHeight w:val="13551"/>
      </w:trPr>
      <w:tc>
        <w:tcPr>
          <w:tcW w:w="2484" w:type="dxa"/>
        </w:tcPr>
        <w:p w:rsidR="006E79CB" w:rsidRDefault="006E79CB">
          <w:pPr>
            <w:pStyle w:val="Departementtekst"/>
            <w:ind w:right="-105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  <w:lang w:val="en-GB"/>
            </w:rPr>
            <w:t xml:space="preserve">   </w:t>
          </w:r>
          <w:r>
            <w:rPr>
              <w:rFonts w:ascii="Arial" w:hAnsi="Arial" w:cs="Arial"/>
              <w:sz w:val="14"/>
            </w:rPr>
            <w:t xml:space="preserve">J.nr. </w:t>
          </w:r>
          <w:bookmarkStart w:id="0" w:name="sagsnr"/>
          <w:bookmarkEnd w:id="0"/>
          <w:r>
            <w:rPr>
              <w:rFonts w:ascii="Arial" w:hAnsi="Arial" w:cs="Arial"/>
              <w:sz w:val="14"/>
            </w:rPr>
            <w:t>2010-311-0048</w:t>
          </w:r>
        </w:p>
        <w:p w:rsidR="006E79CB" w:rsidRDefault="006E79CB">
          <w:pPr>
            <w:pStyle w:val="Departementtekst"/>
            <w:ind w:right="-105"/>
            <w:rPr>
              <w:rFonts w:ascii="Arial" w:hAnsi="Arial" w:cs="Arial"/>
              <w:bCs/>
              <w:sz w:val="14"/>
            </w:rPr>
          </w:pPr>
          <w:r>
            <w:rPr>
              <w:rFonts w:ascii="Arial" w:hAnsi="Arial" w:cs="Arial"/>
              <w:bCs/>
              <w:sz w:val="14"/>
            </w:rPr>
            <w:t xml:space="preserve">   Dato:</w:t>
          </w:r>
        </w:p>
        <w:p w:rsidR="006E79CB" w:rsidRDefault="006E79CB">
          <w:pPr>
            <w:pStyle w:val="Departementtekst"/>
            <w:tabs>
              <w:tab w:val="left" w:pos="720"/>
            </w:tabs>
            <w:ind w:left="540" w:right="-105"/>
            <w:rPr>
              <w:sz w:val="14"/>
            </w:rPr>
          </w:pPr>
        </w:p>
        <w:p w:rsidR="006E79CB" w:rsidRDefault="006E79CB">
          <w:pPr>
            <w:pStyle w:val="Departementtekst"/>
            <w:ind w:left="540" w:right="-105"/>
            <w:rPr>
              <w:sz w:val="14"/>
            </w:rPr>
          </w:pPr>
        </w:p>
        <w:p w:rsidR="006E79CB" w:rsidRDefault="006E79CB">
          <w:pPr>
            <w:pStyle w:val="Departementtekst"/>
            <w:ind w:left="540" w:right="-105"/>
            <w:rPr>
              <w:sz w:val="14"/>
            </w:rPr>
          </w:pPr>
        </w:p>
        <w:p w:rsidR="006E79CB" w:rsidRDefault="006E79CB">
          <w:pPr>
            <w:pStyle w:val="Departementtekst"/>
          </w:pPr>
        </w:p>
      </w:tc>
    </w:tr>
  </w:tbl>
  <w:p w:rsidR="006E79CB" w:rsidRDefault="004A14BD">
    <w:pPr>
      <w:pStyle w:val="Departementtekst"/>
      <w:ind w:right="-130"/>
      <w:jc w:val="right"/>
    </w:pPr>
    <w:r w:rsidRPr="004A14BD">
      <w:rPr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66pt">
          <v:imagedata r:id="rId1" o:title="SK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6478"/>
    <w:multiLevelType w:val="hybridMultilevel"/>
    <w:tmpl w:val="97CCF01A"/>
    <w:lvl w:ilvl="0" w:tplc="040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oNotTrackMoves/>
  <w:defaultTabStop w:val="1304"/>
  <w:autoHyphenation/>
  <w:hyphenationZone w:val="284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A92"/>
    <w:rsid w:val="00034E31"/>
    <w:rsid w:val="00085F99"/>
    <w:rsid w:val="0009311A"/>
    <w:rsid w:val="001142D3"/>
    <w:rsid w:val="001F5FB5"/>
    <w:rsid w:val="003318CB"/>
    <w:rsid w:val="00355759"/>
    <w:rsid w:val="00386FDC"/>
    <w:rsid w:val="003941B6"/>
    <w:rsid w:val="00425BDE"/>
    <w:rsid w:val="00455761"/>
    <w:rsid w:val="004701A5"/>
    <w:rsid w:val="0047070A"/>
    <w:rsid w:val="004A14BD"/>
    <w:rsid w:val="004F7E88"/>
    <w:rsid w:val="00511CEB"/>
    <w:rsid w:val="005151B8"/>
    <w:rsid w:val="00533195"/>
    <w:rsid w:val="005C7A3B"/>
    <w:rsid w:val="005D252C"/>
    <w:rsid w:val="00697757"/>
    <w:rsid w:val="006E79CB"/>
    <w:rsid w:val="007010FF"/>
    <w:rsid w:val="00735490"/>
    <w:rsid w:val="00745DD1"/>
    <w:rsid w:val="008317B6"/>
    <w:rsid w:val="008A376C"/>
    <w:rsid w:val="008B0063"/>
    <w:rsid w:val="009317F6"/>
    <w:rsid w:val="00962CE2"/>
    <w:rsid w:val="00975CC3"/>
    <w:rsid w:val="00983A5A"/>
    <w:rsid w:val="009B010A"/>
    <w:rsid w:val="009B2325"/>
    <w:rsid w:val="009F7B07"/>
    <w:rsid w:val="00A16ECA"/>
    <w:rsid w:val="00A511DC"/>
    <w:rsid w:val="00A63F3E"/>
    <w:rsid w:val="00A6539E"/>
    <w:rsid w:val="00A971E9"/>
    <w:rsid w:val="00B71417"/>
    <w:rsid w:val="00BA490A"/>
    <w:rsid w:val="00D0223F"/>
    <w:rsid w:val="00D20328"/>
    <w:rsid w:val="00D51A92"/>
    <w:rsid w:val="00D82F16"/>
    <w:rsid w:val="00DA60D8"/>
    <w:rsid w:val="00DB4F22"/>
    <w:rsid w:val="00DD0179"/>
    <w:rsid w:val="00E21603"/>
    <w:rsid w:val="00E76A27"/>
    <w:rsid w:val="00EB0E14"/>
    <w:rsid w:val="00EB6CAB"/>
    <w:rsid w:val="00F26F23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F23"/>
    <w:pPr>
      <w:spacing w:after="150"/>
    </w:pPr>
    <w:rPr>
      <w:sz w:val="23"/>
      <w:szCs w:val="24"/>
    </w:rPr>
  </w:style>
  <w:style w:type="paragraph" w:styleId="Overskrift1">
    <w:name w:val="heading 1"/>
    <w:basedOn w:val="Normal"/>
    <w:next w:val="Normal"/>
    <w:qFormat/>
    <w:rsid w:val="00F26F23"/>
    <w:pPr>
      <w:keepNext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spacing w:line="288" w:lineRule="auto"/>
      <w:jc w:val="center"/>
      <w:outlineLvl w:val="0"/>
    </w:pPr>
    <w:rPr>
      <w:b/>
      <w:b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26F2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26F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26F23"/>
  </w:style>
  <w:style w:type="paragraph" w:styleId="Brdtekst">
    <w:name w:val="Body Text"/>
    <w:basedOn w:val="Normal"/>
    <w:rsid w:val="00F26F23"/>
    <w:pPr>
      <w:spacing w:after="240" w:line="240" w:lineRule="atLeast"/>
    </w:pPr>
    <w:rPr>
      <w:spacing w:val="-5"/>
      <w:szCs w:val="20"/>
      <w:lang w:eastAsia="en-US"/>
    </w:rPr>
  </w:style>
  <w:style w:type="character" w:styleId="Hyperlink">
    <w:name w:val="Hyperlink"/>
    <w:basedOn w:val="Standardskrifttypeiafsnit"/>
    <w:rsid w:val="00F26F23"/>
    <w:rPr>
      <w:color w:val="0000FF"/>
      <w:u w:val="single"/>
    </w:rPr>
  </w:style>
  <w:style w:type="paragraph" w:customStyle="1" w:styleId="Adressat">
    <w:name w:val="Adressat"/>
    <w:rsid w:val="00F26F23"/>
    <w:pPr>
      <w:spacing w:after="150" w:line="180" w:lineRule="exact"/>
      <w:jc w:val="both"/>
    </w:pPr>
    <w:rPr>
      <w:sz w:val="23"/>
      <w:szCs w:val="24"/>
    </w:rPr>
  </w:style>
  <w:style w:type="paragraph" w:customStyle="1" w:styleId="Departementtekst">
    <w:name w:val="Departement tekst"/>
    <w:rsid w:val="00F26F23"/>
    <w:pPr>
      <w:spacing w:after="130"/>
    </w:pPr>
    <w:rPr>
      <w:rFonts w:ascii="Verdana" w:hAnsi="Verdana"/>
      <w:sz w:val="17"/>
      <w:szCs w:val="24"/>
    </w:rPr>
  </w:style>
  <w:style w:type="paragraph" w:customStyle="1" w:styleId="Vedrrendetitel">
    <w:name w:val="Vedrørende titel"/>
    <w:next w:val="Normal"/>
    <w:rsid w:val="00F26F23"/>
    <w:pPr>
      <w:spacing w:after="90"/>
    </w:pPr>
    <w:rPr>
      <w:rFonts w:ascii="Verdana" w:hAnsi="Verdana"/>
      <w:b/>
      <w:sz w:val="15"/>
      <w:szCs w:val="24"/>
    </w:rPr>
  </w:style>
  <w:style w:type="paragraph" w:customStyle="1" w:styleId="DepartementSidefod">
    <w:name w:val="Departement Sidefod"/>
    <w:rsid w:val="00F26F23"/>
    <w:pPr>
      <w:spacing w:after="170"/>
    </w:pPr>
    <w:rPr>
      <w:rFonts w:ascii="Verdana" w:hAnsi="Verdana"/>
      <w:sz w:val="13"/>
      <w:szCs w:val="13"/>
    </w:rPr>
  </w:style>
  <w:style w:type="character" w:styleId="BesgtHyperlink">
    <w:name w:val="FollowedHyperlink"/>
    <w:basedOn w:val="Standardskrifttypeiafsnit"/>
    <w:rsid w:val="005331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Skatteministeriet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w17781</dc:creator>
  <cp:keywords/>
  <dc:description/>
  <cp:lastModifiedBy>Susanne Poulsen</cp:lastModifiedBy>
  <cp:revision>2</cp:revision>
  <cp:lastPrinted>2010-09-24T10:51:00Z</cp:lastPrinted>
  <dcterms:created xsi:type="dcterms:W3CDTF">2010-10-01T12:15:00Z</dcterms:created>
  <dcterms:modified xsi:type="dcterms:W3CDTF">2010-10-01T12:15:00Z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ds@skm.dk</vt:lpwstr>
  </property>
  <property fmtid="{D5CDD505-2E9C-101B-9397-08002B2CF9AE}" pid="3" name="dir">
    <vt:lpwstr>+45 33 92 44 62</vt:lpwstr>
  </property>
  <property fmtid="{D5CDD505-2E9C-101B-9397-08002B2CF9AE}" pid="4" name="mobil">
    <vt:lpwstr>+45 20 20 20 20</vt:lpwstr>
  </property>
  <property fmtid="{D5CDD505-2E9C-101B-9397-08002B2CF9AE}" pid="5" name="path">
    <vt:lpwstr>C:\DOCUME~1\w17781\LOKALE~1\Temp\SJ2010091412065746 [DOK382670].DOC</vt:lpwstr>
  </property>
  <property fmtid="{D5CDD505-2E9C-101B-9397-08002B2CF9AE}" pid="6" name="title">
    <vt:lpwstr>Resume.140910 til ordførere</vt:lpwstr>
  </property>
  <property fmtid="{D5CDD505-2E9C-101B-9397-08002B2CF9AE}" pid="7" name="command">
    <vt:lpwstr/>
  </property>
  <property fmtid="{D5CDD505-2E9C-101B-9397-08002B2CF9AE}" pid="8" name="_AdHocReviewCycleID">
    <vt:i4>2088947373</vt:i4>
  </property>
  <property fmtid="{D5CDD505-2E9C-101B-9397-08002B2CF9AE}" pid="9" name="_NewReviewCycle">
    <vt:lpwstr/>
  </property>
  <property fmtid="{D5CDD505-2E9C-101B-9397-08002B2CF9AE}" pid="10" name="_EmailSubject">
    <vt:lpwstr>Forslag til ændring af ligningsloven (sommerhuse m.v.) - lovforslag og resume - ny udgave </vt:lpwstr>
  </property>
  <property fmtid="{D5CDD505-2E9C-101B-9397-08002B2CF9AE}" pid="11" name="_AuthorEmail">
    <vt:lpwstr>Jens.Grav@skat.dk</vt:lpwstr>
  </property>
  <property fmtid="{D5CDD505-2E9C-101B-9397-08002B2CF9AE}" pid="12" name="_AuthorEmailDisplayName">
    <vt:lpwstr>Jens William Grav</vt:lpwstr>
  </property>
  <property fmtid="{D5CDD505-2E9C-101B-9397-08002B2CF9AE}" pid="13" name="_ReviewingToolsShownOnce">
    <vt:lpwstr/>
  </property>
</Properties>
</file>