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9628" w14:textId="77777777" w:rsidR="00E5767A" w:rsidRDefault="00E5767A" w:rsidP="00E5767A">
      <w:pPr>
        <w:rPr>
          <w:rFonts w:ascii="Garamond" w:hAnsi="Garamond" w:cs="Garamond"/>
          <w:i/>
          <w:iCs/>
        </w:rPr>
      </w:pPr>
      <w:bookmarkStart w:id="0" w:name="_GoBack"/>
      <w:bookmarkEnd w:id="0"/>
    </w:p>
    <w:p w14:paraId="424B339B" w14:textId="38A0126E" w:rsidR="00DE3CE9" w:rsidRDefault="00DE3CE9" w:rsidP="00DE3CE9">
      <w:pPr>
        <w:pStyle w:val="Brdtekst"/>
        <w:spacing w:after="0"/>
        <w:ind w:firstLine="170"/>
        <w:jc w:val="right"/>
        <w:rPr>
          <w:rFonts w:ascii="Garamond" w:hAnsi="Garamond"/>
        </w:rPr>
      </w:pPr>
      <w:r w:rsidRPr="00F96458">
        <w:rPr>
          <w:rFonts w:ascii="Garamond" w:hAnsi="Garamond"/>
          <w:b/>
        </w:rPr>
        <w:tab/>
        <w:t xml:space="preserve">     </w:t>
      </w:r>
      <w:r w:rsidRPr="00F96458">
        <w:rPr>
          <w:rFonts w:ascii="Garamond" w:hAnsi="Garamond"/>
        </w:rPr>
        <w:tab/>
        <w:t xml:space="preserve">Den </w:t>
      </w:r>
      <w:r w:rsidR="00A72531">
        <w:rPr>
          <w:rFonts w:ascii="Garamond" w:hAnsi="Garamond"/>
        </w:rPr>
        <w:t>2</w:t>
      </w:r>
      <w:r w:rsidR="0051752C">
        <w:rPr>
          <w:rFonts w:ascii="Garamond" w:hAnsi="Garamond"/>
        </w:rPr>
        <w:t>9</w:t>
      </w:r>
      <w:r w:rsidR="00B564FB">
        <w:rPr>
          <w:rFonts w:ascii="Garamond" w:hAnsi="Garamond"/>
        </w:rPr>
        <w:t xml:space="preserve">. </w:t>
      </w:r>
      <w:r w:rsidR="00CC7C16">
        <w:rPr>
          <w:rFonts w:ascii="Garamond" w:hAnsi="Garamond"/>
        </w:rPr>
        <w:t>juni</w:t>
      </w:r>
      <w:r w:rsidR="00BD0A36">
        <w:rPr>
          <w:rFonts w:ascii="Garamond" w:hAnsi="Garamond"/>
        </w:rPr>
        <w:t xml:space="preserve"> 2021</w:t>
      </w:r>
    </w:p>
    <w:p w14:paraId="5A078831" w14:textId="77777777" w:rsidR="00DE3CE9" w:rsidRPr="000D7F36" w:rsidRDefault="00DE3CE9" w:rsidP="00DE3CE9">
      <w:pPr>
        <w:pStyle w:val="Brdtekst"/>
        <w:spacing w:after="0"/>
        <w:ind w:firstLine="170"/>
        <w:jc w:val="center"/>
        <w:rPr>
          <w:rFonts w:ascii="Garamond" w:hAnsi="Garamond"/>
          <w:b/>
          <w:sz w:val="24"/>
          <w:szCs w:val="24"/>
        </w:rPr>
      </w:pPr>
      <w:r w:rsidRPr="000D7F36">
        <w:rPr>
          <w:rFonts w:ascii="Garamond" w:hAnsi="Garamond"/>
          <w:b/>
          <w:sz w:val="24"/>
          <w:szCs w:val="24"/>
        </w:rPr>
        <w:t>UDKAST</w:t>
      </w:r>
      <w:r w:rsidRPr="000D7F36">
        <w:rPr>
          <w:rFonts w:ascii="Garamond" w:hAnsi="Garamond"/>
          <w:b/>
          <w:sz w:val="24"/>
          <w:szCs w:val="24"/>
        </w:rPr>
        <w:br/>
      </w:r>
    </w:p>
    <w:p w14:paraId="6E009332" w14:textId="77777777" w:rsidR="00DE3CE9" w:rsidRPr="00F96458" w:rsidRDefault="00DE3CE9" w:rsidP="00DE3CE9">
      <w:pPr>
        <w:pStyle w:val="Brdtekst"/>
        <w:spacing w:after="0"/>
        <w:ind w:firstLine="170"/>
        <w:jc w:val="center"/>
        <w:rPr>
          <w:rFonts w:ascii="Garamond" w:hAnsi="Garamond"/>
        </w:rPr>
      </w:pPr>
    </w:p>
    <w:p w14:paraId="271BC560" w14:textId="77777777" w:rsidR="00DE3CE9" w:rsidRPr="005E5914" w:rsidRDefault="00DE3CE9" w:rsidP="00DE3CE9">
      <w:pPr>
        <w:pStyle w:val="Brdtekst"/>
        <w:spacing w:after="0"/>
        <w:ind w:firstLine="170"/>
        <w:jc w:val="center"/>
        <w:rPr>
          <w:rFonts w:ascii="Garamond" w:hAnsi="Garamond"/>
          <w:b/>
          <w:sz w:val="24"/>
          <w:szCs w:val="24"/>
        </w:rPr>
      </w:pPr>
      <w:r w:rsidRPr="005E5914">
        <w:rPr>
          <w:rFonts w:ascii="Garamond" w:hAnsi="Garamond"/>
          <w:b/>
          <w:sz w:val="24"/>
          <w:szCs w:val="24"/>
        </w:rPr>
        <w:t>Forslag</w:t>
      </w:r>
    </w:p>
    <w:p w14:paraId="6F6FB00A" w14:textId="77777777" w:rsidR="00DE3CE9" w:rsidRPr="005E5914" w:rsidRDefault="00DE3CE9" w:rsidP="00DE3CE9">
      <w:pPr>
        <w:pStyle w:val="Brdtekst"/>
        <w:spacing w:after="0"/>
        <w:ind w:firstLine="170"/>
        <w:jc w:val="center"/>
        <w:rPr>
          <w:rFonts w:ascii="Garamond" w:hAnsi="Garamond"/>
          <w:sz w:val="24"/>
          <w:szCs w:val="24"/>
        </w:rPr>
      </w:pPr>
      <w:r w:rsidRPr="005E5914">
        <w:rPr>
          <w:rFonts w:ascii="Garamond" w:hAnsi="Garamond"/>
          <w:sz w:val="24"/>
          <w:szCs w:val="24"/>
        </w:rPr>
        <w:t>til</w:t>
      </w:r>
    </w:p>
    <w:p w14:paraId="2AC16A5E" w14:textId="77777777" w:rsidR="00DE3CE9" w:rsidRPr="005E5914" w:rsidRDefault="00DE3CE9" w:rsidP="00DE3CE9">
      <w:pPr>
        <w:pStyle w:val="Brdtekst"/>
        <w:spacing w:after="0"/>
        <w:ind w:firstLine="170"/>
        <w:jc w:val="center"/>
        <w:rPr>
          <w:rFonts w:ascii="Garamond" w:hAnsi="Garamond"/>
          <w:sz w:val="24"/>
          <w:szCs w:val="24"/>
        </w:rPr>
      </w:pPr>
      <w:r w:rsidRPr="005E5914">
        <w:rPr>
          <w:rFonts w:ascii="Garamond" w:hAnsi="Garamond"/>
          <w:sz w:val="24"/>
          <w:szCs w:val="24"/>
        </w:rPr>
        <w:t>Lov om ændring af postloven</w:t>
      </w:r>
    </w:p>
    <w:p w14:paraId="591A6001" w14:textId="77777777" w:rsidR="00DE3CE9" w:rsidRPr="005E5914" w:rsidRDefault="00DE3CE9" w:rsidP="00DE3CE9">
      <w:pPr>
        <w:pStyle w:val="Brdtekst"/>
        <w:spacing w:after="0"/>
        <w:ind w:firstLine="170"/>
        <w:jc w:val="center"/>
        <w:rPr>
          <w:rFonts w:ascii="Garamond" w:hAnsi="Garamond"/>
          <w:sz w:val="24"/>
          <w:szCs w:val="24"/>
        </w:rPr>
      </w:pPr>
    </w:p>
    <w:p w14:paraId="63E1E79E" w14:textId="136E6B41" w:rsidR="00DE3CE9" w:rsidRPr="005E5914" w:rsidRDefault="00DE3CE9" w:rsidP="00DE3CE9">
      <w:pPr>
        <w:pStyle w:val="Brdtekst"/>
        <w:spacing w:after="0"/>
        <w:ind w:firstLine="170"/>
        <w:jc w:val="center"/>
        <w:rPr>
          <w:rFonts w:ascii="Garamond" w:hAnsi="Garamond"/>
          <w:sz w:val="24"/>
          <w:szCs w:val="24"/>
        </w:rPr>
      </w:pPr>
      <w:r w:rsidRPr="005E5914">
        <w:rPr>
          <w:rFonts w:ascii="Garamond" w:hAnsi="Garamond"/>
          <w:sz w:val="24"/>
          <w:szCs w:val="24"/>
        </w:rPr>
        <w:t>(</w:t>
      </w:r>
      <w:r w:rsidR="002A1CF0">
        <w:rPr>
          <w:rFonts w:ascii="Garamond" w:hAnsi="Garamond"/>
          <w:sz w:val="24"/>
          <w:szCs w:val="24"/>
        </w:rPr>
        <w:t xml:space="preserve">Hjemmel til at </w:t>
      </w:r>
      <w:r w:rsidR="002A1CF0" w:rsidRPr="002A1CF0">
        <w:rPr>
          <w:rFonts w:ascii="Garamond" w:hAnsi="Garamond"/>
          <w:sz w:val="24"/>
          <w:szCs w:val="24"/>
        </w:rPr>
        <w:t xml:space="preserve">sanktionere </w:t>
      </w:r>
      <w:r w:rsidR="003114F3" w:rsidRPr="002A1CF0">
        <w:rPr>
          <w:rFonts w:ascii="Garamond" w:hAnsi="Garamond"/>
          <w:sz w:val="24"/>
          <w:szCs w:val="24"/>
        </w:rPr>
        <w:t xml:space="preserve">overtrædelse af </w:t>
      </w:r>
      <w:r w:rsidR="00396AAE" w:rsidRPr="002A1CF0">
        <w:rPr>
          <w:rFonts w:ascii="Garamond" w:hAnsi="Garamond"/>
          <w:sz w:val="24"/>
          <w:szCs w:val="24"/>
        </w:rPr>
        <w:t xml:space="preserve">indberetningsforpligtelser </w:t>
      </w:r>
      <w:r w:rsidR="00973AEB">
        <w:rPr>
          <w:rFonts w:ascii="Garamond" w:hAnsi="Garamond"/>
          <w:sz w:val="24"/>
          <w:szCs w:val="24"/>
        </w:rPr>
        <w:t>efter</w:t>
      </w:r>
      <w:r w:rsidR="00114896">
        <w:rPr>
          <w:rFonts w:ascii="Garamond" w:hAnsi="Garamond"/>
          <w:sz w:val="24"/>
          <w:szCs w:val="24"/>
        </w:rPr>
        <w:t xml:space="preserve"> forordning om grænse</w:t>
      </w:r>
      <w:r w:rsidR="003114F3" w:rsidRPr="002A1CF0">
        <w:rPr>
          <w:rFonts w:ascii="Garamond" w:hAnsi="Garamond"/>
          <w:sz w:val="24"/>
          <w:szCs w:val="24"/>
        </w:rPr>
        <w:t>overskridende pakkeleveringstjenester)</w:t>
      </w:r>
    </w:p>
    <w:p w14:paraId="6C7F8FC2" w14:textId="77777777" w:rsidR="00DE3CE9" w:rsidRPr="005E5914" w:rsidRDefault="00DE3CE9" w:rsidP="00DE3CE9">
      <w:pPr>
        <w:pStyle w:val="Brdtekst"/>
        <w:spacing w:after="0"/>
        <w:ind w:firstLine="170"/>
        <w:jc w:val="center"/>
        <w:rPr>
          <w:rFonts w:ascii="Garamond" w:hAnsi="Garamond"/>
          <w:b/>
          <w:sz w:val="24"/>
          <w:szCs w:val="24"/>
        </w:rPr>
      </w:pPr>
    </w:p>
    <w:p w14:paraId="74BAECE0" w14:textId="77777777" w:rsidR="00DE3CE9" w:rsidRPr="005E5914" w:rsidRDefault="00DE3CE9" w:rsidP="00DE3CE9">
      <w:pPr>
        <w:pStyle w:val="Brdtekst"/>
        <w:spacing w:after="0"/>
        <w:ind w:firstLine="170"/>
        <w:jc w:val="center"/>
        <w:rPr>
          <w:rFonts w:ascii="Garamond" w:hAnsi="Garamond"/>
          <w:b/>
          <w:sz w:val="24"/>
          <w:szCs w:val="24"/>
        </w:rPr>
      </w:pPr>
      <w:bookmarkStart w:id="1" w:name="OLE_LINK4"/>
      <w:bookmarkStart w:id="2" w:name="OLE_LINK5"/>
      <w:r w:rsidRPr="005E5914">
        <w:rPr>
          <w:rFonts w:ascii="Garamond" w:hAnsi="Garamond"/>
          <w:b/>
          <w:sz w:val="24"/>
          <w:szCs w:val="24"/>
        </w:rPr>
        <w:t>§ 1</w:t>
      </w:r>
    </w:p>
    <w:p w14:paraId="421E40B1" w14:textId="77777777" w:rsidR="00DE3CE9" w:rsidRPr="005E5914" w:rsidRDefault="00DE3CE9" w:rsidP="00DE3CE9">
      <w:pPr>
        <w:pStyle w:val="Brdtekst"/>
        <w:spacing w:after="0"/>
        <w:ind w:firstLine="170"/>
        <w:rPr>
          <w:rFonts w:ascii="Garamond" w:hAnsi="Garamond"/>
          <w:b/>
          <w:sz w:val="24"/>
          <w:szCs w:val="24"/>
        </w:rPr>
      </w:pPr>
    </w:p>
    <w:p w14:paraId="1DA48EC2" w14:textId="77777777" w:rsidR="00DE3CE9" w:rsidRPr="005E5914" w:rsidRDefault="00DE3CE9" w:rsidP="00DE3CE9">
      <w:pPr>
        <w:pStyle w:val="Brdtekst"/>
        <w:spacing w:after="0"/>
        <w:ind w:firstLine="170"/>
        <w:rPr>
          <w:rFonts w:ascii="Garamond" w:hAnsi="Garamond"/>
          <w:b/>
          <w:sz w:val="24"/>
          <w:szCs w:val="24"/>
        </w:rPr>
      </w:pPr>
    </w:p>
    <w:p w14:paraId="4D0574C1" w14:textId="77777777" w:rsidR="00DE3CE9" w:rsidRPr="005E5914" w:rsidRDefault="00DE3CE9" w:rsidP="00CC7C16">
      <w:pPr>
        <w:pStyle w:val="Brdtekst"/>
        <w:spacing w:after="0"/>
        <w:ind w:firstLine="170"/>
        <w:rPr>
          <w:rFonts w:ascii="Garamond" w:hAnsi="Garamond"/>
          <w:sz w:val="24"/>
          <w:szCs w:val="24"/>
        </w:rPr>
      </w:pPr>
      <w:r w:rsidRPr="005E5914">
        <w:rPr>
          <w:rFonts w:ascii="Garamond" w:hAnsi="Garamond"/>
          <w:sz w:val="24"/>
          <w:szCs w:val="24"/>
        </w:rPr>
        <w:t>I postloven, jf. lovbekendtgørelse nr. 1040 af 30. august 2017,</w:t>
      </w:r>
      <w:r w:rsidRPr="005E5914">
        <w:rPr>
          <w:rStyle w:val="kortnavn2"/>
          <w:rFonts w:ascii="Garamond" w:hAnsi="Garamond"/>
        </w:rPr>
        <w:t xml:space="preserve"> </w:t>
      </w:r>
      <w:r w:rsidRPr="005E5914">
        <w:rPr>
          <w:rFonts w:ascii="Garamond" w:hAnsi="Garamond"/>
          <w:sz w:val="24"/>
          <w:szCs w:val="24"/>
        </w:rPr>
        <w:t xml:space="preserve">foretages følgende ændring: </w:t>
      </w:r>
      <w:bookmarkEnd w:id="1"/>
      <w:bookmarkEnd w:id="2"/>
    </w:p>
    <w:p w14:paraId="655CE681" w14:textId="77777777" w:rsidR="00DE3CE9" w:rsidRPr="005E5914" w:rsidRDefault="00DE3CE9" w:rsidP="00DE3CE9">
      <w:pPr>
        <w:pStyle w:val="Brdtekst"/>
        <w:spacing w:after="0"/>
        <w:ind w:firstLine="170"/>
        <w:rPr>
          <w:rFonts w:ascii="Garamond" w:hAnsi="Garamond"/>
          <w:sz w:val="24"/>
          <w:szCs w:val="24"/>
        </w:rPr>
      </w:pPr>
    </w:p>
    <w:p w14:paraId="3803CD43" w14:textId="7900F622" w:rsidR="00DE3CE9" w:rsidRPr="005E5914" w:rsidRDefault="00E04C76" w:rsidP="00024BD6">
      <w:pPr>
        <w:pStyle w:val="stk2"/>
        <w:numPr>
          <w:ilvl w:val="0"/>
          <w:numId w:val="19"/>
        </w:numPr>
        <w:rPr>
          <w:rStyle w:val="stknr1"/>
          <w:rFonts w:ascii="Garamond" w:hAnsi="Garamond"/>
          <w:i w:val="0"/>
        </w:rPr>
      </w:pPr>
      <w:r>
        <w:rPr>
          <w:rStyle w:val="stknr1"/>
          <w:rFonts w:ascii="Garamond" w:hAnsi="Garamond"/>
          <w:i w:val="0"/>
        </w:rPr>
        <w:t xml:space="preserve">I </w:t>
      </w:r>
      <w:r w:rsidR="00DE3CE9" w:rsidRPr="005E5914">
        <w:rPr>
          <w:rStyle w:val="stknr1"/>
          <w:rFonts w:ascii="Garamond" w:hAnsi="Garamond"/>
        </w:rPr>
        <w:t>§ 28</w:t>
      </w:r>
      <w:r w:rsidR="00DE3CE9" w:rsidRPr="005E5914">
        <w:rPr>
          <w:rStyle w:val="stknr1"/>
          <w:rFonts w:ascii="Garamond" w:hAnsi="Garamond"/>
          <w:i w:val="0"/>
        </w:rPr>
        <w:t xml:space="preserve"> indsættes som</w:t>
      </w:r>
      <w:r w:rsidR="00793403">
        <w:rPr>
          <w:rStyle w:val="stknr1"/>
          <w:rFonts w:ascii="Garamond" w:hAnsi="Garamond"/>
          <w:i w:val="0"/>
        </w:rPr>
        <w:t xml:space="preserve"> </w:t>
      </w:r>
      <w:r w:rsidR="00793403">
        <w:rPr>
          <w:rStyle w:val="stknr1"/>
          <w:rFonts w:ascii="Garamond" w:hAnsi="Garamond"/>
        </w:rPr>
        <w:t>stk. 4</w:t>
      </w:r>
      <w:r w:rsidR="00337CA0" w:rsidRPr="005E5914">
        <w:rPr>
          <w:rStyle w:val="stknr1"/>
          <w:rFonts w:ascii="Garamond" w:hAnsi="Garamond"/>
          <w:i w:val="0"/>
        </w:rPr>
        <w:t>:</w:t>
      </w:r>
    </w:p>
    <w:p w14:paraId="04E65A7C" w14:textId="77777777" w:rsidR="00DE3CE9" w:rsidRPr="005E5914" w:rsidRDefault="00DE3CE9" w:rsidP="00DE3CE9">
      <w:pPr>
        <w:pStyle w:val="stk2"/>
        <w:ind w:firstLine="0"/>
        <w:rPr>
          <w:rStyle w:val="stknr1"/>
          <w:rFonts w:ascii="Garamond" w:hAnsi="Garamond"/>
          <w:i w:val="0"/>
        </w:rPr>
      </w:pPr>
    </w:p>
    <w:p w14:paraId="142A040B" w14:textId="77777777" w:rsidR="00DE3CE9" w:rsidRPr="005E5914" w:rsidRDefault="00DE3CE9" w:rsidP="00DE3CE9">
      <w:pPr>
        <w:ind w:left="284"/>
        <w:rPr>
          <w:rFonts w:ascii="Garamond" w:hAnsi="Garamond"/>
        </w:rPr>
      </w:pPr>
      <w:r w:rsidRPr="005E5914">
        <w:rPr>
          <w:rFonts w:ascii="Garamond" w:hAnsi="Garamond"/>
          <w:iCs/>
        </w:rPr>
        <w:t>»</w:t>
      </w:r>
      <w:r w:rsidRPr="005E5914">
        <w:rPr>
          <w:rFonts w:ascii="Garamond" w:hAnsi="Garamond"/>
          <w:i/>
          <w:iCs/>
        </w:rPr>
        <w:t>Stk. 4.</w:t>
      </w:r>
      <w:r w:rsidRPr="005E5914">
        <w:rPr>
          <w:rFonts w:ascii="Garamond" w:hAnsi="Garamond"/>
          <w:iCs/>
        </w:rPr>
        <w:t xml:space="preserve"> Overtrædelse af artiklerne 4 og 5 i Europa-Parlamentets og Rådets forordning (EU) 2018/644 af 18. april 2018 om grænseoverskridende pakkeleveringstjenester, begået af en pakkeleveringsvirksomhed omfattet af forordningen, straffes med bøde.«</w:t>
      </w:r>
    </w:p>
    <w:p w14:paraId="2AE9C7EE" w14:textId="77777777" w:rsidR="00DE3CE9" w:rsidRPr="005E5914" w:rsidRDefault="00DE3CE9" w:rsidP="00DE3CE9">
      <w:pPr>
        <w:pStyle w:val="Listeafsnit"/>
        <w:ind w:left="284"/>
        <w:rPr>
          <w:rFonts w:ascii="Garamond" w:hAnsi="Garamond"/>
          <w:sz w:val="24"/>
          <w:szCs w:val="24"/>
        </w:rPr>
      </w:pPr>
    </w:p>
    <w:p w14:paraId="65A7B632" w14:textId="77777777" w:rsidR="00DE3CE9" w:rsidRPr="005E5914" w:rsidRDefault="00DE3CE9" w:rsidP="00DE3CE9">
      <w:pPr>
        <w:pStyle w:val="Listeafsnit"/>
        <w:rPr>
          <w:rFonts w:ascii="Garamond" w:hAnsi="Garamond"/>
          <w:sz w:val="24"/>
          <w:szCs w:val="24"/>
        </w:rPr>
      </w:pPr>
    </w:p>
    <w:p w14:paraId="6E0599F7" w14:textId="77777777" w:rsidR="00DE3CE9" w:rsidRPr="005E5914" w:rsidRDefault="00DE3CE9" w:rsidP="00DE3CE9">
      <w:pPr>
        <w:pStyle w:val="Brdtekst"/>
        <w:spacing w:after="0"/>
        <w:ind w:firstLine="170"/>
        <w:jc w:val="center"/>
        <w:rPr>
          <w:rFonts w:ascii="Garamond" w:hAnsi="Garamond"/>
          <w:b/>
          <w:sz w:val="24"/>
          <w:szCs w:val="24"/>
        </w:rPr>
      </w:pPr>
      <w:r w:rsidRPr="005E5914">
        <w:rPr>
          <w:rFonts w:ascii="Garamond" w:hAnsi="Garamond"/>
          <w:b/>
          <w:sz w:val="24"/>
          <w:szCs w:val="24"/>
        </w:rPr>
        <w:t>§ 2</w:t>
      </w:r>
    </w:p>
    <w:p w14:paraId="67F097F5" w14:textId="77777777" w:rsidR="00DE3CE9" w:rsidRPr="005E5914" w:rsidRDefault="00DE3CE9" w:rsidP="00DE3CE9">
      <w:pPr>
        <w:pStyle w:val="Brdtekst"/>
        <w:spacing w:after="0"/>
        <w:ind w:firstLine="170"/>
        <w:rPr>
          <w:rFonts w:ascii="Garamond" w:hAnsi="Garamond"/>
          <w:sz w:val="24"/>
          <w:szCs w:val="24"/>
        </w:rPr>
      </w:pPr>
    </w:p>
    <w:p w14:paraId="14027C55" w14:textId="77777777" w:rsidR="00DE3CE9" w:rsidRPr="005E5914" w:rsidRDefault="00DE3CE9" w:rsidP="00DE3CE9">
      <w:pPr>
        <w:pStyle w:val="stk2"/>
        <w:ind w:firstLine="0"/>
        <w:rPr>
          <w:rFonts w:ascii="Garamond" w:hAnsi="Garamond"/>
        </w:rPr>
      </w:pPr>
      <w:r w:rsidRPr="005E5914">
        <w:rPr>
          <w:rFonts w:ascii="Garamond" w:hAnsi="Garamond"/>
        </w:rPr>
        <w:t>Loven træder i kraft</w:t>
      </w:r>
      <w:r w:rsidR="00793403">
        <w:rPr>
          <w:rFonts w:ascii="Garamond" w:hAnsi="Garamond"/>
        </w:rPr>
        <w:t xml:space="preserve"> den</w:t>
      </w:r>
      <w:r w:rsidRPr="005E5914">
        <w:rPr>
          <w:rFonts w:ascii="Garamond" w:hAnsi="Garamond"/>
        </w:rPr>
        <w:t xml:space="preserve"> </w:t>
      </w:r>
      <w:r w:rsidR="00992EBB">
        <w:rPr>
          <w:rFonts w:ascii="Garamond" w:hAnsi="Garamond"/>
        </w:rPr>
        <w:t>1. januar 2022</w:t>
      </w:r>
      <w:r w:rsidRPr="005E5914">
        <w:rPr>
          <w:rFonts w:ascii="Garamond" w:hAnsi="Garamond"/>
        </w:rPr>
        <w:t xml:space="preserve">. </w:t>
      </w:r>
    </w:p>
    <w:p w14:paraId="3E6872B0" w14:textId="77777777" w:rsidR="00DE3CE9" w:rsidRPr="005E5914" w:rsidRDefault="00DE3CE9" w:rsidP="00DE3CE9">
      <w:pPr>
        <w:pStyle w:val="stk2"/>
        <w:ind w:firstLine="0"/>
        <w:rPr>
          <w:rFonts w:ascii="Garamond" w:hAnsi="Garamond"/>
        </w:rPr>
      </w:pPr>
    </w:p>
    <w:p w14:paraId="4804B16A" w14:textId="77777777" w:rsidR="00DE3CE9" w:rsidRPr="005E5914" w:rsidRDefault="00DE3CE9" w:rsidP="00DE3CE9">
      <w:pPr>
        <w:pStyle w:val="Brdtekst"/>
        <w:spacing w:after="0"/>
        <w:ind w:firstLine="170"/>
        <w:jc w:val="center"/>
        <w:rPr>
          <w:rFonts w:ascii="Garamond" w:hAnsi="Garamond"/>
          <w:b/>
          <w:sz w:val="24"/>
          <w:szCs w:val="24"/>
        </w:rPr>
      </w:pPr>
    </w:p>
    <w:p w14:paraId="7717036D" w14:textId="77777777" w:rsidR="00DE3CE9" w:rsidRPr="005E5914" w:rsidRDefault="00DE3CE9" w:rsidP="00DE3CE9">
      <w:pPr>
        <w:rPr>
          <w:rFonts w:ascii="Garamond" w:hAnsi="Garamond" w:cs="Tahoma"/>
          <w:color w:val="000000"/>
        </w:rPr>
      </w:pPr>
    </w:p>
    <w:p w14:paraId="48EB5738" w14:textId="77777777" w:rsidR="00E5767A" w:rsidRPr="005E5914" w:rsidRDefault="00E5767A" w:rsidP="00E5767A">
      <w:pPr>
        <w:rPr>
          <w:rFonts w:ascii="Garamond" w:hAnsi="Garamond" w:cs="Garamond"/>
          <w:i/>
          <w:iCs/>
        </w:rPr>
      </w:pPr>
    </w:p>
    <w:p w14:paraId="077DEB78" w14:textId="77777777" w:rsidR="00E5767A" w:rsidRDefault="00E5767A" w:rsidP="00E5767A">
      <w:pPr>
        <w:rPr>
          <w:rFonts w:ascii="Garamond" w:hAnsi="Garamond" w:cs="Garamond"/>
          <w:i/>
          <w:iCs/>
        </w:rPr>
      </w:pPr>
    </w:p>
    <w:p w14:paraId="04BF1232" w14:textId="77777777" w:rsidR="000D7F36" w:rsidRDefault="000D7F36" w:rsidP="00E5767A">
      <w:pPr>
        <w:rPr>
          <w:rFonts w:ascii="Garamond" w:hAnsi="Garamond" w:cs="Garamond"/>
          <w:i/>
          <w:iCs/>
        </w:rPr>
      </w:pPr>
    </w:p>
    <w:p w14:paraId="3129B319" w14:textId="77777777" w:rsidR="000D7F36" w:rsidRDefault="000D7F36" w:rsidP="00E5767A">
      <w:pPr>
        <w:rPr>
          <w:rFonts w:ascii="Garamond" w:hAnsi="Garamond" w:cs="Garamond"/>
          <w:i/>
          <w:iCs/>
        </w:rPr>
      </w:pPr>
    </w:p>
    <w:p w14:paraId="27C8A2FF" w14:textId="77777777" w:rsidR="000D7F36" w:rsidRDefault="000D7F36" w:rsidP="00E5767A">
      <w:pPr>
        <w:rPr>
          <w:rFonts w:ascii="Garamond" w:hAnsi="Garamond" w:cs="Garamond"/>
          <w:i/>
          <w:iCs/>
        </w:rPr>
      </w:pPr>
    </w:p>
    <w:p w14:paraId="5721CD1A" w14:textId="77777777" w:rsidR="000D7F36" w:rsidRDefault="000D7F36" w:rsidP="00E5767A">
      <w:pPr>
        <w:rPr>
          <w:rFonts w:ascii="Garamond" w:hAnsi="Garamond" w:cs="Garamond"/>
          <w:i/>
          <w:iCs/>
        </w:rPr>
      </w:pPr>
    </w:p>
    <w:p w14:paraId="46C64EB0" w14:textId="77777777" w:rsidR="000D7F36" w:rsidRDefault="000D7F36" w:rsidP="00E5767A">
      <w:pPr>
        <w:rPr>
          <w:rFonts w:ascii="Garamond" w:hAnsi="Garamond" w:cs="Garamond"/>
          <w:i/>
          <w:iCs/>
        </w:rPr>
      </w:pPr>
    </w:p>
    <w:p w14:paraId="40C59386" w14:textId="77777777" w:rsidR="000D7F36" w:rsidRDefault="000D7F36" w:rsidP="00E5767A">
      <w:pPr>
        <w:rPr>
          <w:rFonts w:ascii="Garamond" w:hAnsi="Garamond" w:cs="Garamond"/>
          <w:i/>
          <w:iCs/>
        </w:rPr>
      </w:pPr>
    </w:p>
    <w:p w14:paraId="76B9507F" w14:textId="77777777" w:rsidR="000D7F36" w:rsidRDefault="000D7F36" w:rsidP="00E5767A">
      <w:pPr>
        <w:rPr>
          <w:rFonts w:ascii="Garamond" w:hAnsi="Garamond" w:cs="Garamond"/>
          <w:i/>
          <w:iCs/>
        </w:rPr>
      </w:pPr>
    </w:p>
    <w:p w14:paraId="3E5209A7" w14:textId="77777777" w:rsidR="000D7F36" w:rsidRDefault="000D7F36" w:rsidP="00E5767A">
      <w:pPr>
        <w:rPr>
          <w:rFonts w:ascii="Garamond" w:hAnsi="Garamond" w:cs="Garamond"/>
          <w:i/>
          <w:iCs/>
        </w:rPr>
      </w:pPr>
    </w:p>
    <w:p w14:paraId="6C492CB3" w14:textId="77777777" w:rsidR="000D7F36" w:rsidRDefault="000D7F36" w:rsidP="00E5767A">
      <w:pPr>
        <w:rPr>
          <w:rFonts w:ascii="Garamond" w:hAnsi="Garamond" w:cs="Garamond"/>
          <w:i/>
          <w:iCs/>
        </w:rPr>
      </w:pPr>
    </w:p>
    <w:p w14:paraId="4E44B17C" w14:textId="77777777" w:rsidR="000D7F36" w:rsidRDefault="000D7F36" w:rsidP="00E5767A">
      <w:pPr>
        <w:rPr>
          <w:rFonts w:ascii="Garamond" w:hAnsi="Garamond" w:cs="Garamond"/>
          <w:i/>
          <w:iCs/>
        </w:rPr>
      </w:pPr>
    </w:p>
    <w:p w14:paraId="3C59AF99" w14:textId="77777777" w:rsidR="000D7F36" w:rsidRDefault="000D7F36" w:rsidP="00E5767A">
      <w:pPr>
        <w:rPr>
          <w:rFonts w:ascii="Garamond" w:hAnsi="Garamond" w:cs="Garamond"/>
          <w:i/>
          <w:iCs/>
        </w:rPr>
      </w:pPr>
    </w:p>
    <w:p w14:paraId="57B25A58" w14:textId="77777777" w:rsidR="000D7F36" w:rsidRDefault="000D7F36" w:rsidP="00E5767A">
      <w:pPr>
        <w:rPr>
          <w:rFonts w:ascii="Garamond" w:hAnsi="Garamond" w:cs="Garamond"/>
          <w:i/>
          <w:iCs/>
        </w:rPr>
      </w:pPr>
    </w:p>
    <w:p w14:paraId="7040D308" w14:textId="77777777" w:rsidR="000D7F36" w:rsidRDefault="000D7F36" w:rsidP="00E5767A">
      <w:pPr>
        <w:rPr>
          <w:rFonts w:ascii="Garamond" w:hAnsi="Garamond" w:cs="Garamond"/>
          <w:i/>
          <w:iCs/>
        </w:rPr>
      </w:pPr>
    </w:p>
    <w:p w14:paraId="01ECDDC9" w14:textId="77777777" w:rsidR="000D7F36" w:rsidRDefault="000D7F36" w:rsidP="00E5767A">
      <w:pPr>
        <w:rPr>
          <w:rFonts w:ascii="Garamond" w:hAnsi="Garamond" w:cs="Garamond"/>
          <w:i/>
          <w:iCs/>
        </w:rPr>
      </w:pPr>
    </w:p>
    <w:p w14:paraId="77050F81" w14:textId="77777777" w:rsidR="000D7F36" w:rsidRDefault="000D7F36" w:rsidP="00E5767A">
      <w:pPr>
        <w:rPr>
          <w:rFonts w:ascii="Garamond" w:hAnsi="Garamond" w:cs="Garamond"/>
          <w:i/>
          <w:iCs/>
        </w:rPr>
      </w:pPr>
    </w:p>
    <w:p w14:paraId="1830BD81" w14:textId="77777777" w:rsidR="000D7F36" w:rsidRPr="000D7F36" w:rsidRDefault="000D7F36" w:rsidP="00E5767A">
      <w:pPr>
        <w:rPr>
          <w:rFonts w:ascii="Garamond" w:hAnsi="Garamond" w:cs="Garamond"/>
          <w:iCs/>
          <w:sz w:val="21"/>
          <w:szCs w:val="21"/>
        </w:rPr>
      </w:pPr>
      <w:r w:rsidRPr="000D7F36">
        <w:rPr>
          <w:rFonts w:ascii="Garamond" w:hAnsi="Garamond" w:cs="Garamond"/>
          <w:iCs/>
          <w:sz w:val="21"/>
          <w:szCs w:val="21"/>
        </w:rPr>
        <w:t>TRM</w:t>
      </w:r>
      <w:r>
        <w:rPr>
          <w:rFonts w:ascii="Garamond" w:hAnsi="Garamond" w:cs="Garamond"/>
          <w:iCs/>
          <w:sz w:val="21"/>
          <w:szCs w:val="21"/>
        </w:rPr>
        <w:t>, j. nr. 20</w:t>
      </w:r>
      <w:r w:rsidRPr="000D7F36">
        <w:rPr>
          <w:rFonts w:ascii="Garamond" w:hAnsi="Garamond" w:cs="Garamond"/>
          <w:iCs/>
          <w:sz w:val="21"/>
          <w:szCs w:val="21"/>
        </w:rPr>
        <w:t>21-4019</w:t>
      </w:r>
    </w:p>
    <w:p w14:paraId="20E2CF2A" w14:textId="77777777" w:rsidR="00DE3CE9" w:rsidRPr="005E5914" w:rsidRDefault="00DE3CE9">
      <w:pPr>
        <w:spacing w:after="200" w:line="276" w:lineRule="auto"/>
        <w:rPr>
          <w:rFonts w:ascii="Garamond" w:hAnsi="Garamond" w:cs="Garamond"/>
          <w:i/>
          <w:iCs/>
        </w:rPr>
      </w:pPr>
      <w:r w:rsidRPr="005E5914">
        <w:rPr>
          <w:rFonts w:ascii="Garamond" w:hAnsi="Garamond" w:cs="Garamond"/>
          <w:i/>
          <w:iCs/>
        </w:rPr>
        <w:br w:type="page"/>
      </w:r>
    </w:p>
    <w:p w14:paraId="383234CE" w14:textId="77777777" w:rsidR="00E5767A" w:rsidRDefault="00E5767A" w:rsidP="00E5767A">
      <w:pPr>
        <w:rPr>
          <w:rFonts w:ascii="Garamond" w:hAnsi="Garamond"/>
          <w:i/>
        </w:rPr>
      </w:pPr>
    </w:p>
    <w:p w14:paraId="7920A5AA" w14:textId="77777777" w:rsidR="000D7F36" w:rsidRPr="000D7F36" w:rsidRDefault="000D7F36" w:rsidP="000D7F36">
      <w:pPr>
        <w:jc w:val="center"/>
        <w:rPr>
          <w:rFonts w:ascii="Garamond" w:hAnsi="Garamond"/>
          <w:b/>
        </w:rPr>
      </w:pPr>
      <w:r w:rsidRPr="000D7F36">
        <w:rPr>
          <w:rFonts w:ascii="Garamond" w:hAnsi="Garamond"/>
          <w:b/>
        </w:rPr>
        <w:t>UDKAST</w:t>
      </w:r>
    </w:p>
    <w:p w14:paraId="74805AFF" w14:textId="77777777" w:rsidR="000D7F36" w:rsidRDefault="000D7F36" w:rsidP="00E5767A">
      <w:pPr>
        <w:rPr>
          <w:rFonts w:ascii="Garamond" w:hAnsi="Garamond"/>
          <w:i/>
        </w:rPr>
      </w:pPr>
    </w:p>
    <w:p w14:paraId="7B2FECBB" w14:textId="77777777" w:rsidR="000D7F36" w:rsidRPr="00991A9A" w:rsidRDefault="000D7F36" w:rsidP="00E5767A">
      <w:pPr>
        <w:rPr>
          <w:rFonts w:ascii="Garamond" w:hAnsi="Garamond"/>
          <w:i/>
        </w:rPr>
      </w:pPr>
    </w:p>
    <w:p w14:paraId="7899CB20" w14:textId="77777777" w:rsidR="00E5767A" w:rsidRPr="00991A9A" w:rsidRDefault="00E5767A" w:rsidP="00E5767A">
      <w:pPr>
        <w:jc w:val="center"/>
        <w:rPr>
          <w:rFonts w:ascii="Garamond" w:hAnsi="Garamond"/>
          <w:i/>
          <w:iCs/>
        </w:rPr>
      </w:pPr>
      <w:r w:rsidRPr="00991A9A">
        <w:rPr>
          <w:rFonts w:ascii="Garamond" w:hAnsi="Garamond"/>
          <w:i/>
          <w:iCs/>
        </w:rPr>
        <w:t>Almindelige bemærkninger</w:t>
      </w:r>
    </w:p>
    <w:p w14:paraId="3F127AF1" w14:textId="77777777" w:rsidR="00E5767A" w:rsidRPr="00991A9A" w:rsidRDefault="00E5767A" w:rsidP="00E5767A">
      <w:pPr>
        <w:rPr>
          <w:rFonts w:ascii="Garamond" w:hAnsi="Garamond"/>
          <w:iCs/>
        </w:rPr>
      </w:pPr>
    </w:p>
    <w:p w14:paraId="584BCCD6" w14:textId="77777777" w:rsidR="00E5767A" w:rsidRDefault="00E5767A" w:rsidP="00E5767A">
      <w:pPr>
        <w:autoSpaceDE w:val="0"/>
        <w:autoSpaceDN w:val="0"/>
        <w:adjustRightInd w:val="0"/>
        <w:rPr>
          <w:rFonts w:ascii="Garamond" w:hAnsi="Garamond" w:cs="Garamond"/>
          <w:color w:val="000000"/>
        </w:rPr>
      </w:pPr>
    </w:p>
    <w:p w14:paraId="6EFE0A47" w14:textId="77777777" w:rsidR="00E5767A" w:rsidRPr="00950EE7" w:rsidRDefault="00E5767A" w:rsidP="00950EE7">
      <w:pPr>
        <w:pStyle w:val="Listeafsnit"/>
        <w:numPr>
          <w:ilvl w:val="0"/>
          <w:numId w:val="18"/>
        </w:numPr>
        <w:rPr>
          <w:rFonts w:ascii="Garamond" w:hAnsi="Garamond"/>
          <w:i/>
          <w:iCs/>
        </w:rPr>
      </w:pPr>
      <w:r w:rsidRPr="00950EE7">
        <w:rPr>
          <w:rFonts w:ascii="Garamond" w:hAnsi="Garamond"/>
          <w:i/>
          <w:iCs/>
          <w:sz w:val="24"/>
          <w:szCs w:val="24"/>
        </w:rPr>
        <w:t>Indledning</w:t>
      </w:r>
    </w:p>
    <w:p w14:paraId="22DD2C26" w14:textId="77777777" w:rsidR="00E5767A" w:rsidRDefault="00E5767A" w:rsidP="00E5767A">
      <w:pPr>
        <w:ind w:firstLine="113"/>
        <w:rPr>
          <w:rFonts w:ascii="Garamond" w:hAnsi="Garamond"/>
        </w:rPr>
      </w:pPr>
    </w:p>
    <w:p w14:paraId="19F36614" w14:textId="535C5983" w:rsidR="00E5767A" w:rsidRDefault="00E5767A" w:rsidP="00001FB6">
      <w:pPr>
        <w:ind w:firstLine="473"/>
        <w:rPr>
          <w:rFonts w:ascii="Garamond" w:hAnsi="Garamond"/>
        </w:rPr>
      </w:pPr>
      <w:r w:rsidRPr="00991A9A">
        <w:rPr>
          <w:rFonts w:ascii="Garamond" w:hAnsi="Garamond"/>
        </w:rPr>
        <w:t xml:space="preserve">Forslaget indeholder forslag til straffebestemmelse for overtrædelse af </w:t>
      </w:r>
      <w:r w:rsidR="00396AAE">
        <w:rPr>
          <w:rFonts w:ascii="Garamond" w:hAnsi="Garamond"/>
        </w:rPr>
        <w:t xml:space="preserve">indberetningsforpligtelser i </w:t>
      </w:r>
      <w:r w:rsidRPr="00991A9A">
        <w:rPr>
          <w:rFonts w:ascii="Garamond" w:hAnsi="Garamond"/>
        </w:rPr>
        <w:t>Europa</w:t>
      </w:r>
      <w:r>
        <w:rPr>
          <w:rFonts w:ascii="Garamond" w:hAnsi="Garamond"/>
        </w:rPr>
        <w:t xml:space="preserve"> P</w:t>
      </w:r>
      <w:r w:rsidRPr="00991A9A">
        <w:rPr>
          <w:rFonts w:ascii="Garamond" w:hAnsi="Garamond"/>
        </w:rPr>
        <w:t xml:space="preserve">arlamentets og Rådets forordning (EU) 2018/644 af 18. april 2018 om grænseoverskridende pakkeleveringstjenester begået af en pakkeleveringsvirksomhed omfattet af forordningen. </w:t>
      </w:r>
    </w:p>
    <w:p w14:paraId="299FD08E" w14:textId="77777777" w:rsidR="004F6A1A" w:rsidRDefault="004F6A1A" w:rsidP="00E5767A">
      <w:pPr>
        <w:ind w:firstLine="113"/>
        <w:rPr>
          <w:rFonts w:ascii="Garamond" w:hAnsi="Garamond"/>
        </w:rPr>
      </w:pPr>
    </w:p>
    <w:p w14:paraId="73108F68" w14:textId="77777777" w:rsidR="00CD4A75" w:rsidRPr="00D332A4" w:rsidRDefault="004F6A1A" w:rsidP="00CD4A75">
      <w:pPr>
        <w:pStyle w:val="Listeafsnit"/>
        <w:numPr>
          <w:ilvl w:val="0"/>
          <w:numId w:val="18"/>
        </w:numPr>
        <w:rPr>
          <w:rFonts w:ascii="Garamond" w:hAnsi="Garamond"/>
          <w:i/>
          <w:color w:val="auto"/>
          <w:sz w:val="24"/>
          <w:szCs w:val="24"/>
        </w:rPr>
      </w:pPr>
      <w:r w:rsidRPr="00D332A4">
        <w:rPr>
          <w:rFonts w:ascii="Garamond" w:hAnsi="Garamond"/>
          <w:i/>
          <w:color w:val="auto"/>
          <w:sz w:val="24"/>
          <w:szCs w:val="24"/>
        </w:rPr>
        <w:t>Lovforslagets baggrund</w:t>
      </w:r>
    </w:p>
    <w:p w14:paraId="5D5A6EFB" w14:textId="77777777" w:rsidR="00CD4A75" w:rsidRPr="00D332A4" w:rsidRDefault="00CD4A75" w:rsidP="00CD4A75">
      <w:pPr>
        <w:rPr>
          <w:rFonts w:ascii="Garamond" w:hAnsi="Garamond"/>
          <w:i/>
        </w:rPr>
      </w:pPr>
    </w:p>
    <w:p w14:paraId="71608A18" w14:textId="6D366833" w:rsidR="00CD4A75" w:rsidRDefault="00CD4A75" w:rsidP="00001FB6">
      <w:pPr>
        <w:pStyle w:val="TableParagraph"/>
        <w:ind w:left="63" w:right="148" w:firstLine="410"/>
        <w:rPr>
          <w:rFonts w:ascii="Garamond" w:eastAsia="Times New Roman" w:hAnsi="Garamond" w:cs="Times New Roman"/>
          <w:sz w:val="24"/>
          <w:szCs w:val="24"/>
          <w:lang w:val="da-DK" w:eastAsia="da-DK"/>
        </w:rPr>
      </w:pPr>
      <w:r w:rsidRPr="00D332A4">
        <w:rPr>
          <w:rFonts w:ascii="Garamond" w:eastAsia="Times New Roman" w:hAnsi="Garamond" w:cs="Times New Roman"/>
          <w:sz w:val="24"/>
          <w:szCs w:val="24"/>
          <w:lang w:val="da-DK" w:eastAsia="da-DK"/>
        </w:rPr>
        <w:t xml:space="preserve">Europa-Parlamentets og Rådets forordning (EU) 2018/644 af 18. april 2018 om grænseoverskridende pakkeleveringstjenester, der har fundet anvendelse i medlemsstaterne siden januar 2019, pålægger i artikel 4 og 5 samtlige pakkeleveringsvirksomheder med mere end 50 personer ansat, der er beskæftiget med pakkeleveringstjenester, at skulle indrapportere en række forskellige </w:t>
      </w:r>
      <w:r w:rsidR="00BB3C39">
        <w:rPr>
          <w:rFonts w:ascii="Garamond" w:eastAsia="Times New Roman" w:hAnsi="Garamond" w:cs="Times New Roman"/>
          <w:sz w:val="24"/>
          <w:szCs w:val="24"/>
          <w:lang w:val="da-DK" w:eastAsia="da-DK"/>
        </w:rPr>
        <w:t>baggrunds</w:t>
      </w:r>
      <w:r w:rsidRPr="00D332A4">
        <w:rPr>
          <w:rFonts w:ascii="Garamond" w:eastAsia="Times New Roman" w:hAnsi="Garamond" w:cs="Times New Roman"/>
          <w:sz w:val="24"/>
          <w:szCs w:val="24"/>
          <w:lang w:val="da-DK" w:eastAsia="da-DK"/>
        </w:rPr>
        <w:t>oplysninger</w:t>
      </w:r>
      <w:r w:rsidR="00BB3C39">
        <w:rPr>
          <w:rFonts w:ascii="Garamond" w:eastAsia="Times New Roman" w:hAnsi="Garamond" w:cs="Times New Roman"/>
          <w:sz w:val="24"/>
          <w:szCs w:val="24"/>
          <w:lang w:val="da-DK" w:eastAsia="da-DK"/>
        </w:rPr>
        <w:t xml:space="preserve"> om virksomheden</w:t>
      </w:r>
      <w:r w:rsidRPr="00D332A4">
        <w:rPr>
          <w:rFonts w:ascii="Garamond" w:eastAsia="Times New Roman" w:hAnsi="Garamond" w:cs="Times New Roman"/>
          <w:sz w:val="24"/>
          <w:szCs w:val="24"/>
          <w:lang w:val="da-DK" w:eastAsia="da-DK"/>
        </w:rPr>
        <w:t xml:space="preserve"> til den nationale forvaltningsmyndighed. Forvaltningsmyndigheden i Danmark er Trafikstyrelsen.</w:t>
      </w:r>
    </w:p>
    <w:p w14:paraId="1F9E9EAD" w14:textId="77777777" w:rsidR="00CD4A75" w:rsidRPr="00D332A4" w:rsidRDefault="00CD4A75" w:rsidP="00FF31FE">
      <w:pPr>
        <w:pStyle w:val="TableParagraph"/>
        <w:ind w:right="148"/>
        <w:rPr>
          <w:rFonts w:ascii="Garamond" w:eastAsia="Times New Roman" w:hAnsi="Garamond" w:cs="Times New Roman"/>
          <w:sz w:val="24"/>
          <w:szCs w:val="24"/>
          <w:lang w:val="da-DK" w:eastAsia="da-DK"/>
        </w:rPr>
      </w:pPr>
    </w:p>
    <w:p w14:paraId="233A1250" w14:textId="44B61319" w:rsidR="00CD4A75" w:rsidRDefault="00CD4A75" w:rsidP="00001FB6">
      <w:pPr>
        <w:pStyle w:val="TableParagraph"/>
        <w:ind w:left="63" w:right="148" w:firstLine="410"/>
        <w:rPr>
          <w:rFonts w:ascii="Garamond" w:eastAsia="Times New Roman" w:hAnsi="Garamond" w:cs="Times New Roman"/>
          <w:sz w:val="24"/>
          <w:szCs w:val="24"/>
          <w:lang w:val="da-DK" w:eastAsia="da-DK"/>
        </w:rPr>
      </w:pPr>
      <w:r w:rsidRPr="00D332A4">
        <w:rPr>
          <w:rFonts w:ascii="Garamond" w:eastAsia="Times New Roman" w:hAnsi="Garamond" w:cs="Times New Roman"/>
          <w:sz w:val="24"/>
          <w:szCs w:val="24"/>
          <w:lang w:val="da-DK" w:eastAsia="da-DK"/>
        </w:rPr>
        <w:t>Forordningen fastsætter særlige frister for indrapportering af de anførte oplysninger, hvoraf en</w:t>
      </w:r>
      <w:r w:rsidR="00FF31FE" w:rsidRPr="00D332A4">
        <w:rPr>
          <w:rFonts w:ascii="Garamond" w:eastAsia="Times New Roman" w:hAnsi="Garamond" w:cs="Times New Roman"/>
          <w:sz w:val="24"/>
          <w:szCs w:val="24"/>
          <w:lang w:val="da-DK" w:eastAsia="da-DK"/>
        </w:rPr>
        <w:t xml:space="preserve"> del efterfølgende skal tilgå Europa</w:t>
      </w:r>
      <w:r w:rsidRPr="00D332A4">
        <w:rPr>
          <w:rFonts w:ascii="Garamond" w:eastAsia="Times New Roman" w:hAnsi="Garamond" w:cs="Times New Roman"/>
          <w:sz w:val="24"/>
          <w:szCs w:val="24"/>
          <w:lang w:val="da-DK" w:eastAsia="da-DK"/>
        </w:rPr>
        <w:t>-Kommissionen, hvorefter de stilles til rådighed for offentligheden for derved at skabe større gennemsigtighed på det europæiske pakketransportmarked af hensyn til borgerne og de små- og mellemstore virksomheder.</w:t>
      </w:r>
    </w:p>
    <w:p w14:paraId="2B0CC53F" w14:textId="05A368B6" w:rsidR="00BB3C39" w:rsidRPr="00513ABE" w:rsidRDefault="00BB3C39" w:rsidP="00BB3C39">
      <w:pPr>
        <w:pStyle w:val="TableParagraph"/>
        <w:ind w:right="148"/>
        <w:rPr>
          <w:rFonts w:ascii="Garamond" w:hAnsi="Garamond"/>
          <w:sz w:val="24"/>
          <w:szCs w:val="24"/>
          <w:lang w:val="da-DK"/>
        </w:rPr>
      </w:pPr>
      <w:r>
        <w:rPr>
          <w:rFonts w:ascii="Garamond" w:hAnsi="Garamond"/>
          <w:color w:val="FF0000"/>
          <w:sz w:val="24"/>
          <w:szCs w:val="24"/>
          <w:lang w:val="da-DK"/>
        </w:rPr>
        <w:br/>
      </w:r>
      <w:r>
        <w:rPr>
          <w:rFonts w:ascii="Garamond" w:hAnsi="Garamond"/>
          <w:color w:val="FF0000"/>
          <w:sz w:val="24"/>
          <w:szCs w:val="24"/>
          <w:lang w:val="da-DK"/>
        </w:rPr>
        <w:tab/>
      </w:r>
      <w:r w:rsidRPr="00513ABE">
        <w:rPr>
          <w:rFonts w:ascii="Garamond" w:hAnsi="Garamond"/>
          <w:sz w:val="24"/>
          <w:szCs w:val="24"/>
          <w:lang w:val="da-DK"/>
        </w:rPr>
        <w:t xml:space="preserve">Forordningens artikel 8 fastlægger en forpligtelse for medlemsstaterne til at fastlægge sanktioner i de tilfælde, hvor der ikke sker indberetning i overensstemmelse med forordningens artikel 4 og 5. </w:t>
      </w:r>
    </w:p>
    <w:p w14:paraId="7CD77120" w14:textId="77777777" w:rsidR="00AE0605" w:rsidRPr="00513ABE" w:rsidRDefault="00AE0605" w:rsidP="00001FB6">
      <w:pPr>
        <w:pStyle w:val="TableParagraph"/>
        <w:ind w:left="63" w:right="148" w:firstLine="410"/>
        <w:rPr>
          <w:rFonts w:ascii="Garamond" w:hAnsi="Garamond"/>
          <w:sz w:val="24"/>
          <w:szCs w:val="24"/>
          <w:lang w:val="da-DK"/>
        </w:rPr>
      </w:pPr>
    </w:p>
    <w:p w14:paraId="3A14BC70" w14:textId="7186A281" w:rsidR="00674632" w:rsidRPr="00513ABE" w:rsidRDefault="00674632" w:rsidP="00001FB6">
      <w:pPr>
        <w:pStyle w:val="TableParagraph"/>
        <w:ind w:right="148" w:firstLine="473"/>
        <w:rPr>
          <w:rFonts w:ascii="Garamond" w:eastAsia="Times New Roman" w:hAnsi="Garamond" w:cs="Times New Roman"/>
          <w:sz w:val="24"/>
          <w:szCs w:val="24"/>
          <w:lang w:val="da-DK" w:eastAsia="da-DK"/>
        </w:rPr>
      </w:pPr>
      <w:r w:rsidRPr="00513ABE">
        <w:rPr>
          <w:rFonts w:ascii="Garamond" w:hAnsi="Garamond"/>
          <w:sz w:val="24"/>
          <w:szCs w:val="24"/>
          <w:lang w:val="da-DK"/>
        </w:rPr>
        <w:t xml:space="preserve">Forordningens artikel 8, stk. 2, </w:t>
      </w:r>
      <w:r w:rsidR="00BB3C39" w:rsidRPr="00513ABE">
        <w:rPr>
          <w:rFonts w:ascii="Garamond" w:hAnsi="Garamond"/>
          <w:sz w:val="24"/>
          <w:szCs w:val="24"/>
          <w:lang w:val="da-DK"/>
        </w:rPr>
        <w:t xml:space="preserve">foreskriver </w:t>
      </w:r>
      <w:r w:rsidRPr="00513ABE">
        <w:rPr>
          <w:rFonts w:ascii="Garamond" w:hAnsi="Garamond"/>
          <w:sz w:val="24"/>
          <w:szCs w:val="24"/>
          <w:lang w:val="da-DK"/>
        </w:rPr>
        <w:t>pligt til national implementering af sanktioner inden 23. november 2019. Nærværende ændringsforslag til postloven fremsættes med henblik på at bringe national ret i overensstemmelse med forordningens artikel 8</w:t>
      </w:r>
      <w:r w:rsidR="000B5014" w:rsidRPr="00513ABE">
        <w:rPr>
          <w:rFonts w:ascii="Garamond" w:hAnsi="Garamond"/>
          <w:sz w:val="24"/>
          <w:szCs w:val="24"/>
          <w:lang w:val="da-DK"/>
        </w:rPr>
        <w:t>.</w:t>
      </w:r>
    </w:p>
    <w:p w14:paraId="05DD5B23" w14:textId="77777777" w:rsidR="00987BC0" w:rsidRPr="00513ABE" w:rsidRDefault="00987BC0" w:rsidP="00CD4A75">
      <w:pPr>
        <w:pStyle w:val="TableParagraph"/>
        <w:ind w:left="63" w:right="148" w:firstLine="50"/>
        <w:rPr>
          <w:rFonts w:ascii="Garamond" w:eastAsia="Times New Roman" w:hAnsi="Garamond" w:cs="Times New Roman"/>
          <w:sz w:val="24"/>
          <w:szCs w:val="24"/>
          <w:lang w:val="da-DK" w:eastAsia="da-DK"/>
        </w:rPr>
      </w:pPr>
    </w:p>
    <w:p w14:paraId="03F262EA" w14:textId="77777777" w:rsidR="00CD4A75" w:rsidRPr="003F7EE5" w:rsidRDefault="00CD4A75" w:rsidP="00CD4A75">
      <w:pPr>
        <w:rPr>
          <w:rFonts w:ascii="Garamond" w:hAnsi="Garamond"/>
        </w:rPr>
      </w:pPr>
    </w:p>
    <w:p w14:paraId="04C96648" w14:textId="0850E780" w:rsidR="00E5767A" w:rsidRPr="003F7EE5" w:rsidRDefault="00E5767A" w:rsidP="004F6A1A">
      <w:pPr>
        <w:pStyle w:val="Listeafsnit"/>
        <w:numPr>
          <w:ilvl w:val="0"/>
          <w:numId w:val="18"/>
        </w:numPr>
        <w:rPr>
          <w:rFonts w:ascii="Garamond" w:hAnsi="Garamond"/>
          <w:iCs/>
          <w:sz w:val="24"/>
          <w:szCs w:val="24"/>
        </w:rPr>
      </w:pPr>
      <w:r w:rsidRPr="003F7EE5">
        <w:rPr>
          <w:rFonts w:ascii="Garamond" w:hAnsi="Garamond"/>
          <w:i/>
          <w:iCs/>
          <w:sz w:val="24"/>
          <w:szCs w:val="24"/>
        </w:rPr>
        <w:t>Lovforslaget</w:t>
      </w:r>
      <w:r w:rsidR="003379D0" w:rsidRPr="003F7EE5">
        <w:rPr>
          <w:rFonts w:ascii="Garamond" w:hAnsi="Garamond"/>
          <w:i/>
          <w:iCs/>
          <w:sz w:val="24"/>
          <w:szCs w:val="24"/>
        </w:rPr>
        <w:t>s indhold</w:t>
      </w:r>
    </w:p>
    <w:p w14:paraId="3D657F45" w14:textId="77777777" w:rsidR="00E5767A" w:rsidRPr="00991A9A" w:rsidRDefault="00E5767A" w:rsidP="00E5767A">
      <w:pPr>
        <w:ind w:firstLine="113"/>
        <w:rPr>
          <w:rFonts w:ascii="Garamond" w:hAnsi="Garamond"/>
          <w:iCs/>
        </w:rPr>
      </w:pPr>
    </w:p>
    <w:p w14:paraId="79D04CDC" w14:textId="77777777" w:rsidR="00E5767A" w:rsidRDefault="004F6A1A" w:rsidP="004F6A1A">
      <w:pPr>
        <w:ind w:firstLine="113"/>
        <w:rPr>
          <w:rFonts w:ascii="Garamond" w:hAnsi="Garamond"/>
          <w:bCs/>
          <w:i/>
        </w:rPr>
      </w:pPr>
      <w:r>
        <w:rPr>
          <w:rFonts w:ascii="Garamond" w:hAnsi="Garamond"/>
          <w:bCs/>
          <w:i/>
        </w:rPr>
        <w:t>3</w:t>
      </w:r>
      <w:r w:rsidR="00E5767A" w:rsidRPr="00991A9A">
        <w:rPr>
          <w:rFonts w:ascii="Garamond" w:hAnsi="Garamond"/>
          <w:bCs/>
          <w:i/>
        </w:rPr>
        <w:t>.</w:t>
      </w:r>
      <w:r w:rsidR="00B564FB">
        <w:rPr>
          <w:rFonts w:ascii="Garamond" w:hAnsi="Garamond"/>
          <w:bCs/>
          <w:i/>
        </w:rPr>
        <w:t>1</w:t>
      </w:r>
      <w:r w:rsidR="00E5767A" w:rsidRPr="00991A9A">
        <w:rPr>
          <w:rFonts w:ascii="Garamond" w:hAnsi="Garamond"/>
          <w:bCs/>
          <w:i/>
        </w:rPr>
        <w:t xml:space="preserve">. Forordning vedrørende pakkeleveringstjenester </w:t>
      </w:r>
      <w:r w:rsidR="00FF5C62">
        <w:rPr>
          <w:rFonts w:ascii="Garamond" w:hAnsi="Garamond"/>
          <w:bCs/>
          <w:i/>
        </w:rPr>
        <w:t>-</w:t>
      </w:r>
      <w:r w:rsidR="00E5767A" w:rsidRPr="00991A9A">
        <w:rPr>
          <w:rFonts w:ascii="Garamond" w:hAnsi="Garamond"/>
          <w:bCs/>
          <w:i/>
        </w:rPr>
        <w:t xml:space="preserve"> straffebestemmelse</w:t>
      </w:r>
    </w:p>
    <w:p w14:paraId="4721891C" w14:textId="77777777" w:rsidR="00E5767A" w:rsidRPr="00991A9A" w:rsidRDefault="00E5767A" w:rsidP="00E5767A">
      <w:pPr>
        <w:ind w:firstLine="142"/>
        <w:rPr>
          <w:rFonts w:ascii="Garamond" w:hAnsi="Garamond"/>
          <w:bCs/>
          <w:i/>
        </w:rPr>
      </w:pPr>
    </w:p>
    <w:p w14:paraId="6C95D44E" w14:textId="77777777" w:rsidR="00E5767A" w:rsidRPr="00991A9A" w:rsidRDefault="004F6A1A" w:rsidP="00E5767A">
      <w:pPr>
        <w:ind w:firstLine="142"/>
        <w:rPr>
          <w:rFonts w:ascii="Garamond" w:hAnsi="Garamond"/>
          <w:bCs/>
          <w:i/>
        </w:rPr>
      </w:pPr>
      <w:r>
        <w:rPr>
          <w:rFonts w:ascii="Garamond" w:hAnsi="Garamond"/>
          <w:bCs/>
          <w:i/>
        </w:rPr>
        <w:t>3</w:t>
      </w:r>
      <w:r w:rsidR="00E5767A" w:rsidRPr="00991A9A">
        <w:rPr>
          <w:rFonts w:ascii="Garamond" w:hAnsi="Garamond"/>
          <w:bCs/>
          <w:i/>
        </w:rPr>
        <w:t>.</w:t>
      </w:r>
      <w:r w:rsidR="00B564FB">
        <w:rPr>
          <w:rFonts w:ascii="Garamond" w:hAnsi="Garamond"/>
          <w:bCs/>
          <w:i/>
        </w:rPr>
        <w:t>1</w:t>
      </w:r>
      <w:r w:rsidR="00E5767A" w:rsidRPr="00991A9A">
        <w:rPr>
          <w:rFonts w:ascii="Garamond" w:hAnsi="Garamond"/>
          <w:bCs/>
          <w:i/>
        </w:rPr>
        <w:t>.1. Gældende ret</w:t>
      </w:r>
    </w:p>
    <w:p w14:paraId="4AFEAC12" w14:textId="77777777" w:rsidR="00E5767A" w:rsidRPr="00991A9A" w:rsidRDefault="00E5767A" w:rsidP="00E5767A">
      <w:pPr>
        <w:ind w:firstLine="142"/>
        <w:rPr>
          <w:rFonts w:ascii="Garamond" w:hAnsi="Garamond"/>
          <w:bCs/>
          <w:i/>
        </w:rPr>
      </w:pPr>
    </w:p>
    <w:p w14:paraId="271C1292" w14:textId="77777777" w:rsidR="00E5767A" w:rsidRDefault="00E5767A" w:rsidP="00001FB6">
      <w:pPr>
        <w:pStyle w:val="stk2"/>
        <w:ind w:firstLine="567"/>
        <w:rPr>
          <w:rFonts w:ascii="Garamond" w:hAnsi="Garamond"/>
        </w:rPr>
      </w:pPr>
      <w:r w:rsidRPr="0039669B">
        <w:rPr>
          <w:rFonts w:ascii="Garamond" w:hAnsi="Garamond"/>
        </w:rPr>
        <w:t xml:space="preserve">Det følger af </w:t>
      </w:r>
      <w:r>
        <w:rPr>
          <w:rFonts w:ascii="Garamond" w:hAnsi="Garamond"/>
        </w:rPr>
        <w:t>postlovens § 28, stk. 1</w:t>
      </w:r>
      <w:r w:rsidRPr="0039669B">
        <w:rPr>
          <w:rFonts w:ascii="Garamond" w:hAnsi="Garamond"/>
        </w:rPr>
        <w:t xml:space="preserve">, at </w:t>
      </w:r>
      <w:r>
        <w:rPr>
          <w:rFonts w:ascii="Garamond" w:hAnsi="Garamond"/>
        </w:rPr>
        <w:t>med</w:t>
      </w:r>
      <w:r w:rsidRPr="00DC30FD">
        <w:rPr>
          <w:rFonts w:ascii="Garamond" w:hAnsi="Garamond"/>
        </w:rPr>
        <w:t>mindre højere straf er forskyldt efter anden lovgivning,</w:t>
      </w:r>
      <w:r>
        <w:rPr>
          <w:rFonts w:ascii="Garamond" w:hAnsi="Garamond"/>
        </w:rPr>
        <w:t xml:space="preserve"> </w:t>
      </w:r>
      <w:r w:rsidRPr="00DC30FD">
        <w:rPr>
          <w:rFonts w:ascii="Garamond" w:hAnsi="Garamond"/>
        </w:rPr>
        <w:t xml:space="preserve">straffes med bøde den, der overtræder § 6, stk. 1, </w:t>
      </w:r>
      <w:r>
        <w:rPr>
          <w:rFonts w:ascii="Garamond" w:hAnsi="Garamond"/>
        </w:rPr>
        <w:t>(</w:t>
      </w:r>
      <w:r w:rsidR="00BC30B9">
        <w:rPr>
          <w:rFonts w:ascii="Garamond" w:hAnsi="Garamond"/>
        </w:rPr>
        <w:t xml:space="preserve">om </w:t>
      </w:r>
      <w:r>
        <w:rPr>
          <w:rFonts w:ascii="Garamond" w:hAnsi="Garamond"/>
        </w:rPr>
        <w:t>mærkningsforpligtelsen for postvirksomheder)</w:t>
      </w:r>
      <w:r w:rsidR="00FF5C62">
        <w:rPr>
          <w:rFonts w:ascii="Garamond" w:hAnsi="Garamond"/>
        </w:rPr>
        <w:t>,</w:t>
      </w:r>
      <w:r>
        <w:rPr>
          <w:rFonts w:ascii="Garamond" w:hAnsi="Garamond"/>
        </w:rPr>
        <w:t xml:space="preserve"> </w:t>
      </w:r>
      <w:r w:rsidRPr="00DC30FD">
        <w:rPr>
          <w:rFonts w:ascii="Garamond" w:hAnsi="Garamond"/>
        </w:rPr>
        <w:t>§</w:t>
      </w:r>
      <w:r>
        <w:rPr>
          <w:rFonts w:ascii="Garamond" w:hAnsi="Garamond"/>
        </w:rPr>
        <w:t xml:space="preserve"> </w:t>
      </w:r>
      <w:r w:rsidRPr="00DC30FD">
        <w:rPr>
          <w:rFonts w:ascii="Garamond" w:hAnsi="Garamond"/>
        </w:rPr>
        <w:t>8, stk. 1-3,</w:t>
      </w:r>
      <w:r>
        <w:rPr>
          <w:rFonts w:ascii="Garamond" w:hAnsi="Garamond"/>
        </w:rPr>
        <w:t xml:space="preserve"> (</w:t>
      </w:r>
      <w:r w:rsidR="00BC30B9">
        <w:rPr>
          <w:rFonts w:ascii="Garamond" w:hAnsi="Garamond"/>
        </w:rPr>
        <w:t xml:space="preserve">om </w:t>
      </w:r>
      <w:r>
        <w:rPr>
          <w:rFonts w:ascii="Garamond" w:hAnsi="Garamond"/>
        </w:rPr>
        <w:t>krav om brevkasser og brevkasseanlæg)</w:t>
      </w:r>
      <w:r w:rsidR="00FF5C62">
        <w:rPr>
          <w:rFonts w:ascii="Garamond" w:hAnsi="Garamond"/>
        </w:rPr>
        <w:t>,</w:t>
      </w:r>
      <w:r w:rsidRPr="00DC30FD">
        <w:rPr>
          <w:rFonts w:ascii="Garamond" w:hAnsi="Garamond"/>
        </w:rPr>
        <w:t xml:space="preserve"> § 9, stk. 1, </w:t>
      </w:r>
      <w:r>
        <w:rPr>
          <w:rFonts w:ascii="Garamond" w:hAnsi="Garamond"/>
        </w:rPr>
        <w:t>(</w:t>
      </w:r>
      <w:r w:rsidR="00BC30B9">
        <w:rPr>
          <w:rFonts w:ascii="Garamond" w:hAnsi="Garamond"/>
        </w:rPr>
        <w:t xml:space="preserve">om </w:t>
      </w:r>
      <w:r>
        <w:rPr>
          <w:rFonts w:ascii="Garamond" w:hAnsi="Garamond"/>
        </w:rPr>
        <w:t>regler om levering af ”post til døren”)</w:t>
      </w:r>
      <w:r w:rsidR="00FF5C62">
        <w:rPr>
          <w:rFonts w:ascii="Garamond" w:hAnsi="Garamond"/>
        </w:rPr>
        <w:t>,</w:t>
      </w:r>
      <w:r>
        <w:rPr>
          <w:rFonts w:ascii="Garamond" w:hAnsi="Garamond"/>
        </w:rPr>
        <w:t xml:space="preserve"> </w:t>
      </w:r>
      <w:r w:rsidRPr="00DC30FD">
        <w:rPr>
          <w:rFonts w:ascii="Garamond" w:hAnsi="Garamond"/>
        </w:rPr>
        <w:t>§ 11</w:t>
      </w:r>
      <w:r>
        <w:rPr>
          <w:rFonts w:ascii="Garamond" w:hAnsi="Garamond"/>
        </w:rPr>
        <w:t xml:space="preserve"> (</w:t>
      </w:r>
      <w:r w:rsidR="00BC30B9">
        <w:rPr>
          <w:rFonts w:ascii="Garamond" w:hAnsi="Garamond"/>
        </w:rPr>
        <w:t xml:space="preserve">om </w:t>
      </w:r>
      <w:r>
        <w:rPr>
          <w:rFonts w:ascii="Garamond" w:hAnsi="Garamond"/>
        </w:rPr>
        <w:t>posthemmeligheden)</w:t>
      </w:r>
      <w:r w:rsidR="00BC30B9">
        <w:rPr>
          <w:rFonts w:ascii="Garamond" w:hAnsi="Garamond"/>
        </w:rPr>
        <w:t>,</w:t>
      </w:r>
      <w:r w:rsidRPr="00DC30FD">
        <w:rPr>
          <w:rFonts w:ascii="Garamond" w:hAnsi="Garamond"/>
        </w:rPr>
        <w:t xml:space="preserve"> § 12</w:t>
      </w:r>
      <w:r>
        <w:rPr>
          <w:rFonts w:ascii="Garamond" w:hAnsi="Garamond"/>
        </w:rPr>
        <w:t xml:space="preserve"> (om åbning af uanbringelige forsendelser uden retskendelse)</w:t>
      </w:r>
      <w:r w:rsidR="00FF5C62">
        <w:rPr>
          <w:rFonts w:ascii="Garamond" w:hAnsi="Garamond"/>
        </w:rPr>
        <w:t>,</w:t>
      </w:r>
      <w:r>
        <w:rPr>
          <w:rFonts w:ascii="Garamond" w:hAnsi="Garamond"/>
        </w:rPr>
        <w:t xml:space="preserve"> </w:t>
      </w:r>
      <w:r w:rsidRPr="00DC30FD">
        <w:rPr>
          <w:rFonts w:ascii="Garamond" w:hAnsi="Garamond"/>
        </w:rPr>
        <w:t xml:space="preserve">§ 13, stk. 3-5, </w:t>
      </w:r>
      <w:r>
        <w:rPr>
          <w:rFonts w:ascii="Garamond" w:hAnsi="Garamond"/>
        </w:rPr>
        <w:t>(</w:t>
      </w:r>
      <w:r w:rsidR="00BC30B9">
        <w:rPr>
          <w:rFonts w:ascii="Garamond" w:hAnsi="Garamond"/>
        </w:rPr>
        <w:t xml:space="preserve">om </w:t>
      </w:r>
      <w:r>
        <w:rPr>
          <w:rFonts w:ascii="Garamond" w:hAnsi="Garamond"/>
        </w:rPr>
        <w:t>brug af oplysninger fra modtagerdatabaser)</w:t>
      </w:r>
      <w:r w:rsidR="00FF5C62">
        <w:rPr>
          <w:rFonts w:ascii="Garamond" w:hAnsi="Garamond"/>
        </w:rPr>
        <w:t>,</w:t>
      </w:r>
      <w:r>
        <w:rPr>
          <w:rFonts w:ascii="Garamond" w:hAnsi="Garamond"/>
        </w:rPr>
        <w:t xml:space="preserve"> </w:t>
      </w:r>
      <w:r w:rsidRPr="00DC30FD">
        <w:rPr>
          <w:rFonts w:ascii="Garamond" w:hAnsi="Garamond"/>
        </w:rPr>
        <w:t xml:space="preserve">§ 16 </w:t>
      </w:r>
      <w:r>
        <w:rPr>
          <w:rFonts w:ascii="Garamond" w:hAnsi="Garamond"/>
        </w:rPr>
        <w:t>(om pligt til at medbringe befordringspligtige forsendelser)</w:t>
      </w:r>
      <w:r w:rsidR="00FF5C62">
        <w:rPr>
          <w:rFonts w:ascii="Garamond" w:hAnsi="Garamond"/>
        </w:rPr>
        <w:t>,</w:t>
      </w:r>
      <w:r>
        <w:rPr>
          <w:rFonts w:ascii="Garamond" w:hAnsi="Garamond"/>
        </w:rPr>
        <w:t xml:space="preserve"> </w:t>
      </w:r>
      <w:r w:rsidRPr="00DC30FD">
        <w:rPr>
          <w:rFonts w:ascii="Garamond" w:hAnsi="Garamond"/>
        </w:rPr>
        <w:t>§ 19</w:t>
      </w:r>
      <w:r>
        <w:rPr>
          <w:rFonts w:ascii="Garamond" w:hAnsi="Garamond"/>
        </w:rPr>
        <w:t xml:space="preserve"> (om brug af det kronede posthorn og regentens monogram) </w:t>
      </w:r>
      <w:r w:rsidRPr="00DC30FD">
        <w:rPr>
          <w:rFonts w:ascii="Garamond" w:hAnsi="Garamond"/>
        </w:rPr>
        <w:t>og § 24</w:t>
      </w:r>
      <w:r>
        <w:rPr>
          <w:rFonts w:ascii="Garamond" w:hAnsi="Garamond"/>
        </w:rPr>
        <w:t xml:space="preserve"> (om postvirksomheders oplysningspligt)</w:t>
      </w:r>
      <w:r w:rsidRPr="00DC30FD">
        <w:rPr>
          <w:rFonts w:ascii="Garamond" w:hAnsi="Garamond"/>
        </w:rPr>
        <w:t>.</w:t>
      </w:r>
    </w:p>
    <w:p w14:paraId="7B013152" w14:textId="77777777" w:rsidR="00E5767A" w:rsidRPr="00DC30FD" w:rsidRDefault="00E5767A" w:rsidP="00E5767A">
      <w:pPr>
        <w:pStyle w:val="stk2"/>
        <w:rPr>
          <w:rFonts w:ascii="Garamond" w:hAnsi="Garamond"/>
        </w:rPr>
      </w:pPr>
    </w:p>
    <w:p w14:paraId="77CDFF29" w14:textId="77777777" w:rsidR="00E5767A" w:rsidRDefault="00E5767A" w:rsidP="00001FB6">
      <w:pPr>
        <w:pStyle w:val="stk2"/>
        <w:ind w:firstLine="567"/>
        <w:rPr>
          <w:rFonts w:ascii="Garamond" w:hAnsi="Garamond"/>
        </w:rPr>
      </w:pPr>
      <w:r>
        <w:rPr>
          <w:rFonts w:ascii="Garamond" w:hAnsi="Garamond"/>
        </w:rPr>
        <w:lastRenderedPageBreak/>
        <w:t>U</w:t>
      </w:r>
      <w:r w:rsidRPr="00DC30FD">
        <w:rPr>
          <w:rFonts w:ascii="Garamond" w:hAnsi="Garamond"/>
        </w:rPr>
        <w:t>døve</w:t>
      </w:r>
      <w:r>
        <w:rPr>
          <w:rFonts w:ascii="Garamond" w:hAnsi="Garamond"/>
        </w:rPr>
        <w:t>lse af</w:t>
      </w:r>
      <w:r w:rsidRPr="00DC30FD">
        <w:rPr>
          <w:rFonts w:ascii="Garamond" w:hAnsi="Garamond"/>
        </w:rPr>
        <w:t xml:space="preserve"> postbefordring uden tilladelse efter</w:t>
      </w:r>
      <w:r>
        <w:rPr>
          <w:rFonts w:ascii="Garamond" w:hAnsi="Garamond"/>
        </w:rPr>
        <w:t xml:space="preserve"> </w:t>
      </w:r>
      <w:r w:rsidRPr="0039669B">
        <w:rPr>
          <w:rFonts w:ascii="Garamond" w:hAnsi="Garamond"/>
        </w:rPr>
        <w:t>§ 3,</w:t>
      </w:r>
      <w:r>
        <w:rPr>
          <w:rFonts w:ascii="Garamond" w:hAnsi="Garamond"/>
        </w:rPr>
        <w:t xml:space="preserve"> stk. 1, straffes med bøde, jf. § 28, stk. 2, og o</w:t>
      </w:r>
      <w:r w:rsidRPr="00DC30FD">
        <w:rPr>
          <w:rFonts w:ascii="Garamond" w:hAnsi="Garamond"/>
        </w:rPr>
        <w:t xml:space="preserve">vertrædelse af § 7, stk. 1 og 2, </w:t>
      </w:r>
      <w:r>
        <w:rPr>
          <w:rFonts w:ascii="Garamond" w:hAnsi="Garamond"/>
        </w:rPr>
        <w:t>(</w:t>
      </w:r>
      <w:r w:rsidR="00BC30B9">
        <w:rPr>
          <w:rFonts w:ascii="Garamond" w:hAnsi="Garamond"/>
        </w:rPr>
        <w:t xml:space="preserve">om </w:t>
      </w:r>
      <w:r>
        <w:rPr>
          <w:rFonts w:ascii="Garamond" w:hAnsi="Garamond"/>
        </w:rPr>
        <w:t xml:space="preserve">omdeling og afleveringsbestemmelserne) </w:t>
      </w:r>
      <w:r w:rsidRPr="00DC30FD">
        <w:rPr>
          <w:rFonts w:ascii="Garamond" w:hAnsi="Garamond"/>
        </w:rPr>
        <w:t>begået af en virksomhed</w:t>
      </w:r>
      <w:r>
        <w:rPr>
          <w:rFonts w:ascii="Garamond" w:hAnsi="Garamond"/>
        </w:rPr>
        <w:t xml:space="preserve"> </w:t>
      </w:r>
      <w:r w:rsidRPr="00DC30FD">
        <w:rPr>
          <w:rFonts w:ascii="Garamond" w:hAnsi="Garamond"/>
        </w:rPr>
        <w:t>med tilladelse til erhvervsmæssig postbefordring, jf.</w:t>
      </w:r>
      <w:r>
        <w:rPr>
          <w:rFonts w:ascii="Garamond" w:hAnsi="Garamond"/>
        </w:rPr>
        <w:t xml:space="preserve"> </w:t>
      </w:r>
      <w:r w:rsidRPr="00DC30FD">
        <w:rPr>
          <w:rFonts w:ascii="Garamond" w:hAnsi="Garamond"/>
        </w:rPr>
        <w:t>§ 3, stk. 1, eller en virksomhed, der omdeler uadresserede</w:t>
      </w:r>
      <w:r>
        <w:rPr>
          <w:rFonts w:ascii="Garamond" w:hAnsi="Garamond"/>
        </w:rPr>
        <w:t xml:space="preserve"> </w:t>
      </w:r>
      <w:r w:rsidRPr="00DC30FD">
        <w:rPr>
          <w:rFonts w:ascii="Garamond" w:hAnsi="Garamond"/>
        </w:rPr>
        <w:t xml:space="preserve">forsendelser, straffes </w:t>
      </w:r>
      <w:r>
        <w:rPr>
          <w:rFonts w:ascii="Garamond" w:hAnsi="Garamond"/>
        </w:rPr>
        <w:t xml:space="preserve">ligeledes </w:t>
      </w:r>
      <w:r w:rsidRPr="00DC30FD">
        <w:rPr>
          <w:rFonts w:ascii="Garamond" w:hAnsi="Garamond"/>
        </w:rPr>
        <w:t>med bøde</w:t>
      </w:r>
      <w:r>
        <w:rPr>
          <w:rFonts w:ascii="Garamond" w:hAnsi="Garamond"/>
        </w:rPr>
        <w:t>, jf. § 28, stk. 3</w:t>
      </w:r>
      <w:r w:rsidRPr="00DC30FD">
        <w:rPr>
          <w:rFonts w:ascii="Garamond" w:hAnsi="Garamond"/>
        </w:rPr>
        <w:t>.</w:t>
      </w:r>
    </w:p>
    <w:p w14:paraId="34C2C926" w14:textId="77777777" w:rsidR="00E5767A" w:rsidRDefault="00E5767A" w:rsidP="00E5767A">
      <w:pPr>
        <w:pStyle w:val="stk2"/>
        <w:rPr>
          <w:rFonts w:ascii="Garamond" w:hAnsi="Garamond"/>
        </w:rPr>
      </w:pPr>
    </w:p>
    <w:p w14:paraId="2FAB7705" w14:textId="77777777" w:rsidR="00E5767A" w:rsidRPr="00891522" w:rsidRDefault="00E5767A" w:rsidP="00001FB6">
      <w:pPr>
        <w:pStyle w:val="stk2"/>
        <w:ind w:firstLine="567"/>
        <w:rPr>
          <w:rFonts w:ascii="Garamond" w:hAnsi="Garamond"/>
        </w:rPr>
      </w:pPr>
      <w:r>
        <w:rPr>
          <w:rFonts w:ascii="Garamond" w:hAnsi="Garamond"/>
          <w:iCs/>
        </w:rPr>
        <w:t>I medfør af postlovens § 30 kan der pålægges selskaber m.v. (juridiske personer) strafansvar efter reglerne i straffelovens 5. kapitel.</w:t>
      </w:r>
    </w:p>
    <w:p w14:paraId="6001C7D7" w14:textId="77777777" w:rsidR="00E5767A" w:rsidRDefault="00E5767A" w:rsidP="00E5767A">
      <w:pPr>
        <w:pStyle w:val="stk2"/>
        <w:ind w:firstLine="0"/>
        <w:rPr>
          <w:rFonts w:ascii="Garamond" w:hAnsi="Garamond"/>
        </w:rPr>
      </w:pPr>
    </w:p>
    <w:p w14:paraId="3F5C78D1" w14:textId="77777777" w:rsidR="00E5767A" w:rsidRDefault="00E5767A" w:rsidP="00001FB6">
      <w:pPr>
        <w:ind w:firstLine="567"/>
        <w:rPr>
          <w:rFonts w:ascii="Garamond" w:hAnsi="Garamond"/>
        </w:rPr>
      </w:pPr>
      <w:r w:rsidRPr="00AF7DED">
        <w:rPr>
          <w:rFonts w:ascii="Garamond" w:hAnsi="Garamond"/>
        </w:rPr>
        <w:t>Europa-Parlamentets og Rådets forordning (EU) 2018/644 af 18. april 2018 om grænseoverskridende pakkeleveringstjenester, der har fundet anvendelse i medlemsstaterne siden januar 2019, pålægger i artikel 4 og 5 samtlige pakkeleveringsvirksomheder med mere end 50 personer ansat, beskæftiget med pakkeleveringstjenester, at skulle indrapportere en række forskellige oplysninger til den nationale forvaltningsmyndighed. Forvaltningsmyndigheden i Danmark er Trafikstyr</w:t>
      </w:r>
      <w:r>
        <w:rPr>
          <w:rFonts w:ascii="Garamond" w:hAnsi="Garamond"/>
        </w:rPr>
        <w:t xml:space="preserve">elsen. </w:t>
      </w:r>
    </w:p>
    <w:p w14:paraId="5993D17A" w14:textId="77777777" w:rsidR="00F25E07" w:rsidRDefault="00F25E07" w:rsidP="00E5767A">
      <w:pPr>
        <w:ind w:firstLine="142"/>
        <w:rPr>
          <w:rFonts w:ascii="Garamond" w:hAnsi="Garamond"/>
        </w:rPr>
      </w:pPr>
    </w:p>
    <w:p w14:paraId="16D81036" w14:textId="77777777" w:rsidR="00F25E07" w:rsidRPr="00AF7DED" w:rsidRDefault="00F25E07" w:rsidP="00001FB6">
      <w:pPr>
        <w:ind w:firstLine="567"/>
        <w:rPr>
          <w:rFonts w:ascii="Garamond" w:hAnsi="Garamond"/>
          <w:bCs/>
          <w:i/>
        </w:rPr>
      </w:pPr>
      <w:r>
        <w:rPr>
          <w:rFonts w:ascii="Garamond" w:hAnsi="Garamond"/>
        </w:rPr>
        <w:t>I medfør af forordningens artikel 8 skal der fastsættes en sanktion i tilfælde af manglende opfyldelse af rapporteringsforpligtelserne.</w:t>
      </w:r>
    </w:p>
    <w:p w14:paraId="79F2A7C1" w14:textId="77777777" w:rsidR="00E5767A" w:rsidRPr="00F96458" w:rsidRDefault="00E5767A" w:rsidP="00E5767A">
      <w:pPr>
        <w:pStyle w:val="stk2"/>
        <w:ind w:firstLine="284"/>
        <w:rPr>
          <w:rFonts w:ascii="Garamond" w:hAnsi="Garamond"/>
        </w:rPr>
      </w:pPr>
    </w:p>
    <w:p w14:paraId="23422F93" w14:textId="718A6F4F" w:rsidR="00513ABE" w:rsidRPr="003F7EE5" w:rsidRDefault="00E5767A" w:rsidP="00513ABE">
      <w:pPr>
        <w:pStyle w:val="Listeafsnit"/>
        <w:numPr>
          <w:ilvl w:val="2"/>
          <w:numId w:val="18"/>
        </w:numPr>
        <w:rPr>
          <w:rFonts w:ascii="Garamond" w:hAnsi="Garamond"/>
          <w:i/>
          <w:iCs/>
          <w:sz w:val="24"/>
          <w:szCs w:val="24"/>
        </w:rPr>
      </w:pPr>
      <w:r w:rsidRPr="003F7EE5">
        <w:rPr>
          <w:rFonts w:ascii="Garamond" w:hAnsi="Garamond"/>
          <w:i/>
          <w:iCs/>
          <w:sz w:val="24"/>
          <w:szCs w:val="24"/>
        </w:rPr>
        <w:t>Transportministeriets overvejelser og den foreslåede ordning</w:t>
      </w:r>
      <w:r w:rsidR="00513ABE" w:rsidRPr="003F7EE5">
        <w:rPr>
          <w:rFonts w:ascii="Garamond" w:hAnsi="Garamond"/>
          <w:i/>
          <w:iCs/>
          <w:sz w:val="24"/>
          <w:szCs w:val="24"/>
        </w:rPr>
        <w:br/>
      </w:r>
    </w:p>
    <w:p w14:paraId="6230CEC2" w14:textId="704FB7BD" w:rsidR="00657FA3" w:rsidRPr="00513ABE" w:rsidRDefault="00657FA3" w:rsidP="00001FB6">
      <w:pPr>
        <w:pStyle w:val="TableParagraph"/>
        <w:ind w:left="63" w:right="148" w:firstLine="504"/>
        <w:rPr>
          <w:rFonts w:ascii="Garamond" w:eastAsia="Times New Roman" w:hAnsi="Garamond" w:cs="Times New Roman"/>
          <w:sz w:val="24"/>
          <w:szCs w:val="24"/>
          <w:lang w:val="da-DK" w:eastAsia="da-DK"/>
        </w:rPr>
      </w:pPr>
      <w:r w:rsidRPr="00513ABE">
        <w:rPr>
          <w:rFonts w:ascii="Garamond" w:eastAsia="Times New Roman" w:hAnsi="Garamond" w:cs="Times New Roman"/>
          <w:sz w:val="24"/>
          <w:szCs w:val="24"/>
          <w:lang w:val="da-DK" w:eastAsia="da-DK"/>
        </w:rPr>
        <w:t xml:space="preserve">Som anført skal medlemsstaterne i medfør af </w:t>
      </w:r>
      <w:r w:rsidR="0037793C" w:rsidRPr="00513ABE">
        <w:rPr>
          <w:rFonts w:ascii="Garamond" w:eastAsia="Times New Roman" w:hAnsi="Garamond" w:cs="Times New Roman"/>
          <w:sz w:val="24"/>
          <w:szCs w:val="24"/>
          <w:lang w:val="da-DK" w:eastAsia="da-DK"/>
        </w:rPr>
        <w:t>forordningen om pakkeleveringstjenester</w:t>
      </w:r>
      <w:r w:rsidRPr="00513ABE">
        <w:rPr>
          <w:rFonts w:ascii="Garamond" w:eastAsia="Times New Roman" w:hAnsi="Garamond" w:cs="Times New Roman"/>
          <w:sz w:val="24"/>
          <w:szCs w:val="24"/>
          <w:lang w:val="da-DK" w:eastAsia="da-DK"/>
        </w:rPr>
        <w:t xml:space="preserve">s artikel 8, stk. 1, fastsætte en sanktionsbestemmelse for overtrædelser af forordningens regler. Forordningens artikel 8, stk. 2, foreskriver, at den nationale implementering af sanktioner i henhold til artikel 8, stk. 1, </w:t>
      </w:r>
      <w:r w:rsidR="00513ABE" w:rsidRPr="00513ABE">
        <w:rPr>
          <w:rFonts w:ascii="Garamond" w:eastAsia="Times New Roman" w:hAnsi="Garamond" w:cs="Times New Roman"/>
          <w:sz w:val="24"/>
          <w:szCs w:val="24"/>
          <w:lang w:val="da-DK" w:eastAsia="da-DK"/>
        </w:rPr>
        <w:t xml:space="preserve">skulle </w:t>
      </w:r>
      <w:r w:rsidRPr="00513ABE">
        <w:rPr>
          <w:rFonts w:ascii="Garamond" w:eastAsia="Times New Roman" w:hAnsi="Garamond" w:cs="Times New Roman"/>
          <w:sz w:val="24"/>
          <w:szCs w:val="24"/>
          <w:lang w:val="da-DK" w:eastAsia="da-DK"/>
        </w:rPr>
        <w:t xml:space="preserve">have været foretaget inden 23. november 2019. </w:t>
      </w:r>
    </w:p>
    <w:p w14:paraId="0AB5E9AD" w14:textId="77777777" w:rsidR="00AE0605" w:rsidRPr="00513ABE" w:rsidRDefault="00AE0605" w:rsidP="00001FB6">
      <w:pPr>
        <w:pStyle w:val="TableParagraph"/>
        <w:ind w:left="63" w:right="148" w:firstLine="504"/>
        <w:rPr>
          <w:rFonts w:ascii="Garamond" w:eastAsia="Times New Roman" w:hAnsi="Garamond" w:cs="Times New Roman"/>
          <w:sz w:val="24"/>
          <w:szCs w:val="24"/>
          <w:lang w:val="da-DK" w:eastAsia="da-DK"/>
        </w:rPr>
      </w:pPr>
    </w:p>
    <w:p w14:paraId="2D7D6B51" w14:textId="1952ECDD" w:rsidR="00657FA3" w:rsidRPr="00513ABE" w:rsidRDefault="00657FA3" w:rsidP="00B56056">
      <w:pPr>
        <w:pStyle w:val="TableParagraph"/>
        <w:ind w:left="63" w:right="148" w:firstLine="504"/>
        <w:rPr>
          <w:rFonts w:ascii="Garamond" w:eastAsia="Times New Roman" w:hAnsi="Garamond" w:cs="Times New Roman"/>
          <w:sz w:val="24"/>
          <w:szCs w:val="24"/>
          <w:lang w:val="da-DK" w:eastAsia="da-DK"/>
        </w:rPr>
      </w:pPr>
      <w:r w:rsidRPr="00513ABE">
        <w:rPr>
          <w:rFonts w:ascii="Garamond" w:eastAsia="Times New Roman" w:hAnsi="Garamond" w:cs="Times New Roman"/>
          <w:sz w:val="24"/>
          <w:szCs w:val="24"/>
          <w:lang w:val="da-DK" w:eastAsia="da-DK"/>
        </w:rPr>
        <w:t xml:space="preserve">Nærværende lovforslag om ændring af postloven har til formål at bringe national ret i overensstemmelse med </w:t>
      </w:r>
      <w:r w:rsidR="0037793C" w:rsidRPr="00513ABE">
        <w:rPr>
          <w:rFonts w:ascii="Garamond" w:eastAsia="Times New Roman" w:hAnsi="Garamond" w:cs="Times New Roman"/>
          <w:sz w:val="24"/>
          <w:szCs w:val="24"/>
          <w:lang w:val="da-DK" w:eastAsia="da-DK"/>
        </w:rPr>
        <w:t>forordningen om pakkeleveringstjenester</w:t>
      </w:r>
      <w:r w:rsidR="000B5014" w:rsidRPr="00513ABE">
        <w:rPr>
          <w:rFonts w:ascii="Garamond" w:eastAsia="Times New Roman" w:hAnsi="Garamond" w:cs="Times New Roman"/>
          <w:sz w:val="24"/>
          <w:szCs w:val="24"/>
          <w:lang w:val="da-DK" w:eastAsia="da-DK"/>
        </w:rPr>
        <w:t>.</w:t>
      </w:r>
    </w:p>
    <w:p w14:paraId="30CC2F5D" w14:textId="23058FC2" w:rsidR="00657FA3" w:rsidRPr="00513ABE" w:rsidRDefault="00657FA3" w:rsidP="00657FA3">
      <w:pPr>
        <w:pStyle w:val="TableParagraph"/>
        <w:ind w:left="63" w:right="148" w:firstLine="50"/>
        <w:rPr>
          <w:rFonts w:ascii="Garamond" w:eastAsia="Times New Roman" w:hAnsi="Garamond" w:cs="Times New Roman"/>
          <w:sz w:val="24"/>
          <w:szCs w:val="24"/>
          <w:lang w:val="da-DK" w:eastAsia="da-DK"/>
        </w:rPr>
      </w:pPr>
    </w:p>
    <w:p w14:paraId="4130A5B5" w14:textId="1B6B975C" w:rsidR="00657FA3" w:rsidRPr="00513ABE" w:rsidRDefault="00657FA3" w:rsidP="00001FB6">
      <w:pPr>
        <w:pStyle w:val="TableParagraph"/>
        <w:ind w:right="148" w:firstLine="567"/>
        <w:rPr>
          <w:rFonts w:ascii="Garamond" w:eastAsia="Times New Roman" w:hAnsi="Garamond" w:cs="Times New Roman"/>
          <w:sz w:val="24"/>
          <w:szCs w:val="24"/>
          <w:lang w:val="da-DK" w:eastAsia="da-DK"/>
        </w:rPr>
      </w:pPr>
      <w:r w:rsidRPr="00513ABE">
        <w:rPr>
          <w:rFonts w:ascii="Garamond" w:eastAsia="Times New Roman" w:hAnsi="Garamond" w:cs="Times New Roman"/>
          <w:sz w:val="24"/>
          <w:szCs w:val="24"/>
          <w:lang w:val="da-DK" w:eastAsia="da-DK"/>
        </w:rPr>
        <w:t xml:space="preserve">Trafikstyrelsens oplevelse i forbindelse med </w:t>
      </w:r>
      <w:r w:rsidR="00F930C7" w:rsidRPr="00513ABE">
        <w:rPr>
          <w:rFonts w:ascii="Garamond" w:eastAsia="Times New Roman" w:hAnsi="Garamond" w:cs="Times New Roman"/>
          <w:sz w:val="24"/>
          <w:szCs w:val="24"/>
          <w:lang w:val="da-DK" w:eastAsia="da-DK"/>
        </w:rPr>
        <w:t>indrapportering</w:t>
      </w:r>
      <w:r w:rsidRPr="00513ABE">
        <w:rPr>
          <w:rFonts w:ascii="Garamond" w:eastAsia="Times New Roman" w:hAnsi="Garamond" w:cs="Times New Roman"/>
          <w:sz w:val="24"/>
          <w:szCs w:val="24"/>
          <w:lang w:val="da-DK" w:eastAsia="da-DK"/>
        </w:rPr>
        <w:t>er</w:t>
      </w:r>
      <w:r w:rsidR="00F930C7" w:rsidRPr="00513ABE">
        <w:rPr>
          <w:rFonts w:ascii="Garamond" w:eastAsia="Times New Roman" w:hAnsi="Garamond" w:cs="Times New Roman"/>
          <w:sz w:val="24"/>
          <w:szCs w:val="24"/>
          <w:lang w:val="da-DK" w:eastAsia="da-DK"/>
        </w:rPr>
        <w:t xml:space="preserve"> fra de omfatte</w:t>
      </w:r>
      <w:r w:rsidRPr="00513ABE">
        <w:rPr>
          <w:rFonts w:ascii="Garamond" w:eastAsia="Times New Roman" w:hAnsi="Garamond" w:cs="Times New Roman"/>
          <w:sz w:val="24"/>
          <w:szCs w:val="24"/>
          <w:lang w:val="da-DK" w:eastAsia="da-DK"/>
        </w:rPr>
        <w:t xml:space="preserve">de virksomheder i 2019 og 2020 var, at indrapporteringerne ikke i alle tilfælde skete under overholdelse af de i medfør af </w:t>
      </w:r>
      <w:r w:rsidR="0037793C" w:rsidRPr="00513ABE">
        <w:rPr>
          <w:rFonts w:ascii="Garamond" w:eastAsia="Times New Roman" w:hAnsi="Garamond" w:cs="Times New Roman"/>
          <w:sz w:val="24"/>
          <w:szCs w:val="24"/>
          <w:lang w:val="da-DK" w:eastAsia="da-DK"/>
        </w:rPr>
        <w:t>forordningen om pakkeleveringstjenester</w:t>
      </w:r>
      <w:r w:rsidRPr="00513ABE">
        <w:rPr>
          <w:rFonts w:ascii="Garamond" w:eastAsia="Times New Roman" w:hAnsi="Garamond" w:cs="Times New Roman"/>
          <w:sz w:val="24"/>
          <w:szCs w:val="24"/>
          <w:lang w:val="da-DK" w:eastAsia="da-DK"/>
        </w:rPr>
        <w:t xml:space="preserve"> gældende tidsfrister, hvorfor Trafikstyrelsen har været nødsaget til at rykke for oplysningerne efter fristens udløb.</w:t>
      </w:r>
      <w:r w:rsidR="000B5014" w:rsidRPr="00513ABE">
        <w:rPr>
          <w:rFonts w:ascii="Garamond" w:eastAsia="Times New Roman" w:hAnsi="Garamond" w:cs="Times New Roman"/>
          <w:sz w:val="24"/>
          <w:szCs w:val="24"/>
          <w:lang w:val="da-DK" w:eastAsia="da-DK"/>
        </w:rPr>
        <w:t xml:space="preserve"> </w:t>
      </w:r>
    </w:p>
    <w:p w14:paraId="31CD46AF" w14:textId="134C0D34" w:rsidR="00F930C7" w:rsidRPr="00513ABE" w:rsidRDefault="00657FA3" w:rsidP="00001FB6">
      <w:pPr>
        <w:pStyle w:val="TableParagraph"/>
        <w:ind w:right="148"/>
        <w:rPr>
          <w:lang w:val="da-DK"/>
        </w:rPr>
      </w:pPr>
      <w:r w:rsidRPr="00513ABE">
        <w:rPr>
          <w:rFonts w:ascii="Garamond" w:eastAsia="Times New Roman" w:hAnsi="Garamond" w:cs="Times New Roman"/>
          <w:sz w:val="24"/>
          <w:szCs w:val="24"/>
          <w:lang w:val="da-DK" w:eastAsia="da-DK"/>
        </w:rPr>
        <w:t xml:space="preserve">  </w:t>
      </w:r>
    </w:p>
    <w:p w14:paraId="6340D548" w14:textId="4787FEDF" w:rsidR="00E5767A" w:rsidRDefault="003157FC" w:rsidP="00001FB6">
      <w:pPr>
        <w:pStyle w:val="stk2"/>
        <w:ind w:firstLine="567"/>
        <w:rPr>
          <w:rFonts w:ascii="Garamond" w:hAnsi="Garamond"/>
          <w:iCs/>
        </w:rPr>
      </w:pPr>
      <w:r w:rsidRPr="00513ABE">
        <w:rPr>
          <w:rFonts w:ascii="Garamond" w:hAnsi="Garamond"/>
          <w:color w:val="auto"/>
        </w:rPr>
        <w:t>M</w:t>
      </w:r>
      <w:r w:rsidR="00E5767A" w:rsidRPr="00513ABE">
        <w:rPr>
          <w:rFonts w:ascii="Garamond" w:hAnsi="Garamond"/>
          <w:color w:val="auto"/>
        </w:rPr>
        <w:t>ed lovforslaget</w:t>
      </w:r>
      <w:r w:rsidRPr="00513ABE">
        <w:rPr>
          <w:rFonts w:ascii="Garamond" w:hAnsi="Garamond"/>
          <w:color w:val="auto"/>
        </w:rPr>
        <w:t xml:space="preserve"> foreslås det</w:t>
      </w:r>
      <w:r w:rsidR="00001FB6" w:rsidRPr="00513ABE">
        <w:rPr>
          <w:rFonts w:ascii="Garamond" w:hAnsi="Garamond" w:cs="Times New Roman"/>
          <w:color w:val="auto"/>
        </w:rPr>
        <w:t xml:space="preserve">, </w:t>
      </w:r>
      <w:r w:rsidR="00001FB6" w:rsidRPr="00513ABE">
        <w:rPr>
          <w:rFonts w:ascii="Garamond" w:hAnsi="Garamond"/>
          <w:color w:val="auto"/>
        </w:rPr>
        <w:t>m</w:t>
      </w:r>
      <w:r w:rsidR="000B5014" w:rsidRPr="00513ABE">
        <w:rPr>
          <w:rFonts w:ascii="Garamond" w:hAnsi="Garamond" w:cs="Times New Roman"/>
          <w:color w:val="auto"/>
        </w:rPr>
        <w:t>ed henblik på at forebygge at fremtidige indrapporteringer ikke sker rettidigt</w:t>
      </w:r>
      <w:r w:rsidR="00001FB6" w:rsidRPr="00513ABE">
        <w:rPr>
          <w:rFonts w:ascii="Garamond" w:hAnsi="Garamond" w:cs="Times New Roman"/>
          <w:color w:val="auto"/>
        </w:rPr>
        <w:t>,</w:t>
      </w:r>
      <w:r w:rsidR="000B5014" w:rsidRPr="00513ABE">
        <w:rPr>
          <w:rFonts w:ascii="Garamond" w:hAnsi="Garamond" w:cs="Times New Roman"/>
          <w:color w:val="auto"/>
        </w:rPr>
        <w:t xml:space="preserve"> </w:t>
      </w:r>
      <w:r w:rsidRPr="00513ABE">
        <w:rPr>
          <w:rFonts w:ascii="Garamond" w:hAnsi="Garamond"/>
          <w:color w:val="auto"/>
        </w:rPr>
        <w:t xml:space="preserve">at </w:t>
      </w:r>
      <w:r>
        <w:rPr>
          <w:rFonts w:ascii="Garamond" w:hAnsi="Garamond"/>
        </w:rPr>
        <w:t>indføre</w:t>
      </w:r>
      <w:r w:rsidR="00E5767A">
        <w:rPr>
          <w:rFonts w:ascii="Garamond" w:hAnsi="Garamond"/>
        </w:rPr>
        <w:t xml:space="preserve"> en sanktionsbestemmelse</w:t>
      </w:r>
      <w:r w:rsidR="00772D74">
        <w:rPr>
          <w:rFonts w:ascii="Garamond" w:hAnsi="Garamond"/>
        </w:rPr>
        <w:t>, postlovens § 28, stk. 4.</w:t>
      </w:r>
      <w:r w:rsidR="00E5767A">
        <w:rPr>
          <w:rFonts w:ascii="Garamond" w:hAnsi="Garamond"/>
        </w:rPr>
        <w:t xml:space="preserve"> Det foreslås, at det i </w:t>
      </w:r>
      <w:r w:rsidR="00E5767A" w:rsidRPr="001B3030">
        <w:rPr>
          <w:rFonts w:ascii="Garamond" w:hAnsi="Garamond"/>
        </w:rPr>
        <w:t xml:space="preserve">straffebestemmelsen i </w:t>
      </w:r>
      <w:r w:rsidR="00E5767A">
        <w:rPr>
          <w:rFonts w:ascii="Garamond" w:hAnsi="Garamond"/>
        </w:rPr>
        <w:t xml:space="preserve">postlovens </w:t>
      </w:r>
      <w:r w:rsidR="00E5767A" w:rsidRPr="001B3030">
        <w:rPr>
          <w:rFonts w:ascii="Garamond" w:hAnsi="Garamond"/>
        </w:rPr>
        <w:t>§ 28 f</w:t>
      </w:r>
      <w:r w:rsidR="00E5767A">
        <w:rPr>
          <w:rFonts w:ascii="Garamond" w:hAnsi="Garamond"/>
        </w:rPr>
        <w:t>astlægges</w:t>
      </w:r>
      <w:r w:rsidR="00E5767A" w:rsidRPr="001B3030">
        <w:rPr>
          <w:rFonts w:ascii="Garamond" w:hAnsi="Garamond"/>
        </w:rPr>
        <w:t xml:space="preserve">, at </w:t>
      </w:r>
      <w:r w:rsidR="00E5767A">
        <w:rPr>
          <w:rFonts w:ascii="Garamond" w:hAnsi="Garamond"/>
          <w:iCs/>
        </w:rPr>
        <w:t>overtrædelse af indberetningsforpligtelserne i artiklerne 4 og 5 i Europa-Parlamentets og Rådets forordning (EU) 2018/644 af 18. april 2018 om grænseoverskridende pakkeleveringstjenester</w:t>
      </w:r>
      <w:r w:rsidR="00657FA3">
        <w:rPr>
          <w:rFonts w:ascii="Garamond" w:hAnsi="Garamond"/>
          <w:iCs/>
        </w:rPr>
        <w:t xml:space="preserve"> </w:t>
      </w:r>
      <w:r w:rsidR="00E5767A">
        <w:rPr>
          <w:rFonts w:ascii="Garamond" w:hAnsi="Garamond"/>
          <w:iCs/>
        </w:rPr>
        <w:t xml:space="preserve">begået af en pakkeleveringsvirksomhed omfattet af forordningen, straffes med bøde. </w:t>
      </w:r>
    </w:p>
    <w:p w14:paraId="49430C6A" w14:textId="77777777" w:rsidR="00F25E07" w:rsidRDefault="00F25E07" w:rsidP="00E5767A">
      <w:pPr>
        <w:pStyle w:val="stk2"/>
        <w:ind w:firstLine="284"/>
        <w:rPr>
          <w:rFonts w:ascii="Garamond" w:hAnsi="Garamond"/>
        </w:rPr>
      </w:pPr>
    </w:p>
    <w:p w14:paraId="2C400F82" w14:textId="47142D4B" w:rsidR="00E5767A" w:rsidRDefault="00E5767A" w:rsidP="00001FB6">
      <w:pPr>
        <w:pStyle w:val="stk2"/>
        <w:ind w:firstLine="567"/>
        <w:rPr>
          <w:rFonts w:ascii="Garamond" w:hAnsi="Garamond"/>
        </w:rPr>
      </w:pPr>
      <w:r>
        <w:rPr>
          <w:rFonts w:ascii="Garamond" w:hAnsi="Garamond"/>
        </w:rPr>
        <w:t xml:space="preserve">I medfør af artikel 8 i </w:t>
      </w:r>
      <w:r w:rsidR="0037793C">
        <w:rPr>
          <w:rFonts w:ascii="Garamond" w:hAnsi="Garamond"/>
        </w:rPr>
        <w:t>forordningen om pakkeleveringstjenester</w:t>
      </w:r>
      <w:r>
        <w:rPr>
          <w:rFonts w:ascii="Garamond" w:hAnsi="Garamond"/>
        </w:rPr>
        <w:t xml:space="preserve"> skal sanktionerne, som skal anvendes i tilfælde af overtrædelse af forordningens bestemmelser, være effektive, stå i et rimeligt forhold til overtrædelsen og have afskrækkende virkning. Det vurderes, at den mest virkningsfulde måde at sikre rettidige og præcise indrapporteringer af en række forskellige oplysninger fra pakkevirksomhederne på, vil være, at virksomhederne kan ifalde en bødestraf, </w:t>
      </w:r>
      <w:r w:rsidR="00FF5C62">
        <w:rPr>
          <w:rFonts w:ascii="Garamond" w:hAnsi="Garamond"/>
        </w:rPr>
        <w:t>såfr</w:t>
      </w:r>
      <w:r>
        <w:rPr>
          <w:rFonts w:ascii="Garamond" w:hAnsi="Garamond"/>
        </w:rPr>
        <w:t>emt de pågældende oplysninger ikke rapporteres til Trafikstyrelsen.</w:t>
      </w:r>
      <w:r w:rsidR="00513ABE">
        <w:rPr>
          <w:rFonts w:ascii="Garamond" w:hAnsi="Garamond"/>
        </w:rPr>
        <w:br/>
      </w:r>
    </w:p>
    <w:p w14:paraId="2992891C" w14:textId="142811D2" w:rsidR="00772D74" w:rsidRPr="00513ABE" w:rsidRDefault="00772D74" w:rsidP="00001FB6">
      <w:pPr>
        <w:pStyle w:val="stk2"/>
        <w:ind w:firstLine="567"/>
        <w:rPr>
          <w:rFonts w:ascii="Garamond" w:hAnsi="Garamond"/>
          <w:color w:val="auto"/>
        </w:rPr>
      </w:pPr>
      <w:r w:rsidRPr="00513ABE">
        <w:rPr>
          <w:rFonts w:ascii="Garamond" w:hAnsi="Garamond"/>
          <w:color w:val="auto"/>
        </w:rPr>
        <w:t xml:space="preserve">Med henblik på at sikre, at sanktionsbestemmelsen overholder det krav til forholdsmæssighed, som følger af </w:t>
      </w:r>
      <w:r w:rsidR="0037793C" w:rsidRPr="00513ABE">
        <w:rPr>
          <w:rFonts w:ascii="Garamond" w:hAnsi="Garamond"/>
          <w:color w:val="auto"/>
        </w:rPr>
        <w:t>forordningen om pakkeleveringstjenester</w:t>
      </w:r>
      <w:r w:rsidRPr="00513ABE">
        <w:rPr>
          <w:rFonts w:ascii="Garamond" w:hAnsi="Garamond"/>
          <w:color w:val="auto"/>
        </w:rPr>
        <w:t xml:space="preserve">s artikel 8, stk. 1, må det ved enhver overtrædelse vurderes konkret om og i hvilket omfang sanktionsbestemmelsen finder anvendelse. </w:t>
      </w:r>
    </w:p>
    <w:p w14:paraId="2D7E7E10" w14:textId="77777777" w:rsidR="000B5014" w:rsidRPr="00657FA3" w:rsidRDefault="000B5014" w:rsidP="002A1CF0">
      <w:pPr>
        <w:pStyle w:val="stk2"/>
        <w:ind w:firstLine="284"/>
        <w:rPr>
          <w:rFonts w:ascii="Garamond" w:hAnsi="Garamond"/>
          <w:color w:val="FF0000"/>
        </w:rPr>
      </w:pPr>
    </w:p>
    <w:p w14:paraId="309FAF44" w14:textId="77777777" w:rsidR="001B65D6" w:rsidRDefault="001B65D6" w:rsidP="002A1CF0">
      <w:pPr>
        <w:pStyle w:val="stk2"/>
        <w:ind w:firstLine="284"/>
        <w:rPr>
          <w:rFonts w:ascii="Garamond" w:hAnsi="Garamond"/>
        </w:rPr>
      </w:pPr>
    </w:p>
    <w:p w14:paraId="791390A7" w14:textId="77777777"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 xml:space="preserve">Økonomiske og </w:t>
      </w:r>
      <w:r>
        <w:rPr>
          <w:rFonts w:ascii="Garamond" w:hAnsi="Garamond"/>
          <w:i/>
          <w:iCs/>
          <w:color w:val="auto"/>
        </w:rPr>
        <w:t>implementerings</w:t>
      </w:r>
      <w:r w:rsidRPr="00991A9A">
        <w:rPr>
          <w:rFonts w:ascii="Garamond" w:hAnsi="Garamond"/>
          <w:i/>
          <w:iCs/>
          <w:color w:val="auto"/>
        </w:rPr>
        <w:t xml:space="preserve">konsekvenser for det offentlige </w:t>
      </w:r>
    </w:p>
    <w:p w14:paraId="7EA14569" w14:textId="77777777" w:rsidR="00E5767A" w:rsidRPr="00991A9A" w:rsidRDefault="00E5767A" w:rsidP="00E5767A">
      <w:pPr>
        <w:pStyle w:val="NormalWeb"/>
        <w:spacing w:before="0" w:beforeAutospacing="0" w:after="0" w:afterAutospacing="0"/>
        <w:rPr>
          <w:rFonts w:ascii="Garamond" w:hAnsi="Garamond"/>
          <w:i/>
          <w:iCs/>
          <w:color w:val="auto"/>
        </w:rPr>
      </w:pPr>
    </w:p>
    <w:p w14:paraId="00F15186" w14:textId="4018AA3D" w:rsidR="009F63D1" w:rsidRPr="00513ABE" w:rsidRDefault="00E5767A" w:rsidP="00F97C67">
      <w:pPr>
        <w:pStyle w:val="NormalWeb"/>
        <w:tabs>
          <w:tab w:val="left" w:pos="6765"/>
        </w:tabs>
        <w:spacing w:before="0" w:beforeAutospacing="0" w:after="0" w:afterAutospacing="0"/>
        <w:ind w:firstLine="340"/>
        <w:rPr>
          <w:rFonts w:ascii="Garamond" w:hAnsi="Garamond"/>
          <w:color w:val="auto"/>
        </w:rPr>
      </w:pPr>
      <w:r w:rsidRPr="00513ABE">
        <w:rPr>
          <w:rFonts w:ascii="Garamond" w:hAnsi="Garamond"/>
          <w:color w:val="auto"/>
        </w:rPr>
        <w:t xml:space="preserve">Forslaget </w:t>
      </w:r>
      <w:r w:rsidR="00FF5C62" w:rsidRPr="00513ABE">
        <w:rPr>
          <w:rFonts w:ascii="Garamond" w:hAnsi="Garamond"/>
          <w:color w:val="auto"/>
        </w:rPr>
        <w:t xml:space="preserve">vurderes ikke at </w:t>
      </w:r>
      <w:r w:rsidRPr="00513ABE">
        <w:rPr>
          <w:rFonts w:ascii="Garamond" w:hAnsi="Garamond"/>
          <w:color w:val="auto"/>
        </w:rPr>
        <w:t>medføre</w:t>
      </w:r>
      <w:r w:rsidR="009F63D1" w:rsidRPr="00513ABE">
        <w:rPr>
          <w:rFonts w:ascii="Garamond" w:hAnsi="Garamond"/>
          <w:color w:val="auto"/>
        </w:rPr>
        <w:t xml:space="preserve"> øgede</w:t>
      </w:r>
      <w:r w:rsidRPr="00513ABE">
        <w:rPr>
          <w:rFonts w:ascii="Garamond" w:hAnsi="Garamond"/>
          <w:color w:val="auto"/>
        </w:rPr>
        <w:t xml:space="preserve"> </w:t>
      </w:r>
      <w:r w:rsidR="00BC30B9" w:rsidRPr="00513ABE">
        <w:rPr>
          <w:rFonts w:ascii="Garamond" w:hAnsi="Garamond"/>
          <w:color w:val="auto"/>
        </w:rPr>
        <w:t xml:space="preserve">økonomiske eller </w:t>
      </w:r>
      <w:r w:rsidRPr="00513ABE">
        <w:rPr>
          <w:rFonts w:ascii="Garamond" w:hAnsi="Garamond"/>
          <w:color w:val="auto"/>
        </w:rPr>
        <w:t xml:space="preserve">administrative konsekvenser for </w:t>
      </w:r>
      <w:r w:rsidR="00F97C67" w:rsidRPr="00513ABE">
        <w:rPr>
          <w:rFonts w:ascii="Garamond" w:hAnsi="Garamond"/>
          <w:color w:val="auto"/>
        </w:rPr>
        <w:t xml:space="preserve">stat, </w:t>
      </w:r>
      <w:r w:rsidRPr="00513ABE">
        <w:rPr>
          <w:rFonts w:ascii="Garamond" w:hAnsi="Garamond"/>
          <w:color w:val="auto"/>
        </w:rPr>
        <w:t xml:space="preserve">kommuner </w:t>
      </w:r>
      <w:r w:rsidR="00F97C67" w:rsidRPr="00513ABE">
        <w:rPr>
          <w:rFonts w:ascii="Garamond" w:hAnsi="Garamond"/>
          <w:color w:val="auto"/>
        </w:rPr>
        <w:t>eller</w:t>
      </w:r>
      <w:r w:rsidRPr="00513ABE">
        <w:rPr>
          <w:rFonts w:ascii="Garamond" w:hAnsi="Garamond"/>
          <w:color w:val="auto"/>
        </w:rPr>
        <w:t xml:space="preserve"> regioner</w:t>
      </w:r>
      <w:r w:rsidR="000A75BB" w:rsidRPr="00513ABE">
        <w:rPr>
          <w:rFonts w:ascii="Garamond" w:hAnsi="Garamond"/>
          <w:color w:val="auto"/>
        </w:rPr>
        <w:t>.</w:t>
      </w:r>
      <w:r w:rsidR="00FB0192" w:rsidRPr="00513ABE">
        <w:rPr>
          <w:rFonts w:ascii="Garamond" w:hAnsi="Garamond"/>
          <w:color w:val="auto"/>
        </w:rPr>
        <w:t xml:space="preserve"> </w:t>
      </w:r>
      <w:r w:rsidR="00AE0605" w:rsidRPr="00513ABE">
        <w:rPr>
          <w:rFonts w:ascii="Garamond" w:hAnsi="Garamond"/>
          <w:color w:val="auto"/>
        </w:rPr>
        <w:t xml:space="preserve">Det er forventningen, at lovforslaget forebygger, at fremtidige indberetninger ikke sker rettidigt, hvorfor de administrative omkostninger ved kontrol og rykkerskrivelser mindskes. Såfremt bødeforelæg må anvendes </w:t>
      </w:r>
      <w:r w:rsidR="009F63D1" w:rsidRPr="00513ABE">
        <w:rPr>
          <w:rFonts w:ascii="Garamond" w:hAnsi="Garamond"/>
          <w:color w:val="auto"/>
        </w:rPr>
        <w:t>i medfør af postlovens § 28, stk. 4</w:t>
      </w:r>
      <w:r w:rsidR="00AE0605" w:rsidRPr="00513ABE">
        <w:rPr>
          <w:rFonts w:ascii="Garamond" w:hAnsi="Garamond"/>
          <w:color w:val="auto"/>
        </w:rPr>
        <w:t>, må det forventes at give administrative omkostninger</w:t>
      </w:r>
      <w:r w:rsidR="009F63D1" w:rsidRPr="00513ABE">
        <w:rPr>
          <w:rFonts w:ascii="Garamond" w:hAnsi="Garamond"/>
          <w:color w:val="auto"/>
        </w:rPr>
        <w:t xml:space="preserve">. </w:t>
      </w:r>
      <w:r w:rsidR="00001FB6" w:rsidRPr="00513ABE">
        <w:rPr>
          <w:rFonts w:ascii="Garamond" w:hAnsi="Garamond"/>
          <w:color w:val="auto"/>
        </w:rPr>
        <w:t xml:space="preserve">Ud fra en samlet vurdering vil forslaget ikke medføre øgede økonomiske eller administrative konsekvenser for stat, kommuner eller regioner. </w:t>
      </w:r>
    </w:p>
    <w:p w14:paraId="629166ED" w14:textId="77777777" w:rsidR="009F63D1" w:rsidRDefault="009F63D1" w:rsidP="00F97C67">
      <w:pPr>
        <w:pStyle w:val="NormalWeb"/>
        <w:tabs>
          <w:tab w:val="left" w:pos="6765"/>
        </w:tabs>
        <w:spacing w:before="0" w:beforeAutospacing="0" w:after="0" w:afterAutospacing="0"/>
        <w:ind w:firstLine="340"/>
        <w:rPr>
          <w:rFonts w:ascii="Garamond" w:hAnsi="Garamond"/>
        </w:rPr>
      </w:pPr>
    </w:p>
    <w:p w14:paraId="4519DA5D" w14:textId="0F46278F" w:rsidR="00E5767A" w:rsidRPr="00991A9A" w:rsidRDefault="000A75BB" w:rsidP="00F97C67">
      <w:pPr>
        <w:pStyle w:val="NormalWeb"/>
        <w:tabs>
          <w:tab w:val="left" w:pos="6765"/>
        </w:tabs>
        <w:spacing w:before="0" w:beforeAutospacing="0" w:after="0" w:afterAutospacing="0"/>
        <w:ind w:firstLine="340"/>
        <w:rPr>
          <w:rFonts w:ascii="Garamond" w:hAnsi="Garamond"/>
        </w:rPr>
      </w:pPr>
      <w:r>
        <w:rPr>
          <w:rFonts w:ascii="Garamond" w:hAnsi="Garamond"/>
        </w:rPr>
        <w:t>F</w:t>
      </w:r>
      <w:r w:rsidR="008E4A02">
        <w:rPr>
          <w:rFonts w:ascii="Garamond" w:hAnsi="Garamond"/>
        </w:rPr>
        <w:t>orslaget vurderes</w:t>
      </w:r>
      <w:r>
        <w:rPr>
          <w:rFonts w:ascii="Garamond" w:hAnsi="Garamond"/>
        </w:rPr>
        <w:t xml:space="preserve"> ikke</w:t>
      </w:r>
      <w:r w:rsidR="008E4A02">
        <w:rPr>
          <w:rFonts w:ascii="Garamond" w:hAnsi="Garamond"/>
        </w:rPr>
        <w:t xml:space="preserve"> at have implementeringsmæssige konsekvenser eller administrative, drifts- eller it-relaterede omkostningskonsekvenser i øvrigt for staten, idet der alene er tale om implementering af en sanktionsbestemmelse for allerede gældende regler. Principperne for digitaliseringsklar lovgivning ses følgelig ikke at være relevante.</w:t>
      </w:r>
    </w:p>
    <w:p w14:paraId="0BDAF915" w14:textId="77777777" w:rsidR="00E5767A" w:rsidRPr="00991A9A" w:rsidRDefault="00E5767A" w:rsidP="00F97C67">
      <w:pPr>
        <w:pStyle w:val="NormalWeb"/>
        <w:tabs>
          <w:tab w:val="left" w:pos="6765"/>
        </w:tabs>
        <w:spacing w:before="0" w:beforeAutospacing="0" w:after="0" w:afterAutospacing="0"/>
        <w:ind w:firstLine="340"/>
        <w:rPr>
          <w:rFonts w:ascii="Garamond" w:hAnsi="Garamond"/>
        </w:rPr>
      </w:pPr>
    </w:p>
    <w:p w14:paraId="6A923F31" w14:textId="77777777"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Økonomiske og administrative konsekvenser for erhvervslivet</w:t>
      </w:r>
    </w:p>
    <w:p w14:paraId="078F2D38" w14:textId="77777777" w:rsidR="00E5767A" w:rsidRDefault="00E5767A" w:rsidP="00E5767A">
      <w:pPr>
        <w:pStyle w:val="NormalWeb"/>
        <w:spacing w:before="0" w:beforeAutospacing="0" w:after="0" w:afterAutospacing="0"/>
        <w:rPr>
          <w:rFonts w:ascii="Garamond" w:hAnsi="Garamond"/>
          <w:i/>
          <w:iCs/>
          <w:color w:val="auto"/>
        </w:rPr>
      </w:pPr>
    </w:p>
    <w:p w14:paraId="1AC67ED5" w14:textId="77777777" w:rsidR="00F97C67" w:rsidRPr="00F97C67" w:rsidRDefault="00F97C67" w:rsidP="00A62193">
      <w:pPr>
        <w:pStyle w:val="stk2"/>
        <w:ind w:firstLine="284"/>
        <w:rPr>
          <w:rFonts w:ascii="Garamond" w:hAnsi="Garamond"/>
        </w:rPr>
      </w:pPr>
      <w:r w:rsidRPr="00396AAE">
        <w:rPr>
          <w:rFonts w:ascii="Garamond" w:hAnsi="Garamond"/>
        </w:rPr>
        <w:t xml:space="preserve"> </w:t>
      </w:r>
      <w:r w:rsidRPr="00991A9A">
        <w:rPr>
          <w:rFonts w:ascii="Garamond" w:hAnsi="Garamond"/>
        </w:rPr>
        <w:t xml:space="preserve">Lovforslaget </w:t>
      </w:r>
      <w:r w:rsidR="00FF5C62">
        <w:rPr>
          <w:rFonts w:ascii="Garamond" w:hAnsi="Garamond"/>
        </w:rPr>
        <w:t>vurderes ikke at have</w:t>
      </w:r>
      <w:r w:rsidRPr="00991A9A">
        <w:rPr>
          <w:rFonts w:ascii="Garamond" w:hAnsi="Garamond"/>
        </w:rPr>
        <w:t xml:space="preserve"> </w:t>
      </w:r>
      <w:r>
        <w:rPr>
          <w:rFonts w:ascii="Garamond" w:hAnsi="Garamond"/>
        </w:rPr>
        <w:t xml:space="preserve">økonomiske eller </w:t>
      </w:r>
      <w:r w:rsidRPr="00991A9A">
        <w:rPr>
          <w:rFonts w:ascii="Garamond" w:hAnsi="Garamond"/>
        </w:rPr>
        <w:t xml:space="preserve">administrative konsekvenser for </w:t>
      </w:r>
      <w:r>
        <w:rPr>
          <w:rFonts w:ascii="Garamond" w:hAnsi="Garamond"/>
        </w:rPr>
        <w:t>erhvervslivet</w:t>
      </w:r>
      <w:r w:rsidR="00A62193">
        <w:rPr>
          <w:rFonts w:ascii="Garamond" w:hAnsi="Garamond"/>
        </w:rPr>
        <w:t>, idet d</w:t>
      </w:r>
      <w:r w:rsidR="00A62193" w:rsidRPr="001B65D6">
        <w:rPr>
          <w:rFonts w:ascii="Garamond" w:hAnsi="Garamond"/>
        </w:rPr>
        <w:t xml:space="preserve">e pågældende forpligtelser for virksomhederne </w:t>
      </w:r>
      <w:r w:rsidR="00A62193">
        <w:rPr>
          <w:rFonts w:ascii="Garamond" w:hAnsi="Garamond"/>
        </w:rPr>
        <w:t xml:space="preserve">allerede </w:t>
      </w:r>
      <w:r w:rsidR="00A62193" w:rsidRPr="001B65D6">
        <w:rPr>
          <w:rFonts w:ascii="Garamond" w:hAnsi="Garamond"/>
        </w:rPr>
        <w:t>følger af forordningen, og lovforslaget ændrer ikke i de faktiske krav eller deres omfang, men giver alene hjemmel til sanktionering af eventuelle overtrædelser</w:t>
      </w:r>
      <w:r w:rsidR="008E4A02">
        <w:rPr>
          <w:rFonts w:ascii="Garamond" w:hAnsi="Garamond"/>
        </w:rPr>
        <w:t xml:space="preserve"> af allerede gældende regler.</w:t>
      </w:r>
    </w:p>
    <w:p w14:paraId="4BFC81C7" w14:textId="77777777" w:rsidR="00E5767A" w:rsidRPr="00396AAE" w:rsidRDefault="00E5767A" w:rsidP="00396AAE">
      <w:pPr>
        <w:pStyle w:val="NormalWeb"/>
        <w:tabs>
          <w:tab w:val="left" w:pos="6765"/>
        </w:tabs>
        <w:spacing w:before="0" w:beforeAutospacing="0" w:after="0" w:afterAutospacing="0"/>
        <w:ind w:firstLine="340"/>
        <w:rPr>
          <w:rFonts w:ascii="Garamond" w:hAnsi="Garamond"/>
        </w:rPr>
      </w:pPr>
    </w:p>
    <w:p w14:paraId="310B8550" w14:textId="77777777"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Administrative konsekvenser for borgerne</w:t>
      </w:r>
    </w:p>
    <w:p w14:paraId="2206159F" w14:textId="77777777" w:rsidR="00E5767A" w:rsidRPr="00991A9A" w:rsidRDefault="00E5767A" w:rsidP="00E5767A">
      <w:pPr>
        <w:pStyle w:val="NormalWeb"/>
        <w:spacing w:before="0" w:beforeAutospacing="0" w:after="0" w:afterAutospacing="0"/>
        <w:rPr>
          <w:rFonts w:ascii="Garamond" w:hAnsi="Garamond"/>
          <w:i/>
          <w:iCs/>
          <w:color w:val="auto"/>
        </w:rPr>
      </w:pPr>
    </w:p>
    <w:p w14:paraId="5E783A25" w14:textId="77777777" w:rsidR="00E5767A" w:rsidRPr="00991A9A" w:rsidRDefault="00E5767A" w:rsidP="00396AAE">
      <w:pPr>
        <w:pStyle w:val="NormalWeb"/>
        <w:tabs>
          <w:tab w:val="left" w:pos="6765"/>
        </w:tabs>
        <w:spacing w:before="0" w:beforeAutospacing="0" w:after="0" w:afterAutospacing="0"/>
        <w:ind w:firstLine="340"/>
        <w:rPr>
          <w:rFonts w:ascii="Garamond" w:hAnsi="Garamond"/>
        </w:rPr>
      </w:pPr>
      <w:r w:rsidRPr="00991A9A">
        <w:rPr>
          <w:rFonts w:ascii="Garamond" w:hAnsi="Garamond"/>
        </w:rPr>
        <w:t xml:space="preserve">Lovforslaget </w:t>
      </w:r>
      <w:r w:rsidR="00FF5C62">
        <w:rPr>
          <w:rFonts w:ascii="Garamond" w:hAnsi="Garamond"/>
        </w:rPr>
        <w:t>vurderes ikke at have</w:t>
      </w:r>
      <w:r w:rsidRPr="00991A9A">
        <w:rPr>
          <w:rFonts w:ascii="Garamond" w:hAnsi="Garamond"/>
        </w:rPr>
        <w:t xml:space="preserve"> administrative konsekvenser for borgerne</w:t>
      </w:r>
      <w:r>
        <w:rPr>
          <w:rFonts w:ascii="Garamond" w:hAnsi="Garamond"/>
        </w:rPr>
        <w:t xml:space="preserve">. </w:t>
      </w:r>
    </w:p>
    <w:p w14:paraId="455B7EEC" w14:textId="77777777" w:rsidR="00E5767A" w:rsidRPr="00396AAE" w:rsidRDefault="00E5767A" w:rsidP="00396AAE">
      <w:pPr>
        <w:pStyle w:val="NormalWeb"/>
        <w:tabs>
          <w:tab w:val="left" w:pos="6765"/>
        </w:tabs>
        <w:spacing w:before="0" w:beforeAutospacing="0" w:after="0" w:afterAutospacing="0"/>
        <w:ind w:firstLine="340"/>
        <w:rPr>
          <w:rFonts w:ascii="Garamond" w:hAnsi="Garamond"/>
        </w:rPr>
      </w:pPr>
    </w:p>
    <w:p w14:paraId="622109A3" w14:textId="77777777" w:rsidR="004F6A1A" w:rsidRPr="00D332A4" w:rsidRDefault="004F6A1A" w:rsidP="004F6A1A">
      <w:pPr>
        <w:pStyle w:val="NormalWeb"/>
        <w:numPr>
          <w:ilvl w:val="0"/>
          <w:numId w:val="18"/>
        </w:numPr>
        <w:spacing w:before="0" w:beforeAutospacing="0" w:after="0" w:afterAutospacing="0"/>
        <w:rPr>
          <w:rFonts w:ascii="Garamond" w:hAnsi="Garamond"/>
          <w:i/>
          <w:iCs/>
          <w:color w:val="auto"/>
        </w:rPr>
      </w:pPr>
      <w:r w:rsidRPr="00D332A4">
        <w:rPr>
          <w:rFonts w:ascii="Garamond" w:hAnsi="Garamond"/>
          <w:i/>
          <w:iCs/>
          <w:color w:val="auto"/>
        </w:rPr>
        <w:t>Klimamæssige konsekvenser</w:t>
      </w:r>
    </w:p>
    <w:p w14:paraId="287B8D41" w14:textId="77777777" w:rsidR="004F6A1A" w:rsidRPr="00D332A4" w:rsidRDefault="004F6A1A" w:rsidP="004F6A1A">
      <w:pPr>
        <w:pStyle w:val="NormalWeb"/>
        <w:spacing w:before="0" w:beforeAutospacing="0" w:after="0" w:afterAutospacing="0"/>
        <w:ind w:left="473"/>
        <w:rPr>
          <w:rFonts w:ascii="Garamond" w:hAnsi="Garamond"/>
          <w:i/>
          <w:iCs/>
          <w:color w:val="auto"/>
        </w:rPr>
      </w:pPr>
    </w:p>
    <w:p w14:paraId="26E6C4B1" w14:textId="77777777" w:rsidR="00CC7C16" w:rsidRPr="00D332A4" w:rsidRDefault="00CC7C16" w:rsidP="00CC7C16">
      <w:pPr>
        <w:pStyle w:val="NormalWeb"/>
        <w:tabs>
          <w:tab w:val="left" w:pos="6765"/>
        </w:tabs>
        <w:spacing w:before="0" w:beforeAutospacing="0" w:after="0" w:afterAutospacing="0"/>
        <w:ind w:firstLine="340"/>
        <w:rPr>
          <w:rFonts w:ascii="Garamond" w:hAnsi="Garamond"/>
          <w:color w:val="auto"/>
        </w:rPr>
      </w:pPr>
      <w:r w:rsidRPr="00D332A4">
        <w:rPr>
          <w:rFonts w:ascii="Garamond" w:hAnsi="Garamond"/>
          <w:color w:val="auto"/>
        </w:rPr>
        <w:t xml:space="preserve">Lovforslaget vurderes ikke at have klimamæssige konsekvenser. </w:t>
      </w:r>
    </w:p>
    <w:p w14:paraId="7E14781D" w14:textId="77777777" w:rsidR="00CC7C16" w:rsidRPr="00D332A4" w:rsidRDefault="00CC7C16" w:rsidP="004F6A1A">
      <w:pPr>
        <w:pStyle w:val="NormalWeb"/>
        <w:spacing w:before="0" w:beforeAutospacing="0" w:after="0" w:afterAutospacing="0"/>
        <w:ind w:left="473"/>
        <w:rPr>
          <w:rFonts w:ascii="Garamond" w:hAnsi="Garamond"/>
          <w:i/>
          <w:iCs/>
          <w:color w:val="auto"/>
        </w:rPr>
      </w:pPr>
    </w:p>
    <w:p w14:paraId="7250EB1D" w14:textId="77777777" w:rsidR="00E5767A" w:rsidRPr="00D332A4" w:rsidRDefault="00E5767A" w:rsidP="004F6A1A">
      <w:pPr>
        <w:pStyle w:val="NormalWeb"/>
        <w:numPr>
          <w:ilvl w:val="0"/>
          <w:numId w:val="18"/>
        </w:numPr>
        <w:spacing w:before="0" w:beforeAutospacing="0" w:after="0" w:afterAutospacing="0"/>
        <w:rPr>
          <w:rFonts w:ascii="Garamond" w:hAnsi="Garamond"/>
          <w:i/>
          <w:iCs/>
          <w:color w:val="auto"/>
        </w:rPr>
      </w:pPr>
      <w:r w:rsidRPr="00D332A4">
        <w:rPr>
          <w:rFonts w:ascii="Garamond" w:hAnsi="Garamond"/>
          <w:i/>
          <w:iCs/>
          <w:color w:val="auto"/>
        </w:rPr>
        <w:t>Miljø</w:t>
      </w:r>
      <w:r w:rsidR="004F6A1A" w:rsidRPr="00D332A4">
        <w:rPr>
          <w:rFonts w:ascii="Garamond" w:hAnsi="Garamond"/>
          <w:i/>
          <w:iCs/>
          <w:color w:val="auto"/>
        </w:rPr>
        <w:t>- og natur</w:t>
      </w:r>
      <w:r w:rsidRPr="00D332A4">
        <w:rPr>
          <w:rFonts w:ascii="Garamond" w:hAnsi="Garamond"/>
          <w:i/>
          <w:iCs/>
          <w:color w:val="auto"/>
        </w:rPr>
        <w:t>mæssige konsekvenser</w:t>
      </w:r>
    </w:p>
    <w:p w14:paraId="2558BE09" w14:textId="77777777" w:rsidR="00396AAE" w:rsidRPr="00D332A4" w:rsidRDefault="00396AAE" w:rsidP="00396AAE">
      <w:pPr>
        <w:pStyle w:val="NormalWeb"/>
        <w:spacing w:before="0" w:beforeAutospacing="0" w:after="0" w:afterAutospacing="0"/>
        <w:ind w:left="540"/>
        <w:rPr>
          <w:rFonts w:ascii="Garamond" w:hAnsi="Garamond"/>
          <w:i/>
          <w:iCs/>
          <w:color w:val="auto"/>
        </w:rPr>
      </w:pPr>
    </w:p>
    <w:p w14:paraId="587F148B" w14:textId="77777777" w:rsidR="00396AAE" w:rsidRPr="00396AAE" w:rsidRDefault="00396AAE" w:rsidP="00396AAE">
      <w:pPr>
        <w:pStyle w:val="NormalWeb"/>
        <w:tabs>
          <w:tab w:val="left" w:pos="6765"/>
        </w:tabs>
        <w:spacing w:before="0" w:beforeAutospacing="0" w:after="0" w:afterAutospacing="0"/>
        <w:ind w:firstLine="340"/>
        <w:rPr>
          <w:rFonts w:ascii="Garamond" w:hAnsi="Garamond"/>
        </w:rPr>
      </w:pPr>
      <w:r w:rsidRPr="00396AAE">
        <w:rPr>
          <w:rFonts w:ascii="Garamond" w:hAnsi="Garamond"/>
        </w:rPr>
        <w:t xml:space="preserve">Lovforslaget </w:t>
      </w:r>
      <w:r w:rsidR="00FF5C62">
        <w:rPr>
          <w:rFonts w:ascii="Garamond" w:hAnsi="Garamond"/>
        </w:rPr>
        <w:t>vurderes ikke at have</w:t>
      </w:r>
      <w:r w:rsidRPr="00396AAE">
        <w:rPr>
          <w:rFonts w:ascii="Garamond" w:hAnsi="Garamond"/>
        </w:rPr>
        <w:t xml:space="preserve"> miljømæssige konsekvenser. </w:t>
      </w:r>
    </w:p>
    <w:p w14:paraId="1E43F7F5" w14:textId="77777777" w:rsidR="00E5767A" w:rsidRPr="00991A9A" w:rsidRDefault="00E5767A" w:rsidP="00E5767A">
      <w:pPr>
        <w:pStyle w:val="NormalWeb"/>
        <w:spacing w:before="0" w:beforeAutospacing="0" w:after="0" w:afterAutospacing="0"/>
        <w:rPr>
          <w:rFonts w:ascii="Garamond" w:hAnsi="Garamond"/>
          <w:i/>
          <w:iCs/>
          <w:color w:val="auto"/>
        </w:rPr>
      </w:pPr>
    </w:p>
    <w:p w14:paraId="308C3537" w14:textId="77777777"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Forholdet til EU-retten</w:t>
      </w:r>
    </w:p>
    <w:p w14:paraId="0DE25633" w14:textId="77777777" w:rsidR="00E5767A" w:rsidRPr="00991A9A" w:rsidRDefault="00E5767A" w:rsidP="00E5767A">
      <w:pPr>
        <w:pStyle w:val="NormalWeb"/>
        <w:spacing w:before="0" w:beforeAutospacing="0" w:after="0" w:afterAutospacing="0"/>
        <w:rPr>
          <w:rFonts w:ascii="Garamond" w:hAnsi="Garamond"/>
          <w:i/>
          <w:iCs/>
          <w:color w:val="auto"/>
        </w:rPr>
      </w:pPr>
    </w:p>
    <w:p w14:paraId="3F11A67D" w14:textId="77777777" w:rsidR="00E5767A" w:rsidRPr="00F044AE" w:rsidRDefault="00B564FB" w:rsidP="00F97C67">
      <w:pPr>
        <w:pStyle w:val="NormalWeb"/>
        <w:tabs>
          <w:tab w:val="left" w:pos="6765"/>
        </w:tabs>
        <w:spacing w:before="0" w:beforeAutospacing="0" w:after="0" w:afterAutospacing="0"/>
        <w:ind w:firstLine="340"/>
        <w:rPr>
          <w:rFonts w:ascii="Garamond" w:hAnsi="Garamond"/>
        </w:rPr>
      </w:pPr>
      <w:r>
        <w:rPr>
          <w:rFonts w:ascii="Garamond" w:hAnsi="Garamond"/>
        </w:rPr>
        <w:t xml:space="preserve">Forslaget </w:t>
      </w:r>
      <w:r w:rsidR="00E5767A">
        <w:rPr>
          <w:rFonts w:ascii="Garamond" w:hAnsi="Garamond"/>
        </w:rPr>
        <w:t xml:space="preserve">indeholder bestemmelser, der gennemfører </w:t>
      </w:r>
      <w:r w:rsidR="00E5767A" w:rsidRPr="0022714A">
        <w:rPr>
          <w:rFonts w:ascii="Garamond" w:hAnsi="Garamond"/>
        </w:rPr>
        <w:t>dele af Europa-Parlamentets og Rådets forordning (EU) 2018/644 af 18. april 2018 om grænseoverskridende pakkeleveringstjenester.</w:t>
      </w:r>
    </w:p>
    <w:p w14:paraId="232CD996" w14:textId="77777777" w:rsidR="00E5767A" w:rsidRPr="00991A9A" w:rsidRDefault="00E5767A" w:rsidP="00E5767A">
      <w:pPr>
        <w:pStyle w:val="NormalWeb"/>
        <w:spacing w:before="0" w:beforeAutospacing="0" w:after="0" w:afterAutospacing="0"/>
        <w:ind w:firstLine="113"/>
        <w:rPr>
          <w:rFonts w:ascii="Garamond" w:hAnsi="Garamond"/>
        </w:rPr>
      </w:pPr>
    </w:p>
    <w:p w14:paraId="0AA4109C" w14:textId="7C73415C"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 xml:space="preserve">Hørte </w:t>
      </w:r>
      <w:r w:rsidR="00D34851">
        <w:rPr>
          <w:rFonts w:ascii="Garamond" w:hAnsi="Garamond"/>
          <w:i/>
          <w:iCs/>
          <w:color w:val="auto"/>
        </w:rPr>
        <w:t xml:space="preserve">myndigheder og </w:t>
      </w:r>
      <w:r w:rsidRPr="00991A9A">
        <w:rPr>
          <w:rFonts w:ascii="Garamond" w:hAnsi="Garamond"/>
          <w:i/>
          <w:iCs/>
          <w:color w:val="auto"/>
        </w:rPr>
        <w:t xml:space="preserve">organisationer m.v. </w:t>
      </w:r>
    </w:p>
    <w:p w14:paraId="531DDE3A" w14:textId="77777777" w:rsidR="00E5767A" w:rsidRPr="00991A9A" w:rsidRDefault="00E5767A" w:rsidP="00E5767A">
      <w:pPr>
        <w:pStyle w:val="NormalWeb"/>
        <w:spacing w:before="0" w:beforeAutospacing="0" w:after="0" w:afterAutospacing="0"/>
        <w:rPr>
          <w:rFonts w:ascii="Garamond" w:hAnsi="Garamond"/>
          <w:i/>
          <w:iCs/>
          <w:color w:val="auto"/>
        </w:rPr>
      </w:pPr>
    </w:p>
    <w:p w14:paraId="3BE341B2" w14:textId="500066D3" w:rsidR="00FF5C62" w:rsidRDefault="00FF5C62" w:rsidP="00E5767A">
      <w:pPr>
        <w:pStyle w:val="NormalWeb"/>
        <w:tabs>
          <w:tab w:val="left" w:pos="6765"/>
        </w:tabs>
        <w:spacing w:before="0" w:beforeAutospacing="0" w:after="0" w:afterAutospacing="0"/>
        <w:ind w:firstLine="340"/>
        <w:rPr>
          <w:rFonts w:ascii="Garamond" w:hAnsi="Garamond"/>
        </w:rPr>
      </w:pPr>
      <w:r>
        <w:rPr>
          <w:rFonts w:ascii="Garamond" w:hAnsi="Garamond"/>
        </w:rPr>
        <w:t>Lovforslaget har</w:t>
      </w:r>
      <w:r w:rsidR="00E35617">
        <w:rPr>
          <w:rFonts w:ascii="Garamond" w:hAnsi="Garamond"/>
        </w:rPr>
        <w:t xml:space="preserve"> i perioden fra den</w:t>
      </w:r>
      <w:r w:rsidR="00657FA3">
        <w:rPr>
          <w:rFonts w:ascii="Garamond" w:hAnsi="Garamond"/>
        </w:rPr>
        <w:t xml:space="preserve"> </w:t>
      </w:r>
      <w:r w:rsidR="00E35617">
        <w:rPr>
          <w:rFonts w:ascii="Garamond" w:hAnsi="Garamond"/>
        </w:rPr>
        <w:t>2</w:t>
      </w:r>
      <w:r w:rsidR="0051752C">
        <w:rPr>
          <w:rFonts w:ascii="Garamond" w:hAnsi="Garamond"/>
        </w:rPr>
        <w:t>9</w:t>
      </w:r>
      <w:r w:rsidR="00E35617">
        <w:rPr>
          <w:rFonts w:ascii="Garamond" w:hAnsi="Garamond"/>
        </w:rPr>
        <w:t>. juni 2021 til den 18. august 2021</w:t>
      </w:r>
      <w:r>
        <w:rPr>
          <w:rFonts w:ascii="Garamond" w:hAnsi="Garamond"/>
        </w:rPr>
        <w:t xml:space="preserve"> været sendt i høring hos </w:t>
      </w:r>
      <w:r w:rsidR="00F06322">
        <w:rPr>
          <w:rFonts w:ascii="Garamond" w:hAnsi="Garamond"/>
        </w:rPr>
        <w:t>følgende</w:t>
      </w:r>
      <w:r>
        <w:rPr>
          <w:rFonts w:ascii="Garamond" w:hAnsi="Garamond"/>
        </w:rPr>
        <w:t xml:space="preserve"> </w:t>
      </w:r>
      <w:r w:rsidR="00D34851">
        <w:rPr>
          <w:rFonts w:ascii="Garamond" w:hAnsi="Garamond"/>
        </w:rPr>
        <w:t xml:space="preserve">myndigheder og </w:t>
      </w:r>
      <w:r>
        <w:rPr>
          <w:rFonts w:ascii="Garamond" w:hAnsi="Garamond"/>
        </w:rPr>
        <w:t>organisationer m</w:t>
      </w:r>
      <w:r w:rsidR="00A72531">
        <w:rPr>
          <w:rFonts w:ascii="Garamond" w:hAnsi="Garamond"/>
        </w:rPr>
        <w:t>.</w:t>
      </w:r>
      <w:r>
        <w:rPr>
          <w:rFonts w:ascii="Garamond" w:hAnsi="Garamond"/>
        </w:rPr>
        <w:t>v.</w:t>
      </w:r>
      <w:r w:rsidR="00A72531">
        <w:rPr>
          <w:rFonts w:ascii="Garamond" w:hAnsi="Garamond"/>
        </w:rPr>
        <w:t>:</w:t>
      </w:r>
      <w:r>
        <w:rPr>
          <w:rFonts w:ascii="Garamond" w:hAnsi="Garamond"/>
        </w:rPr>
        <w:t xml:space="preserve"> </w:t>
      </w:r>
    </w:p>
    <w:p w14:paraId="61521C35" w14:textId="74BCDF43" w:rsidR="00657FA3" w:rsidRDefault="00657FA3" w:rsidP="00E5767A">
      <w:pPr>
        <w:pStyle w:val="NormalWeb"/>
        <w:tabs>
          <w:tab w:val="left" w:pos="6765"/>
        </w:tabs>
        <w:spacing w:before="0" w:beforeAutospacing="0" w:after="0" w:afterAutospacing="0"/>
        <w:ind w:firstLine="340"/>
        <w:rPr>
          <w:rFonts w:ascii="Garamond" w:hAnsi="Garamond"/>
        </w:rPr>
      </w:pPr>
    </w:p>
    <w:p w14:paraId="1D2B5D89" w14:textId="6E98FD37" w:rsidR="00A72531" w:rsidRDefault="00A72531" w:rsidP="00A72531">
      <w:pPr>
        <w:pStyle w:val="NormalWeb"/>
        <w:tabs>
          <w:tab w:val="left" w:pos="6765"/>
        </w:tabs>
        <w:ind w:firstLine="340"/>
        <w:rPr>
          <w:rFonts w:ascii="Garamond" w:hAnsi="Garamond"/>
        </w:rPr>
      </w:pPr>
      <w:r w:rsidRPr="00A72531">
        <w:rPr>
          <w:rFonts w:ascii="Garamond" w:hAnsi="Garamond"/>
        </w:rPr>
        <w:t>AE-A</w:t>
      </w:r>
      <w:r>
        <w:rPr>
          <w:rFonts w:ascii="Garamond" w:hAnsi="Garamond"/>
        </w:rPr>
        <w:t xml:space="preserve">rbejderbevægelsens Erhvervsråd, </w:t>
      </w:r>
      <w:r w:rsidRPr="00A72531">
        <w:rPr>
          <w:rFonts w:ascii="Garamond" w:hAnsi="Garamond"/>
        </w:rPr>
        <w:t>ATL (Arbejdsgiverforeningen for Transport og Logistik</w:t>
      </w:r>
      <w:r>
        <w:rPr>
          <w:rFonts w:ascii="Garamond" w:hAnsi="Garamond"/>
        </w:rPr>
        <w:t>), Bl</w:t>
      </w:r>
      <w:r w:rsidRPr="00A72531">
        <w:rPr>
          <w:rFonts w:ascii="Garamond" w:hAnsi="Garamond"/>
        </w:rPr>
        <w:t>adkompagniet A/S</w:t>
      </w:r>
      <w:r>
        <w:rPr>
          <w:rFonts w:ascii="Garamond" w:hAnsi="Garamond"/>
        </w:rPr>
        <w:t xml:space="preserve">, </w:t>
      </w:r>
      <w:r w:rsidRPr="00A72531">
        <w:rPr>
          <w:rFonts w:ascii="Garamond" w:hAnsi="Garamond"/>
        </w:rPr>
        <w:t>Coop Danmark A/S</w:t>
      </w:r>
      <w:r>
        <w:rPr>
          <w:rFonts w:ascii="Garamond" w:hAnsi="Garamond"/>
        </w:rPr>
        <w:t xml:space="preserve">, </w:t>
      </w:r>
      <w:r w:rsidRPr="00A72531">
        <w:rPr>
          <w:rFonts w:ascii="Garamond" w:hAnsi="Garamond"/>
        </w:rPr>
        <w:t>Dansk Blindesamfund</w:t>
      </w:r>
      <w:r>
        <w:rPr>
          <w:rFonts w:ascii="Garamond" w:hAnsi="Garamond"/>
        </w:rPr>
        <w:t xml:space="preserve">, </w:t>
      </w:r>
      <w:r w:rsidRPr="00A72531">
        <w:rPr>
          <w:rFonts w:ascii="Garamond" w:hAnsi="Garamond"/>
        </w:rPr>
        <w:t>Dansk Erhverv</w:t>
      </w:r>
      <w:r>
        <w:rPr>
          <w:rFonts w:ascii="Garamond" w:hAnsi="Garamond"/>
        </w:rPr>
        <w:t xml:space="preserve">, </w:t>
      </w:r>
      <w:r w:rsidRPr="00A72531">
        <w:rPr>
          <w:rFonts w:ascii="Garamond" w:hAnsi="Garamond"/>
        </w:rPr>
        <w:t>Danske Bank A/S</w:t>
      </w:r>
      <w:r>
        <w:rPr>
          <w:rFonts w:ascii="Garamond" w:hAnsi="Garamond"/>
        </w:rPr>
        <w:t xml:space="preserve">, </w:t>
      </w:r>
      <w:r w:rsidRPr="00A72531">
        <w:rPr>
          <w:rFonts w:ascii="Garamond" w:hAnsi="Garamond"/>
        </w:rPr>
        <w:t>Danske Fragtmænd A/S</w:t>
      </w:r>
      <w:r>
        <w:rPr>
          <w:rFonts w:ascii="Garamond" w:hAnsi="Garamond"/>
        </w:rPr>
        <w:t xml:space="preserve">, </w:t>
      </w:r>
      <w:r w:rsidRPr="00A72531">
        <w:rPr>
          <w:rFonts w:ascii="Garamond" w:hAnsi="Garamond"/>
        </w:rPr>
        <w:t>Danske Handicaporganisationer (DH)</w:t>
      </w:r>
      <w:r>
        <w:rPr>
          <w:rFonts w:ascii="Garamond" w:hAnsi="Garamond"/>
        </w:rPr>
        <w:t xml:space="preserve">, </w:t>
      </w:r>
      <w:r w:rsidRPr="00A72531">
        <w:rPr>
          <w:rFonts w:ascii="Garamond" w:hAnsi="Garamond"/>
        </w:rPr>
        <w:t>Danske Lokalaviser – Provinsens Distriktsblade</w:t>
      </w:r>
      <w:r>
        <w:rPr>
          <w:rFonts w:ascii="Garamond" w:hAnsi="Garamond"/>
        </w:rPr>
        <w:t xml:space="preserve">, Danske Medier – Mediernes Hus, Danske Rederier, Danske Regioner, Danske Speditører (DASP), </w:t>
      </w:r>
      <w:r w:rsidR="00D34851">
        <w:rPr>
          <w:rFonts w:ascii="Garamond" w:hAnsi="Garamond"/>
        </w:rPr>
        <w:t xml:space="preserve">Datatilsynet, </w:t>
      </w:r>
      <w:r>
        <w:rPr>
          <w:rFonts w:ascii="Garamond" w:hAnsi="Garamond"/>
        </w:rPr>
        <w:t xml:space="preserve">De Samvirkende Købmænd (DSK), Det Centrale Handicapråd (DCH), DI (Dansk Industri), DTL – Danske Vognmænd, Fagligt Fælles Forbund – 3F, </w:t>
      </w:r>
      <w:r w:rsidRPr="00A72531">
        <w:rPr>
          <w:rFonts w:ascii="Garamond" w:hAnsi="Garamond"/>
        </w:rPr>
        <w:t>FH (Fa</w:t>
      </w:r>
      <w:r>
        <w:rPr>
          <w:rFonts w:ascii="Garamond" w:hAnsi="Garamond"/>
        </w:rPr>
        <w:t xml:space="preserve">gbevægelsens Hovedorganisation), Finansrådet, FK Distribution A/S, Fonden Dansk Standard, </w:t>
      </w:r>
      <w:r w:rsidR="00D34851">
        <w:rPr>
          <w:rFonts w:ascii="Garamond" w:hAnsi="Garamond"/>
        </w:rPr>
        <w:t xml:space="preserve">Forbrugerombudsmanden, </w:t>
      </w:r>
      <w:r>
        <w:rPr>
          <w:rFonts w:ascii="Garamond" w:hAnsi="Garamond"/>
        </w:rPr>
        <w:t xml:space="preserve">Forbrugerrådet Tænk, </w:t>
      </w:r>
      <w:r w:rsidRPr="00A72531">
        <w:rPr>
          <w:rFonts w:ascii="Garamond" w:hAnsi="Garamond"/>
        </w:rPr>
        <w:t>Foreningen fo</w:t>
      </w:r>
      <w:r>
        <w:rPr>
          <w:rFonts w:ascii="Garamond" w:hAnsi="Garamond"/>
        </w:rPr>
        <w:t xml:space="preserve">r Dansk Internet Handel (FDIH), </w:t>
      </w:r>
      <w:r w:rsidRPr="00A72531">
        <w:rPr>
          <w:rFonts w:ascii="Garamond" w:hAnsi="Garamond"/>
        </w:rPr>
        <w:t>GLS D</w:t>
      </w:r>
      <w:r>
        <w:rPr>
          <w:rFonts w:ascii="Garamond" w:hAnsi="Garamond"/>
        </w:rPr>
        <w:t>enmark A/S, HK/Post og Kommunikation, ITD -</w:t>
      </w:r>
      <w:r w:rsidRPr="00A72531">
        <w:rPr>
          <w:rFonts w:ascii="Garamond" w:hAnsi="Garamond"/>
        </w:rPr>
        <w:t xml:space="preserve"> Brancheorganisationen f</w:t>
      </w:r>
      <w:r>
        <w:rPr>
          <w:rFonts w:ascii="Garamond" w:hAnsi="Garamond"/>
        </w:rPr>
        <w:t xml:space="preserve">or den danske vejgodstransport, KL (Kommunernes Landsforening), </w:t>
      </w:r>
      <w:r w:rsidRPr="00A72531">
        <w:rPr>
          <w:rFonts w:ascii="Garamond" w:hAnsi="Garamond"/>
        </w:rPr>
        <w:t>Kreativitet &amp; Kommunikation</w:t>
      </w:r>
      <w:r>
        <w:rPr>
          <w:rFonts w:ascii="Garamond" w:hAnsi="Garamond"/>
        </w:rPr>
        <w:t xml:space="preserve">, Landbrug &amp; Fødevarer F.m.b.A, </w:t>
      </w:r>
      <w:r w:rsidRPr="00A72531">
        <w:rPr>
          <w:rFonts w:ascii="Garamond" w:hAnsi="Garamond"/>
        </w:rPr>
        <w:t>Landsfo</w:t>
      </w:r>
      <w:r>
        <w:rPr>
          <w:rFonts w:ascii="Garamond" w:hAnsi="Garamond"/>
        </w:rPr>
        <w:t xml:space="preserve">reningen Landsbyerne i Danmark, </w:t>
      </w:r>
      <w:r w:rsidRPr="00A72531">
        <w:rPr>
          <w:rFonts w:ascii="Garamond" w:hAnsi="Garamond"/>
        </w:rPr>
        <w:t>Offentlig</w:t>
      </w:r>
      <w:r>
        <w:rPr>
          <w:rFonts w:ascii="Garamond" w:hAnsi="Garamond"/>
        </w:rPr>
        <w:t xml:space="preserve">t Ansattes Organisationer (OAO), Post Danmark A/S, Realkreditrådet, </w:t>
      </w:r>
      <w:r w:rsidRPr="00A72531">
        <w:rPr>
          <w:rFonts w:ascii="Garamond" w:hAnsi="Garamond"/>
        </w:rPr>
        <w:t>Sam</w:t>
      </w:r>
      <w:r>
        <w:rPr>
          <w:rFonts w:ascii="Garamond" w:hAnsi="Garamond"/>
        </w:rPr>
        <w:t>menslutningen af Danske Småøer, SMVdanmark, Ugeaviserne og Ældresagen.</w:t>
      </w:r>
    </w:p>
    <w:p w14:paraId="1EC5A053" w14:textId="0FB8C5BF" w:rsidR="00E5767A" w:rsidRPr="00991A9A" w:rsidRDefault="00001FB6" w:rsidP="00A72531">
      <w:pPr>
        <w:pStyle w:val="NormalWeb"/>
        <w:tabs>
          <w:tab w:val="left" w:pos="800"/>
        </w:tabs>
        <w:spacing w:before="0" w:beforeAutospacing="0" w:after="0" w:afterAutospacing="0"/>
        <w:ind w:firstLine="340"/>
        <w:rPr>
          <w:rFonts w:ascii="Garamond" w:hAnsi="Garamond"/>
          <w:i/>
          <w:iCs/>
          <w:color w:val="auto"/>
        </w:rPr>
      </w:pPr>
      <w:r>
        <w:rPr>
          <w:rFonts w:ascii="Garamond" w:hAnsi="Garamond"/>
        </w:rPr>
        <w:tab/>
      </w:r>
      <w:r w:rsidR="00E5767A" w:rsidRPr="00991A9A">
        <w:rPr>
          <w:rFonts w:ascii="Garamond" w:hAnsi="Garamond"/>
          <w:i/>
          <w:iCs/>
          <w:color w:val="auto"/>
        </w:rPr>
        <w:tab/>
      </w:r>
    </w:p>
    <w:p w14:paraId="1EA46593" w14:textId="77777777" w:rsidR="00E5767A" w:rsidRPr="00991A9A" w:rsidRDefault="00E5767A" w:rsidP="004F6A1A">
      <w:pPr>
        <w:pStyle w:val="NormalWeb"/>
        <w:numPr>
          <w:ilvl w:val="0"/>
          <w:numId w:val="18"/>
        </w:numPr>
        <w:spacing w:before="0" w:beforeAutospacing="0" w:after="0" w:afterAutospacing="0"/>
        <w:rPr>
          <w:rFonts w:ascii="Garamond" w:hAnsi="Garamond"/>
          <w:i/>
          <w:iCs/>
          <w:color w:val="auto"/>
        </w:rPr>
      </w:pPr>
      <w:r w:rsidRPr="00991A9A">
        <w:rPr>
          <w:rFonts w:ascii="Garamond" w:hAnsi="Garamond"/>
          <w:i/>
          <w:iCs/>
          <w:color w:val="auto"/>
        </w:rPr>
        <w:t xml:space="preserve">Sammenfattende skema </w:t>
      </w:r>
    </w:p>
    <w:p w14:paraId="23D96E94" w14:textId="77777777" w:rsidR="00E5767A" w:rsidRPr="00991A9A" w:rsidRDefault="00E5767A" w:rsidP="00E5767A">
      <w:pPr>
        <w:pStyle w:val="NormalWeb"/>
        <w:spacing w:before="0" w:beforeAutospacing="0" w:after="0" w:afterAutospacing="0"/>
        <w:rPr>
          <w:rFonts w:ascii="Garamond" w:hAnsi="Garamond"/>
          <w:i/>
          <w:iCs/>
          <w:color w:val="auto"/>
        </w:rPr>
      </w:pPr>
    </w:p>
    <w:tbl>
      <w:tblPr>
        <w:tblW w:w="0" w:type="auto"/>
        <w:tblInd w:w="-158" w:type="dxa"/>
        <w:tblLayout w:type="fixed"/>
        <w:tblCellMar>
          <w:left w:w="0" w:type="dxa"/>
          <w:right w:w="0" w:type="dxa"/>
        </w:tblCellMar>
        <w:tblLook w:val="0000" w:firstRow="0" w:lastRow="0" w:firstColumn="0" w:lastColumn="0" w:noHBand="0" w:noVBand="0"/>
      </w:tblPr>
      <w:tblGrid>
        <w:gridCol w:w="3259"/>
        <w:gridCol w:w="3259"/>
        <w:gridCol w:w="3310"/>
        <w:gridCol w:w="50"/>
        <w:gridCol w:w="20"/>
      </w:tblGrid>
      <w:tr w:rsidR="00E5767A" w:rsidRPr="00991A9A" w14:paraId="7A8566C7" w14:textId="77777777" w:rsidTr="0053050C">
        <w:tc>
          <w:tcPr>
            <w:tcW w:w="3259" w:type="dxa"/>
            <w:tcBorders>
              <w:top w:val="single" w:sz="8" w:space="0" w:color="000000"/>
              <w:left w:val="single" w:sz="8" w:space="0" w:color="000000"/>
              <w:bottom w:val="single" w:sz="8" w:space="0" w:color="000000"/>
            </w:tcBorders>
            <w:shd w:val="clear" w:color="auto" w:fill="auto"/>
          </w:tcPr>
          <w:p w14:paraId="6773E3C1" w14:textId="77777777" w:rsidR="00E5767A" w:rsidRPr="00991A9A" w:rsidRDefault="00E5767A" w:rsidP="0053050C">
            <w:pPr>
              <w:snapToGrid w:val="0"/>
              <w:rPr>
                <w:rFonts w:ascii="Garamond" w:hAnsi="Garamond" w:cs="Garamond"/>
              </w:rPr>
            </w:pPr>
          </w:p>
        </w:tc>
        <w:tc>
          <w:tcPr>
            <w:tcW w:w="3259" w:type="dxa"/>
            <w:tcBorders>
              <w:top w:val="single" w:sz="8" w:space="0" w:color="000000"/>
              <w:left w:val="single" w:sz="8" w:space="0" w:color="000000"/>
              <w:bottom w:val="single" w:sz="8" w:space="0" w:color="000000"/>
            </w:tcBorders>
            <w:shd w:val="clear" w:color="auto" w:fill="auto"/>
          </w:tcPr>
          <w:p w14:paraId="63F54199" w14:textId="77777777" w:rsidR="00E5767A" w:rsidRPr="00991A9A" w:rsidRDefault="00E5767A" w:rsidP="0053050C">
            <w:pPr>
              <w:snapToGrid w:val="0"/>
              <w:rPr>
                <w:rFonts w:ascii="Garamond" w:hAnsi="Garamond" w:cs="Garamond"/>
              </w:rPr>
            </w:pPr>
            <w:r w:rsidRPr="00991A9A">
              <w:rPr>
                <w:rFonts w:ascii="Garamond" w:hAnsi="Garamond" w:cs="Garamond"/>
              </w:rPr>
              <w:t xml:space="preserve">Positive konsekvenser/mindreudgifter </w:t>
            </w:r>
          </w:p>
          <w:p w14:paraId="52E2664B" w14:textId="77777777" w:rsidR="00E5767A" w:rsidRPr="00991A9A" w:rsidRDefault="00E5767A" w:rsidP="0053050C">
            <w:pPr>
              <w:rPr>
                <w:rFonts w:ascii="Garamond" w:hAnsi="Garamond" w:cs="Garamond"/>
              </w:rPr>
            </w:pPr>
          </w:p>
        </w:tc>
        <w:tc>
          <w:tcPr>
            <w:tcW w:w="3380" w:type="dxa"/>
            <w:gridSpan w:val="3"/>
            <w:tcBorders>
              <w:top w:val="single" w:sz="8" w:space="0" w:color="000000"/>
              <w:left w:val="single" w:sz="8" w:space="0" w:color="000000"/>
              <w:bottom w:val="single" w:sz="8" w:space="0" w:color="000000"/>
              <w:right w:val="single" w:sz="8" w:space="0" w:color="000000"/>
            </w:tcBorders>
            <w:shd w:val="clear" w:color="auto" w:fill="auto"/>
          </w:tcPr>
          <w:p w14:paraId="527B31AC" w14:textId="77777777" w:rsidR="00E5767A" w:rsidRPr="00991A9A" w:rsidRDefault="00E5767A" w:rsidP="0053050C">
            <w:pPr>
              <w:snapToGrid w:val="0"/>
              <w:rPr>
                <w:rFonts w:ascii="Garamond" w:hAnsi="Garamond" w:cs="Garamond"/>
              </w:rPr>
            </w:pPr>
            <w:r w:rsidRPr="00991A9A">
              <w:rPr>
                <w:rFonts w:ascii="Garamond" w:hAnsi="Garamond" w:cs="Garamond"/>
              </w:rPr>
              <w:t>Negative konsekvenser/merudgifter</w:t>
            </w:r>
          </w:p>
          <w:p w14:paraId="5B2D78F0" w14:textId="77777777" w:rsidR="00E5767A" w:rsidRPr="00991A9A" w:rsidRDefault="00E5767A" w:rsidP="0053050C">
            <w:pPr>
              <w:rPr>
                <w:rFonts w:ascii="Garamond" w:hAnsi="Garamond" w:cs="Garamond"/>
              </w:rPr>
            </w:pPr>
          </w:p>
        </w:tc>
      </w:tr>
      <w:tr w:rsidR="00E5767A" w:rsidRPr="00991A9A" w14:paraId="5A0A8136" w14:textId="77777777" w:rsidTr="0053050C">
        <w:tc>
          <w:tcPr>
            <w:tcW w:w="3259" w:type="dxa"/>
            <w:tcBorders>
              <w:left w:val="single" w:sz="8" w:space="0" w:color="000000"/>
              <w:bottom w:val="single" w:sz="8" w:space="0" w:color="000000"/>
            </w:tcBorders>
            <w:shd w:val="clear" w:color="auto" w:fill="auto"/>
          </w:tcPr>
          <w:p w14:paraId="6AC4C718" w14:textId="77777777" w:rsidR="00E5767A" w:rsidRPr="00991A9A" w:rsidRDefault="00E5767A" w:rsidP="0053050C">
            <w:pPr>
              <w:snapToGrid w:val="0"/>
              <w:rPr>
                <w:rFonts w:ascii="Garamond" w:hAnsi="Garamond" w:cs="Garamond"/>
              </w:rPr>
            </w:pPr>
            <w:r w:rsidRPr="00991A9A">
              <w:rPr>
                <w:rFonts w:ascii="Garamond" w:hAnsi="Garamond" w:cs="Garamond"/>
              </w:rPr>
              <w:t xml:space="preserve">Økonomiske </w:t>
            </w:r>
            <w:r>
              <w:rPr>
                <w:rFonts w:ascii="Garamond" w:hAnsi="Garamond" w:cs="Garamond"/>
              </w:rPr>
              <w:t>og implementeringsomkostninger</w:t>
            </w:r>
            <w:r w:rsidRPr="00991A9A">
              <w:rPr>
                <w:rFonts w:ascii="Garamond" w:hAnsi="Garamond" w:cs="Garamond"/>
              </w:rPr>
              <w:t xml:space="preserve"> for stat, kommuner og regioner</w:t>
            </w:r>
          </w:p>
        </w:tc>
        <w:tc>
          <w:tcPr>
            <w:tcW w:w="3259" w:type="dxa"/>
            <w:tcBorders>
              <w:left w:val="single" w:sz="8" w:space="0" w:color="000000"/>
              <w:bottom w:val="single" w:sz="8" w:space="0" w:color="000000"/>
            </w:tcBorders>
            <w:shd w:val="clear" w:color="auto" w:fill="auto"/>
          </w:tcPr>
          <w:p w14:paraId="1A16C5A7" w14:textId="77777777" w:rsidR="00E5767A" w:rsidRPr="00991A9A" w:rsidRDefault="00F97C67" w:rsidP="0053050C">
            <w:pPr>
              <w:snapToGrid w:val="0"/>
              <w:rPr>
                <w:rFonts w:ascii="Garamond" w:hAnsi="Garamond" w:cs="Garamond"/>
              </w:rPr>
            </w:pPr>
            <w:r w:rsidRPr="00991A9A">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76A95ABA" w14:textId="77777777" w:rsidR="00E5767A" w:rsidRPr="00991A9A" w:rsidRDefault="00F97C67" w:rsidP="00F97C67">
            <w:pPr>
              <w:rPr>
                <w:rFonts w:ascii="Garamond" w:hAnsi="Garamond" w:cs="Garamond"/>
              </w:rPr>
            </w:pPr>
            <w:r w:rsidRPr="00991A9A">
              <w:rPr>
                <w:rFonts w:ascii="Garamond" w:hAnsi="Garamond" w:cs="Garamond"/>
              </w:rPr>
              <w:t>Ingen</w:t>
            </w:r>
          </w:p>
        </w:tc>
      </w:tr>
      <w:tr w:rsidR="00E5767A" w:rsidRPr="00991A9A" w14:paraId="5D1AAF34" w14:textId="77777777" w:rsidTr="0053050C">
        <w:tc>
          <w:tcPr>
            <w:tcW w:w="3259" w:type="dxa"/>
            <w:tcBorders>
              <w:left w:val="single" w:sz="8" w:space="0" w:color="000000"/>
              <w:bottom w:val="single" w:sz="8" w:space="0" w:color="000000"/>
            </w:tcBorders>
            <w:shd w:val="clear" w:color="auto" w:fill="auto"/>
          </w:tcPr>
          <w:p w14:paraId="600BE755" w14:textId="77777777" w:rsidR="00E5767A" w:rsidRPr="00991A9A" w:rsidDel="00C03926" w:rsidRDefault="00E5767A" w:rsidP="0053050C">
            <w:pPr>
              <w:snapToGrid w:val="0"/>
              <w:rPr>
                <w:rFonts w:ascii="Garamond" w:hAnsi="Garamond" w:cs="Garamond"/>
              </w:rPr>
            </w:pPr>
            <w:r w:rsidRPr="00991A9A">
              <w:rPr>
                <w:rFonts w:ascii="Garamond" w:hAnsi="Garamond" w:cs="Garamond"/>
              </w:rPr>
              <w:t>Administrative konsekvenser for stat, kommuner og regioner</w:t>
            </w:r>
          </w:p>
        </w:tc>
        <w:tc>
          <w:tcPr>
            <w:tcW w:w="3259" w:type="dxa"/>
            <w:tcBorders>
              <w:left w:val="single" w:sz="8" w:space="0" w:color="000000"/>
              <w:bottom w:val="single" w:sz="8" w:space="0" w:color="000000"/>
            </w:tcBorders>
            <w:shd w:val="clear" w:color="auto" w:fill="auto"/>
          </w:tcPr>
          <w:p w14:paraId="43B6853D" w14:textId="77777777" w:rsidR="00E5767A" w:rsidRPr="00991A9A" w:rsidRDefault="00F97C67" w:rsidP="0053050C">
            <w:pPr>
              <w:snapToGrid w:val="0"/>
              <w:rPr>
                <w:rFonts w:ascii="Garamond" w:hAnsi="Garamond" w:cs="Garamond"/>
              </w:rPr>
            </w:pPr>
            <w:r w:rsidRPr="00991A9A">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4C225B70" w14:textId="77777777" w:rsidR="00E5767A" w:rsidRPr="00991A9A" w:rsidRDefault="00F97C67" w:rsidP="00F97C67">
            <w:pPr>
              <w:rPr>
                <w:rFonts w:ascii="Garamond" w:hAnsi="Garamond"/>
              </w:rPr>
            </w:pPr>
            <w:r w:rsidRPr="00991A9A">
              <w:rPr>
                <w:rFonts w:ascii="Garamond" w:hAnsi="Garamond" w:cs="Garamond"/>
              </w:rPr>
              <w:t>Ingen</w:t>
            </w:r>
          </w:p>
        </w:tc>
      </w:tr>
      <w:tr w:rsidR="00E5767A" w:rsidRPr="00991A9A" w14:paraId="2F727A7A" w14:textId="77777777" w:rsidTr="0053050C">
        <w:tc>
          <w:tcPr>
            <w:tcW w:w="3259" w:type="dxa"/>
            <w:tcBorders>
              <w:left w:val="single" w:sz="8" w:space="0" w:color="000000"/>
              <w:bottom w:val="single" w:sz="8" w:space="0" w:color="000000"/>
            </w:tcBorders>
            <w:shd w:val="clear" w:color="auto" w:fill="auto"/>
          </w:tcPr>
          <w:p w14:paraId="63C03DB9" w14:textId="77777777" w:rsidR="00E5767A" w:rsidRPr="00991A9A" w:rsidRDefault="00E5767A" w:rsidP="0053050C">
            <w:pPr>
              <w:snapToGrid w:val="0"/>
              <w:rPr>
                <w:rFonts w:ascii="Garamond" w:hAnsi="Garamond" w:cs="Garamond"/>
              </w:rPr>
            </w:pPr>
            <w:r w:rsidRPr="00991A9A">
              <w:rPr>
                <w:rFonts w:ascii="Garamond" w:hAnsi="Garamond" w:cs="Garamond"/>
              </w:rPr>
              <w:t xml:space="preserve">Økonomiske konsekvenser for erhvervslivet </w:t>
            </w:r>
          </w:p>
        </w:tc>
        <w:tc>
          <w:tcPr>
            <w:tcW w:w="3259" w:type="dxa"/>
            <w:tcBorders>
              <w:left w:val="single" w:sz="8" w:space="0" w:color="000000"/>
              <w:bottom w:val="single" w:sz="8" w:space="0" w:color="000000"/>
            </w:tcBorders>
            <w:shd w:val="clear" w:color="auto" w:fill="auto"/>
          </w:tcPr>
          <w:p w14:paraId="610CC842" w14:textId="77777777" w:rsidR="00E5767A" w:rsidRPr="00991A9A" w:rsidRDefault="00F97C67" w:rsidP="0053050C">
            <w:pPr>
              <w:rPr>
                <w:rFonts w:ascii="Garamond" w:hAnsi="Garamond" w:cs="Garamond"/>
              </w:rPr>
            </w:pPr>
            <w:r w:rsidRPr="00991A9A">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426B74F4" w14:textId="77777777" w:rsidR="00E5767A" w:rsidRPr="00991A9A" w:rsidRDefault="00F97C67" w:rsidP="00F97C67">
            <w:pPr>
              <w:rPr>
                <w:rFonts w:ascii="Garamond" w:hAnsi="Garamond" w:cs="Garamond"/>
              </w:rPr>
            </w:pPr>
            <w:r w:rsidRPr="00991A9A">
              <w:rPr>
                <w:rFonts w:ascii="Garamond" w:hAnsi="Garamond" w:cs="Garamond"/>
              </w:rPr>
              <w:t>Ingen</w:t>
            </w:r>
          </w:p>
        </w:tc>
      </w:tr>
      <w:tr w:rsidR="00E5767A" w:rsidRPr="00991A9A" w14:paraId="1F4D7E99" w14:textId="77777777" w:rsidTr="0053050C">
        <w:tc>
          <w:tcPr>
            <w:tcW w:w="3259" w:type="dxa"/>
            <w:tcBorders>
              <w:left w:val="single" w:sz="8" w:space="0" w:color="000000"/>
              <w:bottom w:val="single" w:sz="8" w:space="0" w:color="000000"/>
            </w:tcBorders>
            <w:shd w:val="clear" w:color="auto" w:fill="auto"/>
          </w:tcPr>
          <w:p w14:paraId="55D158E2" w14:textId="77777777" w:rsidR="00E5767A" w:rsidRPr="00991A9A" w:rsidRDefault="00E5767A" w:rsidP="0053050C">
            <w:pPr>
              <w:snapToGrid w:val="0"/>
              <w:rPr>
                <w:rFonts w:ascii="Garamond" w:hAnsi="Garamond" w:cs="Garamond"/>
              </w:rPr>
            </w:pPr>
            <w:r w:rsidRPr="00991A9A">
              <w:rPr>
                <w:rFonts w:ascii="Garamond" w:hAnsi="Garamond" w:cs="Garamond"/>
              </w:rPr>
              <w:t>Administrative konsekvenser for erhvervslivet</w:t>
            </w:r>
          </w:p>
        </w:tc>
        <w:tc>
          <w:tcPr>
            <w:tcW w:w="3259" w:type="dxa"/>
            <w:tcBorders>
              <w:left w:val="single" w:sz="8" w:space="0" w:color="000000"/>
              <w:bottom w:val="single" w:sz="8" w:space="0" w:color="000000"/>
            </w:tcBorders>
            <w:shd w:val="clear" w:color="auto" w:fill="auto"/>
          </w:tcPr>
          <w:p w14:paraId="5B4BC9A4" w14:textId="77777777" w:rsidR="00E5767A" w:rsidRPr="00991A9A" w:rsidRDefault="00E5767A" w:rsidP="0053050C">
            <w:pPr>
              <w:rPr>
                <w:rFonts w:ascii="Garamond" w:hAnsi="Garamond" w:cs="Garamond"/>
              </w:rPr>
            </w:pPr>
            <w:r w:rsidRPr="00991A9A">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058375DE" w14:textId="77777777" w:rsidR="00E5767A" w:rsidRPr="00991A9A" w:rsidRDefault="00F97C67" w:rsidP="0053050C">
            <w:pPr>
              <w:rPr>
                <w:rFonts w:ascii="Garamond" w:hAnsi="Garamond" w:cs="Garamond"/>
              </w:rPr>
            </w:pPr>
            <w:r w:rsidRPr="00991A9A">
              <w:rPr>
                <w:rFonts w:ascii="Garamond" w:hAnsi="Garamond" w:cs="Garamond"/>
              </w:rPr>
              <w:t>Ingen</w:t>
            </w:r>
          </w:p>
        </w:tc>
      </w:tr>
      <w:tr w:rsidR="004F6A1A" w:rsidRPr="00991A9A" w14:paraId="72333B80" w14:textId="77777777" w:rsidTr="0053050C">
        <w:tc>
          <w:tcPr>
            <w:tcW w:w="3259" w:type="dxa"/>
            <w:tcBorders>
              <w:left w:val="single" w:sz="8" w:space="0" w:color="000000"/>
              <w:bottom w:val="single" w:sz="8" w:space="0" w:color="000000"/>
            </w:tcBorders>
            <w:shd w:val="clear" w:color="auto" w:fill="auto"/>
          </w:tcPr>
          <w:p w14:paraId="7AFE68DA" w14:textId="77777777" w:rsidR="004F6A1A" w:rsidRPr="00D332A4" w:rsidRDefault="004F6A1A" w:rsidP="0053050C">
            <w:pPr>
              <w:snapToGrid w:val="0"/>
              <w:rPr>
                <w:rFonts w:ascii="Garamond" w:hAnsi="Garamond" w:cs="Garamond"/>
              </w:rPr>
            </w:pPr>
            <w:r w:rsidRPr="00D332A4">
              <w:rPr>
                <w:rFonts w:ascii="Garamond" w:hAnsi="Garamond" w:cs="Garamond"/>
              </w:rPr>
              <w:t>Klimamæssige konsekvenser</w:t>
            </w:r>
          </w:p>
        </w:tc>
        <w:tc>
          <w:tcPr>
            <w:tcW w:w="3259" w:type="dxa"/>
            <w:tcBorders>
              <w:left w:val="single" w:sz="8" w:space="0" w:color="000000"/>
              <w:bottom w:val="single" w:sz="8" w:space="0" w:color="000000"/>
            </w:tcBorders>
            <w:shd w:val="clear" w:color="auto" w:fill="auto"/>
          </w:tcPr>
          <w:p w14:paraId="0D097905" w14:textId="77777777" w:rsidR="004F6A1A" w:rsidRPr="00D332A4" w:rsidRDefault="00CC7C16" w:rsidP="0053050C">
            <w:pPr>
              <w:rPr>
                <w:rFonts w:ascii="Garamond" w:hAnsi="Garamond" w:cs="Garamond"/>
              </w:rPr>
            </w:pPr>
            <w:r w:rsidRPr="00D332A4">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3F74782D" w14:textId="77777777" w:rsidR="004F6A1A" w:rsidRPr="00D332A4" w:rsidRDefault="00CC7C16" w:rsidP="0053050C">
            <w:pPr>
              <w:rPr>
                <w:rFonts w:ascii="Garamond" w:hAnsi="Garamond" w:cs="Garamond"/>
              </w:rPr>
            </w:pPr>
            <w:r w:rsidRPr="00D332A4">
              <w:rPr>
                <w:rFonts w:ascii="Garamond" w:hAnsi="Garamond" w:cs="Garamond"/>
              </w:rPr>
              <w:t>Ingen</w:t>
            </w:r>
          </w:p>
        </w:tc>
      </w:tr>
      <w:tr w:rsidR="00E5767A" w:rsidRPr="00991A9A" w14:paraId="69A7687E" w14:textId="77777777" w:rsidTr="0053050C">
        <w:tc>
          <w:tcPr>
            <w:tcW w:w="3259" w:type="dxa"/>
            <w:tcBorders>
              <w:left w:val="single" w:sz="8" w:space="0" w:color="000000"/>
              <w:bottom w:val="single" w:sz="8" w:space="0" w:color="000000"/>
            </w:tcBorders>
            <w:shd w:val="clear" w:color="auto" w:fill="auto"/>
          </w:tcPr>
          <w:p w14:paraId="327E7F95" w14:textId="77777777" w:rsidR="00E5767A" w:rsidRPr="00D332A4" w:rsidRDefault="00E5767A" w:rsidP="0053050C">
            <w:pPr>
              <w:snapToGrid w:val="0"/>
              <w:rPr>
                <w:rFonts w:ascii="Garamond" w:hAnsi="Garamond" w:cs="Garamond"/>
              </w:rPr>
            </w:pPr>
            <w:r w:rsidRPr="00D332A4">
              <w:rPr>
                <w:rFonts w:ascii="Garamond" w:hAnsi="Garamond" w:cs="Garamond"/>
              </w:rPr>
              <w:t>Miljø</w:t>
            </w:r>
            <w:r w:rsidR="004F6A1A" w:rsidRPr="00D332A4">
              <w:rPr>
                <w:rFonts w:ascii="Garamond" w:hAnsi="Garamond" w:cs="Garamond"/>
              </w:rPr>
              <w:t>- og natur</w:t>
            </w:r>
            <w:r w:rsidRPr="00D332A4">
              <w:rPr>
                <w:rFonts w:ascii="Garamond" w:hAnsi="Garamond" w:cs="Garamond"/>
              </w:rPr>
              <w:t xml:space="preserve">mæssige konsekvenser </w:t>
            </w:r>
          </w:p>
        </w:tc>
        <w:tc>
          <w:tcPr>
            <w:tcW w:w="3259" w:type="dxa"/>
            <w:tcBorders>
              <w:left w:val="single" w:sz="8" w:space="0" w:color="000000"/>
              <w:bottom w:val="single" w:sz="8" w:space="0" w:color="000000"/>
            </w:tcBorders>
            <w:shd w:val="clear" w:color="auto" w:fill="auto"/>
          </w:tcPr>
          <w:p w14:paraId="39F14821" w14:textId="77777777" w:rsidR="00E5767A" w:rsidRPr="00D332A4" w:rsidRDefault="00F97C67" w:rsidP="0053050C">
            <w:pPr>
              <w:snapToGrid w:val="0"/>
              <w:rPr>
                <w:rFonts w:ascii="Garamond" w:hAnsi="Garamond" w:cs="Garamond"/>
              </w:rPr>
            </w:pPr>
            <w:r w:rsidRPr="00D332A4">
              <w:rPr>
                <w:rFonts w:ascii="Garamond" w:hAnsi="Garamond" w:cs="Garamond"/>
              </w:rPr>
              <w:t>Ingen</w:t>
            </w:r>
          </w:p>
        </w:tc>
        <w:tc>
          <w:tcPr>
            <w:tcW w:w="3380" w:type="dxa"/>
            <w:gridSpan w:val="3"/>
            <w:tcBorders>
              <w:left w:val="single" w:sz="8" w:space="0" w:color="000000"/>
              <w:bottom w:val="single" w:sz="8" w:space="0" w:color="000000"/>
              <w:right w:val="single" w:sz="8" w:space="0" w:color="000000"/>
            </w:tcBorders>
            <w:shd w:val="clear" w:color="auto" w:fill="auto"/>
          </w:tcPr>
          <w:p w14:paraId="7868DB06" w14:textId="77777777" w:rsidR="00E5767A" w:rsidRPr="00D332A4" w:rsidRDefault="00E5767A" w:rsidP="0053050C">
            <w:pPr>
              <w:snapToGrid w:val="0"/>
              <w:rPr>
                <w:rFonts w:ascii="Garamond" w:hAnsi="Garamond" w:cs="Garamond"/>
              </w:rPr>
            </w:pPr>
            <w:r w:rsidRPr="00D332A4">
              <w:rPr>
                <w:rFonts w:ascii="Garamond" w:hAnsi="Garamond" w:cs="Garamond"/>
              </w:rPr>
              <w:t>Ingen</w:t>
            </w:r>
          </w:p>
        </w:tc>
      </w:tr>
      <w:tr w:rsidR="00E5767A" w:rsidRPr="00991A9A" w14:paraId="5EC12E71" w14:textId="77777777" w:rsidTr="0053050C">
        <w:tc>
          <w:tcPr>
            <w:tcW w:w="3259" w:type="dxa"/>
            <w:tcBorders>
              <w:left w:val="single" w:sz="8" w:space="0" w:color="000000"/>
              <w:bottom w:val="single" w:sz="4" w:space="0" w:color="000000"/>
            </w:tcBorders>
            <w:shd w:val="clear" w:color="auto" w:fill="auto"/>
          </w:tcPr>
          <w:p w14:paraId="56609897" w14:textId="77777777" w:rsidR="00E5767A" w:rsidRPr="00991A9A" w:rsidRDefault="00E5767A" w:rsidP="0053050C">
            <w:pPr>
              <w:snapToGrid w:val="0"/>
              <w:rPr>
                <w:rFonts w:ascii="Garamond" w:hAnsi="Garamond" w:cs="Garamond"/>
              </w:rPr>
            </w:pPr>
            <w:r w:rsidRPr="00991A9A">
              <w:rPr>
                <w:rFonts w:ascii="Garamond" w:hAnsi="Garamond" w:cs="Garamond"/>
              </w:rPr>
              <w:t>Administrative konsekvenser for borgerne</w:t>
            </w:r>
          </w:p>
        </w:tc>
        <w:tc>
          <w:tcPr>
            <w:tcW w:w="3259" w:type="dxa"/>
            <w:tcBorders>
              <w:left w:val="single" w:sz="8" w:space="0" w:color="000000"/>
              <w:bottom w:val="single" w:sz="4" w:space="0" w:color="000000"/>
            </w:tcBorders>
            <w:shd w:val="clear" w:color="auto" w:fill="auto"/>
          </w:tcPr>
          <w:p w14:paraId="52CACB7F" w14:textId="77777777" w:rsidR="00E5767A" w:rsidRPr="00991A9A" w:rsidRDefault="00E5767A" w:rsidP="0053050C">
            <w:pPr>
              <w:snapToGrid w:val="0"/>
              <w:rPr>
                <w:rFonts w:ascii="Garamond" w:hAnsi="Garamond" w:cs="Garamond"/>
              </w:rPr>
            </w:pPr>
            <w:r w:rsidRPr="00991A9A">
              <w:rPr>
                <w:rFonts w:ascii="Garamond" w:hAnsi="Garamond" w:cs="Garamond"/>
              </w:rPr>
              <w:t>Ingen</w:t>
            </w:r>
          </w:p>
        </w:tc>
        <w:tc>
          <w:tcPr>
            <w:tcW w:w="3380" w:type="dxa"/>
            <w:gridSpan w:val="3"/>
            <w:tcBorders>
              <w:left w:val="single" w:sz="8" w:space="0" w:color="000000"/>
              <w:bottom w:val="single" w:sz="4" w:space="0" w:color="000000"/>
              <w:right w:val="single" w:sz="8" w:space="0" w:color="000000"/>
            </w:tcBorders>
            <w:shd w:val="clear" w:color="auto" w:fill="auto"/>
          </w:tcPr>
          <w:p w14:paraId="48ED9D87" w14:textId="77777777" w:rsidR="00E5767A" w:rsidRPr="00991A9A" w:rsidRDefault="00E5767A" w:rsidP="0053050C">
            <w:pPr>
              <w:snapToGrid w:val="0"/>
              <w:rPr>
                <w:rFonts w:ascii="Garamond" w:hAnsi="Garamond" w:cs="Garamond"/>
              </w:rPr>
            </w:pPr>
            <w:r w:rsidRPr="00991A9A">
              <w:rPr>
                <w:rFonts w:ascii="Garamond" w:hAnsi="Garamond" w:cs="Garamond"/>
              </w:rPr>
              <w:t>Ingen</w:t>
            </w:r>
          </w:p>
        </w:tc>
      </w:tr>
      <w:tr w:rsidR="00E5767A" w:rsidRPr="00991A9A" w14:paraId="19FA598F" w14:textId="77777777" w:rsidTr="0053050C">
        <w:trPr>
          <w:gridAfter w:val="1"/>
          <w:wAfter w:w="20" w:type="dxa"/>
          <w:trHeight w:val="240"/>
        </w:trPr>
        <w:tc>
          <w:tcPr>
            <w:tcW w:w="3259" w:type="dxa"/>
            <w:tcBorders>
              <w:top w:val="single" w:sz="4" w:space="0" w:color="000000"/>
              <w:left w:val="single" w:sz="8" w:space="0" w:color="000000"/>
              <w:bottom w:val="single" w:sz="4" w:space="0" w:color="000000"/>
            </w:tcBorders>
            <w:shd w:val="clear" w:color="auto" w:fill="auto"/>
          </w:tcPr>
          <w:p w14:paraId="341F7C32" w14:textId="77777777" w:rsidR="00E5767A" w:rsidRPr="00991A9A" w:rsidRDefault="00E5767A" w:rsidP="0053050C">
            <w:pPr>
              <w:snapToGrid w:val="0"/>
              <w:rPr>
                <w:rFonts w:ascii="Garamond" w:hAnsi="Garamond" w:cs="Garamond"/>
              </w:rPr>
            </w:pPr>
            <w:r w:rsidRPr="00991A9A">
              <w:rPr>
                <w:rFonts w:ascii="Garamond" w:hAnsi="Garamond" w:cs="Garamond"/>
              </w:rPr>
              <w:t>Forholdet til EU-retten</w:t>
            </w:r>
          </w:p>
        </w:tc>
        <w:tc>
          <w:tcPr>
            <w:tcW w:w="6569" w:type="dxa"/>
            <w:gridSpan w:val="2"/>
            <w:tcBorders>
              <w:top w:val="single" w:sz="4" w:space="0" w:color="000000"/>
              <w:left w:val="single" w:sz="8" w:space="0" w:color="000000"/>
              <w:bottom w:val="single" w:sz="4" w:space="0" w:color="000000"/>
            </w:tcBorders>
            <w:shd w:val="clear" w:color="auto" w:fill="auto"/>
          </w:tcPr>
          <w:p w14:paraId="36EC4728" w14:textId="77777777" w:rsidR="00F97C67" w:rsidRPr="0022714A" w:rsidRDefault="00E5767A" w:rsidP="00F97C67">
            <w:pPr>
              <w:pStyle w:val="NormalWeb"/>
              <w:spacing w:before="0" w:beforeAutospacing="0" w:after="0" w:afterAutospacing="0"/>
              <w:rPr>
                <w:rFonts w:ascii="Garamond" w:hAnsi="Garamond"/>
              </w:rPr>
            </w:pPr>
            <w:r w:rsidRPr="00991A9A">
              <w:rPr>
                <w:rFonts w:ascii="Garamond" w:hAnsi="Garamond"/>
                <w:iCs/>
              </w:rPr>
              <w:t xml:space="preserve">Lovforslaget indeholder </w:t>
            </w:r>
            <w:r w:rsidR="00F97C67" w:rsidRPr="00991A9A">
              <w:rPr>
                <w:rFonts w:ascii="Garamond" w:hAnsi="Garamond"/>
                <w:iCs/>
              </w:rPr>
              <w:t>EU-retslige</w:t>
            </w:r>
            <w:r w:rsidRPr="00991A9A">
              <w:rPr>
                <w:rFonts w:ascii="Garamond" w:hAnsi="Garamond"/>
                <w:iCs/>
              </w:rPr>
              <w:t xml:space="preserve"> aspekter, idet det indeholder bestemmelser, der gennemfører </w:t>
            </w:r>
            <w:r>
              <w:rPr>
                <w:rFonts w:ascii="Garamond" w:hAnsi="Garamond"/>
                <w:iCs/>
              </w:rPr>
              <w:t xml:space="preserve">dele af </w:t>
            </w:r>
          </w:p>
          <w:p w14:paraId="21729DD4" w14:textId="77777777" w:rsidR="00E5767A" w:rsidRPr="00991A9A" w:rsidRDefault="00E5767A" w:rsidP="0053050C">
            <w:pPr>
              <w:pStyle w:val="NormalWeb"/>
              <w:spacing w:before="0" w:beforeAutospacing="0" w:after="0" w:afterAutospacing="0"/>
              <w:rPr>
                <w:rFonts w:ascii="Garamond" w:hAnsi="Garamond" w:cs="Garamond"/>
              </w:rPr>
            </w:pPr>
            <w:r w:rsidRPr="0022714A">
              <w:rPr>
                <w:rFonts w:ascii="Garamond" w:hAnsi="Garamond"/>
              </w:rPr>
              <w:t>Europa-Parlamentets og Rådets forordning (EU) 2018/644 af 18. april 2018 om grænseoverskridende pakkeleveringstjenester</w:t>
            </w:r>
            <w:r>
              <w:rPr>
                <w:rFonts w:ascii="Garamond" w:hAnsi="Garamond"/>
              </w:rPr>
              <w:t>.</w:t>
            </w:r>
          </w:p>
        </w:tc>
        <w:tc>
          <w:tcPr>
            <w:tcW w:w="50" w:type="dxa"/>
            <w:tcBorders>
              <w:left w:val="single" w:sz="4" w:space="0" w:color="000000"/>
            </w:tcBorders>
            <w:shd w:val="clear" w:color="auto" w:fill="auto"/>
          </w:tcPr>
          <w:p w14:paraId="451D8EC1" w14:textId="77777777" w:rsidR="00E5767A" w:rsidRPr="00991A9A" w:rsidRDefault="00E5767A" w:rsidP="0053050C">
            <w:pPr>
              <w:snapToGrid w:val="0"/>
              <w:rPr>
                <w:rFonts w:ascii="Garamond" w:hAnsi="Garamond"/>
              </w:rPr>
            </w:pPr>
          </w:p>
        </w:tc>
      </w:tr>
    </w:tbl>
    <w:p w14:paraId="344A7574" w14:textId="77777777" w:rsidR="00E5767A" w:rsidRPr="00991A9A" w:rsidRDefault="00E5767A" w:rsidP="00E5767A">
      <w:pPr>
        <w:rPr>
          <w:rFonts w:ascii="Garamond" w:hAnsi="Garamond"/>
        </w:rPr>
      </w:pPr>
    </w:p>
    <w:p w14:paraId="2788A6F4" w14:textId="77777777" w:rsidR="00E5767A" w:rsidRDefault="00E5767A" w:rsidP="00E5767A">
      <w:pPr>
        <w:rPr>
          <w:rFonts w:ascii="Garamond" w:hAnsi="Garamond" w:cs="Garamond"/>
          <w:i/>
          <w:iCs/>
        </w:rPr>
      </w:pPr>
    </w:p>
    <w:p w14:paraId="4079A0E1" w14:textId="77777777" w:rsidR="00E5767A" w:rsidRDefault="00E5767A" w:rsidP="00F26EB7">
      <w:pPr>
        <w:jc w:val="center"/>
        <w:rPr>
          <w:rFonts w:ascii="Garamond" w:hAnsi="Garamond" w:cs="Garamond"/>
          <w:i/>
          <w:iCs/>
        </w:rPr>
      </w:pPr>
    </w:p>
    <w:p w14:paraId="151DA119" w14:textId="77777777" w:rsidR="00F26EB7" w:rsidRDefault="00F26EB7" w:rsidP="00F26EB7">
      <w:pPr>
        <w:jc w:val="center"/>
        <w:rPr>
          <w:rFonts w:ascii="Garamond" w:hAnsi="Garamond" w:cs="Garamond"/>
          <w:i/>
          <w:iCs/>
        </w:rPr>
      </w:pPr>
      <w:r w:rsidRPr="00D01EC1">
        <w:rPr>
          <w:rFonts w:ascii="Garamond" w:hAnsi="Garamond" w:cs="Garamond"/>
          <w:i/>
          <w:iCs/>
        </w:rPr>
        <w:t>Bemærkninger til lovforslagets enkelte bestemmelser</w:t>
      </w:r>
    </w:p>
    <w:p w14:paraId="2CB9E8E4" w14:textId="77777777" w:rsidR="00996C23" w:rsidRPr="00D01EC1" w:rsidRDefault="00996C23" w:rsidP="00F26EB7">
      <w:pPr>
        <w:jc w:val="center"/>
        <w:rPr>
          <w:rFonts w:ascii="Garamond" w:hAnsi="Garamond" w:cs="Garamond"/>
          <w:i/>
          <w:iCs/>
        </w:rPr>
      </w:pPr>
    </w:p>
    <w:p w14:paraId="73283E21" w14:textId="77777777" w:rsidR="00F26EB7" w:rsidRPr="00D01EC1" w:rsidRDefault="00F26EB7" w:rsidP="00F26EB7">
      <w:pPr>
        <w:pStyle w:val="Brdtekst"/>
        <w:spacing w:after="0"/>
        <w:rPr>
          <w:rFonts w:ascii="Garamond" w:hAnsi="Garamond"/>
          <w:i/>
          <w:iCs/>
          <w:sz w:val="24"/>
          <w:szCs w:val="24"/>
        </w:rPr>
      </w:pPr>
    </w:p>
    <w:p w14:paraId="69E466E1" w14:textId="77777777" w:rsidR="00415CCB" w:rsidRDefault="00C2013E" w:rsidP="00996C23">
      <w:pPr>
        <w:pStyle w:val="stk2"/>
        <w:ind w:firstLine="0"/>
        <w:rPr>
          <w:rFonts w:ascii="Garamond" w:hAnsi="Garamond"/>
        </w:rPr>
      </w:pPr>
      <w:r>
        <w:rPr>
          <w:rFonts w:ascii="Garamond" w:hAnsi="Garamond"/>
        </w:rPr>
        <w:t xml:space="preserve">Til </w:t>
      </w:r>
      <w:r w:rsidR="00996C23">
        <w:rPr>
          <w:rFonts w:ascii="Garamond" w:hAnsi="Garamond"/>
        </w:rPr>
        <w:t xml:space="preserve">nr. </w:t>
      </w:r>
      <w:r w:rsidR="00F97C67">
        <w:rPr>
          <w:rFonts w:ascii="Garamond" w:hAnsi="Garamond"/>
        </w:rPr>
        <w:t>1</w:t>
      </w:r>
      <w:r w:rsidR="00996C23">
        <w:rPr>
          <w:rFonts w:ascii="Garamond" w:hAnsi="Garamond"/>
        </w:rPr>
        <w:t>.</w:t>
      </w:r>
    </w:p>
    <w:p w14:paraId="7A4BBF58" w14:textId="77777777" w:rsidR="00415CCB" w:rsidRDefault="00415CCB" w:rsidP="009C03DC">
      <w:pPr>
        <w:pStyle w:val="stk2"/>
        <w:ind w:firstLine="284"/>
        <w:rPr>
          <w:rFonts w:ascii="Garamond" w:hAnsi="Garamond"/>
        </w:rPr>
      </w:pPr>
    </w:p>
    <w:p w14:paraId="46F88B9A" w14:textId="54FE4249" w:rsidR="009C03DC" w:rsidRDefault="009C03DC" w:rsidP="009C03DC">
      <w:pPr>
        <w:pStyle w:val="stk2"/>
        <w:rPr>
          <w:rFonts w:ascii="Garamond" w:hAnsi="Garamond"/>
        </w:rPr>
      </w:pPr>
      <w:r w:rsidRPr="0039669B">
        <w:rPr>
          <w:rFonts w:ascii="Garamond" w:hAnsi="Garamond"/>
        </w:rPr>
        <w:t xml:space="preserve">Det følger af </w:t>
      </w:r>
      <w:r w:rsidR="004B7FFA">
        <w:rPr>
          <w:rFonts w:ascii="Garamond" w:hAnsi="Garamond"/>
        </w:rPr>
        <w:t>postlovens</w:t>
      </w:r>
      <w:r w:rsidR="009B0F2C">
        <w:rPr>
          <w:rFonts w:ascii="Garamond" w:hAnsi="Garamond"/>
        </w:rPr>
        <w:t xml:space="preserve"> § 28, stk.</w:t>
      </w:r>
      <w:r w:rsidR="007F32CE">
        <w:rPr>
          <w:rFonts w:ascii="Garamond" w:hAnsi="Garamond"/>
        </w:rPr>
        <w:t xml:space="preserve"> </w:t>
      </w:r>
      <w:r w:rsidR="009B0F2C">
        <w:rPr>
          <w:rFonts w:ascii="Garamond" w:hAnsi="Garamond"/>
        </w:rPr>
        <w:t>1</w:t>
      </w:r>
      <w:r w:rsidRPr="0039669B">
        <w:rPr>
          <w:rFonts w:ascii="Garamond" w:hAnsi="Garamond"/>
        </w:rPr>
        <w:t xml:space="preserve">, at </w:t>
      </w:r>
      <w:r>
        <w:rPr>
          <w:rFonts w:ascii="Garamond" w:hAnsi="Garamond"/>
        </w:rPr>
        <w:t>med</w:t>
      </w:r>
      <w:r w:rsidRPr="00DC30FD">
        <w:rPr>
          <w:rFonts w:ascii="Garamond" w:hAnsi="Garamond"/>
        </w:rPr>
        <w:t>mindre højere straf er forskyldt efter anden lovgivning,</w:t>
      </w:r>
      <w:r>
        <w:rPr>
          <w:rFonts w:ascii="Garamond" w:hAnsi="Garamond"/>
        </w:rPr>
        <w:t xml:space="preserve"> </w:t>
      </w:r>
      <w:r w:rsidRPr="00DC30FD">
        <w:rPr>
          <w:rFonts w:ascii="Garamond" w:hAnsi="Garamond"/>
        </w:rPr>
        <w:t xml:space="preserve">straffes med bøde den, der overtræder § 6, stk. 1, </w:t>
      </w:r>
      <w:r>
        <w:rPr>
          <w:rFonts w:ascii="Garamond" w:hAnsi="Garamond"/>
        </w:rPr>
        <w:t>(</w:t>
      </w:r>
      <w:r w:rsidR="00983792">
        <w:rPr>
          <w:rFonts w:ascii="Garamond" w:hAnsi="Garamond"/>
        </w:rPr>
        <w:t xml:space="preserve">om </w:t>
      </w:r>
      <w:r>
        <w:rPr>
          <w:rFonts w:ascii="Garamond" w:hAnsi="Garamond"/>
        </w:rPr>
        <w:t>mærkningsforpligtelsen for postvirksomheder)</w:t>
      </w:r>
      <w:r w:rsidR="00F9592D">
        <w:rPr>
          <w:rFonts w:ascii="Garamond" w:hAnsi="Garamond"/>
        </w:rPr>
        <w:t>,</w:t>
      </w:r>
      <w:r>
        <w:rPr>
          <w:rFonts w:ascii="Garamond" w:hAnsi="Garamond"/>
        </w:rPr>
        <w:t xml:space="preserve"> </w:t>
      </w:r>
      <w:r w:rsidRPr="00DC30FD">
        <w:rPr>
          <w:rFonts w:ascii="Garamond" w:hAnsi="Garamond"/>
        </w:rPr>
        <w:t>§</w:t>
      </w:r>
      <w:r>
        <w:rPr>
          <w:rFonts w:ascii="Garamond" w:hAnsi="Garamond"/>
        </w:rPr>
        <w:t xml:space="preserve"> </w:t>
      </w:r>
      <w:r w:rsidRPr="00DC30FD">
        <w:rPr>
          <w:rFonts w:ascii="Garamond" w:hAnsi="Garamond"/>
        </w:rPr>
        <w:t>8, stk. 1-3,</w:t>
      </w:r>
      <w:r>
        <w:rPr>
          <w:rFonts w:ascii="Garamond" w:hAnsi="Garamond"/>
        </w:rPr>
        <w:t xml:space="preserve"> (</w:t>
      </w:r>
      <w:r w:rsidR="00983792">
        <w:rPr>
          <w:rFonts w:ascii="Garamond" w:hAnsi="Garamond"/>
        </w:rPr>
        <w:t xml:space="preserve">om </w:t>
      </w:r>
      <w:r>
        <w:rPr>
          <w:rFonts w:ascii="Garamond" w:hAnsi="Garamond"/>
        </w:rPr>
        <w:t>krav om brevkasser og brevkasseanlæg)</w:t>
      </w:r>
      <w:r w:rsidR="00F9592D">
        <w:rPr>
          <w:rFonts w:ascii="Garamond" w:hAnsi="Garamond"/>
        </w:rPr>
        <w:t>,</w:t>
      </w:r>
      <w:r w:rsidRPr="00DC30FD">
        <w:rPr>
          <w:rFonts w:ascii="Garamond" w:hAnsi="Garamond"/>
        </w:rPr>
        <w:t xml:space="preserve"> § 9, stk. 1, </w:t>
      </w:r>
      <w:r>
        <w:rPr>
          <w:rFonts w:ascii="Garamond" w:hAnsi="Garamond"/>
        </w:rPr>
        <w:t>(</w:t>
      </w:r>
      <w:r w:rsidR="00983792">
        <w:rPr>
          <w:rFonts w:ascii="Garamond" w:hAnsi="Garamond"/>
        </w:rPr>
        <w:t xml:space="preserve">om </w:t>
      </w:r>
      <w:r>
        <w:rPr>
          <w:rFonts w:ascii="Garamond" w:hAnsi="Garamond"/>
        </w:rPr>
        <w:t>regler om levering af ”post til døren”)</w:t>
      </w:r>
      <w:r w:rsidR="00F9592D">
        <w:rPr>
          <w:rFonts w:ascii="Garamond" w:hAnsi="Garamond"/>
        </w:rPr>
        <w:t>,</w:t>
      </w:r>
      <w:r>
        <w:rPr>
          <w:rFonts w:ascii="Garamond" w:hAnsi="Garamond"/>
        </w:rPr>
        <w:t xml:space="preserve"> </w:t>
      </w:r>
      <w:r w:rsidRPr="00DC30FD">
        <w:rPr>
          <w:rFonts w:ascii="Garamond" w:hAnsi="Garamond"/>
        </w:rPr>
        <w:t>§ 11</w:t>
      </w:r>
      <w:r>
        <w:rPr>
          <w:rFonts w:ascii="Garamond" w:hAnsi="Garamond"/>
        </w:rPr>
        <w:t xml:space="preserve"> (</w:t>
      </w:r>
      <w:r w:rsidR="00983792">
        <w:rPr>
          <w:rFonts w:ascii="Garamond" w:hAnsi="Garamond"/>
        </w:rPr>
        <w:t xml:space="preserve">om </w:t>
      </w:r>
      <w:r>
        <w:rPr>
          <w:rFonts w:ascii="Garamond" w:hAnsi="Garamond"/>
        </w:rPr>
        <w:t>posthemmeligheden)</w:t>
      </w:r>
      <w:r w:rsidR="00F9592D">
        <w:rPr>
          <w:rFonts w:ascii="Garamond" w:hAnsi="Garamond"/>
        </w:rPr>
        <w:t>,</w:t>
      </w:r>
      <w:r w:rsidRPr="00DC30FD">
        <w:rPr>
          <w:rFonts w:ascii="Garamond" w:hAnsi="Garamond"/>
        </w:rPr>
        <w:t xml:space="preserve"> § 12</w:t>
      </w:r>
      <w:r>
        <w:rPr>
          <w:rFonts w:ascii="Garamond" w:hAnsi="Garamond"/>
        </w:rPr>
        <w:t xml:space="preserve"> (om åbning af uanbringelige forsendelser uden retskendelse)</w:t>
      </w:r>
      <w:r w:rsidR="00F9592D">
        <w:rPr>
          <w:rFonts w:ascii="Garamond" w:hAnsi="Garamond"/>
        </w:rPr>
        <w:t>,</w:t>
      </w:r>
      <w:r>
        <w:rPr>
          <w:rFonts w:ascii="Garamond" w:hAnsi="Garamond"/>
        </w:rPr>
        <w:t xml:space="preserve"> </w:t>
      </w:r>
      <w:r w:rsidRPr="00DC30FD">
        <w:rPr>
          <w:rFonts w:ascii="Garamond" w:hAnsi="Garamond"/>
        </w:rPr>
        <w:t xml:space="preserve">§ 13, stk. 3-5, </w:t>
      </w:r>
      <w:r>
        <w:rPr>
          <w:rFonts w:ascii="Garamond" w:hAnsi="Garamond"/>
        </w:rPr>
        <w:t>(</w:t>
      </w:r>
      <w:r w:rsidR="00983792">
        <w:rPr>
          <w:rFonts w:ascii="Garamond" w:hAnsi="Garamond"/>
        </w:rPr>
        <w:t xml:space="preserve">om </w:t>
      </w:r>
      <w:r>
        <w:rPr>
          <w:rFonts w:ascii="Garamond" w:hAnsi="Garamond"/>
        </w:rPr>
        <w:t>brug af oplysninger fra modtagerdatabaser)</w:t>
      </w:r>
      <w:r w:rsidR="00F9592D">
        <w:rPr>
          <w:rFonts w:ascii="Garamond" w:hAnsi="Garamond"/>
        </w:rPr>
        <w:t>,</w:t>
      </w:r>
      <w:r>
        <w:rPr>
          <w:rFonts w:ascii="Garamond" w:hAnsi="Garamond"/>
        </w:rPr>
        <w:t xml:space="preserve"> </w:t>
      </w:r>
      <w:r w:rsidRPr="00DC30FD">
        <w:rPr>
          <w:rFonts w:ascii="Garamond" w:hAnsi="Garamond"/>
        </w:rPr>
        <w:t xml:space="preserve">§ 16 </w:t>
      </w:r>
      <w:r>
        <w:rPr>
          <w:rFonts w:ascii="Garamond" w:hAnsi="Garamond"/>
        </w:rPr>
        <w:t>(om pligt til at medbringe befordringspligtige forsendelser)</w:t>
      </w:r>
      <w:r w:rsidR="00F9592D">
        <w:rPr>
          <w:rFonts w:ascii="Garamond" w:hAnsi="Garamond"/>
        </w:rPr>
        <w:t>,</w:t>
      </w:r>
      <w:r>
        <w:rPr>
          <w:rFonts w:ascii="Garamond" w:hAnsi="Garamond"/>
        </w:rPr>
        <w:t xml:space="preserve"> </w:t>
      </w:r>
      <w:r w:rsidRPr="00DC30FD">
        <w:rPr>
          <w:rFonts w:ascii="Garamond" w:hAnsi="Garamond"/>
        </w:rPr>
        <w:t>§ 19</w:t>
      </w:r>
      <w:r>
        <w:rPr>
          <w:rFonts w:ascii="Garamond" w:hAnsi="Garamond"/>
        </w:rPr>
        <w:t xml:space="preserve"> (om brug af det kronede posthorn og regentens monogram) </w:t>
      </w:r>
      <w:r w:rsidRPr="00DC30FD">
        <w:rPr>
          <w:rFonts w:ascii="Garamond" w:hAnsi="Garamond"/>
        </w:rPr>
        <w:t>og § 24</w:t>
      </w:r>
      <w:r>
        <w:rPr>
          <w:rFonts w:ascii="Garamond" w:hAnsi="Garamond"/>
        </w:rPr>
        <w:t xml:space="preserve"> (om postvirksomheders oplysningspligt)</w:t>
      </w:r>
      <w:r w:rsidRPr="00DC30FD">
        <w:rPr>
          <w:rFonts w:ascii="Garamond" w:hAnsi="Garamond"/>
        </w:rPr>
        <w:t>.</w:t>
      </w:r>
    </w:p>
    <w:p w14:paraId="48107DDE" w14:textId="77777777" w:rsidR="009C03DC" w:rsidRPr="00DC30FD" w:rsidRDefault="009C03DC" w:rsidP="009C03DC">
      <w:pPr>
        <w:pStyle w:val="stk2"/>
        <w:rPr>
          <w:rFonts w:ascii="Garamond" w:hAnsi="Garamond"/>
        </w:rPr>
      </w:pPr>
    </w:p>
    <w:p w14:paraId="3BB98F35" w14:textId="77777777" w:rsidR="009C03DC" w:rsidRDefault="009C03DC" w:rsidP="009C03DC">
      <w:pPr>
        <w:pStyle w:val="stk2"/>
        <w:rPr>
          <w:rFonts w:ascii="Garamond" w:hAnsi="Garamond"/>
        </w:rPr>
      </w:pPr>
      <w:r>
        <w:rPr>
          <w:rFonts w:ascii="Garamond" w:hAnsi="Garamond"/>
        </w:rPr>
        <w:t>U</w:t>
      </w:r>
      <w:r w:rsidRPr="00DC30FD">
        <w:rPr>
          <w:rFonts w:ascii="Garamond" w:hAnsi="Garamond"/>
        </w:rPr>
        <w:t>døve</w:t>
      </w:r>
      <w:r>
        <w:rPr>
          <w:rFonts w:ascii="Garamond" w:hAnsi="Garamond"/>
        </w:rPr>
        <w:t>lse af</w:t>
      </w:r>
      <w:r w:rsidRPr="00DC30FD">
        <w:rPr>
          <w:rFonts w:ascii="Garamond" w:hAnsi="Garamond"/>
        </w:rPr>
        <w:t xml:space="preserve"> postbefordring uden tilladelse efter</w:t>
      </w:r>
      <w:r>
        <w:rPr>
          <w:rFonts w:ascii="Garamond" w:hAnsi="Garamond"/>
        </w:rPr>
        <w:t xml:space="preserve"> </w:t>
      </w:r>
      <w:r w:rsidRPr="0039669B">
        <w:rPr>
          <w:rFonts w:ascii="Garamond" w:hAnsi="Garamond"/>
        </w:rPr>
        <w:t>§ 3,</w:t>
      </w:r>
      <w:r>
        <w:rPr>
          <w:rFonts w:ascii="Garamond" w:hAnsi="Garamond"/>
        </w:rPr>
        <w:t xml:space="preserve"> stk. 1, straffes med bøde, jf. § 28, stk. 2, og o</w:t>
      </w:r>
      <w:r w:rsidRPr="00DC30FD">
        <w:rPr>
          <w:rFonts w:ascii="Garamond" w:hAnsi="Garamond"/>
        </w:rPr>
        <w:t xml:space="preserve">vertrædelse af § 7, stk. 1 og 2, </w:t>
      </w:r>
      <w:r>
        <w:rPr>
          <w:rFonts w:ascii="Garamond" w:hAnsi="Garamond"/>
        </w:rPr>
        <w:t>(</w:t>
      </w:r>
      <w:r w:rsidR="00983792">
        <w:rPr>
          <w:rFonts w:ascii="Garamond" w:hAnsi="Garamond"/>
        </w:rPr>
        <w:t xml:space="preserve">om </w:t>
      </w:r>
      <w:r>
        <w:rPr>
          <w:rFonts w:ascii="Garamond" w:hAnsi="Garamond"/>
        </w:rPr>
        <w:t xml:space="preserve">omdeling og afleveringsbestemmelserne) </w:t>
      </w:r>
      <w:r w:rsidRPr="00DC30FD">
        <w:rPr>
          <w:rFonts w:ascii="Garamond" w:hAnsi="Garamond"/>
        </w:rPr>
        <w:t>begået af en virksomhed</w:t>
      </w:r>
      <w:r>
        <w:rPr>
          <w:rFonts w:ascii="Garamond" w:hAnsi="Garamond"/>
        </w:rPr>
        <w:t xml:space="preserve"> </w:t>
      </w:r>
      <w:r w:rsidRPr="00DC30FD">
        <w:rPr>
          <w:rFonts w:ascii="Garamond" w:hAnsi="Garamond"/>
        </w:rPr>
        <w:t>med tilladelse til erhvervsmæssig postbefordring, jf.</w:t>
      </w:r>
      <w:r>
        <w:rPr>
          <w:rFonts w:ascii="Garamond" w:hAnsi="Garamond"/>
        </w:rPr>
        <w:t xml:space="preserve"> </w:t>
      </w:r>
      <w:r w:rsidRPr="00DC30FD">
        <w:rPr>
          <w:rFonts w:ascii="Garamond" w:hAnsi="Garamond"/>
        </w:rPr>
        <w:t>§ 3, stk. 1, eller en virksomhed, der omdeler uadresserede</w:t>
      </w:r>
      <w:r>
        <w:rPr>
          <w:rFonts w:ascii="Garamond" w:hAnsi="Garamond"/>
        </w:rPr>
        <w:t xml:space="preserve"> </w:t>
      </w:r>
      <w:r w:rsidRPr="00DC30FD">
        <w:rPr>
          <w:rFonts w:ascii="Garamond" w:hAnsi="Garamond"/>
        </w:rPr>
        <w:t xml:space="preserve">forsendelser, straffes </w:t>
      </w:r>
      <w:r>
        <w:rPr>
          <w:rFonts w:ascii="Garamond" w:hAnsi="Garamond"/>
        </w:rPr>
        <w:t xml:space="preserve">ligeledes </w:t>
      </w:r>
      <w:r w:rsidRPr="00DC30FD">
        <w:rPr>
          <w:rFonts w:ascii="Garamond" w:hAnsi="Garamond"/>
        </w:rPr>
        <w:t>med bøde</w:t>
      </w:r>
      <w:r>
        <w:rPr>
          <w:rFonts w:ascii="Garamond" w:hAnsi="Garamond"/>
        </w:rPr>
        <w:t>, jf. § 28, stk. 3</w:t>
      </w:r>
      <w:r w:rsidRPr="00DC30FD">
        <w:rPr>
          <w:rFonts w:ascii="Garamond" w:hAnsi="Garamond"/>
        </w:rPr>
        <w:t>.</w:t>
      </w:r>
    </w:p>
    <w:p w14:paraId="58B7AAC3" w14:textId="77777777" w:rsidR="009B0F2C" w:rsidRDefault="009B0F2C" w:rsidP="009C03DC">
      <w:pPr>
        <w:pStyle w:val="stk2"/>
        <w:rPr>
          <w:rFonts w:ascii="Garamond" w:hAnsi="Garamond"/>
        </w:rPr>
      </w:pPr>
    </w:p>
    <w:p w14:paraId="191ED1C2" w14:textId="77777777" w:rsidR="007F32CE" w:rsidRDefault="007F32CE" w:rsidP="009C03DC">
      <w:pPr>
        <w:pStyle w:val="stk2"/>
        <w:rPr>
          <w:rFonts w:ascii="Garamond" w:hAnsi="Garamond"/>
        </w:rPr>
      </w:pPr>
      <w:r>
        <w:rPr>
          <w:rFonts w:ascii="Garamond" w:hAnsi="Garamond"/>
          <w:iCs/>
        </w:rPr>
        <w:t>I medfør af postlovens § 30 kan der pålægges selskaber m.v. (juridiske personer) strafansvar efter reglerne i straffelovens 5. kapitel.</w:t>
      </w:r>
    </w:p>
    <w:p w14:paraId="4E61CDED" w14:textId="77777777" w:rsidR="007F32CE" w:rsidRDefault="007F32CE" w:rsidP="009C03DC">
      <w:pPr>
        <w:pStyle w:val="stk2"/>
        <w:rPr>
          <w:rFonts w:ascii="Garamond" w:hAnsi="Garamond"/>
        </w:rPr>
      </w:pPr>
    </w:p>
    <w:p w14:paraId="1925DDC2" w14:textId="77777777" w:rsidR="009C03DC" w:rsidRDefault="009C03DC" w:rsidP="009C03DC">
      <w:pPr>
        <w:pStyle w:val="stk2"/>
        <w:rPr>
          <w:rFonts w:ascii="Garamond" w:hAnsi="Garamond"/>
        </w:rPr>
      </w:pPr>
      <w:r w:rsidRPr="001B3030">
        <w:rPr>
          <w:rFonts w:ascii="Garamond" w:hAnsi="Garamond"/>
        </w:rPr>
        <w:t>Europa-Parlamentets og Rådets forordning (EU) 2018/644 af 18. april 2018 om grænseoverskridende pakkeleveringstjenester</w:t>
      </w:r>
      <w:r>
        <w:rPr>
          <w:rFonts w:ascii="Garamond" w:hAnsi="Garamond"/>
        </w:rPr>
        <w:t>, der har fundet anvendelse i medlemsstaterne siden januar 2019, pålægger i artikel 4 og 5 samtlige pakkeleveringsvirksomheder med mere end 50 personer ansat, beskæftiget med pakkeleveringstjenester, at skulle indrapportere en række forskellige oplysninger til den nationale forvaltningsmyndighed.</w:t>
      </w:r>
      <w:r w:rsidRPr="00A86F4A">
        <w:rPr>
          <w:rFonts w:ascii="Garamond" w:hAnsi="Garamond"/>
        </w:rPr>
        <w:t xml:space="preserve"> </w:t>
      </w:r>
      <w:r>
        <w:rPr>
          <w:rFonts w:ascii="Garamond" w:hAnsi="Garamond"/>
        </w:rPr>
        <w:t xml:space="preserve">Forvaltningsmyndigheden i Danmark er </w:t>
      </w:r>
      <w:r w:rsidRPr="00685727">
        <w:rPr>
          <w:rFonts w:ascii="Garamond" w:hAnsi="Garamond"/>
        </w:rPr>
        <w:t>Trafik</w:t>
      </w:r>
      <w:r w:rsidRPr="000D3DD3">
        <w:rPr>
          <w:rFonts w:ascii="Garamond" w:hAnsi="Garamond"/>
        </w:rPr>
        <w:t>styrelsen.</w:t>
      </w:r>
    </w:p>
    <w:p w14:paraId="5CB91B17" w14:textId="77777777" w:rsidR="009C03DC" w:rsidRDefault="009C03DC" w:rsidP="009C03DC">
      <w:pPr>
        <w:pStyle w:val="stk2"/>
        <w:rPr>
          <w:rFonts w:ascii="Garamond" w:hAnsi="Garamond"/>
        </w:rPr>
      </w:pPr>
    </w:p>
    <w:p w14:paraId="4451235D" w14:textId="77777777" w:rsidR="009C03DC" w:rsidRPr="000D3DD3" w:rsidRDefault="009C03DC" w:rsidP="009C03DC">
      <w:pPr>
        <w:pStyle w:val="stk2"/>
        <w:rPr>
          <w:rFonts w:ascii="Garamond" w:hAnsi="Garamond"/>
        </w:rPr>
      </w:pPr>
      <w:r>
        <w:rPr>
          <w:rFonts w:ascii="Garamond" w:hAnsi="Garamond"/>
        </w:rPr>
        <w:t xml:space="preserve">Tærsklen i forordningen på </w:t>
      </w:r>
      <w:r w:rsidRPr="00DC30FD">
        <w:rPr>
          <w:rFonts w:ascii="Garamond" w:hAnsi="Garamond"/>
        </w:rPr>
        <w:t>50 personer</w:t>
      </w:r>
      <w:r>
        <w:rPr>
          <w:rFonts w:ascii="Garamond" w:hAnsi="Garamond"/>
        </w:rPr>
        <w:t xml:space="preserve"> er</w:t>
      </w:r>
      <w:r w:rsidRPr="00DC30FD">
        <w:rPr>
          <w:rFonts w:ascii="Garamond" w:hAnsi="Garamond"/>
        </w:rPr>
        <w:t xml:space="preserve"> baseret på antallet af personer, der arbejdede for virksomheden i løbet af det foregående kalenderår, og som var involveret i pakkeleveringstjenester</w:t>
      </w:r>
      <w:r>
        <w:rPr>
          <w:rFonts w:ascii="Garamond" w:hAnsi="Garamond"/>
        </w:rPr>
        <w:t>, og antallet opgøres som et gennemsnit af antallet af sådanne ansatte i virksomheden opgjort fra begyndelsen til afslutningen af året.</w:t>
      </w:r>
    </w:p>
    <w:p w14:paraId="77C670BC" w14:textId="77777777" w:rsidR="009C03DC" w:rsidRPr="00F96458" w:rsidRDefault="009C03DC" w:rsidP="009C03DC">
      <w:pPr>
        <w:pStyle w:val="stk2"/>
        <w:ind w:firstLine="284"/>
        <w:rPr>
          <w:rFonts w:ascii="Garamond" w:hAnsi="Garamond"/>
        </w:rPr>
      </w:pPr>
    </w:p>
    <w:p w14:paraId="12DFE738" w14:textId="77777777" w:rsidR="009C03DC" w:rsidRPr="00F96458" w:rsidRDefault="009C03DC" w:rsidP="009C03DC">
      <w:pPr>
        <w:pStyle w:val="stk2"/>
        <w:ind w:firstLine="284"/>
        <w:rPr>
          <w:rFonts w:ascii="Garamond" w:hAnsi="Garamond"/>
        </w:rPr>
      </w:pPr>
      <w:r w:rsidRPr="00F96458">
        <w:rPr>
          <w:rFonts w:ascii="Garamond" w:hAnsi="Garamond"/>
        </w:rPr>
        <w:t xml:space="preserve">Indrapporteringspligten drejer sig om såvel grundlæggende baggrundsoplysninger om virksomheden som oplysninger om årlig omsætning fordelt på inden- og udenlandske pakkeleveringstjenester, antallet af beskæftigede i det foregående kalenderår, antallet af håndterede pakker i det foregående kalenderår, navnene på relevante underleverandører samt enhver offentlig tilgængelig aktuel prisliste. </w:t>
      </w:r>
    </w:p>
    <w:p w14:paraId="32B5F9D4" w14:textId="77777777" w:rsidR="009C03DC" w:rsidRPr="00F96458" w:rsidRDefault="009C03DC" w:rsidP="009C03DC">
      <w:pPr>
        <w:pStyle w:val="stk2"/>
        <w:ind w:firstLine="284"/>
        <w:rPr>
          <w:rFonts w:ascii="Garamond" w:hAnsi="Garamond"/>
        </w:rPr>
      </w:pPr>
    </w:p>
    <w:p w14:paraId="0A3E137C" w14:textId="60B251FE" w:rsidR="009C03DC" w:rsidRDefault="009C03DC" w:rsidP="009C03DC">
      <w:pPr>
        <w:pStyle w:val="stk2"/>
        <w:ind w:firstLine="284"/>
        <w:rPr>
          <w:rFonts w:ascii="Garamond" w:hAnsi="Garamond"/>
        </w:rPr>
      </w:pPr>
      <w:r w:rsidRPr="00F96458">
        <w:rPr>
          <w:rFonts w:ascii="Garamond" w:hAnsi="Garamond"/>
        </w:rPr>
        <w:t xml:space="preserve">Herudover pålægger </w:t>
      </w:r>
      <w:r w:rsidR="0037793C">
        <w:rPr>
          <w:rFonts w:ascii="Garamond" w:hAnsi="Garamond"/>
        </w:rPr>
        <w:t>forordningen om pakkeleveringstjenester</w:t>
      </w:r>
      <w:r w:rsidRPr="00F96458">
        <w:rPr>
          <w:rFonts w:ascii="Garamond" w:hAnsi="Garamond"/>
        </w:rPr>
        <w:t xml:space="preserve"> alle grænseoverskridende pakkeleveringsvirksomheder årligt at skulle indrapportere listepriserne for en række nærmere angivne enkeltforsendelser.</w:t>
      </w:r>
    </w:p>
    <w:p w14:paraId="0A7E2AE1" w14:textId="77777777" w:rsidR="009C03DC" w:rsidRDefault="009C03DC" w:rsidP="009C03DC">
      <w:pPr>
        <w:pStyle w:val="stk2"/>
        <w:ind w:firstLine="284"/>
        <w:rPr>
          <w:rFonts w:ascii="Garamond" w:hAnsi="Garamond"/>
        </w:rPr>
      </w:pPr>
    </w:p>
    <w:p w14:paraId="253FC15F" w14:textId="77777777" w:rsidR="009C03DC" w:rsidRDefault="009C03DC" w:rsidP="009C03DC">
      <w:pPr>
        <w:pStyle w:val="stk2"/>
        <w:ind w:firstLine="284"/>
        <w:rPr>
          <w:rFonts w:ascii="Garamond" w:hAnsi="Garamond"/>
        </w:rPr>
      </w:pPr>
      <w:r>
        <w:rPr>
          <w:rFonts w:ascii="Garamond" w:hAnsi="Garamond"/>
        </w:rPr>
        <w:t>Forordningen fastsætter særlige frister for indrapportering af de anførte oplysninger, hvoraf en del efterfølgende skal tilgå EU-Kommissionen, hvorefter de stilles til rådighed for offentligheden for derved at skabe større gennemsigtighed på det europæiske pakketransportmarked af hensyn til borgerne og de små- og mellemstore virksomheder.</w:t>
      </w:r>
    </w:p>
    <w:p w14:paraId="1476F9A4" w14:textId="2F8469F7" w:rsidR="00657FA3" w:rsidRDefault="00657FA3" w:rsidP="009C03DC">
      <w:pPr>
        <w:pStyle w:val="stk2"/>
        <w:ind w:firstLine="284"/>
        <w:rPr>
          <w:rFonts w:ascii="Garamond" w:hAnsi="Garamond"/>
        </w:rPr>
      </w:pPr>
    </w:p>
    <w:p w14:paraId="05E1F875" w14:textId="368F329A" w:rsidR="00657FA3" w:rsidRPr="00513ABE" w:rsidRDefault="00657FA3" w:rsidP="00657FA3">
      <w:pPr>
        <w:pStyle w:val="stk2"/>
        <w:ind w:firstLine="284"/>
        <w:rPr>
          <w:rFonts w:ascii="Garamond" w:hAnsi="Garamond"/>
          <w:color w:val="auto"/>
        </w:rPr>
      </w:pPr>
      <w:r w:rsidRPr="00513ABE">
        <w:rPr>
          <w:rFonts w:ascii="Garamond" w:hAnsi="Garamond"/>
          <w:color w:val="auto"/>
        </w:rPr>
        <w:t>Trafikstyrelsen har modtaget indrapportering fra de omfattede virksomheder i 2019 og 2020, og det har i enkelte tilfælde været nødvendigt for styrelsen at rykke for oplysningerne efter fristens udløb.</w:t>
      </w:r>
    </w:p>
    <w:p w14:paraId="703D41D4" w14:textId="77777777" w:rsidR="00657FA3" w:rsidRPr="00513ABE" w:rsidRDefault="00657FA3" w:rsidP="009C03DC">
      <w:pPr>
        <w:pStyle w:val="stk2"/>
        <w:ind w:firstLine="284"/>
        <w:rPr>
          <w:rFonts w:ascii="Garamond" w:hAnsi="Garamond"/>
          <w:color w:val="auto"/>
        </w:rPr>
      </w:pPr>
    </w:p>
    <w:p w14:paraId="2EF8A54C" w14:textId="77777777" w:rsidR="00B56056" w:rsidRDefault="00657FA3" w:rsidP="009C03DC">
      <w:pPr>
        <w:pStyle w:val="stk2"/>
        <w:ind w:firstLine="284"/>
        <w:rPr>
          <w:rFonts w:ascii="Garamond" w:hAnsi="Garamond"/>
          <w:color w:val="auto"/>
        </w:rPr>
      </w:pPr>
      <w:r w:rsidRPr="00513ABE">
        <w:rPr>
          <w:rFonts w:ascii="Garamond" w:hAnsi="Garamond"/>
          <w:color w:val="auto"/>
        </w:rPr>
        <w:t xml:space="preserve">Forordningen fastsætter endvidere i artikel 8, stk. 2, at medlemsstaterne inden 23. november 2019 </w:t>
      </w:r>
      <w:r w:rsidR="00513ABE" w:rsidRPr="00513ABE">
        <w:rPr>
          <w:rFonts w:ascii="Garamond" w:hAnsi="Garamond"/>
          <w:color w:val="auto"/>
        </w:rPr>
        <w:t xml:space="preserve">skulle </w:t>
      </w:r>
      <w:r w:rsidRPr="00513ABE">
        <w:rPr>
          <w:rFonts w:ascii="Garamond" w:hAnsi="Garamond"/>
          <w:color w:val="auto"/>
        </w:rPr>
        <w:t>have implementeret en sanktionsbestemmelse i overensstemmelse med forordningens artikel 8, stk. 1.</w:t>
      </w:r>
      <w:r w:rsidR="00B56056">
        <w:rPr>
          <w:rFonts w:ascii="Garamond" w:hAnsi="Garamond"/>
          <w:color w:val="auto"/>
        </w:rPr>
        <w:t xml:space="preserve"> Sådan bestemmelse er endnu ikke implementeret i dansk ret.</w:t>
      </w:r>
      <w:r w:rsidRPr="00513ABE">
        <w:rPr>
          <w:rFonts w:ascii="Garamond" w:hAnsi="Garamond"/>
          <w:color w:val="auto"/>
        </w:rPr>
        <w:t xml:space="preserve"> </w:t>
      </w:r>
    </w:p>
    <w:p w14:paraId="1F43DC39" w14:textId="0A9FC942" w:rsidR="009C03DC" w:rsidRPr="00513ABE" w:rsidRDefault="00B56056" w:rsidP="009C03DC">
      <w:pPr>
        <w:pStyle w:val="stk2"/>
        <w:ind w:firstLine="284"/>
        <w:rPr>
          <w:rFonts w:ascii="Garamond" w:hAnsi="Garamond"/>
          <w:color w:val="auto"/>
        </w:rPr>
      </w:pPr>
      <w:r w:rsidRPr="00B56056">
        <w:rPr>
          <w:rFonts w:ascii="Garamond" w:hAnsi="Garamond"/>
          <w:color w:val="auto"/>
        </w:rPr>
        <w:t>Nærværende lovforslag om ændring af postloven har til formål at bringe national ret i overensstemmelse med forordningen om pakkeleveringstjenester.</w:t>
      </w:r>
      <w:r w:rsidR="009C03DC" w:rsidRPr="00513ABE">
        <w:rPr>
          <w:rFonts w:ascii="Garamond" w:hAnsi="Garamond"/>
          <w:color w:val="auto"/>
        </w:rPr>
        <w:t xml:space="preserve"> </w:t>
      </w:r>
    </w:p>
    <w:p w14:paraId="625A02C1" w14:textId="77777777" w:rsidR="009C03DC" w:rsidRPr="00F96458" w:rsidRDefault="009C03DC" w:rsidP="009C03DC">
      <w:pPr>
        <w:pStyle w:val="stk2"/>
        <w:ind w:firstLine="284"/>
        <w:rPr>
          <w:rFonts w:ascii="Garamond" w:hAnsi="Garamond"/>
        </w:rPr>
      </w:pPr>
    </w:p>
    <w:p w14:paraId="32288C2B" w14:textId="77777777" w:rsidR="009C03DC" w:rsidRPr="00303BEC" w:rsidRDefault="009C03DC" w:rsidP="009C03DC">
      <w:pPr>
        <w:pStyle w:val="stk2"/>
        <w:ind w:firstLine="284"/>
        <w:rPr>
          <w:rFonts w:ascii="Garamond" w:hAnsi="Garamond"/>
        </w:rPr>
      </w:pPr>
      <w:r w:rsidRPr="00303BEC">
        <w:rPr>
          <w:rFonts w:ascii="Garamond" w:hAnsi="Garamond"/>
        </w:rPr>
        <w:t>Af artikel 8 i forordningen fremgår følgende</w:t>
      </w:r>
      <w:r w:rsidR="007F32CE">
        <w:rPr>
          <w:rFonts w:ascii="Garamond" w:hAnsi="Garamond"/>
        </w:rPr>
        <w:t xml:space="preserve"> om sanktioner</w:t>
      </w:r>
      <w:r w:rsidRPr="00303BEC">
        <w:rPr>
          <w:rFonts w:ascii="Garamond" w:hAnsi="Garamond"/>
        </w:rPr>
        <w:t>:</w:t>
      </w:r>
    </w:p>
    <w:p w14:paraId="5896103B" w14:textId="77777777" w:rsidR="009C03DC" w:rsidRPr="00303BEC" w:rsidRDefault="009C03DC" w:rsidP="009C03DC">
      <w:pPr>
        <w:pStyle w:val="stk2"/>
        <w:ind w:firstLine="284"/>
        <w:rPr>
          <w:rFonts w:ascii="Garamond" w:hAnsi="Garamond"/>
        </w:rPr>
      </w:pPr>
    </w:p>
    <w:p w14:paraId="0FF993A2" w14:textId="77777777" w:rsidR="009C03DC" w:rsidRPr="00F96458" w:rsidRDefault="009C03DC" w:rsidP="009C03DC">
      <w:pPr>
        <w:pStyle w:val="stk2"/>
        <w:ind w:firstLine="284"/>
        <w:rPr>
          <w:rFonts w:ascii="Garamond" w:hAnsi="Garamond"/>
        </w:rPr>
      </w:pPr>
      <w:r w:rsidRPr="00F96458">
        <w:rPr>
          <w:rFonts w:ascii="Garamond" w:hAnsi="Garamond"/>
        </w:rPr>
        <w:t xml:space="preserve">”Sanktioner </w:t>
      </w:r>
    </w:p>
    <w:p w14:paraId="74A16C6A" w14:textId="77777777" w:rsidR="009C03DC" w:rsidRDefault="009C03DC" w:rsidP="009C03DC">
      <w:pPr>
        <w:pStyle w:val="stk2"/>
        <w:ind w:firstLine="284"/>
        <w:rPr>
          <w:rFonts w:ascii="Garamond" w:hAnsi="Garamond"/>
        </w:rPr>
      </w:pPr>
      <w:r w:rsidRPr="00F96458">
        <w:rPr>
          <w:rFonts w:ascii="Garamond" w:hAnsi="Garamond"/>
        </w:rPr>
        <w:t>1. Medlemsstaterne fastsætter regler om sanktioner, der skal anvendes i tilfælde af overtrædelse af bestemmelserne i denne forordning, og træffer alle nødvendige foranstaltninger for at sikre, at de anvendes. Sanktionerne skal være effektive, stå i et rimeligt forhold til overtrædelsen og have afskrækkende virkning”.</w:t>
      </w:r>
    </w:p>
    <w:p w14:paraId="6FC9120B" w14:textId="77777777" w:rsidR="009C03DC" w:rsidRDefault="009C03DC" w:rsidP="005713AB">
      <w:pPr>
        <w:pStyle w:val="stk2"/>
        <w:rPr>
          <w:rFonts w:ascii="Garamond" w:hAnsi="Garamond"/>
        </w:rPr>
      </w:pPr>
    </w:p>
    <w:p w14:paraId="0FC633CC" w14:textId="71E0167C" w:rsidR="007F32CE" w:rsidRDefault="004B7FFA" w:rsidP="007F32CE">
      <w:pPr>
        <w:pStyle w:val="stk2"/>
        <w:ind w:firstLine="284"/>
        <w:rPr>
          <w:rFonts w:ascii="Garamond" w:hAnsi="Garamond"/>
        </w:rPr>
      </w:pPr>
      <w:r>
        <w:rPr>
          <w:rFonts w:ascii="Garamond" w:hAnsi="Garamond"/>
        </w:rPr>
        <w:t xml:space="preserve">Med forslaget til </w:t>
      </w:r>
      <w:r w:rsidRPr="000A6FC3">
        <w:rPr>
          <w:rFonts w:ascii="Garamond" w:hAnsi="Garamond"/>
          <w:i/>
        </w:rPr>
        <w:t>§ 28, stk. 4,</w:t>
      </w:r>
      <w:r>
        <w:rPr>
          <w:rFonts w:ascii="Garamond" w:hAnsi="Garamond"/>
        </w:rPr>
        <w:t xml:space="preserve"> indsættes en ny strafbestemmelse</w:t>
      </w:r>
      <w:r w:rsidR="009C03DC" w:rsidRPr="001B3030">
        <w:rPr>
          <w:rFonts w:ascii="Garamond" w:hAnsi="Garamond"/>
        </w:rPr>
        <w:t xml:space="preserve">, </w:t>
      </w:r>
      <w:r>
        <w:rPr>
          <w:rFonts w:ascii="Garamond" w:hAnsi="Garamond"/>
        </w:rPr>
        <w:t>hvorefter</w:t>
      </w:r>
      <w:r w:rsidR="009C03DC" w:rsidRPr="001B3030">
        <w:rPr>
          <w:rFonts w:ascii="Garamond" w:hAnsi="Garamond"/>
        </w:rPr>
        <w:t xml:space="preserve"> </w:t>
      </w:r>
      <w:r w:rsidR="009C03DC">
        <w:rPr>
          <w:rFonts w:ascii="Garamond" w:hAnsi="Garamond"/>
          <w:iCs/>
        </w:rPr>
        <w:t xml:space="preserve">overtrædelse af indberetningsforpligtelserne i artiklerne 4 og 5 i Europa-Parlamentets og Rådets forordning (EU) 2018/644 af 18. april 2018 om grænseoverskridende pakkeleveringstjenester, begået af en pakkeleveringsvirksomhed omfattet af forordningen, straffes med bøde. </w:t>
      </w:r>
      <w:r w:rsidR="007F32CE">
        <w:rPr>
          <w:rFonts w:ascii="Garamond" w:hAnsi="Garamond"/>
        </w:rPr>
        <w:t xml:space="preserve">Det vurderes, at den mest virkningsfulde måde at sikre rettidige og præcise indrapporteringer af en række forskellige oplysninger fra pakkevirksomhederne på, vil være, at virksomhederne kan ifalde en bødestraf, såfremt de pågældende oplysninger ikke rapporteres til Trafikstyrelsen. </w:t>
      </w:r>
    </w:p>
    <w:p w14:paraId="41BDE011" w14:textId="77777777" w:rsidR="001B65D6" w:rsidRDefault="001B65D6" w:rsidP="007F32CE">
      <w:pPr>
        <w:pStyle w:val="stk2"/>
        <w:ind w:firstLine="284"/>
        <w:rPr>
          <w:rFonts w:ascii="Garamond" w:hAnsi="Garamond"/>
        </w:rPr>
      </w:pPr>
    </w:p>
    <w:p w14:paraId="2C49C68A" w14:textId="77777777" w:rsidR="009C03DC" w:rsidRPr="00001FB6" w:rsidRDefault="009C03DC" w:rsidP="00193EE6">
      <w:r w:rsidRPr="00001FB6">
        <w:rPr>
          <w:rFonts w:ascii="Garamond" w:hAnsi="Garamond"/>
        </w:rPr>
        <w:t>Der henvises til de almindelige bemærkninger pkt</w:t>
      </w:r>
      <w:r w:rsidR="00337CA0" w:rsidRPr="00001FB6">
        <w:rPr>
          <w:rFonts w:ascii="Garamond" w:hAnsi="Garamond"/>
        </w:rPr>
        <w:t>.</w:t>
      </w:r>
      <w:r w:rsidR="00396AAE" w:rsidRPr="00001FB6">
        <w:rPr>
          <w:rFonts w:ascii="Garamond" w:hAnsi="Garamond"/>
        </w:rPr>
        <w:t xml:space="preserve"> </w:t>
      </w:r>
      <w:r w:rsidR="00B343B1" w:rsidRPr="00001FB6">
        <w:rPr>
          <w:rFonts w:ascii="Garamond" w:hAnsi="Garamond"/>
        </w:rPr>
        <w:t>2.</w:t>
      </w:r>
    </w:p>
    <w:p w14:paraId="25527839" w14:textId="77777777" w:rsidR="009C03DC" w:rsidRPr="00F421EF" w:rsidRDefault="009C03DC" w:rsidP="009C03DC">
      <w:pPr>
        <w:pStyle w:val="stk2"/>
        <w:ind w:firstLine="0"/>
        <w:rPr>
          <w:rFonts w:ascii="Garamond" w:hAnsi="Garamond"/>
        </w:rPr>
      </w:pPr>
    </w:p>
    <w:p w14:paraId="67DADF3F" w14:textId="77777777" w:rsidR="009C03DC" w:rsidRPr="00F96458" w:rsidRDefault="009C03DC" w:rsidP="009C03DC">
      <w:pPr>
        <w:autoSpaceDE w:val="0"/>
        <w:autoSpaceDN w:val="0"/>
        <w:adjustRightInd w:val="0"/>
        <w:jc w:val="center"/>
        <w:rPr>
          <w:rFonts w:ascii="Garamond" w:hAnsi="Garamond"/>
          <w:i/>
          <w:color w:val="000000"/>
        </w:rPr>
      </w:pPr>
      <w:r w:rsidRPr="00F96458">
        <w:rPr>
          <w:rFonts w:ascii="Garamond" w:hAnsi="Garamond"/>
          <w:i/>
          <w:color w:val="000000"/>
        </w:rPr>
        <w:t xml:space="preserve">Til § </w:t>
      </w:r>
      <w:r>
        <w:rPr>
          <w:rFonts w:ascii="Garamond" w:hAnsi="Garamond"/>
          <w:i/>
          <w:color w:val="000000"/>
        </w:rPr>
        <w:t>2</w:t>
      </w:r>
    </w:p>
    <w:p w14:paraId="52B36B19" w14:textId="77777777" w:rsidR="009C03DC" w:rsidRPr="00F96458" w:rsidRDefault="009C03DC" w:rsidP="009C03DC">
      <w:pPr>
        <w:autoSpaceDE w:val="0"/>
        <w:autoSpaceDN w:val="0"/>
        <w:adjustRightInd w:val="0"/>
        <w:jc w:val="center"/>
        <w:rPr>
          <w:rFonts w:ascii="Garamond" w:hAnsi="Garamond"/>
          <w:i/>
          <w:color w:val="000000"/>
        </w:rPr>
      </w:pPr>
    </w:p>
    <w:p w14:paraId="4820778C" w14:textId="52B80E0E" w:rsidR="009C03DC" w:rsidRDefault="009C03DC" w:rsidP="00500EAC">
      <w:pPr>
        <w:pStyle w:val="stk2"/>
        <w:ind w:firstLine="0"/>
        <w:rPr>
          <w:rFonts w:ascii="Garamond" w:hAnsi="Garamond"/>
        </w:rPr>
      </w:pPr>
      <w:r w:rsidRPr="00F96458">
        <w:rPr>
          <w:rFonts w:ascii="Garamond" w:hAnsi="Garamond"/>
        </w:rPr>
        <w:t>Det foreslås</w:t>
      </w:r>
      <w:r>
        <w:rPr>
          <w:rFonts w:ascii="Garamond" w:hAnsi="Garamond"/>
        </w:rPr>
        <w:t xml:space="preserve"> i </w:t>
      </w:r>
      <w:r w:rsidR="002A0098">
        <w:rPr>
          <w:rFonts w:ascii="Garamond" w:hAnsi="Garamond"/>
          <w:i/>
        </w:rPr>
        <w:t>§ 2</w:t>
      </w:r>
      <w:r w:rsidRPr="00F96458">
        <w:rPr>
          <w:rFonts w:ascii="Garamond" w:hAnsi="Garamond"/>
        </w:rPr>
        <w:t xml:space="preserve">, at loven træder i kraft den </w:t>
      </w:r>
      <w:r w:rsidR="00F97C67">
        <w:rPr>
          <w:rFonts w:ascii="Garamond" w:hAnsi="Garamond"/>
        </w:rPr>
        <w:t>1. januar 2022</w:t>
      </w:r>
      <w:r w:rsidRPr="00F96458">
        <w:rPr>
          <w:rFonts w:ascii="Garamond" w:hAnsi="Garamond"/>
        </w:rPr>
        <w:t>.</w:t>
      </w:r>
      <w:r w:rsidRPr="00FA3456">
        <w:rPr>
          <w:rFonts w:ascii="Garamond" w:hAnsi="Garamond"/>
        </w:rPr>
        <w:t xml:space="preserve"> </w:t>
      </w:r>
    </w:p>
    <w:p w14:paraId="20970B0E" w14:textId="77777777" w:rsidR="009C03DC" w:rsidRDefault="009C03DC" w:rsidP="00500EAC">
      <w:pPr>
        <w:pStyle w:val="stk2"/>
        <w:rPr>
          <w:rFonts w:ascii="Garamond" w:hAnsi="Garamond"/>
        </w:rPr>
      </w:pPr>
    </w:p>
    <w:p w14:paraId="5D8FDFB7" w14:textId="77777777" w:rsidR="004F6A1A" w:rsidRDefault="004F6A1A" w:rsidP="009C03DC">
      <w:pPr>
        <w:pStyle w:val="stk2"/>
        <w:ind w:firstLine="284"/>
        <w:rPr>
          <w:rFonts w:ascii="Garamond" w:hAnsi="Garamond"/>
        </w:rPr>
      </w:pPr>
    </w:p>
    <w:p w14:paraId="73866231" w14:textId="77777777" w:rsidR="002A0098" w:rsidRDefault="002A0098" w:rsidP="000A6FC3">
      <w:pPr>
        <w:pStyle w:val="stk2"/>
        <w:ind w:firstLine="284"/>
        <w:jc w:val="right"/>
        <w:rPr>
          <w:rFonts w:ascii="Garamond" w:hAnsi="Garamond"/>
          <w:b/>
          <w:color w:val="auto"/>
        </w:rPr>
      </w:pPr>
      <w:r>
        <w:rPr>
          <w:rFonts w:ascii="Garamond" w:hAnsi="Garamond"/>
          <w:b/>
          <w:color w:val="auto"/>
        </w:rPr>
        <w:t>Bilag</w:t>
      </w:r>
    </w:p>
    <w:p w14:paraId="0571F587" w14:textId="77777777" w:rsidR="002A0098" w:rsidRDefault="002A0098" w:rsidP="004F6A1A">
      <w:pPr>
        <w:pStyle w:val="stk2"/>
        <w:ind w:firstLine="284"/>
        <w:jc w:val="center"/>
        <w:rPr>
          <w:rFonts w:ascii="Garamond" w:hAnsi="Garamond"/>
          <w:b/>
          <w:color w:val="auto"/>
        </w:rPr>
      </w:pPr>
    </w:p>
    <w:p w14:paraId="7FE4FC1A" w14:textId="77777777" w:rsidR="004F6A1A" w:rsidRPr="00D332A4" w:rsidRDefault="004F6A1A" w:rsidP="004F6A1A">
      <w:pPr>
        <w:pStyle w:val="stk2"/>
        <w:ind w:firstLine="284"/>
        <w:jc w:val="center"/>
        <w:rPr>
          <w:rFonts w:ascii="Garamond" w:hAnsi="Garamond"/>
          <w:b/>
          <w:color w:val="auto"/>
        </w:rPr>
      </w:pPr>
      <w:r w:rsidRPr="00D332A4">
        <w:rPr>
          <w:rFonts w:ascii="Garamond" w:hAnsi="Garamond"/>
          <w:b/>
          <w:color w:val="auto"/>
        </w:rPr>
        <w:t>Lovforslaget sammenholdt med gældende lov</w:t>
      </w:r>
    </w:p>
    <w:p w14:paraId="0EA87D44" w14:textId="77777777" w:rsidR="004F6A1A" w:rsidRPr="00D332A4" w:rsidRDefault="004F6A1A" w:rsidP="004F6A1A">
      <w:pPr>
        <w:pStyle w:val="stk2"/>
        <w:ind w:firstLine="284"/>
        <w:jc w:val="center"/>
        <w:rPr>
          <w:rFonts w:ascii="Garamond" w:hAnsi="Garamond"/>
          <w:color w:val="auto"/>
        </w:rPr>
      </w:pPr>
    </w:p>
    <w:tbl>
      <w:tblPr>
        <w:tblStyle w:val="Tabel-Gitter"/>
        <w:tblW w:w="8908" w:type="dxa"/>
        <w:tblInd w:w="722" w:type="dxa"/>
        <w:tblLook w:val="04A0" w:firstRow="1" w:lastRow="0" w:firstColumn="1" w:lastColumn="0" w:noHBand="0" w:noVBand="1"/>
      </w:tblPr>
      <w:tblGrid>
        <w:gridCol w:w="4454"/>
        <w:gridCol w:w="4454"/>
      </w:tblGrid>
      <w:tr w:rsidR="004F6A1A" w14:paraId="07D48735" w14:textId="77777777" w:rsidTr="00EC4B4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454" w:type="dxa"/>
          </w:tcPr>
          <w:p w14:paraId="70DA4B14" w14:textId="77777777" w:rsidR="004F6A1A" w:rsidRPr="00EC4B4B" w:rsidRDefault="004F6A1A" w:rsidP="00EC4B4B">
            <w:pPr>
              <w:pStyle w:val="stk2"/>
              <w:ind w:firstLine="0"/>
              <w:jc w:val="center"/>
              <w:rPr>
                <w:rFonts w:ascii="Garamond" w:hAnsi="Garamond"/>
                <w:i/>
              </w:rPr>
            </w:pPr>
            <w:r w:rsidRPr="00EC4B4B">
              <w:rPr>
                <w:rFonts w:ascii="Garamond" w:hAnsi="Garamond"/>
                <w:i/>
              </w:rPr>
              <w:t>Gældende formulering</w:t>
            </w:r>
          </w:p>
        </w:tc>
        <w:tc>
          <w:tcPr>
            <w:tcW w:w="4454" w:type="dxa"/>
          </w:tcPr>
          <w:p w14:paraId="017F3302" w14:textId="77777777" w:rsidR="004F6A1A" w:rsidRPr="00EC4B4B" w:rsidRDefault="004F6A1A" w:rsidP="00EC4B4B">
            <w:pPr>
              <w:pStyle w:val="stk2"/>
              <w:ind w:firstLine="0"/>
              <w:jc w:val="center"/>
              <w:cnfStyle w:val="100000000000" w:firstRow="1" w:lastRow="0" w:firstColumn="0" w:lastColumn="0" w:oddVBand="0" w:evenVBand="0" w:oddHBand="0" w:evenHBand="0" w:firstRowFirstColumn="0" w:firstRowLastColumn="0" w:lastRowFirstColumn="0" w:lastRowLastColumn="0"/>
              <w:rPr>
                <w:rFonts w:ascii="Garamond" w:hAnsi="Garamond"/>
                <w:i/>
              </w:rPr>
            </w:pPr>
            <w:r w:rsidRPr="00EC4B4B">
              <w:rPr>
                <w:rFonts w:ascii="Garamond" w:hAnsi="Garamond"/>
                <w:i/>
              </w:rPr>
              <w:t>Lovforslaget</w:t>
            </w:r>
          </w:p>
        </w:tc>
      </w:tr>
      <w:tr w:rsidR="00FF31FE" w:rsidRPr="00FF31FE" w14:paraId="563E427E" w14:textId="77777777" w:rsidTr="00EC4B4B">
        <w:trPr>
          <w:trHeight w:val="1252"/>
        </w:trPr>
        <w:tc>
          <w:tcPr>
            <w:cnfStyle w:val="001000000000" w:firstRow="0" w:lastRow="0" w:firstColumn="1" w:lastColumn="0" w:oddVBand="0" w:evenVBand="0" w:oddHBand="0" w:evenHBand="0" w:firstRowFirstColumn="0" w:firstRowLastColumn="0" w:lastRowFirstColumn="0" w:lastRowLastColumn="0"/>
            <w:tcW w:w="4454" w:type="dxa"/>
          </w:tcPr>
          <w:p w14:paraId="7F53A78F" w14:textId="04C3D4EB" w:rsidR="002A0098" w:rsidRDefault="002A0098" w:rsidP="004F6A1A">
            <w:pPr>
              <w:pStyle w:val="stk2"/>
              <w:ind w:firstLine="0"/>
              <w:rPr>
                <w:rFonts w:ascii="Garamond" w:hAnsi="Garamond"/>
                <w:color w:val="auto"/>
              </w:rPr>
            </w:pPr>
          </w:p>
          <w:p w14:paraId="47502434" w14:textId="77777777" w:rsidR="002A0098" w:rsidRDefault="002A0098" w:rsidP="004F6A1A">
            <w:pPr>
              <w:pStyle w:val="stk2"/>
              <w:ind w:firstLine="0"/>
              <w:rPr>
                <w:rFonts w:ascii="Garamond" w:hAnsi="Garamond"/>
                <w:color w:val="auto"/>
              </w:rPr>
            </w:pPr>
          </w:p>
          <w:p w14:paraId="6889BBE0" w14:textId="77777777" w:rsidR="002A0098" w:rsidRDefault="002A0098" w:rsidP="004F6A1A">
            <w:pPr>
              <w:pStyle w:val="stk2"/>
              <w:ind w:firstLine="0"/>
              <w:rPr>
                <w:rFonts w:ascii="Garamond" w:hAnsi="Garamond"/>
                <w:color w:val="auto"/>
              </w:rPr>
            </w:pPr>
          </w:p>
          <w:p w14:paraId="06F96A2D" w14:textId="77777777" w:rsidR="002A0098" w:rsidRDefault="002A0098" w:rsidP="004F6A1A">
            <w:pPr>
              <w:pStyle w:val="stk2"/>
              <w:ind w:firstLine="0"/>
              <w:rPr>
                <w:rFonts w:ascii="Garamond" w:hAnsi="Garamond"/>
                <w:color w:val="auto"/>
              </w:rPr>
            </w:pPr>
          </w:p>
          <w:p w14:paraId="296B061C" w14:textId="77777777" w:rsidR="002A0098" w:rsidRDefault="002A0098" w:rsidP="004F6A1A">
            <w:pPr>
              <w:pStyle w:val="stk2"/>
              <w:ind w:firstLine="0"/>
              <w:rPr>
                <w:rFonts w:ascii="Garamond" w:hAnsi="Garamond"/>
                <w:color w:val="auto"/>
              </w:rPr>
            </w:pPr>
          </w:p>
          <w:p w14:paraId="09D617C6" w14:textId="77777777" w:rsidR="002A0098" w:rsidRDefault="002A0098" w:rsidP="004F6A1A">
            <w:pPr>
              <w:pStyle w:val="stk2"/>
              <w:ind w:firstLine="0"/>
              <w:rPr>
                <w:rFonts w:ascii="Garamond" w:hAnsi="Garamond"/>
                <w:color w:val="auto"/>
              </w:rPr>
            </w:pPr>
            <w:r>
              <w:rPr>
                <w:rFonts w:ascii="Garamond" w:hAnsi="Garamond"/>
                <w:color w:val="auto"/>
              </w:rPr>
              <w:t xml:space="preserve">§ 28 --- </w:t>
            </w:r>
          </w:p>
          <w:p w14:paraId="755AB1DC" w14:textId="77777777" w:rsidR="004F6A1A" w:rsidRPr="00FF31FE" w:rsidRDefault="002A0098" w:rsidP="004F6A1A">
            <w:pPr>
              <w:pStyle w:val="stk2"/>
              <w:ind w:firstLine="0"/>
              <w:rPr>
                <w:rFonts w:ascii="Garamond" w:hAnsi="Garamond"/>
                <w:color w:val="00BEFD" w:themeColor="background2" w:themeShade="80"/>
              </w:rPr>
            </w:pPr>
            <w:r w:rsidRPr="000A6FC3">
              <w:rPr>
                <w:rFonts w:ascii="Garamond" w:hAnsi="Garamond"/>
                <w:i/>
                <w:color w:val="auto"/>
              </w:rPr>
              <w:t>Stk. 2-3</w:t>
            </w:r>
            <w:r>
              <w:rPr>
                <w:rFonts w:ascii="Garamond" w:hAnsi="Garamond"/>
                <w:color w:val="auto"/>
              </w:rPr>
              <w:t>---</w:t>
            </w:r>
          </w:p>
        </w:tc>
        <w:tc>
          <w:tcPr>
            <w:tcW w:w="4454" w:type="dxa"/>
          </w:tcPr>
          <w:p w14:paraId="33664833" w14:textId="77777777" w:rsidR="002A0098" w:rsidRDefault="002A0098" w:rsidP="000A6FC3">
            <w:pPr>
              <w:ind w:left="284"/>
              <w:jc w:val="center"/>
              <w:cnfStyle w:val="000000000000" w:firstRow="0" w:lastRow="0" w:firstColumn="0" w:lastColumn="0" w:oddVBand="0" w:evenVBand="0" w:oddHBand="0" w:evenHBand="0" w:firstRowFirstColumn="0" w:firstRowLastColumn="0" w:lastRowFirstColumn="0" w:lastRowLastColumn="0"/>
              <w:rPr>
                <w:rFonts w:ascii="Garamond" w:hAnsi="Garamond"/>
                <w:b/>
                <w:iCs/>
                <w:color w:val="auto"/>
              </w:rPr>
            </w:pPr>
            <w:r>
              <w:rPr>
                <w:rFonts w:ascii="Garamond" w:hAnsi="Garamond"/>
                <w:b/>
                <w:iCs/>
                <w:color w:val="auto"/>
              </w:rPr>
              <w:t>§ 1</w:t>
            </w:r>
          </w:p>
          <w:p w14:paraId="75EC88FE" w14:textId="77777777" w:rsidR="002A0098" w:rsidRDefault="002A0098" w:rsidP="000A6FC3">
            <w:pPr>
              <w:ind w:left="284"/>
              <w:jc w:val="center"/>
              <w:cnfStyle w:val="000000000000" w:firstRow="0" w:lastRow="0" w:firstColumn="0" w:lastColumn="0" w:oddVBand="0" w:evenVBand="0" w:oddHBand="0" w:evenHBand="0" w:firstRowFirstColumn="0" w:firstRowLastColumn="0" w:lastRowFirstColumn="0" w:lastRowLastColumn="0"/>
              <w:rPr>
                <w:rFonts w:ascii="Garamond" w:hAnsi="Garamond"/>
                <w:b/>
                <w:iCs/>
                <w:color w:val="auto"/>
              </w:rPr>
            </w:pPr>
          </w:p>
          <w:p w14:paraId="0E506885" w14:textId="77777777" w:rsidR="002A0098" w:rsidRPr="002A0098" w:rsidRDefault="002A0098" w:rsidP="002A0098">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r w:rsidRPr="002A0098">
              <w:rPr>
                <w:rFonts w:ascii="Garamond" w:hAnsi="Garamond"/>
                <w:iCs/>
                <w:color w:val="auto"/>
              </w:rPr>
              <w:t>I postloven, jf. lovbekendtgørelse nr. 1040 af 30. august 2017, foretages følgende ændring:</w:t>
            </w:r>
          </w:p>
          <w:p w14:paraId="3DC66DB0" w14:textId="77777777" w:rsidR="002A0098" w:rsidRDefault="002A0098" w:rsidP="00FF31FE">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p>
          <w:p w14:paraId="006ADBB2" w14:textId="77777777" w:rsidR="002A0098" w:rsidRDefault="002A0098" w:rsidP="00FF31FE">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p>
          <w:p w14:paraId="1E7AFE94" w14:textId="77777777" w:rsidR="002A0098" w:rsidRDefault="002A0098" w:rsidP="00FF31FE">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p>
          <w:p w14:paraId="6F852F1C" w14:textId="3F2AE10C" w:rsidR="00FF31FE" w:rsidRDefault="00FF31FE" w:rsidP="00FF31FE">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r w:rsidRPr="00D332A4">
              <w:rPr>
                <w:rFonts w:ascii="Garamond" w:hAnsi="Garamond"/>
                <w:iCs/>
                <w:color w:val="auto"/>
              </w:rPr>
              <w:t>»</w:t>
            </w:r>
            <w:r w:rsidR="002A0098" w:rsidRPr="000A6FC3">
              <w:rPr>
                <w:rFonts w:ascii="Garamond" w:hAnsi="Garamond"/>
                <w:i/>
                <w:iCs/>
              </w:rPr>
              <w:t>S</w:t>
            </w:r>
            <w:r w:rsidRPr="000A6FC3">
              <w:rPr>
                <w:rFonts w:ascii="Garamond" w:hAnsi="Garamond"/>
                <w:i/>
                <w:iCs/>
              </w:rPr>
              <w:t>tk. 4</w:t>
            </w:r>
            <w:r w:rsidRPr="00D332A4">
              <w:rPr>
                <w:rFonts w:ascii="Garamond" w:hAnsi="Garamond"/>
                <w:iCs/>
                <w:color w:val="auto"/>
              </w:rPr>
              <w:t>. Overtrædelse af artiklerne 4 og 5 i Europa-Parlamentets og Rådets forordning (EU) 2018/644 af 18. april 2018 om grænseoverskridende pakkeleveringstjenester, begået af en pakkeleveringsvirksomhed omfattet af forordningen, straffes med bøde.«</w:t>
            </w:r>
          </w:p>
          <w:p w14:paraId="636D251E" w14:textId="77777777" w:rsidR="002A0098" w:rsidRDefault="002A0098" w:rsidP="00FF31FE">
            <w:pPr>
              <w:ind w:left="284"/>
              <w:jc w:val="left"/>
              <w:cnfStyle w:val="000000000000" w:firstRow="0" w:lastRow="0" w:firstColumn="0" w:lastColumn="0" w:oddVBand="0" w:evenVBand="0" w:oddHBand="0" w:evenHBand="0" w:firstRowFirstColumn="0" w:firstRowLastColumn="0" w:lastRowFirstColumn="0" w:lastRowLastColumn="0"/>
              <w:rPr>
                <w:rFonts w:ascii="Garamond" w:hAnsi="Garamond"/>
                <w:iCs/>
                <w:color w:val="auto"/>
              </w:rPr>
            </w:pPr>
          </w:p>
          <w:p w14:paraId="6D35CD55" w14:textId="77777777" w:rsidR="002A0098" w:rsidRDefault="002A0098" w:rsidP="000A6FC3">
            <w:pPr>
              <w:ind w:left="284"/>
              <w:jc w:val="center"/>
              <w:cnfStyle w:val="000000000000" w:firstRow="0" w:lastRow="0" w:firstColumn="0" w:lastColumn="0" w:oddVBand="0" w:evenVBand="0" w:oddHBand="0" w:evenHBand="0" w:firstRowFirstColumn="0" w:firstRowLastColumn="0" w:lastRowFirstColumn="0" w:lastRowLastColumn="0"/>
              <w:rPr>
                <w:rFonts w:ascii="Garamond" w:hAnsi="Garamond"/>
                <w:b/>
                <w:iCs/>
                <w:color w:val="auto"/>
              </w:rPr>
            </w:pPr>
            <w:r w:rsidRPr="000A6FC3">
              <w:rPr>
                <w:rFonts w:ascii="Garamond" w:hAnsi="Garamond"/>
                <w:b/>
                <w:iCs/>
              </w:rPr>
              <w:t>§ 2</w:t>
            </w:r>
          </w:p>
          <w:p w14:paraId="44132320" w14:textId="77777777" w:rsidR="002A0098" w:rsidRPr="000A6FC3" w:rsidRDefault="002A0098" w:rsidP="000A6FC3">
            <w:pPr>
              <w:ind w:left="284"/>
              <w:jc w:val="center"/>
              <w:cnfStyle w:val="000000000000" w:firstRow="0" w:lastRow="0" w:firstColumn="0" w:lastColumn="0" w:oddVBand="0" w:evenVBand="0" w:oddHBand="0" w:evenHBand="0" w:firstRowFirstColumn="0" w:firstRowLastColumn="0" w:lastRowFirstColumn="0" w:lastRowLastColumn="0"/>
              <w:rPr>
                <w:rFonts w:ascii="Garamond" w:hAnsi="Garamond"/>
                <w:b/>
                <w:color w:val="auto"/>
              </w:rPr>
            </w:pPr>
          </w:p>
          <w:p w14:paraId="2D37562C" w14:textId="77777777" w:rsidR="004F6A1A" w:rsidRPr="00A72531" w:rsidRDefault="002A0098" w:rsidP="000A6FC3">
            <w:pPr>
              <w:pStyle w:val="stk2"/>
              <w:ind w:firstLine="0"/>
              <w:jc w:val="left"/>
              <w:cnfStyle w:val="000000000000" w:firstRow="0" w:lastRow="0" w:firstColumn="0" w:lastColumn="0" w:oddVBand="0" w:evenVBand="0" w:oddHBand="0" w:evenHBand="0" w:firstRowFirstColumn="0" w:firstRowLastColumn="0" w:lastRowFirstColumn="0" w:lastRowLastColumn="0"/>
              <w:rPr>
                <w:rFonts w:ascii="Garamond" w:hAnsi="Garamond"/>
                <w:color w:val="auto"/>
              </w:rPr>
            </w:pPr>
            <w:r w:rsidRPr="00A72531">
              <w:rPr>
                <w:rFonts w:ascii="Garamond" w:hAnsi="Garamond"/>
                <w:color w:val="auto"/>
              </w:rPr>
              <w:t>Lovforslaget træder i kraft den 1. januar 2022.</w:t>
            </w:r>
          </w:p>
          <w:p w14:paraId="3EF19DC4" w14:textId="77777777" w:rsidR="002A0098" w:rsidRPr="00FF31FE" w:rsidRDefault="002A0098" w:rsidP="000A6FC3">
            <w:pPr>
              <w:pStyle w:val="stk2"/>
              <w:ind w:firstLine="0"/>
              <w:jc w:val="left"/>
              <w:cnfStyle w:val="000000000000" w:firstRow="0" w:lastRow="0" w:firstColumn="0" w:lastColumn="0" w:oddVBand="0" w:evenVBand="0" w:oddHBand="0" w:evenHBand="0" w:firstRowFirstColumn="0" w:firstRowLastColumn="0" w:lastRowFirstColumn="0" w:lastRowLastColumn="0"/>
              <w:rPr>
                <w:rFonts w:ascii="Garamond" w:hAnsi="Garamond"/>
                <w:color w:val="00BEFD" w:themeColor="background2" w:themeShade="80"/>
              </w:rPr>
            </w:pPr>
          </w:p>
        </w:tc>
      </w:tr>
    </w:tbl>
    <w:p w14:paraId="2D89B0E5" w14:textId="77777777" w:rsidR="004F6A1A" w:rsidRDefault="004F6A1A" w:rsidP="004F6A1A">
      <w:pPr>
        <w:pStyle w:val="stk2"/>
        <w:ind w:firstLine="284"/>
        <w:rPr>
          <w:rFonts w:ascii="Garamond" w:hAnsi="Garamond"/>
        </w:rPr>
      </w:pPr>
    </w:p>
    <w:sectPr w:rsidR="004F6A1A">
      <w:footerReference w:type="default" r:id="rId8"/>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C0C47" w16cid:durableId="241FE5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DBEE5" w14:textId="77777777" w:rsidR="00F51D26" w:rsidRDefault="00F51D26" w:rsidP="009965E8">
      <w:r>
        <w:separator/>
      </w:r>
    </w:p>
  </w:endnote>
  <w:endnote w:type="continuationSeparator" w:id="0">
    <w:p w14:paraId="0DAC9576" w14:textId="77777777" w:rsidR="00F51D26" w:rsidRDefault="00F51D26" w:rsidP="0099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embedRegular r:id="rId1" w:subsetted="1" w:fontKey="{EA4320D1-B68D-4799-A6A1-DA5DE6C73153}"/>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embedRegular r:id="rId2" w:fontKey="{C172735B-77E5-4F3C-917A-FDECDABB5D9C}"/>
    <w:embedBold r:id="rId3" w:fontKey="{C07000DD-C765-4EC7-A9EB-E751023D380A}"/>
    <w:embedItalic r:id="rId4" w:fontKey="{1D56F383-AF97-4ABD-AFD5-F20C7B1F2DDB}"/>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645592"/>
      <w:docPartObj>
        <w:docPartGallery w:val="Page Numbers (Bottom of Page)"/>
        <w:docPartUnique/>
      </w:docPartObj>
    </w:sdtPr>
    <w:sdtEndPr/>
    <w:sdtContent>
      <w:p w14:paraId="3908E278" w14:textId="5C9E8461" w:rsidR="00B564FB" w:rsidRDefault="00B564FB">
        <w:pPr>
          <w:pStyle w:val="Sidefod"/>
          <w:jc w:val="center"/>
        </w:pPr>
        <w:r>
          <w:fldChar w:fldCharType="begin"/>
        </w:r>
        <w:r>
          <w:instrText>PAGE   \* MERGEFORMAT</w:instrText>
        </w:r>
        <w:r>
          <w:fldChar w:fldCharType="separate"/>
        </w:r>
        <w:r w:rsidR="00AC2D2E">
          <w:rPr>
            <w:noProof/>
          </w:rPr>
          <w:t>1</w:t>
        </w:r>
        <w:r>
          <w:fldChar w:fldCharType="end"/>
        </w:r>
      </w:p>
    </w:sdtContent>
  </w:sdt>
  <w:p w14:paraId="24E4E46C" w14:textId="77777777" w:rsidR="00B564FB" w:rsidRDefault="00B564F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24AFD" w14:textId="77777777" w:rsidR="00F51D26" w:rsidRDefault="00F51D26" w:rsidP="009965E8">
      <w:r>
        <w:separator/>
      </w:r>
    </w:p>
  </w:footnote>
  <w:footnote w:type="continuationSeparator" w:id="0">
    <w:p w14:paraId="093FC5A3" w14:textId="77777777" w:rsidR="00F51D26" w:rsidRDefault="00F51D26" w:rsidP="0099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7EF"/>
    <w:multiLevelType w:val="hybridMultilevel"/>
    <w:tmpl w:val="8A70628A"/>
    <w:lvl w:ilvl="0" w:tplc="04060011">
      <w:start w:val="1"/>
      <w:numFmt w:val="decimal"/>
      <w:lvlText w:val="%1)"/>
      <w:lvlJc w:val="left"/>
      <w:pPr>
        <w:ind w:left="833" w:hanging="360"/>
      </w:pPr>
    </w:lvl>
    <w:lvl w:ilvl="1" w:tplc="04060019" w:tentative="1">
      <w:start w:val="1"/>
      <w:numFmt w:val="lowerLetter"/>
      <w:lvlText w:val="%2."/>
      <w:lvlJc w:val="left"/>
      <w:pPr>
        <w:ind w:left="1553" w:hanging="360"/>
      </w:pPr>
    </w:lvl>
    <w:lvl w:ilvl="2" w:tplc="0406001B" w:tentative="1">
      <w:start w:val="1"/>
      <w:numFmt w:val="lowerRoman"/>
      <w:lvlText w:val="%3."/>
      <w:lvlJc w:val="right"/>
      <w:pPr>
        <w:ind w:left="2273" w:hanging="180"/>
      </w:pPr>
    </w:lvl>
    <w:lvl w:ilvl="3" w:tplc="0406000F" w:tentative="1">
      <w:start w:val="1"/>
      <w:numFmt w:val="decimal"/>
      <w:lvlText w:val="%4."/>
      <w:lvlJc w:val="left"/>
      <w:pPr>
        <w:ind w:left="2993" w:hanging="360"/>
      </w:pPr>
    </w:lvl>
    <w:lvl w:ilvl="4" w:tplc="04060019" w:tentative="1">
      <w:start w:val="1"/>
      <w:numFmt w:val="lowerLetter"/>
      <w:lvlText w:val="%5."/>
      <w:lvlJc w:val="left"/>
      <w:pPr>
        <w:ind w:left="3713" w:hanging="360"/>
      </w:pPr>
    </w:lvl>
    <w:lvl w:ilvl="5" w:tplc="0406001B" w:tentative="1">
      <w:start w:val="1"/>
      <w:numFmt w:val="lowerRoman"/>
      <w:lvlText w:val="%6."/>
      <w:lvlJc w:val="right"/>
      <w:pPr>
        <w:ind w:left="4433" w:hanging="180"/>
      </w:pPr>
    </w:lvl>
    <w:lvl w:ilvl="6" w:tplc="0406000F" w:tentative="1">
      <w:start w:val="1"/>
      <w:numFmt w:val="decimal"/>
      <w:lvlText w:val="%7."/>
      <w:lvlJc w:val="left"/>
      <w:pPr>
        <w:ind w:left="5153" w:hanging="360"/>
      </w:pPr>
    </w:lvl>
    <w:lvl w:ilvl="7" w:tplc="04060019" w:tentative="1">
      <w:start w:val="1"/>
      <w:numFmt w:val="lowerLetter"/>
      <w:lvlText w:val="%8."/>
      <w:lvlJc w:val="left"/>
      <w:pPr>
        <w:ind w:left="5873" w:hanging="360"/>
      </w:pPr>
    </w:lvl>
    <w:lvl w:ilvl="8" w:tplc="0406001B" w:tentative="1">
      <w:start w:val="1"/>
      <w:numFmt w:val="lowerRoman"/>
      <w:lvlText w:val="%9."/>
      <w:lvlJc w:val="right"/>
      <w:pPr>
        <w:ind w:left="6593" w:hanging="180"/>
      </w:pPr>
    </w:lvl>
  </w:abstractNum>
  <w:abstractNum w:abstractNumId="1" w15:restartNumberingAfterBreak="0">
    <w:nsid w:val="025F293F"/>
    <w:multiLevelType w:val="hybridMultilevel"/>
    <w:tmpl w:val="0332CD76"/>
    <w:lvl w:ilvl="0" w:tplc="A404C6E6">
      <w:start w:val="1"/>
      <w:numFmt w:val="decimal"/>
      <w:lvlText w:val="%1."/>
      <w:lvlJc w:val="left"/>
      <w:pPr>
        <w:ind w:left="1070"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2" w15:restartNumberingAfterBreak="0">
    <w:nsid w:val="02B91647"/>
    <w:multiLevelType w:val="hybridMultilevel"/>
    <w:tmpl w:val="457E65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E41601"/>
    <w:multiLevelType w:val="hybridMultilevel"/>
    <w:tmpl w:val="6D0CE6BC"/>
    <w:lvl w:ilvl="0" w:tplc="5F48DE8E">
      <w:start w:val="1"/>
      <w:numFmt w:val="decimal"/>
      <w:lvlText w:val="%1."/>
      <w:lvlJc w:val="left"/>
      <w:pPr>
        <w:ind w:left="420" w:hanging="360"/>
      </w:pPr>
      <w:rPr>
        <w:rFonts w:hint="default"/>
        <w:b/>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4" w15:restartNumberingAfterBreak="0">
    <w:nsid w:val="139E4B14"/>
    <w:multiLevelType w:val="multilevel"/>
    <w:tmpl w:val="02E6ABEE"/>
    <w:lvl w:ilvl="0">
      <w:start w:val="1"/>
      <w:numFmt w:val="decimal"/>
      <w:lvlText w:val="%1."/>
      <w:lvlJc w:val="left"/>
      <w:pPr>
        <w:ind w:left="720" w:hanging="360"/>
      </w:pPr>
      <w:rPr>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961DC0"/>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9234FE"/>
    <w:multiLevelType w:val="hybridMultilevel"/>
    <w:tmpl w:val="00BED2DC"/>
    <w:lvl w:ilvl="0" w:tplc="F942F2E0">
      <w:start w:val="1"/>
      <w:numFmt w:val="decimal"/>
      <w:lvlText w:val="%1)"/>
      <w:lvlJc w:val="left"/>
      <w:pPr>
        <w:ind w:left="1070" w:hanging="360"/>
      </w:pPr>
      <w:rPr>
        <w:rFonts w:hint="default"/>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7" w15:restartNumberingAfterBreak="0">
    <w:nsid w:val="320B123B"/>
    <w:multiLevelType w:val="multilevel"/>
    <w:tmpl w:val="2D624E66"/>
    <w:lvl w:ilvl="0">
      <w:start w:val="15"/>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0702A"/>
    <w:multiLevelType w:val="multilevel"/>
    <w:tmpl w:val="8A9CFBB4"/>
    <w:lvl w:ilvl="0">
      <w:start w:val="3"/>
      <w:numFmt w:val="decimal"/>
      <w:lvlText w:val="%1."/>
      <w:lvlJc w:val="left"/>
      <w:pPr>
        <w:ind w:left="682" w:hanging="540"/>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942" w:hanging="180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10" w15:restartNumberingAfterBreak="0">
    <w:nsid w:val="390831E1"/>
    <w:multiLevelType w:val="multilevel"/>
    <w:tmpl w:val="695AFB2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CD5663F"/>
    <w:multiLevelType w:val="multilevel"/>
    <w:tmpl w:val="254AEE1E"/>
    <w:lvl w:ilvl="0">
      <w:start w:val="1"/>
      <w:numFmt w:val="decimal"/>
      <w:lvlText w:val="%1."/>
      <w:lvlJc w:val="left"/>
      <w:pPr>
        <w:ind w:left="473" w:hanging="360"/>
      </w:pPr>
    </w:lvl>
    <w:lvl w:ilvl="1">
      <w:start w:val="1"/>
      <w:numFmt w:val="decimal"/>
      <w:isLgl/>
      <w:lvlText w:val="%1.%2."/>
      <w:lvlJc w:val="left"/>
      <w:pPr>
        <w:ind w:left="847" w:hanging="720"/>
      </w:pPr>
      <w:rPr>
        <w:rFonts w:hint="default"/>
      </w:rPr>
    </w:lvl>
    <w:lvl w:ilvl="2">
      <w:start w:val="2"/>
      <w:numFmt w:val="decimal"/>
      <w:isLgl/>
      <w:lvlText w:val="%1.%2.%3."/>
      <w:lvlJc w:val="left"/>
      <w:pPr>
        <w:ind w:left="861" w:hanging="720"/>
      </w:pPr>
      <w:rPr>
        <w:rFonts w:hint="default"/>
      </w:rPr>
    </w:lvl>
    <w:lvl w:ilvl="3">
      <w:start w:val="1"/>
      <w:numFmt w:val="decimal"/>
      <w:isLgl/>
      <w:lvlText w:val="%1.%2.%3.%4."/>
      <w:lvlJc w:val="left"/>
      <w:pPr>
        <w:ind w:left="1235" w:hanging="1080"/>
      </w:pPr>
      <w:rPr>
        <w:rFonts w:hint="default"/>
      </w:rPr>
    </w:lvl>
    <w:lvl w:ilvl="4">
      <w:start w:val="1"/>
      <w:numFmt w:val="decimal"/>
      <w:isLgl/>
      <w:lvlText w:val="%1.%2.%3.%4.%5."/>
      <w:lvlJc w:val="left"/>
      <w:pPr>
        <w:ind w:left="1249" w:hanging="1080"/>
      </w:pPr>
      <w:rPr>
        <w:rFonts w:hint="default"/>
      </w:rPr>
    </w:lvl>
    <w:lvl w:ilvl="5">
      <w:start w:val="1"/>
      <w:numFmt w:val="decimal"/>
      <w:isLgl/>
      <w:lvlText w:val="%1.%2.%3.%4.%5.%6."/>
      <w:lvlJc w:val="left"/>
      <w:pPr>
        <w:ind w:left="1623" w:hanging="1440"/>
      </w:pPr>
      <w:rPr>
        <w:rFonts w:hint="default"/>
      </w:rPr>
    </w:lvl>
    <w:lvl w:ilvl="6">
      <w:start w:val="1"/>
      <w:numFmt w:val="decimal"/>
      <w:isLgl/>
      <w:lvlText w:val="%1.%2.%3.%4.%5.%6.%7."/>
      <w:lvlJc w:val="left"/>
      <w:pPr>
        <w:ind w:left="1997" w:hanging="1800"/>
      </w:pPr>
      <w:rPr>
        <w:rFonts w:hint="default"/>
      </w:rPr>
    </w:lvl>
    <w:lvl w:ilvl="7">
      <w:start w:val="1"/>
      <w:numFmt w:val="decimal"/>
      <w:isLgl/>
      <w:lvlText w:val="%1.%2.%3.%4.%5.%6.%7.%8."/>
      <w:lvlJc w:val="left"/>
      <w:pPr>
        <w:ind w:left="2011" w:hanging="1800"/>
      </w:pPr>
      <w:rPr>
        <w:rFonts w:hint="default"/>
      </w:rPr>
    </w:lvl>
    <w:lvl w:ilvl="8">
      <w:start w:val="1"/>
      <w:numFmt w:val="decimal"/>
      <w:isLgl/>
      <w:lvlText w:val="%1.%2.%3.%4.%5.%6.%7.%8.%9."/>
      <w:lvlJc w:val="left"/>
      <w:pPr>
        <w:ind w:left="2385" w:hanging="2160"/>
      </w:pPr>
      <w:rPr>
        <w:rFonts w:hint="default"/>
      </w:rPr>
    </w:lvl>
  </w:abstractNum>
  <w:abstractNum w:abstractNumId="12" w15:restartNumberingAfterBreak="0">
    <w:nsid w:val="48151043"/>
    <w:multiLevelType w:val="hybridMultilevel"/>
    <w:tmpl w:val="25AA661C"/>
    <w:lvl w:ilvl="0" w:tplc="BB240BA8">
      <w:start w:val="10"/>
      <w:numFmt w:val="decimal"/>
      <w:lvlText w:val="%1."/>
      <w:lvlJc w:val="left"/>
      <w:pPr>
        <w:ind w:left="360" w:hanging="360"/>
      </w:pPr>
      <w:rPr>
        <w:rFonts w:hint="default"/>
        <w:b/>
      </w:rPr>
    </w:lvl>
    <w:lvl w:ilvl="1" w:tplc="04060019" w:tentative="1">
      <w:start w:val="1"/>
      <w:numFmt w:val="lowerLetter"/>
      <w:lvlText w:val="%2."/>
      <w:lvlJc w:val="left"/>
      <w:pPr>
        <w:ind w:left="1014" w:hanging="360"/>
      </w:pPr>
    </w:lvl>
    <w:lvl w:ilvl="2" w:tplc="0406001B" w:tentative="1">
      <w:start w:val="1"/>
      <w:numFmt w:val="lowerRoman"/>
      <w:lvlText w:val="%3."/>
      <w:lvlJc w:val="right"/>
      <w:pPr>
        <w:ind w:left="1734" w:hanging="180"/>
      </w:pPr>
    </w:lvl>
    <w:lvl w:ilvl="3" w:tplc="0406000F" w:tentative="1">
      <w:start w:val="1"/>
      <w:numFmt w:val="decimal"/>
      <w:lvlText w:val="%4."/>
      <w:lvlJc w:val="left"/>
      <w:pPr>
        <w:ind w:left="2454" w:hanging="360"/>
      </w:pPr>
    </w:lvl>
    <w:lvl w:ilvl="4" w:tplc="04060019" w:tentative="1">
      <w:start w:val="1"/>
      <w:numFmt w:val="lowerLetter"/>
      <w:lvlText w:val="%5."/>
      <w:lvlJc w:val="left"/>
      <w:pPr>
        <w:ind w:left="3174" w:hanging="360"/>
      </w:pPr>
    </w:lvl>
    <w:lvl w:ilvl="5" w:tplc="0406001B" w:tentative="1">
      <w:start w:val="1"/>
      <w:numFmt w:val="lowerRoman"/>
      <w:lvlText w:val="%6."/>
      <w:lvlJc w:val="right"/>
      <w:pPr>
        <w:ind w:left="3894" w:hanging="180"/>
      </w:pPr>
    </w:lvl>
    <w:lvl w:ilvl="6" w:tplc="0406000F" w:tentative="1">
      <w:start w:val="1"/>
      <w:numFmt w:val="decimal"/>
      <w:lvlText w:val="%7."/>
      <w:lvlJc w:val="left"/>
      <w:pPr>
        <w:ind w:left="4614" w:hanging="360"/>
      </w:pPr>
    </w:lvl>
    <w:lvl w:ilvl="7" w:tplc="04060019" w:tentative="1">
      <w:start w:val="1"/>
      <w:numFmt w:val="lowerLetter"/>
      <w:lvlText w:val="%8."/>
      <w:lvlJc w:val="left"/>
      <w:pPr>
        <w:ind w:left="5334" w:hanging="360"/>
      </w:pPr>
    </w:lvl>
    <w:lvl w:ilvl="8" w:tplc="0406001B" w:tentative="1">
      <w:start w:val="1"/>
      <w:numFmt w:val="lowerRoman"/>
      <w:lvlText w:val="%9."/>
      <w:lvlJc w:val="right"/>
      <w:pPr>
        <w:ind w:left="6054" w:hanging="180"/>
      </w:pPr>
    </w:lvl>
  </w:abstractNum>
  <w:abstractNum w:abstractNumId="13" w15:restartNumberingAfterBreak="0">
    <w:nsid w:val="4A572C85"/>
    <w:multiLevelType w:val="hybridMultilevel"/>
    <w:tmpl w:val="69C406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D25151F"/>
    <w:multiLevelType w:val="multilevel"/>
    <w:tmpl w:val="D458D968"/>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FFD47ED"/>
    <w:multiLevelType w:val="hybridMultilevel"/>
    <w:tmpl w:val="570E33EE"/>
    <w:lvl w:ilvl="0" w:tplc="0406000F">
      <w:start w:val="1"/>
      <w:numFmt w:val="decimal"/>
      <w:lvlText w:val="%1."/>
      <w:lvlJc w:val="left"/>
      <w:pPr>
        <w:ind w:left="473" w:hanging="360"/>
      </w:pPr>
      <w:rPr>
        <w:rFonts w:hint="default"/>
      </w:rPr>
    </w:lvl>
    <w:lvl w:ilvl="1" w:tplc="04060019" w:tentative="1">
      <w:start w:val="1"/>
      <w:numFmt w:val="lowerLetter"/>
      <w:lvlText w:val="%2."/>
      <w:lvlJc w:val="left"/>
      <w:pPr>
        <w:ind w:left="1193" w:hanging="360"/>
      </w:pPr>
    </w:lvl>
    <w:lvl w:ilvl="2" w:tplc="0406001B" w:tentative="1">
      <w:start w:val="1"/>
      <w:numFmt w:val="lowerRoman"/>
      <w:lvlText w:val="%3."/>
      <w:lvlJc w:val="right"/>
      <w:pPr>
        <w:ind w:left="1913" w:hanging="180"/>
      </w:pPr>
    </w:lvl>
    <w:lvl w:ilvl="3" w:tplc="0406000F" w:tentative="1">
      <w:start w:val="1"/>
      <w:numFmt w:val="decimal"/>
      <w:lvlText w:val="%4."/>
      <w:lvlJc w:val="left"/>
      <w:pPr>
        <w:ind w:left="2633" w:hanging="360"/>
      </w:pPr>
    </w:lvl>
    <w:lvl w:ilvl="4" w:tplc="04060019" w:tentative="1">
      <w:start w:val="1"/>
      <w:numFmt w:val="lowerLetter"/>
      <w:lvlText w:val="%5."/>
      <w:lvlJc w:val="left"/>
      <w:pPr>
        <w:ind w:left="3353" w:hanging="360"/>
      </w:pPr>
    </w:lvl>
    <w:lvl w:ilvl="5" w:tplc="0406001B" w:tentative="1">
      <w:start w:val="1"/>
      <w:numFmt w:val="lowerRoman"/>
      <w:lvlText w:val="%6."/>
      <w:lvlJc w:val="right"/>
      <w:pPr>
        <w:ind w:left="4073" w:hanging="180"/>
      </w:pPr>
    </w:lvl>
    <w:lvl w:ilvl="6" w:tplc="0406000F" w:tentative="1">
      <w:start w:val="1"/>
      <w:numFmt w:val="decimal"/>
      <w:lvlText w:val="%7."/>
      <w:lvlJc w:val="left"/>
      <w:pPr>
        <w:ind w:left="4793" w:hanging="360"/>
      </w:pPr>
    </w:lvl>
    <w:lvl w:ilvl="7" w:tplc="04060019" w:tentative="1">
      <w:start w:val="1"/>
      <w:numFmt w:val="lowerLetter"/>
      <w:lvlText w:val="%8."/>
      <w:lvlJc w:val="left"/>
      <w:pPr>
        <w:ind w:left="5513" w:hanging="360"/>
      </w:pPr>
    </w:lvl>
    <w:lvl w:ilvl="8" w:tplc="0406001B" w:tentative="1">
      <w:start w:val="1"/>
      <w:numFmt w:val="lowerRoman"/>
      <w:lvlText w:val="%9."/>
      <w:lvlJc w:val="right"/>
      <w:pPr>
        <w:ind w:left="6233" w:hanging="180"/>
      </w:pPr>
    </w:lvl>
  </w:abstractNum>
  <w:abstractNum w:abstractNumId="16" w15:restartNumberingAfterBreak="0">
    <w:nsid w:val="60074346"/>
    <w:multiLevelType w:val="hybridMultilevel"/>
    <w:tmpl w:val="BA2E1B7C"/>
    <w:lvl w:ilvl="0" w:tplc="8C807D6A">
      <w:start w:val="1"/>
      <w:numFmt w:val="decimal"/>
      <w:lvlText w:val="%1)"/>
      <w:lvlJc w:val="left"/>
      <w:pPr>
        <w:ind w:left="473" w:hanging="360"/>
      </w:pPr>
      <w:rPr>
        <w:rFonts w:hint="default"/>
      </w:rPr>
    </w:lvl>
    <w:lvl w:ilvl="1" w:tplc="04060019" w:tentative="1">
      <w:start w:val="1"/>
      <w:numFmt w:val="lowerLetter"/>
      <w:lvlText w:val="%2."/>
      <w:lvlJc w:val="left"/>
      <w:pPr>
        <w:ind w:left="1193" w:hanging="360"/>
      </w:pPr>
    </w:lvl>
    <w:lvl w:ilvl="2" w:tplc="0406001B" w:tentative="1">
      <w:start w:val="1"/>
      <w:numFmt w:val="lowerRoman"/>
      <w:lvlText w:val="%3."/>
      <w:lvlJc w:val="right"/>
      <w:pPr>
        <w:ind w:left="1913" w:hanging="180"/>
      </w:pPr>
    </w:lvl>
    <w:lvl w:ilvl="3" w:tplc="0406000F" w:tentative="1">
      <w:start w:val="1"/>
      <w:numFmt w:val="decimal"/>
      <w:lvlText w:val="%4."/>
      <w:lvlJc w:val="left"/>
      <w:pPr>
        <w:ind w:left="2633" w:hanging="360"/>
      </w:pPr>
    </w:lvl>
    <w:lvl w:ilvl="4" w:tplc="04060019" w:tentative="1">
      <w:start w:val="1"/>
      <w:numFmt w:val="lowerLetter"/>
      <w:lvlText w:val="%5."/>
      <w:lvlJc w:val="left"/>
      <w:pPr>
        <w:ind w:left="3353" w:hanging="360"/>
      </w:pPr>
    </w:lvl>
    <w:lvl w:ilvl="5" w:tplc="0406001B" w:tentative="1">
      <w:start w:val="1"/>
      <w:numFmt w:val="lowerRoman"/>
      <w:lvlText w:val="%6."/>
      <w:lvlJc w:val="right"/>
      <w:pPr>
        <w:ind w:left="4073" w:hanging="180"/>
      </w:pPr>
    </w:lvl>
    <w:lvl w:ilvl="6" w:tplc="0406000F" w:tentative="1">
      <w:start w:val="1"/>
      <w:numFmt w:val="decimal"/>
      <w:lvlText w:val="%7."/>
      <w:lvlJc w:val="left"/>
      <w:pPr>
        <w:ind w:left="4793" w:hanging="360"/>
      </w:pPr>
    </w:lvl>
    <w:lvl w:ilvl="7" w:tplc="04060019" w:tentative="1">
      <w:start w:val="1"/>
      <w:numFmt w:val="lowerLetter"/>
      <w:lvlText w:val="%8."/>
      <w:lvlJc w:val="left"/>
      <w:pPr>
        <w:ind w:left="5513" w:hanging="360"/>
      </w:pPr>
    </w:lvl>
    <w:lvl w:ilvl="8" w:tplc="0406001B" w:tentative="1">
      <w:start w:val="1"/>
      <w:numFmt w:val="lowerRoman"/>
      <w:lvlText w:val="%9."/>
      <w:lvlJc w:val="right"/>
      <w:pPr>
        <w:ind w:left="6233" w:hanging="180"/>
      </w:pPr>
    </w:lvl>
  </w:abstractNum>
  <w:abstractNum w:abstractNumId="17" w15:restartNumberingAfterBreak="0">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26E3245"/>
    <w:multiLevelType w:val="hybridMultilevel"/>
    <w:tmpl w:val="CA468CE6"/>
    <w:lvl w:ilvl="0" w:tplc="B42480DA">
      <w:start w:val="1"/>
      <w:numFmt w:val="decimal"/>
      <w:lvlText w:val="%1."/>
      <w:lvlJc w:val="left"/>
      <w:pPr>
        <w:ind w:left="1070"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num w:numId="1">
    <w:abstractNumId w:val="8"/>
  </w:num>
  <w:num w:numId="2">
    <w:abstractNumId w:val="17"/>
  </w:num>
  <w:num w:numId="3">
    <w:abstractNumId w:val="2"/>
  </w:num>
  <w:num w:numId="4">
    <w:abstractNumId w:val="18"/>
  </w:num>
  <w:num w:numId="5">
    <w:abstractNumId w:val="7"/>
  </w:num>
  <w:num w:numId="6">
    <w:abstractNumId w:val="5"/>
  </w:num>
  <w:num w:numId="7">
    <w:abstractNumId w:val="9"/>
  </w:num>
  <w:num w:numId="8">
    <w:abstractNumId w:val="0"/>
  </w:num>
  <w:num w:numId="9">
    <w:abstractNumId w:val="4"/>
  </w:num>
  <w:num w:numId="10">
    <w:abstractNumId w:val="14"/>
  </w:num>
  <w:num w:numId="11">
    <w:abstractNumId w:val="13"/>
  </w:num>
  <w:num w:numId="12">
    <w:abstractNumId w:val="16"/>
  </w:num>
  <w:num w:numId="13">
    <w:abstractNumId w:val="10"/>
  </w:num>
  <w:num w:numId="14">
    <w:abstractNumId w:val="12"/>
  </w:num>
  <w:num w:numId="15">
    <w:abstractNumId w:val="6"/>
  </w:num>
  <w:num w:numId="16">
    <w:abstractNumId w:val="1"/>
  </w:num>
  <w:num w:numId="17">
    <w:abstractNumId w:val="15"/>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B7"/>
    <w:rsid w:val="00001FB6"/>
    <w:rsid w:val="00002DB3"/>
    <w:rsid w:val="000063D7"/>
    <w:rsid w:val="00013488"/>
    <w:rsid w:val="000140B2"/>
    <w:rsid w:val="00023E32"/>
    <w:rsid w:val="00024BD6"/>
    <w:rsid w:val="00026CEB"/>
    <w:rsid w:val="0003118E"/>
    <w:rsid w:val="00043CF4"/>
    <w:rsid w:val="00064C13"/>
    <w:rsid w:val="00084CEE"/>
    <w:rsid w:val="00085CF3"/>
    <w:rsid w:val="000862FA"/>
    <w:rsid w:val="000974D3"/>
    <w:rsid w:val="000A13BC"/>
    <w:rsid w:val="000A685B"/>
    <w:rsid w:val="000A6FC3"/>
    <w:rsid w:val="000A75BB"/>
    <w:rsid w:val="000B22C5"/>
    <w:rsid w:val="000B3330"/>
    <w:rsid w:val="000B5014"/>
    <w:rsid w:val="000D7F36"/>
    <w:rsid w:val="000F7A1B"/>
    <w:rsid w:val="001038E2"/>
    <w:rsid w:val="00106C91"/>
    <w:rsid w:val="00112C82"/>
    <w:rsid w:val="00113041"/>
    <w:rsid w:val="00114896"/>
    <w:rsid w:val="00116F87"/>
    <w:rsid w:val="00117C66"/>
    <w:rsid w:val="00127623"/>
    <w:rsid w:val="00127A81"/>
    <w:rsid w:val="00141807"/>
    <w:rsid w:val="00156876"/>
    <w:rsid w:val="00162200"/>
    <w:rsid w:val="001711BF"/>
    <w:rsid w:val="001736AD"/>
    <w:rsid w:val="001816CA"/>
    <w:rsid w:val="00182A8A"/>
    <w:rsid w:val="001862EF"/>
    <w:rsid w:val="001877EC"/>
    <w:rsid w:val="001926AD"/>
    <w:rsid w:val="001937AD"/>
    <w:rsid w:val="00193EE6"/>
    <w:rsid w:val="00194A1E"/>
    <w:rsid w:val="001A3FBB"/>
    <w:rsid w:val="001B429E"/>
    <w:rsid w:val="001B541B"/>
    <w:rsid w:val="001B65D6"/>
    <w:rsid w:val="001C61DF"/>
    <w:rsid w:val="001F14F9"/>
    <w:rsid w:val="001F2926"/>
    <w:rsid w:val="001F6BD4"/>
    <w:rsid w:val="001F7B93"/>
    <w:rsid w:val="00200835"/>
    <w:rsid w:val="00214035"/>
    <w:rsid w:val="00220431"/>
    <w:rsid w:val="00220636"/>
    <w:rsid w:val="00236FD0"/>
    <w:rsid w:val="00242E01"/>
    <w:rsid w:val="00251AE4"/>
    <w:rsid w:val="002540C7"/>
    <w:rsid w:val="0025634B"/>
    <w:rsid w:val="002953C6"/>
    <w:rsid w:val="002A0098"/>
    <w:rsid w:val="002A1CF0"/>
    <w:rsid w:val="002A213D"/>
    <w:rsid w:val="002B065C"/>
    <w:rsid w:val="002B175C"/>
    <w:rsid w:val="002B1F9C"/>
    <w:rsid w:val="002C3399"/>
    <w:rsid w:val="002D2083"/>
    <w:rsid w:val="002E0342"/>
    <w:rsid w:val="002E5BC2"/>
    <w:rsid w:val="002F1D67"/>
    <w:rsid w:val="002F4408"/>
    <w:rsid w:val="002F497E"/>
    <w:rsid w:val="003114F3"/>
    <w:rsid w:val="00311EAC"/>
    <w:rsid w:val="003157FC"/>
    <w:rsid w:val="003351C9"/>
    <w:rsid w:val="003379D0"/>
    <w:rsid w:val="00337B4E"/>
    <w:rsid w:val="00337CA0"/>
    <w:rsid w:val="003432D6"/>
    <w:rsid w:val="00343B7B"/>
    <w:rsid w:val="00351BE0"/>
    <w:rsid w:val="00363750"/>
    <w:rsid w:val="00365EB5"/>
    <w:rsid w:val="00377733"/>
    <w:rsid w:val="0037793C"/>
    <w:rsid w:val="00396AAE"/>
    <w:rsid w:val="003B3892"/>
    <w:rsid w:val="003B5CB1"/>
    <w:rsid w:val="003C1D0D"/>
    <w:rsid w:val="003D422F"/>
    <w:rsid w:val="003E6912"/>
    <w:rsid w:val="003F0B82"/>
    <w:rsid w:val="003F50E8"/>
    <w:rsid w:val="003F7EE5"/>
    <w:rsid w:val="004049C3"/>
    <w:rsid w:val="00415CCB"/>
    <w:rsid w:val="00426115"/>
    <w:rsid w:val="0042630F"/>
    <w:rsid w:val="00435E6D"/>
    <w:rsid w:val="0044606E"/>
    <w:rsid w:val="00456358"/>
    <w:rsid w:val="00477BFA"/>
    <w:rsid w:val="004837CA"/>
    <w:rsid w:val="00492EA4"/>
    <w:rsid w:val="004B0100"/>
    <w:rsid w:val="004B100F"/>
    <w:rsid w:val="004B2432"/>
    <w:rsid w:val="004B512A"/>
    <w:rsid w:val="004B7FFA"/>
    <w:rsid w:val="004D2A52"/>
    <w:rsid w:val="004D58C5"/>
    <w:rsid w:val="004D7924"/>
    <w:rsid w:val="004F2D60"/>
    <w:rsid w:val="004F6A1A"/>
    <w:rsid w:val="00500EAC"/>
    <w:rsid w:val="00503522"/>
    <w:rsid w:val="00513ABE"/>
    <w:rsid w:val="00515538"/>
    <w:rsid w:val="00516FAD"/>
    <w:rsid w:val="0051752C"/>
    <w:rsid w:val="00526174"/>
    <w:rsid w:val="0053050C"/>
    <w:rsid w:val="00542797"/>
    <w:rsid w:val="00545057"/>
    <w:rsid w:val="00547A82"/>
    <w:rsid w:val="00554655"/>
    <w:rsid w:val="00555405"/>
    <w:rsid w:val="005713AB"/>
    <w:rsid w:val="0059046C"/>
    <w:rsid w:val="0059234E"/>
    <w:rsid w:val="00592A41"/>
    <w:rsid w:val="005954ED"/>
    <w:rsid w:val="00596A82"/>
    <w:rsid w:val="005A3666"/>
    <w:rsid w:val="005A4894"/>
    <w:rsid w:val="005A770F"/>
    <w:rsid w:val="005B1D4E"/>
    <w:rsid w:val="005B1F30"/>
    <w:rsid w:val="005B4412"/>
    <w:rsid w:val="005D22FD"/>
    <w:rsid w:val="005D3323"/>
    <w:rsid w:val="005E5914"/>
    <w:rsid w:val="005E6B29"/>
    <w:rsid w:val="005F1418"/>
    <w:rsid w:val="005F1FCC"/>
    <w:rsid w:val="005F7B23"/>
    <w:rsid w:val="0061329C"/>
    <w:rsid w:val="00616D97"/>
    <w:rsid w:val="00621DD3"/>
    <w:rsid w:val="00632A7C"/>
    <w:rsid w:val="00650CCE"/>
    <w:rsid w:val="006555FB"/>
    <w:rsid w:val="00657FA3"/>
    <w:rsid w:val="00667589"/>
    <w:rsid w:val="00674632"/>
    <w:rsid w:val="00695D09"/>
    <w:rsid w:val="00696411"/>
    <w:rsid w:val="00696BC5"/>
    <w:rsid w:val="006B1874"/>
    <w:rsid w:val="006C25EC"/>
    <w:rsid w:val="006D3F24"/>
    <w:rsid w:val="006D5331"/>
    <w:rsid w:val="007107D2"/>
    <w:rsid w:val="00712ED5"/>
    <w:rsid w:val="00714400"/>
    <w:rsid w:val="007151E0"/>
    <w:rsid w:val="00716011"/>
    <w:rsid w:val="007179D8"/>
    <w:rsid w:val="00724929"/>
    <w:rsid w:val="00741899"/>
    <w:rsid w:val="00772BEE"/>
    <w:rsid w:val="00772D74"/>
    <w:rsid w:val="00775C0C"/>
    <w:rsid w:val="00782BCC"/>
    <w:rsid w:val="007919F7"/>
    <w:rsid w:val="00793403"/>
    <w:rsid w:val="007A659F"/>
    <w:rsid w:val="007B42E4"/>
    <w:rsid w:val="007B5645"/>
    <w:rsid w:val="007C1779"/>
    <w:rsid w:val="007C7F5C"/>
    <w:rsid w:val="007E1E67"/>
    <w:rsid w:val="007E2601"/>
    <w:rsid w:val="007F014B"/>
    <w:rsid w:val="007F32CE"/>
    <w:rsid w:val="007F5631"/>
    <w:rsid w:val="007F66A7"/>
    <w:rsid w:val="008031C8"/>
    <w:rsid w:val="00803952"/>
    <w:rsid w:val="008064D9"/>
    <w:rsid w:val="008147ED"/>
    <w:rsid w:val="0082244A"/>
    <w:rsid w:val="00836929"/>
    <w:rsid w:val="00837BF4"/>
    <w:rsid w:val="008438B9"/>
    <w:rsid w:val="00843F6E"/>
    <w:rsid w:val="008534D4"/>
    <w:rsid w:val="008556D7"/>
    <w:rsid w:val="00860B69"/>
    <w:rsid w:val="0086134E"/>
    <w:rsid w:val="00861F50"/>
    <w:rsid w:val="008711AA"/>
    <w:rsid w:val="00875266"/>
    <w:rsid w:val="0088280D"/>
    <w:rsid w:val="00885F8B"/>
    <w:rsid w:val="00890AB8"/>
    <w:rsid w:val="00891D12"/>
    <w:rsid w:val="00892868"/>
    <w:rsid w:val="00894F43"/>
    <w:rsid w:val="008A238D"/>
    <w:rsid w:val="008B5242"/>
    <w:rsid w:val="008C2162"/>
    <w:rsid w:val="008C3705"/>
    <w:rsid w:val="008C4694"/>
    <w:rsid w:val="008D761F"/>
    <w:rsid w:val="008E1AF4"/>
    <w:rsid w:val="008E41F3"/>
    <w:rsid w:val="008E4A02"/>
    <w:rsid w:val="008E5614"/>
    <w:rsid w:val="008E7589"/>
    <w:rsid w:val="0090472D"/>
    <w:rsid w:val="00907FEB"/>
    <w:rsid w:val="00926D9C"/>
    <w:rsid w:val="00932909"/>
    <w:rsid w:val="00950EE7"/>
    <w:rsid w:val="00951C47"/>
    <w:rsid w:val="00957C78"/>
    <w:rsid w:val="00960458"/>
    <w:rsid w:val="00962EAE"/>
    <w:rsid w:val="009700F2"/>
    <w:rsid w:val="00973AEB"/>
    <w:rsid w:val="00983792"/>
    <w:rsid w:val="00985C94"/>
    <w:rsid w:val="00987BC0"/>
    <w:rsid w:val="00990055"/>
    <w:rsid w:val="00992EBB"/>
    <w:rsid w:val="00996257"/>
    <w:rsid w:val="009965E8"/>
    <w:rsid w:val="00996C23"/>
    <w:rsid w:val="009971D5"/>
    <w:rsid w:val="009B0F2C"/>
    <w:rsid w:val="009B7984"/>
    <w:rsid w:val="009C03DC"/>
    <w:rsid w:val="009D0AD4"/>
    <w:rsid w:val="009D5526"/>
    <w:rsid w:val="009E1A2B"/>
    <w:rsid w:val="009E42D9"/>
    <w:rsid w:val="009F0393"/>
    <w:rsid w:val="009F34AF"/>
    <w:rsid w:val="009F5380"/>
    <w:rsid w:val="009F63D1"/>
    <w:rsid w:val="00A00279"/>
    <w:rsid w:val="00A0050F"/>
    <w:rsid w:val="00A06B8D"/>
    <w:rsid w:val="00A10953"/>
    <w:rsid w:val="00A274B2"/>
    <w:rsid w:val="00A45FB3"/>
    <w:rsid w:val="00A5253D"/>
    <w:rsid w:val="00A62193"/>
    <w:rsid w:val="00A65161"/>
    <w:rsid w:val="00A72531"/>
    <w:rsid w:val="00A72A20"/>
    <w:rsid w:val="00A7706D"/>
    <w:rsid w:val="00A83B36"/>
    <w:rsid w:val="00A95607"/>
    <w:rsid w:val="00AA1BAA"/>
    <w:rsid w:val="00AC2D2E"/>
    <w:rsid w:val="00AD4D19"/>
    <w:rsid w:val="00AE0605"/>
    <w:rsid w:val="00AF4B85"/>
    <w:rsid w:val="00AF646C"/>
    <w:rsid w:val="00B21446"/>
    <w:rsid w:val="00B2621F"/>
    <w:rsid w:val="00B343B1"/>
    <w:rsid w:val="00B449F0"/>
    <w:rsid w:val="00B4702F"/>
    <w:rsid w:val="00B47466"/>
    <w:rsid w:val="00B541A5"/>
    <w:rsid w:val="00B56056"/>
    <w:rsid w:val="00B564FB"/>
    <w:rsid w:val="00B60904"/>
    <w:rsid w:val="00B64472"/>
    <w:rsid w:val="00B66B92"/>
    <w:rsid w:val="00B71D1C"/>
    <w:rsid w:val="00B76893"/>
    <w:rsid w:val="00B81FA6"/>
    <w:rsid w:val="00BA2408"/>
    <w:rsid w:val="00BB3C39"/>
    <w:rsid w:val="00BC30B9"/>
    <w:rsid w:val="00BD0876"/>
    <w:rsid w:val="00BD0A36"/>
    <w:rsid w:val="00BD0F3B"/>
    <w:rsid w:val="00BD29C7"/>
    <w:rsid w:val="00BF13FD"/>
    <w:rsid w:val="00BF6D4E"/>
    <w:rsid w:val="00C16539"/>
    <w:rsid w:val="00C2013E"/>
    <w:rsid w:val="00C21204"/>
    <w:rsid w:val="00C43A62"/>
    <w:rsid w:val="00C43DC6"/>
    <w:rsid w:val="00C52E1D"/>
    <w:rsid w:val="00C63617"/>
    <w:rsid w:val="00C63850"/>
    <w:rsid w:val="00C652D5"/>
    <w:rsid w:val="00C659CB"/>
    <w:rsid w:val="00C775BE"/>
    <w:rsid w:val="00C86874"/>
    <w:rsid w:val="00CA461A"/>
    <w:rsid w:val="00CA6532"/>
    <w:rsid w:val="00CB69C5"/>
    <w:rsid w:val="00CC2CA1"/>
    <w:rsid w:val="00CC3A47"/>
    <w:rsid w:val="00CC77D1"/>
    <w:rsid w:val="00CC7C16"/>
    <w:rsid w:val="00CD4A75"/>
    <w:rsid w:val="00CF7996"/>
    <w:rsid w:val="00D01EC1"/>
    <w:rsid w:val="00D16C97"/>
    <w:rsid w:val="00D2130E"/>
    <w:rsid w:val="00D218BA"/>
    <w:rsid w:val="00D22C77"/>
    <w:rsid w:val="00D25BD7"/>
    <w:rsid w:val="00D26F42"/>
    <w:rsid w:val="00D332A4"/>
    <w:rsid w:val="00D34851"/>
    <w:rsid w:val="00D36530"/>
    <w:rsid w:val="00D37C8F"/>
    <w:rsid w:val="00D41F58"/>
    <w:rsid w:val="00D44E90"/>
    <w:rsid w:val="00D461DA"/>
    <w:rsid w:val="00D56F36"/>
    <w:rsid w:val="00D65600"/>
    <w:rsid w:val="00D73A48"/>
    <w:rsid w:val="00D75AF7"/>
    <w:rsid w:val="00D83ED1"/>
    <w:rsid w:val="00D87939"/>
    <w:rsid w:val="00DB088C"/>
    <w:rsid w:val="00DC1528"/>
    <w:rsid w:val="00DC2DC2"/>
    <w:rsid w:val="00DC31BB"/>
    <w:rsid w:val="00DC3226"/>
    <w:rsid w:val="00DE3CE9"/>
    <w:rsid w:val="00DE5686"/>
    <w:rsid w:val="00DE7172"/>
    <w:rsid w:val="00DE7518"/>
    <w:rsid w:val="00DF0C02"/>
    <w:rsid w:val="00DF0F7F"/>
    <w:rsid w:val="00DF1856"/>
    <w:rsid w:val="00E04C76"/>
    <w:rsid w:val="00E07F73"/>
    <w:rsid w:val="00E146B7"/>
    <w:rsid w:val="00E147E0"/>
    <w:rsid w:val="00E235C4"/>
    <w:rsid w:val="00E35617"/>
    <w:rsid w:val="00E42991"/>
    <w:rsid w:val="00E433C0"/>
    <w:rsid w:val="00E43546"/>
    <w:rsid w:val="00E464A1"/>
    <w:rsid w:val="00E46F76"/>
    <w:rsid w:val="00E56745"/>
    <w:rsid w:val="00E5767A"/>
    <w:rsid w:val="00E6551C"/>
    <w:rsid w:val="00E65888"/>
    <w:rsid w:val="00E66D0D"/>
    <w:rsid w:val="00E6749B"/>
    <w:rsid w:val="00E84DC3"/>
    <w:rsid w:val="00E878A6"/>
    <w:rsid w:val="00E92220"/>
    <w:rsid w:val="00EA235D"/>
    <w:rsid w:val="00EA2DFA"/>
    <w:rsid w:val="00EA57B8"/>
    <w:rsid w:val="00EB1EB3"/>
    <w:rsid w:val="00EC3888"/>
    <w:rsid w:val="00EC4B4B"/>
    <w:rsid w:val="00EC705C"/>
    <w:rsid w:val="00ED6295"/>
    <w:rsid w:val="00EE6520"/>
    <w:rsid w:val="00EF1683"/>
    <w:rsid w:val="00F00128"/>
    <w:rsid w:val="00F005EA"/>
    <w:rsid w:val="00F06322"/>
    <w:rsid w:val="00F2543D"/>
    <w:rsid w:val="00F25E07"/>
    <w:rsid w:val="00F26EB7"/>
    <w:rsid w:val="00F33A7B"/>
    <w:rsid w:val="00F35522"/>
    <w:rsid w:val="00F51D26"/>
    <w:rsid w:val="00F65A2D"/>
    <w:rsid w:val="00F70F9A"/>
    <w:rsid w:val="00F710B4"/>
    <w:rsid w:val="00F83E21"/>
    <w:rsid w:val="00F856DE"/>
    <w:rsid w:val="00F874ED"/>
    <w:rsid w:val="00F930C7"/>
    <w:rsid w:val="00F9592D"/>
    <w:rsid w:val="00F97C67"/>
    <w:rsid w:val="00FA003F"/>
    <w:rsid w:val="00FB0192"/>
    <w:rsid w:val="00FD169C"/>
    <w:rsid w:val="00FF063C"/>
    <w:rsid w:val="00FF31FE"/>
    <w:rsid w:val="00FF5C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5D2"/>
  <w14:discardImageEditingData/>
  <w14:defaultImageDpi w14:val="150"/>
  <w15:chartTrackingRefBased/>
  <w15:docId w15:val="{BBEBF40A-522A-4305-84AB-255C458C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EB7"/>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medluft"/>
    <w:link w:val="Overskrift1Tegn"/>
    <w:qFormat/>
    <w:rsid w:val="00EA2DFA"/>
    <w:pPr>
      <w:keepNext/>
      <w:spacing w:after="280" w:line="280" w:lineRule="atLeast"/>
      <w:outlineLvl w:val="0"/>
    </w:pPr>
    <w:rPr>
      <w:rFonts w:ascii="Georgia" w:eastAsiaTheme="minorEastAsia" w:hAnsi="Georgia" w:cs="Arial"/>
      <w:b/>
      <w:bCs/>
      <w:color w:val="0D0D0D" w:themeColor="text1" w:themeTint="F2"/>
      <w:kern w:val="32"/>
      <w:sz w:val="21"/>
      <w:szCs w:val="32"/>
      <w:lang w:eastAsia="en-US"/>
    </w:rPr>
  </w:style>
  <w:style w:type="paragraph" w:styleId="Overskrift2">
    <w:name w:val="heading 2"/>
    <w:basedOn w:val="Normal"/>
    <w:next w:val="Normal-medluft"/>
    <w:link w:val="Overskrift2Tegn"/>
    <w:qFormat/>
    <w:rsid w:val="00EA2DFA"/>
    <w:pPr>
      <w:keepNext/>
      <w:spacing w:after="280" w:line="280" w:lineRule="atLeast"/>
      <w:outlineLvl w:val="1"/>
    </w:pPr>
    <w:rPr>
      <w:rFonts w:ascii="Georgia" w:eastAsiaTheme="minorEastAsia" w:hAnsi="Georgia" w:cs="Arial"/>
      <w:b/>
      <w:bCs/>
      <w:i/>
      <w:iCs/>
      <w:color w:val="0D0D0D" w:themeColor="text1" w:themeTint="F2"/>
      <w:sz w:val="21"/>
      <w:szCs w:val="28"/>
      <w:lang w:eastAsia="en-US"/>
    </w:rPr>
  </w:style>
  <w:style w:type="paragraph" w:styleId="Overskrift3">
    <w:name w:val="heading 3"/>
    <w:basedOn w:val="Normal"/>
    <w:next w:val="Normal-medluft"/>
    <w:link w:val="Overskrift3Tegn"/>
    <w:qFormat/>
    <w:rsid w:val="00EA2DFA"/>
    <w:pPr>
      <w:keepNext/>
      <w:spacing w:line="280" w:lineRule="atLeast"/>
      <w:outlineLvl w:val="2"/>
    </w:pPr>
    <w:rPr>
      <w:rFonts w:ascii="Georgia" w:eastAsiaTheme="minorEastAsia" w:hAnsi="Georgia" w:cs="Arial"/>
      <w:bCs/>
      <w:i/>
      <w:color w:val="0D0D0D" w:themeColor="text1" w:themeTint="F2"/>
      <w:sz w:val="21"/>
      <w:szCs w:val="26"/>
      <w:lang w:eastAsia="en-US"/>
    </w:rPr>
  </w:style>
  <w:style w:type="paragraph" w:styleId="Overskrift4">
    <w:name w:val="heading 4"/>
    <w:basedOn w:val="Normal"/>
    <w:next w:val="Normal"/>
    <w:link w:val="Overskrift4Tegn"/>
    <w:uiPriority w:val="9"/>
    <w:semiHidden/>
    <w:unhideWhenUsed/>
    <w:rsid w:val="00EA2DFA"/>
    <w:pPr>
      <w:keepNext/>
      <w:keepLines/>
      <w:spacing w:before="200" w:line="280" w:lineRule="atLeast"/>
      <w:outlineLvl w:val="3"/>
    </w:pPr>
    <w:rPr>
      <w:rFonts w:ascii="Georgia" w:eastAsiaTheme="majorEastAsia" w:hAnsi="Georgia" w:cstheme="majorBidi"/>
      <w:bCs/>
      <w:iCs/>
      <w:color w:val="0D0D0D" w:themeColor="text1" w:themeTint="F2"/>
      <w:sz w:val="21"/>
      <w:szCs w:val="21"/>
      <w:lang w:eastAsia="en-US"/>
    </w:rPr>
  </w:style>
  <w:style w:type="paragraph" w:styleId="Overskrift5">
    <w:name w:val="heading 5"/>
    <w:basedOn w:val="Normal"/>
    <w:next w:val="Normal"/>
    <w:link w:val="Overskrift5Tegn"/>
    <w:uiPriority w:val="9"/>
    <w:semiHidden/>
    <w:unhideWhenUsed/>
    <w:qFormat/>
    <w:rsid w:val="00EA2DFA"/>
    <w:pPr>
      <w:keepNext/>
      <w:keepLines/>
      <w:spacing w:before="200" w:line="280" w:lineRule="atLeast"/>
      <w:outlineLvl w:val="4"/>
    </w:pPr>
    <w:rPr>
      <w:rFonts w:ascii="Georgia" w:eastAsiaTheme="majorEastAsia" w:hAnsi="Georgia" w:cstheme="majorBidi"/>
      <w:color w:val="00536F" w:themeColor="accent1" w:themeShade="7F"/>
      <w:sz w:val="21"/>
      <w:szCs w:val="21"/>
      <w:lang w:eastAsia="en-US"/>
    </w:rPr>
  </w:style>
  <w:style w:type="paragraph" w:styleId="Overskrift6">
    <w:name w:val="heading 6"/>
    <w:basedOn w:val="Normal"/>
    <w:next w:val="Normal"/>
    <w:link w:val="Overskrift6Tegn"/>
    <w:uiPriority w:val="9"/>
    <w:semiHidden/>
    <w:unhideWhenUsed/>
    <w:qFormat/>
    <w:rsid w:val="00EA2DFA"/>
    <w:pPr>
      <w:keepNext/>
      <w:keepLines/>
      <w:spacing w:before="200" w:line="280" w:lineRule="atLeast"/>
      <w:outlineLvl w:val="5"/>
    </w:pPr>
    <w:rPr>
      <w:rFonts w:ascii="Georgia" w:eastAsiaTheme="majorEastAsia" w:hAnsi="Georgia" w:cstheme="majorBidi"/>
      <w:i/>
      <w:iCs/>
      <w:color w:val="00536F" w:themeColor="accent1" w:themeShade="7F"/>
      <w:sz w:val="21"/>
      <w:szCs w:val="21"/>
      <w:lang w:eastAsia="en-US"/>
    </w:rPr>
  </w:style>
  <w:style w:type="paragraph" w:styleId="Overskrift7">
    <w:name w:val="heading 7"/>
    <w:basedOn w:val="Normal"/>
    <w:next w:val="Normal"/>
    <w:link w:val="Overskrift7Tegn"/>
    <w:uiPriority w:val="9"/>
    <w:semiHidden/>
    <w:unhideWhenUsed/>
    <w:qFormat/>
    <w:rsid w:val="00EA2DFA"/>
    <w:pPr>
      <w:keepNext/>
      <w:keepLines/>
      <w:spacing w:before="200" w:line="280" w:lineRule="atLeast"/>
      <w:outlineLvl w:val="6"/>
    </w:pPr>
    <w:rPr>
      <w:rFonts w:ascii="Georgia" w:eastAsiaTheme="majorEastAsia" w:hAnsi="Georgia" w:cstheme="majorBidi"/>
      <w:i/>
      <w:iCs/>
      <w:color w:val="404040" w:themeColor="text1" w:themeTint="BF"/>
      <w:sz w:val="21"/>
      <w:szCs w:val="21"/>
      <w:lang w:eastAsia="en-US"/>
    </w:rPr>
  </w:style>
  <w:style w:type="paragraph" w:styleId="Overskrift8">
    <w:name w:val="heading 8"/>
    <w:basedOn w:val="Normal"/>
    <w:next w:val="Normal"/>
    <w:link w:val="Overskrift8Tegn"/>
    <w:uiPriority w:val="9"/>
    <w:semiHidden/>
    <w:unhideWhenUsed/>
    <w:qFormat/>
    <w:rsid w:val="00EA2DFA"/>
    <w:pPr>
      <w:keepNext/>
      <w:keepLines/>
      <w:spacing w:before="200" w:line="280" w:lineRule="atLeast"/>
      <w:outlineLvl w:val="7"/>
    </w:pPr>
    <w:rPr>
      <w:rFonts w:ascii="Georgia" w:eastAsiaTheme="majorEastAsia" w:hAnsi="Georgia" w:cstheme="majorBidi"/>
      <w:color w:val="00A9E0"/>
      <w:sz w:val="20"/>
      <w:szCs w:val="20"/>
      <w:lang w:eastAsia="en-US"/>
    </w:rPr>
  </w:style>
  <w:style w:type="paragraph" w:styleId="Overskrift9">
    <w:name w:val="heading 9"/>
    <w:basedOn w:val="Normal"/>
    <w:next w:val="Normal"/>
    <w:link w:val="Overskrift9Tegn"/>
    <w:uiPriority w:val="9"/>
    <w:semiHidden/>
    <w:unhideWhenUsed/>
    <w:qFormat/>
    <w:rsid w:val="00EA2DFA"/>
    <w:pPr>
      <w:keepNext/>
      <w:keepLines/>
      <w:spacing w:before="200" w:line="280" w:lineRule="atLeast"/>
      <w:outlineLvl w:val="8"/>
    </w:pPr>
    <w:rPr>
      <w:rFonts w:ascii="Georgia" w:eastAsiaTheme="majorEastAsia" w:hAnsi="Georgia" w:cstheme="majorBidi"/>
      <w:i/>
      <w:iCs/>
      <w:color w:val="404040" w:themeColor="text1" w:themeTint="BF"/>
      <w:sz w:val="20"/>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rPr>
      <w:rFonts w:ascii="Georgia" w:eastAsiaTheme="minorEastAsia" w:hAnsi="Georgia" w:cs="Consolas"/>
      <w:color w:val="0D0D0D" w:themeColor="text1" w:themeTint="F2"/>
      <w:sz w:val="21"/>
      <w:szCs w:val="21"/>
      <w:lang w:eastAsia="en-U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rPr>
      <w:rFonts w:ascii="Georgia" w:eastAsiaTheme="minorEastAsia" w:hAnsi="Georgia" w:cs="Georgia"/>
      <w:b/>
      <w:bCs/>
      <w:color w:val="00A9E0" w:themeColor="accent1"/>
      <w:sz w:val="18"/>
      <w:szCs w:val="18"/>
      <w:lang w:eastAsia="en-US"/>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spacing w:line="280" w:lineRule="atLeast"/>
      <w:ind w:left="1152" w:right="1152"/>
    </w:pPr>
    <w:rPr>
      <w:rFonts w:ascii="Georgia" w:eastAsiaTheme="minorEastAsia" w:hAnsi="Georgia" w:cstheme="minorBidi"/>
      <w:i/>
      <w:iCs/>
      <w:color w:val="00A9E0"/>
      <w:sz w:val="21"/>
      <w:szCs w:val="21"/>
      <w:lang w:eastAsia="en-US"/>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nhideWhenUsed/>
    <w:rsid w:val="00EA2DFA"/>
    <w:pPr>
      <w:spacing w:after="120" w:line="280" w:lineRule="atLeast"/>
    </w:pPr>
    <w:rPr>
      <w:rFonts w:ascii="Georgia" w:eastAsiaTheme="minorEastAsia" w:hAnsi="Georgia" w:cs="Georgia"/>
      <w:color w:val="0D0D0D" w:themeColor="text1" w:themeTint="F2"/>
      <w:sz w:val="21"/>
      <w:szCs w:val="21"/>
      <w:lang w:eastAsia="en-US"/>
    </w:rPr>
  </w:style>
  <w:style w:type="character" w:customStyle="1" w:styleId="BrdtekstTegn">
    <w:name w:val="Brødtekst Tegn"/>
    <w:basedOn w:val="Standardskrifttypeiafsnit"/>
    <w:link w:val="Brdtekst"/>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rsid w:val="00EA2DFA"/>
    <w:pPr>
      <w:spacing w:line="280" w:lineRule="atLeast"/>
    </w:pPr>
    <w:rPr>
      <w:rFonts w:ascii="Georgia" w:eastAsiaTheme="minorEastAsia" w:hAnsi="Georgia" w:cs="Georgia"/>
      <w:i/>
      <w:iCs/>
      <w:color w:val="000000" w:themeColor="text1"/>
      <w:sz w:val="21"/>
      <w:szCs w:val="21"/>
      <w:lang w:eastAsia="en-US"/>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line="280" w:lineRule="atLeast"/>
    </w:pPr>
    <w:rPr>
      <w:rFonts w:ascii="Georgia" w:eastAsiaTheme="minorEastAsia" w:hAnsi="Georgia" w:cs="Georgia"/>
      <w:b/>
      <w:color w:val="0D0D0D" w:themeColor="text1" w:themeTint="F2"/>
      <w:sz w:val="21"/>
      <w:szCs w:val="20"/>
    </w:rPr>
  </w:style>
  <w:style w:type="character" w:styleId="Fremhv">
    <w:name w:val="Emphasis"/>
    <w:basedOn w:val="Standardskrifttypeiafsnit"/>
    <w:uiPriority w:val="20"/>
    <w:qFormat/>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line="280" w:lineRule="atLeast"/>
    </w:pPr>
    <w:rPr>
      <w:rFonts w:ascii="Georgia" w:eastAsiaTheme="minorEastAsia" w:hAnsi="Georgia" w:cs="Georgia"/>
      <w:color w:val="0D0D0D" w:themeColor="text1" w:themeTint="F2"/>
      <w:sz w:val="21"/>
      <w:szCs w:val="21"/>
      <w:lang w:eastAsia="en-US"/>
    </w:r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spacing w:line="280" w:lineRule="atLeast"/>
      <w:contextualSpacing/>
    </w:pPr>
    <w:rPr>
      <w:rFonts w:ascii="Georgia" w:eastAsiaTheme="minorEastAsia" w:hAnsi="Georgia" w:cs="Georgia"/>
      <w:color w:val="0D0D0D" w:themeColor="text1" w:themeTint="F2"/>
      <w:sz w:val="21"/>
      <w:szCs w:val="21"/>
      <w:lang w:eastAsia="en-US"/>
    </w:r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rPr>
      <w:rFonts w:ascii="Tahoma" w:eastAsiaTheme="minorEastAsia" w:hAnsi="Tahoma" w:cs="Tahoma"/>
      <w:color w:val="0D0D0D" w:themeColor="text1" w:themeTint="F2"/>
      <w:sz w:val="16"/>
      <w:szCs w:val="16"/>
      <w:lang w:eastAsia="en-US"/>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qFormat/>
    <w:rsid w:val="00EA2DFA"/>
    <w:pPr>
      <w:spacing w:after="280" w:line="280" w:lineRule="atLeast"/>
    </w:pPr>
    <w:rPr>
      <w:rFonts w:ascii="Georgia" w:eastAsiaTheme="minorEastAsia" w:hAnsi="Georgia" w:cs="Georgia"/>
      <w:color w:val="0D0D0D" w:themeColor="text1" w:themeTint="F2"/>
      <w:sz w:val="21"/>
      <w:szCs w:val="21"/>
      <w:lang w:eastAsia="en-US"/>
    </w:rPr>
  </w:style>
  <w:style w:type="paragraph" w:customStyle="1" w:styleId="Normal-Punktliste">
    <w:name w:val="Normal - Punktliste"/>
    <w:basedOn w:val="Normal"/>
    <w:qFormat/>
    <w:rsid w:val="00EA2DFA"/>
    <w:pPr>
      <w:numPr>
        <w:numId w:val="1"/>
      </w:numPr>
      <w:spacing w:line="280" w:lineRule="atLeast"/>
    </w:pPr>
    <w:rPr>
      <w:rFonts w:ascii="Georgia" w:eastAsiaTheme="minorEastAsia" w:hAnsi="Georgia" w:cs="Georgia"/>
      <w:color w:val="0D0D0D" w:themeColor="text1" w:themeTint="F2"/>
      <w:sz w:val="21"/>
      <w:szCs w:val="21"/>
      <w:lang w:eastAsia="en-US"/>
    </w:rPr>
  </w:style>
  <w:style w:type="paragraph" w:customStyle="1" w:styleId="Normal-Talliste">
    <w:name w:val="Normal - Talliste"/>
    <w:basedOn w:val="Normal"/>
    <w:qFormat/>
    <w:rsid w:val="00EA2DFA"/>
    <w:pPr>
      <w:numPr>
        <w:numId w:val="2"/>
      </w:numPr>
      <w:tabs>
        <w:tab w:val="left" w:pos="567"/>
      </w:tabs>
      <w:spacing w:line="280" w:lineRule="atLeast"/>
    </w:pPr>
    <w:rPr>
      <w:rFonts w:ascii="Georgia" w:eastAsiaTheme="minorEastAsia" w:hAnsi="Georgia" w:cs="Georgia"/>
      <w:color w:val="0D0D0D" w:themeColor="text1" w:themeTint="F2"/>
      <w:sz w:val="21"/>
      <w:szCs w:val="21"/>
      <w:lang w:eastAsia="en-US"/>
    </w:r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uiPriority w:val="99"/>
    <w:rsid w:val="00EA2DFA"/>
    <w:pPr>
      <w:tabs>
        <w:tab w:val="center" w:pos="4819"/>
        <w:tab w:val="right" w:pos="9638"/>
      </w:tabs>
      <w:spacing w:line="190" w:lineRule="atLeast"/>
      <w:ind w:right="-2268"/>
    </w:pPr>
    <w:rPr>
      <w:rFonts w:ascii="Georgia" w:eastAsiaTheme="minorEastAsia" w:hAnsi="Georgia" w:cs="Georgia"/>
      <w:color w:val="0D0D0D" w:themeColor="text1" w:themeTint="F2"/>
      <w:sz w:val="15"/>
      <w:szCs w:val="21"/>
      <w:lang w:eastAsia="en-US"/>
    </w:rPr>
  </w:style>
  <w:style w:type="character" w:customStyle="1" w:styleId="SidefodTegn">
    <w:name w:val="Sidefod Tegn"/>
    <w:basedOn w:val="Standardskrifttypeiafsnit"/>
    <w:link w:val="Sidefod"/>
    <w:uiPriority w:val="99"/>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rsid w:val="00EA2DFA"/>
    <w:pPr>
      <w:tabs>
        <w:tab w:val="center" w:pos="4819"/>
        <w:tab w:val="right" w:pos="9638"/>
      </w:tabs>
      <w:spacing w:line="280" w:lineRule="atLeast"/>
    </w:pPr>
    <w:rPr>
      <w:rFonts w:ascii="Georgia" w:eastAsiaTheme="minorEastAsia" w:hAnsi="Georgia" w:cs="Georgia"/>
      <w:color w:val="0D0D0D" w:themeColor="text1" w:themeTint="F2"/>
      <w:sz w:val="21"/>
      <w:szCs w:val="21"/>
      <w:lang w:eastAsia="en-US"/>
    </w:rPr>
  </w:style>
  <w:style w:type="character" w:customStyle="1" w:styleId="SidehovedTegn">
    <w:name w:val="Sidehoved Tegn"/>
    <w:basedOn w:val="Standardskrifttypeiafsnit"/>
    <w:link w:val="Sidehoved"/>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character" w:styleId="Strk">
    <w:name w:val="Strong"/>
    <w:basedOn w:val="Standardskrifttypeiafsnit"/>
    <w:uiPriority w:val="22"/>
    <w:qFormat/>
    <w:rsid w:val="00EA2DFA"/>
    <w:rPr>
      <w:b/>
      <w:bCs/>
    </w:rPr>
  </w:style>
  <w:style w:type="paragraph" w:styleId="Strktcitat">
    <w:name w:val="Intense Quote"/>
    <w:basedOn w:val="Normal"/>
    <w:next w:val="Normal"/>
    <w:link w:val="StrktcitatTegn"/>
    <w:uiPriority w:val="30"/>
    <w:rsid w:val="00EA2DFA"/>
    <w:pPr>
      <w:pBdr>
        <w:bottom w:val="single" w:sz="4" w:space="4" w:color="00A9E0"/>
      </w:pBdr>
      <w:spacing w:before="200" w:after="280" w:line="280" w:lineRule="atLeast"/>
      <w:ind w:left="936" w:right="936"/>
    </w:pPr>
    <w:rPr>
      <w:rFonts w:ascii="Georgia" w:eastAsiaTheme="minorEastAsia" w:hAnsi="Georgia" w:cs="Georgia"/>
      <w:b/>
      <w:bCs/>
      <w:i/>
      <w:iCs/>
      <w:color w:val="00A9E0"/>
      <w:sz w:val="21"/>
      <w:szCs w:val="21"/>
      <w:lang w:eastAsia="en-US"/>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TRMtal">
    <w:name w:val="Tabel - TRM tal"/>
    <w:basedOn w:val="Tabel-Normal"/>
    <w:rsid w:val="00E6749B"/>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qFormat/>
    <w:rsid w:val="004B100F"/>
    <w:rPr>
      <w:rFonts w:asciiTheme="minorHAnsi" w:eastAsiaTheme="minorEastAsia" w:hAnsiTheme="minorHAnsi" w:cs="Georgia"/>
      <w:color w:val="0D0D0D" w:themeColor="text1" w:themeTint="F2"/>
      <w:sz w:val="20"/>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contextualSpacing/>
    </w:pPr>
    <w:rPr>
      <w:rFonts w:asciiTheme="majorHAnsi" w:eastAsiaTheme="majorEastAsia" w:hAnsiTheme="majorHAnsi" w:cstheme="majorBidi"/>
      <w:color w:val="6EBBE8" w:themeColor="text2" w:themeShade="BF"/>
      <w:spacing w:val="5"/>
      <w:kern w:val="28"/>
      <w:sz w:val="52"/>
      <w:szCs w:val="52"/>
      <w:lang w:eastAsia="en-US"/>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spacing w:line="280" w:lineRule="atLeast"/>
    </w:pPr>
    <w:rPr>
      <w:rFonts w:asciiTheme="majorHAnsi" w:eastAsiaTheme="majorEastAsia" w:hAnsiTheme="majorHAnsi" w:cstheme="majorBidi"/>
      <w:i/>
      <w:iCs/>
      <w:color w:val="00A9E0" w:themeColor="accent1"/>
      <w:spacing w:val="15"/>
      <w:lang w:eastAsia="en-US"/>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abel-TRMtekst">
    <w:name w:val="Tabel - TRM tekst"/>
    <w:basedOn w:val="Tabel-Normal"/>
    <w:uiPriority w:val="99"/>
    <w:rsid w:val="00E6749B"/>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D2EAF8" w:themeFill="text2"/>
    </w:tcPr>
    <w:tblStylePr w:type="firstRow">
      <w:rPr>
        <w:b/>
      </w:rPr>
      <w:tblPr/>
      <w:tcPr>
        <w:shd w:val="clear" w:color="auto" w:fill="8DCBEC"/>
      </w:tcPr>
    </w:tblStylePr>
    <w:tblStylePr w:type="lastRow">
      <w:rPr>
        <w:i/>
      </w:rPr>
    </w:tblStylePr>
    <w:tblStylePr w:type="firstCol">
      <w:rPr>
        <w:b/>
      </w:rPr>
    </w:tblStylePr>
  </w:style>
  <w:style w:type="paragraph" w:customStyle="1" w:styleId="stk2">
    <w:name w:val="stk2"/>
    <w:basedOn w:val="Normal"/>
    <w:rsid w:val="00F26EB7"/>
    <w:pPr>
      <w:ind w:firstLine="240"/>
    </w:pPr>
    <w:rPr>
      <w:rFonts w:ascii="Tahoma" w:hAnsi="Tahoma" w:cs="Tahoma"/>
      <w:color w:val="000000"/>
    </w:rPr>
  </w:style>
  <w:style w:type="character" w:customStyle="1" w:styleId="definition1">
    <w:name w:val="definition1"/>
    <w:basedOn w:val="Standardskrifttypeiafsnit"/>
    <w:rsid w:val="005A3666"/>
    <w:rPr>
      <w:sz w:val="26"/>
      <w:szCs w:val="26"/>
    </w:rPr>
  </w:style>
  <w:style w:type="paragraph" w:styleId="NormalWeb">
    <w:name w:val="Normal (Web)"/>
    <w:basedOn w:val="Normal"/>
    <w:uiPriority w:val="99"/>
    <w:rsid w:val="00E878A6"/>
    <w:pPr>
      <w:spacing w:before="100" w:beforeAutospacing="1" w:after="100" w:afterAutospacing="1"/>
    </w:pPr>
    <w:rPr>
      <w:rFonts w:ascii="Tahoma" w:hAnsi="Tahoma" w:cs="Tahoma"/>
      <w:color w:val="000000"/>
    </w:rPr>
  </w:style>
  <w:style w:type="paragraph" w:customStyle="1" w:styleId="paragraftekst">
    <w:name w:val="paragraftekst"/>
    <w:basedOn w:val="Normal"/>
    <w:rsid w:val="00E878A6"/>
    <w:pPr>
      <w:spacing w:before="240"/>
      <w:ind w:firstLine="170"/>
    </w:pPr>
    <w:rPr>
      <w:rFonts w:ascii="Tahoma" w:hAnsi="Tahoma" w:cs="Tahoma"/>
      <w:color w:val="000000"/>
    </w:rPr>
  </w:style>
  <w:style w:type="paragraph" w:customStyle="1" w:styleId="stk">
    <w:name w:val="stk"/>
    <w:basedOn w:val="Normal"/>
    <w:rsid w:val="00E878A6"/>
    <w:pPr>
      <w:ind w:firstLine="170"/>
    </w:pPr>
    <w:rPr>
      <w:rFonts w:ascii="Tahoma" w:hAnsi="Tahoma" w:cs="Tahoma"/>
      <w:color w:val="000000"/>
    </w:rPr>
  </w:style>
  <w:style w:type="character" w:customStyle="1" w:styleId="normaltextrun1">
    <w:name w:val="normaltextrun1"/>
    <w:basedOn w:val="Standardskrifttypeiafsnit"/>
    <w:rsid w:val="00E878A6"/>
  </w:style>
  <w:style w:type="character" w:customStyle="1" w:styleId="eop">
    <w:name w:val="eop"/>
    <w:basedOn w:val="Standardskrifttypeiafsnit"/>
    <w:rsid w:val="003432D6"/>
  </w:style>
  <w:style w:type="character" w:styleId="Kommentarhenvisning">
    <w:name w:val="annotation reference"/>
    <w:rsid w:val="008B5242"/>
    <w:rPr>
      <w:sz w:val="16"/>
      <w:szCs w:val="16"/>
    </w:rPr>
  </w:style>
  <w:style w:type="paragraph" w:styleId="Kommentartekst">
    <w:name w:val="annotation text"/>
    <w:basedOn w:val="Normal"/>
    <w:link w:val="KommentartekstTegn"/>
    <w:uiPriority w:val="99"/>
    <w:rsid w:val="008B5242"/>
    <w:rPr>
      <w:sz w:val="20"/>
      <w:szCs w:val="20"/>
    </w:rPr>
  </w:style>
  <w:style w:type="character" w:customStyle="1" w:styleId="KommentartekstTegn">
    <w:name w:val="Kommentartekst Tegn"/>
    <w:basedOn w:val="Standardskrifttypeiafsnit"/>
    <w:link w:val="Kommentartekst"/>
    <w:uiPriority w:val="99"/>
    <w:rsid w:val="008B5242"/>
    <w:rPr>
      <w:rFonts w:ascii="Times New Roman" w:eastAsia="Times New Roman" w:hAnsi="Times New Roman" w:cs="Times New Roman"/>
      <w:sz w:val="20"/>
      <w:szCs w:val="20"/>
      <w:lang w:eastAsia="da-DK"/>
    </w:rPr>
  </w:style>
  <w:style w:type="paragraph" w:customStyle="1" w:styleId="paragraf">
    <w:name w:val="paragraf"/>
    <w:basedOn w:val="Normal"/>
    <w:rsid w:val="009C03DC"/>
    <w:pPr>
      <w:spacing w:before="200"/>
      <w:ind w:firstLine="240"/>
    </w:pPr>
    <w:rPr>
      <w:rFonts w:ascii="Tahoma" w:hAnsi="Tahoma" w:cs="Tahoma"/>
      <w:color w:val="000000"/>
    </w:rPr>
  </w:style>
  <w:style w:type="character" w:customStyle="1" w:styleId="italic2">
    <w:name w:val="italic2"/>
    <w:basedOn w:val="Standardskrifttypeiafsnit"/>
    <w:rsid w:val="009C03DC"/>
  </w:style>
  <w:style w:type="character" w:customStyle="1" w:styleId="stknr1">
    <w:name w:val="stknr1"/>
    <w:rsid w:val="001F2926"/>
    <w:rPr>
      <w:rFonts w:ascii="Tahoma" w:hAnsi="Tahoma" w:cs="Tahoma" w:hint="default"/>
      <w:i/>
      <w:iCs/>
      <w:color w:val="000000"/>
      <w:sz w:val="24"/>
      <w:szCs w:val="24"/>
      <w:shd w:val="clear" w:color="auto" w:fill="auto"/>
    </w:rPr>
  </w:style>
  <w:style w:type="paragraph" w:styleId="Kommentaremne">
    <w:name w:val="annotation subject"/>
    <w:basedOn w:val="Kommentartekst"/>
    <w:next w:val="Kommentartekst"/>
    <w:link w:val="KommentaremneTegn"/>
    <w:uiPriority w:val="99"/>
    <w:semiHidden/>
    <w:unhideWhenUsed/>
    <w:rsid w:val="00013488"/>
    <w:rPr>
      <w:b/>
      <w:bCs/>
    </w:rPr>
  </w:style>
  <w:style w:type="character" w:customStyle="1" w:styleId="KommentaremneTegn">
    <w:name w:val="Kommentaremne Tegn"/>
    <w:basedOn w:val="KommentartekstTegn"/>
    <w:link w:val="Kommentaremne"/>
    <w:uiPriority w:val="99"/>
    <w:semiHidden/>
    <w:rsid w:val="00013488"/>
    <w:rPr>
      <w:rFonts w:ascii="Times New Roman" w:eastAsia="Times New Roman" w:hAnsi="Times New Roman" w:cs="Times New Roman"/>
      <w:b/>
      <w:bCs/>
      <w:sz w:val="20"/>
      <w:szCs w:val="20"/>
      <w:lang w:eastAsia="da-DK"/>
    </w:rPr>
  </w:style>
  <w:style w:type="paragraph" w:customStyle="1" w:styleId="liste1">
    <w:name w:val="liste1"/>
    <w:basedOn w:val="Normal"/>
    <w:rsid w:val="00E5767A"/>
    <w:pPr>
      <w:ind w:left="280"/>
    </w:pPr>
    <w:rPr>
      <w:rFonts w:ascii="Tahoma" w:hAnsi="Tahoma" w:cs="Tahoma"/>
      <w:color w:val="000000"/>
    </w:rPr>
  </w:style>
  <w:style w:type="paragraph" w:styleId="Fodnotetekst">
    <w:name w:val="footnote text"/>
    <w:basedOn w:val="Normal"/>
    <w:link w:val="FodnotetekstTegn"/>
    <w:uiPriority w:val="99"/>
    <w:semiHidden/>
    <w:rsid w:val="00E5767A"/>
    <w:rPr>
      <w:sz w:val="20"/>
      <w:szCs w:val="20"/>
    </w:rPr>
  </w:style>
  <w:style w:type="character" w:customStyle="1" w:styleId="FodnotetekstTegn">
    <w:name w:val="Fodnotetekst Tegn"/>
    <w:basedOn w:val="Standardskrifttypeiafsnit"/>
    <w:link w:val="Fodnotetekst"/>
    <w:uiPriority w:val="99"/>
    <w:semiHidden/>
    <w:rsid w:val="00E5767A"/>
    <w:rPr>
      <w:rFonts w:ascii="Times New Roman" w:eastAsia="Times New Roman" w:hAnsi="Times New Roman" w:cs="Times New Roman"/>
      <w:sz w:val="20"/>
      <w:szCs w:val="20"/>
      <w:lang w:eastAsia="da-DK"/>
    </w:rPr>
  </w:style>
  <w:style w:type="character" w:styleId="Fodnotehenvisning">
    <w:name w:val="footnote reference"/>
    <w:uiPriority w:val="99"/>
    <w:semiHidden/>
    <w:rsid w:val="00DE3CE9"/>
    <w:rPr>
      <w:vertAlign w:val="superscript"/>
    </w:rPr>
  </w:style>
  <w:style w:type="paragraph" w:customStyle="1" w:styleId="Default">
    <w:name w:val="Default"/>
    <w:rsid w:val="00DE3CE9"/>
    <w:pPr>
      <w:autoSpaceDE w:val="0"/>
      <w:autoSpaceDN w:val="0"/>
      <w:adjustRightInd w:val="0"/>
      <w:spacing w:after="0" w:line="240" w:lineRule="auto"/>
    </w:pPr>
    <w:rPr>
      <w:rFonts w:ascii="EUAlbertina" w:eastAsia="Times New Roman" w:hAnsi="EUAlbertina" w:cs="EUAlbertina"/>
      <w:color w:val="000000"/>
      <w:sz w:val="24"/>
      <w:szCs w:val="24"/>
      <w:lang w:eastAsia="da-DK"/>
    </w:rPr>
  </w:style>
  <w:style w:type="character" w:customStyle="1" w:styleId="kortnavn2">
    <w:name w:val="kortnavn2"/>
    <w:rsid w:val="00DE3CE9"/>
    <w:rPr>
      <w:rFonts w:ascii="Tahoma" w:hAnsi="Tahoma" w:cs="Tahoma" w:hint="default"/>
      <w:color w:val="000000"/>
      <w:sz w:val="24"/>
      <w:szCs w:val="24"/>
      <w:shd w:val="clear" w:color="auto" w:fill="auto"/>
    </w:rPr>
  </w:style>
  <w:style w:type="paragraph" w:customStyle="1" w:styleId="paragraph">
    <w:name w:val="paragraph"/>
    <w:basedOn w:val="Normal"/>
    <w:rsid w:val="00DE3CE9"/>
  </w:style>
  <w:style w:type="paragraph" w:customStyle="1" w:styleId="TableParagraph">
    <w:name w:val="Table Paragraph"/>
    <w:basedOn w:val="Normal"/>
    <w:uiPriority w:val="1"/>
    <w:qFormat/>
    <w:rsid w:val="00CD4A75"/>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D70C-85EC-4F2F-A903-A7B6F9B6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13543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Itadel A/S</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 Gudrun Jelstrup Nolsøe</dc:creator>
  <cp:keywords/>
  <dc:description/>
  <cp:lastModifiedBy>Laura Busk Johansen</cp:lastModifiedBy>
  <cp:revision>2</cp:revision>
  <cp:lastPrinted>2021-06-16T07:16:00Z</cp:lastPrinted>
  <dcterms:created xsi:type="dcterms:W3CDTF">2021-06-28T13:03:00Z</dcterms:created>
  <dcterms:modified xsi:type="dcterms:W3CDTF">2021-06-28T13:03:00Z</dcterms:modified>
</cp:coreProperties>
</file>