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3D3A7E" w14:paraId="05359C0E" w14:textId="77777777" w:rsidTr="00E3425A">
        <w:trPr>
          <w:trHeight w:val="747"/>
        </w:trPr>
        <w:tc>
          <w:tcPr>
            <w:tcW w:w="8165" w:type="dxa"/>
          </w:tcPr>
          <w:p w14:paraId="05359C0B" w14:textId="77777777" w:rsidR="00262696" w:rsidRPr="003D3A7E" w:rsidRDefault="00262696" w:rsidP="00711292">
            <w:pPr>
              <w:pStyle w:val="Template-DokumentNavn"/>
              <w:spacing w:line="288" w:lineRule="auto"/>
              <w:jc w:val="both"/>
            </w:pPr>
            <w:r w:rsidRPr="003D3A7E">
              <w:t>Notat</w:t>
            </w:r>
          </w:p>
          <w:p w14:paraId="05359C0C" w14:textId="77777777" w:rsidR="00262696" w:rsidRPr="003D3A7E" w:rsidRDefault="00262696" w:rsidP="00711292">
            <w:pPr>
              <w:pStyle w:val="Template-Dato"/>
              <w:spacing w:line="288" w:lineRule="auto"/>
              <w:jc w:val="both"/>
            </w:pPr>
          </w:p>
        </w:tc>
        <w:tc>
          <w:tcPr>
            <w:tcW w:w="2041" w:type="dxa"/>
            <w:tcMar>
              <w:right w:w="0" w:type="dxa"/>
            </w:tcMar>
          </w:tcPr>
          <w:p w14:paraId="05359C0D" w14:textId="77777777" w:rsidR="00262696" w:rsidRPr="003D3A7E" w:rsidRDefault="00262696" w:rsidP="00711292">
            <w:pPr>
              <w:pStyle w:val="Template-Dato"/>
              <w:spacing w:line="288" w:lineRule="auto"/>
              <w:jc w:val="both"/>
            </w:pPr>
          </w:p>
        </w:tc>
      </w:tr>
      <w:tr w:rsidR="00262696" w:rsidRPr="003D3A7E" w14:paraId="05359C12" w14:textId="77777777" w:rsidTr="00DD5C31">
        <w:tc>
          <w:tcPr>
            <w:tcW w:w="8165" w:type="dxa"/>
          </w:tcPr>
          <w:p w14:paraId="05359C0F" w14:textId="77777777" w:rsidR="00262696" w:rsidRPr="003D3A7E" w:rsidRDefault="00262696" w:rsidP="00711292">
            <w:pPr>
              <w:spacing w:line="288" w:lineRule="auto"/>
              <w:jc w:val="both"/>
            </w:pPr>
            <w:r w:rsidRPr="003D3A7E">
              <w:t xml:space="preserve">Til </w:t>
            </w:r>
            <w:bookmarkStart w:id="0" w:name="SD_FLD_Til"/>
            <w:r w:rsidR="003D3A7E">
              <w:t>ministeren</w:t>
            </w:r>
            <w:bookmarkEnd w:id="0"/>
          </w:p>
          <w:p w14:paraId="05359C10" w14:textId="77777777" w:rsidR="00262696" w:rsidRPr="003D3A7E" w:rsidRDefault="00262696" w:rsidP="00711292">
            <w:pPr>
              <w:spacing w:line="288" w:lineRule="auto"/>
              <w:jc w:val="both"/>
            </w:pPr>
          </w:p>
        </w:tc>
        <w:tc>
          <w:tcPr>
            <w:tcW w:w="2041" w:type="dxa"/>
            <w:shd w:val="clear" w:color="auto" w:fill="auto"/>
            <w:tcMar>
              <w:right w:w="0" w:type="dxa"/>
            </w:tcMar>
          </w:tcPr>
          <w:p w14:paraId="05359C11" w14:textId="7A58AB92" w:rsidR="00262696" w:rsidRPr="003D3A7E" w:rsidRDefault="00EE6FB7" w:rsidP="00EE6FB7">
            <w:pPr>
              <w:pStyle w:val="Template-Dato"/>
              <w:spacing w:line="288" w:lineRule="auto"/>
              <w:jc w:val="both"/>
            </w:pPr>
            <w:bookmarkStart w:id="1" w:name="SD_FLD_Date"/>
            <w:r>
              <w:t>22</w:t>
            </w:r>
            <w:r w:rsidR="003D3A7E">
              <w:t xml:space="preserve">. </w:t>
            </w:r>
            <w:r w:rsidR="008F6733">
              <w:t>august</w:t>
            </w:r>
            <w:r w:rsidR="003D3A7E">
              <w:t xml:space="preserve"> 201</w:t>
            </w:r>
            <w:bookmarkEnd w:id="1"/>
            <w:r w:rsidR="008F6733">
              <w:t>7</w:t>
            </w:r>
          </w:p>
        </w:tc>
      </w:tr>
    </w:tbl>
    <w:p w14:paraId="05359C13" w14:textId="77777777" w:rsidR="00262696" w:rsidRPr="003D3A7E" w:rsidRDefault="003D3A7E" w:rsidP="00711292">
      <w:pPr>
        <w:pStyle w:val="Overskrift1"/>
        <w:spacing w:line="288" w:lineRule="auto"/>
        <w:jc w:val="both"/>
      </w:pPr>
      <w:bookmarkStart w:id="2" w:name="SD_FLD_Heading"/>
      <w:r>
        <w:t>Kommenteret høringsnotat</w:t>
      </w:r>
      <w:bookmarkEnd w:id="2"/>
      <w:r>
        <w:t xml:space="preserve"> om udkast til </w:t>
      </w:r>
      <w:r w:rsidR="00974CE4">
        <w:t>ændring af bekendtgørelse om ikkekommercielt tv i MUX 1</w:t>
      </w:r>
    </w:p>
    <w:p w14:paraId="05359C14" w14:textId="77777777" w:rsidR="00262696" w:rsidRPr="003D3A7E" w:rsidRDefault="00262696" w:rsidP="00711292">
      <w:pPr>
        <w:spacing w:line="288" w:lineRule="auto"/>
        <w:jc w:val="both"/>
      </w:pPr>
    </w:p>
    <w:p w14:paraId="05359C15" w14:textId="77777777" w:rsidR="00E56E07" w:rsidRDefault="00EB78AE" w:rsidP="00E56E07">
      <w:pPr>
        <w:pStyle w:val="Overskrift1"/>
        <w:spacing w:line="288" w:lineRule="auto"/>
        <w:jc w:val="both"/>
        <w:rPr>
          <w:b w:val="0"/>
        </w:rPr>
      </w:pPr>
      <w:r>
        <w:rPr>
          <w:b w:val="0"/>
        </w:rPr>
        <w:t xml:space="preserve">Slots- og </w:t>
      </w:r>
      <w:r w:rsidR="003D3A7E" w:rsidRPr="003D3A7E">
        <w:rPr>
          <w:b w:val="0"/>
        </w:rPr>
        <w:t>Kul</w:t>
      </w:r>
      <w:r w:rsidR="003D3A7E">
        <w:rPr>
          <w:b w:val="0"/>
        </w:rPr>
        <w:t xml:space="preserve">turstyrelsen sendte den </w:t>
      </w:r>
      <w:r w:rsidR="003A2433">
        <w:rPr>
          <w:b w:val="0"/>
        </w:rPr>
        <w:t>6</w:t>
      </w:r>
      <w:r w:rsidR="00974CE4">
        <w:rPr>
          <w:b w:val="0"/>
        </w:rPr>
        <w:t>. juni 2017</w:t>
      </w:r>
      <w:r w:rsidR="003D3A7E">
        <w:rPr>
          <w:b w:val="0"/>
        </w:rPr>
        <w:t xml:space="preserve"> et udkast til </w:t>
      </w:r>
      <w:r w:rsidR="00974CE4">
        <w:rPr>
          <w:b w:val="0"/>
        </w:rPr>
        <w:t xml:space="preserve">ændring af </w:t>
      </w:r>
      <w:r w:rsidR="003D3A7E">
        <w:rPr>
          <w:b w:val="0"/>
        </w:rPr>
        <w:t xml:space="preserve">bekendtgørelse om </w:t>
      </w:r>
      <w:r w:rsidR="00974CE4">
        <w:rPr>
          <w:b w:val="0"/>
        </w:rPr>
        <w:t>ikkekommercielt tv i MUX 1</w:t>
      </w:r>
      <w:r w:rsidR="003D3A7E">
        <w:rPr>
          <w:b w:val="0"/>
        </w:rPr>
        <w:t xml:space="preserve"> i offentlig høring </w:t>
      </w:r>
      <w:r w:rsidR="0011186D">
        <w:rPr>
          <w:b w:val="0"/>
        </w:rPr>
        <w:t xml:space="preserve">med frist den </w:t>
      </w:r>
      <w:r w:rsidR="00974CE4">
        <w:rPr>
          <w:b w:val="0"/>
        </w:rPr>
        <w:t>2. august 2017</w:t>
      </w:r>
      <w:r w:rsidR="00E56E07">
        <w:rPr>
          <w:b w:val="0"/>
        </w:rPr>
        <w:t xml:space="preserve">, hvor følgende tre ændringer blev foreslået: </w:t>
      </w:r>
    </w:p>
    <w:p w14:paraId="05359C16" w14:textId="77777777" w:rsidR="00CA0688" w:rsidRPr="00CA0688" w:rsidRDefault="00CA0688" w:rsidP="00CA0688"/>
    <w:p w14:paraId="05359C17" w14:textId="77777777" w:rsidR="006A4C18" w:rsidRDefault="00E56E07" w:rsidP="00C2781D">
      <w:pPr>
        <w:pStyle w:val="Listeafsnit"/>
        <w:numPr>
          <w:ilvl w:val="0"/>
          <w:numId w:val="24"/>
        </w:numPr>
        <w:spacing w:line="288" w:lineRule="auto"/>
        <w:jc w:val="both"/>
      </w:pPr>
      <w:r w:rsidRPr="00CA0688">
        <w:t>indførsel af en lempelse i bekendtgørelsens § 11, stk. 4, som gør det muligt, at genudsende stationens egne programmer, som er produceret inden 2014,</w:t>
      </w:r>
      <w:r w:rsidR="006A4C18">
        <w:t xml:space="preserve"> </w:t>
      </w:r>
    </w:p>
    <w:p w14:paraId="05359C18" w14:textId="6A3FFE1C" w:rsidR="006A4C18" w:rsidRDefault="00E56E07" w:rsidP="00C2781D">
      <w:pPr>
        <w:pStyle w:val="Listeafsnit"/>
        <w:numPr>
          <w:ilvl w:val="0"/>
          <w:numId w:val="24"/>
        </w:numPr>
        <w:spacing w:line="288" w:lineRule="auto"/>
        <w:jc w:val="both"/>
      </w:pPr>
      <w:r w:rsidRPr="00CA0688">
        <w:t xml:space="preserve">ændring af kravet om lokalt indhold </w:t>
      </w:r>
      <w:r w:rsidR="00C621CB">
        <w:t xml:space="preserve">i </w:t>
      </w:r>
      <w:r w:rsidRPr="00CA0688">
        <w:t xml:space="preserve">§ 11, stk. 3, hvorefter det vil være at anse som lokalt indhold, hvis </w:t>
      </w:r>
      <w:r w:rsidR="000861E9">
        <w:t>programmerne</w:t>
      </w:r>
      <w:r w:rsidRPr="00CA0688">
        <w:t xml:space="preserve"> omhandler lokale forhold, som derved vil have en særlig interesse for befolkningen i tilladelsesområdet og de tilgrænsende tilladelsesområder samt</w:t>
      </w:r>
    </w:p>
    <w:p w14:paraId="05359C19" w14:textId="77777777" w:rsidR="006A4C18" w:rsidRDefault="00E56E07" w:rsidP="00C2781D">
      <w:pPr>
        <w:pStyle w:val="Listeafsnit"/>
        <w:numPr>
          <w:ilvl w:val="0"/>
          <w:numId w:val="24"/>
        </w:numPr>
        <w:spacing w:line="288" w:lineRule="auto"/>
        <w:jc w:val="both"/>
      </w:pPr>
      <w:r w:rsidRPr="00CA0688">
        <w:t xml:space="preserve">ændring af proceduren i § 10, stk. 3, i forhold til udsendelse af europæiske programmer i den øvrige sendetid, </w:t>
      </w:r>
      <w:r w:rsidR="006A4C18">
        <w:t xml:space="preserve">hvormed dette ikke længere skal </w:t>
      </w:r>
      <w:r w:rsidRPr="00CA0688">
        <w:t xml:space="preserve">kræve forhåndsgodkendelse fra Radio- og tv-nævnet. </w:t>
      </w:r>
    </w:p>
    <w:p w14:paraId="05359C1A" w14:textId="77777777" w:rsidR="006A4C18" w:rsidRPr="00E56E07" w:rsidRDefault="006A4C18" w:rsidP="00C2781D">
      <w:pPr>
        <w:spacing w:line="288" w:lineRule="auto"/>
        <w:jc w:val="both"/>
      </w:pPr>
    </w:p>
    <w:p w14:paraId="05359C1B" w14:textId="77777777" w:rsidR="00B23D7A" w:rsidRDefault="003D3A7E" w:rsidP="00C2781D">
      <w:r>
        <w:t xml:space="preserve">I alt </w:t>
      </w:r>
      <w:r w:rsidRPr="00664FCD">
        <w:t xml:space="preserve">har </w:t>
      </w:r>
      <w:r w:rsidR="00C9350E">
        <w:t>syv</w:t>
      </w:r>
      <w:r w:rsidRPr="00664FCD">
        <w:t xml:space="preserve"> organis</w:t>
      </w:r>
      <w:r w:rsidR="0041404B">
        <w:t>ationer mv. afgivet høringssvar</w:t>
      </w:r>
      <w:r w:rsidRPr="00664FCD">
        <w:t>. I det følgende redegøres for hovedsynspunkterne i de modtagne høringssvar samt for</w:t>
      </w:r>
      <w:r>
        <w:t xml:space="preserve"> </w:t>
      </w:r>
      <w:r w:rsidR="006F19B1">
        <w:t>Kulturministeriets kommentarer.</w:t>
      </w:r>
      <w:r w:rsidR="00813EF7">
        <w:t xml:space="preserve"> </w:t>
      </w:r>
    </w:p>
    <w:p w14:paraId="05359C1C" w14:textId="77777777" w:rsidR="006F19B1" w:rsidRDefault="006F19B1" w:rsidP="00711292">
      <w:pPr>
        <w:spacing w:line="288" w:lineRule="auto"/>
        <w:jc w:val="both"/>
      </w:pPr>
    </w:p>
    <w:p w14:paraId="05359C1D" w14:textId="281699DC" w:rsidR="006F19B1" w:rsidRDefault="006F19B1" w:rsidP="00711292">
      <w:pPr>
        <w:spacing w:line="288" w:lineRule="auto"/>
        <w:jc w:val="both"/>
      </w:pPr>
      <w:r>
        <w:t xml:space="preserve">På baggrund af de indkomne høringssvar, finder Kulturministeriet, at der bør foretages yderligere </w:t>
      </w:r>
      <w:r w:rsidR="00057BA3">
        <w:t>tre</w:t>
      </w:r>
      <w:r w:rsidR="00A64078">
        <w:t xml:space="preserve"> ændringer af bekendtgørelsen. Der er alene tale om ændr</w:t>
      </w:r>
      <w:r w:rsidR="00667D2A">
        <w:t>inger af administrativ karakter</w:t>
      </w:r>
      <w:r w:rsidR="00A64078">
        <w:t xml:space="preserve"> </w:t>
      </w:r>
      <w:r w:rsidR="002E2EC8">
        <w:t>og</w:t>
      </w:r>
      <w:r w:rsidR="00667D2A">
        <w:t xml:space="preserve"> præcisering af</w:t>
      </w:r>
      <w:r w:rsidR="00A64078">
        <w:t xml:space="preserve"> gældende ret.</w:t>
      </w:r>
      <w:r w:rsidR="00F93D35" w:rsidRPr="00F93D35">
        <w:t xml:space="preserve"> </w:t>
      </w:r>
      <w:r w:rsidR="00057BA3">
        <w:t>Disse tre</w:t>
      </w:r>
      <w:r w:rsidR="000861E9">
        <w:t xml:space="preserve"> ændringer</w:t>
      </w:r>
      <w:r w:rsidR="00F93D35">
        <w:t xml:space="preserve"> har i sagens natur ikke været i høring, men foreslås – henset til deres karakter – gennemført på trods heraf.</w:t>
      </w:r>
    </w:p>
    <w:p w14:paraId="05359C1E" w14:textId="77777777" w:rsidR="003D3A7E" w:rsidRPr="003D3A7E" w:rsidRDefault="00B23D7A" w:rsidP="00711292">
      <w:pPr>
        <w:spacing w:line="288" w:lineRule="auto"/>
        <w:jc w:val="both"/>
      </w:pPr>
      <w:r w:rsidRPr="003D3A7E">
        <w:t xml:space="preserve"> </w:t>
      </w:r>
    </w:p>
    <w:p w14:paraId="05359C1F" w14:textId="77777777" w:rsidR="003B7841" w:rsidRDefault="003B7841" w:rsidP="00711292">
      <w:pPr>
        <w:spacing w:line="288" w:lineRule="auto"/>
        <w:jc w:val="both"/>
        <w:rPr>
          <w:b/>
        </w:rPr>
      </w:pPr>
      <w:r>
        <w:rPr>
          <w:b/>
        </w:rPr>
        <w:t>Genudsende</w:t>
      </w:r>
      <w:r w:rsidR="00DC3346">
        <w:rPr>
          <w:b/>
        </w:rPr>
        <w:t>lse af</w:t>
      </w:r>
      <w:r>
        <w:rPr>
          <w:b/>
        </w:rPr>
        <w:t xml:space="preserve"> egne tidligere programmer</w:t>
      </w:r>
    </w:p>
    <w:p w14:paraId="05359C20" w14:textId="77777777" w:rsidR="003B7841" w:rsidRDefault="00EB57F8" w:rsidP="00711292">
      <w:pPr>
        <w:spacing w:line="288" w:lineRule="auto"/>
        <w:jc w:val="both"/>
      </w:pPr>
      <w:r>
        <w:rPr>
          <w:u w:val="single"/>
        </w:rPr>
        <w:t>Sendesamvirket Hovedstaden</w:t>
      </w:r>
      <w:r>
        <w:t xml:space="preserve"> mener</w:t>
      </w:r>
      <w:r w:rsidR="00DC3346">
        <w:t>,</w:t>
      </w:r>
      <w:r>
        <w:t xml:space="preserve"> at ændringen er positiv, da mange lokale tv-stationer har et stort bagkatalog af gode ældre programmer. De mener, at nyordningens formål med vægt på den lokale forankring stadi</w:t>
      </w:r>
      <w:r w:rsidR="000352DA">
        <w:t>g kan fastholdes med ændringen.</w:t>
      </w:r>
    </w:p>
    <w:p w14:paraId="05359C21" w14:textId="77777777" w:rsidR="00EB78AE" w:rsidRDefault="00EB78AE" w:rsidP="00711292">
      <w:pPr>
        <w:spacing w:line="288" w:lineRule="auto"/>
        <w:jc w:val="both"/>
      </w:pPr>
    </w:p>
    <w:p w14:paraId="05359C22" w14:textId="77777777" w:rsidR="000352DA" w:rsidRPr="00EB57F8" w:rsidRDefault="000352DA" w:rsidP="00711292">
      <w:pPr>
        <w:spacing w:line="288" w:lineRule="auto"/>
        <w:jc w:val="both"/>
      </w:pPr>
      <w:r>
        <w:rPr>
          <w:u w:val="single"/>
        </w:rPr>
        <w:t>Radio- og tv-nævnet</w:t>
      </w:r>
      <w:r>
        <w:t xml:space="preserve"> konstaterer, at tilføjelsen af § 11, stk. 4, 1. pkt., er en præcisering af gældende ret, og at § 11, stk. 4, 2. pkt., er en ny undtagelse, som giver tilladelseshaverne mulighed for at udsende egne programmer produceret inden 2014 i øvrig sendetid. Nævnet bemærker, at programmerne for</w:t>
      </w:r>
      <w:r w:rsidR="00813EF7">
        <w:t>t</w:t>
      </w:r>
      <w:r>
        <w:t xml:space="preserve">sat skal opfylde vilkårene i bekendtgørelsen og programtilladelsen. Ydermere bemærker nævnet, at tilføjelsen </w:t>
      </w:r>
      <w:r w:rsidR="00813EF7">
        <w:t xml:space="preserve">af </w:t>
      </w:r>
      <w:r>
        <w:t xml:space="preserve">§ 11, stk. 4, 2. pkt., medfører, at nogle af programmerne </w:t>
      </w:r>
      <w:r>
        <w:lastRenderedPageBreak/>
        <w:t>modtager dobbelttilskud fra den gældende ordning og evt. en tidligere ordning, hvilket findes uhensigtsmæssig</w:t>
      </w:r>
      <w:r w:rsidR="00DC3346">
        <w:t>t</w:t>
      </w:r>
      <w:r>
        <w:t>.</w:t>
      </w:r>
    </w:p>
    <w:p w14:paraId="05359C23" w14:textId="77777777" w:rsidR="00A47AC3" w:rsidRDefault="00A47AC3" w:rsidP="00711292">
      <w:pPr>
        <w:spacing w:line="288" w:lineRule="auto"/>
        <w:jc w:val="both"/>
        <w:rPr>
          <w:i/>
        </w:rPr>
      </w:pPr>
    </w:p>
    <w:p w14:paraId="05359C24" w14:textId="77777777" w:rsidR="00A47AC3" w:rsidRDefault="00A47AC3" w:rsidP="00711292">
      <w:pPr>
        <w:spacing w:line="288" w:lineRule="auto"/>
        <w:jc w:val="both"/>
        <w:rPr>
          <w:i/>
        </w:rPr>
      </w:pPr>
      <w:r>
        <w:rPr>
          <w:i/>
        </w:rPr>
        <w:t>Kulturministeriets kommentarer:</w:t>
      </w:r>
    </w:p>
    <w:p w14:paraId="05359C25" w14:textId="77777777" w:rsidR="00895D4A" w:rsidRDefault="00895D4A" w:rsidP="00711292">
      <w:pPr>
        <w:spacing w:line="288" w:lineRule="auto"/>
        <w:jc w:val="both"/>
      </w:pPr>
      <w:r>
        <w:t>Kulturministeriet noterer sig Sendesamvirket Hovedstadens bemærkninger.</w:t>
      </w:r>
    </w:p>
    <w:p w14:paraId="05359C26" w14:textId="77777777" w:rsidR="00EF5E23" w:rsidRDefault="00EF5E23" w:rsidP="00711292">
      <w:pPr>
        <w:spacing w:line="288" w:lineRule="auto"/>
        <w:jc w:val="both"/>
      </w:pPr>
    </w:p>
    <w:p w14:paraId="05359C27" w14:textId="77777777" w:rsidR="00EF5E23" w:rsidRDefault="00DF2CB3" w:rsidP="00711292">
      <w:pPr>
        <w:spacing w:line="288" w:lineRule="auto"/>
        <w:jc w:val="both"/>
      </w:pPr>
      <w:r>
        <w:t>Kulturministeriet bemærker, at tilskuddet til de ikkekommercielle lokale tv-stationer ydes som et samlet tilskud til dækning af alle udgifter i forbindelse med programvirksomheden.</w:t>
      </w:r>
      <w:r w:rsidR="00A3651B">
        <w:t xml:space="preserve"> Alle stationerne er forpligtede til minimum 50 uger årligt at udsende i alt 10 timers programvirksomhed bestående af to timers egenproduceret førstegangsudsendt programvirksomhed hver uge samt g</w:t>
      </w:r>
      <w:r w:rsidR="00711292">
        <w:t>enudsendelser heraf. Programmer</w:t>
      </w:r>
      <w:r w:rsidR="000861E9">
        <w:t>,</w:t>
      </w:r>
      <w:r w:rsidR="00A3651B">
        <w:t xml:space="preserve"> som er produceret og tilskudsfinansieret under</w:t>
      </w:r>
      <w:r w:rsidR="000877AD">
        <w:t xml:space="preserve"> en tidligere ordning, vil alene</w:t>
      </w:r>
      <w:r w:rsidR="00A3651B">
        <w:t xml:space="preserve"> kunne udsendes i øvrig sendetid</w:t>
      </w:r>
      <w:r w:rsidR="00711292">
        <w:t xml:space="preserve"> og kan ikke træde i stedet for førstegangsudsendelser</w:t>
      </w:r>
      <w:r w:rsidR="00A3651B">
        <w:t>. Kulturministeriet vurderer derfor, at risikoen for dobbelttilskud er af begrænset omfang.</w:t>
      </w:r>
      <w:r w:rsidR="00BB4710">
        <w:t xml:space="preserve"> </w:t>
      </w:r>
      <w:r w:rsidR="00813EF7">
        <w:t>Radio- og tv-nævnets b</w:t>
      </w:r>
      <w:r w:rsidR="00BB4710">
        <w:t>emærkninger giver derfor ikke anledning til ændringer.</w:t>
      </w:r>
    </w:p>
    <w:p w14:paraId="05359C28" w14:textId="77777777" w:rsidR="00EF5E23" w:rsidRDefault="00EF5E23" w:rsidP="00711292">
      <w:pPr>
        <w:spacing w:line="288" w:lineRule="auto"/>
        <w:jc w:val="both"/>
        <w:rPr>
          <w:b/>
        </w:rPr>
      </w:pPr>
    </w:p>
    <w:p w14:paraId="05359C29" w14:textId="77777777" w:rsidR="003B7841" w:rsidRDefault="003B7841" w:rsidP="00711292">
      <w:pPr>
        <w:spacing w:line="288" w:lineRule="auto"/>
        <w:jc w:val="both"/>
        <w:rPr>
          <w:b/>
        </w:rPr>
      </w:pPr>
      <w:r>
        <w:rPr>
          <w:b/>
        </w:rPr>
        <w:t>Kravet om lokalt indhold</w:t>
      </w:r>
    </w:p>
    <w:p w14:paraId="05359C2A" w14:textId="77777777" w:rsidR="00C9350E" w:rsidRDefault="00C9350E" w:rsidP="00C9350E">
      <w:pPr>
        <w:spacing w:line="288" w:lineRule="auto"/>
        <w:jc w:val="both"/>
      </w:pPr>
      <w:r>
        <w:rPr>
          <w:u w:val="single"/>
        </w:rPr>
        <w:t>Radio- og tv-nævnet</w:t>
      </w:r>
      <w:r>
        <w:t xml:space="preserve"> bemærker, at ændringen medfører en ensretning af kravet om lokalt indhold i ordningerne for både ikkekommerciel lokalradio og lokal-tv, som findes hensigtsmæssig.</w:t>
      </w:r>
    </w:p>
    <w:p w14:paraId="05359C2B" w14:textId="77777777" w:rsidR="00C9350E" w:rsidRDefault="00C9350E" w:rsidP="00711292">
      <w:pPr>
        <w:spacing w:line="288" w:lineRule="auto"/>
        <w:jc w:val="both"/>
        <w:rPr>
          <w:u w:val="single"/>
        </w:rPr>
      </w:pPr>
    </w:p>
    <w:p w14:paraId="05359C2C" w14:textId="77777777" w:rsidR="000153D4" w:rsidRDefault="00EB57F8" w:rsidP="00711292">
      <w:pPr>
        <w:spacing w:line="288" w:lineRule="auto"/>
        <w:jc w:val="both"/>
      </w:pPr>
      <w:r>
        <w:rPr>
          <w:u w:val="single"/>
        </w:rPr>
        <w:t>Sendesamvirket Hovedstaden</w:t>
      </w:r>
      <w:r w:rsidR="0023773A">
        <w:t xml:space="preserve"> mener, at der er et problem med det såkaldte ”til, fra og om/med-kriterium” i bekendtgørelsens § 11, st</w:t>
      </w:r>
      <w:r w:rsidR="006E6880">
        <w:t>k. 1-3, da det ikke er angivet</w:t>
      </w:r>
      <w:r w:rsidR="00813EF7">
        <w:t>,</w:t>
      </w:r>
      <w:r w:rsidR="0023773A">
        <w:t xml:space="preserve"> hvorvidt der er tale om kumulative betingelser. Sendesamvirket Hovedstaden mener, at den nuværende formulering skal </w:t>
      </w:r>
      <w:r w:rsidR="00E74E6F">
        <w:t>fastholdes</w:t>
      </w:r>
      <w:r w:rsidR="00711292">
        <w:t>,</w:t>
      </w:r>
      <w:r w:rsidR="0010726D">
        <w:t xml:space="preserve"> og at kravene kun sk</w:t>
      </w:r>
      <w:r w:rsidR="00711292">
        <w:t>al forstås som ikke-kumulative.</w:t>
      </w:r>
    </w:p>
    <w:p w14:paraId="05359C2D" w14:textId="77777777" w:rsidR="000153D4" w:rsidRDefault="000153D4" w:rsidP="00711292">
      <w:pPr>
        <w:spacing w:line="288" w:lineRule="auto"/>
        <w:jc w:val="both"/>
      </w:pPr>
    </w:p>
    <w:p w14:paraId="05359C2E" w14:textId="77777777" w:rsidR="003B7841" w:rsidRPr="00EB57F8" w:rsidRDefault="000153D4" w:rsidP="00711292">
      <w:pPr>
        <w:spacing w:line="288" w:lineRule="auto"/>
        <w:jc w:val="both"/>
      </w:pPr>
      <w:r>
        <w:t xml:space="preserve">Sendesamvirket Hovedstaden henviser til </w:t>
      </w:r>
      <w:r w:rsidRPr="00872582">
        <w:rPr>
          <w:i/>
        </w:rPr>
        <w:t>”Rapport om ny ordning for lokalradio</w:t>
      </w:r>
      <w:r w:rsidR="00346B95" w:rsidRPr="00872582">
        <w:rPr>
          <w:i/>
        </w:rPr>
        <w:t xml:space="preserve"> og -</w:t>
      </w:r>
      <w:r w:rsidRPr="00872582">
        <w:rPr>
          <w:i/>
        </w:rPr>
        <w:t>tv”</w:t>
      </w:r>
      <w:r w:rsidR="00346B95">
        <w:t xml:space="preserve"> hvor</w:t>
      </w:r>
      <w:r w:rsidR="00102AB8">
        <w:t>i</w:t>
      </w:r>
      <w:r w:rsidR="00346B95">
        <w:t xml:space="preserve"> det beskrives, at et krav om lokalt indhold er komplekst og svært definerbart, da lokalt og globalt indhold ofte s</w:t>
      </w:r>
      <w:r w:rsidR="00102AB8">
        <w:t>melter sammen</w:t>
      </w:r>
      <w:r w:rsidR="00B26EF0">
        <w:t>, hvorfor det af en station foreslås, at kravet om lokalt indhold erstattes af en vurdering af kvalitet. Sendesamvirket Hovedstaden er enig i denne konklusion og</w:t>
      </w:r>
      <w:r w:rsidR="0010726D">
        <w:t xml:space="preserve"> bemærker i øvrigt, at det bør være tilstrækkeligt</w:t>
      </w:r>
      <w:r w:rsidR="00E74E6F">
        <w:t>, at en station i forbindelse med ansøgning om programtilladelse skal oplyse, at stationen har en lokal programprofil og er lokalt forankret.</w:t>
      </w:r>
    </w:p>
    <w:p w14:paraId="05359C2F" w14:textId="77777777" w:rsidR="00C9350E" w:rsidRDefault="00C9350E" w:rsidP="00C9350E">
      <w:pPr>
        <w:spacing w:line="288" w:lineRule="auto"/>
        <w:jc w:val="both"/>
      </w:pPr>
    </w:p>
    <w:p w14:paraId="05359C30" w14:textId="77777777" w:rsidR="000352DA" w:rsidRDefault="00C9350E" w:rsidP="00711292">
      <w:pPr>
        <w:spacing w:line="288" w:lineRule="auto"/>
        <w:jc w:val="both"/>
      </w:pPr>
      <w:r>
        <w:rPr>
          <w:u w:val="single"/>
        </w:rPr>
        <w:t>Østjyske Studerendes TV/TV Tonic</w:t>
      </w:r>
      <w:r>
        <w:t xml:space="preserve"> bifalder, at reglerne om lokalt indhold lempes med ændringen. Foreningen gør dog opmærksom på, at Radio- og tv-nævnet fastholder den nuværende fortolkning af ordlyden </w:t>
      </w:r>
      <w:r w:rsidRPr="00C9350E">
        <w:rPr>
          <w:i/>
        </w:rPr>
        <w:t>”Programvirksomheden skal udøves fra tilladelsesområdet”</w:t>
      </w:r>
      <w:r w:rsidR="00DA7753">
        <w:t xml:space="preserve"> </w:t>
      </w:r>
      <w:r>
        <w:t>i § 11, stk. 1, som værende et krav om, at alt indhold skal optages i sendeområdet, hvilket f.eks. forhindrer, at en tv-station i Jylland bringer et interview med en minister i København om en lokal jysk sag. Foreningen foreslår derfor, at fortolkningen og vejled</w:t>
      </w:r>
      <w:r w:rsidR="003F03ED">
        <w:t>ningen ændres således, at det bliver muligt at bringe optagelser optaget uden for sendeområdet.</w:t>
      </w:r>
    </w:p>
    <w:p w14:paraId="05359C31" w14:textId="77777777" w:rsidR="00A47AC3" w:rsidRPr="00A47AC3" w:rsidRDefault="00A47AC3" w:rsidP="00711292">
      <w:pPr>
        <w:spacing w:line="288" w:lineRule="auto"/>
        <w:jc w:val="both"/>
        <w:rPr>
          <w:i/>
        </w:rPr>
      </w:pPr>
      <w:r>
        <w:rPr>
          <w:i/>
        </w:rPr>
        <w:lastRenderedPageBreak/>
        <w:t>Kulturministeriets kommentarer:</w:t>
      </w:r>
    </w:p>
    <w:p w14:paraId="05359C32" w14:textId="77777777" w:rsidR="00A47AC3" w:rsidRDefault="00895D4A" w:rsidP="00711292">
      <w:pPr>
        <w:spacing w:line="288" w:lineRule="auto"/>
        <w:jc w:val="both"/>
      </w:pPr>
      <w:r>
        <w:t>Kulturministeriet noterer sig Radio- og tv-nævnets bemærkninger.</w:t>
      </w:r>
    </w:p>
    <w:p w14:paraId="05359C33" w14:textId="77777777" w:rsidR="00895D4A" w:rsidRDefault="00895D4A" w:rsidP="00711292">
      <w:pPr>
        <w:spacing w:line="288" w:lineRule="auto"/>
        <w:jc w:val="both"/>
      </w:pPr>
    </w:p>
    <w:p w14:paraId="05359C34" w14:textId="77777777" w:rsidR="006E6880" w:rsidRDefault="00895D4A" w:rsidP="00711292">
      <w:pPr>
        <w:spacing w:line="288" w:lineRule="auto"/>
        <w:jc w:val="both"/>
      </w:pPr>
      <w:r>
        <w:t xml:space="preserve">Kulturministeriet bemærker, at der i bekendtgørelsens § 11, stk. 3, står: </w:t>
      </w:r>
      <w:r w:rsidRPr="00895D4A">
        <w:rPr>
          <w:i/>
        </w:rPr>
        <w:t>”Udover betingelserne i stk. 1 og 2 skal…”</w:t>
      </w:r>
      <w:r>
        <w:t xml:space="preserve">, hvilket indikerer, at der er tale om kumulative betingelser. Dette kan endvidere udledes af, at der ikke står </w:t>
      </w:r>
      <w:r w:rsidRPr="00895D4A">
        <w:rPr>
          <w:i/>
        </w:rPr>
        <w:t>”eller”</w:t>
      </w:r>
      <w:r>
        <w:t xml:space="preserve"> efter hver betingelse. Kulturministeriet vu</w:t>
      </w:r>
      <w:r w:rsidR="00445F8E">
        <w:t>rderer ydermere, at en vurdering af kvalit</w:t>
      </w:r>
      <w:r w:rsidR="00EF5E23">
        <w:t>et vil være endnu mere kompleks og svært definerbar</w:t>
      </w:r>
      <w:r w:rsidR="00445F8E">
        <w:t xml:space="preserve"> end et krav om lokalt indhold, hvorfor det findes uhensigtsmæssigt.</w:t>
      </w:r>
    </w:p>
    <w:p w14:paraId="05359C35" w14:textId="77777777" w:rsidR="006E6880" w:rsidRDefault="006E6880" w:rsidP="00711292">
      <w:pPr>
        <w:spacing w:line="288" w:lineRule="auto"/>
        <w:jc w:val="both"/>
      </w:pPr>
    </w:p>
    <w:p w14:paraId="05359C37" w14:textId="48EA76B0" w:rsidR="00C9350E" w:rsidRPr="00D7198C" w:rsidRDefault="00C621CB" w:rsidP="00711292">
      <w:pPr>
        <w:spacing w:line="288" w:lineRule="auto"/>
        <w:jc w:val="both"/>
      </w:pPr>
      <w:r w:rsidRPr="00A55612">
        <w:t xml:space="preserve">Ændringen af bekendtgørelsens § 11, stk. 3, medfører, at der ikke længere stilles krav om, at 80 pct. af programmer skal være om eller med personer fra lokalområdet, men i stedet at 80 pct. af programmerne skal omhandle lokale forhold af særlig interesse for lokalbefolkningen. </w:t>
      </w:r>
      <w:bookmarkStart w:id="3" w:name="_GoBack"/>
      <w:bookmarkEnd w:id="3"/>
      <w:r w:rsidRPr="00F75C8F">
        <w:t>Det betyder f.eks., at et program om EU-politik godt kan betragtes som lokalt indhold, såfremt det handler om, hvilken konkret betydning politikken har for det lokale område. Ligeledes vil folketingsmedlemmer og – kandidater også kunne medvirke i lokal-tv, såfremt der drøftes lokale forhold. Derudover vil transmissioner fra vælgermøder med lokalt opstillede kandidater efter Kulturministeriets vurdering være inden for rammerne af den ovennævnte definition af lokalt indhold, idet en sådan transmission – uanset om der drøftes såvel landspolitiske som lokale emner – vil være af særlig interesse for befolkningen i lokalområdet i forbindelse med et valg. Ændringen medfører en tilsigtet ensretning af kravet om lokalt indhold på lokal-tv-området med ikkekommerciel lokalradio, ligesom et forsat krav om lokalt indhold bevarer hensigten med lokal-tv-ordningen. Det bemærkes i øvrigt, at kravet om lokalt indhold kun gælder for 80 pct. af sendetiden, medmindre den enkelte lokal-tv-station har forpligtet sig til mere. De resterende op til 20 pct. af sendetiden er således ikke under</w:t>
      </w:r>
      <w:r w:rsidR="00D7198C" w:rsidRPr="00F75C8F">
        <w:t>lagt et krav om lokalt indhold.</w:t>
      </w:r>
    </w:p>
    <w:p w14:paraId="65D82B68" w14:textId="77777777" w:rsidR="00D7198C" w:rsidRDefault="00D7198C" w:rsidP="00711292">
      <w:pPr>
        <w:spacing w:line="288" w:lineRule="auto"/>
        <w:jc w:val="both"/>
      </w:pPr>
    </w:p>
    <w:p w14:paraId="05359C38" w14:textId="77777777" w:rsidR="003F03ED" w:rsidRDefault="00491EEE" w:rsidP="00711292">
      <w:pPr>
        <w:spacing w:line="288" w:lineRule="auto"/>
        <w:jc w:val="both"/>
      </w:pPr>
      <w:r>
        <w:t>Kravet om, at programvirksomheden skal udøves fra tilladelsesområdet</w:t>
      </w:r>
      <w:r w:rsidR="0081058B">
        <w:t>,</w:t>
      </w:r>
      <w:r>
        <w:t xml:space="preserve"> følger direkte af bekendtgørelsen og </w:t>
      </w:r>
      <w:r w:rsidR="0081058B">
        <w:t>er ligeledes i overensstemmelse med</w:t>
      </w:r>
      <w:r w:rsidR="002365EE">
        <w:t xml:space="preserve"> den lokal-tv-ordning som trådte i kraft den 1. januar 2014, hvormed man ønskede </w:t>
      </w:r>
      <w:r w:rsidR="0081058B">
        <w:t>et stærkere krav om programmernes lokale indhold</w:t>
      </w:r>
      <w:r w:rsidR="00DB3E95">
        <w:t xml:space="preserve">, </w:t>
      </w:r>
      <w:r w:rsidR="000C53F9">
        <w:t>herunder at programmerne skulle være producerede fra lokalområdet.</w:t>
      </w:r>
      <w:r w:rsidR="002E2EC8">
        <w:t xml:space="preserve"> </w:t>
      </w:r>
      <w:r w:rsidR="003120FA">
        <w:t xml:space="preserve">Kulturministeriet bemærker, at den nærmere fortolkning af, hvad der ligger i, at programvirksomheden skal udøves fra tilladelsesområdet, herunder ift. interviews, er Radio- og tv-nævnets kompetence. </w:t>
      </w:r>
      <w:r w:rsidR="002E2EC8">
        <w:t>Bemærkningerne</w:t>
      </w:r>
      <w:r w:rsidR="00CA0688">
        <w:t xml:space="preserve"> fra Østjyske </w:t>
      </w:r>
      <w:r w:rsidR="00CA0688" w:rsidRPr="00C2781D">
        <w:t>Studerendes TV/TV Tonic</w:t>
      </w:r>
      <w:r w:rsidR="002E2EC8">
        <w:t xml:space="preserve"> giver derfor ikke anledning til ændringer.</w:t>
      </w:r>
    </w:p>
    <w:p w14:paraId="05359C39" w14:textId="77777777" w:rsidR="00491EEE" w:rsidRPr="00EB57F8" w:rsidRDefault="00491EEE" w:rsidP="00711292">
      <w:pPr>
        <w:spacing w:line="288" w:lineRule="auto"/>
        <w:jc w:val="both"/>
      </w:pPr>
    </w:p>
    <w:p w14:paraId="05359C3A" w14:textId="77777777" w:rsidR="003B7841" w:rsidRDefault="003B7841" w:rsidP="00711292">
      <w:pPr>
        <w:spacing w:line="288" w:lineRule="auto"/>
        <w:jc w:val="both"/>
        <w:rPr>
          <w:b/>
        </w:rPr>
      </w:pPr>
      <w:r>
        <w:rPr>
          <w:b/>
        </w:rPr>
        <w:t>Europæiske programmer</w:t>
      </w:r>
    </w:p>
    <w:p w14:paraId="05359C3B" w14:textId="77777777" w:rsidR="003B7841" w:rsidRDefault="00BE1439" w:rsidP="00711292">
      <w:pPr>
        <w:spacing w:line="288" w:lineRule="auto"/>
        <w:jc w:val="both"/>
      </w:pPr>
      <w:r>
        <w:rPr>
          <w:u w:val="single"/>
        </w:rPr>
        <w:t>Radio- og tv-nævnet</w:t>
      </w:r>
      <w:r>
        <w:t xml:space="preserve"> bemærker, at tilføjelsen § 10, stk. 3, 2. pkt., vil lette nævnets administration af ændringer vedrørende europæiske programmer fra producenter, der er uafhængige af tv-foretagendet.</w:t>
      </w:r>
    </w:p>
    <w:p w14:paraId="05359C3C" w14:textId="77777777" w:rsidR="00445F8E" w:rsidRDefault="00445F8E" w:rsidP="00711292">
      <w:pPr>
        <w:spacing w:line="288" w:lineRule="auto"/>
        <w:jc w:val="both"/>
        <w:rPr>
          <w:i/>
        </w:rPr>
      </w:pPr>
    </w:p>
    <w:p w14:paraId="05359C3D" w14:textId="77777777" w:rsidR="00BE1439" w:rsidRPr="00A47AC3" w:rsidRDefault="00BE1439" w:rsidP="00711292">
      <w:pPr>
        <w:spacing w:line="288" w:lineRule="auto"/>
        <w:jc w:val="both"/>
        <w:rPr>
          <w:i/>
        </w:rPr>
      </w:pPr>
      <w:r>
        <w:rPr>
          <w:i/>
        </w:rPr>
        <w:t>Kulturministeriets kommentarer:</w:t>
      </w:r>
    </w:p>
    <w:p w14:paraId="05359C3E" w14:textId="77777777" w:rsidR="00EC2DDB" w:rsidRDefault="00BE1439" w:rsidP="00711292">
      <w:pPr>
        <w:spacing w:line="288" w:lineRule="auto"/>
        <w:jc w:val="both"/>
      </w:pPr>
      <w:r>
        <w:lastRenderedPageBreak/>
        <w:t>Kulturministeriet noterer sig Radio- og tv-nævnets bemærkninger.</w:t>
      </w:r>
    </w:p>
    <w:p w14:paraId="05359C3F" w14:textId="77777777" w:rsidR="00950DA7" w:rsidRPr="00EB57F8" w:rsidRDefault="00950DA7" w:rsidP="00711292">
      <w:pPr>
        <w:spacing w:line="288" w:lineRule="auto"/>
        <w:jc w:val="both"/>
      </w:pPr>
    </w:p>
    <w:p w14:paraId="05359C40" w14:textId="77777777" w:rsidR="003B7841" w:rsidRPr="008D3F60" w:rsidRDefault="003B7841" w:rsidP="00711292">
      <w:pPr>
        <w:spacing w:line="288" w:lineRule="auto"/>
        <w:jc w:val="both"/>
        <w:rPr>
          <w:b/>
        </w:rPr>
      </w:pPr>
      <w:r>
        <w:rPr>
          <w:b/>
        </w:rPr>
        <w:t>Øvrige kommentarer</w:t>
      </w:r>
    </w:p>
    <w:p w14:paraId="05359C41" w14:textId="77777777" w:rsidR="006A4C18" w:rsidRDefault="00B26EF0" w:rsidP="00711292">
      <w:pPr>
        <w:spacing w:line="288" w:lineRule="auto"/>
        <w:jc w:val="both"/>
      </w:pPr>
      <w:r>
        <w:rPr>
          <w:u w:val="single"/>
        </w:rPr>
        <w:t>Sendesamvirket Hovedstaden</w:t>
      </w:r>
      <w:r>
        <w:t xml:space="preserve"> </w:t>
      </w:r>
      <w:r w:rsidR="00A755E3">
        <w:t>mener</w:t>
      </w:r>
      <w:r w:rsidR="002A6B3D">
        <w:t>,</w:t>
      </w:r>
      <w:r>
        <w:t xml:space="preserve"> </w:t>
      </w:r>
      <w:r w:rsidR="00711292">
        <w:t>at bekendtgørelsens § 36 skal</w:t>
      </w:r>
      <w:r w:rsidR="00A755E3">
        <w:t xml:space="preserve"> ændres, så tilbagebetalingskrav alene basere</w:t>
      </w:r>
      <w:r w:rsidR="00EC2DDB">
        <w:t xml:space="preserve">s på konkrete overtrædelser. </w:t>
      </w:r>
      <w:r w:rsidR="002A6B3D">
        <w:t>Det</w:t>
      </w:r>
      <w:r w:rsidR="00EC2DDB">
        <w:t xml:space="preserve"> bemærke</w:t>
      </w:r>
      <w:r w:rsidR="002A6B3D">
        <w:t>s</w:t>
      </w:r>
      <w:r w:rsidR="00A755E3">
        <w:t xml:space="preserve"> i den forbindelse, at Radio- og tv-nævnets anvendelse af repræsentativitetsprincippet, hvor en station vil kunne komme til, at skulle tilbagebetale ca. 100.000 kr. per ikke-godkendt time, </w:t>
      </w:r>
      <w:r w:rsidR="00DC5BA9">
        <w:t xml:space="preserve">kan være i strid med Den Europæiske Menneskerettighedskonventions artikel 10, stk. 2, da princippet er </w:t>
      </w:r>
      <w:proofErr w:type="spellStart"/>
      <w:r w:rsidR="00DC5BA9">
        <w:t>uproportionalt</w:t>
      </w:r>
      <w:proofErr w:type="spellEnd"/>
      <w:r w:rsidR="00DC5BA9">
        <w:t xml:space="preserve">. </w:t>
      </w:r>
    </w:p>
    <w:p w14:paraId="05359C42" w14:textId="77777777" w:rsidR="00A755E3" w:rsidRPr="00B26EF0" w:rsidRDefault="00DC5BA9" w:rsidP="00711292">
      <w:pPr>
        <w:spacing w:line="288" w:lineRule="auto"/>
        <w:jc w:val="both"/>
      </w:pPr>
      <w:r>
        <w:t xml:space="preserve">Sendesamvirket Hovedstaden bemærker ydermere, at </w:t>
      </w:r>
      <w:proofErr w:type="spellStart"/>
      <w:r>
        <w:t>Kantar</w:t>
      </w:r>
      <w:proofErr w:type="spellEnd"/>
      <w:r>
        <w:t xml:space="preserve"> Gallup er stoppet med at måle seertal på ikkekommercielt tv </w:t>
      </w:r>
      <w:r w:rsidR="00EF5E23">
        <w:t xml:space="preserve">i </w:t>
      </w:r>
      <w:r>
        <w:t>MUX 1</w:t>
      </w:r>
      <w:r w:rsidR="00CF7F32">
        <w:t xml:space="preserve"> og spørger</w:t>
      </w:r>
      <w:r w:rsidR="003120FA">
        <w:t>,</w:t>
      </w:r>
      <w:r w:rsidR="00CF7F32">
        <w:t xml:space="preserve"> om det er hensigtsmæssigt, at man ikke kan analysere tv-seningen i Danmark. Derudover </w:t>
      </w:r>
      <w:r w:rsidR="002A6B3D">
        <w:t xml:space="preserve">mener sendesamvirket at </w:t>
      </w:r>
      <w:r w:rsidR="00CF7F32">
        <w:t>samfundet med must-</w:t>
      </w:r>
      <w:proofErr w:type="spellStart"/>
      <w:r w:rsidR="00CF7F32">
        <w:t>carry</w:t>
      </w:r>
      <w:proofErr w:type="spellEnd"/>
      <w:r w:rsidR="00CF7F32">
        <w:t xml:space="preserve"> </w:t>
      </w:r>
      <w:r w:rsidR="00E47256">
        <w:t xml:space="preserve">bør </w:t>
      </w:r>
      <w:r w:rsidR="00CF7F32">
        <w:t xml:space="preserve">sikre, at ikkekommercielt tv kan ses i de private husstande. Endeligt bemærker Sendesamvirket Hovedstaden, at Radio- og tv-nævnet skal udøve </w:t>
      </w:r>
      <w:r w:rsidR="00A47AC3">
        <w:t>mindre kontrol og</w:t>
      </w:r>
      <w:r w:rsidR="00CF7F32">
        <w:t xml:space="preserve"> have et armslængdeprincip i forhold til redaktionelle beslutninger</w:t>
      </w:r>
      <w:r w:rsidR="00A47AC3">
        <w:t>, hvilket bør</w:t>
      </w:r>
      <w:r w:rsidR="00CF7F32">
        <w:t xml:space="preserve"> præciseres i bekendtgørelsen.</w:t>
      </w:r>
    </w:p>
    <w:p w14:paraId="05359C43" w14:textId="77777777" w:rsidR="00B26EF0" w:rsidRDefault="00B26EF0" w:rsidP="00711292">
      <w:pPr>
        <w:spacing w:line="288" w:lineRule="auto"/>
        <w:jc w:val="both"/>
        <w:rPr>
          <w:u w:val="single"/>
        </w:rPr>
      </w:pPr>
    </w:p>
    <w:p w14:paraId="05359C44" w14:textId="77777777" w:rsidR="00A47AC3" w:rsidRDefault="00A47AC3" w:rsidP="00711292">
      <w:pPr>
        <w:spacing w:line="288" w:lineRule="auto"/>
        <w:jc w:val="both"/>
        <w:rPr>
          <w:i/>
        </w:rPr>
      </w:pPr>
      <w:r>
        <w:rPr>
          <w:i/>
        </w:rPr>
        <w:t>Kulturministeriets kommentarer:</w:t>
      </w:r>
    </w:p>
    <w:p w14:paraId="05359C45" w14:textId="77777777" w:rsidR="00B240CA" w:rsidRDefault="00F817A9" w:rsidP="00711292">
      <w:pPr>
        <w:spacing w:line="288" w:lineRule="auto"/>
        <w:jc w:val="both"/>
      </w:pPr>
      <w:r>
        <w:t xml:space="preserve">Kulturministeriet bemærker, at det har </w:t>
      </w:r>
      <w:r>
        <w:rPr>
          <w:rFonts w:eastAsia="Calibri" w:cs="Helvetica"/>
          <w:szCs w:val="22"/>
        </w:rPr>
        <w:t xml:space="preserve">vist sig ikke at være muligt at foretage publikumsmålinger, der var tilstrækkeligt pålidelige til at kunne afgøre, om de tidligere publikumskrav var opfyldt. Dette var ligeledes årsagen til, at man ved </w:t>
      </w:r>
      <w:r w:rsidR="00DB682C">
        <w:rPr>
          <w:rFonts w:eastAsia="Calibri" w:cs="Helvetica"/>
          <w:szCs w:val="22"/>
        </w:rPr>
        <w:t>bekendtgørelse nr. 226 af 3. marts 2017 om ændring af bekendtgørelse om ikkekommercielt tv i MUX 1</w:t>
      </w:r>
      <w:r>
        <w:rPr>
          <w:rFonts w:eastAsia="Calibri" w:cs="Helvetica"/>
          <w:szCs w:val="22"/>
        </w:rPr>
        <w:t xml:space="preserve"> fjernede kravet om publikumsmålinger, og </w:t>
      </w:r>
      <w:proofErr w:type="spellStart"/>
      <w:r>
        <w:rPr>
          <w:rFonts w:eastAsia="Calibri" w:cs="Helvetica"/>
          <w:szCs w:val="22"/>
        </w:rPr>
        <w:t>Kantar</w:t>
      </w:r>
      <w:proofErr w:type="spellEnd"/>
      <w:r>
        <w:rPr>
          <w:rFonts w:eastAsia="Calibri" w:cs="Helvetica"/>
          <w:szCs w:val="22"/>
        </w:rPr>
        <w:t xml:space="preserve"> Gallups ophør med måling af seertal må anses som værende en naturlig konsekvens heraf.</w:t>
      </w:r>
      <w:r w:rsidR="009D370D">
        <w:t xml:space="preserve"> </w:t>
      </w:r>
      <w:r w:rsidR="00DB682C">
        <w:t xml:space="preserve">Det bemærkes i øvrigt, at must </w:t>
      </w:r>
      <w:proofErr w:type="spellStart"/>
      <w:r w:rsidR="00DB682C">
        <w:t>carry</w:t>
      </w:r>
      <w:proofErr w:type="spellEnd"/>
      <w:r w:rsidR="00DB682C">
        <w:t>-forpligtelserne for lokal-tv blev afskaffet af et meget bredt flertal i Folketinget i 2006, og der er ikke aftalt en ændring heraf i medieaftalen for 2015-2018.</w:t>
      </w:r>
    </w:p>
    <w:p w14:paraId="05359C46" w14:textId="77777777" w:rsidR="002D3608" w:rsidRDefault="002D3608" w:rsidP="00711292">
      <w:pPr>
        <w:spacing w:line="288" w:lineRule="auto"/>
        <w:jc w:val="both"/>
        <w:rPr>
          <w:u w:val="single"/>
        </w:rPr>
      </w:pPr>
    </w:p>
    <w:p w14:paraId="05359C47" w14:textId="77777777" w:rsidR="00F77D27" w:rsidRPr="00F77D27" w:rsidRDefault="00F77D27" w:rsidP="00711292">
      <w:pPr>
        <w:spacing w:line="288" w:lineRule="auto"/>
        <w:jc w:val="both"/>
      </w:pPr>
      <w:r>
        <w:t>Endeligt har Kulturministeriet ingen bemærkninger til Radio- og tv-nævnets udøvelse af sine beføjelser</w:t>
      </w:r>
      <w:r w:rsidR="00525C60">
        <w:t>, herunder anvendelsen af repræsentativitetsprincippet</w:t>
      </w:r>
      <w:r>
        <w:t>, og bemærker ydermere, at der er tale om et uafhængigt nævn.</w:t>
      </w:r>
    </w:p>
    <w:p w14:paraId="05359C48" w14:textId="77777777" w:rsidR="00F77D27" w:rsidRDefault="00F77D27" w:rsidP="00711292">
      <w:pPr>
        <w:spacing w:line="288" w:lineRule="auto"/>
        <w:jc w:val="both"/>
        <w:rPr>
          <w:u w:val="single"/>
        </w:rPr>
      </w:pPr>
    </w:p>
    <w:p w14:paraId="05359C49" w14:textId="77777777" w:rsidR="00BD4D67" w:rsidRDefault="000352DA" w:rsidP="00711292">
      <w:pPr>
        <w:spacing w:line="288" w:lineRule="auto"/>
        <w:jc w:val="both"/>
      </w:pPr>
      <w:r>
        <w:rPr>
          <w:u w:val="single"/>
        </w:rPr>
        <w:t>Radio- og tv-nævnet</w:t>
      </w:r>
      <w:r>
        <w:t xml:space="preserve"> </w:t>
      </w:r>
      <w:r w:rsidR="00573AB7">
        <w:t>bemærker, at fo</w:t>
      </w:r>
      <w:r w:rsidR="00F12C0E">
        <w:t>rmuleringen af</w:t>
      </w:r>
      <w:r w:rsidR="00573AB7">
        <w:t xml:space="preserve"> § 28</w:t>
      </w:r>
      <w:r w:rsidR="00F12C0E">
        <w:t xml:space="preserve"> i forslag til ændring af bekendtgørelsen</w:t>
      </w:r>
      <w:r w:rsidR="00BD4D67">
        <w:t xml:space="preserve"> bør ændres, således at det præciseres hvilke eventuelle verserende eller afsluttede sager for domstolene eller offentlige myndigheder, som </w:t>
      </w:r>
      <w:proofErr w:type="spellStart"/>
      <w:r w:rsidR="00BD4D67">
        <w:t>tilladelseshavere</w:t>
      </w:r>
      <w:proofErr w:type="spellEnd"/>
      <w:r w:rsidR="00BD4D67">
        <w:t xml:space="preserve"> skal oplyse nævnet om i forbindelse med ansøgning om tilskud</w:t>
      </w:r>
      <w:r w:rsidR="00573AB7">
        <w:t>, samt hvilke sager</w:t>
      </w:r>
      <w:r w:rsidR="00BD4D67">
        <w:t xml:space="preserve"> nævnet kan lægge vægt på. Nævnet foreslår derudover, at der tilføjes et dekorumkrav, og at oplysningspligten i </w:t>
      </w:r>
      <w:r w:rsidR="00573AB7">
        <w:t>§ 28</w:t>
      </w:r>
      <w:r w:rsidR="00BD4D67">
        <w:t xml:space="preserve"> udvides til også at omfatte </w:t>
      </w:r>
      <w:r w:rsidR="00573AB7">
        <w:t xml:space="preserve">oplysninger om eventuelle </w:t>
      </w:r>
      <w:r w:rsidR="00BD4D67">
        <w:t xml:space="preserve">børneattester. </w:t>
      </w:r>
      <w:r w:rsidR="00F12C0E">
        <w:t>Endeligt konstaterer nævnet, at</w:t>
      </w:r>
      <w:r w:rsidR="00BD4D67">
        <w:t xml:space="preserve"> § 32</w:t>
      </w:r>
      <w:r w:rsidR="00F12C0E">
        <w:t xml:space="preserve"> i forslag til ændring af bekendtgørelsen</w:t>
      </w:r>
      <w:r w:rsidR="00BD4D67">
        <w:t xml:space="preserve"> bør ophæves, da der ikke skal </w:t>
      </w:r>
      <w:r w:rsidR="00EF5E23">
        <w:t>ind</w:t>
      </w:r>
      <w:r w:rsidR="00BD4D67">
        <w:t>sendes et sendetidsskema med oplysninger om den realiserede programvirksomhed i forbindelse med regnskab.</w:t>
      </w:r>
    </w:p>
    <w:p w14:paraId="05359C4A" w14:textId="77777777" w:rsidR="00BD4D67" w:rsidRDefault="00BD4D67" w:rsidP="00711292">
      <w:pPr>
        <w:spacing w:line="288" w:lineRule="auto"/>
        <w:jc w:val="both"/>
      </w:pPr>
    </w:p>
    <w:p w14:paraId="05359C4B" w14:textId="77777777" w:rsidR="00583AA7" w:rsidRPr="006235DA" w:rsidRDefault="00BD4D67" w:rsidP="00711292">
      <w:pPr>
        <w:spacing w:line="288" w:lineRule="auto"/>
        <w:jc w:val="both"/>
        <w:rPr>
          <w:i/>
        </w:rPr>
      </w:pPr>
      <w:r>
        <w:rPr>
          <w:i/>
        </w:rPr>
        <w:t>Kulturministeriets kommentarer:</w:t>
      </w:r>
    </w:p>
    <w:p w14:paraId="05359C4C" w14:textId="77777777" w:rsidR="00BA6713" w:rsidRDefault="0065454E" w:rsidP="00711292">
      <w:pPr>
        <w:spacing w:line="288" w:lineRule="auto"/>
        <w:jc w:val="both"/>
      </w:pPr>
      <w:r>
        <w:lastRenderedPageBreak/>
        <w:t>§ 28, stk. 1, i forslag til ændring af bekendtgørelsen afgrænser ikke hvilke typer sager, der kan kræves oplyst om. Hensigten me</w:t>
      </w:r>
      <w:r w:rsidR="00C45871">
        <w:t xml:space="preserve">d bestemmelsen var, </w:t>
      </w:r>
      <w:r w:rsidR="000861E9">
        <w:t xml:space="preserve">jf. § 28, stk. 2, </w:t>
      </w:r>
      <w:r w:rsidR="00C45871">
        <w:t>at den</w:t>
      </w:r>
      <w:r>
        <w:t xml:space="preserve"> skulle omfatte overtrædelser</w:t>
      </w:r>
      <w:r w:rsidR="005638BF">
        <w:t xml:space="preserve"> af</w:t>
      </w:r>
      <w:r w:rsidR="00387E05">
        <w:t xml:space="preserve"> medieansvarsloven, regler om andre tilskud end tilskud efter radio- og fjernsynsloven eller af straffeloven m.v.,</w:t>
      </w:r>
      <w:r>
        <w:t xml:space="preserve"> i relation til stationens drift og programvirksomhed med henblik på at undgå at tildele stationer driftstilskud, såfremt disse havde misligholdt betingelserne for tilskud fra øvrige offentlige myndigheder. </w:t>
      </w:r>
      <w:r w:rsidR="008437AE">
        <w:t>Det indstilles p</w:t>
      </w:r>
      <w:r>
        <w:t>å denne baggrund, at forslagets § 28, stk. 1, præciseres til at skulle læses i sammenhæng med § 28, stk. 2</w:t>
      </w:r>
      <w:r w:rsidR="008437AE">
        <w:t>, ved at tilføje en henvisning hertil</w:t>
      </w:r>
      <w:r>
        <w:t>.</w:t>
      </w:r>
    </w:p>
    <w:p w14:paraId="05359C4D" w14:textId="77777777" w:rsidR="0065454E" w:rsidRDefault="0065454E" w:rsidP="00711292">
      <w:pPr>
        <w:spacing w:line="288" w:lineRule="auto"/>
        <w:jc w:val="both"/>
      </w:pPr>
    </w:p>
    <w:p w14:paraId="05359C4E" w14:textId="77777777" w:rsidR="00BA6713" w:rsidRDefault="00BA6713" w:rsidP="00711292">
      <w:pPr>
        <w:spacing w:line="288" w:lineRule="auto"/>
        <w:jc w:val="both"/>
      </w:pPr>
      <w:r>
        <w:t xml:space="preserve">Kulturministeriet </w:t>
      </w:r>
      <w:r w:rsidR="00A079D8">
        <w:t>finder ikke, at bekendtgørelsen skal udvides til at omfatte et dekorumkrav, da dette</w:t>
      </w:r>
      <w:r>
        <w:t xml:space="preserve"> typisk </w:t>
      </w:r>
      <w:r w:rsidR="00A079D8">
        <w:t xml:space="preserve">kun </w:t>
      </w:r>
      <w:r>
        <w:t>gælder for offentligt ansatte, og ligeledes ses hjemlet, for så vidt angår tjenestemænd, i tjenestemandsloven § 10.</w:t>
      </w:r>
    </w:p>
    <w:p w14:paraId="05359C4F" w14:textId="77777777" w:rsidR="00A079D8" w:rsidRDefault="00A079D8" w:rsidP="00711292">
      <w:pPr>
        <w:spacing w:line="288" w:lineRule="auto"/>
        <w:jc w:val="both"/>
      </w:pPr>
    </w:p>
    <w:p w14:paraId="05359C50" w14:textId="77777777" w:rsidR="00A079D8" w:rsidRPr="000352DA" w:rsidRDefault="00A079D8" w:rsidP="00711292">
      <w:pPr>
        <w:spacing w:line="288" w:lineRule="auto"/>
        <w:jc w:val="both"/>
      </w:pPr>
      <w:r>
        <w:t>Kulturministerie</w:t>
      </w:r>
      <w:r w:rsidR="000500D8">
        <w:t>t bemærker, at tv-stationerne</w:t>
      </w:r>
      <w:r>
        <w:t xml:space="preserve"> allerede har pligt til</w:t>
      </w:r>
      <w:r w:rsidR="002018EC">
        <w:t>,</w:t>
      </w:r>
      <w:r>
        <w:t xml:space="preserve"> at indhente de fornødne børneattester inden ansættelse af medarbejdere</w:t>
      </w:r>
      <w:r w:rsidR="00573AB7">
        <w:t>,</w:t>
      </w:r>
      <w:r>
        <w:t xml:space="preserve"> der skal have direkte kontakt med eller færdes blandt børn</w:t>
      </w:r>
      <w:r w:rsidR="000500D8">
        <w:t>, jf. § 2, stk. 1, nr. 16</w:t>
      </w:r>
      <w:r w:rsidR="00573AB7">
        <w:t>,</w:t>
      </w:r>
      <w:r w:rsidR="000500D8">
        <w:t xml:space="preserve"> i bekendtgørelse om indhentelse af børneattest ved ansættelse og beskæftigelse af personer i myndigheder, institutioner, foreninger m.v. inden for Kulturministeriets ressortområde</w:t>
      </w:r>
      <w:r>
        <w:t xml:space="preserve">. </w:t>
      </w:r>
      <w:r w:rsidR="00E77622">
        <w:t xml:space="preserve">Kulturministeriet finder på denne baggrund ikke anledning til at </w:t>
      </w:r>
      <w:r w:rsidR="0058649D">
        <w:t>udvide oplysningspligten i forslagets § 28.</w:t>
      </w:r>
    </w:p>
    <w:p w14:paraId="05359C51" w14:textId="77777777" w:rsidR="000352DA" w:rsidRDefault="000352DA" w:rsidP="00711292">
      <w:pPr>
        <w:spacing w:line="288" w:lineRule="auto"/>
        <w:jc w:val="both"/>
        <w:rPr>
          <w:u w:val="single"/>
        </w:rPr>
      </w:pPr>
    </w:p>
    <w:p w14:paraId="05359C52" w14:textId="77777777" w:rsidR="00C935A5" w:rsidRDefault="008437AE" w:rsidP="00711292">
      <w:pPr>
        <w:spacing w:line="288" w:lineRule="auto"/>
        <w:jc w:val="both"/>
      </w:pPr>
      <w:r>
        <w:t xml:space="preserve">Det indstilles, at </w:t>
      </w:r>
      <w:r w:rsidR="00C935A5">
        <w:t>§ 32</w:t>
      </w:r>
      <w:r w:rsidR="00F12C0E">
        <w:t xml:space="preserve"> i forslag til ændring af bekendtgørelsen</w:t>
      </w:r>
      <w:r>
        <w:t xml:space="preserve"> ophæves</w:t>
      </w:r>
      <w:r w:rsidR="00C935A5">
        <w:t>, da bestemme</w:t>
      </w:r>
      <w:r w:rsidR="002B1FD2">
        <w:t>lsen</w:t>
      </w:r>
      <w:r w:rsidR="003558BE">
        <w:t xml:space="preserve"> ifølge Slots- og Kulturstyrelsen </w:t>
      </w:r>
      <w:r w:rsidR="00797B80">
        <w:t>ikke</w:t>
      </w:r>
      <w:r w:rsidR="000861E9">
        <w:t xml:space="preserve"> håndhæves af Radio- og tv-nævnet og efter nævnets opfattelse er unødvendig.</w:t>
      </w:r>
      <w:r w:rsidR="00797B80">
        <w:t xml:space="preserve"> </w:t>
      </w:r>
    </w:p>
    <w:p w14:paraId="05359C53" w14:textId="77777777" w:rsidR="008437AE" w:rsidRDefault="008437AE" w:rsidP="00711292">
      <w:pPr>
        <w:spacing w:line="288" w:lineRule="auto"/>
        <w:jc w:val="both"/>
        <w:rPr>
          <w:u w:val="single"/>
        </w:rPr>
      </w:pPr>
    </w:p>
    <w:p w14:paraId="05359C54" w14:textId="77777777" w:rsidR="000532C8" w:rsidRDefault="000532C8" w:rsidP="00711292">
      <w:pPr>
        <w:spacing w:line="288" w:lineRule="auto"/>
        <w:jc w:val="both"/>
      </w:pPr>
      <w:r>
        <w:rPr>
          <w:u w:val="single"/>
        </w:rPr>
        <w:t>SAML</w:t>
      </w:r>
      <w:r>
        <w:t xml:space="preserve"> har ingen bemærkninger til de foreslåede ændringe</w:t>
      </w:r>
      <w:r w:rsidR="00302606">
        <w:t>r og finder det positivt, at ændringerne</w:t>
      </w:r>
      <w:r>
        <w:t xml:space="preserve"> medfører en større ensartethed i kravet om lokalt indhold for ikkekommerciel lokalradio og -tv.</w:t>
      </w:r>
    </w:p>
    <w:p w14:paraId="05359C55" w14:textId="77777777" w:rsidR="000532C8" w:rsidRDefault="000532C8" w:rsidP="00711292">
      <w:pPr>
        <w:spacing w:line="288" w:lineRule="auto"/>
        <w:jc w:val="both"/>
      </w:pPr>
    </w:p>
    <w:p w14:paraId="05359C56" w14:textId="77777777" w:rsidR="000532C8" w:rsidRDefault="000532C8" w:rsidP="00711292">
      <w:pPr>
        <w:spacing w:line="288" w:lineRule="auto"/>
        <w:jc w:val="both"/>
      </w:pPr>
      <w:r>
        <w:t>SAML fremkommer derudover med syv forslag til yderligere ændringer i bekendtgørelsen.</w:t>
      </w:r>
    </w:p>
    <w:p w14:paraId="05359C57" w14:textId="77777777" w:rsidR="000532C8" w:rsidRDefault="000532C8" w:rsidP="00711292">
      <w:pPr>
        <w:spacing w:line="288" w:lineRule="auto"/>
        <w:jc w:val="both"/>
      </w:pPr>
    </w:p>
    <w:p w14:paraId="05359C58" w14:textId="77777777" w:rsidR="000532C8" w:rsidRDefault="00A45C65" w:rsidP="00711292">
      <w:pPr>
        <w:spacing w:line="288" w:lineRule="auto"/>
        <w:jc w:val="both"/>
      </w:pPr>
      <w:r>
        <w:t>Om</w:t>
      </w:r>
      <w:r w:rsidR="000532C8">
        <w:t xml:space="preserve"> bekendtgørelsens § 8, stk. 1, foreslår SAML, at den afsatte tid til tegnsprogstolkede programmer udsendt på DR og TV2 afsættes til de ikkekommercielle tv-stationer, og at DR og TV2 pålægges at synstolke de programmer, som herefter udsendes på MUX 1, direkte i udsendelserne.</w:t>
      </w:r>
    </w:p>
    <w:p w14:paraId="05359C59" w14:textId="77777777" w:rsidR="00A45C65" w:rsidRDefault="00A45C65" w:rsidP="00711292">
      <w:pPr>
        <w:spacing w:line="288" w:lineRule="auto"/>
        <w:jc w:val="both"/>
      </w:pPr>
    </w:p>
    <w:p w14:paraId="05359C5A" w14:textId="77777777" w:rsidR="00A45C65" w:rsidRDefault="00A45C65" w:rsidP="00711292">
      <w:pPr>
        <w:spacing w:line="288" w:lineRule="auto"/>
        <w:jc w:val="both"/>
      </w:pPr>
      <w:r>
        <w:t xml:space="preserve">Om </w:t>
      </w:r>
      <w:r w:rsidR="00E37C39">
        <w:t xml:space="preserve">bekendtgørelsens </w:t>
      </w:r>
      <w:r>
        <w:t>§ 14 foreslår SAML, at denne udgår af bekendtgørelsen, eller ændres til, at europæiske programmer også omfatter danske programmer produceret a</w:t>
      </w:r>
      <w:r w:rsidR="00302606">
        <w:t>f tv-stationen selv. SAML mener</w:t>
      </w:r>
      <w:r>
        <w:t xml:space="preserve"> ikke</w:t>
      </w:r>
      <w:r w:rsidR="00302606">
        <w:t>, at § 14, stk. 2, om programmer fra europæiske producenter, der er uafhængige af tv-stationen,</w:t>
      </w:r>
      <w:r>
        <w:t xml:space="preserve"> hænger sammen med forbuddet mod at købe programmer af produktionsselskaber.</w:t>
      </w:r>
    </w:p>
    <w:p w14:paraId="05359C5B" w14:textId="77777777" w:rsidR="00A45C65" w:rsidRDefault="00A45C65" w:rsidP="00711292">
      <w:pPr>
        <w:spacing w:line="288" w:lineRule="auto"/>
        <w:jc w:val="both"/>
      </w:pPr>
    </w:p>
    <w:p w14:paraId="05359C5C" w14:textId="77777777" w:rsidR="00A45C65" w:rsidRDefault="00F12C0E" w:rsidP="00711292">
      <w:pPr>
        <w:spacing w:line="288" w:lineRule="auto"/>
        <w:jc w:val="both"/>
      </w:pPr>
      <w:r>
        <w:lastRenderedPageBreak/>
        <w:t>Om</w:t>
      </w:r>
      <w:r w:rsidR="00E37C39">
        <w:t xml:space="preserve"> </w:t>
      </w:r>
      <w:r w:rsidR="00A45C65">
        <w:t>§ 19, stk. 2, 7. pkt.,</w:t>
      </w:r>
      <w:r>
        <w:t xml:space="preserve"> i forslag til ændring af bekendtgørelsen</w:t>
      </w:r>
      <w:r w:rsidR="00A45C65">
        <w:t xml:space="preserve"> foreslår SAML at forståelsen </w:t>
      </w:r>
      <w:r w:rsidR="00E37C39">
        <w:t xml:space="preserve">af </w:t>
      </w:r>
      <w:r w:rsidR="00A45C65">
        <w:t xml:space="preserve">public </w:t>
      </w:r>
      <w:proofErr w:type="spellStart"/>
      <w:r w:rsidR="00A45C65">
        <w:t>access</w:t>
      </w:r>
      <w:proofErr w:type="spellEnd"/>
      <w:r w:rsidR="00A45C65">
        <w:t xml:space="preserve"> også skal inkludere programmer produceret af foreninger og interessegrupper, da det er i større overensstemmelse med virkeligheden.</w:t>
      </w:r>
    </w:p>
    <w:p w14:paraId="05359C5D" w14:textId="77777777" w:rsidR="00A45C65" w:rsidRDefault="00A45C65" w:rsidP="00711292">
      <w:pPr>
        <w:spacing w:line="288" w:lineRule="auto"/>
        <w:jc w:val="both"/>
      </w:pPr>
    </w:p>
    <w:p w14:paraId="05359C5E" w14:textId="77777777" w:rsidR="00A45C65" w:rsidRDefault="00A45C65" w:rsidP="00711292">
      <w:pPr>
        <w:spacing w:line="288" w:lineRule="auto"/>
        <w:jc w:val="both"/>
      </w:pPr>
      <w:r>
        <w:t>Om § 24, stk. 1,</w:t>
      </w:r>
      <w:r w:rsidR="00F12C0E">
        <w:t xml:space="preserve"> i forslag til ændring af bekendtgørelsen</w:t>
      </w:r>
      <w:r>
        <w:t xml:space="preserve"> foreslår SAML, at tv-stationernes årlige afrapportering begrænses til kun at omfatte en repræsentativ del af tv-stationens udsendelsesvirksomhed, f.eks. en uge, da det er for omfattende for den primært frivillige arbejdskraft, at fremlægge fuld afrapportering og dokumentation for et helt år.</w:t>
      </w:r>
    </w:p>
    <w:p w14:paraId="05359C5F" w14:textId="77777777" w:rsidR="00A45C65" w:rsidRDefault="00A45C65" w:rsidP="00711292">
      <w:pPr>
        <w:spacing w:line="288" w:lineRule="auto"/>
        <w:jc w:val="both"/>
      </w:pPr>
    </w:p>
    <w:p w14:paraId="05359C60" w14:textId="77777777" w:rsidR="00A45C65" w:rsidRDefault="00A45C65" w:rsidP="00711292">
      <w:pPr>
        <w:spacing w:line="288" w:lineRule="auto"/>
        <w:jc w:val="both"/>
      </w:pPr>
      <w:r>
        <w:t>Om § 24, stk. 5,</w:t>
      </w:r>
      <w:r w:rsidR="00F12C0E">
        <w:t xml:space="preserve"> i forslag til ændring af bekendtgørelsen</w:t>
      </w:r>
      <w:r>
        <w:t xml:space="preserve"> foreslår SAML, at denne udgår af bekendtgørelsen. Såfremt der foreligger et behov for oversættelse af programmer, </w:t>
      </w:r>
      <w:r w:rsidR="00C935A5">
        <w:t xml:space="preserve">skal udgiften </w:t>
      </w:r>
      <w:r>
        <w:t xml:space="preserve">afholdes af den tilsynsførende myndighed. </w:t>
      </w:r>
      <w:r w:rsidR="00302606">
        <w:t>SAML bemærker, at k</w:t>
      </w:r>
      <w:r w:rsidR="003D1366">
        <w:t>ravet kan afholde stationer fra at udsende programmer produceret af flygtninge og indvandrere til skade for disses integration.</w:t>
      </w:r>
    </w:p>
    <w:p w14:paraId="05359C61" w14:textId="77777777" w:rsidR="003D1366" w:rsidRDefault="003D1366" w:rsidP="00711292">
      <w:pPr>
        <w:spacing w:line="288" w:lineRule="auto"/>
        <w:jc w:val="both"/>
      </w:pPr>
    </w:p>
    <w:p w14:paraId="05359C62" w14:textId="77777777" w:rsidR="003D1366" w:rsidRDefault="00302606" w:rsidP="00711292">
      <w:pPr>
        <w:spacing w:line="288" w:lineRule="auto"/>
        <w:jc w:val="both"/>
      </w:pPr>
      <w:r>
        <w:t>Om bekendtgørelsens b</w:t>
      </w:r>
      <w:r w:rsidR="003D1366">
        <w:t>ilag 1 foreslår SAML, at dette udgår af bekendtgørelsen. Alternativt bør det præciseres, at europæiske programmer også omfatter danske programmer</w:t>
      </w:r>
      <w:r w:rsidR="008437AE">
        <w:t>,</w:t>
      </w:r>
      <w:r w:rsidR="003D1366">
        <w:t xml:space="preserve"> som skal produceres af tv-stationen selv.</w:t>
      </w:r>
    </w:p>
    <w:p w14:paraId="05359C63" w14:textId="77777777" w:rsidR="003D1366" w:rsidRDefault="003D1366" w:rsidP="00711292">
      <w:pPr>
        <w:spacing w:line="288" w:lineRule="auto"/>
        <w:jc w:val="both"/>
      </w:pPr>
    </w:p>
    <w:p w14:paraId="05359C64" w14:textId="77777777" w:rsidR="00BE3F69" w:rsidRPr="00BB36F2" w:rsidRDefault="00302606" w:rsidP="00711292">
      <w:pPr>
        <w:spacing w:line="288" w:lineRule="auto"/>
        <w:jc w:val="both"/>
      </w:pPr>
      <w:r>
        <w:t>Om bekendtgørelsens b</w:t>
      </w:r>
      <w:r w:rsidR="003D1366">
        <w:t>ilag 2</w:t>
      </w:r>
      <w:r>
        <w:t xml:space="preserve"> med standardvedtægter for </w:t>
      </w:r>
      <w:proofErr w:type="spellStart"/>
      <w:r>
        <w:t>sendesamvirkerne</w:t>
      </w:r>
      <w:proofErr w:type="spellEnd"/>
      <w:r w:rsidR="003D1366">
        <w:t xml:space="preserve"> foreslår SAML en præcisering af </w:t>
      </w:r>
      <w:r w:rsidR="00EC2DDB">
        <w:t>formulering</w:t>
      </w:r>
      <w:r>
        <w:t>en</w:t>
      </w:r>
      <w:r w:rsidR="00EC2DDB">
        <w:t xml:space="preserve"> vedrørende </w:t>
      </w:r>
      <w:r w:rsidR="003D1366">
        <w:t xml:space="preserve">sendesamvirkets opgaver, da det vil skabe den ønskede ensartethed for </w:t>
      </w:r>
      <w:r w:rsidR="00465415">
        <w:t>ikkekommerciel radio og tv</w:t>
      </w:r>
      <w:r w:rsidR="003D1366">
        <w:t xml:space="preserve">: </w:t>
      </w:r>
      <w:r w:rsidR="003D1366" w:rsidRPr="003D1366">
        <w:rPr>
          <w:i/>
        </w:rPr>
        <w:t>”… formål er at varetage fælles anliggender i medfør af §§ 17 og 18 i bekendtgørelse om ikkekommercielt tv i MUX 1 for tv-stationer, der har tilladelse fra Radio- og TV-Nævnet til at sende tv i &lt;region&gt; i medfør af nævnte bekendtgørelse.”</w:t>
      </w:r>
    </w:p>
    <w:p w14:paraId="05359C65" w14:textId="77777777" w:rsidR="00BE3F69" w:rsidRDefault="00BE3F69" w:rsidP="00711292">
      <w:pPr>
        <w:spacing w:line="288" w:lineRule="auto"/>
        <w:jc w:val="both"/>
        <w:rPr>
          <w:u w:val="single"/>
        </w:rPr>
      </w:pPr>
    </w:p>
    <w:p w14:paraId="05359C66" w14:textId="77777777" w:rsidR="00E47374" w:rsidRPr="00BE3F69" w:rsidRDefault="00465415" w:rsidP="00711292">
      <w:pPr>
        <w:spacing w:line="288" w:lineRule="auto"/>
        <w:jc w:val="both"/>
        <w:rPr>
          <w:i/>
        </w:rPr>
      </w:pPr>
      <w:r>
        <w:rPr>
          <w:i/>
        </w:rPr>
        <w:t>Kulturministeriets kommentarer:</w:t>
      </w:r>
    </w:p>
    <w:p w14:paraId="05359C67" w14:textId="77777777" w:rsidR="00CA1A44" w:rsidRDefault="00F4115B" w:rsidP="00711292">
      <w:pPr>
        <w:spacing w:line="288" w:lineRule="auto"/>
        <w:jc w:val="both"/>
      </w:pPr>
      <w:r>
        <w:t>Sendetiden mellem kl. 17:00 og 21:00 på MUX 1 er afsat til tegnsprogstolkede programmer</w:t>
      </w:r>
      <w:r w:rsidR="008437AE">
        <w:t xml:space="preserve"> fra DR og TV 2</w:t>
      </w:r>
      <w:r>
        <w:t xml:space="preserve">. </w:t>
      </w:r>
      <w:r w:rsidR="00E47374">
        <w:t xml:space="preserve">Kulturministeriet finder </w:t>
      </w:r>
      <w:r w:rsidR="00C10FD7">
        <w:t xml:space="preserve">således </w:t>
      </w:r>
      <w:r w:rsidR="00E47374">
        <w:t xml:space="preserve">ikke </w:t>
      </w:r>
      <w:r w:rsidR="00CA1A44">
        <w:t>anledning til at ændre bekendtgørelsens § 8, stk. 1.</w:t>
      </w:r>
    </w:p>
    <w:p w14:paraId="05359C68" w14:textId="77777777" w:rsidR="00CA1A44" w:rsidRDefault="00CA1A44" w:rsidP="00711292">
      <w:pPr>
        <w:spacing w:line="288" w:lineRule="auto"/>
        <w:jc w:val="both"/>
      </w:pPr>
    </w:p>
    <w:p w14:paraId="05359C69" w14:textId="77777777" w:rsidR="00465415" w:rsidRDefault="00E47374" w:rsidP="00711292">
      <w:pPr>
        <w:spacing w:line="288" w:lineRule="auto"/>
        <w:jc w:val="both"/>
      </w:pPr>
      <w:r>
        <w:t>Vedrørende</w:t>
      </w:r>
      <w:r w:rsidR="00EF5E23">
        <w:t xml:space="preserve"> forslag om</w:t>
      </w:r>
      <w:r>
        <w:t xml:space="preserve"> fjernelse eller ændring af </w:t>
      </w:r>
      <w:r w:rsidR="00302606">
        <w:t>bekendtgørelsens § 14 og b</w:t>
      </w:r>
      <w:r w:rsidR="00C601B2">
        <w:t>ilag 1</w:t>
      </w:r>
      <w:r w:rsidR="00EB0314">
        <w:t xml:space="preserve"> om europæiske programmer</w:t>
      </w:r>
      <w:r w:rsidR="00C601B2">
        <w:t xml:space="preserve"> bemærkes det, at bekendtgørelsens § 14, nr. 2, om udsendelse af europæiske programmer, som er uafhængige af tv-foretagendet i 10 pct. </w:t>
      </w:r>
      <w:r w:rsidR="00BE30BA">
        <w:t xml:space="preserve">af sendetiden </w:t>
      </w:r>
      <w:r w:rsidR="00C601B2">
        <w:t xml:space="preserve">følger af AVMS-direktivets art. 17. Danske programmer </w:t>
      </w:r>
      <w:r w:rsidR="007B6805">
        <w:t>anses</w:t>
      </w:r>
      <w:r w:rsidR="00C601B2">
        <w:t xml:space="preserve"> også </w:t>
      </w:r>
      <w:r w:rsidR="007B6805">
        <w:t>som</w:t>
      </w:r>
      <w:r w:rsidR="00C601B2">
        <w:t xml:space="preserve"> </w:t>
      </w:r>
      <w:r w:rsidR="00C601B2" w:rsidRPr="00E47374">
        <w:rPr>
          <w:i/>
        </w:rPr>
        <w:t>”europæiske programmer”</w:t>
      </w:r>
      <w:r w:rsidR="00C601B2">
        <w:t>, men</w:t>
      </w:r>
      <w:r w:rsidR="00EB0314">
        <w:t xml:space="preserve"> der skal være tale om programmer, som er uafhængige af tv-stationen selv.</w:t>
      </w:r>
      <w:r w:rsidR="00BE30BA">
        <w:t xml:space="preserve"> Det bemærkes, at der ikke er tale om et krav, men om et forhold</w:t>
      </w:r>
      <w:r w:rsidR="00C10FD7">
        <w:t>,</w:t>
      </w:r>
      <w:r w:rsidR="00BE30BA">
        <w:t xml:space="preserve"> som tv-stationer blot bør tilstræbe.</w:t>
      </w:r>
    </w:p>
    <w:p w14:paraId="05359C6A" w14:textId="77777777" w:rsidR="00CA1A44" w:rsidRDefault="00CA1A44" w:rsidP="00711292">
      <w:pPr>
        <w:spacing w:line="288" w:lineRule="auto"/>
        <w:jc w:val="both"/>
      </w:pPr>
    </w:p>
    <w:p w14:paraId="05359C6B" w14:textId="77777777" w:rsidR="00CA1A44" w:rsidRDefault="00352F7B" w:rsidP="00711292">
      <w:pPr>
        <w:spacing w:line="288" w:lineRule="auto"/>
        <w:jc w:val="both"/>
      </w:pPr>
      <w:r>
        <w:t xml:space="preserve">Det følger af bekendtgørelsens § 11, stk. 1, at programmerne skal produceres af tilladelseshaveren eller af personer hjemmehørende i tilladelsesområdet, altså </w:t>
      </w:r>
      <w:proofErr w:type="spellStart"/>
      <w:r>
        <w:t>facilitering</w:t>
      </w:r>
      <w:proofErr w:type="spellEnd"/>
      <w:r>
        <w:t xml:space="preserve"> af public </w:t>
      </w:r>
      <w:proofErr w:type="spellStart"/>
      <w:r>
        <w:t>access</w:t>
      </w:r>
      <w:proofErr w:type="spellEnd"/>
      <w:r>
        <w:t xml:space="preserve"> til borgere. </w:t>
      </w:r>
      <w:r w:rsidR="00CA1A44">
        <w:t>Kulturministeriet finder ikke anledning til at ændre</w:t>
      </w:r>
      <w:r w:rsidR="00F12C0E">
        <w:t xml:space="preserve"> forståelsen af public </w:t>
      </w:r>
      <w:proofErr w:type="spellStart"/>
      <w:r w:rsidR="00F12C0E">
        <w:t>access</w:t>
      </w:r>
      <w:proofErr w:type="spellEnd"/>
      <w:r w:rsidR="00F12C0E">
        <w:t xml:space="preserve"> i</w:t>
      </w:r>
      <w:r w:rsidR="00CA1A44">
        <w:t xml:space="preserve"> § 19, stk. 2, 7. pkt.,</w:t>
      </w:r>
      <w:r w:rsidR="00F12C0E">
        <w:t xml:space="preserve"> i forslag til ændring af </w:t>
      </w:r>
      <w:r w:rsidR="00F12C0E">
        <w:lastRenderedPageBreak/>
        <w:t>bekendtgørelsen</w:t>
      </w:r>
      <w:r w:rsidR="00DB3E95">
        <w:t>,</w:t>
      </w:r>
      <w:r w:rsidR="00CA1A44">
        <w:t xml:space="preserve"> </w:t>
      </w:r>
      <w:r w:rsidR="00C10FD7">
        <w:t xml:space="preserve">da en udvidelse af begrebet ”public </w:t>
      </w:r>
      <w:proofErr w:type="spellStart"/>
      <w:r w:rsidR="00C10FD7">
        <w:t>access</w:t>
      </w:r>
      <w:proofErr w:type="spellEnd"/>
      <w:r w:rsidR="00C10FD7">
        <w:t>” til også at omfatte foreninger og interessegrupper vil udvande kravet om egenproduktion</w:t>
      </w:r>
      <w:r w:rsidR="00F15933">
        <w:t xml:space="preserve"> i bekendtgørelsens § 11, stk. 1</w:t>
      </w:r>
      <w:r>
        <w:t>, og stride mod hensigten bag den lokal-tv-ordning som trådte i kraft den 1. januar 2014, hvormed man skærpede kravene til lokal egenproduktion</w:t>
      </w:r>
      <w:r w:rsidR="00C10FD7">
        <w:t>. Kulturministeriet finder det derfor hensigtsmæssigt, at public access-adgangen alene omfatter borgere i tilladelsesområdet.</w:t>
      </w:r>
    </w:p>
    <w:p w14:paraId="05359C6C" w14:textId="77777777" w:rsidR="00CA1A44" w:rsidRDefault="00CA1A44" w:rsidP="00711292">
      <w:pPr>
        <w:spacing w:line="288" w:lineRule="auto"/>
        <w:jc w:val="both"/>
      </w:pPr>
    </w:p>
    <w:p w14:paraId="05359C6D" w14:textId="77777777" w:rsidR="00102EA6" w:rsidRDefault="00180C74" w:rsidP="00711292">
      <w:pPr>
        <w:spacing w:line="288" w:lineRule="auto"/>
        <w:jc w:val="both"/>
      </w:pPr>
      <w:r>
        <w:t xml:space="preserve">Kulturministeriet finder ikke anledning til at ændre </w:t>
      </w:r>
      <w:r w:rsidR="00F12C0E">
        <w:t>§ 24, stk. 1</w:t>
      </w:r>
      <w:r>
        <w:t>,</w:t>
      </w:r>
      <w:r w:rsidR="00F12C0E">
        <w:t xml:space="preserve"> i forslag til ændring af bekendtgørelsen</w:t>
      </w:r>
      <w:r>
        <w:t xml:space="preserve"> og</w:t>
      </w:r>
      <w:r w:rsidR="00CA1A44">
        <w:t xml:space="preserve"> bemærker, at </w:t>
      </w:r>
      <w:r w:rsidR="00506F7A">
        <w:t>kompetencen til at beslutte omfanget af de, til brug for nævnets tilsyn, påkrævede rapporter og dokumentat</w:t>
      </w:r>
      <w:r w:rsidR="00B25067">
        <w:t xml:space="preserve">ion, ligger hos Radio- og tv-nævnet. Det bemærkes endvidere, </w:t>
      </w:r>
      <w:r w:rsidR="00102EA6">
        <w:t xml:space="preserve">at det af hensyn til nævnets tilsyn, findes hensigtsmæssigt, at </w:t>
      </w:r>
      <w:proofErr w:type="spellStart"/>
      <w:r w:rsidR="00102EA6">
        <w:t>tilladelseshavere</w:t>
      </w:r>
      <w:proofErr w:type="spellEnd"/>
      <w:r w:rsidR="00102EA6">
        <w:t xml:space="preserve"> forelægger fyldestgørende afrapportering. </w:t>
      </w:r>
      <w:r w:rsidR="003F4AB9">
        <w:t>Kulturministeriet finder det ikke uforholdsmæssigt bebyrdende, at nævnet anmoder om en årlig programoversigt samt om</w:t>
      </w:r>
      <w:r w:rsidR="00102EA6">
        <w:t xml:space="preserve"> én uges programkopier,</w:t>
      </w:r>
      <w:r w:rsidR="003F4AB9">
        <w:t xml:space="preserve"> altså to timer</w:t>
      </w:r>
      <w:r w:rsidR="00102EA6">
        <w:t>.</w:t>
      </w:r>
    </w:p>
    <w:p w14:paraId="05359C6E" w14:textId="77777777" w:rsidR="00506F7A" w:rsidRDefault="00506F7A" w:rsidP="00711292">
      <w:pPr>
        <w:spacing w:line="288" w:lineRule="auto"/>
        <w:jc w:val="both"/>
      </w:pPr>
    </w:p>
    <w:p w14:paraId="05359C6F" w14:textId="77777777" w:rsidR="00506F7A" w:rsidRDefault="00506F7A" w:rsidP="00711292">
      <w:pPr>
        <w:spacing w:line="288" w:lineRule="auto"/>
        <w:jc w:val="both"/>
      </w:pPr>
      <w:r>
        <w:t>Kulturministeriet finder ikke anledning til at ændre § 24, stk. 5</w:t>
      </w:r>
      <w:r w:rsidR="00F12C0E">
        <w:t>, i forslag til ændring af bekendtgørelsen</w:t>
      </w:r>
      <w:r w:rsidR="00515D93">
        <w:t>.</w:t>
      </w:r>
      <w:r w:rsidR="00950DA7">
        <w:t xml:space="preserve"> Det bemærkes i den forbindelse, at samme krav er indført for så vidt angår lokalradio.</w:t>
      </w:r>
    </w:p>
    <w:p w14:paraId="05359C70" w14:textId="77777777" w:rsidR="00515D93" w:rsidRDefault="00515D93" w:rsidP="00711292">
      <w:pPr>
        <w:spacing w:line="288" w:lineRule="auto"/>
        <w:jc w:val="both"/>
      </w:pPr>
    </w:p>
    <w:p w14:paraId="05359C71" w14:textId="77777777" w:rsidR="00515D93" w:rsidRPr="00E47374" w:rsidRDefault="008437AE" w:rsidP="00711292">
      <w:pPr>
        <w:spacing w:line="288" w:lineRule="auto"/>
        <w:jc w:val="both"/>
      </w:pPr>
      <w:r>
        <w:t xml:space="preserve">Det indstilles, at </w:t>
      </w:r>
      <w:r w:rsidR="00515D93">
        <w:t>formuleringen af bekendtgørelsens Bilag 2, § 1, stk. 3,</w:t>
      </w:r>
      <w:r w:rsidR="00951370">
        <w:t xml:space="preserve"> </w:t>
      </w:r>
      <w:r w:rsidR="00515D93">
        <w:t>ændres i tråd med det af SAML foreslåede med henblik på en mere præcis formulering</w:t>
      </w:r>
      <w:r w:rsidR="0055396C" w:rsidRPr="0055396C">
        <w:t xml:space="preserve"> </w:t>
      </w:r>
      <w:r w:rsidR="0055396C">
        <w:t>af sendesamvirkets formål</w:t>
      </w:r>
      <w:r w:rsidR="00515D93">
        <w:t>.</w:t>
      </w:r>
    </w:p>
    <w:p w14:paraId="05359C72" w14:textId="77777777" w:rsidR="00465415" w:rsidRDefault="00465415" w:rsidP="00711292">
      <w:pPr>
        <w:spacing w:line="288" w:lineRule="auto"/>
        <w:jc w:val="both"/>
        <w:rPr>
          <w:u w:val="single"/>
        </w:rPr>
      </w:pPr>
    </w:p>
    <w:p w14:paraId="05359C73" w14:textId="77777777" w:rsidR="00465415" w:rsidRDefault="00465415" w:rsidP="00711292">
      <w:pPr>
        <w:spacing w:line="288" w:lineRule="auto"/>
        <w:jc w:val="both"/>
      </w:pPr>
      <w:r>
        <w:rPr>
          <w:u w:val="single"/>
        </w:rPr>
        <w:t>Dansk Folkeoplysnings Samråd (DFS)</w:t>
      </w:r>
      <w:r>
        <w:t xml:space="preserve"> tilkendegiver, at de støtter ovenstående høringssvar fra SAML.</w:t>
      </w:r>
    </w:p>
    <w:p w14:paraId="05359C74" w14:textId="77777777" w:rsidR="00465415" w:rsidRDefault="00465415" w:rsidP="00711292">
      <w:pPr>
        <w:spacing w:line="288" w:lineRule="auto"/>
        <w:jc w:val="both"/>
      </w:pPr>
    </w:p>
    <w:p w14:paraId="05359C75" w14:textId="77777777" w:rsidR="00465415" w:rsidRDefault="00465415" w:rsidP="00711292">
      <w:pPr>
        <w:spacing w:line="288" w:lineRule="auto"/>
        <w:jc w:val="both"/>
        <w:rPr>
          <w:i/>
        </w:rPr>
      </w:pPr>
      <w:r>
        <w:rPr>
          <w:i/>
        </w:rPr>
        <w:t>Kulturministeriets kommentarer:</w:t>
      </w:r>
    </w:p>
    <w:p w14:paraId="05359C76" w14:textId="77777777" w:rsidR="00465415" w:rsidRDefault="00465415" w:rsidP="00711292">
      <w:pPr>
        <w:spacing w:line="288" w:lineRule="auto"/>
        <w:jc w:val="both"/>
      </w:pPr>
      <w:r>
        <w:t>Kulturministeriet noterer sig dette og henviser til ovenstående kommentarer.</w:t>
      </w:r>
    </w:p>
    <w:p w14:paraId="05359C77" w14:textId="77777777" w:rsidR="00465415" w:rsidRPr="00465415" w:rsidRDefault="00465415" w:rsidP="00711292">
      <w:pPr>
        <w:spacing w:line="288" w:lineRule="auto"/>
        <w:jc w:val="both"/>
      </w:pPr>
    </w:p>
    <w:p w14:paraId="05359C78" w14:textId="77777777" w:rsidR="0041404B" w:rsidRDefault="00E47256" w:rsidP="00711292">
      <w:pPr>
        <w:spacing w:line="288" w:lineRule="auto"/>
        <w:jc w:val="both"/>
      </w:pPr>
      <w:r>
        <w:rPr>
          <w:u w:val="single"/>
        </w:rPr>
        <w:t>DILEM</w:t>
      </w:r>
      <w:r>
        <w:t xml:space="preserve"> </w:t>
      </w:r>
      <w:r w:rsidR="0041404B">
        <w:t>ser med stor glæde</w:t>
      </w:r>
      <w:r w:rsidR="003B7841">
        <w:t xml:space="preserve"> på</w:t>
      </w:r>
      <w:r w:rsidR="0041404B">
        <w:t xml:space="preserve"> </w:t>
      </w:r>
      <w:r w:rsidR="00F12C0E">
        <w:t>forslag til ændring af bekendtgørelsen</w:t>
      </w:r>
      <w:r w:rsidR="0041404B">
        <w:t xml:space="preserve"> og mener, at det vil gavne lokalbefolkningens nytte af lokalt tv, </w:t>
      </w:r>
      <w:r w:rsidR="00385E6B">
        <w:t>den</w:t>
      </w:r>
      <w:r w:rsidR="0041404B">
        <w:t xml:space="preserve"> demokratiske forståelse, give bedre oplysninger om lokale aktiviteter samt højne</w:t>
      </w:r>
      <w:r w:rsidR="00385E6B">
        <w:t xml:space="preserve"> lokalbefolkningens</w:t>
      </w:r>
      <w:r w:rsidR="0041404B">
        <w:t xml:space="preserve"> viden om det europæiske samarbejde. Dilem mener samlet set, at ændringen vil medføre et højere oplysningsniveau og vil modvirke isolering og ghettoisering.</w:t>
      </w:r>
    </w:p>
    <w:p w14:paraId="05359C79" w14:textId="77777777" w:rsidR="00CF7F32" w:rsidRDefault="00CF7F32" w:rsidP="00711292">
      <w:pPr>
        <w:spacing w:line="288" w:lineRule="auto"/>
        <w:jc w:val="both"/>
      </w:pPr>
    </w:p>
    <w:p w14:paraId="05359C7A" w14:textId="77777777" w:rsidR="00A47AC3" w:rsidRDefault="00A47AC3" w:rsidP="00711292">
      <w:pPr>
        <w:spacing w:line="288" w:lineRule="auto"/>
        <w:jc w:val="both"/>
        <w:rPr>
          <w:i/>
        </w:rPr>
      </w:pPr>
      <w:r>
        <w:rPr>
          <w:i/>
        </w:rPr>
        <w:t>Kulturministeriets kommentarer:</w:t>
      </w:r>
    </w:p>
    <w:p w14:paraId="05359C7B" w14:textId="77777777" w:rsidR="00A47AC3" w:rsidRDefault="00A47AC3" w:rsidP="00711292">
      <w:pPr>
        <w:spacing w:line="288" w:lineRule="auto"/>
        <w:jc w:val="both"/>
      </w:pPr>
      <w:r>
        <w:t xml:space="preserve">Kulturministeriet noterer sig </w:t>
      </w:r>
      <w:proofErr w:type="spellStart"/>
      <w:r w:rsidR="00E47256">
        <w:t>DILEM</w:t>
      </w:r>
      <w:r w:rsidR="00457F03">
        <w:t>’</w:t>
      </w:r>
      <w:r w:rsidR="00E47256">
        <w:t>s</w:t>
      </w:r>
      <w:proofErr w:type="spellEnd"/>
      <w:r w:rsidR="00E47256">
        <w:t xml:space="preserve"> </w:t>
      </w:r>
      <w:r>
        <w:t>bemærkninger.</w:t>
      </w:r>
    </w:p>
    <w:p w14:paraId="05359C7C" w14:textId="77777777" w:rsidR="00A47AC3" w:rsidRDefault="00A47AC3" w:rsidP="00711292">
      <w:pPr>
        <w:spacing w:line="288" w:lineRule="auto"/>
        <w:jc w:val="both"/>
      </w:pPr>
    </w:p>
    <w:p w14:paraId="05359C7D" w14:textId="77777777" w:rsidR="00CF7F32" w:rsidRPr="00CF7F32" w:rsidRDefault="00CF7F32" w:rsidP="00711292">
      <w:pPr>
        <w:spacing w:line="288" w:lineRule="auto"/>
        <w:jc w:val="both"/>
      </w:pPr>
      <w:r>
        <w:rPr>
          <w:u w:val="single"/>
        </w:rPr>
        <w:t>DR</w:t>
      </w:r>
      <w:r>
        <w:t xml:space="preserve"> noterer sig, at der ikke er ændringer i forhold til </w:t>
      </w:r>
      <w:proofErr w:type="spellStart"/>
      <w:r w:rsidR="009B3819">
        <w:t>sendesamvirkernes</w:t>
      </w:r>
      <w:proofErr w:type="spellEnd"/>
      <w:r>
        <w:t xml:space="preserve"> betalingsforpligtelser</w:t>
      </w:r>
      <w:r w:rsidR="009B3819">
        <w:t xml:space="preserve"> i bekendtgørelsens § 17, stk. 9</w:t>
      </w:r>
      <w:r>
        <w:t xml:space="preserve">, </w:t>
      </w:r>
      <w:r w:rsidR="009B3819">
        <w:t>således at DR ikke afholder tredjemands distributionsomkostninger.</w:t>
      </w:r>
    </w:p>
    <w:p w14:paraId="05359C7E" w14:textId="77777777" w:rsidR="0041404B" w:rsidRDefault="0041404B" w:rsidP="00711292">
      <w:pPr>
        <w:spacing w:line="288" w:lineRule="auto"/>
        <w:jc w:val="both"/>
      </w:pPr>
    </w:p>
    <w:p w14:paraId="05359C7F" w14:textId="77777777" w:rsidR="0041404B" w:rsidRDefault="0041404B" w:rsidP="00711292">
      <w:pPr>
        <w:spacing w:line="288" w:lineRule="auto"/>
        <w:jc w:val="both"/>
        <w:rPr>
          <w:i/>
        </w:rPr>
      </w:pPr>
      <w:r>
        <w:rPr>
          <w:i/>
        </w:rPr>
        <w:t>Kulturministeriets kommentarer:</w:t>
      </w:r>
    </w:p>
    <w:p w14:paraId="05359C80" w14:textId="77777777" w:rsidR="0041404B" w:rsidRDefault="0041404B" w:rsidP="008437AE">
      <w:pPr>
        <w:spacing w:line="288" w:lineRule="auto"/>
        <w:jc w:val="both"/>
      </w:pPr>
      <w:r>
        <w:t>Kulturministeriet noterer</w:t>
      </w:r>
      <w:r w:rsidR="00A47AC3">
        <w:t xml:space="preserve"> sig DR’</w:t>
      </w:r>
      <w:r>
        <w:t>s bemærkninger.</w:t>
      </w:r>
    </w:p>
    <w:sectPr w:rsidR="0041404B" w:rsidSect="00BB4710">
      <w:headerReference w:type="default" r:id="rId9"/>
      <w:headerReference w:type="first" r:id="rId10"/>
      <w:footerReference w:type="first" r:id="rId11"/>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59C83" w14:textId="77777777" w:rsidR="00FC57A2" w:rsidRDefault="00FC57A2">
      <w:r>
        <w:separator/>
      </w:r>
    </w:p>
  </w:endnote>
  <w:endnote w:type="continuationSeparator" w:id="0">
    <w:p w14:paraId="05359C84" w14:textId="77777777" w:rsidR="00FC57A2" w:rsidRDefault="00F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9C88" w14:textId="77777777" w:rsidR="00B60475" w:rsidRPr="00BB40E2" w:rsidRDefault="00B03352" w:rsidP="005B75E8">
    <w:pPr>
      <w:pStyle w:val="Sidefod"/>
    </w:pPr>
    <w:r>
      <w:rPr>
        <w:noProof/>
      </w:rPr>
      <mc:AlternateContent>
        <mc:Choice Requires="wps">
          <w:drawing>
            <wp:anchor distT="0" distB="0" distL="114300" distR="114300" simplePos="0" relativeHeight="251658752" behindDoc="0" locked="0" layoutInCell="1" allowOverlap="1" wp14:anchorId="05359C8D" wp14:editId="05359C8E">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05359C91" w14:textId="77777777">
                            <w:trPr>
                              <w:trHeight w:hRule="exact" w:val="454"/>
                            </w:trPr>
                            <w:tc>
                              <w:tcPr>
                                <w:tcW w:w="2283" w:type="dxa"/>
                              </w:tcPr>
                              <w:p w14:paraId="05359C90" w14:textId="77777777" w:rsidR="00B60475" w:rsidRDefault="00B60475" w:rsidP="00610F52">
                                <w:pPr>
                                  <w:pStyle w:val="Template-JNr"/>
                                </w:pPr>
                                <w:bookmarkStart w:id="4" w:name="dok_aktlbnr"/>
                                <w:bookmarkEnd w:id="4"/>
                              </w:p>
                            </w:tc>
                          </w:tr>
                        </w:tbl>
                        <w:p w14:paraId="05359C92" w14:textId="77777777" w:rsidR="00B60475" w:rsidRPr="00665819" w:rsidRDefault="00B60475" w:rsidP="00610F52"/>
                        <w:p w14:paraId="05359C93" w14:textId="77777777" w:rsidR="00B60475" w:rsidRPr="00610F52" w:rsidRDefault="00B60475" w:rsidP="00610F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05359C91" w14:textId="77777777">
                      <w:trPr>
                        <w:trHeight w:hRule="exact" w:val="454"/>
                      </w:trPr>
                      <w:tc>
                        <w:tcPr>
                          <w:tcW w:w="2283" w:type="dxa"/>
                        </w:tcPr>
                        <w:p w14:paraId="05359C90" w14:textId="77777777" w:rsidR="00B60475" w:rsidRDefault="00B60475" w:rsidP="00610F52">
                          <w:pPr>
                            <w:pStyle w:val="Template-JNr"/>
                          </w:pPr>
                          <w:bookmarkStart w:id="5" w:name="dok_aktlbnr"/>
                          <w:bookmarkEnd w:id="5"/>
                        </w:p>
                      </w:tc>
                    </w:tr>
                  </w:tbl>
                  <w:p w14:paraId="05359C92" w14:textId="77777777" w:rsidR="00B60475" w:rsidRPr="00665819" w:rsidRDefault="00B60475" w:rsidP="00610F52"/>
                  <w:p w14:paraId="05359C93" w14:textId="77777777" w:rsidR="00B60475" w:rsidRPr="00610F52" w:rsidRDefault="00B60475" w:rsidP="00610F5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9C81" w14:textId="77777777" w:rsidR="00FC57A2" w:rsidRDefault="00FC57A2">
      <w:r>
        <w:separator/>
      </w:r>
    </w:p>
  </w:footnote>
  <w:footnote w:type="continuationSeparator" w:id="0">
    <w:p w14:paraId="05359C82" w14:textId="77777777" w:rsidR="00FC57A2" w:rsidRDefault="00FC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9C85" w14:textId="77777777" w:rsidR="00B60475" w:rsidRDefault="00B03352">
    <w:pPr>
      <w:pStyle w:val="Sidehoved"/>
    </w:pPr>
    <w:r>
      <w:rPr>
        <w:noProof/>
      </w:rPr>
      <mc:AlternateContent>
        <mc:Choice Requires="wps">
          <w:drawing>
            <wp:anchor distT="0" distB="0" distL="114300" distR="114300" simplePos="0" relativeHeight="251656704" behindDoc="0" locked="0" layoutInCell="1" allowOverlap="1" wp14:anchorId="05359C89" wp14:editId="05359C8A">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9C8F"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F75C8F">
                            <w:rPr>
                              <w:rStyle w:val="Sidetal"/>
                              <w:rFonts w:ascii="Franklin Gothic Book" w:hAnsi="Franklin Gothic Book"/>
                              <w:noProof/>
                            </w:rPr>
                            <w:t>7</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05359C8F"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F75C8F">
                      <w:rPr>
                        <w:rStyle w:val="Sidetal"/>
                        <w:rFonts w:ascii="Franklin Gothic Book" w:hAnsi="Franklin Gothic Book"/>
                        <w:noProof/>
                      </w:rPr>
                      <w:t>7</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9C86" w14:textId="77777777" w:rsidR="00B60475" w:rsidRDefault="00B03352" w:rsidP="00D7739E">
    <w:pPr>
      <w:pStyle w:val="Sidehoved"/>
    </w:pPr>
    <w:r>
      <w:rPr>
        <w:noProof/>
      </w:rPr>
      <w:drawing>
        <wp:anchor distT="0" distB="0" distL="114300" distR="114300" simplePos="0" relativeHeight="251657728" behindDoc="0" locked="0" layoutInCell="1" allowOverlap="1" wp14:anchorId="05359C8B" wp14:editId="05359C8C">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59C87" w14:textId="77777777" w:rsidR="00B60475" w:rsidRDefault="00B60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0F003D"/>
    <w:multiLevelType w:val="hybridMultilevel"/>
    <w:tmpl w:val="BE0EBB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364118"/>
    <w:multiLevelType w:val="hybridMultilevel"/>
    <w:tmpl w:val="9C5AD988"/>
    <w:lvl w:ilvl="0" w:tplc="7BA03BE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F78232F"/>
    <w:multiLevelType w:val="hybridMultilevel"/>
    <w:tmpl w:val="949A4BA6"/>
    <w:lvl w:ilvl="0" w:tplc="28C2F96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nsid w:val="43C3570A"/>
    <w:multiLevelType w:val="hybridMultilevel"/>
    <w:tmpl w:val="665AF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5673407"/>
    <w:multiLevelType w:val="hybridMultilevel"/>
    <w:tmpl w:val="2048D498"/>
    <w:lvl w:ilvl="0" w:tplc="2B4A429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9"/>
  </w:num>
  <w:num w:numId="17">
    <w:abstractNumId w:val="10"/>
  </w:num>
  <w:num w:numId="18">
    <w:abstractNumId w:val="13"/>
  </w:num>
  <w:num w:numId="19">
    <w:abstractNumId w:val="9"/>
  </w:num>
  <w:num w:numId="20">
    <w:abstractNumId w:val="11"/>
  </w:num>
  <w:num w:numId="21">
    <w:abstractNumId w:val="14"/>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299D"/>
    <w:rsid w:val="000153D4"/>
    <w:rsid w:val="0001600D"/>
    <w:rsid w:val="000166E1"/>
    <w:rsid w:val="00022121"/>
    <w:rsid w:val="000250F2"/>
    <w:rsid w:val="00026DB0"/>
    <w:rsid w:val="00031FE9"/>
    <w:rsid w:val="000352DA"/>
    <w:rsid w:val="000421D4"/>
    <w:rsid w:val="00046B8E"/>
    <w:rsid w:val="000500D8"/>
    <w:rsid w:val="00051A09"/>
    <w:rsid w:val="00052AAB"/>
    <w:rsid w:val="000532C8"/>
    <w:rsid w:val="00053E33"/>
    <w:rsid w:val="0005459F"/>
    <w:rsid w:val="00057BA3"/>
    <w:rsid w:val="00066058"/>
    <w:rsid w:val="00070181"/>
    <w:rsid w:val="00073C09"/>
    <w:rsid w:val="00075951"/>
    <w:rsid w:val="00082046"/>
    <w:rsid w:val="000861E9"/>
    <w:rsid w:val="000877AD"/>
    <w:rsid w:val="000935C4"/>
    <w:rsid w:val="0009594A"/>
    <w:rsid w:val="000A116A"/>
    <w:rsid w:val="000B09C6"/>
    <w:rsid w:val="000B0DAA"/>
    <w:rsid w:val="000C4B63"/>
    <w:rsid w:val="000C53F9"/>
    <w:rsid w:val="000D6E63"/>
    <w:rsid w:val="000F09F2"/>
    <w:rsid w:val="001010AF"/>
    <w:rsid w:val="00101687"/>
    <w:rsid w:val="00102AB8"/>
    <w:rsid w:val="00102EA6"/>
    <w:rsid w:val="0010726D"/>
    <w:rsid w:val="00111318"/>
    <w:rsid w:val="0011186D"/>
    <w:rsid w:val="00111D96"/>
    <w:rsid w:val="00112D8C"/>
    <w:rsid w:val="0012489C"/>
    <w:rsid w:val="00126186"/>
    <w:rsid w:val="0014322B"/>
    <w:rsid w:val="00153477"/>
    <w:rsid w:val="0015453D"/>
    <w:rsid w:val="00160F6C"/>
    <w:rsid w:val="00162275"/>
    <w:rsid w:val="0016385B"/>
    <w:rsid w:val="00164B7A"/>
    <w:rsid w:val="00180C74"/>
    <w:rsid w:val="00182040"/>
    <w:rsid w:val="00184008"/>
    <w:rsid w:val="00186F7F"/>
    <w:rsid w:val="00192812"/>
    <w:rsid w:val="001A11C9"/>
    <w:rsid w:val="001A59C9"/>
    <w:rsid w:val="001B007C"/>
    <w:rsid w:val="001B7852"/>
    <w:rsid w:val="001D3FCB"/>
    <w:rsid w:val="001E7574"/>
    <w:rsid w:val="001F1E22"/>
    <w:rsid w:val="001F4F69"/>
    <w:rsid w:val="002018EC"/>
    <w:rsid w:val="00211F27"/>
    <w:rsid w:val="00216BE3"/>
    <w:rsid w:val="002171DE"/>
    <w:rsid w:val="002350F3"/>
    <w:rsid w:val="002365EE"/>
    <w:rsid w:val="0023773A"/>
    <w:rsid w:val="0024066D"/>
    <w:rsid w:val="00245966"/>
    <w:rsid w:val="00246467"/>
    <w:rsid w:val="00246DC4"/>
    <w:rsid w:val="002564B1"/>
    <w:rsid w:val="00257B29"/>
    <w:rsid w:val="00260BCD"/>
    <w:rsid w:val="002624FC"/>
    <w:rsid w:val="00262696"/>
    <w:rsid w:val="00270BA3"/>
    <w:rsid w:val="00271A91"/>
    <w:rsid w:val="0028188D"/>
    <w:rsid w:val="00283112"/>
    <w:rsid w:val="002A5E7A"/>
    <w:rsid w:val="002A6B3D"/>
    <w:rsid w:val="002B1FD2"/>
    <w:rsid w:val="002C0412"/>
    <w:rsid w:val="002C2A95"/>
    <w:rsid w:val="002D3608"/>
    <w:rsid w:val="002D3BAD"/>
    <w:rsid w:val="002E1465"/>
    <w:rsid w:val="002E2EC8"/>
    <w:rsid w:val="002E326D"/>
    <w:rsid w:val="002F2D9E"/>
    <w:rsid w:val="00300AE1"/>
    <w:rsid w:val="00302606"/>
    <w:rsid w:val="003120FA"/>
    <w:rsid w:val="0033233F"/>
    <w:rsid w:val="0033578E"/>
    <w:rsid w:val="00336328"/>
    <w:rsid w:val="00344DF6"/>
    <w:rsid w:val="00345870"/>
    <w:rsid w:val="00346B95"/>
    <w:rsid w:val="00352BE9"/>
    <w:rsid w:val="00352F7B"/>
    <w:rsid w:val="003558BE"/>
    <w:rsid w:val="00356562"/>
    <w:rsid w:val="003642C5"/>
    <w:rsid w:val="00371DE6"/>
    <w:rsid w:val="00384947"/>
    <w:rsid w:val="00385848"/>
    <w:rsid w:val="00385E6B"/>
    <w:rsid w:val="00387E05"/>
    <w:rsid w:val="00394C0F"/>
    <w:rsid w:val="003A0131"/>
    <w:rsid w:val="003A2433"/>
    <w:rsid w:val="003A32EE"/>
    <w:rsid w:val="003A3DE9"/>
    <w:rsid w:val="003B7841"/>
    <w:rsid w:val="003B7CDB"/>
    <w:rsid w:val="003C2B24"/>
    <w:rsid w:val="003D1366"/>
    <w:rsid w:val="003D2E35"/>
    <w:rsid w:val="003D3A7E"/>
    <w:rsid w:val="003E03BD"/>
    <w:rsid w:val="003E1C0D"/>
    <w:rsid w:val="003E5F15"/>
    <w:rsid w:val="003E6170"/>
    <w:rsid w:val="003F03ED"/>
    <w:rsid w:val="003F4AB9"/>
    <w:rsid w:val="003F6B6D"/>
    <w:rsid w:val="004025CF"/>
    <w:rsid w:val="0041404B"/>
    <w:rsid w:val="0043074C"/>
    <w:rsid w:val="00431462"/>
    <w:rsid w:val="00431FC8"/>
    <w:rsid w:val="00436EDF"/>
    <w:rsid w:val="00441F08"/>
    <w:rsid w:val="00445F8E"/>
    <w:rsid w:val="00457F03"/>
    <w:rsid w:val="00465415"/>
    <w:rsid w:val="00465752"/>
    <w:rsid w:val="004728F6"/>
    <w:rsid w:val="004916C6"/>
    <w:rsid w:val="00491EEE"/>
    <w:rsid w:val="004B4731"/>
    <w:rsid w:val="004B7D82"/>
    <w:rsid w:val="004C3C58"/>
    <w:rsid w:val="004D795C"/>
    <w:rsid w:val="004F1530"/>
    <w:rsid w:val="004F5437"/>
    <w:rsid w:val="004F755C"/>
    <w:rsid w:val="005001B3"/>
    <w:rsid w:val="00504494"/>
    <w:rsid w:val="00506EC7"/>
    <w:rsid w:val="00506F7A"/>
    <w:rsid w:val="00515D93"/>
    <w:rsid w:val="00517081"/>
    <w:rsid w:val="00525C60"/>
    <w:rsid w:val="00535644"/>
    <w:rsid w:val="00536303"/>
    <w:rsid w:val="00540F65"/>
    <w:rsid w:val="00545F55"/>
    <w:rsid w:val="0055396C"/>
    <w:rsid w:val="00560816"/>
    <w:rsid w:val="00561D9D"/>
    <w:rsid w:val="00562901"/>
    <w:rsid w:val="00563890"/>
    <w:rsid w:val="005638BF"/>
    <w:rsid w:val="00564020"/>
    <w:rsid w:val="00570BB3"/>
    <w:rsid w:val="00572929"/>
    <w:rsid w:val="00573AB7"/>
    <w:rsid w:val="00575ED7"/>
    <w:rsid w:val="005802EE"/>
    <w:rsid w:val="00583AA7"/>
    <w:rsid w:val="0058649D"/>
    <w:rsid w:val="00587206"/>
    <w:rsid w:val="005976BF"/>
    <w:rsid w:val="005A147F"/>
    <w:rsid w:val="005A24EC"/>
    <w:rsid w:val="005A3B74"/>
    <w:rsid w:val="005A6FE9"/>
    <w:rsid w:val="005B22DC"/>
    <w:rsid w:val="005B3D03"/>
    <w:rsid w:val="005B75E8"/>
    <w:rsid w:val="005C10DC"/>
    <w:rsid w:val="005D0448"/>
    <w:rsid w:val="005D316B"/>
    <w:rsid w:val="005E2CD1"/>
    <w:rsid w:val="005E6CB9"/>
    <w:rsid w:val="005E7B46"/>
    <w:rsid w:val="006037EC"/>
    <w:rsid w:val="00610F52"/>
    <w:rsid w:val="00620E00"/>
    <w:rsid w:val="006223D9"/>
    <w:rsid w:val="006235DA"/>
    <w:rsid w:val="0065454E"/>
    <w:rsid w:val="006546E0"/>
    <w:rsid w:val="00655995"/>
    <w:rsid w:val="00661DBC"/>
    <w:rsid w:val="00664FCD"/>
    <w:rsid w:val="00665468"/>
    <w:rsid w:val="00667D2A"/>
    <w:rsid w:val="006748E1"/>
    <w:rsid w:val="00680CD7"/>
    <w:rsid w:val="00685B41"/>
    <w:rsid w:val="0069641C"/>
    <w:rsid w:val="00697893"/>
    <w:rsid w:val="006A4C18"/>
    <w:rsid w:val="006A77E6"/>
    <w:rsid w:val="006B1BC4"/>
    <w:rsid w:val="006C0DD2"/>
    <w:rsid w:val="006C65EF"/>
    <w:rsid w:val="006D079F"/>
    <w:rsid w:val="006D4385"/>
    <w:rsid w:val="006D552E"/>
    <w:rsid w:val="006D7F37"/>
    <w:rsid w:val="006E4090"/>
    <w:rsid w:val="006E6880"/>
    <w:rsid w:val="006E694D"/>
    <w:rsid w:val="006E7129"/>
    <w:rsid w:val="006E769B"/>
    <w:rsid w:val="006E7DAC"/>
    <w:rsid w:val="006F19B1"/>
    <w:rsid w:val="006F3C79"/>
    <w:rsid w:val="00711292"/>
    <w:rsid w:val="00714B24"/>
    <w:rsid w:val="00735637"/>
    <w:rsid w:val="00736658"/>
    <w:rsid w:val="00737D92"/>
    <w:rsid w:val="007548F9"/>
    <w:rsid w:val="0076470D"/>
    <w:rsid w:val="007668D5"/>
    <w:rsid w:val="007718EC"/>
    <w:rsid w:val="007721E9"/>
    <w:rsid w:val="00776F80"/>
    <w:rsid w:val="0079107F"/>
    <w:rsid w:val="007955B4"/>
    <w:rsid w:val="00797B80"/>
    <w:rsid w:val="007A6544"/>
    <w:rsid w:val="007A6BCD"/>
    <w:rsid w:val="007B6805"/>
    <w:rsid w:val="007C675E"/>
    <w:rsid w:val="007D4AB7"/>
    <w:rsid w:val="007F32B5"/>
    <w:rsid w:val="007F5042"/>
    <w:rsid w:val="007F5A8F"/>
    <w:rsid w:val="008015D2"/>
    <w:rsid w:val="0081058B"/>
    <w:rsid w:val="00811A30"/>
    <w:rsid w:val="00813EF7"/>
    <w:rsid w:val="00823100"/>
    <w:rsid w:val="00830766"/>
    <w:rsid w:val="0083156B"/>
    <w:rsid w:val="00832BFA"/>
    <w:rsid w:val="00841F21"/>
    <w:rsid w:val="008437AE"/>
    <w:rsid w:val="008579F3"/>
    <w:rsid w:val="00863559"/>
    <w:rsid w:val="00872582"/>
    <w:rsid w:val="0089330B"/>
    <w:rsid w:val="00895D4A"/>
    <w:rsid w:val="008A72B5"/>
    <w:rsid w:val="008B06AC"/>
    <w:rsid w:val="008B73D6"/>
    <w:rsid w:val="008C78D3"/>
    <w:rsid w:val="008D3F60"/>
    <w:rsid w:val="008D6E22"/>
    <w:rsid w:val="008E4C26"/>
    <w:rsid w:val="008F4A52"/>
    <w:rsid w:val="008F5010"/>
    <w:rsid w:val="008F6733"/>
    <w:rsid w:val="008F723B"/>
    <w:rsid w:val="009024E6"/>
    <w:rsid w:val="009033F4"/>
    <w:rsid w:val="0091082F"/>
    <w:rsid w:val="00913246"/>
    <w:rsid w:val="00916D28"/>
    <w:rsid w:val="00930E78"/>
    <w:rsid w:val="00941CB8"/>
    <w:rsid w:val="009420DA"/>
    <w:rsid w:val="0094270A"/>
    <w:rsid w:val="009508BA"/>
    <w:rsid w:val="00950DA7"/>
    <w:rsid w:val="00951370"/>
    <w:rsid w:val="00957D0B"/>
    <w:rsid w:val="009666A5"/>
    <w:rsid w:val="00974CE4"/>
    <w:rsid w:val="009778B8"/>
    <w:rsid w:val="0098004E"/>
    <w:rsid w:val="009A06B6"/>
    <w:rsid w:val="009A21A7"/>
    <w:rsid w:val="009A494D"/>
    <w:rsid w:val="009B1BEB"/>
    <w:rsid w:val="009B3819"/>
    <w:rsid w:val="009C3A4A"/>
    <w:rsid w:val="009C4DAA"/>
    <w:rsid w:val="009D1D1F"/>
    <w:rsid w:val="009D3340"/>
    <w:rsid w:val="009D370D"/>
    <w:rsid w:val="009D4E9B"/>
    <w:rsid w:val="009E1913"/>
    <w:rsid w:val="009F1D9A"/>
    <w:rsid w:val="009F27A2"/>
    <w:rsid w:val="00A071C8"/>
    <w:rsid w:val="00A079D8"/>
    <w:rsid w:val="00A11897"/>
    <w:rsid w:val="00A131E3"/>
    <w:rsid w:val="00A17C42"/>
    <w:rsid w:val="00A3651B"/>
    <w:rsid w:val="00A437D8"/>
    <w:rsid w:val="00A45C65"/>
    <w:rsid w:val="00A47AC3"/>
    <w:rsid w:val="00A55612"/>
    <w:rsid w:val="00A62F4D"/>
    <w:rsid w:val="00A64078"/>
    <w:rsid w:val="00A6548F"/>
    <w:rsid w:val="00A70152"/>
    <w:rsid w:val="00A755E3"/>
    <w:rsid w:val="00A83DE5"/>
    <w:rsid w:val="00AA47E3"/>
    <w:rsid w:val="00AB0733"/>
    <w:rsid w:val="00AC00BF"/>
    <w:rsid w:val="00AD31AB"/>
    <w:rsid w:val="00AD62DB"/>
    <w:rsid w:val="00AE13AD"/>
    <w:rsid w:val="00AE281B"/>
    <w:rsid w:val="00AF29F5"/>
    <w:rsid w:val="00B03352"/>
    <w:rsid w:val="00B23D7A"/>
    <w:rsid w:val="00B240CA"/>
    <w:rsid w:val="00B25067"/>
    <w:rsid w:val="00B26EF0"/>
    <w:rsid w:val="00B3487E"/>
    <w:rsid w:val="00B34AC9"/>
    <w:rsid w:val="00B52A66"/>
    <w:rsid w:val="00B60475"/>
    <w:rsid w:val="00B6400A"/>
    <w:rsid w:val="00B67B00"/>
    <w:rsid w:val="00B715D8"/>
    <w:rsid w:val="00B82583"/>
    <w:rsid w:val="00B94CF9"/>
    <w:rsid w:val="00B958A0"/>
    <w:rsid w:val="00BA1F39"/>
    <w:rsid w:val="00BA2227"/>
    <w:rsid w:val="00BA2C8D"/>
    <w:rsid w:val="00BA56DF"/>
    <w:rsid w:val="00BA6713"/>
    <w:rsid w:val="00BB36F2"/>
    <w:rsid w:val="00BB4710"/>
    <w:rsid w:val="00BB613E"/>
    <w:rsid w:val="00BB7474"/>
    <w:rsid w:val="00BC348F"/>
    <w:rsid w:val="00BC3C7C"/>
    <w:rsid w:val="00BD169A"/>
    <w:rsid w:val="00BD42B3"/>
    <w:rsid w:val="00BD4D67"/>
    <w:rsid w:val="00BD6444"/>
    <w:rsid w:val="00BE1439"/>
    <w:rsid w:val="00BE30BA"/>
    <w:rsid w:val="00BE3F69"/>
    <w:rsid w:val="00BE7FBE"/>
    <w:rsid w:val="00C02025"/>
    <w:rsid w:val="00C03AAF"/>
    <w:rsid w:val="00C10154"/>
    <w:rsid w:val="00C10FD7"/>
    <w:rsid w:val="00C12EE9"/>
    <w:rsid w:val="00C14931"/>
    <w:rsid w:val="00C2781D"/>
    <w:rsid w:val="00C37716"/>
    <w:rsid w:val="00C42204"/>
    <w:rsid w:val="00C42B3D"/>
    <w:rsid w:val="00C45871"/>
    <w:rsid w:val="00C53E1D"/>
    <w:rsid w:val="00C554B0"/>
    <w:rsid w:val="00C601B2"/>
    <w:rsid w:val="00C61E76"/>
    <w:rsid w:val="00C621CB"/>
    <w:rsid w:val="00C635B3"/>
    <w:rsid w:val="00C67247"/>
    <w:rsid w:val="00C6760B"/>
    <w:rsid w:val="00C73F66"/>
    <w:rsid w:val="00C765DB"/>
    <w:rsid w:val="00C769F5"/>
    <w:rsid w:val="00C91874"/>
    <w:rsid w:val="00C9350E"/>
    <w:rsid w:val="00C935A5"/>
    <w:rsid w:val="00CA0509"/>
    <w:rsid w:val="00CA0688"/>
    <w:rsid w:val="00CA1A44"/>
    <w:rsid w:val="00CA7413"/>
    <w:rsid w:val="00CA76D0"/>
    <w:rsid w:val="00CB0615"/>
    <w:rsid w:val="00CB2E97"/>
    <w:rsid w:val="00CC4EDF"/>
    <w:rsid w:val="00CE4F48"/>
    <w:rsid w:val="00CF367C"/>
    <w:rsid w:val="00CF4A61"/>
    <w:rsid w:val="00CF7F32"/>
    <w:rsid w:val="00D0115B"/>
    <w:rsid w:val="00D03751"/>
    <w:rsid w:val="00D06D96"/>
    <w:rsid w:val="00D07026"/>
    <w:rsid w:val="00D100CF"/>
    <w:rsid w:val="00D14133"/>
    <w:rsid w:val="00D177E7"/>
    <w:rsid w:val="00D27834"/>
    <w:rsid w:val="00D27965"/>
    <w:rsid w:val="00D378EB"/>
    <w:rsid w:val="00D3791D"/>
    <w:rsid w:val="00D416A3"/>
    <w:rsid w:val="00D43632"/>
    <w:rsid w:val="00D4740F"/>
    <w:rsid w:val="00D57D48"/>
    <w:rsid w:val="00D61990"/>
    <w:rsid w:val="00D70874"/>
    <w:rsid w:val="00D7198C"/>
    <w:rsid w:val="00D73870"/>
    <w:rsid w:val="00D7739E"/>
    <w:rsid w:val="00D91060"/>
    <w:rsid w:val="00DA1011"/>
    <w:rsid w:val="00DA110D"/>
    <w:rsid w:val="00DA15F4"/>
    <w:rsid w:val="00DA4CA6"/>
    <w:rsid w:val="00DA7753"/>
    <w:rsid w:val="00DB2878"/>
    <w:rsid w:val="00DB3E95"/>
    <w:rsid w:val="00DB682C"/>
    <w:rsid w:val="00DB6EDA"/>
    <w:rsid w:val="00DC3346"/>
    <w:rsid w:val="00DC3E1B"/>
    <w:rsid w:val="00DC4DC4"/>
    <w:rsid w:val="00DC5BA9"/>
    <w:rsid w:val="00DC5C19"/>
    <w:rsid w:val="00DC5FE3"/>
    <w:rsid w:val="00DD5C31"/>
    <w:rsid w:val="00DD7079"/>
    <w:rsid w:val="00DE3695"/>
    <w:rsid w:val="00DE6A38"/>
    <w:rsid w:val="00DF13A4"/>
    <w:rsid w:val="00DF2CB3"/>
    <w:rsid w:val="00E0337E"/>
    <w:rsid w:val="00E062EF"/>
    <w:rsid w:val="00E12641"/>
    <w:rsid w:val="00E1333A"/>
    <w:rsid w:val="00E14B72"/>
    <w:rsid w:val="00E15DEE"/>
    <w:rsid w:val="00E33E0A"/>
    <w:rsid w:val="00E37C39"/>
    <w:rsid w:val="00E41C7A"/>
    <w:rsid w:val="00E4365E"/>
    <w:rsid w:val="00E47256"/>
    <w:rsid w:val="00E47374"/>
    <w:rsid w:val="00E47677"/>
    <w:rsid w:val="00E51AB6"/>
    <w:rsid w:val="00E547A5"/>
    <w:rsid w:val="00E5632B"/>
    <w:rsid w:val="00E56E07"/>
    <w:rsid w:val="00E738BA"/>
    <w:rsid w:val="00E74E6F"/>
    <w:rsid w:val="00E77622"/>
    <w:rsid w:val="00E80719"/>
    <w:rsid w:val="00E85921"/>
    <w:rsid w:val="00E90944"/>
    <w:rsid w:val="00E9513F"/>
    <w:rsid w:val="00E96D37"/>
    <w:rsid w:val="00EA3B39"/>
    <w:rsid w:val="00EB0314"/>
    <w:rsid w:val="00EB57F8"/>
    <w:rsid w:val="00EB78AE"/>
    <w:rsid w:val="00EB7A4B"/>
    <w:rsid w:val="00EC2DDB"/>
    <w:rsid w:val="00ED287E"/>
    <w:rsid w:val="00EE0B56"/>
    <w:rsid w:val="00EE1C0D"/>
    <w:rsid w:val="00EE3B0C"/>
    <w:rsid w:val="00EE6FB7"/>
    <w:rsid w:val="00EE71DB"/>
    <w:rsid w:val="00EF1556"/>
    <w:rsid w:val="00EF36FB"/>
    <w:rsid w:val="00EF55AD"/>
    <w:rsid w:val="00EF5D1F"/>
    <w:rsid w:val="00EF5E23"/>
    <w:rsid w:val="00F01C57"/>
    <w:rsid w:val="00F12BA8"/>
    <w:rsid w:val="00F12C0E"/>
    <w:rsid w:val="00F13F33"/>
    <w:rsid w:val="00F15933"/>
    <w:rsid w:val="00F4115B"/>
    <w:rsid w:val="00F6437A"/>
    <w:rsid w:val="00F67790"/>
    <w:rsid w:val="00F70EAD"/>
    <w:rsid w:val="00F75C8F"/>
    <w:rsid w:val="00F770CC"/>
    <w:rsid w:val="00F77D27"/>
    <w:rsid w:val="00F817A9"/>
    <w:rsid w:val="00F822C0"/>
    <w:rsid w:val="00F82D3E"/>
    <w:rsid w:val="00F83CC9"/>
    <w:rsid w:val="00F93D35"/>
    <w:rsid w:val="00F94BCD"/>
    <w:rsid w:val="00FB243C"/>
    <w:rsid w:val="00FB4AC9"/>
    <w:rsid w:val="00FC57A2"/>
    <w:rsid w:val="00FC669F"/>
    <w:rsid w:val="00FD2D6E"/>
    <w:rsid w:val="00FD2E19"/>
    <w:rsid w:val="00FD379B"/>
    <w:rsid w:val="00FD3B19"/>
    <w:rsid w:val="00FD6472"/>
    <w:rsid w:val="00FE6719"/>
    <w:rsid w:val="00FE67D4"/>
    <w:rsid w:val="00FF28F8"/>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3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Kommentarhenvisning">
    <w:name w:val="annotation reference"/>
    <w:basedOn w:val="Standardskrifttypeiafsnit"/>
    <w:uiPriority w:val="99"/>
    <w:semiHidden/>
    <w:rsid w:val="00872582"/>
    <w:rPr>
      <w:sz w:val="16"/>
      <w:szCs w:val="16"/>
    </w:rPr>
  </w:style>
  <w:style w:type="paragraph" w:styleId="Kommentartekst">
    <w:name w:val="annotation text"/>
    <w:basedOn w:val="Normal"/>
    <w:link w:val="KommentartekstTegn"/>
    <w:uiPriority w:val="99"/>
    <w:semiHidden/>
    <w:rsid w:val="00872582"/>
    <w:pPr>
      <w:spacing w:line="240" w:lineRule="auto"/>
    </w:pPr>
  </w:style>
  <w:style w:type="character" w:customStyle="1" w:styleId="KommentartekstTegn">
    <w:name w:val="Kommentartekst Tegn"/>
    <w:basedOn w:val="Standardskrifttypeiafsnit"/>
    <w:link w:val="Kommentartekst"/>
    <w:uiPriority w:val="99"/>
    <w:semiHidden/>
    <w:rsid w:val="00872582"/>
  </w:style>
  <w:style w:type="paragraph" w:styleId="Kommentaremne">
    <w:name w:val="annotation subject"/>
    <w:basedOn w:val="Kommentartekst"/>
    <w:next w:val="Kommentartekst"/>
    <w:link w:val="KommentaremneTegn"/>
    <w:uiPriority w:val="99"/>
    <w:semiHidden/>
    <w:rsid w:val="00872582"/>
    <w:rPr>
      <w:b/>
      <w:bCs/>
    </w:rPr>
  </w:style>
  <w:style w:type="character" w:customStyle="1" w:styleId="KommentaremneTegn">
    <w:name w:val="Kommentaremne Tegn"/>
    <w:basedOn w:val="KommentartekstTegn"/>
    <w:link w:val="Kommentaremne"/>
    <w:uiPriority w:val="99"/>
    <w:semiHidden/>
    <w:rsid w:val="00872582"/>
    <w:rPr>
      <w:b/>
      <w:bCs/>
    </w:rPr>
  </w:style>
  <w:style w:type="paragraph" w:customStyle="1" w:styleId="bodytext">
    <w:name w:val="bodytext"/>
    <w:basedOn w:val="Normal"/>
    <w:rsid w:val="00E56E07"/>
    <w:pPr>
      <w:spacing w:before="100" w:beforeAutospacing="1" w:after="100" w:afterAutospacing="1" w:line="240" w:lineRule="auto"/>
    </w:pPr>
    <w:rPr>
      <w:rFonts w:ascii="Times New Roman" w:hAnsi="Times New Roman"/>
      <w:sz w:val="24"/>
      <w:szCs w:val="24"/>
    </w:rPr>
  </w:style>
  <w:style w:type="paragraph" w:styleId="Listeafsnit">
    <w:name w:val="List Paragraph"/>
    <w:basedOn w:val="Normal"/>
    <w:uiPriority w:val="99"/>
    <w:semiHidden/>
    <w:qFormat/>
    <w:rsid w:val="00CA0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Kommentarhenvisning">
    <w:name w:val="annotation reference"/>
    <w:basedOn w:val="Standardskrifttypeiafsnit"/>
    <w:uiPriority w:val="99"/>
    <w:semiHidden/>
    <w:rsid w:val="00872582"/>
    <w:rPr>
      <w:sz w:val="16"/>
      <w:szCs w:val="16"/>
    </w:rPr>
  </w:style>
  <w:style w:type="paragraph" w:styleId="Kommentartekst">
    <w:name w:val="annotation text"/>
    <w:basedOn w:val="Normal"/>
    <w:link w:val="KommentartekstTegn"/>
    <w:uiPriority w:val="99"/>
    <w:semiHidden/>
    <w:rsid w:val="00872582"/>
    <w:pPr>
      <w:spacing w:line="240" w:lineRule="auto"/>
    </w:pPr>
  </w:style>
  <w:style w:type="character" w:customStyle="1" w:styleId="KommentartekstTegn">
    <w:name w:val="Kommentartekst Tegn"/>
    <w:basedOn w:val="Standardskrifttypeiafsnit"/>
    <w:link w:val="Kommentartekst"/>
    <w:uiPriority w:val="99"/>
    <w:semiHidden/>
    <w:rsid w:val="00872582"/>
  </w:style>
  <w:style w:type="paragraph" w:styleId="Kommentaremne">
    <w:name w:val="annotation subject"/>
    <w:basedOn w:val="Kommentartekst"/>
    <w:next w:val="Kommentartekst"/>
    <w:link w:val="KommentaremneTegn"/>
    <w:uiPriority w:val="99"/>
    <w:semiHidden/>
    <w:rsid w:val="00872582"/>
    <w:rPr>
      <w:b/>
      <w:bCs/>
    </w:rPr>
  </w:style>
  <w:style w:type="character" w:customStyle="1" w:styleId="KommentaremneTegn">
    <w:name w:val="Kommentaremne Tegn"/>
    <w:basedOn w:val="KommentartekstTegn"/>
    <w:link w:val="Kommentaremne"/>
    <w:uiPriority w:val="99"/>
    <w:semiHidden/>
    <w:rsid w:val="00872582"/>
    <w:rPr>
      <w:b/>
      <w:bCs/>
    </w:rPr>
  </w:style>
  <w:style w:type="paragraph" w:customStyle="1" w:styleId="bodytext">
    <w:name w:val="bodytext"/>
    <w:basedOn w:val="Normal"/>
    <w:rsid w:val="00E56E07"/>
    <w:pPr>
      <w:spacing w:before="100" w:beforeAutospacing="1" w:after="100" w:afterAutospacing="1" w:line="240" w:lineRule="auto"/>
    </w:pPr>
    <w:rPr>
      <w:rFonts w:ascii="Times New Roman" w:hAnsi="Times New Roman"/>
      <w:sz w:val="24"/>
      <w:szCs w:val="24"/>
    </w:rPr>
  </w:style>
  <w:style w:type="paragraph" w:styleId="Listeafsnit">
    <w:name w:val="List Paragraph"/>
    <w:basedOn w:val="Normal"/>
    <w:uiPriority w:val="99"/>
    <w:semiHidden/>
    <w:qFormat/>
    <w:rsid w:val="00CA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453">
      <w:bodyDiv w:val="1"/>
      <w:marLeft w:val="0"/>
      <w:marRight w:val="0"/>
      <w:marTop w:val="0"/>
      <w:marBottom w:val="0"/>
      <w:divBdr>
        <w:top w:val="none" w:sz="0" w:space="0" w:color="auto"/>
        <w:left w:val="none" w:sz="0" w:space="0" w:color="auto"/>
        <w:bottom w:val="none" w:sz="0" w:space="0" w:color="auto"/>
        <w:right w:val="none" w:sz="0" w:space="0" w:color="auto"/>
      </w:divBdr>
    </w:div>
    <w:div w:id="2045517014">
      <w:bodyDiv w:val="1"/>
      <w:marLeft w:val="0"/>
      <w:marRight w:val="0"/>
      <w:marTop w:val="0"/>
      <w:marBottom w:val="0"/>
      <w:divBdr>
        <w:top w:val="none" w:sz="0" w:space="0" w:color="auto"/>
        <w:left w:val="none" w:sz="0" w:space="0" w:color="auto"/>
        <w:bottom w:val="none" w:sz="0" w:space="0" w:color="auto"/>
        <w:right w:val="none" w:sz="0" w:space="0" w:color="auto"/>
      </w:divBdr>
      <w:divsChild>
        <w:div w:id="310716615">
          <w:marLeft w:val="0"/>
          <w:marRight w:val="0"/>
          <w:marTop w:val="0"/>
          <w:marBottom w:val="0"/>
          <w:divBdr>
            <w:top w:val="none" w:sz="0" w:space="0" w:color="auto"/>
            <w:left w:val="none" w:sz="0" w:space="0" w:color="auto"/>
            <w:bottom w:val="none" w:sz="0" w:space="0" w:color="auto"/>
            <w:right w:val="none" w:sz="0" w:space="0" w:color="auto"/>
          </w:divBdr>
          <w:divsChild>
            <w:div w:id="775447499">
              <w:marLeft w:val="0"/>
              <w:marRight w:val="0"/>
              <w:marTop w:val="0"/>
              <w:marBottom w:val="0"/>
              <w:divBdr>
                <w:top w:val="none" w:sz="0" w:space="0" w:color="auto"/>
                <w:left w:val="none" w:sz="0" w:space="0" w:color="auto"/>
                <w:bottom w:val="none" w:sz="0" w:space="0" w:color="auto"/>
                <w:right w:val="none" w:sz="0" w:space="0" w:color="auto"/>
              </w:divBdr>
              <w:divsChild>
                <w:div w:id="1401056154">
                  <w:marLeft w:val="0"/>
                  <w:marRight w:val="0"/>
                  <w:marTop w:val="0"/>
                  <w:marBottom w:val="0"/>
                  <w:divBdr>
                    <w:top w:val="none" w:sz="0" w:space="0" w:color="auto"/>
                    <w:left w:val="none" w:sz="0" w:space="0" w:color="auto"/>
                    <w:bottom w:val="none" w:sz="0" w:space="0" w:color="auto"/>
                    <w:right w:val="none" w:sz="0" w:space="0" w:color="auto"/>
                  </w:divBdr>
                  <w:divsChild>
                    <w:div w:id="204755289">
                      <w:marLeft w:val="0"/>
                      <w:marRight w:val="0"/>
                      <w:marTop w:val="0"/>
                      <w:marBottom w:val="0"/>
                      <w:divBdr>
                        <w:top w:val="none" w:sz="0" w:space="0" w:color="auto"/>
                        <w:left w:val="none" w:sz="0" w:space="0" w:color="auto"/>
                        <w:bottom w:val="none" w:sz="0" w:space="0" w:color="auto"/>
                        <w:right w:val="none" w:sz="0" w:space="0" w:color="auto"/>
                      </w:divBdr>
                      <w:divsChild>
                        <w:div w:id="565575740">
                          <w:marLeft w:val="0"/>
                          <w:marRight w:val="0"/>
                          <w:marTop w:val="0"/>
                          <w:marBottom w:val="0"/>
                          <w:divBdr>
                            <w:top w:val="none" w:sz="0" w:space="0" w:color="auto"/>
                            <w:left w:val="none" w:sz="0" w:space="0" w:color="auto"/>
                            <w:bottom w:val="none" w:sz="0" w:space="0" w:color="auto"/>
                            <w:right w:val="none" w:sz="0" w:space="0" w:color="auto"/>
                          </w:divBdr>
                          <w:divsChild>
                            <w:div w:id="1338771474">
                              <w:marLeft w:val="0"/>
                              <w:marRight w:val="0"/>
                              <w:marTop w:val="0"/>
                              <w:marBottom w:val="0"/>
                              <w:divBdr>
                                <w:top w:val="none" w:sz="0" w:space="0" w:color="auto"/>
                                <w:left w:val="none" w:sz="0" w:space="0" w:color="auto"/>
                                <w:bottom w:val="none" w:sz="0" w:space="0" w:color="auto"/>
                                <w:right w:val="none" w:sz="0" w:space="0" w:color="auto"/>
                              </w:divBdr>
                              <w:divsChild>
                                <w:div w:id="1888566372">
                                  <w:marLeft w:val="0"/>
                                  <w:marRight w:val="0"/>
                                  <w:marTop w:val="0"/>
                                  <w:marBottom w:val="0"/>
                                  <w:divBdr>
                                    <w:top w:val="none" w:sz="0" w:space="0" w:color="auto"/>
                                    <w:left w:val="none" w:sz="0" w:space="0" w:color="auto"/>
                                    <w:bottom w:val="none" w:sz="0" w:space="0" w:color="auto"/>
                                    <w:right w:val="none" w:sz="0" w:space="0" w:color="auto"/>
                                  </w:divBdr>
                                  <w:divsChild>
                                    <w:div w:id="2126338564">
                                      <w:marLeft w:val="0"/>
                                      <w:marRight w:val="0"/>
                                      <w:marTop w:val="0"/>
                                      <w:marBottom w:val="0"/>
                                      <w:divBdr>
                                        <w:top w:val="none" w:sz="0" w:space="0" w:color="auto"/>
                                        <w:left w:val="none" w:sz="0" w:space="0" w:color="auto"/>
                                        <w:bottom w:val="none" w:sz="0" w:space="0" w:color="auto"/>
                                        <w:right w:val="none" w:sz="0" w:space="0" w:color="auto"/>
                                      </w:divBdr>
                                      <w:divsChild>
                                        <w:div w:id="1664042359">
                                          <w:marLeft w:val="0"/>
                                          <w:marRight w:val="0"/>
                                          <w:marTop w:val="0"/>
                                          <w:marBottom w:val="0"/>
                                          <w:divBdr>
                                            <w:top w:val="none" w:sz="0" w:space="0" w:color="auto"/>
                                            <w:left w:val="none" w:sz="0" w:space="0" w:color="auto"/>
                                            <w:bottom w:val="none" w:sz="0" w:space="0" w:color="auto"/>
                                            <w:right w:val="none" w:sz="0" w:space="0" w:color="auto"/>
                                          </w:divBdr>
                                          <w:divsChild>
                                            <w:div w:id="21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3854-1570-4B35-A352-3258DA20FEF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83</ap:TotalTime>
  <ap:Pages>7</ap:Pages>
  <ap:Words>2609</ap:Words>
  <ap:Characters>15637</ap:Characters>
  <ap:Application>Microsoft Office Word</ap:Application>
  <ap:DocSecurity>0</ap:DocSecurity>
  <ap:Lines>446</ap:Lines>
  <ap:Paragraphs>149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NOTAT</vt:lpstr>
      <vt:lpstr>NOTAT</vt:lpstr>
    </vt:vector>
  </ap:TitlesOfParts>
  <ap:Company>Kulturministeriet</ap:Company>
  <ap:LinksUpToDate>false</ap:LinksUpToDate>
  <ap:CharactersWithSpaces>18097</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Grace Nguyen Suhadi</dc:creator>
  <cp:lastModifiedBy>Josefine Juel Schiøtt</cp:lastModifiedBy>
  <cp:revision>10</cp:revision>
  <cp:lastPrinted>2017-08-07T09:25:00Z</cp:lastPrinted>
  <dcterms:created xsi:type="dcterms:W3CDTF">2017-08-21T07:51:00Z</dcterms:created>
  <dcterms:modified xsi:type="dcterms:W3CDTF">2017-10-02T11:50:00Z</dcterms:modified>
</cp:coreProperties>
</file>