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1B694" w14:textId="1A283A99" w:rsidR="00A10A55" w:rsidRPr="00DF4461" w:rsidRDefault="00B97870" w:rsidP="00464D11">
      <w:pPr>
        <w:jc w:val="right"/>
        <w:rPr>
          <w:sz w:val="18"/>
          <w:szCs w:val="18"/>
        </w:rPr>
      </w:pPr>
      <w:r>
        <w:rPr>
          <w:sz w:val="18"/>
          <w:szCs w:val="18"/>
        </w:rPr>
        <w:t>2</w:t>
      </w:r>
      <w:r w:rsidR="004C6CCA">
        <w:rPr>
          <w:sz w:val="18"/>
          <w:szCs w:val="18"/>
        </w:rPr>
        <w:t>8</w:t>
      </w:r>
      <w:bookmarkStart w:id="0" w:name="_GoBack"/>
      <w:bookmarkEnd w:id="0"/>
      <w:r w:rsidR="00464D11" w:rsidRPr="00DF4461">
        <w:rPr>
          <w:sz w:val="18"/>
          <w:szCs w:val="18"/>
        </w:rPr>
        <w:t xml:space="preserve">. </w:t>
      </w:r>
      <w:r w:rsidR="003048C4">
        <w:rPr>
          <w:sz w:val="18"/>
          <w:szCs w:val="18"/>
        </w:rPr>
        <w:t>novemb</w:t>
      </w:r>
      <w:r w:rsidR="00464D11" w:rsidRPr="00DF4461">
        <w:rPr>
          <w:sz w:val="18"/>
          <w:szCs w:val="18"/>
        </w:rPr>
        <w:t>er 2018</w:t>
      </w:r>
      <w:r w:rsidR="00A10A55" w:rsidRPr="00DF4461">
        <w:rPr>
          <w:sz w:val="18"/>
          <w:szCs w:val="18"/>
        </w:rPr>
        <w:t xml:space="preserve"> </w:t>
      </w:r>
    </w:p>
    <w:p w14:paraId="4FF1B695" w14:textId="77777777" w:rsidR="00A10A55" w:rsidRDefault="00DF4461" w:rsidP="00397850">
      <w:pPr>
        <w:pStyle w:val="titel2"/>
        <w:rPr>
          <w:sz w:val="28"/>
          <w:szCs w:val="28"/>
        </w:rPr>
      </w:pPr>
      <w:r w:rsidRPr="00DF4461">
        <w:rPr>
          <w:sz w:val="28"/>
          <w:szCs w:val="28"/>
          <w:highlight w:val="yellow"/>
        </w:rPr>
        <w:t>UDKAST</w:t>
      </w:r>
    </w:p>
    <w:p w14:paraId="4FF1B696" w14:textId="77777777" w:rsidR="00397850" w:rsidRDefault="00397850" w:rsidP="00397850">
      <w:pPr>
        <w:pStyle w:val="titel2"/>
        <w:rPr>
          <w:sz w:val="28"/>
          <w:szCs w:val="28"/>
        </w:rPr>
      </w:pPr>
      <w:r>
        <w:rPr>
          <w:sz w:val="28"/>
          <w:szCs w:val="28"/>
        </w:rPr>
        <w:t>Bekendtgørelse om godtgørelse</w:t>
      </w:r>
      <w:r w:rsidR="00B207F1">
        <w:rPr>
          <w:sz w:val="28"/>
          <w:szCs w:val="28"/>
        </w:rPr>
        <w:t xml:space="preserve"> og</w:t>
      </w:r>
      <w:r>
        <w:rPr>
          <w:sz w:val="28"/>
          <w:szCs w:val="28"/>
        </w:rPr>
        <w:t xml:space="preserve"> tilskud ved deltagelse i erhvervsrettet voksen- og efteruddannelse</w:t>
      </w:r>
    </w:p>
    <w:p w14:paraId="4FF1B697" w14:textId="77777777" w:rsidR="00397850" w:rsidRDefault="00397850" w:rsidP="00397850">
      <w:pPr>
        <w:pStyle w:val="indledning2"/>
        <w:rPr>
          <w:sz w:val="17"/>
          <w:szCs w:val="17"/>
        </w:rPr>
      </w:pPr>
      <w:r>
        <w:rPr>
          <w:sz w:val="17"/>
          <w:szCs w:val="17"/>
        </w:rPr>
        <w:t xml:space="preserve">I medfør af § 2, stk. 2, § 3, stk. 2, § 4, § 5, stk. 3 og 4, § 6, § 7, stk. 2, § 8, stk. 4, § 9, i lov om godtgørelse og tilskud ved deltagelse i erhvervsrettet voksen- og efteruddannelse, jf. lovbekendtgørelse nr. </w:t>
      </w:r>
      <w:r w:rsidR="001A32FC">
        <w:rPr>
          <w:sz w:val="17"/>
          <w:szCs w:val="17"/>
        </w:rPr>
        <w:t xml:space="preserve">812 af 21/06/2018 som ændret ved </w:t>
      </w:r>
      <w:r w:rsidR="00132C95">
        <w:rPr>
          <w:sz w:val="17"/>
          <w:szCs w:val="17"/>
        </w:rPr>
        <w:t>(</w:t>
      </w:r>
      <w:r w:rsidR="0093511F">
        <w:rPr>
          <w:sz w:val="17"/>
          <w:szCs w:val="17"/>
        </w:rPr>
        <w:t>L 72</w:t>
      </w:r>
      <w:r w:rsidR="00132C95">
        <w:rPr>
          <w:sz w:val="17"/>
          <w:szCs w:val="17"/>
        </w:rPr>
        <w:t>)</w:t>
      </w:r>
      <w:r>
        <w:rPr>
          <w:sz w:val="17"/>
          <w:szCs w:val="17"/>
        </w:rPr>
        <w:t xml:space="preserve">, </w:t>
      </w:r>
      <w:r w:rsidR="001B41C6">
        <w:rPr>
          <w:sz w:val="17"/>
          <w:szCs w:val="17"/>
        </w:rPr>
        <w:t xml:space="preserve">og § 13, stk. </w:t>
      </w:r>
      <w:r w:rsidR="00043274">
        <w:rPr>
          <w:sz w:val="17"/>
          <w:szCs w:val="17"/>
        </w:rPr>
        <w:t>3</w:t>
      </w:r>
      <w:r w:rsidR="001B41C6">
        <w:rPr>
          <w:sz w:val="17"/>
          <w:szCs w:val="17"/>
        </w:rPr>
        <w:t xml:space="preserve"> i L 72, </w:t>
      </w:r>
      <w:r>
        <w:rPr>
          <w:sz w:val="17"/>
          <w:szCs w:val="17"/>
        </w:rPr>
        <w:t xml:space="preserve">fastsættes </w:t>
      </w:r>
      <w:r w:rsidR="00F50630">
        <w:rPr>
          <w:sz w:val="17"/>
          <w:szCs w:val="17"/>
        </w:rPr>
        <w:t xml:space="preserve">efter forhandling med beskæftigelsesministeren og </w:t>
      </w:r>
      <w:r w:rsidR="00D17919">
        <w:rPr>
          <w:sz w:val="17"/>
          <w:szCs w:val="17"/>
        </w:rPr>
        <w:t>efter bemyndigelse</w:t>
      </w:r>
      <w:r>
        <w:rPr>
          <w:sz w:val="17"/>
          <w:szCs w:val="17"/>
        </w:rPr>
        <w:t>:</w:t>
      </w:r>
    </w:p>
    <w:p w14:paraId="4FF1B698" w14:textId="77777777" w:rsidR="00397850" w:rsidRDefault="00397850" w:rsidP="00397850">
      <w:pPr>
        <w:pStyle w:val="kapitel"/>
        <w:rPr>
          <w:sz w:val="17"/>
          <w:szCs w:val="17"/>
        </w:rPr>
      </w:pPr>
      <w:r>
        <w:rPr>
          <w:sz w:val="17"/>
          <w:szCs w:val="17"/>
        </w:rPr>
        <w:t xml:space="preserve">Kapitel 1 </w:t>
      </w:r>
    </w:p>
    <w:p w14:paraId="4FF1B699" w14:textId="77777777" w:rsidR="00397850" w:rsidRDefault="00397850" w:rsidP="00397850">
      <w:pPr>
        <w:pStyle w:val="kapiteloverskrift2"/>
        <w:rPr>
          <w:sz w:val="17"/>
          <w:szCs w:val="17"/>
        </w:rPr>
      </w:pPr>
      <w:r>
        <w:rPr>
          <w:sz w:val="17"/>
          <w:szCs w:val="17"/>
        </w:rPr>
        <w:t>Personkredse m.v.</w:t>
      </w:r>
    </w:p>
    <w:p w14:paraId="4FF1B69A" w14:textId="77777777" w:rsidR="00397850" w:rsidRDefault="00397850" w:rsidP="00397850">
      <w:pPr>
        <w:pStyle w:val="paragraf"/>
        <w:rPr>
          <w:sz w:val="17"/>
          <w:szCs w:val="17"/>
        </w:rPr>
      </w:pPr>
      <w:r>
        <w:rPr>
          <w:rStyle w:val="paragrafnr1"/>
          <w:sz w:val="17"/>
          <w:szCs w:val="17"/>
        </w:rPr>
        <w:t>§ 1.</w:t>
      </w:r>
      <w:r>
        <w:rPr>
          <w:sz w:val="17"/>
          <w:szCs w:val="17"/>
        </w:rPr>
        <w:t xml:space="preserve"> </w:t>
      </w:r>
      <w:r w:rsidR="00735189">
        <w:rPr>
          <w:sz w:val="17"/>
          <w:szCs w:val="17"/>
        </w:rPr>
        <w:t>Uddannelsesdeltagere</w:t>
      </w:r>
      <w:r>
        <w:rPr>
          <w:sz w:val="17"/>
          <w:szCs w:val="17"/>
        </w:rPr>
        <w:t>, der har reel og faktisk beskæftigelse i Danmark som lønmodtagere eller selvstændige erhvervsdrivende, kan opnå godtgørelse for tab af indtægt som følge af deltagelse i uddannelse, der er omfattet af § 5, stk. 1, og tilskud til befordring ved deltagelse i uddannelse, der er omfattet af § 5, stk. 2.</w:t>
      </w:r>
    </w:p>
    <w:p w14:paraId="4FF1B69B" w14:textId="77777777" w:rsidR="00397850" w:rsidRDefault="00397850" w:rsidP="00397850">
      <w:pPr>
        <w:pStyle w:val="stk2"/>
        <w:rPr>
          <w:sz w:val="17"/>
          <w:szCs w:val="17"/>
        </w:rPr>
      </w:pPr>
      <w:r>
        <w:rPr>
          <w:rStyle w:val="stknr1"/>
          <w:sz w:val="17"/>
          <w:szCs w:val="17"/>
        </w:rPr>
        <w:t>Stk. 2.</w:t>
      </w:r>
      <w:r>
        <w:rPr>
          <w:sz w:val="17"/>
          <w:szCs w:val="17"/>
        </w:rPr>
        <w:t xml:space="preserve"> For lønmodtagere er det en betingelse for at opnå godtgørelse og tilskud til befordring, at arbejdsgiveren ikke modtager offentlige ydelser som tilskud til pågældendes løn, dog undtaget tilskud i forbindelse med fleksjob.</w:t>
      </w:r>
    </w:p>
    <w:p w14:paraId="4FF1B69C" w14:textId="77777777" w:rsidR="00397850" w:rsidRPr="00464D11" w:rsidRDefault="00397850" w:rsidP="00397850">
      <w:pPr>
        <w:pStyle w:val="stk2"/>
        <w:rPr>
          <w:sz w:val="17"/>
          <w:szCs w:val="17"/>
        </w:rPr>
      </w:pPr>
      <w:r w:rsidRPr="00464D11">
        <w:rPr>
          <w:rStyle w:val="stknr1"/>
          <w:sz w:val="17"/>
          <w:szCs w:val="17"/>
        </w:rPr>
        <w:t>Stk. 3.</w:t>
      </w:r>
      <w:r w:rsidRPr="00464D11">
        <w:rPr>
          <w:sz w:val="17"/>
          <w:szCs w:val="17"/>
        </w:rPr>
        <w:t xml:space="preserve"> Som beskæftiget efter stk. 1 anses også</w:t>
      </w:r>
    </w:p>
    <w:p w14:paraId="4FF1B69D" w14:textId="77777777" w:rsidR="00397850" w:rsidRPr="00464D11" w:rsidRDefault="00397850" w:rsidP="00397850">
      <w:pPr>
        <w:pStyle w:val="liste1"/>
        <w:rPr>
          <w:sz w:val="17"/>
          <w:szCs w:val="17"/>
        </w:rPr>
      </w:pPr>
      <w:r w:rsidRPr="00464D11">
        <w:rPr>
          <w:rStyle w:val="liste1nr1"/>
          <w:sz w:val="17"/>
          <w:szCs w:val="17"/>
        </w:rPr>
        <w:t>1)</w:t>
      </w:r>
      <w:r w:rsidRPr="00464D11">
        <w:rPr>
          <w:sz w:val="17"/>
          <w:szCs w:val="17"/>
        </w:rPr>
        <w:t xml:space="preserve"> </w:t>
      </w:r>
      <w:r w:rsidR="007248D3" w:rsidRPr="00464D11">
        <w:rPr>
          <w:sz w:val="17"/>
          <w:szCs w:val="17"/>
        </w:rPr>
        <w:t>uddannelsesdeltagere</w:t>
      </w:r>
      <w:r w:rsidRPr="00464D11">
        <w:rPr>
          <w:sz w:val="17"/>
          <w:szCs w:val="17"/>
        </w:rPr>
        <w:t xml:space="preserve">, der er afskediget, og som påbegynder en uddannelse i umiddelbar forlængelse af ansættelsesforholdets ophør, hvis den pågældende og dennes arbejdsgiver har indgået aftale om deltagelse i uddannelsen, </w:t>
      </w:r>
      <w:r w:rsidR="00464D11">
        <w:rPr>
          <w:sz w:val="17"/>
          <w:szCs w:val="17"/>
        </w:rPr>
        <w:t>i</w:t>
      </w:r>
      <w:r w:rsidR="00AF121B" w:rsidRPr="00464D11">
        <w:rPr>
          <w:sz w:val="17"/>
          <w:szCs w:val="17"/>
        </w:rPr>
        <w:t xml:space="preserve">nden ansættelsesforholdets ophør </w:t>
      </w:r>
      <w:r w:rsidRPr="00464D11">
        <w:rPr>
          <w:sz w:val="17"/>
          <w:szCs w:val="17"/>
        </w:rPr>
        <w:t>og</w:t>
      </w:r>
    </w:p>
    <w:p w14:paraId="4FF1B69E" w14:textId="77777777" w:rsidR="00397850" w:rsidRPr="00464D11" w:rsidRDefault="00397850" w:rsidP="00397850">
      <w:pPr>
        <w:pStyle w:val="liste1"/>
        <w:rPr>
          <w:sz w:val="17"/>
          <w:szCs w:val="17"/>
        </w:rPr>
      </w:pPr>
      <w:r w:rsidRPr="00464D11">
        <w:rPr>
          <w:rStyle w:val="liste1nr1"/>
          <w:sz w:val="17"/>
          <w:szCs w:val="17"/>
        </w:rPr>
        <w:t>2)</w:t>
      </w:r>
      <w:r w:rsidR="007248D3" w:rsidRPr="00464D11">
        <w:rPr>
          <w:sz w:val="17"/>
          <w:szCs w:val="17"/>
        </w:rPr>
        <w:t xml:space="preserve"> uddannelsesdeltagere</w:t>
      </w:r>
      <w:r w:rsidRPr="00464D11">
        <w:rPr>
          <w:sz w:val="17"/>
          <w:szCs w:val="17"/>
        </w:rPr>
        <w:t xml:space="preserve">, der er afskediget, og som deltager i uddannelse, der strækker sig ud over opsigelsesperioden, hvis uddannelsesstedet har optaget den pågældende på uddannelsen, </w:t>
      </w:r>
      <w:r w:rsidR="00464D11">
        <w:rPr>
          <w:sz w:val="17"/>
          <w:szCs w:val="17"/>
        </w:rPr>
        <w:t>i</w:t>
      </w:r>
      <w:r w:rsidR="00AF121B" w:rsidRPr="00464D11">
        <w:rPr>
          <w:sz w:val="17"/>
          <w:szCs w:val="17"/>
        </w:rPr>
        <w:t>nden ansættelsesforholdets ophør</w:t>
      </w:r>
      <w:r w:rsidRPr="00464D11">
        <w:rPr>
          <w:sz w:val="17"/>
          <w:szCs w:val="17"/>
        </w:rPr>
        <w:t>.</w:t>
      </w:r>
    </w:p>
    <w:p w14:paraId="4FF1B69F" w14:textId="77777777" w:rsidR="00397850" w:rsidRDefault="00397850" w:rsidP="00397850">
      <w:pPr>
        <w:pStyle w:val="paragraf"/>
        <w:rPr>
          <w:sz w:val="17"/>
          <w:szCs w:val="17"/>
        </w:rPr>
      </w:pPr>
      <w:r>
        <w:rPr>
          <w:rStyle w:val="paragrafnr2"/>
          <w:sz w:val="17"/>
          <w:szCs w:val="17"/>
        </w:rPr>
        <w:t>§ 2.</w:t>
      </w:r>
      <w:r>
        <w:rPr>
          <w:sz w:val="17"/>
          <w:szCs w:val="17"/>
        </w:rPr>
        <w:t xml:space="preserve"> Beskæftigelse efter § 1, stk. 1, skal foregå i en fysisk eller juridisk persons virksomhed eller i egen virksomhed, der udøves fra fast forretningssted i Danmark eller i en anden persons private husholdning i Danmark. Beskæftigelsen kan kun betragtes som reel og faktisk, hvis </w:t>
      </w:r>
      <w:r w:rsidR="00FE0E7E">
        <w:rPr>
          <w:sz w:val="17"/>
          <w:szCs w:val="17"/>
        </w:rPr>
        <w:t>uddannelses</w:t>
      </w:r>
      <w:r>
        <w:rPr>
          <w:sz w:val="17"/>
          <w:szCs w:val="17"/>
        </w:rPr>
        <w:t>deltageren ud over deltagelsen i uddannelsen skal præstere ydelser eller udøve aktivitet, der normalt henhører under arbejdsmarkedet, i virksomheden.</w:t>
      </w:r>
    </w:p>
    <w:p w14:paraId="4FF1B6A0" w14:textId="77777777" w:rsidR="00397850" w:rsidRDefault="00397850" w:rsidP="00397850">
      <w:pPr>
        <w:pStyle w:val="paragraf"/>
        <w:rPr>
          <w:sz w:val="17"/>
          <w:szCs w:val="17"/>
        </w:rPr>
      </w:pPr>
      <w:r>
        <w:rPr>
          <w:rStyle w:val="paragrafnr3"/>
          <w:sz w:val="17"/>
          <w:szCs w:val="17"/>
        </w:rPr>
        <w:t>§ 3.</w:t>
      </w:r>
      <w:r>
        <w:rPr>
          <w:sz w:val="17"/>
          <w:szCs w:val="17"/>
        </w:rPr>
        <w:t xml:space="preserve"> Det er en betingelse for at opnå godtgørelse og tilskud til befordring, at </w:t>
      </w:r>
      <w:r w:rsidR="00753A31">
        <w:rPr>
          <w:sz w:val="17"/>
          <w:szCs w:val="17"/>
        </w:rPr>
        <w:t>uddannelses</w:t>
      </w:r>
      <w:r>
        <w:rPr>
          <w:sz w:val="17"/>
          <w:szCs w:val="17"/>
        </w:rPr>
        <w:t>deltageren ikke har en erhvervsrettet uddannelse, der med hensyn til afslutningsniveau overstiger niveauet for en erhvervsuddannelse eller anden uddannelse, der kan sidestilles hermed, medmindre uddannelsen ikke har været anvendt de sidste fem år, jf. § 2 i lov om godtgørelse og tilskud til befordring ved deltagelse i erhvervsrettet voksen- og efteruddannelse.</w:t>
      </w:r>
    </w:p>
    <w:p w14:paraId="4FF1B6A1" w14:textId="77777777" w:rsidR="00397850" w:rsidRDefault="00397850" w:rsidP="00397850">
      <w:pPr>
        <w:pStyle w:val="stk2"/>
        <w:rPr>
          <w:sz w:val="17"/>
          <w:szCs w:val="17"/>
        </w:rPr>
      </w:pPr>
      <w:r>
        <w:rPr>
          <w:rStyle w:val="stknr1"/>
          <w:sz w:val="17"/>
          <w:szCs w:val="17"/>
        </w:rPr>
        <w:t>Stk. 2.</w:t>
      </w:r>
      <w:r>
        <w:rPr>
          <w:sz w:val="17"/>
          <w:szCs w:val="17"/>
        </w:rPr>
        <w:t xml:space="preserve"> </w:t>
      </w:r>
      <w:r w:rsidR="001F4A5A">
        <w:rPr>
          <w:sz w:val="17"/>
          <w:szCs w:val="17"/>
        </w:rPr>
        <w:t>Uddannelsesdeltagere</w:t>
      </w:r>
      <w:r>
        <w:rPr>
          <w:sz w:val="17"/>
          <w:szCs w:val="17"/>
        </w:rPr>
        <w:t xml:space="preserve"> med en uddannelse, der er afløst af en ny tilsvarende uddannelse, kan kun opnå godtgørelse, hvis den nye uddannelse med hensyn til afslutningsniveau ikke overstiger niveauet for en erhvervsuddannelse.</w:t>
      </w:r>
    </w:p>
    <w:p w14:paraId="4FF1B6A2" w14:textId="77777777" w:rsidR="00397850" w:rsidRDefault="00397850" w:rsidP="00397850">
      <w:pPr>
        <w:pStyle w:val="paragraf"/>
        <w:rPr>
          <w:sz w:val="17"/>
          <w:szCs w:val="17"/>
        </w:rPr>
      </w:pPr>
      <w:r>
        <w:rPr>
          <w:rStyle w:val="paragrafnr4"/>
          <w:sz w:val="17"/>
          <w:szCs w:val="17"/>
        </w:rPr>
        <w:t>§ 4.</w:t>
      </w:r>
      <w:r>
        <w:rPr>
          <w:sz w:val="17"/>
          <w:szCs w:val="17"/>
        </w:rPr>
        <w:t xml:space="preserve"> Det er desuden en betingelse for at opnå godtgørelse og tilskud til befordring til </w:t>
      </w:r>
      <w:r w:rsidR="00507B93">
        <w:rPr>
          <w:sz w:val="17"/>
          <w:szCs w:val="17"/>
        </w:rPr>
        <w:t>uddannelses</w:t>
      </w:r>
      <w:r>
        <w:rPr>
          <w:sz w:val="17"/>
          <w:szCs w:val="17"/>
        </w:rPr>
        <w:t>deltagere, der er beskæftigede lønmodtagere, at de pågældende enten</w:t>
      </w:r>
    </w:p>
    <w:p w14:paraId="4FF1B6A3" w14:textId="77777777" w:rsidR="00386C5C" w:rsidRDefault="00FF6B4C" w:rsidP="00FF6B4C">
      <w:pPr>
        <w:pStyle w:val="liste1"/>
        <w:rPr>
          <w:sz w:val="17"/>
          <w:szCs w:val="17"/>
        </w:rPr>
      </w:pPr>
      <w:r>
        <w:rPr>
          <w:sz w:val="17"/>
          <w:szCs w:val="17"/>
        </w:rPr>
        <w:t xml:space="preserve">1) </w:t>
      </w:r>
      <w:r w:rsidRPr="00FF6B4C">
        <w:rPr>
          <w:sz w:val="17"/>
          <w:szCs w:val="17"/>
        </w:rPr>
        <w:t>er i beskæftigelse hos samme arbejdsgiver i en eller flere perioder på i alt 14 dage umiddelbart før eller umiddelbart efter uddannelsen</w:t>
      </w:r>
      <w:r w:rsidR="00386C5C">
        <w:rPr>
          <w:sz w:val="17"/>
          <w:szCs w:val="17"/>
        </w:rPr>
        <w:t>, eller</w:t>
      </w:r>
    </w:p>
    <w:p w14:paraId="4FF1B6A4" w14:textId="77777777" w:rsidR="00FF6B4C" w:rsidRDefault="00B135B4" w:rsidP="00FF6B4C">
      <w:pPr>
        <w:pStyle w:val="liste1"/>
        <w:rPr>
          <w:sz w:val="17"/>
          <w:szCs w:val="17"/>
        </w:rPr>
      </w:pPr>
      <w:r>
        <w:rPr>
          <w:rStyle w:val="liste1nr1"/>
          <w:sz w:val="17"/>
          <w:szCs w:val="17"/>
        </w:rPr>
        <w:t>3</w:t>
      </w:r>
      <w:r w:rsidR="00397850">
        <w:rPr>
          <w:rStyle w:val="liste1nr1"/>
          <w:sz w:val="17"/>
          <w:szCs w:val="17"/>
        </w:rPr>
        <w:t>)</w:t>
      </w:r>
      <w:r w:rsidR="00397850">
        <w:rPr>
          <w:sz w:val="17"/>
          <w:szCs w:val="17"/>
        </w:rPr>
        <w:t xml:space="preserve"> modtager løn under deltagelse i uddannelse, hvortil der ifølge lov, bekendtgørelse eller bindende brancheaftale er knyttet særlige krav.</w:t>
      </w:r>
    </w:p>
    <w:p w14:paraId="4FF1B6A5" w14:textId="77777777" w:rsidR="004D67A3" w:rsidRDefault="009B4794" w:rsidP="00FF6B4C">
      <w:pPr>
        <w:pStyle w:val="liste1"/>
        <w:rPr>
          <w:sz w:val="17"/>
          <w:szCs w:val="17"/>
        </w:rPr>
      </w:pPr>
      <w:r>
        <w:rPr>
          <w:rStyle w:val="stknr1"/>
          <w:sz w:val="17"/>
          <w:szCs w:val="17"/>
        </w:rPr>
        <w:t>Stk. 2.</w:t>
      </w:r>
      <w:r>
        <w:rPr>
          <w:sz w:val="17"/>
          <w:szCs w:val="17"/>
        </w:rPr>
        <w:t xml:space="preserve"> Uddannelsesdeltagere, der er omfattet af en overenskomst og i overensstemmelse med denne er hjemsendt som følge af vejrliget, er undtaget fra kravet i stk. 1, når de under hjemsendelsen deltager i erhvervsrettet voksen- og efteruddannelse.</w:t>
      </w:r>
      <w:r w:rsidR="00A65E66">
        <w:rPr>
          <w:sz w:val="17"/>
          <w:szCs w:val="17"/>
        </w:rPr>
        <w:t xml:space="preserve"> </w:t>
      </w:r>
    </w:p>
    <w:p w14:paraId="4FF1B6A6" w14:textId="77777777" w:rsidR="004D67A3" w:rsidRDefault="004D67A3" w:rsidP="00FF6B4C">
      <w:pPr>
        <w:pStyle w:val="liste1"/>
        <w:rPr>
          <w:sz w:val="17"/>
          <w:szCs w:val="17"/>
        </w:rPr>
      </w:pPr>
    </w:p>
    <w:p w14:paraId="4FF1B6A7" w14:textId="77777777" w:rsidR="00397850" w:rsidRDefault="00397850" w:rsidP="004D67A3">
      <w:pPr>
        <w:pStyle w:val="liste1"/>
        <w:jc w:val="center"/>
        <w:rPr>
          <w:sz w:val="17"/>
          <w:szCs w:val="17"/>
        </w:rPr>
      </w:pPr>
      <w:r>
        <w:rPr>
          <w:sz w:val="17"/>
          <w:szCs w:val="17"/>
        </w:rPr>
        <w:t>Kapitel 2</w:t>
      </w:r>
    </w:p>
    <w:p w14:paraId="4FF1B6A8" w14:textId="77777777" w:rsidR="004D67A3" w:rsidRDefault="004D67A3" w:rsidP="004D67A3">
      <w:pPr>
        <w:pStyle w:val="liste1"/>
        <w:jc w:val="center"/>
        <w:rPr>
          <w:sz w:val="17"/>
          <w:szCs w:val="17"/>
        </w:rPr>
      </w:pPr>
    </w:p>
    <w:p w14:paraId="4FF1B6A9" w14:textId="77777777" w:rsidR="00397850" w:rsidRDefault="00397850" w:rsidP="00397850">
      <w:pPr>
        <w:pStyle w:val="kapiteloverskrift2"/>
        <w:rPr>
          <w:sz w:val="17"/>
          <w:szCs w:val="17"/>
        </w:rPr>
      </w:pPr>
      <w:r>
        <w:rPr>
          <w:sz w:val="17"/>
          <w:szCs w:val="17"/>
        </w:rPr>
        <w:t>Uddannelser m.v., der berettiger til godtgørelse og tilskud til befordring</w:t>
      </w:r>
    </w:p>
    <w:p w14:paraId="4FF1B6AA" w14:textId="77777777" w:rsidR="00397850" w:rsidRDefault="00397850" w:rsidP="00397850">
      <w:pPr>
        <w:pStyle w:val="paragraf"/>
        <w:rPr>
          <w:sz w:val="17"/>
          <w:szCs w:val="17"/>
        </w:rPr>
      </w:pPr>
      <w:r>
        <w:rPr>
          <w:rStyle w:val="paragrafnr5"/>
          <w:sz w:val="17"/>
          <w:szCs w:val="17"/>
        </w:rPr>
        <w:t>§ 5.</w:t>
      </w:r>
      <w:r>
        <w:rPr>
          <w:sz w:val="17"/>
          <w:szCs w:val="17"/>
        </w:rPr>
        <w:t xml:space="preserve"> Der kan opnås godtgørelse ved deltagelse i følgende erhvervsrettet voksen- og efteruddannelse:</w:t>
      </w:r>
    </w:p>
    <w:p w14:paraId="4FF1B6AB" w14:textId="77777777" w:rsidR="00397850" w:rsidRDefault="00397850" w:rsidP="00397850">
      <w:pPr>
        <w:pStyle w:val="liste1"/>
        <w:rPr>
          <w:sz w:val="17"/>
          <w:szCs w:val="17"/>
        </w:rPr>
      </w:pPr>
      <w:r>
        <w:rPr>
          <w:rStyle w:val="liste1nr1"/>
          <w:sz w:val="17"/>
          <w:szCs w:val="17"/>
        </w:rPr>
        <w:t>1)</w:t>
      </w:r>
      <w:r>
        <w:rPr>
          <w:sz w:val="17"/>
          <w:szCs w:val="17"/>
        </w:rPr>
        <w:t xml:space="preserve"> Arbejdsmarkedsuddannelser og enkeltfag optaget i en fælles kompetencebeskrivelse efter lov om arbejdsmarkedsuddannelser m.v.</w:t>
      </w:r>
    </w:p>
    <w:p w14:paraId="4FF1B6AC" w14:textId="77777777" w:rsidR="00397850" w:rsidRDefault="00397850" w:rsidP="00397850">
      <w:pPr>
        <w:pStyle w:val="liste1"/>
        <w:rPr>
          <w:sz w:val="17"/>
          <w:szCs w:val="17"/>
        </w:rPr>
      </w:pPr>
      <w:r>
        <w:rPr>
          <w:rStyle w:val="liste1nr1"/>
          <w:sz w:val="17"/>
          <w:szCs w:val="17"/>
        </w:rPr>
        <w:t>2)</w:t>
      </w:r>
      <w:r>
        <w:rPr>
          <w:sz w:val="17"/>
          <w:szCs w:val="17"/>
        </w:rPr>
        <w:t xml:space="preserve"> Individuel kompetencevurdering efter lov om arbejdsmarkedsuddannelser m.v. og efter lov om erhvervsrettet grunduddannelse og videregående uddannelse (videreuddannelsessystemet) for voksne.</w:t>
      </w:r>
    </w:p>
    <w:p w14:paraId="4FF1B6AD" w14:textId="77777777" w:rsidR="005C33B6" w:rsidRPr="005C33B6" w:rsidRDefault="005C33B6" w:rsidP="00397850">
      <w:pPr>
        <w:pStyle w:val="liste1"/>
        <w:rPr>
          <w:sz w:val="17"/>
          <w:szCs w:val="17"/>
        </w:rPr>
      </w:pPr>
      <w:r w:rsidRPr="005C33B6">
        <w:rPr>
          <w:rFonts w:eastAsiaTheme="minorHAnsi"/>
          <w:sz w:val="17"/>
          <w:szCs w:val="17"/>
          <w:lang w:eastAsia="en-US"/>
        </w:rPr>
        <w:t>3)</w:t>
      </w:r>
      <w:r w:rsidRPr="005C33B6">
        <w:rPr>
          <w:rFonts w:eastAsiaTheme="minorHAnsi"/>
          <w:color w:val="auto"/>
          <w:sz w:val="17"/>
          <w:szCs w:val="17"/>
          <w:lang w:eastAsia="en-US"/>
        </w:rPr>
        <w:t xml:space="preserve"> Grundlæggende voksenuddannelse (GVU) i det omfang forløbet er sammensat af arbejdsmarkedsuddannelser optaget i en fælles kompetencebeskrivelse, individuel kompetencevurdering efter nr. 2 og enkeltfag på erhvervsuddannelserne efter lov om åben uddannelse (erhvervsrettet voksenuddannelse) m.v. og efter de respektive uddannelsesbekendtgørelser.</w:t>
      </w:r>
    </w:p>
    <w:p w14:paraId="4FF1B6AE" w14:textId="77777777" w:rsidR="00397850" w:rsidRDefault="005C33B6" w:rsidP="00397850">
      <w:pPr>
        <w:pStyle w:val="liste1"/>
        <w:rPr>
          <w:sz w:val="17"/>
          <w:szCs w:val="17"/>
        </w:rPr>
      </w:pPr>
      <w:r>
        <w:rPr>
          <w:rStyle w:val="liste1nr1"/>
          <w:sz w:val="17"/>
          <w:szCs w:val="17"/>
        </w:rPr>
        <w:t>4</w:t>
      </w:r>
      <w:r w:rsidR="00397850">
        <w:rPr>
          <w:rStyle w:val="liste1nr1"/>
          <w:sz w:val="17"/>
          <w:szCs w:val="17"/>
        </w:rPr>
        <w:t>)</w:t>
      </w:r>
      <w:r w:rsidR="00397850">
        <w:rPr>
          <w:sz w:val="17"/>
          <w:szCs w:val="17"/>
        </w:rPr>
        <w:t xml:space="preserve"> Erhvervsuddannelse plus (eud+), når forløbet i henhold til elevens uddannelsesplan er sammensat af arbejdsmarkedsuddannelser optaget i en fælles kompetencebeskrivelse, individuel kompetencevurdering efter nr. 2, </w:t>
      </w:r>
      <w:r w:rsidR="00397850">
        <w:rPr>
          <w:sz w:val="17"/>
          <w:szCs w:val="17"/>
        </w:rPr>
        <w:lastRenderedPageBreak/>
        <w:t>enkeltfag på erhvervsuddannelserne efter lov om åben uddannelse (erhvervsrettet voksenuddannelse) m.v. og efter de respektive uddannelsesbekendtgørelser, skoleundervisning i erhvervsuddannelse og svendeprøve eller anden afsluttende prøve samt under intensiv værkstedundervisning i en periode på højst 1 måned på uddannelsesinstitutionen eller i en virksomhed efter aftale med institutionen samt i en periode på højst 1 måned på deltagerens arbejdsplads.</w:t>
      </w:r>
    </w:p>
    <w:p w14:paraId="4FF1B6AF" w14:textId="77777777" w:rsidR="00397850" w:rsidRDefault="005C33B6" w:rsidP="00397850">
      <w:pPr>
        <w:pStyle w:val="liste1"/>
        <w:rPr>
          <w:sz w:val="17"/>
          <w:szCs w:val="17"/>
        </w:rPr>
      </w:pPr>
      <w:r>
        <w:rPr>
          <w:rStyle w:val="liste1nr1"/>
          <w:sz w:val="17"/>
          <w:szCs w:val="17"/>
        </w:rPr>
        <w:t>5</w:t>
      </w:r>
      <w:r w:rsidR="00397850">
        <w:rPr>
          <w:rStyle w:val="liste1nr1"/>
          <w:sz w:val="17"/>
          <w:szCs w:val="17"/>
        </w:rPr>
        <w:t>)</w:t>
      </w:r>
      <w:r w:rsidR="00397850">
        <w:rPr>
          <w:sz w:val="17"/>
          <w:szCs w:val="17"/>
        </w:rPr>
        <w:t xml:space="preserve"> Kurser i taxikørsel godkendt af Færdselsstyrelsen efter bekendtgørelse om taxikørsel.</w:t>
      </w:r>
    </w:p>
    <w:p w14:paraId="4FF1B6B0" w14:textId="77777777" w:rsidR="00397850" w:rsidRDefault="005C33B6" w:rsidP="00397850">
      <w:pPr>
        <w:pStyle w:val="liste1"/>
        <w:rPr>
          <w:sz w:val="17"/>
          <w:szCs w:val="17"/>
        </w:rPr>
      </w:pPr>
      <w:r>
        <w:rPr>
          <w:rStyle w:val="liste1nr1"/>
          <w:sz w:val="17"/>
          <w:szCs w:val="17"/>
        </w:rPr>
        <w:t>6</w:t>
      </w:r>
      <w:r w:rsidR="00397850">
        <w:rPr>
          <w:rStyle w:val="liste1nr1"/>
          <w:sz w:val="17"/>
          <w:szCs w:val="17"/>
        </w:rPr>
        <w:t>)</w:t>
      </w:r>
      <w:r w:rsidR="00397850">
        <w:rPr>
          <w:sz w:val="17"/>
          <w:szCs w:val="17"/>
        </w:rPr>
        <w:t xml:space="preserve"> Uddannelsesforløb, der udbydes med tilskud fra danske myndigheder i overensstemmelse med bestemmelser fastsat i henhold til lov om administration af Den Europæiske Socialfond og som ligger inden for rammerne af Den Europæiske Socialfond og er godkendt af et projektgodkendelsesudvalg, jf. de nærmere fastsatte regler om administration af Den Europæiske Socialfond.</w:t>
      </w:r>
    </w:p>
    <w:p w14:paraId="4FF1B6B1" w14:textId="77777777" w:rsidR="0023421A" w:rsidRDefault="005C33B6" w:rsidP="00397850">
      <w:pPr>
        <w:pStyle w:val="liste1"/>
        <w:rPr>
          <w:sz w:val="17"/>
          <w:szCs w:val="17"/>
        </w:rPr>
      </w:pPr>
      <w:r>
        <w:rPr>
          <w:rStyle w:val="liste1nr1"/>
          <w:sz w:val="17"/>
          <w:szCs w:val="17"/>
        </w:rPr>
        <w:t>7</w:t>
      </w:r>
      <w:r w:rsidR="0023421A">
        <w:rPr>
          <w:rStyle w:val="liste1nr1"/>
          <w:sz w:val="17"/>
          <w:szCs w:val="17"/>
        </w:rPr>
        <w:t xml:space="preserve">) </w:t>
      </w:r>
      <w:r w:rsidR="0023421A">
        <w:rPr>
          <w:sz w:val="17"/>
          <w:szCs w:val="17"/>
        </w:rPr>
        <w:t>Enkeltfag som led i en kompetencevurdering forud for en erhvervsuddannelse for voksne (</w:t>
      </w:r>
      <w:proofErr w:type="spellStart"/>
      <w:r w:rsidR="0023421A">
        <w:rPr>
          <w:sz w:val="17"/>
          <w:szCs w:val="17"/>
        </w:rPr>
        <w:t>euv</w:t>
      </w:r>
      <w:proofErr w:type="spellEnd"/>
      <w:r w:rsidR="0023421A">
        <w:rPr>
          <w:sz w:val="17"/>
          <w:szCs w:val="17"/>
        </w:rPr>
        <w:t>).</w:t>
      </w:r>
    </w:p>
    <w:p w14:paraId="4FF1B6B2" w14:textId="77777777" w:rsidR="00397850" w:rsidRDefault="00397850" w:rsidP="00397850">
      <w:pPr>
        <w:pStyle w:val="stk2"/>
        <w:rPr>
          <w:sz w:val="17"/>
          <w:szCs w:val="17"/>
        </w:rPr>
      </w:pPr>
      <w:r>
        <w:rPr>
          <w:rStyle w:val="stknr1"/>
          <w:sz w:val="17"/>
          <w:szCs w:val="17"/>
        </w:rPr>
        <w:t>Stk. 2.</w:t>
      </w:r>
      <w:r>
        <w:rPr>
          <w:sz w:val="17"/>
          <w:szCs w:val="17"/>
        </w:rPr>
        <w:t xml:space="preserve"> Der kan opnås tilskud til befordring ved deltagelse i følgende erhvervsrettet voksen- og efteruddannelse:</w:t>
      </w:r>
    </w:p>
    <w:p w14:paraId="4FF1B6B3" w14:textId="77777777" w:rsidR="00397850" w:rsidRDefault="00397850" w:rsidP="00397850">
      <w:pPr>
        <w:pStyle w:val="liste1"/>
        <w:rPr>
          <w:sz w:val="17"/>
          <w:szCs w:val="17"/>
        </w:rPr>
      </w:pPr>
      <w:r>
        <w:rPr>
          <w:rStyle w:val="liste1nr1"/>
          <w:sz w:val="17"/>
          <w:szCs w:val="17"/>
        </w:rPr>
        <w:t>1)</w:t>
      </w:r>
      <w:r>
        <w:rPr>
          <w:sz w:val="17"/>
          <w:szCs w:val="17"/>
        </w:rPr>
        <w:t xml:space="preserve"> Arbejdsmarkedsuddannelser og enkeltfag optaget i en fælles kompetencebeskrivelse efter lov om arbejdsmarkedsuddannelser m.v.</w:t>
      </w:r>
    </w:p>
    <w:p w14:paraId="4FF1B6B4" w14:textId="77777777" w:rsidR="00397850" w:rsidRDefault="00397850" w:rsidP="00397850">
      <w:pPr>
        <w:pStyle w:val="liste1"/>
        <w:rPr>
          <w:sz w:val="17"/>
          <w:szCs w:val="17"/>
        </w:rPr>
      </w:pPr>
      <w:r>
        <w:rPr>
          <w:rStyle w:val="liste1nr1"/>
          <w:sz w:val="17"/>
          <w:szCs w:val="17"/>
        </w:rPr>
        <w:t>2)</w:t>
      </w:r>
      <w:r>
        <w:rPr>
          <w:sz w:val="17"/>
          <w:szCs w:val="17"/>
        </w:rPr>
        <w:t xml:space="preserve"> Individuel kompetencevurdering efter lov om arbejdsmarkedsuddannelser m.v.</w:t>
      </w:r>
    </w:p>
    <w:p w14:paraId="4FF1B6B5" w14:textId="77777777" w:rsidR="0096284F" w:rsidRDefault="0096284F" w:rsidP="00397850">
      <w:pPr>
        <w:pStyle w:val="liste1"/>
        <w:rPr>
          <w:sz w:val="17"/>
          <w:szCs w:val="17"/>
        </w:rPr>
      </w:pPr>
      <w:r>
        <w:rPr>
          <w:sz w:val="17"/>
          <w:szCs w:val="17"/>
        </w:rPr>
        <w:t>3) Enkeltfag som led i kompetencevurdering forud for en erhvervsuddannelse for voksne (</w:t>
      </w:r>
      <w:proofErr w:type="spellStart"/>
      <w:r>
        <w:rPr>
          <w:sz w:val="17"/>
          <w:szCs w:val="17"/>
        </w:rPr>
        <w:t>euv</w:t>
      </w:r>
      <w:proofErr w:type="spellEnd"/>
      <w:r>
        <w:rPr>
          <w:sz w:val="17"/>
          <w:szCs w:val="17"/>
        </w:rPr>
        <w:t>).</w:t>
      </w:r>
    </w:p>
    <w:p w14:paraId="4FF1B6B6" w14:textId="77777777" w:rsidR="00397850" w:rsidRDefault="00397850" w:rsidP="00397850">
      <w:pPr>
        <w:pStyle w:val="paragraf"/>
        <w:rPr>
          <w:sz w:val="17"/>
          <w:szCs w:val="17"/>
        </w:rPr>
      </w:pPr>
      <w:r>
        <w:rPr>
          <w:rStyle w:val="paragrafnr6"/>
          <w:sz w:val="17"/>
          <w:szCs w:val="17"/>
        </w:rPr>
        <w:t>§ 6.</w:t>
      </w:r>
      <w:r>
        <w:rPr>
          <w:sz w:val="17"/>
          <w:szCs w:val="17"/>
        </w:rPr>
        <w:t xml:space="preserve"> Det er en betingelse for at opnå godtgørelse, dog undtaget de i § 5, stk. 1, nr. </w:t>
      </w:r>
      <w:r w:rsidR="00EC61EE">
        <w:rPr>
          <w:sz w:val="17"/>
          <w:szCs w:val="17"/>
        </w:rPr>
        <w:t>4</w:t>
      </w:r>
      <w:r>
        <w:rPr>
          <w:sz w:val="17"/>
          <w:szCs w:val="17"/>
        </w:rPr>
        <w:t xml:space="preserve">og </w:t>
      </w:r>
      <w:r w:rsidR="00EC61EE">
        <w:rPr>
          <w:sz w:val="17"/>
          <w:szCs w:val="17"/>
        </w:rPr>
        <w:t>5</w:t>
      </w:r>
      <w:r>
        <w:rPr>
          <w:sz w:val="17"/>
          <w:szCs w:val="17"/>
        </w:rPr>
        <w:t xml:space="preserve"> nævnte forløb, og for at opnå tilskud til befordring, at uddannelsesaktiviteten udløser tilskud efter lov om åben uddannelse (erhvervsrettet voksenuddannelse) m.v.</w:t>
      </w:r>
    </w:p>
    <w:p w14:paraId="4FF1B6B7" w14:textId="77777777" w:rsidR="00397850" w:rsidRDefault="00397850" w:rsidP="00397850">
      <w:pPr>
        <w:pStyle w:val="stk2"/>
        <w:rPr>
          <w:sz w:val="17"/>
          <w:szCs w:val="17"/>
        </w:rPr>
      </w:pPr>
      <w:r>
        <w:rPr>
          <w:rStyle w:val="stknr1"/>
          <w:sz w:val="17"/>
          <w:szCs w:val="17"/>
        </w:rPr>
        <w:t>Stk. 2.</w:t>
      </w:r>
      <w:r>
        <w:rPr>
          <w:sz w:val="17"/>
          <w:szCs w:val="17"/>
        </w:rPr>
        <w:t xml:space="preserve"> Deltagere i uddannelse, der afholdes som fjernundervisning, kan ikke opnå godtgørelse og tilskud til befordring. Ved fjernundervisning forstås </w:t>
      </w:r>
      <w:r w:rsidR="00D51AB1">
        <w:rPr>
          <w:sz w:val="17"/>
          <w:szCs w:val="17"/>
        </w:rPr>
        <w:t>undervisning, hvor mindre end 25</w:t>
      </w:r>
      <w:r>
        <w:rPr>
          <w:sz w:val="17"/>
          <w:szCs w:val="17"/>
        </w:rPr>
        <w:t xml:space="preserve"> pct. af undervisningen er tilrettelagt som tilstedeværelsesundervisning.</w:t>
      </w:r>
    </w:p>
    <w:p w14:paraId="4FF1B6B8" w14:textId="77777777" w:rsidR="00397850" w:rsidRDefault="00397850" w:rsidP="00397850">
      <w:pPr>
        <w:pStyle w:val="kapitel"/>
        <w:rPr>
          <w:sz w:val="17"/>
          <w:szCs w:val="17"/>
        </w:rPr>
      </w:pPr>
      <w:r>
        <w:rPr>
          <w:sz w:val="17"/>
          <w:szCs w:val="17"/>
        </w:rPr>
        <w:t xml:space="preserve">Kapitel 3 </w:t>
      </w:r>
    </w:p>
    <w:p w14:paraId="4FF1B6B9" w14:textId="77777777" w:rsidR="00397850" w:rsidRDefault="00397850" w:rsidP="00397850">
      <w:pPr>
        <w:pStyle w:val="kapiteloverskrift2"/>
        <w:rPr>
          <w:sz w:val="17"/>
          <w:szCs w:val="17"/>
        </w:rPr>
      </w:pPr>
      <w:r>
        <w:rPr>
          <w:sz w:val="17"/>
          <w:szCs w:val="17"/>
        </w:rPr>
        <w:t>Godtgørelse</w:t>
      </w:r>
    </w:p>
    <w:p w14:paraId="4FF1B6BA" w14:textId="77777777" w:rsidR="00397850" w:rsidRDefault="00397850" w:rsidP="00397850">
      <w:pPr>
        <w:pStyle w:val="paragraf"/>
        <w:rPr>
          <w:sz w:val="17"/>
          <w:szCs w:val="17"/>
        </w:rPr>
      </w:pPr>
      <w:r>
        <w:rPr>
          <w:rStyle w:val="paragrafnr7"/>
          <w:sz w:val="17"/>
          <w:szCs w:val="17"/>
        </w:rPr>
        <w:t>§ 7.</w:t>
      </w:r>
      <w:r>
        <w:rPr>
          <w:sz w:val="17"/>
          <w:szCs w:val="17"/>
        </w:rPr>
        <w:t xml:space="preserve"> Som indtægt efter § 1, stk. 1, regnes arbejdsfortjeneste som lønmodtager eller selvstændig erhvervsdrivende.</w:t>
      </w:r>
    </w:p>
    <w:p w14:paraId="4FF1B6BB" w14:textId="77777777" w:rsidR="00397850" w:rsidRDefault="00397850" w:rsidP="00397850">
      <w:pPr>
        <w:pStyle w:val="stk2"/>
        <w:rPr>
          <w:sz w:val="17"/>
          <w:szCs w:val="17"/>
        </w:rPr>
      </w:pPr>
      <w:r>
        <w:rPr>
          <w:rStyle w:val="stknr1"/>
          <w:sz w:val="17"/>
          <w:szCs w:val="17"/>
        </w:rPr>
        <w:t>Stk. 2.</w:t>
      </w:r>
      <w:r>
        <w:rPr>
          <w:sz w:val="17"/>
          <w:szCs w:val="17"/>
        </w:rPr>
        <w:t xml:space="preserve"> Som indtægt efter § 1, stk. 1, regnes også dagpenge, der udbetales til deltidsbeskæftigede arbejdsløshedsforsikrede lønmodtagere og selvstændige erhvervsdrivende, jf. Styrelsen for Arbejdsmarkeds og Rekrutterings bekendtgørelse om supplerende dagpenge og bekendtgørelse om drift af selvstændig virksomhed.</w:t>
      </w:r>
    </w:p>
    <w:p w14:paraId="4FF1B6BC" w14:textId="77777777" w:rsidR="00397850" w:rsidRDefault="00397850" w:rsidP="00397850">
      <w:pPr>
        <w:pStyle w:val="paragraf"/>
        <w:rPr>
          <w:sz w:val="17"/>
          <w:szCs w:val="17"/>
        </w:rPr>
      </w:pPr>
      <w:r>
        <w:rPr>
          <w:rStyle w:val="paragrafnr9"/>
          <w:sz w:val="17"/>
          <w:szCs w:val="17"/>
        </w:rPr>
        <w:t>§ </w:t>
      </w:r>
      <w:r w:rsidR="0070268D">
        <w:rPr>
          <w:rStyle w:val="paragrafnr9"/>
          <w:sz w:val="17"/>
          <w:szCs w:val="17"/>
        </w:rPr>
        <w:t>8</w:t>
      </w:r>
      <w:r>
        <w:rPr>
          <w:rStyle w:val="paragrafnr9"/>
          <w:sz w:val="17"/>
          <w:szCs w:val="17"/>
        </w:rPr>
        <w:t>.</w:t>
      </w:r>
      <w:r>
        <w:rPr>
          <w:sz w:val="17"/>
          <w:szCs w:val="17"/>
        </w:rPr>
        <w:t xml:space="preserve"> Godtgørelse kan kun udbetales for den tid, </w:t>
      </w:r>
      <w:r w:rsidR="007A229F">
        <w:rPr>
          <w:sz w:val="17"/>
          <w:szCs w:val="17"/>
        </w:rPr>
        <w:t>uddannelses</w:t>
      </w:r>
      <w:r>
        <w:rPr>
          <w:sz w:val="17"/>
          <w:szCs w:val="17"/>
        </w:rPr>
        <w:t xml:space="preserve">deltageren har deltaget i undervisningen, jf. dog stk. </w:t>
      </w:r>
      <w:r w:rsidR="00FA4412">
        <w:rPr>
          <w:sz w:val="17"/>
          <w:szCs w:val="17"/>
        </w:rPr>
        <w:t>3</w:t>
      </w:r>
      <w:r>
        <w:rPr>
          <w:sz w:val="17"/>
          <w:szCs w:val="17"/>
        </w:rPr>
        <w:t>.</w:t>
      </w:r>
    </w:p>
    <w:p w14:paraId="4FF1B6BD" w14:textId="77777777" w:rsidR="00FA4412" w:rsidRDefault="00FA4412" w:rsidP="00397850">
      <w:pPr>
        <w:pStyle w:val="stk2"/>
        <w:rPr>
          <w:rStyle w:val="stknr1"/>
          <w:sz w:val="17"/>
          <w:szCs w:val="17"/>
        </w:rPr>
      </w:pPr>
      <w:r>
        <w:rPr>
          <w:rStyle w:val="stknr1"/>
          <w:sz w:val="17"/>
          <w:szCs w:val="17"/>
        </w:rPr>
        <w:t xml:space="preserve">Stk. 2. </w:t>
      </w:r>
      <w:r w:rsidRPr="00747925">
        <w:rPr>
          <w:rStyle w:val="stknr1"/>
          <w:i w:val="0"/>
          <w:sz w:val="17"/>
          <w:szCs w:val="17"/>
        </w:rPr>
        <w:t xml:space="preserve">Godtgørelse kan tillige udbetales for den tid, </w:t>
      </w:r>
      <w:r w:rsidR="007A229F">
        <w:rPr>
          <w:rStyle w:val="stknr1"/>
          <w:i w:val="0"/>
          <w:sz w:val="17"/>
          <w:szCs w:val="17"/>
        </w:rPr>
        <w:t>uddannelses</w:t>
      </w:r>
      <w:r w:rsidRPr="00747925">
        <w:rPr>
          <w:rStyle w:val="stknr1"/>
          <w:i w:val="0"/>
          <w:sz w:val="17"/>
          <w:szCs w:val="17"/>
        </w:rPr>
        <w:t>deltageren har deltaget i afholdelse af prøver og omprøver omfattet af reglerne herom i bekendtgørelse om arbejdsmarkedsuddannelser m.v., jf. dog stk. 3.</w:t>
      </w:r>
    </w:p>
    <w:p w14:paraId="4FF1B6BE" w14:textId="77777777" w:rsidR="00397850" w:rsidRDefault="00397850" w:rsidP="00397850">
      <w:pPr>
        <w:pStyle w:val="stk2"/>
        <w:rPr>
          <w:sz w:val="17"/>
          <w:szCs w:val="17"/>
        </w:rPr>
      </w:pPr>
      <w:r>
        <w:rPr>
          <w:rStyle w:val="stknr1"/>
          <w:sz w:val="17"/>
          <w:szCs w:val="17"/>
        </w:rPr>
        <w:t xml:space="preserve">Stk. </w:t>
      </w:r>
      <w:r w:rsidR="00FA4412">
        <w:rPr>
          <w:rStyle w:val="stknr1"/>
          <w:sz w:val="17"/>
          <w:szCs w:val="17"/>
        </w:rPr>
        <w:t>3</w:t>
      </w:r>
      <w:r>
        <w:rPr>
          <w:rStyle w:val="stknr1"/>
          <w:sz w:val="17"/>
          <w:szCs w:val="17"/>
        </w:rPr>
        <w:t>.</w:t>
      </w:r>
      <w:r>
        <w:rPr>
          <w:sz w:val="17"/>
          <w:szCs w:val="17"/>
        </w:rPr>
        <w:t xml:space="preserve"> En </w:t>
      </w:r>
      <w:r w:rsidR="007A229F">
        <w:rPr>
          <w:sz w:val="17"/>
          <w:szCs w:val="17"/>
        </w:rPr>
        <w:t>uddannelses</w:t>
      </w:r>
      <w:r>
        <w:rPr>
          <w:sz w:val="17"/>
          <w:szCs w:val="17"/>
        </w:rPr>
        <w:t>deltager, som har ret til godtgørelse efter denne bekendtgørelse, bevarer retten til godtgørelse, hvis uddannelsen afbrydes på grund af uforudsete forhold på uddannelsesstedet. Godtgørelse kan dog alene udbetales for den første dag, undervisningen har været indstillet.</w:t>
      </w:r>
    </w:p>
    <w:p w14:paraId="4FF1B6BF" w14:textId="77777777" w:rsidR="00397850" w:rsidRDefault="00397850" w:rsidP="00397850">
      <w:pPr>
        <w:pStyle w:val="kapitel"/>
        <w:rPr>
          <w:sz w:val="17"/>
          <w:szCs w:val="17"/>
        </w:rPr>
      </w:pPr>
      <w:r>
        <w:rPr>
          <w:sz w:val="17"/>
          <w:szCs w:val="17"/>
        </w:rPr>
        <w:t xml:space="preserve">Kapitel 4 </w:t>
      </w:r>
    </w:p>
    <w:p w14:paraId="4FF1B6C0" w14:textId="77777777" w:rsidR="00397850" w:rsidRDefault="00397850" w:rsidP="00397850">
      <w:pPr>
        <w:pStyle w:val="kapiteloverskrift2"/>
        <w:rPr>
          <w:sz w:val="17"/>
          <w:szCs w:val="17"/>
        </w:rPr>
      </w:pPr>
      <w:r>
        <w:rPr>
          <w:sz w:val="17"/>
          <w:szCs w:val="17"/>
        </w:rPr>
        <w:t>Tilskud til befordring</w:t>
      </w:r>
    </w:p>
    <w:p w14:paraId="4FF1B6C1" w14:textId="77777777" w:rsidR="00397850" w:rsidRDefault="00397850" w:rsidP="00397850">
      <w:pPr>
        <w:pStyle w:val="paragraf"/>
        <w:rPr>
          <w:sz w:val="17"/>
          <w:szCs w:val="17"/>
        </w:rPr>
      </w:pPr>
      <w:r>
        <w:rPr>
          <w:rStyle w:val="paragrafnr10"/>
          <w:sz w:val="17"/>
          <w:szCs w:val="17"/>
        </w:rPr>
        <w:t>§ </w:t>
      </w:r>
      <w:r w:rsidR="00625719">
        <w:rPr>
          <w:rStyle w:val="paragrafnr10"/>
          <w:sz w:val="17"/>
          <w:szCs w:val="17"/>
        </w:rPr>
        <w:t>9</w:t>
      </w:r>
      <w:r>
        <w:rPr>
          <w:rStyle w:val="paragrafnr10"/>
          <w:sz w:val="17"/>
          <w:szCs w:val="17"/>
        </w:rPr>
        <w:t>.</w:t>
      </w:r>
      <w:r>
        <w:rPr>
          <w:sz w:val="17"/>
          <w:szCs w:val="17"/>
        </w:rPr>
        <w:t xml:space="preserve"> </w:t>
      </w:r>
      <w:r w:rsidR="00510972">
        <w:rPr>
          <w:sz w:val="17"/>
          <w:szCs w:val="17"/>
        </w:rPr>
        <w:t>Uddannelsesdeltagere</w:t>
      </w:r>
      <w:r>
        <w:rPr>
          <w:sz w:val="17"/>
          <w:szCs w:val="17"/>
        </w:rPr>
        <w:t xml:space="preserve">, der opfylder betingelserne i kapitel 1, og som deltager i uddannelsesaktiviteter efter § 5, stk. 2, kan opnå tilskud til befordring, jf. dog stk. </w:t>
      </w:r>
      <w:r w:rsidR="00257BD9">
        <w:rPr>
          <w:sz w:val="17"/>
          <w:szCs w:val="17"/>
        </w:rPr>
        <w:t>7</w:t>
      </w:r>
      <w:r>
        <w:rPr>
          <w:sz w:val="17"/>
          <w:szCs w:val="17"/>
        </w:rPr>
        <w:t>.</w:t>
      </w:r>
    </w:p>
    <w:p w14:paraId="4FF1B6C2" w14:textId="77777777" w:rsidR="00397850" w:rsidRDefault="00397850" w:rsidP="00397850">
      <w:pPr>
        <w:pStyle w:val="stk2"/>
        <w:rPr>
          <w:sz w:val="17"/>
          <w:szCs w:val="17"/>
        </w:rPr>
      </w:pPr>
      <w:r>
        <w:rPr>
          <w:rStyle w:val="stknr1"/>
          <w:sz w:val="17"/>
          <w:szCs w:val="17"/>
        </w:rPr>
        <w:t>Stk. 2.</w:t>
      </w:r>
      <w:r>
        <w:rPr>
          <w:sz w:val="17"/>
          <w:szCs w:val="17"/>
        </w:rPr>
        <w:t xml:space="preserve"> </w:t>
      </w:r>
      <w:r w:rsidR="00510972">
        <w:rPr>
          <w:sz w:val="17"/>
          <w:szCs w:val="17"/>
        </w:rPr>
        <w:t>Uddannelsesd</w:t>
      </w:r>
      <w:r>
        <w:rPr>
          <w:sz w:val="17"/>
          <w:szCs w:val="17"/>
        </w:rPr>
        <w:t xml:space="preserve">eltageren har ret til tilskud til daglig befordring mellem bopæl og undervisningssted for de kilometer, der ligger ud over de første 24 km, dog højst for 576 km pr. dag. Der kan ikke opnås tilskud til daglig befordring, hvis </w:t>
      </w:r>
      <w:r w:rsidR="00510972">
        <w:rPr>
          <w:sz w:val="17"/>
          <w:szCs w:val="17"/>
        </w:rPr>
        <w:t>uddannelses</w:t>
      </w:r>
      <w:r>
        <w:rPr>
          <w:sz w:val="17"/>
          <w:szCs w:val="17"/>
        </w:rPr>
        <w:t>deltageren er indkvarteret under uddannelsen, jf. stk. 3.</w:t>
      </w:r>
    </w:p>
    <w:p w14:paraId="4FF1B6C3" w14:textId="77777777" w:rsidR="00397850" w:rsidRDefault="00397850" w:rsidP="00397850">
      <w:pPr>
        <w:pStyle w:val="stk2"/>
        <w:rPr>
          <w:sz w:val="17"/>
          <w:szCs w:val="17"/>
        </w:rPr>
      </w:pPr>
      <w:r>
        <w:rPr>
          <w:rStyle w:val="stknr1"/>
          <w:sz w:val="17"/>
          <w:szCs w:val="17"/>
        </w:rPr>
        <w:t>Stk. 3.</w:t>
      </w:r>
      <w:r>
        <w:rPr>
          <w:sz w:val="17"/>
          <w:szCs w:val="17"/>
        </w:rPr>
        <w:t xml:space="preserve"> Hvis </w:t>
      </w:r>
      <w:r w:rsidR="00510972">
        <w:rPr>
          <w:sz w:val="17"/>
          <w:szCs w:val="17"/>
        </w:rPr>
        <w:t>uddannelses</w:t>
      </w:r>
      <w:r>
        <w:rPr>
          <w:sz w:val="17"/>
          <w:szCs w:val="17"/>
        </w:rPr>
        <w:t xml:space="preserve">deltageren er indkvarteret under uddannelsen, har </w:t>
      </w:r>
      <w:r w:rsidR="00510972">
        <w:rPr>
          <w:sz w:val="17"/>
          <w:szCs w:val="17"/>
        </w:rPr>
        <w:t>uddannelses</w:t>
      </w:r>
      <w:r>
        <w:rPr>
          <w:sz w:val="17"/>
          <w:szCs w:val="17"/>
        </w:rPr>
        <w:t xml:space="preserve">deltageren ret til tilskud til befordring ved uddannelsens begyndelse og afslutning, på søgnehelligdage og i weekender. Tilskuddet ydes for afstanden mellem </w:t>
      </w:r>
      <w:r w:rsidR="00510972">
        <w:rPr>
          <w:sz w:val="17"/>
          <w:szCs w:val="17"/>
        </w:rPr>
        <w:t>uddannelses</w:t>
      </w:r>
      <w:r>
        <w:rPr>
          <w:sz w:val="17"/>
          <w:szCs w:val="17"/>
        </w:rPr>
        <w:t>deltagerens bopæl og undervisningsstedet, dog højst for 400 km. pr. rejse.</w:t>
      </w:r>
    </w:p>
    <w:p w14:paraId="4FF1B6C4" w14:textId="77777777" w:rsidR="00397850" w:rsidRDefault="00397850" w:rsidP="00397850">
      <w:pPr>
        <w:pStyle w:val="stk2"/>
        <w:rPr>
          <w:sz w:val="17"/>
          <w:szCs w:val="17"/>
        </w:rPr>
      </w:pPr>
      <w:r>
        <w:rPr>
          <w:rStyle w:val="stknr1"/>
          <w:sz w:val="17"/>
          <w:szCs w:val="17"/>
        </w:rPr>
        <w:t>Stk. 4.</w:t>
      </w:r>
      <w:r>
        <w:rPr>
          <w:sz w:val="17"/>
          <w:szCs w:val="17"/>
        </w:rPr>
        <w:t xml:space="preserve"> Hvis undervisningen foregår flere steder samme dag, anvendes det undervisningssted, der ligger længst væk fra </w:t>
      </w:r>
      <w:r w:rsidR="00510972">
        <w:rPr>
          <w:sz w:val="17"/>
          <w:szCs w:val="17"/>
        </w:rPr>
        <w:t>uddannelses</w:t>
      </w:r>
      <w:r>
        <w:rPr>
          <w:sz w:val="17"/>
          <w:szCs w:val="17"/>
        </w:rPr>
        <w:t xml:space="preserve">deltagerens bopæl, ved beregning af afstanden mellem </w:t>
      </w:r>
      <w:r w:rsidR="00510972">
        <w:rPr>
          <w:sz w:val="17"/>
          <w:szCs w:val="17"/>
        </w:rPr>
        <w:t>uddannelses</w:t>
      </w:r>
      <w:r>
        <w:rPr>
          <w:sz w:val="17"/>
          <w:szCs w:val="17"/>
        </w:rPr>
        <w:t>deltagerens bopæl og undervisningsstedet.</w:t>
      </w:r>
    </w:p>
    <w:p w14:paraId="4FF1B6C5" w14:textId="77777777" w:rsidR="00397850" w:rsidRDefault="00397850" w:rsidP="00397850">
      <w:pPr>
        <w:pStyle w:val="stk2"/>
        <w:rPr>
          <w:sz w:val="17"/>
          <w:szCs w:val="17"/>
        </w:rPr>
      </w:pPr>
      <w:r>
        <w:rPr>
          <w:rStyle w:val="stknr1"/>
          <w:sz w:val="17"/>
          <w:szCs w:val="17"/>
        </w:rPr>
        <w:t>Stk. 5.</w:t>
      </w:r>
      <w:r>
        <w:rPr>
          <w:sz w:val="17"/>
          <w:szCs w:val="17"/>
        </w:rPr>
        <w:t xml:space="preserve"> Tilskuddet efter stk. 1-4 fastsættes således, at det følger kilometersatsen for fradrag for befordring mellem hjem og arbejdsplads over 120 km pr. arbejdsdag, som fastsættes for hvert indkomstår af Skatterådet efter ligningslovens § 9 C.</w:t>
      </w:r>
    </w:p>
    <w:p w14:paraId="4FF1B6C6" w14:textId="77777777" w:rsidR="00397850" w:rsidRDefault="00397850" w:rsidP="00397850">
      <w:pPr>
        <w:pStyle w:val="stk2"/>
        <w:rPr>
          <w:sz w:val="17"/>
          <w:szCs w:val="17"/>
        </w:rPr>
      </w:pPr>
      <w:r>
        <w:rPr>
          <w:rStyle w:val="stknr1"/>
          <w:sz w:val="17"/>
          <w:szCs w:val="17"/>
        </w:rPr>
        <w:t xml:space="preserve">Stk. </w:t>
      </w:r>
      <w:r w:rsidR="00852392">
        <w:rPr>
          <w:rStyle w:val="stknr1"/>
          <w:sz w:val="17"/>
          <w:szCs w:val="17"/>
        </w:rPr>
        <w:t>6</w:t>
      </w:r>
      <w:r>
        <w:rPr>
          <w:rStyle w:val="stknr1"/>
          <w:sz w:val="17"/>
          <w:szCs w:val="17"/>
        </w:rPr>
        <w:t>.</w:t>
      </w:r>
      <w:r>
        <w:rPr>
          <w:sz w:val="17"/>
          <w:szCs w:val="17"/>
        </w:rPr>
        <w:t xml:space="preserve"> Der kan ikke opnås tilskud til befordring, hvis uddannelsen foregår på den virksomhed, hvor </w:t>
      </w:r>
      <w:r w:rsidR="00EA2935">
        <w:rPr>
          <w:sz w:val="17"/>
          <w:szCs w:val="17"/>
        </w:rPr>
        <w:t>uddannelses</w:t>
      </w:r>
      <w:r>
        <w:rPr>
          <w:sz w:val="17"/>
          <w:szCs w:val="17"/>
        </w:rPr>
        <w:t xml:space="preserve">deltageren er ansat, jf. § 8, stk. 2, i lov om godtgørelse og tilskud til befordring ved deltagelse i erhvervsrettet voksen- og efteruddannelse. Dette gælder også i tilfælde, hvor undervisningen foregår på en anden afdeling af virksomheden end den, hvor </w:t>
      </w:r>
      <w:r w:rsidR="00EA2935">
        <w:rPr>
          <w:sz w:val="17"/>
          <w:szCs w:val="17"/>
        </w:rPr>
        <w:t>uddannelses</w:t>
      </w:r>
      <w:r>
        <w:rPr>
          <w:sz w:val="17"/>
          <w:szCs w:val="17"/>
        </w:rPr>
        <w:t>deltageren sædvanligvis er beskæftiget, eller i særskilte lokaler, som virksomheden har lejet til brug for undervisningen.</w:t>
      </w:r>
    </w:p>
    <w:p w14:paraId="4FF1B6C7" w14:textId="77777777" w:rsidR="00397850" w:rsidRDefault="00397850" w:rsidP="00397850">
      <w:pPr>
        <w:pStyle w:val="kapitel"/>
        <w:rPr>
          <w:sz w:val="17"/>
          <w:szCs w:val="17"/>
        </w:rPr>
      </w:pPr>
      <w:r>
        <w:rPr>
          <w:sz w:val="17"/>
          <w:szCs w:val="17"/>
        </w:rPr>
        <w:t xml:space="preserve">Kapitel 5 </w:t>
      </w:r>
    </w:p>
    <w:p w14:paraId="4FF1B6C8" w14:textId="77777777" w:rsidR="00397850" w:rsidRDefault="00397850" w:rsidP="00397850">
      <w:pPr>
        <w:pStyle w:val="kapiteloverskrift2"/>
        <w:rPr>
          <w:sz w:val="17"/>
          <w:szCs w:val="17"/>
        </w:rPr>
      </w:pPr>
      <w:r>
        <w:rPr>
          <w:sz w:val="17"/>
          <w:szCs w:val="17"/>
        </w:rPr>
        <w:t>Begrænsninger i adgangen til godtgørelse og tilskud til befordring</w:t>
      </w:r>
    </w:p>
    <w:p w14:paraId="4FF1B6C9" w14:textId="77777777" w:rsidR="00397850" w:rsidRDefault="00397850" w:rsidP="00397850">
      <w:pPr>
        <w:pStyle w:val="paragraf"/>
        <w:rPr>
          <w:sz w:val="17"/>
          <w:szCs w:val="17"/>
        </w:rPr>
      </w:pPr>
      <w:r>
        <w:rPr>
          <w:rStyle w:val="paragrafnr11"/>
          <w:sz w:val="17"/>
          <w:szCs w:val="17"/>
        </w:rPr>
        <w:lastRenderedPageBreak/>
        <w:t>§ </w:t>
      </w:r>
      <w:r w:rsidR="00625719">
        <w:rPr>
          <w:rStyle w:val="paragrafnr11"/>
          <w:sz w:val="17"/>
          <w:szCs w:val="17"/>
        </w:rPr>
        <w:t>10</w:t>
      </w:r>
      <w:r>
        <w:rPr>
          <w:rStyle w:val="paragrafnr11"/>
          <w:sz w:val="17"/>
          <w:szCs w:val="17"/>
        </w:rPr>
        <w:t>.</w:t>
      </w:r>
      <w:r>
        <w:rPr>
          <w:sz w:val="17"/>
          <w:szCs w:val="17"/>
        </w:rPr>
        <w:t xml:space="preserve"> Der kan opnås godtgørelse og tilskud til befordring ved deltagelse i den samme uddannelse tre gange inden for et kalenderår. Det er datoen for uddannelsens påbegyndelse, der er afgørende for, hvilket kalenderår deltagelsen skal henføres til. Ved deltagelse i den samme uddannelse ud over tre gange inden for det samme kalenderår kan der ikke opnås godtgørelse og tilskud til befordring, jf. dog stk. 2.</w:t>
      </w:r>
    </w:p>
    <w:p w14:paraId="4FF1B6CA" w14:textId="77777777" w:rsidR="00397850" w:rsidRDefault="00397850" w:rsidP="00397850">
      <w:pPr>
        <w:pStyle w:val="stk2"/>
        <w:rPr>
          <w:sz w:val="17"/>
          <w:szCs w:val="17"/>
        </w:rPr>
      </w:pPr>
      <w:r>
        <w:rPr>
          <w:rStyle w:val="stknr1"/>
          <w:sz w:val="17"/>
          <w:szCs w:val="17"/>
        </w:rPr>
        <w:t>Stk. 2.</w:t>
      </w:r>
      <w:r>
        <w:rPr>
          <w:sz w:val="17"/>
          <w:szCs w:val="17"/>
        </w:rPr>
        <w:t xml:space="preserve"> Uanset bestemmelsen i stk. 1 kan der opnås godtgørelse og tilskud til befordring ved deltagelse i den samme uddannelse ud over tre gange, hvis der er tale om multiplanuddannelse.</w:t>
      </w:r>
    </w:p>
    <w:p w14:paraId="4FF1B6CB" w14:textId="77777777" w:rsidR="00397850" w:rsidRDefault="00397850" w:rsidP="00397850">
      <w:pPr>
        <w:pStyle w:val="paragraf"/>
        <w:rPr>
          <w:sz w:val="17"/>
          <w:szCs w:val="17"/>
        </w:rPr>
      </w:pPr>
      <w:r>
        <w:rPr>
          <w:rStyle w:val="paragrafnr12"/>
          <w:sz w:val="17"/>
          <w:szCs w:val="17"/>
        </w:rPr>
        <w:t>§ </w:t>
      </w:r>
      <w:r w:rsidR="00FC772F">
        <w:rPr>
          <w:rStyle w:val="paragrafnr12"/>
          <w:sz w:val="17"/>
          <w:szCs w:val="17"/>
        </w:rPr>
        <w:t>11</w:t>
      </w:r>
      <w:r>
        <w:rPr>
          <w:rStyle w:val="paragrafnr12"/>
          <w:sz w:val="17"/>
          <w:szCs w:val="17"/>
        </w:rPr>
        <w:t>.</w:t>
      </w:r>
      <w:r>
        <w:rPr>
          <w:sz w:val="17"/>
          <w:szCs w:val="17"/>
        </w:rPr>
        <w:t xml:space="preserve"> Der kan opnås godtgørelse og tilskud til befordring ved deltagelse i uddannelse i op til 10 uger, svarende til 370 timer, inden for et kalenderår. Det er datoen for uddannelsens påbegyndelse, der er afgørende for, hvilket kalenderår deltagelsen skal henføres til. Ved fortsat deltagelse i uddannelse ud over 10 uger inden for det samme kalenderår kan der ikke opnås godtgørelse og tilskud til befordring, jf. dog stk. 2 og 3.</w:t>
      </w:r>
    </w:p>
    <w:p w14:paraId="4FF1B6CC" w14:textId="77777777" w:rsidR="00397850" w:rsidRDefault="00397850" w:rsidP="00397850">
      <w:pPr>
        <w:pStyle w:val="stk2"/>
        <w:rPr>
          <w:sz w:val="17"/>
          <w:szCs w:val="17"/>
        </w:rPr>
      </w:pPr>
      <w:r>
        <w:rPr>
          <w:rStyle w:val="stknr1"/>
          <w:sz w:val="17"/>
          <w:szCs w:val="17"/>
        </w:rPr>
        <w:t>Stk. 2.</w:t>
      </w:r>
      <w:r>
        <w:rPr>
          <w:sz w:val="17"/>
          <w:szCs w:val="17"/>
        </w:rPr>
        <w:t xml:space="preserve"> Uanset bestemmelsen i stk. 1 kan der opnås godtgørelse og tilskud til befordring ved deltagelse i uddannelser af længere varighed, hvis der er tale om følgende uddannelser:</w:t>
      </w:r>
    </w:p>
    <w:p w14:paraId="4FF1B6CD" w14:textId="77777777" w:rsidR="00397850" w:rsidRDefault="00397850" w:rsidP="00397850">
      <w:pPr>
        <w:pStyle w:val="liste1"/>
        <w:rPr>
          <w:sz w:val="17"/>
          <w:szCs w:val="17"/>
        </w:rPr>
      </w:pPr>
      <w:r>
        <w:rPr>
          <w:rStyle w:val="liste1nr1"/>
          <w:sz w:val="17"/>
          <w:szCs w:val="17"/>
        </w:rPr>
        <w:t>1)</w:t>
      </w:r>
      <w:r>
        <w:rPr>
          <w:sz w:val="17"/>
          <w:szCs w:val="17"/>
        </w:rPr>
        <w:t xml:space="preserve"> Særskilt tilrettelagte forløb for flygtninge og indvandrere.</w:t>
      </w:r>
    </w:p>
    <w:p w14:paraId="4FF1B6CE" w14:textId="77777777" w:rsidR="00397850" w:rsidRPr="005C33B6" w:rsidRDefault="005C33B6" w:rsidP="00397850">
      <w:pPr>
        <w:pStyle w:val="liste1"/>
        <w:rPr>
          <w:sz w:val="17"/>
          <w:szCs w:val="17"/>
        </w:rPr>
      </w:pPr>
      <w:r w:rsidRPr="005C33B6">
        <w:rPr>
          <w:rFonts w:eastAsiaTheme="minorHAnsi"/>
          <w:sz w:val="17"/>
          <w:szCs w:val="17"/>
          <w:lang w:eastAsia="en-US"/>
        </w:rPr>
        <w:t>2)</w:t>
      </w:r>
      <w:r w:rsidRPr="005C33B6">
        <w:rPr>
          <w:rFonts w:eastAsiaTheme="minorHAnsi"/>
          <w:color w:val="auto"/>
          <w:sz w:val="17"/>
          <w:szCs w:val="17"/>
          <w:lang w:eastAsia="en-US"/>
        </w:rPr>
        <w:t xml:space="preserve"> Grundlæggende voksenuddannelse (GVU).</w:t>
      </w:r>
    </w:p>
    <w:p w14:paraId="4FF1B6CF" w14:textId="77777777" w:rsidR="00397850" w:rsidRDefault="005C33B6" w:rsidP="00397850">
      <w:pPr>
        <w:pStyle w:val="liste1"/>
        <w:rPr>
          <w:sz w:val="17"/>
          <w:szCs w:val="17"/>
        </w:rPr>
      </w:pPr>
      <w:r>
        <w:rPr>
          <w:rStyle w:val="liste1nr1"/>
          <w:sz w:val="17"/>
          <w:szCs w:val="17"/>
        </w:rPr>
        <w:t>3</w:t>
      </w:r>
      <w:r w:rsidR="00397850">
        <w:rPr>
          <w:rStyle w:val="liste1nr1"/>
          <w:sz w:val="17"/>
          <w:szCs w:val="17"/>
        </w:rPr>
        <w:t>)</w:t>
      </w:r>
      <w:r w:rsidR="00397850">
        <w:rPr>
          <w:sz w:val="17"/>
          <w:szCs w:val="17"/>
        </w:rPr>
        <w:t xml:space="preserve"> Erhvervsuddannelse plus (eud+).</w:t>
      </w:r>
    </w:p>
    <w:p w14:paraId="4FF1B6D0" w14:textId="77777777" w:rsidR="00397850" w:rsidRDefault="005C33B6" w:rsidP="00397850">
      <w:pPr>
        <w:pStyle w:val="liste1"/>
        <w:rPr>
          <w:sz w:val="17"/>
          <w:szCs w:val="17"/>
        </w:rPr>
      </w:pPr>
      <w:r>
        <w:rPr>
          <w:rStyle w:val="liste1nr1"/>
          <w:sz w:val="17"/>
          <w:szCs w:val="17"/>
        </w:rPr>
        <w:t>4</w:t>
      </w:r>
      <w:r w:rsidR="00397850">
        <w:rPr>
          <w:rStyle w:val="liste1nr1"/>
          <w:sz w:val="17"/>
          <w:szCs w:val="17"/>
        </w:rPr>
        <w:t>)</w:t>
      </w:r>
      <w:r w:rsidR="00397850">
        <w:rPr>
          <w:sz w:val="17"/>
          <w:szCs w:val="17"/>
        </w:rPr>
        <w:t xml:space="preserve"> Kontraktuddannelse m.m., jf. den liste, der fremgår af uddannelsesadministration.dk.</w:t>
      </w:r>
    </w:p>
    <w:p w14:paraId="4FF1B6D1" w14:textId="77777777" w:rsidR="00397850" w:rsidRDefault="00397850" w:rsidP="00397850">
      <w:pPr>
        <w:pStyle w:val="stk2"/>
        <w:rPr>
          <w:sz w:val="17"/>
          <w:szCs w:val="17"/>
        </w:rPr>
      </w:pPr>
      <w:r>
        <w:rPr>
          <w:rStyle w:val="stknr1"/>
          <w:sz w:val="17"/>
          <w:szCs w:val="17"/>
        </w:rPr>
        <w:t>Stk. 3.</w:t>
      </w:r>
      <w:r>
        <w:rPr>
          <w:sz w:val="17"/>
          <w:szCs w:val="17"/>
        </w:rPr>
        <w:t xml:space="preserve"> Uanset bestemmelsen i stk. 1 kan der opnås godtgørelse og tilskud til befordring ved deltagelse i uddannelse ud over 10 uger inden for et kalenderår, hvis der er tale om uddannelse, hvortil der ifølge lov, bekendtgørelse eller bindende brancheaftale er knyttet særlige krav.</w:t>
      </w:r>
    </w:p>
    <w:p w14:paraId="4FF1B6D2" w14:textId="77777777" w:rsidR="00AA59FC" w:rsidRDefault="00AA59FC" w:rsidP="005141DE">
      <w:pPr>
        <w:pStyle w:val="kapitel"/>
        <w:jc w:val="left"/>
        <w:rPr>
          <w:sz w:val="17"/>
          <w:szCs w:val="17"/>
        </w:rPr>
      </w:pPr>
    </w:p>
    <w:p w14:paraId="4FF1B6D3" w14:textId="77777777" w:rsidR="00AA59FC" w:rsidRPr="00A61F0C" w:rsidRDefault="00AA59FC" w:rsidP="00AA59FC">
      <w:pPr>
        <w:pStyle w:val="kapiteloverskrift2"/>
        <w:shd w:val="clear" w:color="auto" w:fill="FFFFFF"/>
        <w:rPr>
          <w:i w:val="0"/>
          <w:iCs w:val="0"/>
          <w:sz w:val="17"/>
          <w:szCs w:val="17"/>
        </w:rPr>
      </w:pPr>
      <w:r w:rsidRPr="00A61F0C">
        <w:rPr>
          <w:i w:val="0"/>
          <w:sz w:val="17"/>
          <w:szCs w:val="17"/>
        </w:rPr>
        <w:t>Kapitel 6</w:t>
      </w:r>
    </w:p>
    <w:p w14:paraId="4FF1B6D4" w14:textId="77777777" w:rsidR="00AA59FC" w:rsidRPr="00AA59FC" w:rsidRDefault="00AA59FC" w:rsidP="00AA59FC">
      <w:pPr>
        <w:pStyle w:val="kapiteloverskrift2"/>
        <w:shd w:val="clear" w:color="auto" w:fill="FFFFFF"/>
        <w:rPr>
          <w:i w:val="0"/>
          <w:iCs w:val="0"/>
          <w:sz w:val="17"/>
          <w:szCs w:val="17"/>
        </w:rPr>
      </w:pPr>
      <w:r w:rsidRPr="00AA59FC">
        <w:rPr>
          <w:sz w:val="17"/>
          <w:szCs w:val="17"/>
        </w:rPr>
        <w:t>Tilskud til kost og logi</w:t>
      </w:r>
    </w:p>
    <w:p w14:paraId="4FF1B6D5" w14:textId="77777777" w:rsidR="00AA59FC" w:rsidRPr="00AA59FC" w:rsidRDefault="00AA59FC" w:rsidP="00AA59FC">
      <w:pPr>
        <w:pStyle w:val="paragraf"/>
        <w:shd w:val="clear" w:color="auto" w:fill="FFFFFF"/>
        <w:rPr>
          <w:sz w:val="17"/>
          <w:szCs w:val="17"/>
        </w:rPr>
      </w:pPr>
      <w:r w:rsidRPr="00AA59FC">
        <w:rPr>
          <w:rStyle w:val="paragrafnr"/>
          <w:b/>
          <w:bCs/>
          <w:sz w:val="17"/>
          <w:szCs w:val="17"/>
        </w:rPr>
        <w:t>§</w:t>
      </w:r>
      <w:r w:rsidR="00A61F0C">
        <w:rPr>
          <w:rStyle w:val="paragrafnr"/>
          <w:b/>
          <w:bCs/>
          <w:sz w:val="17"/>
          <w:szCs w:val="17"/>
        </w:rPr>
        <w:t>1</w:t>
      </w:r>
      <w:r w:rsidR="00A20A8D">
        <w:rPr>
          <w:rStyle w:val="paragrafnr"/>
          <w:b/>
          <w:bCs/>
          <w:sz w:val="17"/>
          <w:szCs w:val="17"/>
        </w:rPr>
        <w:t>2</w:t>
      </w:r>
      <w:r w:rsidRPr="00AA59FC">
        <w:rPr>
          <w:rStyle w:val="paragrafnr"/>
          <w:b/>
          <w:bCs/>
          <w:sz w:val="17"/>
          <w:szCs w:val="17"/>
        </w:rPr>
        <w:t>.</w:t>
      </w:r>
      <w:r w:rsidRPr="00AA59FC">
        <w:rPr>
          <w:sz w:val="17"/>
          <w:szCs w:val="17"/>
        </w:rPr>
        <w:t xml:space="preserve"> En </w:t>
      </w:r>
      <w:r w:rsidR="006D3BCD">
        <w:rPr>
          <w:sz w:val="17"/>
          <w:szCs w:val="17"/>
        </w:rPr>
        <w:t>uddannelses</w:t>
      </w:r>
      <w:r w:rsidRPr="00AA59FC">
        <w:rPr>
          <w:sz w:val="17"/>
          <w:szCs w:val="17"/>
        </w:rPr>
        <w:t>deltager, som opfylder betingelserne i § 21 i lov om arbejdsmarkedsuddannelser m.v., og som under arbejdsmarkedsuddannelsen eller den individuelle kompetencevurdering er indkvarte</w:t>
      </w:r>
      <w:r w:rsidR="006D3BCD">
        <w:rPr>
          <w:sz w:val="17"/>
          <w:szCs w:val="17"/>
        </w:rPr>
        <w:t>ret andetsteds end i sin bolig</w:t>
      </w:r>
      <w:r w:rsidRPr="00AA59FC">
        <w:rPr>
          <w:sz w:val="17"/>
          <w:szCs w:val="17"/>
        </w:rPr>
        <w:t xml:space="preserve">, har efter ansøgning ret til tilskud til udgiften til kost og logi. Forudsat, at </w:t>
      </w:r>
      <w:r w:rsidR="00B54D9A">
        <w:rPr>
          <w:sz w:val="17"/>
          <w:szCs w:val="17"/>
        </w:rPr>
        <w:t>uddannelses</w:t>
      </w:r>
      <w:r w:rsidRPr="00AA59FC">
        <w:rPr>
          <w:sz w:val="17"/>
          <w:szCs w:val="17"/>
        </w:rPr>
        <w:t xml:space="preserve">deltageren har mere end 120 km i transport mellem bopæl og uddannelsessted og retur, udbetales der tilskud for indkvartering mellem undervisningsdage, der følger umiddelbart efter hinanden, jf. dog § </w:t>
      </w:r>
      <w:r w:rsidR="008F07AA">
        <w:rPr>
          <w:sz w:val="17"/>
          <w:szCs w:val="17"/>
        </w:rPr>
        <w:t>14</w:t>
      </w:r>
      <w:r w:rsidRPr="00AA59FC">
        <w:rPr>
          <w:sz w:val="17"/>
          <w:szCs w:val="17"/>
        </w:rPr>
        <w:t>.</w:t>
      </w:r>
    </w:p>
    <w:p w14:paraId="4FF1B6D6" w14:textId="77777777" w:rsidR="00AA59FC" w:rsidRPr="00AA59FC" w:rsidRDefault="00AA59FC" w:rsidP="00AA59FC">
      <w:pPr>
        <w:pStyle w:val="stk2"/>
        <w:shd w:val="clear" w:color="auto" w:fill="FFFFFF"/>
        <w:rPr>
          <w:sz w:val="17"/>
          <w:szCs w:val="17"/>
        </w:rPr>
      </w:pPr>
      <w:r w:rsidRPr="00AA59FC">
        <w:rPr>
          <w:rStyle w:val="stknr"/>
          <w:i/>
          <w:iCs/>
          <w:sz w:val="17"/>
          <w:szCs w:val="17"/>
        </w:rPr>
        <w:t>Stk. 2.</w:t>
      </w:r>
      <w:r w:rsidRPr="00AA59FC">
        <w:rPr>
          <w:sz w:val="17"/>
          <w:szCs w:val="17"/>
        </w:rPr>
        <w:t xml:space="preserve"> Hvis </w:t>
      </w:r>
      <w:r w:rsidR="00B06EF9">
        <w:rPr>
          <w:sz w:val="17"/>
          <w:szCs w:val="17"/>
        </w:rPr>
        <w:t>uddannelses</w:t>
      </w:r>
      <w:r w:rsidRPr="00AA59FC">
        <w:rPr>
          <w:sz w:val="17"/>
          <w:szCs w:val="17"/>
        </w:rPr>
        <w:t xml:space="preserve">deltageren benytter sig af et tilbud om kost og logi fra uddannelsesstedet, modtages tilskuddet dertil af uddannelsesstedet med 450 kr. for hver overnatning, hvor </w:t>
      </w:r>
      <w:r w:rsidR="006269BF">
        <w:rPr>
          <w:sz w:val="17"/>
          <w:szCs w:val="17"/>
        </w:rPr>
        <w:t>uddannelses</w:t>
      </w:r>
      <w:r w:rsidRPr="00AA59FC">
        <w:rPr>
          <w:sz w:val="17"/>
          <w:szCs w:val="17"/>
        </w:rPr>
        <w:t>deltageren er indkvarteret som tilbudt. Beløbet reguleres en gang årligt, første gang i 2011, med virkning fra den første mandag i juli måned for pris- og lønudviklingen med 2,0 pct. tillagt den i medfør af lov om en satsregulering fastsatte procent for det pågældende finansår. Det fremkomne beløb afrundes nedad til nærmeste hele kronebeløb, der kan deles med 50. Reguleringen sker på grundlag af det på reguleringstidspunktet gældende beløb før afrunding.</w:t>
      </w:r>
    </w:p>
    <w:p w14:paraId="4FF1B6D7" w14:textId="77777777" w:rsidR="00AA59FC" w:rsidRPr="00AA59FC" w:rsidRDefault="00A61F0C" w:rsidP="00AA59FC">
      <w:pPr>
        <w:pStyle w:val="paragraf"/>
        <w:shd w:val="clear" w:color="auto" w:fill="FFFFFF"/>
        <w:rPr>
          <w:sz w:val="17"/>
          <w:szCs w:val="17"/>
        </w:rPr>
      </w:pPr>
      <w:r>
        <w:rPr>
          <w:rStyle w:val="paragrafnr"/>
          <w:b/>
          <w:bCs/>
          <w:sz w:val="17"/>
          <w:szCs w:val="17"/>
        </w:rPr>
        <w:t>§ 1</w:t>
      </w:r>
      <w:r w:rsidR="00A20A8D">
        <w:rPr>
          <w:rStyle w:val="paragrafnr"/>
          <w:b/>
          <w:bCs/>
          <w:sz w:val="17"/>
          <w:szCs w:val="17"/>
        </w:rPr>
        <w:t>3</w:t>
      </w:r>
      <w:r w:rsidR="00AA59FC" w:rsidRPr="00AA59FC">
        <w:rPr>
          <w:rStyle w:val="paragrafnr"/>
          <w:b/>
          <w:bCs/>
          <w:sz w:val="17"/>
          <w:szCs w:val="17"/>
        </w:rPr>
        <w:t>.</w:t>
      </w:r>
      <w:r w:rsidR="00AA59FC" w:rsidRPr="00AA59FC">
        <w:rPr>
          <w:sz w:val="17"/>
          <w:szCs w:val="17"/>
        </w:rPr>
        <w:t> Ved indgivelse af ansøgning om tilskud til kost og logi skal deltageren oplyse adressen på den bolig</w:t>
      </w:r>
      <w:r w:rsidR="00966A5D">
        <w:rPr>
          <w:sz w:val="17"/>
          <w:szCs w:val="17"/>
        </w:rPr>
        <w:t>, hvor uddannelsesdeltageren har sin folkeregisteradresse</w:t>
      </w:r>
      <w:r w:rsidR="00F97A00">
        <w:rPr>
          <w:sz w:val="17"/>
          <w:szCs w:val="17"/>
        </w:rPr>
        <w:t>.</w:t>
      </w:r>
    </w:p>
    <w:p w14:paraId="4FF1B6D8" w14:textId="77777777" w:rsidR="00AA59FC" w:rsidRPr="00AA59FC" w:rsidRDefault="00AA59FC" w:rsidP="00AA59FC">
      <w:pPr>
        <w:pStyle w:val="stk2"/>
        <w:shd w:val="clear" w:color="auto" w:fill="FFFFFF"/>
        <w:rPr>
          <w:sz w:val="17"/>
          <w:szCs w:val="17"/>
        </w:rPr>
      </w:pPr>
      <w:r w:rsidRPr="00AA59FC">
        <w:rPr>
          <w:rStyle w:val="stknr"/>
          <w:i/>
          <w:iCs/>
          <w:sz w:val="17"/>
          <w:szCs w:val="17"/>
        </w:rPr>
        <w:t>Stk. 2.</w:t>
      </w:r>
      <w:r w:rsidRPr="00AA59FC">
        <w:rPr>
          <w:sz w:val="17"/>
          <w:szCs w:val="17"/>
        </w:rPr>
        <w:t> </w:t>
      </w:r>
      <w:r w:rsidR="0073376B">
        <w:rPr>
          <w:sz w:val="17"/>
          <w:szCs w:val="17"/>
        </w:rPr>
        <w:t>Uddannelsesd</w:t>
      </w:r>
      <w:r w:rsidRPr="00AA59FC">
        <w:rPr>
          <w:sz w:val="17"/>
          <w:szCs w:val="17"/>
        </w:rPr>
        <w:t xml:space="preserve">eltageren skal for så vidt </w:t>
      </w:r>
      <w:proofErr w:type="gramStart"/>
      <w:r w:rsidRPr="00AA59FC">
        <w:rPr>
          <w:sz w:val="17"/>
          <w:szCs w:val="17"/>
        </w:rPr>
        <w:t>angår</w:t>
      </w:r>
      <w:proofErr w:type="gramEnd"/>
      <w:r w:rsidRPr="00AA59FC">
        <w:rPr>
          <w:sz w:val="17"/>
          <w:szCs w:val="17"/>
        </w:rPr>
        <w:t xml:space="preserve"> indkvartering, der ikke er omfattet af § 1</w:t>
      </w:r>
      <w:r w:rsidR="00007B2A">
        <w:rPr>
          <w:sz w:val="17"/>
          <w:szCs w:val="17"/>
        </w:rPr>
        <w:t>2</w:t>
      </w:r>
      <w:r w:rsidR="00184750">
        <w:rPr>
          <w:sz w:val="17"/>
          <w:szCs w:val="17"/>
        </w:rPr>
        <w:t>, stk. 2</w:t>
      </w:r>
      <w:r w:rsidRPr="00AA59FC">
        <w:rPr>
          <w:sz w:val="17"/>
          <w:szCs w:val="17"/>
        </w:rPr>
        <w:t>, endvidere dokumentere, dels over hvilken periode indkvarteringen har strakt sig, jf. § 1</w:t>
      </w:r>
      <w:r w:rsidR="00007B2A">
        <w:rPr>
          <w:sz w:val="17"/>
          <w:szCs w:val="17"/>
        </w:rPr>
        <w:t>2</w:t>
      </w:r>
      <w:r w:rsidRPr="00AA59FC">
        <w:rPr>
          <w:sz w:val="17"/>
          <w:szCs w:val="17"/>
        </w:rPr>
        <w:t xml:space="preserve">, stk. 1, dels hvilke udgifter til kost og logi, der er udløst af indkvarteringen, herunder af kost på dage, der støder op til de overnatninger, hvor </w:t>
      </w:r>
      <w:r w:rsidR="0073376B">
        <w:rPr>
          <w:sz w:val="17"/>
          <w:szCs w:val="17"/>
        </w:rPr>
        <w:t>uddannelses</w:t>
      </w:r>
      <w:r w:rsidRPr="00AA59FC">
        <w:rPr>
          <w:sz w:val="17"/>
          <w:szCs w:val="17"/>
        </w:rPr>
        <w:t>deltageren har været indkvarteret.</w:t>
      </w:r>
    </w:p>
    <w:p w14:paraId="4FF1B6D9" w14:textId="77777777" w:rsidR="00AA59FC" w:rsidRDefault="00A61F0C" w:rsidP="00AA59FC">
      <w:pPr>
        <w:pStyle w:val="paragraf"/>
        <w:shd w:val="clear" w:color="auto" w:fill="FFFFFF"/>
        <w:rPr>
          <w:sz w:val="17"/>
          <w:szCs w:val="17"/>
        </w:rPr>
      </w:pPr>
      <w:r>
        <w:rPr>
          <w:rStyle w:val="paragrafnr"/>
          <w:b/>
          <w:bCs/>
          <w:sz w:val="17"/>
          <w:szCs w:val="17"/>
        </w:rPr>
        <w:t>§ 1</w:t>
      </w:r>
      <w:r w:rsidR="00A20A8D">
        <w:rPr>
          <w:rStyle w:val="paragrafnr"/>
          <w:b/>
          <w:bCs/>
          <w:sz w:val="17"/>
          <w:szCs w:val="17"/>
        </w:rPr>
        <w:t>4</w:t>
      </w:r>
      <w:r w:rsidR="00AA59FC" w:rsidRPr="00AA59FC">
        <w:rPr>
          <w:rStyle w:val="paragrafnr"/>
          <w:b/>
          <w:bCs/>
          <w:sz w:val="17"/>
          <w:szCs w:val="17"/>
        </w:rPr>
        <w:t>.</w:t>
      </w:r>
      <w:r w:rsidR="00AA59FC" w:rsidRPr="00AA59FC">
        <w:rPr>
          <w:sz w:val="17"/>
          <w:szCs w:val="17"/>
        </w:rPr>
        <w:t> Til indkvartering af deltagere, der er omfattet af § 1</w:t>
      </w:r>
      <w:r w:rsidR="00007B2A">
        <w:rPr>
          <w:sz w:val="17"/>
          <w:szCs w:val="17"/>
        </w:rPr>
        <w:t>2</w:t>
      </w:r>
      <w:r w:rsidR="00AA59FC" w:rsidRPr="00AA59FC">
        <w:rPr>
          <w:sz w:val="17"/>
          <w:szCs w:val="17"/>
        </w:rPr>
        <w:t>, stk. 1, 1. pkt., kan der undtagelsesvis udbetales tilskud ud over, hvad der følger af § 1</w:t>
      </w:r>
      <w:r w:rsidR="00007B2A">
        <w:rPr>
          <w:sz w:val="17"/>
          <w:szCs w:val="17"/>
        </w:rPr>
        <w:t>2</w:t>
      </w:r>
      <w:r w:rsidR="00AA59FC" w:rsidRPr="00AA59FC">
        <w:rPr>
          <w:sz w:val="17"/>
          <w:szCs w:val="17"/>
        </w:rPr>
        <w:t>, stk. 1, 2. pkt., i det omfang indkvarteringen af tidsmæssige eller andre grunde er rimelig af hensyn til deltagelsen. For så vidt angår en deltager, der i øvrigt opfylder betingelserne i § 1</w:t>
      </w:r>
      <w:r w:rsidR="00007B2A">
        <w:rPr>
          <w:sz w:val="17"/>
          <w:szCs w:val="17"/>
        </w:rPr>
        <w:t>2</w:t>
      </w:r>
      <w:r w:rsidR="00AA59FC" w:rsidRPr="00AA59FC">
        <w:rPr>
          <w:sz w:val="17"/>
          <w:szCs w:val="17"/>
        </w:rPr>
        <w:t>, anses indkvartering, der ikke ligger mellem to undervisningsdage som beskrevet i § 1</w:t>
      </w:r>
      <w:r w:rsidR="00007B2A">
        <w:rPr>
          <w:sz w:val="17"/>
          <w:szCs w:val="17"/>
        </w:rPr>
        <w:t>2</w:t>
      </w:r>
      <w:r w:rsidR="00AA59FC" w:rsidRPr="00AA59FC">
        <w:rPr>
          <w:sz w:val="17"/>
          <w:szCs w:val="17"/>
        </w:rPr>
        <w:t>, stk. 1, 2. pkt., men som vedrører natten før en undervisningsdag, for rimelig af hensyn til deltagelsen, hvis det i betragtning af tidspunktet for undervisningens start ville være uforholdsmæssigt byrdefuldt for deltageren at rejse til undervisningsstedet på selve undervisningsdagen.</w:t>
      </w:r>
    </w:p>
    <w:p w14:paraId="4FF1B6DA" w14:textId="77777777" w:rsidR="00212633" w:rsidRPr="00AA59FC" w:rsidRDefault="00212633" w:rsidP="00AA59FC">
      <w:pPr>
        <w:pStyle w:val="paragraf"/>
        <w:shd w:val="clear" w:color="auto" w:fill="FFFFFF"/>
        <w:rPr>
          <w:sz w:val="17"/>
          <w:szCs w:val="17"/>
        </w:rPr>
      </w:pPr>
      <w:r>
        <w:rPr>
          <w:sz w:val="17"/>
          <w:szCs w:val="17"/>
        </w:rPr>
        <w:t xml:space="preserve">§ 15. Tilskud til udgifter til kost og logi i tilfælde af indkvartering, der ikke omfattes af § 12, stk. 2, udgør indtil 450 kr., der mod dokumentation efter § 13, stk. 2, for hver overnatning, hvor uddannelsesdeltageren er indkvarteret, udbetales til uddannelsesdeltageren til hel eller delvis dækning af de pågældende udgifter. § 12, stk. 2, 2. pkt., finder tilsvarende anvendelse på beløbsgrænsen 450 kr. </w:t>
      </w:r>
    </w:p>
    <w:p w14:paraId="4FF1B6DB" w14:textId="77777777" w:rsidR="00397850" w:rsidRDefault="00397850" w:rsidP="00397850">
      <w:pPr>
        <w:pStyle w:val="kapitel"/>
        <w:rPr>
          <w:sz w:val="17"/>
          <w:szCs w:val="17"/>
        </w:rPr>
      </w:pPr>
      <w:r>
        <w:rPr>
          <w:sz w:val="17"/>
          <w:szCs w:val="17"/>
        </w:rPr>
        <w:t xml:space="preserve">Kapitel </w:t>
      </w:r>
      <w:r w:rsidR="0072216A">
        <w:rPr>
          <w:sz w:val="17"/>
          <w:szCs w:val="17"/>
        </w:rPr>
        <w:t>7</w:t>
      </w:r>
    </w:p>
    <w:p w14:paraId="4FF1B6DC" w14:textId="77777777" w:rsidR="00397850" w:rsidRDefault="00397850" w:rsidP="00397850">
      <w:pPr>
        <w:pStyle w:val="kapiteloverskrift2"/>
        <w:rPr>
          <w:sz w:val="17"/>
          <w:szCs w:val="17"/>
        </w:rPr>
      </w:pPr>
      <w:r>
        <w:rPr>
          <w:sz w:val="17"/>
          <w:szCs w:val="17"/>
        </w:rPr>
        <w:t>Ikrafttræden m.v.</w:t>
      </w:r>
    </w:p>
    <w:p w14:paraId="4FF1B6DD" w14:textId="77777777" w:rsidR="00CE397E" w:rsidRDefault="0074154A" w:rsidP="00397850">
      <w:pPr>
        <w:pStyle w:val="stk2"/>
        <w:rPr>
          <w:sz w:val="17"/>
          <w:szCs w:val="17"/>
        </w:rPr>
      </w:pPr>
      <w:r w:rsidRPr="00872F39">
        <w:rPr>
          <w:b/>
          <w:sz w:val="17"/>
          <w:szCs w:val="17"/>
        </w:rPr>
        <w:t xml:space="preserve">§ </w:t>
      </w:r>
      <w:r w:rsidR="00872F39" w:rsidRPr="00872F39">
        <w:rPr>
          <w:b/>
          <w:sz w:val="17"/>
          <w:szCs w:val="17"/>
        </w:rPr>
        <w:t>1</w:t>
      </w:r>
      <w:r w:rsidR="00A20A8D">
        <w:rPr>
          <w:b/>
          <w:sz w:val="17"/>
          <w:szCs w:val="17"/>
        </w:rPr>
        <w:t>5</w:t>
      </w:r>
      <w:r w:rsidRPr="00872F39">
        <w:rPr>
          <w:b/>
          <w:sz w:val="17"/>
          <w:szCs w:val="17"/>
        </w:rPr>
        <w:t>.</w:t>
      </w:r>
      <w:r>
        <w:rPr>
          <w:sz w:val="17"/>
          <w:szCs w:val="17"/>
        </w:rPr>
        <w:t xml:space="preserve"> Bekendtgørelsen træder i kraft den 1. januar 2019. </w:t>
      </w:r>
    </w:p>
    <w:p w14:paraId="4FF1B6DE" w14:textId="77777777" w:rsidR="00EF5603" w:rsidRDefault="00CE397E" w:rsidP="00397850">
      <w:pPr>
        <w:pStyle w:val="stk2"/>
        <w:rPr>
          <w:sz w:val="17"/>
          <w:szCs w:val="17"/>
        </w:rPr>
      </w:pPr>
      <w:r w:rsidRPr="00CE397E">
        <w:rPr>
          <w:i/>
          <w:sz w:val="17"/>
          <w:szCs w:val="17"/>
        </w:rPr>
        <w:lastRenderedPageBreak/>
        <w:t>Stk. 2.</w:t>
      </w:r>
      <w:r w:rsidR="00BF1FDE">
        <w:rPr>
          <w:sz w:val="17"/>
          <w:szCs w:val="17"/>
        </w:rPr>
        <w:t xml:space="preserve"> </w:t>
      </w:r>
      <w:r w:rsidR="001B41C6" w:rsidRPr="001B41C6">
        <w:rPr>
          <w:sz w:val="17"/>
          <w:szCs w:val="17"/>
        </w:rPr>
        <w:t>Bekendtgørelsen har virkning for ansøgninger om godtgørelse og tilskud til uddannelser, der begynder den 1. januar 2019 eller senere.</w:t>
      </w:r>
      <w:r w:rsidR="00EF5603">
        <w:rPr>
          <w:sz w:val="17"/>
          <w:szCs w:val="17"/>
        </w:rPr>
        <w:t xml:space="preserve"> </w:t>
      </w:r>
      <w:r w:rsidR="00492676">
        <w:rPr>
          <w:sz w:val="17"/>
          <w:szCs w:val="17"/>
        </w:rPr>
        <w:t xml:space="preserve">For </w:t>
      </w:r>
      <w:r w:rsidR="00492676" w:rsidRPr="00492676">
        <w:rPr>
          <w:sz w:val="17"/>
          <w:szCs w:val="17"/>
        </w:rPr>
        <w:t xml:space="preserve">ansøgninger om godtgørelse og tilskud til uddannelser, der </w:t>
      </w:r>
      <w:r w:rsidR="00492676">
        <w:rPr>
          <w:sz w:val="17"/>
          <w:szCs w:val="17"/>
        </w:rPr>
        <w:t xml:space="preserve">er begyndt før </w:t>
      </w:r>
      <w:r w:rsidR="00492676" w:rsidRPr="00492676">
        <w:rPr>
          <w:sz w:val="17"/>
          <w:szCs w:val="17"/>
        </w:rPr>
        <w:t>den 1. januar 2019</w:t>
      </w:r>
      <w:r w:rsidR="00492676">
        <w:rPr>
          <w:sz w:val="17"/>
          <w:szCs w:val="17"/>
        </w:rPr>
        <w:t xml:space="preserve"> finder de hidtil gældende regler anvendelse. </w:t>
      </w:r>
    </w:p>
    <w:p w14:paraId="4FF1B6DF" w14:textId="77777777" w:rsidR="0074154A" w:rsidRDefault="00400DAF" w:rsidP="00397850">
      <w:pPr>
        <w:pStyle w:val="stk2"/>
        <w:rPr>
          <w:sz w:val="17"/>
          <w:szCs w:val="17"/>
        </w:rPr>
      </w:pPr>
      <w:r w:rsidRPr="00AE4F4D">
        <w:rPr>
          <w:i/>
          <w:sz w:val="17"/>
          <w:szCs w:val="17"/>
        </w:rPr>
        <w:t xml:space="preserve">Stk. </w:t>
      </w:r>
      <w:r w:rsidR="00EF5603">
        <w:rPr>
          <w:i/>
          <w:sz w:val="17"/>
          <w:szCs w:val="17"/>
        </w:rPr>
        <w:t>3</w:t>
      </w:r>
      <w:r w:rsidRPr="00AE4F4D">
        <w:rPr>
          <w:i/>
          <w:sz w:val="17"/>
          <w:szCs w:val="17"/>
        </w:rPr>
        <w:t>.</w:t>
      </w:r>
      <w:r>
        <w:rPr>
          <w:sz w:val="17"/>
          <w:szCs w:val="17"/>
        </w:rPr>
        <w:t xml:space="preserve"> Bekendtgørelsens § 4, stk</w:t>
      </w:r>
      <w:r w:rsidR="007F66F9">
        <w:rPr>
          <w:sz w:val="17"/>
          <w:szCs w:val="17"/>
        </w:rPr>
        <w:t>. 2 ophæves den 1. januar 2022.</w:t>
      </w:r>
      <w:r w:rsidR="0074154A">
        <w:rPr>
          <w:sz w:val="17"/>
          <w:szCs w:val="17"/>
        </w:rPr>
        <w:t xml:space="preserve"> </w:t>
      </w:r>
    </w:p>
    <w:p w14:paraId="4FF1B6E0" w14:textId="77777777" w:rsidR="0074154A" w:rsidRDefault="0074154A" w:rsidP="00397850">
      <w:pPr>
        <w:pStyle w:val="stk2"/>
        <w:rPr>
          <w:sz w:val="17"/>
          <w:szCs w:val="17"/>
        </w:rPr>
      </w:pPr>
      <w:r w:rsidRPr="00CE397E">
        <w:rPr>
          <w:i/>
          <w:sz w:val="17"/>
          <w:szCs w:val="17"/>
        </w:rPr>
        <w:t xml:space="preserve">Stk. </w:t>
      </w:r>
      <w:r w:rsidR="00EF5603">
        <w:rPr>
          <w:i/>
          <w:sz w:val="17"/>
          <w:szCs w:val="17"/>
        </w:rPr>
        <w:t>4</w:t>
      </w:r>
      <w:r w:rsidRPr="00CE397E">
        <w:rPr>
          <w:i/>
          <w:sz w:val="17"/>
          <w:szCs w:val="17"/>
        </w:rPr>
        <w:t>.</w:t>
      </w:r>
      <w:r>
        <w:rPr>
          <w:sz w:val="17"/>
          <w:szCs w:val="17"/>
        </w:rPr>
        <w:t xml:space="preserve"> </w:t>
      </w:r>
      <w:r w:rsidR="001B41C6">
        <w:rPr>
          <w:sz w:val="17"/>
          <w:szCs w:val="17"/>
        </w:rPr>
        <w:t>B</w:t>
      </w:r>
      <w:r>
        <w:rPr>
          <w:sz w:val="17"/>
          <w:szCs w:val="17"/>
        </w:rPr>
        <w:t>ekendtgørelse nr. 1475 af 16/12/2014, bekendtgørelse nr. 193 af 12/03/2018</w:t>
      </w:r>
      <w:r w:rsidR="00F748C9">
        <w:rPr>
          <w:sz w:val="17"/>
          <w:szCs w:val="17"/>
        </w:rPr>
        <w:t xml:space="preserve">, </w:t>
      </w:r>
      <w:r>
        <w:rPr>
          <w:sz w:val="17"/>
          <w:szCs w:val="17"/>
        </w:rPr>
        <w:t>bekendtgørelse nr. 1004 af 14/08/2013</w:t>
      </w:r>
      <w:r w:rsidR="00F748C9">
        <w:rPr>
          <w:sz w:val="17"/>
          <w:szCs w:val="17"/>
        </w:rPr>
        <w:t xml:space="preserve"> og bekendtgørelse nr. 1258 af 11/11/2010</w:t>
      </w:r>
      <w:r w:rsidR="001B41C6">
        <w:rPr>
          <w:sz w:val="17"/>
          <w:szCs w:val="17"/>
        </w:rPr>
        <w:t>, ophæves</w:t>
      </w:r>
      <w:r>
        <w:rPr>
          <w:sz w:val="17"/>
          <w:szCs w:val="17"/>
        </w:rPr>
        <w:t>.</w:t>
      </w:r>
    </w:p>
    <w:p w14:paraId="4FF1B6E1" w14:textId="77777777" w:rsidR="003B10EF" w:rsidRDefault="003B10EF"/>
    <w:p w14:paraId="4FF1B6E2" w14:textId="77777777" w:rsidR="003B10EF" w:rsidRPr="00BA3E2C" w:rsidRDefault="003B10EF" w:rsidP="003B10EF">
      <w:pPr>
        <w:autoSpaceDE w:val="0"/>
        <w:autoSpaceDN w:val="0"/>
        <w:adjustRightInd w:val="0"/>
        <w:spacing w:after="0" w:line="240" w:lineRule="auto"/>
        <w:jc w:val="center"/>
        <w:rPr>
          <w:i/>
        </w:rPr>
      </w:pPr>
      <w:r w:rsidRPr="000C1555">
        <w:rPr>
          <w:rFonts w:cs="TimesNewRomanPS-ItalicMT"/>
          <w:i/>
          <w:iCs/>
        </w:rPr>
        <w:t>Styrelsen</w:t>
      </w:r>
      <w:r w:rsidRPr="00BA3E2C">
        <w:rPr>
          <w:i/>
        </w:rPr>
        <w:t xml:space="preserve"> for Undervisning og </w:t>
      </w:r>
      <w:r w:rsidRPr="000C1555">
        <w:rPr>
          <w:rFonts w:cs="TimesNewRomanPS-ItalicMT"/>
          <w:i/>
          <w:iCs/>
        </w:rPr>
        <w:t>Kvalitet</w:t>
      </w:r>
      <w:r w:rsidRPr="00BA3E2C">
        <w:rPr>
          <w:i/>
        </w:rPr>
        <w:t xml:space="preserve">, den </w:t>
      </w:r>
      <w:r>
        <w:rPr>
          <w:rFonts w:ascii="Tahoma" w:eastAsia="Times New Roman" w:hAnsi="Tahoma" w:cs="Tahoma"/>
          <w:i/>
          <w:iCs/>
          <w:color w:val="000000"/>
          <w:sz w:val="17"/>
          <w:szCs w:val="17"/>
          <w:lang w:eastAsia="da-DK"/>
        </w:rPr>
        <w:t>XXX</w:t>
      </w:r>
    </w:p>
    <w:p w14:paraId="4FF1B6E3" w14:textId="77777777" w:rsidR="003B10EF" w:rsidRPr="00BA3E2C" w:rsidRDefault="003B10EF" w:rsidP="003B10EF">
      <w:pPr>
        <w:autoSpaceDE w:val="0"/>
        <w:autoSpaceDN w:val="0"/>
        <w:adjustRightInd w:val="0"/>
        <w:spacing w:after="0" w:line="240" w:lineRule="auto"/>
        <w:jc w:val="center"/>
      </w:pPr>
    </w:p>
    <w:p w14:paraId="4FF1B6E4" w14:textId="77777777" w:rsidR="003B10EF" w:rsidRPr="000C1555" w:rsidRDefault="003B10EF" w:rsidP="003B10EF">
      <w:pPr>
        <w:autoSpaceDE w:val="0"/>
        <w:autoSpaceDN w:val="0"/>
        <w:adjustRightInd w:val="0"/>
        <w:spacing w:after="0" w:line="240" w:lineRule="auto"/>
        <w:jc w:val="center"/>
        <w:rPr>
          <w:rFonts w:cs="TimesNewRomanPSMT"/>
        </w:rPr>
      </w:pPr>
      <w:r>
        <w:rPr>
          <w:rFonts w:cs="TimesNewRomanPSMT"/>
        </w:rPr>
        <w:t>Birgitte Hansen</w:t>
      </w:r>
    </w:p>
    <w:p w14:paraId="4FF1B6E5" w14:textId="77777777" w:rsidR="003B10EF" w:rsidRPr="000C1555" w:rsidRDefault="003B10EF" w:rsidP="003B10EF">
      <w:pPr>
        <w:jc w:val="center"/>
        <w:rPr>
          <w:rFonts w:cs="TimesNewRomanPSMT"/>
        </w:rPr>
      </w:pPr>
      <w:r>
        <w:rPr>
          <w:rFonts w:cs="TimesNewRomanPSMT"/>
        </w:rPr>
        <w:t>D</w:t>
      </w:r>
      <w:r w:rsidRPr="000C1555">
        <w:rPr>
          <w:rFonts w:cs="TimesNewRomanPSMT"/>
        </w:rPr>
        <w:t>irektør</w:t>
      </w:r>
    </w:p>
    <w:p w14:paraId="4FF1B6E6" w14:textId="77777777" w:rsidR="003B10EF" w:rsidRPr="000C1555" w:rsidRDefault="003B10EF" w:rsidP="003B10EF">
      <w:pPr>
        <w:jc w:val="right"/>
        <w:rPr>
          <w:rFonts w:cs="TimesNewRomanPSMT"/>
        </w:rPr>
      </w:pPr>
      <w:r w:rsidRPr="000C1555">
        <w:rPr>
          <w:rFonts w:cs="TimesNewRomanPSMT"/>
        </w:rPr>
        <w:t>/Marcus Petersen</w:t>
      </w:r>
    </w:p>
    <w:p w14:paraId="4FF1B6E7" w14:textId="77777777" w:rsidR="003B10EF" w:rsidRDefault="003B10EF"/>
    <w:sectPr w:rsidR="003B10E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50"/>
    <w:rsid w:val="00007B2A"/>
    <w:rsid w:val="00043274"/>
    <w:rsid w:val="000605BF"/>
    <w:rsid w:val="00071DE0"/>
    <w:rsid w:val="00074DD2"/>
    <w:rsid w:val="000A11AA"/>
    <w:rsid w:val="000E7F6E"/>
    <w:rsid w:val="00123DF0"/>
    <w:rsid w:val="00132C95"/>
    <w:rsid w:val="00163005"/>
    <w:rsid w:val="00170462"/>
    <w:rsid w:val="001723E5"/>
    <w:rsid w:val="00184750"/>
    <w:rsid w:val="001A32FC"/>
    <w:rsid w:val="001A3AF7"/>
    <w:rsid w:val="001B41C6"/>
    <w:rsid w:val="001C4255"/>
    <w:rsid w:val="001E4394"/>
    <w:rsid w:val="001F4A5A"/>
    <w:rsid w:val="00212633"/>
    <w:rsid w:val="0023421A"/>
    <w:rsid w:val="00243201"/>
    <w:rsid w:val="00257BD9"/>
    <w:rsid w:val="00276243"/>
    <w:rsid w:val="002B42B0"/>
    <w:rsid w:val="002C5DC6"/>
    <w:rsid w:val="002D4209"/>
    <w:rsid w:val="003048C4"/>
    <w:rsid w:val="0032427C"/>
    <w:rsid w:val="0033343F"/>
    <w:rsid w:val="00334235"/>
    <w:rsid w:val="00357E5D"/>
    <w:rsid w:val="00386C5C"/>
    <w:rsid w:val="00397850"/>
    <w:rsid w:val="003B10EF"/>
    <w:rsid w:val="003F55BA"/>
    <w:rsid w:val="00400DAF"/>
    <w:rsid w:val="004569EE"/>
    <w:rsid w:val="00464D11"/>
    <w:rsid w:val="00492676"/>
    <w:rsid w:val="004C0997"/>
    <w:rsid w:val="004C6CCA"/>
    <w:rsid w:val="004D4514"/>
    <w:rsid w:val="004D67A3"/>
    <w:rsid w:val="00507B93"/>
    <w:rsid w:val="00510972"/>
    <w:rsid w:val="005141DE"/>
    <w:rsid w:val="00545985"/>
    <w:rsid w:val="00596482"/>
    <w:rsid w:val="005C33B6"/>
    <w:rsid w:val="005E38E7"/>
    <w:rsid w:val="005F00F5"/>
    <w:rsid w:val="00625719"/>
    <w:rsid w:val="006269BF"/>
    <w:rsid w:val="00684E67"/>
    <w:rsid w:val="006A6B6D"/>
    <w:rsid w:val="006B31EE"/>
    <w:rsid w:val="006D3BCD"/>
    <w:rsid w:val="006E1B93"/>
    <w:rsid w:val="0070268D"/>
    <w:rsid w:val="00702E2D"/>
    <w:rsid w:val="00721141"/>
    <w:rsid w:val="0072216A"/>
    <w:rsid w:val="007248D3"/>
    <w:rsid w:val="0073376B"/>
    <w:rsid w:val="00735189"/>
    <w:rsid w:val="0074154A"/>
    <w:rsid w:val="00747925"/>
    <w:rsid w:val="00753A31"/>
    <w:rsid w:val="00763CA5"/>
    <w:rsid w:val="007A229F"/>
    <w:rsid w:val="007F3B28"/>
    <w:rsid w:val="007F66F9"/>
    <w:rsid w:val="00852392"/>
    <w:rsid w:val="00872F39"/>
    <w:rsid w:val="008C0352"/>
    <w:rsid w:val="008E40F5"/>
    <w:rsid w:val="008E44B7"/>
    <w:rsid w:val="008F07AA"/>
    <w:rsid w:val="0093511F"/>
    <w:rsid w:val="0094776A"/>
    <w:rsid w:val="009502BC"/>
    <w:rsid w:val="009627F7"/>
    <w:rsid w:val="0096284F"/>
    <w:rsid w:val="00965EF8"/>
    <w:rsid w:val="00966A5D"/>
    <w:rsid w:val="009B4794"/>
    <w:rsid w:val="009E6C68"/>
    <w:rsid w:val="00A10A55"/>
    <w:rsid w:val="00A1395F"/>
    <w:rsid w:val="00A20A8D"/>
    <w:rsid w:val="00A317FD"/>
    <w:rsid w:val="00A61F0C"/>
    <w:rsid w:val="00A63425"/>
    <w:rsid w:val="00A65E66"/>
    <w:rsid w:val="00A84BFE"/>
    <w:rsid w:val="00AA3D63"/>
    <w:rsid w:val="00AA59FC"/>
    <w:rsid w:val="00AE4F4D"/>
    <w:rsid w:val="00AF121B"/>
    <w:rsid w:val="00B06EF9"/>
    <w:rsid w:val="00B11CEA"/>
    <w:rsid w:val="00B135B4"/>
    <w:rsid w:val="00B207F1"/>
    <w:rsid w:val="00B40B78"/>
    <w:rsid w:val="00B54D9A"/>
    <w:rsid w:val="00B864F6"/>
    <w:rsid w:val="00B97870"/>
    <w:rsid w:val="00BF1FDE"/>
    <w:rsid w:val="00C04FAE"/>
    <w:rsid w:val="00C21F79"/>
    <w:rsid w:val="00C503FC"/>
    <w:rsid w:val="00CD0D1D"/>
    <w:rsid w:val="00CE397E"/>
    <w:rsid w:val="00CF43CF"/>
    <w:rsid w:val="00D17919"/>
    <w:rsid w:val="00D23C31"/>
    <w:rsid w:val="00D51AB1"/>
    <w:rsid w:val="00DA59BB"/>
    <w:rsid w:val="00DD6652"/>
    <w:rsid w:val="00DF03A7"/>
    <w:rsid w:val="00DF4461"/>
    <w:rsid w:val="00DF669E"/>
    <w:rsid w:val="00E478A8"/>
    <w:rsid w:val="00E71587"/>
    <w:rsid w:val="00E75C12"/>
    <w:rsid w:val="00E92632"/>
    <w:rsid w:val="00EA027F"/>
    <w:rsid w:val="00EA2935"/>
    <w:rsid w:val="00EC0ABD"/>
    <w:rsid w:val="00EC1C93"/>
    <w:rsid w:val="00EC61EE"/>
    <w:rsid w:val="00ED30FA"/>
    <w:rsid w:val="00EF5603"/>
    <w:rsid w:val="00EF62E0"/>
    <w:rsid w:val="00F06FD0"/>
    <w:rsid w:val="00F33066"/>
    <w:rsid w:val="00F50630"/>
    <w:rsid w:val="00F61548"/>
    <w:rsid w:val="00F748C9"/>
    <w:rsid w:val="00F97A00"/>
    <w:rsid w:val="00FA4412"/>
    <w:rsid w:val="00FC772F"/>
    <w:rsid w:val="00FE0E7E"/>
    <w:rsid w:val="00FE6387"/>
    <w:rsid w:val="00FF6B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1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indledning2">
    <w:name w:val="indledning2"/>
    <w:basedOn w:val="Normal"/>
    <w:rsid w:val="00397850"/>
    <w:pPr>
      <w:spacing w:after="0" w:line="240" w:lineRule="auto"/>
      <w:ind w:firstLine="240"/>
    </w:pPr>
    <w:rPr>
      <w:rFonts w:ascii="Tahoma" w:eastAsia="Times New Roman" w:hAnsi="Tahoma" w:cs="Tahoma"/>
      <w:color w:val="000000"/>
      <w:sz w:val="24"/>
      <w:szCs w:val="24"/>
      <w:lang w:eastAsia="da-DK"/>
    </w:rPr>
  </w:style>
  <w:style w:type="paragraph" w:customStyle="1" w:styleId="kapitel">
    <w:name w:val="kapitel"/>
    <w:basedOn w:val="Normal"/>
    <w:rsid w:val="00397850"/>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397850"/>
    <w:pPr>
      <w:spacing w:after="100" w:line="240" w:lineRule="auto"/>
      <w:jc w:val="center"/>
    </w:pPr>
    <w:rPr>
      <w:rFonts w:ascii="Tahoma" w:eastAsia="Times New Roman" w:hAnsi="Tahoma" w:cs="Tahoma"/>
      <w:i/>
      <w:iCs/>
      <w:color w:val="000000"/>
      <w:sz w:val="24"/>
      <w:szCs w:val="24"/>
      <w:lang w:eastAsia="da-DK"/>
    </w:rPr>
  </w:style>
  <w:style w:type="paragraph" w:customStyle="1" w:styleId="paragraf">
    <w:name w:val="paragraf"/>
    <w:basedOn w:val="Normal"/>
    <w:rsid w:val="00397850"/>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397850"/>
    <w:pPr>
      <w:spacing w:after="0" w:line="240" w:lineRule="auto"/>
      <w:ind w:firstLine="240"/>
    </w:pPr>
    <w:rPr>
      <w:rFonts w:ascii="Tahoma" w:eastAsia="Times New Roman" w:hAnsi="Tahoma" w:cs="Tahoma"/>
      <w:color w:val="000000"/>
      <w:sz w:val="24"/>
      <w:szCs w:val="24"/>
      <w:lang w:eastAsia="da-DK"/>
    </w:rPr>
  </w:style>
  <w:style w:type="paragraph" w:customStyle="1" w:styleId="liste1">
    <w:name w:val="liste1"/>
    <w:basedOn w:val="Normal"/>
    <w:rsid w:val="00397850"/>
    <w:pPr>
      <w:spacing w:after="0" w:line="240" w:lineRule="auto"/>
      <w:ind w:left="280"/>
    </w:pPr>
    <w:rPr>
      <w:rFonts w:ascii="Tahoma" w:eastAsia="Times New Roman" w:hAnsi="Tahoma" w:cs="Tahoma"/>
      <w:color w:val="000000"/>
      <w:sz w:val="24"/>
      <w:szCs w:val="24"/>
      <w:lang w:eastAsia="da-DK"/>
    </w:rPr>
  </w:style>
  <w:style w:type="paragraph" w:customStyle="1" w:styleId="titel2">
    <w:name w:val="titel2"/>
    <w:basedOn w:val="Normal"/>
    <w:rsid w:val="00397850"/>
    <w:pPr>
      <w:spacing w:before="200" w:line="240" w:lineRule="auto"/>
      <w:jc w:val="center"/>
    </w:pPr>
    <w:rPr>
      <w:rFonts w:ascii="Tahoma" w:eastAsia="Times New Roman" w:hAnsi="Tahoma" w:cs="Tahoma"/>
      <w:color w:val="000000"/>
      <w:sz w:val="40"/>
      <w:szCs w:val="40"/>
      <w:lang w:eastAsia="da-DK"/>
    </w:rPr>
  </w:style>
  <w:style w:type="character" w:customStyle="1" w:styleId="paragrafnr1">
    <w:name w:val="paragrafnr1"/>
    <w:basedOn w:val="Standardskrifttypeiafsnit"/>
    <w:rsid w:val="00397850"/>
    <w:rPr>
      <w:rFonts w:ascii="Tahoma" w:hAnsi="Tahoma" w:cs="Tahoma" w:hint="default"/>
      <w:b/>
      <w:bCs/>
      <w:color w:val="000000"/>
      <w:sz w:val="24"/>
      <w:szCs w:val="24"/>
      <w:shd w:val="clear" w:color="auto" w:fill="auto"/>
    </w:rPr>
  </w:style>
  <w:style w:type="character" w:customStyle="1" w:styleId="stknr1">
    <w:name w:val="stknr1"/>
    <w:basedOn w:val="Standardskrifttypeiafsnit"/>
    <w:rsid w:val="00397850"/>
    <w:rPr>
      <w:rFonts w:ascii="Tahoma" w:hAnsi="Tahoma" w:cs="Tahoma" w:hint="default"/>
      <w:i/>
      <w:iCs/>
      <w:color w:val="000000"/>
      <w:sz w:val="24"/>
      <w:szCs w:val="24"/>
      <w:shd w:val="clear" w:color="auto" w:fill="auto"/>
    </w:rPr>
  </w:style>
  <w:style w:type="character" w:customStyle="1" w:styleId="liste1nr1">
    <w:name w:val="liste1nr1"/>
    <w:basedOn w:val="Standardskrifttypeiafsnit"/>
    <w:rsid w:val="00397850"/>
    <w:rPr>
      <w:rFonts w:ascii="Tahoma" w:hAnsi="Tahoma" w:cs="Tahoma" w:hint="default"/>
      <w:color w:val="000000"/>
      <w:sz w:val="24"/>
      <w:szCs w:val="24"/>
      <w:shd w:val="clear" w:color="auto" w:fill="auto"/>
    </w:rPr>
  </w:style>
  <w:style w:type="character" w:customStyle="1" w:styleId="paragrafnr2">
    <w:name w:val="paragrafnr2"/>
    <w:basedOn w:val="Standardskrifttypeiafsnit"/>
    <w:rsid w:val="00397850"/>
    <w:rPr>
      <w:rFonts w:ascii="Tahoma" w:hAnsi="Tahoma" w:cs="Tahoma" w:hint="default"/>
      <w:b/>
      <w:bCs/>
      <w:color w:val="000000"/>
      <w:sz w:val="24"/>
      <w:szCs w:val="24"/>
      <w:shd w:val="clear" w:color="auto" w:fill="auto"/>
    </w:rPr>
  </w:style>
  <w:style w:type="character" w:customStyle="1" w:styleId="paragrafnr3">
    <w:name w:val="paragrafnr3"/>
    <w:basedOn w:val="Standardskrifttypeiafsnit"/>
    <w:rsid w:val="00397850"/>
    <w:rPr>
      <w:rFonts w:ascii="Tahoma" w:hAnsi="Tahoma" w:cs="Tahoma" w:hint="default"/>
      <w:b/>
      <w:bCs/>
      <w:color w:val="000000"/>
      <w:sz w:val="24"/>
      <w:szCs w:val="24"/>
      <w:shd w:val="clear" w:color="auto" w:fill="auto"/>
    </w:rPr>
  </w:style>
  <w:style w:type="character" w:customStyle="1" w:styleId="paragrafnr4">
    <w:name w:val="paragrafnr4"/>
    <w:basedOn w:val="Standardskrifttypeiafsnit"/>
    <w:rsid w:val="00397850"/>
    <w:rPr>
      <w:rFonts w:ascii="Tahoma" w:hAnsi="Tahoma" w:cs="Tahoma" w:hint="default"/>
      <w:b/>
      <w:bCs/>
      <w:color w:val="000000"/>
      <w:sz w:val="24"/>
      <w:szCs w:val="24"/>
      <w:shd w:val="clear" w:color="auto" w:fill="auto"/>
    </w:rPr>
  </w:style>
  <w:style w:type="character" w:customStyle="1" w:styleId="paragrafnr5">
    <w:name w:val="paragrafnr5"/>
    <w:basedOn w:val="Standardskrifttypeiafsnit"/>
    <w:rsid w:val="00397850"/>
    <w:rPr>
      <w:rFonts w:ascii="Tahoma" w:hAnsi="Tahoma" w:cs="Tahoma" w:hint="default"/>
      <w:b/>
      <w:bCs/>
      <w:color w:val="000000"/>
      <w:sz w:val="24"/>
      <w:szCs w:val="24"/>
      <w:shd w:val="clear" w:color="auto" w:fill="auto"/>
    </w:rPr>
  </w:style>
  <w:style w:type="character" w:customStyle="1" w:styleId="paragrafnr6">
    <w:name w:val="paragrafnr6"/>
    <w:basedOn w:val="Standardskrifttypeiafsnit"/>
    <w:rsid w:val="00397850"/>
    <w:rPr>
      <w:rFonts w:ascii="Tahoma" w:hAnsi="Tahoma" w:cs="Tahoma" w:hint="default"/>
      <w:b/>
      <w:bCs/>
      <w:color w:val="000000"/>
      <w:sz w:val="24"/>
      <w:szCs w:val="24"/>
      <w:shd w:val="clear" w:color="auto" w:fill="auto"/>
    </w:rPr>
  </w:style>
  <w:style w:type="character" w:customStyle="1" w:styleId="paragrafnr7">
    <w:name w:val="paragrafnr7"/>
    <w:basedOn w:val="Standardskrifttypeiafsnit"/>
    <w:rsid w:val="00397850"/>
    <w:rPr>
      <w:rFonts w:ascii="Tahoma" w:hAnsi="Tahoma" w:cs="Tahoma" w:hint="default"/>
      <w:b/>
      <w:bCs/>
      <w:color w:val="000000"/>
      <w:sz w:val="24"/>
      <w:szCs w:val="24"/>
      <w:shd w:val="clear" w:color="auto" w:fill="auto"/>
    </w:rPr>
  </w:style>
  <w:style w:type="character" w:customStyle="1" w:styleId="paragrafnr8">
    <w:name w:val="paragrafnr8"/>
    <w:basedOn w:val="Standardskrifttypeiafsnit"/>
    <w:rsid w:val="00397850"/>
    <w:rPr>
      <w:rFonts w:ascii="Tahoma" w:hAnsi="Tahoma" w:cs="Tahoma" w:hint="default"/>
      <w:b/>
      <w:bCs/>
      <w:color w:val="000000"/>
      <w:sz w:val="24"/>
      <w:szCs w:val="24"/>
      <w:shd w:val="clear" w:color="auto" w:fill="auto"/>
    </w:rPr>
  </w:style>
  <w:style w:type="character" w:customStyle="1" w:styleId="paragrafnr9">
    <w:name w:val="paragrafnr9"/>
    <w:basedOn w:val="Standardskrifttypeiafsnit"/>
    <w:rsid w:val="00397850"/>
    <w:rPr>
      <w:rFonts w:ascii="Tahoma" w:hAnsi="Tahoma" w:cs="Tahoma" w:hint="default"/>
      <w:b/>
      <w:bCs/>
      <w:color w:val="000000"/>
      <w:sz w:val="24"/>
      <w:szCs w:val="24"/>
      <w:shd w:val="clear" w:color="auto" w:fill="auto"/>
    </w:rPr>
  </w:style>
  <w:style w:type="character" w:customStyle="1" w:styleId="paragrafnr10">
    <w:name w:val="paragrafnr10"/>
    <w:basedOn w:val="Standardskrifttypeiafsnit"/>
    <w:rsid w:val="00397850"/>
    <w:rPr>
      <w:rFonts w:ascii="Tahoma" w:hAnsi="Tahoma" w:cs="Tahoma" w:hint="default"/>
      <w:b/>
      <w:bCs/>
      <w:color w:val="000000"/>
      <w:sz w:val="24"/>
      <w:szCs w:val="24"/>
      <w:shd w:val="clear" w:color="auto" w:fill="auto"/>
    </w:rPr>
  </w:style>
  <w:style w:type="character" w:customStyle="1" w:styleId="paragrafnr11">
    <w:name w:val="paragrafnr11"/>
    <w:basedOn w:val="Standardskrifttypeiafsnit"/>
    <w:rsid w:val="00397850"/>
    <w:rPr>
      <w:rFonts w:ascii="Tahoma" w:hAnsi="Tahoma" w:cs="Tahoma" w:hint="default"/>
      <w:b/>
      <w:bCs/>
      <w:color w:val="000000"/>
      <w:sz w:val="24"/>
      <w:szCs w:val="24"/>
      <w:shd w:val="clear" w:color="auto" w:fill="auto"/>
    </w:rPr>
  </w:style>
  <w:style w:type="character" w:customStyle="1" w:styleId="paragrafnr12">
    <w:name w:val="paragrafnr12"/>
    <w:basedOn w:val="Standardskrifttypeiafsnit"/>
    <w:rsid w:val="00397850"/>
    <w:rPr>
      <w:rFonts w:ascii="Tahoma" w:hAnsi="Tahoma" w:cs="Tahoma" w:hint="default"/>
      <w:b/>
      <w:bCs/>
      <w:color w:val="000000"/>
      <w:sz w:val="24"/>
      <w:szCs w:val="24"/>
      <w:shd w:val="clear" w:color="auto" w:fill="auto"/>
    </w:rPr>
  </w:style>
  <w:style w:type="character" w:customStyle="1" w:styleId="paragrafnr13">
    <w:name w:val="paragrafnr13"/>
    <w:basedOn w:val="Standardskrifttypeiafsnit"/>
    <w:rsid w:val="00397850"/>
    <w:rPr>
      <w:rFonts w:ascii="Tahoma" w:hAnsi="Tahoma" w:cs="Tahoma" w:hint="default"/>
      <w:b/>
      <w:bCs/>
      <w:color w:val="000000"/>
      <w:sz w:val="24"/>
      <w:szCs w:val="24"/>
      <w:shd w:val="clear" w:color="auto" w:fill="auto"/>
    </w:rPr>
  </w:style>
  <w:style w:type="character" w:customStyle="1" w:styleId="paragrafnr14">
    <w:name w:val="paragrafnr14"/>
    <w:basedOn w:val="Standardskrifttypeiafsnit"/>
    <w:rsid w:val="00397850"/>
    <w:rPr>
      <w:rFonts w:ascii="Tahoma" w:hAnsi="Tahoma" w:cs="Tahoma" w:hint="default"/>
      <w:b/>
      <w:bCs/>
      <w:color w:val="000000"/>
      <w:sz w:val="24"/>
      <w:szCs w:val="24"/>
      <w:shd w:val="clear" w:color="auto" w:fill="auto"/>
    </w:rPr>
  </w:style>
  <w:style w:type="character" w:customStyle="1" w:styleId="paragrafnr15">
    <w:name w:val="paragrafnr15"/>
    <w:basedOn w:val="Standardskrifttypeiafsnit"/>
    <w:rsid w:val="00397850"/>
    <w:rPr>
      <w:rFonts w:ascii="Tahoma" w:hAnsi="Tahoma" w:cs="Tahoma" w:hint="default"/>
      <w:b/>
      <w:bCs/>
      <w:color w:val="000000"/>
      <w:sz w:val="24"/>
      <w:szCs w:val="24"/>
      <w:shd w:val="clear" w:color="auto" w:fill="auto"/>
    </w:rPr>
  </w:style>
  <w:style w:type="character" w:customStyle="1" w:styleId="paragrafnr16">
    <w:name w:val="paragrafnr16"/>
    <w:basedOn w:val="Standardskrifttypeiafsnit"/>
    <w:rsid w:val="00397850"/>
    <w:rPr>
      <w:rFonts w:ascii="Tahoma" w:hAnsi="Tahoma" w:cs="Tahoma" w:hint="default"/>
      <w:b/>
      <w:bCs/>
      <w:color w:val="000000"/>
      <w:sz w:val="24"/>
      <w:szCs w:val="24"/>
      <w:shd w:val="clear" w:color="auto" w:fill="auto"/>
    </w:rPr>
  </w:style>
  <w:style w:type="character" w:customStyle="1" w:styleId="paragrafnr17">
    <w:name w:val="paragrafnr17"/>
    <w:basedOn w:val="Standardskrifttypeiafsnit"/>
    <w:rsid w:val="00397850"/>
    <w:rPr>
      <w:rFonts w:ascii="Tahoma" w:hAnsi="Tahoma" w:cs="Tahoma" w:hint="default"/>
      <w:b/>
      <w:bCs/>
      <w:color w:val="000000"/>
      <w:sz w:val="24"/>
      <w:szCs w:val="24"/>
      <w:shd w:val="clear" w:color="auto" w:fill="auto"/>
    </w:rPr>
  </w:style>
  <w:style w:type="character" w:customStyle="1" w:styleId="paragrafnr18">
    <w:name w:val="paragrafnr18"/>
    <w:basedOn w:val="Standardskrifttypeiafsnit"/>
    <w:rsid w:val="00397850"/>
    <w:rPr>
      <w:rFonts w:ascii="Tahoma" w:hAnsi="Tahoma" w:cs="Tahoma" w:hint="default"/>
      <w:b/>
      <w:bCs/>
      <w:color w:val="000000"/>
      <w:sz w:val="24"/>
      <w:szCs w:val="24"/>
      <w:shd w:val="clear" w:color="auto" w:fill="auto"/>
    </w:rPr>
  </w:style>
  <w:style w:type="character" w:customStyle="1" w:styleId="paragrafnr19">
    <w:name w:val="paragrafnr19"/>
    <w:basedOn w:val="Standardskrifttypeiafsnit"/>
    <w:rsid w:val="00397850"/>
    <w:rPr>
      <w:rFonts w:ascii="Tahoma" w:hAnsi="Tahoma" w:cs="Tahoma" w:hint="default"/>
      <w:b/>
      <w:bCs/>
      <w:color w:val="000000"/>
      <w:sz w:val="24"/>
      <w:szCs w:val="24"/>
      <w:shd w:val="clear" w:color="auto" w:fill="auto"/>
    </w:rPr>
  </w:style>
  <w:style w:type="character" w:customStyle="1" w:styleId="paragrafnr20">
    <w:name w:val="paragrafnr20"/>
    <w:basedOn w:val="Standardskrifttypeiafsnit"/>
    <w:rsid w:val="00397850"/>
    <w:rPr>
      <w:rFonts w:ascii="Tahoma" w:hAnsi="Tahoma" w:cs="Tahoma" w:hint="default"/>
      <w:b/>
      <w:bCs/>
      <w:color w:val="000000"/>
      <w:sz w:val="24"/>
      <w:szCs w:val="24"/>
      <w:shd w:val="clear" w:color="auto" w:fill="auto"/>
    </w:rPr>
  </w:style>
  <w:style w:type="character" w:customStyle="1" w:styleId="paragrafnr21">
    <w:name w:val="paragrafnr21"/>
    <w:basedOn w:val="Standardskrifttypeiafsnit"/>
    <w:rsid w:val="00397850"/>
    <w:rPr>
      <w:rFonts w:ascii="Tahoma" w:hAnsi="Tahoma" w:cs="Tahoma" w:hint="default"/>
      <w:b/>
      <w:bCs/>
      <w:color w:val="000000"/>
      <w:sz w:val="24"/>
      <w:szCs w:val="24"/>
      <w:shd w:val="clear" w:color="auto" w:fill="auto"/>
    </w:rPr>
  </w:style>
  <w:style w:type="character" w:customStyle="1" w:styleId="paragrafnr22">
    <w:name w:val="paragrafnr22"/>
    <w:basedOn w:val="Standardskrifttypeiafsnit"/>
    <w:rsid w:val="00397850"/>
    <w:rPr>
      <w:rFonts w:ascii="Tahoma" w:hAnsi="Tahoma" w:cs="Tahoma" w:hint="default"/>
      <w:b/>
      <w:bCs/>
      <w:color w:val="000000"/>
      <w:sz w:val="24"/>
      <w:szCs w:val="24"/>
      <w:shd w:val="clear" w:color="auto" w:fill="auto"/>
    </w:rPr>
  </w:style>
  <w:style w:type="character" w:customStyle="1" w:styleId="paragrafnr23">
    <w:name w:val="paragrafnr23"/>
    <w:basedOn w:val="Standardskrifttypeiafsnit"/>
    <w:rsid w:val="00397850"/>
    <w:rPr>
      <w:rFonts w:ascii="Tahoma" w:hAnsi="Tahoma" w:cs="Tahoma" w:hint="default"/>
      <w:b/>
      <w:bCs/>
      <w:color w:val="000000"/>
      <w:sz w:val="24"/>
      <w:szCs w:val="24"/>
      <w:shd w:val="clear" w:color="auto" w:fill="auto"/>
    </w:rPr>
  </w:style>
  <w:style w:type="character" w:customStyle="1" w:styleId="paragrafnr24">
    <w:name w:val="paragrafnr24"/>
    <w:basedOn w:val="Standardskrifttypeiafsnit"/>
    <w:rsid w:val="00397850"/>
    <w:rPr>
      <w:rFonts w:ascii="Tahoma" w:hAnsi="Tahoma" w:cs="Tahoma" w:hint="default"/>
      <w:b/>
      <w:bCs/>
      <w:color w:val="000000"/>
      <w:sz w:val="24"/>
      <w:szCs w:val="24"/>
      <w:shd w:val="clear" w:color="auto" w:fill="auto"/>
    </w:rPr>
  </w:style>
  <w:style w:type="character" w:customStyle="1" w:styleId="paragrafnr25">
    <w:name w:val="paragrafnr25"/>
    <w:basedOn w:val="Standardskrifttypeiafsnit"/>
    <w:rsid w:val="00397850"/>
    <w:rPr>
      <w:rFonts w:ascii="Tahoma" w:hAnsi="Tahoma" w:cs="Tahoma" w:hint="default"/>
      <w:b/>
      <w:bCs/>
      <w:color w:val="000000"/>
      <w:sz w:val="24"/>
      <w:szCs w:val="24"/>
      <w:shd w:val="clear" w:color="auto" w:fill="auto"/>
    </w:rPr>
  </w:style>
  <w:style w:type="character" w:customStyle="1" w:styleId="paragrafnr26">
    <w:name w:val="paragrafnr26"/>
    <w:basedOn w:val="Standardskrifttypeiafsnit"/>
    <w:rsid w:val="00397850"/>
    <w:rPr>
      <w:rFonts w:ascii="Tahoma" w:hAnsi="Tahoma" w:cs="Tahoma" w:hint="default"/>
      <w:b/>
      <w:bCs/>
      <w:color w:val="000000"/>
      <w:sz w:val="24"/>
      <w:szCs w:val="24"/>
      <w:shd w:val="clear" w:color="auto" w:fill="auto"/>
    </w:rPr>
  </w:style>
  <w:style w:type="character" w:styleId="Kommentarhenvisning">
    <w:name w:val="annotation reference"/>
    <w:basedOn w:val="Standardskrifttypeiafsnit"/>
    <w:uiPriority w:val="99"/>
    <w:semiHidden/>
    <w:unhideWhenUsed/>
    <w:rsid w:val="002D4209"/>
    <w:rPr>
      <w:sz w:val="16"/>
      <w:szCs w:val="16"/>
    </w:rPr>
  </w:style>
  <w:style w:type="paragraph" w:styleId="Kommentartekst">
    <w:name w:val="annotation text"/>
    <w:basedOn w:val="Normal"/>
    <w:link w:val="KommentartekstTegn"/>
    <w:uiPriority w:val="99"/>
    <w:semiHidden/>
    <w:unhideWhenUsed/>
    <w:rsid w:val="002D420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D4209"/>
    <w:rPr>
      <w:sz w:val="20"/>
      <w:szCs w:val="20"/>
    </w:rPr>
  </w:style>
  <w:style w:type="paragraph" w:styleId="Kommentaremne">
    <w:name w:val="annotation subject"/>
    <w:basedOn w:val="Kommentartekst"/>
    <w:next w:val="Kommentartekst"/>
    <w:link w:val="KommentaremneTegn"/>
    <w:uiPriority w:val="99"/>
    <w:semiHidden/>
    <w:unhideWhenUsed/>
    <w:rsid w:val="002D4209"/>
    <w:rPr>
      <w:b/>
      <w:bCs/>
    </w:rPr>
  </w:style>
  <w:style w:type="character" w:customStyle="1" w:styleId="KommentaremneTegn">
    <w:name w:val="Kommentaremne Tegn"/>
    <w:basedOn w:val="KommentartekstTegn"/>
    <w:link w:val="Kommentaremne"/>
    <w:uiPriority w:val="99"/>
    <w:semiHidden/>
    <w:rsid w:val="002D4209"/>
    <w:rPr>
      <w:b/>
      <w:bCs/>
      <w:sz w:val="20"/>
      <w:szCs w:val="20"/>
    </w:rPr>
  </w:style>
  <w:style w:type="paragraph" w:styleId="Markeringsbobletekst">
    <w:name w:val="Balloon Text"/>
    <w:basedOn w:val="Normal"/>
    <w:link w:val="MarkeringsbobletekstTegn"/>
    <w:uiPriority w:val="99"/>
    <w:semiHidden/>
    <w:unhideWhenUsed/>
    <w:rsid w:val="002D420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4209"/>
    <w:rPr>
      <w:rFonts w:ascii="Tahoma" w:hAnsi="Tahoma" w:cs="Tahoma"/>
      <w:sz w:val="16"/>
      <w:szCs w:val="16"/>
    </w:rPr>
  </w:style>
  <w:style w:type="character" w:customStyle="1" w:styleId="paragrafnr">
    <w:name w:val="paragrafnr"/>
    <w:basedOn w:val="Standardskrifttypeiafsnit"/>
    <w:rsid w:val="00AA59FC"/>
  </w:style>
  <w:style w:type="character" w:customStyle="1" w:styleId="stknr">
    <w:name w:val="stknr"/>
    <w:basedOn w:val="Standardskrifttypeiafsnit"/>
    <w:rsid w:val="00AA5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indledning2">
    <w:name w:val="indledning2"/>
    <w:basedOn w:val="Normal"/>
    <w:rsid w:val="00397850"/>
    <w:pPr>
      <w:spacing w:after="0" w:line="240" w:lineRule="auto"/>
      <w:ind w:firstLine="240"/>
    </w:pPr>
    <w:rPr>
      <w:rFonts w:ascii="Tahoma" w:eastAsia="Times New Roman" w:hAnsi="Tahoma" w:cs="Tahoma"/>
      <w:color w:val="000000"/>
      <w:sz w:val="24"/>
      <w:szCs w:val="24"/>
      <w:lang w:eastAsia="da-DK"/>
    </w:rPr>
  </w:style>
  <w:style w:type="paragraph" w:customStyle="1" w:styleId="kapitel">
    <w:name w:val="kapitel"/>
    <w:basedOn w:val="Normal"/>
    <w:rsid w:val="00397850"/>
    <w:pPr>
      <w:spacing w:before="400" w:after="100" w:line="240" w:lineRule="auto"/>
      <w:jc w:val="center"/>
    </w:pPr>
    <w:rPr>
      <w:rFonts w:ascii="Tahoma" w:eastAsia="Times New Roman" w:hAnsi="Tahoma" w:cs="Tahoma"/>
      <w:color w:val="000000"/>
      <w:sz w:val="24"/>
      <w:szCs w:val="24"/>
      <w:lang w:eastAsia="da-DK"/>
    </w:rPr>
  </w:style>
  <w:style w:type="paragraph" w:customStyle="1" w:styleId="kapiteloverskrift2">
    <w:name w:val="kapiteloverskrift2"/>
    <w:basedOn w:val="Normal"/>
    <w:rsid w:val="00397850"/>
    <w:pPr>
      <w:spacing w:after="100" w:line="240" w:lineRule="auto"/>
      <w:jc w:val="center"/>
    </w:pPr>
    <w:rPr>
      <w:rFonts w:ascii="Tahoma" w:eastAsia="Times New Roman" w:hAnsi="Tahoma" w:cs="Tahoma"/>
      <w:i/>
      <w:iCs/>
      <w:color w:val="000000"/>
      <w:sz w:val="24"/>
      <w:szCs w:val="24"/>
      <w:lang w:eastAsia="da-DK"/>
    </w:rPr>
  </w:style>
  <w:style w:type="paragraph" w:customStyle="1" w:styleId="paragraf">
    <w:name w:val="paragraf"/>
    <w:basedOn w:val="Normal"/>
    <w:rsid w:val="00397850"/>
    <w:pPr>
      <w:spacing w:before="200" w:after="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397850"/>
    <w:pPr>
      <w:spacing w:after="0" w:line="240" w:lineRule="auto"/>
      <w:ind w:firstLine="240"/>
    </w:pPr>
    <w:rPr>
      <w:rFonts w:ascii="Tahoma" w:eastAsia="Times New Roman" w:hAnsi="Tahoma" w:cs="Tahoma"/>
      <w:color w:val="000000"/>
      <w:sz w:val="24"/>
      <w:szCs w:val="24"/>
      <w:lang w:eastAsia="da-DK"/>
    </w:rPr>
  </w:style>
  <w:style w:type="paragraph" w:customStyle="1" w:styleId="liste1">
    <w:name w:val="liste1"/>
    <w:basedOn w:val="Normal"/>
    <w:rsid w:val="00397850"/>
    <w:pPr>
      <w:spacing w:after="0" w:line="240" w:lineRule="auto"/>
      <w:ind w:left="280"/>
    </w:pPr>
    <w:rPr>
      <w:rFonts w:ascii="Tahoma" w:eastAsia="Times New Roman" w:hAnsi="Tahoma" w:cs="Tahoma"/>
      <w:color w:val="000000"/>
      <w:sz w:val="24"/>
      <w:szCs w:val="24"/>
      <w:lang w:eastAsia="da-DK"/>
    </w:rPr>
  </w:style>
  <w:style w:type="paragraph" w:customStyle="1" w:styleId="titel2">
    <w:name w:val="titel2"/>
    <w:basedOn w:val="Normal"/>
    <w:rsid w:val="00397850"/>
    <w:pPr>
      <w:spacing w:before="200" w:line="240" w:lineRule="auto"/>
      <w:jc w:val="center"/>
    </w:pPr>
    <w:rPr>
      <w:rFonts w:ascii="Tahoma" w:eastAsia="Times New Roman" w:hAnsi="Tahoma" w:cs="Tahoma"/>
      <w:color w:val="000000"/>
      <w:sz w:val="40"/>
      <w:szCs w:val="40"/>
      <w:lang w:eastAsia="da-DK"/>
    </w:rPr>
  </w:style>
  <w:style w:type="character" w:customStyle="1" w:styleId="paragrafnr1">
    <w:name w:val="paragrafnr1"/>
    <w:basedOn w:val="Standardskrifttypeiafsnit"/>
    <w:rsid w:val="00397850"/>
    <w:rPr>
      <w:rFonts w:ascii="Tahoma" w:hAnsi="Tahoma" w:cs="Tahoma" w:hint="default"/>
      <w:b/>
      <w:bCs/>
      <w:color w:val="000000"/>
      <w:sz w:val="24"/>
      <w:szCs w:val="24"/>
      <w:shd w:val="clear" w:color="auto" w:fill="auto"/>
    </w:rPr>
  </w:style>
  <w:style w:type="character" w:customStyle="1" w:styleId="stknr1">
    <w:name w:val="stknr1"/>
    <w:basedOn w:val="Standardskrifttypeiafsnit"/>
    <w:rsid w:val="00397850"/>
    <w:rPr>
      <w:rFonts w:ascii="Tahoma" w:hAnsi="Tahoma" w:cs="Tahoma" w:hint="default"/>
      <w:i/>
      <w:iCs/>
      <w:color w:val="000000"/>
      <w:sz w:val="24"/>
      <w:szCs w:val="24"/>
      <w:shd w:val="clear" w:color="auto" w:fill="auto"/>
    </w:rPr>
  </w:style>
  <w:style w:type="character" w:customStyle="1" w:styleId="liste1nr1">
    <w:name w:val="liste1nr1"/>
    <w:basedOn w:val="Standardskrifttypeiafsnit"/>
    <w:rsid w:val="00397850"/>
    <w:rPr>
      <w:rFonts w:ascii="Tahoma" w:hAnsi="Tahoma" w:cs="Tahoma" w:hint="default"/>
      <w:color w:val="000000"/>
      <w:sz w:val="24"/>
      <w:szCs w:val="24"/>
      <w:shd w:val="clear" w:color="auto" w:fill="auto"/>
    </w:rPr>
  </w:style>
  <w:style w:type="character" w:customStyle="1" w:styleId="paragrafnr2">
    <w:name w:val="paragrafnr2"/>
    <w:basedOn w:val="Standardskrifttypeiafsnit"/>
    <w:rsid w:val="00397850"/>
    <w:rPr>
      <w:rFonts w:ascii="Tahoma" w:hAnsi="Tahoma" w:cs="Tahoma" w:hint="default"/>
      <w:b/>
      <w:bCs/>
      <w:color w:val="000000"/>
      <w:sz w:val="24"/>
      <w:szCs w:val="24"/>
      <w:shd w:val="clear" w:color="auto" w:fill="auto"/>
    </w:rPr>
  </w:style>
  <w:style w:type="character" w:customStyle="1" w:styleId="paragrafnr3">
    <w:name w:val="paragrafnr3"/>
    <w:basedOn w:val="Standardskrifttypeiafsnit"/>
    <w:rsid w:val="00397850"/>
    <w:rPr>
      <w:rFonts w:ascii="Tahoma" w:hAnsi="Tahoma" w:cs="Tahoma" w:hint="default"/>
      <w:b/>
      <w:bCs/>
      <w:color w:val="000000"/>
      <w:sz w:val="24"/>
      <w:szCs w:val="24"/>
      <w:shd w:val="clear" w:color="auto" w:fill="auto"/>
    </w:rPr>
  </w:style>
  <w:style w:type="character" w:customStyle="1" w:styleId="paragrafnr4">
    <w:name w:val="paragrafnr4"/>
    <w:basedOn w:val="Standardskrifttypeiafsnit"/>
    <w:rsid w:val="00397850"/>
    <w:rPr>
      <w:rFonts w:ascii="Tahoma" w:hAnsi="Tahoma" w:cs="Tahoma" w:hint="default"/>
      <w:b/>
      <w:bCs/>
      <w:color w:val="000000"/>
      <w:sz w:val="24"/>
      <w:szCs w:val="24"/>
      <w:shd w:val="clear" w:color="auto" w:fill="auto"/>
    </w:rPr>
  </w:style>
  <w:style w:type="character" w:customStyle="1" w:styleId="paragrafnr5">
    <w:name w:val="paragrafnr5"/>
    <w:basedOn w:val="Standardskrifttypeiafsnit"/>
    <w:rsid w:val="00397850"/>
    <w:rPr>
      <w:rFonts w:ascii="Tahoma" w:hAnsi="Tahoma" w:cs="Tahoma" w:hint="default"/>
      <w:b/>
      <w:bCs/>
      <w:color w:val="000000"/>
      <w:sz w:val="24"/>
      <w:szCs w:val="24"/>
      <w:shd w:val="clear" w:color="auto" w:fill="auto"/>
    </w:rPr>
  </w:style>
  <w:style w:type="character" w:customStyle="1" w:styleId="paragrafnr6">
    <w:name w:val="paragrafnr6"/>
    <w:basedOn w:val="Standardskrifttypeiafsnit"/>
    <w:rsid w:val="00397850"/>
    <w:rPr>
      <w:rFonts w:ascii="Tahoma" w:hAnsi="Tahoma" w:cs="Tahoma" w:hint="default"/>
      <w:b/>
      <w:bCs/>
      <w:color w:val="000000"/>
      <w:sz w:val="24"/>
      <w:szCs w:val="24"/>
      <w:shd w:val="clear" w:color="auto" w:fill="auto"/>
    </w:rPr>
  </w:style>
  <w:style w:type="character" w:customStyle="1" w:styleId="paragrafnr7">
    <w:name w:val="paragrafnr7"/>
    <w:basedOn w:val="Standardskrifttypeiafsnit"/>
    <w:rsid w:val="00397850"/>
    <w:rPr>
      <w:rFonts w:ascii="Tahoma" w:hAnsi="Tahoma" w:cs="Tahoma" w:hint="default"/>
      <w:b/>
      <w:bCs/>
      <w:color w:val="000000"/>
      <w:sz w:val="24"/>
      <w:szCs w:val="24"/>
      <w:shd w:val="clear" w:color="auto" w:fill="auto"/>
    </w:rPr>
  </w:style>
  <w:style w:type="character" w:customStyle="1" w:styleId="paragrafnr8">
    <w:name w:val="paragrafnr8"/>
    <w:basedOn w:val="Standardskrifttypeiafsnit"/>
    <w:rsid w:val="00397850"/>
    <w:rPr>
      <w:rFonts w:ascii="Tahoma" w:hAnsi="Tahoma" w:cs="Tahoma" w:hint="default"/>
      <w:b/>
      <w:bCs/>
      <w:color w:val="000000"/>
      <w:sz w:val="24"/>
      <w:szCs w:val="24"/>
      <w:shd w:val="clear" w:color="auto" w:fill="auto"/>
    </w:rPr>
  </w:style>
  <w:style w:type="character" w:customStyle="1" w:styleId="paragrafnr9">
    <w:name w:val="paragrafnr9"/>
    <w:basedOn w:val="Standardskrifttypeiafsnit"/>
    <w:rsid w:val="00397850"/>
    <w:rPr>
      <w:rFonts w:ascii="Tahoma" w:hAnsi="Tahoma" w:cs="Tahoma" w:hint="default"/>
      <w:b/>
      <w:bCs/>
      <w:color w:val="000000"/>
      <w:sz w:val="24"/>
      <w:szCs w:val="24"/>
      <w:shd w:val="clear" w:color="auto" w:fill="auto"/>
    </w:rPr>
  </w:style>
  <w:style w:type="character" w:customStyle="1" w:styleId="paragrafnr10">
    <w:name w:val="paragrafnr10"/>
    <w:basedOn w:val="Standardskrifttypeiafsnit"/>
    <w:rsid w:val="00397850"/>
    <w:rPr>
      <w:rFonts w:ascii="Tahoma" w:hAnsi="Tahoma" w:cs="Tahoma" w:hint="default"/>
      <w:b/>
      <w:bCs/>
      <w:color w:val="000000"/>
      <w:sz w:val="24"/>
      <w:szCs w:val="24"/>
      <w:shd w:val="clear" w:color="auto" w:fill="auto"/>
    </w:rPr>
  </w:style>
  <w:style w:type="character" w:customStyle="1" w:styleId="paragrafnr11">
    <w:name w:val="paragrafnr11"/>
    <w:basedOn w:val="Standardskrifttypeiafsnit"/>
    <w:rsid w:val="00397850"/>
    <w:rPr>
      <w:rFonts w:ascii="Tahoma" w:hAnsi="Tahoma" w:cs="Tahoma" w:hint="default"/>
      <w:b/>
      <w:bCs/>
      <w:color w:val="000000"/>
      <w:sz w:val="24"/>
      <w:szCs w:val="24"/>
      <w:shd w:val="clear" w:color="auto" w:fill="auto"/>
    </w:rPr>
  </w:style>
  <w:style w:type="character" w:customStyle="1" w:styleId="paragrafnr12">
    <w:name w:val="paragrafnr12"/>
    <w:basedOn w:val="Standardskrifttypeiafsnit"/>
    <w:rsid w:val="00397850"/>
    <w:rPr>
      <w:rFonts w:ascii="Tahoma" w:hAnsi="Tahoma" w:cs="Tahoma" w:hint="default"/>
      <w:b/>
      <w:bCs/>
      <w:color w:val="000000"/>
      <w:sz w:val="24"/>
      <w:szCs w:val="24"/>
      <w:shd w:val="clear" w:color="auto" w:fill="auto"/>
    </w:rPr>
  </w:style>
  <w:style w:type="character" w:customStyle="1" w:styleId="paragrafnr13">
    <w:name w:val="paragrafnr13"/>
    <w:basedOn w:val="Standardskrifttypeiafsnit"/>
    <w:rsid w:val="00397850"/>
    <w:rPr>
      <w:rFonts w:ascii="Tahoma" w:hAnsi="Tahoma" w:cs="Tahoma" w:hint="default"/>
      <w:b/>
      <w:bCs/>
      <w:color w:val="000000"/>
      <w:sz w:val="24"/>
      <w:szCs w:val="24"/>
      <w:shd w:val="clear" w:color="auto" w:fill="auto"/>
    </w:rPr>
  </w:style>
  <w:style w:type="character" w:customStyle="1" w:styleId="paragrafnr14">
    <w:name w:val="paragrafnr14"/>
    <w:basedOn w:val="Standardskrifttypeiafsnit"/>
    <w:rsid w:val="00397850"/>
    <w:rPr>
      <w:rFonts w:ascii="Tahoma" w:hAnsi="Tahoma" w:cs="Tahoma" w:hint="default"/>
      <w:b/>
      <w:bCs/>
      <w:color w:val="000000"/>
      <w:sz w:val="24"/>
      <w:szCs w:val="24"/>
      <w:shd w:val="clear" w:color="auto" w:fill="auto"/>
    </w:rPr>
  </w:style>
  <w:style w:type="character" w:customStyle="1" w:styleId="paragrafnr15">
    <w:name w:val="paragrafnr15"/>
    <w:basedOn w:val="Standardskrifttypeiafsnit"/>
    <w:rsid w:val="00397850"/>
    <w:rPr>
      <w:rFonts w:ascii="Tahoma" w:hAnsi="Tahoma" w:cs="Tahoma" w:hint="default"/>
      <w:b/>
      <w:bCs/>
      <w:color w:val="000000"/>
      <w:sz w:val="24"/>
      <w:szCs w:val="24"/>
      <w:shd w:val="clear" w:color="auto" w:fill="auto"/>
    </w:rPr>
  </w:style>
  <w:style w:type="character" w:customStyle="1" w:styleId="paragrafnr16">
    <w:name w:val="paragrafnr16"/>
    <w:basedOn w:val="Standardskrifttypeiafsnit"/>
    <w:rsid w:val="00397850"/>
    <w:rPr>
      <w:rFonts w:ascii="Tahoma" w:hAnsi="Tahoma" w:cs="Tahoma" w:hint="default"/>
      <w:b/>
      <w:bCs/>
      <w:color w:val="000000"/>
      <w:sz w:val="24"/>
      <w:szCs w:val="24"/>
      <w:shd w:val="clear" w:color="auto" w:fill="auto"/>
    </w:rPr>
  </w:style>
  <w:style w:type="character" w:customStyle="1" w:styleId="paragrafnr17">
    <w:name w:val="paragrafnr17"/>
    <w:basedOn w:val="Standardskrifttypeiafsnit"/>
    <w:rsid w:val="00397850"/>
    <w:rPr>
      <w:rFonts w:ascii="Tahoma" w:hAnsi="Tahoma" w:cs="Tahoma" w:hint="default"/>
      <w:b/>
      <w:bCs/>
      <w:color w:val="000000"/>
      <w:sz w:val="24"/>
      <w:szCs w:val="24"/>
      <w:shd w:val="clear" w:color="auto" w:fill="auto"/>
    </w:rPr>
  </w:style>
  <w:style w:type="character" w:customStyle="1" w:styleId="paragrafnr18">
    <w:name w:val="paragrafnr18"/>
    <w:basedOn w:val="Standardskrifttypeiafsnit"/>
    <w:rsid w:val="00397850"/>
    <w:rPr>
      <w:rFonts w:ascii="Tahoma" w:hAnsi="Tahoma" w:cs="Tahoma" w:hint="default"/>
      <w:b/>
      <w:bCs/>
      <w:color w:val="000000"/>
      <w:sz w:val="24"/>
      <w:szCs w:val="24"/>
      <w:shd w:val="clear" w:color="auto" w:fill="auto"/>
    </w:rPr>
  </w:style>
  <w:style w:type="character" w:customStyle="1" w:styleId="paragrafnr19">
    <w:name w:val="paragrafnr19"/>
    <w:basedOn w:val="Standardskrifttypeiafsnit"/>
    <w:rsid w:val="00397850"/>
    <w:rPr>
      <w:rFonts w:ascii="Tahoma" w:hAnsi="Tahoma" w:cs="Tahoma" w:hint="default"/>
      <w:b/>
      <w:bCs/>
      <w:color w:val="000000"/>
      <w:sz w:val="24"/>
      <w:szCs w:val="24"/>
      <w:shd w:val="clear" w:color="auto" w:fill="auto"/>
    </w:rPr>
  </w:style>
  <w:style w:type="character" w:customStyle="1" w:styleId="paragrafnr20">
    <w:name w:val="paragrafnr20"/>
    <w:basedOn w:val="Standardskrifttypeiafsnit"/>
    <w:rsid w:val="00397850"/>
    <w:rPr>
      <w:rFonts w:ascii="Tahoma" w:hAnsi="Tahoma" w:cs="Tahoma" w:hint="default"/>
      <w:b/>
      <w:bCs/>
      <w:color w:val="000000"/>
      <w:sz w:val="24"/>
      <w:szCs w:val="24"/>
      <w:shd w:val="clear" w:color="auto" w:fill="auto"/>
    </w:rPr>
  </w:style>
  <w:style w:type="character" w:customStyle="1" w:styleId="paragrafnr21">
    <w:name w:val="paragrafnr21"/>
    <w:basedOn w:val="Standardskrifttypeiafsnit"/>
    <w:rsid w:val="00397850"/>
    <w:rPr>
      <w:rFonts w:ascii="Tahoma" w:hAnsi="Tahoma" w:cs="Tahoma" w:hint="default"/>
      <w:b/>
      <w:bCs/>
      <w:color w:val="000000"/>
      <w:sz w:val="24"/>
      <w:szCs w:val="24"/>
      <w:shd w:val="clear" w:color="auto" w:fill="auto"/>
    </w:rPr>
  </w:style>
  <w:style w:type="character" w:customStyle="1" w:styleId="paragrafnr22">
    <w:name w:val="paragrafnr22"/>
    <w:basedOn w:val="Standardskrifttypeiafsnit"/>
    <w:rsid w:val="00397850"/>
    <w:rPr>
      <w:rFonts w:ascii="Tahoma" w:hAnsi="Tahoma" w:cs="Tahoma" w:hint="default"/>
      <w:b/>
      <w:bCs/>
      <w:color w:val="000000"/>
      <w:sz w:val="24"/>
      <w:szCs w:val="24"/>
      <w:shd w:val="clear" w:color="auto" w:fill="auto"/>
    </w:rPr>
  </w:style>
  <w:style w:type="character" w:customStyle="1" w:styleId="paragrafnr23">
    <w:name w:val="paragrafnr23"/>
    <w:basedOn w:val="Standardskrifttypeiafsnit"/>
    <w:rsid w:val="00397850"/>
    <w:rPr>
      <w:rFonts w:ascii="Tahoma" w:hAnsi="Tahoma" w:cs="Tahoma" w:hint="default"/>
      <w:b/>
      <w:bCs/>
      <w:color w:val="000000"/>
      <w:sz w:val="24"/>
      <w:szCs w:val="24"/>
      <w:shd w:val="clear" w:color="auto" w:fill="auto"/>
    </w:rPr>
  </w:style>
  <w:style w:type="character" w:customStyle="1" w:styleId="paragrafnr24">
    <w:name w:val="paragrafnr24"/>
    <w:basedOn w:val="Standardskrifttypeiafsnit"/>
    <w:rsid w:val="00397850"/>
    <w:rPr>
      <w:rFonts w:ascii="Tahoma" w:hAnsi="Tahoma" w:cs="Tahoma" w:hint="default"/>
      <w:b/>
      <w:bCs/>
      <w:color w:val="000000"/>
      <w:sz w:val="24"/>
      <w:szCs w:val="24"/>
      <w:shd w:val="clear" w:color="auto" w:fill="auto"/>
    </w:rPr>
  </w:style>
  <w:style w:type="character" w:customStyle="1" w:styleId="paragrafnr25">
    <w:name w:val="paragrafnr25"/>
    <w:basedOn w:val="Standardskrifttypeiafsnit"/>
    <w:rsid w:val="00397850"/>
    <w:rPr>
      <w:rFonts w:ascii="Tahoma" w:hAnsi="Tahoma" w:cs="Tahoma" w:hint="default"/>
      <w:b/>
      <w:bCs/>
      <w:color w:val="000000"/>
      <w:sz w:val="24"/>
      <w:szCs w:val="24"/>
      <w:shd w:val="clear" w:color="auto" w:fill="auto"/>
    </w:rPr>
  </w:style>
  <w:style w:type="character" w:customStyle="1" w:styleId="paragrafnr26">
    <w:name w:val="paragrafnr26"/>
    <w:basedOn w:val="Standardskrifttypeiafsnit"/>
    <w:rsid w:val="00397850"/>
    <w:rPr>
      <w:rFonts w:ascii="Tahoma" w:hAnsi="Tahoma" w:cs="Tahoma" w:hint="default"/>
      <w:b/>
      <w:bCs/>
      <w:color w:val="000000"/>
      <w:sz w:val="24"/>
      <w:szCs w:val="24"/>
      <w:shd w:val="clear" w:color="auto" w:fill="auto"/>
    </w:rPr>
  </w:style>
  <w:style w:type="character" w:styleId="Kommentarhenvisning">
    <w:name w:val="annotation reference"/>
    <w:basedOn w:val="Standardskrifttypeiafsnit"/>
    <w:uiPriority w:val="99"/>
    <w:semiHidden/>
    <w:unhideWhenUsed/>
    <w:rsid w:val="002D4209"/>
    <w:rPr>
      <w:sz w:val="16"/>
      <w:szCs w:val="16"/>
    </w:rPr>
  </w:style>
  <w:style w:type="paragraph" w:styleId="Kommentartekst">
    <w:name w:val="annotation text"/>
    <w:basedOn w:val="Normal"/>
    <w:link w:val="KommentartekstTegn"/>
    <w:uiPriority w:val="99"/>
    <w:semiHidden/>
    <w:unhideWhenUsed/>
    <w:rsid w:val="002D420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D4209"/>
    <w:rPr>
      <w:sz w:val="20"/>
      <w:szCs w:val="20"/>
    </w:rPr>
  </w:style>
  <w:style w:type="paragraph" w:styleId="Kommentaremne">
    <w:name w:val="annotation subject"/>
    <w:basedOn w:val="Kommentartekst"/>
    <w:next w:val="Kommentartekst"/>
    <w:link w:val="KommentaremneTegn"/>
    <w:uiPriority w:val="99"/>
    <w:semiHidden/>
    <w:unhideWhenUsed/>
    <w:rsid w:val="002D4209"/>
    <w:rPr>
      <w:b/>
      <w:bCs/>
    </w:rPr>
  </w:style>
  <w:style w:type="character" w:customStyle="1" w:styleId="KommentaremneTegn">
    <w:name w:val="Kommentaremne Tegn"/>
    <w:basedOn w:val="KommentartekstTegn"/>
    <w:link w:val="Kommentaremne"/>
    <w:uiPriority w:val="99"/>
    <w:semiHidden/>
    <w:rsid w:val="002D4209"/>
    <w:rPr>
      <w:b/>
      <w:bCs/>
      <w:sz w:val="20"/>
      <w:szCs w:val="20"/>
    </w:rPr>
  </w:style>
  <w:style w:type="paragraph" w:styleId="Markeringsbobletekst">
    <w:name w:val="Balloon Text"/>
    <w:basedOn w:val="Normal"/>
    <w:link w:val="MarkeringsbobletekstTegn"/>
    <w:uiPriority w:val="99"/>
    <w:semiHidden/>
    <w:unhideWhenUsed/>
    <w:rsid w:val="002D4209"/>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4209"/>
    <w:rPr>
      <w:rFonts w:ascii="Tahoma" w:hAnsi="Tahoma" w:cs="Tahoma"/>
      <w:sz w:val="16"/>
      <w:szCs w:val="16"/>
    </w:rPr>
  </w:style>
  <w:style w:type="character" w:customStyle="1" w:styleId="paragrafnr">
    <w:name w:val="paragrafnr"/>
    <w:basedOn w:val="Standardskrifttypeiafsnit"/>
    <w:rsid w:val="00AA59FC"/>
  </w:style>
  <w:style w:type="character" w:customStyle="1" w:styleId="stknr">
    <w:name w:val="stknr"/>
    <w:basedOn w:val="Standardskrifttypeiafsnit"/>
    <w:rsid w:val="00AA5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1083">
      <w:bodyDiv w:val="1"/>
      <w:marLeft w:val="0"/>
      <w:marRight w:val="0"/>
      <w:marTop w:val="0"/>
      <w:marBottom w:val="0"/>
      <w:divBdr>
        <w:top w:val="none" w:sz="0" w:space="0" w:color="auto"/>
        <w:left w:val="none" w:sz="0" w:space="0" w:color="auto"/>
        <w:bottom w:val="none" w:sz="0" w:space="0" w:color="auto"/>
        <w:right w:val="none" w:sz="0" w:space="0" w:color="auto"/>
      </w:divBdr>
      <w:divsChild>
        <w:div w:id="967588478">
          <w:marLeft w:val="0"/>
          <w:marRight w:val="0"/>
          <w:marTop w:val="0"/>
          <w:marBottom w:val="300"/>
          <w:divBdr>
            <w:top w:val="none" w:sz="0" w:space="0" w:color="auto"/>
            <w:left w:val="none" w:sz="0" w:space="0" w:color="auto"/>
            <w:bottom w:val="none" w:sz="0" w:space="0" w:color="auto"/>
            <w:right w:val="none" w:sz="0" w:space="0" w:color="auto"/>
          </w:divBdr>
          <w:divsChild>
            <w:div w:id="1926566985">
              <w:marLeft w:val="0"/>
              <w:marRight w:val="0"/>
              <w:marTop w:val="0"/>
              <w:marBottom w:val="0"/>
              <w:divBdr>
                <w:top w:val="none" w:sz="0" w:space="0" w:color="auto"/>
                <w:left w:val="single" w:sz="6" w:space="1" w:color="FFFFFF"/>
                <w:bottom w:val="none" w:sz="0" w:space="0" w:color="auto"/>
                <w:right w:val="single" w:sz="6" w:space="1" w:color="FFFFFF"/>
              </w:divBdr>
              <w:divsChild>
                <w:div w:id="123475325">
                  <w:marLeft w:val="0"/>
                  <w:marRight w:val="0"/>
                  <w:marTop w:val="0"/>
                  <w:marBottom w:val="0"/>
                  <w:divBdr>
                    <w:top w:val="none" w:sz="0" w:space="0" w:color="auto"/>
                    <w:left w:val="none" w:sz="0" w:space="0" w:color="auto"/>
                    <w:bottom w:val="none" w:sz="0" w:space="0" w:color="auto"/>
                    <w:right w:val="none" w:sz="0" w:space="0" w:color="auto"/>
                  </w:divBdr>
                  <w:divsChild>
                    <w:div w:id="641423797">
                      <w:marLeft w:val="0"/>
                      <w:marRight w:val="0"/>
                      <w:marTop w:val="0"/>
                      <w:marBottom w:val="0"/>
                      <w:divBdr>
                        <w:top w:val="none" w:sz="0" w:space="0" w:color="auto"/>
                        <w:left w:val="none" w:sz="0" w:space="0" w:color="auto"/>
                        <w:bottom w:val="none" w:sz="0" w:space="0" w:color="auto"/>
                        <w:right w:val="none" w:sz="0" w:space="0" w:color="auto"/>
                      </w:divBdr>
                      <w:divsChild>
                        <w:div w:id="589312885">
                          <w:marLeft w:val="0"/>
                          <w:marRight w:val="0"/>
                          <w:marTop w:val="0"/>
                          <w:marBottom w:val="0"/>
                          <w:divBdr>
                            <w:top w:val="none" w:sz="0" w:space="0" w:color="auto"/>
                            <w:left w:val="none" w:sz="0" w:space="0" w:color="auto"/>
                            <w:bottom w:val="none" w:sz="0" w:space="0" w:color="auto"/>
                            <w:right w:val="none" w:sz="0" w:space="0" w:color="auto"/>
                          </w:divBdr>
                          <w:divsChild>
                            <w:div w:id="62530947">
                              <w:marLeft w:val="0"/>
                              <w:marRight w:val="0"/>
                              <w:marTop w:val="0"/>
                              <w:marBottom w:val="0"/>
                              <w:divBdr>
                                <w:top w:val="none" w:sz="0" w:space="0" w:color="auto"/>
                                <w:left w:val="none" w:sz="0" w:space="0" w:color="auto"/>
                                <w:bottom w:val="none" w:sz="0" w:space="0" w:color="auto"/>
                                <w:right w:val="none" w:sz="0" w:space="0" w:color="auto"/>
                              </w:divBdr>
                              <w:divsChild>
                                <w:div w:id="1764109131">
                                  <w:marLeft w:val="0"/>
                                  <w:marRight w:val="0"/>
                                  <w:marTop w:val="0"/>
                                  <w:marBottom w:val="0"/>
                                  <w:divBdr>
                                    <w:top w:val="none" w:sz="0" w:space="0" w:color="auto"/>
                                    <w:left w:val="none" w:sz="0" w:space="0" w:color="auto"/>
                                    <w:bottom w:val="none" w:sz="0" w:space="0" w:color="auto"/>
                                    <w:right w:val="none" w:sz="0" w:space="0" w:color="auto"/>
                                  </w:divBdr>
                                  <w:divsChild>
                                    <w:div w:id="125713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C19AB-F0D1-42FE-AF6D-168D79872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2077</Words>
  <Characters>12673</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14721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Rau Brysting</dc:creator>
  <cp:lastModifiedBy>Undervisningsministeriet</cp:lastModifiedBy>
  <cp:revision>3</cp:revision>
  <cp:lastPrinted>2018-10-12T06:44:00Z</cp:lastPrinted>
  <dcterms:created xsi:type="dcterms:W3CDTF">2018-11-26T13:41:00Z</dcterms:created>
  <dcterms:modified xsi:type="dcterms:W3CDTF">2018-11-28T11:52:00Z</dcterms:modified>
</cp:coreProperties>
</file>