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B3AB" w14:textId="6F48A82D" w:rsidR="00E22CDE" w:rsidRDefault="000B199F" w:rsidP="00AE59C5">
      <w:pPr>
        <w:pStyle w:val="Pagedecouverture"/>
      </w:pPr>
      <w:r>
        <w:pict w14:anchorId="1AB530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95D6C73-8C43-4783-A36D-CB3C33F2202C" style="width:455.25pt;height:381.75pt">
            <v:imagedata r:id="rId7" o:title=""/>
          </v:shape>
        </w:pict>
      </w:r>
    </w:p>
    <w:p w14:paraId="6B70914B" w14:textId="77777777" w:rsidR="00E22CDE" w:rsidRDefault="00E22CDE" w:rsidP="00E22CDE">
      <w:pPr>
        <w:sectPr w:rsidR="00E22CDE" w:rsidSect="00AE59C5">
          <w:footerReference w:type="even" r:id="rId8"/>
          <w:footerReference w:type="default" r:id="rId9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5882D2D8" w14:textId="77777777" w:rsidR="00E22CDE" w:rsidRDefault="00E22CDE" w:rsidP="00E22CDE">
      <w:pPr>
        <w:pStyle w:val="Annexetitre"/>
      </w:pPr>
      <w:r w:rsidRPr="00E22CDE">
        <w:lastRenderedPageBreak/>
        <w:t xml:space="preserve">ANNEX </w:t>
      </w:r>
    </w:p>
    <w:p w14:paraId="7CEFCC1B" w14:textId="77777777" w:rsidR="00E22CDE" w:rsidRPr="00FA42BF" w:rsidRDefault="00E22CDE" w:rsidP="00E22CDE">
      <w:pPr>
        <w:rPr>
          <w:rStyle w:val="Marker"/>
          <w:i/>
          <w:color w:val="auto"/>
        </w:rPr>
      </w:pPr>
      <w:r w:rsidRPr="00FA42BF">
        <w:rPr>
          <w:rStyle w:val="Marker"/>
          <w:color w:val="auto"/>
        </w:rPr>
        <w:t>Annex III to Regulation (EC) No 853/2004 is amended as follows:</w:t>
      </w:r>
    </w:p>
    <w:p w14:paraId="16762DDC" w14:textId="77777777" w:rsidR="00E22CDE" w:rsidRPr="00FA42BF" w:rsidRDefault="00E22CDE" w:rsidP="00E22CDE">
      <w:pPr>
        <w:pStyle w:val="Listeafsnit"/>
        <w:numPr>
          <w:ilvl w:val="0"/>
          <w:numId w:val="16"/>
        </w:numPr>
        <w:rPr>
          <w:rStyle w:val="Marker"/>
          <w:color w:val="auto"/>
        </w:rPr>
      </w:pPr>
      <w:r w:rsidRPr="00FA42BF">
        <w:rPr>
          <w:rStyle w:val="Marker"/>
          <w:color w:val="auto"/>
        </w:rPr>
        <w:t>in Section I, in Chapter VII, point 4 is replaced by the following:</w:t>
      </w:r>
    </w:p>
    <w:p w14:paraId="4ECA02C0" w14:textId="77777777" w:rsidR="00E22CDE" w:rsidRDefault="00E22CDE" w:rsidP="00E22CDE">
      <w:pPr>
        <w:ind w:left="708"/>
      </w:pPr>
      <w:r w:rsidRPr="00FA42BF">
        <w:rPr>
          <w:rStyle w:val="Marker"/>
          <w:color w:val="auto"/>
        </w:rPr>
        <w:t xml:space="preserve">‘4. </w:t>
      </w:r>
      <w:r>
        <w:t xml:space="preserve">Meat intended for freezing: </w:t>
      </w:r>
    </w:p>
    <w:p w14:paraId="36D85193" w14:textId="268BFA5A" w:rsidR="00E22CDE" w:rsidRPr="000B199F" w:rsidRDefault="00A12982" w:rsidP="00E22CDE">
      <w:pPr>
        <w:pStyle w:val="Listeafsnit"/>
        <w:numPr>
          <w:ilvl w:val="0"/>
          <w:numId w:val="17"/>
        </w:numPr>
        <w:spacing w:before="0" w:after="160" w:line="259" w:lineRule="auto"/>
        <w:ind w:left="1560"/>
        <w:jc w:val="left"/>
        <w:rPr>
          <w:b/>
          <w:bCs/>
        </w:rPr>
      </w:pPr>
      <w:r w:rsidRPr="000B199F">
        <w:rPr>
          <w:b/>
          <w:bCs/>
        </w:rPr>
        <w:t xml:space="preserve">must be frozen within 6 days after slaughter when stored and transported at a temperature of maximum 7°C immediately after </w:t>
      </w:r>
      <w:proofErr w:type="spellStart"/>
      <w:r w:rsidRPr="000B199F">
        <w:rPr>
          <w:b/>
          <w:bCs/>
        </w:rPr>
        <w:t>slaugher</w:t>
      </w:r>
      <w:proofErr w:type="spellEnd"/>
      <w:r w:rsidRPr="000B199F">
        <w:rPr>
          <w:b/>
          <w:bCs/>
        </w:rPr>
        <w:t xml:space="preserve"> </w:t>
      </w:r>
      <w:r w:rsidR="00E22CDE" w:rsidRPr="000B199F">
        <w:rPr>
          <w:b/>
          <w:bCs/>
          <w:strike/>
        </w:rPr>
        <w:t>without undue delay, taking into account where necessary a stabilisation period before freezing</w:t>
      </w:r>
      <w:r w:rsidR="00E22CDE" w:rsidRPr="000B199F">
        <w:rPr>
          <w:b/>
          <w:bCs/>
        </w:rPr>
        <w:t>; or,</w:t>
      </w:r>
    </w:p>
    <w:p w14:paraId="23BE355E" w14:textId="77777777" w:rsidR="00E22CDE" w:rsidRPr="00FA42BF" w:rsidRDefault="00E22CDE" w:rsidP="00E22CDE">
      <w:pPr>
        <w:pStyle w:val="Listeafsnit"/>
        <w:numPr>
          <w:ilvl w:val="0"/>
          <w:numId w:val="17"/>
        </w:numPr>
        <w:spacing w:before="0" w:after="160" w:line="259" w:lineRule="auto"/>
        <w:ind w:left="1560"/>
        <w:jc w:val="left"/>
        <w:rPr>
          <w:b/>
          <w:bCs/>
          <w:u w:val="single"/>
        </w:rPr>
      </w:pPr>
      <w:r w:rsidRPr="00FA42BF">
        <w:rPr>
          <w:b/>
          <w:bCs/>
          <w:u w:val="single"/>
        </w:rPr>
        <w:t>may be frozen until 14 days after slaughter whe</w:t>
      </w:r>
      <w:r>
        <w:rPr>
          <w:b/>
          <w:bCs/>
          <w:u w:val="single"/>
        </w:rPr>
        <w:t>re</w:t>
      </w:r>
      <w:r w:rsidRPr="00FA42BF">
        <w:rPr>
          <w:b/>
          <w:bCs/>
          <w:u w:val="single"/>
        </w:rPr>
        <w:t xml:space="preserve"> stored and transported at 3°C immediately after slaughter; or</w:t>
      </w:r>
    </w:p>
    <w:p w14:paraId="53121D21" w14:textId="77777777" w:rsidR="00E22CDE" w:rsidRPr="00FA42BF" w:rsidRDefault="00E22CDE" w:rsidP="00E22CDE">
      <w:pPr>
        <w:pStyle w:val="Listeafsnit"/>
        <w:numPr>
          <w:ilvl w:val="0"/>
          <w:numId w:val="17"/>
        </w:numPr>
        <w:spacing w:before="0" w:after="160" w:line="259" w:lineRule="auto"/>
        <w:ind w:left="1560"/>
        <w:jc w:val="left"/>
        <w:rPr>
          <w:b/>
          <w:bCs/>
          <w:u w:val="single"/>
        </w:rPr>
      </w:pPr>
      <w:r w:rsidRPr="00FA42BF">
        <w:rPr>
          <w:b/>
          <w:bCs/>
          <w:u w:val="single"/>
        </w:rPr>
        <w:t xml:space="preserve">may be frozen after storage and transport under other time/temperature conditions if </w:t>
      </w:r>
      <w:r>
        <w:rPr>
          <w:b/>
          <w:bCs/>
          <w:u w:val="single"/>
        </w:rPr>
        <w:t xml:space="preserve">the food business operator can </w:t>
      </w:r>
      <w:r w:rsidRPr="00FA42BF">
        <w:rPr>
          <w:b/>
          <w:bCs/>
          <w:u w:val="single"/>
        </w:rPr>
        <w:t>demonstrat</w:t>
      </w:r>
      <w:r>
        <w:rPr>
          <w:b/>
          <w:bCs/>
          <w:u w:val="single"/>
        </w:rPr>
        <w:t>e</w:t>
      </w:r>
      <w:r w:rsidRPr="00FA42BF">
        <w:rPr>
          <w:b/>
          <w:bCs/>
          <w:u w:val="single"/>
        </w:rPr>
        <w:t xml:space="preserve"> to the satisfaction of the competent authorities that the maximum daily mean aerobic colony count (ACC) on the surface is log10</w:t>
      </w:r>
      <w:r w:rsidRPr="00FA42BF">
        <w:rPr>
          <w:b/>
          <w:bCs/>
          <w:u w:val="single"/>
          <w:vertAlign w:val="superscript"/>
        </w:rPr>
        <w:t xml:space="preserve"> 3</w:t>
      </w:r>
      <w:r w:rsidRPr="00FA42BF">
        <w:rPr>
          <w:b/>
          <w:bCs/>
          <w:u w:val="single"/>
        </w:rPr>
        <w:t xml:space="preserve"> </w:t>
      </w:r>
      <w:proofErr w:type="spellStart"/>
      <w:r w:rsidRPr="00FA42BF">
        <w:rPr>
          <w:b/>
          <w:bCs/>
          <w:u w:val="single"/>
        </w:rPr>
        <w:t>cfu</w:t>
      </w:r>
      <w:proofErr w:type="spellEnd"/>
      <w:r w:rsidRPr="00FA42BF">
        <w:rPr>
          <w:b/>
          <w:bCs/>
          <w:u w:val="single"/>
        </w:rPr>
        <w:t>/cm</w:t>
      </w:r>
      <w:r w:rsidRPr="00FA42BF">
        <w:rPr>
          <w:b/>
          <w:bCs/>
          <w:u w:val="single"/>
          <w:vertAlign w:val="superscript"/>
        </w:rPr>
        <w:t>2</w:t>
      </w:r>
      <w:r w:rsidRPr="00FA42BF">
        <w:rPr>
          <w:b/>
          <w:bCs/>
          <w:u w:val="single"/>
        </w:rPr>
        <w:t xml:space="preserve"> (or log10</w:t>
      </w:r>
      <w:r w:rsidRPr="00FA42BF">
        <w:rPr>
          <w:b/>
          <w:bCs/>
          <w:u w:val="single"/>
          <w:vertAlign w:val="superscript"/>
        </w:rPr>
        <w:t>3,5</w:t>
      </w:r>
      <w:r w:rsidRPr="00FA42BF">
        <w:rPr>
          <w:b/>
          <w:bCs/>
          <w:u w:val="single"/>
        </w:rPr>
        <w:t xml:space="preserve"> </w:t>
      </w:r>
      <w:proofErr w:type="spellStart"/>
      <w:r w:rsidRPr="00FA42BF">
        <w:rPr>
          <w:b/>
          <w:bCs/>
          <w:u w:val="single"/>
        </w:rPr>
        <w:t>cfu</w:t>
      </w:r>
      <w:proofErr w:type="spellEnd"/>
      <w:r w:rsidRPr="00FA42BF">
        <w:rPr>
          <w:b/>
          <w:bCs/>
          <w:u w:val="single"/>
        </w:rPr>
        <w:t>/cm</w:t>
      </w:r>
      <w:r w:rsidRPr="00FA42BF">
        <w:rPr>
          <w:b/>
          <w:bCs/>
          <w:u w:val="single"/>
          <w:vertAlign w:val="superscript"/>
        </w:rPr>
        <w:t>2</w:t>
      </w:r>
      <w:r w:rsidRPr="00FA42BF">
        <w:rPr>
          <w:b/>
          <w:bCs/>
          <w:u w:val="single"/>
        </w:rPr>
        <w:t>) on samples taken maximum 24h before freezing using a continuous rolling window</w:t>
      </w:r>
      <w:r w:rsidRPr="00FA42BF">
        <w:rPr>
          <w:u w:val="single"/>
        </w:rPr>
        <w:t xml:space="preserve"> </w:t>
      </w:r>
      <w:r w:rsidRPr="00FA42BF">
        <w:rPr>
          <w:b/>
          <w:bCs/>
          <w:u w:val="single"/>
        </w:rPr>
        <w:t xml:space="preserve">of 10 weeks according to the sampling and testing procedures laid </w:t>
      </w:r>
      <w:r>
        <w:rPr>
          <w:b/>
          <w:bCs/>
          <w:u w:val="single"/>
        </w:rPr>
        <w:t>down</w:t>
      </w:r>
      <w:r w:rsidRPr="00FA42BF">
        <w:rPr>
          <w:b/>
          <w:bCs/>
          <w:u w:val="single"/>
        </w:rPr>
        <w:t xml:space="preserve"> in </w:t>
      </w:r>
      <w:r>
        <w:rPr>
          <w:b/>
          <w:bCs/>
          <w:u w:val="single"/>
        </w:rPr>
        <w:t>rows</w:t>
      </w:r>
      <w:r w:rsidRPr="00FA42BF">
        <w:rPr>
          <w:b/>
          <w:bCs/>
          <w:u w:val="single"/>
        </w:rPr>
        <w:t xml:space="preserve"> 2.1.1, 2.1.2 of Chapter 2, and point 3.2 of Chapter 3 of Annex I to Commission Regulation (EC) No 2073/2005</w:t>
      </w:r>
      <w:r>
        <w:rPr>
          <w:b/>
          <w:bCs/>
          <w:u w:val="single"/>
        </w:rPr>
        <w:t>.</w:t>
      </w:r>
    </w:p>
    <w:p w14:paraId="78F46DDA" w14:textId="77777777" w:rsidR="00E22CDE" w:rsidRDefault="00E22CDE" w:rsidP="00E22CDE">
      <w:pPr>
        <w:ind w:left="720"/>
      </w:pPr>
      <w:r>
        <w:t>However, food business operators carrying out a retail activity may freeze meat in view of its redistribution for the purpose of food donations in accordance with the following conditions:</w:t>
      </w:r>
    </w:p>
    <w:p w14:paraId="54272F7E" w14:textId="77777777" w:rsidR="00E22CDE" w:rsidRDefault="00E22CDE" w:rsidP="00E22CDE">
      <w:pPr>
        <w:ind w:left="720"/>
      </w:pPr>
      <w:r>
        <w:t>(i) in the case of meat for which a ‘use by’ date is applied in accordance with Article 24 of Regulation (EU) No 1169/2011 of the European Parliament and of the Council (</w:t>
      </w:r>
      <w:r w:rsidRPr="00820C4B">
        <w:rPr>
          <w:vertAlign w:val="superscript"/>
        </w:rPr>
        <w:t>1</w:t>
      </w:r>
      <w:r>
        <w:t>), before the expiry of that date;</w:t>
      </w:r>
    </w:p>
    <w:p w14:paraId="7E55D2CE" w14:textId="77777777" w:rsidR="00E22CDE" w:rsidRDefault="00E22CDE" w:rsidP="00E22CDE">
      <w:pPr>
        <w:ind w:firstLine="720"/>
      </w:pPr>
      <w:r>
        <w:t>(ii) without undue delay to a temperature of – 18 °C or lower;</w:t>
      </w:r>
    </w:p>
    <w:p w14:paraId="3D852777" w14:textId="77777777" w:rsidR="00E22CDE" w:rsidRDefault="00E22CDE" w:rsidP="00E22CDE">
      <w:pPr>
        <w:ind w:left="720"/>
      </w:pPr>
      <w:r>
        <w:t>(iii) ensuring that the date of freezing is documented and provided either on the label or by other means;</w:t>
      </w:r>
    </w:p>
    <w:p w14:paraId="3847D92C" w14:textId="77777777" w:rsidR="00E22CDE" w:rsidRDefault="00E22CDE" w:rsidP="00E22CDE">
      <w:pPr>
        <w:ind w:firstLine="720"/>
      </w:pPr>
      <w:r>
        <w:t>(iv) excluding meat that has been frozen before (defrosted meat); and,</w:t>
      </w:r>
    </w:p>
    <w:p w14:paraId="376337C3" w14:textId="77777777" w:rsidR="00E22CDE" w:rsidRDefault="00E22CDE" w:rsidP="00E22CDE">
      <w:pPr>
        <w:ind w:left="720"/>
        <w:rPr>
          <w:rStyle w:val="Marker"/>
          <w:color w:val="auto"/>
        </w:rPr>
      </w:pPr>
      <w:r>
        <w:t>(v) in accordance with any condition laid down by the</w:t>
      </w:r>
      <w:r w:rsidRPr="00820C4B">
        <w:t xml:space="preserve"> competent authorities for freezing and further use as food</w:t>
      </w:r>
      <w:r w:rsidRPr="00FA42BF">
        <w:rPr>
          <w:rStyle w:val="Marker"/>
          <w:color w:val="auto"/>
        </w:rPr>
        <w:t>.’</w:t>
      </w:r>
    </w:p>
    <w:p w14:paraId="745F1851" w14:textId="77777777" w:rsidR="00E22CDE" w:rsidRPr="00FA42BF" w:rsidRDefault="00E22CDE" w:rsidP="00E22CDE">
      <w:pPr>
        <w:pStyle w:val="Listeafsnit"/>
        <w:numPr>
          <w:ilvl w:val="0"/>
          <w:numId w:val="16"/>
        </w:numPr>
        <w:rPr>
          <w:rStyle w:val="Marker"/>
          <w:color w:val="auto"/>
        </w:rPr>
      </w:pPr>
      <w:r w:rsidRPr="00FA42BF">
        <w:rPr>
          <w:rStyle w:val="Marker"/>
          <w:color w:val="auto"/>
        </w:rPr>
        <w:t>in Section I</w:t>
      </w:r>
      <w:r>
        <w:rPr>
          <w:rStyle w:val="Marker"/>
          <w:color w:val="auto"/>
        </w:rPr>
        <w:t>II</w:t>
      </w:r>
      <w:r w:rsidRPr="00FA42BF">
        <w:rPr>
          <w:rStyle w:val="Marker"/>
          <w:color w:val="auto"/>
        </w:rPr>
        <w:t xml:space="preserve">, point </w:t>
      </w:r>
      <w:r>
        <w:rPr>
          <w:rStyle w:val="Marker"/>
          <w:color w:val="auto"/>
        </w:rPr>
        <w:t>1</w:t>
      </w:r>
      <w:r w:rsidRPr="00FA42BF">
        <w:rPr>
          <w:rStyle w:val="Marker"/>
          <w:color w:val="auto"/>
        </w:rPr>
        <w:t xml:space="preserve"> is replaced by the following:</w:t>
      </w:r>
    </w:p>
    <w:p w14:paraId="7F34CB84" w14:textId="77777777" w:rsidR="00E22CDE" w:rsidRPr="00FA42BF" w:rsidRDefault="00E22CDE" w:rsidP="00E22CDE">
      <w:pPr>
        <w:ind w:left="360"/>
        <w:rPr>
          <w:rStyle w:val="Marker"/>
          <w:color w:val="auto"/>
        </w:rPr>
      </w:pPr>
      <w:r w:rsidRPr="00FA42BF">
        <w:rPr>
          <w:rStyle w:val="Marker"/>
          <w:color w:val="auto"/>
        </w:rPr>
        <w:t>‘</w:t>
      </w:r>
      <w:r>
        <w:rPr>
          <w:rStyle w:val="Marker"/>
          <w:color w:val="auto"/>
        </w:rPr>
        <w:t>1</w:t>
      </w:r>
      <w:r w:rsidRPr="00FA42BF">
        <w:rPr>
          <w:rStyle w:val="Marker"/>
          <w:color w:val="auto"/>
        </w:rPr>
        <w:t xml:space="preserve">. </w:t>
      </w:r>
      <w:r w:rsidRPr="00820C4B">
        <w:rPr>
          <w:rStyle w:val="Marker"/>
          <w:color w:val="auto"/>
        </w:rPr>
        <w:t xml:space="preserve">The provisions of Section I apply to the production and placing on the market of meat from even-toed farmed game </w:t>
      </w:r>
      <w:r w:rsidRPr="007500A3">
        <w:rPr>
          <w:rStyle w:val="Marker"/>
          <w:color w:val="auto"/>
        </w:rPr>
        <w:t xml:space="preserve">mammals </w:t>
      </w:r>
      <w:r w:rsidRPr="00820C4B">
        <w:rPr>
          <w:rStyle w:val="Marker"/>
          <w:b/>
          <w:bCs/>
          <w:color w:val="auto"/>
          <w:u w:val="single"/>
        </w:rPr>
        <w:t>with the exception of point 4 (ii) and (iii) of Chapter VII</w:t>
      </w:r>
      <w:r>
        <w:rPr>
          <w:rStyle w:val="Marker"/>
          <w:color w:val="auto"/>
        </w:rPr>
        <w:t xml:space="preserve"> and</w:t>
      </w:r>
      <w:r w:rsidRPr="00820C4B">
        <w:rPr>
          <w:rStyle w:val="Marker"/>
          <w:color w:val="auto"/>
        </w:rPr>
        <w:t xml:space="preserve"> unless the competent authority considers them inappropriate.</w:t>
      </w:r>
      <w:r w:rsidRPr="00FA42BF">
        <w:rPr>
          <w:rStyle w:val="Marker"/>
          <w:color w:val="auto"/>
        </w:rPr>
        <w:t>’</w:t>
      </w:r>
    </w:p>
    <w:p w14:paraId="2DDF9830" w14:textId="77777777" w:rsidR="00905D22" w:rsidRPr="00E22CDE" w:rsidRDefault="00905D22" w:rsidP="00E22CDE"/>
    <w:sectPr w:rsidR="00905D22" w:rsidRPr="00E22CDE" w:rsidSect="00AE59C5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40D26" w14:textId="77777777" w:rsidR="00E22CDE" w:rsidRDefault="00E22CDE" w:rsidP="00E22CDE">
      <w:pPr>
        <w:spacing w:before="0" w:after="0"/>
      </w:pPr>
      <w:r>
        <w:separator/>
      </w:r>
    </w:p>
  </w:endnote>
  <w:endnote w:type="continuationSeparator" w:id="0">
    <w:p w14:paraId="431EDC2E" w14:textId="77777777" w:rsidR="00E22CDE" w:rsidRDefault="00E22CDE" w:rsidP="00E22C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F38C4" w14:textId="4BAC1225" w:rsidR="00E22CDE" w:rsidRPr="00AE59C5" w:rsidRDefault="00AE59C5" w:rsidP="00AE59C5">
    <w:pPr>
      <w:pStyle w:val="Sidefod"/>
      <w:rPr>
        <w:rFonts w:ascii="Arial" w:hAnsi="Arial" w:cs="Arial"/>
        <w:b/>
        <w:sz w:val="48"/>
      </w:rPr>
    </w:pPr>
    <w:r w:rsidRPr="00AE59C5">
      <w:rPr>
        <w:rFonts w:ascii="Arial" w:hAnsi="Arial" w:cs="Arial"/>
        <w:b/>
        <w:sz w:val="48"/>
      </w:rPr>
      <w:t>EN</w:t>
    </w:r>
    <w:r w:rsidRPr="00AE59C5">
      <w:rPr>
        <w:rFonts w:ascii="Arial" w:hAnsi="Arial" w:cs="Arial"/>
        <w:b/>
        <w:sz w:val="48"/>
      </w:rPr>
      <w:tab/>
    </w:r>
    <w:r w:rsidRPr="00AE59C5">
      <w:rPr>
        <w:rFonts w:ascii="Arial" w:hAnsi="Arial" w:cs="Arial"/>
        <w:b/>
        <w:sz w:val="48"/>
      </w:rPr>
      <w:tab/>
    </w:r>
    <w:r w:rsidRPr="00AE59C5">
      <w:tab/>
    </w:r>
    <w:r w:rsidRPr="00AE59C5">
      <w:rPr>
        <w:rFonts w:ascii="Arial" w:hAnsi="Arial" w:cs="Arial"/>
        <w:b/>
        <w:sz w:val="48"/>
      </w:rPr>
      <w:t>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62BE" w14:textId="29BF2C7C" w:rsidR="00E22CDE" w:rsidRPr="00AE59C5" w:rsidRDefault="00AE59C5" w:rsidP="00AE59C5">
    <w:pPr>
      <w:pStyle w:val="Sidefod"/>
      <w:rPr>
        <w:rFonts w:ascii="Arial" w:hAnsi="Arial" w:cs="Arial"/>
        <w:b/>
        <w:sz w:val="48"/>
      </w:rPr>
    </w:pPr>
    <w:r w:rsidRPr="00AE59C5">
      <w:rPr>
        <w:rFonts w:ascii="Arial" w:hAnsi="Arial" w:cs="Arial"/>
        <w:b/>
        <w:sz w:val="48"/>
      </w:rPr>
      <w:t>EN</w:t>
    </w:r>
    <w:r w:rsidRPr="00AE59C5">
      <w:rPr>
        <w:rFonts w:ascii="Arial" w:hAnsi="Arial" w:cs="Arial"/>
        <w:b/>
        <w:sz w:val="48"/>
      </w:rPr>
      <w:tab/>
    </w:r>
    <w:r w:rsidRPr="00AE59C5">
      <w:rPr>
        <w:rFonts w:ascii="Arial" w:hAnsi="Arial" w:cs="Arial"/>
        <w:b/>
        <w:sz w:val="48"/>
      </w:rPr>
      <w:tab/>
    </w:r>
    <w:r w:rsidRPr="00AE59C5">
      <w:tab/>
    </w:r>
    <w:r w:rsidRPr="00AE59C5"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853D" w14:textId="77777777" w:rsidR="00AE59C5" w:rsidRPr="00E22CDE" w:rsidRDefault="00AE59C5" w:rsidP="00E22CDE">
    <w:pPr>
      <w:pStyle w:val="Sidefod"/>
      <w:rPr>
        <w:rFonts w:ascii="Arial" w:hAnsi="Arial" w:cs="Arial"/>
        <w:b/>
        <w:sz w:val="48"/>
      </w:rPr>
    </w:pPr>
    <w:r w:rsidRPr="00E22CDE">
      <w:rPr>
        <w:rFonts w:ascii="Arial" w:hAnsi="Arial" w:cs="Arial"/>
        <w:b/>
        <w:sz w:val="48"/>
      </w:rPr>
      <w:t>EN</w:t>
    </w:r>
    <w:r w:rsidRPr="00E22CDE">
      <w:rPr>
        <w:rFonts w:ascii="Arial" w:hAnsi="Arial" w:cs="Arial"/>
        <w:b/>
        <w:sz w:val="48"/>
      </w:rPr>
      <w:tab/>
    </w:r>
    <w:r w:rsidRPr="00E22CDE">
      <w:rPr>
        <w:rFonts w:ascii="Arial" w:hAnsi="Arial" w:cs="Arial"/>
        <w:b/>
        <w:sz w:val="48"/>
      </w:rPr>
      <w:tab/>
    </w:r>
    <w:r w:rsidRPr="00E22CDE">
      <w:tab/>
    </w:r>
    <w:r w:rsidRPr="00E22CDE">
      <w:rPr>
        <w:rFonts w:ascii="Arial" w:hAnsi="Arial" w:cs="Arial"/>
        <w:b/>
        <w:sz w:val="48"/>
      </w:rPr>
      <w:t>EN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9021" w14:textId="4F0B2EF1" w:rsidR="00AE59C5" w:rsidRPr="00AE59C5" w:rsidRDefault="00AE59C5" w:rsidP="00AE59C5">
    <w:pPr>
      <w:pStyle w:val="Sidefod"/>
      <w:rPr>
        <w:rFonts w:ascii="Arial" w:hAnsi="Arial" w:cs="Arial"/>
        <w:b/>
        <w:sz w:val="48"/>
      </w:rPr>
    </w:pPr>
    <w:r w:rsidRPr="00AE59C5">
      <w:rPr>
        <w:rFonts w:ascii="Arial" w:hAnsi="Arial" w:cs="Arial"/>
        <w:b/>
        <w:sz w:val="48"/>
      </w:rPr>
      <w:t>EN</w:t>
    </w:r>
    <w:r w:rsidRPr="00AE59C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AE59C5">
      <w:tab/>
    </w:r>
    <w:r w:rsidRPr="00AE59C5">
      <w:rPr>
        <w:rFonts w:ascii="Arial" w:hAnsi="Arial" w:cs="Arial"/>
        <w:b/>
        <w:sz w:val="48"/>
      </w:rPr>
      <w:t>EN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B4D7" w14:textId="77777777" w:rsidR="00AE59C5" w:rsidRPr="00E22CDE" w:rsidRDefault="00AE59C5" w:rsidP="00AE59C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7504D" w14:textId="77777777" w:rsidR="00E22CDE" w:rsidRDefault="00E22CDE" w:rsidP="00E22CDE">
      <w:pPr>
        <w:spacing w:before="0" w:after="0"/>
      </w:pPr>
      <w:r>
        <w:separator/>
      </w:r>
    </w:p>
  </w:footnote>
  <w:footnote w:type="continuationSeparator" w:id="0">
    <w:p w14:paraId="2964383A" w14:textId="77777777" w:rsidR="00E22CDE" w:rsidRDefault="00E22CDE" w:rsidP="00E22C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A3F9" w14:textId="77777777" w:rsidR="00AE59C5" w:rsidRPr="00E22CDE" w:rsidRDefault="00AE59C5" w:rsidP="00E22CD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A7D7" w14:textId="77777777" w:rsidR="00AE59C5" w:rsidRPr="00E22CDE" w:rsidRDefault="00AE59C5" w:rsidP="00E22CD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BE66CC0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9008F1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6B8AD8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45E5CD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9B5164"/>
    <w:multiLevelType w:val="hybridMultilevel"/>
    <w:tmpl w:val="E8B05CA8"/>
    <w:lvl w:ilvl="0" w:tplc="CD42150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10903"/>
    <w:multiLevelType w:val="hybridMultilevel"/>
    <w:tmpl w:val="AE4882B0"/>
    <w:lvl w:ilvl="0" w:tplc="080C001B">
      <w:start w:val="1"/>
      <w:numFmt w:val="lowerRoman"/>
      <w:lvlText w:val="%1."/>
      <w:lvlJc w:val="right"/>
      <w:pPr>
        <w:ind w:left="2136" w:hanging="360"/>
      </w:pPr>
    </w:lvl>
    <w:lvl w:ilvl="1" w:tplc="080C0019" w:tentative="1">
      <w:start w:val="1"/>
      <w:numFmt w:val="lowerLetter"/>
      <w:lvlText w:val="%2."/>
      <w:lvlJc w:val="left"/>
      <w:pPr>
        <w:ind w:left="2856" w:hanging="360"/>
      </w:pPr>
    </w:lvl>
    <w:lvl w:ilvl="2" w:tplc="080C001B" w:tentative="1">
      <w:start w:val="1"/>
      <w:numFmt w:val="lowerRoman"/>
      <w:lvlText w:val="%3."/>
      <w:lvlJc w:val="right"/>
      <w:pPr>
        <w:ind w:left="3576" w:hanging="180"/>
      </w:pPr>
    </w:lvl>
    <w:lvl w:ilvl="3" w:tplc="080C000F" w:tentative="1">
      <w:start w:val="1"/>
      <w:numFmt w:val="decimal"/>
      <w:lvlText w:val="%4."/>
      <w:lvlJc w:val="left"/>
      <w:pPr>
        <w:ind w:left="4296" w:hanging="360"/>
      </w:pPr>
    </w:lvl>
    <w:lvl w:ilvl="4" w:tplc="080C0019" w:tentative="1">
      <w:start w:val="1"/>
      <w:numFmt w:val="lowerLetter"/>
      <w:lvlText w:val="%5."/>
      <w:lvlJc w:val="left"/>
      <w:pPr>
        <w:ind w:left="5016" w:hanging="360"/>
      </w:pPr>
    </w:lvl>
    <w:lvl w:ilvl="5" w:tplc="080C001B" w:tentative="1">
      <w:start w:val="1"/>
      <w:numFmt w:val="lowerRoman"/>
      <w:lvlText w:val="%6."/>
      <w:lvlJc w:val="right"/>
      <w:pPr>
        <w:ind w:left="5736" w:hanging="180"/>
      </w:pPr>
    </w:lvl>
    <w:lvl w:ilvl="6" w:tplc="080C000F" w:tentative="1">
      <w:start w:val="1"/>
      <w:numFmt w:val="decimal"/>
      <w:lvlText w:val="%7."/>
      <w:lvlJc w:val="left"/>
      <w:pPr>
        <w:ind w:left="6456" w:hanging="360"/>
      </w:pPr>
    </w:lvl>
    <w:lvl w:ilvl="7" w:tplc="080C0019" w:tentative="1">
      <w:start w:val="1"/>
      <w:numFmt w:val="lowerLetter"/>
      <w:lvlText w:val="%8."/>
      <w:lvlJc w:val="left"/>
      <w:pPr>
        <w:ind w:left="7176" w:hanging="360"/>
      </w:pPr>
    </w:lvl>
    <w:lvl w:ilvl="8" w:tplc="08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9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2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3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4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5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6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" w15:restartNumberingAfterBreak="0">
    <w:nsid w:val="5E940CBF"/>
    <w:multiLevelType w:val="multilevel"/>
    <w:tmpl w:val="21FE7234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Overskrift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Overskrift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Overskrift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Overskrift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Overskrift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Overskrift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59F206D"/>
    <w:multiLevelType w:val="multilevel"/>
    <w:tmpl w:val="703C4AA2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795170775">
    <w:abstractNumId w:val="17"/>
  </w:num>
  <w:num w:numId="2" w16cid:durableId="1243180314">
    <w:abstractNumId w:val="10"/>
  </w:num>
  <w:num w:numId="3" w16cid:durableId="1004238376">
    <w:abstractNumId w:val="20"/>
  </w:num>
  <w:num w:numId="4" w16cid:durableId="267279191">
    <w:abstractNumId w:val="9"/>
  </w:num>
  <w:num w:numId="5" w16cid:durableId="228081946">
    <w:abstractNumId w:val="11"/>
  </w:num>
  <w:num w:numId="6" w16cid:durableId="1556357392">
    <w:abstractNumId w:val="12"/>
  </w:num>
  <w:num w:numId="7" w16cid:durableId="1260061968">
    <w:abstractNumId w:val="7"/>
  </w:num>
  <w:num w:numId="8" w16cid:durableId="777140652">
    <w:abstractNumId w:val="19"/>
  </w:num>
  <w:num w:numId="9" w16cid:durableId="2009671945">
    <w:abstractNumId w:val="6"/>
  </w:num>
  <w:num w:numId="10" w16cid:durableId="1522351934">
    <w:abstractNumId w:val="13"/>
  </w:num>
  <w:num w:numId="11" w16cid:durableId="1223062072">
    <w:abstractNumId w:val="15"/>
  </w:num>
  <w:num w:numId="12" w16cid:durableId="1387991352">
    <w:abstractNumId w:val="16"/>
  </w:num>
  <w:num w:numId="13" w16cid:durableId="1735422396">
    <w:abstractNumId w:val="8"/>
  </w:num>
  <w:num w:numId="14" w16cid:durableId="717777100">
    <w:abstractNumId w:val="14"/>
  </w:num>
  <w:num w:numId="15" w16cid:durableId="1397974759">
    <w:abstractNumId w:val="22"/>
  </w:num>
  <w:num w:numId="16" w16cid:durableId="612132819">
    <w:abstractNumId w:val="4"/>
  </w:num>
  <w:num w:numId="17" w16cid:durableId="1600870392">
    <w:abstractNumId w:val="5"/>
  </w:num>
  <w:num w:numId="18" w16cid:durableId="1319648860">
    <w:abstractNumId w:val="3"/>
  </w:num>
  <w:num w:numId="19" w16cid:durableId="1090740311">
    <w:abstractNumId w:val="2"/>
  </w:num>
  <w:num w:numId="20" w16cid:durableId="980814687">
    <w:abstractNumId w:val="1"/>
  </w:num>
  <w:num w:numId="21" w16cid:durableId="204964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CR_RefLast" w:val="0"/>
    <w:docVar w:name="DQCStatus" w:val="Red"/>
    <w:docVar w:name="LW_ACCOMPAGNANT" w:val=" "/>
    <w:docVar w:name="LW_ACCOMPAGNANT.CP" w:val=" 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E95D6C73-8C43-4783-A36D-CB3C33F2202C"/>
    <w:docVar w:name="LW_COVERPAGE_TYPE" w:val="1"/>
    <w:docVar w:name="LW_CreatedUtc" w:val="2026-03-11T16:10:23.3779581Z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STRUCTURE" w:val="COM/ANNEX"/>
    <w:docVar w:name="LW_ID_DOCTYPE" w:val="SG-068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" w:val="amending Annex III to Regulation (EC) No 853/2004 of the European Parliament and of the Council cocerning specific hygiene rules on storage conditions before freezing of fresh meat of domestic ungulates"/>
    <w:docVar w:name="LW_OBJETACTEPRINCIPAL.CP" w:val="amending Annex III to Regulation (EC) No 853/2004 of the European Parliament and of the Council cocerning specific hygiene rules on storage conditions before freezing of fresh meat of domestic ungulates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6) XXX"/>
    <w:docVar w:name="LW_REF.INTERNE" w:val="PLAN/2026/710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ANNEX"/>
    <w:docVar w:name="LW_TYPE.DOC.CP" w:val="ANNEX"/>
    <w:docVar w:name="LW_TYPEACTEPRINCIPAL" w:val="Commission Delegated Regulation"/>
    <w:docVar w:name="LW_TYPEACTEPRINCIPAL.CP" w:val="Commission Delegated Regulation"/>
  </w:docVars>
  <w:rsids>
    <w:rsidRoot w:val="00E22CDE"/>
    <w:rsid w:val="000A78A1"/>
    <w:rsid w:val="000B199F"/>
    <w:rsid w:val="000C070D"/>
    <w:rsid w:val="00144649"/>
    <w:rsid w:val="00165C4F"/>
    <w:rsid w:val="0019597F"/>
    <w:rsid w:val="001F343E"/>
    <w:rsid w:val="00283703"/>
    <w:rsid w:val="003A0E8F"/>
    <w:rsid w:val="00486822"/>
    <w:rsid w:val="00492EB7"/>
    <w:rsid w:val="00626E37"/>
    <w:rsid w:val="006A6BCB"/>
    <w:rsid w:val="006C236C"/>
    <w:rsid w:val="007A0D12"/>
    <w:rsid w:val="008D6398"/>
    <w:rsid w:val="00905D22"/>
    <w:rsid w:val="00A12982"/>
    <w:rsid w:val="00A562E8"/>
    <w:rsid w:val="00A6243B"/>
    <w:rsid w:val="00A71F6D"/>
    <w:rsid w:val="00AE59C5"/>
    <w:rsid w:val="00AF52B9"/>
    <w:rsid w:val="00B100AA"/>
    <w:rsid w:val="00BA4F3C"/>
    <w:rsid w:val="00BB30BC"/>
    <w:rsid w:val="00C902D2"/>
    <w:rsid w:val="00C953CA"/>
    <w:rsid w:val="00D328C4"/>
    <w:rsid w:val="00D33986"/>
    <w:rsid w:val="00E01B93"/>
    <w:rsid w:val="00E22CDE"/>
    <w:rsid w:val="00E411F8"/>
    <w:rsid w:val="00E756BD"/>
    <w:rsid w:val="00F00C5A"/>
    <w:rsid w:val="00F7024E"/>
    <w:rsid w:val="00F8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72B94C"/>
  <w15:docId w15:val="{989FE744-3538-4074-9F90-0A3337C2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Overskrift1">
    <w:name w:val="heading 1"/>
    <w:basedOn w:val="Normal"/>
    <w:next w:val="Text1"/>
    <w:link w:val="Overskrift1Tegn"/>
    <w:uiPriority w:val="9"/>
    <w:qFormat/>
    <w:pPr>
      <w:keepNext/>
      <w:numPr>
        <w:numId w:val="8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Overskrift2">
    <w:name w:val="heading 2"/>
    <w:basedOn w:val="Normal"/>
    <w:next w:val="Text1"/>
    <w:link w:val="Overskrift2Tegn"/>
    <w:uiPriority w:val="9"/>
    <w:semiHidden/>
    <w:unhideWhenUsed/>
    <w:qFormat/>
    <w:pPr>
      <w:keepNext/>
      <w:numPr>
        <w:ilvl w:val="1"/>
        <w:numId w:val="8"/>
      </w:numPr>
      <w:outlineLvl w:val="1"/>
    </w:pPr>
    <w:rPr>
      <w:rFonts w:eastAsiaTheme="majorEastAsia"/>
      <w:b/>
      <w:bCs/>
      <w:szCs w:val="26"/>
    </w:rPr>
  </w:style>
  <w:style w:type="paragraph" w:styleId="Overskrift3">
    <w:name w:val="heading 3"/>
    <w:basedOn w:val="Normal"/>
    <w:next w:val="Text1"/>
    <w:link w:val="Overskrift3Tegn"/>
    <w:uiPriority w:val="9"/>
    <w:semiHidden/>
    <w:unhideWhenUsed/>
    <w:qFormat/>
    <w:pPr>
      <w:keepNext/>
      <w:numPr>
        <w:ilvl w:val="2"/>
        <w:numId w:val="8"/>
      </w:numPr>
      <w:outlineLvl w:val="2"/>
    </w:pPr>
    <w:rPr>
      <w:rFonts w:eastAsiaTheme="majorEastAsia"/>
      <w:bCs/>
      <w:i/>
    </w:rPr>
  </w:style>
  <w:style w:type="paragraph" w:styleId="Overskrift4">
    <w:name w:val="heading 4"/>
    <w:basedOn w:val="Normal"/>
    <w:next w:val="Text1"/>
    <w:link w:val="Overskrift4Tegn"/>
    <w:uiPriority w:val="9"/>
    <w:semiHidden/>
    <w:unhideWhenUsed/>
    <w:qFormat/>
    <w:pPr>
      <w:keepNext/>
      <w:numPr>
        <w:ilvl w:val="3"/>
        <w:numId w:val="8"/>
      </w:numPr>
      <w:outlineLvl w:val="3"/>
    </w:pPr>
    <w:rPr>
      <w:rFonts w:eastAsiaTheme="majorEastAsia"/>
      <w:bCs/>
      <w:iCs/>
    </w:rPr>
  </w:style>
  <w:style w:type="paragraph" w:styleId="Overskrift5">
    <w:name w:val="heading 5"/>
    <w:basedOn w:val="Normal"/>
    <w:next w:val="Text2"/>
    <w:link w:val="Overskrift5Tegn"/>
    <w:uiPriority w:val="9"/>
    <w:semiHidden/>
    <w:unhideWhenUsed/>
    <w:qFormat/>
    <w:pPr>
      <w:keepNext/>
      <w:numPr>
        <w:ilvl w:val="4"/>
        <w:numId w:val="8"/>
      </w:numPr>
      <w:outlineLvl w:val="4"/>
    </w:pPr>
    <w:rPr>
      <w:rFonts w:eastAsiaTheme="majorEastAsia"/>
    </w:rPr>
  </w:style>
  <w:style w:type="paragraph" w:styleId="Overskrift6">
    <w:name w:val="heading 6"/>
    <w:basedOn w:val="Normal"/>
    <w:next w:val="Text2"/>
    <w:link w:val="Overskrift6Tegn"/>
    <w:uiPriority w:val="9"/>
    <w:semiHidden/>
    <w:unhideWhenUsed/>
    <w:qFormat/>
    <w:pPr>
      <w:keepNext/>
      <w:numPr>
        <w:ilvl w:val="5"/>
        <w:numId w:val="8"/>
      </w:numPr>
      <w:outlineLvl w:val="5"/>
    </w:pPr>
    <w:rPr>
      <w:rFonts w:eastAsiaTheme="majorEastAsia"/>
      <w:iCs/>
    </w:rPr>
  </w:style>
  <w:style w:type="paragraph" w:styleId="Overskrift7">
    <w:name w:val="heading 7"/>
    <w:basedOn w:val="Normal"/>
    <w:next w:val="Text2"/>
    <w:link w:val="Overskrift7Tegn"/>
    <w:uiPriority w:val="9"/>
    <w:semiHidden/>
    <w:unhideWhenUsed/>
    <w:qFormat/>
    <w:pPr>
      <w:keepNext/>
      <w:numPr>
        <w:ilvl w:val="6"/>
        <w:numId w:val="8"/>
      </w:numPr>
      <w:outlineLvl w:val="6"/>
    </w:pPr>
    <w:rPr>
      <w:rFonts w:eastAsiaTheme="majorEastAsia"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E59C5"/>
    <w:pPr>
      <w:tabs>
        <w:tab w:val="center" w:pos="4535"/>
        <w:tab w:val="right" w:pos="9071"/>
      </w:tabs>
      <w:spacing w:before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AE59C5"/>
    <w:rPr>
      <w:rFonts w:ascii="Times New Roman" w:hAnsi="Times New Roman" w:cs="Times New Roman"/>
      <w:sz w:val="24"/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AE59C5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idefodTegn">
    <w:name w:val="Sidefod Tegn"/>
    <w:basedOn w:val="Standardskrifttypeiafsnit"/>
    <w:link w:val="Sidefod"/>
    <w:uiPriority w:val="99"/>
    <w:rsid w:val="00AE59C5"/>
    <w:rPr>
      <w:rFonts w:ascii="Times New Roman" w:hAnsi="Times New Roman" w:cs="Times New Roman"/>
      <w:sz w:val="24"/>
      <w:lang w:val="en-GB"/>
    </w:rPr>
  </w:style>
  <w:style w:type="paragraph" w:styleId="Fodnotetekst">
    <w:name w:val="footnote text"/>
    <w:basedOn w:val="Normal"/>
    <w:link w:val="FodnotetekstTegn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Overskrift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Indholdsfortegnelse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Indholdsfortegnelse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Indholdsfortegnelse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Indholdsfortegnelse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Indholdsfortegnelse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Indholdsfortegnelse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Indholdsfortegnelse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Indholdsfortegnelse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Indholdsfortegnelse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rsid w:val="00AE59C5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AE59C5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dnotehenvisning">
    <w:name w:val="footnote reference"/>
    <w:basedOn w:val="Standardskrifttypeiafsni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AE59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AE59C5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AE59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1"/>
      </w:numPr>
    </w:pPr>
  </w:style>
  <w:style w:type="paragraph" w:customStyle="1" w:styleId="Tiret1">
    <w:name w:val="Tiret 1"/>
    <w:basedOn w:val="Point1"/>
    <w:pPr>
      <w:numPr>
        <w:numId w:val="2"/>
      </w:numPr>
    </w:pPr>
  </w:style>
  <w:style w:type="paragraph" w:customStyle="1" w:styleId="Tiret2">
    <w:name w:val="Tiret 2"/>
    <w:basedOn w:val="Point2"/>
    <w:pPr>
      <w:numPr>
        <w:numId w:val="3"/>
      </w:numPr>
    </w:pPr>
  </w:style>
  <w:style w:type="paragraph" w:customStyle="1" w:styleId="Tiret3">
    <w:name w:val="Tiret 3"/>
    <w:basedOn w:val="Point3"/>
    <w:pPr>
      <w:numPr>
        <w:numId w:val="4"/>
      </w:numPr>
    </w:pPr>
  </w:style>
  <w:style w:type="paragraph" w:customStyle="1" w:styleId="Tiret4">
    <w:name w:val="Tiret 4"/>
    <w:basedOn w:val="Point4"/>
    <w:pPr>
      <w:numPr>
        <w:numId w:val="5"/>
      </w:numPr>
    </w:pPr>
  </w:style>
  <w:style w:type="paragraph" w:customStyle="1" w:styleId="Tiret5">
    <w:name w:val="Tiret 5"/>
    <w:basedOn w:val="Point5"/>
    <w:pPr>
      <w:numPr>
        <w:numId w:val="6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7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7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7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7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7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7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7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Overskrift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Standardskrifttypeiafsnit"/>
    <w:rsid w:val="00E22CDE"/>
    <w:rPr>
      <w:color w:val="0000FF"/>
      <w:shd w:val="clear" w:color="auto" w:fill="auto"/>
    </w:rPr>
  </w:style>
  <w:style w:type="character" w:customStyle="1" w:styleId="Marker1">
    <w:name w:val="Marker1"/>
    <w:basedOn w:val="Standardskrifttypeiafsnit"/>
    <w:rPr>
      <w:color w:val="008000"/>
      <w:shd w:val="clear" w:color="auto" w:fill="auto"/>
    </w:rPr>
  </w:style>
  <w:style w:type="character" w:customStyle="1" w:styleId="Marker2">
    <w:name w:val="Marker2"/>
    <w:basedOn w:val="Standardskrifttypeiafsni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9"/>
      </w:numPr>
    </w:pPr>
  </w:style>
  <w:style w:type="paragraph" w:customStyle="1" w:styleId="Point1number">
    <w:name w:val="Point 1 (number)"/>
    <w:basedOn w:val="Normal"/>
    <w:pPr>
      <w:numPr>
        <w:ilvl w:val="2"/>
        <w:numId w:val="9"/>
      </w:numPr>
    </w:pPr>
  </w:style>
  <w:style w:type="paragraph" w:customStyle="1" w:styleId="Point2number">
    <w:name w:val="Point 2 (number)"/>
    <w:basedOn w:val="Normal"/>
    <w:pPr>
      <w:numPr>
        <w:ilvl w:val="4"/>
        <w:numId w:val="9"/>
      </w:numPr>
    </w:pPr>
  </w:style>
  <w:style w:type="paragraph" w:customStyle="1" w:styleId="Point3number">
    <w:name w:val="Point 3 (number)"/>
    <w:basedOn w:val="Normal"/>
    <w:pPr>
      <w:numPr>
        <w:ilvl w:val="6"/>
        <w:numId w:val="9"/>
      </w:numPr>
    </w:pPr>
  </w:style>
  <w:style w:type="paragraph" w:customStyle="1" w:styleId="Point0letter">
    <w:name w:val="Point 0 (letter)"/>
    <w:basedOn w:val="Normal"/>
    <w:pPr>
      <w:numPr>
        <w:ilvl w:val="1"/>
        <w:numId w:val="9"/>
      </w:numPr>
    </w:pPr>
  </w:style>
  <w:style w:type="paragraph" w:customStyle="1" w:styleId="Point1letter">
    <w:name w:val="Point 1 (letter)"/>
    <w:basedOn w:val="Normal"/>
    <w:pPr>
      <w:numPr>
        <w:ilvl w:val="3"/>
        <w:numId w:val="9"/>
      </w:numPr>
    </w:pPr>
  </w:style>
  <w:style w:type="paragraph" w:customStyle="1" w:styleId="Point2letter">
    <w:name w:val="Point 2 (letter)"/>
    <w:basedOn w:val="Normal"/>
    <w:pPr>
      <w:numPr>
        <w:ilvl w:val="5"/>
        <w:numId w:val="9"/>
      </w:numPr>
    </w:pPr>
  </w:style>
  <w:style w:type="paragraph" w:customStyle="1" w:styleId="Point3letter">
    <w:name w:val="Point 3 (letter)"/>
    <w:basedOn w:val="Normal"/>
    <w:pPr>
      <w:numPr>
        <w:ilvl w:val="7"/>
        <w:numId w:val="9"/>
      </w:numPr>
    </w:pPr>
  </w:style>
  <w:style w:type="paragraph" w:customStyle="1" w:styleId="Point4letter">
    <w:name w:val="Point 4 (letter)"/>
    <w:basedOn w:val="Normal"/>
    <w:pPr>
      <w:numPr>
        <w:ilvl w:val="8"/>
        <w:numId w:val="9"/>
      </w:numPr>
    </w:pPr>
  </w:style>
  <w:style w:type="paragraph" w:customStyle="1" w:styleId="Bullet0">
    <w:name w:val="Bullet 0"/>
    <w:basedOn w:val="Normal"/>
    <w:pPr>
      <w:numPr>
        <w:numId w:val="10"/>
      </w:numPr>
    </w:pPr>
  </w:style>
  <w:style w:type="paragraph" w:customStyle="1" w:styleId="Bullet1">
    <w:name w:val="Bullet 1"/>
    <w:basedOn w:val="Normal"/>
    <w:pPr>
      <w:numPr>
        <w:numId w:val="11"/>
      </w:numPr>
    </w:pPr>
  </w:style>
  <w:style w:type="paragraph" w:customStyle="1" w:styleId="Bullet2">
    <w:name w:val="Bullet 2"/>
    <w:basedOn w:val="Normal"/>
    <w:pPr>
      <w:numPr>
        <w:numId w:val="12"/>
      </w:numPr>
    </w:pPr>
  </w:style>
  <w:style w:type="paragraph" w:customStyle="1" w:styleId="Bullet3">
    <w:name w:val="Bullet 3"/>
    <w:basedOn w:val="Normal"/>
    <w:pPr>
      <w:numPr>
        <w:numId w:val="13"/>
      </w:numPr>
    </w:pPr>
  </w:style>
  <w:style w:type="paragraph" w:customStyle="1" w:styleId="Bullet4">
    <w:name w:val="Bullet 4"/>
    <w:basedOn w:val="Normal"/>
    <w:pPr>
      <w:numPr>
        <w:numId w:val="14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E22CDE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15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Standardskrifttypeiafsnit"/>
    <w:rPr>
      <w:b/>
      <w:u w:val="single"/>
      <w:shd w:val="clear" w:color="auto" w:fill="auto"/>
    </w:rPr>
  </w:style>
  <w:style w:type="character" w:customStyle="1" w:styleId="Deleted">
    <w:name w:val="Deleted"/>
    <w:basedOn w:val="Standardskrifttypeiafsni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A562E8"/>
    <w:pPr>
      <w:spacing w:before="360" w:after="24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E411F8"/>
    <w:pPr>
      <w:spacing w:after="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Normal"/>
    <w:rsid w:val="00E411F8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Rfrencecroise"/>
    <w:rsid w:val="00E411F8"/>
    <w:pPr>
      <w:spacing w:before="360" w:after="240"/>
      <w:jc w:val="center"/>
    </w:pPr>
  </w:style>
  <w:style w:type="paragraph" w:styleId="Listeafsnit">
    <w:name w:val="List Paragraph"/>
    <w:basedOn w:val="Normal"/>
    <w:uiPriority w:val="34"/>
    <w:qFormat/>
    <w:rsid w:val="00E22CDE"/>
    <w:pPr>
      <w:ind w:left="72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A12982"/>
    <w:pPr>
      <w:numPr>
        <w:numId w:val="18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A12982"/>
    <w:pPr>
      <w:numPr>
        <w:numId w:val="19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12982"/>
    <w:pPr>
      <w:numPr>
        <w:numId w:val="20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12982"/>
    <w:pPr>
      <w:numPr>
        <w:numId w:val="21"/>
      </w:numPr>
      <w:contextualSpacing/>
    </w:pPr>
  </w:style>
  <w:style w:type="paragraph" w:styleId="Korrektur">
    <w:name w:val="Revision"/>
    <w:hidden/>
    <w:uiPriority w:val="99"/>
    <w:semiHidden/>
    <w:rsid w:val="00A12982"/>
    <w:pPr>
      <w:spacing w:after="0" w:line="240" w:lineRule="auto"/>
    </w:pPr>
    <w:rPr>
      <w:rFonts w:ascii="Times New Roman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0</TotalTime>
  <Pages>2</Pages>
  <Words>357</Words>
  <Characters>1775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SMET Kris (SANTE)</dc:creator>
  <cp:keywords/>
  <dc:description/>
  <cp:lastModifiedBy>Anne Klottrup</cp:lastModifiedBy>
  <cp:revision>3</cp:revision>
  <dcterms:created xsi:type="dcterms:W3CDTF">2026-03-24T12:19:00Z</dcterms:created>
  <dcterms:modified xsi:type="dcterms:W3CDTF">2026-03-24T12:25:00Z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8.0.25.0</vt:lpwstr>
  </property>
  <property fmtid="{D5CDD505-2E9C-101B-9397-08002B2CF9AE}" pid="4" name="Last edited using">
    <vt:lpwstr>LW 9.2, Build 20250828</vt:lpwstr>
  </property>
  <property fmtid="{D5CDD505-2E9C-101B-9397-08002B2CF9AE}" pid="5" name="Created using">
    <vt:lpwstr>LW 9.2, Build 20250828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Unique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SG-068</vt:lpwstr>
  </property>
  <property fmtid="{D5CDD505-2E9C-101B-9397-08002B2CF9AE}" pid="13" name="DQCStatus">
    <vt:lpwstr>Red (DQC version 03)</vt:lpwstr>
  </property>
  <property fmtid="{D5CDD505-2E9C-101B-9397-08002B2CF9AE}" pid="14" name="MSIP_Label_6bd9ddd1-4d20-43f6-abfa-fc3c07406f94_Enabled">
    <vt:lpwstr>true</vt:lpwstr>
  </property>
  <property fmtid="{D5CDD505-2E9C-101B-9397-08002B2CF9AE}" pid="15" name="MSIP_Label_6bd9ddd1-4d20-43f6-abfa-fc3c07406f94_SetDate">
    <vt:lpwstr>2026-03-11T16:12:31Z</vt:lpwstr>
  </property>
  <property fmtid="{D5CDD505-2E9C-101B-9397-08002B2CF9AE}" pid="16" name="MSIP_Label_6bd9ddd1-4d20-43f6-abfa-fc3c07406f94_Method">
    <vt:lpwstr>Standard</vt:lpwstr>
  </property>
  <property fmtid="{D5CDD505-2E9C-101B-9397-08002B2CF9AE}" pid="17" name="MSIP_Label_6bd9ddd1-4d20-43f6-abfa-fc3c07406f94_Name">
    <vt:lpwstr>Commission Use</vt:lpwstr>
  </property>
  <property fmtid="{D5CDD505-2E9C-101B-9397-08002B2CF9AE}" pid="18" name="MSIP_Label_6bd9ddd1-4d20-43f6-abfa-fc3c07406f94_SiteId">
    <vt:lpwstr>b24c8b06-522c-46fe-9080-70926f8dddb1</vt:lpwstr>
  </property>
  <property fmtid="{D5CDD505-2E9C-101B-9397-08002B2CF9AE}" pid="19" name="MSIP_Label_6bd9ddd1-4d20-43f6-abfa-fc3c07406f94_ActionId">
    <vt:lpwstr>e6e0a173-efd5-47b2-a5bb-dd5acc125c10</vt:lpwstr>
  </property>
  <property fmtid="{D5CDD505-2E9C-101B-9397-08002B2CF9AE}" pid="20" name="MSIP_Label_6bd9ddd1-4d20-43f6-abfa-fc3c07406f94_ContentBits">
    <vt:lpwstr>0</vt:lpwstr>
  </property>
  <property fmtid="{D5CDD505-2E9C-101B-9397-08002B2CF9AE}" pid="21" name="MSIP_Label_6bd9ddd1-4d20-43f6-abfa-fc3c07406f94_Tag">
    <vt:lpwstr>10, 3, 0, 1</vt:lpwstr>
  </property>
</Properties>
</file>