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494D2" w14:textId="77777777" w:rsidR="00F97D34" w:rsidRPr="00704EA1" w:rsidRDefault="00760979" w:rsidP="00B719E3">
      <w:pPr>
        <w:jc w:val="center"/>
        <w:rPr>
          <w:b/>
        </w:rPr>
      </w:pPr>
      <w:r w:rsidRPr="00F27C31">
        <w:rPr>
          <w:b/>
        </w:rPr>
        <w:t xml:space="preserve">UDKAST </w:t>
      </w:r>
    </w:p>
    <w:p w14:paraId="30F494D3" w14:textId="77777777" w:rsidR="003A7BA0" w:rsidRPr="00704EA1" w:rsidRDefault="003A7BA0" w:rsidP="00B719E3">
      <w:pPr>
        <w:jc w:val="center"/>
        <w:rPr>
          <w:b/>
        </w:rPr>
      </w:pPr>
    </w:p>
    <w:p w14:paraId="30F494D4" w14:textId="77777777" w:rsidR="00B719E3" w:rsidRPr="00704EA1" w:rsidRDefault="00B719E3" w:rsidP="00B719E3">
      <w:pPr>
        <w:jc w:val="center"/>
        <w:rPr>
          <w:b/>
        </w:rPr>
      </w:pPr>
      <w:r w:rsidRPr="00704EA1">
        <w:rPr>
          <w:b/>
        </w:rPr>
        <w:t>Forslag</w:t>
      </w:r>
    </w:p>
    <w:p w14:paraId="30F494D5" w14:textId="77777777" w:rsidR="00B719E3" w:rsidRPr="00704EA1" w:rsidRDefault="00B719E3" w:rsidP="00B719E3">
      <w:pPr>
        <w:jc w:val="center"/>
        <w:rPr>
          <w:b/>
        </w:rPr>
      </w:pPr>
    </w:p>
    <w:p w14:paraId="30F494D6" w14:textId="77777777" w:rsidR="00B719E3" w:rsidRPr="00704EA1" w:rsidRDefault="00B719E3" w:rsidP="00B719E3">
      <w:pPr>
        <w:jc w:val="center"/>
      </w:pPr>
      <w:r w:rsidRPr="00704EA1">
        <w:t>til</w:t>
      </w:r>
    </w:p>
    <w:p w14:paraId="30F494D7" w14:textId="77777777" w:rsidR="00B719E3" w:rsidRPr="00704EA1" w:rsidRDefault="00B719E3" w:rsidP="00B719E3">
      <w:pPr>
        <w:jc w:val="center"/>
      </w:pPr>
    </w:p>
    <w:p w14:paraId="30F494D8" w14:textId="77777777" w:rsidR="00B719E3" w:rsidRPr="00704EA1" w:rsidRDefault="00B719E3" w:rsidP="00B719E3">
      <w:pPr>
        <w:jc w:val="center"/>
        <w:rPr>
          <w:b/>
        </w:rPr>
      </w:pPr>
      <w:r w:rsidRPr="00704EA1">
        <w:rPr>
          <w:b/>
        </w:rPr>
        <w:t>Lov om ændring af lov om efterskoler og frie fagskoler</w:t>
      </w:r>
    </w:p>
    <w:p w14:paraId="30F494D9" w14:textId="77777777" w:rsidR="00B719E3" w:rsidRPr="00704EA1" w:rsidRDefault="003D2685" w:rsidP="00B719E3">
      <w:pPr>
        <w:jc w:val="center"/>
        <w:rPr>
          <w:i/>
        </w:rPr>
      </w:pPr>
      <w:r>
        <w:rPr>
          <w:i/>
        </w:rPr>
        <w:t xml:space="preserve">(Ændringer </w:t>
      </w:r>
      <w:r w:rsidR="00B719E3" w:rsidRPr="00704EA1">
        <w:rPr>
          <w:i/>
        </w:rPr>
        <w:t>af tilskud</w:t>
      </w:r>
      <w:r>
        <w:rPr>
          <w:i/>
        </w:rPr>
        <w:t>sbestemmelser for</w:t>
      </w:r>
      <w:r w:rsidR="00B719E3" w:rsidRPr="00704EA1">
        <w:rPr>
          <w:i/>
        </w:rPr>
        <w:t xml:space="preserve"> efterskoler</w:t>
      </w:r>
      <w:r>
        <w:rPr>
          <w:i/>
        </w:rPr>
        <w:t xml:space="preserve"> og elevstøtte</w:t>
      </w:r>
      <w:r w:rsidR="00B719E3" w:rsidRPr="00704EA1">
        <w:rPr>
          <w:i/>
        </w:rPr>
        <w:t xml:space="preserve"> m.v.)</w:t>
      </w:r>
    </w:p>
    <w:p w14:paraId="30F494DA" w14:textId="77777777" w:rsidR="00B719E3" w:rsidRDefault="00B719E3" w:rsidP="00B719E3">
      <w:pPr>
        <w:jc w:val="center"/>
        <w:rPr>
          <w:i/>
        </w:rPr>
      </w:pPr>
    </w:p>
    <w:p w14:paraId="30F494DB" w14:textId="77777777" w:rsidR="003D2685" w:rsidRPr="00704EA1" w:rsidRDefault="003D2685" w:rsidP="00B719E3">
      <w:pPr>
        <w:jc w:val="center"/>
        <w:rPr>
          <w:i/>
        </w:rPr>
      </w:pPr>
    </w:p>
    <w:p w14:paraId="30F494DC" w14:textId="77777777" w:rsidR="00B719E3" w:rsidRDefault="00B719E3" w:rsidP="00B719E3">
      <w:pPr>
        <w:jc w:val="center"/>
        <w:rPr>
          <w:b/>
        </w:rPr>
      </w:pPr>
      <w:r w:rsidRPr="00704EA1">
        <w:rPr>
          <w:b/>
        </w:rPr>
        <w:t>§ 1</w:t>
      </w:r>
    </w:p>
    <w:p w14:paraId="30F494DD" w14:textId="77777777" w:rsidR="00CE2A98" w:rsidRPr="00704EA1" w:rsidRDefault="00CE2A98" w:rsidP="00B719E3">
      <w:pPr>
        <w:jc w:val="center"/>
        <w:rPr>
          <w:b/>
        </w:rPr>
      </w:pPr>
    </w:p>
    <w:p w14:paraId="30F494DE" w14:textId="77777777" w:rsidR="00B719E3" w:rsidRPr="00704EA1" w:rsidRDefault="00B719E3" w:rsidP="00B719E3">
      <w:r w:rsidRPr="00704EA1">
        <w:t>I lov om efterskoler og frie fagskoler, jf. lovbekendtgør</w:t>
      </w:r>
      <w:r w:rsidR="006D44B9">
        <w:t xml:space="preserve">else nr. 94 af 8. februar 2018, som ændret ved § 7 i lov nr. 745 af 8. juni 2018, </w:t>
      </w:r>
      <w:r w:rsidRPr="00704EA1">
        <w:t>foretages følgende ændringer:</w:t>
      </w:r>
    </w:p>
    <w:p w14:paraId="30F494DF" w14:textId="77777777" w:rsidR="00B719E3" w:rsidRPr="00704EA1" w:rsidRDefault="00B719E3" w:rsidP="00B719E3"/>
    <w:p w14:paraId="30F494E0" w14:textId="77777777" w:rsidR="00B719E3" w:rsidRPr="00704EA1" w:rsidRDefault="00B719E3" w:rsidP="00B719E3">
      <w:r w:rsidRPr="00704EA1">
        <w:rPr>
          <w:b/>
        </w:rPr>
        <w:t>1.</w:t>
      </w:r>
      <w:r w:rsidRPr="00704EA1">
        <w:t xml:space="preserve"> Efter § 19 indsættes:</w:t>
      </w:r>
    </w:p>
    <w:p w14:paraId="30F494E1" w14:textId="77777777" w:rsidR="00B719E3" w:rsidRPr="00704EA1" w:rsidRDefault="008A0305" w:rsidP="00B719E3">
      <w:r>
        <w:rPr>
          <w:rFonts w:ascii="Calibri" w:hAnsi="Calibri"/>
          <w:b/>
        </w:rPr>
        <w:t>»</w:t>
      </w:r>
      <w:r w:rsidR="00B719E3" w:rsidRPr="00704EA1">
        <w:rPr>
          <w:b/>
        </w:rPr>
        <w:t>§ 20.</w:t>
      </w:r>
      <w:r w:rsidR="00B719E3" w:rsidRPr="00704EA1">
        <w:t xml:space="preserve"> </w:t>
      </w:r>
      <w:r w:rsidR="00C84EA2">
        <w:t>Staten yder for at styrke grundlaget for efterskoler af forskellig størrelse og i hele landet et geografisk skoletilskud, der fastsættes på de årlige finanslove.</w:t>
      </w:r>
      <w:r w:rsidR="00B719E3" w:rsidRPr="00704EA1">
        <w:t xml:space="preserve"> Til </w:t>
      </w:r>
      <w:r w:rsidR="00DE1651">
        <w:t>efter</w:t>
      </w:r>
      <w:r w:rsidR="00B719E3" w:rsidRPr="00704EA1">
        <w:t xml:space="preserve">skoler, der begynder deres virksomhed i finansåret, ydes et forholdsmæssigt </w:t>
      </w:r>
      <w:r w:rsidR="00A94221">
        <w:t xml:space="preserve">geografisk </w:t>
      </w:r>
      <w:r w:rsidR="00B719E3" w:rsidRPr="00704EA1">
        <w:t>skoletilskud.</w:t>
      </w:r>
    </w:p>
    <w:p w14:paraId="30F494E2" w14:textId="77777777" w:rsidR="008A0305" w:rsidRPr="00704EA1" w:rsidRDefault="008A0305" w:rsidP="00B719E3">
      <w:r>
        <w:rPr>
          <w:i/>
        </w:rPr>
        <w:t xml:space="preserve">  </w:t>
      </w:r>
      <w:r w:rsidRPr="008A0305">
        <w:rPr>
          <w:i/>
        </w:rPr>
        <w:t xml:space="preserve">Stk. </w:t>
      </w:r>
      <w:r w:rsidR="006D1897">
        <w:rPr>
          <w:i/>
        </w:rPr>
        <w:t>2</w:t>
      </w:r>
      <w:r w:rsidRPr="008A0305">
        <w:rPr>
          <w:i/>
        </w:rPr>
        <w:t>.</w:t>
      </w:r>
      <w:r>
        <w:t xml:space="preserve"> </w:t>
      </w:r>
      <w:r w:rsidR="00BC65E5">
        <w:t>Såfremt en efterskole</w:t>
      </w:r>
      <w:r w:rsidR="005964F2">
        <w:t xml:space="preserve"> har færre en</w:t>
      </w:r>
      <w:r w:rsidR="006F3AC2">
        <w:t>d</w:t>
      </w:r>
      <w:r w:rsidR="005964F2">
        <w:t xml:space="preserve"> 40</w:t>
      </w:r>
      <w:r w:rsidR="001C06F4">
        <w:t xml:space="preserve"> årselever</w:t>
      </w:r>
      <w:r w:rsidR="00BC65E5">
        <w:t xml:space="preserve">, </w:t>
      </w:r>
      <w:r w:rsidR="00CA75F7">
        <w:t xml:space="preserve">reduceres </w:t>
      </w:r>
      <w:r w:rsidR="00A94221">
        <w:t xml:space="preserve">det geografiske </w:t>
      </w:r>
      <w:r w:rsidR="00BC65E5">
        <w:t xml:space="preserve">skoletilskud </w:t>
      </w:r>
      <w:r w:rsidR="005964F2">
        <w:t xml:space="preserve">med </w:t>
      </w:r>
      <w:r w:rsidR="00BC65E5">
        <w:t>et beløb</w:t>
      </w:r>
      <w:r w:rsidR="005964F2">
        <w:t xml:space="preserve"> pr. årselev under 40</w:t>
      </w:r>
      <w:r w:rsidR="001C06F4">
        <w:t xml:space="preserve"> </w:t>
      </w:r>
      <w:r w:rsidR="005964F2">
        <w:t>årselever. Beløbet, som det geografiske skoletilskud reduceres med pr. årselev, fastsættes på de årlige finanslove</w:t>
      </w:r>
      <w:r w:rsidR="001C06F4">
        <w:t>.</w:t>
      </w:r>
    </w:p>
    <w:p w14:paraId="30F494E3" w14:textId="77777777" w:rsidR="00B719E3" w:rsidRPr="00704EA1" w:rsidRDefault="00B719E3" w:rsidP="00B719E3"/>
    <w:p w14:paraId="30F494E4" w14:textId="77777777" w:rsidR="00077861" w:rsidRPr="00704EA1" w:rsidRDefault="00B719E3" w:rsidP="00B719E3">
      <w:r w:rsidRPr="00704EA1">
        <w:rPr>
          <w:b/>
        </w:rPr>
        <w:t>2.</w:t>
      </w:r>
      <w:r w:rsidR="00077861" w:rsidRPr="00704EA1">
        <w:t xml:space="preserve"> </w:t>
      </w:r>
      <w:r w:rsidR="00077861" w:rsidRPr="00704EA1">
        <w:rPr>
          <w:i/>
        </w:rPr>
        <w:t>§ 23 a, stk. 1,</w:t>
      </w:r>
      <w:r w:rsidR="00077861" w:rsidRPr="00704EA1">
        <w:t xml:space="preserve"> ophæves.</w:t>
      </w:r>
    </w:p>
    <w:p w14:paraId="30F494E5" w14:textId="77777777" w:rsidR="00B719E3" w:rsidRPr="00704EA1" w:rsidRDefault="00077861" w:rsidP="00B719E3">
      <w:r w:rsidRPr="00704EA1">
        <w:t>Stk. 2-7 bliver herefter stk. 1-6.</w:t>
      </w:r>
    </w:p>
    <w:p w14:paraId="30F494E6" w14:textId="77777777" w:rsidR="00077861" w:rsidRDefault="00077861" w:rsidP="00B719E3"/>
    <w:p w14:paraId="30F494E7" w14:textId="77777777" w:rsidR="004E47AC" w:rsidRDefault="004E47AC" w:rsidP="004E47AC">
      <w:pPr>
        <w:rPr>
          <w:rFonts w:asciiTheme="minorHAnsi" w:hAnsiTheme="minorHAnsi"/>
        </w:rPr>
      </w:pPr>
      <w:r w:rsidRPr="00186EB2">
        <w:rPr>
          <w:b/>
        </w:rPr>
        <w:t>3.</w:t>
      </w:r>
      <w:r>
        <w:t xml:space="preserve"> I </w:t>
      </w:r>
      <w:r w:rsidRPr="009B5C16">
        <w:rPr>
          <w:i/>
        </w:rPr>
        <w:t>§ 23 a, stk. 3,</w:t>
      </w:r>
      <w:r>
        <w:t xml:space="preserve"> der bliver stk. 2, ændres </w:t>
      </w:r>
      <w:r>
        <w:rPr>
          <w:rFonts w:ascii="Calibri" w:hAnsi="Calibri"/>
        </w:rPr>
        <w:t>»</w:t>
      </w:r>
      <w:r>
        <w:t>stk. 2</w:t>
      </w:r>
      <w:r>
        <w:rPr>
          <w:rFonts w:ascii="Calibri" w:hAnsi="Calibri"/>
        </w:rPr>
        <w:t>«</w:t>
      </w:r>
      <w:r>
        <w:t xml:space="preserve"> til </w:t>
      </w:r>
      <w:r>
        <w:rPr>
          <w:rFonts w:ascii="Calibri" w:hAnsi="Calibri"/>
        </w:rPr>
        <w:t>»</w:t>
      </w:r>
      <w:r>
        <w:t>stk. 1</w:t>
      </w:r>
      <w:r>
        <w:rPr>
          <w:rFonts w:ascii="Calibri" w:hAnsi="Calibri"/>
        </w:rPr>
        <w:t>«.</w:t>
      </w:r>
      <w:r>
        <w:rPr>
          <w:rFonts w:asciiTheme="minorHAnsi" w:hAnsiTheme="minorHAnsi"/>
        </w:rPr>
        <w:t xml:space="preserve"> </w:t>
      </w:r>
    </w:p>
    <w:p w14:paraId="30F494E8" w14:textId="77777777" w:rsidR="00672750" w:rsidRDefault="00672750" w:rsidP="004E47AC">
      <w:pPr>
        <w:rPr>
          <w:rFonts w:asciiTheme="minorHAnsi" w:hAnsiTheme="minorHAnsi"/>
        </w:rPr>
      </w:pPr>
    </w:p>
    <w:p w14:paraId="30F494E9" w14:textId="77777777" w:rsidR="00672750" w:rsidRPr="00186EB2" w:rsidRDefault="00672750" w:rsidP="004E47AC">
      <w:pPr>
        <w:rPr>
          <w:rFonts w:asciiTheme="minorHAnsi" w:hAnsiTheme="minorHAnsi"/>
        </w:rPr>
      </w:pPr>
      <w:r>
        <w:rPr>
          <w:rFonts w:asciiTheme="minorHAnsi" w:hAnsiTheme="minorHAnsi"/>
        </w:rPr>
        <w:t xml:space="preserve">4. I </w:t>
      </w:r>
      <w:r w:rsidRPr="00071666">
        <w:rPr>
          <w:rFonts w:asciiTheme="minorHAnsi" w:hAnsiTheme="minorHAnsi"/>
          <w:i/>
        </w:rPr>
        <w:t>§ 23 a, stk. 4</w:t>
      </w:r>
      <w:r>
        <w:rPr>
          <w:rFonts w:asciiTheme="minorHAnsi" w:hAnsiTheme="minorHAnsi"/>
        </w:rPr>
        <w:t xml:space="preserve">, der bliver stk. 3, ændres </w:t>
      </w:r>
      <w:r>
        <w:rPr>
          <w:rFonts w:ascii="Calibri" w:hAnsi="Calibri"/>
        </w:rPr>
        <w:t>»</w:t>
      </w:r>
      <w:r>
        <w:rPr>
          <w:rFonts w:asciiTheme="minorHAnsi" w:hAnsiTheme="minorHAnsi"/>
        </w:rPr>
        <w:t>stk. 3</w:t>
      </w:r>
      <w:r w:rsidR="0067166F">
        <w:rPr>
          <w:rFonts w:asciiTheme="minorHAnsi" w:hAnsiTheme="minorHAnsi"/>
        </w:rPr>
        <w:t>, nr. 1</w:t>
      </w:r>
      <w:r>
        <w:rPr>
          <w:rFonts w:ascii="Calibri" w:hAnsi="Calibri"/>
        </w:rPr>
        <w:t>«</w:t>
      </w:r>
      <w:r>
        <w:rPr>
          <w:rFonts w:asciiTheme="minorHAnsi" w:hAnsiTheme="minorHAnsi"/>
        </w:rPr>
        <w:t xml:space="preserve"> til </w:t>
      </w:r>
      <w:r>
        <w:rPr>
          <w:rFonts w:ascii="Calibri" w:hAnsi="Calibri"/>
        </w:rPr>
        <w:t>»</w:t>
      </w:r>
      <w:r>
        <w:rPr>
          <w:rFonts w:asciiTheme="minorHAnsi" w:hAnsiTheme="minorHAnsi"/>
        </w:rPr>
        <w:t>stk. 2</w:t>
      </w:r>
      <w:r w:rsidR="0067166F">
        <w:rPr>
          <w:rFonts w:asciiTheme="minorHAnsi" w:hAnsiTheme="minorHAnsi"/>
        </w:rPr>
        <w:t>, nr. 1</w:t>
      </w:r>
      <w:r>
        <w:rPr>
          <w:rFonts w:ascii="Calibri" w:hAnsi="Calibri"/>
        </w:rPr>
        <w:t>«</w:t>
      </w:r>
      <w:r>
        <w:rPr>
          <w:rFonts w:asciiTheme="minorHAnsi" w:hAnsiTheme="minorHAnsi"/>
        </w:rPr>
        <w:t>.</w:t>
      </w:r>
    </w:p>
    <w:p w14:paraId="30F494EA" w14:textId="77777777" w:rsidR="004E47AC" w:rsidRPr="00704EA1" w:rsidRDefault="004E47AC" w:rsidP="00B719E3"/>
    <w:p w14:paraId="30F494EB" w14:textId="77777777" w:rsidR="00077861" w:rsidRDefault="00672750" w:rsidP="00B719E3">
      <w:pPr>
        <w:rPr>
          <w:rFonts w:asciiTheme="minorHAnsi" w:hAnsiTheme="minorHAnsi"/>
        </w:rPr>
      </w:pPr>
      <w:r>
        <w:rPr>
          <w:rFonts w:asciiTheme="minorHAnsi" w:hAnsiTheme="minorHAnsi"/>
          <w:b/>
        </w:rPr>
        <w:t>5</w:t>
      </w:r>
      <w:r w:rsidR="00077861" w:rsidRPr="00947179">
        <w:rPr>
          <w:rFonts w:asciiTheme="minorHAnsi" w:hAnsiTheme="minorHAnsi"/>
          <w:b/>
        </w:rPr>
        <w:t>.</w:t>
      </w:r>
      <w:r w:rsidR="00077861" w:rsidRPr="00947179">
        <w:rPr>
          <w:rFonts w:asciiTheme="minorHAnsi" w:hAnsiTheme="minorHAnsi"/>
        </w:rPr>
        <w:t xml:space="preserve"> I </w:t>
      </w:r>
      <w:r w:rsidR="00077861" w:rsidRPr="00947179">
        <w:rPr>
          <w:rFonts w:asciiTheme="minorHAnsi" w:hAnsiTheme="minorHAnsi"/>
          <w:i/>
        </w:rPr>
        <w:t>§ 23 a, stk. 5,</w:t>
      </w:r>
      <w:r w:rsidR="00077861" w:rsidRPr="00947179">
        <w:rPr>
          <w:rFonts w:asciiTheme="minorHAnsi" w:hAnsiTheme="minorHAnsi"/>
        </w:rPr>
        <w:t xml:space="preserve"> der bliver stk. 4, </w:t>
      </w:r>
      <w:r w:rsidR="00E7251C">
        <w:rPr>
          <w:rFonts w:asciiTheme="minorHAnsi" w:hAnsiTheme="minorHAnsi"/>
        </w:rPr>
        <w:t xml:space="preserve">udgår </w:t>
      </w:r>
      <w:r w:rsidR="00BC65E5" w:rsidRPr="00947179">
        <w:rPr>
          <w:rFonts w:asciiTheme="minorHAnsi" w:hAnsiTheme="minorHAnsi"/>
        </w:rPr>
        <w:t>»landbrugs-, social- og sundheds- samt«.</w:t>
      </w:r>
    </w:p>
    <w:p w14:paraId="30F494EC" w14:textId="77777777" w:rsidR="004E47AC" w:rsidRDefault="004E47AC" w:rsidP="00B719E3">
      <w:pPr>
        <w:rPr>
          <w:rFonts w:asciiTheme="minorHAnsi" w:hAnsiTheme="minorHAnsi"/>
        </w:rPr>
      </w:pPr>
    </w:p>
    <w:p w14:paraId="30F494ED" w14:textId="77777777" w:rsidR="004E47AC" w:rsidRPr="009B5C16" w:rsidRDefault="00672750" w:rsidP="004E47AC">
      <w:pPr>
        <w:rPr>
          <w:rFonts w:asciiTheme="minorHAnsi" w:hAnsiTheme="minorHAnsi"/>
        </w:rPr>
      </w:pPr>
      <w:r>
        <w:rPr>
          <w:rFonts w:asciiTheme="minorHAnsi" w:hAnsiTheme="minorHAnsi"/>
          <w:b/>
        </w:rPr>
        <w:t>6</w:t>
      </w:r>
      <w:r w:rsidR="004E47AC" w:rsidRPr="00186EB2">
        <w:rPr>
          <w:rFonts w:asciiTheme="minorHAnsi" w:hAnsiTheme="minorHAnsi"/>
          <w:b/>
        </w:rPr>
        <w:t>.</w:t>
      </w:r>
      <w:r w:rsidR="004E47AC">
        <w:rPr>
          <w:rFonts w:asciiTheme="minorHAnsi" w:hAnsiTheme="minorHAnsi"/>
        </w:rPr>
        <w:t xml:space="preserve"> I </w:t>
      </w:r>
      <w:r w:rsidR="004E47AC" w:rsidRPr="00186EB2">
        <w:rPr>
          <w:rFonts w:asciiTheme="minorHAnsi" w:hAnsiTheme="minorHAnsi"/>
          <w:i/>
        </w:rPr>
        <w:t>§ 23 a, stk. 7,</w:t>
      </w:r>
      <w:r w:rsidR="004E47AC">
        <w:rPr>
          <w:rFonts w:asciiTheme="minorHAnsi" w:hAnsiTheme="minorHAnsi"/>
        </w:rPr>
        <w:t xml:space="preserve"> der bliver stk. 6, ændres </w:t>
      </w:r>
      <w:r w:rsidR="004E47AC">
        <w:rPr>
          <w:rFonts w:ascii="Calibri" w:hAnsi="Calibri"/>
        </w:rPr>
        <w:t>»</w:t>
      </w:r>
      <w:r w:rsidR="004E47AC">
        <w:rPr>
          <w:rFonts w:asciiTheme="minorHAnsi" w:hAnsiTheme="minorHAnsi"/>
        </w:rPr>
        <w:t>stk. 1-6</w:t>
      </w:r>
      <w:r w:rsidR="004E47AC">
        <w:rPr>
          <w:rFonts w:ascii="Calibri" w:hAnsi="Calibri"/>
        </w:rPr>
        <w:t>«</w:t>
      </w:r>
      <w:r w:rsidR="004E47AC">
        <w:rPr>
          <w:rFonts w:asciiTheme="minorHAnsi" w:hAnsiTheme="minorHAnsi"/>
        </w:rPr>
        <w:t xml:space="preserve"> til </w:t>
      </w:r>
      <w:r w:rsidR="004E47AC">
        <w:rPr>
          <w:rFonts w:ascii="Calibri" w:hAnsi="Calibri"/>
        </w:rPr>
        <w:t>»</w:t>
      </w:r>
      <w:r w:rsidR="004E47AC">
        <w:rPr>
          <w:rFonts w:asciiTheme="minorHAnsi" w:hAnsiTheme="minorHAnsi"/>
        </w:rPr>
        <w:t>stk. 1-5</w:t>
      </w:r>
      <w:r w:rsidR="004E47AC">
        <w:rPr>
          <w:rFonts w:ascii="Calibri" w:hAnsi="Calibri"/>
        </w:rPr>
        <w:t>«</w:t>
      </w:r>
      <w:r w:rsidR="004E47AC">
        <w:rPr>
          <w:rFonts w:asciiTheme="minorHAnsi" w:hAnsiTheme="minorHAnsi"/>
        </w:rPr>
        <w:t>.</w:t>
      </w:r>
    </w:p>
    <w:p w14:paraId="30F494EE" w14:textId="77777777" w:rsidR="00077861" w:rsidRPr="00704EA1" w:rsidRDefault="00077861" w:rsidP="00B719E3"/>
    <w:p w14:paraId="30F494EF" w14:textId="77777777" w:rsidR="00704EA1" w:rsidRDefault="00672750" w:rsidP="00704EA1">
      <w:r>
        <w:rPr>
          <w:b/>
        </w:rPr>
        <w:t>7</w:t>
      </w:r>
      <w:r w:rsidR="00077861" w:rsidRPr="00704EA1">
        <w:rPr>
          <w:b/>
        </w:rPr>
        <w:t>.</w:t>
      </w:r>
      <w:r w:rsidR="00704EA1">
        <w:rPr>
          <w:b/>
        </w:rPr>
        <w:t xml:space="preserve"> </w:t>
      </w:r>
      <w:r w:rsidR="00704EA1">
        <w:rPr>
          <w:i/>
        </w:rPr>
        <w:t xml:space="preserve">§ 37, stk. 3, </w:t>
      </w:r>
      <w:r w:rsidR="009542B7">
        <w:t>affattes således</w:t>
      </w:r>
      <w:r w:rsidR="00704EA1">
        <w:t>:</w:t>
      </w:r>
    </w:p>
    <w:p w14:paraId="30F494F0" w14:textId="77777777" w:rsidR="00704EA1" w:rsidRDefault="00704EA1" w:rsidP="00704EA1">
      <w:r>
        <w:t xml:space="preserve">  »</w:t>
      </w:r>
      <w:r>
        <w:rPr>
          <w:i/>
        </w:rPr>
        <w:t>Stk. 3.</w:t>
      </w:r>
      <w:r>
        <w:t xml:space="preserve"> Den samlede pulje for tilskud til individuel elevstøtte </w:t>
      </w:r>
      <w:r w:rsidR="00A94221">
        <w:t>fastsættes på de årlige finanslove</w:t>
      </w:r>
      <w:r w:rsidR="000E496A">
        <w:t xml:space="preserve"> på grundlag af en takst og det samlede antal årselever på efterskoler </w:t>
      </w:r>
      <w:r w:rsidR="006202E1">
        <w:t xml:space="preserve">på </w:t>
      </w:r>
      <w:r w:rsidR="00A94221">
        <w:t xml:space="preserve">de ti </w:t>
      </w:r>
      <w:r w:rsidR="007053F8">
        <w:t>laveste indkomsti</w:t>
      </w:r>
      <w:r w:rsidR="007053F8">
        <w:t>n</w:t>
      </w:r>
      <w:r w:rsidR="007053F8">
        <w:t>tervaller</w:t>
      </w:r>
      <w:r w:rsidR="00A94221">
        <w:t xml:space="preserve"> på den i § 30, stk. 5, nr. 2, 1. pkt., nævnte skala </w:t>
      </w:r>
      <w:r w:rsidR="006202E1">
        <w:t>i skoleåret</w:t>
      </w:r>
      <w:r w:rsidR="00AA5DA4">
        <w:t>,</w:t>
      </w:r>
      <w:r w:rsidR="006202E1">
        <w:t xml:space="preserve"> der slutter i året før finansåret</w:t>
      </w:r>
      <w:r w:rsidR="00A94221">
        <w:t>.</w:t>
      </w:r>
      <w:r w:rsidR="005C55C2">
        <w:t xml:space="preserve"> </w:t>
      </w:r>
      <w:r w:rsidR="008A0B13">
        <w:t>Tilskud til individuel</w:t>
      </w:r>
      <w:r w:rsidR="001C06F4">
        <w:t xml:space="preserve"> supplerende</w:t>
      </w:r>
      <w:r w:rsidR="008A0B13">
        <w:t xml:space="preserve"> elevstøtte </w:t>
      </w:r>
      <w:r w:rsidR="00BC4F45">
        <w:t>ydes</w:t>
      </w:r>
      <w:r w:rsidR="008A0B13">
        <w:t xml:space="preserve"> til den enkelte skole ud fra</w:t>
      </w:r>
      <w:r>
        <w:t xml:space="preserve"> sko</w:t>
      </w:r>
      <w:r w:rsidR="007F4BF3">
        <w:t>le</w:t>
      </w:r>
      <w:r w:rsidR="008A0B13">
        <w:t>n</w:t>
      </w:r>
      <w:r w:rsidR="007F4BF3">
        <w:t>s</w:t>
      </w:r>
      <w:r w:rsidR="008A0B13">
        <w:t xml:space="preserve"> antal</w:t>
      </w:r>
      <w:r w:rsidR="007F4BF3">
        <w:t xml:space="preserve"> årsel</w:t>
      </w:r>
      <w:r w:rsidR="007F4BF3">
        <w:t>e</w:t>
      </w:r>
      <w:r w:rsidR="007F4BF3">
        <w:t>ver på de ti</w:t>
      </w:r>
      <w:r>
        <w:t xml:space="preserve"> </w:t>
      </w:r>
      <w:r w:rsidR="007053F8">
        <w:t>laveste indkomstintervaller</w:t>
      </w:r>
      <w:r>
        <w:t xml:space="preserve"> på den i § 30, stk. 5, nr. 2, 1. pkt., nævnte skala i finan</w:t>
      </w:r>
      <w:r>
        <w:t>s</w:t>
      </w:r>
      <w:r>
        <w:t>året.</w:t>
      </w:r>
      <w:r w:rsidR="00BC4F45">
        <w:t xml:space="preserve"> Ved beregning af årselevtallet medregnes kun elever på kurser af mindst 2 ugers varighed.</w:t>
      </w:r>
      <w:r>
        <w:t>«</w:t>
      </w:r>
    </w:p>
    <w:p w14:paraId="30F494F1" w14:textId="77777777" w:rsidR="00071666" w:rsidRDefault="00071666" w:rsidP="00B719E3"/>
    <w:p w14:paraId="30F494F2" w14:textId="77777777" w:rsidR="00F712BE" w:rsidRPr="003D2685" w:rsidRDefault="003D2685" w:rsidP="003D2685">
      <w:pPr>
        <w:jc w:val="center"/>
        <w:rPr>
          <w:b/>
        </w:rPr>
      </w:pPr>
      <w:r w:rsidRPr="003D2685">
        <w:rPr>
          <w:b/>
        </w:rPr>
        <w:t>§ 2</w:t>
      </w:r>
    </w:p>
    <w:p w14:paraId="30F494F3" w14:textId="77777777" w:rsidR="003D2685" w:rsidRDefault="003D2685" w:rsidP="003D2685">
      <w:pPr>
        <w:jc w:val="center"/>
      </w:pPr>
    </w:p>
    <w:p w14:paraId="30F494F4" w14:textId="77777777" w:rsidR="003D2685" w:rsidRDefault="003D2685" w:rsidP="00B719E3">
      <w:r>
        <w:t>Loven træder i kraft den 1. januar 2019.</w:t>
      </w:r>
    </w:p>
    <w:p w14:paraId="30F494F5" w14:textId="77777777" w:rsidR="003D2685" w:rsidRDefault="003D2685" w:rsidP="00B719E3"/>
    <w:p w14:paraId="30F494F6" w14:textId="77777777" w:rsidR="003D2685" w:rsidRPr="003D2685" w:rsidRDefault="003D2685" w:rsidP="003D2685">
      <w:pPr>
        <w:jc w:val="center"/>
        <w:rPr>
          <w:i/>
          <w:sz w:val="28"/>
          <w:szCs w:val="28"/>
        </w:rPr>
      </w:pPr>
      <w:r w:rsidRPr="003D2685">
        <w:rPr>
          <w:i/>
          <w:sz w:val="28"/>
          <w:szCs w:val="28"/>
        </w:rPr>
        <w:lastRenderedPageBreak/>
        <w:t>Bemærkninger til lovforslaget</w:t>
      </w:r>
    </w:p>
    <w:p w14:paraId="30F494F7" w14:textId="77777777" w:rsidR="003D2685" w:rsidRDefault="003D2685" w:rsidP="00B719E3"/>
    <w:p w14:paraId="30F494F8" w14:textId="77777777" w:rsidR="003D2685" w:rsidRDefault="003D2685" w:rsidP="00B719E3"/>
    <w:p w14:paraId="30F494F9" w14:textId="77777777" w:rsidR="003D2685" w:rsidRPr="003D2685" w:rsidRDefault="003D2685" w:rsidP="003D2685">
      <w:pPr>
        <w:jc w:val="center"/>
        <w:rPr>
          <w:i/>
        </w:rPr>
      </w:pPr>
      <w:r w:rsidRPr="003D2685">
        <w:rPr>
          <w:i/>
        </w:rPr>
        <w:t>Almindelige bemærkninger</w:t>
      </w:r>
    </w:p>
    <w:p w14:paraId="30F494FA" w14:textId="77777777" w:rsidR="003D2685" w:rsidRDefault="003D2685" w:rsidP="00B719E3"/>
    <w:p w14:paraId="30F494FB" w14:textId="77777777" w:rsidR="003D2685" w:rsidRPr="003D2685" w:rsidRDefault="003D2685" w:rsidP="00B719E3">
      <w:pPr>
        <w:rPr>
          <w:b/>
        </w:rPr>
      </w:pPr>
      <w:r w:rsidRPr="003D2685">
        <w:rPr>
          <w:b/>
        </w:rPr>
        <w:t>Indholdsfortegnelse</w:t>
      </w:r>
    </w:p>
    <w:p w14:paraId="30F494FC" w14:textId="77777777" w:rsidR="003D2685" w:rsidRDefault="003D2685" w:rsidP="00B719E3"/>
    <w:p w14:paraId="30F494FD" w14:textId="77777777" w:rsidR="003D2685" w:rsidRPr="003D2685" w:rsidRDefault="003D2685" w:rsidP="003D2685">
      <w:pPr>
        <w:pStyle w:val="Listeafsnit"/>
        <w:numPr>
          <w:ilvl w:val="0"/>
          <w:numId w:val="30"/>
        </w:numPr>
        <w:rPr>
          <w:b/>
        </w:rPr>
      </w:pPr>
      <w:r w:rsidRPr="003D2685">
        <w:rPr>
          <w:b/>
        </w:rPr>
        <w:t>Indledning</w:t>
      </w:r>
    </w:p>
    <w:p w14:paraId="30F494FE" w14:textId="77777777" w:rsidR="003D2685" w:rsidRPr="003D2685" w:rsidRDefault="003D2685" w:rsidP="003D2685">
      <w:pPr>
        <w:pStyle w:val="Listeafsnit"/>
        <w:numPr>
          <w:ilvl w:val="1"/>
          <w:numId w:val="30"/>
        </w:numPr>
        <w:rPr>
          <w:i/>
        </w:rPr>
      </w:pPr>
      <w:r w:rsidRPr="003D2685">
        <w:rPr>
          <w:i/>
        </w:rPr>
        <w:t>Lovforslagets hovedpunkter</w:t>
      </w:r>
    </w:p>
    <w:p w14:paraId="30F494FF" w14:textId="77777777" w:rsidR="003D2685" w:rsidRPr="003D2685" w:rsidRDefault="003D2685" w:rsidP="003D2685">
      <w:pPr>
        <w:pStyle w:val="Listeafsnit"/>
        <w:numPr>
          <w:ilvl w:val="0"/>
          <w:numId w:val="30"/>
        </w:numPr>
        <w:rPr>
          <w:b/>
        </w:rPr>
      </w:pPr>
      <w:r w:rsidRPr="003D2685">
        <w:rPr>
          <w:b/>
        </w:rPr>
        <w:t>Lovforslagets indhold</w:t>
      </w:r>
    </w:p>
    <w:p w14:paraId="30F49500" w14:textId="77777777" w:rsidR="003D2685" w:rsidRPr="003D2685" w:rsidRDefault="00AA5DA4" w:rsidP="003D2685">
      <w:pPr>
        <w:pStyle w:val="Listeafsnit"/>
        <w:numPr>
          <w:ilvl w:val="1"/>
          <w:numId w:val="30"/>
        </w:numPr>
        <w:rPr>
          <w:b/>
        </w:rPr>
      </w:pPr>
      <w:r>
        <w:rPr>
          <w:b/>
        </w:rPr>
        <w:t>G</w:t>
      </w:r>
      <w:r w:rsidR="00A94221">
        <w:rPr>
          <w:b/>
        </w:rPr>
        <w:t xml:space="preserve">eografisk </w:t>
      </w:r>
      <w:r w:rsidR="003D2685" w:rsidRPr="003D2685">
        <w:rPr>
          <w:b/>
        </w:rPr>
        <w:t>skoletilskud til efterskoler</w:t>
      </w:r>
    </w:p>
    <w:p w14:paraId="30F49501" w14:textId="77777777" w:rsidR="003D2685" w:rsidRPr="003D2685" w:rsidRDefault="003D2685" w:rsidP="003D2685">
      <w:pPr>
        <w:pStyle w:val="Listeafsnit"/>
        <w:numPr>
          <w:ilvl w:val="2"/>
          <w:numId w:val="30"/>
        </w:numPr>
        <w:rPr>
          <w:i/>
        </w:rPr>
      </w:pPr>
      <w:r w:rsidRPr="003D2685">
        <w:rPr>
          <w:i/>
        </w:rPr>
        <w:t>Gældende ret</w:t>
      </w:r>
    </w:p>
    <w:p w14:paraId="30F49502" w14:textId="77777777" w:rsidR="003D2685" w:rsidRPr="003D2685" w:rsidRDefault="003D2685" w:rsidP="003D2685">
      <w:pPr>
        <w:pStyle w:val="Listeafsnit"/>
        <w:numPr>
          <w:ilvl w:val="2"/>
          <w:numId w:val="30"/>
        </w:numPr>
        <w:rPr>
          <w:i/>
        </w:rPr>
      </w:pPr>
      <w:r w:rsidRPr="003D2685">
        <w:rPr>
          <w:i/>
        </w:rPr>
        <w:t>Undervisningsministeriets overvejelser og den foreslåede ordning</w:t>
      </w:r>
    </w:p>
    <w:p w14:paraId="30F49503" w14:textId="77777777" w:rsidR="00BF7529" w:rsidRPr="003D2685" w:rsidRDefault="00BF7529" w:rsidP="00BF7529">
      <w:pPr>
        <w:pStyle w:val="Listeafsnit"/>
        <w:numPr>
          <w:ilvl w:val="1"/>
          <w:numId w:val="30"/>
        </w:numPr>
        <w:rPr>
          <w:b/>
        </w:rPr>
      </w:pPr>
      <w:r w:rsidRPr="003D2685">
        <w:rPr>
          <w:b/>
        </w:rPr>
        <w:t>Individuel supplerende støtte til elever på efterskoler</w:t>
      </w:r>
    </w:p>
    <w:p w14:paraId="30F49504" w14:textId="77777777" w:rsidR="00BF7529" w:rsidRPr="003D2685" w:rsidRDefault="00BF7529" w:rsidP="00BF7529">
      <w:pPr>
        <w:pStyle w:val="Listeafsnit"/>
        <w:numPr>
          <w:ilvl w:val="2"/>
          <w:numId w:val="30"/>
        </w:numPr>
        <w:rPr>
          <w:i/>
        </w:rPr>
      </w:pPr>
      <w:r w:rsidRPr="003D2685">
        <w:rPr>
          <w:i/>
        </w:rPr>
        <w:t>Gældende ret</w:t>
      </w:r>
    </w:p>
    <w:p w14:paraId="30F49505" w14:textId="77777777" w:rsidR="00BF7529" w:rsidRPr="003D2685" w:rsidRDefault="00BF7529" w:rsidP="00BF7529">
      <w:pPr>
        <w:pStyle w:val="Listeafsnit"/>
        <w:numPr>
          <w:ilvl w:val="2"/>
          <w:numId w:val="30"/>
        </w:numPr>
        <w:rPr>
          <w:i/>
        </w:rPr>
      </w:pPr>
      <w:r w:rsidRPr="003D2685">
        <w:rPr>
          <w:i/>
        </w:rPr>
        <w:t>Undervisningsministeriets overvejelser og den foreslåede ordning</w:t>
      </w:r>
    </w:p>
    <w:p w14:paraId="30F49506" w14:textId="77777777" w:rsidR="003D2685" w:rsidRPr="003D2685" w:rsidRDefault="003D2685" w:rsidP="003D2685">
      <w:pPr>
        <w:pStyle w:val="Listeafsnit"/>
        <w:numPr>
          <w:ilvl w:val="1"/>
          <w:numId w:val="30"/>
        </w:numPr>
        <w:rPr>
          <w:b/>
        </w:rPr>
      </w:pPr>
      <w:r w:rsidRPr="003D2685">
        <w:rPr>
          <w:b/>
        </w:rPr>
        <w:t xml:space="preserve">Afskaffelse af </w:t>
      </w:r>
      <w:r w:rsidR="007A14A7">
        <w:rPr>
          <w:b/>
        </w:rPr>
        <w:t>det særlige</w:t>
      </w:r>
      <w:r w:rsidRPr="003D2685">
        <w:rPr>
          <w:b/>
        </w:rPr>
        <w:t xml:space="preserve"> tilskud til elever fra visse lande</w:t>
      </w:r>
    </w:p>
    <w:p w14:paraId="30F49507" w14:textId="77777777" w:rsidR="003D2685" w:rsidRPr="003D2685" w:rsidRDefault="003D2685" w:rsidP="003D2685">
      <w:pPr>
        <w:pStyle w:val="Listeafsnit"/>
        <w:numPr>
          <w:ilvl w:val="2"/>
          <w:numId w:val="30"/>
        </w:numPr>
        <w:rPr>
          <w:i/>
        </w:rPr>
      </w:pPr>
      <w:r w:rsidRPr="003D2685">
        <w:rPr>
          <w:i/>
        </w:rPr>
        <w:t>Gældende ret</w:t>
      </w:r>
    </w:p>
    <w:p w14:paraId="30F49508" w14:textId="77777777" w:rsidR="003D2685" w:rsidRPr="003D2685" w:rsidRDefault="003D2685" w:rsidP="003D2685">
      <w:pPr>
        <w:pStyle w:val="Listeafsnit"/>
        <w:numPr>
          <w:ilvl w:val="2"/>
          <w:numId w:val="30"/>
        </w:numPr>
        <w:rPr>
          <w:i/>
        </w:rPr>
      </w:pPr>
      <w:r w:rsidRPr="003D2685">
        <w:rPr>
          <w:i/>
        </w:rPr>
        <w:t>Undervisningsministeriets overvejelser og den foreslåede ordning</w:t>
      </w:r>
    </w:p>
    <w:p w14:paraId="30F49509" w14:textId="77777777" w:rsidR="003D2685" w:rsidRPr="003D2685" w:rsidRDefault="00186EB2" w:rsidP="003D2685">
      <w:pPr>
        <w:pStyle w:val="Listeafsnit"/>
        <w:numPr>
          <w:ilvl w:val="1"/>
          <w:numId w:val="30"/>
        </w:numPr>
        <w:rPr>
          <w:b/>
        </w:rPr>
      </w:pPr>
      <w:r>
        <w:rPr>
          <w:b/>
        </w:rPr>
        <w:t>Opdatering</w:t>
      </w:r>
      <w:r w:rsidR="003D2685" w:rsidRPr="003D2685">
        <w:rPr>
          <w:b/>
        </w:rPr>
        <w:t xml:space="preserve"> af regler om særligt tilskud for meritgivende brobygning</w:t>
      </w:r>
    </w:p>
    <w:p w14:paraId="30F4950A" w14:textId="77777777" w:rsidR="003D2685" w:rsidRPr="003D2685" w:rsidRDefault="003D2685" w:rsidP="003D2685">
      <w:pPr>
        <w:pStyle w:val="Listeafsnit"/>
        <w:numPr>
          <w:ilvl w:val="2"/>
          <w:numId w:val="30"/>
        </w:numPr>
        <w:rPr>
          <w:i/>
        </w:rPr>
      </w:pPr>
      <w:r w:rsidRPr="003D2685">
        <w:rPr>
          <w:i/>
        </w:rPr>
        <w:t>Gældende ret</w:t>
      </w:r>
    </w:p>
    <w:p w14:paraId="30F4950B" w14:textId="77777777" w:rsidR="003D2685" w:rsidRPr="003D2685" w:rsidRDefault="003D2685" w:rsidP="003D2685">
      <w:pPr>
        <w:pStyle w:val="Listeafsnit"/>
        <w:numPr>
          <w:ilvl w:val="2"/>
          <w:numId w:val="30"/>
        </w:numPr>
        <w:rPr>
          <w:i/>
        </w:rPr>
      </w:pPr>
      <w:r w:rsidRPr="003D2685">
        <w:rPr>
          <w:i/>
        </w:rPr>
        <w:t>Undervisningsministeriets overvejelser og den foreslåede ordning</w:t>
      </w:r>
    </w:p>
    <w:p w14:paraId="30F4950C" w14:textId="77777777" w:rsidR="003D2685" w:rsidRPr="003D2685" w:rsidRDefault="006C7C2B" w:rsidP="003D2685">
      <w:pPr>
        <w:pStyle w:val="Listeafsnit"/>
        <w:numPr>
          <w:ilvl w:val="0"/>
          <w:numId w:val="30"/>
        </w:numPr>
        <w:rPr>
          <w:b/>
        </w:rPr>
      </w:pPr>
      <w:r>
        <w:rPr>
          <w:b/>
        </w:rPr>
        <w:t>De ø</w:t>
      </w:r>
      <w:r w:rsidR="003D2685" w:rsidRPr="003D2685">
        <w:rPr>
          <w:b/>
        </w:rPr>
        <w:t xml:space="preserve">konomiske </w:t>
      </w:r>
      <w:r>
        <w:rPr>
          <w:b/>
        </w:rPr>
        <w:t xml:space="preserve">konsekvenser </w:t>
      </w:r>
      <w:r w:rsidR="003D2685" w:rsidRPr="003D2685">
        <w:rPr>
          <w:b/>
        </w:rPr>
        <w:t xml:space="preserve">og </w:t>
      </w:r>
      <w:r>
        <w:rPr>
          <w:b/>
        </w:rPr>
        <w:t>implementerings</w:t>
      </w:r>
      <w:r w:rsidR="003D2685" w:rsidRPr="003D2685">
        <w:rPr>
          <w:b/>
        </w:rPr>
        <w:t>konsekvenser for det offentlige</w:t>
      </w:r>
    </w:p>
    <w:p w14:paraId="30F4950D" w14:textId="77777777" w:rsidR="003D2685" w:rsidRPr="003D2685" w:rsidRDefault="003D2685" w:rsidP="003D2685">
      <w:pPr>
        <w:pStyle w:val="Listeafsnit"/>
        <w:numPr>
          <w:ilvl w:val="0"/>
          <w:numId w:val="30"/>
        </w:numPr>
        <w:rPr>
          <w:b/>
        </w:rPr>
      </w:pPr>
      <w:r w:rsidRPr="003D2685">
        <w:rPr>
          <w:b/>
        </w:rPr>
        <w:t>Økonomiske og administrative konsekvenser for erhvervslivet m.v.</w:t>
      </w:r>
    </w:p>
    <w:p w14:paraId="30F4950E" w14:textId="77777777" w:rsidR="003D2685" w:rsidRPr="003D2685" w:rsidRDefault="003D2685" w:rsidP="003D2685">
      <w:pPr>
        <w:pStyle w:val="Listeafsnit"/>
        <w:numPr>
          <w:ilvl w:val="0"/>
          <w:numId w:val="30"/>
        </w:numPr>
        <w:rPr>
          <w:b/>
        </w:rPr>
      </w:pPr>
      <w:r w:rsidRPr="003D2685">
        <w:rPr>
          <w:b/>
        </w:rPr>
        <w:t>Administrative konsekvenser for borgerne</w:t>
      </w:r>
    </w:p>
    <w:p w14:paraId="30F4950F" w14:textId="77777777" w:rsidR="003D2685" w:rsidRPr="003D2685" w:rsidRDefault="003D2685" w:rsidP="003D2685">
      <w:pPr>
        <w:pStyle w:val="Listeafsnit"/>
        <w:numPr>
          <w:ilvl w:val="0"/>
          <w:numId w:val="30"/>
        </w:numPr>
        <w:rPr>
          <w:b/>
        </w:rPr>
      </w:pPr>
      <w:r w:rsidRPr="003D2685">
        <w:rPr>
          <w:b/>
        </w:rPr>
        <w:t>Miljømæssige konsekvenser</w:t>
      </w:r>
    </w:p>
    <w:p w14:paraId="30F49510" w14:textId="77777777" w:rsidR="003D2685" w:rsidRPr="003D2685" w:rsidRDefault="003D2685" w:rsidP="003D2685">
      <w:pPr>
        <w:pStyle w:val="Listeafsnit"/>
        <w:numPr>
          <w:ilvl w:val="0"/>
          <w:numId w:val="30"/>
        </w:numPr>
        <w:rPr>
          <w:b/>
        </w:rPr>
      </w:pPr>
      <w:r w:rsidRPr="003D2685">
        <w:rPr>
          <w:b/>
        </w:rPr>
        <w:t>Forholdet til EU-retten</w:t>
      </w:r>
    </w:p>
    <w:p w14:paraId="30F49511" w14:textId="77777777" w:rsidR="003D2685" w:rsidRPr="003D2685" w:rsidRDefault="003D2685" w:rsidP="003D2685">
      <w:pPr>
        <w:pStyle w:val="Listeafsnit"/>
        <w:numPr>
          <w:ilvl w:val="0"/>
          <w:numId w:val="30"/>
        </w:numPr>
        <w:rPr>
          <w:b/>
        </w:rPr>
      </w:pPr>
      <w:r w:rsidRPr="003D2685">
        <w:rPr>
          <w:b/>
        </w:rPr>
        <w:t>Hørte myndigheder og organisationer</w:t>
      </w:r>
    </w:p>
    <w:p w14:paraId="30F49512" w14:textId="77777777" w:rsidR="003D2685" w:rsidRDefault="003D2685" w:rsidP="003D2685">
      <w:pPr>
        <w:pStyle w:val="Listeafsnit"/>
        <w:numPr>
          <w:ilvl w:val="0"/>
          <w:numId w:val="30"/>
        </w:numPr>
        <w:rPr>
          <w:b/>
        </w:rPr>
      </w:pPr>
      <w:r>
        <w:rPr>
          <w:b/>
        </w:rPr>
        <w:t>Sammenfattende skema</w:t>
      </w:r>
    </w:p>
    <w:p w14:paraId="30F49513" w14:textId="77777777" w:rsidR="003D2685" w:rsidRDefault="003D2685" w:rsidP="003D2685">
      <w:pPr>
        <w:rPr>
          <w:b/>
        </w:rPr>
      </w:pPr>
    </w:p>
    <w:p w14:paraId="30F49514" w14:textId="77777777" w:rsidR="003D2685" w:rsidRPr="003D2685" w:rsidRDefault="003D2685" w:rsidP="003D2685">
      <w:pPr>
        <w:pStyle w:val="Listeafsnit"/>
        <w:numPr>
          <w:ilvl w:val="0"/>
          <w:numId w:val="33"/>
        </w:numPr>
        <w:rPr>
          <w:i/>
        </w:rPr>
      </w:pPr>
      <w:r w:rsidRPr="003D2685">
        <w:rPr>
          <w:i/>
        </w:rPr>
        <w:t>Indledning</w:t>
      </w:r>
    </w:p>
    <w:p w14:paraId="30F49515" w14:textId="77777777" w:rsidR="003D2685" w:rsidRDefault="003D2685" w:rsidP="00B719E3"/>
    <w:p w14:paraId="30F49516" w14:textId="77777777" w:rsidR="009727CD" w:rsidRDefault="003D2685" w:rsidP="00B719E3">
      <w:r>
        <w:t xml:space="preserve">Med lovforslaget </w:t>
      </w:r>
      <w:r w:rsidR="009727CD">
        <w:t>foreslås</w:t>
      </w:r>
      <w:r w:rsidR="00771D3C">
        <w:t>, at der indføres</w:t>
      </w:r>
      <w:r w:rsidR="009727CD">
        <w:t xml:space="preserve"> </w:t>
      </w:r>
      <w:r>
        <w:t xml:space="preserve">et nyt </w:t>
      </w:r>
      <w:r w:rsidR="00A94221">
        <w:t xml:space="preserve">geografisk </w:t>
      </w:r>
      <w:r>
        <w:t>skoletilskud for efterskoler</w:t>
      </w:r>
      <w:r w:rsidR="00506CEB">
        <w:t>, der vil styrke grundlaget for efterskoler af forskellig størrelse og i hele landet</w:t>
      </w:r>
      <w:r w:rsidR="009727CD">
        <w:t>.</w:t>
      </w:r>
    </w:p>
    <w:p w14:paraId="30F49517" w14:textId="77777777" w:rsidR="009D7CC2" w:rsidRDefault="009D7CC2" w:rsidP="00B719E3"/>
    <w:p w14:paraId="30F49518" w14:textId="662A6C6C" w:rsidR="003D2685" w:rsidRDefault="009727CD" w:rsidP="00B719E3">
      <w:r>
        <w:t>End</w:t>
      </w:r>
      <w:r w:rsidR="00771D3C">
        <w:t>videre</w:t>
      </w:r>
      <w:r>
        <w:t xml:space="preserve"> foreslås ændringer af reglerne om </w:t>
      </w:r>
      <w:r w:rsidRPr="00DE1651">
        <w:t>bereg</w:t>
      </w:r>
      <w:r w:rsidR="00DB22A5" w:rsidRPr="00DE1651">
        <w:t>ning</w:t>
      </w:r>
      <w:r w:rsidR="00A7360B" w:rsidRPr="00DE1651">
        <w:t xml:space="preserve"> </w:t>
      </w:r>
      <w:r w:rsidR="00A7360B" w:rsidRPr="001849AF">
        <w:t>og udbetaling</w:t>
      </w:r>
      <w:r w:rsidR="00213190">
        <w:t xml:space="preserve"> </w:t>
      </w:r>
      <w:r>
        <w:t>af tilskud til efterskoler til individuel supplerende elevstøtte</w:t>
      </w:r>
      <w:r w:rsidR="008A7EFD">
        <w:t>.</w:t>
      </w:r>
      <w:bookmarkStart w:id="1" w:name="_GoBack"/>
      <w:bookmarkEnd w:id="1"/>
    </w:p>
    <w:p w14:paraId="30F49519" w14:textId="77777777" w:rsidR="00EE35E8" w:rsidRDefault="00EE35E8" w:rsidP="00B719E3"/>
    <w:p w14:paraId="30F4951A" w14:textId="77777777" w:rsidR="00EE35E8" w:rsidRDefault="00EE35E8" w:rsidP="00B719E3">
      <w:r>
        <w:t xml:space="preserve">Forslaget om at indføre et nyt </w:t>
      </w:r>
      <w:r w:rsidR="00094CAF">
        <w:t xml:space="preserve">geografisk </w:t>
      </w:r>
      <w:r>
        <w:t>skoletilskud samt forslaget om ændrede regler for b</w:t>
      </w:r>
      <w:r>
        <w:t>e</w:t>
      </w:r>
      <w:r>
        <w:t>regning og udbetaling af individuel supplerende elevstøtte tager udgangspunkt i ønsker fra Efte</w:t>
      </w:r>
      <w:r>
        <w:t>r</w:t>
      </w:r>
      <w:r>
        <w:t xml:space="preserve">skoleforeningen. </w:t>
      </w:r>
    </w:p>
    <w:p w14:paraId="30F4951B" w14:textId="77777777" w:rsidR="00EE35E8" w:rsidRDefault="00EE35E8" w:rsidP="00B719E3"/>
    <w:p w14:paraId="30F4951C" w14:textId="77777777" w:rsidR="00771D3C" w:rsidRDefault="00771D3C" w:rsidP="00771D3C">
      <w:r>
        <w:t xml:space="preserve">Herudover foreslås det, at det særlige tilskud til efterskoler for indvandrere fra ikkevestlige lande og det vestlige Balkan samt efterkommere af indvandrere fra disse lande afskaffes. </w:t>
      </w:r>
    </w:p>
    <w:p w14:paraId="30F4951D" w14:textId="77777777" w:rsidR="00771D3C" w:rsidRDefault="00771D3C" w:rsidP="00B719E3"/>
    <w:p w14:paraId="30F4951E" w14:textId="77777777" w:rsidR="00EE35E8" w:rsidRDefault="00EE35E8" w:rsidP="00B719E3">
      <w:r>
        <w:lastRenderedPageBreak/>
        <w:t xml:space="preserve">Forslaget om afskaffelse af </w:t>
      </w:r>
      <w:r w:rsidRPr="00EE35E8">
        <w:t>det særlige tilskud til efterskoler for indvandrere fra ikkevestlige lande og det vestlige Balkan samt efterkommere af indvandrere fra disse lande</w:t>
      </w:r>
      <w:r>
        <w:t xml:space="preserve"> er en del af regeringens samlede forslag til finanslov for 2019. </w:t>
      </w:r>
    </w:p>
    <w:p w14:paraId="30F4951F" w14:textId="77777777" w:rsidR="00704EA1" w:rsidRDefault="00704EA1" w:rsidP="00B719E3"/>
    <w:p w14:paraId="30F49520" w14:textId="77777777" w:rsidR="00771D3C" w:rsidRDefault="00BF7529" w:rsidP="00771D3C">
      <w:r>
        <w:t>Endelig foreslås reglerne for det særlige tilskud til efterskoler for elever, der deltager i meritgive</w:t>
      </w:r>
      <w:r>
        <w:t>n</w:t>
      </w:r>
      <w:r>
        <w:t>de brobygningsforløb opdateret.</w:t>
      </w:r>
    </w:p>
    <w:p w14:paraId="30F49521" w14:textId="77777777" w:rsidR="009727CD" w:rsidRDefault="009727CD" w:rsidP="00B719E3"/>
    <w:p w14:paraId="30F49522" w14:textId="77777777" w:rsidR="009727CD" w:rsidRPr="009727CD" w:rsidRDefault="009727CD" w:rsidP="009727CD">
      <w:pPr>
        <w:pStyle w:val="Listeafsnit"/>
        <w:numPr>
          <w:ilvl w:val="1"/>
          <w:numId w:val="33"/>
        </w:numPr>
        <w:rPr>
          <w:i/>
        </w:rPr>
      </w:pPr>
      <w:r w:rsidRPr="009727CD">
        <w:rPr>
          <w:i/>
        </w:rPr>
        <w:t>Lovforslagets hovedpunkter</w:t>
      </w:r>
    </w:p>
    <w:p w14:paraId="30F49523" w14:textId="77777777" w:rsidR="009727CD" w:rsidRDefault="009727CD" w:rsidP="00704EA1"/>
    <w:p w14:paraId="30F49524" w14:textId="77777777" w:rsidR="009727CD" w:rsidRDefault="009727CD" w:rsidP="009727CD">
      <w:r>
        <w:t xml:space="preserve">Lovforslaget indeholder for det første forslag om et nyt </w:t>
      </w:r>
      <w:r w:rsidR="00A94221">
        <w:t xml:space="preserve">geografisk </w:t>
      </w:r>
      <w:r>
        <w:t>skoletilskud for efterskoler indføjet i lov om efterskoler og frie fagskoler</w:t>
      </w:r>
      <w:r w:rsidR="00DB22A5">
        <w:t xml:space="preserve">. Med forslaget sker en målretning af midlerne til efterskolerne med henblik på at understøtte, at der fortsat </w:t>
      </w:r>
      <w:r w:rsidR="00637F8B">
        <w:t xml:space="preserve">er </w:t>
      </w:r>
      <w:r>
        <w:t>grundlag for etablering og drift af efterskoler af forskellig størrelse</w:t>
      </w:r>
      <w:r w:rsidR="00DE7447">
        <w:t xml:space="preserve"> i hele landet</w:t>
      </w:r>
      <w:r>
        <w:t xml:space="preserve">. </w:t>
      </w:r>
    </w:p>
    <w:p w14:paraId="30F49525" w14:textId="77777777" w:rsidR="00007282" w:rsidRDefault="00007282" w:rsidP="009727CD"/>
    <w:p w14:paraId="30F49526" w14:textId="77777777" w:rsidR="00007282" w:rsidRDefault="00007282" w:rsidP="00007282">
      <w:r>
        <w:t>Lovforslaget indeholder for det andet forslag om justering af bestemmelsen for beregning og udbetaling af tilskud til individuel supplerende støtte til elever på efterskoler. Med forslaget sker en målretning af midlerne til den supplerende individuelle elevstøtte til efterskoler med flest el</w:t>
      </w:r>
      <w:r>
        <w:t>e</w:t>
      </w:r>
      <w:r>
        <w:t>ver fra lavindkomstfamilier med henblik på at understøtte, at efterskolerne er en mulighed for alle unge.</w:t>
      </w:r>
    </w:p>
    <w:p w14:paraId="30F49527" w14:textId="77777777" w:rsidR="00075120" w:rsidRDefault="00075120" w:rsidP="009727CD"/>
    <w:p w14:paraId="30F49528" w14:textId="77777777" w:rsidR="00007282" w:rsidRDefault="00007282" w:rsidP="009727CD">
      <w:r>
        <w:t>Lovforslaget indeholder for det tredje forslag om, at det særlige tilskud til efterskoler for indva</w:t>
      </w:r>
      <w:r>
        <w:t>n</w:t>
      </w:r>
      <w:r>
        <w:t>drere fra ikkevestlige lande og det vestlige Balkan samt efterkommere af indvandrere fra disse lande afskaffes. Herved ligestilles disse elever tilskudsmæssigt med etnisk danske elever på efte</w:t>
      </w:r>
      <w:r>
        <w:t>r</w:t>
      </w:r>
      <w:r>
        <w:t>skoler.</w:t>
      </w:r>
    </w:p>
    <w:p w14:paraId="30F49529" w14:textId="77777777" w:rsidR="00075120" w:rsidRDefault="00075120" w:rsidP="00704EA1"/>
    <w:p w14:paraId="30F4952A" w14:textId="77777777" w:rsidR="00186EB2" w:rsidRDefault="00186EB2" w:rsidP="00704EA1">
      <w:r>
        <w:t xml:space="preserve">Lovforslaget indeholder for det </w:t>
      </w:r>
      <w:r w:rsidR="00007282">
        <w:t>fjerde</w:t>
      </w:r>
      <w:r>
        <w:t xml:space="preserve"> forslag om opdatering af reglerne for det særlige tilskud til efterskoler for elever, der deltager i meritgivende brobygningsforløb. Med forslaget opdateres bestemmelsen i overensstemmelse med gældende lovgivning om erhvervsuddannelser.</w:t>
      </w:r>
    </w:p>
    <w:p w14:paraId="30F4952B" w14:textId="77777777" w:rsidR="0013770C" w:rsidRDefault="0013770C" w:rsidP="008A0305"/>
    <w:p w14:paraId="30F4952C" w14:textId="77777777" w:rsidR="008A0305" w:rsidRPr="008A0305" w:rsidRDefault="008A0305" w:rsidP="008A0305">
      <w:pPr>
        <w:rPr>
          <w:b/>
        </w:rPr>
      </w:pPr>
      <w:r>
        <w:rPr>
          <w:b/>
        </w:rPr>
        <w:t xml:space="preserve">2. 1. </w:t>
      </w:r>
      <w:r w:rsidR="00AA5DA4">
        <w:rPr>
          <w:b/>
        </w:rPr>
        <w:t>G</w:t>
      </w:r>
      <w:r w:rsidR="00A94221">
        <w:rPr>
          <w:b/>
        </w:rPr>
        <w:t xml:space="preserve">eografisk </w:t>
      </w:r>
      <w:r w:rsidRPr="008A0305">
        <w:rPr>
          <w:b/>
        </w:rPr>
        <w:t>skoletilskud til efterskoler</w:t>
      </w:r>
    </w:p>
    <w:p w14:paraId="30F4952D" w14:textId="77777777" w:rsidR="008A0305" w:rsidRDefault="008A0305" w:rsidP="008A0305">
      <w:pPr>
        <w:rPr>
          <w:i/>
        </w:rPr>
      </w:pPr>
    </w:p>
    <w:p w14:paraId="30F4952E" w14:textId="77777777" w:rsidR="008A0305" w:rsidRPr="008A0305" w:rsidRDefault="008A0305" w:rsidP="008A0305">
      <w:pPr>
        <w:rPr>
          <w:i/>
        </w:rPr>
      </w:pPr>
      <w:r w:rsidRPr="008A0305">
        <w:rPr>
          <w:i/>
        </w:rPr>
        <w:t>2.1.1. Gældende ret</w:t>
      </w:r>
    </w:p>
    <w:p w14:paraId="30F4952F" w14:textId="77777777" w:rsidR="008A0305" w:rsidRDefault="008A0305" w:rsidP="008A0305">
      <w:r>
        <w:t>Staten yder til den enkelte efterskole et årligt grundtilskud, der fastsættes på de årlige finanslove, jf. § 19 i lov om efterskoler og frie fagskoler</w:t>
      </w:r>
      <w:r w:rsidR="00CC5834">
        <w:t xml:space="preserve"> (</w:t>
      </w:r>
      <w:r>
        <w:t>lovbekendtgørelse nr. 94 af 8. februar 2018</w:t>
      </w:r>
      <w:r w:rsidR="00CC5834">
        <w:t>)</w:t>
      </w:r>
      <w:r>
        <w:t>. Grundtilskud til den enkelte efterskole er i 2018 på</w:t>
      </w:r>
      <w:r w:rsidR="00DE7447">
        <w:t xml:space="preserve"> 607.069</w:t>
      </w:r>
      <w:r>
        <w:t xml:space="preserve"> kr. </w:t>
      </w:r>
      <w:r w:rsidR="0013770C">
        <w:t xml:space="preserve">Til </w:t>
      </w:r>
      <w:r w:rsidR="00094CAF">
        <w:t>efter</w:t>
      </w:r>
      <w:r w:rsidR="0013770C">
        <w:t xml:space="preserve">skoler, der </w:t>
      </w:r>
      <w:r w:rsidR="00B22DF1">
        <w:t>begynder</w:t>
      </w:r>
      <w:r w:rsidR="0013770C">
        <w:t xml:space="preserve"> deres virksomhed i finansåret, ydes et forholdsmæssigt grundtilskud. Grundtilskud nedsættes med en procentdel eller bortfalder for </w:t>
      </w:r>
      <w:r w:rsidR="00094CAF">
        <w:t>efter</w:t>
      </w:r>
      <w:r w:rsidR="0013770C">
        <w:t>skoler med særligt store indtægter fra virksomhed, der ikke er omfattet af lov</w:t>
      </w:r>
      <w:r w:rsidR="00C167D8">
        <w:t xml:space="preserve"> om efterskoler og frie fagskoler</w:t>
      </w:r>
      <w:r w:rsidR="0013770C">
        <w:t>. Procentdel og grænsebeløb fast</w:t>
      </w:r>
      <w:r w:rsidR="00FC41E5">
        <w:t>sættes på de årlige finanslove.</w:t>
      </w:r>
    </w:p>
    <w:p w14:paraId="30F49530" w14:textId="77777777" w:rsidR="008A0305" w:rsidRDefault="008A0305" w:rsidP="008A0305"/>
    <w:p w14:paraId="30F49531" w14:textId="77777777" w:rsidR="008A0305" w:rsidRDefault="008A0305" w:rsidP="008A0305">
      <w:r>
        <w:t>Bestemmelsen blev indføjet i lov om efterskoler og frie fagskoler med lov nr.</w:t>
      </w:r>
      <w:r w:rsidR="00250BF5">
        <w:t xml:space="preserve"> 275</w:t>
      </w:r>
      <w:r w:rsidR="00AA5DA4">
        <w:t xml:space="preserve"> af</w:t>
      </w:r>
      <w:r w:rsidR="0013770C">
        <w:t xml:space="preserve"> </w:t>
      </w:r>
      <w:r w:rsidR="00250BF5">
        <w:t>8</w:t>
      </w:r>
      <w:r w:rsidR="0013770C">
        <w:t xml:space="preserve">. </w:t>
      </w:r>
      <w:r w:rsidR="00067383">
        <w:t xml:space="preserve">maj 2002 (Forenkling af bestemmelser om tilskud, elevstøtte og vedtægter). </w:t>
      </w:r>
      <w:r w:rsidR="0013770C">
        <w:t>Med denne lov omlagdes det daværende skoletilskud til fa</w:t>
      </w:r>
      <w:r w:rsidR="00D51565">
        <w:t>s</w:t>
      </w:r>
      <w:r w:rsidR="0013770C">
        <w:t>t grundtilskud, og bevillingen til driftstilskud blev herefter opdelt i en grundtilskudsbevilling og en taxametertilskudsbevilling</w:t>
      </w:r>
      <w:r w:rsidR="00250BF5">
        <w:t xml:space="preserve">, og størrelsen af </w:t>
      </w:r>
      <w:r w:rsidR="00CC5834">
        <w:t>det årlige grundti</w:t>
      </w:r>
      <w:r w:rsidR="00CC5834">
        <w:t>l</w:t>
      </w:r>
      <w:r w:rsidR="00CC5834">
        <w:t>skud</w:t>
      </w:r>
      <w:r w:rsidR="00280B11">
        <w:t>, som</w:t>
      </w:r>
      <w:r w:rsidR="00CC5834">
        <w:t xml:space="preserve"> efterskoler modtager</w:t>
      </w:r>
      <w:r w:rsidR="00280B11">
        <w:t>,</w:t>
      </w:r>
      <w:r w:rsidR="00CC5834">
        <w:t xml:space="preserve"> fastsættes med en takst på de årlige finanslove.</w:t>
      </w:r>
      <w:r w:rsidR="0013770C">
        <w:t>.</w:t>
      </w:r>
    </w:p>
    <w:p w14:paraId="30F49532" w14:textId="77777777" w:rsidR="0013770C" w:rsidRDefault="0013770C" w:rsidP="008A0305"/>
    <w:p w14:paraId="30F49533" w14:textId="77777777" w:rsidR="0013770C" w:rsidRPr="0013770C" w:rsidRDefault="009C6BF5" w:rsidP="008A0305">
      <w:pPr>
        <w:rPr>
          <w:i/>
        </w:rPr>
      </w:pPr>
      <w:r>
        <w:rPr>
          <w:i/>
        </w:rPr>
        <w:lastRenderedPageBreak/>
        <w:t xml:space="preserve">2.1.2. </w:t>
      </w:r>
      <w:r w:rsidR="0013770C" w:rsidRPr="0013770C">
        <w:rPr>
          <w:i/>
        </w:rPr>
        <w:t>Undervisningsministeriets overvejelser og den foreslåede ordning</w:t>
      </w:r>
    </w:p>
    <w:p w14:paraId="30F49534" w14:textId="77777777" w:rsidR="00E230CE" w:rsidRDefault="00BB7F54" w:rsidP="008A0305">
      <w:r>
        <w:t>Der er i dag efterskoler af forskellig størrelse, hvor det er muligt</w:t>
      </w:r>
      <w:r w:rsidR="00E230CE">
        <w:t xml:space="preserve"> for eleverne</w:t>
      </w:r>
      <w:r>
        <w:t xml:space="preserve"> at finde såvel mi</w:t>
      </w:r>
      <w:r>
        <w:t>n</w:t>
      </w:r>
      <w:r>
        <w:t>dre efterskoler med få elever som større efterskoler med mange elever. Det er vigtigt for skol</w:t>
      </w:r>
      <w:r>
        <w:t>e</w:t>
      </w:r>
      <w:r>
        <w:t>formens fortsatte mangfoldighed</w:t>
      </w:r>
      <w:r w:rsidR="00E230CE">
        <w:t xml:space="preserve"> og lokale forankring</w:t>
      </w:r>
      <w:r>
        <w:t>, at der også fremover er efterskoler i fo</w:t>
      </w:r>
      <w:r>
        <w:t>r</w:t>
      </w:r>
      <w:r>
        <w:t>skellige størrelser</w:t>
      </w:r>
      <w:r w:rsidR="00E230CE">
        <w:t xml:space="preserve"> og i alle egne af landet</w:t>
      </w:r>
      <w:r>
        <w:t xml:space="preserve">. </w:t>
      </w:r>
    </w:p>
    <w:p w14:paraId="30F49535" w14:textId="77777777" w:rsidR="00E230CE" w:rsidRDefault="00E230CE" w:rsidP="008A0305"/>
    <w:p w14:paraId="30F49536" w14:textId="77777777" w:rsidR="00BB7F54" w:rsidRDefault="00BB7F54" w:rsidP="008A0305">
      <w:r>
        <w:t xml:space="preserve">Med henblik på at øge det økonomiske råderum for mindre efterskoler foreslås etableret hjemmel til et nyt </w:t>
      </w:r>
      <w:r w:rsidR="00A94221">
        <w:t xml:space="preserve">geografisk </w:t>
      </w:r>
      <w:r>
        <w:t xml:space="preserve">skoletilskud, der </w:t>
      </w:r>
      <w:r w:rsidR="00CC5834">
        <w:t xml:space="preserve">vil skulle </w:t>
      </w:r>
      <w:r>
        <w:t xml:space="preserve">udbetales pr. </w:t>
      </w:r>
      <w:r w:rsidR="00094CAF">
        <w:t>efter</w:t>
      </w:r>
      <w:r>
        <w:t xml:space="preserve">skole. Det foreslåede skoletilskud </w:t>
      </w:r>
      <w:r w:rsidR="00CC5834">
        <w:t xml:space="preserve">vil </w:t>
      </w:r>
      <w:r>
        <w:t xml:space="preserve">ligeledes </w:t>
      </w:r>
      <w:r w:rsidR="00CC5834">
        <w:t xml:space="preserve">kunne </w:t>
      </w:r>
      <w:r>
        <w:t>medvirke til at sikre et fortsat bredt udbud af efterskoler</w:t>
      </w:r>
      <w:r w:rsidR="00134B98">
        <w:t xml:space="preserve">, </w:t>
      </w:r>
      <w:r w:rsidR="00DE0DE4">
        <w:t>da skoletilskuddet forventes at øge mulighederne for at etablere og drive mindre efterskoler i alle dele af landet.</w:t>
      </w:r>
    </w:p>
    <w:p w14:paraId="30F49537" w14:textId="77777777" w:rsidR="003A32B4" w:rsidRDefault="003A32B4" w:rsidP="008A0305"/>
    <w:p w14:paraId="30F49538" w14:textId="77777777" w:rsidR="009C6BF5" w:rsidRDefault="00BB7F54" w:rsidP="008A0305">
      <w:r>
        <w:t>Med lovforslaget foreslås indføjet en hjemmel i lov om efterskoler og frie fagskoler til, at staten til hver enkelt efterskole</w:t>
      </w:r>
      <w:r w:rsidR="00D51565">
        <w:t xml:space="preserve"> </w:t>
      </w:r>
      <w:r w:rsidR="00CC5834">
        <w:t xml:space="preserve">vil skulle </w:t>
      </w:r>
      <w:r>
        <w:t xml:space="preserve">yde et årligt </w:t>
      </w:r>
      <w:r w:rsidR="00DE1651">
        <w:t xml:space="preserve">geografisk </w:t>
      </w:r>
      <w:r>
        <w:t>skoletilskud, der fastsættes på de årlige finanslove.</w:t>
      </w:r>
      <w:r w:rsidR="009C6BF5">
        <w:t xml:space="preserve"> Til </w:t>
      </w:r>
      <w:r w:rsidR="00094CAF">
        <w:t>efter</w:t>
      </w:r>
      <w:r w:rsidR="009C6BF5">
        <w:t xml:space="preserve">skoler, der begynder deres virksomhed i finansåret, </w:t>
      </w:r>
      <w:r w:rsidR="00CC5834">
        <w:t xml:space="preserve">vil skulle </w:t>
      </w:r>
      <w:r w:rsidR="009C6BF5">
        <w:t>ydes et fo</w:t>
      </w:r>
      <w:r w:rsidR="009C6BF5">
        <w:t>r</w:t>
      </w:r>
      <w:r w:rsidR="009C6BF5">
        <w:t xml:space="preserve">holdsmæssigt </w:t>
      </w:r>
      <w:r w:rsidR="00DE1651">
        <w:t xml:space="preserve">geografisk </w:t>
      </w:r>
      <w:r w:rsidR="009C6BF5">
        <w:t xml:space="preserve">skoletilskud. </w:t>
      </w:r>
      <w:r>
        <w:t xml:space="preserve"> </w:t>
      </w:r>
    </w:p>
    <w:p w14:paraId="30F49539" w14:textId="77777777" w:rsidR="009C6BF5" w:rsidRDefault="009C6BF5" w:rsidP="008A0305"/>
    <w:p w14:paraId="30F4953A" w14:textId="77777777" w:rsidR="009C6BF5" w:rsidRDefault="009C6BF5" w:rsidP="009C6BF5">
      <w:r>
        <w:t xml:space="preserve">Med henblik på at sikre, at forslaget ikke holder hånden under </w:t>
      </w:r>
      <w:r w:rsidR="00094CAF">
        <w:t>efter</w:t>
      </w:r>
      <w:r>
        <w:t>skoleinitiativer, der pædag</w:t>
      </w:r>
      <w:r>
        <w:t>o</w:t>
      </w:r>
      <w:r>
        <w:t xml:space="preserve">gisk og økonomisk ikke er bæredygtige, foreslås </w:t>
      </w:r>
      <w:r w:rsidR="001C06F4">
        <w:t xml:space="preserve">en minimumsgrænse på 40 årselever, som </w:t>
      </w:r>
      <w:r w:rsidR="00094CAF">
        <w:t>efte</w:t>
      </w:r>
      <w:r w:rsidR="00094CAF">
        <w:t>r</w:t>
      </w:r>
      <w:r w:rsidR="001C06F4">
        <w:t xml:space="preserve">skolerne skal opfylde for at få det fulde beløb. </w:t>
      </w:r>
      <w:r w:rsidR="00DF5294">
        <w:t xml:space="preserve">For </w:t>
      </w:r>
      <w:r w:rsidR="0064132D">
        <w:t>efter</w:t>
      </w:r>
      <w:r w:rsidR="00DF5294">
        <w:t>skoler, der ikke opfylder denne min</w:t>
      </w:r>
      <w:r w:rsidR="00DF5294">
        <w:t>i</w:t>
      </w:r>
      <w:r w:rsidR="00DF5294">
        <w:t xml:space="preserve">mumsgrænse, reduceres det geografiske skoletilskud </w:t>
      </w:r>
      <w:r w:rsidR="001F3AF6">
        <w:t>med et beløb p</w:t>
      </w:r>
      <w:r w:rsidR="00DF5294">
        <w:t>r</w:t>
      </w:r>
      <w:r w:rsidR="001F3AF6">
        <w:t>.</w:t>
      </w:r>
      <w:r w:rsidR="00DF5294">
        <w:t xml:space="preserve"> årselev under 40 årselever, som </w:t>
      </w:r>
      <w:r w:rsidR="00094CAF">
        <w:t>efter</w:t>
      </w:r>
      <w:r w:rsidR="00DF5294">
        <w:t xml:space="preserve">skolen har mindre end 40 årselever. </w:t>
      </w:r>
      <w:r w:rsidR="001C06F4">
        <w:t>Beløbet</w:t>
      </w:r>
      <w:r w:rsidR="00771832">
        <w:t xml:space="preserve"> pr. </w:t>
      </w:r>
      <w:r w:rsidR="00DF5294">
        <w:t>årselev</w:t>
      </w:r>
      <w:r w:rsidR="00395C8A">
        <w:t xml:space="preserve"> und</w:t>
      </w:r>
      <w:r w:rsidR="00771832">
        <w:t>er 40 årselever</w:t>
      </w:r>
      <w:r w:rsidR="001C06F4">
        <w:t>, der fratræ</w:t>
      </w:r>
      <w:r w:rsidR="001C06F4">
        <w:t>k</w:t>
      </w:r>
      <w:r w:rsidR="001C06F4">
        <w:t>kes</w:t>
      </w:r>
      <w:r w:rsidR="00771832">
        <w:t xml:space="preserve"> det geografiske skoletilskud</w:t>
      </w:r>
      <w:r w:rsidR="001C06F4">
        <w:t xml:space="preserve">, fastsættes på de årlige finanslove. </w:t>
      </w:r>
      <w:r>
        <w:t xml:space="preserve"> </w:t>
      </w:r>
    </w:p>
    <w:p w14:paraId="30F4953B" w14:textId="77777777" w:rsidR="00395C8A" w:rsidRDefault="00395C8A" w:rsidP="009C6BF5"/>
    <w:p w14:paraId="30F4953C" w14:textId="77777777" w:rsidR="00395C8A" w:rsidRDefault="00395C8A" w:rsidP="009C6BF5">
      <w:r>
        <w:t xml:space="preserve">Forslaget indebærer således, at en </w:t>
      </w:r>
      <w:r w:rsidR="00094CAF">
        <w:t>efter</w:t>
      </w:r>
      <w:r>
        <w:t xml:space="preserve">skole for at opnå det fulde geografiske skoletilskud skal have 40 årselever i skoleåret, der slutter i året før finansåret. For </w:t>
      </w:r>
      <w:r w:rsidR="00094CAF">
        <w:t>efter</w:t>
      </w:r>
      <w:r>
        <w:t xml:space="preserve">skoler med færre årselever i skoleåret før finansåret, reduceres det geografiske skoletilskud med et beløb pr. årselev under 40 årselever. </w:t>
      </w:r>
    </w:p>
    <w:p w14:paraId="30F4953D" w14:textId="77777777" w:rsidR="001F3AF6" w:rsidRDefault="001F3AF6" w:rsidP="009C6BF5"/>
    <w:p w14:paraId="30F4953E" w14:textId="77777777" w:rsidR="001F3AF6" w:rsidRDefault="009C6BF5" w:rsidP="001F3AF6">
      <w:r>
        <w:t>Forslaget indebærer ikke, at en efterskoles grundtilskud, jf. lovens § 19, aftrappes eller bortfalder</w:t>
      </w:r>
      <w:r w:rsidR="001F3AF6">
        <w:t xml:space="preserve"> som følge af, at efterskolen ikke opfylder minimumskravet på 40 årselever for det geografiske skoletilskud. Det er alene det geografiske skoletilskud, der aftrappes eller helt bortfalder.</w:t>
      </w:r>
    </w:p>
    <w:p w14:paraId="30F4953F" w14:textId="77777777" w:rsidR="008660C7" w:rsidRDefault="009C6BF5" w:rsidP="009C6BF5">
      <w:r>
        <w:t xml:space="preserve"> </w:t>
      </w:r>
    </w:p>
    <w:p w14:paraId="30F49540" w14:textId="77777777" w:rsidR="00280B11" w:rsidRDefault="001F3AF6" w:rsidP="00280B11">
      <w:r>
        <w:t xml:space="preserve">Med forslag til finanslov for 2019 </w:t>
      </w:r>
      <w:r w:rsidR="00CC5834">
        <w:t xml:space="preserve">vil en </w:t>
      </w:r>
      <w:r>
        <w:t xml:space="preserve">efterskole </w:t>
      </w:r>
      <w:r w:rsidR="00CC5834">
        <w:t xml:space="preserve">i 2019 modtage </w:t>
      </w:r>
      <w:r>
        <w:t>182.000 kr. i geografisk skol</w:t>
      </w:r>
      <w:r>
        <w:t>e</w:t>
      </w:r>
      <w:r>
        <w:t>tilskud. Det foreslås</w:t>
      </w:r>
      <w:r w:rsidR="003A32B4">
        <w:t xml:space="preserve"> heri</w:t>
      </w:r>
      <w:r>
        <w:t xml:space="preserve"> endvidere, at det geografiske skoletilskud til efterskoler med færre end 40 årselever reduceres med 19.423 kr. pr. årselev under 40.</w:t>
      </w:r>
      <w:r w:rsidR="00280B11" w:rsidRPr="00280B11">
        <w:t xml:space="preserve"> </w:t>
      </w:r>
      <w:r w:rsidR="00280B11">
        <w:t>Dette vil</w:t>
      </w:r>
      <w:r w:rsidR="00765DE3">
        <w:t xml:space="preserve"> fx</w:t>
      </w:r>
      <w:r w:rsidR="00280B11">
        <w:t xml:space="preserve"> indebære, at en efterskole med 37 årselever modtager 123.731 kr. i geografisk skoletilskud, og at en efterskole med 30 år</w:t>
      </w:r>
      <w:r w:rsidR="00280B11">
        <w:t>s</w:t>
      </w:r>
      <w:r w:rsidR="00280B11">
        <w:t xml:space="preserve">elever eller derunder ikke modtager geografisk skoletilskud. </w:t>
      </w:r>
    </w:p>
    <w:p w14:paraId="30F49541" w14:textId="77777777" w:rsidR="001F3AF6" w:rsidRDefault="001F3AF6" w:rsidP="001F3AF6"/>
    <w:p w14:paraId="30F49542" w14:textId="77777777" w:rsidR="003A32B4" w:rsidRDefault="00280B11" w:rsidP="009C6BF5">
      <w:r>
        <w:t>Afgrænsningen af det geografiske skoletilskud fremgår af forslag til finanslov for 2019, hvor det i anmærkningerne til § 20.22.11.15 fremgår, at geografisk skoletilskud i kombination med grundti</w:t>
      </w:r>
      <w:r>
        <w:t>l</w:t>
      </w:r>
      <w:r>
        <w:t>skuddet ikke kan overstige 20.000 kr. pr. årselev. Endvidere fremgår det heraf, at geografisk sk</w:t>
      </w:r>
      <w:r>
        <w:t>o</w:t>
      </w:r>
      <w:r>
        <w:t>letilskud reduceres til skoler, hvor geografisk skoletilskud og grundtilskud overstiger 20.000 kr. pr. årselev. Dette vil blive korrigeret på ændringsforslag til finanslov for 2019 i overensstemmelse med ovenstående.</w:t>
      </w:r>
    </w:p>
    <w:p w14:paraId="30F49543" w14:textId="77777777" w:rsidR="00280B11" w:rsidRDefault="00280B11" w:rsidP="009C6BF5"/>
    <w:p w14:paraId="30F49544" w14:textId="77777777" w:rsidR="0091612E" w:rsidRDefault="0091612E" w:rsidP="009C6BF5">
      <w:r>
        <w:t>Der henvises i øvrigt til lovforslagets § 1, nr. 1</w:t>
      </w:r>
      <w:r w:rsidR="003A32B4">
        <w:t>,</w:t>
      </w:r>
      <w:r>
        <w:t xml:space="preserve"> og bemærkningerne hertil.</w:t>
      </w:r>
    </w:p>
    <w:p w14:paraId="30F49545" w14:textId="77777777" w:rsidR="00347E91" w:rsidRDefault="00347E91" w:rsidP="009C6BF5"/>
    <w:p w14:paraId="30F49546" w14:textId="77777777" w:rsidR="00347E91" w:rsidRDefault="00347E91" w:rsidP="00347E91">
      <w:pPr>
        <w:pStyle w:val="Opstilling-talellerbogst"/>
        <w:numPr>
          <w:ilvl w:val="0"/>
          <w:numId w:val="0"/>
        </w:numPr>
        <w:tabs>
          <w:tab w:val="left" w:pos="1304"/>
        </w:tabs>
        <w:ind w:left="360" w:hanging="360"/>
        <w:rPr>
          <w:b/>
          <w:szCs w:val="24"/>
        </w:rPr>
      </w:pPr>
      <w:r>
        <w:rPr>
          <w:b/>
          <w:szCs w:val="24"/>
        </w:rPr>
        <w:t>2.2. Individuel supplerende støtte til elever på efterskoler</w:t>
      </w:r>
    </w:p>
    <w:p w14:paraId="30F49547" w14:textId="77777777" w:rsidR="00347E91" w:rsidRDefault="00347E91" w:rsidP="00347E91">
      <w:pPr>
        <w:pStyle w:val="Opstilling-talellerbogst"/>
        <w:numPr>
          <w:ilvl w:val="0"/>
          <w:numId w:val="0"/>
        </w:numPr>
        <w:tabs>
          <w:tab w:val="left" w:pos="1304"/>
        </w:tabs>
        <w:ind w:left="360" w:hanging="360"/>
        <w:rPr>
          <w:b/>
          <w:szCs w:val="24"/>
        </w:rPr>
      </w:pPr>
    </w:p>
    <w:p w14:paraId="30F49548" w14:textId="77777777" w:rsidR="00347E91" w:rsidRDefault="00347E91" w:rsidP="00347E91">
      <w:pPr>
        <w:pStyle w:val="Opstilling-talellerbogst"/>
        <w:numPr>
          <w:ilvl w:val="0"/>
          <w:numId w:val="0"/>
        </w:numPr>
        <w:tabs>
          <w:tab w:val="left" w:pos="1304"/>
        </w:tabs>
        <w:ind w:left="360" w:hanging="360"/>
        <w:rPr>
          <w:i/>
          <w:szCs w:val="24"/>
        </w:rPr>
      </w:pPr>
      <w:r>
        <w:rPr>
          <w:i/>
          <w:szCs w:val="24"/>
        </w:rPr>
        <w:t>2.2.1. Gældende ret</w:t>
      </w:r>
    </w:p>
    <w:p w14:paraId="30F49549" w14:textId="77777777" w:rsidR="00347E91" w:rsidRDefault="00347E91" w:rsidP="00347E91">
      <w:pPr>
        <w:pStyle w:val="Opstilling-talellerbogst"/>
        <w:numPr>
          <w:ilvl w:val="0"/>
          <w:numId w:val="0"/>
        </w:numPr>
        <w:tabs>
          <w:tab w:val="left" w:pos="1304"/>
        </w:tabs>
        <w:rPr>
          <w:szCs w:val="24"/>
        </w:rPr>
      </w:pPr>
      <w:r>
        <w:rPr>
          <w:szCs w:val="24"/>
        </w:rPr>
        <w:t>Efter den gældende § 37, stk. 1, der blev indføjet i loven ved lov nr. 1226 af 27. december 2003, yder staten støtte til nedsættelse af elevbetalingen ved efterskoler. Støtten ydes som en individuel støtte til elever efter efterskolens vurdering, således at efterskolen vil være i stand til at opfylde bestemmelsen i lovens § 15, stk. 2, om, at efterskolernes kurser er for alle. Tilskuddet til individ</w:t>
      </w:r>
      <w:r>
        <w:rPr>
          <w:szCs w:val="24"/>
        </w:rPr>
        <w:t>u</w:t>
      </w:r>
      <w:r>
        <w:rPr>
          <w:szCs w:val="24"/>
        </w:rPr>
        <w:t>el supplerende støtte til elever på efterskoler ydes som et taxametertilskud til skolerne i lighed med skolernes øvrige tilskud. Dette giver større gennemsigtighed og forudsigelighed over midle</w:t>
      </w:r>
      <w:r>
        <w:rPr>
          <w:szCs w:val="24"/>
        </w:rPr>
        <w:t>r</w:t>
      </w:r>
      <w:r>
        <w:rPr>
          <w:szCs w:val="24"/>
        </w:rPr>
        <w:t xml:space="preserve">ne dertil, og det sikrer, at den enkelte efterskoles tilskud alene er afhængigt af efterskolens egne aktiviteter. </w:t>
      </w:r>
    </w:p>
    <w:p w14:paraId="30F4954A" w14:textId="77777777" w:rsidR="00347E91" w:rsidRDefault="00347E91" w:rsidP="00347E91">
      <w:pPr>
        <w:pStyle w:val="Opstilling-talellerbogst"/>
        <w:numPr>
          <w:ilvl w:val="0"/>
          <w:numId w:val="0"/>
        </w:numPr>
        <w:tabs>
          <w:tab w:val="left" w:pos="1304"/>
        </w:tabs>
        <w:rPr>
          <w:szCs w:val="24"/>
        </w:rPr>
      </w:pPr>
    </w:p>
    <w:p w14:paraId="30F4954B" w14:textId="77777777" w:rsidR="00347E91" w:rsidRDefault="00347E91" w:rsidP="00347E91">
      <w:pPr>
        <w:pStyle w:val="Opstilling-talellerbogst"/>
        <w:numPr>
          <w:ilvl w:val="0"/>
          <w:numId w:val="0"/>
        </w:numPr>
        <w:tabs>
          <w:tab w:val="left" w:pos="1304"/>
        </w:tabs>
        <w:rPr>
          <w:szCs w:val="24"/>
        </w:rPr>
      </w:pPr>
      <w:r>
        <w:rPr>
          <w:szCs w:val="24"/>
        </w:rPr>
        <w:t>Ved beregning af tilskuddet til den enkelte efterskole indgår kun elever på kurser af mindst 2 ugers varighed, som har gennemført mindst 2 af kursets uger, jf. gældende § 37, stk. 3, 2. pkt. Tilskuddet bliver fordelt til den enkelte efterskole på grundlag af antallet af årselever i skoleåret, det slutter i året før finansåret, jf. den gældende bestemmelse i lovens § 37, stk. 3, 3. pkt. For n</w:t>
      </w:r>
      <w:r>
        <w:rPr>
          <w:szCs w:val="24"/>
        </w:rPr>
        <w:t>y</w:t>
      </w:r>
      <w:r>
        <w:rPr>
          <w:szCs w:val="24"/>
        </w:rPr>
        <w:t>oprettede efterskoler og efterskoler, der ikke har modtaget tilskud i året før finansåret, anvendes det forventede årselevtal i finansåret, jf. gældende § 37, stk. 3, 4. pkt. Skolerne får anvist beløbet samtidig med forskudsraten for januar måned, jf. den gældende bestemmelse i § 37, stk. 3, 6. pkt.</w:t>
      </w:r>
    </w:p>
    <w:p w14:paraId="30F4954C" w14:textId="77777777" w:rsidR="00347E91" w:rsidRDefault="00347E91" w:rsidP="00347E91">
      <w:pPr>
        <w:pStyle w:val="Opstilling-talellerbogst"/>
        <w:numPr>
          <w:ilvl w:val="0"/>
          <w:numId w:val="0"/>
        </w:numPr>
        <w:tabs>
          <w:tab w:val="left" w:pos="1304"/>
        </w:tabs>
        <w:rPr>
          <w:szCs w:val="24"/>
        </w:rPr>
      </w:pPr>
    </w:p>
    <w:p w14:paraId="30F4954D" w14:textId="77777777" w:rsidR="00347E91" w:rsidRDefault="00347E91" w:rsidP="00347E91">
      <w:pPr>
        <w:pStyle w:val="Opstilling-talellerbogst"/>
        <w:numPr>
          <w:ilvl w:val="0"/>
          <w:numId w:val="0"/>
        </w:numPr>
        <w:tabs>
          <w:tab w:val="left" w:pos="1304"/>
        </w:tabs>
        <w:rPr>
          <w:szCs w:val="24"/>
        </w:rPr>
      </w:pPr>
      <w:r>
        <w:rPr>
          <w:szCs w:val="24"/>
        </w:rPr>
        <w:t>Det følger af § 37, stk. 4, at i det omfang en efterskoles beløb til individuel elevstøtte ikke er ko</w:t>
      </w:r>
      <w:r>
        <w:rPr>
          <w:szCs w:val="24"/>
        </w:rPr>
        <w:t>r</w:t>
      </w:r>
      <w:r>
        <w:rPr>
          <w:szCs w:val="24"/>
        </w:rPr>
        <w:t>rekt anvendt, modregnes den for meget udbetalte støtte i skolens taxametertilskud og tilfalder staten.</w:t>
      </w:r>
    </w:p>
    <w:p w14:paraId="30F4954E" w14:textId="77777777" w:rsidR="00347E91" w:rsidRDefault="00347E91" w:rsidP="00347E91">
      <w:pPr>
        <w:pStyle w:val="Opstilling-talellerbogst"/>
        <w:numPr>
          <w:ilvl w:val="0"/>
          <w:numId w:val="0"/>
        </w:numPr>
        <w:tabs>
          <w:tab w:val="left" w:pos="1304"/>
        </w:tabs>
        <w:rPr>
          <w:szCs w:val="24"/>
        </w:rPr>
      </w:pPr>
    </w:p>
    <w:p w14:paraId="30F4954F" w14:textId="77777777" w:rsidR="00347E91" w:rsidRDefault="00347E91" w:rsidP="00347E91">
      <w:pPr>
        <w:pStyle w:val="Opstilling-talellerbogst"/>
        <w:numPr>
          <w:ilvl w:val="0"/>
          <w:numId w:val="0"/>
        </w:numPr>
        <w:tabs>
          <w:tab w:val="left" w:pos="1304"/>
        </w:tabs>
        <w:ind w:left="360" w:hanging="360"/>
        <w:rPr>
          <w:i/>
          <w:szCs w:val="24"/>
        </w:rPr>
      </w:pPr>
      <w:r>
        <w:rPr>
          <w:b/>
          <w:szCs w:val="24"/>
        </w:rPr>
        <w:t xml:space="preserve"> </w:t>
      </w:r>
      <w:r>
        <w:rPr>
          <w:i/>
          <w:szCs w:val="24"/>
        </w:rPr>
        <w:t>2.2.2. Undervisningsministeriets overvejelser og den foreslåede ordning</w:t>
      </w:r>
    </w:p>
    <w:p w14:paraId="30F49550" w14:textId="77777777" w:rsidR="00347E91" w:rsidRDefault="00347E91" w:rsidP="00347E91">
      <w:r>
        <w:t>Staten yder i dag tilskud til individuel supplerende elevstøtte til elever på efterskoler med en takst pr. årselev i skoleåret, der slutter i året før finansåret. Det betyder, at efterskoler med mange el</w:t>
      </w:r>
      <w:r>
        <w:t>e</w:t>
      </w:r>
      <w:r>
        <w:t>ver får en større andel af midlerne til fordeling sammenlignet med efterskoler med færre elever. Da elevgrundlaget er afgørende for, om efterskolerne kan bruge midlerne, kan det være svært for nogle efterskoler at anvende de tildelte midler til nedsættelse af egenbetalingen. Det skyldes, at der ofte ses en sammenhæng mellem skolestørrelse og elevsammensætning, hvor de mindre efte</w:t>
      </w:r>
      <w:r>
        <w:t>r</w:t>
      </w:r>
      <w:r>
        <w:t xml:space="preserve">skoler har relativt flere elever fra familier med lavindkomster end de store efterskoler. </w:t>
      </w:r>
    </w:p>
    <w:p w14:paraId="30F49551" w14:textId="77777777" w:rsidR="00347E91" w:rsidRDefault="00347E91" w:rsidP="00347E91"/>
    <w:p w14:paraId="30F49552" w14:textId="77777777" w:rsidR="00347E91" w:rsidRDefault="00347E91" w:rsidP="00347E91">
      <w:r>
        <w:t>Det foreslås derfor, at tilskuddet til individuel elevstøtte fremover beregnes som en samlet pulje for tilskud til individuel elevstøtte. Puljen fastsættes på de årlige finanslove. Det foreslås endvid</w:t>
      </w:r>
      <w:r>
        <w:t>e</w:t>
      </w:r>
      <w:r>
        <w:t>re, at d</w:t>
      </w:r>
      <w:r w:rsidRPr="006D2474">
        <w:t xml:space="preserve">er fastsættes en takst på baggrund af den samlede pulje og antal årselever på de ti </w:t>
      </w:r>
      <w:r w:rsidR="00C354E7">
        <w:t>laveste</w:t>
      </w:r>
      <w:r w:rsidRPr="006D2474">
        <w:t xml:space="preserve"> indkomstintervaller i skoleåret</w:t>
      </w:r>
      <w:r>
        <w:t>,</w:t>
      </w:r>
      <w:r w:rsidRPr="006D2474">
        <w:t xml:space="preserve"> der slutter i året før finansåret</w:t>
      </w:r>
      <w:r>
        <w:t xml:space="preserve">, og at taksten tildeles efterskolerne på baggrund af den enkelte efterskoles antal årselever på de ti laveste indkomstintervaller på den elevstøtteskala, der er fastsat på de årlige finanslove, jf. gældende lovs § 30, stk. 5, nr. 2, 1. pkt., i finansåret. </w:t>
      </w:r>
      <w:r w:rsidRPr="006D2474">
        <w:t xml:space="preserve"> </w:t>
      </w:r>
    </w:p>
    <w:p w14:paraId="30F49553" w14:textId="77777777" w:rsidR="00347E91" w:rsidRDefault="00347E91" w:rsidP="00347E91"/>
    <w:p w14:paraId="30F49554" w14:textId="77777777" w:rsidR="00347E91" w:rsidRDefault="00347E91" w:rsidP="00347E91">
      <w:r>
        <w:t>Det foreslåede har dermed til hensigt at omfordele midlerne til individuel supplerende elevstøtte til de efterskoler, hvor der er flest elever, der opfylder kriterierne til nedsættelse af egenbetalingen og dermed bidrage til, at efterskolernes kurser bliver for alle. Midlerne kan kun bruges til nedsæ</w:t>
      </w:r>
      <w:r>
        <w:t>t</w:t>
      </w:r>
      <w:r>
        <w:t xml:space="preserve">telse af egenbetalingen. </w:t>
      </w:r>
    </w:p>
    <w:p w14:paraId="30F49555" w14:textId="77777777" w:rsidR="00347E91" w:rsidRDefault="00347E91" w:rsidP="00347E91"/>
    <w:p w14:paraId="30F49556" w14:textId="77777777" w:rsidR="00347E91" w:rsidRDefault="00347E91" w:rsidP="00347E91">
      <w:r>
        <w:t xml:space="preserve">Forslaget </w:t>
      </w:r>
      <w:r w:rsidR="00C354E7">
        <w:t xml:space="preserve">vil </w:t>
      </w:r>
      <w:r w:rsidR="00E44E04">
        <w:t>også betyde</w:t>
      </w:r>
      <w:r>
        <w:t>, at tilskuddet til individuel supplerende elevstøtte fremadrettet udbetales til efterskolerne efter tidstro aktivitet frem for med et års forsinkelse som hidtil.</w:t>
      </w:r>
    </w:p>
    <w:p w14:paraId="30F49557" w14:textId="77777777" w:rsidR="00347E91" w:rsidRDefault="00347E91" w:rsidP="00347E91"/>
    <w:p w14:paraId="30F49558" w14:textId="77777777" w:rsidR="00347E91" w:rsidRDefault="00347E91" w:rsidP="00347E91">
      <w:r>
        <w:t xml:space="preserve">Omlægningen af den individuelle elevstøtte vurderes ikke at </w:t>
      </w:r>
      <w:r w:rsidR="00C354E7">
        <w:t xml:space="preserve">ville </w:t>
      </w:r>
      <w:r>
        <w:t>medføre, at de enkelte eftersk</w:t>
      </w:r>
      <w:r>
        <w:t>o</w:t>
      </w:r>
      <w:r>
        <w:t>ler ikke i samme omfang som i dag har gennemsigtighed og forudsigelighed over deres midler til supplerende elevstøtte.</w:t>
      </w:r>
    </w:p>
    <w:p w14:paraId="30F49559" w14:textId="77777777" w:rsidR="00347E91" w:rsidRDefault="00347E91" w:rsidP="00347E91"/>
    <w:p w14:paraId="30F4955A" w14:textId="77777777" w:rsidR="00347E91" w:rsidRDefault="00347E91" w:rsidP="00347E91">
      <w:pPr>
        <w:pStyle w:val="Opstilling-talellerbogst"/>
        <w:numPr>
          <w:ilvl w:val="0"/>
          <w:numId w:val="0"/>
        </w:numPr>
        <w:tabs>
          <w:tab w:val="left" w:pos="1304"/>
        </w:tabs>
        <w:rPr>
          <w:szCs w:val="24"/>
        </w:rPr>
      </w:pPr>
      <w:r>
        <w:rPr>
          <w:szCs w:val="24"/>
        </w:rPr>
        <w:t>Der henvises i øvrigt til lovforslagets § 1, nr. 7, og bemærkningerne hertil.</w:t>
      </w:r>
    </w:p>
    <w:p w14:paraId="30F4955B" w14:textId="77777777" w:rsidR="00BB7F54" w:rsidRDefault="00BB7F54" w:rsidP="008A0305"/>
    <w:p w14:paraId="30F4955C" w14:textId="77777777" w:rsidR="007A14A7" w:rsidRPr="007A14A7" w:rsidRDefault="007A14A7" w:rsidP="007A14A7">
      <w:pPr>
        <w:rPr>
          <w:b/>
        </w:rPr>
      </w:pPr>
      <w:r w:rsidRPr="007A14A7">
        <w:rPr>
          <w:b/>
        </w:rPr>
        <w:t>2.</w:t>
      </w:r>
      <w:r w:rsidR="00347E91">
        <w:rPr>
          <w:b/>
        </w:rPr>
        <w:t>3</w:t>
      </w:r>
      <w:r w:rsidRPr="007A14A7">
        <w:rPr>
          <w:b/>
        </w:rPr>
        <w:t>.</w:t>
      </w:r>
      <w:r>
        <w:t xml:space="preserve"> </w:t>
      </w:r>
      <w:r w:rsidRPr="007A14A7">
        <w:rPr>
          <w:b/>
        </w:rPr>
        <w:t>Afskaffelse af det særlige tilskud til elever fra visse lande</w:t>
      </w:r>
    </w:p>
    <w:p w14:paraId="30F4955D" w14:textId="77777777" w:rsidR="007A14A7" w:rsidRDefault="007A14A7" w:rsidP="008A0305">
      <w:pPr>
        <w:rPr>
          <w:i/>
        </w:rPr>
      </w:pPr>
    </w:p>
    <w:p w14:paraId="30F4955E" w14:textId="77777777" w:rsidR="007A14A7" w:rsidRPr="007A14A7" w:rsidRDefault="00A94221" w:rsidP="008A0305">
      <w:pPr>
        <w:rPr>
          <w:i/>
        </w:rPr>
      </w:pPr>
      <w:r>
        <w:rPr>
          <w:i/>
        </w:rPr>
        <w:t>2.</w:t>
      </w:r>
      <w:r w:rsidR="00347E91">
        <w:rPr>
          <w:i/>
        </w:rPr>
        <w:t>3</w:t>
      </w:r>
      <w:r>
        <w:rPr>
          <w:i/>
        </w:rPr>
        <w:t xml:space="preserve">.1. </w:t>
      </w:r>
      <w:r w:rsidR="007A14A7" w:rsidRPr="007A14A7">
        <w:rPr>
          <w:i/>
        </w:rPr>
        <w:t>Gældende ret</w:t>
      </w:r>
    </w:p>
    <w:p w14:paraId="30F4955F" w14:textId="77777777" w:rsidR="000D0B50" w:rsidRDefault="000D0B50" w:rsidP="000D0B50">
      <w:pPr>
        <w:pStyle w:val="normalind"/>
        <w:rPr>
          <w:rFonts w:asciiTheme="minorHAnsi" w:hAnsiTheme="minorHAnsi"/>
        </w:rPr>
      </w:pPr>
      <w:r w:rsidRPr="000D0B50">
        <w:rPr>
          <w:rFonts w:asciiTheme="minorHAnsi" w:hAnsiTheme="minorHAnsi"/>
        </w:rPr>
        <w:t>Staten yder efter nugældende § 23 a, stk. 1, til efterskoler et særligt tilskud ud fra antallet af år</w:t>
      </w:r>
      <w:r w:rsidRPr="000D0B50">
        <w:rPr>
          <w:rFonts w:asciiTheme="minorHAnsi" w:hAnsiTheme="minorHAnsi"/>
        </w:rPr>
        <w:t>s</w:t>
      </w:r>
      <w:r w:rsidRPr="000D0B50">
        <w:rPr>
          <w:rFonts w:asciiTheme="minorHAnsi" w:hAnsiTheme="minorHAnsi"/>
        </w:rPr>
        <w:t>elever, hvor der i årselevberegningen kun medgår elever, som har gennemført mindst 12 uger af et kursus, og som er indvand</w:t>
      </w:r>
      <w:r>
        <w:rPr>
          <w:rFonts w:asciiTheme="minorHAnsi" w:hAnsiTheme="minorHAnsi"/>
        </w:rPr>
        <w:t>rere fra ikkevestlige lande</w:t>
      </w:r>
      <w:r w:rsidRPr="000D0B50">
        <w:rPr>
          <w:rFonts w:asciiTheme="minorHAnsi" w:hAnsiTheme="minorHAnsi"/>
        </w:rPr>
        <w:t xml:space="preserve"> og Albanien, Bosnien-Herzegovina, Serb</w:t>
      </w:r>
      <w:r w:rsidRPr="000D0B50">
        <w:rPr>
          <w:rFonts w:asciiTheme="minorHAnsi" w:hAnsiTheme="minorHAnsi"/>
        </w:rPr>
        <w:t>i</w:t>
      </w:r>
      <w:r w:rsidRPr="000D0B50">
        <w:rPr>
          <w:rFonts w:asciiTheme="minorHAnsi" w:hAnsiTheme="minorHAnsi"/>
        </w:rPr>
        <w:t>en, Montenegro, Kroatien og Makedonien samt efterkommere af indvandrere fra disse lande, herunder flygtninge omfattet af integrationsloven og disse flygtninges børn. Der kan højst ydes tilskud efter denne bestemmelse til 8 pct. af skolens årselevtal. Formålet med denne begrænsning for den enkelte efterskole er at undgå en ujævn fordeling mellem efterskolerne af indvandrere og efterkommere af disse.</w:t>
      </w:r>
    </w:p>
    <w:p w14:paraId="30F49560" w14:textId="77777777" w:rsidR="00213190" w:rsidRPr="000D0B50" w:rsidRDefault="00213190" w:rsidP="001849AF">
      <w:pPr>
        <w:pStyle w:val="normalind"/>
        <w:ind w:firstLine="0"/>
        <w:rPr>
          <w:rFonts w:asciiTheme="minorHAnsi" w:hAnsiTheme="minorHAnsi"/>
        </w:rPr>
      </w:pPr>
    </w:p>
    <w:p w14:paraId="30F49561" w14:textId="77777777" w:rsidR="000D0B50" w:rsidRDefault="000D0B50" w:rsidP="000D0B50">
      <w:pPr>
        <w:pStyle w:val="normalind"/>
        <w:rPr>
          <w:rFonts w:asciiTheme="minorHAnsi" w:hAnsiTheme="minorHAnsi"/>
        </w:rPr>
      </w:pPr>
      <w:r w:rsidRPr="000D0B50">
        <w:rPr>
          <w:rFonts w:asciiTheme="minorHAnsi" w:hAnsiTheme="minorHAnsi"/>
        </w:rPr>
        <w:t>Bestemmelsen i lovens § 23 a, stk. 1, blev indføjet i loven med lov nr. 1083 af 17. december 2002. Det fremgår af bemærkningerne til denne lov, jf. lovforslag nr. L 72 (2002-03), jf. Folk</w:t>
      </w:r>
      <w:r w:rsidRPr="000D0B50">
        <w:rPr>
          <w:rFonts w:asciiTheme="minorHAnsi" w:hAnsiTheme="minorHAnsi"/>
        </w:rPr>
        <w:t>e</w:t>
      </w:r>
      <w:r w:rsidRPr="000D0B50">
        <w:rPr>
          <w:rFonts w:asciiTheme="minorHAnsi" w:hAnsiTheme="minorHAnsi"/>
        </w:rPr>
        <w:t>tingstidende 2002-03, tillæg A, side 1543, at formålet med det særlige tilskud (tillægstaksten) er at fremme integrationen for personer med baggrund i mindre udviklede tredjelande, således som dette begreb afgrænses af Danmarks Statistik.</w:t>
      </w:r>
    </w:p>
    <w:p w14:paraId="30F49562" w14:textId="77777777" w:rsidR="00213190" w:rsidRPr="000D0B50" w:rsidRDefault="00213190" w:rsidP="000D0B50">
      <w:pPr>
        <w:pStyle w:val="normalind"/>
        <w:rPr>
          <w:rFonts w:asciiTheme="minorHAnsi" w:hAnsiTheme="minorHAnsi"/>
        </w:rPr>
      </w:pPr>
    </w:p>
    <w:p w14:paraId="30F49563" w14:textId="77777777" w:rsidR="000D0B50" w:rsidRDefault="000D0B50" w:rsidP="000D0B50">
      <w:pPr>
        <w:pStyle w:val="normalind"/>
        <w:rPr>
          <w:rFonts w:asciiTheme="minorHAnsi" w:hAnsiTheme="minorHAnsi"/>
        </w:rPr>
      </w:pPr>
      <w:r w:rsidRPr="000D0B50">
        <w:rPr>
          <w:rFonts w:asciiTheme="minorHAnsi" w:hAnsiTheme="minorHAnsi"/>
        </w:rPr>
        <w:t>Bestemmelsen blev ændret med lov nr. 1226 af 27. december 2003, hvor personkredsen for det særlige tilskud blev udvidet til også at omfatte personer fra Albanien, Bosnien-Herzegovina, Se</w:t>
      </w:r>
      <w:r w:rsidRPr="000D0B50">
        <w:rPr>
          <w:rFonts w:asciiTheme="minorHAnsi" w:hAnsiTheme="minorHAnsi"/>
        </w:rPr>
        <w:t>r</w:t>
      </w:r>
      <w:r w:rsidRPr="000D0B50">
        <w:rPr>
          <w:rFonts w:asciiTheme="minorHAnsi" w:hAnsiTheme="minorHAnsi"/>
        </w:rPr>
        <w:t>bien, Montenegro, Kroatien og Makedonien, samt efterkommere fra disse lande, herunder flyg</w:t>
      </w:r>
      <w:r w:rsidRPr="000D0B50">
        <w:rPr>
          <w:rFonts w:asciiTheme="minorHAnsi" w:hAnsiTheme="minorHAnsi"/>
        </w:rPr>
        <w:t>t</w:t>
      </w:r>
      <w:r w:rsidRPr="000D0B50">
        <w:rPr>
          <w:rFonts w:asciiTheme="minorHAnsi" w:hAnsiTheme="minorHAnsi"/>
        </w:rPr>
        <w:t>ninge omfattet af integrationsloven og disse flygtninges børn. Baggrunden for udvidelsen af pe</w:t>
      </w:r>
      <w:r w:rsidRPr="000D0B50">
        <w:rPr>
          <w:rFonts w:asciiTheme="minorHAnsi" w:hAnsiTheme="minorHAnsi"/>
        </w:rPr>
        <w:t>r</w:t>
      </w:r>
      <w:r w:rsidRPr="000D0B50">
        <w:rPr>
          <w:rFonts w:asciiTheme="minorHAnsi" w:hAnsiTheme="minorHAnsi"/>
        </w:rPr>
        <w:t xml:space="preserve">sonkredsen var, at der havde vist sig et tilsvarende behov for at fremme integrationen af denne personkreds. Endvidere blev bestemmelsen præciseret med lov nr. 559 af 6. juni 2007, så kun elever, der har gennemført 12 uger af </w:t>
      </w:r>
      <w:r w:rsidR="00094CAF">
        <w:rPr>
          <w:rFonts w:asciiTheme="minorHAnsi" w:hAnsiTheme="minorHAnsi"/>
        </w:rPr>
        <w:t>efter</w:t>
      </w:r>
      <w:r w:rsidRPr="000D0B50">
        <w:rPr>
          <w:rFonts w:asciiTheme="minorHAnsi" w:hAnsiTheme="minorHAnsi"/>
        </w:rPr>
        <w:t>skolens kursus kan indgå i beregningsgrundlaget for denne tillægstakst.</w:t>
      </w:r>
    </w:p>
    <w:p w14:paraId="30F49564" w14:textId="77777777" w:rsidR="00213190" w:rsidRDefault="00213190" w:rsidP="000D0B50">
      <w:pPr>
        <w:pStyle w:val="normalind"/>
        <w:rPr>
          <w:rFonts w:asciiTheme="minorHAnsi" w:hAnsiTheme="minorHAnsi"/>
        </w:rPr>
      </w:pPr>
    </w:p>
    <w:p w14:paraId="30F49565" w14:textId="77777777" w:rsidR="000D0B50" w:rsidRPr="000D0B50" w:rsidRDefault="00AA5DA4" w:rsidP="000D0B50">
      <w:pPr>
        <w:pStyle w:val="normalind"/>
        <w:rPr>
          <w:rFonts w:asciiTheme="minorHAnsi" w:hAnsiTheme="minorHAnsi"/>
        </w:rPr>
      </w:pPr>
      <w:r>
        <w:rPr>
          <w:rFonts w:asciiTheme="minorHAnsi" w:hAnsiTheme="minorHAnsi"/>
        </w:rPr>
        <w:t>Bestemmelsen blev også opdateret</w:t>
      </w:r>
      <w:r w:rsidR="000D0B50">
        <w:rPr>
          <w:rFonts w:asciiTheme="minorHAnsi" w:hAnsiTheme="minorHAnsi"/>
        </w:rPr>
        <w:t xml:space="preserve"> med lov nr. 1568 af 19. december 2017, hvor terminologien i afgrænsningen af personkredsen til dette tilskud blev justeret og moderniseret ti</w:t>
      </w:r>
      <w:r w:rsidR="008660C7">
        <w:rPr>
          <w:rFonts w:asciiTheme="minorHAnsi" w:hAnsiTheme="minorHAnsi"/>
        </w:rPr>
        <w:t>l</w:t>
      </w:r>
      <w:r w:rsidR="000D0B50">
        <w:rPr>
          <w:rFonts w:asciiTheme="minorHAnsi" w:hAnsiTheme="minorHAnsi"/>
        </w:rPr>
        <w:t xml:space="preserve"> </w:t>
      </w:r>
      <w:r>
        <w:rPr>
          <w:rFonts w:asciiTheme="minorHAnsi" w:hAnsiTheme="minorHAnsi"/>
        </w:rPr>
        <w:t xml:space="preserve">en </w:t>
      </w:r>
      <w:r w:rsidR="000D0B50">
        <w:rPr>
          <w:rFonts w:asciiTheme="minorHAnsi" w:hAnsiTheme="minorHAnsi"/>
        </w:rPr>
        <w:t>terminologi, som nu anvendes af Danmarks Statistik. Det betød, at det tidligere anvendte begreb "mindre u</w:t>
      </w:r>
      <w:r w:rsidR="000D0B50">
        <w:rPr>
          <w:rFonts w:asciiTheme="minorHAnsi" w:hAnsiTheme="minorHAnsi"/>
        </w:rPr>
        <w:t>d</w:t>
      </w:r>
      <w:r w:rsidR="000D0B50">
        <w:rPr>
          <w:rFonts w:asciiTheme="minorHAnsi" w:hAnsiTheme="minorHAnsi"/>
        </w:rPr>
        <w:t>viklede tredjeland</w:t>
      </w:r>
      <w:r w:rsidR="00A94221">
        <w:rPr>
          <w:rFonts w:asciiTheme="minorHAnsi" w:hAnsiTheme="minorHAnsi"/>
        </w:rPr>
        <w:t>e</w:t>
      </w:r>
      <w:r w:rsidR="000D0B50">
        <w:rPr>
          <w:rFonts w:asciiTheme="minorHAnsi" w:hAnsiTheme="minorHAnsi"/>
        </w:rPr>
        <w:t xml:space="preserve">" blev ændret til det nugældende begreb "ikkevestlige lande". </w:t>
      </w:r>
    </w:p>
    <w:p w14:paraId="30F49566" w14:textId="77777777" w:rsidR="000D0B50" w:rsidRDefault="000D0B50" w:rsidP="008A0305"/>
    <w:p w14:paraId="30F49567" w14:textId="77777777" w:rsidR="007A14A7" w:rsidRPr="007A14A7" w:rsidRDefault="00A94221" w:rsidP="008A0305">
      <w:pPr>
        <w:rPr>
          <w:i/>
        </w:rPr>
      </w:pPr>
      <w:r>
        <w:rPr>
          <w:i/>
        </w:rPr>
        <w:t>2.</w:t>
      </w:r>
      <w:r w:rsidR="00347E91">
        <w:rPr>
          <w:i/>
        </w:rPr>
        <w:t>3</w:t>
      </w:r>
      <w:r>
        <w:rPr>
          <w:i/>
        </w:rPr>
        <w:t xml:space="preserve">.2. </w:t>
      </w:r>
      <w:r w:rsidR="007A14A7" w:rsidRPr="007A14A7">
        <w:rPr>
          <w:i/>
        </w:rPr>
        <w:t>Undervisningsministeriets overvejelser og den foreslåede ordning</w:t>
      </w:r>
    </w:p>
    <w:p w14:paraId="30F49568" w14:textId="77777777" w:rsidR="00DB22A5" w:rsidRDefault="000D0B50" w:rsidP="00B719E3">
      <w:pPr>
        <w:rPr>
          <w:rFonts w:asciiTheme="minorHAnsi" w:hAnsiTheme="minorHAnsi"/>
        </w:rPr>
      </w:pPr>
      <w:r>
        <w:t xml:space="preserve">Det foreslås at afskaffe det særlige tilskud til </w:t>
      </w:r>
      <w:r w:rsidRPr="000D0B50">
        <w:rPr>
          <w:rFonts w:asciiTheme="minorHAnsi" w:hAnsiTheme="minorHAnsi"/>
        </w:rPr>
        <w:t xml:space="preserve">efterskoler </w:t>
      </w:r>
      <w:r w:rsidR="006F3512">
        <w:rPr>
          <w:rFonts w:asciiTheme="minorHAnsi" w:hAnsiTheme="minorHAnsi"/>
        </w:rPr>
        <w:t xml:space="preserve">for </w:t>
      </w:r>
      <w:r w:rsidRPr="000D0B50">
        <w:rPr>
          <w:rFonts w:asciiTheme="minorHAnsi" w:hAnsiTheme="minorHAnsi"/>
        </w:rPr>
        <w:t>elever, som har gennemført mindst 12 uger af et kursus, og som er indvand</w:t>
      </w:r>
      <w:r>
        <w:rPr>
          <w:rFonts w:asciiTheme="minorHAnsi" w:hAnsiTheme="minorHAnsi"/>
        </w:rPr>
        <w:t>rere fra ikkevestlige lande</w:t>
      </w:r>
      <w:r w:rsidRPr="000D0B50">
        <w:rPr>
          <w:rFonts w:asciiTheme="minorHAnsi" w:hAnsiTheme="minorHAnsi"/>
        </w:rPr>
        <w:t xml:space="preserve"> og Albanien, Bosnien-Herzegovina, Serbien, Montenegro, Kroatien og Makedonien samt efterkommere af indvandrere fra disse lande, herunder flygtninge omfattet af integrationsloven og disse flygtninges børn.</w:t>
      </w:r>
    </w:p>
    <w:p w14:paraId="30F49569" w14:textId="77777777" w:rsidR="006F3512" w:rsidRDefault="006F3512" w:rsidP="00B719E3">
      <w:pPr>
        <w:rPr>
          <w:rFonts w:asciiTheme="minorHAnsi" w:hAnsiTheme="minorHAnsi"/>
        </w:rPr>
      </w:pPr>
    </w:p>
    <w:p w14:paraId="30F4956A" w14:textId="77777777" w:rsidR="006F3512" w:rsidRDefault="006F3512" w:rsidP="00B719E3">
      <w:pPr>
        <w:rPr>
          <w:rFonts w:asciiTheme="minorHAnsi" w:hAnsiTheme="minorHAnsi"/>
        </w:rPr>
      </w:pPr>
      <w:r>
        <w:rPr>
          <w:rFonts w:asciiTheme="minorHAnsi" w:hAnsiTheme="minorHAnsi"/>
        </w:rPr>
        <w:t>Det foreslåede bortfald af det særlige tilskud til denne elevgruppe vil indebære, at indvandrere og efterkommere af disse tilskudsmæssigt sidestilles med etnisk danske elever.</w:t>
      </w:r>
      <w:r w:rsidR="00A94221">
        <w:rPr>
          <w:rFonts w:asciiTheme="minorHAnsi" w:hAnsiTheme="minorHAnsi"/>
        </w:rPr>
        <w:t xml:space="preserve"> </w:t>
      </w:r>
    </w:p>
    <w:p w14:paraId="30F4956B" w14:textId="77777777" w:rsidR="00F6260B" w:rsidRDefault="00F6260B" w:rsidP="00B719E3">
      <w:pPr>
        <w:rPr>
          <w:rFonts w:asciiTheme="minorHAnsi" w:hAnsiTheme="minorHAnsi"/>
        </w:rPr>
      </w:pPr>
    </w:p>
    <w:p w14:paraId="30F4956C" w14:textId="77777777" w:rsidR="006F3512" w:rsidRDefault="00A94221" w:rsidP="00B719E3">
      <w:r>
        <w:rPr>
          <w:rFonts w:asciiTheme="minorHAnsi" w:hAnsiTheme="minorHAnsi"/>
        </w:rPr>
        <w:t xml:space="preserve">Regeringen har indarbejdet dette bortfald af det særlige tilskud på finanslovforslaget 2019 som en del af den samlede udgiftspolitiske prioritering. Forslaget indebærer statslig mindreudgift på </w:t>
      </w:r>
      <w:r w:rsidR="00F6260B">
        <w:rPr>
          <w:rFonts w:asciiTheme="minorHAnsi" w:hAnsiTheme="minorHAnsi"/>
        </w:rPr>
        <w:t>9,7 mio. kr. i 2019</w:t>
      </w:r>
      <w:r>
        <w:rPr>
          <w:rFonts w:asciiTheme="minorHAnsi" w:hAnsiTheme="minorHAnsi"/>
        </w:rPr>
        <w:t xml:space="preserve"> faldende til 9,3 mio. kr. i 2022 og frem.</w:t>
      </w:r>
      <w:r w:rsidR="00F6260B">
        <w:rPr>
          <w:rFonts w:asciiTheme="minorHAnsi" w:hAnsiTheme="minorHAnsi"/>
        </w:rPr>
        <w:t xml:space="preserve"> </w:t>
      </w:r>
    </w:p>
    <w:p w14:paraId="30F4956D" w14:textId="77777777" w:rsidR="00ED6ED0" w:rsidRPr="000D0B50" w:rsidRDefault="00ED6ED0" w:rsidP="00B719E3"/>
    <w:p w14:paraId="30F4956E" w14:textId="77777777" w:rsidR="00213190" w:rsidRDefault="0091612E" w:rsidP="00B719E3">
      <w:pPr>
        <w:rPr>
          <w:i/>
        </w:rPr>
      </w:pPr>
      <w:r>
        <w:t>Der henvises i øvrigt til lovforslagets § 1, nr. 2</w:t>
      </w:r>
      <w:r w:rsidR="003A32B4">
        <w:t>,</w:t>
      </w:r>
      <w:r>
        <w:t xml:space="preserve"> og bemærkningerne hertil.</w:t>
      </w:r>
    </w:p>
    <w:p w14:paraId="30F4956F" w14:textId="77777777" w:rsidR="009C2886" w:rsidRDefault="009C2886" w:rsidP="009C2886"/>
    <w:p w14:paraId="30F49570" w14:textId="77777777" w:rsidR="009C2886" w:rsidRDefault="009C2886" w:rsidP="009C2886">
      <w:pPr>
        <w:rPr>
          <w:b/>
        </w:rPr>
      </w:pPr>
      <w:r>
        <w:rPr>
          <w:b/>
        </w:rPr>
        <w:t>2.</w:t>
      </w:r>
      <w:r w:rsidR="00347E91">
        <w:rPr>
          <w:b/>
        </w:rPr>
        <w:t>4</w:t>
      </w:r>
      <w:r>
        <w:rPr>
          <w:b/>
        </w:rPr>
        <w:t>. Opdatering af regler om særligt tilskud for meritgivende brobygning</w:t>
      </w:r>
    </w:p>
    <w:p w14:paraId="30F49571" w14:textId="77777777" w:rsidR="009C2886" w:rsidRDefault="009C2886" w:rsidP="009C2886"/>
    <w:p w14:paraId="30F49572" w14:textId="77777777" w:rsidR="009C2886" w:rsidRDefault="006C7C2B" w:rsidP="009C2886">
      <w:pPr>
        <w:rPr>
          <w:i/>
        </w:rPr>
      </w:pPr>
      <w:r>
        <w:rPr>
          <w:i/>
        </w:rPr>
        <w:t>2.</w:t>
      </w:r>
      <w:r w:rsidR="00347E91">
        <w:rPr>
          <w:i/>
        </w:rPr>
        <w:t>4</w:t>
      </w:r>
      <w:r>
        <w:rPr>
          <w:i/>
        </w:rPr>
        <w:t xml:space="preserve">.1. </w:t>
      </w:r>
      <w:r w:rsidR="009C2886">
        <w:rPr>
          <w:i/>
        </w:rPr>
        <w:t>Gældende ret</w:t>
      </w:r>
    </w:p>
    <w:p w14:paraId="30F49573" w14:textId="77777777" w:rsidR="009C2886" w:rsidRDefault="009C2886" w:rsidP="009C2886">
      <w:r>
        <w:t>Det følger af gældende § 23 a, stk. 5, i lov om efterskoler og frie fagskoler, at staten til efterskoler yder et særligt tilskud ud fra antallet af årselever gange en tillægstakst, hvori alene indgår elever, der deltager i meritgivende brobygningsforløb i mindst 5 uger på landbrugs-, social- og sundheds- samt erhvervsuddannelser.</w:t>
      </w:r>
    </w:p>
    <w:p w14:paraId="30F49574" w14:textId="77777777" w:rsidR="009C2886" w:rsidRDefault="009C2886" w:rsidP="009C2886">
      <w:pPr>
        <w:pStyle w:val="NormalWeb"/>
        <w:ind w:firstLine="1304"/>
        <w:rPr>
          <w:rFonts w:ascii="Garamond" w:hAnsi="Garamond"/>
        </w:rPr>
      </w:pPr>
    </w:p>
    <w:p w14:paraId="30F49575" w14:textId="77777777" w:rsidR="009C2886" w:rsidRDefault="009C2886" w:rsidP="009C2886">
      <w:r>
        <w:t>Bestemmelsen blev indføjet i loven med lov nr. 1083 af 17. december 2002. Det fremgår af b</w:t>
      </w:r>
      <w:r>
        <w:t>e</w:t>
      </w:r>
      <w:r>
        <w:t>mærkningerne til bestemmelsen, jf. lovforslag nr. 72 (2002-2003), at tillægstaksten skal fremme undervisningsforløb, der giver elevene et mere sikkert grundlag for at vælge ungdomsuddannelse og dermed medvirker til at nedbringe elevernes samlede uddannelsestid både mellem grundskole og ungdomsuddannelse og på elevernes efterfølgende ungdomsuddannelse.</w:t>
      </w:r>
    </w:p>
    <w:p w14:paraId="30F49576" w14:textId="77777777" w:rsidR="009C2886" w:rsidRDefault="009C2886" w:rsidP="009C2886"/>
    <w:p w14:paraId="30F49577" w14:textId="77777777" w:rsidR="009C2886" w:rsidRPr="00C32D1B" w:rsidRDefault="006C7C2B" w:rsidP="009C2886">
      <w:pPr>
        <w:rPr>
          <w:i/>
        </w:rPr>
      </w:pPr>
      <w:r>
        <w:rPr>
          <w:i/>
        </w:rPr>
        <w:t>2.</w:t>
      </w:r>
      <w:r w:rsidR="00347E91">
        <w:rPr>
          <w:i/>
        </w:rPr>
        <w:t>4</w:t>
      </w:r>
      <w:r>
        <w:rPr>
          <w:i/>
        </w:rPr>
        <w:t xml:space="preserve">.2. </w:t>
      </w:r>
      <w:r w:rsidR="009C2886">
        <w:rPr>
          <w:i/>
        </w:rPr>
        <w:t>Undervisningsministeriets overvejelser og den forslåede ordning</w:t>
      </w:r>
    </w:p>
    <w:p w14:paraId="30F49578" w14:textId="77777777" w:rsidR="009C2886" w:rsidRDefault="009C2886" w:rsidP="009C2886">
      <w:r>
        <w:t>Ved lov nr. 561 af 6. juni 2007 om ændring af lov om erhvervsuddannelser og forskellige andre love og om ophævelse af lov om grundlæggende social- og sundhedsuddannelser og lov om lan</w:t>
      </w:r>
      <w:r>
        <w:t>d</w:t>
      </w:r>
      <w:r>
        <w:t>brugsuddannelser (Ungdomsuddannelse til alle) blev dagældende lov om landbrugsuddannelser og lov om grundlæggende social- og sundhedsuddannelser ophævet</w:t>
      </w:r>
      <w:r w:rsidR="00C354E7">
        <w:t>,</w:t>
      </w:r>
      <w:r>
        <w:t xml:space="preserve"> og landbrugs-, social- og sundhedsuddannelserne, hvorved landbrugsuddannelserne efter lov om landbrugsuddannelser og uddannelserne til social- og sundhedshjælper og social- og sundhedsassistent efter lov om grun</w:t>
      </w:r>
      <w:r>
        <w:t>d</w:t>
      </w:r>
      <w:r>
        <w:t>læggende social- og sundhedsuddannelser bliver en del af uddannelserne efter lov om erhverv</w:t>
      </w:r>
      <w:r>
        <w:t>s</w:t>
      </w:r>
      <w:r>
        <w:t>uddannelser.</w:t>
      </w:r>
      <w:r>
        <w:br/>
      </w:r>
      <w:r>
        <w:br/>
        <w:t xml:space="preserve">Det foreslås »landbrugs-, social- og sundheds- samt« udgår af oplistningen i § 23 a, stk. 5, som konsekvens af, at disse uddannelser i dag er erhvervsuddannelser. </w:t>
      </w:r>
    </w:p>
    <w:p w14:paraId="30F49579" w14:textId="77777777" w:rsidR="009C2886" w:rsidRDefault="009C2886" w:rsidP="009C2886"/>
    <w:p w14:paraId="30F4957A" w14:textId="77777777" w:rsidR="009C2886" w:rsidRDefault="009C2886" w:rsidP="009C2886">
      <w:r>
        <w:t>Der sker ingen realitetsændringer ved forslaget.</w:t>
      </w:r>
    </w:p>
    <w:p w14:paraId="30F4957B" w14:textId="77777777" w:rsidR="009C2886" w:rsidRDefault="009C2886" w:rsidP="009C2886"/>
    <w:p w14:paraId="30F4957C" w14:textId="77777777" w:rsidR="009542B7" w:rsidRPr="003C377D" w:rsidRDefault="009C2886" w:rsidP="00B719E3">
      <w:r>
        <w:t>Der henvises i øvr</w:t>
      </w:r>
      <w:r w:rsidR="003A32B4">
        <w:t>igt til lovforslagets § 1, nr. 5,</w:t>
      </w:r>
      <w:r>
        <w:t xml:space="preserve"> og bemærkningerne hertil.</w:t>
      </w:r>
    </w:p>
    <w:p w14:paraId="30F4957D" w14:textId="77777777" w:rsidR="009542B7" w:rsidRDefault="009542B7" w:rsidP="00B719E3"/>
    <w:p w14:paraId="30F4957E" w14:textId="77777777" w:rsidR="00FA734B" w:rsidRPr="002E25C1" w:rsidRDefault="002E25C1" w:rsidP="002E25C1">
      <w:pPr>
        <w:rPr>
          <w:b/>
        </w:rPr>
      </w:pPr>
      <w:r>
        <w:rPr>
          <w:b/>
        </w:rPr>
        <w:t>3.</w:t>
      </w:r>
      <w:r w:rsidR="00CE2A98">
        <w:rPr>
          <w:b/>
        </w:rPr>
        <w:t xml:space="preserve"> </w:t>
      </w:r>
      <w:r w:rsidR="006C7C2B">
        <w:rPr>
          <w:b/>
        </w:rPr>
        <w:t>De ø</w:t>
      </w:r>
      <w:r w:rsidR="00FA734B" w:rsidRPr="002E25C1">
        <w:rPr>
          <w:b/>
        </w:rPr>
        <w:t xml:space="preserve">konomiske </w:t>
      </w:r>
      <w:r w:rsidR="006C7C2B">
        <w:rPr>
          <w:b/>
        </w:rPr>
        <w:t xml:space="preserve">konsekvenser </w:t>
      </w:r>
      <w:r w:rsidR="00FA734B" w:rsidRPr="002E25C1">
        <w:rPr>
          <w:b/>
        </w:rPr>
        <w:t xml:space="preserve">og </w:t>
      </w:r>
      <w:r w:rsidR="006C7C2B">
        <w:rPr>
          <w:b/>
        </w:rPr>
        <w:t>implementerings</w:t>
      </w:r>
      <w:r w:rsidR="00FA734B" w:rsidRPr="002E25C1">
        <w:rPr>
          <w:b/>
        </w:rPr>
        <w:t>konsekvenser for det offentlige</w:t>
      </w:r>
    </w:p>
    <w:p w14:paraId="30F4957F" w14:textId="77777777" w:rsidR="00FA734B" w:rsidRDefault="00FA734B" w:rsidP="00FA734B">
      <w:pPr>
        <w:rPr>
          <w:b/>
        </w:rPr>
      </w:pPr>
    </w:p>
    <w:p w14:paraId="30F49580" w14:textId="77777777" w:rsidR="00FA734B" w:rsidRPr="00FA734B" w:rsidRDefault="00AA5DA4" w:rsidP="00FA734B">
      <w:pPr>
        <w:rPr>
          <w:i/>
        </w:rPr>
      </w:pPr>
      <w:r>
        <w:rPr>
          <w:i/>
        </w:rPr>
        <w:t>Forslag om et</w:t>
      </w:r>
      <w:r w:rsidR="00FA734B" w:rsidRPr="00FA734B">
        <w:rPr>
          <w:i/>
        </w:rPr>
        <w:t xml:space="preserve"> </w:t>
      </w:r>
      <w:r>
        <w:rPr>
          <w:i/>
        </w:rPr>
        <w:t xml:space="preserve">geografisk </w:t>
      </w:r>
      <w:r w:rsidR="00FA734B" w:rsidRPr="00FA734B">
        <w:rPr>
          <w:i/>
        </w:rPr>
        <w:t>skoletilskud</w:t>
      </w:r>
      <w:r>
        <w:rPr>
          <w:i/>
        </w:rPr>
        <w:t xml:space="preserve"> til efterskoler</w:t>
      </w:r>
    </w:p>
    <w:p w14:paraId="30F49581" w14:textId="77777777" w:rsidR="00CE2A98" w:rsidRDefault="00F3295F" w:rsidP="00FA734B">
      <w:r>
        <w:lastRenderedPageBreak/>
        <w:t xml:space="preserve">Det vurderes, at forslaget er udgiftsneutralt for staten. </w:t>
      </w:r>
      <w:r w:rsidR="00DF5294">
        <w:t>Det skyldes, at det nye geografiske skoleti</w:t>
      </w:r>
      <w:r w:rsidR="00DF5294">
        <w:t>l</w:t>
      </w:r>
      <w:r w:rsidR="00DF5294">
        <w:t xml:space="preserve">skud foreslås finansieret ved at nedjustere driftstakst 1 og driftstakst 2, jf. § 20.22.11 i finansloven for 2018, tilsvarende med udgangspunkt i forventet aktivitet. </w:t>
      </w:r>
    </w:p>
    <w:p w14:paraId="30F49582" w14:textId="77777777" w:rsidR="00F3295F" w:rsidRPr="00CE2A98" w:rsidRDefault="00F3295F" w:rsidP="00FA734B"/>
    <w:p w14:paraId="30F49583" w14:textId="77777777" w:rsidR="00FA734B" w:rsidRPr="00FA734B" w:rsidRDefault="00FA734B" w:rsidP="00FA734B">
      <w:pPr>
        <w:rPr>
          <w:i/>
        </w:rPr>
      </w:pPr>
      <w:r w:rsidRPr="00FA734B">
        <w:rPr>
          <w:i/>
        </w:rPr>
        <w:t>Forslag om afskaffelse af det særlige tilskud til elever fra visse lande</w:t>
      </w:r>
    </w:p>
    <w:p w14:paraId="30F49584" w14:textId="77777777" w:rsidR="00570B5A" w:rsidRDefault="00570B5A" w:rsidP="00570B5A">
      <w:r>
        <w:rPr>
          <w:rFonts w:asciiTheme="minorHAnsi" w:hAnsiTheme="minorHAnsi"/>
        </w:rPr>
        <w:t xml:space="preserve">Regeringen har indarbejdet </w:t>
      </w:r>
      <w:r w:rsidR="00F3295F">
        <w:rPr>
          <w:rFonts w:asciiTheme="minorHAnsi" w:hAnsiTheme="minorHAnsi"/>
        </w:rPr>
        <w:t>forslaget om</w:t>
      </w:r>
      <w:r>
        <w:rPr>
          <w:rFonts w:asciiTheme="minorHAnsi" w:hAnsiTheme="minorHAnsi"/>
        </w:rPr>
        <w:t xml:space="preserve"> bortfald af det særlige tilskud på finanslovforslaget </w:t>
      </w:r>
      <w:r w:rsidR="00FC4548">
        <w:rPr>
          <w:rFonts w:asciiTheme="minorHAnsi" w:hAnsiTheme="minorHAnsi"/>
        </w:rPr>
        <w:t xml:space="preserve">for </w:t>
      </w:r>
      <w:r>
        <w:rPr>
          <w:rFonts w:asciiTheme="minorHAnsi" w:hAnsiTheme="minorHAnsi"/>
        </w:rPr>
        <w:t>2019 som en del af den samlede udgiftspolitiske prioritering. Forslaget indebærer statslig</w:t>
      </w:r>
      <w:r w:rsidR="00F3295F">
        <w:rPr>
          <w:rFonts w:asciiTheme="minorHAnsi" w:hAnsiTheme="minorHAnsi"/>
        </w:rPr>
        <w:t>e</w:t>
      </w:r>
      <w:r>
        <w:rPr>
          <w:rFonts w:asciiTheme="minorHAnsi" w:hAnsiTheme="minorHAnsi"/>
        </w:rPr>
        <w:t xml:space="preserve"> mi</w:t>
      </w:r>
      <w:r>
        <w:rPr>
          <w:rFonts w:asciiTheme="minorHAnsi" w:hAnsiTheme="minorHAnsi"/>
        </w:rPr>
        <w:t>n</w:t>
      </w:r>
      <w:r>
        <w:rPr>
          <w:rFonts w:asciiTheme="minorHAnsi" w:hAnsiTheme="minorHAnsi"/>
        </w:rPr>
        <w:t>dreudgift</w:t>
      </w:r>
      <w:r w:rsidR="00F3295F">
        <w:rPr>
          <w:rFonts w:asciiTheme="minorHAnsi" w:hAnsiTheme="minorHAnsi"/>
        </w:rPr>
        <w:t>er</w:t>
      </w:r>
      <w:r>
        <w:rPr>
          <w:rFonts w:asciiTheme="minorHAnsi" w:hAnsiTheme="minorHAnsi"/>
        </w:rPr>
        <w:t xml:space="preserve"> på 9,7 mio. kr. i 2019</w:t>
      </w:r>
      <w:r w:rsidR="00F3295F">
        <w:rPr>
          <w:rFonts w:asciiTheme="minorHAnsi" w:hAnsiTheme="minorHAnsi"/>
        </w:rPr>
        <w:t>, 9,5 mio. kr. i 2020, 9,3 mio. kr. i 2021 og</w:t>
      </w:r>
      <w:r>
        <w:rPr>
          <w:rFonts w:asciiTheme="minorHAnsi" w:hAnsiTheme="minorHAnsi"/>
        </w:rPr>
        <w:t xml:space="preserve"> 9,3 mio. kr. i 2022 og frem. </w:t>
      </w:r>
    </w:p>
    <w:p w14:paraId="30F49585" w14:textId="77777777" w:rsidR="001849AF" w:rsidRPr="00CE2A98" w:rsidRDefault="001849AF" w:rsidP="00FA734B"/>
    <w:p w14:paraId="30F49586" w14:textId="77777777" w:rsidR="009C2886" w:rsidRPr="00FA734B" w:rsidRDefault="009C2886" w:rsidP="009C2886">
      <w:pPr>
        <w:rPr>
          <w:i/>
        </w:rPr>
      </w:pPr>
      <w:r>
        <w:rPr>
          <w:i/>
        </w:rPr>
        <w:t>Forslag om opdate</w:t>
      </w:r>
      <w:r w:rsidRPr="00FA734B">
        <w:rPr>
          <w:i/>
        </w:rPr>
        <w:t>ring af regler om særligt tilskud for meritgivende brobygning</w:t>
      </w:r>
    </w:p>
    <w:p w14:paraId="30F49587" w14:textId="77777777" w:rsidR="001849AF" w:rsidRPr="003C377D" w:rsidRDefault="003A32B4" w:rsidP="00FA734B">
      <w:pPr>
        <w:rPr>
          <w:i/>
        </w:rPr>
      </w:pPr>
      <w:r>
        <w:t>Forslaget er</w:t>
      </w:r>
      <w:r w:rsidR="009C2886">
        <w:t xml:space="preserve"> en opdatering af bestemmelsen om </w:t>
      </w:r>
      <w:r w:rsidR="009C2886" w:rsidRPr="003C377D">
        <w:t>særligt tilskud for meritgivende brobygning</w:t>
      </w:r>
      <w:r w:rsidR="009C2886">
        <w:t xml:space="preserve"> i overensstemmelse med gældende lovgivning for erhvervsuddannelserne og indebærer ingen øk</w:t>
      </w:r>
      <w:r w:rsidR="009C2886">
        <w:t>o</w:t>
      </w:r>
      <w:r w:rsidR="009C2886">
        <w:t>nomiske konsekvenser.</w:t>
      </w:r>
    </w:p>
    <w:p w14:paraId="30F49588" w14:textId="77777777" w:rsidR="00F3295F" w:rsidRDefault="00F3295F" w:rsidP="00FA734B">
      <w:pPr>
        <w:rPr>
          <w:b/>
        </w:rPr>
      </w:pPr>
    </w:p>
    <w:p w14:paraId="30F49589" w14:textId="77777777" w:rsidR="00FA734B" w:rsidRDefault="00FA734B" w:rsidP="00FA734B">
      <w:pPr>
        <w:pStyle w:val="Opstilling-talellerbogst"/>
        <w:numPr>
          <w:ilvl w:val="0"/>
          <w:numId w:val="0"/>
        </w:numPr>
        <w:tabs>
          <w:tab w:val="left" w:pos="1304"/>
        </w:tabs>
        <w:rPr>
          <w:i/>
          <w:szCs w:val="24"/>
        </w:rPr>
      </w:pPr>
      <w:r>
        <w:rPr>
          <w:i/>
          <w:szCs w:val="24"/>
        </w:rPr>
        <w:t>Forslag om ændring af fordeling af tilskud til individuel supplerende elevstøtte</w:t>
      </w:r>
    </w:p>
    <w:p w14:paraId="30F4958A" w14:textId="77777777" w:rsidR="00FA734B" w:rsidRDefault="00FA734B" w:rsidP="00FA734B">
      <w:pPr>
        <w:pStyle w:val="Opstilling-talellerbogst"/>
        <w:numPr>
          <w:ilvl w:val="0"/>
          <w:numId w:val="0"/>
        </w:numPr>
        <w:tabs>
          <w:tab w:val="left" w:pos="1304"/>
        </w:tabs>
        <w:rPr>
          <w:szCs w:val="24"/>
        </w:rPr>
      </w:pPr>
      <w:r>
        <w:rPr>
          <w:szCs w:val="24"/>
        </w:rPr>
        <w:t>Det bemærkes, at omlægningen af den individuelle supplerende elevstøtte fra finansåret 2019 alene indebærer en ændret fordeling af midlerne mellem efterskolerne, men ikke en ændring af den samlede pulje</w:t>
      </w:r>
      <w:r w:rsidR="00DB18F6">
        <w:rPr>
          <w:szCs w:val="24"/>
        </w:rPr>
        <w:t>,</w:t>
      </w:r>
      <w:r>
        <w:rPr>
          <w:szCs w:val="24"/>
        </w:rPr>
        <w:t xml:space="preserve"> idet </w:t>
      </w:r>
      <w:r w:rsidR="00DB18F6">
        <w:rPr>
          <w:szCs w:val="24"/>
        </w:rPr>
        <w:t xml:space="preserve">denne forventes fastsat på det hidtidigt forudsatte niveau. </w:t>
      </w:r>
      <w:r>
        <w:rPr>
          <w:szCs w:val="24"/>
        </w:rPr>
        <w:t xml:space="preserve">Forslaget har således ikke isoleret set nogen </w:t>
      </w:r>
      <w:r w:rsidR="00DB18F6">
        <w:rPr>
          <w:szCs w:val="24"/>
        </w:rPr>
        <w:t xml:space="preserve">samlet </w:t>
      </w:r>
      <w:r>
        <w:rPr>
          <w:szCs w:val="24"/>
        </w:rPr>
        <w:t>økonomisk konsekvens</w:t>
      </w:r>
      <w:r w:rsidR="00DB18F6">
        <w:rPr>
          <w:szCs w:val="24"/>
        </w:rPr>
        <w:t>, men det indebærer omfordeling mellem de enkelte efterskoler</w:t>
      </w:r>
      <w:r>
        <w:rPr>
          <w:szCs w:val="24"/>
        </w:rPr>
        <w:t>.</w:t>
      </w:r>
      <w:r w:rsidR="00DB18F6">
        <w:rPr>
          <w:szCs w:val="24"/>
        </w:rPr>
        <w:t xml:space="preserve"> Det er endvidere tanken, at tilskuddet fremadrettet udbetales til </w:t>
      </w:r>
      <w:r w:rsidR="000B76FE">
        <w:rPr>
          <w:szCs w:val="24"/>
        </w:rPr>
        <w:t>efter</w:t>
      </w:r>
      <w:r w:rsidR="00DB18F6">
        <w:rPr>
          <w:szCs w:val="24"/>
        </w:rPr>
        <w:t xml:space="preserve">skolerne efter tidstro aktivitet frem for med et års forsinkelse som hidtil. Der kan således være udsving, såfremt aktiviteten i </w:t>
      </w:r>
      <w:r w:rsidR="0031360A">
        <w:rPr>
          <w:szCs w:val="24"/>
        </w:rPr>
        <w:t xml:space="preserve">de ti nederste indkomstintervaller </w:t>
      </w:r>
      <w:r w:rsidR="00DB18F6">
        <w:rPr>
          <w:szCs w:val="24"/>
        </w:rPr>
        <w:t>varierer fra år til år</w:t>
      </w:r>
    </w:p>
    <w:p w14:paraId="30F4958B" w14:textId="77777777" w:rsidR="00FA734B" w:rsidRPr="00FA734B" w:rsidRDefault="00FA734B" w:rsidP="00FA734B">
      <w:pPr>
        <w:rPr>
          <w:b/>
        </w:rPr>
      </w:pPr>
    </w:p>
    <w:p w14:paraId="30F4958C" w14:textId="77777777" w:rsidR="00FA734B" w:rsidRDefault="002E25C1" w:rsidP="00FA734B">
      <w:pPr>
        <w:rPr>
          <w:b/>
        </w:rPr>
      </w:pPr>
      <w:r>
        <w:rPr>
          <w:b/>
        </w:rPr>
        <w:t xml:space="preserve">4. </w:t>
      </w:r>
      <w:r w:rsidR="00FA734B" w:rsidRPr="00FA734B">
        <w:rPr>
          <w:b/>
        </w:rPr>
        <w:t>Økonomiske og administrative konsekvenser for erhvervslivet m.v.</w:t>
      </w:r>
    </w:p>
    <w:p w14:paraId="30F4958D" w14:textId="77777777" w:rsidR="00FA734B" w:rsidRPr="00FA734B" w:rsidRDefault="00FA734B" w:rsidP="00FA734B">
      <w:r w:rsidRPr="00FA734B">
        <w:t>Lovforslaget har ingen økonomiske eller administrative konsekvenser for erhvervslivet m.v.</w:t>
      </w:r>
    </w:p>
    <w:p w14:paraId="30F4958E" w14:textId="77777777" w:rsidR="00FA734B" w:rsidRPr="00FA734B" w:rsidRDefault="00FA734B" w:rsidP="00FA734B">
      <w:pPr>
        <w:rPr>
          <w:b/>
        </w:rPr>
      </w:pPr>
    </w:p>
    <w:p w14:paraId="30F4958F" w14:textId="77777777" w:rsidR="00FA734B" w:rsidRDefault="002E25C1" w:rsidP="00FA734B">
      <w:pPr>
        <w:rPr>
          <w:b/>
        </w:rPr>
      </w:pPr>
      <w:r>
        <w:rPr>
          <w:b/>
        </w:rPr>
        <w:t xml:space="preserve">5. </w:t>
      </w:r>
      <w:r w:rsidR="00FA734B" w:rsidRPr="00FA734B">
        <w:rPr>
          <w:b/>
        </w:rPr>
        <w:t>Administrative konsekvenser for borgerne</w:t>
      </w:r>
    </w:p>
    <w:p w14:paraId="30F49590" w14:textId="77777777" w:rsidR="00FA734B" w:rsidRDefault="00FA734B" w:rsidP="00FA734B">
      <w:pPr>
        <w:rPr>
          <w:b/>
        </w:rPr>
      </w:pPr>
      <w:r w:rsidRPr="00FA734B">
        <w:t>Lovforslage</w:t>
      </w:r>
      <w:r>
        <w:t>t har ingen</w:t>
      </w:r>
      <w:r w:rsidRPr="00FA734B">
        <w:t xml:space="preserve"> administrative konsekvenser for</w:t>
      </w:r>
      <w:r>
        <w:t xml:space="preserve"> borgerne.</w:t>
      </w:r>
    </w:p>
    <w:p w14:paraId="30F49591" w14:textId="77777777" w:rsidR="00FA734B" w:rsidRPr="00FA734B" w:rsidRDefault="00FA734B" w:rsidP="00FA734B">
      <w:pPr>
        <w:rPr>
          <w:b/>
        </w:rPr>
      </w:pPr>
    </w:p>
    <w:p w14:paraId="30F49592" w14:textId="77777777" w:rsidR="00FA734B" w:rsidRDefault="002E25C1" w:rsidP="00FA734B">
      <w:pPr>
        <w:rPr>
          <w:b/>
        </w:rPr>
      </w:pPr>
      <w:r>
        <w:rPr>
          <w:b/>
        </w:rPr>
        <w:t xml:space="preserve">6. </w:t>
      </w:r>
      <w:r w:rsidR="00FA734B" w:rsidRPr="00FA734B">
        <w:rPr>
          <w:b/>
        </w:rPr>
        <w:t>Miljømæssige konsekvenser</w:t>
      </w:r>
    </w:p>
    <w:p w14:paraId="30F49593" w14:textId="77777777" w:rsidR="00FA734B" w:rsidRDefault="00FA734B" w:rsidP="00FA734B">
      <w:r w:rsidRPr="00FA734B">
        <w:t>Lovforslage</w:t>
      </w:r>
      <w:r>
        <w:t>t har ingen miljømæssige</w:t>
      </w:r>
      <w:r w:rsidRPr="00FA734B">
        <w:t xml:space="preserve"> konsekvenser</w:t>
      </w:r>
    </w:p>
    <w:p w14:paraId="30F49594" w14:textId="77777777" w:rsidR="00FA734B" w:rsidRPr="00FA734B" w:rsidRDefault="00FA734B" w:rsidP="00FA734B">
      <w:pPr>
        <w:rPr>
          <w:b/>
        </w:rPr>
      </w:pPr>
    </w:p>
    <w:p w14:paraId="30F49595" w14:textId="77777777" w:rsidR="00FA734B" w:rsidRDefault="002E25C1" w:rsidP="00FA734B">
      <w:pPr>
        <w:rPr>
          <w:b/>
        </w:rPr>
      </w:pPr>
      <w:r>
        <w:rPr>
          <w:b/>
        </w:rPr>
        <w:t xml:space="preserve">7. </w:t>
      </w:r>
      <w:r w:rsidR="00FA734B" w:rsidRPr="00FA734B">
        <w:rPr>
          <w:b/>
        </w:rPr>
        <w:t>Forholdet til EU-retten</w:t>
      </w:r>
    </w:p>
    <w:p w14:paraId="30F49596" w14:textId="77777777" w:rsidR="00FA734B" w:rsidRPr="00FA734B" w:rsidRDefault="00FA734B" w:rsidP="00FA734B">
      <w:r w:rsidRPr="00FA734B">
        <w:t>Lovforslaget indeholder ingen EU-retlige aspekter</w:t>
      </w:r>
    </w:p>
    <w:p w14:paraId="30F49597" w14:textId="77777777" w:rsidR="00FA734B" w:rsidRPr="00FA734B" w:rsidRDefault="00FA734B" w:rsidP="00FA734B">
      <w:pPr>
        <w:rPr>
          <w:b/>
        </w:rPr>
      </w:pPr>
    </w:p>
    <w:p w14:paraId="30F49598" w14:textId="77777777" w:rsidR="00FA734B" w:rsidRDefault="002E25C1" w:rsidP="00FA734B">
      <w:pPr>
        <w:rPr>
          <w:b/>
        </w:rPr>
      </w:pPr>
      <w:r>
        <w:rPr>
          <w:b/>
        </w:rPr>
        <w:t xml:space="preserve">8. </w:t>
      </w:r>
      <w:r w:rsidR="00FA734B" w:rsidRPr="00FA734B">
        <w:rPr>
          <w:b/>
        </w:rPr>
        <w:t>Hørte myndigheder og organisationer</w:t>
      </w:r>
    </w:p>
    <w:p w14:paraId="30F49599" w14:textId="77777777" w:rsidR="006C7C2B" w:rsidRDefault="006C7C2B" w:rsidP="00FA734B"/>
    <w:p w14:paraId="30F4959A" w14:textId="77777777" w:rsidR="006C7C2B" w:rsidRDefault="006C7C2B" w:rsidP="00FA734B">
      <w:r>
        <w:t>Et udkast til lovforslag har i perioden den</w:t>
      </w:r>
      <w:r w:rsidR="00347E91">
        <w:t xml:space="preserve"> 5. september 2018 til den 3. oktober 2018</w:t>
      </w:r>
      <w:r>
        <w:t xml:space="preserve"> været sendt i høring hos følgende myndigheder og organisationer m.v.:</w:t>
      </w:r>
    </w:p>
    <w:p w14:paraId="30F4959B" w14:textId="77777777" w:rsidR="00FA734B" w:rsidRPr="002E25C1" w:rsidRDefault="002E25C1" w:rsidP="00FA734B">
      <w:pPr>
        <w:rPr>
          <w:b/>
        </w:rPr>
      </w:pPr>
      <w:r w:rsidRPr="002E25C1">
        <w:t>Børne- og Ungdomspædagogernes Landsforbund (BUPL), Børne- og Kulturchefforeningen, Børnerådet, Danmarks Lærerforening, Dansk Arbejdsgiverforening, Danmarks Evalueringsinst</w:t>
      </w:r>
      <w:r w:rsidRPr="002E25C1">
        <w:t>i</w:t>
      </w:r>
      <w:r w:rsidRPr="002E25C1">
        <w:t xml:space="preserve">tut, Danmarks Private Skoler – grundskoler og gymnasier, Dansk Folkeoplysnings Samråd, Dansk Friskoleforening, Dansk Industri, </w:t>
      </w:r>
      <w:r w:rsidR="009D7CC2">
        <w:t xml:space="preserve">Dansk Socialrådgiverforening, </w:t>
      </w:r>
      <w:r w:rsidRPr="002E25C1">
        <w:t>Dansk Ungdoms Fælle</w:t>
      </w:r>
      <w:r w:rsidRPr="002E25C1">
        <w:t>s</w:t>
      </w:r>
      <w:r w:rsidRPr="002E25C1">
        <w:t xml:space="preserve">råd, </w:t>
      </w:r>
      <w:r w:rsidR="009D7CC2">
        <w:t xml:space="preserve">Danske Forlag, </w:t>
      </w:r>
      <w:r w:rsidRPr="002E25C1">
        <w:t xml:space="preserve">Danske Skoleelever, Datatilsynet, Det Centrale Handicapråd, Deutscher Schul- und Sprachverein für Nordschleswig, Efterskoleforeningen, Folkehøjskolernes Forening, </w:t>
      </w:r>
      <w:r w:rsidRPr="002E25C1">
        <w:lastRenderedPageBreak/>
        <w:t xml:space="preserve">Foreningen Frie Fagskoler, Foreningen af Katolske Skoler i Danmark, Foreningen af Kristne Friskoler, Foreningsfællesskabet Ligeværd, Frie Skolers Lærerforening, FSR – danske revisorer, KL, </w:t>
      </w:r>
      <w:r w:rsidR="009D7CC2">
        <w:t xml:space="preserve">Landdistrikternes Fællesråd, </w:t>
      </w:r>
      <w:r w:rsidRPr="002E25C1">
        <w:t>Lilleskolerne, Lærernes Centralorganisation, Rigsrevisionen, Rådet for Børns Læring, Rådet for Etniske Minoriteter, Skole og Forældre, Studievalg Danmark og UU Danmark.</w:t>
      </w:r>
    </w:p>
    <w:p w14:paraId="30F4959C" w14:textId="77777777" w:rsidR="002E25C1" w:rsidRPr="00673D2F" w:rsidRDefault="002E25C1" w:rsidP="002E25C1">
      <w:pPr>
        <w:pStyle w:val="Opstilling-talellerbogst"/>
        <w:numPr>
          <w:ilvl w:val="0"/>
          <w:numId w:val="0"/>
        </w:numPr>
        <w:rPr>
          <w:szCs w:val="24"/>
        </w:rPr>
      </w:pPr>
    </w:p>
    <w:p w14:paraId="30F4959D" w14:textId="77777777" w:rsidR="002E25C1" w:rsidRDefault="002E25C1" w:rsidP="002E25C1">
      <w:pPr>
        <w:pStyle w:val="Opstilling-talellerbogst"/>
        <w:numPr>
          <w:ilvl w:val="0"/>
          <w:numId w:val="0"/>
        </w:numPr>
        <w:rPr>
          <w:b/>
          <w:szCs w:val="24"/>
        </w:rPr>
      </w:pPr>
      <w:r w:rsidRPr="00E11D7D">
        <w:rPr>
          <w:b/>
          <w:szCs w:val="24"/>
        </w:rPr>
        <w:t>9. Sammenfattende skema</w:t>
      </w:r>
      <w:r>
        <w:rPr>
          <w:b/>
          <w:szCs w:val="24"/>
        </w:rPr>
        <w:t>.</w:t>
      </w:r>
    </w:p>
    <w:p w14:paraId="30F4959E" w14:textId="77777777" w:rsidR="002E25C1" w:rsidRPr="00E11D7D" w:rsidRDefault="002E25C1" w:rsidP="002E25C1">
      <w:pPr>
        <w:pStyle w:val="Opstilling-talellerbogst"/>
        <w:numPr>
          <w:ilvl w:val="0"/>
          <w:numId w:val="0"/>
        </w:numPr>
        <w:rPr>
          <w:b/>
          <w:szCs w:val="24"/>
        </w:rPr>
      </w:pPr>
    </w:p>
    <w:tbl>
      <w:tblPr>
        <w:tblStyle w:val="Tabel-Gitter"/>
        <w:tblpPr w:leftFromText="141" w:rightFromText="141" w:vertAnchor="text" w:tblpY="1"/>
        <w:tblOverlap w:val="never"/>
        <w:tblW w:w="8460" w:type="dxa"/>
        <w:tblInd w:w="5" w:type="dxa"/>
        <w:tblLook w:val="04A0" w:firstRow="1" w:lastRow="0" w:firstColumn="1" w:lastColumn="0" w:noHBand="0" w:noVBand="1"/>
      </w:tblPr>
      <w:tblGrid>
        <w:gridCol w:w="8460"/>
      </w:tblGrid>
      <w:tr w:rsidR="002E25C1" w:rsidRPr="0070004E" w14:paraId="30F495C5" w14:textId="77777777" w:rsidTr="006F3512">
        <w:tc>
          <w:tcPr>
            <w:tcW w:w="0" w:type="auto"/>
            <w:hideMark/>
          </w:tcPr>
          <w:tbl>
            <w:tblPr>
              <w:tblpPr w:leftFromText="45" w:rightFromText="45" w:bottomFromText="200" w:vertAnchor="text"/>
              <w:tblW w:w="8234" w:type="dxa"/>
              <w:tblCellSpacing w:w="0" w:type="dxa"/>
              <w:tblCellMar>
                <w:left w:w="0" w:type="dxa"/>
                <w:right w:w="0" w:type="dxa"/>
              </w:tblCellMar>
              <w:tblLook w:val="04A0" w:firstRow="1" w:lastRow="0" w:firstColumn="1" w:lastColumn="0" w:noHBand="0" w:noVBand="1"/>
            </w:tblPr>
            <w:tblGrid>
              <w:gridCol w:w="2397"/>
              <w:gridCol w:w="3062"/>
              <w:gridCol w:w="2775"/>
            </w:tblGrid>
            <w:tr w:rsidR="002E25C1" w:rsidRPr="0070004E" w14:paraId="30F495A3" w14:textId="77777777" w:rsidTr="006F3512">
              <w:trPr>
                <w:tblCellSpacing w:w="0" w:type="dxa"/>
              </w:trPr>
              <w:tc>
                <w:tcPr>
                  <w:tcW w:w="2397" w:type="dxa"/>
                  <w:tcBorders>
                    <w:top w:val="single" w:sz="4" w:space="0" w:color="000000"/>
                    <w:left w:val="single" w:sz="4" w:space="0" w:color="000000"/>
                    <w:bottom w:val="single" w:sz="4" w:space="0" w:color="000000"/>
                    <w:right w:val="nil"/>
                  </w:tcBorders>
                  <w:tcMar>
                    <w:top w:w="0" w:type="dxa"/>
                    <w:left w:w="141" w:type="dxa"/>
                    <w:bottom w:w="0" w:type="dxa"/>
                    <w:right w:w="141" w:type="dxa"/>
                  </w:tcMar>
                  <w:vAlign w:val="center"/>
                  <w:hideMark/>
                </w:tcPr>
                <w:p w14:paraId="30F4959F" w14:textId="77777777" w:rsidR="002E25C1" w:rsidRPr="00673D2F" w:rsidRDefault="002E25C1" w:rsidP="006F3512">
                  <w:pPr>
                    <w:rPr>
                      <w:rFonts w:cs="Times New Roman"/>
                    </w:rPr>
                  </w:pPr>
                </w:p>
              </w:tc>
              <w:tc>
                <w:tcPr>
                  <w:tcW w:w="3062" w:type="dxa"/>
                  <w:tcBorders>
                    <w:top w:val="single" w:sz="4" w:space="0" w:color="000000"/>
                    <w:left w:val="single" w:sz="4" w:space="0" w:color="000000"/>
                    <w:bottom w:val="single" w:sz="4" w:space="0" w:color="000000"/>
                    <w:right w:val="nil"/>
                  </w:tcBorders>
                  <w:tcMar>
                    <w:top w:w="0" w:type="dxa"/>
                    <w:left w:w="141" w:type="dxa"/>
                    <w:bottom w:w="0" w:type="dxa"/>
                    <w:right w:w="141" w:type="dxa"/>
                  </w:tcMar>
                  <w:vAlign w:val="center"/>
                  <w:hideMark/>
                </w:tcPr>
                <w:p w14:paraId="30F495A0" w14:textId="77777777" w:rsidR="002E25C1" w:rsidRPr="00673D2F" w:rsidRDefault="002E25C1" w:rsidP="006F3512">
                  <w:pPr>
                    <w:pStyle w:val="tekst2"/>
                    <w:spacing w:line="276" w:lineRule="auto"/>
                    <w:ind w:firstLine="0"/>
                    <w:rPr>
                      <w:rFonts w:ascii="Garamond" w:hAnsi="Garamond"/>
                      <w:lang w:eastAsia="en-US"/>
                    </w:rPr>
                  </w:pPr>
                  <w:r w:rsidRPr="00673D2F">
                    <w:rPr>
                      <w:rFonts w:ascii="Garamond" w:hAnsi="Garamond"/>
                      <w:lang w:eastAsia="en-US"/>
                    </w:rPr>
                    <w:t xml:space="preserve">Positive </w:t>
                  </w:r>
                </w:p>
                <w:p w14:paraId="30F495A1" w14:textId="77777777" w:rsidR="002E25C1" w:rsidRPr="00673D2F" w:rsidRDefault="002E25C1" w:rsidP="006F3512">
                  <w:pPr>
                    <w:pStyle w:val="tekst2"/>
                    <w:spacing w:line="276" w:lineRule="auto"/>
                    <w:ind w:firstLine="0"/>
                    <w:rPr>
                      <w:rFonts w:ascii="Garamond" w:hAnsi="Garamond"/>
                      <w:lang w:eastAsia="en-US"/>
                    </w:rPr>
                  </w:pPr>
                  <w:r w:rsidRPr="00673D2F">
                    <w:rPr>
                      <w:rFonts w:ascii="Garamond" w:hAnsi="Garamond"/>
                      <w:lang w:eastAsia="en-US"/>
                    </w:rPr>
                    <w:t>konsekvenser/mindreudgifter</w:t>
                  </w:r>
                </w:p>
              </w:tc>
              <w:tc>
                <w:tcPr>
                  <w:tcW w:w="2775" w:type="dxa"/>
                  <w:tcBorders>
                    <w:top w:val="single" w:sz="4" w:space="0" w:color="000000"/>
                    <w:left w:val="single" w:sz="4" w:space="0" w:color="000000"/>
                    <w:bottom w:val="single" w:sz="4" w:space="0" w:color="000000"/>
                    <w:right w:val="single" w:sz="4" w:space="0" w:color="000000"/>
                  </w:tcBorders>
                  <w:tcMar>
                    <w:top w:w="0" w:type="dxa"/>
                    <w:left w:w="141" w:type="dxa"/>
                    <w:bottom w:w="0" w:type="dxa"/>
                    <w:right w:w="141" w:type="dxa"/>
                  </w:tcMar>
                  <w:vAlign w:val="center"/>
                  <w:hideMark/>
                </w:tcPr>
                <w:p w14:paraId="30F495A2" w14:textId="77777777" w:rsidR="002E25C1" w:rsidRPr="00673D2F" w:rsidRDefault="002E25C1" w:rsidP="006F3512">
                  <w:pPr>
                    <w:pStyle w:val="tekst2"/>
                    <w:spacing w:line="276" w:lineRule="auto"/>
                    <w:ind w:firstLine="0"/>
                    <w:rPr>
                      <w:rFonts w:ascii="Garamond" w:hAnsi="Garamond"/>
                      <w:lang w:eastAsia="en-US"/>
                    </w:rPr>
                  </w:pPr>
                  <w:r w:rsidRPr="00673D2F">
                    <w:rPr>
                      <w:rFonts w:ascii="Garamond" w:hAnsi="Garamond"/>
                      <w:lang w:eastAsia="en-US"/>
                    </w:rPr>
                    <w:t>Negative konsekve</w:t>
                  </w:r>
                  <w:r w:rsidRPr="00673D2F">
                    <w:rPr>
                      <w:rFonts w:ascii="Garamond" w:hAnsi="Garamond"/>
                      <w:lang w:eastAsia="en-US"/>
                    </w:rPr>
                    <w:t>n</w:t>
                  </w:r>
                  <w:r w:rsidRPr="00673D2F">
                    <w:rPr>
                      <w:rFonts w:ascii="Garamond" w:hAnsi="Garamond"/>
                      <w:lang w:eastAsia="en-US"/>
                    </w:rPr>
                    <w:t>ser/merudgifter</w:t>
                  </w:r>
                </w:p>
              </w:tc>
            </w:tr>
            <w:tr w:rsidR="002E25C1" w:rsidRPr="0070004E" w14:paraId="30F495A8" w14:textId="77777777" w:rsidTr="006F3512">
              <w:trPr>
                <w:tblCellSpacing w:w="0" w:type="dxa"/>
              </w:trPr>
              <w:tc>
                <w:tcPr>
                  <w:tcW w:w="2397" w:type="dxa"/>
                  <w:tcBorders>
                    <w:top w:val="single" w:sz="4" w:space="0" w:color="000000"/>
                    <w:left w:val="single" w:sz="4" w:space="0" w:color="000000"/>
                    <w:bottom w:val="single" w:sz="4" w:space="0" w:color="000000"/>
                    <w:right w:val="nil"/>
                  </w:tcBorders>
                  <w:tcMar>
                    <w:top w:w="0" w:type="dxa"/>
                    <w:left w:w="141" w:type="dxa"/>
                    <w:bottom w:w="0" w:type="dxa"/>
                    <w:right w:w="141" w:type="dxa"/>
                  </w:tcMar>
                  <w:vAlign w:val="center"/>
                </w:tcPr>
                <w:p w14:paraId="30F495A4" w14:textId="77777777" w:rsidR="002E25C1" w:rsidRPr="00673D2F" w:rsidRDefault="002E25C1" w:rsidP="006F3512">
                  <w:pPr>
                    <w:rPr>
                      <w:rFonts w:cs="Times New Roman"/>
                    </w:rPr>
                  </w:pPr>
                  <w:r w:rsidRPr="00673D2F">
                    <w:t>Økonomiske kons</w:t>
                  </w:r>
                  <w:r w:rsidRPr="00673D2F">
                    <w:t>e</w:t>
                  </w:r>
                  <w:r w:rsidRPr="00673D2F">
                    <w:t>kvenser for stat, kommuner og regi</w:t>
                  </w:r>
                  <w:r w:rsidRPr="00673D2F">
                    <w:t>o</w:t>
                  </w:r>
                  <w:r w:rsidRPr="00673D2F">
                    <w:t>ner</w:t>
                  </w:r>
                </w:p>
              </w:tc>
              <w:tc>
                <w:tcPr>
                  <w:tcW w:w="3062" w:type="dxa"/>
                  <w:tcBorders>
                    <w:top w:val="single" w:sz="4" w:space="0" w:color="000000"/>
                    <w:left w:val="single" w:sz="4" w:space="0" w:color="000000"/>
                    <w:bottom w:val="single" w:sz="4" w:space="0" w:color="000000"/>
                    <w:right w:val="nil"/>
                  </w:tcBorders>
                  <w:tcMar>
                    <w:top w:w="0" w:type="dxa"/>
                    <w:left w:w="141" w:type="dxa"/>
                    <w:bottom w:w="0" w:type="dxa"/>
                    <w:right w:w="141" w:type="dxa"/>
                  </w:tcMar>
                  <w:vAlign w:val="center"/>
                </w:tcPr>
                <w:p w14:paraId="30F495A5" w14:textId="77777777" w:rsidR="00F3295F" w:rsidRDefault="00F3295F" w:rsidP="00F3295F">
                  <w:r>
                    <w:rPr>
                      <w:rFonts w:asciiTheme="minorHAnsi" w:hAnsiTheme="minorHAnsi"/>
                    </w:rPr>
                    <w:t>Forslaget indebærer statslige mindreudgifter på 9,7 mio. kr. i 2019, 9,5 mio. kr. i 2020, 9,3 mio. kr. i 2021 og 9,3 mio. kr. i 2022 og frem</w:t>
                  </w:r>
                  <w:r w:rsidR="00134B98">
                    <w:rPr>
                      <w:rFonts w:asciiTheme="minorHAnsi" w:hAnsiTheme="minorHAnsi"/>
                    </w:rPr>
                    <w:t xml:space="preserve"> (2019-pl.)</w:t>
                  </w:r>
                </w:p>
                <w:p w14:paraId="30F495A6" w14:textId="77777777" w:rsidR="00F6260B" w:rsidRPr="00F6260B" w:rsidRDefault="00F6260B" w:rsidP="00F6260B">
                  <w:pPr>
                    <w:pStyle w:val="tekst2"/>
                    <w:spacing w:line="276" w:lineRule="auto"/>
                    <w:ind w:firstLine="0"/>
                    <w:rPr>
                      <w:rFonts w:ascii="Garamond" w:hAnsi="Garamond"/>
                      <w:lang w:eastAsia="en-US"/>
                    </w:rPr>
                  </w:pPr>
                </w:p>
              </w:tc>
              <w:tc>
                <w:tcPr>
                  <w:tcW w:w="2775" w:type="dxa"/>
                  <w:tcBorders>
                    <w:top w:val="single" w:sz="4" w:space="0" w:color="000000"/>
                    <w:left w:val="single" w:sz="4" w:space="0" w:color="000000"/>
                    <w:bottom w:val="single" w:sz="4" w:space="0" w:color="000000"/>
                    <w:right w:val="single" w:sz="4" w:space="0" w:color="000000"/>
                  </w:tcBorders>
                  <w:tcMar>
                    <w:top w:w="0" w:type="dxa"/>
                    <w:left w:w="141" w:type="dxa"/>
                    <w:bottom w:w="0" w:type="dxa"/>
                    <w:right w:w="141" w:type="dxa"/>
                  </w:tcMar>
                  <w:vAlign w:val="center"/>
                </w:tcPr>
                <w:p w14:paraId="30F495A7" w14:textId="77777777" w:rsidR="002E25C1" w:rsidRPr="00673D2F" w:rsidRDefault="00DB18F6" w:rsidP="00DB18F6">
                  <w:pPr>
                    <w:pStyle w:val="tekst2"/>
                    <w:spacing w:line="276" w:lineRule="auto"/>
                    <w:ind w:firstLine="0"/>
                    <w:rPr>
                      <w:rFonts w:ascii="Garamond" w:hAnsi="Garamond"/>
                      <w:lang w:eastAsia="en-US"/>
                    </w:rPr>
                  </w:pPr>
                  <w:r>
                    <w:rPr>
                      <w:rFonts w:ascii="Garamond" w:hAnsi="Garamond"/>
                      <w:lang w:eastAsia="en-US"/>
                    </w:rPr>
                    <w:t>Ingen</w:t>
                  </w:r>
                </w:p>
              </w:tc>
            </w:tr>
            <w:tr w:rsidR="002E25C1" w:rsidRPr="0070004E" w14:paraId="30F495AC" w14:textId="77777777" w:rsidTr="006F3512">
              <w:trPr>
                <w:tblCellSpacing w:w="0" w:type="dxa"/>
              </w:trPr>
              <w:tc>
                <w:tcPr>
                  <w:tcW w:w="2397"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30F495A9" w14:textId="77777777" w:rsidR="002E25C1" w:rsidRPr="00673D2F" w:rsidRDefault="002E25C1" w:rsidP="006F3512">
                  <w:pPr>
                    <w:pStyle w:val="tekst2"/>
                    <w:spacing w:line="276" w:lineRule="auto"/>
                    <w:ind w:firstLine="0"/>
                    <w:jc w:val="left"/>
                    <w:rPr>
                      <w:rFonts w:ascii="Garamond" w:hAnsi="Garamond"/>
                      <w:lang w:eastAsia="en-US"/>
                    </w:rPr>
                  </w:pPr>
                  <w:r w:rsidRPr="00673D2F">
                    <w:rPr>
                      <w:rFonts w:ascii="Garamond" w:hAnsi="Garamond"/>
                      <w:lang w:eastAsia="en-US"/>
                    </w:rPr>
                    <w:t>Administrative kons</w:t>
                  </w:r>
                  <w:r w:rsidRPr="00673D2F">
                    <w:rPr>
                      <w:rFonts w:ascii="Garamond" w:hAnsi="Garamond"/>
                      <w:lang w:eastAsia="en-US"/>
                    </w:rPr>
                    <w:t>e</w:t>
                  </w:r>
                  <w:r w:rsidRPr="00673D2F">
                    <w:rPr>
                      <w:rFonts w:ascii="Garamond" w:hAnsi="Garamond"/>
                      <w:lang w:eastAsia="en-US"/>
                    </w:rPr>
                    <w:t>kvenser for stat, kommuner og regi</w:t>
                  </w:r>
                  <w:r w:rsidRPr="00673D2F">
                    <w:rPr>
                      <w:rFonts w:ascii="Garamond" w:hAnsi="Garamond"/>
                      <w:lang w:eastAsia="en-US"/>
                    </w:rPr>
                    <w:t>o</w:t>
                  </w:r>
                  <w:r w:rsidRPr="00673D2F">
                    <w:rPr>
                      <w:rFonts w:ascii="Garamond" w:hAnsi="Garamond"/>
                      <w:lang w:eastAsia="en-US"/>
                    </w:rPr>
                    <w:t>ner</w:t>
                  </w:r>
                </w:p>
              </w:tc>
              <w:tc>
                <w:tcPr>
                  <w:tcW w:w="3062"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30F495AA" w14:textId="77777777" w:rsidR="002E25C1" w:rsidRPr="00673D2F" w:rsidRDefault="002E25C1" w:rsidP="006F3512">
                  <w:pPr>
                    <w:pStyle w:val="tekst2"/>
                    <w:spacing w:line="276" w:lineRule="auto"/>
                    <w:rPr>
                      <w:rFonts w:ascii="Garamond" w:hAnsi="Garamond"/>
                      <w:lang w:eastAsia="en-US"/>
                    </w:rPr>
                  </w:pPr>
                  <w:r w:rsidRPr="00673D2F">
                    <w:rPr>
                      <w:rFonts w:ascii="Garamond" w:hAnsi="Garamond"/>
                      <w:lang w:eastAsia="en-US"/>
                    </w:rPr>
                    <w:t>Ingen</w:t>
                  </w:r>
                </w:p>
              </w:tc>
              <w:tc>
                <w:tcPr>
                  <w:tcW w:w="2775" w:type="dxa"/>
                  <w:tcBorders>
                    <w:top w:val="nil"/>
                    <w:left w:val="single" w:sz="4" w:space="0" w:color="000000"/>
                    <w:bottom w:val="single" w:sz="4" w:space="0" w:color="000000"/>
                    <w:right w:val="single" w:sz="4" w:space="0" w:color="000000"/>
                  </w:tcBorders>
                  <w:tcMar>
                    <w:top w:w="0" w:type="dxa"/>
                    <w:left w:w="141" w:type="dxa"/>
                    <w:bottom w:w="0" w:type="dxa"/>
                    <w:right w:w="141" w:type="dxa"/>
                  </w:tcMar>
                  <w:vAlign w:val="center"/>
                  <w:hideMark/>
                </w:tcPr>
                <w:p w14:paraId="30F495AB" w14:textId="77777777" w:rsidR="002E25C1" w:rsidRPr="00673D2F" w:rsidRDefault="002E25C1" w:rsidP="006F3512">
                  <w:pPr>
                    <w:pStyle w:val="tekst2"/>
                    <w:spacing w:line="276" w:lineRule="auto"/>
                    <w:rPr>
                      <w:rFonts w:ascii="Garamond" w:hAnsi="Garamond"/>
                      <w:lang w:eastAsia="en-US"/>
                    </w:rPr>
                  </w:pPr>
                  <w:r w:rsidRPr="00673D2F">
                    <w:rPr>
                      <w:rFonts w:ascii="Garamond" w:hAnsi="Garamond"/>
                      <w:lang w:eastAsia="en-US"/>
                    </w:rPr>
                    <w:t>Ingen</w:t>
                  </w:r>
                </w:p>
              </w:tc>
            </w:tr>
            <w:tr w:rsidR="002E25C1" w:rsidRPr="0070004E" w14:paraId="30F495B0" w14:textId="77777777" w:rsidTr="006F3512">
              <w:trPr>
                <w:tblCellSpacing w:w="0" w:type="dxa"/>
              </w:trPr>
              <w:tc>
                <w:tcPr>
                  <w:tcW w:w="2397"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30F495AD" w14:textId="77777777" w:rsidR="002E25C1" w:rsidRPr="00673D2F" w:rsidRDefault="002E25C1" w:rsidP="006F3512">
                  <w:pPr>
                    <w:pStyle w:val="tekst2"/>
                    <w:spacing w:line="276" w:lineRule="auto"/>
                    <w:ind w:firstLine="0"/>
                    <w:jc w:val="left"/>
                    <w:rPr>
                      <w:rFonts w:ascii="Garamond" w:hAnsi="Garamond"/>
                      <w:lang w:eastAsia="en-US"/>
                    </w:rPr>
                  </w:pPr>
                  <w:r w:rsidRPr="00673D2F">
                    <w:rPr>
                      <w:rFonts w:ascii="Garamond" w:hAnsi="Garamond"/>
                      <w:lang w:eastAsia="en-US"/>
                    </w:rPr>
                    <w:t>Økonomiske kons</w:t>
                  </w:r>
                  <w:r w:rsidRPr="00673D2F">
                    <w:rPr>
                      <w:rFonts w:ascii="Garamond" w:hAnsi="Garamond"/>
                      <w:lang w:eastAsia="en-US"/>
                    </w:rPr>
                    <w:t>e</w:t>
                  </w:r>
                  <w:r w:rsidRPr="00673D2F">
                    <w:rPr>
                      <w:rFonts w:ascii="Garamond" w:hAnsi="Garamond"/>
                      <w:lang w:eastAsia="en-US"/>
                    </w:rPr>
                    <w:t>kvenser for erhverv</w:t>
                  </w:r>
                  <w:r w:rsidRPr="00673D2F">
                    <w:rPr>
                      <w:rFonts w:ascii="Garamond" w:hAnsi="Garamond"/>
                      <w:lang w:eastAsia="en-US"/>
                    </w:rPr>
                    <w:t>s</w:t>
                  </w:r>
                  <w:r w:rsidRPr="00673D2F">
                    <w:rPr>
                      <w:rFonts w:ascii="Garamond" w:hAnsi="Garamond"/>
                      <w:lang w:eastAsia="en-US"/>
                    </w:rPr>
                    <w:t>livet</w:t>
                  </w:r>
                </w:p>
              </w:tc>
              <w:tc>
                <w:tcPr>
                  <w:tcW w:w="3062"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30F495AE" w14:textId="77777777" w:rsidR="002E25C1" w:rsidRPr="00673D2F" w:rsidRDefault="002E25C1" w:rsidP="006F3512">
                  <w:pPr>
                    <w:pStyle w:val="tekst2"/>
                    <w:spacing w:line="276" w:lineRule="auto"/>
                    <w:jc w:val="left"/>
                    <w:rPr>
                      <w:rFonts w:ascii="Garamond" w:hAnsi="Garamond"/>
                      <w:lang w:eastAsia="en-US"/>
                    </w:rPr>
                  </w:pPr>
                  <w:r w:rsidRPr="00673D2F">
                    <w:rPr>
                      <w:rFonts w:ascii="Garamond" w:hAnsi="Garamond"/>
                      <w:lang w:eastAsia="en-US"/>
                    </w:rPr>
                    <w:t>Ingen</w:t>
                  </w:r>
                </w:p>
              </w:tc>
              <w:tc>
                <w:tcPr>
                  <w:tcW w:w="2775" w:type="dxa"/>
                  <w:tcBorders>
                    <w:top w:val="nil"/>
                    <w:left w:val="single" w:sz="4" w:space="0" w:color="000000"/>
                    <w:bottom w:val="single" w:sz="4" w:space="0" w:color="000000"/>
                    <w:right w:val="single" w:sz="4" w:space="0" w:color="000000"/>
                  </w:tcBorders>
                  <w:tcMar>
                    <w:top w:w="0" w:type="dxa"/>
                    <w:left w:w="141" w:type="dxa"/>
                    <w:bottom w:w="0" w:type="dxa"/>
                    <w:right w:w="141" w:type="dxa"/>
                  </w:tcMar>
                  <w:vAlign w:val="center"/>
                  <w:hideMark/>
                </w:tcPr>
                <w:p w14:paraId="30F495AF" w14:textId="77777777" w:rsidR="002E25C1" w:rsidRPr="00673D2F" w:rsidRDefault="002E25C1" w:rsidP="006F3512">
                  <w:pPr>
                    <w:pStyle w:val="Opstilling-punkttegn"/>
                    <w:numPr>
                      <w:ilvl w:val="0"/>
                      <w:numId w:val="0"/>
                    </w:numPr>
                    <w:ind w:firstLine="197"/>
                    <w:rPr>
                      <w:szCs w:val="24"/>
                    </w:rPr>
                  </w:pPr>
                  <w:r w:rsidRPr="00673D2F">
                    <w:rPr>
                      <w:szCs w:val="24"/>
                    </w:rPr>
                    <w:t>Ingen</w:t>
                  </w:r>
                </w:p>
              </w:tc>
            </w:tr>
            <w:tr w:rsidR="002E25C1" w:rsidRPr="0070004E" w14:paraId="30F495B4" w14:textId="77777777" w:rsidTr="006F3512">
              <w:trPr>
                <w:tblCellSpacing w:w="0" w:type="dxa"/>
              </w:trPr>
              <w:tc>
                <w:tcPr>
                  <w:tcW w:w="2397"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30F495B1" w14:textId="77777777" w:rsidR="002E25C1" w:rsidRPr="00673D2F" w:rsidRDefault="002E25C1" w:rsidP="006F3512">
                  <w:pPr>
                    <w:pStyle w:val="tekst2"/>
                    <w:spacing w:line="276" w:lineRule="auto"/>
                    <w:ind w:firstLine="0"/>
                    <w:jc w:val="left"/>
                    <w:rPr>
                      <w:rFonts w:ascii="Garamond" w:hAnsi="Garamond"/>
                      <w:lang w:eastAsia="en-US"/>
                    </w:rPr>
                  </w:pPr>
                  <w:r w:rsidRPr="00673D2F">
                    <w:rPr>
                      <w:rFonts w:ascii="Garamond" w:hAnsi="Garamond"/>
                      <w:lang w:eastAsia="en-US"/>
                    </w:rPr>
                    <w:t>Administrative kons</w:t>
                  </w:r>
                  <w:r w:rsidRPr="00673D2F">
                    <w:rPr>
                      <w:rFonts w:ascii="Garamond" w:hAnsi="Garamond"/>
                      <w:lang w:eastAsia="en-US"/>
                    </w:rPr>
                    <w:t>e</w:t>
                  </w:r>
                  <w:r w:rsidRPr="00673D2F">
                    <w:rPr>
                      <w:rFonts w:ascii="Garamond" w:hAnsi="Garamond"/>
                      <w:lang w:eastAsia="en-US"/>
                    </w:rPr>
                    <w:t>kvenser for erhverv</w:t>
                  </w:r>
                  <w:r w:rsidRPr="00673D2F">
                    <w:rPr>
                      <w:rFonts w:ascii="Garamond" w:hAnsi="Garamond"/>
                      <w:lang w:eastAsia="en-US"/>
                    </w:rPr>
                    <w:t>s</w:t>
                  </w:r>
                  <w:r w:rsidRPr="00673D2F">
                    <w:rPr>
                      <w:rFonts w:ascii="Garamond" w:hAnsi="Garamond"/>
                      <w:lang w:eastAsia="en-US"/>
                    </w:rPr>
                    <w:t>livet</w:t>
                  </w:r>
                </w:p>
              </w:tc>
              <w:tc>
                <w:tcPr>
                  <w:tcW w:w="3062"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30F495B2" w14:textId="77777777" w:rsidR="002E25C1" w:rsidRPr="00673D2F" w:rsidRDefault="002E25C1" w:rsidP="006F3512">
                  <w:pPr>
                    <w:pStyle w:val="tekst2"/>
                    <w:spacing w:line="276" w:lineRule="auto"/>
                    <w:jc w:val="left"/>
                    <w:rPr>
                      <w:rFonts w:ascii="Garamond" w:hAnsi="Garamond"/>
                      <w:lang w:eastAsia="en-US"/>
                    </w:rPr>
                  </w:pPr>
                  <w:r w:rsidRPr="00673D2F">
                    <w:rPr>
                      <w:rFonts w:ascii="Garamond" w:hAnsi="Garamond"/>
                      <w:lang w:eastAsia="en-US"/>
                    </w:rPr>
                    <w:t>Ingen</w:t>
                  </w:r>
                </w:p>
              </w:tc>
              <w:tc>
                <w:tcPr>
                  <w:tcW w:w="2775" w:type="dxa"/>
                  <w:tcBorders>
                    <w:top w:val="nil"/>
                    <w:left w:val="single" w:sz="4" w:space="0" w:color="000000"/>
                    <w:bottom w:val="single" w:sz="4" w:space="0" w:color="000000"/>
                    <w:right w:val="single" w:sz="4" w:space="0" w:color="000000"/>
                  </w:tcBorders>
                  <w:tcMar>
                    <w:top w:w="0" w:type="dxa"/>
                    <w:left w:w="141" w:type="dxa"/>
                    <w:bottom w:w="0" w:type="dxa"/>
                    <w:right w:w="141" w:type="dxa"/>
                  </w:tcMar>
                  <w:vAlign w:val="center"/>
                  <w:hideMark/>
                </w:tcPr>
                <w:p w14:paraId="30F495B3" w14:textId="77777777" w:rsidR="002E25C1" w:rsidRPr="00673D2F" w:rsidRDefault="002E25C1" w:rsidP="006F3512">
                  <w:pPr>
                    <w:pStyle w:val="tekst2"/>
                    <w:spacing w:line="276" w:lineRule="auto"/>
                    <w:jc w:val="left"/>
                    <w:rPr>
                      <w:rFonts w:ascii="Garamond" w:hAnsi="Garamond"/>
                      <w:lang w:eastAsia="en-US"/>
                    </w:rPr>
                  </w:pPr>
                  <w:r w:rsidRPr="00673D2F">
                    <w:rPr>
                      <w:rFonts w:ascii="Garamond" w:hAnsi="Garamond"/>
                      <w:lang w:eastAsia="en-US"/>
                    </w:rPr>
                    <w:t>Ingen</w:t>
                  </w:r>
                </w:p>
              </w:tc>
            </w:tr>
            <w:tr w:rsidR="002E25C1" w:rsidRPr="0070004E" w14:paraId="30F495B8" w14:textId="77777777" w:rsidTr="006F3512">
              <w:trPr>
                <w:tblCellSpacing w:w="0" w:type="dxa"/>
              </w:trPr>
              <w:tc>
                <w:tcPr>
                  <w:tcW w:w="2397"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30F495B5" w14:textId="77777777" w:rsidR="002E25C1" w:rsidRPr="00673D2F" w:rsidRDefault="002E25C1" w:rsidP="006F3512">
                  <w:pPr>
                    <w:pStyle w:val="tekst2"/>
                    <w:spacing w:line="276" w:lineRule="auto"/>
                    <w:ind w:firstLine="0"/>
                    <w:jc w:val="left"/>
                    <w:rPr>
                      <w:rFonts w:ascii="Garamond" w:hAnsi="Garamond"/>
                      <w:lang w:eastAsia="en-US"/>
                    </w:rPr>
                  </w:pPr>
                  <w:r w:rsidRPr="00673D2F">
                    <w:rPr>
                      <w:rFonts w:ascii="Garamond" w:hAnsi="Garamond"/>
                      <w:lang w:eastAsia="en-US"/>
                    </w:rPr>
                    <w:t>Administrative kons</w:t>
                  </w:r>
                  <w:r w:rsidRPr="00673D2F">
                    <w:rPr>
                      <w:rFonts w:ascii="Garamond" w:hAnsi="Garamond"/>
                      <w:lang w:eastAsia="en-US"/>
                    </w:rPr>
                    <w:t>e</w:t>
                  </w:r>
                  <w:r w:rsidRPr="00673D2F">
                    <w:rPr>
                      <w:rFonts w:ascii="Garamond" w:hAnsi="Garamond"/>
                      <w:lang w:eastAsia="en-US"/>
                    </w:rPr>
                    <w:t>kvenser for borgerne</w:t>
                  </w:r>
                </w:p>
              </w:tc>
              <w:tc>
                <w:tcPr>
                  <w:tcW w:w="3062"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30F495B6" w14:textId="77777777" w:rsidR="002E25C1" w:rsidRPr="00673D2F" w:rsidRDefault="002E25C1" w:rsidP="006F3512">
                  <w:pPr>
                    <w:pStyle w:val="tekst2"/>
                    <w:spacing w:line="276" w:lineRule="auto"/>
                    <w:jc w:val="left"/>
                    <w:rPr>
                      <w:rFonts w:ascii="Garamond" w:hAnsi="Garamond"/>
                      <w:lang w:eastAsia="en-US"/>
                    </w:rPr>
                  </w:pPr>
                  <w:r w:rsidRPr="00673D2F">
                    <w:rPr>
                      <w:rFonts w:ascii="Garamond" w:hAnsi="Garamond"/>
                      <w:lang w:eastAsia="en-US"/>
                    </w:rPr>
                    <w:t>Ingen</w:t>
                  </w:r>
                </w:p>
              </w:tc>
              <w:tc>
                <w:tcPr>
                  <w:tcW w:w="2775" w:type="dxa"/>
                  <w:tcBorders>
                    <w:top w:val="nil"/>
                    <w:left w:val="single" w:sz="4" w:space="0" w:color="000000"/>
                    <w:bottom w:val="single" w:sz="4" w:space="0" w:color="000000"/>
                    <w:right w:val="single" w:sz="4" w:space="0" w:color="000000"/>
                  </w:tcBorders>
                  <w:tcMar>
                    <w:top w:w="0" w:type="dxa"/>
                    <w:left w:w="141" w:type="dxa"/>
                    <w:bottom w:w="0" w:type="dxa"/>
                    <w:right w:w="141" w:type="dxa"/>
                  </w:tcMar>
                  <w:vAlign w:val="center"/>
                  <w:hideMark/>
                </w:tcPr>
                <w:p w14:paraId="30F495B7" w14:textId="77777777" w:rsidR="002E25C1" w:rsidRPr="00673D2F" w:rsidRDefault="002E25C1" w:rsidP="006F3512">
                  <w:pPr>
                    <w:pStyle w:val="tekst2"/>
                    <w:spacing w:line="276" w:lineRule="auto"/>
                    <w:jc w:val="left"/>
                    <w:rPr>
                      <w:rFonts w:ascii="Garamond" w:hAnsi="Garamond"/>
                      <w:lang w:eastAsia="en-US"/>
                    </w:rPr>
                  </w:pPr>
                  <w:r w:rsidRPr="00673D2F">
                    <w:rPr>
                      <w:rFonts w:ascii="Garamond" w:hAnsi="Garamond"/>
                      <w:lang w:eastAsia="en-US"/>
                    </w:rPr>
                    <w:t>Ingen</w:t>
                  </w:r>
                </w:p>
              </w:tc>
            </w:tr>
            <w:tr w:rsidR="002E25C1" w:rsidRPr="0070004E" w14:paraId="30F495BC" w14:textId="77777777" w:rsidTr="006F3512">
              <w:trPr>
                <w:tblCellSpacing w:w="0" w:type="dxa"/>
              </w:trPr>
              <w:tc>
                <w:tcPr>
                  <w:tcW w:w="2397"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30F495B9" w14:textId="77777777" w:rsidR="002E25C1" w:rsidRPr="00673D2F" w:rsidRDefault="002E25C1" w:rsidP="006F3512">
                  <w:pPr>
                    <w:pStyle w:val="tekst2"/>
                    <w:spacing w:line="276" w:lineRule="auto"/>
                    <w:ind w:firstLine="0"/>
                    <w:jc w:val="left"/>
                    <w:rPr>
                      <w:rFonts w:ascii="Garamond" w:hAnsi="Garamond"/>
                      <w:lang w:eastAsia="en-US"/>
                    </w:rPr>
                  </w:pPr>
                  <w:r w:rsidRPr="00673D2F">
                    <w:rPr>
                      <w:rFonts w:ascii="Garamond" w:hAnsi="Garamond"/>
                      <w:lang w:eastAsia="en-US"/>
                    </w:rPr>
                    <w:t>Miljømæssige kons</w:t>
                  </w:r>
                  <w:r w:rsidRPr="00673D2F">
                    <w:rPr>
                      <w:rFonts w:ascii="Garamond" w:hAnsi="Garamond"/>
                      <w:lang w:eastAsia="en-US"/>
                    </w:rPr>
                    <w:t>e</w:t>
                  </w:r>
                  <w:r w:rsidRPr="00673D2F">
                    <w:rPr>
                      <w:rFonts w:ascii="Garamond" w:hAnsi="Garamond"/>
                      <w:lang w:eastAsia="en-US"/>
                    </w:rPr>
                    <w:t>kvenser</w:t>
                  </w:r>
                </w:p>
              </w:tc>
              <w:tc>
                <w:tcPr>
                  <w:tcW w:w="3062"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30F495BA" w14:textId="77777777" w:rsidR="002E25C1" w:rsidRPr="00673D2F" w:rsidRDefault="002E25C1" w:rsidP="006F3512">
                  <w:pPr>
                    <w:pStyle w:val="tekst2"/>
                    <w:spacing w:line="276" w:lineRule="auto"/>
                    <w:jc w:val="left"/>
                    <w:rPr>
                      <w:rFonts w:ascii="Garamond" w:hAnsi="Garamond"/>
                      <w:lang w:eastAsia="en-US"/>
                    </w:rPr>
                  </w:pPr>
                  <w:r w:rsidRPr="00673D2F">
                    <w:rPr>
                      <w:rFonts w:ascii="Garamond" w:hAnsi="Garamond"/>
                      <w:lang w:eastAsia="en-US"/>
                    </w:rPr>
                    <w:t>Ingen</w:t>
                  </w:r>
                </w:p>
              </w:tc>
              <w:tc>
                <w:tcPr>
                  <w:tcW w:w="2775" w:type="dxa"/>
                  <w:tcBorders>
                    <w:top w:val="nil"/>
                    <w:left w:val="single" w:sz="4" w:space="0" w:color="000000"/>
                    <w:bottom w:val="single" w:sz="4" w:space="0" w:color="000000"/>
                    <w:right w:val="single" w:sz="4" w:space="0" w:color="000000"/>
                  </w:tcBorders>
                  <w:tcMar>
                    <w:top w:w="0" w:type="dxa"/>
                    <w:left w:w="141" w:type="dxa"/>
                    <w:bottom w:w="0" w:type="dxa"/>
                    <w:right w:w="141" w:type="dxa"/>
                  </w:tcMar>
                  <w:vAlign w:val="center"/>
                  <w:hideMark/>
                </w:tcPr>
                <w:p w14:paraId="30F495BB" w14:textId="77777777" w:rsidR="002E25C1" w:rsidRPr="00673D2F" w:rsidRDefault="002E25C1" w:rsidP="006F3512">
                  <w:pPr>
                    <w:pStyle w:val="tekst2"/>
                    <w:spacing w:line="276" w:lineRule="auto"/>
                    <w:jc w:val="left"/>
                    <w:rPr>
                      <w:rFonts w:ascii="Garamond" w:hAnsi="Garamond"/>
                      <w:lang w:eastAsia="en-US"/>
                    </w:rPr>
                  </w:pPr>
                  <w:r w:rsidRPr="00673D2F">
                    <w:rPr>
                      <w:rFonts w:ascii="Garamond" w:hAnsi="Garamond"/>
                      <w:lang w:eastAsia="en-US"/>
                    </w:rPr>
                    <w:t>Ingen</w:t>
                  </w:r>
                </w:p>
              </w:tc>
            </w:tr>
            <w:tr w:rsidR="002E25C1" w:rsidRPr="0070004E" w14:paraId="30F495BF" w14:textId="77777777" w:rsidTr="006F3512">
              <w:trPr>
                <w:tblCellSpacing w:w="0" w:type="dxa"/>
              </w:trPr>
              <w:tc>
                <w:tcPr>
                  <w:tcW w:w="2397" w:type="dxa"/>
                  <w:tcBorders>
                    <w:top w:val="nil"/>
                    <w:left w:val="single" w:sz="4" w:space="0" w:color="000000"/>
                    <w:bottom w:val="nil"/>
                    <w:right w:val="nil"/>
                  </w:tcBorders>
                  <w:tcMar>
                    <w:top w:w="0" w:type="dxa"/>
                    <w:left w:w="141" w:type="dxa"/>
                    <w:bottom w:w="0" w:type="dxa"/>
                    <w:right w:w="141" w:type="dxa"/>
                  </w:tcMar>
                  <w:vAlign w:val="center"/>
                  <w:hideMark/>
                </w:tcPr>
                <w:p w14:paraId="30F495BD" w14:textId="77777777" w:rsidR="002E25C1" w:rsidRPr="00673D2F" w:rsidRDefault="002E25C1" w:rsidP="006F3512">
                  <w:pPr>
                    <w:pStyle w:val="tekst2"/>
                    <w:spacing w:line="276" w:lineRule="auto"/>
                    <w:ind w:firstLine="0"/>
                    <w:jc w:val="left"/>
                    <w:rPr>
                      <w:rFonts w:ascii="Garamond" w:hAnsi="Garamond"/>
                      <w:lang w:eastAsia="en-US"/>
                    </w:rPr>
                  </w:pPr>
                  <w:r w:rsidRPr="00673D2F">
                    <w:rPr>
                      <w:rFonts w:ascii="Garamond" w:hAnsi="Garamond"/>
                      <w:lang w:eastAsia="en-US"/>
                    </w:rPr>
                    <w:t>Forhold til EU-retten</w:t>
                  </w:r>
                </w:p>
              </w:tc>
              <w:tc>
                <w:tcPr>
                  <w:tcW w:w="5837" w:type="dxa"/>
                  <w:gridSpan w:val="2"/>
                  <w:tcBorders>
                    <w:top w:val="nil"/>
                    <w:left w:val="single" w:sz="4" w:space="0" w:color="000000"/>
                    <w:bottom w:val="nil"/>
                    <w:right w:val="single" w:sz="4" w:space="0" w:color="000000"/>
                  </w:tcBorders>
                  <w:tcMar>
                    <w:top w:w="0" w:type="dxa"/>
                    <w:left w:w="141" w:type="dxa"/>
                    <w:bottom w:w="0" w:type="dxa"/>
                    <w:right w:w="141" w:type="dxa"/>
                  </w:tcMar>
                  <w:vAlign w:val="center"/>
                  <w:hideMark/>
                </w:tcPr>
                <w:p w14:paraId="30F495BE" w14:textId="77777777" w:rsidR="002E25C1" w:rsidRPr="00673D2F" w:rsidRDefault="002E25C1" w:rsidP="006F3512">
                  <w:pPr>
                    <w:pStyle w:val="tekst2"/>
                    <w:spacing w:line="276" w:lineRule="auto"/>
                    <w:jc w:val="left"/>
                    <w:rPr>
                      <w:rFonts w:ascii="Garamond" w:hAnsi="Garamond"/>
                      <w:lang w:eastAsia="en-US"/>
                    </w:rPr>
                  </w:pPr>
                  <w:r w:rsidRPr="00673D2F">
                    <w:rPr>
                      <w:rFonts w:ascii="Garamond" w:hAnsi="Garamond"/>
                      <w:lang w:eastAsia="en-US"/>
                    </w:rPr>
                    <w:t>[Lovforslaget indeholder ikke EU-retlige aspekter]</w:t>
                  </w:r>
                </w:p>
              </w:tc>
            </w:tr>
            <w:tr w:rsidR="002E25C1" w:rsidRPr="0070004E" w14:paraId="30F495C3" w14:textId="77777777" w:rsidTr="006F3512">
              <w:trPr>
                <w:tblCellSpacing w:w="0" w:type="dxa"/>
              </w:trPr>
              <w:tc>
                <w:tcPr>
                  <w:tcW w:w="2397" w:type="dxa"/>
                  <w:tcBorders>
                    <w:top w:val="nil"/>
                    <w:left w:val="single" w:sz="4" w:space="0" w:color="000000"/>
                    <w:bottom w:val="single" w:sz="4" w:space="0" w:color="000000"/>
                    <w:right w:val="nil"/>
                  </w:tcBorders>
                  <w:tcMar>
                    <w:top w:w="0" w:type="dxa"/>
                    <w:left w:w="141" w:type="dxa"/>
                    <w:bottom w:w="0" w:type="dxa"/>
                    <w:right w:w="141" w:type="dxa"/>
                  </w:tcMar>
                  <w:vAlign w:val="center"/>
                </w:tcPr>
                <w:p w14:paraId="30F495C0" w14:textId="77777777" w:rsidR="002E25C1" w:rsidRPr="00673D2F" w:rsidRDefault="002E25C1" w:rsidP="006F3512">
                  <w:pPr>
                    <w:pStyle w:val="tekst2"/>
                    <w:spacing w:line="276" w:lineRule="auto"/>
                    <w:ind w:firstLine="0"/>
                    <w:jc w:val="left"/>
                    <w:rPr>
                      <w:rFonts w:ascii="Garamond" w:hAnsi="Garamond"/>
                      <w:lang w:eastAsia="en-US"/>
                    </w:rPr>
                  </w:pPr>
                  <w:r>
                    <w:rPr>
                      <w:rFonts w:ascii="Garamond" w:hAnsi="Garamond"/>
                      <w:lang w:eastAsia="en-US"/>
                    </w:rPr>
                    <w:t>Overimplementering af EU-retlige min</w:t>
                  </w:r>
                  <w:r>
                    <w:rPr>
                      <w:rFonts w:ascii="Garamond" w:hAnsi="Garamond"/>
                      <w:lang w:eastAsia="en-US"/>
                    </w:rPr>
                    <w:t>i</w:t>
                  </w:r>
                  <w:r>
                    <w:rPr>
                      <w:rFonts w:ascii="Garamond" w:hAnsi="Garamond"/>
                      <w:lang w:eastAsia="en-US"/>
                    </w:rPr>
                    <w:t>mumsforpligtelser</w:t>
                  </w:r>
                </w:p>
              </w:tc>
              <w:tc>
                <w:tcPr>
                  <w:tcW w:w="5837" w:type="dxa"/>
                  <w:gridSpan w:val="2"/>
                  <w:tcBorders>
                    <w:top w:val="nil"/>
                    <w:left w:val="single" w:sz="4" w:space="0" w:color="000000"/>
                    <w:bottom w:val="single" w:sz="4" w:space="0" w:color="000000"/>
                    <w:right w:val="single" w:sz="4" w:space="0" w:color="000000"/>
                  </w:tcBorders>
                  <w:tcMar>
                    <w:top w:w="0" w:type="dxa"/>
                    <w:left w:w="141" w:type="dxa"/>
                    <w:bottom w:w="0" w:type="dxa"/>
                    <w:right w:w="141" w:type="dxa"/>
                  </w:tcMar>
                  <w:vAlign w:val="center"/>
                </w:tcPr>
                <w:p w14:paraId="30F495C1" w14:textId="77777777" w:rsidR="002E25C1" w:rsidRDefault="002E25C1" w:rsidP="006F3512">
                  <w:pPr>
                    <w:pStyle w:val="tekst2"/>
                    <w:spacing w:line="276" w:lineRule="auto"/>
                    <w:jc w:val="left"/>
                    <w:rPr>
                      <w:rFonts w:ascii="Garamond" w:hAnsi="Garamond"/>
                      <w:lang w:eastAsia="en-US"/>
                    </w:rPr>
                  </w:pPr>
                  <w:r>
                    <w:rPr>
                      <w:rFonts w:ascii="Garamond" w:hAnsi="Garamond"/>
                      <w:lang w:eastAsia="en-US"/>
                    </w:rPr>
                    <w:t xml:space="preserve">               JA                                           NEJ</w:t>
                  </w:r>
                </w:p>
                <w:p w14:paraId="30F495C2" w14:textId="77777777" w:rsidR="002E25C1" w:rsidRPr="00673D2F" w:rsidRDefault="002E25C1" w:rsidP="006F3512">
                  <w:pPr>
                    <w:pStyle w:val="tekst2"/>
                    <w:spacing w:line="276" w:lineRule="auto"/>
                    <w:jc w:val="left"/>
                    <w:rPr>
                      <w:rFonts w:ascii="Garamond" w:hAnsi="Garamond"/>
                      <w:lang w:eastAsia="en-US"/>
                    </w:rPr>
                  </w:pPr>
                  <w:r>
                    <w:rPr>
                      <w:rFonts w:ascii="Garamond" w:hAnsi="Garamond"/>
                      <w:lang w:eastAsia="en-US"/>
                    </w:rPr>
                    <w:t xml:space="preserve">                                                                 X</w:t>
                  </w:r>
                </w:p>
              </w:tc>
            </w:tr>
          </w:tbl>
          <w:p w14:paraId="30F495C4" w14:textId="77777777" w:rsidR="002E25C1" w:rsidRPr="00673D2F" w:rsidRDefault="002E25C1" w:rsidP="006F3512">
            <w:pPr>
              <w:rPr>
                <w:rFonts w:cs="Times New Roman"/>
              </w:rPr>
            </w:pPr>
          </w:p>
        </w:tc>
      </w:tr>
    </w:tbl>
    <w:p w14:paraId="30F495C6" w14:textId="77777777" w:rsidR="00704EA1" w:rsidRDefault="002E25C1" w:rsidP="00B719E3">
      <w:r>
        <w:br w:type="textWrapping" w:clear="all"/>
      </w:r>
    </w:p>
    <w:p w14:paraId="30F495C7" w14:textId="77777777" w:rsidR="00704EA1" w:rsidRDefault="003B0556" w:rsidP="003B0556">
      <w:pPr>
        <w:jc w:val="center"/>
        <w:rPr>
          <w:i/>
        </w:rPr>
      </w:pPr>
      <w:r w:rsidRPr="003B0556">
        <w:rPr>
          <w:i/>
        </w:rPr>
        <w:t>Bemærkninger til lovforslagets enkelte bestemmelser</w:t>
      </w:r>
    </w:p>
    <w:p w14:paraId="30F495C8" w14:textId="77777777" w:rsidR="006747F5" w:rsidRDefault="006747F5" w:rsidP="003B0556">
      <w:pPr>
        <w:jc w:val="center"/>
        <w:rPr>
          <w:i/>
        </w:rPr>
      </w:pPr>
    </w:p>
    <w:p w14:paraId="30F495C9" w14:textId="77777777" w:rsidR="003B0556" w:rsidRDefault="006747F5" w:rsidP="003B0556">
      <w:pPr>
        <w:jc w:val="center"/>
        <w:rPr>
          <w:i/>
        </w:rPr>
      </w:pPr>
      <w:r>
        <w:rPr>
          <w:i/>
        </w:rPr>
        <w:t>Til § 1</w:t>
      </w:r>
    </w:p>
    <w:p w14:paraId="30F495CA" w14:textId="77777777" w:rsidR="006747F5" w:rsidRDefault="006747F5" w:rsidP="003B0556">
      <w:pPr>
        <w:jc w:val="center"/>
        <w:rPr>
          <w:i/>
        </w:rPr>
      </w:pPr>
    </w:p>
    <w:p w14:paraId="30F495CB" w14:textId="77777777" w:rsidR="003B0556" w:rsidRDefault="003B0556" w:rsidP="003B0556">
      <w:r>
        <w:t>Til nr. 1</w:t>
      </w:r>
    </w:p>
    <w:p w14:paraId="30F495CC" w14:textId="77777777" w:rsidR="003B0556" w:rsidRDefault="00B22DF1" w:rsidP="003B0556">
      <w:r>
        <w:t>Staten yder til hver enkelt</w:t>
      </w:r>
      <w:r w:rsidR="003B0556">
        <w:t xml:space="preserve"> efterskole et årligt grundtilskud, der fastsættes på de årlige finanslove, jf. § 19 i lov om efterskoler og frie fagskoler, jf. lovbekendtgørelse nr. 94 af 8. februar 2018. Til </w:t>
      </w:r>
      <w:r w:rsidR="000B76FE">
        <w:t>efter</w:t>
      </w:r>
      <w:r w:rsidR="003B0556">
        <w:t xml:space="preserve">skoler, der begynder deres virksomhed i finansåret, ydes et forholdsmæssigt grundtilskud. </w:t>
      </w:r>
      <w:r w:rsidR="003B0556">
        <w:lastRenderedPageBreak/>
        <w:t xml:space="preserve">Grundtilskud nedsættes med en procentdel eller bortfalder for skoler med særligt store indtægter fra virksomhed, der ikke er omfattet af denne lov. Procentdel og grænsebeløb fastsættes på de årlige finanslove. </w:t>
      </w:r>
    </w:p>
    <w:p w14:paraId="30F495CD" w14:textId="77777777" w:rsidR="00B22DF1" w:rsidRDefault="00B22DF1" w:rsidP="003B0556"/>
    <w:p w14:paraId="30F495CE" w14:textId="77777777" w:rsidR="003B0556" w:rsidRDefault="003B0556" w:rsidP="003B0556">
      <w:r>
        <w:t>Der er i dag efterskoler af forskellig størrelse</w:t>
      </w:r>
      <w:r w:rsidR="00F46E97">
        <w:t xml:space="preserve"> og i mange dele af landet</w:t>
      </w:r>
      <w:r>
        <w:t>, hvor det er muligt</w:t>
      </w:r>
      <w:r w:rsidR="00E230CE">
        <w:t xml:space="preserve"> for eleverne</w:t>
      </w:r>
      <w:r>
        <w:t xml:space="preserve"> at finde såvel mindre efterskoler med få elever som større efterskoler med mange elever. Det er vigtigt for efterskoleformens fortsatte mangfoldighed</w:t>
      </w:r>
      <w:r w:rsidR="00E230CE">
        <w:t xml:space="preserve"> og lokale forankring</w:t>
      </w:r>
      <w:r>
        <w:t>, at der også fremover er efterskoler i forskellige størrelser og et bredt udbud af efterskoler</w:t>
      </w:r>
      <w:r w:rsidR="00F46E97">
        <w:t xml:space="preserve"> i alle del af landet</w:t>
      </w:r>
      <w:r>
        <w:t>.</w:t>
      </w:r>
    </w:p>
    <w:p w14:paraId="30F495CF" w14:textId="77777777" w:rsidR="003B0556" w:rsidRDefault="003B0556" w:rsidP="003B0556"/>
    <w:p w14:paraId="30F495D0" w14:textId="77777777" w:rsidR="00376C3E" w:rsidRDefault="00694A68" w:rsidP="003B0556">
      <w:r>
        <w:t>Det følger af det foreslåede § 20, at</w:t>
      </w:r>
      <w:r w:rsidR="003B0556">
        <w:t xml:space="preserve"> </w:t>
      </w:r>
      <w:r w:rsidR="00BF7529">
        <w:t xml:space="preserve">der </w:t>
      </w:r>
      <w:r w:rsidR="003B0556">
        <w:t xml:space="preserve">etableres hjemmel til et nyt </w:t>
      </w:r>
      <w:r w:rsidR="004A57A3">
        <w:t xml:space="preserve">geografisk </w:t>
      </w:r>
      <w:r w:rsidR="003B0556">
        <w:t>skoletilskud, der</w:t>
      </w:r>
      <w:r w:rsidR="00BF7529">
        <w:t xml:space="preserve"> fastsættes på de årlige finanslove</w:t>
      </w:r>
      <w:r w:rsidR="003B0556">
        <w:t>. Formålet med forslaget er at øge det økonomiske råderum for mindre efterskoler</w:t>
      </w:r>
      <w:r w:rsidR="00BF7529">
        <w:t xml:space="preserve"> og hermed styrke grundlaget for efterskoler af forskellig størrelse i hele landet</w:t>
      </w:r>
      <w:r w:rsidR="003B0556">
        <w:t>.</w:t>
      </w:r>
      <w:r w:rsidR="00276456">
        <w:t xml:space="preserve"> </w:t>
      </w:r>
    </w:p>
    <w:p w14:paraId="30F495D1" w14:textId="77777777" w:rsidR="00376C3E" w:rsidRDefault="00376C3E" w:rsidP="003B0556"/>
    <w:p w14:paraId="30F495D2" w14:textId="77777777" w:rsidR="00376C3E" w:rsidRDefault="00376C3E" w:rsidP="003B0556">
      <w:r>
        <w:t xml:space="preserve">Det foreslåede </w:t>
      </w:r>
      <w:r w:rsidRPr="00B57829">
        <w:rPr>
          <w:i/>
        </w:rPr>
        <w:t>§ 20,</w:t>
      </w:r>
      <w:r>
        <w:rPr>
          <w:i/>
        </w:rPr>
        <w:t xml:space="preserve"> stk. 1,</w:t>
      </w:r>
      <w:r w:rsidRPr="00B57829">
        <w:rPr>
          <w:i/>
        </w:rPr>
        <w:t xml:space="preserve"> 1. pkt.</w:t>
      </w:r>
      <w:r>
        <w:t xml:space="preserve"> vil indebære, at staten yder et nyt geografisk skoletilskud, der udbetales til hver enkelt efterskole.</w:t>
      </w:r>
    </w:p>
    <w:p w14:paraId="30F495D3" w14:textId="77777777" w:rsidR="00376C3E" w:rsidRDefault="00376C3E" w:rsidP="003B0556"/>
    <w:p w14:paraId="30F495D4" w14:textId="77777777" w:rsidR="003B0556" w:rsidRDefault="00376C3E" w:rsidP="003B0556">
      <w:r>
        <w:t>Med d</w:t>
      </w:r>
      <w:r w:rsidR="00276456">
        <w:t>et foreslå</w:t>
      </w:r>
      <w:r>
        <w:t xml:space="preserve">ede </w:t>
      </w:r>
      <w:r w:rsidRPr="00F27C31">
        <w:rPr>
          <w:i/>
        </w:rPr>
        <w:t xml:space="preserve">§ 20, stk. 1, 2. </w:t>
      </w:r>
      <w:r w:rsidR="00BF7529" w:rsidRPr="00F27C31">
        <w:rPr>
          <w:i/>
        </w:rPr>
        <w:t>pkt.</w:t>
      </w:r>
      <w:r w:rsidR="00DA3436">
        <w:t>,</w:t>
      </w:r>
      <w:r w:rsidR="00BF7529">
        <w:t xml:space="preserve"> vil</w:t>
      </w:r>
      <w:r>
        <w:t xml:space="preserve"> staten</w:t>
      </w:r>
      <w:r w:rsidR="00276456">
        <w:t xml:space="preserve"> til efterskoler, der begynder deres virksomhed i finansåret, yde et forholdsmæssigt geografisk skoletilskud.</w:t>
      </w:r>
    </w:p>
    <w:p w14:paraId="30F495D5" w14:textId="77777777" w:rsidR="003B0556" w:rsidRDefault="003B0556" w:rsidP="003B0556"/>
    <w:p w14:paraId="30F495D6" w14:textId="77777777" w:rsidR="003B0556" w:rsidRDefault="000B76FE" w:rsidP="003B0556">
      <w:r>
        <w:t>Den foreslåede bestemmels</w:t>
      </w:r>
      <w:r w:rsidR="009C2886">
        <w:t xml:space="preserve">e i § 20, stk. 2, </w:t>
      </w:r>
      <w:r w:rsidR="00376C3E">
        <w:t xml:space="preserve">vil </w:t>
      </w:r>
      <w:r w:rsidR="009C2886">
        <w:t>indebære, at en efterskole skal have mindst 40 år</w:t>
      </w:r>
      <w:r w:rsidR="009C2886">
        <w:t>s</w:t>
      </w:r>
      <w:r w:rsidR="009C2886">
        <w:t xml:space="preserve">elever, for at få det fulde beløb for geografisk skoletilskud. Forslaget har til formål at sikre, at forslaget om et geografisk skoletilskud ikke holder hånden under </w:t>
      </w:r>
      <w:r>
        <w:t>efter</w:t>
      </w:r>
      <w:r w:rsidR="009C2886">
        <w:t>skoleinitiativer, der pæd</w:t>
      </w:r>
      <w:r w:rsidR="009C2886">
        <w:t>a</w:t>
      </w:r>
      <w:r w:rsidR="009C2886">
        <w:t xml:space="preserve">gogisk og økonomisk ikke er bæredygtige. </w:t>
      </w:r>
    </w:p>
    <w:p w14:paraId="30F495D7" w14:textId="77777777" w:rsidR="003B0556" w:rsidRDefault="003B0556" w:rsidP="003B0556"/>
    <w:p w14:paraId="30F495D8" w14:textId="77777777" w:rsidR="003B0556" w:rsidRDefault="003B0556" w:rsidP="003B0556">
      <w:r>
        <w:t>Det foreslå</w:t>
      </w:r>
      <w:r w:rsidR="00376C3E">
        <w:t>ede</w:t>
      </w:r>
      <w:r>
        <w:t xml:space="preserve"> </w:t>
      </w:r>
      <w:r w:rsidRPr="003B0556">
        <w:rPr>
          <w:i/>
        </w:rPr>
        <w:t xml:space="preserve">§ 20, stk. </w:t>
      </w:r>
      <w:r w:rsidR="00BF7529">
        <w:rPr>
          <w:i/>
        </w:rPr>
        <w:t>2</w:t>
      </w:r>
      <w:r w:rsidRPr="003B0556">
        <w:rPr>
          <w:i/>
        </w:rPr>
        <w:t>,</w:t>
      </w:r>
      <w:r w:rsidR="00213190">
        <w:t xml:space="preserve"> </w:t>
      </w:r>
      <w:r w:rsidR="00376C3E">
        <w:t xml:space="preserve">vil indebære, </w:t>
      </w:r>
      <w:r w:rsidR="00213190">
        <w:t>at h</w:t>
      </w:r>
      <w:r>
        <w:t xml:space="preserve">vis en efterskole </w:t>
      </w:r>
      <w:r w:rsidR="005555BC">
        <w:t xml:space="preserve">ikke opfylder minimumskravet på 40 årslever, reduceres skolens geografiske skoletilskud med et beløb pr. årselev, som </w:t>
      </w:r>
      <w:r w:rsidR="000B76FE">
        <w:t>efter</w:t>
      </w:r>
      <w:r w:rsidR="005555BC">
        <w:t>skolen har mindre end 40 årselever. Beløbet, der fratrækkes pr. årselev under minimumsgrænsen</w:t>
      </w:r>
      <w:r w:rsidR="001F3AF6">
        <w:t>,</w:t>
      </w:r>
      <w:r w:rsidR="005555BC">
        <w:t xml:space="preserve"> fastsættes på finansloven.</w:t>
      </w:r>
    </w:p>
    <w:p w14:paraId="30F495D9" w14:textId="77777777" w:rsidR="003B0556" w:rsidRDefault="003B0556" w:rsidP="003B0556"/>
    <w:p w14:paraId="30F495DA" w14:textId="77777777" w:rsidR="00D264F3" w:rsidRDefault="00D264F3" w:rsidP="00D264F3">
      <w:r>
        <w:t xml:space="preserve">Med forslag til finanslov for 2019 modtager </w:t>
      </w:r>
      <w:r w:rsidR="003A32B4">
        <w:t xml:space="preserve">en </w:t>
      </w:r>
      <w:r>
        <w:t>efterskole 182.000 kr. i geografisk skoletilskud. Det foreslås</w:t>
      </w:r>
      <w:r w:rsidR="00276456">
        <w:t xml:space="preserve"> heri </w:t>
      </w:r>
      <w:r>
        <w:t>endvidere, at det geografiske skoletilskud til efterskoler med færre end 40 årsel</w:t>
      </w:r>
      <w:r>
        <w:t>e</w:t>
      </w:r>
      <w:r>
        <w:t>ver reduceres med 19.423 kr. pr. årselev under 40.</w:t>
      </w:r>
      <w:r w:rsidR="00276456">
        <w:t xml:space="preserve"> Dette indebærer,</w:t>
      </w:r>
      <w:r>
        <w:t xml:space="preserve"> at en </w:t>
      </w:r>
      <w:r w:rsidR="001A7F2D">
        <w:t>efter</w:t>
      </w:r>
      <w:r>
        <w:t>skole med 37 år</w:t>
      </w:r>
      <w:r>
        <w:t>s</w:t>
      </w:r>
      <w:r>
        <w:t>elever modtager 123.731 kr. i geografisk skoletilskud</w:t>
      </w:r>
      <w:r w:rsidR="00276456">
        <w:t>, og at</w:t>
      </w:r>
      <w:r>
        <w:t xml:space="preserve"> </w:t>
      </w:r>
      <w:r w:rsidR="00276456">
        <w:t>e</w:t>
      </w:r>
      <w:r w:rsidR="001A7F2D">
        <w:t xml:space="preserve">n efterskole med </w:t>
      </w:r>
      <w:r w:rsidR="000502DB">
        <w:t>3</w:t>
      </w:r>
      <w:r w:rsidR="007F4665">
        <w:t>0</w:t>
      </w:r>
      <w:r w:rsidR="000502DB">
        <w:t xml:space="preserve"> årselever eller derunder </w:t>
      </w:r>
      <w:r w:rsidR="00276456">
        <w:t xml:space="preserve">ikke </w:t>
      </w:r>
      <w:r w:rsidR="000502DB">
        <w:t xml:space="preserve">modtager geografisk skoletilskud. </w:t>
      </w:r>
    </w:p>
    <w:p w14:paraId="30F495DB" w14:textId="77777777" w:rsidR="00D264F3" w:rsidRDefault="00D264F3" w:rsidP="00D264F3"/>
    <w:p w14:paraId="30F495DC" w14:textId="77777777" w:rsidR="00376C3E" w:rsidRDefault="00376C3E" w:rsidP="00D264F3">
      <w:r>
        <w:t>Afgrænsningen af det geografiske skoletilskud fremgår af forslag til finanslov for 2019, hvor det i anmærkningerne til § 20.22.11.15 fremgår, at geografisk skoletilskud i kombination med grundti</w:t>
      </w:r>
      <w:r>
        <w:t>l</w:t>
      </w:r>
      <w:r>
        <w:t>skuddet ikke kan overstige 20.000 kr. pr. årselev. Endvidere fremgår det heraf, at geografisk sk</w:t>
      </w:r>
      <w:r>
        <w:t>o</w:t>
      </w:r>
      <w:r>
        <w:t>letilskud reduceres til skoler, hvor geografisk skoletilskud og grundtilskud overstiger 20.000 kr. pr. årselev. Dette vil blive korrigeret på ændringsforslag til finanslov for 2019 i overensstemmelse med ovenstående.</w:t>
      </w:r>
    </w:p>
    <w:p w14:paraId="30F495DD" w14:textId="77777777" w:rsidR="001A7F2D" w:rsidRDefault="001A7F2D" w:rsidP="00D264F3"/>
    <w:p w14:paraId="30F495DE" w14:textId="77777777" w:rsidR="00DA3436" w:rsidRDefault="001A7F2D" w:rsidP="001A7F2D">
      <w:r>
        <w:t xml:space="preserve">Forslaget </w:t>
      </w:r>
      <w:r w:rsidR="00C354E7">
        <w:t xml:space="preserve">vil ikke </w:t>
      </w:r>
      <w:r>
        <w:t>indebære, at en efterskoles grundtilskud, jf. lovens § 19, aftrappes eller bortfa</w:t>
      </w:r>
      <w:r>
        <w:t>l</w:t>
      </w:r>
      <w:r>
        <w:t>der som følge af, at efterskolen ikke opfylder minimumskravet på 40 årselever for det geografiske skoletilskud. Det er alene det geografiske skoletilskud, der aftrappes eller helt bortfalder.</w:t>
      </w:r>
    </w:p>
    <w:p w14:paraId="30F495DF" w14:textId="77777777" w:rsidR="00DA3436" w:rsidRDefault="00DA3436" w:rsidP="001A7F2D"/>
    <w:p w14:paraId="30F495E0" w14:textId="77777777" w:rsidR="00B05F6A" w:rsidRDefault="00DA3436" w:rsidP="001A7F2D">
      <w:r>
        <w:lastRenderedPageBreak/>
        <w:t xml:space="preserve">Opgørelsen af årselever ved beregningen af det geografiske skoletilskud sker </w:t>
      </w:r>
      <w:r w:rsidR="00B05F6A">
        <w:t>på samme måde som ved beregningen af, hvorvidt en efterskole opfylder mindstelevtalskravet i den gældende § 12, stk. 1, i lov om efterskoler og frie fagskoler, dvs. efter de gældende bestemmelser i §§ 13 og 14.</w:t>
      </w:r>
    </w:p>
    <w:p w14:paraId="30F495E1" w14:textId="77777777" w:rsidR="00B05F6A" w:rsidRDefault="00B05F6A" w:rsidP="001A7F2D"/>
    <w:p w14:paraId="30F495E2" w14:textId="77777777" w:rsidR="001A7F2D" w:rsidRDefault="00B05F6A" w:rsidP="001A7F2D">
      <w:r>
        <w:t>Med hensyn til kombinerende institutioner, dvs. en institution som varetager flere former for skole- og undervisningsvirksomhed efter lov om efterskoler og frie fagskoler eller som fri grun</w:t>
      </w:r>
      <w:r>
        <w:t>d</w:t>
      </w:r>
      <w:r>
        <w:t>skole, folkehøjskole eller privat institution for gymnasial uddannelse, så sker en reduktion af det geografiske skoletilskud på baggrund af årselevtallet på efterskoledelen.</w:t>
      </w:r>
    </w:p>
    <w:p w14:paraId="30F495E3" w14:textId="77777777" w:rsidR="00A15C2E" w:rsidRDefault="00A15C2E" w:rsidP="003B0556"/>
    <w:p w14:paraId="30F495E4" w14:textId="77777777" w:rsidR="0091612E" w:rsidRDefault="0091612E" w:rsidP="00186EB2">
      <w:r>
        <w:t>Der henvises i øvrigt til de almindelige bemærkninger i afsnit 2.1.</w:t>
      </w:r>
    </w:p>
    <w:p w14:paraId="30F495E5" w14:textId="77777777" w:rsidR="007A14A7" w:rsidRDefault="007A14A7" w:rsidP="003B0556"/>
    <w:p w14:paraId="30F495E6" w14:textId="77777777" w:rsidR="007A14A7" w:rsidRDefault="007A14A7" w:rsidP="003B0556">
      <w:r>
        <w:t>Til nr. 2</w:t>
      </w:r>
    </w:p>
    <w:p w14:paraId="30F495E7" w14:textId="77777777" w:rsidR="006F3512" w:rsidRDefault="006F3512" w:rsidP="006F3512">
      <w:pPr>
        <w:pStyle w:val="normalind"/>
        <w:rPr>
          <w:rFonts w:asciiTheme="minorHAnsi" w:hAnsiTheme="minorHAnsi"/>
        </w:rPr>
      </w:pPr>
      <w:r>
        <w:rPr>
          <w:rFonts w:asciiTheme="minorHAnsi" w:hAnsiTheme="minorHAnsi"/>
        </w:rPr>
        <w:t>Det følger af den nugældende bestemmelse i § 23 a, stk. 1, at s</w:t>
      </w:r>
      <w:r w:rsidRPr="000D0B50">
        <w:rPr>
          <w:rFonts w:asciiTheme="minorHAnsi" w:hAnsiTheme="minorHAnsi"/>
        </w:rPr>
        <w:t>taten til efterskoler</w:t>
      </w:r>
      <w:r>
        <w:rPr>
          <w:rFonts w:asciiTheme="minorHAnsi" w:hAnsiTheme="minorHAnsi"/>
        </w:rPr>
        <w:t xml:space="preserve"> </w:t>
      </w:r>
      <w:r w:rsidRPr="000D0B50">
        <w:rPr>
          <w:rFonts w:asciiTheme="minorHAnsi" w:hAnsiTheme="minorHAnsi"/>
        </w:rPr>
        <w:t>yder et særligt tilskud ud fra antallet af årselever, hvor der i årselevberegningen kun medgår elever, som har gennemført mindst 12 uger af et kursus, og som er indvand</w:t>
      </w:r>
      <w:r>
        <w:rPr>
          <w:rFonts w:asciiTheme="minorHAnsi" w:hAnsiTheme="minorHAnsi"/>
        </w:rPr>
        <w:t>rere fra ikkevestlige lande</w:t>
      </w:r>
      <w:r w:rsidRPr="000D0B50">
        <w:rPr>
          <w:rFonts w:asciiTheme="minorHAnsi" w:hAnsiTheme="minorHAnsi"/>
        </w:rPr>
        <w:t xml:space="preserve"> og Alban</w:t>
      </w:r>
      <w:r w:rsidRPr="000D0B50">
        <w:rPr>
          <w:rFonts w:asciiTheme="minorHAnsi" w:hAnsiTheme="minorHAnsi"/>
        </w:rPr>
        <w:t>i</w:t>
      </w:r>
      <w:r w:rsidRPr="000D0B50">
        <w:rPr>
          <w:rFonts w:asciiTheme="minorHAnsi" w:hAnsiTheme="minorHAnsi"/>
        </w:rPr>
        <w:t>en, Bosnien-Herzegovina, Serbien, Montenegro, Kroatien og Makedonien samt efterkommere af indvandrere fra disse lande, herunder flygtninge omfattet af integrationsloven og disse flygtninges børn. Der kan højst ydes tilskud efter denne bestemmelse til 8 pct. af skolens årselevtal. Formålet med denne begrænsning for den enkelte efterskole er at undgå en ujævn fordeling mellem efte</w:t>
      </w:r>
      <w:r w:rsidRPr="000D0B50">
        <w:rPr>
          <w:rFonts w:asciiTheme="minorHAnsi" w:hAnsiTheme="minorHAnsi"/>
        </w:rPr>
        <w:t>r</w:t>
      </w:r>
      <w:r w:rsidRPr="000D0B50">
        <w:rPr>
          <w:rFonts w:asciiTheme="minorHAnsi" w:hAnsiTheme="minorHAnsi"/>
        </w:rPr>
        <w:t>skolerne af unge indvandrere og efterkommere af disse.</w:t>
      </w:r>
    </w:p>
    <w:p w14:paraId="30F495E8" w14:textId="77777777" w:rsidR="00213190" w:rsidRPr="000D0B50" w:rsidRDefault="00213190" w:rsidP="006F3512">
      <w:pPr>
        <w:pStyle w:val="normalind"/>
        <w:rPr>
          <w:rFonts w:asciiTheme="minorHAnsi" w:hAnsiTheme="minorHAnsi"/>
        </w:rPr>
      </w:pPr>
    </w:p>
    <w:p w14:paraId="30F495E9" w14:textId="77777777" w:rsidR="006F3512" w:rsidRDefault="006F3512" w:rsidP="006F3512">
      <w:pPr>
        <w:pStyle w:val="normalind"/>
        <w:rPr>
          <w:rFonts w:asciiTheme="minorHAnsi" w:hAnsiTheme="minorHAnsi"/>
        </w:rPr>
      </w:pPr>
      <w:r w:rsidRPr="000D0B50">
        <w:rPr>
          <w:rFonts w:asciiTheme="minorHAnsi" w:hAnsiTheme="minorHAnsi"/>
        </w:rPr>
        <w:t>Bestemmelsen i lovens § 23 a, stk. 1, blev indføjet i loven med lov nr. 1083 af 17. december 2002. Det fremgår af bemærkningerne til denne lov, jf. lovforslag nr. L 72 (2002-03), jf. Folk</w:t>
      </w:r>
      <w:r w:rsidRPr="000D0B50">
        <w:rPr>
          <w:rFonts w:asciiTheme="minorHAnsi" w:hAnsiTheme="minorHAnsi"/>
        </w:rPr>
        <w:t>e</w:t>
      </w:r>
      <w:r w:rsidRPr="000D0B50">
        <w:rPr>
          <w:rFonts w:asciiTheme="minorHAnsi" w:hAnsiTheme="minorHAnsi"/>
        </w:rPr>
        <w:t>tingstidende 2002-03, tillæg A, side 1543, at formålet med det særlige tilskud (tillægstaksten) er at fremme integrationen for personer med baggrund i mindre udviklede tredjelande, således som dette begreb afgrænses af Danmarks Statistik.</w:t>
      </w:r>
    </w:p>
    <w:p w14:paraId="30F495EA" w14:textId="77777777" w:rsidR="00213190" w:rsidRPr="000D0B50" w:rsidRDefault="00213190" w:rsidP="006F3512">
      <w:pPr>
        <w:pStyle w:val="normalind"/>
        <w:rPr>
          <w:rFonts w:asciiTheme="minorHAnsi" w:hAnsiTheme="minorHAnsi"/>
        </w:rPr>
      </w:pPr>
    </w:p>
    <w:p w14:paraId="30F495EB" w14:textId="77777777" w:rsidR="006F3512" w:rsidRDefault="006F3512" w:rsidP="006F3512">
      <w:pPr>
        <w:pStyle w:val="normalind"/>
        <w:rPr>
          <w:rFonts w:asciiTheme="minorHAnsi" w:hAnsiTheme="minorHAnsi"/>
        </w:rPr>
      </w:pPr>
      <w:r w:rsidRPr="000D0B50">
        <w:rPr>
          <w:rFonts w:asciiTheme="minorHAnsi" w:hAnsiTheme="minorHAnsi"/>
        </w:rPr>
        <w:t>Bestemmelsen blev ændret med lov nr. 1226 af 27. december 2003, hvor personkredsen for det særlige tilskud blev udvidet til også at omfatte personer fra Albanien, Bosnien-Herzegovina, Se</w:t>
      </w:r>
      <w:r w:rsidRPr="000D0B50">
        <w:rPr>
          <w:rFonts w:asciiTheme="minorHAnsi" w:hAnsiTheme="minorHAnsi"/>
        </w:rPr>
        <w:t>r</w:t>
      </w:r>
      <w:r w:rsidRPr="000D0B50">
        <w:rPr>
          <w:rFonts w:asciiTheme="minorHAnsi" w:hAnsiTheme="minorHAnsi"/>
        </w:rPr>
        <w:t>bien, Montenegro, Kroatien og Makedonien, samt efterkommere fra disse lande, herunder flyg</w:t>
      </w:r>
      <w:r w:rsidRPr="000D0B50">
        <w:rPr>
          <w:rFonts w:asciiTheme="minorHAnsi" w:hAnsiTheme="minorHAnsi"/>
        </w:rPr>
        <w:t>t</w:t>
      </w:r>
      <w:r w:rsidRPr="000D0B50">
        <w:rPr>
          <w:rFonts w:asciiTheme="minorHAnsi" w:hAnsiTheme="minorHAnsi"/>
        </w:rPr>
        <w:t>ninge omfattet af integrationsloven og disse flygtninges børn. Baggrunden for udvidelsen af pe</w:t>
      </w:r>
      <w:r w:rsidRPr="000D0B50">
        <w:rPr>
          <w:rFonts w:asciiTheme="minorHAnsi" w:hAnsiTheme="minorHAnsi"/>
        </w:rPr>
        <w:t>r</w:t>
      </w:r>
      <w:r w:rsidRPr="000D0B50">
        <w:rPr>
          <w:rFonts w:asciiTheme="minorHAnsi" w:hAnsiTheme="minorHAnsi"/>
        </w:rPr>
        <w:t>sonkredsen var, at der havde vist sig et tilsvarende behov for at fremme integrationen af denne personkreds. Endvidere blev bestemmelsen præciseret med lov nr. 559 af 6. juni 2007, så kun elever, der har gennemført 12 uger af skolens kursus kan indgå i beregningsgrundlaget for denne tillægstakst.</w:t>
      </w:r>
    </w:p>
    <w:p w14:paraId="30F495EC" w14:textId="77777777" w:rsidR="00213190" w:rsidRDefault="00213190" w:rsidP="006F3512">
      <w:pPr>
        <w:pStyle w:val="normalind"/>
        <w:rPr>
          <w:rFonts w:asciiTheme="minorHAnsi" w:hAnsiTheme="minorHAnsi"/>
        </w:rPr>
      </w:pPr>
    </w:p>
    <w:p w14:paraId="30F495ED" w14:textId="77777777" w:rsidR="006F3512" w:rsidRPr="000D0B50" w:rsidRDefault="00AA5DA4" w:rsidP="003C377D">
      <w:pPr>
        <w:pStyle w:val="normalind"/>
        <w:ind w:firstLine="0"/>
        <w:rPr>
          <w:rFonts w:asciiTheme="minorHAnsi" w:hAnsiTheme="minorHAnsi"/>
        </w:rPr>
      </w:pPr>
      <w:r>
        <w:rPr>
          <w:rFonts w:asciiTheme="minorHAnsi" w:hAnsiTheme="minorHAnsi"/>
        </w:rPr>
        <w:t>Bestemmelsen blev også opdateret</w:t>
      </w:r>
      <w:r w:rsidR="006F3512">
        <w:rPr>
          <w:rFonts w:asciiTheme="minorHAnsi" w:hAnsiTheme="minorHAnsi"/>
        </w:rPr>
        <w:t xml:space="preserve"> med lov nr. 1568 af 19. december 2017, hvor terminologien i afgrænsningen af personkredsen til dette tilskud blev justeret og moderniseret ti terminologi, som nu anvendes af Danmarks Statistik. Det betød, at det tidligere anvendte begreb "mindre udvikl</w:t>
      </w:r>
      <w:r w:rsidR="006F3512">
        <w:rPr>
          <w:rFonts w:asciiTheme="minorHAnsi" w:hAnsiTheme="minorHAnsi"/>
        </w:rPr>
        <w:t>e</w:t>
      </w:r>
      <w:r w:rsidR="006F3512">
        <w:rPr>
          <w:rFonts w:asciiTheme="minorHAnsi" w:hAnsiTheme="minorHAnsi"/>
        </w:rPr>
        <w:t xml:space="preserve">de tredjeland" blev ændret til det nugældende begreb "ikkevestlige lande". </w:t>
      </w:r>
    </w:p>
    <w:p w14:paraId="30F495EE" w14:textId="77777777" w:rsidR="006F3512" w:rsidRDefault="006F3512" w:rsidP="006F3512"/>
    <w:p w14:paraId="30F495EF" w14:textId="77777777" w:rsidR="006F3512" w:rsidRDefault="006F3512" w:rsidP="006F3512">
      <w:pPr>
        <w:rPr>
          <w:rFonts w:asciiTheme="minorHAnsi" w:hAnsiTheme="minorHAnsi"/>
        </w:rPr>
      </w:pPr>
      <w:r>
        <w:t xml:space="preserve">Det foreslås, at </w:t>
      </w:r>
      <w:r w:rsidRPr="006F3512">
        <w:rPr>
          <w:i/>
        </w:rPr>
        <w:t>§ 23 a, stk. 1,</w:t>
      </w:r>
      <w:r>
        <w:t xml:space="preserve"> ophæves. Det </w:t>
      </w:r>
      <w:r w:rsidR="00694A68">
        <w:t xml:space="preserve">vil </w:t>
      </w:r>
      <w:r>
        <w:t xml:space="preserve">betyde, at det særlige tilskud til </w:t>
      </w:r>
      <w:r w:rsidRPr="000D0B50">
        <w:rPr>
          <w:rFonts w:asciiTheme="minorHAnsi" w:hAnsiTheme="minorHAnsi"/>
        </w:rPr>
        <w:t xml:space="preserve">efterskoler </w:t>
      </w:r>
      <w:r>
        <w:rPr>
          <w:rFonts w:asciiTheme="minorHAnsi" w:hAnsiTheme="minorHAnsi"/>
        </w:rPr>
        <w:t xml:space="preserve">for </w:t>
      </w:r>
      <w:r w:rsidRPr="000D0B50">
        <w:rPr>
          <w:rFonts w:asciiTheme="minorHAnsi" w:hAnsiTheme="minorHAnsi"/>
        </w:rPr>
        <w:t>el</w:t>
      </w:r>
      <w:r w:rsidRPr="000D0B50">
        <w:rPr>
          <w:rFonts w:asciiTheme="minorHAnsi" w:hAnsiTheme="minorHAnsi"/>
        </w:rPr>
        <w:t>e</w:t>
      </w:r>
      <w:r w:rsidRPr="000D0B50">
        <w:rPr>
          <w:rFonts w:asciiTheme="minorHAnsi" w:hAnsiTheme="minorHAnsi"/>
        </w:rPr>
        <w:t>ver, som har gennemført mindst 12 uger af et kursus, og som er indvand</w:t>
      </w:r>
      <w:r>
        <w:rPr>
          <w:rFonts w:asciiTheme="minorHAnsi" w:hAnsiTheme="minorHAnsi"/>
        </w:rPr>
        <w:t>rere fra ikkevestlige la</w:t>
      </w:r>
      <w:r>
        <w:rPr>
          <w:rFonts w:asciiTheme="minorHAnsi" w:hAnsiTheme="minorHAnsi"/>
        </w:rPr>
        <w:t>n</w:t>
      </w:r>
      <w:r>
        <w:rPr>
          <w:rFonts w:asciiTheme="minorHAnsi" w:hAnsiTheme="minorHAnsi"/>
        </w:rPr>
        <w:t>de</w:t>
      </w:r>
      <w:r w:rsidRPr="000D0B50">
        <w:rPr>
          <w:rFonts w:asciiTheme="minorHAnsi" w:hAnsiTheme="minorHAnsi"/>
        </w:rPr>
        <w:t xml:space="preserve"> og Albanien, Bosnien-Herzegovina, Serbien, Montenegro, Kroatien og Makedonien samt e</w:t>
      </w:r>
      <w:r w:rsidRPr="000D0B50">
        <w:rPr>
          <w:rFonts w:asciiTheme="minorHAnsi" w:hAnsiTheme="minorHAnsi"/>
        </w:rPr>
        <w:t>f</w:t>
      </w:r>
      <w:r w:rsidRPr="000D0B50">
        <w:rPr>
          <w:rFonts w:asciiTheme="minorHAnsi" w:hAnsiTheme="minorHAnsi"/>
        </w:rPr>
        <w:t>terkommere af indvandrere fra disse lande, herunder flygtninge omfattet af integrationsloven og disse flygtninges børn</w:t>
      </w:r>
      <w:r>
        <w:rPr>
          <w:rFonts w:asciiTheme="minorHAnsi" w:hAnsiTheme="minorHAnsi"/>
        </w:rPr>
        <w:t>, afskaffes</w:t>
      </w:r>
      <w:r w:rsidRPr="000D0B50">
        <w:rPr>
          <w:rFonts w:asciiTheme="minorHAnsi" w:hAnsiTheme="minorHAnsi"/>
        </w:rPr>
        <w:t>.</w:t>
      </w:r>
    </w:p>
    <w:p w14:paraId="30F495F0" w14:textId="77777777" w:rsidR="006F3512" w:rsidRDefault="006F3512" w:rsidP="006F3512">
      <w:pPr>
        <w:rPr>
          <w:rFonts w:asciiTheme="minorHAnsi" w:hAnsiTheme="minorHAnsi"/>
        </w:rPr>
      </w:pPr>
    </w:p>
    <w:p w14:paraId="30F495F1" w14:textId="77777777" w:rsidR="006F3512" w:rsidRDefault="006F3512" w:rsidP="006F3512">
      <w:pPr>
        <w:rPr>
          <w:rFonts w:asciiTheme="minorHAnsi" w:hAnsiTheme="minorHAnsi"/>
        </w:rPr>
      </w:pPr>
      <w:r>
        <w:rPr>
          <w:rFonts w:asciiTheme="minorHAnsi" w:hAnsiTheme="minorHAnsi"/>
        </w:rPr>
        <w:t xml:space="preserve">Det foreslåede bortfald af det særlige tilskud til efterskoler for </w:t>
      </w:r>
      <w:r w:rsidRPr="000D0B50">
        <w:rPr>
          <w:rFonts w:asciiTheme="minorHAnsi" w:hAnsiTheme="minorHAnsi"/>
        </w:rPr>
        <w:t>elever, som har gennemført mindst 12 uger af et kursus, og som er indvand</w:t>
      </w:r>
      <w:r>
        <w:rPr>
          <w:rFonts w:asciiTheme="minorHAnsi" w:hAnsiTheme="minorHAnsi"/>
        </w:rPr>
        <w:t>rere fra ikkevestlige lande</w:t>
      </w:r>
      <w:r w:rsidRPr="000D0B50">
        <w:rPr>
          <w:rFonts w:asciiTheme="minorHAnsi" w:hAnsiTheme="minorHAnsi"/>
        </w:rPr>
        <w:t xml:space="preserve"> og Albanien, Bosnien-Herzegovina, Serbien, Montenegro, Kroatien og Makedonien samt efterkommere af indvandrere fra disse lande, herunder flygtninge omfattet af integrationsloven og disse flygtninges børn</w:t>
      </w:r>
      <w:r>
        <w:rPr>
          <w:rFonts w:asciiTheme="minorHAnsi" w:hAnsiTheme="minorHAnsi"/>
        </w:rPr>
        <w:t>, vil indebære, at indvandrere og efterkommere af disse tilskudsmæssigt sidestilles med etnisk danske elever.</w:t>
      </w:r>
    </w:p>
    <w:p w14:paraId="30F495F2" w14:textId="77777777" w:rsidR="006F3512" w:rsidRDefault="006F3512" w:rsidP="003B0556"/>
    <w:p w14:paraId="30F495F3" w14:textId="77777777" w:rsidR="001A2774" w:rsidRDefault="001A2774" w:rsidP="003B0556">
      <w:r>
        <w:rPr>
          <w:rFonts w:asciiTheme="minorHAnsi" w:hAnsiTheme="minorHAnsi"/>
        </w:rPr>
        <w:t>På den baggrund vurderes det hensigtsmæssigt at afskaffe tillægstaksten for indvandrere og efte</w:t>
      </w:r>
      <w:r>
        <w:rPr>
          <w:rFonts w:asciiTheme="minorHAnsi" w:hAnsiTheme="minorHAnsi"/>
        </w:rPr>
        <w:t>r</w:t>
      </w:r>
      <w:r>
        <w:rPr>
          <w:rFonts w:asciiTheme="minorHAnsi" w:hAnsiTheme="minorHAnsi"/>
        </w:rPr>
        <w:t xml:space="preserve">kommere og på den måde gennemføre en budgetforbedring på 9,7 mio. kr. i 2019 </w:t>
      </w:r>
    </w:p>
    <w:p w14:paraId="30F495F4" w14:textId="77777777" w:rsidR="00213190" w:rsidRDefault="00213190" w:rsidP="003B0556"/>
    <w:p w14:paraId="30F495F5" w14:textId="77777777" w:rsidR="00AC78F8" w:rsidRDefault="00AC78F8" w:rsidP="003B0556">
      <w:r>
        <w:t>Forslaget indebærer en</w:t>
      </w:r>
      <w:r w:rsidR="00AA5DA4">
        <w:t>dvidere, at</w:t>
      </w:r>
      <w:r>
        <w:t xml:space="preserve"> </w:t>
      </w:r>
      <w:r w:rsidR="00694A68">
        <w:t xml:space="preserve">§ 23 a, </w:t>
      </w:r>
      <w:r>
        <w:t>stk. 2-7</w:t>
      </w:r>
      <w:r w:rsidR="00B05F6A">
        <w:t>,</w:t>
      </w:r>
      <w:r>
        <w:t xml:space="preserve"> i samme bestemmelse herefter bliver stk. 1-6.</w:t>
      </w:r>
    </w:p>
    <w:p w14:paraId="30F495F6" w14:textId="77777777" w:rsidR="00AC78F8" w:rsidRDefault="00AC78F8" w:rsidP="003B0556"/>
    <w:p w14:paraId="30F495F7" w14:textId="77777777" w:rsidR="006F3512" w:rsidRDefault="006F3512" w:rsidP="006F3512">
      <w:pPr>
        <w:pStyle w:val="Opstilling-talellerbogst"/>
        <w:numPr>
          <w:ilvl w:val="0"/>
          <w:numId w:val="0"/>
        </w:numPr>
        <w:tabs>
          <w:tab w:val="left" w:pos="1304"/>
        </w:tabs>
        <w:rPr>
          <w:szCs w:val="24"/>
        </w:rPr>
      </w:pPr>
      <w:r>
        <w:rPr>
          <w:szCs w:val="24"/>
        </w:rPr>
        <w:t>Der henvises i øvrigt til de almindelige bemærkninger i afsnit 2.</w:t>
      </w:r>
      <w:r w:rsidR="00376C3E">
        <w:rPr>
          <w:szCs w:val="24"/>
        </w:rPr>
        <w:t>3</w:t>
      </w:r>
      <w:r>
        <w:rPr>
          <w:szCs w:val="24"/>
        </w:rPr>
        <w:t>.</w:t>
      </w:r>
    </w:p>
    <w:p w14:paraId="30F495F8" w14:textId="77777777" w:rsidR="00226B0A" w:rsidRDefault="00226B0A" w:rsidP="003B0556"/>
    <w:p w14:paraId="30F495F9" w14:textId="77777777" w:rsidR="00226B0A" w:rsidRDefault="00226B0A" w:rsidP="003B0556">
      <w:r>
        <w:t>Til nr. 3</w:t>
      </w:r>
    </w:p>
    <w:p w14:paraId="30F495FA" w14:textId="77777777" w:rsidR="00672750" w:rsidRDefault="00672750" w:rsidP="003B0556">
      <w:r>
        <w:t xml:space="preserve">Det fremgår af lovens nugældende § 23 a, stk. 3, at et særligt tilskud (tillægstakst) ydes for </w:t>
      </w:r>
      <w:r w:rsidR="005F2511">
        <w:t>følge</w:t>
      </w:r>
      <w:r w:rsidR="005F2511">
        <w:t>n</w:t>
      </w:r>
      <w:r w:rsidR="005F2511">
        <w:t>de</w:t>
      </w:r>
      <w:r>
        <w:t xml:space="preserve"> elever uden kompetencegivende uddannelse:</w:t>
      </w:r>
    </w:p>
    <w:p w14:paraId="30F495FB" w14:textId="77777777" w:rsidR="00954C11" w:rsidRPr="00186EB2" w:rsidRDefault="00954C11" w:rsidP="00954C11">
      <w:pPr>
        <w:pStyle w:val="liste1"/>
        <w:rPr>
          <w:rFonts w:asciiTheme="minorHAnsi" w:hAnsiTheme="minorHAnsi"/>
        </w:rPr>
      </w:pPr>
      <w:r w:rsidRPr="00186EB2">
        <w:rPr>
          <w:rStyle w:val="liste1nr1"/>
          <w:rFonts w:asciiTheme="minorHAnsi" w:hAnsiTheme="minorHAnsi"/>
        </w:rPr>
        <w:t>1)</w:t>
      </w:r>
      <w:r w:rsidRPr="00186EB2">
        <w:rPr>
          <w:rFonts w:asciiTheme="minorHAnsi" w:hAnsiTheme="minorHAnsi"/>
        </w:rPr>
        <w:t xml:space="preserve"> Elever, der ikke går i 10. klasse og ikke er under uddannelse efter lov om ungdomsudda</w:t>
      </w:r>
      <w:r w:rsidRPr="00186EB2">
        <w:rPr>
          <w:rFonts w:asciiTheme="minorHAnsi" w:hAnsiTheme="minorHAnsi"/>
        </w:rPr>
        <w:t>n</w:t>
      </w:r>
      <w:r w:rsidRPr="00186EB2">
        <w:rPr>
          <w:rFonts w:asciiTheme="minorHAnsi" w:hAnsiTheme="minorHAnsi"/>
        </w:rPr>
        <w:t>nelse for unge med særlige behov, i hvis uddannelsesplan der indgår et ophold på en fri fa</w:t>
      </w:r>
      <w:r w:rsidRPr="00186EB2">
        <w:rPr>
          <w:rFonts w:asciiTheme="minorHAnsi" w:hAnsiTheme="minorHAnsi"/>
        </w:rPr>
        <w:t>g</w:t>
      </w:r>
      <w:r w:rsidRPr="00186EB2">
        <w:rPr>
          <w:rFonts w:asciiTheme="minorHAnsi" w:hAnsiTheme="minorHAnsi"/>
        </w:rPr>
        <w:t>skole, og som har tilknyttet en mentor fra skolens etablerede mentorordning. Det er en beti</w:t>
      </w:r>
      <w:r w:rsidRPr="00186EB2">
        <w:rPr>
          <w:rFonts w:asciiTheme="minorHAnsi" w:hAnsiTheme="minorHAnsi"/>
        </w:rPr>
        <w:t>n</w:t>
      </w:r>
      <w:r w:rsidRPr="00186EB2">
        <w:rPr>
          <w:rFonts w:asciiTheme="minorHAnsi" w:hAnsiTheme="minorHAnsi"/>
        </w:rPr>
        <w:t>gelse, at eleven er fyldt 16 år ved kursets begyndelse og endnu ikke er fyldt 25 år.</w:t>
      </w:r>
    </w:p>
    <w:p w14:paraId="30F495FC" w14:textId="77777777" w:rsidR="00954C11" w:rsidRDefault="00954C11" w:rsidP="00954C11">
      <w:pPr>
        <w:pStyle w:val="liste1"/>
        <w:rPr>
          <w:rFonts w:asciiTheme="minorHAnsi" w:hAnsiTheme="minorHAnsi"/>
        </w:rPr>
      </w:pPr>
      <w:r w:rsidRPr="00186EB2">
        <w:rPr>
          <w:rStyle w:val="liste1nr1"/>
          <w:rFonts w:asciiTheme="minorHAnsi" w:hAnsiTheme="minorHAnsi"/>
        </w:rPr>
        <w:t>2)</w:t>
      </w:r>
      <w:r w:rsidRPr="00186EB2">
        <w:rPr>
          <w:rFonts w:asciiTheme="minorHAnsi" w:hAnsiTheme="minorHAnsi"/>
        </w:rPr>
        <w:t xml:space="preserve"> Elever, i hvis uddannelsesplan der ikke indgår et ophold på en fri fagskole. Det er en beti</w:t>
      </w:r>
      <w:r w:rsidRPr="00186EB2">
        <w:rPr>
          <w:rFonts w:asciiTheme="minorHAnsi" w:hAnsiTheme="minorHAnsi"/>
        </w:rPr>
        <w:t>n</w:t>
      </w:r>
      <w:r w:rsidRPr="00186EB2">
        <w:rPr>
          <w:rFonts w:asciiTheme="minorHAnsi" w:hAnsiTheme="minorHAnsi"/>
        </w:rPr>
        <w:t>gelse, at eleven er fyldt 17½ år ved kursets begyndelse og endnu ikke er fyldt 25 år.</w:t>
      </w:r>
    </w:p>
    <w:p w14:paraId="30F495FD" w14:textId="77777777" w:rsidR="00954C11" w:rsidRDefault="00954C11" w:rsidP="003B0556">
      <w:pPr>
        <w:rPr>
          <w:rFonts w:asciiTheme="minorHAnsi" w:eastAsia="Times New Roman" w:hAnsiTheme="minorHAnsi" w:cs="Tahoma"/>
          <w:color w:val="000000"/>
          <w:lang w:eastAsia="da-DK"/>
        </w:rPr>
      </w:pPr>
    </w:p>
    <w:p w14:paraId="30F495FE" w14:textId="77777777" w:rsidR="00954C11" w:rsidRDefault="00954C11" w:rsidP="003B0556">
      <w:pPr>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 xml:space="preserve">Med lovforslagets § 1, nr. 2, </w:t>
      </w:r>
      <w:r w:rsidR="00BC0C34">
        <w:rPr>
          <w:rFonts w:asciiTheme="minorHAnsi" w:eastAsia="Times New Roman" w:hAnsiTheme="minorHAnsi" w:cs="Tahoma"/>
          <w:color w:val="000000"/>
          <w:lang w:eastAsia="da-DK"/>
        </w:rPr>
        <w:t xml:space="preserve">ophæves lovens § 23 a, stk. 1, om et særligt tilskud til efterskoler for elever, som har gennemført mindst 12 uger af et kursus, og </w:t>
      </w:r>
      <w:r w:rsidR="00BC0C34" w:rsidRPr="00BC0C34">
        <w:rPr>
          <w:rFonts w:asciiTheme="minorHAnsi" w:eastAsia="Times New Roman" w:hAnsiTheme="minorHAnsi" w:cs="Tahoma"/>
          <w:color w:val="000000"/>
          <w:lang w:eastAsia="da-DK"/>
        </w:rPr>
        <w:t>som</w:t>
      </w:r>
      <w:r w:rsidR="00BC0C34" w:rsidRPr="00186EB2">
        <w:rPr>
          <w:rFonts w:asciiTheme="minorHAnsi" w:hAnsiTheme="minorHAnsi"/>
        </w:rPr>
        <w:t xml:space="preserve"> har gennemført mindst 12 uger af et kursus, og som er indvandrere fra ikkevestlige lande og Albanien, Bosnien-Herzegovina, Serbien, Montenegro, Kroatien og Makedonien samt efterkommere af indvandrere fra disse la</w:t>
      </w:r>
      <w:r w:rsidR="00BC0C34" w:rsidRPr="00186EB2">
        <w:rPr>
          <w:rFonts w:asciiTheme="minorHAnsi" w:hAnsiTheme="minorHAnsi"/>
        </w:rPr>
        <w:t>n</w:t>
      </w:r>
      <w:r w:rsidR="00BC0C34" w:rsidRPr="00186EB2">
        <w:rPr>
          <w:rFonts w:asciiTheme="minorHAnsi" w:hAnsiTheme="minorHAnsi"/>
        </w:rPr>
        <w:t>de, herunder flygtninge omfattet af lov om integration af udlændinge i Danmark og disse flyg</w:t>
      </w:r>
      <w:r w:rsidR="00BC0C34" w:rsidRPr="00186EB2">
        <w:rPr>
          <w:rFonts w:asciiTheme="minorHAnsi" w:hAnsiTheme="minorHAnsi"/>
        </w:rPr>
        <w:t>t</w:t>
      </w:r>
      <w:r w:rsidR="00BC0C34" w:rsidRPr="00186EB2">
        <w:rPr>
          <w:rFonts w:asciiTheme="minorHAnsi" w:hAnsiTheme="minorHAnsi"/>
        </w:rPr>
        <w:t>ninges børn.</w:t>
      </w:r>
      <w:r w:rsidR="00BC0C34">
        <w:rPr>
          <w:rFonts w:asciiTheme="minorHAnsi" w:eastAsia="Times New Roman" w:hAnsiTheme="minorHAnsi" w:cs="Tahoma"/>
          <w:color w:val="000000"/>
          <w:lang w:eastAsia="da-DK"/>
        </w:rPr>
        <w:t xml:space="preserve"> Herefter bliver stk. 2- 7 til </w:t>
      </w:r>
      <w:r>
        <w:rPr>
          <w:rFonts w:asciiTheme="minorHAnsi" w:eastAsia="Times New Roman" w:hAnsiTheme="minorHAnsi" w:cs="Tahoma"/>
          <w:color w:val="000000"/>
          <w:lang w:eastAsia="da-DK"/>
        </w:rPr>
        <w:t>stk. 1- 6.</w:t>
      </w:r>
    </w:p>
    <w:p w14:paraId="30F495FF" w14:textId="77777777" w:rsidR="00BC0C34" w:rsidRDefault="00BC0C34" w:rsidP="003B0556">
      <w:pPr>
        <w:rPr>
          <w:rFonts w:asciiTheme="minorHAnsi" w:eastAsia="Times New Roman" w:hAnsiTheme="minorHAnsi" w:cs="Tahoma"/>
          <w:color w:val="000000"/>
          <w:lang w:eastAsia="da-DK"/>
        </w:rPr>
      </w:pPr>
    </w:p>
    <w:p w14:paraId="30F49600" w14:textId="77777777" w:rsidR="00BC0C34" w:rsidRDefault="00BC0C34" w:rsidP="003B0556">
      <w:pPr>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Det foreslås</w:t>
      </w:r>
      <w:r w:rsidR="007A3449">
        <w:rPr>
          <w:rFonts w:asciiTheme="minorHAnsi" w:eastAsia="Times New Roman" w:hAnsiTheme="minorHAnsi" w:cs="Tahoma"/>
          <w:color w:val="000000"/>
          <w:lang w:eastAsia="da-DK"/>
        </w:rPr>
        <w:t xml:space="preserve"> derfor</w:t>
      </w:r>
      <w:r>
        <w:rPr>
          <w:rFonts w:asciiTheme="minorHAnsi" w:eastAsia="Times New Roman" w:hAnsiTheme="minorHAnsi" w:cs="Tahoma"/>
          <w:color w:val="000000"/>
          <w:lang w:eastAsia="da-DK"/>
        </w:rPr>
        <w:t>, at henvisningen i § 23 a, stk. 3, til gældende lovs § 23 a, stk. 2, ændres til en henvisning til § 23 a, stk. 1.</w:t>
      </w:r>
    </w:p>
    <w:p w14:paraId="30F49601" w14:textId="77777777" w:rsidR="00BC0C34" w:rsidRDefault="00BC0C34" w:rsidP="003B0556">
      <w:pPr>
        <w:rPr>
          <w:rFonts w:asciiTheme="minorHAnsi" w:eastAsia="Times New Roman" w:hAnsiTheme="minorHAnsi" w:cs="Tahoma"/>
          <w:color w:val="000000"/>
          <w:lang w:eastAsia="da-DK"/>
        </w:rPr>
      </w:pPr>
    </w:p>
    <w:p w14:paraId="30F49602" w14:textId="77777777" w:rsidR="00BC0C34" w:rsidRDefault="00BC0C34" w:rsidP="003B0556">
      <w:pPr>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 xml:space="preserve">Forslaget er en konsekvens af forslaget om ophævelse af lovens § 23 a, stk. 1, jf. </w:t>
      </w:r>
      <w:r w:rsidR="008036DB">
        <w:rPr>
          <w:rFonts w:asciiTheme="minorHAnsi" w:eastAsia="Times New Roman" w:hAnsiTheme="minorHAnsi" w:cs="Tahoma"/>
          <w:color w:val="000000"/>
          <w:lang w:eastAsia="da-DK"/>
        </w:rPr>
        <w:t>lovfor</w:t>
      </w:r>
      <w:r>
        <w:rPr>
          <w:rFonts w:asciiTheme="minorHAnsi" w:eastAsia="Times New Roman" w:hAnsiTheme="minorHAnsi" w:cs="Tahoma"/>
          <w:color w:val="000000"/>
          <w:lang w:eastAsia="da-DK"/>
        </w:rPr>
        <w:t>slagets § 1, nr. 2</w:t>
      </w:r>
      <w:r w:rsidR="008036DB">
        <w:rPr>
          <w:rFonts w:asciiTheme="minorHAnsi" w:eastAsia="Times New Roman" w:hAnsiTheme="minorHAnsi" w:cs="Tahoma"/>
          <w:color w:val="000000"/>
          <w:lang w:eastAsia="da-DK"/>
        </w:rPr>
        <w:t>. Henvisningen i nugældende § 23 a, stk. 3, til nugældende § 23 a, stk. 1, foreslås ændret i overensstemmelse med forslaget og bestemmelsens nye nummerering af stykker.</w:t>
      </w:r>
    </w:p>
    <w:p w14:paraId="30F49603" w14:textId="77777777" w:rsidR="00276456" w:rsidRDefault="00276456" w:rsidP="003B0556">
      <w:pPr>
        <w:rPr>
          <w:rFonts w:asciiTheme="minorHAnsi" w:eastAsia="Times New Roman" w:hAnsiTheme="minorHAnsi" w:cs="Tahoma"/>
          <w:color w:val="000000"/>
          <w:lang w:eastAsia="da-DK"/>
        </w:rPr>
      </w:pPr>
    </w:p>
    <w:p w14:paraId="30F49604" w14:textId="77777777" w:rsidR="00276456" w:rsidRDefault="00276456" w:rsidP="00276456">
      <w:pPr>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Der henvises i øvrigt til de almindelige bemærkninger i afsnit 2.</w:t>
      </w:r>
      <w:r w:rsidR="00376C3E">
        <w:rPr>
          <w:rFonts w:asciiTheme="minorHAnsi" w:eastAsia="Times New Roman" w:hAnsiTheme="minorHAnsi" w:cs="Tahoma"/>
          <w:color w:val="000000"/>
          <w:lang w:eastAsia="da-DK"/>
        </w:rPr>
        <w:t>3</w:t>
      </w:r>
      <w:r>
        <w:rPr>
          <w:rFonts w:asciiTheme="minorHAnsi" w:eastAsia="Times New Roman" w:hAnsiTheme="minorHAnsi" w:cs="Tahoma"/>
          <w:color w:val="000000"/>
          <w:lang w:eastAsia="da-DK"/>
        </w:rPr>
        <w:t>.</w:t>
      </w:r>
    </w:p>
    <w:p w14:paraId="30F49605" w14:textId="77777777" w:rsidR="001E6A13" w:rsidRDefault="001E6A13" w:rsidP="003B0556">
      <w:pPr>
        <w:rPr>
          <w:rFonts w:asciiTheme="minorHAnsi" w:eastAsia="Times New Roman" w:hAnsiTheme="minorHAnsi" w:cs="Tahoma"/>
          <w:color w:val="000000"/>
          <w:lang w:eastAsia="da-DK"/>
        </w:rPr>
      </w:pPr>
    </w:p>
    <w:p w14:paraId="30F49606" w14:textId="77777777" w:rsidR="00672750" w:rsidRDefault="00672750" w:rsidP="003B0556">
      <w:r>
        <w:t>Til nr. 4</w:t>
      </w:r>
    </w:p>
    <w:p w14:paraId="30F49607" w14:textId="77777777" w:rsidR="001E6A13" w:rsidRDefault="001E6A13" w:rsidP="003B0556">
      <w:r>
        <w:t xml:space="preserve">Det fremgår af nugældende § 23 a, stk. 4, </w:t>
      </w:r>
      <w:r w:rsidRPr="001E6A13">
        <w:t xml:space="preserve">at </w:t>
      </w:r>
      <w:r>
        <w:t>k</w:t>
      </w:r>
      <w:r w:rsidRPr="00186EB2">
        <w:t>ravet til</w:t>
      </w:r>
      <w:r>
        <w:t xml:space="preserve"> </w:t>
      </w:r>
      <w:r w:rsidRPr="00186EB2">
        <w:t xml:space="preserve">egenbetalingens omfang i </w:t>
      </w:r>
      <w:r>
        <w:t xml:space="preserve">lovens </w:t>
      </w:r>
      <w:r w:rsidRPr="00186EB2">
        <w:t xml:space="preserve">§ 11, stk. 4, </w:t>
      </w:r>
      <w:r>
        <w:t>om, at egenbetalingen for elever, der ikke modtager statslig elevstøtte, mindst skal udgørehal</w:t>
      </w:r>
      <w:r>
        <w:t>v</w:t>
      </w:r>
      <w:r>
        <w:t xml:space="preserve">delen af den af ministeriet fastsatte mindste egenbetaling, ikke </w:t>
      </w:r>
      <w:r w:rsidRPr="00186EB2">
        <w:t>fin</w:t>
      </w:r>
      <w:r w:rsidRPr="001E6A13">
        <w:t xml:space="preserve">der </w:t>
      </w:r>
      <w:r w:rsidRPr="00186EB2">
        <w:t>anvendelse for elever omfa</w:t>
      </w:r>
      <w:r w:rsidRPr="00186EB2">
        <w:t>t</w:t>
      </w:r>
      <w:r w:rsidRPr="00186EB2">
        <w:t xml:space="preserve">tet af </w:t>
      </w:r>
      <w:r>
        <w:t xml:space="preserve">lovens § 23 a, </w:t>
      </w:r>
      <w:r w:rsidRPr="00186EB2">
        <w:t>stk. 3, nr. 1.</w:t>
      </w:r>
      <w:r w:rsidRPr="001E6A13">
        <w:t xml:space="preserve"> </w:t>
      </w:r>
      <w:r w:rsidR="00BF7529">
        <w:t xml:space="preserve">Elevgruppen omfattet af § 23 a, stk. 3, nr. 1, </w:t>
      </w:r>
      <w:r w:rsidR="00BF7529" w:rsidRPr="001E6A13">
        <w:t xml:space="preserve">omfatter </w:t>
      </w:r>
      <w:r w:rsidR="00BF7529" w:rsidRPr="00186EB2">
        <w:t xml:space="preserve">elever, der </w:t>
      </w:r>
      <w:r w:rsidR="00BF7529" w:rsidRPr="00186EB2">
        <w:lastRenderedPageBreak/>
        <w:t>ikke går i 10. klasse og ikke er under uddannelse efter lov om ungdomsuddannelse for unge med særlige behov, i hvis uddannelsesplan der indgår et ophold på en fri fagskole, og som har tilkny</w:t>
      </w:r>
      <w:r w:rsidR="00BF7529" w:rsidRPr="00186EB2">
        <w:t>t</w:t>
      </w:r>
      <w:r w:rsidR="00BF7529" w:rsidRPr="00186EB2">
        <w:t xml:space="preserve">tet en mentor fra skolens etablerede mentorordning. </w:t>
      </w:r>
      <w:r w:rsidRPr="00186EB2">
        <w:t>Det er en betingelse, at eleven er fyldt 16 år ved kursets begyndelse og endnu ikke er fyldt 25 år.</w:t>
      </w:r>
    </w:p>
    <w:p w14:paraId="30F49608" w14:textId="77777777" w:rsidR="00F82DC3" w:rsidRDefault="00F82DC3" w:rsidP="003B0556"/>
    <w:p w14:paraId="30F49609" w14:textId="77777777" w:rsidR="00F82DC3" w:rsidRDefault="00F82DC3" w:rsidP="00F82DC3">
      <w:pPr>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 xml:space="preserve">Med lovforslagets § 1, nr. 2, ophæves lovens § 23 a, stk. 1, om et særligt tilskud til efterskoler for elever, som har gennemført mindst 12 uger af et kursus, og </w:t>
      </w:r>
      <w:r w:rsidRPr="00BC0C34">
        <w:rPr>
          <w:rFonts w:asciiTheme="minorHAnsi" w:eastAsia="Times New Roman" w:hAnsiTheme="minorHAnsi" w:cs="Tahoma"/>
          <w:color w:val="000000"/>
          <w:lang w:eastAsia="da-DK"/>
        </w:rPr>
        <w:t>som</w:t>
      </w:r>
      <w:r w:rsidRPr="00000990">
        <w:rPr>
          <w:rFonts w:asciiTheme="minorHAnsi" w:hAnsiTheme="minorHAnsi"/>
        </w:rPr>
        <w:t xml:space="preserve"> har gennemført mindst 12 uger af et kursus, og som er indvandrere fra ikkevestlige lande og Albanien, Bosnien-Herzegovina, Serbien, Montenegro, Kroatien og Makedonien samt efterkommere af indvandrere fra disse la</w:t>
      </w:r>
      <w:r w:rsidRPr="00000990">
        <w:rPr>
          <w:rFonts w:asciiTheme="minorHAnsi" w:hAnsiTheme="minorHAnsi"/>
        </w:rPr>
        <w:t>n</w:t>
      </w:r>
      <w:r w:rsidRPr="00000990">
        <w:rPr>
          <w:rFonts w:asciiTheme="minorHAnsi" w:hAnsiTheme="minorHAnsi"/>
        </w:rPr>
        <w:t>de, herunder flygtninge omfattet af lov om integration af udlændinge i Danmark og disse flyg</w:t>
      </w:r>
      <w:r w:rsidRPr="00000990">
        <w:rPr>
          <w:rFonts w:asciiTheme="minorHAnsi" w:hAnsiTheme="minorHAnsi"/>
        </w:rPr>
        <w:t>t</w:t>
      </w:r>
      <w:r w:rsidRPr="00000990">
        <w:rPr>
          <w:rFonts w:asciiTheme="minorHAnsi" w:hAnsiTheme="minorHAnsi"/>
        </w:rPr>
        <w:t>ninges børn.</w:t>
      </w:r>
      <w:r>
        <w:rPr>
          <w:rFonts w:asciiTheme="minorHAnsi" w:eastAsia="Times New Roman" w:hAnsiTheme="minorHAnsi" w:cs="Tahoma"/>
          <w:color w:val="000000"/>
          <w:lang w:eastAsia="da-DK"/>
        </w:rPr>
        <w:t xml:space="preserve"> Herefter bliver stk. 2- 7 til stk. 1- 6.</w:t>
      </w:r>
    </w:p>
    <w:p w14:paraId="30F4960A" w14:textId="77777777" w:rsidR="00F82DC3" w:rsidRDefault="00F82DC3" w:rsidP="00F82DC3">
      <w:pPr>
        <w:rPr>
          <w:rFonts w:asciiTheme="minorHAnsi" w:eastAsia="Times New Roman" w:hAnsiTheme="minorHAnsi" w:cs="Tahoma"/>
          <w:color w:val="000000"/>
          <w:lang w:eastAsia="da-DK"/>
        </w:rPr>
      </w:pPr>
    </w:p>
    <w:p w14:paraId="30F4960B" w14:textId="77777777" w:rsidR="00F82DC3" w:rsidRDefault="00F82DC3" w:rsidP="00F82DC3">
      <w:pPr>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Det foreslås, at henvisningen i § 23 a, stk. 4, til gældende lovs § 23 a, stk. 3,</w:t>
      </w:r>
      <w:r w:rsidR="001F3AF6">
        <w:rPr>
          <w:rFonts w:asciiTheme="minorHAnsi" w:eastAsia="Times New Roman" w:hAnsiTheme="minorHAnsi" w:cs="Tahoma"/>
          <w:color w:val="000000"/>
          <w:lang w:eastAsia="da-DK"/>
        </w:rPr>
        <w:t xml:space="preserve"> nr. 1,</w:t>
      </w:r>
      <w:r>
        <w:rPr>
          <w:rFonts w:asciiTheme="minorHAnsi" w:eastAsia="Times New Roman" w:hAnsiTheme="minorHAnsi" w:cs="Tahoma"/>
          <w:color w:val="000000"/>
          <w:lang w:eastAsia="da-DK"/>
        </w:rPr>
        <w:t xml:space="preserve"> ændres til en henvisning til § 23 a, stk. 2</w:t>
      </w:r>
      <w:r w:rsidR="001F3AF6">
        <w:rPr>
          <w:rFonts w:asciiTheme="minorHAnsi" w:eastAsia="Times New Roman" w:hAnsiTheme="minorHAnsi" w:cs="Tahoma"/>
          <w:color w:val="000000"/>
          <w:lang w:eastAsia="da-DK"/>
        </w:rPr>
        <w:t>, nr. 1</w:t>
      </w:r>
      <w:r>
        <w:rPr>
          <w:rFonts w:asciiTheme="minorHAnsi" w:eastAsia="Times New Roman" w:hAnsiTheme="minorHAnsi" w:cs="Tahoma"/>
          <w:color w:val="000000"/>
          <w:lang w:eastAsia="da-DK"/>
        </w:rPr>
        <w:t>.</w:t>
      </w:r>
    </w:p>
    <w:p w14:paraId="30F4960C" w14:textId="77777777" w:rsidR="00F82DC3" w:rsidRDefault="00F82DC3" w:rsidP="00F82DC3">
      <w:pPr>
        <w:rPr>
          <w:rFonts w:asciiTheme="minorHAnsi" w:eastAsia="Times New Roman" w:hAnsiTheme="minorHAnsi" w:cs="Tahoma"/>
          <w:color w:val="000000"/>
          <w:lang w:eastAsia="da-DK"/>
        </w:rPr>
      </w:pPr>
    </w:p>
    <w:p w14:paraId="30F4960D" w14:textId="77777777" w:rsidR="00F82DC3" w:rsidRDefault="00F82DC3" w:rsidP="00F82DC3">
      <w:pPr>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 xml:space="preserve">Forslaget er en konsekvens af forslaget om ophævelse af lovens § 23 a, stk. 1, jf. lovforslagets § 1, nr. 2. </w:t>
      </w:r>
      <w:r w:rsidR="005F2511">
        <w:rPr>
          <w:rFonts w:asciiTheme="minorHAnsi" w:eastAsia="Times New Roman" w:hAnsiTheme="minorHAnsi" w:cs="Tahoma"/>
          <w:color w:val="000000"/>
          <w:lang w:eastAsia="da-DK"/>
        </w:rPr>
        <w:t>Henvisningen i nugældende § 23 a, stk. 4, til nugældende § 23 a, stk. 3, nr. 1, foreslås ændret i overensstemmelse med forslaget og bestemmelsens nye nummerering af stykker.</w:t>
      </w:r>
    </w:p>
    <w:p w14:paraId="30F4960E" w14:textId="77777777" w:rsidR="00276456" w:rsidRDefault="00276456" w:rsidP="00F82DC3">
      <w:pPr>
        <w:rPr>
          <w:rFonts w:asciiTheme="minorHAnsi" w:eastAsia="Times New Roman" w:hAnsiTheme="minorHAnsi" w:cs="Tahoma"/>
          <w:color w:val="000000"/>
          <w:lang w:eastAsia="da-DK"/>
        </w:rPr>
      </w:pPr>
    </w:p>
    <w:p w14:paraId="30F4960F" w14:textId="77777777" w:rsidR="00276456" w:rsidRDefault="00276456" w:rsidP="00F82DC3">
      <w:pPr>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Der henvises i øvrigt til de almindelige bemærkninger i afsnit 2.</w:t>
      </w:r>
      <w:r w:rsidR="00376C3E">
        <w:rPr>
          <w:rFonts w:asciiTheme="minorHAnsi" w:eastAsia="Times New Roman" w:hAnsiTheme="minorHAnsi" w:cs="Tahoma"/>
          <w:color w:val="000000"/>
          <w:lang w:eastAsia="da-DK"/>
        </w:rPr>
        <w:t>3</w:t>
      </w:r>
      <w:r>
        <w:rPr>
          <w:rFonts w:asciiTheme="minorHAnsi" w:eastAsia="Times New Roman" w:hAnsiTheme="minorHAnsi" w:cs="Tahoma"/>
          <w:color w:val="000000"/>
          <w:lang w:eastAsia="da-DK"/>
        </w:rPr>
        <w:t>.</w:t>
      </w:r>
    </w:p>
    <w:p w14:paraId="30F49610" w14:textId="77777777" w:rsidR="00AC78F8" w:rsidRDefault="00AC78F8" w:rsidP="003B0556"/>
    <w:p w14:paraId="30F49611" w14:textId="77777777" w:rsidR="002018EE" w:rsidRDefault="002018EE" w:rsidP="002018EE">
      <w:r>
        <w:t>Til nr. 5</w:t>
      </w:r>
    </w:p>
    <w:p w14:paraId="30F49612" w14:textId="77777777" w:rsidR="002018EE" w:rsidRDefault="002018EE" w:rsidP="002018EE">
      <w:r>
        <w:t xml:space="preserve">Det følger af gældende § 23 a, stk. 5, i lov om efterskoler og frie fagskoler, at staten til </w:t>
      </w:r>
      <w:r w:rsidR="00927EBA">
        <w:t>efterskoler</w:t>
      </w:r>
      <w:r>
        <w:t xml:space="preserve"> yder et særligt tilskud ud fra antallet af årselever gange en tillægstakst, hvori alene indgår elever, der deltager i meritgivende brobygningsforløb i mindst 5 uger på landbrugs-, social- og sundheds- samt erhvervsuddannelser.</w:t>
      </w:r>
    </w:p>
    <w:p w14:paraId="30F49613" w14:textId="77777777" w:rsidR="002018EE" w:rsidRDefault="002018EE" w:rsidP="002018EE"/>
    <w:p w14:paraId="30F49614" w14:textId="77777777" w:rsidR="003A32B4" w:rsidRDefault="002018EE" w:rsidP="002018EE">
      <w:r>
        <w:t>Ved lov nr. 561 af 6. juni 2007 om ændring af lov om erhvervsuddannelser og forskellige andre love og om ophævelse af lov om grundlæggende social- og sundhedsuddannelser og lov om lan</w:t>
      </w:r>
      <w:r>
        <w:t>d</w:t>
      </w:r>
      <w:r>
        <w:t>brugsuddannelser (Ungdomsuddannelse til alle) blev dagældende lov om landbrugsuddannelser og lov om grundlæggende social- og sundhedsuddannelser ophævet</w:t>
      </w:r>
      <w:r w:rsidR="00C354E7">
        <w:t>,</w:t>
      </w:r>
      <w:r>
        <w:t xml:space="preserve"> og landbrugs-, social- og sundhedsuddannelserne, hvorved landbrugsuddannelserne efter lov om landbrugsuddannelser og uddannelserne til social- og sundhedshjælper og social- og sundhedsassistent efter lov om grun</w:t>
      </w:r>
      <w:r>
        <w:t>d</w:t>
      </w:r>
      <w:r>
        <w:t>læggende social- og sundhedsuddannelser bliver en del af uddannelserne efter lov om erhverv</w:t>
      </w:r>
      <w:r>
        <w:t>s</w:t>
      </w:r>
      <w:r>
        <w:t>uddannelser.</w:t>
      </w:r>
      <w:r>
        <w:br/>
      </w:r>
      <w:r>
        <w:br/>
        <w:t xml:space="preserve">Det foreslås »landbrugs-, social- og sundheds- samt« udgår af oplistningen i § 23 a, stk. 5, som konsekvens af, at disse uddannelser i dag er erhvervsuddannelser. </w:t>
      </w:r>
    </w:p>
    <w:p w14:paraId="30F49615" w14:textId="77777777" w:rsidR="00C354E7" w:rsidRDefault="00C354E7" w:rsidP="002018EE"/>
    <w:p w14:paraId="30F49616" w14:textId="77777777" w:rsidR="00C354E7" w:rsidRDefault="00C354E7" w:rsidP="002018EE">
      <w:r>
        <w:t>Forslaget vil indebære, at afgrænsningen af brobygningsforløb i mindst 5 uger, som kan medre</w:t>
      </w:r>
      <w:r>
        <w:t>g</w:t>
      </w:r>
      <w:r>
        <w:t>nes til det særlige tilskud til efterskoler for elevers deltagelse i meritgivende brobygningsforløb, opdateres i overensstemmelse med gældende lovgivning om erhvervsuddannelser.</w:t>
      </w:r>
    </w:p>
    <w:p w14:paraId="30F49617" w14:textId="77777777" w:rsidR="003A32B4" w:rsidRDefault="003A32B4" w:rsidP="002018EE"/>
    <w:p w14:paraId="30F49618" w14:textId="77777777" w:rsidR="002018EE" w:rsidRDefault="002018EE" w:rsidP="002018EE">
      <w:r>
        <w:t>Der sker ingen realitetsændringer ved forslaget.</w:t>
      </w:r>
    </w:p>
    <w:p w14:paraId="30F49619" w14:textId="77777777" w:rsidR="002018EE" w:rsidRDefault="002018EE" w:rsidP="002018EE"/>
    <w:p w14:paraId="30F4961A" w14:textId="77777777" w:rsidR="002018EE" w:rsidRDefault="002018EE" w:rsidP="002018EE">
      <w:r>
        <w:t xml:space="preserve">Der henvises i øvrigt til de almindelige bemærkninger i afsnit 2. </w:t>
      </w:r>
      <w:r w:rsidR="00376C3E">
        <w:t>4</w:t>
      </w:r>
      <w:r>
        <w:t>.</w:t>
      </w:r>
    </w:p>
    <w:p w14:paraId="30F4961B" w14:textId="77777777" w:rsidR="00226B0A" w:rsidRDefault="00226B0A" w:rsidP="003B0556"/>
    <w:p w14:paraId="30F4961C" w14:textId="77777777" w:rsidR="00226B0A" w:rsidRDefault="00672750" w:rsidP="003B0556">
      <w:r>
        <w:t>Til nr. 6</w:t>
      </w:r>
    </w:p>
    <w:p w14:paraId="30F4961D" w14:textId="77777777" w:rsidR="00F82DC3" w:rsidRDefault="00F82DC3" w:rsidP="003B0556">
      <w:r>
        <w:t xml:space="preserve">Det fremgår af nugældende § 23 a, stk. 7, at </w:t>
      </w:r>
      <w:r w:rsidR="00EF68B3">
        <w:t>t</w:t>
      </w:r>
      <w:r w:rsidR="00EF68B3" w:rsidRPr="00186EB2">
        <w:t xml:space="preserve">illægstaksterne </w:t>
      </w:r>
      <w:r w:rsidR="0064132D">
        <w:t>efter</w:t>
      </w:r>
      <w:r w:rsidR="00EF68B3">
        <w:t xml:space="preserve"> nugældende lovs § 23 a, stk. 1 – 6 </w:t>
      </w:r>
      <w:r w:rsidR="00EF68B3" w:rsidRPr="00186EB2">
        <w:t>fastsættes på de årlige finanslo</w:t>
      </w:r>
      <w:r w:rsidR="00EF68B3" w:rsidRPr="00EF68B3">
        <w:t xml:space="preserve">ve. </w:t>
      </w:r>
      <w:r w:rsidR="005F2511">
        <w:t>Endvidere fremgår det af bestemmelsen, at u</w:t>
      </w:r>
      <w:r w:rsidR="005F2511" w:rsidRPr="00186EB2">
        <w:t>ndervisningsm</w:t>
      </w:r>
      <w:r w:rsidR="005F2511" w:rsidRPr="00186EB2">
        <w:t>i</w:t>
      </w:r>
      <w:r w:rsidR="005F2511" w:rsidRPr="00186EB2">
        <w:t>nisteren fastsætter nærmere regler om betingelser for og beregning af tilskud m.v. efter stk. 1-6 og om skolernes indhentning af oplysninger fra eleverne om deres nationale baggrund og forudg</w:t>
      </w:r>
      <w:r w:rsidR="005F2511" w:rsidRPr="00186EB2">
        <w:t>å</w:t>
      </w:r>
      <w:r w:rsidR="005F2511" w:rsidRPr="00186EB2">
        <w:t>ende skolegang.</w:t>
      </w:r>
    </w:p>
    <w:p w14:paraId="30F4961E" w14:textId="77777777" w:rsidR="00EF68B3" w:rsidRDefault="00EF68B3" w:rsidP="003B0556"/>
    <w:p w14:paraId="30F4961F" w14:textId="77777777" w:rsidR="00EF68B3" w:rsidRDefault="00EF68B3" w:rsidP="00EF68B3">
      <w:pPr>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 xml:space="preserve">Med lovforslagets § 1, nr. 2, ophæves lovens § 23 a, stk. 1, om et særligt tilskud til efterskoler for elever, som har gennemført mindst 12 uger af et kursus, og </w:t>
      </w:r>
      <w:r w:rsidRPr="00BC0C34">
        <w:rPr>
          <w:rFonts w:asciiTheme="minorHAnsi" w:eastAsia="Times New Roman" w:hAnsiTheme="minorHAnsi" w:cs="Tahoma"/>
          <w:color w:val="000000"/>
          <w:lang w:eastAsia="da-DK"/>
        </w:rPr>
        <w:t>som</w:t>
      </w:r>
      <w:r w:rsidRPr="00000990">
        <w:rPr>
          <w:rFonts w:asciiTheme="minorHAnsi" w:hAnsiTheme="minorHAnsi"/>
        </w:rPr>
        <w:t xml:space="preserve"> har gennemført mindst 12 uger af et kursus, og som er indvandrere fra ikkevestlige lande og Albanien, Bosnien-Herzegovina, Serbien, Montenegro, Kroatien og Makedonien samt efterkommere af indvandrere fra disse la</w:t>
      </w:r>
      <w:r w:rsidRPr="00000990">
        <w:rPr>
          <w:rFonts w:asciiTheme="minorHAnsi" w:hAnsiTheme="minorHAnsi"/>
        </w:rPr>
        <w:t>n</w:t>
      </w:r>
      <w:r w:rsidRPr="00000990">
        <w:rPr>
          <w:rFonts w:asciiTheme="minorHAnsi" w:hAnsiTheme="minorHAnsi"/>
        </w:rPr>
        <w:t>de, herunder flygtninge omfattet af lov om integration af udlændinge i Danmark og disse flyg</w:t>
      </w:r>
      <w:r w:rsidRPr="00000990">
        <w:rPr>
          <w:rFonts w:asciiTheme="minorHAnsi" w:hAnsiTheme="minorHAnsi"/>
        </w:rPr>
        <w:t>t</w:t>
      </w:r>
      <w:r w:rsidRPr="00000990">
        <w:rPr>
          <w:rFonts w:asciiTheme="minorHAnsi" w:hAnsiTheme="minorHAnsi"/>
        </w:rPr>
        <w:t>ninges børn.</w:t>
      </w:r>
      <w:r>
        <w:rPr>
          <w:rFonts w:asciiTheme="minorHAnsi" w:eastAsia="Times New Roman" w:hAnsiTheme="minorHAnsi" w:cs="Tahoma"/>
          <w:color w:val="000000"/>
          <w:lang w:eastAsia="da-DK"/>
        </w:rPr>
        <w:t xml:space="preserve"> Herefter bliver stk. 2- 7 til stk. 1- 6.</w:t>
      </w:r>
    </w:p>
    <w:p w14:paraId="30F49620" w14:textId="77777777" w:rsidR="00EF68B3" w:rsidRDefault="00EF68B3" w:rsidP="00EF68B3">
      <w:pPr>
        <w:rPr>
          <w:rFonts w:asciiTheme="minorHAnsi" w:eastAsia="Times New Roman" w:hAnsiTheme="minorHAnsi" w:cs="Tahoma"/>
          <w:color w:val="000000"/>
          <w:lang w:eastAsia="da-DK"/>
        </w:rPr>
      </w:pPr>
    </w:p>
    <w:p w14:paraId="30F49621" w14:textId="77777777" w:rsidR="00EF68B3" w:rsidRDefault="00EF68B3" w:rsidP="00EF68B3">
      <w:pPr>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Det foreslås</w:t>
      </w:r>
      <w:r w:rsidR="00276456">
        <w:rPr>
          <w:rFonts w:asciiTheme="minorHAnsi" w:eastAsia="Times New Roman" w:hAnsiTheme="minorHAnsi" w:cs="Tahoma"/>
          <w:color w:val="000000"/>
          <w:lang w:eastAsia="da-DK"/>
        </w:rPr>
        <w:t xml:space="preserve"> derfor</w:t>
      </w:r>
      <w:r>
        <w:rPr>
          <w:rFonts w:asciiTheme="minorHAnsi" w:eastAsia="Times New Roman" w:hAnsiTheme="minorHAnsi" w:cs="Tahoma"/>
          <w:color w:val="000000"/>
          <w:lang w:eastAsia="da-DK"/>
        </w:rPr>
        <w:t>, at henvisningen i § 23 a, stk. 7, til gældende lovs § 23 a, stk. 1-6, ændres til en henvisning til § 23 a, stk. 1-5.</w:t>
      </w:r>
    </w:p>
    <w:p w14:paraId="30F49622" w14:textId="77777777" w:rsidR="00EF68B3" w:rsidRDefault="00EF68B3" w:rsidP="00EF68B3">
      <w:pPr>
        <w:rPr>
          <w:rFonts w:asciiTheme="minorHAnsi" w:eastAsia="Times New Roman" w:hAnsiTheme="minorHAnsi" w:cs="Tahoma"/>
          <w:color w:val="000000"/>
          <w:lang w:eastAsia="da-DK"/>
        </w:rPr>
      </w:pPr>
    </w:p>
    <w:p w14:paraId="30F49623" w14:textId="77777777" w:rsidR="00EF68B3" w:rsidRDefault="00EF68B3" w:rsidP="00EF68B3">
      <w:pPr>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Forslaget er en konsekvens af forslaget om ophævelse af lovens § 23 a, stk. 1, jf. lovforslagets § 1, nr. 2. Henvisningen i nugældende § 23 a, stk. 7, til nugældende § 23 a, stk. 1-6, foreslås ændret i overensstemmelse med forslaget og bestemmelsens nye nummerering af stykker.</w:t>
      </w:r>
    </w:p>
    <w:p w14:paraId="30F49624" w14:textId="77777777" w:rsidR="00276456" w:rsidRDefault="00276456" w:rsidP="00EF68B3">
      <w:pPr>
        <w:rPr>
          <w:rFonts w:asciiTheme="minorHAnsi" w:eastAsia="Times New Roman" w:hAnsiTheme="minorHAnsi" w:cs="Tahoma"/>
          <w:color w:val="000000"/>
          <w:lang w:eastAsia="da-DK"/>
        </w:rPr>
      </w:pPr>
    </w:p>
    <w:p w14:paraId="30F49625" w14:textId="77777777" w:rsidR="00276456" w:rsidRDefault="00276456" w:rsidP="00EF68B3">
      <w:pPr>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Der henvises i øvrigt til de almindelige bemærkninger i afsnit 2.</w:t>
      </w:r>
      <w:r w:rsidR="00376C3E">
        <w:rPr>
          <w:rFonts w:asciiTheme="minorHAnsi" w:eastAsia="Times New Roman" w:hAnsiTheme="minorHAnsi" w:cs="Tahoma"/>
          <w:color w:val="000000"/>
          <w:lang w:eastAsia="da-DK"/>
        </w:rPr>
        <w:t>3</w:t>
      </w:r>
      <w:r>
        <w:rPr>
          <w:rFonts w:asciiTheme="minorHAnsi" w:eastAsia="Times New Roman" w:hAnsiTheme="minorHAnsi" w:cs="Tahoma"/>
          <w:color w:val="000000"/>
          <w:lang w:eastAsia="da-DK"/>
        </w:rPr>
        <w:t>.</w:t>
      </w:r>
    </w:p>
    <w:p w14:paraId="30F49626" w14:textId="77777777" w:rsidR="00213190" w:rsidRDefault="00213190" w:rsidP="003B0556"/>
    <w:p w14:paraId="30F49627" w14:textId="77777777" w:rsidR="003B0556" w:rsidRDefault="007A14A7" w:rsidP="003B0556">
      <w:r>
        <w:t xml:space="preserve">Til nr. </w:t>
      </w:r>
      <w:r w:rsidR="00672750">
        <w:t>7</w:t>
      </w:r>
    </w:p>
    <w:p w14:paraId="30F49628" w14:textId="77777777" w:rsidR="00F754CD" w:rsidRDefault="00F754CD" w:rsidP="007A14A7">
      <w:pPr>
        <w:pStyle w:val="Opstilling-talellerbogst"/>
        <w:numPr>
          <w:ilvl w:val="0"/>
          <w:numId w:val="0"/>
        </w:numPr>
        <w:tabs>
          <w:tab w:val="left" w:pos="1304"/>
        </w:tabs>
        <w:rPr>
          <w:szCs w:val="24"/>
        </w:rPr>
      </w:pPr>
      <w:r>
        <w:rPr>
          <w:szCs w:val="24"/>
        </w:rPr>
        <w:t>S</w:t>
      </w:r>
      <w:r w:rsidR="007A14A7">
        <w:rPr>
          <w:szCs w:val="24"/>
        </w:rPr>
        <w:t>taten yder støtte til nedsættelse af elevbetalingen ved efterskoler. Støtten ydes som en individuel støtte til elever efter skolens vurdering, således at skolen vil være i stand til at opfylde bestemme</w:t>
      </w:r>
      <w:r w:rsidR="007A14A7">
        <w:rPr>
          <w:szCs w:val="24"/>
        </w:rPr>
        <w:t>l</w:t>
      </w:r>
      <w:r w:rsidR="007A14A7">
        <w:rPr>
          <w:szCs w:val="24"/>
        </w:rPr>
        <w:t>sen i lovens § 15, stk. 2, om, at efterskolernes kurser er for alle</w:t>
      </w:r>
      <w:r w:rsidR="00C354E7">
        <w:rPr>
          <w:szCs w:val="24"/>
        </w:rPr>
        <w:t>, jf. lovens § 31, s</w:t>
      </w:r>
      <w:r>
        <w:rPr>
          <w:szCs w:val="24"/>
        </w:rPr>
        <w:t>tk. 1</w:t>
      </w:r>
      <w:r w:rsidR="007A14A7">
        <w:rPr>
          <w:szCs w:val="24"/>
        </w:rPr>
        <w:t xml:space="preserve">. </w:t>
      </w:r>
    </w:p>
    <w:p w14:paraId="30F49629" w14:textId="77777777" w:rsidR="00F754CD" w:rsidRDefault="00F754CD" w:rsidP="007A14A7">
      <w:pPr>
        <w:pStyle w:val="Opstilling-talellerbogst"/>
        <w:numPr>
          <w:ilvl w:val="0"/>
          <w:numId w:val="0"/>
        </w:numPr>
        <w:tabs>
          <w:tab w:val="left" w:pos="1304"/>
        </w:tabs>
        <w:rPr>
          <w:szCs w:val="24"/>
        </w:rPr>
      </w:pPr>
    </w:p>
    <w:p w14:paraId="30F4962A" w14:textId="77777777" w:rsidR="00C354E7" w:rsidRPr="00C354E7" w:rsidRDefault="00F754CD" w:rsidP="007A14A7">
      <w:pPr>
        <w:pStyle w:val="Opstilling-talellerbogst"/>
        <w:numPr>
          <w:ilvl w:val="0"/>
          <w:numId w:val="0"/>
        </w:numPr>
        <w:tabs>
          <w:tab w:val="left" w:pos="1304"/>
        </w:tabs>
        <w:rPr>
          <w:szCs w:val="24"/>
        </w:rPr>
      </w:pPr>
      <w:r>
        <w:rPr>
          <w:szCs w:val="24"/>
        </w:rPr>
        <w:t>Ifølge den gældende § 37, stk. 3, 1. pkt., ydes t</w:t>
      </w:r>
      <w:r w:rsidR="007A14A7">
        <w:rPr>
          <w:szCs w:val="24"/>
        </w:rPr>
        <w:t>ilskuddet til individuel supplerende støtte til elever på efterskoler som et taxametertilskud til skolerne i lighed med skolernes øvrige tilskud</w:t>
      </w:r>
      <w:r w:rsidR="00C354E7">
        <w:rPr>
          <w:szCs w:val="24"/>
        </w:rPr>
        <w:t xml:space="preserve"> med en takst, der fastsættes på de årlige </w:t>
      </w:r>
      <w:r w:rsidR="00E44E04">
        <w:rPr>
          <w:szCs w:val="24"/>
        </w:rPr>
        <w:t>finanslove.</w:t>
      </w:r>
      <w:r w:rsidR="007A14A7">
        <w:rPr>
          <w:szCs w:val="24"/>
        </w:rPr>
        <w:t>. Ved beregningen af tilskuddet indgår kun elever på kurser af mindst 2 ugers varighed og som har gennemført mindst 2 uger af kurset, jf. § 37, stk. 3, 2. pkt.</w:t>
      </w:r>
      <w:r w:rsidR="00C354E7">
        <w:rPr>
          <w:szCs w:val="24"/>
        </w:rPr>
        <w:t xml:space="preserve"> For skoler, der har været i virksomhed i hele det skoleår, der slutter i året før finansåret, beregnes statens tilskud på grundlag af skolens årselevtal i finansåret, jf. § 37, stk. 3, 3. pkt..</w:t>
      </w:r>
      <w:r w:rsidR="007A14A7">
        <w:rPr>
          <w:szCs w:val="24"/>
        </w:rPr>
        <w:t xml:space="preserve"> </w:t>
      </w:r>
      <w:r w:rsidR="00C354E7">
        <w:rPr>
          <w:szCs w:val="24"/>
        </w:rPr>
        <w:t xml:space="preserve">For nyoprettede skoler og skoler, d er ikke har modtaget tilskud i året før finansåret, anvendes det forventede årselevtal i finansåret, jf. gældende § 37, stk. 3, 4. pkt. </w:t>
      </w:r>
    </w:p>
    <w:p w14:paraId="30F4962B" w14:textId="77777777" w:rsidR="00C354E7" w:rsidRDefault="00C354E7" w:rsidP="007A14A7">
      <w:pPr>
        <w:pStyle w:val="Opstilling-talellerbogst"/>
        <w:numPr>
          <w:ilvl w:val="0"/>
          <w:numId w:val="0"/>
        </w:numPr>
        <w:tabs>
          <w:tab w:val="left" w:pos="1304"/>
        </w:tabs>
        <w:rPr>
          <w:szCs w:val="24"/>
        </w:rPr>
      </w:pPr>
    </w:p>
    <w:p w14:paraId="30F4962C" w14:textId="77777777" w:rsidR="007A14A7" w:rsidRDefault="007A14A7" w:rsidP="007A14A7">
      <w:pPr>
        <w:pStyle w:val="Opstilling-talellerbogst"/>
        <w:numPr>
          <w:ilvl w:val="0"/>
          <w:numId w:val="0"/>
        </w:numPr>
        <w:tabs>
          <w:tab w:val="left" w:pos="1304"/>
        </w:tabs>
        <w:rPr>
          <w:szCs w:val="24"/>
        </w:rPr>
      </w:pPr>
      <w:r>
        <w:rPr>
          <w:szCs w:val="24"/>
        </w:rPr>
        <w:t xml:space="preserve">Den nuværende ordning giver gennemsigtighed og forudsigelighed for den enkelte </w:t>
      </w:r>
      <w:r w:rsidR="0064132D">
        <w:rPr>
          <w:szCs w:val="24"/>
        </w:rPr>
        <w:t>efter</w:t>
      </w:r>
      <w:r>
        <w:rPr>
          <w:szCs w:val="24"/>
        </w:rPr>
        <w:t>skole, og de</w:t>
      </w:r>
      <w:r w:rsidR="0064132D">
        <w:rPr>
          <w:szCs w:val="24"/>
        </w:rPr>
        <w:t>n</w:t>
      </w:r>
      <w:r>
        <w:rPr>
          <w:szCs w:val="24"/>
        </w:rPr>
        <w:t xml:space="preserve"> sikrer, at den enkelte skoles tilskud alene er afhængigt af skolens egne aktiviteter. Tilskuddet til den enkelte </w:t>
      </w:r>
      <w:r w:rsidR="0064132D">
        <w:rPr>
          <w:szCs w:val="24"/>
        </w:rPr>
        <w:t>efter</w:t>
      </w:r>
      <w:r>
        <w:rPr>
          <w:szCs w:val="24"/>
        </w:rPr>
        <w:t>skole bliver fordelt på grundlag af antallet af årselever i skoleåret, det slutter i året før finansåret, jf. den gældende bestemmelse i § 37, stk. 3, 3. pkt.</w:t>
      </w:r>
    </w:p>
    <w:p w14:paraId="30F4962D" w14:textId="77777777" w:rsidR="007A14A7" w:rsidRDefault="007A14A7" w:rsidP="007A14A7">
      <w:pPr>
        <w:pStyle w:val="Opstilling-talellerbogst"/>
        <w:numPr>
          <w:ilvl w:val="0"/>
          <w:numId w:val="0"/>
        </w:numPr>
        <w:tabs>
          <w:tab w:val="left" w:pos="1304"/>
        </w:tabs>
        <w:rPr>
          <w:szCs w:val="24"/>
        </w:rPr>
      </w:pPr>
    </w:p>
    <w:p w14:paraId="30F4962E" w14:textId="77777777" w:rsidR="007A14A7" w:rsidRDefault="007A14A7" w:rsidP="007A14A7">
      <w:pPr>
        <w:pStyle w:val="Opstilling-talellerbogst"/>
        <w:numPr>
          <w:ilvl w:val="0"/>
          <w:numId w:val="0"/>
        </w:numPr>
        <w:tabs>
          <w:tab w:val="left" w:pos="1304"/>
        </w:tabs>
        <w:rPr>
          <w:szCs w:val="24"/>
        </w:rPr>
      </w:pPr>
      <w:r>
        <w:rPr>
          <w:szCs w:val="24"/>
        </w:rPr>
        <w:t>Den nugældende bestemmelse i lovens § 37, stk. 3, blev indføjet ved lov nr. 1226 af 27. december 2003, jf. lovforslag nr. L82 (2003-04) og Folketingstidende (2003-04), Tillæg A, side 2590.</w:t>
      </w:r>
    </w:p>
    <w:p w14:paraId="30F4962F" w14:textId="77777777" w:rsidR="007A14A7" w:rsidRDefault="007A14A7" w:rsidP="007A14A7">
      <w:pPr>
        <w:pStyle w:val="Opstilling-talellerbogst"/>
        <w:numPr>
          <w:ilvl w:val="0"/>
          <w:numId w:val="0"/>
        </w:numPr>
        <w:tabs>
          <w:tab w:val="left" w:pos="1304"/>
        </w:tabs>
        <w:rPr>
          <w:szCs w:val="24"/>
        </w:rPr>
      </w:pPr>
    </w:p>
    <w:p w14:paraId="30F49630" w14:textId="77777777" w:rsidR="007A14A7" w:rsidRDefault="007A14A7" w:rsidP="007A14A7">
      <w:pPr>
        <w:pStyle w:val="Opstilling-talellerbogst"/>
        <w:numPr>
          <w:ilvl w:val="0"/>
          <w:numId w:val="0"/>
        </w:numPr>
        <w:tabs>
          <w:tab w:val="left" w:pos="1304"/>
        </w:tabs>
        <w:rPr>
          <w:szCs w:val="24"/>
        </w:rPr>
      </w:pPr>
      <w:r>
        <w:rPr>
          <w:szCs w:val="24"/>
        </w:rPr>
        <w:lastRenderedPageBreak/>
        <w:t>Den nuværende beregningsmåde i den gældende bestemmelse i lovens § 37, stk. 3, 1. pkt., ind</w:t>
      </w:r>
      <w:r>
        <w:rPr>
          <w:szCs w:val="24"/>
        </w:rPr>
        <w:t>e</w:t>
      </w:r>
      <w:r>
        <w:rPr>
          <w:szCs w:val="24"/>
        </w:rPr>
        <w:t xml:space="preserve">bærer, at efterskoler med mange elever får en større andel af tilskuddet til fordeling sammenlignet med efterskoler med færre elever. Det medfører, at det kan være vanskeligt for </w:t>
      </w:r>
      <w:r w:rsidR="0064132D">
        <w:rPr>
          <w:szCs w:val="24"/>
        </w:rPr>
        <w:t>efter</w:t>
      </w:r>
      <w:r>
        <w:rPr>
          <w:szCs w:val="24"/>
        </w:rPr>
        <w:t xml:space="preserve">skolerne at anvende det tildelte tilskud til nedsættelse af elevbetalingen, da indkomstforholdene hos elevernes forældre er afgørende for, om skolerne kan anvende tilskuddet. </w:t>
      </w:r>
    </w:p>
    <w:p w14:paraId="30F49631" w14:textId="77777777" w:rsidR="009542B7" w:rsidRDefault="009542B7" w:rsidP="007A14A7">
      <w:pPr>
        <w:pStyle w:val="Opstilling-talellerbogst"/>
        <w:numPr>
          <w:ilvl w:val="0"/>
          <w:numId w:val="0"/>
        </w:numPr>
        <w:tabs>
          <w:tab w:val="left" w:pos="1304"/>
        </w:tabs>
        <w:rPr>
          <w:szCs w:val="24"/>
        </w:rPr>
      </w:pPr>
    </w:p>
    <w:p w14:paraId="30F49632" w14:textId="77777777" w:rsidR="009542B7" w:rsidRPr="009542B7" w:rsidRDefault="009542B7" w:rsidP="007A14A7">
      <w:pPr>
        <w:pStyle w:val="Opstilling-talellerbogst"/>
        <w:numPr>
          <w:ilvl w:val="0"/>
          <w:numId w:val="0"/>
        </w:numPr>
        <w:tabs>
          <w:tab w:val="left" w:pos="1304"/>
        </w:tabs>
        <w:rPr>
          <w:szCs w:val="24"/>
        </w:rPr>
      </w:pPr>
      <w:r>
        <w:rPr>
          <w:szCs w:val="24"/>
        </w:rPr>
        <w:t>Der foreslås på denne baggrund en nyaffattelse af</w:t>
      </w:r>
      <w:r w:rsidR="00F754CD">
        <w:rPr>
          <w:szCs w:val="24"/>
        </w:rPr>
        <w:t xml:space="preserve"> </w:t>
      </w:r>
      <w:r>
        <w:rPr>
          <w:i/>
          <w:szCs w:val="24"/>
        </w:rPr>
        <w:t>§ 37, stk. 3</w:t>
      </w:r>
      <w:r w:rsidR="003A32B4">
        <w:rPr>
          <w:i/>
          <w:szCs w:val="24"/>
        </w:rPr>
        <w:t>.</w:t>
      </w:r>
      <w:r>
        <w:rPr>
          <w:i/>
          <w:szCs w:val="24"/>
        </w:rPr>
        <w:t xml:space="preserve"> </w:t>
      </w:r>
      <w:r>
        <w:rPr>
          <w:szCs w:val="24"/>
        </w:rPr>
        <w:t>Formålet med forslaget er en o</w:t>
      </w:r>
      <w:r>
        <w:rPr>
          <w:szCs w:val="24"/>
        </w:rPr>
        <w:t>m</w:t>
      </w:r>
      <w:r>
        <w:rPr>
          <w:szCs w:val="24"/>
        </w:rPr>
        <w:t xml:space="preserve">fordeling af midlerne til den individuelle supplerende støtte til de </w:t>
      </w:r>
      <w:r w:rsidR="0064132D">
        <w:rPr>
          <w:szCs w:val="24"/>
        </w:rPr>
        <w:t>efter</w:t>
      </w:r>
      <w:r>
        <w:rPr>
          <w:szCs w:val="24"/>
        </w:rPr>
        <w:t>skoler, som har flest årsel</w:t>
      </w:r>
      <w:r>
        <w:rPr>
          <w:szCs w:val="24"/>
        </w:rPr>
        <w:t>e</w:t>
      </w:r>
      <w:r>
        <w:rPr>
          <w:szCs w:val="24"/>
        </w:rPr>
        <w:t>ver fra familier med lavindkomster</w:t>
      </w:r>
      <w:r w:rsidR="00A73698">
        <w:rPr>
          <w:szCs w:val="24"/>
        </w:rPr>
        <w:t xml:space="preserve">. </w:t>
      </w:r>
      <w:r w:rsidR="00E462EE">
        <w:rPr>
          <w:szCs w:val="24"/>
        </w:rPr>
        <w:t xml:space="preserve">Forslaget bidrager dermed til, at </w:t>
      </w:r>
      <w:r w:rsidR="0064132D">
        <w:rPr>
          <w:szCs w:val="24"/>
        </w:rPr>
        <w:t>efter</w:t>
      </w:r>
      <w:r w:rsidR="00E462EE">
        <w:rPr>
          <w:szCs w:val="24"/>
        </w:rPr>
        <w:t>skolernes kurser bliver for alle, jf. lovens § 15, stk. 2.</w:t>
      </w:r>
    </w:p>
    <w:p w14:paraId="30F49633" w14:textId="77777777" w:rsidR="007A14A7" w:rsidRDefault="007A14A7" w:rsidP="007A14A7">
      <w:pPr>
        <w:pStyle w:val="Opstilling-talellerbogst"/>
        <w:numPr>
          <w:ilvl w:val="0"/>
          <w:numId w:val="0"/>
        </w:numPr>
        <w:tabs>
          <w:tab w:val="left" w:pos="1304"/>
        </w:tabs>
        <w:rPr>
          <w:szCs w:val="24"/>
        </w:rPr>
      </w:pPr>
    </w:p>
    <w:p w14:paraId="30F49634" w14:textId="77777777" w:rsidR="007F0CCD" w:rsidRDefault="00AA5DA4" w:rsidP="007A14A7">
      <w:r>
        <w:t>De</w:t>
      </w:r>
      <w:r w:rsidR="00F754CD">
        <w:t>t</w:t>
      </w:r>
      <w:r>
        <w:t xml:space="preserve"> forslåede  </w:t>
      </w:r>
      <w:r w:rsidRPr="00AA5DA4">
        <w:rPr>
          <w:i/>
        </w:rPr>
        <w:t>§ 37, stk. 3, 1. pkt.,</w:t>
      </w:r>
      <w:r>
        <w:t xml:space="preserve"> </w:t>
      </w:r>
      <w:r w:rsidR="00F754CD">
        <w:t xml:space="preserve">vil </w:t>
      </w:r>
      <w:r w:rsidR="00A73698">
        <w:t>indebære</w:t>
      </w:r>
      <w:r w:rsidR="007A14A7">
        <w:t xml:space="preserve">, at </w:t>
      </w:r>
      <w:r w:rsidR="00DD23C8">
        <w:t>den samlede pulje for tilskud til individuel ele</w:t>
      </w:r>
      <w:r w:rsidR="00DD23C8">
        <w:t>v</w:t>
      </w:r>
      <w:r w:rsidR="00DD23C8">
        <w:t>støtte fastsættes på de årlige finanslove på baggrund af den samlede pulje og antal</w:t>
      </w:r>
      <w:r w:rsidR="00F754CD">
        <w:t>let</w:t>
      </w:r>
      <w:r w:rsidR="00DD23C8">
        <w:t xml:space="preserve"> årselever på de ti </w:t>
      </w:r>
      <w:r w:rsidR="007053F8">
        <w:t>laveste indkomstintervaller</w:t>
      </w:r>
      <w:r w:rsidR="00DD23C8">
        <w:t xml:space="preserve"> på den i § 30, stk. 5, nr. 2, 1. pkt., nævnte skala i skoleåret</w:t>
      </w:r>
      <w:r w:rsidR="003A32B4">
        <w:t>,</w:t>
      </w:r>
      <w:r w:rsidR="00DD23C8">
        <w:t xml:space="preserve"> der slutter i året før finansåret.</w:t>
      </w:r>
      <w:r w:rsidR="005C55C2">
        <w:t xml:space="preserve"> </w:t>
      </w:r>
    </w:p>
    <w:p w14:paraId="30F49635" w14:textId="77777777" w:rsidR="00C354E7" w:rsidRDefault="00C354E7" w:rsidP="00C354E7">
      <w:pPr>
        <w:pStyle w:val="Opstilling-talellerbogst"/>
        <w:numPr>
          <w:ilvl w:val="0"/>
          <w:numId w:val="0"/>
        </w:numPr>
        <w:tabs>
          <w:tab w:val="left" w:pos="1304"/>
        </w:tabs>
      </w:pPr>
    </w:p>
    <w:p w14:paraId="30F49636" w14:textId="77777777" w:rsidR="00C354E7" w:rsidRDefault="00C354E7" w:rsidP="00B57829">
      <w:pPr>
        <w:pStyle w:val="Opstilling-talellerbogst"/>
        <w:numPr>
          <w:ilvl w:val="0"/>
          <w:numId w:val="0"/>
        </w:numPr>
        <w:tabs>
          <w:tab w:val="left" w:pos="1304"/>
        </w:tabs>
      </w:pPr>
      <w:r>
        <w:rPr>
          <w:szCs w:val="24"/>
        </w:rPr>
        <w:t>Forslaget vil betyde, at der sker en omfordeling af den individuelle supplerende støtte til de efte</w:t>
      </w:r>
      <w:r>
        <w:rPr>
          <w:szCs w:val="24"/>
        </w:rPr>
        <w:t>r</w:t>
      </w:r>
      <w:r>
        <w:rPr>
          <w:szCs w:val="24"/>
        </w:rPr>
        <w:t xml:space="preserve">skoler, som har flest årselever fra familier med lavindkomster, og forslaget bidrager dermed til, at efterskolernes kurser bliver for alle, jf. gældende lovs § 15, stk. 2. </w:t>
      </w:r>
    </w:p>
    <w:p w14:paraId="30F49637" w14:textId="77777777" w:rsidR="007F0CCD" w:rsidRDefault="007F0CCD" w:rsidP="007A14A7"/>
    <w:p w14:paraId="30F49638" w14:textId="77777777" w:rsidR="00F754CD" w:rsidRDefault="00F754CD" w:rsidP="007A14A7">
      <w:r>
        <w:t>Det f</w:t>
      </w:r>
      <w:r w:rsidR="007F0CCD">
        <w:t>orsl</w:t>
      </w:r>
      <w:r>
        <w:t>åede</w:t>
      </w:r>
      <w:r w:rsidR="00AA5DA4" w:rsidRPr="00AA5DA4">
        <w:rPr>
          <w:i/>
        </w:rPr>
        <w:t xml:space="preserve">§ 37, stk. 3, </w:t>
      </w:r>
      <w:r>
        <w:rPr>
          <w:i/>
        </w:rPr>
        <w:t>2</w:t>
      </w:r>
      <w:r w:rsidR="00AA5DA4" w:rsidRPr="00AA5DA4">
        <w:rPr>
          <w:i/>
        </w:rPr>
        <w:t>. pkt.,</w:t>
      </w:r>
      <w:r w:rsidR="007F0CCD">
        <w:t xml:space="preserve"> </w:t>
      </w:r>
      <w:r>
        <w:t xml:space="preserve">vil </w:t>
      </w:r>
      <w:r w:rsidR="007F0CCD">
        <w:t>indebære at t</w:t>
      </w:r>
      <w:r w:rsidR="00DD23C8">
        <w:t xml:space="preserve">ilskud til individuel elevstøtte </w:t>
      </w:r>
      <w:r w:rsidR="005C55C2">
        <w:t>ydes</w:t>
      </w:r>
      <w:r w:rsidR="00DD23C8">
        <w:t xml:space="preserve"> til den enkelte </w:t>
      </w:r>
      <w:r w:rsidR="0064132D">
        <w:t>efter</w:t>
      </w:r>
      <w:r w:rsidR="00DD23C8">
        <w:t xml:space="preserve">skole ud fra </w:t>
      </w:r>
      <w:r w:rsidR="0064132D">
        <w:t>efter</w:t>
      </w:r>
      <w:r w:rsidR="00DD23C8">
        <w:t>skolens antal årselever på de ti</w:t>
      </w:r>
      <w:r w:rsidR="007053F8">
        <w:t xml:space="preserve"> laveste indkomstintervaller</w:t>
      </w:r>
      <w:r w:rsidR="00DD23C8">
        <w:t xml:space="preserve"> på den i § 30, stk. 5, nr. 2, 1. pkt., nævnte skala i finansåret. </w:t>
      </w:r>
    </w:p>
    <w:p w14:paraId="30F49639" w14:textId="77777777" w:rsidR="00F754CD" w:rsidRDefault="00F754CD" w:rsidP="007A14A7"/>
    <w:p w14:paraId="30F4963A" w14:textId="77777777" w:rsidR="007A14A7" w:rsidRDefault="00F754CD" w:rsidP="007A14A7">
      <w:r>
        <w:t>Det forslåede</w:t>
      </w:r>
      <w:r w:rsidRPr="00AA5DA4">
        <w:rPr>
          <w:i/>
        </w:rPr>
        <w:t xml:space="preserve">§ 37, stk. 3, </w:t>
      </w:r>
      <w:r>
        <w:rPr>
          <w:i/>
        </w:rPr>
        <w:t xml:space="preserve">3. pkt., </w:t>
      </w:r>
      <w:r w:rsidRPr="00F27C31">
        <w:t xml:space="preserve">vil indebære, at </w:t>
      </w:r>
      <w:r w:rsidR="00BC4F45" w:rsidRPr="00B05F6A">
        <w:t>kun</w:t>
      </w:r>
      <w:r w:rsidR="00BC4F45">
        <w:t xml:space="preserve"> elever på kurser af mindst 2 ugers varighed</w:t>
      </w:r>
      <w:r>
        <w:t xml:space="preserve"> medregnes ved beregning af årselevtallet</w:t>
      </w:r>
      <w:r w:rsidR="00BF7529">
        <w:t xml:space="preserve"> til geografisk skoletilskud</w:t>
      </w:r>
      <w:r w:rsidR="00BC4F45">
        <w:t xml:space="preserve">. </w:t>
      </w:r>
    </w:p>
    <w:p w14:paraId="30F4963B" w14:textId="77777777" w:rsidR="007F0CCD" w:rsidRDefault="007F0CCD" w:rsidP="007A14A7">
      <w:pPr>
        <w:pStyle w:val="Opstilling-talellerbogst"/>
        <w:numPr>
          <w:ilvl w:val="0"/>
          <w:numId w:val="0"/>
        </w:numPr>
        <w:tabs>
          <w:tab w:val="left" w:pos="1304"/>
        </w:tabs>
        <w:rPr>
          <w:szCs w:val="24"/>
        </w:rPr>
      </w:pPr>
    </w:p>
    <w:p w14:paraId="30F4963C" w14:textId="77777777" w:rsidR="007F0CCD" w:rsidRDefault="007F0CCD" w:rsidP="007F0CCD">
      <w:r>
        <w:t xml:space="preserve">Omlægningen af den individuelle elevstøtte vurderes ikke at medføre, at de enkelte </w:t>
      </w:r>
      <w:r w:rsidR="0064132D">
        <w:t>efter</w:t>
      </w:r>
      <w:r>
        <w:t>skoler ikke i samme omfang som i dag har gennemsigtighed og forudsigelighed over deres midler til supplerende elevstøtte</w:t>
      </w:r>
      <w:r w:rsidR="00DC0C60">
        <w:t>.</w:t>
      </w:r>
      <w:r>
        <w:t xml:space="preserve"> </w:t>
      </w:r>
    </w:p>
    <w:p w14:paraId="30F4963D" w14:textId="77777777" w:rsidR="009542B7" w:rsidRDefault="009542B7" w:rsidP="007F0CCD"/>
    <w:p w14:paraId="30F4963E" w14:textId="77777777" w:rsidR="00805256" w:rsidRDefault="00805256" w:rsidP="00805256">
      <w:pPr>
        <w:pStyle w:val="Opstilling-talellerbogst"/>
        <w:numPr>
          <w:ilvl w:val="0"/>
          <w:numId w:val="0"/>
        </w:numPr>
        <w:tabs>
          <w:tab w:val="left" w:pos="1304"/>
        </w:tabs>
        <w:rPr>
          <w:szCs w:val="24"/>
        </w:rPr>
      </w:pPr>
      <w:r>
        <w:rPr>
          <w:szCs w:val="24"/>
        </w:rPr>
        <w:t xml:space="preserve">Forslaget </w:t>
      </w:r>
      <w:r w:rsidR="00C354E7">
        <w:rPr>
          <w:szCs w:val="24"/>
        </w:rPr>
        <w:t xml:space="preserve">vil også </w:t>
      </w:r>
      <w:r>
        <w:rPr>
          <w:szCs w:val="24"/>
        </w:rPr>
        <w:t xml:space="preserve">betyde, at tilskuddet til individuel supplerende elevstøtte fremadrettet udbetales til </w:t>
      </w:r>
      <w:r w:rsidR="0064132D">
        <w:rPr>
          <w:szCs w:val="24"/>
        </w:rPr>
        <w:t>efter</w:t>
      </w:r>
      <w:r>
        <w:rPr>
          <w:szCs w:val="24"/>
        </w:rPr>
        <w:t>skolerne efter tidstro aktivitet frem for med et års forsinkelse som hidtil.</w:t>
      </w:r>
    </w:p>
    <w:p w14:paraId="30F4963F" w14:textId="77777777" w:rsidR="007F0CCD" w:rsidRDefault="007F0CCD" w:rsidP="007A14A7">
      <w:pPr>
        <w:pStyle w:val="Opstilling-talellerbogst"/>
        <w:numPr>
          <w:ilvl w:val="0"/>
          <w:numId w:val="0"/>
        </w:numPr>
        <w:tabs>
          <w:tab w:val="left" w:pos="1304"/>
        </w:tabs>
        <w:rPr>
          <w:szCs w:val="24"/>
        </w:rPr>
      </w:pPr>
    </w:p>
    <w:p w14:paraId="30F49640" w14:textId="77777777" w:rsidR="007A14A7" w:rsidRDefault="007A14A7" w:rsidP="007A14A7">
      <w:pPr>
        <w:pStyle w:val="Opstilling-talellerbogst"/>
        <w:numPr>
          <w:ilvl w:val="0"/>
          <w:numId w:val="0"/>
        </w:numPr>
        <w:tabs>
          <w:tab w:val="left" w:pos="1304"/>
        </w:tabs>
        <w:rPr>
          <w:szCs w:val="24"/>
        </w:rPr>
      </w:pPr>
      <w:r>
        <w:rPr>
          <w:szCs w:val="24"/>
        </w:rPr>
        <w:t>Der henvises i øvrigt til de almin</w:t>
      </w:r>
      <w:r w:rsidR="0091612E">
        <w:rPr>
          <w:szCs w:val="24"/>
        </w:rPr>
        <w:t>delige bemærkninger i afsnit 2.</w:t>
      </w:r>
      <w:r w:rsidR="00C354E7">
        <w:rPr>
          <w:szCs w:val="24"/>
        </w:rPr>
        <w:t>2</w:t>
      </w:r>
      <w:r>
        <w:rPr>
          <w:szCs w:val="24"/>
        </w:rPr>
        <w:t>.</w:t>
      </w:r>
    </w:p>
    <w:p w14:paraId="30F49641" w14:textId="77777777" w:rsidR="006747F5" w:rsidRDefault="006747F5" w:rsidP="003B0556"/>
    <w:p w14:paraId="30F49642" w14:textId="77777777" w:rsidR="006747F5" w:rsidRDefault="006747F5" w:rsidP="006747F5">
      <w:pPr>
        <w:jc w:val="center"/>
        <w:rPr>
          <w:i/>
        </w:rPr>
      </w:pPr>
      <w:r w:rsidRPr="006747F5">
        <w:rPr>
          <w:i/>
        </w:rPr>
        <w:t>Til § 2</w:t>
      </w:r>
    </w:p>
    <w:p w14:paraId="30F49643" w14:textId="77777777" w:rsidR="006747F5" w:rsidRDefault="006747F5" w:rsidP="006747F5">
      <w:pPr>
        <w:spacing w:before="100" w:beforeAutospacing="1" w:after="100" w:afterAutospacing="1" w:line="240" w:lineRule="auto"/>
        <w:rPr>
          <w:rFonts w:asciiTheme="minorHAnsi" w:eastAsia="Times New Roman" w:hAnsiTheme="minorHAnsi" w:cs="Tahoma"/>
          <w:color w:val="000000"/>
          <w:lang w:eastAsia="da-DK"/>
        </w:rPr>
      </w:pPr>
      <w:r w:rsidRPr="006747F5">
        <w:rPr>
          <w:rFonts w:asciiTheme="minorHAnsi" w:eastAsia="Times New Roman" w:hAnsiTheme="minorHAnsi" w:cs="Tahoma"/>
          <w:color w:val="000000"/>
          <w:lang w:eastAsia="da-DK"/>
        </w:rPr>
        <w:t>Det foreslås, at lovforslaget træder i kraft den 1. januar 201</w:t>
      </w:r>
      <w:r w:rsidR="0076084B">
        <w:rPr>
          <w:rFonts w:asciiTheme="minorHAnsi" w:eastAsia="Times New Roman" w:hAnsiTheme="minorHAnsi" w:cs="Tahoma"/>
          <w:color w:val="000000"/>
          <w:lang w:eastAsia="da-DK"/>
        </w:rPr>
        <w:t>9</w:t>
      </w:r>
      <w:r w:rsidRPr="006747F5">
        <w:rPr>
          <w:rFonts w:asciiTheme="minorHAnsi" w:eastAsia="Times New Roman" w:hAnsiTheme="minorHAnsi" w:cs="Tahoma"/>
          <w:color w:val="000000"/>
          <w:lang w:eastAsia="da-DK"/>
        </w:rPr>
        <w:t>.</w:t>
      </w:r>
    </w:p>
    <w:p w14:paraId="30F49644" w14:textId="77777777" w:rsidR="006747F5" w:rsidRPr="00FC41E5" w:rsidRDefault="00226B0A" w:rsidP="00FC41E5">
      <w:pPr>
        <w:spacing w:before="100" w:beforeAutospacing="1" w:after="100" w:afterAutospacing="1" w:line="240" w:lineRule="auto"/>
        <w:rPr>
          <w:rFonts w:asciiTheme="minorHAnsi" w:eastAsia="Times New Roman" w:hAnsiTheme="minorHAnsi" w:cs="Tahoma"/>
          <w:color w:val="000000"/>
          <w:lang w:eastAsia="da-DK"/>
        </w:rPr>
      </w:pPr>
      <w:r>
        <w:t>Det bemærkes, at lov om efterskoler og frie fagskoler ikke gælder for Færøerne og Grønland, jf. § 56 i lov om efterskoler og frie fagskoler. Loven kan heller ikke sættes i kraft for Færøerne og Grønland ved kgl. Anordning. De ændringer, som foreslås med dette lovforslag, vil derfor heller ikke skulle gælde for Færøerne og Grønland eller i øvrigt kunne sættes i kraft for disse landsdele ved kgl. Anordning.</w:t>
      </w:r>
    </w:p>
    <w:sectPr w:rsidR="006747F5" w:rsidRPr="00FC41E5" w:rsidSect="005A2B83">
      <w:headerReference w:type="even" r:id="rId10"/>
      <w:footerReference w:type="default" r:id="rId11"/>
      <w:pgSz w:w="11906" w:h="16838" w:code="9"/>
      <w:pgMar w:top="1950" w:right="1418" w:bottom="1077" w:left="1418" w:header="567"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9647" w14:textId="77777777" w:rsidR="00376C3E" w:rsidRDefault="00376C3E" w:rsidP="009E4B94">
      <w:pPr>
        <w:spacing w:line="240" w:lineRule="auto"/>
      </w:pPr>
      <w:r>
        <w:separator/>
      </w:r>
    </w:p>
  </w:endnote>
  <w:endnote w:type="continuationSeparator" w:id="0">
    <w:p w14:paraId="30F49648" w14:textId="77777777" w:rsidR="00376C3E" w:rsidRDefault="00376C3E" w:rsidP="009E4B94">
      <w:pPr>
        <w:spacing w:line="240" w:lineRule="auto"/>
      </w:pPr>
      <w:r>
        <w:continuationSeparator/>
      </w:r>
    </w:p>
  </w:endnote>
  <w:endnote w:type="continuationNotice" w:id="1">
    <w:p w14:paraId="30F49649" w14:textId="77777777" w:rsidR="00376C3E" w:rsidRDefault="00376C3E">
      <w:pPr>
        <w:pStyle w:val="Sidehoved"/>
      </w:pPr>
      <w:r>
        <w:rPr>
          <w:noProof/>
          <w:lang w:eastAsia="da-DK"/>
        </w:rPr>
        <mc:AlternateContent>
          <mc:Choice Requires="wps">
            <w:drawing>
              <wp:anchor distT="0" distB="0" distL="114300" distR="114300" simplePos="0" relativeHeight="251662336" behindDoc="0" locked="0" layoutInCell="1" allowOverlap="1" wp14:anchorId="30F49655" wp14:editId="30F49656">
                <wp:simplePos x="0" y="0"/>
                <wp:positionH relativeFrom="rightMargin">
                  <wp:align>right</wp:align>
                </wp:positionH>
                <wp:positionV relativeFrom="page">
                  <wp:align>top</wp:align>
                </wp:positionV>
                <wp:extent cx="2004695" cy="1143000"/>
                <wp:effectExtent l="0" t="0" r="14605" b="0"/>
                <wp:wrapNone/>
                <wp:docPr id="5" name="Pageno_2"/>
                <wp:cNvGraphicFramePr/>
                <a:graphic xmlns:a="http://schemas.openxmlformats.org/drawingml/2006/main">
                  <a:graphicData uri="http://schemas.microsoft.com/office/word/2010/wordprocessingShape">
                    <wps:wsp>
                      <wps:cNvSpPr txBox="1"/>
                      <wps:spPr>
                        <a:xfrm>
                          <a:off x="0" y="0"/>
                          <a:ext cx="20052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49657" w14:textId="77777777" w:rsidR="00376C3E" w:rsidRPr="00F42C24" w:rsidRDefault="00376C3E" w:rsidP="00071735">
                            <w:pPr>
                              <w:pStyle w:val="Template-DatoogSagsnr"/>
                              <w:rPr>
                                <w:rStyle w:val="Sidetal"/>
                                <w:lang w:val="en-US"/>
                              </w:rPr>
                            </w:pPr>
                            <w:bookmarkStart w:id="0" w:name="SD_LAN_CaseNo"/>
                            <w:r>
                              <w:rPr>
                                <w:lang w:val="en-US"/>
                              </w:rPr>
                              <w:t>Sagsnr.</w:t>
                            </w:r>
                            <w:bookmarkEnd w:id="0"/>
                            <w:r w:rsidRPr="00F42C24">
                              <w:rPr>
                                <w:lang w:val="en-US"/>
                              </w:rPr>
                              <w:t xml:space="preserve">: </w:t>
                            </w:r>
                            <w:sdt>
                              <w:sdtPr>
                                <w:tag w:val="ToCase.Name"/>
                                <w:id w:val="379125552"/>
                                <w:showingPlcHdr/>
                                <w:dataBinding w:prefixMappings="xmlns:gbs='http://www.software-innovation.no/growBusinessDocument'" w:xpath="/gbs:GrowBusinessDocument/gbs:ToCase.Name[@gbs:key='379125552']" w:storeItemID="{93E5F66C-E24B-437D-8E7B-5A87BA9C7D86}"/>
                                <w:text/>
                              </w:sdtPr>
                              <w:sdtEndPr/>
                              <w:sdtContent>
                                <w:r w:rsidRPr="00F42C24">
                                  <w:rPr>
                                    <w:rStyle w:val="Pladsholdertekst"/>
                                    <w:lang w:val="en-US"/>
                                  </w:rPr>
                                  <w:t>Click here to enter text.</w:t>
                                </w:r>
                              </w:sdtContent>
                            </w:sdt>
                          </w:p>
                        </w:txbxContent>
                      </wps:txbx>
                      <wps:bodyPr rot="0" spcFirstLastPara="0" vertOverflow="overflow" horzOverflow="overflow" vert="horz" wrap="square" lIns="0" tIns="5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106.65pt;margin-top:0;width:157.85pt;height:90pt;z-index:25166233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" filled="f" stroked="f" strokeweight=".5pt">
                <v:textbox inset="0,15mm,0,0">
                  <w:txbxContent>
                    <w:p w14:paraId="30F49657" w14:textId="77777777" w:rsidR="00376C3E" w:rsidRPr="00F42C24" w:rsidRDefault="00376C3E" w:rsidP="00071735">
                      <w:pPr>
                        <w:pStyle w:val="Template-DatoogSagsnr"/>
                        <w:rPr>
                          <w:rStyle w:val="Sidetal"/>
                          <w:lang w:val="en-US"/>
                        </w:rPr>
                      </w:pPr>
                      <w:bookmarkStart w:id="1" w:name="SD_LAN_CaseNo"/>
                      <w:r>
                        <w:rPr>
                          <w:lang w:val="en-US"/>
                        </w:rPr>
                        <w:t>Sagsnr.</w:t>
                      </w:r>
                      <w:bookmarkEnd w:id="1"/>
                      <w:r w:rsidRPr="00F42C24">
                        <w:rPr>
                          <w:lang w:val="en-US"/>
                        </w:rPr>
                        <w:t xml:space="preserve">: </w:t>
                      </w:r>
                      <w:sdt>
                        <w:sdtPr>
                          <w:tag w:val="ToCase.Name"/>
                          <w:id w:val="379125552"/>
                          <w:showingPlcHdr/>
                          <w:dataBinding w:prefixMappings="xmlns:gbs='http://www.software-innovation.no/growBusinessDocument'" w:xpath="/gbs:GrowBusinessDocument/gbs:ToCase.Name[@gbs:key='379125552']" w:storeItemID="{93E5F66C-E24B-437D-8E7B-5A87BA9C7D86}"/>
                          <w:text/>
                        </w:sdtPr>
                        <w:sdtEndPr/>
                        <w:sdtContent>
                          <w:r w:rsidRPr="00F42C24">
                            <w:rPr>
                              <w:rStyle w:val="Pladsholdertekst"/>
                              <w:lang w:val="en-US"/>
                            </w:rPr>
                            <w:t>Click here to enter text.</w:t>
                          </w:r>
                        </w:sdtContent>
                      </w:sdt>
                    </w:p>
                  </w:txbxContent>
                </v:textbox>
                <w10:wrap anchorx="margin" anchory="page"/>
              </v:shape>
            </w:pict>
          </mc:Fallback>
        </mc:AlternateContent>
      </w:r>
    </w:p>
    <w:p w14:paraId="30F4964A" w14:textId="77777777" w:rsidR="00376C3E" w:rsidRDefault="00376C3E"/>
    <w:sdt>
      <w:sdtPr>
        <w:id w:val="-394578726"/>
        <w:docPartObj>
          <w:docPartGallery w:val="Page Numbers (Bottom of Page)"/>
          <w:docPartUnique/>
        </w:docPartObj>
      </w:sdtPr>
      <w:sdtEndPr/>
      <w:sdtContent>
        <w:p w14:paraId="30F4964B" w14:textId="77777777" w:rsidR="00376C3E" w:rsidRDefault="00376C3E">
          <w:pPr>
            <w:pStyle w:val="Sidehoved"/>
          </w:pPr>
          <w:r>
            <w:t xml:space="preserve">PAGE  </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805740"/>
      <w:docPartObj>
        <w:docPartGallery w:val="Page Numbers (Bottom of Page)"/>
        <w:docPartUnique/>
      </w:docPartObj>
    </w:sdtPr>
    <w:sdtEndPr/>
    <w:sdtContent>
      <w:p w14:paraId="30F49653" w14:textId="77777777" w:rsidR="00376C3E" w:rsidRDefault="00376C3E">
        <w:pPr>
          <w:pStyle w:val="Sidefod"/>
          <w:jc w:val="center"/>
        </w:pPr>
        <w:r>
          <w:fldChar w:fldCharType="begin"/>
        </w:r>
        <w:r>
          <w:instrText>PAGE   \* MERGEFORMAT</w:instrText>
        </w:r>
        <w:r>
          <w:fldChar w:fldCharType="separate"/>
        </w:r>
        <w:r w:rsidR="008A7EFD">
          <w:rPr>
            <w:noProof/>
          </w:rPr>
          <w:t>3</w:t>
        </w:r>
        <w:r>
          <w:fldChar w:fldCharType="end"/>
        </w:r>
      </w:p>
    </w:sdtContent>
  </w:sdt>
  <w:p w14:paraId="30F49654" w14:textId="77777777" w:rsidR="00376C3E" w:rsidRDefault="00376C3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49645" w14:textId="77777777" w:rsidR="00376C3E" w:rsidRDefault="00376C3E" w:rsidP="009E4B94">
      <w:pPr>
        <w:spacing w:line="240" w:lineRule="auto"/>
      </w:pPr>
      <w:r>
        <w:separator/>
      </w:r>
    </w:p>
  </w:footnote>
  <w:footnote w:type="continuationSeparator" w:id="0">
    <w:p w14:paraId="30F49646" w14:textId="77777777" w:rsidR="00376C3E" w:rsidRDefault="00376C3E"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4964C" w14:textId="77777777" w:rsidR="00376C3E" w:rsidRDefault="00376C3E"/>
  <w:p w14:paraId="30F4964D" w14:textId="77777777" w:rsidR="00376C3E" w:rsidRDefault="00376C3E"/>
  <w:p w14:paraId="30F4964E" w14:textId="77777777" w:rsidR="00376C3E" w:rsidRDefault="00376C3E"/>
  <w:p w14:paraId="30F4964F" w14:textId="77777777" w:rsidR="00376C3E" w:rsidRDefault="00376C3E"/>
  <w:p w14:paraId="30F49650" w14:textId="77777777" w:rsidR="00376C3E" w:rsidRDefault="00376C3E"/>
  <w:p w14:paraId="30F49651" w14:textId="77777777" w:rsidR="00376C3E" w:rsidRDefault="00376C3E"/>
  <w:p w14:paraId="30F49652" w14:textId="77777777" w:rsidR="00376C3E" w:rsidRDefault="00376C3E">
    <w:pPr>
      <w:pStyle w:val="Sidefod"/>
      <w:jc w:val="center"/>
    </w:pPr>
    <w:r>
      <w:t>\* MERGEFORM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E03B0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DE24B4C6"/>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469429F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10E439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6CDE180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48987E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476C86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4F5CE16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16405A2F"/>
    <w:multiLevelType w:val="hybridMultilevel"/>
    <w:tmpl w:val="368E3E1C"/>
    <w:lvl w:ilvl="0" w:tplc="0EC05DF0">
      <w:start w:val="1"/>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14C15F6"/>
    <w:multiLevelType w:val="multilevel"/>
    <w:tmpl w:val="69EE354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972FB5"/>
    <w:multiLevelType w:val="hybridMultilevel"/>
    <w:tmpl w:val="9ED861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3">
    <w:nsid w:val="3151259B"/>
    <w:multiLevelType w:val="hybridMultilevel"/>
    <w:tmpl w:val="336035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D563A22"/>
    <w:multiLevelType w:val="multilevel"/>
    <w:tmpl w:val="D2E8BF8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37D50B8"/>
    <w:multiLevelType w:val="hybridMultilevel"/>
    <w:tmpl w:val="4B22D0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5D94C32"/>
    <w:multiLevelType w:val="hybridMultilevel"/>
    <w:tmpl w:val="1FB0FA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72C3880"/>
    <w:multiLevelType w:val="multilevel"/>
    <w:tmpl w:val="699E30B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DB6C6A"/>
    <w:multiLevelType w:val="hybridMultilevel"/>
    <w:tmpl w:val="61C074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20">
    <w:nsid w:val="56F827B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3307F7C"/>
    <w:multiLevelType w:val="multilevel"/>
    <w:tmpl w:val="195EB47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A657BAF"/>
    <w:multiLevelType w:val="multilevel"/>
    <w:tmpl w:val="C09823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7CF1AF1"/>
    <w:multiLevelType w:val="hybridMultilevel"/>
    <w:tmpl w:val="61986C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25">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25"/>
  </w:num>
  <w:num w:numId="2">
    <w:abstractNumId w:val="7"/>
  </w:num>
  <w:num w:numId="3">
    <w:abstractNumId w:val="6"/>
  </w:num>
  <w:num w:numId="4">
    <w:abstractNumId w:val="5"/>
  </w:num>
  <w:num w:numId="5">
    <w:abstractNumId w:val="4"/>
  </w:num>
  <w:num w:numId="6">
    <w:abstractNumId w:val="24"/>
  </w:num>
  <w:num w:numId="7">
    <w:abstractNumId w:val="3"/>
  </w:num>
  <w:num w:numId="8">
    <w:abstractNumId w:val="2"/>
  </w:num>
  <w:num w:numId="9">
    <w:abstractNumId w:val="1"/>
  </w:num>
  <w:num w:numId="10">
    <w:abstractNumId w:val="0"/>
  </w:num>
  <w:num w:numId="11">
    <w:abstractNumId w:val="8"/>
  </w:num>
  <w:num w:numId="12">
    <w:abstractNumId w:val="2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9"/>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25"/>
  </w:num>
  <w:num w:numId="24">
    <w:abstractNumId w:val="24"/>
  </w:num>
  <w:num w:numId="25">
    <w:abstractNumId w:val="25"/>
  </w:num>
  <w:num w:numId="26">
    <w:abstractNumId w:val="24"/>
  </w:num>
  <w:num w:numId="27">
    <w:abstractNumId w:val="15"/>
  </w:num>
  <w:num w:numId="28">
    <w:abstractNumId w:val="13"/>
  </w:num>
  <w:num w:numId="29">
    <w:abstractNumId w:val="23"/>
  </w:num>
  <w:num w:numId="30">
    <w:abstractNumId w:val="20"/>
  </w:num>
  <w:num w:numId="31">
    <w:abstractNumId w:val="18"/>
  </w:num>
  <w:num w:numId="32">
    <w:abstractNumId w:val="11"/>
  </w:num>
  <w:num w:numId="33">
    <w:abstractNumId w:val="22"/>
  </w:num>
  <w:num w:numId="34">
    <w:abstractNumId w:val="16"/>
  </w:num>
  <w:num w:numId="35">
    <w:abstractNumId w:val="10"/>
  </w:num>
  <w:num w:numId="36">
    <w:abstractNumId w:val="17"/>
  </w:num>
  <w:num w:numId="37">
    <w:abstractNumId w:val="21"/>
  </w:num>
  <w:num w:numId="38">
    <w:abstractNumId w:val="14"/>
  </w:num>
  <w:num w:numId="39">
    <w:abstractNumId w:val="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hdrShapeDefaults>
    <o:shapedefaults v:ext="edit" spidmax="12492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07282"/>
    <w:rsid w:val="000237FB"/>
    <w:rsid w:val="000310C8"/>
    <w:rsid w:val="00033D75"/>
    <w:rsid w:val="000502DB"/>
    <w:rsid w:val="00053024"/>
    <w:rsid w:val="00067383"/>
    <w:rsid w:val="00071666"/>
    <w:rsid w:val="00071735"/>
    <w:rsid w:val="00075120"/>
    <w:rsid w:val="00077861"/>
    <w:rsid w:val="00087E7C"/>
    <w:rsid w:val="00094147"/>
    <w:rsid w:val="00094ABD"/>
    <w:rsid w:val="00094CAF"/>
    <w:rsid w:val="000A5604"/>
    <w:rsid w:val="000B0CD5"/>
    <w:rsid w:val="000B76FE"/>
    <w:rsid w:val="000D0B50"/>
    <w:rsid w:val="000E496A"/>
    <w:rsid w:val="000F302B"/>
    <w:rsid w:val="0013244F"/>
    <w:rsid w:val="00134B98"/>
    <w:rsid w:val="0013770C"/>
    <w:rsid w:val="001633D6"/>
    <w:rsid w:val="00182651"/>
    <w:rsid w:val="001849AF"/>
    <w:rsid w:val="00186EB2"/>
    <w:rsid w:val="00195072"/>
    <w:rsid w:val="001A0039"/>
    <w:rsid w:val="001A2774"/>
    <w:rsid w:val="001A7F2D"/>
    <w:rsid w:val="001C06F4"/>
    <w:rsid w:val="001E0ACA"/>
    <w:rsid w:val="001E22D1"/>
    <w:rsid w:val="001E49A4"/>
    <w:rsid w:val="001E4ED8"/>
    <w:rsid w:val="001E6A13"/>
    <w:rsid w:val="001F3AF6"/>
    <w:rsid w:val="002018EE"/>
    <w:rsid w:val="00213190"/>
    <w:rsid w:val="0022635B"/>
    <w:rsid w:val="00226B0A"/>
    <w:rsid w:val="00235045"/>
    <w:rsid w:val="00244D70"/>
    <w:rsid w:val="00250BF5"/>
    <w:rsid w:val="002615BB"/>
    <w:rsid w:val="00276456"/>
    <w:rsid w:val="00277AED"/>
    <w:rsid w:val="00280B11"/>
    <w:rsid w:val="0028578A"/>
    <w:rsid w:val="002864CF"/>
    <w:rsid w:val="00287DA9"/>
    <w:rsid w:val="002929B3"/>
    <w:rsid w:val="002D5562"/>
    <w:rsid w:val="002E25C1"/>
    <w:rsid w:val="002E3749"/>
    <w:rsid w:val="002E74A4"/>
    <w:rsid w:val="0031360A"/>
    <w:rsid w:val="00347E91"/>
    <w:rsid w:val="00360EC5"/>
    <w:rsid w:val="00372366"/>
    <w:rsid w:val="0037431A"/>
    <w:rsid w:val="00376C3E"/>
    <w:rsid w:val="003901BE"/>
    <w:rsid w:val="00395C8A"/>
    <w:rsid w:val="003A32B4"/>
    <w:rsid w:val="003A7BA0"/>
    <w:rsid w:val="003B0556"/>
    <w:rsid w:val="003B35B0"/>
    <w:rsid w:val="003C377D"/>
    <w:rsid w:val="003C4F9F"/>
    <w:rsid w:val="003C60F1"/>
    <w:rsid w:val="003D2685"/>
    <w:rsid w:val="003D5223"/>
    <w:rsid w:val="003F3BF5"/>
    <w:rsid w:val="0042421B"/>
    <w:rsid w:val="00424709"/>
    <w:rsid w:val="00424AD9"/>
    <w:rsid w:val="00452928"/>
    <w:rsid w:val="00464C26"/>
    <w:rsid w:val="004839E6"/>
    <w:rsid w:val="004A33C2"/>
    <w:rsid w:val="004A57A3"/>
    <w:rsid w:val="004C01B2"/>
    <w:rsid w:val="004D3F0D"/>
    <w:rsid w:val="004E47AC"/>
    <w:rsid w:val="004E59FB"/>
    <w:rsid w:val="004F515E"/>
    <w:rsid w:val="00502CA4"/>
    <w:rsid w:val="00506CEB"/>
    <w:rsid w:val="0051121E"/>
    <w:rsid w:val="005178A7"/>
    <w:rsid w:val="00531C30"/>
    <w:rsid w:val="00537F6C"/>
    <w:rsid w:val="00542752"/>
    <w:rsid w:val="0055148D"/>
    <w:rsid w:val="00552EB2"/>
    <w:rsid w:val="005555BC"/>
    <w:rsid w:val="00557FEA"/>
    <w:rsid w:val="00570B5A"/>
    <w:rsid w:val="0058000A"/>
    <w:rsid w:val="005831EA"/>
    <w:rsid w:val="00586712"/>
    <w:rsid w:val="00587114"/>
    <w:rsid w:val="00587317"/>
    <w:rsid w:val="005964F2"/>
    <w:rsid w:val="005A28D4"/>
    <w:rsid w:val="005A2B83"/>
    <w:rsid w:val="005B1401"/>
    <w:rsid w:val="005B1D79"/>
    <w:rsid w:val="005C55C2"/>
    <w:rsid w:val="005C5F97"/>
    <w:rsid w:val="005F1580"/>
    <w:rsid w:val="005F2511"/>
    <w:rsid w:val="005F3ED8"/>
    <w:rsid w:val="005F6B57"/>
    <w:rsid w:val="006202E1"/>
    <w:rsid w:val="00637F8B"/>
    <w:rsid w:val="0064132D"/>
    <w:rsid w:val="006449B1"/>
    <w:rsid w:val="00655B49"/>
    <w:rsid w:val="006638D0"/>
    <w:rsid w:val="0067166F"/>
    <w:rsid w:val="00672750"/>
    <w:rsid w:val="006747F5"/>
    <w:rsid w:val="006756FF"/>
    <w:rsid w:val="006801D0"/>
    <w:rsid w:val="00681D83"/>
    <w:rsid w:val="0068616B"/>
    <w:rsid w:val="006900C2"/>
    <w:rsid w:val="00693369"/>
    <w:rsid w:val="00694A68"/>
    <w:rsid w:val="006B007B"/>
    <w:rsid w:val="006B30A9"/>
    <w:rsid w:val="006B3EC0"/>
    <w:rsid w:val="006C7C2B"/>
    <w:rsid w:val="006D1897"/>
    <w:rsid w:val="006D2474"/>
    <w:rsid w:val="006D44B9"/>
    <w:rsid w:val="006E3EAB"/>
    <w:rsid w:val="006E54C0"/>
    <w:rsid w:val="006F3512"/>
    <w:rsid w:val="006F3AC2"/>
    <w:rsid w:val="0070267E"/>
    <w:rsid w:val="00704EA1"/>
    <w:rsid w:val="007053F8"/>
    <w:rsid w:val="00706E32"/>
    <w:rsid w:val="007546AF"/>
    <w:rsid w:val="0075512C"/>
    <w:rsid w:val="00755C25"/>
    <w:rsid w:val="00757A76"/>
    <w:rsid w:val="0076084B"/>
    <w:rsid w:val="00760979"/>
    <w:rsid w:val="00764CDC"/>
    <w:rsid w:val="00765934"/>
    <w:rsid w:val="00765DE3"/>
    <w:rsid w:val="00771832"/>
    <w:rsid w:val="00771D3C"/>
    <w:rsid w:val="007770AE"/>
    <w:rsid w:val="00780CEF"/>
    <w:rsid w:val="00787631"/>
    <w:rsid w:val="00791457"/>
    <w:rsid w:val="007A1258"/>
    <w:rsid w:val="007A14A7"/>
    <w:rsid w:val="007A3449"/>
    <w:rsid w:val="007A6E31"/>
    <w:rsid w:val="007D54ED"/>
    <w:rsid w:val="007E0AC9"/>
    <w:rsid w:val="007E2A34"/>
    <w:rsid w:val="007E373C"/>
    <w:rsid w:val="007F0CCD"/>
    <w:rsid w:val="007F4665"/>
    <w:rsid w:val="007F4BF3"/>
    <w:rsid w:val="008036DB"/>
    <w:rsid w:val="00805024"/>
    <w:rsid w:val="00805256"/>
    <w:rsid w:val="0081252A"/>
    <w:rsid w:val="00860291"/>
    <w:rsid w:val="008660C7"/>
    <w:rsid w:val="00870EB5"/>
    <w:rsid w:val="00872B54"/>
    <w:rsid w:val="00892D08"/>
    <w:rsid w:val="00893791"/>
    <w:rsid w:val="00896258"/>
    <w:rsid w:val="008A0305"/>
    <w:rsid w:val="008A0B13"/>
    <w:rsid w:val="008A16A0"/>
    <w:rsid w:val="008A7EFD"/>
    <w:rsid w:val="008E5A6D"/>
    <w:rsid w:val="008F32DF"/>
    <w:rsid w:val="008F3409"/>
    <w:rsid w:val="008F3540"/>
    <w:rsid w:val="008F4D20"/>
    <w:rsid w:val="0091612E"/>
    <w:rsid w:val="00927EBA"/>
    <w:rsid w:val="00945CA5"/>
    <w:rsid w:val="00947179"/>
    <w:rsid w:val="0094757D"/>
    <w:rsid w:val="00951B25"/>
    <w:rsid w:val="009525E7"/>
    <w:rsid w:val="009542B7"/>
    <w:rsid w:val="00954C11"/>
    <w:rsid w:val="00970BB6"/>
    <w:rsid w:val="009727CD"/>
    <w:rsid w:val="009737E4"/>
    <w:rsid w:val="00974BE7"/>
    <w:rsid w:val="00983B74"/>
    <w:rsid w:val="00990263"/>
    <w:rsid w:val="00990CBD"/>
    <w:rsid w:val="009A4CCC"/>
    <w:rsid w:val="009C2886"/>
    <w:rsid w:val="009C6BF5"/>
    <w:rsid w:val="009D7CC2"/>
    <w:rsid w:val="009E4B94"/>
    <w:rsid w:val="009E71B3"/>
    <w:rsid w:val="009F41D3"/>
    <w:rsid w:val="00A006CA"/>
    <w:rsid w:val="00A15C2E"/>
    <w:rsid w:val="00A2454F"/>
    <w:rsid w:val="00A568A8"/>
    <w:rsid w:val="00A7360B"/>
    <w:rsid w:val="00A73698"/>
    <w:rsid w:val="00A7754A"/>
    <w:rsid w:val="00A80EEA"/>
    <w:rsid w:val="00A94221"/>
    <w:rsid w:val="00AA03CB"/>
    <w:rsid w:val="00AA221C"/>
    <w:rsid w:val="00AA5DA4"/>
    <w:rsid w:val="00AB2C70"/>
    <w:rsid w:val="00AB4582"/>
    <w:rsid w:val="00AC343F"/>
    <w:rsid w:val="00AC78F8"/>
    <w:rsid w:val="00AC7A7E"/>
    <w:rsid w:val="00AF0CFE"/>
    <w:rsid w:val="00AF1D02"/>
    <w:rsid w:val="00B00D92"/>
    <w:rsid w:val="00B05F6A"/>
    <w:rsid w:val="00B22DF1"/>
    <w:rsid w:val="00B57829"/>
    <w:rsid w:val="00B64EE0"/>
    <w:rsid w:val="00B71098"/>
    <w:rsid w:val="00B719E3"/>
    <w:rsid w:val="00BA707F"/>
    <w:rsid w:val="00BB4255"/>
    <w:rsid w:val="00BB7F54"/>
    <w:rsid w:val="00BC0C34"/>
    <w:rsid w:val="00BC4F45"/>
    <w:rsid w:val="00BC65E5"/>
    <w:rsid w:val="00BC7023"/>
    <w:rsid w:val="00BE3AAC"/>
    <w:rsid w:val="00BF1854"/>
    <w:rsid w:val="00BF7529"/>
    <w:rsid w:val="00C167D8"/>
    <w:rsid w:val="00C302FC"/>
    <w:rsid w:val="00C354E7"/>
    <w:rsid w:val="00C357EF"/>
    <w:rsid w:val="00C36103"/>
    <w:rsid w:val="00C76CB5"/>
    <w:rsid w:val="00C84EA2"/>
    <w:rsid w:val="00CA1255"/>
    <w:rsid w:val="00CA75F7"/>
    <w:rsid w:val="00CA77E0"/>
    <w:rsid w:val="00CB48B5"/>
    <w:rsid w:val="00CB5B09"/>
    <w:rsid w:val="00CC5834"/>
    <w:rsid w:val="00CC6322"/>
    <w:rsid w:val="00CE2A98"/>
    <w:rsid w:val="00CE5838"/>
    <w:rsid w:val="00CF635D"/>
    <w:rsid w:val="00D1698D"/>
    <w:rsid w:val="00D237F5"/>
    <w:rsid w:val="00D264F3"/>
    <w:rsid w:val="00D27D0E"/>
    <w:rsid w:val="00D3752F"/>
    <w:rsid w:val="00D51565"/>
    <w:rsid w:val="00D53670"/>
    <w:rsid w:val="00D80B51"/>
    <w:rsid w:val="00D9170F"/>
    <w:rsid w:val="00D94A2B"/>
    <w:rsid w:val="00D96141"/>
    <w:rsid w:val="00DA3436"/>
    <w:rsid w:val="00DB18F6"/>
    <w:rsid w:val="00DB22A5"/>
    <w:rsid w:val="00DB31AF"/>
    <w:rsid w:val="00DC0C60"/>
    <w:rsid w:val="00DC61BD"/>
    <w:rsid w:val="00DD1936"/>
    <w:rsid w:val="00DD23C8"/>
    <w:rsid w:val="00DE0DE4"/>
    <w:rsid w:val="00DE1651"/>
    <w:rsid w:val="00DE2B28"/>
    <w:rsid w:val="00DE395D"/>
    <w:rsid w:val="00DE7447"/>
    <w:rsid w:val="00DF5294"/>
    <w:rsid w:val="00E1057F"/>
    <w:rsid w:val="00E230CE"/>
    <w:rsid w:val="00E26453"/>
    <w:rsid w:val="00E44E04"/>
    <w:rsid w:val="00E45EC1"/>
    <w:rsid w:val="00E462EE"/>
    <w:rsid w:val="00E53EE9"/>
    <w:rsid w:val="00E7251C"/>
    <w:rsid w:val="00E90555"/>
    <w:rsid w:val="00EC0905"/>
    <w:rsid w:val="00EC1E20"/>
    <w:rsid w:val="00ED5D00"/>
    <w:rsid w:val="00ED6ED0"/>
    <w:rsid w:val="00EE35E8"/>
    <w:rsid w:val="00EF2086"/>
    <w:rsid w:val="00EF68B3"/>
    <w:rsid w:val="00F27C31"/>
    <w:rsid w:val="00F30416"/>
    <w:rsid w:val="00F32770"/>
    <w:rsid w:val="00F3295F"/>
    <w:rsid w:val="00F42C24"/>
    <w:rsid w:val="00F46E97"/>
    <w:rsid w:val="00F5587A"/>
    <w:rsid w:val="00F5682E"/>
    <w:rsid w:val="00F62026"/>
    <w:rsid w:val="00F6260B"/>
    <w:rsid w:val="00F642F5"/>
    <w:rsid w:val="00F710A5"/>
    <w:rsid w:val="00F712BE"/>
    <w:rsid w:val="00F754CD"/>
    <w:rsid w:val="00F82DC3"/>
    <w:rsid w:val="00F94521"/>
    <w:rsid w:val="00F97D34"/>
    <w:rsid w:val="00FA734B"/>
    <w:rsid w:val="00FC41E5"/>
    <w:rsid w:val="00FC4548"/>
    <w:rsid w:val="00FC50B4"/>
    <w:rsid w:val="00FC60B2"/>
    <w:rsid w:val="00FD2C7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0F4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Listeafsnit">
    <w:name w:val="List Paragraph"/>
    <w:basedOn w:val="Normal"/>
    <w:uiPriority w:val="99"/>
    <w:rsid w:val="00B719E3"/>
    <w:pPr>
      <w:ind w:left="720"/>
      <w:contextualSpacing/>
    </w:pPr>
  </w:style>
  <w:style w:type="paragraph" w:styleId="Afsenderadresse">
    <w:name w:val="envelope return"/>
    <w:basedOn w:val="Normal"/>
    <w:uiPriority w:val="99"/>
    <w:semiHidden/>
    <w:unhideWhenUsed/>
    <w:rsid w:val="00704EA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704EA1"/>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04EA1"/>
    <w:rPr>
      <w:rFonts w:ascii="Consolas" w:hAnsi="Consolas"/>
      <w:sz w:val="21"/>
      <w:szCs w:val="21"/>
      <w:lang w:val="da-DK"/>
    </w:rPr>
  </w:style>
  <w:style w:type="character" w:styleId="BesgtHyperlink">
    <w:name w:val="FollowedHyperlink"/>
    <w:basedOn w:val="Standardskrifttypeiafsnit"/>
    <w:uiPriority w:val="21"/>
    <w:semiHidden/>
    <w:unhideWhenUsed/>
    <w:rsid w:val="00704EA1"/>
    <w:rPr>
      <w:color w:val="800080" w:themeColor="followedHyperlink"/>
      <w:u w:val="single"/>
      <w:lang w:val="da-DK"/>
    </w:rPr>
  </w:style>
  <w:style w:type="paragraph" w:styleId="Bibliografi">
    <w:name w:val="Bibliography"/>
    <w:basedOn w:val="Normal"/>
    <w:next w:val="Normal"/>
    <w:uiPriority w:val="99"/>
    <w:semiHidden/>
    <w:unhideWhenUsed/>
    <w:rsid w:val="00704EA1"/>
  </w:style>
  <w:style w:type="paragraph" w:styleId="Brevhoved">
    <w:name w:val="Message Header"/>
    <w:basedOn w:val="Normal"/>
    <w:link w:val="BrevhovedTegn"/>
    <w:uiPriority w:val="99"/>
    <w:semiHidden/>
    <w:unhideWhenUsed/>
    <w:rsid w:val="00704EA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704EA1"/>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704EA1"/>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704EA1"/>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704EA1"/>
    <w:pPr>
      <w:spacing w:after="120"/>
      <w:ind w:left="283"/>
    </w:pPr>
  </w:style>
  <w:style w:type="character" w:customStyle="1" w:styleId="BrdtekstindrykningTegn">
    <w:name w:val="Brødtekstindrykning Tegn"/>
    <w:basedOn w:val="Standardskrifttypeiafsnit"/>
    <w:link w:val="Brdtekstindrykning"/>
    <w:uiPriority w:val="99"/>
    <w:semiHidden/>
    <w:rsid w:val="00704EA1"/>
    <w:rPr>
      <w:lang w:val="da-DK"/>
    </w:rPr>
  </w:style>
  <w:style w:type="paragraph" w:styleId="Brdtekst-frstelinjeindrykning2">
    <w:name w:val="Body Text First Indent 2"/>
    <w:basedOn w:val="Brdtekstindrykning"/>
    <w:link w:val="Brdtekst-frstelinjeindrykning2Tegn"/>
    <w:uiPriority w:val="99"/>
    <w:semiHidden/>
    <w:unhideWhenUsed/>
    <w:rsid w:val="00704EA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04EA1"/>
    <w:rPr>
      <w:lang w:val="da-DK"/>
    </w:rPr>
  </w:style>
  <w:style w:type="paragraph" w:styleId="Brdtekst2">
    <w:name w:val="Body Text 2"/>
    <w:basedOn w:val="Normal"/>
    <w:link w:val="Brdtekst2Tegn"/>
    <w:uiPriority w:val="99"/>
    <w:semiHidden/>
    <w:unhideWhenUsed/>
    <w:rsid w:val="00704EA1"/>
    <w:pPr>
      <w:spacing w:after="120" w:line="480" w:lineRule="auto"/>
    </w:pPr>
  </w:style>
  <w:style w:type="character" w:customStyle="1" w:styleId="Brdtekst2Tegn">
    <w:name w:val="Brødtekst 2 Tegn"/>
    <w:basedOn w:val="Standardskrifttypeiafsnit"/>
    <w:link w:val="Brdtekst2"/>
    <w:uiPriority w:val="99"/>
    <w:semiHidden/>
    <w:rsid w:val="00704EA1"/>
    <w:rPr>
      <w:lang w:val="da-DK"/>
    </w:rPr>
  </w:style>
  <w:style w:type="paragraph" w:styleId="Brdtekst3">
    <w:name w:val="Body Text 3"/>
    <w:basedOn w:val="Normal"/>
    <w:link w:val="Brdtekst3Tegn"/>
    <w:uiPriority w:val="99"/>
    <w:semiHidden/>
    <w:unhideWhenUsed/>
    <w:rsid w:val="00704EA1"/>
    <w:pPr>
      <w:spacing w:after="120"/>
    </w:pPr>
    <w:rPr>
      <w:sz w:val="16"/>
      <w:szCs w:val="16"/>
    </w:rPr>
  </w:style>
  <w:style w:type="character" w:customStyle="1" w:styleId="Brdtekst3Tegn">
    <w:name w:val="Brødtekst 3 Tegn"/>
    <w:basedOn w:val="Standardskrifttypeiafsnit"/>
    <w:link w:val="Brdtekst3"/>
    <w:uiPriority w:val="99"/>
    <w:semiHidden/>
    <w:rsid w:val="00704EA1"/>
    <w:rPr>
      <w:sz w:val="16"/>
      <w:szCs w:val="16"/>
      <w:lang w:val="da-DK"/>
    </w:rPr>
  </w:style>
  <w:style w:type="paragraph" w:styleId="Brdtekstindrykning2">
    <w:name w:val="Body Text Indent 2"/>
    <w:basedOn w:val="Normal"/>
    <w:link w:val="Brdtekstindrykning2Tegn"/>
    <w:uiPriority w:val="99"/>
    <w:semiHidden/>
    <w:unhideWhenUsed/>
    <w:rsid w:val="00704EA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04EA1"/>
    <w:rPr>
      <w:lang w:val="da-DK"/>
    </w:rPr>
  </w:style>
  <w:style w:type="paragraph" w:styleId="Brdtekstindrykning3">
    <w:name w:val="Body Text Indent 3"/>
    <w:basedOn w:val="Normal"/>
    <w:link w:val="Brdtekstindrykning3Tegn"/>
    <w:uiPriority w:val="99"/>
    <w:semiHidden/>
    <w:unhideWhenUsed/>
    <w:rsid w:val="00704EA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04EA1"/>
    <w:rPr>
      <w:sz w:val="16"/>
      <w:szCs w:val="16"/>
      <w:lang w:val="da-DK"/>
    </w:rPr>
  </w:style>
  <w:style w:type="paragraph" w:styleId="Dato">
    <w:name w:val="Date"/>
    <w:basedOn w:val="Normal"/>
    <w:next w:val="Normal"/>
    <w:link w:val="DatoTegn"/>
    <w:uiPriority w:val="99"/>
    <w:semiHidden/>
    <w:rsid w:val="00704EA1"/>
  </w:style>
  <w:style w:type="character" w:customStyle="1" w:styleId="DatoTegn">
    <w:name w:val="Dato Tegn"/>
    <w:basedOn w:val="Standardskrifttypeiafsnit"/>
    <w:link w:val="Dato"/>
    <w:uiPriority w:val="99"/>
    <w:semiHidden/>
    <w:rsid w:val="00704EA1"/>
    <w:rPr>
      <w:lang w:val="da-DK"/>
    </w:rPr>
  </w:style>
  <w:style w:type="paragraph" w:styleId="Dokumentoversigt">
    <w:name w:val="Document Map"/>
    <w:basedOn w:val="Normal"/>
    <w:link w:val="DokumentoversigtTegn"/>
    <w:uiPriority w:val="99"/>
    <w:semiHidden/>
    <w:unhideWhenUsed/>
    <w:rsid w:val="00704EA1"/>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04EA1"/>
    <w:rPr>
      <w:rFonts w:ascii="Tahoma" w:hAnsi="Tahoma" w:cs="Tahoma"/>
      <w:sz w:val="16"/>
      <w:szCs w:val="16"/>
      <w:lang w:val="da-DK"/>
    </w:rPr>
  </w:style>
  <w:style w:type="paragraph" w:styleId="E-mail-signatur">
    <w:name w:val="E-mail Signature"/>
    <w:basedOn w:val="Normal"/>
    <w:link w:val="E-mail-signaturTegn"/>
    <w:uiPriority w:val="99"/>
    <w:semiHidden/>
    <w:unhideWhenUsed/>
    <w:rsid w:val="00704EA1"/>
    <w:pPr>
      <w:spacing w:line="240" w:lineRule="auto"/>
    </w:pPr>
  </w:style>
  <w:style w:type="character" w:customStyle="1" w:styleId="E-mail-signaturTegn">
    <w:name w:val="E-mail-signatur Tegn"/>
    <w:basedOn w:val="Standardskrifttypeiafsnit"/>
    <w:link w:val="E-mail-signatur"/>
    <w:uiPriority w:val="99"/>
    <w:semiHidden/>
    <w:rsid w:val="00704EA1"/>
    <w:rPr>
      <w:lang w:val="da-DK"/>
    </w:rPr>
  </w:style>
  <w:style w:type="table" w:styleId="Farvetgitter">
    <w:name w:val="Colorful Grid"/>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704EA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04EA1"/>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704EA1"/>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704EA1"/>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704EA1"/>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704EA1"/>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704EA1"/>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704EA1"/>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04EA1"/>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04EA1"/>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04EA1"/>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704EA1"/>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04EA1"/>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04EA1"/>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704EA1"/>
    <w:rPr>
      <w:vertAlign w:val="superscript"/>
      <w:lang w:val="da-DK"/>
    </w:rPr>
  </w:style>
  <w:style w:type="paragraph" w:styleId="FormateretHTML">
    <w:name w:val="HTML Preformatted"/>
    <w:basedOn w:val="Normal"/>
    <w:link w:val="FormateretHTMLTegn"/>
    <w:uiPriority w:val="99"/>
    <w:semiHidden/>
    <w:unhideWhenUsed/>
    <w:rsid w:val="00704EA1"/>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04EA1"/>
    <w:rPr>
      <w:rFonts w:ascii="Consolas" w:hAnsi="Consolas"/>
      <w:sz w:val="20"/>
      <w:szCs w:val="20"/>
      <w:lang w:val="da-DK"/>
    </w:rPr>
  </w:style>
  <w:style w:type="character" w:styleId="Fremhv">
    <w:name w:val="Emphasis"/>
    <w:basedOn w:val="Standardskrifttypeiafsnit"/>
    <w:uiPriority w:val="19"/>
    <w:rsid w:val="00704EA1"/>
    <w:rPr>
      <w:i/>
      <w:iCs/>
      <w:lang w:val="da-DK"/>
    </w:rPr>
  </w:style>
  <w:style w:type="paragraph" w:styleId="HTML-adresse">
    <w:name w:val="HTML Address"/>
    <w:basedOn w:val="Normal"/>
    <w:link w:val="HTML-adresseTegn"/>
    <w:uiPriority w:val="99"/>
    <w:semiHidden/>
    <w:unhideWhenUsed/>
    <w:rsid w:val="00704EA1"/>
    <w:pPr>
      <w:spacing w:line="240" w:lineRule="auto"/>
    </w:pPr>
    <w:rPr>
      <w:i/>
      <w:iCs/>
    </w:rPr>
  </w:style>
  <w:style w:type="character" w:customStyle="1" w:styleId="HTML-adresseTegn">
    <w:name w:val="HTML-adresse Tegn"/>
    <w:basedOn w:val="Standardskrifttypeiafsnit"/>
    <w:link w:val="HTML-adresse"/>
    <w:uiPriority w:val="99"/>
    <w:semiHidden/>
    <w:rsid w:val="00704EA1"/>
    <w:rPr>
      <w:i/>
      <w:iCs/>
      <w:lang w:val="da-DK"/>
    </w:rPr>
  </w:style>
  <w:style w:type="character" w:styleId="HTML-akronym">
    <w:name w:val="HTML Acronym"/>
    <w:basedOn w:val="Standardskrifttypeiafsnit"/>
    <w:uiPriority w:val="99"/>
    <w:semiHidden/>
    <w:unhideWhenUsed/>
    <w:rsid w:val="00704EA1"/>
    <w:rPr>
      <w:lang w:val="da-DK"/>
    </w:rPr>
  </w:style>
  <w:style w:type="character" w:styleId="HTML-citat">
    <w:name w:val="HTML Cite"/>
    <w:basedOn w:val="Standardskrifttypeiafsnit"/>
    <w:uiPriority w:val="99"/>
    <w:semiHidden/>
    <w:unhideWhenUsed/>
    <w:rsid w:val="00704EA1"/>
    <w:rPr>
      <w:i/>
      <w:iCs/>
      <w:lang w:val="da-DK"/>
    </w:rPr>
  </w:style>
  <w:style w:type="character" w:styleId="HTML-definition">
    <w:name w:val="HTML Definition"/>
    <w:basedOn w:val="Standardskrifttypeiafsnit"/>
    <w:uiPriority w:val="99"/>
    <w:semiHidden/>
    <w:unhideWhenUsed/>
    <w:rsid w:val="00704EA1"/>
    <w:rPr>
      <w:i/>
      <w:iCs/>
      <w:lang w:val="da-DK"/>
    </w:rPr>
  </w:style>
  <w:style w:type="character" w:styleId="HTML-eksempel">
    <w:name w:val="HTML Sample"/>
    <w:basedOn w:val="Standardskrifttypeiafsnit"/>
    <w:uiPriority w:val="99"/>
    <w:semiHidden/>
    <w:unhideWhenUsed/>
    <w:rsid w:val="00704EA1"/>
    <w:rPr>
      <w:rFonts w:ascii="Consolas" w:hAnsi="Consolas"/>
      <w:sz w:val="24"/>
      <w:szCs w:val="24"/>
      <w:lang w:val="da-DK"/>
    </w:rPr>
  </w:style>
  <w:style w:type="character" w:styleId="HTML-kode">
    <w:name w:val="HTML Code"/>
    <w:basedOn w:val="Standardskrifttypeiafsnit"/>
    <w:uiPriority w:val="99"/>
    <w:semiHidden/>
    <w:unhideWhenUsed/>
    <w:rsid w:val="00704EA1"/>
    <w:rPr>
      <w:rFonts w:ascii="Consolas" w:hAnsi="Consolas"/>
      <w:sz w:val="20"/>
      <w:szCs w:val="20"/>
      <w:lang w:val="da-DK"/>
    </w:rPr>
  </w:style>
  <w:style w:type="character" w:styleId="HTML-skrivemaskine">
    <w:name w:val="HTML Typewriter"/>
    <w:basedOn w:val="Standardskrifttypeiafsnit"/>
    <w:uiPriority w:val="99"/>
    <w:semiHidden/>
    <w:unhideWhenUsed/>
    <w:rsid w:val="00704EA1"/>
    <w:rPr>
      <w:rFonts w:ascii="Consolas" w:hAnsi="Consolas"/>
      <w:sz w:val="20"/>
      <w:szCs w:val="20"/>
      <w:lang w:val="da-DK"/>
    </w:rPr>
  </w:style>
  <w:style w:type="character" w:styleId="HTML-tastatur">
    <w:name w:val="HTML Keyboard"/>
    <w:basedOn w:val="Standardskrifttypeiafsnit"/>
    <w:uiPriority w:val="99"/>
    <w:semiHidden/>
    <w:unhideWhenUsed/>
    <w:rsid w:val="00704EA1"/>
    <w:rPr>
      <w:rFonts w:ascii="Consolas" w:hAnsi="Consolas"/>
      <w:sz w:val="20"/>
      <w:szCs w:val="20"/>
      <w:lang w:val="da-DK"/>
    </w:rPr>
  </w:style>
  <w:style w:type="character" w:styleId="HTML-variabel">
    <w:name w:val="HTML Variable"/>
    <w:basedOn w:val="Standardskrifttypeiafsnit"/>
    <w:uiPriority w:val="99"/>
    <w:semiHidden/>
    <w:unhideWhenUsed/>
    <w:rsid w:val="00704EA1"/>
    <w:rPr>
      <w:i/>
      <w:iCs/>
      <w:lang w:val="da-DK"/>
    </w:rPr>
  </w:style>
  <w:style w:type="character" w:styleId="Hyperlink">
    <w:name w:val="Hyperlink"/>
    <w:basedOn w:val="Standardskrifttypeiafsnit"/>
    <w:uiPriority w:val="21"/>
    <w:unhideWhenUsed/>
    <w:rsid w:val="00704EA1"/>
    <w:rPr>
      <w:color w:val="0000FF" w:themeColor="hyperlink"/>
      <w:u w:val="single"/>
      <w:lang w:val="da-DK"/>
    </w:rPr>
  </w:style>
  <w:style w:type="paragraph" w:styleId="Indeks1">
    <w:name w:val="index 1"/>
    <w:basedOn w:val="Normal"/>
    <w:next w:val="Normal"/>
    <w:autoRedefine/>
    <w:uiPriority w:val="99"/>
    <w:semiHidden/>
    <w:unhideWhenUsed/>
    <w:rsid w:val="00704EA1"/>
    <w:pPr>
      <w:spacing w:line="240" w:lineRule="auto"/>
      <w:ind w:left="240" w:hanging="240"/>
    </w:pPr>
  </w:style>
  <w:style w:type="paragraph" w:styleId="Indeks2">
    <w:name w:val="index 2"/>
    <w:basedOn w:val="Normal"/>
    <w:next w:val="Normal"/>
    <w:autoRedefine/>
    <w:uiPriority w:val="99"/>
    <w:semiHidden/>
    <w:unhideWhenUsed/>
    <w:rsid w:val="00704EA1"/>
    <w:pPr>
      <w:spacing w:line="240" w:lineRule="auto"/>
      <w:ind w:left="480" w:hanging="240"/>
    </w:pPr>
  </w:style>
  <w:style w:type="paragraph" w:styleId="Indeks3">
    <w:name w:val="index 3"/>
    <w:basedOn w:val="Normal"/>
    <w:next w:val="Normal"/>
    <w:autoRedefine/>
    <w:uiPriority w:val="99"/>
    <w:semiHidden/>
    <w:unhideWhenUsed/>
    <w:rsid w:val="00704EA1"/>
    <w:pPr>
      <w:spacing w:line="240" w:lineRule="auto"/>
      <w:ind w:left="720" w:hanging="240"/>
    </w:pPr>
  </w:style>
  <w:style w:type="paragraph" w:styleId="Indeks4">
    <w:name w:val="index 4"/>
    <w:basedOn w:val="Normal"/>
    <w:next w:val="Normal"/>
    <w:autoRedefine/>
    <w:uiPriority w:val="99"/>
    <w:semiHidden/>
    <w:unhideWhenUsed/>
    <w:rsid w:val="00704EA1"/>
    <w:pPr>
      <w:spacing w:line="240" w:lineRule="auto"/>
      <w:ind w:left="960" w:hanging="240"/>
    </w:pPr>
  </w:style>
  <w:style w:type="paragraph" w:styleId="Indeks5">
    <w:name w:val="index 5"/>
    <w:basedOn w:val="Normal"/>
    <w:next w:val="Normal"/>
    <w:autoRedefine/>
    <w:uiPriority w:val="99"/>
    <w:semiHidden/>
    <w:unhideWhenUsed/>
    <w:rsid w:val="00704EA1"/>
    <w:pPr>
      <w:spacing w:line="240" w:lineRule="auto"/>
      <w:ind w:left="1200" w:hanging="240"/>
    </w:pPr>
  </w:style>
  <w:style w:type="paragraph" w:styleId="Indeks6">
    <w:name w:val="index 6"/>
    <w:basedOn w:val="Normal"/>
    <w:next w:val="Normal"/>
    <w:autoRedefine/>
    <w:uiPriority w:val="99"/>
    <w:semiHidden/>
    <w:unhideWhenUsed/>
    <w:rsid w:val="00704EA1"/>
    <w:pPr>
      <w:spacing w:line="240" w:lineRule="auto"/>
      <w:ind w:left="1440" w:hanging="240"/>
    </w:pPr>
  </w:style>
  <w:style w:type="paragraph" w:styleId="Indeks7">
    <w:name w:val="index 7"/>
    <w:basedOn w:val="Normal"/>
    <w:next w:val="Normal"/>
    <w:autoRedefine/>
    <w:uiPriority w:val="99"/>
    <w:semiHidden/>
    <w:unhideWhenUsed/>
    <w:rsid w:val="00704EA1"/>
    <w:pPr>
      <w:spacing w:line="240" w:lineRule="auto"/>
      <w:ind w:left="1680" w:hanging="240"/>
    </w:pPr>
  </w:style>
  <w:style w:type="paragraph" w:styleId="Indeks8">
    <w:name w:val="index 8"/>
    <w:basedOn w:val="Normal"/>
    <w:next w:val="Normal"/>
    <w:autoRedefine/>
    <w:uiPriority w:val="99"/>
    <w:semiHidden/>
    <w:unhideWhenUsed/>
    <w:rsid w:val="00704EA1"/>
    <w:pPr>
      <w:spacing w:line="240" w:lineRule="auto"/>
      <w:ind w:left="1920" w:hanging="240"/>
    </w:pPr>
  </w:style>
  <w:style w:type="paragraph" w:styleId="Indeks9">
    <w:name w:val="index 9"/>
    <w:basedOn w:val="Normal"/>
    <w:next w:val="Normal"/>
    <w:autoRedefine/>
    <w:uiPriority w:val="99"/>
    <w:semiHidden/>
    <w:unhideWhenUsed/>
    <w:rsid w:val="00704EA1"/>
    <w:pPr>
      <w:spacing w:line="240" w:lineRule="auto"/>
      <w:ind w:left="2160" w:hanging="240"/>
    </w:pPr>
  </w:style>
  <w:style w:type="paragraph" w:styleId="Indeksoverskrift">
    <w:name w:val="index heading"/>
    <w:basedOn w:val="Normal"/>
    <w:next w:val="Indeks1"/>
    <w:uiPriority w:val="99"/>
    <w:semiHidden/>
    <w:unhideWhenUsed/>
    <w:rsid w:val="00704EA1"/>
    <w:rPr>
      <w:rFonts w:asciiTheme="majorHAnsi" w:eastAsiaTheme="majorEastAsia" w:hAnsiTheme="majorHAnsi" w:cstheme="majorBidi"/>
      <w:b/>
      <w:bCs/>
    </w:rPr>
  </w:style>
  <w:style w:type="paragraph" w:styleId="Ingenafstand">
    <w:name w:val="No Spacing"/>
    <w:uiPriority w:val="99"/>
    <w:semiHidden/>
    <w:rsid w:val="00704EA1"/>
    <w:pPr>
      <w:spacing w:line="240" w:lineRule="auto"/>
    </w:pPr>
  </w:style>
  <w:style w:type="paragraph" w:styleId="Kommentartekst">
    <w:name w:val="annotation text"/>
    <w:basedOn w:val="Normal"/>
    <w:link w:val="KommentartekstTegn"/>
    <w:uiPriority w:val="99"/>
    <w:semiHidden/>
    <w:unhideWhenUsed/>
    <w:rsid w:val="00704EA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04EA1"/>
    <w:rPr>
      <w:sz w:val="20"/>
      <w:szCs w:val="20"/>
      <w:lang w:val="da-DK"/>
    </w:rPr>
  </w:style>
  <w:style w:type="paragraph" w:styleId="Kommentaremne">
    <w:name w:val="annotation subject"/>
    <w:basedOn w:val="Kommentartekst"/>
    <w:next w:val="Kommentartekst"/>
    <w:link w:val="KommentaremneTegn"/>
    <w:uiPriority w:val="99"/>
    <w:semiHidden/>
    <w:unhideWhenUsed/>
    <w:rsid w:val="00704EA1"/>
    <w:rPr>
      <w:b/>
      <w:bCs/>
    </w:rPr>
  </w:style>
  <w:style w:type="character" w:customStyle="1" w:styleId="KommentaremneTegn">
    <w:name w:val="Kommentaremne Tegn"/>
    <w:basedOn w:val="KommentartekstTegn"/>
    <w:link w:val="Kommentaremne"/>
    <w:uiPriority w:val="99"/>
    <w:semiHidden/>
    <w:rsid w:val="00704EA1"/>
    <w:rPr>
      <w:b/>
      <w:bCs/>
      <w:sz w:val="20"/>
      <w:szCs w:val="20"/>
      <w:lang w:val="da-DK"/>
    </w:rPr>
  </w:style>
  <w:style w:type="character" w:styleId="Kommentarhenvisning">
    <w:name w:val="annotation reference"/>
    <w:basedOn w:val="Standardskrifttypeiafsnit"/>
    <w:uiPriority w:val="99"/>
    <w:semiHidden/>
    <w:unhideWhenUsed/>
    <w:rsid w:val="00704EA1"/>
    <w:rPr>
      <w:sz w:val="16"/>
      <w:szCs w:val="16"/>
      <w:lang w:val="da-DK"/>
    </w:rPr>
  </w:style>
  <w:style w:type="character" w:styleId="Linjenummer">
    <w:name w:val="line number"/>
    <w:basedOn w:val="Standardskrifttypeiafsnit"/>
    <w:uiPriority w:val="99"/>
    <w:semiHidden/>
    <w:unhideWhenUsed/>
    <w:rsid w:val="00704EA1"/>
    <w:rPr>
      <w:lang w:val="da-DK"/>
    </w:rPr>
  </w:style>
  <w:style w:type="table" w:styleId="Lysliste">
    <w:name w:val="Light List"/>
    <w:basedOn w:val="Tabel-Normal"/>
    <w:uiPriority w:val="61"/>
    <w:rsid w:val="00704EA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04EA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704EA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704EA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704EA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704EA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704EA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704EA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04EA1"/>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704EA1"/>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704EA1"/>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704EA1"/>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704EA1"/>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704EA1"/>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704EA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04EA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704EA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704EA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704EA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704EA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704EA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704EA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704EA1"/>
    <w:rPr>
      <w:rFonts w:ascii="Consolas" w:hAnsi="Consolas"/>
      <w:sz w:val="20"/>
      <w:szCs w:val="20"/>
      <w:lang w:val="da-DK"/>
    </w:rPr>
  </w:style>
  <w:style w:type="table" w:styleId="Mediumgitter1">
    <w:name w:val="Medium Grid 1"/>
    <w:basedOn w:val="Tabel-Normal"/>
    <w:uiPriority w:val="67"/>
    <w:rsid w:val="00704EA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04EA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704EA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704EA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704EA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704EA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704EA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704EA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04EA1"/>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704EA1"/>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704EA1"/>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704EA1"/>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704EA1"/>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704EA1"/>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04EA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04EA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04EA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04EA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04EA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04EA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704EA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704EA1"/>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704EA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04EA1"/>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704EA1"/>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704EA1"/>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704EA1"/>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704EA1"/>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704EA1"/>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unhideWhenUsed/>
    <w:rsid w:val="00704EA1"/>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704EA1"/>
    <w:pPr>
      <w:spacing w:line="240" w:lineRule="auto"/>
    </w:pPr>
  </w:style>
  <w:style w:type="character" w:customStyle="1" w:styleId="NoteoverskriftTegn">
    <w:name w:val="Noteoverskrift Tegn"/>
    <w:basedOn w:val="Standardskrifttypeiafsnit"/>
    <w:link w:val="Noteoverskrift"/>
    <w:uiPriority w:val="99"/>
    <w:semiHidden/>
    <w:rsid w:val="00704EA1"/>
    <w:rPr>
      <w:lang w:val="da-DK"/>
    </w:rPr>
  </w:style>
  <w:style w:type="paragraph" w:styleId="Opstilling">
    <w:name w:val="List"/>
    <w:basedOn w:val="Normal"/>
    <w:uiPriority w:val="99"/>
    <w:semiHidden/>
    <w:unhideWhenUsed/>
    <w:rsid w:val="00704EA1"/>
    <w:pPr>
      <w:ind w:left="283" w:hanging="283"/>
      <w:contextualSpacing/>
    </w:pPr>
  </w:style>
  <w:style w:type="paragraph" w:styleId="Opstilling-forts">
    <w:name w:val="List Continue"/>
    <w:basedOn w:val="Normal"/>
    <w:uiPriority w:val="99"/>
    <w:semiHidden/>
    <w:unhideWhenUsed/>
    <w:rsid w:val="00704EA1"/>
    <w:pPr>
      <w:spacing w:after="120"/>
      <w:ind w:left="283"/>
      <w:contextualSpacing/>
    </w:pPr>
  </w:style>
  <w:style w:type="paragraph" w:styleId="Opstilling-forts2">
    <w:name w:val="List Continue 2"/>
    <w:basedOn w:val="Normal"/>
    <w:uiPriority w:val="99"/>
    <w:semiHidden/>
    <w:unhideWhenUsed/>
    <w:rsid w:val="00704EA1"/>
    <w:pPr>
      <w:spacing w:after="120"/>
      <w:ind w:left="566"/>
      <w:contextualSpacing/>
    </w:pPr>
  </w:style>
  <w:style w:type="paragraph" w:styleId="Opstilling-forts3">
    <w:name w:val="List Continue 3"/>
    <w:basedOn w:val="Normal"/>
    <w:uiPriority w:val="99"/>
    <w:semiHidden/>
    <w:unhideWhenUsed/>
    <w:rsid w:val="00704EA1"/>
    <w:pPr>
      <w:spacing w:after="120"/>
      <w:ind w:left="849"/>
      <w:contextualSpacing/>
    </w:pPr>
  </w:style>
  <w:style w:type="paragraph" w:styleId="Opstilling-forts4">
    <w:name w:val="List Continue 4"/>
    <w:basedOn w:val="Normal"/>
    <w:uiPriority w:val="99"/>
    <w:semiHidden/>
    <w:unhideWhenUsed/>
    <w:rsid w:val="00704EA1"/>
    <w:pPr>
      <w:spacing w:after="120"/>
      <w:ind w:left="1132"/>
      <w:contextualSpacing/>
    </w:pPr>
  </w:style>
  <w:style w:type="paragraph" w:styleId="Opstilling-forts5">
    <w:name w:val="List Continue 5"/>
    <w:basedOn w:val="Normal"/>
    <w:uiPriority w:val="99"/>
    <w:semiHidden/>
    <w:unhideWhenUsed/>
    <w:rsid w:val="00704EA1"/>
    <w:pPr>
      <w:spacing w:after="120"/>
      <w:ind w:left="1415"/>
      <w:contextualSpacing/>
    </w:pPr>
  </w:style>
  <w:style w:type="paragraph" w:styleId="Opstilling-punkttegn2">
    <w:name w:val="List Bullet 2"/>
    <w:basedOn w:val="Normal"/>
    <w:uiPriority w:val="99"/>
    <w:semiHidden/>
    <w:unhideWhenUsed/>
    <w:rsid w:val="00704EA1"/>
    <w:pPr>
      <w:numPr>
        <w:numId w:val="2"/>
      </w:numPr>
      <w:contextualSpacing/>
    </w:pPr>
  </w:style>
  <w:style w:type="paragraph" w:styleId="Opstilling-punkttegn3">
    <w:name w:val="List Bullet 3"/>
    <w:basedOn w:val="Normal"/>
    <w:uiPriority w:val="99"/>
    <w:semiHidden/>
    <w:unhideWhenUsed/>
    <w:rsid w:val="00704EA1"/>
    <w:pPr>
      <w:numPr>
        <w:numId w:val="3"/>
      </w:numPr>
      <w:contextualSpacing/>
    </w:pPr>
  </w:style>
  <w:style w:type="paragraph" w:styleId="Opstilling-punkttegn4">
    <w:name w:val="List Bullet 4"/>
    <w:basedOn w:val="Normal"/>
    <w:uiPriority w:val="99"/>
    <w:semiHidden/>
    <w:unhideWhenUsed/>
    <w:rsid w:val="00704EA1"/>
    <w:pPr>
      <w:numPr>
        <w:numId w:val="4"/>
      </w:numPr>
      <w:contextualSpacing/>
    </w:pPr>
  </w:style>
  <w:style w:type="paragraph" w:styleId="Opstilling-punkttegn5">
    <w:name w:val="List Bullet 5"/>
    <w:basedOn w:val="Normal"/>
    <w:uiPriority w:val="99"/>
    <w:semiHidden/>
    <w:unhideWhenUsed/>
    <w:rsid w:val="00704EA1"/>
    <w:pPr>
      <w:numPr>
        <w:numId w:val="5"/>
      </w:numPr>
      <w:contextualSpacing/>
    </w:pPr>
  </w:style>
  <w:style w:type="paragraph" w:styleId="Opstilling-talellerbogst2">
    <w:name w:val="List Number 2"/>
    <w:basedOn w:val="Normal"/>
    <w:uiPriority w:val="99"/>
    <w:semiHidden/>
    <w:unhideWhenUsed/>
    <w:rsid w:val="00704EA1"/>
    <w:pPr>
      <w:numPr>
        <w:numId w:val="7"/>
      </w:numPr>
      <w:contextualSpacing/>
    </w:pPr>
  </w:style>
  <w:style w:type="paragraph" w:styleId="Opstilling-talellerbogst3">
    <w:name w:val="List Number 3"/>
    <w:basedOn w:val="Normal"/>
    <w:uiPriority w:val="99"/>
    <w:semiHidden/>
    <w:unhideWhenUsed/>
    <w:rsid w:val="00704EA1"/>
    <w:pPr>
      <w:numPr>
        <w:numId w:val="8"/>
      </w:numPr>
      <w:contextualSpacing/>
    </w:pPr>
  </w:style>
  <w:style w:type="paragraph" w:styleId="Opstilling-talellerbogst4">
    <w:name w:val="List Number 4"/>
    <w:basedOn w:val="Normal"/>
    <w:uiPriority w:val="99"/>
    <w:semiHidden/>
    <w:unhideWhenUsed/>
    <w:rsid w:val="00704EA1"/>
    <w:pPr>
      <w:numPr>
        <w:numId w:val="9"/>
      </w:numPr>
      <w:contextualSpacing/>
    </w:pPr>
  </w:style>
  <w:style w:type="paragraph" w:styleId="Opstilling-talellerbogst5">
    <w:name w:val="List Number 5"/>
    <w:basedOn w:val="Normal"/>
    <w:uiPriority w:val="99"/>
    <w:semiHidden/>
    <w:unhideWhenUsed/>
    <w:rsid w:val="00704EA1"/>
    <w:pPr>
      <w:numPr>
        <w:numId w:val="10"/>
      </w:numPr>
      <w:contextualSpacing/>
    </w:pPr>
  </w:style>
  <w:style w:type="paragraph" w:styleId="Opstilling2">
    <w:name w:val="List 2"/>
    <w:basedOn w:val="Normal"/>
    <w:uiPriority w:val="99"/>
    <w:semiHidden/>
    <w:unhideWhenUsed/>
    <w:rsid w:val="00704EA1"/>
    <w:pPr>
      <w:ind w:left="566" w:hanging="283"/>
      <w:contextualSpacing/>
    </w:pPr>
  </w:style>
  <w:style w:type="paragraph" w:styleId="Opstilling3">
    <w:name w:val="List 3"/>
    <w:basedOn w:val="Normal"/>
    <w:uiPriority w:val="99"/>
    <w:semiHidden/>
    <w:unhideWhenUsed/>
    <w:rsid w:val="00704EA1"/>
    <w:pPr>
      <w:ind w:left="849" w:hanging="283"/>
      <w:contextualSpacing/>
    </w:pPr>
  </w:style>
  <w:style w:type="paragraph" w:styleId="Opstilling4">
    <w:name w:val="List 4"/>
    <w:basedOn w:val="Normal"/>
    <w:uiPriority w:val="99"/>
    <w:semiHidden/>
    <w:rsid w:val="00704EA1"/>
    <w:pPr>
      <w:ind w:left="1132" w:hanging="283"/>
      <w:contextualSpacing/>
    </w:pPr>
  </w:style>
  <w:style w:type="paragraph" w:styleId="Opstilling5">
    <w:name w:val="List 5"/>
    <w:basedOn w:val="Normal"/>
    <w:uiPriority w:val="99"/>
    <w:semiHidden/>
    <w:rsid w:val="00704EA1"/>
    <w:pPr>
      <w:ind w:left="1415" w:hanging="283"/>
      <w:contextualSpacing/>
    </w:pPr>
  </w:style>
  <w:style w:type="paragraph" w:styleId="Sluthilsen">
    <w:name w:val="Closing"/>
    <w:basedOn w:val="Normal"/>
    <w:link w:val="SluthilsenTegn"/>
    <w:uiPriority w:val="99"/>
    <w:semiHidden/>
    <w:unhideWhenUsed/>
    <w:rsid w:val="00704EA1"/>
    <w:pPr>
      <w:spacing w:line="240" w:lineRule="auto"/>
      <w:ind w:left="4252"/>
    </w:pPr>
  </w:style>
  <w:style w:type="character" w:customStyle="1" w:styleId="SluthilsenTegn">
    <w:name w:val="Sluthilsen Tegn"/>
    <w:basedOn w:val="Standardskrifttypeiafsnit"/>
    <w:link w:val="Sluthilsen"/>
    <w:uiPriority w:val="99"/>
    <w:semiHidden/>
    <w:rsid w:val="00704EA1"/>
    <w:rPr>
      <w:lang w:val="da-DK"/>
    </w:rPr>
  </w:style>
  <w:style w:type="paragraph" w:styleId="Starthilsen">
    <w:name w:val="Salutation"/>
    <w:basedOn w:val="Normal"/>
    <w:next w:val="Normal"/>
    <w:link w:val="StarthilsenTegn"/>
    <w:uiPriority w:val="99"/>
    <w:semiHidden/>
    <w:rsid w:val="00704EA1"/>
  </w:style>
  <w:style w:type="character" w:customStyle="1" w:styleId="StarthilsenTegn">
    <w:name w:val="Starthilsen Tegn"/>
    <w:basedOn w:val="Standardskrifttypeiafsnit"/>
    <w:link w:val="Starthilsen"/>
    <w:uiPriority w:val="99"/>
    <w:semiHidden/>
    <w:rsid w:val="00704EA1"/>
    <w:rPr>
      <w:lang w:val="da-DK"/>
    </w:rPr>
  </w:style>
  <w:style w:type="table" w:styleId="Tabel-3D-effekter1">
    <w:name w:val="Table 3D effects 1"/>
    <w:basedOn w:val="Tabel-Normal"/>
    <w:uiPriority w:val="99"/>
    <w:semiHidden/>
    <w:unhideWhenUsed/>
    <w:rsid w:val="00704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04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04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04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04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04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04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04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04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04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704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04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04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04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04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04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04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04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04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04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04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04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04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04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704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04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04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04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04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704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04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04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04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04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04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04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04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04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04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70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04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04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04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kst2">
    <w:name w:val="tekst2"/>
    <w:basedOn w:val="Normal"/>
    <w:rsid w:val="002E25C1"/>
    <w:pPr>
      <w:spacing w:line="240" w:lineRule="auto"/>
      <w:ind w:firstLine="240"/>
      <w:jc w:val="both"/>
    </w:pPr>
    <w:rPr>
      <w:rFonts w:ascii="Tahoma" w:eastAsia="Times New Roman" w:hAnsi="Tahoma" w:cs="Tahoma"/>
      <w:color w:val="000000"/>
      <w:lang w:eastAsia="da-DK"/>
    </w:rPr>
  </w:style>
  <w:style w:type="paragraph" w:customStyle="1" w:styleId="normalind">
    <w:name w:val="normalind"/>
    <w:basedOn w:val="Normal"/>
    <w:rsid w:val="000D0B50"/>
    <w:pPr>
      <w:spacing w:before="60" w:line="240" w:lineRule="auto"/>
      <w:ind w:firstLine="170"/>
      <w:jc w:val="both"/>
    </w:pPr>
    <w:rPr>
      <w:rFonts w:ascii="Tahoma" w:eastAsia="Times New Roman" w:hAnsi="Tahoma" w:cs="Tahoma"/>
      <w:color w:val="000000"/>
      <w:lang w:eastAsia="da-DK"/>
    </w:rPr>
  </w:style>
  <w:style w:type="paragraph" w:customStyle="1" w:styleId="stk2">
    <w:name w:val="stk2"/>
    <w:basedOn w:val="Normal"/>
    <w:rsid w:val="00954C11"/>
    <w:pPr>
      <w:spacing w:line="240" w:lineRule="auto"/>
      <w:ind w:firstLine="240"/>
    </w:pPr>
    <w:rPr>
      <w:rFonts w:ascii="Tahoma" w:eastAsia="Times New Roman" w:hAnsi="Tahoma" w:cs="Tahoma"/>
      <w:color w:val="000000"/>
      <w:lang w:eastAsia="da-DK"/>
    </w:rPr>
  </w:style>
  <w:style w:type="paragraph" w:customStyle="1" w:styleId="liste1">
    <w:name w:val="liste1"/>
    <w:basedOn w:val="Normal"/>
    <w:rsid w:val="00954C11"/>
    <w:pPr>
      <w:spacing w:line="240" w:lineRule="auto"/>
      <w:ind w:left="280"/>
    </w:pPr>
    <w:rPr>
      <w:rFonts w:ascii="Tahoma" w:eastAsia="Times New Roman" w:hAnsi="Tahoma" w:cs="Tahoma"/>
      <w:color w:val="000000"/>
      <w:lang w:eastAsia="da-DK"/>
    </w:rPr>
  </w:style>
  <w:style w:type="character" w:customStyle="1" w:styleId="liste1nr1">
    <w:name w:val="liste1nr1"/>
    <w:basedOn w:val="Standardskrifttypeiafsnit"/>
    <w:rsid w:val="00954C11"/>
    <w:rPr>
      <w:rFonts w:ascii="Tahoma" w:hAnsi="Tahoma" w:cs="Tahoma" w:hint="default"/>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Listeafsnit">
    <w:name w:val="List Paragraph"/>
    <w:basedOn w:val="Normal"/>
    <w:uiPriority w:val="99"/>
    <w:rsid w:val="00B719E3"/>
    <w:pPr>
      <w:ind w:left="720"/>
      <w:contextualSpacing/>
    </w:pPr>
  </w:style>
  <w:style w:type="paragraph" w:styleId="Afsenderadresse">
    <w:name w:val="envelope return"/>
    <w:basedOn w:val="Normal"/>
    <w:uiPriority w:val="99"/>
    <w:semiHidden/>
    <w:unhideWhenUsed/>
    <w:rsid w:val="00704EA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704EA1"/>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04EA1"/>
    <w:rPr>
      <w:rFonts w:ascii="Consolas" w:hAnsi="Consolas"/>
      <w:sz w:val="21"/>
      <w:szCs w:val="21"/>
      <w:lang w:val="da-DK"/>
    </w:rPr>
  </w:style>
  <w:style w:type="character" w:styleId="BesgtHyperlink">
    <w:name w:val="FollowedHyperlink"/>
    <w:basedOn w:val="Standardskrifttypeiafsnit"/>
    <w:uiPriority w:val="21"/>
    <w:semiHidden/>
    <w:unhideWhenUsed/>
    <w:rsid w:val="00704EA1"/>
    <w:rPr>
      <w:color w:val="800080" w:themeColor="followedHyperlink"/>
      <w:u w:val="single"/>
      <w:lang w:val="da-DK"/>
    </w:rPr>
  </w:style>
  <w:style w:type="paragraph" w:styleId="Bibliografi">
    <w:name w:val="Bibliography"/>
    <w:basedOn w:val="Normal"/>
    <w:next w:val="Normal"/>
    <w:uiPriority w:val="99"/>
    <w:semiHidden/>
    <w:unhideWhenUsed/>
    <w:rsid w:val="00704EA1"/>
  </w:style>
  <w:style w:type="paragraph" w:styleId="Brevhoved">
    <w:name w:val="Message Header"/>
    <w:basedOn w:val="Normal"/>
    <w:link w:val="BrevhovedTegn"/>
    <w:uiPriority w:val="99"/>
    <w:semiHidden/>
    <w:unhideWhenUsed/>
    <w:rsid w:val="00704EA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704EA1"/>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704EA1"/>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704EA1"/>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704EA1"/>
    <w:pPr>
      <w:spacing w:after="120"/>
      <w:ind w:left="283"/>
    </w:pPr>
  </w:style>
  <w:style w:type="character" w:customStyle="1" w:styleId="BrdtekstindrykningTegn">
    <w:name w:val="Brødtekstindrykning Tegn"/>
    <w:basedOn w:val="Standardskrifttypeiafsnit"/>
    <w:link w:val="Brdtekstindrykning"/>
    <w:uiPriority w:val="99"/>
    <w:semiHidden/>
    <w:rsid w:val="00704EA1"/>
    <w:rPr>
      <w:lang w:val="da-DK"/>
    </w:rPr>
  </w:style>
  <w:style w:type="paragraph" w:styleId="Brdtekst-frstelinjeindrykning2">
    <w:name w:val="Body Text First Indent 2"/>
    <w:basedOn w:val="Brdtekstindrykning"/>
    <w:link w:val="Brdtekst-frstelinjeindrykning2Tegn"/>
    <w:uiPriority w:val="99"/>
    <w:semiHidden/>
    <w:unhideWhenUsed/>
    <w:rsid w:val="00704EA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04EA1"/>
    <w:rPr>
      <w:lang w:val="da-DK"/>
    </w:rPr>
  </w:style>
  <w:style w:type="paragraph" w:styleId="Brdtekst2">
    <w:name w:val="Body Text 2"/>
    <w:basedOn w:val="Normal"/>
    <w:link w:val="Brdtekst2Tegn"/>
    <w:uiPriority w:val="99"/>
    <w:semiHidden/>
    <w:unhideWhenUsed/>
    <w:rsid w:val="00704EA1"/>
    <w:pPr>
      <w:spacing w:after="120" w:line="480" w:lineRule="auto"/>
    </w:pPr>
  </w:style>
  <w:style w:type="character" w:customStyle="1" w:styleId="Brdtekst2Tegn">
    <w:name w:val="Brødtekst 2 Tegn"/>
    <w:basedOn w:val="Standardskrifttypeiafsnit"/>
    <w:link w:val="Brdtekst2"/>
    <w:uiPriority w:val="99"/>
    <w:semiHidden/>
    <w:rsid w:val="00704EA1"/>
    <w:rPr>
      <w:lang w:val="da-DK"/>
    </w:rPr>
  </w:style>
  <w:style w:type="paragraph" w:styleId="Brdtekst3">
    <w:name w:val="Body Text 3"/>
    <w:basedOn w:val="Normal"/>
    <w:link w:val="Brdtekst3Tegn"/>
    <w:uiPriority w:val="99"/>
    <w:semiHidden/>
    <w:unhideWhenUsed/>
    <w:rsid w:val="00704EA1"/>
    <w:pPr>
      <w:spacing w:after="120"/>
    </w:pPr>
    <w:rPr>
      <w:sz w:val="16"/>
      <w:szCs w:val="16"/>
    </w:rPr>
  </w:style>
  <w:style w:type="character" w:customStyle="1" w:styleId="Brdtekst3Tegn">
    <w:name w:val="Brødtekst 3 Tegn"/>
    <w:basedOn w:val="Standardskrifttypeiafsnit"/>
    <w:link w:val="Brdtekst3"/>
    <w:uiPriority w:val="99"/>
    <w:semiHidden/>
    <w:rsid w:val="00704EA1"/>
    <w:rPr>
      <w:sz w:val="16"/>
      <w:szCs w:val="16"/>
      <w:lang w:val="da-DK"/>
    </w:rPr>
  </w:style>
  <w:style w:type="paragraph" w:styleId="Brdtekstindrykning2">
    <w:name w:val="Body Text Indent 2"/>
    <w:basedOn w:val="Normal"/>
    <w:link w:val="Brdtekstindrykning2Tegn"/>
    <w:uiPriority w:val="99"/>
    <w:semiHidden/>
    <w:unhideWhenUsed/>
    <w:rsid w:val="00704EA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04EA1"/>
    <w:rPr>
      <w:lang w:val="da-DK"/>
    </w:rPr>
  </w:style>
  <w:style w:type="paragraph" w:styleId="Brdtekstindrykning3">
    <w:name w:val="Body Text Indent 3"/>
    <w:basedOn w:val="Normal"/>
    <w:link w:val="Brdtekstindrykning3Tegn"/>
    <w:uiPriority w:val="99"/>
    <w:semiHidden/>
    <w:unhideWhenUsed/>
    <w:rsid w:val="00704EA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04EA1"/>
    <w:rPr>
      <w:sz w:val="16"/>
      <w:szCs w:val="16"/>
      <w:lang w:val="da-DK"/>
    </w:rPr>
  </w:style>
  <w:style w:type="paragraph" w:styleId="Dato">
    <w:name w:val="Date"/>
    <w:basedOn w:val="Normal"/>
    <w:next w:val="Normal"/>
    <w:link w:val="DatoTegn"/>
    <w:uiPriority w:val="99"/>
    <w:semiHidden/>
    <w:rsid w:val="00704EA1"/>
  </w:style>
  <w:style w:type="character" w:customStyle="1" w:styleId="DatoTegn">
    <w:name w:val="Dato Tegn"/>
    <w:basedOn w:val="Standardskrifttypeiafsnit"/>
    <w:link w:val="Dato"/>
    <w:uiPriority w:val="99"/>
    <w:semiHidden/>
    <w:rsid w:val="00704EA1"/>
    <w:rPr>
      <w:lang w:val="da-DK"/>
    </w:rPr>
  </w:style>
  <w:style w:type="paragraph" w:styleId="Dokumentoversigt">
    <w:name w:val="Document Map"/>
    <w:basedOn w:val="Normal"/>
    <w:link w:val="DokumentoversigtTegn"/>
    <w:uiPriority w:val="99"/>
    <w:semiHidden/>
    <w:unhideWhenUsed/>
    <w:rsid w:val="00704EA1"/>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04EA1"/>
    <w:rPr>
      <w:rFonts w:ascii="Tahoma" w:hAnsi="Tahoma" w:cs="Tahoma"/>
      <w:sz w:val="16"/>
      <w:szCs w:val="16"/>
      <w:lang w:val="da-DK"/>
    </w:rPr>
  </w:style>
  <w:style w:type="paragraph" w:styleId="E-mail-signatur">
    <w:name w:val="E-mail Signature"/>
    <w:basedOn w:val="Normal"/>
    <w:link w:val="E-mail-signaturTegn"/>
    <w:uiPriority w:val="99"/>
    <w:semiHidden/>
    <w:unhideWhenUsed/>
    <w:rsid w:val="00704EA1"/>
    <w:pPr>
      <w:spacing w:line="240" w:lineRule="auto"/>
    </w:pPr>
  </w:style>
  <w:style w:type="character" w:customStyle="1" w:styleId="E-mail-signaturTegn">
    <w:name w:val="E-mail-signatur Tegn"/>
    <w:basedOn w:val="Standardskrifttypeiafsnit"/>
    <w:link w:val="E-mail-signatur"/>
    <w:uiPriority w:val="99"/>
    <w:semiHidden/>
    <w:rsid w:val="00704EA1"/>
    <w:rPr>
      <w:lang w:val="da-DK"/>
    </w:rPr>
  </w:style>
  <w:style w:type="table" w:styleId="Farvetgitter">
    <w:name w:val="Colorful Grid"/>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704EA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704EA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04EA1"/>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704EA1"/>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704EA1"/>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704EA1"/>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704EA1"/>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704EA1"/>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704EA1"/>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04EA1"/>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04EA1"/>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04EA1"/>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704EA1"/>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04EA1"/>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04EA1"/>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704EA1"/>
    <w:rPr>
      <w:vertAlign w:val="superscript"/>
      <w:lang w:val="da-DK"/>
    </w:rPr>
  </w:style>
  <w:style w:type="paragraph" w:styleId="FormateretHTML">
    <w:name w:val="HTML Preformatted"/>
    <w:basedOn w:val="Normal"/>
    <w:link w:val="FormateretHTMLTegn"/>
    <w:uiPriority w:val="99"/>
    <w:semiHidden/>
    <w:unhideWhenUsed/>
    <w:rsid w:val="00704EA1"/>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04EA1"/>
    <w:rPr>
      <w:rFonts w:ascii="Consolas" w:hAnsi="Consolas"/>
      <w:sz w:val="20"/>
      <w:szCs w:val="20"/>
      <w:lang w:val="da-DK"/>
    </w:rPr>
  </w:style>
  <w:style w:type="character" w:styleId="Fremhv">
    <w:name w:val="Emphasis"/>
    <w:basedOn w:val="Standardskrifttypeiafsnit"/>
    <w:uiPriority w:val="19"/>
    <w:rsid w:val="00704EA1"/>
    <w:rPr>
      <w:i/>
      <w:iCs/>
      <w:lang w:val="da-DK"/>
    </w:rPr>
  </w:style>
  <w:style w:type="paragraph" w:styleId="HTML-adresse">
    <w:name w:val="HTML Address"/>
    <w:basedOn w:val="Normal"/>
    <w:link w:val="HTML-adresseTegn"/>
    <w:uiPriority w:val="99"/>
    <w:semiHidden/>
    <w:unhideWhenUsed/>
    <w:rsid w:val="00704EA1"/>
    <w:pPr>
      <w:spacing w:line="240" w:lineRule="auto"/>
    </w:pPr>
    <w:rPr>
      <w:i/>
      <w:iCs/>
    </w:rPr>
  </w:style>
  <w:style w:type="character" w:customStyle="1" w:styleId="HTML-adresseTegn">
    <w:name w:val="HTML-adresse Tegn"/>
    <w:basedOn w:val="Standardskrifttypeiafsnit"/>
    <w:link w:val="HTML-adresse"/>
    <w:uiPriority w:val="99"/>
    <w:semiHidden/>
    <w:rsid w:val="00704EA1"/>
    <w:rPr>
      <w:i/>
      <w:iCs/>
      <w:lang w:val="da-DK"/>
    </w:rPr>
  </w:style>
  <w:style w:type="character" w:styleId="HTML-akronym">
    <w:name w:val="HTML Acronym"/>
    <w:basedOn w:val="Standardskrifttypeiafsnit"/>
    <w:uiPriority w:val="99"/>
    <w:semiHidden/>
    <w:unhideWhenUsed/>
    <w:rsid w:val="00704EA1"/>
    <w:rPr>
      <w:lang w:val="da-DK"/>
    </w:rPr>
  </w:style>
  <w:style w:type="character" w:styleId="HTML-citat">
    <w:name w:val="HTML Cite"/>
    <w:basedOn w:val="Standardskrifttypeiafsnit"/>
    <w:uiPriority w:val="99"/>
    <w:semiHidden/>
    <w:unhideWhenUsed/>
    <w:rsid w:val="00704EA1"/>
    <w:rPr>
      <w:i/>
      <w:iCs/>
      <w:lang w:val="da-DK"/>
    </w:rPr>
  </w:style>
  <w:style w:type="character" w:styleId="HTML-definition">
    <w:name w:val="HTML Definition"/>
    <w:basedOn w:val="Standardskrifttypeiafsnit"/>
    <w:uiPriority w:val="99"/>
    <w:semiHidden/>
    <w:unhideWhenUsed/>
    <w:rsid w:val="00704EA1"/>
    <w:rPr>
      <w:i/>
      <w:iCs/>
      <w:lang w:val="da-DK"/>
    </w:rPr>
  </w:style>
  <w:style w:type="character" w:styleId="HTML-eksempel">
    <w:name w:val="HTML Sample"/>
    <w:basedOn w:val="Standardskrifttypeiafsnit"/>
    <w:uiPriority w:val="99"/>
    <w:semiHidden/>
    <w:unhideWhenUsed/>
    <w:rsid w:val="00704EA1"/>
    <w:rPr>
      <w:rFonts w:ascii="Consolas" w:hAnsi="Consolas"/>
      <w:sz w:val="24"/>
      <w:szCs w:val="24"/>
      <w:lang w:val="da-DK"/>
    </w:rPr>
  </w:style>
  <w:style w:type="character" w:styleId="HTML-kode">
    <w:name w:val="HTML Code"/>
    <w:basedOn w:val="Standardskrifttypeiafsnit"/>
    <w:uiPriority w:val="99"/>
    <w:semiHidden/>
    <w:unhideWhenUsed/>
    <w:rsid w:val="00704EA1"/>
    <w:rPr>
      <w:rFonts w:ascii="Consolas" w:hAnsi="Consolas"/>
      <w:sz w:val="20"/>
      <w:szCs w:val="20"/>
      <w:lang w:val="da-DK"/>
    </w:rPr>
  </w:style>
  <w:style w:type="character" w:styleId="HTML-skrivemaskine">
    <w:name w:val="HTML Typewriter"/>
    <w:basedOn w:val="Standardskrifttypeiafsnit"/>
    <w:uiPriority w:val="99"/>
    <w:semiHidden/>
    <w:unhideWhenUsed/>
    <w:rsid w:val="00704EA1"/>
    <w:rPr>
      <w:rFonts w:ascii="Consolas" w:hAnsi="Consolas"/>
      <w:sz w:val="20"/>
      <w:szCs w:val="20"/>
      <w:lang w:val="da-DK"/>
    </w:rPr>
  </w:style>
  <w:style w:type="character" w:styleId="HTML-tastatur">
    <w:name w:val="HTML Keyboard"/>
    <w:basedOn w:val="Standardskrifttypeiafsnit"/>
    <w:uiPriority w:val="99"/>
    <w:semiHidden/>
    <w:unhideWhenUsed/>
    <w:rsid w:val="00704EA1"/>
    <w:rPr>
      <w:rFonts w:ascii="Consolas" w:hAnsi="Consolas"/>
      <w:sz w:val="20"/>
      <w:szCs w:val="20"/>
      <w:lang w:val="da-DK"/>
    </w:rPr>
  </w:style>
  <w:style w:type="character" w:styleId="HTML-variabel">
    <w:name w:val="HTML Variable"/>
    <w:basedOn w:val="Standardskrifttypeiafsnit"/>
    <w:uiPriority w:val="99"/>
    <w:semiHidden/>
    <w:unhideWhenUsed/>
    <w:rsid w:val="00704EA1"/>
    <w:rPr>
      <w:i/>
      <w:iCs/>
      <w:lang w:val="da-DK"/>
    </w:rPr>
  </w:style>
  <w:style w:type="character" w:styleId="Hyperlink">
    <w:name w:val="Hyperlink"/>
    <w:basedOn w:val="Standardskrifttypeiafsnit"/>
    <w:uiPriority w:val="21"/>
    <w:unhideWhenUsed/>
    <w:rsid w:val="00704EA1"/>
    <w:rPr>
      <w:color w:val="0000FF" w:themeColor="hyperlink"/>
      <w:u w:val="single"/>
      <w:lang w:val="da-DK"/>
    </w:rPr>
  </w:style>
  <w:style w:type="paragraph" w:styleId="Indeks1">
    <w:name w:val="index 1"/>
    <w:basedOn w:val="Normal"/>
    <w:next w:val="Normal"/>
    <w:autoRedefine/>
    <w:uiPriority w:val="99"/>
    <w:semiHidden/>
    <w:unhideWhenUsed/>
    <w:rsid w:val="00704EA1"/>
    <w:pPr>
      <w:spacing w:line="240" w:lineRule="auto"/>
      <w:ind w:left="240" w:hanging="240"/>
    </w:pPr>
  </w:style>
  <w:style w:type="paragraph" w:styleId="Indeks2">
    <w:name w:val="index 2"/>
    <w:basedOn w:val="Normal"/>
    <w:next w:val="Normal"/>
    <w:autoRedefine/>
    <w:uiPriority w:val="99"/>
    <w:semiHidden/>
    <w:unhideWhenUsed/>
    <w:rsid w:val="00704EA1"/>
    <w:pPr>
      <w:spacing w:line="240" w:lineRule="auto"/>
      <w:ind w:left="480" w:hanging="240"/>
    </w:pPr>
  </w:style>
  <w:style w:type="paragraph" w:styleId="Indeks3">
    <w:name w:val="index 3"/>
    <w:basedOn w:val="Normal"/>
    <w:next w:val="Normal"/>
    <w:autoRedefine/>
    <w:uiPriority w:val="99"/>
    <w:semiHidden/>
    <w:unhideWhenUsed/>
    <w:rsid w:val="00704EA1"/>
    <w:pPr>
      <w:spacing w:line="240" w:lineRule="auto"/>
      <w:ind w:left="720" w:hanging="240"/>
    </w:pPr>
  </w:style>
  <w:style w:type="paragraph" w:styleId="Indeks4">
    <w:name w:val="index 4"/>
    <w:basedOn w:val="Normal"/>
    <w:next w:val="Normal"/>
    <w:autoRedefine/>
    <w:uiPriority w:val="99"/>
    <w:semiHidden/>
    <w:unhideWhenUsed/>
    <w:rsid w:val="00704EA1"/>
    <w:pPr>
      <w:spacing w:line="240" w:lineRule="auto"/>
      <w:ind w:left="960" w:hanging="240"/>
    </w:pPr>
  </w:style>
  <w:style w:type="paragraph" w:styleId="Indeks5">
    <w:name w:val="index 5"/>
    <w:basedOn w:val="Normal"/>
    <w:next w:val="Normal"/>
    <w:autoRedefine/>
    <w:uiPriority w:val="99"/>
    <w:semiHidden/>
    <w:unhideWhenUsed/>
    <w:rsid w:val="00704EA1"/>
    <w:pPr>
      <w:spacing w:line="240" w:lineRule="auto"/>
      <w:ind w:left="1200" w:hanging="240"/>
    </w:pPr>
  </w:style>
  <w:style w:type="paragraph" w:styleId="Indeks6">
    <w:name w:val="index 6"/>
    <w:basedOn w:val="Normal"/>
    <w:next w:val="Normal"/>
    <w:autoRedefine/>
    <w:uiPriority w:val="99"/>
    <w:semiHidden/>
    <w:unhideWhenUsed/>
    <w:rsid w:val="00704EA1"/>
    <w:pPr>
      <w:spacing w:line="240" w:lineRule="auto"/>
      <w:ind w:left="1440" w:hanging="240"/>
    </w:pPr>
  </w:style>
  <w:style w:type="paragraph" w:styleId="Indeks7">
    <w:name w:val="index 7"/>
    <w:basedOn w:val="Normal"/>
    <w:next w:val="Normal"/>
    <w:autoRedefine/>
    <w:uiPriority w:val="99"/>
    <w:semiHidden/>
    <w:unhideWhenUsed/>
    <w:rsid w:val="00704EA1"/>
    <w:pPr>
      <w:spacing w:line="240" w:lineRule="auto"/>
      <w:ind w:left="1680" w:hanging="240"/>
    </w:pPr>
  </w:style>
  <w:style w:type="paragraph" w:styleId="Indeks8">
    <w:name w:val="index 8"/>
    <w:basedOn w:val="Normal"/>
    <w:next w:val="Normal"/>
    <w:autoRedefine/>
    <w:uiPriority w:val="99"/>
    <w:semiHidden/>
    <w:unhideWhenUsed/>
    <w:rsid w:val="00704EA1"/>
    <w:pPr>
      <w:spacing w:line="240" w:lineRule="auto"/>
      <w:ind w:left="1920" w:hanging="240"/>
    </w:pPr>
  </w:style>
  <w:style w:type="paragraph" w:styleId="Indeks9">
    <w:name w:val="index 9"/>
    <w:basedOn w:val="Normal"/>
    <w:next w:val="Normal"/>
    <w:autoRedefine/>
    <w:uiPriority w:val="99"/>
    <w:semiHidden/>
    <w:unhideWhenUsed/>
    <w:rsid w:val="00704EA1"/>
    <w:pPr>
      <w:spacing w:line="240" w:lineRule="auto"/>
      <w:ind w:left="2160" w:hanging="240"/>
    </w:pPr>
  </w:style>
  <w:style w:type="paragraph" w:styleId="Indeksoverskrift">
    <w:name w:val="index heading"/>
    <w:basedOn w:val="Normal"/>
    <w:next w:val="Indeks1"/>
    <w:uiPriority w:val="99"/>
    <w:semiHidden/>
    <w:unhideWhenUsed/>
    <w:rsid w:val="00704EA1"/>
    <w:rPr>
      <w:rFonts w:asciiTheme="majorHAnsi" w:eastAsiaTheme="majorEastAsia" w:hAnsiTheme="majorHAnsi" w:cstheme="majorBidi"/>
      <w:b/>
      <w:bCs/>
    </w:rPr>
  </w:style>
  <w:style w:type="paragraph" w:styleId="Ingenafstand">
    <w:name w:val="No Spacing"/>
    <w:uiPriority w:val="99"/>
    <w:semiHidden/>
    <w:rsid w:val="00704EA1"/>
    <w:pPr>
      <w:spacing w:line="240" w:lineRule="auto"/>
    </w:pPr>
  </w:style>
  <w:style w:type="paragraph" w:styleId="Kommentartekst">
    <w:name w:val="annotation text"/>
    <w:basedOn w:val="Normal"/>
    <w:link w:val="KommentartekstTegn"/>
    <w:uiPriority w:val="99"/>
    <w:semiHidden/>
    <w:unhideWhenUsed/>
    <w:rsid w:val="00704EA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04EA1"/>
    <w:rPr>
      <w:sz w:val="20"/>
      <w:szCs w:val="20"/>
      <w:lang w:val="da-DK"/>
    </w:rPr>
  </w:style>
  <w:style w:type="paragraph" w:styleId="Kommentaremne">
    <w:name w:val="annotation subject"/>
    <w:basedOn w:val="Kommentartekst"/>
    <w:next w:val="Kommentartekst"/>
    <w:link w:val="KommentaremneTegn"/>
    <w:uiPriority w:val="99"/>
    <w:semiHidden/>
    <w:unhideWhenUsed/>
    <w:rsid w:val="00704EA1"/>
    <w:rPr>
      <w:b/>
      <w:bCs/>
    </w:rPr>
  </w:style>
  <w:style w:type="character" w:customStyle="1" w:styleId="KommentaremneTegn">
    <w:name w:val="Kommentaremne Tegn"/>
    <w:basedOn w:val="KommentartekstTegn"/>
    <w:link w:val="Kommentaremne"/>
    <w:uiPriority w:val="99"/>
    <w:semiHidden/>
    <w:rsid w:val="00704EA1"/>
    <w:rPr>
      <w:b/>
      <w:bCs/>
      <w:sz w:val="20"/>
      <w:szCs w:val="20"/>
      <w:lang w:val="da-DK"/>
    </w:rPr>
  </w:style>
  <w:style w:type="character" w:styleId="Kommentarhenvisning">
    <w:name w:val="annotation reference"/>
    <w:basedOn w:val="Standardskrifttypeiafsnit"/>
    <w:uiPriority w:val="99"/>
    <w:semiHidden/>
    <w:unhideWhenUsed/>
    <w:rsid w:val="00704EA1"/>
    <w:rPr>
      <w:sz w:val="16"/>
      <w:szCs w:val="16"/>
      <w:lang w:val="da-DK"/>
    </w:rPr>
  </w:style>
  <w:style w:type="character" w:styleId="Linjenummer">
    <w:name w:val="line number"/>
    <w:basedOn w:val="Standardskrifttypeiafsnit"/>
    <w:uiPriority w:val="99"/>
    <w:semiHidden/>
    <w:unhideWhenUsed/>
    <w:rsid w:val="00704EA1"/>
    <w:rPr>
      <w:lang w:val="da-DK"/>
    </w:rPr>
  </w:style>
  <w:style w:type="table" w:styleId="Lysliste">
    <w:name w:val="Light List"/>
    <w:basedOn w:val="Tabel-Normal"/>
    <w:uiPriority w:val="61"/>
    <w:rsid w:val="00704EA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04EA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704EA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704EA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704EA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704EA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704EA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704EA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04EA1"/>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704EA1"/>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704EA1"/>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704EA1"/>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704EA1"/>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704EA1"/>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704EA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04EA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704EA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704EA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704EA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704EA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704EA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704EA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704EA1"/>
    <w:rPr>
      <w:rFonts w:ascii="Consolas" w:hAnsi="Consolas"/>
      <w:sz w:val="20"/>
      <w:szCs w:val="20"/>
      <w:lang w:val="da-DK"/>
    </w:rPr>
  </w:style>
  <w:style w:type="table" w:styleId="Mediumgitter1">
    <w:name w:val="Medium Grid 1"/>
    <w:basedOn w:val="Tabel-Normal"/>
    <w:uiPriority w:val="67"/>
    <w:rsid w:val="00704EA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04EA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704EA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704EA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704EA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704EA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704EA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704EA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704EA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04EA1"/>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704EA1"/>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704EA1"/>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704EA1"/>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704EA1"/>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704EA1"/>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04EA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04EA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04EA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04EA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04EA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04EA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04EA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704EA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704EA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704EA1"/>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704EA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04EA1"/>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704EA1"/>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704EA1"/>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704EA1"/>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704EA1"/>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704EA1"/>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unhideWhenUsed/>
    <w:rsid w:val="00704EA1"/>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704EA1"/>
    <w:pPr>
      <w:spacing w:line="240" w:lineRule="auto"/>
    </w:pPr>
  </w:style>
  <w:style w:type="character" w:customStyle="1" w:styleId="NoteoverskriftTegn">
    <w:name w:val="Noteoverskrift Tegn"/>
    <w:basedOn w:val="Standardskrifttypeiafsnit"/>
    <w:link w:val="Noteoverskrift"/>
    <w:uiPriority w:val="99"/>
    <w:semiHidden/>
    <w:rsid w:val="00704EA1"/>
    <w:rPr>
      <w:lang w:val="da-DK"/>
    </w:rPr>
  </w:style>
  <w:style w:type="paragraph" w:styleId="Opstilling">
    <w:name w:val="List"/>
    <w:basedOn w:val="Normal"/>
    <w:uiPriority w:val="99"/>
    <w:semiHidden/>
    <w:unhideWhenUsed/>
    <w:rsid w:val="00704EA1"/>
    <w:pPr>
      <w:ind w:left="283" w:hanging="283"/>
      <w:contextualSpacing/>
    </w:pPr>
  </w:style>
  <w:style w:type="paragraph" w:styleId="Opstilling-forts">
    <w:name w:val="List Continue"/>
    <w:basedOn w:val="Normal"/>
    <w:uiPriority w:val="99"/>
    <w:semiHidden/>
    <w:unhideWhenUsed/>
    <w:rsid w:val="00704EA1"/>
    <w:pPr>
      <w:spacing w:after="120"/>
      <w:ind w:left="283"/>
      <w:contextualSpacing/>
    </w:pPr>
  </w:style>
  <w:style w:type="paragraph" w:styleId="Opstilling-forts2">
    <w:name w:val="List Continue 2"/>
    <w:basedOn w:val="Normal"/>
    <w:uiPriority w:val="99"/>
    <w:semiHidden/>
    <w:unhideWhenUsed/>
    <w:rsid w:val="00704EA1"/>
    <w:pPr>
      <w:spacing w:after="120"/>
      <w:ind w:left="566"/>
      <w:contextualSpacing/>
    </w:pPr>
  </w:style>
  <w:style w:type="paragraph" w:styleId="Opstilling-forts3">
    <w:name w:val="List Continue 3"/>
    <w:basedOn w:val="Normal"/>
    <w:uiPriority w:val="99"/>
    <w:semiHidden/>
    <w:unhideWhenUsed/>
    <w:rsid w:val="00704EA1"/>
    <w:pPr>
      <w:spacing w:after="120"/>
      <w:ind w:left="849"/>
      <w:contextualSpacing/>
    </w:pPr>
  </w:style>
  <w:style w:type="paragraph" w:styleId="Opstilling-forts4">
    <w:name w:val="List Continue 4"/>
    <w:basedOn w:val="Normal"/>
    <w:uiPriority w:val="99"/>
    <w:semiHidden/>
    <w:unhideWhenUsed/>
    <w:rsid w:val="00704EA1"/>
    <w:pPr>
      <w:spacing w:after="120"/>
      <w:ind w:left="1132"/>
      <w:contextualSpacing/>
    </w:pPr>
  </w:style>
  <w:style w:type="paragraph" w:styleId="Opstilling-forts5">
    <w:name w:val="List Continue 5"/>
    <w:basedOn w:val="Normal"/>
    <w:uiPriority w:val="99"/>
    <w:semiHidden/>
    <w:unhideWhenUsed/>
    <w:rsid w:val="00704EA1"/>
    <w:pPr>
      <w:spacing w:after="120"/>
      <w:ind w:left="1415"/>
      <w:contextualSpacing/>
    </w:pPr>
  </w:style>
  <w:style w:type="paragraph" w:styleId="Opstilling-punkttegn2">
    <w:name w:val="List Bullet 2"/>
    <w:basedOn w:val="Normal"/>
    <w:uiPriority w:val="99"/>
    <w:semiHidden/>
    <w:unhideWhenUsed/>
    <w:rsid w:val="00704EA1"/>
    <w:pPr>
      <w:numPr>
        <w:numId w:val="2"/>
      </w:numPr>
      <w:contextualSpacing/>
    </w:pPr>
  </w:style>
  <w:style w:type="paragraph" w:styleId="Opstilling-punkttegn3">
    <w:name w:val="List Bullet 3"/>
    <w:basedOn w:val="Normal"/>
    <w:uiPriority w:val="99"/>
    <w:semiHidden/>
    <w:unhideWhenUsed/>
    <w:rsid w:val="00704EA1"/>
    <w:pPr>
      <w:numPr>
        <w:numId w:val="3"/>
      </w:numPr>
      <w:contextualSpacing/>
    </w:pPr>
  </w:style>
  <w:style w:type="paragraph" w:styleId="Opstilling-punkttegn4">
    <w:name w:val="List Bullet 4"/>
    <w:basedOn w:val="Normal"/>
    <w:uiPriority w:val="99"/>
    <w:semiHidden/>
    <w:unhideWhenUsed/>
    <w:rsid w:val="00704EA1"/>
    <w:pPr>
      <w:numPr>
        <w:numId w:val="4"/>
      </w:numPr>
      <w:contextualSpacing/>
    </w:pPr>
  </w:style>
  <w:style w:type="paragraph" w:styleId="Opstilling-punkttegn5">
    <w:name w:val="List Bullet 5"/>
    <w:basedOn w:val="Normal"/>
    <w:uiPriority w:val="99"/>
    <w:semiHidden/>
    <w:unhideWhenUsed/>
    <w:rsid w:val="00704EA1"/>
    <w:pPr>
      <w:numPr>
        <w:numId w:val="5"/>
      </w:numPr>
      <w:contextualSpacing/>
    </w:pPr>
  </w:style>
  <w:style w:type="paragraph" w:styleId="Opstilling-talellerbogst2">
    <w:name w:val="List Number 2"/>
    <w:basedOn w:val="Normal"/>
    <w:uiPriority w:val="99"/>
    <w:semiHidden/>
    <w:unhideWhenUsed/>
    <w:rsid w:val="00704EA1"/>
    <w:pPr>
      <w:numPr>
        <w:numId w:val="7"/>
      </w:numPr>
      <w:contextualSpacing/>
    </w:pPr>
  </w:style>
  <w:style w:type="paragraph" w:styleId="Opstilling-talellerbogst3">
    <w:name w:val="List Number 3"/>
    <w:basedOn w:val="Normal"/>
    <w:uiPriority w:val="99"/>
    <w:semiHidden/>
    <w:unhideWhenUsed/>
    <w:rsid w:val="00704EA1"/>
    <w:pPr>
      <w:numPr>
        <w:numId w:val="8"/>
      </w:numPr>
      <w:contextualSpacing/>
    </w:pPr>
  </w:style>
  <w:style w:type="paragraph" w:styleId="Opstilling-talellerbogst4">
    <w:name w:val="List Number 4"/>
    <w:basedOn w:val="Normal"/>
    <w:uiPriority w:val="99"/>
    <w:semiHidden/>
    <w:unhideWhenUsed/>
    <w:rsid w:val="00704EA1"/>
    <w:pPr>
      <w:numPr>
        <w:numId w:val="9"/>
      </w:numPr>
      <w:contextualSpacing/>
    </w:pPr>
  </w:style>
  <w:style w:type="paragraph" w:styleId="Opstilling-talellerbogst5">
    <w:name w:val="List Number 5"/>
    <w:basedOn w:val="Normal"/>
    <w:uiPriority w:val="99"/>
    <w:semiHidden/>
    <w:unhideWhenUsed/>
    <w:rsid w:val="00704EA1"/>
    <w:pPr>
      <w:numPr>
        <w:numId w:val="10"/>
      </w:numPr>
      <w:contextualSpacing/>
    </w:pPr>
  </w:style>
  <w:style w:type="paragraph" w:styleId="Opstilling2">
    <w:name w:val="List 2"/>
    <w:basedOn w:val="Normal"/>
    <w:uiPriority w:val="99"/>
    <w:semiHidden/>
    <w:unhideWhenUsed/>
    <w:rsid w:val="00704EA1"/>
    <w:pPr>
      <w:ind w:left="566" w:hanging="283"/>
      <w:contextualSpacing/>
    </w:pPr>
  </w:style>
  <w:style w:type="paragraph" w:styleId="Opstilling3">
    <w:name w:val="List 3"/>
    <w:basedOn w:val="Normal"/>
    <w:uiPriority w:val="99"/>
    <w:semiHidden/>
    <w:unhideWhenUsed/>
    <w:rsid w:val="00704EA1"/>
    <w:pPr>
      <w:ind w:left="849" w:hanging="283"/>
      <w:contextualSpacing/>
    </w:pPr>
  </w:style>
  <w:style w:type="paragraph" w:styleId="Opstilling4">
    <w:name w:val="List 4"/>
    <w:basedOn w:val="Normal"/>
    <w:uiPriority w:val="99"/>
    <w:semiHidden/>
    <w:rsid w:val="00704EA1"/>
    <w:pPr>
      <w:ind w:left="1132" w:hanging="283"/>
      <w:contextualSpacing/>
    </w:pPr>
  </w:style>
  <w:style w:type="paragraph" w:styleId="Opstilling5">
    <w:name w:val="List 5"/>
    <w:basedOn w:val="Normal"/>
    <w:uiPriority w:val="99"/>
    <w:semiHidden/>
    <w:rsid w:val="00704EA1"/>
    <w:pPr>
      <w:ind w:left="1415" w:hanging="283"/>
      <w:contextualSpacing/>
    </w:pPr>
  </w:style>
  <w:style w:type="paragraph" w:styleId="Sluthilsen">
    <w:name w:val="Closing"/>
    <w:basedOn w:val="Normal"/>
    <w:link w:val="SluthilsenTegn"/>
    <w:uiPriority w:val="99"/>
    <w:semiHidden/>
    <w:unhideWhenUsed/>
    <w:rsid w:val="00704EA1"/>
    <w:pPr>
      <w:spacing w:line="240" w:lineRule="auto"/>
      <w:ind w:left="4252"/>
    </w:pPr>
  </w:style>
  <w:style w:type="character" w:customStyle="1" w:styleId="SluthilsenTegn">
    <w:name w:val="Sluthilsen Tegn"/>
    <w:basedOn w:val="Standardskrifttypeiafsnit"/>
    <w:link w:val="Sluthilsen"/>
    <w:uiPriority w:val="99"/>
    <w:semiHidden/>
    <w:rsid w:val="00704EA1"/>
    <w:rPr>
      <w:lang w:val="da-DK"/>
    </w:rPr>
  </w:style>
  <w:style w:type="paragraph" w:styleId="Starthilsen">
    <w:name w:val="Salutation"/>
    <w:basedOn w:val="Normal"/>
    <w:next w:val="Normal"/>
    <w:link w:val="StarthilsenTegn"/>
    <w:uiPriority w:val="99"/>
    <w:semiHidden/>
    <w:rsid w:val="00704EA1"/>
  </w:style>
  <w:style w:type="character" w:customStyle="1" w:styleId="StarthilsenTegn">
    <w:name w:val="Starthilsen Tegn"/>
    <w:basedOn w:val="Standardskrifttypeiafsnit"/>
    <w:link w:val="Starthilsen"/>
    <w:uiPriority w:val="99"/>
    <w:semiHidden/>
    <w:rsid w:val="00704EA1"/>
    <w:rPr>
      <w:lang w:val="da-DK"/>
    </w:rPr>
  </w:style>
  <w:style w:type="table" w:styleId="Tabel-3D-effekter1">
    <w:name w:val="Table 3D effects 1"/>
    <w:basedOn w:val="Tabel-Normal"/>
    <w:uiPriority w:val="99"/>
    <w:semiHidden/>
    <w:unhideWhenUsed/>
    <w:rsid w:val="00704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04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04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04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04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04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04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04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04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04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704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04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04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04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04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04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04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04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04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04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04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04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04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04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704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04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04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04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04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704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04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04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04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04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04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04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04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04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04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70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04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04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04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kst2">
    <w:name w:val="tekst2"/>
    <w:basedOn w:val="Normal"/>
    <w:rsid w:val="002E25C1"/>
    <w:pPr>
      <w:spacing w:line="240" w:lineRule="auto"/>
      <w:ind w:firstLine="240"/>
      <w:jc w:val="both"/>
    </w:pPr>
    <w:rPr>
      <w:rFonts w:ascii="Tahoma" w:eastAsia="Times New Roman" w:hAnsi="Tahoma" w:cs="Tahoma"/>
      <w:color w:val="000000"/>
      <w:lang w:eastAsia="da-DK"/>
    </w:rPr>
  </w:style>
  <w:style w:type="paragraph" w:customStyle="1" w:styleId="normalind">
    <w:name w:val="normalind"/>
    <w:basedOn w:val="Normal"/>
    <w:rsid w:val="000D0B50"/>
    <w:pPr>
      <w:spacing w:before="60" w:line="240" w:lineRule="auto"/>
      <w:ind w:firstLine="170"/>
      <w:jc w:val="both"/>
    </w:pPr>
    <w:rPr>
      <w:rFonts w:ascii="Tahoma" w:eastAsia="Times New Roman" w:hAnsi="Tahoma" w:cs="Tahoma"/>
      <w:color w:val="000000"/>
      <w:lang w:eastAsia="da-DK"/>
    </w:rPr>
  </w:style>
  <w:style w:type="paragraph" w:customStyle="1" w:styleId="stk2">
    <w:name w:val="stk2"/>
    <w:basedOn w:val="Normal"/>
    <w:rsid w:val="00954C11"/>
    <w:pPr>
      <w:spacing w:line="240" w:lineRule="auto"/>
      <w:ind w:firstLine="240"/>
    </w:pPr>
    <w:rPr>
      <w:rFonts w:ascii="Tahoma" w:eastAsia="Times New Roman" w:hAnsi="Tahoma" w:cs="Tahoma"/>
      <w:color w:val="000000"/>
      <w:lang w:eastAsia="da-DK"/>
    </w:rPr>
  </w:style>
  <w:style w:type="paragraph" w:customStyle="1" w:styleId="liste1">
    <w:name w:val="liste1"/>
    <w:basedOn w:val="Normal"/>
    <w:rsid w:val="00954C11"/>
    <w:pPr>
      <w:spacing w:line="240" w:lineRule="auto"/>
      <w:ind w:left="280"/>
    </w:pPr>
    <w:rPr>
      <w:rFonts w:ascii="Tahoma" w:eastAsia="Times New Roman" w:hAnsi="Tahoma" w:cs="Tahoma"/>
      <w:color w:val="000000"/>
      <w:lang w:eastAsia="da-DK"/>
    </w:rPr>
  </w:style>
  <w:style w:type="character" w:customStyle="1" w:styleId="liste1nr1">
    <w:name w:val="liste1nr1"/>
    <w:basedOn w:val="Standardskrifttypeiafsnit"/>
    <w:rsid w:val="00954C11"/>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5815">
      <w:bodyDiv w:val="1"/>
      <w:marLeft w:val="0"/>
      <w:marRight w:val="0"/>
      <w:marTop w:val="0"/>
      <w:marBottom w:val="0"/>
      <w:divBdr>
        <w:top w:val="none" w:sz="0" w:space="0" w:color="auto"/>
        <w:left w:val="none" w:sz="0" w:space="0" w:color="auto"/>
        <w:bottom w:val="none" w:sz="0" w:space="0" w:color="auto"/>
        <w:right w:val="none" w:sz="0" w:space="0" w:color="auto"/>
      </w:divBdr>
    </w:div>
    <w:div w:id="213395092">
      <w:bodyDiv w:val="1"/>
      <w:marLeft w:val="0"/>
      <w:marRight w:val="0"/>
      <w:marTop w:val="0"/>
      <w:marBottom w:val="0"/>
      <w:divBdr>
        <w:top w:val="none" w:sz="0" w:space="0" w:color="auto"/>
        <w:left w:val="none" w:sz="0" w:space="0" w:color="auto"/>
        <w:bottom w:val="none" w:sz="0" w:space="0" w:color="auto"/>
        <w:right w:val="none" w:sz="0" w:space="0" w:color="auto"/>
      </w:divBdr>
    </w:div>
    <w:div w:id="304942797">
      <w:bodyDiv w:val="1"/>
      <w:marLeft w:val="0"/>
      <w:marRight w:val="0"/>
      <w:marTop w:val="0"/>
      <w:marBottom w:val="0"/>
      <w:divBdr>
        <w:top w:val="none" w:sz="0" w:space="0" w:color="auto"/>
        <w:left w:val="none" w:sz="0" w:space="0" w:color="auto"/>
        <w:bottom w:val="none" w:sz="0" w:space="0" w:color="auto"/>
        <w:right w:val="none" w:sz="0" w:space="0" w:color="auto"/>
      </w:divBdr>
    </w:div>
    <w:div w:id="355889720">
      <w:bodyDiv w:val="1"/>
      <w:marLeft w:val="0"/>
      <w:marRight w:val="0"/>
      <w:marTop w:val="0"/>
      <w:marBottom w:val="0"/>
      <w:divBdr>
        <w:top w:val="none" w:sz="0" w:space="0" w:color="auto"/>
        <w:left w:val="none" w:sz="0" w:space="0" w:color="auto"/>
        <w:bottom w:val="none" w:sz="0" w:space="0" w:color="auto"/>
        <w:right w:val="none" w:sz="0" w:space="0" w:color="auto"/>
      </w:divBdr>
    </w:div>
    <w:div w:id="545945208">
      <w:bodyDiv w:val="1"/>
      <w:marLeft w:val="0"/>
      <w:marRight w:val="0"/>
      <w:marTop w:val="0"/>
      <w:marBottom w:val="0"/>
      <w:divBdr>
        <w:top w:val="none" w:sz="0" w:space="0" w:color="auto"/>
        <w:left w:val="none" w:sz="0" w:space="0" w:color="auto"/>
        <w:bottom w:val="none" w:sz="0" w:space="0" w:color="auto"/>
        <w:right w:val="none" w:sz="0" w:space="0" w:color="auto"/>
      </w:divBdr>
      <w:divsChild>
        <w:div w:id="203757740">
          <w:marLeft w:val="0"/>
          <w:marRight w:val="0"/>
          <w:marTop w:val="0"/>
          <w:marBottom w:val="300"/>
          <w:divBdr>
            <w:top w:val="none" w:sz="0" w:space="0" w:color="auto"/>
            <w:left w:val="none" w:sz="0" w:space="0" w:color="auto"/>
            <w:bottom w:val="none" w:sz="0" w:space="0" w:color="auto"/>
            <w:right w:val="none" w:sz="0" w:space="0" w:color="auto"/>
          </w:divBdr>
          <w:divsChild>
            <w:div w:id="1679194868">
              <w:marLeft w:val="0"/>
              <w:marRight w:val="0"/>
              <w:marTop w:val="0"/>
              <w:marBottom w:val="0"/>
              <w:divBdr>
                <w:top w:val="none" w:sz="0" w:space="0" w:color="auto"/>
                <w:left w:val="single" w:sz="6" w:space="1" w:color="FFFFFF"/>
                <w:bottom w:val="none" w:sz="0" w:space="0" w:color="auto"/>
                <w:right w:val="single" w:sz="6" w:space="1" w:color="FFFFFF"/>
              </w:divBdr>
              <w:divsChild>
                <w:div w:id="638799713">
                  <w:marLeft w:val="0"/>
                  <w:marRight w:val="0"/>
                  <w:marTop w:val="0"/>
                  <w:marBottom w:val="0"/>
                  <w:divBdr>
                    <w:top w:val="none" w:sz="0" w:space="0" w:color="auto"/>
                    <w:left w:val="none" w:sz="0" w:space="0" w:color="auto"/>
                    <w:bottom w:val="none" w:sz="0" w:space="0" w:color="auto"/>
                    <w:right w:val="none" w:sz="0" w:space="0" w:color="auto"/>
                  </w:divBdr>
                  <w:divsChild>
                    <w:div w:id="812210573">
                      <w:marLeft w:val="0"/>
                      <w:marRight w:val="0"/>
                      <w:marTop w:val="0"/>
                      <w:marBottom w:val="0"/>
                      <w:divBdr>
                        <w:top w:val="none" w:sz="0" w:space="0" w:color="auto"/>
                        <w:left w:val="none" w:sz="0" w:space="0" w:color="auto"/>
                        <w:bottom w:val="none" w:sz="0" w:space="0" w:color="auto"/>
                        <w:right w:val="none" w:sz="0" w:space="0" w:color="auto"/>
                      </w:divBdr>
                      <w:divsChild>
                        <w:div w:id="93601724">
                          <w:marLeft w:val="0"/>
                          <w:marRight w:val="0"/>
                          <w:marTop w:val="0"/>
                          <w:marBottom w:val="0"/>
                          <w:divBdr>
                            <w:top w:val="none" w:sz="0" w:space="0" w:color="auto"/>
                            <w:left w:val="none" w:sz="0" w:space="0" w:color="auto"/>
                            <w:bottom w:val="none" w:sz="0" w:space="0" w:color="auto"/>
                            <w:right w:val="none" w:sz="0" w:space="0" w:color="auto"/>
                          </w:divBdr>
                          <w:divsChild>
                            <w:div w:id="955597442">
                              <w:marLeft w:val="0"/>
                              <w:marRight w:val="0"/>
                              <w:marTop w:val="0"/>
                              <w:marBottom w:val="0"/>
                              <w:divBdr>
                                <w:top w:val="none" w:sz="0" w:space="0" w:color="auto"/>
                                <w:left w:val="none" w:sz="0" w:space="0" w:color="auto"/>
                                <w:bottom w:val="none" w:sz="0" w:space="0" w:color="auto"/>
                                <w:right w:val="none" w:sz="0" w:space="0" w:color="auto"/>
                              </w:divBdr>
                              <w:divsChild>
                                <w:div w:id="289213626">
                                  <w:marLeft w:val="0"/>
                                  <w:marRight w:val="0"/>
                                  <w:marTop w:val="0"/>
                                  <w:marBottom w:val="0"/>
                                  <w:divBdr>
                                    <w:top w:val="none" w:sz="0" w:space="0" w:color="auto"/>
                                    <w:left w:val="none" w:sz="0" w:space="0" w:color="auto"/>
                                    <w:bottom w:val="none" w:sz="0" w:space="0" w:color="auto"/>
                                    <w:right w:val="none" w:sz="0" w:space="0" w:color="auto"/>
                                  </w:divBdr>
                                  <w:divsChild>
                                    <w:div w:id="2651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2240">
      <w:bodyDiv w:val="1"/>
      <w:marLeft w:val="0"/>
      <w:marRight w:val="0"/>
      <w:marTop w:val="0"/>
      <w:marBottom w:val="0"/>
      <w:divBdr>
        <w:top w:val="none" w:sz="0" w:space="0" w:color="auto"/>
        <w:left w:val="none" w:sz="0" w:space="0" w:color="auto"/>
        <w:bottom w:val="none" w:sz="0" w:space="0" w:color="auto"/>
        <w:right w:val="none" w:sz="0" w:space="0" w:color="auto"/>
      </w:divBdr>
      <w:divsChild>
        <w:div w:id="1618442076">
          <w:marLeft w:val="0"/>
          <w:marRight w:val="0"/>
          <w:marTop w:val="0"/>
          <w:marBottom w:val="300"/>
          <w:divBdr>
            <w:top w:val="none" w:sz="0" w:space="0" w:color="auto"/>
            <w:left w:val="none" w:sz="0" w:space="0" w:color="auto"/>
            <w:bottom w:val="none" w:sz="0" w:space="0" w:color="auto"/>
            <w:right w:val="none" w:sz="0" w:space="0" w:color="auto"/>
          </w:divBdr>
          <w:divsChild>
            <w:div w:id="1678190817">
              <w:marLeft w:val="0"/>
              <w:marRight w:val="0"/>
              <w:marTop w:val="0"/>
              <w:marBottom w:val="0"/>
              <w:divBdr>
                <w:top w:val="none" w:sz="0" w:space="0" w:color="auto"/>
                <w:left w:val="single" w:sz="6" w:space="1" w:color="FFFFFF"/>
                <w:bottom w:val="none" w:sz="0" w:space="0" w:color="auto"/>
                <w:right w:val="single" w:sz="6" w:space="1" w:color="FFFFFF"/>
              </w:divBdr>
              <w:divsChild>
                <w:div w:id="1956331380">
                  <w:marLeft w:val="0"/>
                  <w:marRight w:val="0"/>
                  <w:marTop w:val="0"/>
                  <w:marBottom w:val="0"/>
                  <w:divBdr>
                    <w:top w:val="none" w:sz="0" w:space="0" w:color="auto"/>
                    <w:left w:val="none" w:sz="0" w:space="0" w:color="auto"/>
                    <w:bottom w:val="none" w:sz="0" w:space="0" w:color="auto"/>
                    <w:right w:val="none" w:sz="0" w:space="0" w:color="auto"/>
                  </w:divBdr>
                  <w:divsChild>
                    <w:div w:id="464666848">
                      <w:marLeft w:val="0"/>
                      <w:marRight w:val="0"/>
                      <w:marTop w:val="0"/>
                      <w:marBottom w:val="0"/>
                      <w:divBdr>
                        <w:top w:val="none" w:sz="0" w:space="0" w:color="auto"/>
                        <w:left w:val="none" w:sz="0" w:space="0" w:color="auto"/>
                        <w:bottom w:val="none" w:sz="0" w:space="0" w:color="auto"/>
                        <w:right w:val="none" w:sz="0" w:space="0" w:color="auto"/>
                      </w:divBdr>
                      <w:divsChild>
                        <w:div w:id="1271819843">
                          <w:marLeft w:val="0"/>
                          <w:marRight w:val="0"/>
                          <w:marTop w:val="0"/>
                          <w:marBottom w:val="0"/>
                          <w:divBdr>
                            <w:top w:val="none" w:sz="0" w:space="0" w:color="auto"/>
                            <w:left w:val="none" w:sz="0" w:space="0" w:color="auto"/>
                            <w:bottom w:val="none" w:sz="0" w:space="0" w:color="auto"/>
                            <w:right w:val="none" w:sz="0" w:space="0" w:color="auto"/>
                          </w:divBdr>
                          <w:divsChild>
                            <w:div w:id="1353721827">
                              <w:marLeft w:val="0"/>
                              <w:marRight w:val="0"/>
                              <w:marTop w:val="0"/>
                              <w:marBottom w:val="0"/>
                              <w:divBdr>
                                <w:top w:val="none" w:sz="0" w:space="0" w:color="auto"/>
                                <w:left w:val="none" w:sz="0" w:space="0" w:color="auto"/>
                                <w:bottom w:val="none" w:sz="0" w:space="0" w:color="auto"/>
                                <w:right w:val="none" w:sz="0" w:space="0" w:color="auto"/>
                              </w:divBdr>
                              <w:divsChild>
                                <w:div w:id="708385212">
                                  <w:marLeft w:val="0"/>
                                  <w:marRight w:val="0"/>
                                  <w:marTop w:val="0"/>
                                  <w:marBottom w:val="0"/>
                                  <w:divBdr>
                                    <w:top w:val="none" w:sz="0" w:space="0" w:color="auto"/>
                                    <w:left w:val="none" w:sz="0" w:space="0" w:color="auto"/>
                                    <w:bottom w:val="none" w:sz="0" w:space="0" w:color="auto"/>
                                    <w:right w:val="none" w:sz="0" w:space="0" w:color="auto"/>
                                  </w:divBdr>
                                  <w:divsChild>
                                    <w:div w:id="12673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78436">
      <w:bodyDiv w:val="1"/>
      <w:marLeft w:val="0"/>
      <w:marRight w:val="0"/>
      <w:marTop w:val="0"/>
      <w:marBottom w:val="0"/>
      <w:divBdr>
        <w:top w:val="none" w:sz="0" w:space="0" w:color="auto"/>
        <w:left w:val="none" w:sz="0" w:space="0" w:color="auto"/>
        <w:bottom w:val="none" w:sz="0" w:space="0" w:color="auto"/>
        <w:right w:val="none" w:sz="0" w:space="0" w:color="auto"/>
      </w:divBdr>
      <w:divsChild>
        <w:div w:id="2144155253">
          <w:marLeft w:val="0"/>
          <w:marRight w:val="0"/>
          <w:marTop w:val="0"/>
          <w:marBottom w:val="300"/>
          <w:divBdr>
            <w:top w:val="none" w:sz="0" w:space="0" w:color="auto"/>
            <w:left w:val="none" w:sz="0" w:space="0" w:color="auto"/>
            <w:bottom w:val="none" w:sz="0" w:space="0" w:color="auto"/>
            <w:right w:val="none" w:sz="0" w:space="0" w:color="auto"/>
          </w:divBdr>
          <w:divsChild>
            <w:div w:id="1408453654">
              <w:marLeft w:val="0"/>
              <w:marRight w:val="0"/>
              <w:marTop w:val="0"/>
              <w:marBottom w:val="0"/>
              <w:divBdr>
                <w:top w:val="none" w:sz="0" w:space="0" w:color="auto"/>
                <w:left w:val="single" w:sz="6" w:space="1" w:color="FFFFFF"/>
                <w:bottom w:val="none" w:sz="0" w:space="0" w:color="auto"/>
                <w:right w:val="single" w:sz="6" w:space="1" w:color="FFFFFF"/>
              </w:divBdr>
              <w:divsChild>
                <w:div w:id="1328948005">
                  <w:marLeft w:val="0"/>
                  <w:marRight w:val="0"/>
                  <w:marTop w:val="0"/>
                  <w:marBottom w:val="0"/>
                  <w:divBdr>
                    <w:top w:val="none" w:sz="0" w:space="0" w:color="auto"/>
                    <w:left w:val="none" w:sz="0" w:space="0" w:color="auto"/>
                    <w:bottom w:val="none" w:sz="0" w:space="0" w:color="auto"/>
                    <w:right w:val="none" w:sz="0" w:space="0" w:color="auto"/>
                  </w:divBdr>
                  <w:divsChild>
                    <w:div w:id="59252049">
                      <w:marLeft w:val="0"/>
                      <w:marRight w:val="0"/>
                      <w:marTop w:val="0"/>
                      <w:marBottom w:val="0"/>
                      <w:divBdr>
                        <w:top w:val="none" w:sz="0" w:space="0" w:color="auto"/>
                        <w:left w:val="none" w:sz="0" w:space="0" w:color="auto"/>
                        <w:bottom w:val="none" w:sz="0" w:space="0" w:color="auto"/>
                        <w:right w:val="none" w:sz="0" w:space="0" w:color="auto"/>
                      </w:divBdr>
                      <w:divsChild>
                        <w:div w:id="715200620">
                          <w:marLeft w:val="0"/>
                          <w:marRight w:val="0"/>
                          <w:marTop w:val="0"/>
                          <w:marBottom w:val="0"/>
                          <w:divBdr>
                            <w:top w:val="none" w:sz="0" w:space="0" w:color="auto"/>
                            <w:left w:val="none" w:sz="0" w:space="0" w:color="auto"/>
                            <w:bottom w:val="none" w:sz="0" w:space="0" w:color="auto"/>
                            <w:right w:val="none" w:sz="0" w:space="0" w:color="auto"/>
                          </w:divBdr>
                          <w:divsChild>
                            <w:div w:id="1579510889">
                              <w:marLeft w:val="0"/>
                              <w:marRight w:val="0"/>
                              <w:marTop w:val="0"/>
                              <w:marBottom w:val="0"/>
                              <w:divBdr>
                                <w:top w:val="none" w:sz="0" w:space="0" w:color="auto"/>
                                <w:left w:val="none" w:sz="0" w:space="0" w:color="auto"/>
                                <w:bottom w:val="none" w:sz="0" w:space="0" w:color="auto"/>
                                <w:right w:val="none" w:sz="0" w:space="0" w:color="auto"/>
                              </w:divBdr>
                              <w:divsChild>
                                <w:div w:id="1180466884">
                                  <w:marLeft w:val="0"/>
                                  <w:marRight w:val="0"/>
                                  <w:marTop w:val="0"/>
                                  <w:marBottom w:val="0"/>
                                  <w:divBdr>
                                    <w:top w:val="none" w:sz="0" w:space="0" w:color="auto"/>
                                    <w:left w:val="none" w:sz="0" w:space="0" w:color="auto"/>
                                    <w:bottom w:val="none" w:sz="0" w:space="0" w:color="auto"/>
                                    <w:right w:val="none" w:sz="0" w:space="0" w:color="auto"/>
                                  </w:divBdr>
                                  <w:divsChild>
                                    <w:div w:id="13830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310358">
      <w:bodyDiv w:val="1"/>
      <w:marLeft w:val="0"/>
      <w:marRight w:val="0"/>
      <w:marTop w:val="0"/>
      <w:marBottom w:val="0"/>
      <w:divBdr>
        <w:top w:val="none" w:sz="0" w:space="0" w:color="auto"/>
        <w:left w:val="none" w:sz="0" w:space="0" w:color="auto"/>
        <w:bottom w:val="none" w:sz="0" w:space="0" w:color="auto"/>
        <w:right w:val="none" w:sz="0" w:space="0" w:color="auto"/>
      </w:divBdr>
    </w:div>
    <w:div w:id="1253009247">
      <w:bodyDiv w:val="1"/>
      <w:marLeft w:val="0"/>
      <w:marRight w:val="0"/>
      <w:marTop w:val="0"/>
      <w:marBottom w:val="0"/>
      <w:divBdr>
        <w:top w:val="none" w:sz="0" w:space="0" w:color="auto"/>
        <w:left w:val="none" w:sz="0" w:space="0" w:color="auto"/>
        <w:bottom w:val="none" w:sz="0" w:space="0" w:color="auto"/>
        <w:right w:val="none" w:sz="0" w:space="0" w:color="auto"/>
      </w:divBdr>
    </w:div>
    <w:div w:id="1290474082">
      <w:bodyDiv w:val="1"/>
      <w:marLeft w:val="0"/>
      <w:marRight w:val="0"/>
      <w:marTop w:val="0"/>
      <w:marBottom w:val="0"/>
      <w:divBdr>
        <w:top w:val="none" w:sz="0" w:space="0" w:color="auto"/>
        <w:left w:val="none" w:sz="0" w:space="0" w:color="auto"/>
        <w:bottom w:val="none" w:sz="0" w:space="0" w:color="auto"/>
        <w:right w:val="none" w:sz="0" w:space="0" w:color="auto"/>
      </w:divBdr>
    </w:div>
    <w:div w:id="1295254600">
      <w:bodyDiv w:val="1"/>
      <w:marLeft w:val="0"/>
      <w:marRight w:val="0"/>
      <w:marTop w:val="0"/>
      <w:marBottom w:val="0"/>
      <w:divBdr>
        <w:top w:val="none" w:sz="0" w:space="0" w:color="auto"/>
        <w:left w:val="none" w:sz="0" w:space="0" w:color="auto"/>
        <w:bottom w:val="none" w:sz="0" w:space="0" w:color="auto"/>
        <w:right w:val="none" w:sz="0" w:space="0" w:color="auto"/>
      </w:divBdr>
      <w:divsChild>
        <w:div w:id="951937717">
          <w:marLeft w:val="0"/>
          <w:marRight w:val="0"/>
          <w:marTop w:val="0"/>
          <w:marBottom w:val="300"/>
          <w:divBdr>
            <w:top w:val="none" w:sz="0" w:space="0" w:color="auto"/>
            <w:left w:val="none" w:sz="0" w:space="0" w:color="auto"/>
            <w:bottom w:val="none" w:sz="0" w:space="0" w:color="auto"/>
            <w:right w:val="none" w:sz="0" w:space="0" w:color="auto"/>
          </w:divBdr>
          <w:divsChild>
            <w:div w:id="1253855349">
              <w:marLeft w:val="0"/>
              <w:marRight w:val="0"/>
              <w:marTop w:val="0"/>
              <w:marBottom w:val="0"/>
              <w:divBdr>
                <w:top w:val="none" w:sz="0" w:space="0" w:color="auto"/>
                <w:left w:val="single" w:sz="6" w:space="1" w:color="FFFFFF"/>
                <w:bottom w:val="none" w:sz="0" w:space="0" w:color="auto"/>
                <w:right w:val="single" w:sz="6" w:space="1" w:color="FFFFFF"/>
              </w:divBdr>
              <w:divsChild>
                <w:div w:id="891892711">
                  <w:marLeft w:val="0"/>
                  <w:marRight w:val="0"/>
                  <w:marTop w:val="0"/>
                  <w:marBottom w:val="0"/>
                  <w:divBdr>
                    <w:top w:val="none" w:sz="0" w:space="0" w:color="auto"/>
                    <w:left w:val="none" w:sz="0" w:space="0" w:color="auto"/>
                    <w:bottom w:val="none" w:sz="0" w:space="0" w:color="auto"/>
                    <w:right w:val="none" w:sz="0" w:space="0" w:color="auto"/>
                  </w:divBdr>
                  <w:divsChild>
                    <w:div w:id="266692103">
                      <w:marLeft w:val="0"/>
                      <w:marRight w:val="0"/>
                      <w:marTop w:val="0"/>
                      <w:marBottom w:val="0"/>
                      <w:divBdr>
                        <w:top w:val="none" w:sz="0" w:space="0" w:color="auto"/>
                        <w:left w:val="none" w:sz="0" w:space="0" w:color="auto"/>
                        <w:bottom w:val="none" w:sz="0" w:space="0" w:color="auto"/>
                        <w:right w:val="none" w:sz="0" w:space="0" w:color="auto"/>
                      </w:divBdr>
                      <w:divsChild>
                        <w:div w:id="1566067601">
                          <w:marLeft w:val="0"/>
                          <w:marRight w:val="0"/>
                          <w:marTop w:val="0"/>
                          <w:marBottom w:val="0"/>
                          <w:divBdr>
                            <w:top w:val="none" w:sz="0" w:space="0" w:color="auto"/>
                            <w:left w:val="none" w:sz="0" w:space="0" w:color="auto"/>
                            <w:bottom w:val="none" w:sz="0" w:space="0" w:color="auto"/>
                            <w:right w:val="none" w:sz="0" w:space="0" w:color="auto"/>
                          </w:divBdr>
                          <w:divsChild>
                            <w:div w:id="600140096">
                              <w:marLeft w:val="0"/>
                              <w:marRight w:val="0"/>
                              <w:marTop w:val="0"/>
                              <w:marBottom w:val="0"/>
                              <w:divBdr>
                                <w:top w:val="none" w:sz="0" w:space="0" w:color="auto"/>
                                <w:left w:val="none" w:sz="0" w:space="0" w:color="auto"/>
                                <w:bottom w:val="none" w:sz="0" w:space="0" w:color="auto"/>
                                <w:right w:val="none" w:sz="0" w:space="0" w:color="auto"/>
                              </w:divBdr>
                              <w:divsChild>
                                <w:div w:id="1594171051">
                                  <w:marLeft w:val="0"/>
                                  <w:marRight w:val="0"/>
                                  <w:marTop w:val="0"/>
                                  <w:marBottom w:val="0"/>
                                  <w:divBdr>
                                    <w:top w:val="none" w:sz="0" w:space="0" w:color="auto"/>
                                    <w:left w:val="none" w:sz="0" w:space="0" w:color="auto"/>
                                    <w:bottom w:val="none" w:sz="0" w:space="0" w:color="auto"/>
                                    <w:right w:val="none" w:sz="0" w:space="0" w:color="auto"/>
                                  </w:divBdr>
                                  <w:divsChild>
                                    <w:div w:id="6032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20581">
      <w:bodyDiv w:val="1"/>
      <w:marLeft w:val="0"/>
      <w:marRight w:val="0"/>
      <w:marTop w:val="0"/>
      <w:marBottom w:val="0"/>
      <w:divBdr>
        <w:top w:val="none" w:sz="0" w:space="0" w:color="auto"/>
        <w:left w:val="none" w:sz="0" w:space="0" w:color="auto"/>
        <w:bottom w:val="none" w:sz="0" w:space="0" w:color="auto"/>
        <w:right w:val="none" w:sz="0" w:space="0" w:color="auto"/>
      </w:divBdr>
    </w:div>
    <w:div w:id="1392583667">
      <w:bodyDiv w:val="1"/>
      <w:marLeft w:val="0"/>
      <w:marRight w:val="0"/>
      <w:marTop w:val="0"/>
      <w:marBottom w:val="0"/>
      <w:divBdr>
        <w:top w:val="none" w:sz="0" w:space="0" w:color="auto"/>
        <w:left w:val="none" w:sz="0" w:space="0" w:color="auto"/>
        <w:bottom w:val="none" w:sz="0" w:space="0" w:color="auto"/>
        <w:right w:val="none" w:sz="0" w:space="0" w:color="auto"/>
      </w:divBdr>
    </w:div>
    <w:div w:id="1565068897">
      <w:bodyDiv w:val="1"/>
      <w:marLeft w:val="0"/>
      <w:marRight w:val="0"/>
      <w:marTop w:val="0"/>
      <w:marBottom w:val="0"/>
      <w:divBdr>
        <w:top w:val="none" w:sz="0" w:space="0" w:color="auto"/>
        <w:left w:val="none" w:sz="0" w:space="0" w:color="auto"/>
        <w:bottom w:val="none" w:sz="0" w:space="0" w:color="auto"/>
        <w:right w:val="none" w:sz="0" w:space="0" w:color="auto"/>
      </w:divBdr>
    </w:div>
    <w:div w:id="1806390257">
      <w:bodyDiv w:val="1"/>
      <w:marLeft w:val="0"/>
      <w:marRight w:val="0"/>
      <w:marTop w:val="0"/>
      <w:marBottom w:val="0"/>
      <w:divBdr>
        <w:top w:val="none" w:sz="0" w:space="0" w:color="auto"/>
        <w:left w:val="none" w:sz="0" w:space="0" w:color="auto"/>
        <w:bottom w:val="none" w:sz="0" w:space="0" w:color="auto"/>
        <w:right w:val="none" w:sz="0" w:space="0" w:color="auto"/>
      </w:divBdr>
    </w:div>
    <w:div w:id="1871719315">
      <w:bodyDiv w:val="1"/>
      <w:marLeft w:val="0"/>
      <w:marRight w:val="0"/>
      <w:marTop w:val="0"/>
      <w:marBottom w:val="0"/>
      <w:divBdr>
        <w:top w:val="none" w:sz="0" w:space="0" w:color="auto"/>
        <w:left w:val="none" w:sz="0" w:space="0" w:color="auto"/>
        <w:bottom w:val="none" w:sz="0" w:space="0" w:color="auto"/>
        <w:right w:val="none" w:sz="0" w:space="0" w:color="auto"/>
      </w:divBdr>
    </w:div>
    <w:div w:id="18982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379125552"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83DB5D3D-A142-4497-A799-F14649DC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5861</Words>
  <Characters>35758</Characters>
  <Application>Microsoft Office Word</Application>
  <DocSecurity>0</DocSecurity>
  <Lines>297</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Statens IT</Company>
  <LinksUpToDate>false</LinksUpToDate>
  <CharactersWithSpaces>41536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Undervisningsministeriet</dc:creator>
  <cp:lastModifiedBy>Undervisningsministeriet</cp:lastModifiedBy>
  <cp:revision>3</cp:revision>
  <cp:lastPrinted>2018-08-24T09:52:00Z</cp:lastPrinted>
  <dcterms:created xsi:type="dcterms:W3CDTF">2018-09-04T08:57:00Z</dcterms:created>
  <dcterms:modified xsi:type="dcterms:W3CDTF">2018-09-04T08:58:00Z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SD_DocumentLanguageString">
    <vt:lpwstr>Dansk</vt:lpwstr>
  </property>
  <property fmtid="{D5CDD505-2E9C-101B-9397-08002B2CF9AE}" pid="4" name="SD_CtlText_Usersettings_Userprofile">
    <vt:lpwstr>KP</vt:lpwstr>
  </property>
  <property fmtid="{D5CDD505-2E9C-101B-9397-08002B2CF9AE}" pid="5" name="SD_UserprofileName">
    <vt:lpwstr>KP</vt:lpwstr>
  </property>
  <property fmtid="{D5CDD505-2E9C-101B-9397-08002B2CF9AE}" pid="6" name="SD_Office_OFF_ID">
    <vt:lpwstr>2</vt:lpwstr>
  </property>
  <property fmtid="{D5CDD505-2E9C-101B-9397-08002B2CF9AE}" pid="7" name="SD_Office_OFF_Display">
    <vt:lpwstr>DEPT FHK 25</vt:lpwstr>
  </property>
  <property fmtid="{D5CDD505-2E9C-101B-9397-08002B2CF9AE}" pid="8" name="SD_Office_OFF_Myndighed">
    <vt:lpwstr>Departementet</vt:lpwstr>
  </property>
  <property fmtid="{D5CDD505-2E9C-101B-9397-08002B2CF9AE}" pid="9" name="SD_Office_OFF_Myndighed_EN">
    <vt:lpwstr>The Department</vt:lpwstr>
  </property>
  <property fmtid="{D5CDD505-2E9C-101B-9397-08002B2CF9AE}" pid="10" name="SD_Office_OFF_Address">
    <vt:lpwstr>Frederiksholms Kanal 25
1220 København K</vt:lpwstr>
  </property>
  <property fmtid="{D5CDD505-2E9C-101B-9397-08002B2CF9AE}" pid="11" name="SD_Office_OFF_Address_EN">
    <vt:lpwstr>Frederiksholms Kanal 25
DK-1220 Copenhagen K</vt:lpwstr>
  </property>
  <property fmtid="{D5CDD505-2E9C-101B-9397-08002B2CF9AE}" pid="12" name="SD_Office_OFF_Phone">
    <vt:lpwstr>33 92 50 00</vt:lpwstr>
  </property>
  <property fmtid="{D5CDD505-2E9C-101B-9397-08002B2CF9AE}" pid="13" name="SD_Office_OFF_Phone_EN">
    <vt:lpwstr>+45 33 92 50 00</vt:lpwstr>
  </property>
  <property fmtid="{D5CDD505-2E9C-101B-9397-08002B2CF9AE}" pid="14" name="SD_Office_OFF_Email">
    <vt:lpwstr>uvm@uvm.dk</vt:lpwstr>
  </property>
  <property fmtid="{D5CDD505-2E9C-101B-9397-08002B2CF9AE}" pid="15" name="SD_Office_OFF_Web">
    <vt:lpwstr>www.uvm.dk</vt:lpwstr>
  </property>
  <property fmtid="{D5CDD505-2E9C-101B-9397-08002B2CF9AE}" pid="16" name="SD_Office_OFF_CVR">
    <vt:lpwstr>20453044</vt:lpwstr>
  </property>
  <property fmtid="{D5CDD505-2E9C-101B-9397-08002B2CF9AE}" pid="17" name="SD_Office_OFF_ArtworkDefinition">
    <vt:lpwstr>Logo;EmailLogo</vt:lpwstr>
  </property>
  <property fmtid="{D5CDD505-2E9C-101B-9397-08002B2CF9AE}" pid="18" name="SD_Office_OFF_LogoName">
    <vt:lpwstr>Logo</vt:lpwstr>
  </property>
  <property fmtid="{D5CDD505-2E9C-101B-9397-08002B2CF9AE}" pid="19" name="USR_Name">
    <vt:lpwstr>Karen Peytz</vt:lpwstr>
  </property>
  <property fmtid="{D5CDD505-2E9C-101B-9397-08002B2CF9AE}" pid="20" name="USR_Initials">
    <vt:lpwstr/>
  </property>
  <property fmtid="{D5CDD505-2E9C-101B-9397-08002B2CF9AE}" pid="21" name="USR_Title">
    <vt:lpwstr>Specialkonsulent</vt:lpwstr>
  </property>
  <property fmtid="{D5CDD505-2E9C-101B-9397-08002B2CF9AE}" pid="22" name="USR_Undermyndighed">
    <vt:lpwstr>Afdelingen for Analyse, Grundskole og Internationale Forhold</vt:lpwstr>
  </property>
  <property fmtid="{D5CDD505-2E9C-101B-9397-08002B2CF9AE}" pid="23" name="USR_Kontor">
    <vt:lpwstr>Grundskolekontoret</vt:lpwstr>
  </property>
  <property fmtid="{D5CDD505-2E9C-101B-9397-08002B2CF9AE}" pid="24" name="USR_DirectPhone">
    <vt:lpwstr>+45 33 92 51 66</vt:lpwstr>
  </property>
  <property fmtid="{D5CDD505-2E9C-101B-9397-08002B2CF9AE}" pid="25" name="USR_Mobile">
    <vt:lpwstr/>
  </property>
  <property fmtid="{D5CDD505-2E9C-101B-9397-08002B2CF9AE}" pid="26" name="USR_Email">
    <vt:lpwstr>Karen.Peytz@uvm.dk</vt:lpwstr>
  </property>
  <property fmtid="{D5CDD505-2E9C-101B-9397-08002B2CF9AE}" pid="27" name="DocumentInfoFinished">
    <vt:lpwstr>True</vt:lpwstr>
  </property>
</Properties>
</file>