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9DDA" w14:textId="3949C251" w:rsidR="00EB643A" w:rsidRPr="00085571" w:rsidRDefault="00486B2F" w:rsidP="00524EB1">
      <w:pPr>
        <w:pStyle w:val="Ingenafstand"/>
        <w:jc w:val="center"/>
        <w:rPr>
          <w:rFonts w:cstheme="minorHAnsi"/>
          <w:b/>
          <w:sz w:val="24"/>
          <w:szCs w:val="24"/>
          <w:vertAlign w:val="superscript"/>
        </w:rPr>
      </w:pPr>
      <w:r>
        <w:rPr>
          <w:rFonts w:cstheme="minorHAnsi"/>
          <w:b/>
          <w:sz w:val="24"/>
          <w:szCs w:val="24"/>
        </w:rPr>
        <w:t xml:space="preserve">Udkast til </w:t>
      </w:r>
      <w:r w:rsidR="00EB643A" w:rsidRPr="00085571">
        <w:rPr>
          <w:rFonts w:cstheme="minorHAnsi"/>
          <w:b/>
          <w:sz w:val="24"/>
          <w:szCs w:val="24"/>
        </w:rPr>
        <w:t xml:space="preserve">Bekendtgørelse om </w:t>
      </w:r>
      <w:r w:rsidR="00B07988" w:rsidRPr="00085571">
        <w:rPr>
          <w:rFonts w:cstheme="minorHAnsi"/>
          <w:b/>
          <w:sz w:val="24"/>
          <w:szCs w:val="24"/>
        </w:rPr>
        <w:t xml:space="preserve">mulighed for </w:t>
      </w:r>
      <w:r w:rsidR="00EB643A" w:rsidRPr="00085571">
        <w:rPr>
          <w:rFonts w:cstheme="minorHAnsi"/>
          <w:b/>
          <w:sz w:val="24"/>
          <w:szCs w:val="24"/>
        </w:rPr>
        <w:t>u</w:t>
      </w:r>
      <w:r w:rsidR="009A41BE" w:rsidRPr="00085571">
        <w:rPr>
          <w:rFonts w:cstheme="minorHAnsi"/>
          <w:b/>
          <w:sz w:val="24"/>
          <w:szCs w:val="24"/>
        </w:rPr>
        <w:t>n</w:t>
      </w:r>
      <w:r w:rsidR="00EB643A" w:rsidRPr="00085571">
        <w:rPr>
          <w:rFonts w:cstheme="minorHAnsi"/>
          <w:b/>
          <w:sz w:val="24"/>
          <w:szCs w:val="24"/>
        </w:rPr>
        <w:t xml:space="preserve">dtagelse af </w:t>
      </w:r>
      <w:r w:rsidR="00440C84" w:rsidRPr="00085571">
        <w:rPr>
          <w:rFonts w:cstheme="minorHAnsi"/>
          <w:b/>
          <w:sz w:val="24"/>
          <w:szCs w:val="24"/>
        </w:rPr>
        <w:t>et stof, en blanding eller en artikel, som alene tjener forsvarsformål eller den nationale sikkerhed</w:t>
      </w:r>
      <w:r w:rsidR="00EB643A" w:rsidRPr="00085571">
        <w:rPr>
          <w:rFonts w:cstheme="minorHAnsi"/>
          <w:b/>
          <w:sz w:val="24"/>
          <w:szCs w:val="24"/>
        </w:rPr>
        <w:t xml:space="preserve"> fra </w:t>
      </w:r>
      <w:r w:rsidR="00440C84" w:rsidRPr="00085571">
        <w:rPr>
          <w:rFonts w:cstheme="minorHAnsi"/>
          <w:b/>
          <w:sz w:val="24"/>
          <w:szCs w:val="24"/>
        </w:rPr>
        <w:t xml:space="preserve">visse bestemmelser i </w:t>
      </w:r>
      <w:r w:rsidR="00EB643A" w:rsidRPr="00085571">
        <w:rPr>
          <w:rFonts w:cstheme="minorHAnsi"/>
          <w:b/>
          <w:sz w:val="24"/>
          <w:szCs w:val="24"/>
        </w:rPr>
        <w:t>REACH</w:t>
      </w:r>
      <w:r w:rsidR="00B07988" w:rsidRPr="00085571">
        <w:rPr>
          <w:rFonts w:cstheme="minorHAnsi"/>
          <w:b/>
          <w:sz w:val="24"/>
          <w:szCs w:val="24"/>
        </w:rPr>
        <w:t>-</w:t>
      </w:r>
      <w:r w:rsidR="00EB643A" w:rsidRPr="00085571">
        <w:rPr>
          <w:rFonts w:cstheme="minorHAnsi"/>
          <w:b/>
          <w:sz w:val="24"/>
          <w:szCs w:val="24"/>
        </w:rPr>
        <w:t>forordningen</w:t>
      </w:r>
      <w:r w:rsidR="00313B90" w:rsidRPr="00085571">
        <w:rPr>
          <w:rFonts w:cstheme="minorHAnsi"/>
          <w:b/>
          <w:sz w:val="24"/>
          <w:szCs w:val="24"/>
        </w:rPr>
        <w:t xml:space="preserve"> </w:t>
      </w:r>
      <w:r w:rsidR="00440C84" w:rsidRPr="00085571">
        <w:rPr>
          <w:rFonts w:cstheme="minorHAnsi"/>
          <w:b/>
          <w:sz w:val="24"/>
          <w:szCs w:val="24"/>
        </w:rPr>
        <w:t xml:space="preserve">eller </w:t>
      </w:r>
      <w:r w:rsidR="00313B90" w:rsidRPr="00085571">
        <w:rPr>
          <w:rFonts w:cstheme="minorHAnsi"/>
          <w:b/>
          <w:sz w:val="24"/>
          <w:szCs w:val="24"/>
        </w:rPr>
        <w:t>CLP-forordni</w:t>
      </w:r>
      <w:r w:rsidR="00241317" w:rsidRPr="00085571">
        <w:rPr>
          <w:rFonts w:cstheme="minorHAnsi"/>
          <w:b/>
          <w:sz w:val="24"/>
          <w:szCs w:val="24"/>
        </w:rPr>
        <w:t>n</w:t>
      </w:r>
      <w:r w:rsidR="00313B90" w:rsidRPr="00085571">
        <w:rPr>
          <w:rFonts w:cstheme="minorHAnsi"/>
          <w:b/>
          <w:sz w:val="24"/>
          <w:szCs w:val="24"/>
        </w:rPr>
        <w:t>gen</w:t>
      </w:r>
    </w:p>
    <w:p w14:paraId="35B89C1F" w14:textId="77777777" w:rsidR="00EB643A" w:rsidRPr="00085571" w:rsidRDefault="00EB643A" w:rsidP="00DD4896">
      <w:pPr>
        <w:pStyle w:val="Ingenafstand"/>
        <w:rPr>
          <w:rFonts w:cstheme="minorHAnsi"/>
          <w:sz w:val="24"/>
          <w:szCs w:val="24"/>
        </w:rPr>
      </w:pPr>
    </w:p>
    <w:p w14:paraId="195F3B2F" w14:textId="77777777" w:rsidR="00946C86" w:rsidRDefault="00EB643A" w:rsidP="00946C86">
      <w:pPr>
        <w:pStyle w:val="Default"/>
      </w:pPr>
      <w:r w:rsidRPr="00085571">
        <w:rPr>
          <w:rFonts w:cstheme="minorHAnsi"/>
        </w:rPr>
        <w:t>I medfør af § 7a</w:t>
      </w:r>
      <w:r w:rsidR="00BD6701" w:rsidRPr="00085571">
        <w:rPr>
          <w:rFonts w:cstheme="minorHAnsi"/>
        </w:rPr>
        <w:t>,</w:t>
      </w:r>
      <w:r w:rsidR="002866FA" w:rsidRPr="00085571">
        <w:rPr>
          <w:rFonts w:cstheme="minorHAnsi"/>
        </w:rPr>
        <w:t xml:space="preserve"> § 45,</w:t>
      </w:r>
      <w:r w:rsidR="00B07988" w:rsidRPr="00085571">
        <w:rPr>
          <w:rFonts w:cstheme="minorHAnsi"/>
        </w:rPr>
        <w:t xml:space="preserve"> </w:t>
      </w:r>
      <w:r w:rsidR="002866FA" w:rsidRPr="00085571">
        <w:rPr>
          <w:rFonts w:cstheme="minorHAnsi"/>
        </w:rPr>
        <w:t>stk. 1</w:t>
      </w:r>
      <w:r w:rsidR="00E50B73" w:rsidRPr="00085571">
        <w:rPr>
          <w:rFonts w:cstheme="minorHAnsi"/>
        </w:rPr>
        <w:t>,</w:t>
      </w:r>
      <w:r w:rsidRPr="00085571">
        <w:rPr>
          <w:rFonts w:cstheme="minorHAnsi"/>
        </w:rPr>
        <w:t xml:space="preserve"> </w:t>
      </w:r>
      <w:r w:rsidR="00BD6701" w:rsidRPr="00085571">
        <w:rPr>
          <w:rFonts w:cstheme="minorHAnsi"/>
        </w:rPr>
        <w:t xml:space="preserve">§ 47 og § 59, stk. 4, </w:t>
      </w:r>
      <w:r w:rsidRPr="00085571">
        <w:rPr>
          <w:rFonts w:cstheme="minorHAnsi"/>
        </w:rPr>
        <w:t xml:space="preserve">i lov om kemikalier, jf. lovbekendtgørelse nr. </w:t>
      </w:r>
    </w:p>
    <w:p w14:paraId="064A28A2" w14:textId="0DA42C78" w:rsidR="00EB643A" w:rsidRPr="00085571" w:rsidRDefault="00946C86" w:rsidP="00946C86">
      <w:pPr>
        <w:pStyle w:val="Ingenafstand"/>
        <w:rPr>
          <w:rFonts w:cstheme="minorHAnsi"/>
        </w:rPr>
      </w:pPr>
      <w:r>
        <w:t xml:space="preserve"> 244 af 17. februar 2022</w:t>
      </w:r>
      <w:r w:rsidR="00486B2F">
        <w:rPr>
          <w:rFonts w:cstheme="minorHAnsi"/>
        </w:rPr>
        <w:t xml:space="preserve">, </w:t>
      </w:r>
      <w:r w:rsidR="00E50B73" w:rsidRPr="00085571">
        <w:rPr>
          <w:rFonts w:cstheme="minorHAnsi"/>
        </w:rPr>
        <w:t>og efter forhandling</w:t>
      </w:r>
      <w:r w:rsidR="00447F81" w:rsidRPr="00085571">
        <w:rPr>
          <w:rFonts w:cstheme="minorHAnsi"/>
        </w:rPr>
        <w:t xml:space="preserve"> </w:t>
      </w:r>
      <w:r w:rsidR="00AA452D" w:rsidRPr="00085571">
        <w:rPr>
          <w:rFonts w:cstheme="minorHAnsi"/>
        </w:rPr>
        <w:t xml:space="preserve">med </w:t>
      </w:r>
      <w:r>
        <w:rPr>
          <w:rFonts w:cstheme="minorHAnsi"/>
        </w:rPr>
        <w:t>f</w:t>
      </w:r>
      <w:r w:rsidR="00AA452D" w:rsidRPr="00085571">
        <w:rPr>
          <w:rFonts w:cstheme="minorHAnsi"/>
        </w:rPr>
        <w:t>orsvarsminister</w:t>
      </w:r>
      <w:r w:rsidR="009F45F5" w:rsidRPr="00085571">
        <w:rPr>
          <w:rFonts w:cstheme="minorHAnsi"/>
        </w:rPr>
        <w:t>en</w:t>
      </w:r>
      <w:r w:rsidR="00AA452D" w:rsidRPr="00085571">
        <w:rPr>
          <w:rFonts w:cstheme="minorHAnsi"/>
        </w:rPr>
        <w:t xml:space="preserve"> og </w:t>
      </w:r>
      <w:r>
        <w:rPr>
          <w:rFonts w:cstheme="minorHAnsi"/>
        </w:rPr>
        <w:t>b</w:t>
      </w:r>
      <w:r w:rsidR="008E6518" w:rsidRPr="00085571">
        <w:rPr>
          <w:rFonts w:cstheme="minorHAnsi"/>
        </w:rPr>
        <w:t>esk</w:t>
      </w:r>
      <w:r w:rsidR="00447F81" w:rsidRPr="00085571">
        <w:rPr>
          <w:rFonts w:cstheme="minorHAnsi"/>
        </w:rPr>
        <w:t>æftigelsesminister</w:t>
      </w:r>
      <w:r w:rsidR="009F45F5" w:rsidRPr="00085571">
        <w:rPr>
          <w:rFonts w:cstheme="minorHAnsi"/>
        </w:rPr>
        <w:t>en</w:t>
      </w:r>
      <w:r w:rsidR="00E50B73" w:rsidRPr="00085571">
        <w:rPr>
          <w:rFonts w:cstheme="minorHAnsi"/>
        </w:rPr>
        <w:t xml:space="preserve"> </w:t>
      </w:r>
      <w:r w:rsidR="00EB643A" w:rsidRPr="00085571">
        <w:rPr>
          <w:rFonts w:cstheme="minorHAnsi"/>
        </w:rPr>
        <w:t>fastsættes:</w:t>
      </w:r>
    </w:p>
    <w:p w14:paraId="66057A62" w14:textId="77777777" w:rsidR="00EB643A" w:rsidRPr="00085571" w:rsidRDefault="00EB643A" w:rsidP="00DD4896">
      <w:pPr>
        <w:pStyle w:val="Ingenafstand"/>
        <w:rPr>
          <w:rFonts w:cstheme="minorHAnsi"/>
        </w:rPr>
      </w:pPr>
    </w:p>
    <w:p w14:paraId="38E40C6B" w14:textId="4F1309A9" w:rsidR="00EB643A" w:rsidRDefault="00EB643A" w:rsidP="00DD4896">
      <w:pPr>
        <w:pStyle w:val="Ingenafstand"/>
        <w:rPr>
          <w:rFonts w:cstheme="minorHAnsi"/>
        </w:rPr>
      </w:pPr>
    </w:p>
    <w:p w14:paraId="2866886A" w14:textId="4B46C9D8" w:rsidR="006D5423" w:rsidRPr="006D5423" w:rsidRDefault="00677A88" w:rsidP="006D5423">
      <w:pPr>
        <w:pStyle w:val="Ingenafstand"/>
        <w:jc w:val="center"/>
        <w:rPr>
          <w:rFonts w:cstheme="minorHAnsi"/>
          <w:i/>
        </w:rPr>
      </w:pPr>
      <w:r>
        <w:rPr>
          <w:rFonts w:cstheme="minorHAnsi"/>
          <w:i/>
        </w:rPr>
        <w:t>Anvendelseso</w:t>
      </w:r>
      <w:r w:rsidR="006D5423" w:rsidRPr="006D5423">
        <w:rPr>
          <w:rFonts w:cstheme="minorHAnsi"/>
          <w:i/>
        </w:rPr>
        <w:t>mråde og definitioner</w:t>
      </w:r>
    </w:p>
    <w:p w14:paraId="14E24C17" w14:textId="791D5BF7" w:rsidR="002303AA" w:rsidRDefault="00EB643A" w:rsidP="002303AA">
      <w:pPr>
        <w:spacing w:line="240" w:lineRule="auto"/>
        <w:rPr>
          <w:rFonts w:cstheme="minorHAnsi"/>
          <w:i/>
        </w:rPr>
      </w:pPr>
      <w:r w:rsidRPr="00085571">
        <w:rPr>
          <w:rFonts w:cstheme="minorHAnsi"/>
          <w:b/>
        </w:rPr>
        <w:t xml:space="preserve">§ 1. </w:t>
      </w:r>
      <w:r w:rsidR="00C7548B" w:rsidRPr="00085571">
        <w:rPr>
          <w:rFonts w:cstheme="minorHAnsi"/>
        </w:rPr>
        <w:t xml:space="preserve">Denne bekendtgørelse fastsætter bestemmelser </w:t>
      </w:r>
      <w:r w:rsidR="000513F8" w:rsidRPr="00085571">
        <w:rPr>
          <w:rFonts w:cstheme="minorHAnsi"/>
        </w:rPr>
        <w:t xml:space="preserve">for </w:t>
      </w:r>
      <w:r w:rsidR="00C7548B" w:rsidRPr="00085571">
        <w:rPr>
          <w:rFonts w:cstheme="minorHAnsi"/>
        </w:rPr>
        <w:t>ansøgning</w:t>
      </w:r>
      <w:r w:rsidR="00961FAD" w:rsidRPr="00085571">
        <w:rPr>
          <w:rFonts w:cstheme="minorHAnsi"/>
        </w:rPr>
        <w:t xml:space="preserve"> om undtagelse</w:t>
      </w:r>
      <w:r w:rsidR="00447F81" w:rsidRPr="00085571">
        <w:rPr>
          <w:rFonts w:cstheme="minorHAnsi"/>
        </w:rPr>
        <w:t xml:space="preserve"> </w:t>
      </w:r>
      <w:r w:rsidR="001569B6">
        <w:rPr>
          <w:rFonts w:cstheme="minorHAnsi"/>
        </w:rPr>
        <w:t>i medfør af REACH-forordningens artikel 2, stk. 3, og CLP-forordningens artikel 1, stk. 4</w:t>
      </w:r>
      <w:r w:rsidR="00BB0324">
        <w:rPr>
          <w:rFonts w:cstheme="minorHAnsi"/>
        </w:rPr>
        <w:t xml:space="preserve">, </w:t>
      </w:r>
      <w:r w:rsidR="00524EB1" w:rsidRPr="00085571">
        <w:rPr>
          <w:rFonts w:cstheme="minorHAnsi"/>
        </w:rPr>
        <w:t xml:space="preserve">fra visse </w:t>
      </w:r>
      <w:r w:rsidR="00E90763" w:rsidRPr="00085571">
        <w:rPr>
          <w:rFonts w:cstheme="minorHAnsi"/>
        </w:rPr>
        <w:t>bestemmelser</w:t>
      </w:r>
      <w:r w:rsidR="00447F81" w:rsidRPr="00085571">
        <w:rPr>
          <w:rFonts w:cstheme="minorHAnsi"/>
        </w:rPr>
        <w:t xml:space="preserve"> i </w:t>
      </w:r>
      <w:r w:rsidR="00E90763" w:rsidRPr="00085571">
        <w:rPr>
          <w:rFonts w:cstheme="minorHAnsi"/>
        </w:rPr>
        <w:t>REACH-forordningen</w:t>
      </w:r>
      <w:r w:rsidR="000513F8" w:rsidRPr="00085571">
        <w:rPr>
          <w:rFonts w:cstheme="minorHAnsi"/>
        </w:rPr>
        <w:t xml:space="preserve"> </w:t>
      </w:r>
      <w:r w:rsidR="002E5030" w:rsidRPr="00085571">
        <w:rPr>
          <w:rFonts w:cstheme="minorHAnsi"/>
        </w:rPr>
        <w:t xml:space="preserve">eller </w:t>
      </w:r>
      <w:r w:rsidR="005A4E2A" w:rsidRPr="00085571">
        <w:rPr>
          <w:rFonts w:cstheme="minorHAnsi"/>
        </w:rPr>
        <w:t>CLP</w:t>
      </w:r>
      <w:r w:rsidR="002E5030" w:rsidRPr="00085571">
        <w:rPr>
          <w:rFonts w:cstheme="minorHAnsi"/>
        </w:rPr>
        <w:t xml:space="preserve">-forordningen </w:t>
      </w:r>
      <w:r w:rsidR="000513F8" w:rsidRPr="00085571">
        <w:rPr>
          <w:rFonts w:cstheme="minorHAnsi"/>
        </w:rPr>
        <w:t xml:space="preserve">for et stof, en blanding eller en artikel, som </w:t>
      </w:r>
      <w:r w:rsidR="00440C84" w:rsidRPr="00085571">
        <w:rPr>
          <w:rFonts w:cstheme="minorHAnsi"/>
        </w:rPr>
        <w:t>alene tjener forsvarsformål eller den nationale sikkerhed</w:t>
      </w:r>
      <w:r w:rsidR="00447F81" w:rsidRPr="00085571">
        <w:rPr>
          <w:rFonts w:cstheme="minorHAnsi"/>
        </w:rPr>
        <w:t>.</w:t>
      </w:r>
      <w:r w:rsidR="002303AA" w:rsidRPr="00085571">
        <w:rPr>
          <w:rFonts w:cstheme="minorHAnsi"/>
          <w:i/>
        </w:rPr>
        <w:t xml:space="preserve"> </w:t>
      </w:r>
    </w:p>
    <w:p w14:paraId="4EE63AFC" w14:textId="732C6B92" w:rsidR="00B07988" w:rsidRPr="00085571" w:rsidRDefault="00961FAD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2. </w:t>
      </w:r>
      <w:r w:rsidR="0086742B" w:rsidRPr="00085571">
        <w:rPr>
          <w:rFonts w:cstheme="minorHAnsi"/>
        </w:rPr>
        <w:t>I denne bekendtgørelse forstås ved</w:t>
      </w:r>
      <w:r w:rsidR="003F05DA" w:rsidRPr="00085571">
        <w:rPr>
          <w:rFonts w:cstheme="minorHAnsi"/>
        </w:rPr>
        <w:t>:</w:t>
      </w:r>
      <w:r w:rsidR="0086742B" w:rsidRPr="00085571">
        <w:rPr>
          <w:rFonts w:cstheme="minorHAnsi"/>
        </w:rPr>
        <w:t xml:space="preserve"> </w:t>
      </w:r>
    </w:p>
    <w:p w14:paraId="3876CF01" w14:textId="6B8005D9" w:rsidR="0086742B" w:rsidRPr="00085571" w:rsidRDefault="0086742B" w:rsidP="00B07988">
      <w:pPr>
        <w:pStyle w:val="Listeafsnit"/>
        <w:numPr>
          <w:ilvl w:val="0"/>
          <w:numId w:val="28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REACH-forordning</w:t>
      </w:r>
      <w:r w:rsidR="004700DD" w:rsidRPr="00085571">
        <w:rPr>
          <w:rFonts w:cstheme="minorHAnsi"/>
        </w:rPr>
        <w:t>en:</w:t>
      </w:r>
      <w:r w:rsidRPr="00085571">
        <w:rPr>
          <w:rFonts w:cstheme="minorHAnsi"/>
        </w:rPr>
        <w:t xml:space="preserve"> </w:t>
      </w:r>
      <w:r w:rsidR="004700DD" w:rsidRPr="00085571">
        <w:rPr>
          <w:rFonts w:cstheme="minorHAnsi"/>
        </w:rPr>
        <w:t>Europa-Parlamentets og Rådets forordning (EF) nr. 1907/2006 af 18. december 2006 om registrering, vurdering og godkendelse af samt begrænsninger for kemikalier (REACH), om oprettelse af et europæisk kemikalieagentur og om ændring af direktiv 1999/45/EF og ophævelse af Rådets forordning (EØF) nr. 793/93 og Kommissionens forordning (EF) nr. 1488/94 samt Rådets direktiv 76/769/EØF og Kommissionens direktiv 91/155/EØF, 93/67/EØF, 93/105/EF og 2000/21/EF, med senere ændringer.</w:t>
      </w:r>
    </w:p>
    <w:p w14:paraId="618001C4" w14:textId="28FA97CD" w:rsidR="00A11FD4" w:rsidRPr="00085571" w:rsidRDefault="00B07988" w:rsidP="003A3E7E">
      <w:pPr>
        <w:pStyle w:val="Listeafsnit"/>
        <w:numPr>
          <w:ilvl w:val="0"/>
          <w:numId w:val="28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CLP-forordningen: Europa-Parlamentets og Rådets forordning (EF) nr. 1272/2008 af 16. december 2008 om klassificering, mærkning og emballering af stoffer og blandinger og om ændring og ophævelse af direktiv 67/548/EØF og 1999/45/EF og om ændring af forordning (EF) nr. 1907/2006, med senere ændringer.</w:t>
      </w:r>
    </w:p>
    <w:p w14:paraId="309E5A82" w14:textId="11E49A2A" w:rsidR="00415FB6" w:rsidRPr="00085571" w:rsidRDefault="00415FB6" w:rsidP="003A3E7E">
      <w:pPr>
        <w:pStyle w:val="Listeafsnit"/>
        <w:numPr>
          <w:ilvl w:val="0"/>
          <w:numId w:val="28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Et stof:</w:t>
      </w:r>
      <w:r w:rsidR="004A3D8E" w:rsidRPr="00085571">
        <w:rPr>
          <w:rFonts w:cstheme="minorHAnsi"/>
        </w:rPr>
        <w:t xml:space="preserve"> S</w:t>
      </w:r>
      <w:r w:rsidRPr="00085571">
        <w:rPr>
          <w:rFonts w:cstheme="minorHAnsi"/>
        </w:rPr>
        <w:t xml:space="preserve">om defineret i </w:t>
      </w:r>
      <w:r w:rsidR="002367C4" w:rsidRPr="00085571">
        <w:rPr>
          <w:rFonts w:cstheme="minorHAnsi"/>
        </w:rPr>
        <w:t>artikel 3, nr. 1</w:t>
      </w:r>
      <w:r w:rsidR="005772F5">
        <w:rPr>
          <w:rFonts w:cstheme="minorHAnsi"/>
        </w:rPr>
        <w:t>,</w:t>
      </w:r>
      <w:r w:rsidR="002367C4" w:rsidRPr="00085571">
        <w:rPr>
          <w:rFonts w:cstheme="minorHAnsi"/>
        </w:rPr>
        <w:t xml:space="preserve"> i REACH-forordningen.</w:t>
      </w:r>
    </w:p>
    <w:p w14:paraId="137B1089" w14:textId="09FAE5F3" w:rsidR="00415FB6" w:rsidRPr="00085571" w:rsidRDefault="00415FB6" w:rsidP="003A3E7E">
      <w:pPr>
        <w:pStyle w:val="Listeafsnit"/>
        <w:numPr>
          <w:ilvl w:val="0"/>
          <w:numId w:val="28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En blanding:</w:t>
      </w:r>
      <w:r w:rsidR="002367C4" w:rsidRPr="00085571">
        <w:rPr>
          <w:rFonts w:cstheme="minorHAnsi"/>
        </w:rPr>
        <w:t xml:space="preserve"> </w:t>
      </w:r>
      <w:r w:rsidR="004A3D8E" w:rsidRPr="00085571">
        <w:rPr>
          <w:rFonts w:cstheme="minorHAnsi"/>
        </w:rPr>
        <w:t>S</w:t>
      </w:r>
      <w:r w:rsidR="002367C4" w:rsidRPr="00085571">
        <w:rPr>
          <w:rFonts w:cstheme="minorHAnsi"/>
        </w:rPr>
        <w:t>om defineret i artikel 3, nr. 2</w:t>
      </w:r>
      <w:r w:rsidR="005772F5">
        <w:rPr>
          <w:rFonts w:cstheme="minorHAnsi"/>
        </w:rPr>
        <w:t>,</w:t>
      </w:r>
      <w:r w:rsidR="002367C4" w:rsidRPr="00085571">
        <w:rPr>
          <w:rFonts w:cstheme="minorHAnsi"/>
        </w:rPr>
        <w:t xml:space="preserve"> i REACH-forordningen.</w:t>
      </w:r>
    </w:p>
    <w:p w14:paraId="29C6D14F" w14:textId="79544097" w:rsidR="00415FB6" w:rsidRPr="00085571" w:rsidRDefault="00415FB6" w:rsidP="003A3E7E">
      <w:pPr>
        <w:pStyle w:val="Listeafsnit"/>
        <w:numPr>
          <w:ilvl w:val="0"/>
          <w:numId w:val="28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 xml:space="preserve">En artikel: </w:t>
      </w:r>
      <w:r w:rsidR="002367C4" w:rsidRPr="00085571">
        <w:rPr>
          <w:rFonts w:cstheme="minorHAnsi"/>
        </w:rPr>
        <w:t>Som defineret i artikel 3, nr. 3</w:t>
      </w:r>
      <w:r w:rsidR="005772F5">
        <w:rPr>
          <w:rFonts w:cstheme="minorHAnsi"/>
        </w:rPr>
        <w:t>,</w:t>
      </w:r>
      <w:r w:rsidR="002367C4" w:rsidRPr="00085571">
        <w:rPr>
          <w:rFonts w:cstheme="minorHAnsi"/>
        </w:rPr>
        <w:t xml:space="preserve"> i REACH-forordningen.</w:t>
      </w:r>
    </w:p>
    <w:p w14:paraId="4D34D1BA" w14:textId="2D5307BB" w:rsidR="008E6518" w:rsidRPr="006D5423" w:rsidRDefault="006D5423" w:rsidP="006D5423">
      <w:pPr>
        <w:spacing w:line="240" w:lineRule="auto"/>
        <w:jc w:val="center"/>
        <w:rPr>
          <w:rFonts w:cstheme="minorHAnsi"/>
          <w:i/>
        </w:rPr>
      </w:pPr>
      <w:r w:rsidRPr="006D5423">
        <w:rPr>
          <w:rFonts w:cstheme="minorHAnsi"/>
          <w:i/>
        </w:rPr>
        <w:t>Ansøgning</w:t>
      </w:r>
    </w:p>
    <w:p w14:paraId="10A9685B" w14:textId="055E5E5A" w:rsidR="00BB0324" w:rsidRDefault="0086742B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3. </w:t>
      </w:r>
      <w:r w:rsidR="00B31188" w:rsidRPr="00085571">
        <w:rPr>
          <w:rFonts w:cstheme="minorHAnsi"/>
        </w:rPr>
        <w:t>Enhver</w:t>
      </w:r>
      <w:r w:rsidR="00961FAD" w:rsidRPr="00085571">
        <w:rPr>
          <w:rFonts w:cstheme="minorHAnsi"/>
        </w:rPr>
        <w:t xml:space="preserve"> </w:t>
      </w:r>
      <w:r w:rsidR="00B31188" w:rsidRPr="00085571">
        <w:rPr>
          <w:rFonts w:cstheme="minorHAnsi"/>
        </w:rPr>
        <w:t>som</w:t>
      </w:r>
      <w:r w:rsidR="008A7DCB" w:rsidRPr="00085571">
        <w:rPr>
          <w:rFonts w:cstheme="minorHAnsi"/>
        </w:rPr>
        <w:t>,</w:t>
      </w:r>
      <w:r w:rsidR="00B31188" w:rsidRPr="00085571">
        <w:rPr>
          <w:rFonts w:cstheme="minorHAnsi"/>
        </w:rPr>
        <w:t xml:space="preserve"> </w:t>
      </w:r>
      <w:r w:rsidR="008A7DCB" w:rsidRPr="00085571">
        <w:rPr>
          <w:rFonts w:cstheme="minorHAnsi"/>
        </w:rPr>
        <w:t xml:space="preserve">ud fra et forsvarshensyn, </w:t>
      </w:r>
      <w:r w:rsidR="00415FB6" w:rsidRPr="00085571">
        <w:rPr>
          <w:rFonts w:cstheme="minorHAnsi"/>
        </w:rPr>
        <w:t>har behov for</w:t>
      </w:r>
      <w:r w:rsidR="00B31188" w:rsidRPr="00085571">
        <w:rPr>
          <w:rFonts w:cstheme="minorHAnsi"/>
        </w:rPr>
        <w:t xml:space="preserve"> undtagelse f</w:t>
      </w:r>
      <w:r w:rsidR="00543E0E">
        <w:rPr>
          <w:rFonts w:cstheme="minorHAnsi"/>
        </w:rPr>
        <w:t>ra</w:t>
      </w:r>
      <w:r w:rsidR="00B31188" w:rsidRPr="00085571">
        <w:rPr>
          <w:rFonts w:cstheme="minorHAnsi"/>
        </w:rPr>
        <w:t xml:space="preserve"> visse bestemmelser i REACH-forordningen eller CLP-forordningen for</w:t>
      </w:r>
      <w:r w:rsidR="00961FAD" w:rsidRPr="00085571">
        <w:rPr>
          <w:rFonts w:cstheme="minorHAnsi"/>
        </w:rPr>
        <w:t xml:space="preserve"> et stof, en blanding eller en artikel, som </w:t>
      </w:r>
      <w:r w:rsidR="001B17B0">
        <w:rPr>
          <w:rFonts w:cstheme="minorHAnsi"/>
        </w:rPr>
        <w:t xml:space="preserve">alene </w:t>
      </w:r>
      <w:r w:rsidR="00162E44">
        <w:rPr>
          <w:rFonts w:cstheme="minorHAnsi"/>
        </w:rPr>
        <w:t>tjener</w:t>
      </w:r>
      <w:r w:rsidR="001B17B0">
        <w:rPr>
          <w:rFonts w:cstheme="minorHAnsi"/>
        </w:rPr>
        <w:t xml:space="preserve"> forsvarsformål eller den nationale sikkerhed</w:t>
      </w:r>
      <w:r w:rsidR="00961FAD" w:rsidRPr="00085571">
        <w:rPr>
          <w:rFonts w:cstheme="minorHAnsi"/>
        </w:rPr>
        <w:t>, skal</w:t>
      </w:r>
      <w:r w:rsidR="00FB4434" w:rsidRPr="00085571">
        <w:rPr>
          <w:rFonts w:cstheme="minorHAnsi"/>
        </w:rPr>
        <w:t xml:space="preserve"> </w:t>
      </w:r>
      <w:r w:rsidR="00BB0324">
        <w:rPr>
          <w:rFonts w:cstheme="minorHAnsi"/>
        </w:rPr>
        <w:t>ansøge Miljøstyrelsen herom.</w:t>
      </w:r>
    </w:p>
    <w:p w14:paraId="5D1E7651" w14:textId="5F4D3160" w:rsidR="00D25C21" w:rsidRPr="00085571" w:rsidRDefault="00BB0324" w:rsidP="00DD4896">
      <w:pPr>
        <w:spacing w:line="240" w:lineRule="auto"/>
        <w:rPr>
          <w:rFonts w:cstheme="minorHAnsi"/>
        </w:rPr>
      </w:pPr>
      <w:r w:rsidRPr="00DA5524">
        <w:rPr>
          <w:rFonts w:cstheme="minorHAnsi"/>
          <w:i/>
        </w:rPr>
        <w:t>Stk. 2.</w:t>
      </w:r>
      <w:r>
        <w:rPr>
          <w:rFonts w:cstheme="minorHAnsi"/>
        </w:rPr>
        <w:t xml:space="preserve"> Ansøgningen skal være Miljøstyrelsen i hænde </w:t>
      </w:r>
      <w:r w:rsidR="00FB4434" w:rsidRPr="00085571">
        <w:rPr>
          <w:rFonts w:cstheme="minorHAnsi"/>
        </w:rPr>
        <w:t>senest seks måneder</w:t>
      </w:r>
      <w:r w:rsidR="00A047A5">
        <w:rPr>
          <w:rFonts w:cstheme="minorHAnsi"/>
        </w:rPr>
        <w:t>,</w:t>
      </w:r>
      <w:r w:rsidR="00FB4434" w:rsidRPr="00085571">
        <w:rPr>
          <w:rFonts w:cstheme="minorHAnsi"/>
        </w:rPr>
        <w:t xml:space="preserve"> før </w:t>
      </w:r>
      <w:r w:rsidR="00BD2E48">
        <w:rPr>
          <w:rFonts w:cstheme="minorHAnsi"/>
        </w:rPr>
        <w:t xml:space="preserve">stoffet, blandingen eller artiklen </w:t>
      </w:r>
      <w:r w:rsidR="0094709E" w:rsidRPr="00085571">
        <w:rPr>
          <w:rFonts w:cstheme="minorHAnsi"/>
        </w:rPr>
        <w:t>import</w:t>
      </w:r>
      <w:r w:rsidR="001F2E96">
        <w:rPr>
          <w:rFonts w:cstheme="minorHAnsi"/>
        </w:rPr>
        <w:t>eres</w:t>
      </w:r>
      <w:r w:rsidR="0094709E" w:rsidRPr="00085571">
        <w:rPr>
          <w:rFonts w:cstheme="minorHAnsi"/>
        </w:rPr>
        <w:t xml:space="preserve"> til eller </w:t>
      </w:r>
      <w:r w:rsidR="00FB4434" w:rsidRPr="00085571">
        <w:rPr>
          <w:rFonts w:cstheme="minorHAnsi"/>
        </w:rPr>
        <w:t>anvende</w:t>
      </w:r>
      <w:r w:rsidR="001F2E96">
        <w:rPr>
          <w:rFonts w:cstheme="minorHAnsi"/>
        </w:rPr>
        <w:t>s</w:t>
      </w:r>
      <w:r w:rsidR="00FB4434" w:rsidRPr="00085571">
        <w:rPr>
          <w:rFonts w:cstheme="minorHAnsi"/>
        </w:rPr>
        <w:t xml:space="preserve"> i Danmark</w:t>
      </w:r>
      <w:r w:rsidR="00BD2E48">
        <w:rPr>
          <w:rFonts w:cstheme="minorHAnsi"/>
        </w:rPr>
        <w:t>. Ansøgningen skal indeholde de oplysninger, der fremgår af bilag 1</w:t>
      </w:r>
      <w:r w:rsidR="00FB4434" w:rsidRPr="00085571">
        <w:rPr>
          <w:rFonts w:cstheme="minorHAnsi"/>
        </w:rPr>
        <w:t>,</w:t>
      </w:r>
      <w:r w:rsidR="00961FAD" w:rsidRPr="00085571">
        <w:rPr>
          <w:rFonts w:cstheme="minorHAnsi"/>
        </w:rPr>
        <w:t xml:space="preserve"> </w:t>
      </w:r>
      <w:r w:rsidR="00543E0E">
        <w:rPr>
          <w:rFonts w:cstheme="minorHAnsi"/>
        </w:rPr>
        <w:t xml:space="preserve">jf. dog stk. </w:t>
      </w:r>
      <w:r w:rsidR="00BD2E48">
        <w:rPr>
          <w:rFonts w:cstheme="minorHAnsi"/>
        </w:rPr>
        <w:t>3</w:t>
      </w:r>
      <w:r w:rsidR="00D25C21" w:rsidRPr="00085571">
        <w:rPr>
          <w:rFonts w:cstheme="minorHAnsi"/>
        </w:rPr>
        <w:t>.</w:t>
      </w:r>
    </w:p>
    <w:p w14:paraId="4E9A568F" w14:textId="0406A0CB" w:rsidR="00BD2E48" w:rsidRDefault="00D25C21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 xml:space="preserve">Stk. </w:t>
      </w:r>
      <w:r w:rsidR="00BD2E48">
        <w:rPr>
          <w:rFonts w:cstheme="minorHAnsi"/>
          <w:i/>
        </w:rPr>
        <w:t>3</w:t>
      </w:r>
      <w:r w:rsidRPr="00085571">
        <w:rPr>
          <w:rFonts w:cstheme="minorHAnsi"/>
          <w:i/>
        </w:rPr>
        <w:t>.</w:t>
      </w:r>
      <w:r w:rsidR="00E76C8A" w:rsidRPr="00085571">
        <w:rPr>
          <w:rFonts w:cstheme="minorHAnsi"/>
        </w:rPr>
        <w:t xml:space="preserve"> </w:t>
      </w:r>
      <w:r w:rsidR="00126C4B">
        <w:rPr>
          <w:rFonts w:cstheme="minorHAnsi"/>
        </w:rPr>
        <w:t xml:space="preserve">Ansøgningen skal endvidere indeholde de oplysninger, der fremgår af bilag 2, hvis der ansøges </w:t>
      </w:r>
      <w:r w:rsidRPr="00085571">
        <w:rPr>
          <w:rFonts w:cstheme="minorHAnsi"/>
        </w:rPr>
        <w:t xml:space="preserve">om undtagelse </w:t>
      </w:r>
      <w:r w:rsidR="000513F8" w:rsidRPr="00085571">
        <w:rPr>
          <w:rFonts w:cstheme="minorHAnsi"/>
        </w:rPr>
        <w:t>fra</w:t>
      </w:r>
      <w:r w:rsidR="00524EB1" w:rsidRPr="00085571">
        <w:rPr>
          <w:rFonts w:cstheme="minorHAnsi"/>
        </w:rPr>
        <w:t xml:space="preserve"> </w:t>
      </w:r>
      <w:r w:rsidR="00BD2E48">
        <w:rPr>
          <w:rFonts w:cstheme="minorHAnsi"/>
        </w:rPr>
        <w:t xml:space="preserve">følgende </w:t>
      </w:r>
      <w:r w:rsidRPr="00085571">
        <w:rPr>
          <w:rFonts w:cstheme="minorHAnsi"/>
        </w:rPr>
        <w:t>bestemmelser</w:t>
      </w:r>
      <w:r w:rsidR="000513F8" w:rsidRPr="00085571">
        <w:rPr>
          <w:rFonts w:cstheme="minorHAnsi"/>
        </w:rPr>
        <w:t xml:space="preserve"> i</w:t>
      </w:r>
      <w:r w:rsidRPr="00085571">
        <w:rPr>
          <w:rFonts w:cstheme="minorHAnsi"/>
        </w:rPr>
        <w:t xml:space="preserve"> </w:t>
      </w:r>
      <w:r w:rsidR="001F2E96">
        <w:rPr>
          <w:rFonts w:cstheme="minorHAnsi"/>
        </w:rPr>
        <w:t>REACH-forordningen</w:t>
      </w:r>
      <w:r w:rsidR="00BD2E48">
        <w:rPr>
          <w:rFonts w:cstheme="minorHAnsi"/>
        </w:rPr>
        <w:t>:</w:t>
      </w:r>
    </w:p>
    <w:p w14:paraId="7085B0A7" w14:textId="0D533CFA" w:rsidR="00BD2E48" w:rsidRDefault="00CB5FFA" w:rsidP="00936E8C">
      <w:pPr>
        <w:pStyle w:val="Listeafsnit"/>
        <w:numPr>
          <w:ilvl w:val="0"/>
          <w:numId w:val="31"/>
        </w:numPr>
        <w:spacing w:line="240" w:lineRule="auto"/>
        <w:rPr>
          <w:rFonts w:cstheme="minorHAnsi"/>
        </w:rPr>
      </w:pPr>
      <w:r w:rsidRPr="00BD2E48">
        <w:rPr>
          <w:rFonts w:cstheme="minorHAnsi"/>
        </w:rPr>
        <w:t xml:space="preserve">afsnit </w:t>
      </w:r>
      <w:r w:rsidR="00D25C21" w:rsidRPr="00BD2E48">
        <w:rPr>
          <w:rFonts w:cstheme="minorHAnsi"/>
        </w:rPr>
        <w:t>II om registrering af stoffer,</w:t>
      </w:r>
    </w:p>
    <w:p w14:paraId="09C9261A" w14:textId="4D570342" w:rsidR="00BD2E48" w:rsidRDefault="00CB5FFA" w:rsidP="00936E8C">
      <w:pPr>
        <w:pStyle w:val="Listeafsnit"/>
        <w:numPr>
          <w:ilvl w:val="0"/>
          <w:numId w:val="31"/>
        </w:numPr>
        <w:spacing w:line="240" w:lineRule="auto"/>
        <w:rPr>
          <w:rFonts w:cstheme="minorHAnsi"/>
        </w:rPr>
      </w:pPr>
      <w:r w:rsidRPr="00BD2E48">
        <w:rPr>
          <w:rFonts w:cstheme="minorHAnsi"/>
        </w:rPr>
        <w:t>afsnit</w:t>
      </w:r>
      <w:r w:rsidR="00D25C21" w:rsidRPr="00BD2E48">
        <w:rPr>
          <w:rFonts w:cstheme="minorHAnsi"/>
        </w:rPr>
        <w:t xml:space="preserve"> VII o</w:t>
      </w:r>
      <w:r w:rsidR="000513F8" w:rsidRPr="00BD2E48">
        <w:rPr>
          <w:rFonts w:cstheme="minorHAnsi"/>
        </w:rPr>
        <w:t>m</w:t>
      </w:r>
      <w:r w:rsidR="00D25C21" w:rsidRPr="00BD2E48">
        <w:rPr>
          <w:rFonts w:cstheme="minorHAnsi"/>
        </w:rPr>
        <w:t xml:space="preserve"> godkendelse</w:t>
      </w:r>
      <w:r w:rsidR="00BD2E48">
        <w:rPr>
          <w:rFonts w:cstheme="minorHAnsi"/>
        </w:rPr>
        <w:t xml:space="preserve">, </w:t>
      </w:r>
      <w:r w:rsidR="00DA5A92">
        <w:rPr>
          <w:rFonts w:cstheme="minorHAnsi"/>
        </w:rPr>
        <w:t>eller</w:t>
      </w:r>
    </w:p>
    <w:p w14:paraId="07C3A592" w14:textId="662BB9CF" w:rsidR="00594FB5" w:rsidRPr="00BD2E48" w:rsidRDefault="00CB5FFA" w:rsidP="003514D1">
      <w:pPr>
        <w:pStyle w:val="Listeafsnit"/>
        <w:numPr>
          <w:ilvl w:val="0"/>
          <w:numId w:val="31"/>
        </w:numPr>
        <w:spacing w:line="240" w:lineRule="auto"/>
        <w:rPr>
          <w:rFonts w:cstheme="minorHAnsi"/>
        </w:rPr>
      </w:pPr>
      <w:r w:rsidRPr="00BD2E48">
        <w:rPr>
          <w:rFonts w:cstheme="minorHAnsi"/>
        </w:rPr>
        <w:t xml:space="preserve">afsnit </w:t>
      </w:r>
      <w:r w:rsidR="00D25C21" w:rsidRPr="00BD2E48">
        <w:rPr>
          <w:rFonts w:cstheme="minorHAnsi"/>
        </w:rPr>
        <w:t>VIII om begrænsninger for fremstilling, markedsføring og anvendelse af visse farlige stoffer, blandinger og artikler</w:t>
      </w:r>
      <w:r w:rsidR="00C408BE" w:rsidRPr="00BD2E48">
        <w:rPr>
          <w:rFonts w:cstheme="minorHAnsi"/>
        </w:rPr>
        <w:t>.</w:t>
      </w:r>
      <w:r w:rsidR="00E76C8A" w:rsidRPr="00BD2E48">
        <w:rPr>
          <w:rFonts w:cstheme="minorHAnsi"/>
        </w:rPr>
        <w:t xml:space="preserve"> </w:t>
      </w:r>
    </w:p>
    <w:p w14:paraId="4D8A1A0A" w14:textId="021BC334" w:rsidR="00543E0E" w:rsidRDefault="00415A86" w:rsidP="00CC7D7C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 xml:space="preserve">Stk. </w:t>
      </w:r>
      <w:r w:rsidR="00B346D5">
        <w:rPr>
          <w:rFonts w:cstheme="minorHAnsi"/>
          <w:i/>
        </w:rPr>
        <w:t>4</w:t>
      </w:r>
      <w:r w:rsidRPr="00085571">
        <w:rPr>
          <w:rFonts w:cstheme="minorHAnsi"/>
          <w:i/>
        </w:rPr>
        <w:t>.</w:t>
      </w:r>
      <w:r w:rsidRPr="00085571">
        <w:rPr>
          <w:rFonts w:cstheme="minorHAnsi"/>
        </w:rPr>
        <w:t xml:space="preserve"> </w:t>
      </w:r>
      <w:r w:rsidR="00CC7D7C">
        <w:rPr>
          <w:rFonts w:cstheme="minorHAnsi"/>
        </w:rPr>
        <w:t xml:space="preserve">Der skal indsendes en ny ansøgning i overensstemmelse med stk. 1, for en blanding, der er omfattet af en afgørelse om </w:t>
      </w:r>
      <w:r w:rsidR="00CC7D7C" w:rsidRPr="00085571">
        <w:rPr>
          <w:rFonts w:cstheme="minorHAnsi"/>
        </w:rPr>
        <w:t>undtagelse</w:t>
      </w:r>
      <w:r w:rsidR="00CC7D7C">
        <w:rPr>
          <w:rFonts w:cstheme="minorHAnsi"/>
        </w:rPr>
        <w:t xml:space="preserve"> efter § 5, hvis </w:t>
      </w:r>
      <w:r w:rsidR="00CC7D7C" w:rsidRPr="00085571">
        <w:rPr>
          <w:rFonts w:cstheme="minorHAnsi"/>
        </w:rPr>
        <w:t>klassificeringen eller mærkningen</w:t>
      </w:r>
      <w:r w:rsidR="00CC7D7C">
        <w:rPr>
          <w:rFonts w:cstheme="minorHAnsi"/>
        </w:rPr>
        <w:t xml:space="preserve"> ændres i medfør af CLP-</w:t>
      </w:r>
      <w:r w:rsidR="00CC7D7C">
        <w:rPr>
          <w:rFonts w:cstheme="minorHAnsi"/>
        </w:rPr>
        <w:lastRenderedPageBreak/>
        <w:t xml:space="preserve">forordningen, som følge af at </w:t>
      </w:r>
      <w:r w:rsidR="00CC7D7C" w:rsidRPr="00085571">
        <w:rPr>
          <w:rFonts w:cstheme="minorHAnsi"/>
        </w:rPr>
        <w:t>sammensætningen eller klassificeringen af de stoffer, som indgår i blanding</w:t>
      </w:r>
      <w:r w:rsidR="00CC7D7C">
        <w:rPr>
          <w:rFonts w:cstheme="minorHAnsi"/>
        </w:rPr>
        <w:t>en ændres.</w:t>
      </w:r>
    </w:p>
    <w:p w14:paraId="3C809DB2" w14:textId="7A6A2558" w:rsidR="00415A86" w:rsidRDefault="00415A86" w:rsidP="00DD4896">
      <w:pPr>
        <w:spacing w:line="240" w:lineRule="auto"/>
        <w:rPr>
          <w:rFonts w:cstheme="minorHAnsi"/>
        </w:rPr>
      </w:pPr>
    </w:p>
    <w:p w14:paraId="697F07D6" w14:textId="5DD9E1B3" w:rsidR="006D5423" w:rsidRPr="00085571" w:rsidRDefault="006D5423" w:rsidP="006D5423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  <w:r w:rsidRPr="00085571">
        <w:rPr>
          <w:rFonts w:cstheme="minorHAnsi"/>
          <w:b/>
        </w:rPr>
        <w:t>.</w:t>
      </w:r>
      <w:r w:rsidRPr="00085571">
        <w:rPr>
          <w:rFonts w:cstheme="minorHAnsi"/>
        </w:rPr>
        <w:t xml:space="preserve"> </w:t>
      </w:r>
      <w:r w:rsidR="00E923C3">
        <w:rPr>
          <w:rFonts w:cstheme="minorHAnsi"/>
        </w:rPr>
        <w:t xml:space="preserve">Ansøger kan i en ansøgning efter </w:t>
      </w:r>
      <w:r w:rsidR="00005F1B">
        <w:rPr>
          <w:rFonts w:cstheme="minorHAnsi"/>
        </w:rPr>
        <w:t>§ 3</w:t>
      </w:r>
      <w:r w:rsidR="00E923C3">
        <w:rPr>
          <w:rFonts w:cstheme="minorHAnsi"/>
        </w:rPr>
        <w:t xml:space="preserve"> </w:t>
      </w:r>
      <w:r w:rsidRPr="00085571">
        <w:rPr>
          <w:rFonts w:cstheme="minorHAnsi"/>
        </w:rPr>
        <w:t xml:space="preserve">angive, at udvalgte oplysninger </w:t>
      </w:r>
      <w:r w:rsidR="00E923C3">
        <w:rPr>
          <w:rFonts w:cstheme="minorHAnsi"/>
        </w:rPr>
        <w:t xml:space="preserve">i ansøgningen </w:t>
      </w:r>
      <w:r w:rsidRPr="00085571">
        <w:rPr>
          <w:rFonts w:cstheme="minorHAnsi"/>
        </w:rPr>
        <w:t>er at betragte som forretningshemmeligheder, fortrolige oplysninger eller oplysninger</w:t>
      </w:r>
      <w:r w:rsidR="00B711AC">
        <w:rPr>
          <w:rFonts w:cstheme="minorHAnsi"/>
        </w:rPr>
        <w:t>,</w:t>
      </w:r>
      <w:r w:rsidRPr="00085571">
        <w:rPr>
          <w:rFonts w:cstheme="minorHAnsi"/>
        </w:rPr>
        <w:t xml:space="preserve"> som ud fra et sikkerhedshensyn</w:t>
      </w:r>
      <w:r w:rsidR="00B711AC">
        <w:rPr>
          <w:rFonts w:cstheme="minorHAnsi"/>
        </w:rPr>
        <w:t>,</w:t>
      </w:r>
      <w:r w:rsidRPr="00085571">
        <w:rPr>
          <w:rFonts w:cstheme="minorHAnsi"/>
        </w:rPr>
        <w:t xml:space="preserve"> bør hemmeligholdes. Ansøger skal begrunde, hvorfor disse oplysninger er at betragte som fortrolige.</w:t>
      </w:r>
    </w:p>
    <w:p w14:paraId="495C9048" w14:textId="505287BF" w:rsidR="006D5423" w:rsidRPr="00085571" w:rsidRDefault="006D5423" w:rsidP="006D5423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2.</w:t>
      </w:r>
      <w:r w:rsidRPr="00085571">
        <w:rPr>
          <w:rFonts w:cstheme="minorHAnsi"/>
        </w:rPr>
        <w:t xml:space="preserve"> Følgende oplysninger betragtes normalt som fortrolige oplysninger, uden at dette skal angives særskilt af </w:t>
      </w:r>
      <w:r w:rsidR="00E923C3">
        <w:rPr>
          <w:rFonts w:cstheme="minorHAnsi"/>
        </w:rPr>
        <w:t>ansøger</w:t>
      </w:r>
      <w:r w:rsidRPr="00085571">
        <w:rPr>
          <w:rFonts w:cstheme="minorHAnsi"/>
        </w:rPr>
        <w:t>:</w:t>
      </w:r>
    </w:p>
    <w:p w14:paraId="7F17F770" w14:textId="77777777" w:rsidR="006D5423" w:rsidRPr="00085571" w:rsidRDefault="006D5423" w:rsidP="006D5423">
      <w:pPr>
        <w:pStyle w:val="Listeafsnit"/>
        <w:numPr>
          <w:ilvl w:val="0"/>
          <w:numId w:val="21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Detaljerede oplysninger om en blandings fulde sammensætning.</w:t>
      </w:r>
    </w:p>
    <w:p w14:paraId="557C895C" w14:textId="77777777" w:rsidR="006D5423" w:rsidRPr="00085571" w:rsidRDefault="006D5423" w:rsidP="006D5423">
      <w:pPr>
        <w:pStyle w:val="Listeafsnit"/>
        <w:numPr>
          <w:ilvl w:val="0"/>
          <w:numId w:val="21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Et stofs eller en blandings nøjagtige anvendelse eller funktion, herunder detaljerede oplysninger om dets anvendelse som mellemprodukt.</w:t>
      </w:r>
    </w:p>
    <w:p w14:paraId="25AE6A10" w14:textId="77777777" w:rsidR="006D5423" w:rsidRPr="00085571" w:rsidRDefault="006D5423" w:rsidP="006D5423">
      <w:pPr>
        <w:pStyle w:val="Listeafsnit"/>
        <w:numPr>
          <w:ilvl w:val="0"/>
          <w:numId w:val="21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Den nøjagtige mængde af det stof eller blanding, der fremstilles eller markedsføres.</w:t>
      </w:r>
    </w:p>
    <w:p w14:paraId="2F27A0E9" w14:textId="092E8A86" w:rsidR="006D5423" w:rsidRPr="00085571" w:rsidRDefault="006D5423" w:rsidP="006D5423">
      <w:pPr>
        <w:pStyle w:val="Listeafsnit"/>
        <w:numPr>
          <w:ilvl w:val="0"/>
          <w:numId w:val="21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 xml:space="preserve">Forbindelserne mellem en producent eller importør og </w:t>
      </w:r>
      <w:r w:rsidR="00005F1B">
        <w:rPr>
          <w:rFonts w:cstheme="minorHAnsi"/>
        </w:rPr>
        <w:t>dennes</w:t>
      </w:r>
      <w:r w:rsidRPr="00085571">
        <w:rPr>
          <w:rFonts w:cstheme="minorHAnsi"/>
        </w:rPr>
        <w:t xml:space="preserve"> distributører eller </w:t>
      </w:r>
      <w:proofErr w:type="spellStart"/>
      <w:r w:rsidRPr="00085571">
        <w:rPr>
          <w:rFonts w:cstheme="minorHAnsi"/>
        </w:rPr>
        <w:t>downstreambrugere</w:t>
      </w:r>
      <w:proofErr w:type="spellEnd"/>
      <w:r w:rsidRPr="00085571">
        <w:rPr>
          <w:rFonts w:cstheme="minorHAnsi"/>
        </w:rPr>
        <w:t>.</w:t>
      </w:r>
    </w:p>
    <w:p w14:paraId="55278DFD" w14:textId="655C49A7" w:rsidR="006D5423" w:rsidRDefault="006D5423" w:rsidP="00DD4896">
      <w:pPr>
        <w:spacing w:line="240" w:lineRule="auto"/>
        <w:rPr>
          <w:rFonts w:cstheme="minorHAnsi"/>
        </w:rPr>
      </w:pPr>
    </w:p>
    <w:p w14:paraId="208278C4" w14:textId="7DC6927A" w:rsidR="006D5423" w:rsidRPr="006D5423" w:rsidRDefault="006D5423" w:rsidP="006D5423">
      <w:pPr>
        <w:spacing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Afgørelse</w:t>
      </w:r>
    </w:p>
    <w:p w14:paraId="77C94282" w14:textId="2E6D5DBB" w:rsidR="00E7310D" w:rsidRPr="00085571" w:rsidRDefault="00594FB5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 w:rsidR="006D5423">
        <w:rPr>
          <w:rFonts w:cstheme="minorHAnsi"/>
          <w:b/>
        </w:rPr>
        <w:t>5</w:t>
      </w:r>
      <w:r w:rsidRPr="00085571">
        <w:rPr>
          <w:rFonts w:cstheme="minorHAnsi"/>
          <w:b/>
        </w:rPr>
        <w:t xml:space="preserve">. </w:t>
      </w:r>
      <w:r w:rsidR="00572A9A" w:rsidRPr="00085571">
        <w:rPr>
          <w:rFonts w:cstheme="minorHAnsi"/>
        </w:rPr>
        <w:t xml:space="preserve">Miljøstyrelsen træffer afgørelse om en tidsbegrænset undtagelse fra </w:t>
      </w:r>
      <w:r w:rsidR="00DB611D" w:rsidRPr="00085571">
        <w:rPr>
          <w:rFonts w:cstheme="minorHAnsi"/>
        </w:rPr>
        <w:t xml:space="preserve">visse bestemmelser i </w:t>
      </w:r>
      <w:r w:rsidR="00572A9A" w:rsidRPr="00085571">
        <w:rPr>
          <w:rFonts w:cstheme="minorHAnsi"/>
        </w:rPr>
        <w:t>REACH-forordningen</w:t>
      </w:r>
      <w:r w:rsidR="00E7310D" w:rsidRPr="00085571">
        <w:rPr>
          <w:rFonts w:cstheme="minorHAnsi"/>
        </w:rPr>
        <w:t xml:space="preserve"> eller CLP-forordningen</w:t>
      </w:r>
      <w:r w:rsidR="00572A9A" w:rsidRPr="00085571">
        <w:rPr>
          <w:rFonts w:cstheme="minorHAnsi"/>
        </w:rPr>
        <w:t xml:space="preserve"> efter at have hørt Arbejdstilsynet og Forsvarsministeriet</w:t>
      </w:r>
      <w:r w:rsidR="003C2CC8" w:rsidRPr="00085571">
        <w:rPr>
          <w:rFonts w:cstheme="minorHAnsi"/>
        </w:rPr>
        <w:t>, jf. dog stk. 2</w:t>
      </w:r>
      <w:r w:rsidR="00572A9A" w:rsidRPr="00085571">
        <w:rPr>
          <w:rFonts w:cstheme="minorHAnsi"/>
        </w:rPr>
        <w:t>. Miljøstyrelsen kan fastsætte vilkår i afgørelsen.</w:t>
      </w:r>
      <w:r w:rsidR="00E7310D" w:rsidRPr="00085571">
        <w:rPr>
          <w:rFonts w:cstheme="minorHAnsi"/>
        </w:rPr>
        <w:t xml:space="preserve"> </w:t>
      </w:r>
    </w:p>
    <w:p w14:paraId="1A765042" w14:textId="5B59EF3A" w:rsidR="00572A9A" w:rsidRPr="00085571" w:rsidRDefault="00E7310D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</w:t>
      </w:r>
      <w:r w:rsidR="00E313A5" w:rsidRPr="00085571">
        <w:rPr>
          <w:rFonts w:cstheme="minorHAnsi"/>
          <w:i/>
        </w:rPr>
        <w:t>k</w:t>
      </w:r>
      <w:r w:rsidRPr="00085571">
        <w:rPr>
          <w:rFonts w:cstheme="minorHAnsi"/>
          <w:i/>
        </w:rPr>
        <w:t>. 2.</w:t>
      </w:r>
      <w:r w:rsidRPr="00085571">
        <w:rPr>
          <w:rFonts w:cstheme="minorHAnsi"/>
        </w:rPr>
        <w:t xml:space="preserve"> </w:t>
      </w:r>
      <w:r w:rsidR="003C2CC8">
        <w:rPr>
          <w:rFonts w:cstheme="minorHAnsi"/>
        </w:rPr>
        <w:t xml:space="preserve">Ansøger </w:t>
      </w:r>
      <w:r w:rsidRPr="00085571">
        <w:rPr>
          <w:rFonts w:cstheme="minorHAnsi"/>
        </w:rPr>
        <w:t xml:space="preserve">Forsvarsministeriet </w:t>
      </w:r>
      <w:r w:rsidR="00DB611D" w:rsidRPr="00085571">
        <w:rPr>
          <w:rFonts w:cstheme="minorHAnsi"/>
        </w:rPr>
        <w:t xml:space="preserve">om undtagelse fra visse bestemmelser i REACH-forordningen eller CLP-forordningen </w:t>
      </w:r>
      <w:r w:rsidRPr="00085571">
        <w:rPr>
          <w:rFonts w:cstheme="minorHAnsi"/>
        </w:rPr>
        <w:t xml:space="preserve">efter § 3, stk. </w:t>
      </w:r>
      <w:r w:rsidR="00A364B5">
        <w:rPr>
          <w:rFonts w:cstheme="minorHAnsi"/>
        </w:rPr>
        <w:t>2</w:t>
      </w:r>
      <w:r w:rsidRPr="00085571">
        <w:rPr>
          <w:rFonts w:cstheme="minorHAnsi"/>
        </w:rPr>
        <w:t xml:space="preserve"> og </w:t>
      </w:r>
      <w:r w:rsidR="00A364B5">
        <w:rPr>
          <w:rFonts w:cstheme="minorHAnsi"/>
        </w:rPr>
        <w:t>3</w:t>
      </w:r>
      <w:r w:rsidR="00406D54" w:rsidRPr="00085571">
        <w:rPr>
          <w:rFonts w:cstheme="minorHAnsi"/>
        </w:rPr>
        <w:t>,</w:t>
      </w:r>
      <w:r w:rsidRPr="00085571">
        <w:rPr>
          <w:rFonts w:cstheme="minorHAnsi"/>
        </w:rPr>
        <w:t xml:space="preserve"> træffer Miljøstyrelsen afgørelse om en tidsbegrænset</w:t>
      </w:r>
      <w:r w:rsidR="00515808">
        <w:rPr>
          <w:rFonts w:cstheme="minorHAnsi"/>
        </w:rPr>
        <w:t xml:space="preserve"> undtagelse</w:t>
      </w:r>
      <w:r w:rsidRPr="00085571">
        <w:rPr>
          <w:rFonts w:cstheme="minorHAnsi"/>
        </w:rPr>
        <w:t xml:space="preserve"> efter at have hørt Arbejdstilsynet.</w:t>
      </w:r>
      <w:r w:rsidR="00406D54" w:rsidRPr="00085571">
        <w:rPr>
          <w:rFonts w:cstheme="minorHAnsi"/>
        </w:rPr>
        <w:t xml:space="preserve"> Miljøstyrelsen kan fastsætte nærmere vilkår i afgørelsen.</w:t>
      </w:r>
    </w:p>
    <w:p w14:paraId="58107961" w14:textId="243B71C4" w:rsidR="00572A9A" w:rsidRPr="00085571" w:rsidRDefault="00C408BE" w:rsidP="00572A9A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 xml:space="preserve">Stk. </w:t>
      </w:r>
      <w:r w:rsidR="00E7310D" w:rsidRPr="00085571">
        <w:rPr>
          <w:rFonts w:cstheme="minorHAnsi"/>
          <w:i/>
        </w:rPr>
        <w:t>3</w:t>
      </w:r>
      <w:r w:rsidR="00FB4434" w:rsidRPr="00085571">
        <w:rPr>
          <w:rFonts w:cstheme="minorHAnsi"/>
          <w:i/>
        </w:rPr>
        <w:t>.</w:t>
      </w:r>
      <w:r w:rsidRPr="00085571">
        <w:rPr>
          <w:rFonts w:cstheme="minorHAnsi"/>
        </w:rPr>
        <w:t xml:space="preserve"> </w:t>
      </w:r>
      <w:r w:rsidR="009270C9" w:rsidRPr="00085571">
        <w:rPr>
          <w:rFonts w:cstheme="minorHAnsi"/>
        </w:rPr>
        <w:t>O</w:t>
      </w:r>
      <w:r w:rsidR="00572A9A" w:rsidRPr="00085571">
        <w:rPr>
          <w:rFonts w:cstheme="minorHAnsi"/>
        </w:rPr>
        <w:t>pfylder</w:t>
      </w:r>
      <w:r w:rsidR="009270C9" w:rsidRPr="00085571">
        <w:rPr>
          <w:rFonts w:cstheme="minorHAnsi"/>
        </w:rPr>
        <w:t xml:space="preserve"> ansøgningen ikke </w:t>
      </w:r>
      <w:r w:rsidR="00A364B5">
        <w:rPr>
          <w:rFonts w:cstheme="minorHAnsi"/>
        </w:rPr>
        <w:t>kravene</w:t>
      </w:r>
      <w:r w:rsidR="00572A9A" w:rsidRPr="00085571">
        <w:rPr>
          <w:rFonts w:cstheme="minorHAnsi"/>
        </w:rPr>
        <w:t xml:space="preserve"> fastsat i bilag 1 og 2, giver </w:t>
      </w:r>
      <w:r w:rsidR="009270C9" w:rsidRPr="00085571">
        <w:rPr>
          <w:rFonts w:cstheme="minorHAnsi"/>
        </w:rPr>
        <w:t>Miljø</w:t>
      </w:r>
      <w:r w:rsidR="00572A9A" w:rsidRPr="00085571">
        <w:rPr>
          <w:rFonts w:cstheme="minorHAnsi"/>
        </w:rPr>
        <w:t xml:space="preserve">styrelsen ansøgeren meddelelse herom med en frist for ansøgeren til at fremsende de manglende oplysninger. Ansøger har mulighed for at anmode om fristforlængelse. </w:t>
      </w:r>
    </w:p>
    <w:p w14:paraId="6C7A6DEB" w14:textId="34B19FC8" w:rsidR="00C408BE" w:rsidRPr="00085571" w:rsidRDefault="00C408BE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 xml:space="preserve">Stk. </w:t>
      </w:r>
      <w:r w:rsidR="00E7310D" w:rsidRPr="00085571">
        <w:rPr>
          <w:rFonts w:cstheme="minorHAnsi"/>
          <w:i/>
        </w:rPr>
        <w:t>4</w:t>
      </w:r>
      <w:r w:rsidRPr="00085571">
        <w:rPr>
          <w:rFonts w:cstheme="minorHAnsi"/>
          <w:i/>
        </w:rPr>
        <w:t>.</w:t>
      </w:r>
      <w:r w:rsidRPr="00085571">
        <w:rPr>
          <w:rFonts w:cstheme="minorHAnsi"/>
        </w:rPr>
        <w:t xml:space="preserve"> </w:t>
      </w:r>
      <w:r w:rsidR="009270C9" w:rsidRPr="00085571">
        <w:rPr>
          <w:rFonts w:cstheme="minorHAnsi"/>
        </w:rPr>
        <w:t>M</w:t>
      </w:r>
      <w:r w:rsidR="00572A9A" w:rsidRPr="00085571">
        <w:rPr>
          <w:rFonts w:cstheme="minorHAnsi"/>
        </w:rPr>
        <w:t>odtage</w:t>
      </w:r>
      <w:r w:rsidR="009270C9" w:rsidRPr="00085571">
        <w:rPr>
          <w:rFonts w:cstheme="minorHAnsi"/>
        </w:rPr>
        <w:t>r Miljøstyrelsen ikke</w:t>
      </w:r>
      <w:r w:rsidR="00572A9A" w:rsidRPr="00085571">
        <w:rPr>
          <w:rFonts w:cstheme="minorHAnsi"/>
        </w:rPr>
        <w:t xml:space="preserve"> de nødvendige oplysninger inden den fastsatte frist eller </w:t>
      </w:r>
      <w:r w:rsidR="003C2CC8">
        <w:rPr>
          <w:rFonts w:cstheme="minorHAnsi"/>
        </w:rPr>
        <w:t xml:space="preserve">den anmodet </w:t>
      </w:r>
      <w:r w:rsidR="00572A9A" w:rsidRPr="00085571">
        <w:rPr>
          <w:rFonts w:cstheme="minorHAnsi"/>
        </w:rPr>
        <w:t xml:space="preserve">fristforlængelse, jf. stk. </w:t>
      </w:r>
      <w:r w:rsidR="006D5423">
        <w:rPr>
          <w:rFonts w:cstheme="minorHAnsi"/>
        </w:rPr>
        <w:t>3</w:t>
      </w:r>
      <w:r w:rsidR="00572A9A" w:rsidRPr="00085571">
        <w:rPr>
          <w:rFonts w:cstheme="minorHAnsi"/>
        </w:rPr>
        <w:t>, afslås ansøgningen helt eller delvist.</w:t>
      </w:r>
    </w:p>
    <w:p w14:paraId="7294495B" w14:textId="73EDC0E7" w:rsidR="0094709E" w:rsidRPr="00085571" w:rsidRDefault="0094709E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 xml:space="preserve">Stk. </w:t>
      </w:r>
      <w:r w:rsidR="00E7310D" w:rsidRPr="00085571">
        <w:rPr>
          <w:rFonts w:cstheme="minorHAnsi"/>
          <w:i/>
        </w:rPr>
        <w:t>5</w:t>
      </w:r>
      <w:r w:rsidRPr="00085571">
        <w:rPr>
          <w:rFonts w:cstheme="minorHAnsi"/>
          <w:i/>
        </w:rPr>
        <w:t>.</w:t>
      </w:r>
      <w:r w:rsidRPr="00085571">
        <w:rPr>
          <w:rFonts w:cstheme="minorHAnsi"/>
        </w:rPr>
        <w:t xml:space="preserve"> I særlige og hastende tilfælde, kan </w:t>
      </w:r>
      <w:r w:rsidR="005459FB" w:rsidRPr="00085571">
        <w:rPr>
          <w:rFonts w:cstheme="minorHAnsi"/>
        </w:rPr>
        <w:t xml:space="preserve">Miljøstyrelsen </w:t>
      </w:r>
      <w:r w:rsidRPr="00085571">
        <w:rPr>
          <w:rFonts w:cstheme="minorHAnsi"/>
        </w:rPr>
        <w:t xml:space="preserve">give en </w:t>
      </w:r>
      <w:r w:rsidR="00DB611D" w:rsidRPr="00085571">
        <w:rPr>
          <w:rFonts w:cstheme="minorHAnsi"/>
        </w:rPr>
        <w:t xml:space="preserve">foreløbig </w:t>
      </w:r>
      <w:r w:rsidRPr="00085571">
        <w:rPr>
          <w:rFonts w:cstheme="minorHAnsi"/>
        </w:rPr>
        <w:t>undtagelse</w:t>
      </w:r>
      <w:r w:rsidR="00A90CFF" w:rsidRPr="00085571">
        <w:rPr>
          <w:rFonts w:cstheme="minorHAnsi"/>
        </w:rPr>
        <w:t xml:space="preserve"> fra </w:t>
      </w:r>
      <w:r w:rsidR="00524EB1" w:rsidRPr="00085571">
        <w:rPr>
          <w:rFonts w:cstheme="minorHAnsi"/>
        </w:rPr>
        <w:t>REACH-</w:t>
      </w:r>
      <w:r w:rsidR="00A90CFF" w:rsidRPr="00085571">
        <w:rPr>
          <w:rFonts w:cstheme="minorHAnsi"/>
        </w:rPr>
        <w:t>foro</w:t>
      </w:r>
      <w:r w:rsidR="004D3FB2" w:rsidRPr="00085571">
        <w:rPr>
          <w:rFonts w:cstheme="minorHAnsi"/>
        </w:rPr>
        <w:t>r</w:t>
      </w:r>
      <w:r w:rsidR="00A90CFF" w:rsidRPr="00085571">
        <w:rPr>
          <w:rFonts w:cstheme="minorHAnsi"/>
        </w:rPr>
        <w:t>dning</w:t>
      </w:r>
      <w:r w:rsidR="00524EB1" w:rsidRPr="00085571">
        <w:rPr>
          <w:rFonts w:cstheme="minorHAnsi"/>
        </w:rPr>
        <w:t>en</w:t>
      </w:r>
      <w:r w:rsidR="00DB611D" w:rsidRPr="00085571">
        <w:rPr>
          <w:rFonts w:cstheme="minorHAnsi"/>
        </w:rPr>
        <w:t xml:space="preserve"> eller CLP-forordningen</w:t>
      </w:r>
      <w:r w:rsidRPr="00085571">
        <w:rPr>
          <w:rFonts w:cstheme="minorHAnsi"/>
        </w:rPr>
        <w:t xml:space="preserve">, mens sagen behandles. </w:t>
      </w:r>
    </w:p>
    <w:p w14:paraId="05B5B0E7" w14:textId="028D449B" w:rsidR="00BE659B" w:rsidRPr="00085571" w:rsidRDefault="00BE659B" w:rsidP="00BE659B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6.</w:t>
      </w:r>
      <w:r w:rsidRPr="00085571">
        <w:rPr>
          <w:rFonts w:cstheme="minorHAnsi"/>
        </w:rPr>
        <w:t xml:space="preserve"> </w:t>
      </w:r>
      <w:r w:rsidR="00DB611D" w:rsidRPr="00085571">
        <w:rPr>
          <w:rFonts w:cstheme="minorHAnsi"/>
        </w:rPr>
        <w:t>Den</w:t>
      </w:r>
      <w:r w:rsidR="00A364B5">
        <w:rPr>
          <w:rFonts w:cstheme="minorHAnsi"/>
        </w:rPr>
        <w:t>,</w:t>
      </w:r>
      <w:r w:rsidR="00DB611D" w:rsidRPr="00085571">
        <w:rPr>
          <w:rFonts w:cstheme="minorHAnsi"/>
        </w:rPr>
        <w:t xml:space="preserve"> som </w:t>
      </w:r>
      <w:r w:rsidRPr="00085571">
        <w:rPr>
          <w:rFonts w:cstheme="minorHAnsi"/>
        </w:rPr>
        <w:t xml:space="preserve">har </w:t>
      </w:r>
      <w:r w:rsidR="00051428">
        <w:rPr>
          <w:rFonts w:cstheme="minorHAnsi"/>
        </w:rPr>
        <w:t xml:space="preserve">fået </w:t>
      </w:r>
      <w:r w:rsidRPr="00085571">
        <w:rPr>
          <w:rFonts w:cstheme="minorHAnsi"/>
        </w:rPr>
        <w:t xml:space="preserve">en tidsbegrænset undtagelse </w:t>
      </w:r>
      <w:r w:rsidR="00051428">
        <w:rPr>
          <w:rFonts w:cstheme="minorHAnsi"/>
        </w:rPr>
        <w:t xml:space="preserve">efter stk. 1 eller 2 </w:t>
      </w:r>
      <w:r w:rsidR="00415FB6" w:rsidRPr="00085571">
        <w:rPr>
          <w:rFonts w:cstheme="minorHAnsi"/>
        </w:rPr>
        <w:t xml:space="preserve">kan </w:t>
      </w:r>
      <w:r w:rsidR="00051428" w:rsidRPr="00085571">
        <w:rPr>
          <w:rFonts w:cstheme="minorHAnsi"/>
        </w:rPr>
        <w:t xml:space="preserve">ansøge om forlængelse af undtagelsen </w:t>
      </w:r>
      <w:r w:rsidRPr="00085571">
        <w:rPr>
          <w:rFonts w:cstheme="minorHAnsi"/>
        </w:rPr>
        <w:t xml:space="preserve">i overensstemmelse med § 3, stk. </w:t>
      </w:r>
      <w:r w:rsidR="00AA426B">
        <w:rPr>
          <w:rFonts w:cstheme="minorHAnsi"/>
        </w:rPr>
        <w:t>2</w:t>
      </w:r>
      <w:r w:rsidRPr="00085571">
        <w:rPr>
          <w:rFonts w:cstheme="minorHAnsi"/>
        </w:rPr>
        <w:t xml:space="preserve"> og </w:t>
      </w:r>
      <w:r w:rsidR="00A364B5">
        <w:rPr>
          <w:rFonts w:cstheme="minorHAnsi"/>
        </w:rPr>
        <w:t>3</w:t>
      </w:r>
      <w:r w:rsidR="001F2E96">
        <w:rPr>
          <w:rFonts w:cstheme="minorHAnsi"/>
        </w:rPr>
        <w:t>.</w:t>
      </w:r>
      <w:r w:rsidR="00415FB6" w:rsidRPr="00085571">
        <w:rPr>
          <w:rFonts w:cstheme="minorHAnsi"/>
        </w:rPr>
        <w:t xml:space="preserve"> </w:t>
      </w:r>
      <w:r w:rsidR="00AA426B">
        <w:rPr>
          <w:rFonts w:cstheme="minorHAnsi"/>
        </w:rPr>
        <w:t xml:space="preserve"> </w:t>
      </w:r>
      <w:r w:rsidR="00A364B5">
        <w:rPr>
          <w:rFonts w:cstheme="minorHAnsi"/>
        </w:rPr>
        <w:t>Ansøgningen skal være Miljøstyrelsen i hænde</w:t>
      </w:r>
      <w:r w:rsidRPr="00085571">
        <w:rPr>
          <w:rFonts w:cstheme="minorHAnsi"/>
        </w:rPr>
        <w:t xml:space="preserve"> senest 6 måneder før </w:t>
      </w:r>
      <w:r w:rsidR="00AA426B">
        <w:rPr>
          <w:rFonts w:cstheme="minorHAnsi"/>
        </w:rPr>
        <w:t>undtagelsens udløb</w:t>
      </w:r>
      <w:r w:rsidRPr="00085571">
        <w:rPr>
          <w:rFonts w:cstheme="minorHAnsi"/>
        </w:rPr>
        <w:t>.</w:t>
      </w:r>
    </w:p>
    <w:p w14:paraId="10757928" w14:textId="77777777" w:rsidR="00BE659B" w:rsidRPr="00085571" w:rsidRDefault="00BE659B" w:rsidP="00DD4896">
      <w:pPr>
        <w:spacing w:line="240" w:lineRule="auto"/>
        <w:rPr>
          <w:rFonts w:cstheme="minorHAnsi"/>
        </w:rPr>
      </w:pPr>
    </w:p>
    <w:p w14:paraId="45C02A09" w14:textId="55816250" w:rsidR="00961FAD" w:rsidRPr="00085571" w:rsidRDefault="00594FB5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 w:rsidR="006D5423">
        <w:rPr>
          <w:rFonts w:cstheme="minorHAnsi"/>
          <w:b/>
        </w:rPr>
        <w:t>6</w:t>
      </w:r>
      <w:r w:rsidRPr="00085571">
        <w:rPr>
          <w:rFonts w:cstheme="minorHAnsi"/>
          <w:b/>
        </w:rPr>
        <w:t xml:space="preserve">. </w:t>
      </w:r>
      <w:r w:rsidR="00C408BE" w:rsidRPr="00085571">
        <w:rPr>
          <w:rFonts w:cstheme="minorHAnsi"/>
        </w:rPr>
        <w:t xml:space="preserve">Miljøstyrelsens afgørelser efter </w:t>
      </w:r>
      <w:r w:rsidRPr="00085571">
        <w:rPr>
          <w:rFonts w:cstheme="minorHAnsi"/>
        </w:rPr>
        <w:t xml:space="preserve">§ </w:t>
      </w:r>
      <w:r w:rsidR="006D5423">
        <w:rPr>
          <w:rFonts w:cstheme="minorHAnsi"/>
        </w:rPr>
        <w:t>5</w:t>
      </w:r>
      <w:r w:rsidRPr="00085571">
        <w:rPr>
          <w:rFonts w:cstheme="minorHAnsi"/>
        </w:rPr>
        <w:t xml:space="preserve">, stk. </w:t>
      </w:r>
      <w:r w:rsidR="00572A9A" w:rsidRPr="00085571">
        <w:rPr>
          <w:rFonts w:cstheme="minorHAnsi"/>
        </w:rPr>
        <w:t>1</w:t>
      </w:r>
      <w:r w:rsidR="00822D9A">
        <w:rPr>
          <w:rFonts w:cstheme="minorHAnsi"/>
        </w:rPr>
        <w:t>,-</w:t>
      </w:r>
      <w:r w:rsidR="00E7310D" w:rsidRPr="00085571">
        <w:rPr>
          <w:rFonts w:cstheme="minorHAnsi"/>
        </w:rPr>
        <w:t>2</w:t>
      </w:r>
      <w:r w:rsidR="00885BB7" w:rsidRPr="00085571">
        <w:rPr>
          <w:rFonts w:cstheme="minorHAnsi"/>
        </w:rPr>
        <w:t>,</w:t>
      </w:r>
      <w:r w:rsidR="00822D9A">
        <w:rPr>
          <w:rFonts w:cstheme="minorHAnsi"/>
        </w:rPr>
        <w:t xml:space="preserve"> 4 og 5</w:t>
      </w:r>
      <w:r w:rsidR="00E7310D" w:rsidRPr="00085571">
        <w:rPr>
          <w:rFonts w:cstheme="minorHAnsi"/>
        </w:rPr>
        <w:t xml:space="preserve"> </w:t>
      </w:r>
      <w:r w:rsidR="00C408BE" w:rsidRPr="00085571">
        <w:rPr>
          <w:rFonts w:cstheme="minorHAnsi"/>
        </w:rPr>
        <w:t>kan ikke påklages til anden administrativ myndighed.</w:t>
      </w:r>
    </w:p>
    <w:p w14:paraId="72D6591C" w14:textId="77777777" w:rsidR="008E6518" w:rsidRPr="00085571" w:rsidRDefault="008E6518" w:rsidP="00DD4896">
      <w:pPr>
        <w:spacing w:line="240" w:lineRule="auto"/>
        <w:rPr>
          <w:rFonts w:cstheme="minorHAnsi"/>
        </w:rPr>
      </w:pPr>
    </w:p>
    <w:p w14:paraId="4CFECA5C" w14:textId="572AACD2" w:rsidR="0046348D" w:rsidRPr="006D5423" w:rsidRDefault="006D5423" w:rsidP="006D5423">
      <w:pPr>
        <w:spacing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Oplysninger i leverandørkæden</w:t>
      </w:r>
    </w:p>
    <w:p w14:paraId="132F2265" w14:textId="754523DC" w:rsidR="00B80986" w:rsidRPr="00085571" w:rsidRDefault="00B80986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lastRenderedPageBreak/>
        <w:t xml:space="preserve">§ </w:t>
      </w:r>
      <w:r w:rsidR="00FE212F" w:rsidRPr="00085571">
        <w:rPr>
          <w:rFonts w:cstheme="minorHAnsi"/>
          <w:b/>
        </w:rPr>
        <w:t>7</w:t>
      </w:r>
      <w:r w:rsidRPr="00085571">
        <w:rPr>
          <w:rFonts w:cstheme="minorHAnsi"/>
          <w:b/>
        </w:rPr>
        <w:t>.</w:t>
      </w:r>
      <w:r w:rsidRPr="00085571">
        <w:rPr>
          <w:rFonts w:cstheme="minorHAnsi"/>
        </w:rPr>
        <w:t xml:space="preserve"> </w:t>
      </w:r>
      <w:r w:rsidR="00A07E8B" w:rsidRPr="00085571">
        <w:rPr>
          <w:rFonts w:cstheme="minorHAnsi"/>
        </w:rPr>
        <w:t>Enhver aktør</w:t>
      </w:r>
      <w:r w:rsidR="00B31188" w:rsidRPr="00085571">
        <w:rPr>
          <w:rFonts w:cstheme="minorHAnsi"/>
        </w:rPr>
        <w:t xml:space="preserve"> </w:t>
      </w:r>
      <w:r w:rsidR="00085571" w:rsidRPr="00085571">
        <w:rPr>
          <w:rFonts w:cstheme="minorHAnsi"/>
        </w:rPr>
        <w:t xml:space="preserve">i leverandørkæden </w:t>
      </w:r>
      <w:r w:rsidR="00822D9A">
        <w:rPr>
          <w:rFonts w:cstheme="minorHAnsi"/>
        </w:rPr>
        <w:t xml:space="preserve">af et stof, en blanding eller en artikel, der er omfattet af en afgørelse om undtagelse efter § 5, </w:t>
      </w:r>
      <w:r w:rsidR="00051428">
        <w:rPr>
          <w:rFonts w:cstheme="minorHAnsi"/>
        </w:rPr>
        <w:t xml:space="preserve">skal </w:t>
      </w:r>
      <w:r w:rsidR="00A07E8B" w:rsidRPr="00085571">
        <w:rPr>
          <w:rFonts w:cstheme="minorHAnsi"/>
        </w:rPr>
        <w:t xml:space="preserve">videregive oplysning </w:t>
      </w:r>
      <w:r w:rsidR="006B3224">
        <w:rPr>
          <w:rFonts w:cstheme="minorHAnsi"/>
        </w:rPr>
        <w:t>her</w:t>
      </w:r>
      <w:r w:rsidR="00A07E8B" w:rsidRPr="00085571">
        <w:rPr>
          <w:rFonts w:cstheme="minorHAnsi"/>
        </w:rPr>
        <w:t>om</w:t>
      </w:r>
      <w:r w:rsidR="006B3224">
        <w:rPr>
          <w:rFonts w:cstheme="minorHAnsi"/>
        </w:rPr>
        <w:t>.</w:t>
      </w:r>
      <w:r w:rsidR="00C04494" w:rsidRPr="00085571">
        <w:rPr>
          <w:rFonts w:cstheme="minorHAnsi"/>
        </w:rPr>
        <w:t xml:space="preserve"> Der skal som minimum henvises til </w:t>
      </w:r>
      <w:r w:rsidR="00822D9A">
        <w:rPr>
          <w:rFonts w:cstheme="minorHAnsi"/>
        </w:rPr>
        <w:t xml:space="preserve">sagsnummeret for Miljøstyrelsens </w:t>
      </w:r>
      <w:r w:rsidR="00C04494" w:rsidRPr="00085571">
        <w:rPr>
          <w:rFonts w:cstheme="minorHAnsi"/>
        </w:rPr>
        <w:t>afgørelse</w:t>
      </w:r>
      <w:r w:rsidR="006D54BA">
        <w:rPr>
          <w:rFonts w:cstheme="minorHAnsi"/>
        </w:rPr>
        <w:t>.</w:t>
      </w:r>
    </w:p>
    <w:p w14:paraId="7A29C45A" w14:textId="0635ADBD" w:rsidR="00073950" w:rsidRDefault="00073950" w:rsidP="00DD4896">
      <w:pPr>
        <w:spacing w:line="240" w:lineRule="auto"/>
        <w:rPr>
          <w:rFonts w:cstheme="minorHAnsi"/>
        </w:rPr>
      </w:pPr>
    </w:p>
    <w:p w14:paraId="5456E7AD" w14:textId="7A94A80D" w:rsidR="006D5423" w:rsidRPr="006D5423" w:rsidRDefault="006D5423" w:rsidP="006D5423">
      <w:pPr>
        <w:spacing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Tilsyn</w:t>
      </w:r>
    </w:p>
    <w:p w14:paraId="0CD74B8D" w14:textId="6BA53B42" w:rsidR="00073950" w:rsidRPr="00085571" w:rsidRDefault="00073950" w:rsidP="00085571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 w:rsidR="00FE212F" w:rsidRPr="00085571">
        <w:rPr>
          <w:rFonts w:cstheme="minorHAnsi"/>
          <w:b/>
        </w:rPr>
        <w:t>8</w:t>
      </w:r>
      <w:r w:rsidRPr="00085571">
        <w:rPr>
          <w:rFonts w:cstheme="minorHAnsi"/>
          <w:b/>
        </w:rPr>
        <w:t>.</w:t>
      </w:r>
      <w:r w:rsidRPr="00085571">
        <w:rPr>
          <w:rFonts w:cstheme="minorHAnsi"/>
        </w:rPr>
        <w:t xml:space="preserve"> Miljøstyrelsen fører tilsyn og kontrol med overholdelsen af afgørelser truffet i henhold til § </w:t>
      </w:r>
      <w:r w:rsidR="006D5423">
        <w:rPr>
          <w:rFonts w:cstheme="minorHAnsi"/>
        </w:rPr>
        <w:t>5</w:t>
      </w:r>
      <w:r w:rsidRPr="00085571">
        <w:rPr>
          <w:rFonts w:cstheme="minorHAnsi"/>
        </w:rPr>
        <w:t>, stk. 1</w:t>
      </w:r>
      <w:r w:rsidR="00E7310D" w:rsidRPr="00085571">
        <w:rPr>
          <w:rFonts w:cstheme="minorHAnsi"/>
        </w:rPr>
        <w:t xml:space="preserve"> og 2</w:t>
      </w:r>
      <w:r w:rsidRPr="00085571">
        <w:rPr>
          <w:rFonts w:cstheme="minorHAnsi"/>
        </w:rPr>
        <w:t xml:space="preserve">, jf. </w:t>
      </w:r>
      <w:r w:rsidR="007C0216" w:rsidRPr="00085571">
        <w:rPr>
          <w:rFonts w:cstheme="minorHAnsi"/>
        </w:rPr>
        <w:t>dog stk. 2-4</w:t>
      </w:r>
      <w:r w:rsidRPr="00085571">
        <w:rPr>
          <w:rFonts w:cstheme="minorHAnsi"/>
        </w:rPr>
        <w:t>.</w:t>
      </w:r>
    </w:p>
    <w:p w14:paraId="649EFE40" w14:textId="1F1696F7" w:rsidR="007C0216" w:rsidRPr="00085571" w:rsidRDefault="007C0216" w:rsidP="00085571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2.</w:t>
      </w:r>
      <w:r w:rsidRPr="00085571">
        <w:rPr>
          <w:rFonts w:cstheme="minorHAnsi"/>
        </w:rPr>
        <w:t xml:space="preserve"> Arbejdstilsynet fører tilsyn med overholdelsen </w:t>
      </w:r>
      <w:r w:rsidR="00B231AC">
        <w:rPr>
          <w:rFonts w:cstheme="minorHAnsi"/>
        </w:rPr>
        <w:t xml:space="preserve">af </w:t>
      </w:r>
      <w:r w:rsidR="004A08C3" w:rsidRPr="00085571">
        <w:rPr>
          <w:rFonts w:cstheme="minorHAnsi"/>
        </w:rPr>
        <w:t xml:space="preserve">afgørelser truffet i henhold til § </w:t>
      </w:r>
      <w:r w:rsidR="006D5423">
        <w:rPr>
          <w:rFonts w:cstheme="minorHAnsi"/>
        </w:rPr>
        <w:t>5</w:t>
      </w:r>
      <w:r w:rsidR="004A08C3" w:rsidRPr="00085571">
        <w:rPr>
          <w:rFonts w:cstheme="minorHAnsi"/>
        </w:rPr>
        <w:t>, stk. 1 og 2</w:t>
      </w:r>
      <w:r w:rsidR="00F60226">
        <w:rPr>
          <w:rFonts w:cstheme="minorHAnsi"/>
        </w:rPr>
        <w:t>,</w:t>
      </w:r>
      <w:r w:rsidR="004A08C3" w:rsidRPr="00085571">
        <w:rPr>
          <w:rFonts w:cstheme="minorHAnsi"/>
        </w:rPr>
        <w:t xml:space="preserve"> om undtagelse for REACH-</w:t>
      </w:r>
      <w:r w:rsidRPr="00085571">
        <w:rPr>
          <w:rFonts w:cstheme="minorHAnsi"/>
        </w:rPr>
        <w:t>foror</w:t>
      </w:r>
      <w:r w:rsidR="004A08C3" w:rsidRPr="00085571">
        <w:rPr>
          <w:rFonts w:cstheme="minorHAnsi"/>
        </w:rPr>
        <w:t xml:space="preserve">dningens artikel 14, stk. 6, </w:t>
      </w:r>
      <w:r w:rsidRPr="00085571">
        <w:rPr>
          <w:rFonts w:cstheme="minorHAnsi"/>
        </w:rPr>
        <w:t>afsnit IV og V med undtagelse af artikel 33, stk. 2, og artikel 38, stk. 4.</w:t>
      </w:r>
    </w:p>
    <w:p w14:paraId="428CBE6F" w14:textId="40AA3F06" w:rsidR="007C0216" w:rsidRPr="00085571" w:rsidRDefault="007C0216" w:rsidP="00085571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3.</w:t>
      </w:r>
      <w:r w:rsidRPr="00085571">
        <w:rPr>
          <w:rFonts w:cstheme="minorHAnsi"/>
        </w:rPr>
        <w:t xml:space="preserve"> Arbejdstilsynet fører tilsyn med </w:t>
      </w:r>
      <w:r w:rsidR="004A08C3" w:rsidRPr="00085571">
        <w:rPr>
          <w:rFonts w:cstheme="minorHAnsi"/>
        </w:rPr>
        <w:t xml:space="preserve">afgørelser truffet i henholdt til § </w:t>
      </w:r>
      <w:r w:rsidR="006D5423">
        <w:rPr>
          <w:rFonts w:cstheme="minorHAnsi"/>
        </w:rPr>
        <w:t>5</w:t>
      </w:r>
      <w:r w:rsidR="004A08C3" w:rsidRPr="00085571">
        <w:rPr>
          <w:rFonts w:cstheme="minorHAnsi"/>
        </w:rPr>
        <w:t>, stk. 1 og 2</w:t>
      </w:r>
      <w:r w:rsidR="00F60226">
        <w:rPr>
          <w:rFonts w:cstheme="minorHAnsi"/>
        </w:rPr>
        <w:t>,</w:t>
      </w:r>
      <w:r w:rsidR="004A08C3" w:rsidRPr="00085571">
        <w:rPr>
          <w:rFonts w:cstheme="minorHAnsi"/>
        </w:rPr>
        <w:t xml:space="preserve"> om undtagelse fra </w:t>
      </w:r>
      <w:r w:rsidRPr="00085571">
        <w:rPr>
          <w:rFonts w:cstheme="minorHAnsi"/>
        </w:rPr>
        <w:t xml:space="preserve">begrænsninger vedrørende markedsføring og anvendelse af asbestfibre i henhold til </w:t>
      </w:r>
      <w:r w:rsidR="004A08C3" w:rsidRPr="00085571">
        <w:rPr>
          <w:rFonts w:cstheme="minorHAnsi"/>
        </w:rPr>
        <w:t>REACH-</w:t>
      </w:r>
      <w:r w:rsidRPr="00085571">
        <w:rPr>
          <w:rFonts w:cstheme="minorHAnsi"/>
        </w:rPr>
        <w:t>forordningens bilag XVII, nr. 6.</w:t>
      </w:r>
    </w:p>
    <w:p w14:paraId="142A948E" w14:textId="5E40A9FC" w:rsidR="007C0216" w:rsidRPr="00085571" w:rsidRDefault="007C0216" w:rsidP="00085571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4.</w:t>
      </w:r>
      <w:r w:rsidRPr="00085571">
        <w:rPr>
          <w:rFonts w:cstheme="minorHAnsi"/>
        </w:rPr>
        <w:t xml:space="preserve"> Arbejdstilsynet fører tilsyn </w:t>
      </w:r>
      <w:r w:rsidR="00B231AC">
        <w:rPr>
          <w:rFonts w:cstheme="minorHAnsi"/>
        </w:rPr>
        <w:t xml:space="preserve">med </w:t>
      </w:r>
      <w:r w:rsidR="004A08C3" w:rsidRPr="00085571">
        <w:rPr>
          <w:rFonts w:cstheme="minorHAnsi"/>
        </w:rPr>
        <w:t xml:space="preserve">afgørelser truffet i henhold til § </w:t>
      </w:r>
      <w:r w:rsidR="006D5423">
        <w:rPr>
          <w:rFonts w:cstheme="minorHAnsi"/>
        </w:rPr>
        <w:t>5</w:t>
      </w:r>
      <w:r w:rsidR="004A08C3" w:rsidRPr="00085571">
        <w:rPr>
          <w:rFonts w:cstheme="minorHAnsi"/>
        </w:rPr>
        <w:t>, stk. 1 og 2</w:t>
      </w:r>
      <w:r w:rsidR="00F60226">
        <w:rPr>
          <w:rFonts w:cstheme="minorHAnsi"/>
        </w:rPr>
        <w:t>,</w:t>
      </w:r>
      <w:r w:rsidR="004A08C3" w:rsidRPr="00085571">
        <w:rPr>
          <w:rFonts w:cstheme="minorHAnsi"/>
        </w:rPr>
        <w:t xml:space="preserve"> om undtagelse fra</w:t>
      </w:r>
      <w:r w:rsidRPr="00085571">
        <w:rPr>
          <w:rFonts w:cstheme="minorHAnsi"/>
        </w:rPr>
        <w:t xml:space="preserve"> begrænsninger vedrørende markedsføring og anvendelse af </w:t>
      </w:r>
      <w:proofErr w:type="spellStart"/>
      <w:r w:rsidRPr="00085571">
        <w:rPr>
          <w:rFonts w:cstheme="minorHAnsi"/>
        </w:rPr>
        <w:t>chrom</w:t>
      </w:r>
      <w:proofErr w:type="spellEnd"/>
      <w:r w:rsidRPr="00085571">
        <w:rPr>
          <w:rFonts w:cstheme="minorHAnsi"/>
        </w:rPr>
        <w:t xml:space="preserve"> (VI) forbindelser i henhold til </w:t>
      </w:r>
      <w:r w:rsidR="004A08C3" w:rsidRPr="00085571">
        <w:rPr>
          <w:rFonts w:cstheme="minorHAnsi"/>
        </w:rPr>
        <w:t>REACH-</w:t>
      </w:r>
      <w:r w:rsidRPr="00085571">
        <w:rPr>
          <w:rFonts w:cstheme="minorHAnsi"/>
        </w:rPr>
        <w:t>forordningens bilag XVII, nr. 47, pkt. 1-4.</w:t>
      </w:r>
    </w:p>
    <w:p w14:paraId="436B1EF7" w14:textId="095AAAFC" w:rsidR="00524EB1" w:rsidRPr="007273DF" w:rsidRDefault="007C0216" w:rsidP="009270C9">
      <w:pPr>
        <w:spacing w:before="200" w:after="0" w:line="240" w:lineRule="auto"/>
        <w:rPr>
          <w:rFonts w:cstheme="minorHAnsi"/>
        </w:rPr>
      </w:pPr>
      <w:r w:rsidRPr="000163A5">
        <w:rPr>
          <w:rFonts w:cstheme="minorHAnsi"/>
          <w:b/>
        </w:rPr>
        <w:t>§ 9.</w:t>
      </w:r>
      <w:r w:rsidRPr="000163A5">
        <w:rPr>
          <w:rFonts w:cstheme="minorHAnsi"/>
        </w:rPr>
        <w:t xml:space="preserve"> Tilsynet </w:t>
      </w:r>
      <w:r w:rsidR="00AE40B8" w:rsidRPr="000163A5">
        <w:rPr>
          <w:rFonts w:cstheme="minorHAnsi"/>
        </w:rPr>
        <w:t xml:space="preserve">og kontrol </w:t>
      </w:r>
      <w:r w:rsidRPr="000163A5">
        <w:rPr>
          <w:rFonts w:cstheme="minorHAnsi"/>
        </w:rPr>
        <w:t xml:space="preserve">med overholdelse af </w:t>
      </w:r>
      <w:r w:rsidR="006D5423" w:rsidRPr="000163A5">
        <w:rPr>
          <w:rFonts w:cstheme="minorHAnsi"/>
        </w:rPr>
        <w:t>afgørelser truffet i henhold til § 5, stk. 1 og 2</w:t>
      </w:r>
      <w:r w:rsidR="00F60226" w:rsidRPr="000163A5">
        <w:rPr>
          <w:rFonts w:cstheme="minorHAnsi"/>
        </w:rPr>
        <w:t>,</w:t>
      </w:r>
      <w:r w:rsidRPr="000163A5">
        <w:rPr>
          <w:rFonts w:cstheme="minorHAnsi"/>
        </w:rPr>
        <w:t xml:space="preserve"> </w:t>
      </w:r>
      <w:r w:rsidR="00AE40B8" w:rsidRPr="000163A5">
        <w:rPr>
          <w:rFonts w:cstheme="minorHAnsi"/>
        </w:rPr>
        <w:t>udøves af tilsynsmyndighederne</w:t>
      </w:r>
      <w:r w:rsidRPr="000163A5">
        <w:rPr>
          <w:rFonts w:cstheme="minorHAnsi"/>
        </w:rPr>
        <w:t xml:space="preserve"> i overensstemmelse med lovens regler herom</w:t>
      </w:r>
      <w:r w:rsidR="00B31188" w:rsidRPr="000163A5">
        <w:rPr>
          <w:rFonts w:cstheme="minorHAnsi"/>
        </w:rPr>
        <w:t>.</w:t>
      </w:r>
    </w:p>
    <w:p w14:paraId="6E5096F2" w14:textId="1B6F3902" w:rsidR="007C0216" w:rsidRDefault="00AE40B8" w:rsidP="00A07E8B">
      <w:pPr>
        <w:spacing w:before="200" w:after="0" w:line="240" w:lineRule="auto"/>
        <w:rPr>
          <w:rFonts w:eastAsia="Times New Roman" w:cstheme="minorHAnsi"/>
          <w:color w:val="000000"/>
          <w:sz w:val="20"/>
          <w:szCs w:val="20"/>
          <w:lang w:eastAsia="da-DK"/>
        </w:rPr>
      </w:pPr>
      <w:r>
        <w:rPr>
          <w:rFonts w:eastAsia="Times New Roman" w:cstheme="minorHAnsi"/>
          <w:color w:val="000000"/>
          <w:sz w:val="20"/>
          <w:szCs w:val="20"/>
          <w:lang w:eastAsia="da-DK"/>
        </w:rPr>
        <w:t xml:space="preserve"> </w:t>
      </w:r>
    </w:p>
    <w:p w14:paraId="7BBDA520" w14:textId="121D105E" w:rsidR="006D5423" w:rsidRDefault="006D5423" w:rsidP="006D5423">
      <w:pPr>
        <w:spacing w:before="200" w:after="0" w:line="240" w:lineRule="auto"/>
        <w:jc w:val="center"/>
        <w:rPr>
          <w:rFonts w:eastAsia="Times New Roman" w:cstheme="minorHAnsi"/>
          <w:i/>
          <w:color w:val="000000"/>
          <w:sz w:val="20"/>
          <w:szCs w:val="20"/>
          <w:lang w:eastAsia="da-DK"/>
        </w:rPr>
      </w:pPr>
      <w:r>
        <w:rPr>
          <w:rFonts w:eastAsia="Times New Roman" w:cstheme="minorHAnsi"/>
          <w:i/>
          <w:color w:val="000000"/>
          <w:sz w:val="20"/>
          <w:szCs w:val="20"/>
          <w:lang w:eastAsia="da-DK"/>
        </w:rPr>
        <w:t>Straf og ikrafttrædelse</w:t>
      </w:r>
    </w:p>
    <w:p w14:paraId="000990F0" w14:textId="77777777" w:rsidR="00DA5524" w:rsidRPr="006D5423" w:rsidRDefault="00DA5524" w:rsidP="006D5423">
      <w:pPr>
        <w:spacing w:before="200" w:after="0" w:line="240" w:lineRule="auto"/>
        <w:jc w:val="center"/>
        <w:rPr>
          <w:rFonts w:eastAsia="Times New Roman" w:cstheme="minorHAnsi"/>
          <w:i/>
          <w:color w:val="000000"/>
          <w:sz w:val="20"/>
          <w:szCs w:val="20"/>
          <w:lang w:eastAsia="da-DK"/>
        </w:rPr>
      </w:pPr>
    </w:p>
    <w:p w14:paraId="29E13F35" w14:textId="09873EE3" w:rsidR="00AA452D" w:rsidRPr="00085571" w:rsidRDefault="00AA452D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 w:rsidR="007C0216" w:rsidRPr="00085571">
        <w:rPr>
          <w:rFonts w:cstheme="minorHAnsi"/>
          <w:b/>
        </w:rPr>
        <w:t>10</w:t>
      </w:r>
      <w:r w:rsidRPr="00085571">
        <w:rPr>
          <w:rFonts w:cstheme="minorHAnsi"/>
          <w:b/>
        </w:rPr>
        <w:t>.</w:t>
      </w:r>
      <w:r w:rsidRPr="00085571">
        <w:rPr>
          <w:rFonts w:cstheme="minorHAnsi"/>
        </w:rPr>
        <w:t xml:space="preserve"> Medmindre højere straf er forskyldt efter anden lovgivning, straffes med bøde den, der</w:t>
      </w:r>
      <w:r w:rsidR="00524EB1" w:rsidRPr="00085571">
        <w:rPr>
          <w:rFonts w:cstheme="minorHAnsi"/>
        </w:rPr>
        <w:t xml:space="preserve"> </w:t>
      </w:r>
      <w:r w:rsidRPr="00085571">
        <w:rPr>
          <w:rFonts w:cstheme="minorHAnsi"/>
        </w:rPr>
        <w:t xml:space="preserve">tilsidesætter vilkår knyttet til en afgørelse efter § </w:t>
      </w:r>
      <w:r w:rsidR="006D5423">
        <w:rPr>
          <w:rFonts w:cstheme="minorHAnsi"/>
        </w:rPr>
        <w:t>5</w:t>
      </w:r>
      <w:r w:rsidRPr="00085571">
        <w:rPr>
          <w:rFonts w:cstheme="minorHAnsi"/>
        </w:rPr>
        <w:t xml:space="preserve">, stk. </w:t>
      </w:r>
      <w:r w:rsidR="00572A9A" w:rsidRPr="00085571">
        <w:rPr>
          <w:rFonts w:cstheme="minorHAnsi"/>
        </w:rPr>
        <w:t>1</w:t>
      </w:r>
      <w:r w:rsidR="007273DF">
        <w:rPr>
          <w:rFonts w:cstheme="minorHAnsi"/>
        </w:rPr>
        <w:t xml:space="preserve"> og 2</w:t>
      </w:r>
      <w:r w:rsidR="00572A9A" w:rsidRPr="00085571">
        <w:rPr>
          <w:rFonts w:cstheme="minorHAnsi"/>
        </w:rPr>
        <w:t>.</w:t>
      </w:r>
    </w:p>
    <w:p w14:paraId="41428DB9" w14:textId="7BBBC6FD" w:rsidR="00AA452D" w:rsidRPr="00085571" w:rsidRDefault="00AA452D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2.</w:t>
      </w:r>
      <w:r w:rsidRPr="00085571">
        <w:rPr>
          <w:rFonts w:cstheme="minorHAnsi"/>
        </w:rPr>
        <w:t xml:space="preserve"> Straffen kan stige til fængsel i indtil 2 år, hvis overtrædelsen er begået forsætligt eller ved grov uagtsomhed, og hvis der ved overtrædelsen er</w:t>
      </w:r>
      <w:r w:rsidR="006A7656" w:rsidRPr="00085571">
        <w:rPr>
          <w:rFonts w:cstheme="minorHAnsi"/>
        </w:rPr>
        <w:t>:</w:t>
      </w:r>
    </w:p>
    <w:p w14:paraId="3143D843" w14:textId="6D0C77EA" w:rsidR="00AA452D" w:rsidRPr="00085571" w:rsidRDefault="00AA452D" w:rsidP="00DD4896">
      <w:pPr>
        <w:pStyle w:val="Listeafsnit"/>
        <w:numPr>
          <w:ilvl w:val="0"/>
          <w:numId w:val="19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voldt skade på menneskers eller husdyrs liv eller sundhed eller fremkaldt fare derfor,</w:t>
      </w:r>
    </w:p>
    <w:p w14:paraId="12CC44F4" w14:textId="22FBC930" w:rsidR="00AA452D" w:rsidRPr="00085571" w:rsidRDefault="00AA452D" w:rsidP="00DD4896">
      <w:pPr>
        <w:pStyle w:val="Listeafsnit"/>
        <w:numPr>
          <w:ilvl w:val="0"/>
          <w:numId w:val="19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voldt skade på miljøet eller fremkaldt fare derfor eller</w:t>
      </w:r>
    </w:p>
    <w:p w14:paraId="417E0A79" w14:textId="7853F425" w:rsidR="00AA452D" w:rsidRPr="00085571" w:rsidRDefault="00AA452D" w:rsidP="00DD4896">
      <w:pPr>
        <w:pStyle w:val="Listeafsnit"/>
        <w:numPr>
          <w:ilvl w:val="0"/>
          <w:numId w:val="19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opnået eller tilsigtet en økonomisk fordel, herunder ved besparelser, for den pågældende selv eller andre.</w:t>
      </w:r>
    </w:p>
    <w:p w14:paraId="7FAFD9A3" w14:textId="5B1CBB0B" w:rsidR="00AA452D" w:rsidRPr="00085571" w:rsidRDefault="00AA452D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  <w:i/>
        </w:rPr>
        <w:t>Stk. 3.</w:t>
      </w:r>
      <w:r w:rsidRPr="00085571">
        <w:rPr>
          <w:rFonts w:cstheme="minorHAnsi"/>
        </w:rPr>
        <w:t xml:space="preserve"> Der kan pålægges selskaber m.v. (juridiske personer) strafansvar efter reglerne i straffelovens 5. kapitel.</w:t>
      </w:r>
    </w:p>
    <w:p w14:paraId="73AE6219" w14:textId="77777777" w:rsidR="00AA452D" w:rsidRPr="00085571" w:rsidRDefault="00AA452D" w:rsidP="00DD4896">
      <w:pPr>
        <w:spacing w:line="240" w:lineRule="auto"/>
        <w:rPr>
          <w:rFonts w:cstheme="minorHAnsi"/>
        </w:rPr>
      </w:pPr>
    </w:p>
    <w:p w14:paraId="2C8094F7" w14:textId="7068AFEC" w:rsidR="00EB643A" w:rsidRPr="00085571" w:rsidRDefault="00B80986" w:rsidP="00DD4896">
      <w:pPr>
        <w:pStyle w:val="Ingenafstand"/>
        <w:rPr>
          <w:rFonts w:cstheme="minorHAnsi"/>
        </w:rPr>
      </w:pPr>
      <w:r w:rsidRPr="00085571">
        <w:rPr>
          <w:rFonts w:cstheme="minorHAnsi"/>
          <w:b/>
        </w:rPr>
        <w:t xml:space="preserve">§ </w:t>
      </w:r>
      <w:r w:rsidR="00FE212F" w:rsidRPr="00085571">
        <w:rPr>
          <w:rFonts w:cstheme="minorHAnsi"/>
          <w:b/>
        </w:rPr>
        <w:t>1</w:t>
      </w:r>
      <w:r w:rsidR="007C0216" w:rsidRPr="00085571">
        <w:rPr>
          <w:rFonts w:cstheme="minorHAnsi"/>
          <w:b/>
        </w:rPr>
        <w:t>1</w:t>
      </w:r>
      <w:r w:rsidR="00EB643A" w:rsidRPr="00085571">
        <w:rPr>
          <w:rFonts w:cstheme="minorHAnsi"/>
          <w:b/>
        </w:rPr>
        <w:t>.</w:t>
      </w:r>
      <w:r w:rsidR="00EB643A" w:rsidRPr="00085571">
        <w:rPr>
          <w:rFonts w:cstheme="minorHAnsi"/>
        </w:rPr>
        <w:t xml:space="preserve"> Bekendtgørelsen træder i kraft den 1. juli 2022.</w:t>
      </w:r>
    </w:p>
    <w:p w14:paraId="5BDF8C5D" w14:textId="165A76A3" w:rsidR="00A8698A" w:rsidRPr="00085571" w:rsidRDefault="00A8698A" w:rsidP="00DD4896">
      <w:pPr>
        <w:spacing w:line="240" w:lineRule="auto"/>
        <w:rPr>
          <w:rFonts w:cstheme="minorHAnsi"/>
        </w:rPr>
      </w:pPr>
      <w:r w:rsidRPr="00085571">
        <w:rPr>
          <w:rFonts w:cstheme="minorHAnsi"/>
        </w:rPr>
        <w:br w:type="page"/>
      </w:r>
    </w:p>
    <w:p w14:paraId="45817795" w14:textId="765E4010" w:rsidR="007713CF" w:rsidRPr="00085571" w:rsidRDefault="00A8698A" w:rsidP="00B07988">
      <w:pPr>
        <w:spacing w:line="240" w:lineRule="auto"/>
        <w:jc w:val="right"/>
        <w:rPr>
          <w:rFonts w:cstheme="minorHAnsi"/>
          <w:b/>
          <w:sz w:val="28"/>
          <w:szCs w:val="28"/>
        </w:rPr>
      </w:pPr>
      <w:r w:rsidRPr="00085571">
        <w:rPr>
          <w:rFonts w:cstheme="minorHAnsi"/>
          <w:b/>
          <w:sz w:val="28"/>
          <w:szCs w:val="28"/>
        </w:rPr>
        <w:lastRenderedPageBreak/>
        <w:t>Bilag 1</w:t>
      </w:r>
      <w:r w:rsidR="00046405" w:rsidRPr="00085571">
        <w:rPr>
          <w:rFonts w:cstheme="minorHAnsi"/>
          <w:b/>
          <w:sz w:val="28"/>
          <w:szCs w:val="28"/>
        </w:rPr>
        <w:t xml:space="preserve"> </w:t>
      </w:r>
    </w:p>
    <w:p w14:paraId="02CE1943" w14:textId="18CCA0B3" w:rsidR="00DD4896" w:rsidRPr="00085571" w:rsidRDefault="00E947E5" w:rsidP="00B07988">
      <w:pPr>
        <w:pStyle w:val="Overskrift2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</w:t>
      </w:r>
      <w:r w:rsidR="00DD4896" w:rsidRPr="00085571">
        <w:rPr>
          <w:rFonts w:asciiTheme="minorHAnsi" w:hAnsiTheme="minorHAnsi" w:cstheme="minorHAnsi"/>
          <w:b/>
          <w:color w:val="auto"/>
        </w:rPr>
        <w:t>plysninger</w:t>
      </w:r>
      <w:r w:rsidR="00DB516D" w:rsidRPr="00085571">
        <w:rPr>
          <w:rFonts w:asciiTheme="minorHAnsi" w:hAnsiTheme="minorHAnsi" w:cstheme="minorHAnsi"/>
          <w:b/>
          <w:color w:val="auto"/>
        </w:rPr>
        <w:t xml:space="preserve">, </w:t>
      </w:r>
      <w:r>
        <w:rPr>
          <w:rFonts w:asciiTheme="minorHAnsi" w:hAnsiTheme="minorHAnsi" w:cstheme="minorHAnsi"/>
          <w:b/>
          <w:color w:val="auto"/>
        </w:rPr>
        <w:t xml:space="preserve">der skal følge en ansøgning om undtagelse, </w:t>
      </w:r>
      <w:r w:rsidR="00DB516D" w:rsidRPr="00085571">
        <w:rPr>
          <w:rFonts w:asciiTheme="minorHAnsi" w:hAnsiTheme="minorHAnsi" w:cstheme="minorHAnsi"/>
          <w:b/>
          <w:color w:val="auto"/>
        </w:rPr>
        <w:t>jf. § 3, stk. 1.</w:t>
      </w:r>
    </w:p>
    <w:p w14:paraId="252DA69B" w14:textId="77777777" w:rsidR="00DB516D" w:rsidRPr="00085571" w:rsidRDefault="00DB516D" w:rsidP="00B07988">
      <w:pPr>
        <w:rPr>
          <w:rFonts w:cstheme="minorHAnsi"/>
        </w:rPr>
      </w:pPr>
    </w:p>
    <w:p w14:paraId="432F2692" w14:textId="7D3DA24E" w:rsidR="00AB2765" w:rsidRPr="00085571" w:rsidRDefault="00E947E5" w:rsidP="00DD489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De </w:t>
      </w:r>
      <w:r w:rsidR="00AB2765" w:rsidRPr="00085571">
        <w:rPr>
          <w:rFonts w:cstheme="minorHAnsi"/>
        </w:rPr>
        <w:t>oplysninger</w:t>
      </w:r>
      <w:r w:rsidR="00B231AC">
        <w:rPr>
          <w:rFonts w:cstheme="minorHAnsi"/>
        </w:rPr>
        <w:t>,</w:t>
      </w:r>
      <w:r w:rsidR="00AB2765" w:rsidRPr="00085571">
        <w:rPr>
          <w:rFonts w:cstheme="minorHAnsi"/>
        </w:rPr>
        <w:t xml:space="preserve"> </w:t>
      </w:r>
      <w:r w:rsidR="00DD4896" w:rsidRPr="00085571">
        <w:rPr>
          <w:rFonts w:cstheme="minorHAnsi"/>
        </w:rPr>
        <w:t xml:space="preserve">som fremgår af dette bilags del </w:t>
      </w:r>
      <w:r w:rsidR="00CF3A7A" w:rsidRPr="00085571">
        <w:rPr>
          <w:rFonts w:cstheme="minorHAnsi"/>
        </w:rPr>
        <w:t>A</w:t>
      </w:r>
      <w:r w:rsidR="00DD4896" w:rsidRPr="00085571">
        <w:rPr>
          <w:rFonts w:cstheme="minorHAnsi"/>
        </w:rPr>
        <w:t xml:space="preserve"> og </w:t>
      </w:r>
      <w:r w:rsidR="00CF3A7A" w:rsidRPr="00085571">
        <w:rPr>
          <w:rFonts w:cstheme="minorHAnsi"/>
        </w:rPr>
        <w:t>B</w:t>
      </w:r>
      <w:r w:rsidR="00B231AC">
        <w:rPr>
          <w:rFonts w:cstheme="minorHAnsi"/>
        </w:rPr>
        <w:t>,</w:t>
      </w:r>
      <w:r w:rsidR="00DD4896" w:rsidRPr="00085571">
        <w:rPr>
          <w:rFonts w:cstheme="minorHAnsi"/>
        </w:rPr>
        <w:t xml:space="preserve"> </w:t>
      </w:r>
      <w:r w:rsidR="00AB2765" w:rsidRPr="00085571">
        <w:rPr>
          <w:rFonts w:cstheme="minorHAnsi"/>
        </w:rPr>
        <w:t>skal ledsage enhver ansøgning</w:t>
      </w:r>
      <w:r w:rsidR="00531EC5" w:rsidRPr="00085571">
        <w:rPr>
          <w:rFonts w:cstheme="minorHAnsi"/>
        </w:rPr>
        <w:t xml:space="preserve"> </w:t>
      </w:r>
      <w:r>
        <w:rPr>
          <w:rFonts w:cstheme="minorHAnsi"/>
        </w:rPr>
        <w:t xml:space="preserve">om undtagelse </w:t>
      </w:r>
      <w:r w:rsidR="00531EC5" w:rsidRPr="00085571">
        <w:rPr>
          <w:rFonts w:cstheme="minorHAnsi"/>
        </w:rPr>
        <w:t>efter § 3, stk. 1</w:t>
      </w:r>
      <w:r w:rsidR="00E9412D" w:rsidRPr="00085571">
        <w:rPr>
          <w:rFonts w:cstheme="minorHAnsi"/>
        </w:rPr>
        <w:t>.</w:t>
      </w:r>
    </w:p>
    <w:p w14:paraId="09DC55FF" w14:textId="77777777" w:rsidR="00AB2765" w:rsidRPr="00085571" w:rsidRDefault="00AB2765" w:rsidP="00DD4896">
      <w:pPr>
        <w:spacing w:line="240" w:lineRule="auto"/>
        <w:rPr>
          <w:rFonts w:cstheme="minorHAnsi"/>
          <w:u w:val="single"/>
        </w:rPr>
      </w:pPr>
    </w:p>
    <w:p w14:paraId="27860117" w14:textId="02E798C4" w:rsidR="00EB643A" w:rsidRPr="00085571" w:rsidRDefault="007713CF" w:rsidP="00DD4896">
      <w:pPr>
        <w:spacing w:line="240" w:lineRule="auto"/>
        <w:rPr>
          <w:rFonts w:cstheme="minorHAnsi"/>
          <w:b/>
          <w:u w:val="single"/>
        </w:rPr>
      </w:pPr>
      <w:r w:rsidRPr="00085571">
        <w:rPr>
          <w:rFonts w:cstheme="minorHAnsi"/>
          <w:b/>
          <w:u w:val="single"/>
        </w:rPr>
        <w:t xml:space="preserve">Del A: </w:t>
      </w:r>
      <w:r w:rsidR="00046405" w:rsidRPr="00085571">
        <w:rPr>
          <w:rFonts w:cstheme="minorHAnsi"/>
          <w:b/>
          <w:u w:val="single"/>
        </w:rPr>
        <w:t xml:space="preserve">Standardoplysninger </w:t>
      </w:r>
    </w:p>
    <w:p w14:paraId="474976D2" w14:textId="00F89A78" w:rsidR="00816B74" w:rsidRPr="00085571" w:rsidRDefault="00816B74" w:rsidP="00DD4896">
      <w:pPr>
        <w:pStyle w:val="Opstilling-punkttegn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085571">
        <w:rPr>
          <w:rFonts w:cstheme="minorHAnsi"/>
        </w:rPr>
        <w:t>Grundlæggende oplysninger om ansøgningen</w:t>
      </w:r>
      <w:r w:rsidR="0003724C" w:rsidRPr="00085571">
        <w:rPr>
          <w:rFonts w:cstheme="minorHAnsi"/>
        </w:rPr>
        <w:t>:</w:t>
      </w:r>
    </w:p>
    <w:p w14:paraId="4EE39F7C" w14:textId="78E22E35" w:rsidR="00816B74" w:rsidRPr="00085571" w:rsidRDefault="00816B74" w:rsidP="00DD4896">
      <w:pPr>
        <w:pStyle w:val="Listeafsni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085571">
        <w:rPr>
          <w:rFonts w:cstheme="minorHAnsi"/>
        </w:rPr>
        <w:t>Ansøgeres navn(e)</w:t>
      </w:r>
      <w:r w:rsidR="004D4F8D" w:rsidRPr="00085571">
        <w:rPr>
          <w:rFonts w:cstheme="minorHAnsi"/>
        </w:rPr>
        <w:t xml:space="preserve"> og kontaktoplysninger</w:t>
      </w:r>
      <w:r w:rsidRPr="00085571">
        <w:rPr>
          <w:rFonts w:cstheme="minorHAnsi"/>
        </w:rPr>
        <w:t xml:space="preserve">. </w:t>
      </w:r>
    </w:p>
    <w:p w14:paraId="0D6A3ABB" w14:textId="7F177DAE" w:rsidR="00816B74" w:rsidRPr="00085571" w:rsidRDefault="00816B74" w:rsidP="00DD4896">
      <w:pPr>
        <w:pStyle w:val="Listeafsnit"/>
        <w:numPr>
          <w:ilvl w:val="1"/>
          <w:numId w:val="24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Navn(e) og oplysninger på stoffet</w:t>
      </w:r>
      <w:r w:rsidR="00843E9D" w:rsidRPr="00085571">
        <w:rPr>
          <w:rFonts w:cstheme="minorHAnsi"/>
        </w:rPr>
        <w:t>s</w:t>
      </w:r>
      <w:r w:rsidRPr="00085571">
        <w:rPr>
          <w:rFonts w:cstheme="minorHAnsi"/>
        </w:rPr>
        <w:t xml:space="preserve">, blandingens eller artiklens modtager. </w:t>
      </w:r>
    </w:p>
    <w:p w14:paraId="3F5BD3E0" w14:textId="144044F1" w:rsidR="00816B74" w:rsidRPr="00085571" w:rsidRDefault="00C42C17" w:rsidP="00DD4896">
      <w:pPr>
        <w:pStyle w:val="Listeafsnit"/>
        <w:numPr>
          <w:ilvl w:val="1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Angivelse af </w:t>
      </w:r>
      <w:r w:rsidR="0003724C" w:rsidRPr="00085571">
        <w:rPr>
          <w:rFonts w:cstheme="minorHAnsi"/>
        </w:rPr>
        <w:t>ansøger</w:t>
      </w:r>
      <w:r w:rsidR="005B076D">
        <w:rPr>
          <w:rFonts w:cstheme="minorHAnsi"/>
        </w:rPr>
        <w:t>s</w:t>
      </w:r>
      <w:r w:rsidR="0003724C" w:rsidRPr="00085571">
        <w:rPr>
          <w:rFonts w:cstheme="minorHAnsi"/>
        </w:rPr>
        <w:t xml:space="preserve"> </w:t>
      </w:r>
      <w:r>
        <w:rPr>
          <w:rFonts w:cstheme="minorHAnsi"/>
        </w:rPr>
        <w:t>rolle</w:t>
      </w:r>
      <w:r w:rsidR="00487912">
        <w:rPr>
          <w:rFonts w:cstheme="minorHAnsi"/>
        </w:rPr>
        <w:t xml:space="preserve"> (ex. </w:t>
      </w:r>
      <w:r w:rsidR="00816B74" w:rsidRPr="00085571">
        <w:rPr>
          <w:rFonts w:cstheme="minorHAnsi"/>
        </w:rPr>
        <w:t xml:space="preserve">producent, importør, distributør, </w:t>
      </w:r>
      <w:proofErr w:type="spellStart"/>
      <w:r w:rsidR="006C1712" w:rsidRPr="00085571">
        <w:rPr>
          <w:rFonts w:cstheme="minorHAnsi"/>
        </w:rPr>
        <w:t>downstream</w:t>
      </w:r>
      <w:r w:rsidR="006C1712">
        <w:rPr>
          <w:rFonts w:cstheme="minorHAnsi"/>
        </w:rPr>
        <w:t>b</w:t>
      </w:r>
      <w:r w:rsidR="006C1712" w:rsidRPr="00085571">
        <w:rPr>
          <w:rFonts w:cstheme="minorHAnsi"/>
        </w:rPr>
        <w:t>ruger</w:t>
      </w:r>
      <w:proofErr w:type="spellEnd"/>
      <w:r w:rsidR="00816B74" w:rsidRPr="00085571">
        <w:rPr>
          <w:rFonts w:cstheme="minorHAnsi"/>
        </w:rPr>
        <w:t xml:space="preserve"> eller land (fremstilling, import eller distribution af stoffet)</w:t>
      </w:r>
      <w:r w:rsidR="00487912">
        <w:rPr>
          <w:rFonts w:cstheme="minorHAnsi"/>
        </w:rPr>
        <w:t>)</w:t>
      </w:r>
      <w:r w:rsidR="0003724C" w:rsidRPr="00085571">
        <w:rPr>
          <w:rFonts w:cstheme="minorHAnsi"/>
        </w:rPr>
        <w:t>.</w:t>
      </w:r>
    </w:p>
    <w:p w14:paraId="316E1908" w14:textId="5D438F94" w:rsidR="00DD4896" w:rsidRPr="00085571" w:rsidRDefault="00DD4896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Henvisning til bestemmelser i REACH-forordningen</w:t>
      </w:r>
      <w:r w:rsidR="001F13C2" w:rsidRPr="00085571">
        <w:rPr>
          <w:rFonts w:cstheme="minorHAnsi"/>
        </w:rPr>
        <w:t xml:space="preserve"> </w:t>
      </w:r>
      <w:r w:rsidR="007D304F" w:rsidRPr="00085571">
        <w:rPr>
          <w:rFonts w:cstheme="minorHAnsi"/>
        </w:rPr>
        <w:t>eller CLP-forordningen</w:t>
      </w:r>
      <w:r w:rsidRPr="00085571">
        <w:rPr>
          <w:rFonts w:cstheme="minorHAnsi"/>
        </w:rPr>
        <w:t xml:space="preserve"> for hvilket der ansøges om undtagel</w:t>
      </w:r>
      <w:r w:rsidR="00165D61">
        <w:rPr>
          <w:rFonts w:cstheme="minorHAnsi"/>
        </w:rPr>
        <w:t>s</w:t>
      </w:r>
      <w:r w:rsidRPr="00085571">
        <w:rPr>
          <w:rFonts w:cstheme="minorHAnsi"/>
        </w:rPr>
        <w:t>e</w:t>
      </w:r>
      <w:r w:rsidR="005B076D">
        <w:rPr>
          <w:rFonts w:cstheme="minorHAnsi"/>
        </w:rPr>
        <w:t>(r)</w:t>
      </w:r>
      <w:r w:rsidRPr="00085571">
        <w:rPr>
          <w:rFonts w:cstheme="minorHAnsi"/>
        </w:rPr>
        <w:t xml:space="preserve"> fra.</w:t>
      </w:r>
    </w:p>
    <w:p w14:paraId="40DC1E34" w14:textId="20E4F7A3" w:rsidR="00816B74" w:rsidRPr="00085571" w:rsidRDefault="00816B74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Det eller de steder, hvor stoffet</w:t>
      </w:r>
      <w:r w:rsidR="0003724C" w:rsidRPr="00085571">
        <w:rPr>
          <w:rFonts w:cstheme="minorHAnsi"/>
        </w:rPr>
        <w:t xml:space="preserve">, blandingen eller </w:t>
      </w:r>
      <w:r w:rsidR="009270C9" w:rsidRPr="00085571">
        <w:rPr>
          <w:rFonts w:cstheme="minorHAnsi"/>
        </w:rPr>
        <w:t>artiklen</w:t>
      </w:r>
      <w:r w:rsidRPr="00085571">
        <w:rPr>
          <w:rFonts w:cstheme="minorHAnsi"/>
        </w:rPr>
        <w:t xml:space="preserve"> anvendes</w:t>
      </w:r>
      <w:r w:rsidR="0003724C" w:rsidRPr="00085571">
        <w:rPr>
          <w:rFonts w:cstheme="minorHAnsi"/>
        </w:rPr>
        <w:t>, hvis dette vides.</w:t>
      </w:r>
    </w:p>
    <w:p w14:paraId="521CA390" w14:textId="77777777" w:rsidR="00816B74" w:rsidRPr="00085571" w:rsidRDefault="00816B74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Oplysninger om stoffet, herunder:</w:t>
      </w:r>
    </w:p>
    <w:p w14:paraId="2FBBAF1E" w14:textId="464B60BA" w:rsidR="00816B74" w:rsidRPr="00085571" w:rsidRDefault="00816B74" w:rsidP="00DD4896">
      <w:pPr>
        <w:pStyle w:val="Opstilling-punkttegn"/>
        <w:numPr>
          <w:ilvl w:val="1"/>
          <w:numId w:val="25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Kemisk navn og identifikation</w:t>
      </w:r>
      <w:r w:rsidR="00430ACA" w:rsidRPr="00085571">
        <w:rPr>
          <w:rFonts w:cstheme="minorHAnsi"/>
        </w:rPr>
        <w:t xml:space="preserve"> (hvis sådanne foreligger)</w:t>
      </w:r>
    </w:p>
    <w:p w14:paraId="4E39E9A4" w14:textId="77777777" w:rsidR="00816B74" w:rsidRPr="00085571" w:rsidRDefault="00816B74" w:rsidP="00DD4896">
      <w:pPr>
        <w:pStyle w:val="Opstilling-punkttegn"/>
        <w:numPr>
          <w:ilvl w:val="1"/>
          <w:numId w:val="25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CAS-numre/navne (hvis sådanne foreligger)</w:t>
      </w:r>
    </w:p>
    <w:p w14:paraId="1EC506F5" w14:textId="77777777" w:rsidR="00816B74" w:rsidRPr="00085571" w:rsidRDefault="00816B74" w:rsidP="00DD4896">
      <w:pPr>
        <w:pStyle w:val="Opstilling-punkttegn"/>
        <w:numPr>
          <w:ilvl w:val="1"/>
          <w:numId w:val="25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>EC/EINECS-numre/navne (hvis sådanne foreligger)</w:t>
      </w:r>
    </w:p>
    <w:p w14:paraId="07A89855" w14:textId="056D3B72" w:rsidR="00816B74" w:rsidRPr="00085571" w:rsidRDefault="00816B74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85571">
        <w:rPr>
          <w:rFonts w:cstheme="minorHAnsi"/>
        </w:rPr>
        <w:t xml:space="preserve">Stoffets klassificering og mærkning i overensstemmelse med </w:t>
      </w:r>
      <w:r w:rsidR="00531EC5" w:rsidRPr="00085571">
        <w:rPr>
          <w:rFonts w:cstheme="minorHAnsi"/>
        </w:rPr>
        <w:t>CLP-forordningen</w:t>
      </w:r>
      <w:r w:rsidRPr="00085571">
        <w:rPr>
          <w:rFonts w:cstheme="minorHAnsi"/>
        </w:rPr>
        <w:t>.</w:t>
      </w:r>
    </w:p>
    <w:p w14:paraId="69E8B89D" w14:textId="6F6F36DB" w:rsidR="00816B74" w:rsidRPr="000C76A1" w:rsidRDefault="00816B74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C76A1">
        <w:rPr>
          <w:rFonts w:cstheme="minorHAnsi"/>
        </w:rPr>
        <w:t>Beskrivelse af den anvendelse, som der ansøges om undtagelse for</w:t>
      </w:r>
      <w:r w:rsidR="00430ACA" w:rsidRPr="000C76A1">
        <w:rPr>
          <w:rFonts w:cstheme="minorHAnsi"/>
        </w:rPr>
        <w:t xml:space="preserve"> og nødvendige </w:t>
      </w:r>
      <w:r w:rsidR="00AB2765" w:rsidRPr="000C76A1">
        <w:rPr>
          <w:rFonts w:cstheme="minorHAnsi"/>
        </w:rPr>
        <w:t>mængder</w:t>
      </w:r>
      <w:r w:rsidR="00430ACA" w:rsidRPr="000C76A1">
        <w:rPr>
          <w:rFonts w:cstheme="minorHAnsi"/>
        </w:rPr>
        <w:t>.</w:t>
      </w:r>
    </w:p>
    <w:p w14:paraId="1E60AD99" w14:textId="40887BC7" w:rsidR="00816B74" w:rsidRPr="000C76A1" w:rsidRDefault="002250D1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C76A1">
        <w:rPr>
          <w:rFonts w:cstheme="minorHAnsi"/>
        </w:rPr>
        <w:t>Ikke-</w:t>
      </w:r>
      <w:r w:rsidR="00816B74" w:rsidRPr="000C76A1">
        <w:rPr>
          <w:rFonts w:cstheme="minorHAnsi"/>
        </w:rPr>
        <w:t xml:space="preserve">klassificeret resumé af </w:t>
      </w:r>
      <w:r w:rsidR="000772B2" w:rsidRPr="000C76A1">
        <w:rPr>
          <w:rFonts w:cstheme="minorHAnsi"/>
        </w:rPr>
        <w:t xml:space="preserve">interesser vedrørende </w:t>
      </w:r>
      <w:r w:rsidR="00816B74" w:rsidRPr="000C76A1">
        <w:rPr>
          <w:rFonts w:cstheme="minorHAnsi"/>
        </w:rPr>
        <w:t>forsvars</w:t>
      </w:r>
      <w:r w:rsidR="000772B2" w:rsidRPr="000C76A1">
        <w:rPr>
          <w:rFonts w:cstheme="minorHAnsi"/>
        </w:rPr>
        <w:t xml:space="preserve"> formål eller den nationale sikkerhed</w:t>
      </w:r>
      <w:r w:rsidR="00EC69A6" w:rsidRPr="000C76A1">
        <w:rPr>
          <w:rFonts w:cstheme="minorHAnsi"/>
        </w:rPr>
        <w:t>.</w:t>
      </w:r>
    </w:p>
    <w:p w14:paraId="7DF09960" w14:textId="592D008A" w:rsidR="00816B74" w:rsidRPr="000C76A1" w:rsidRDefault="0003724C" w:rsidP="00DD4896">
      <w:pPr>
        <w:pStyle w:val="Opstilling-punkttegn"/>
        <w:numPr>
          <w:ilvl w:val="0"/>
          <w:numId w:val="23"/>
        </w:numPr>
        <w:spacing w:line="240" w:lineRule="auto"/>
        <w:rPr>
          <w:rFonts w:cstheme="minorHAnsi"/>
        </w:rPr>
      </w:pPr>
      <w:r w:rsidRPr="000C76A1">
        <w:rPr>
          <w:rFonts w:cstheme="minorHAnsi"/>
        </w:rPr>
        <w:t xml:space="preserve">Oplysninger om </w:t>
      </w:r>
      <w:r w:rsidR="00816B74" w:rsidRPr="000C76A1">
        <w:rPr>
          <w:rFonts w:cstheme="minorHAnsi"/>
        </w:rPr>
        <w:t>nødvendig startdato og forventet slutdato</w:t>
      </w:r>
      <w:r w:rsidRPr="000C76A1">
        <w:rPr>
          <w:rFonts w:cstheme="minorHAnsi"/>
        </w:rPr>
        <w:t xml:space="preserve"> for anvendelsen af undtagelsen</w:t>
      </w:r>
      <w:r w:rsidR="00E43A6F" w:rsidRPr="000C76A1">
        <w:rPr>
          <w:rFonts w:cstheme="minorHAnsi"/>
        </w:rPr>
        <w:t>,</w:t>
      </w:r>
      <w:r w:rsidRPr="000C76A1">
        <w:rPr>
          <w:rFonts w:cstheme="minorHAnsi"/>
        </w:rPr>
        <w:t xml:space="preserve"> der ansøges om</w:t>
      </w:r>
      <w:r w:rsidR="00816B74" w:rsidRPr="000C76A1">
        <w:rPr>
          <w:rFonts w:cstheme="minorHAnsi"/>
        </w:rPr>
        <w:t>.</w:t>
      </w:r>
    </w:p>
    <w:p w14:paraId="6C2A58AF" w14:textId="77777777" w:rsidR="00E719E2" w:rsidRPr="00085571" w:rsidRDefault="00E719E2" w:rsidP="00DD4896">
      <w:pPr>
        <w:spacing w:line="240" w:lineRule="auto"/>
        <w:rPr>
          <w:rFonts w:cstheme="minorHAnsi"/>
        </w:rPr>
      </w:pPr>
      <w:bookmarkStart w:id="0" w:name="bookmark5"/>
    </w:p>
    <w:p w14:paraId="37CF57BB" w14:textId="5B314A4E" w:rsidR="00E719E2" w:rsidRPr="00085571" w:rsidRDefault="007713CF" w:rsidP="00DD4896">
      <w:pPr>
        <w:spacing w:line="240" w:lineRule="auto"/>
        <w:rPr>
          <w:rFonts w:cstheme="minorHAnsi"/>
          <w:b/>
          <w:u w:val="single"/>
        </w:rPr>
      </w:pPr>
      <w:r w:rsidRPr="00085571">
        <w:rPr>
          <w:rFonts w:cstheme="minorHAnsi"/>
          <w:b/>
          <w:u w:val="single"/>
        </w:rPr>
        <w:t xml:space="preserve">Del B: </w:t>
      </w:r>
      <w:r w:rsidR="00E719E2" w:rsidRPr="00085571">
        <w:rPr>
          <w:rFonts w:cstheme="minorHAnsi"/>
          <w:b/>
          <w:u w:val="single"/>
        </w:rPr>
        <w:t xml:space="preserve">Begrundelse for </w:t>
      </w:r>
      <w:bookmarkEnd w:id="0"/>
      <w:r w:rsidR="00A1141D" w:rsidRPr="00085571">
        <w:rPr>
          <w:rFonts w:cstheme="minorHAnsi"/>
          <w:b/>
          <w:u w:val="single"/>
        </w:rPr>
        <w:t>forsvarsundtagelse</w:t>
      </w:r>
    </w:p>
    <w:p w14:paraId="28656844" w14:textId="4F015B6E" w:rsidR="00E719E2" w:rsidRPr="00085571" w:rsidRDefault="00621DDE" w:rsidP="00DD4896">
      <w:pPr>
        <w:pStyle w:val="Bodytext20"/>
        <w:shd w:val="clear" w:color="auto" w:fill="auto"/>
        <w:spacing w:after="220" w:line="240" w:lineRule="auto"/>
        <w:ind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Ansøgning </w:t>
      </w:r>
      <w:r w:rsidR="00EC69A6" w:rsidRPr="00085571">
        <w:rPr>
          <w:rFonts w:asciiTheme="minorHAnsi" w:hAnsiTheme="minorHAnsi" w:cstheme="minorHAnsi"/>
        </w:rPr>
        <w:t>skal</w:t>
      </w:r>
      <w:r w:rsidR="00D273A9" w:rsidRPr="00085571">
        <w:rPr>
          <w:rFonts w:asciiTheme="minorHAnsi" w:hAnsiTheme="minorHAnsi" w:cstheme="minorHAnsi"/>
        </w:rPr>
        <w:t xml:space="preserve"> </w:t>
      </w:r>
      <w:r w:rsidR="00E719E2" w:rsidRPr="00085571">
        <w:rPr>
          <w:rFonts w:asciiTheme="minorHAnsi" w:hAnsiTheme="minorHAnsi" w:cstheme="minorHAnsi"/>
        </w:rPr>
        <w:t xml:space="preserve">indeholde oplysninger om </w:t>
      </w:r>
      <w:r w:rsidR="000772B2">
        <w:rPr>
          <w:rFonts w:asciiTheme="minorHAnsi" w:hAnsiTheme="minorHAnsi" w:cstheme="minorHAnsi"/>
        </w:rPr>
        <w:t xml:space="preserve">interesserne vedrørende </w:t>
      </w:r>
      <w:r w:rsidR="00E719E2" w:rsidRPr="00085571">
        <w:rPr>
          <w:rFonts w:asciiTheme="minorHAnsi" w:hAnsiTheme="minorHAnsi" w:cstheme="minorHAnsi"/>
        </w:rPr>
        <w:t>forsvars</w:t>
      </w:r>
      <w:r w:rsidR="000772B2">
        <w:rPr>
          <w:rFonts w:asciiTheme="minorHAnsi" w:hAnsiTheme="minorHAnsi" w:cstheme="minorHAnsi"/>
        </w:rPr>
        <w:t xml:space="preserve"> formål eller den nationale sikkerhed</w:t>
      </w:r>
      <w:r w:rsidR="00E719E2" w:rsidRPr="00085571">
        <w:rPr>
          <w:rFonts w:asciiTheme="minorHAnsi" w:hAnsiTheme="minorHAnsi" w:cstheme="minorHAnsi"/>
        </w:rPr>
        <w:t xml:space="preserve"> og begrunde, hvorfor de</w:t>
      </w:r>
      <w:r w:rsidR="00A1141D" w:rsidRPr="00085571">
        <w:rPr>
          <w:rFonts w:asciiTheme="minorHAnsi" w:hAnsiTheme="minorHAnsi" w:cstheme="minorHAnsi"/>
        </w:rPr>
        <w:t>r er behov for en undtagelse for</w:t>
      </w:r>
      <w:r w:rsidR="00E719E2" w:rsidRPr="00085571">
        <w:rPr>
          <w:rFonts w:asciiTheme="minorHAnsi" w:hAnsiTheme="minorHAnsi" w:cstheme="minorHAnsi"/>
        </w:rPr>
        <w:t xml:space="preserve"> forsvaret. </w:t>
      </w:r>
      <w:r w:rsidR="00EC69A6" w:rsidRPr="00085571">
        <w:rPr>
          <w:rFonts w:asciiTheme="minorHAnsi" w:hAnsiTheme="minorHAnsi" w:cstheme="minorHAnsi"/>
        </w:rPr>
        <w:t>D</w:t>
      </w:r>
      <w:r w:rsidR="00E719E2" w:rsidRPr="00085571">
        <w:rPr>
          <w:rFonts w:asciiTheme="minorHAnsi" w:hAnsiTheme="minorHAnsi" w:cstheme="minorHAnsi"/>
        </w:rPr>
        <w:t xml:space="preserve">er </w:t>
      </w:r>
      <w:r w:rsidR="00EC69A6" w:rsidRPr="00085571">
        <w:rPr>
          <w:rFonts w:asciiTheme="minorHAnsi" w:hAnsiTheme="minorHAnsi" w:cstheme="minorHAnsi"/>
        </w:rPr>
        <w:t xml:space="preserve">skal som minimum </w:t>
      </w:r>
      <w:r w:rsidR="00E719E2" w:rsidRPr="00085571">
        <w:rPr>
          <w:rFonts w:asciiTheme="minorHAnsi" w:hAnsiTheme="minorHAnsi" w:cstheme="minorHAnsi"/>
        </w:rPr>
        <w:t>gives følgende oplysninger:</w:t>
      </w:r>
    </w:p>
    <w:p w14:paraId="555DCF8B" w14:textId="1C76FCF0" w:rsidR="00E719E2" w:rsidRPr="00085571" w:rsidRDefault="00EE2C5D" w:rsidP="00DD4896">
      <w:pPr>
        <w:pStyle w:val="Bodytext20"/>
        <w:numPr>
          <w:ilvl w:val="0"/>
          <w:numId w:val="26"/>
        </w:numPr>
        <w:shd w:val="clear" w:color="auto" w:fill="auto"/>
        <w:tabs>
          <w:tab w:val="left" w:pos="633"/>
        </w:tabs>
        <w:spacing w:after="220" w:line="240" w:lineRule="auto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>Detaljeret begrundelse for</w:t>
      </w:r>
      <w:r w:rsidR="00A769EC" w:rsidRPr="00085571">
        <w:rPr>
          <w:rFonts w:asciiTheme="minorHAnsi" w:hAnsiTheme="minorHAnsi" w:cstheme="minorHAnsi"/>
        </w:rPr>
        <w:t>,</w:t>
      </w:r>
      <w:r w:rsidRPr="00085571">
        <w:rPr>
          <w:rFonts w:asciiTheme="minorHAnsi" w:hAnsiTheme="minorHAnsi" w:cstheme="minorHAnsi"/>
        </w:rPr>
        <w:t xml:space="preserve"> at en </w:t>
      </w:r>
      <w:r w:rsidR="00E719E2" w:rsidRPr="00085571">
        <w:rPr>
          <w:rFonts w:asciiTheme="minorHAnsi" w:hAnsiTheme="minorHAnsi" w:cstheme="minorHAnsi"/>
        </w:rPr>
        <w:t>undtagelse fra REACH</w:t>
      </w:r>
      <w:r w:rsidR="00531EC5" w:rsidRPr="00085571">
        <w:rPr>
          <w:rFonts w:asciiTheme="minorHAnsi" w:hAnsiTheme="minorHAnsi" w:cstheme="minorHAnsi"/>
        </w:rPr>
        <w:t>-forordningen</w:t>
      </w:r>
      <w:r w:rsidR="00E719E2" w:rsidRPr="00085571">
        <w:rPr>
          <w:rFonts w:asciiTheme="minorHAnsi" w:hAnsiTheme="minorHAnsi" w:cstheme="minorHAnsi"/>
        </w:rPr>
        <w:t xml:space="preserve"> </w:t>
      </w:r>
      <w:r w:rsidR="007D304F" w:rsidRPr="00085571">
        <w:rPr>
          <w:rFonts w:asciiTheme="minorHAnsi" w:hAnsiTheme="minorHAnsi" w:cstheme="minorHAnsi"/>
        </w:rPr>
        <w:t xml:space="preserve">eller CLP-forordningen </w:t>
      </w:r>
      <w:r w:rsidR="006A7656" w:rsidRPr="00085571">
        <w:rPr>
          <w:rFonts w:asciiTheme="minorHAnsi" w:hAnsiTheme="minorHAnsi" w:cstheme="minorHAnsi"/>
        </w:rPr>
        <w:t xml:space="preserve">er </w:t>
      </w:r>
      <w:r w:rsidR="00E719E2" w:rsidRPr="00085571">
        <w:rPr>
          <w:rFonts w:asciiTheme="minorHAnsi" w:hAnsiTheme="minorHAnsi" w:cstheme="minorHAnsi"/>
        </w:rPr>
        <w:t>nødvendig</w:t>
      </w:r>
      <w:r w:rsidRPr="00085571">
        <w:rPr>
          <w:rFonts w:asciiTheme="minorHAnsi" w:hAnsiTheme="minorHAnsi" w:cstheme="minorHAnsi"/>
        </w:rPr>
        <w:t>, herunder</w:t>
      </w:r>
      <w:r w:rsidR="00E719E2" w:rsidRPr="00085571">
        <w:rPr>
          <w:rFonts w:asciiTheme="minorHAnsi" w:hAnsiTheme="minorHAnsi" w:cstheme="minorHAnsi"/>
        </w:rPr>
        <w:t>:</w:t>
      </w:r>
    </w:p>
    <w:p w14:paraId="0AEFF558" w14:textId="021D7883" w:rsidR="00E719E2" w:rsidRPr="00085571" w:rsidRDefault="00E719E2" w:rsidP="00DD4896">
      <w:pPr>
        <w:pStyle w:val="Bodytext20"/>
        <w:numPr>
          <w:ilvl w:val="1"/>
          <w:numId w:val="27"/>
        </w:numPr>
        <w:shd w:val="clear" w:color="auto" w:fill="auto"/>
        <w:tabs>
          <w:tab w:val="left" w:pos="1209"/>
        </w:tabs>
        <w:spacing w:after="220" w:line="240" w:lineRule="auto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>Detaljeret redegørelse for</w:t>
      </w:r>
      <w:r w:rsidR="000772B2">
        <w:rPr>
          <w:rFonts w:asciiTheme="minorHAnsi" w:hAnsiTheme="minorHAnsi" w:cstheme="minorHAnsi"/>
        </w:rPr>
        <w:t xml:space="preserve"> interesser vedrørende</w:t>
      </w:r>
      <w:r w:rsidRPr="00085571">
        <w:rPr>
          <w:rFonts w:asciiTheme="minorHAnsi" w:hAnsiTheme="minorHAnsi" w:cstheme="minorHAnsi"/>
        </w:rPr>
        <w:t xml:space="preserve"> forsvars</w:t>
      </w:r>
      <w:r w:rsidR="000772B2">
        <w:rPr>
          <w:rFonts w:asciiTheme="minorHAnsi" w:hAnsiTheme="minorHAnsi" w:cstheme="minorHAnsi"/>
        </w:rPr>
        <w:t xml:space="preserve"> formål eller den nationale sikkerhed</w:t>
      </w:r>
      <w:r w:rsidRPr="00085571">
        <w:rPr>
          <w:rFonts w:asciiTheme="minorHAnsi" w:hAnsiTheme="minorHAnsi" w:cstheme="minorHAnsi"/>
        </w:rPr>
        <w:t>, anvendelse i hele forsyningskæden og begrundelse for undtagelsesanmodning</w:t>
      </w:r>
    </w:p>
    <w:p w14:paraId="32A3EF63" w14:textId="6C0E4C83" w:rsidR="00E719E2" w:rsidRPr="00085571" w:rsidRDefault="00E719E2" w:rsidP="00DD4896">
      <w:pPr>
        <w:pStyle w:val="Bodytext20"/>
        <w:numPr>
          <w:ilvl w:val="1"/>
          <w:numId w:val="27"/>
        </w:numPr>
        <w:shd w:val="clear" w:color="auto" w:fill="auto"/>
        <w:tabs>
          <w:tab w:val="left" w:pos="1209"/>
        </w:tabs>
        <w:spacing w:after="224" w:line="240" w:lineRule="auto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Sammenfatning af risici og </w:t>
      </w:r>
      <w:r w:rsidR="006A7656" w:rsidRPr="00085571">
        <w:rPr>
          <w:rFonts w:asciiTheme="minorHAnsi" w:hAnsiTheme="minorHAnsi" w:cstheme="minorHAnsi"/>
        </w:rPr>
        <w:t xml:space="preserve">behov </w:t>
      </w:r>
      <w:r w:rsidRPr="00085571">
        <w:rPr>
          <w:rFonts w:asciiTheme="minorHAnsi" w:hAnsiTheme="minorHAnsi" w:cstheme="minorHAnsi"/>
        </w:rPr>
        <w:t xml:space="preserve">for forsvarskapaciteten, herunder </w:t>
      </w:r>
      <w:proofErr w:type="spellStart"/>
      <w:r w:rsidRPr="00085571">
        <w:rPr>
          <w:rFonts w:asciiTheme="minorHAnsi" w:hAnsiTheme="minorHAnsi" w:cstheme="minorHAnsi"/>
        </w:rPr>
        <w:t>præstationskritikalitet</w:t>
      </w:r>
      <w:proofErr w:type="spellEnd"/>
      <w:r w:rsidRPr="00085571">
        <w:rPr>
          <w:rFonts w:asciiTheme="minorHAnsi" w:hAnsiTheme="minorHAnsi" w:cstheme="minorHAnsi"/>
          <w:b/>
        </w:rPr>
        <w:t>.</w:t>
      </w:r>
    </w:p>
    <w:p w14:paraId="2761786C" w14:textId="3FA4DC22" w:rsidR="00E719E2" w:rsidRPr="00085571" w:rsidRDefault="00E719E2" w:rsidP="00DD4896">
      <w:pPr>
        <w:pStyle w:val="Bodytext20"/>
        <w:numPr>
          <w:ilvl w:val="0"/>
          <w:numId w:val="26"/>
        </w:numPr>
        <w:shd w:val="clear" w:color="auto" w:fill="auto"/>
        <w:tabs>
          <w:tab w:val="left" w:pos="633"/>
        </w:tabs>
        <w:spacing w:after="220" w:line="240" w:lineRule="auto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Analyse af eventuelle alternativer: Hvis stoffet forårsager en </w:t>
      </w:r>
      <w:r w:rsidR="00CB173E">
        <w:rPr>
          <w:rFonts w:asciiTheme="minorHAnsi" w:hAnsiTheme="minorHAnsi" w:cstheme="minorHAnsi"/>
        </w:rPr>
        <w:t>”</w:t>
      </w:r>
      <w:r w:rsidRPr="00085571">
        <w:rPr>
          <w:rFonts w:asciiTheme="minorHAnsi" w:hAnsiTheme="minorHAnsi" w:cstheme="minorHAnsi"/>
        </w:rPr>
        <w:t>høj risiko</w:t>
      </w:r>
      <w:r w:rsidR="00CB173E">
        <w:rPr>
          <w:rFonts w:asciiTheme="minorHAnsi" w:hAnsiTheme="minorHAnsi" w:cstheme="minorHAnsi"/>
        </w:rPr>
        <w:t>”</w:t>
      </w:r>
      <w:r w:rsidR="00EE2C5D" w:rsidRPr="00085571">
        <w:rPr>
          <w:rFonts w:asciiTheme="minorHAnsi" w:hAnsiTheme="minorHAnsi" w:cstheme="minorHAnsi"/>
        </w:rPr>
        <w:t>, jf.</w:t>
      </w:r>
      <w:r w:rsidRPr="00085571">
        <w:rPr>
          <w:rFonts w:asciiTheme="minorHAnsi" w:hAnsiTheme="minorHAnsi" w:cstheme="minorHAnsi"/>
        </w:rPr>
        <w:t xml:space="preserve"> bilag 2, </w:t>
      </w:r>
      <w:r w:rsidR="00CD25B7">
        <w:rPr>
          <w:rFonts w:asciiTheme="minorHAnsi" w:hAnsiTheme="minorHAnsi" w:cstheme="minorHAnsi"/>
        </w:rPr>
        <w:t>skal</w:t>
      </w:r>
      <w:r w:rsidR="00CD25B7" w:rsidRPr="00085571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>forsvarsundtagelsesbegrundelsen indeholde oplysninger om eventuelle alternativer og forklaring på, hvorfor alternativerne ikke er hensigtsmæssige eller tilgængelige på nuværende tidspunkt;</w:t>
      </w:r>
    </w:p>
    <w:p w14:paraId="61557F6E" w14:textId="7056569E" w:rsidR="00E719E2" w:rsidRPr="00085571" w:rsidRDefault="00946C86" w:rsidP="00DD4896">
      <w:pPr>
        <w:pStyle w:val="Bodytext20"/>
        <w:numPr>
          <w:ilvl w:val="0"/>
          <w:numId w:val="26"/>
        </w:numPr>
        <w:shd w:val="clear" w:color="auto" w:fill="auto"/>
        <w:tabs>
          <w:tab w:val="left" w:pos="633"/>
        </w:tabs>
        <w:spacing w:after="2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719E2" w:rsidRPr="00085571">
        <w:rPr>
          <w:rFonts w:asciiTheme="minorHAnsi" w:hAnsiTheme="minorHAnsi" w:cstheme="minorHAnsi"/>
        </w:rPr>
        <w:t xml:space="preserve">ubstitutionsplan for egnede alternativer: I tilfælde af, at stoffet medfører en </w:t>
      </w:r>
      <w:r w:rsidR="00CB173E">
        <w:rPr>
          <w:rFonts w:asciiTheme="minorHAnsi" w:hAnsiTheme="minorHAnsi" w:cstheme="minorHAnsi"/>
        </w:rPr>
        <w:t>”</w:t>
      </w:r>
      <w:r w:rsidR="00E719E2" w:rsidRPr="00085571">
        <w:rPr>
          <w:rFonts w:asciiTheme="minorHAnsi" w:hAnsiTheme="minorHAnsi" w:cstheme="minorHAnsi"/>
        </w:rPr>
        <w:t>høj risiko</w:t>
      </w:r>
      <w:r w:rsidR="00CB173E">
        <w:rPr>
          <w:rFonts w:asciiTheme="minorHAnsi" w:hAnsiTheme="minorHAnsi" w:cstheme="minorHAnsi"/>
        </w:rPr>
        <w:t>”</w:t>
      </w:r>
      <w:r w:rsidR="00EE2C5D" w:rsidRPr="00085571">
        <w:rPr>
          <w:rFonts w:asciiTheme="minorHAnsi" w:hAnsiTheme="minorHAnsi" w:cstheme="minorHAnsi"/>
        </w:rPr>
        <w:t xml:space="preserve">, jf. </w:t>
      </w:r>
      <w:r w:rsidR="00E719E2" w:rsidRPr="00085571">
        <w:rPr>
          <w:rFonts w:asciiTheme="minorHAnsi" w:hAnsiTheme="minorHAnsi" w:cstheme="minorHAnsi"/>
        </w:rPr>
        <w:t xml:space="preserve">bilag 2, </w:t>
      </w:r>
      <w:r w:rsidR="004705F8">
        <w:rPr>
          <w:rFonts w:asciiTheme="minorHAnsi" w:hAnsiTheme="minorHAnsi" w:cstheme="minorHAnsi"/>
        </w:rPr>
        <w:t xml:space="preserve">og hvor der findes </w:t>
      </w:r>
      <w:r w:rsidR="004705F8" w:rsidRPr="00085571">
        <w:rPr>
          <w:rFonts w:asciiTheme="minorHAnsi" w:hAnsiTheme="minorHAnsi" w:cstheme="minorHAnsi"/>
        </w:rPr>
        <w:t>egnede alternativer</w:t>
      </w:r>
      <w:r w:rsidR="004705F8">
        <w:rPr>
          <w:rFonts w:asciiTheme="minorHAnsi" w:hAnsiTheme="minorHAnsi" w:cstheme="minorHAnsi"/>
        </w:rPr>
        <w:t xml:space="preserve"> ti</w:t>
      </w:r>
      <w:r w:rsidR="00B60521">
        <w:rPr>
          <w:rFonts w:asciiTheme="minorHAnsi" w:hAnsiTheme="minorHAnsi" w:cstheme="minorHAnsi"/>
        </w:rPr>
        <w:t>l</w:t>
      </w:r>
      <w:r w:rsidR="004705F8">
        <w:rPr>
          <w:rFonts w:asciiTheme="minorHAnsi" w:hAnsiTheme="minorHAnsi" w:cstheme="minorHAnsi"/>
        </w:rPr>
        <w:t xml:space="preserve"> anvendelsen, </w:t>
      </w:r>
      <w:r w:rsidR="00CD25B7">
        <w:rPr>
          <w:rFonts w:asciiTheme="minorHAnsi" w:hAnsiTheme="minorHAnsi" w:cstheme="minorHAnsi"/>
        </w:rPr>
        <w:t xml:space="preserve">skal </w:t>
      </w:r>
      <w:r w:rsidR="001A545E" w:rsidRPr="00085571">
        <w:rPr>
          <w:rFonts w:asciiTheme="minorHAnsi" w:hAnsiTheme="minorHAnsi" w:cstheme="minorHAnsi"/>
        </w:rPr>
        <w:t xml:space="preserve">ansøgningen om undtagelse </w:t>
      </w:r>
      <w:r w:rsidR="004705F8">
        <w:rPr>
          <w:rFonts w:asciiTheme="minorHAnsi" w:hAnsiTheme="minorHAnsi" w:cstheme="minorHAnsi"/>
        </w:rPr>
        <w:t xml:space="preserve">indeholde </w:t>
      </w:r>
      <w:r w:rsidR="004705F8">
        <w:rPr>
          <w:rFonts w:asciiTheme="minorHAnsi" w:hAnsiTheme="minorHAnsi" w:cstheme="minorHAnsi"/>
        </w:rPr>
        <w:lastRenderedPageBreak/>
        <w:t>en</w:t>
      </w:r>
      <w:r w:rsidR="006B17E7">
        <w:rPr>
          <w:rFonts w:asciiTheme="minorHAnsi" w:hAnsiTheme="minorHAnsi" w:cstheme="minorHAnsi"/>
        </w:rPr>
        <w:t xml:space="preserve"> </w:t>
      </w:r>
      <w:r w:rsidR="00E719E2" w:rsidRPr="00085571">
        <w:rPr>
          <w:rFonts w:asciiTheme="minorHAnsi" w:hAnsiTheme="minorHAnsi" w:cstheme="minorHAnsi"/>
        </w:rPr>
        <w:t>substitution</w:t>
      </w:r>
      <w:r w:rsidR="00CA2901">
        <w:rPr>
          <w:rFonts w:asciiTheme="minorHAnsi" w:hAnsiTheme="minorHAnsi" w:cstheme="minorHAnsi"/>
        </w:rPr>
        <w:t>splan</w:t>
      </w:r>
      <w:r w:rsidR="00E719E2" w:rsidRPr="00085571">
        <w:rPr>
          <w:rFonts w:asciiTheme="minorHAnsi" w:hAnsiTheme="minorHAnsi" w:cstheme="minorHAnsi"/>
        </w:rPr>
        <w:t xml:space="preserve"> </w:t>
      </w:r>
      <w:r w:rsidR="004705F8">
        <w:rPr>
          <w:rFonts w:asciiTheme="minorHAnsi" w:hAnsiTheme="minorHAnsi" w:cstheme="minorHAnsi"/>
        </w:rPr>
        <w:t>for overgangen til disse</w:t>
      </w:r>
      <w:r w:rsidR="004705F8" w:rsidRPr="00085571">
        <w:rPr>
          <w:rFonts w:asciiTheme="minorHAnsi" w:hAnsiTheme="minorHAnsi" w:cstheme="minorHAnsi"/>
        </w:rPr>
        <w:t xml:space="preserve"> </w:t>
      </w:r>
      <w:r w:rsidR="00E719E2" w:rsidRPr="00085571">
        <w:rPr>
          <w:rFonts w:asciiTheme="minorHAnsi" w:hAnsiTheme="minorHAnsi" w:cstheme="minorHAnsi"/>
        </w:rPr>
        <w:t>alternativer</w:t>
      </w:r>
      <w:r w:rsidR="004705F8">
        <w:rPr>
          <w:rFonts w:asciiTheme="minorHAnsi" w:hAnsiTheme="minorHAnsi" w:cstheme="minorHAnsi"/>
        </w:rPr>
        <w:t xml:space="preserve"> samt en</w:t>
      </w:r>
      <w:r w:rsidR="00E719E2" w:rsidRPr="00085571">
        <w:rPr>
          <w:rFonts w:asciiTheme="minorHAnsi" w:hAnsiTheme="minorHAnsi" w:cstheme="minorHAnsi"/>
        </w:rPr>
        <w:t xml:space="preserve"> begrunde</w:t>
      </w:r>
      <w:r w:rsidR="004705F8">
        <w:rPr>
          <w:rFonts w:asciiTheme="minorHAnsi" w:hAnsiTheme="minorHAnsi" w:cstheme="minorHAnsi"/>
        </w:rPr>
        <w:t>lse</w:t>
      </w:r>
      <w:r w:rsidR="00E719E2" w:rsidRPr="00085571">
        <w:rPr>
          <w:rFonts w:asciiTheme="minorHAnsi" w:hAnsiTheme="minorHAnsi" w:cstheme="minorHAnsi"/>
        </w:rPr>
        <w:t xml:space="preserve"> </w:t>
      </w:r>
      <w:r w:rsidR="004705F8">
        <w:rPr>
          <w:rFonts w:asciiTheme="minorHAnsi" w:hAnsiTheme="minorHAnsi" w:cstheme="minorHAnsi"/>
        </w:rPr>
        <w:t>for</w:t>
      </w:r>
      <w:r w:rsidR="004705F8" w:rsidRPr="00085571">
        <w:rPr>
          <w:rFonts w:asciiTheme="minorHAnsi" w:hAnsiTheme="minorHAnsi" w:cstheme="minorHAnsi"/>
        </w:rPr>
        <w:t xml:space="preserve"> </w:t>
      </w:r>
      <w:r w:rsidR="004705F8">
        <w:rPr>
          <w:rFonts w:asciiTheme="minorHAnsi" w:hAnsiTheme="minorHAnsi" w:cstheme="minorHAnsi"/>
        </w:rPr>
        <w:t xml:space="preserve">den </w:t>
      </w:r>
      <w:r w:rsidR="00E719E2" w:rsidRPr="00085571">
        <w:rPr>
          <w:rFonts w:asciiTheme="minorHAnsi" w:hAnsiTheme="minorHAnsi" w:cstheme="minorHAnsi"/>
        </w:rPr>
        <w:t>tids</w:t>
      </w:r>
      <w:r w:rsidR="004705F8">
        <w:rPr>
          <w:rFonts w:asciiTheme="minorHAnsi" w:hAnsiTheme="minorHAnsi" w:cstheme="minorHAnsi"/>
        </w:rPr>
        <w:t>periode</w:t>
      </w:r>
      <w:r w:rsidR="00E719E2" w:rsidRPr="00085571">
        <w:rPr>
          <w:rFonts w:asciiTheme="minorHAnsi" w:hAnsiTheme="minorHAnsi" w:cstheme="minorHAnsi"/>
        </w:rPr>
        <w:t>, for hvilke der søges dispensation.</w:t>
      </w:r>
    </w:p>
    <w:p w14:paraId="00808DEF" w14:textId="1AFE436B" w:rsidR="00E719E2" w:rsidRPr="00085571" w:rsidRDefault="00E719E2" w:rsidP="00DD4896">
      <w:pPr>
        <w:spacing w:line="240" w:lineRule="auto"/>
        <w:rPr>
          <w:rFonts w:cstheme="minorHAnsi"/>
          <w:b/>
        </w:rPr>
      </w:pPr>
      <w:r w:rsidRPr="00085571">
        <w:rPr>
          <w:rFonts w:cstheme="minorHAnsi"/>
          <w:b/>
        </w:rPr>
        <w:br w:type="page"/>
      </w:r>
    </w:p>
    <w:p w14:paraId="79C9E0E7" w14:textId="6BDDD7EF" w:rsidR="00945356" w:rsidRPr="00085571" w:rsidRDefault="00FB4434" w:rsidP="00B07988">
      <w:pPr>
        <w:spacing w:line="240" w:lineRule="auto"/>
        <w:jc w:val="right"/>
        <w:rPr>
          <w:rFonts w:cstheme="minorHAnsi"/>
          <w:b/>
          <w:sz w:val="28"/>
          <w:szCs w:val="28"/>
        </w:rPr>
      </w:pPr>
      <w:r w:rsidRPr="00085571">
        <w:rPr>
          <w:rFonts w:cstheme="minorHAnsi"/>
          <w:b/>
          <w:sz w:val="28"/>
          <w:szCs w:val="28"/>
        </w:rPr>
        <w:lastRenderedPageBreak/>
        <w:t>Bilag 2</w:t>
      </w:r>
    </w:p>
    <w:p w14:paraId="21E0E616" w14:textId="4D223C57" w:rsidR="00DD4896" w:rsidRPr="00085571" w:rsidRDefault="00FB4434" w:rsidP="00B07988">
      <w:pPr>
        <w:pStyle w:val="Overskrift2"/>
        <w:jc w:val="center"/>
        <w:rPr>
          <w:rFonts w:asciiTheme="minorHAnsi" w:hAnsiTheme="minorHAnsi" w:cstheme="minorHAnsi"/>
          <w:b/>
          <w:color w:val="auto"/>
        </w:rPr>
      </w:pPr>
      <w:r w:rsidRPr="00085571">
        <w:rPr>
          <w:rFonts w:asciiTheme="minorHAnsi" w:hAnsiTheme="minorHAnsi" w:cstheme="minorHAnsi"/>
          <w:b/>
          <w:color w:val="auto"/>
        </w:rPr>
        <w:t>Uddybende oplysninger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for undtagelse fra REACH</w:t>
      </w:r>
      <w:r w:rsidR="00A979B6">
        <w:rPr>
          <w:rFonts w:asciiTheme="minorHAnsi" w:hAnsiTheme="minorHAnsi" w:cstheme="minorHAnsi"/>
          <w:b/>
          <w:color w:val="auto"/>
        </w:rPr>
        <w:t>-forordningens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</w:t>
      </w:r>
      <w:r w:rsidR="006A7656" w:rsidRPr="00085571">
        <w:rPr>
          <w:rFonts w:asciiTheme="minorHAnsi" w:hAnsiTheme="minorHAnsi" w:cstheme="minorHAnsi"/>
          <w:b/>
          <w:color w:val="auto"/>
        </w:rPr>
        <w:t xml:space="preserve">afsnit 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II om </w:t>
      </w:r>
      <w:r w:rsidR="00A43802" w:rsidRPr="00085571">
        <w:rPr>
          <w:rFonts w:asciiTheme="minorHAnsi" w:hAnsiTheme="minorHAnsi" w:cstheme="minorHAnsi"/>
          <w:b/>
          <w:color w:val="auto"/>
        </w:rPr>
        <w:t>registrering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af stoffer, </w:t>
      </w:r>
      <w:r w:rsidR="006A7656" w:rsidRPr="00085571">
        <w:rPr>
          <w:rFonts w:asciiTheme="minorHAnsi" w:hAnsiTheme="minorHAnsi" w:cstheme="minorHAnsi"/>
          <w:b/>
          <w:color w:val="auto"/>
        </w:rPr>
        <w:t>afsnit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VII o</w:t>
      </w:r>
      <w:r w:rsidR="005932EE" w:rsidRPr="00085571">
        <w:rPr>
          <w:rFonts w:asciiTheme="minorHAnsi" w:hAnsiTheme="minorHAnsi" w:cstheme="minorHAnsi"/>
          <w:b/>
          <w:color w:val="auto"/>
        </w:rPr>
        <w:t>m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godkendelse </w:t>
      </w:r>
      <w:r w:rsidR="003926A6">
        <w:rPr>
          <w:rFonts w:asciiTheme="minorHAnsi" w:hAnsiTheme="minorHAnsi" w:cstheme="minorHAnsi"/>
          <w:b/>
          <w:color w:val="auto"/>
        </w:rPr>
        <w:t>og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</w:t>
      </w:r>
      <w:r w:rsidR="006A7656" w:rsidRPr="00085571">
        <w:rPr>
          <w:rFonts w:asciiTheme="minorHAnsi" w:hAnsiTheme="minorHAnsi" w:cstheme="minorHAnsi"/>
          <w:b/>
          <w:color w:val="auto"/>
        </w:rPr>
        <w:t>afsnit</w:t>
      </w:r>
      <w:r w:rsidR="00430ACA" w:rsidRPr="00085571">
        <w:rPr>
          <w:rFonts w:asciiTheme="minorHAnsi" w:hAnsiTheme="minorHAnsi" w:cstheme="minorHAnsi"/>
          <w:b/>
          <w:color w:val="auto"/>
        </w:rPr>
        <w:t xml:space="preserve"> VIII om begrænsninger for fremstilling, markedsføring og anvendelse af visse farlige stoffer, blandinger og artikler</w:t>
      </w:r>
      <w:r w:rsidR="00DB516D" w:rsidRPr="00085571">
        <w:rPr>
          <w:rFonts w:asciiTheme="minorHAnsi" w:hAnsiTheme="minorHAnsi" w:cstheme="minorHAnsi"/>
          <w:b/>
          <w:color w:val="auto"/>
        </w:rPr>
        <w:t xml:space="preserve">, jf. § 3, stk. </w:t>
      </w:r>
      <w:r w:rsidR="00650C57">
        <w:rPr>
          <w:rFonts w:asciiTheme="minorHAnsi" w:hAnsiTheme="minorHAnsi" w:cstheme="minorHAnsi"/>
          <w:b/>
          <w:color w:val="auto"/>
        </w:rPr>
        <w:t>3</w:t>
      </w:r>
      <w:r w:rsidR="00430ACA" w:rsidRPr="00085571">
        <w:rPr>
          <w:rFonts w:asciiTheme="minorHAnsi" w:hAnsiTheme="minorHAnsi" w:cstheme="minorHAnsi"/>
          <w:b/>
          <w:color w:val="auto"/>
        </w:rPr>
        <w:t>.</w:t>
      </w:r>
    </w:p>
    <w:p w14:paraId="3F071FCA" w14:textId="77777777" w:rsidR="00DD4896" w:rsidRPr="00085571" w:rsidRDefault="00DD4896" w:rsidP="00DD4896">
      <w:pPr>
        <w:pStyle w:val="Bodytext20"/>
        <w:shd w:val="clear" w:color="auto" w:fill="auto"/>
        <w:tabs>
          <w:tab w:val="left" w:pos="806"/>
        </w:tabs>
        <w:spacing w:after="272" w:line="240" w:lineRule="auto"/>
        <w:ind w:firstLine="0"/>
        <w:rPr>
          <w:rFonts w:asciiTheme="minorHAnsi" w:hAnsiTheme="minorHAnsi" w:cstheme="minorHAnsi"/>
          <w:b/>
        </w:rPr>
      </w:pPr>
      <w:bookmarkStart w:id="1" w:name="bookmark6"/>
    </w:p>
    <w:bookmarkEnd w:id="1"/>
    <w:p w14:paraId="4F013F4E" w14:textId="3F6C1DCA" w:rsidR="00526858" w:rsidRPr="00085571" w:rsidRDefault="00DD1DB5" w:rsidP="00DB516D">
      <w:pPr>
        <w:pStyle w:val="Bodytext20"/>
        <w:shd w:val="clear" w:color="auto" w:fill="auto"/>
        <w:spacing w:after="124" w:line="240" w:lineRule="auto"/>
        <w:ind w:right="580"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Alle </w:t>
      </w:r>
      <w:r w:rsidR="00DD4896" w:rsidRPr="00085571">
        <w:rPr>
          <w:rFonts w:asciiTheme="minorHAnsi" w:hAnsiTheme="minorHAnsi" w:cstheme="minorHAnsi"/>
        </w:rPr>
        <w:t>ansøgninger</w:t>
      </w:r>
      <w:r w:rsidRPr="00085571">
        <w:rPr>
          <w:rFonts w:asciiTheme="minorHAnsi" w:hAnsiTheme="minorHAnsi" w:cstheme="minorHAnsi"/>
        </w:rPr>
        <w:t xml:space="preserve"> om undtagelse </w:t>
      </w:r>
      <w:r w:rsidR="00AE50BB" w:rsidRPr="00085571">
        <w:rPr>
          <w:rFonts w:asciiTheme="minorHAnsi" w:hAnsiTheme="minorHAnsi" w:cstheme="minorHAnsi"/>
        </w:rPr>
        <w:t xml:space="preserve">fra </w:t>
      </w:r>
      <w:r w:rsidR="00DB516D" w:rsidRPr="00085571">
        <w:rPr>
          <w:rFonts w:asciiTheme="minorHAnsi" w:hAnsiTheme="minorHAnsi" w:cstheme="minorHAnsi"/>
        </w:rPr>
        <w:t xml:space="preserve">bestemmelser i </w:t>
      </w:r>
      <w:r w:rsidR="005932EE" w:rsidRPr="00085571">
        <w:rPr>
          <w:rFonts w:asciiTheme="minorHAnsi" w:hAnsiTheme="minorHAnsi" w:cstheme="minorHAnsi"/>
        </w:rPr>
        <w:t xml:space="preserve">afsnit </w:t>
      </w:r>
      <w:r w:rsidR="00A43802" w:rsidRPr="00085571">
        <w:rPr>
          <w:rFonts w:asciiTheme="minorHAnsi" w:hAnsiTheme="minorHAnsi" w:cstheme="minorHAnsi"/>
        </w:rPr>
        <w:t xml:space="preserve">II om registrering af stoffer, </w:t>
      </w:r>
      <w:r w:rsidR="005932EE" w:rsidRPr="00085571">
        <w:rPr>
          <w:rFonts w:asciiTheme="minorHAnsi" w:hAnsiTheme="minorHAnsi" w:cstheme="minorHAnsi"/>
        </w:rPr>
        <w:t xml:space="preserve">afsnit </w:t>
      </w:r>
      <w:r w:rsidR="00A43802" w:rsidRPr="00085571">
        <w:rPr>
          <w:rFonts w:asciiTheme="minorHAnsi" w:hAnsiTheme="minorHAnsi" w:cstheme="minorHAnsi"/>
        </w:rPr>
        <w:t>VII o</w:t>
      </w:r>
      <w:r w:rsidR="005932EE" w:rsidRPr="00085571">
        <w:rPr>
          <w:rFonts w:asciiTheme="minorHAnsi" w:hAnsiTheme="minorHAnsi" w:cstheme="minorHAnsi"/>
        </w:rPr>
        <w:t>m</w:t>
      </w:r>
      <w:r w:rsidR="00A43802" w:rsidRPr="00085571">
        <w:rPr>
          <w:rFonts w:asciiTheme="minorHAnsi" w:hAnsiTheme="minorHAnsi" w:cstheme="minorHAnsi"/>
        </w:rPr>
        <w:t xml:space="preserve"> godkendelse </w:t>
      </w:r>
      <w:r w:rsidR="003926A6">
        <w:rPr>
          <w:rFonts w:asciiTheme="minorHAnsi" w:hAnsiTheme="minorHAnsi" w:cstheme="minorHAnsi"/>
        </w:rPr>
        <w:t>og</w:t>
      </w:r>
      <w:r w:rsidR="00A43802" w:rsidRPr="00085571">
        <w:rPr>
          <w:rFonts w:asciiTheme="minorHAnsi" w:hAnsiTheme="minorHAnsi" w:cstheme="minorHAnsi"/>
        </w:rPr>
        <w:t xml:space="preserve"> </w:t>
      </w:r>
      <w:r w:rsidR="005932EE" w:rsidRPr="00085571">
        <w:rPr>
          <w:rFonts w:asciiTheme="minorHAnsi" w:hAnsiTheme="minorHAnsi" w:cstheme="minorHAnsi"/>
        </w:rPr>
        <w:t xml:space="preserve">afsnit </w:t>
      </w:r>
      <w:r w:rsidR="00A43802" w:rsidRPr="00085571">
        <w:rPr>
          <w:rFonts w:asciiTheme="minorHAnsi" w:hAnsiTheme="minorHAnsi" w:cstheme="minorHAnsi"/>
        </w:rPr>
        <w:t>VIII om begrænsninger for fremstilling, markedsføring og anvendelse af visse stoffer, blandinger og artikler</w:t>
      </w:r>
      <w:r w:rsidR="00A43802" w:rsidRPr="00085571" w:rsidDel="00AE50BB">
        <w:rPr>
          <w:rFonts w:asciiTheme="minorHAnsi" w:hAnsiTheme="minorHAnsi" w:cstheme="minorHAnsi"/>
        </w:rPr>
        <w:t xml:space="preserve"> </w:t>
      </w:r>
      <w:r w:rsidR="00DD4896" w:rsidRPr="00085571">
        <w:rPr>
          <w:rFonts w:asciiTheme="minorHAnsi" w:hAnsiTheme="minorHAnsi" w:cstheme="minorHAnsi"/>
        </w:rPr>
        <w:t>i REACH-forordningen</w:t>
      </w:r>
      <w:r w:rsidR="002C2C69" w:rsidRPr="00085571">
        <w:rPr>
          <w:rFonts w:asciiTheme="minorHAnsi" w:hAnsiTheme="minorHAnsi" w:cstheme="minorHAnsi"/>
        </w:rPr>
        <w:t xml:space="preserve">, jf. § 3, stk. </w:t>
      </w:r>
      <w:r w:rsidR="00650C57">
        <w:rPr>
          <w:rFonts w:asciiTheme="minorHAnsi" w:hAnsiTheme="minorHAnsi" w:cstheme="minorHAnsi"/>
        </w:rPr>
        <w:t>3</w:t>
      </w:r>
      <w:r w:rsidR="002C2C69" w:rsidRPr="00085571">
        <w:rPr>
          <w:rFonts w:asciiTheme="minorHAnsi" w:hAnsiTheme="minorHAnsi" w:cstheme="minorHAnsi"/>
        </w:rPr>
        <w:t>,</w:t>
      </w:r>
      <w:r w:rsidR="00DD4896" w:rsidRPr="00085571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>kræve</w:t>
      </w:r>
      <w:r w:rsidR="00A064F9" w:rsidRPr="00085571">
        <w:rPr>
          <w:rFonts w:asciiTheme="minorHAnsi" w:hAnsiTheme="minorHAnsi" w:cstheme="minorHAnsi"/>
        </w:rPr>
        <w:t>r</w:t>
      </w:r>
      <w:r w:rsidRPr="00085571">
        <w:rPr>
          <w:rFonts w:asciiTheme="minorHAnsi" w:hAnsiTheme="minorHAnsi" w:cstheme="minorHAnsi"/>
        </w:rPr>
        <w:t xml:space="preserve"> en vurdering af sundheds- og miljørisici i forbindelse med stoffet/stofferne</w:t>
      </w:r>
      <w:r w:rsidR="000163A5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 xml:space="preserve">eller anvendelsen, </w:t>
      </w:r>
      <w:r w:rsidR="00AE50BB" w:rsidRPr="00085571">
        <w:rPr>
          <w:rFonts w:asciiTheme="minorHAnsi" w:hAnsiTheme="minorHAnsi" w:cstheme="minorHAnsi"/>
        </w:rPr>
        <w:t xml:space="preserve">jf. </w:t>
      </w:r>
      <w:r w:rsidR="002C2C69" w:rsidRPr="00085571">
        <w:rPr>
          <w:rFonts w:asciiTheme="minorHAnsi" w:hAnsiTheme="minorHAnsi" w:cstheme="minorHAnsi"/>
        </w:rPr>
        <w:t>r</w:t>
      </w:r>
      <w:r w:rsidR="00AE50BB" w:rsidRPr="00085571">
        <w:rPr>
          <w:rFonts w:asciiTheme="minorHAnsi" w:hAnsiTheme="minorHAnsi" w:cstheme="minorHAnsi"/>
        </w:rPr>
        <w:t>isikoniveauerne</w:t>
      </w:r>
      <w:r w:rsidR="00B07988" w:rsidRPr="00085571">
        <w:rPr>
          <w:rFonts w:asciiTheme="minorHAnsi" w:hAnsiTheme="minorHAnsi" w:cstheme="minorHAnsi"/>
        </w:rPr>
        <w:t xml:space="preserve"> og krav om oplysninger for disse som beskrevet </w:t>
      </w:r>
      <w:r w:rsidR="00AE50BB" w:rsidRPr="00085571">
        <w:rPr>
          <w:rFonts w:asciiTheme="minorHAnsi" w:hAnsiTheme="minorHAnsi" w:cstheme="minorHAnsi"/>
        </w:rPr>
        <w:t>herunder</w:t>
      </w:r>
      <w:r w:rsidRPr="00085571">
        <w:rPr>
          <w:rFonts w:asciiTheme="minorHAnsi" w:hAnsiTheme="minorHAnsi" w:cstheme="minorHAnsi"/>
        </w:rPr>
        <w:t>.</w:t>
      </w:r>
      <w:r w:rsidR="00526858" w:rsidRPr="00085571">
        <w:rPr>
          <w:rFonts w:asciiTheme="minorHAnsi" w:hAnsiTheme="minorHAnsi" w:cstheme="minorHAnsi"/>
        </w:rPr>
        <w:t xml:space="preserve"> </w:t>
      </w:r>
      <w:r w:rsidR="00440C84" w:rsidRPr="00085571">
        <w:rPr>
          <w:rFonts w:asciiTheme="minorHAnsi" w:hAnsiTheme="minorHAnsi" w:cstheme="minorHAnsi"/>
        </w:rPr>
        <w:t>I det tilfælde det ikke er mulig</w:t>
      </w:r>
      <w:r w:rsidR="00165D61">
        <w:rPr>
          <w:rFonts w:asciiTheme="minorHAnsi" w:hAnsiTheme="minorHAnsi" w:cstheme="minorHAnsi"/>
        </w:rPr>
        <w:t>t</w:t>
      </w:r>
      <w:r w:rsidR="00A979B6">
        <w:rPr>
          <w:rFonts w:asciiTheme="minorHAnsi" w:hAnsiTheme="minorHAnsi" w:cstheme="minorHAnsi"/>
        </w:rPr>
        <w:t>,</w:t>
      </w:r>
      <w:r w:rsidR="004705F8">
        <w:rPr>
          <w:rFonts w:asciiTheme="minorHAnsi" w:hAnsiTheme="minorHAnsi" w:cstheme="minorHAnsi"/>
        </w:rPr>
        <w:t xml:space="preserve"> ud fra et </w:t>
      </w:r>
      <w:r w:rsidR="004705F8" w:rsidRPr="004705F8">
        <w:rPr>
          <w:rFonts w:asciiTheme="minorHAnsi" w:hAnsiTheme="minorHAnsi" w:cstheme="minorHAnsi"/>
        </w:rPr>
        <w:t>forsvarsformål eller den nationale sikkerhed</w:t>
      </w:r>
      <w:r w:rsidR="00A979B6">
        <w:rPr>
          <w:rFonts w:asciiTheme="minorHAnsi" w:hAnsiTheme="minorHAnsi" w:cstheme="minorHAnsi"/>
        </w:rPr>
        <w:t>,</w:t>
      </w:r>
      <w:r w:rsidR="00440C84" w:rsidRPr="00085571">
        <w:rPr>
          <w:rFonts w:asciiTheme="minorHAnsi" w:hAnsiTheme="minorHAnsi" w:cstheme="minorHAnsi"/>
        </w:rPr>
        <w:t xml:space="preserve"> at udarbejde hele eller dele af sikkerhedsdatabladet, jf.</w:t>
      </w:r>
      <w:r w:rsidR="004705F8">
        <w:rPr>
          <w:rFonts w:asciiTheme="minorHAnsi" w:hAnsiTheme="minorHAnsi" w:cstheme="minorHAnsi"/>
        </w:rPr>
        <w:t xml:space="preserve"> afsnit 1 og 2 til dette bilag</w:t>
      </w:r>
      <w:r w:rsidR="00440C84" w:rsidRPr="00085571">
        <w:rPr>
          <w:rFonts w:asciiTheme="minorHAnsi" w:hAnsiTheme="minorHAnsi" w:cstheme="minorHAnsi"/>
        </w:rPr>
        <w:t xml:space="preserve"> eller kemikaliesikkerhedsvurdering</w:t>
      </w:r>
      <w:r w:rsidR="00983E62">
        <w:rPr>
          <w:rFonts w:asciiTheme="minorHAnsi" w:hAnsiTheme="minorHAnsi" w:cstheme="minorHAnsi"/>
        </w:rPr>
        <w:t>en</w:t>
      </w:r>
      <w:r w:rsidR="00440C84" w:rsidRPr="00085571">
        <w:rPr>
          <w:rFonts w:asciiTheme="minorHAnsi" w:hAnsiTheme="minorHAnsi" w:cstheme="minorHAnsi"/>
        </w:rPr>
        <w:t xml:space="preserve">, jf. </w:t>
      </w:r>
      <w:r w:rsidR="00A07E8B" w:rsidRPr="00085571">
        <w:rPr>
          <w:rFonts w:asciiTheme="minorHAnsi" w:hAnsiTheme="minorHAnsi" w:cstheme="minorHAnsi"/>
        </w:rPr>
        <w:t>t</w:t>
      </w:r>
      <w:r w:rsidR="00440C84" w:rsidRPr="00085571">
        <w:rPr>
          <w:rFonts w:asciiTheme="minorHAnsi" w:hAnsiTheme="minorHAnsi" w:cstheme="minorHAnsi"/>
        </w:rPr>
        <w:t xml:space="preserve">abel </w:t>
      </w:r>
      <w:r w:rsidR="004705F8">
        <w:rPr>
          <w:rFonts w:asciiTheme="minorHAnsi" w:hAnsiTheme="minorHAnsi" w:cstheme="minorHAnsi"/>
        </w:rPr>
        <w:t>1</w:t>
      </w:r>
      <w:r w:rsidR="00440C84" w:rsidRPr="00085571">
        <w:rPr>
          <w:rFonts w:asciiTheme="minorHAnsi" w:hAnsiTheme="minorHAnsi" w:cstheme="minorHAnsi"/>
        </w:rPr>
        <w:t>, skal ansøger begrunde dette.</w:t>
      </w:r>
    </w:p>
    <w:p w14:paraId="0F9A144D" w14:textId="34C9F8A0" w:rsidR="00E60E25" w:rsidRPr="00085571" w:rsidRDefault="00E60E25" w:rsidP="00432CA7">
      <w:pPr>
        <w:pStyle w:val="Bodytext20"/>
        <w:shd w:val="clear" w:color="auto" w:fill="auto"/>
        <w:spacing w:after="124" w:line="240" w:lineRule="auto"/>
        <w:ind w:right="580" w:firstLine="0"/>
        <w:jc w:val="both"/>
        <w:rPr>
          <w:rFonts w:asciiTheme="minorHAnsi" w:hAnsiTheme="minorHAnsi" w:cstheme="minorHAnsi"/>
        </w:rPr>
      </w:pPr>
    </w:p>
    <w:p w14:paraId="0CEC2837" w14:textId="63C9B6CE" w:rsidR="00DD1DB5" w:rsidRPr="00085571" w:rsidRDefault="00DD1DB5" w:rsidP="00DD4896">
      <w:pPr>
        <w:spacing w:line="240" w:lineRule="auto"/>
        <w:rPr>
          <w:rFonts w:cstheme="minorHAnsi"/>
          <w:u w:val="single"/>
        </w:rPr>
      </w:pPr>
      <w:r w:rsidRPr="00085571">
        <w:rPr>
          <w:rFonts w:cstheme="minorHAnsi"/>
          <w:u w:val="single"/>
        </w:rPr>
        <w:t>Risikoniveauerne defineres som følger:</w:t>
      </w:r>
    </w:p>
    <w:p w14:paraId="16E97C22" w14:textId="15076E04" w:rsidR="00DD1DB5" w:rsidRPr="00085571" w:rsidRDefault="00DD1DB5" w:rsidP="003514D1">
      <w:pPr>
        <w:pStyle w:val="Bodytext20"/>
        <w:shd w:val="clear" w:color="auto" w:fill="auto"/>
        <w:tabs>
          <w:tab w:val="left" w:pos="850"/>
        </w:tabs>
        <w:spacing w:after="260" w:line="240" w:lineRule="auto"/>
        <w:ind w:left="840" w:firstLine="0"/>
        <w:jc w:val="both"/>
        <w:rPr>
          <w:rFonts w:asciiTheme="minorHAnsi" w:hAnsiTheme="minorHAnsi" w:cstheme="minorHAnsi"/>
        </w:rPr>
      </w:pPr>
      <w:r w:rsidRPr="00085571">
        <w:rPr>
          <w:rStyle w:val="Bodytext2Bold"/>
          <w:rFonts w:asciiTheme="minorHAnsi" w:hAnsiTheme="minorHAnsi" w:cstheme="minorHAnsi"/>
        </w:rPr>
        <w:t xml:space="preserve">Lav risiko: </w:t>
      </w:r>
      <w:r w:rsidR="002C2C69" w:rsidRPr="00085571">
        <w:rPr>
          <w:rFonts w:asciiTheme="minorHAnsi" w:hAnsiTheme="minorHAnsi" w:cstheme="minorHAnsi"/>
        </w:rPr>
        <w:t xml:space="preserve">Ved </w:t>
      </w:r>
      <w:r w:rsidR="00B07988" w:rsidRPr="00085571">
        <w:rPr>
          <w:rFonts w:asciiTheme="minorHAnsi" w:hAnsiTheme="minorHAnsi" w:cstheme="minorHAnsi"/>
        </w:rPr>
        <w:t xml:space="preserve">ansøgning om </w:t>
      </w:r>
      <w:r w:rsidRPr="00085571">
        <w:rPr>
          <w:rFonts w:asciiTheme="minorHAnsi" w:hAnsiTheme="minorHAnsi" w:cstheme="minorHAnsi"/>
        </w:rPr>
        <w:t xml:space="preserve">undtagelse </w:t>
      </w:r>
      <w:r w:rsidR="002C2C69" w:rsidRPr="00085571">
        <w:rPr>
          <w:rFonts w:asciiTheme="minorHAnsi" w:hAnsiTheme="minorHAnsi" w:cstheme="minorHAnsi"/>
        </w:rPr>
        <w:t xml:space="preserve">fra REACH-forordningens </w:t>
      </w:r>
      <w:r w:rsidR="005932EE" w:rsidRPr="00085571">
        <w:rPr>
          <w:rFonts w:asciiTheme="minorHAnsi" w:hAnsiTheme="minorHAnsi" w:cstheme="minorHAnsi"/>
        </w:rPr>
        <w:t xml:space="preserve">afsnit </w:t>
      </w:r>
      <w:r w:rsidR="002C2C69" w:rsidRPr="00085571">
        <w:rPr>
          <w:rFonts w:asciiTheme="minorHAnsi" w:hAnsiTheme="minorHAnsi" w:cstheme="minorHAnsi"/>
        </w:rPr>
        <w:t>II om registrering af stoffer</w:t>
      </w:r>
      <w:r w:rsidR="005932EE" w:rsidRPr="00085571">
        <w:rPr>
          <w:rFonts w:asciiTheme="minorHAnsi" w:hAnsiTheme="minorHAnsi" w:cstheme="minorHAnsi"/>
        </w:rPr>
        <w:t>,</w:t>
      </w:r>
      <w:r w:rsidR="002C2C69" w:rsidRPr="00085571" w:rsidDel="002C2C69">
        <w:rPr>
          <w:rFonts w:asciiTheme="minorHAnsi" w:hAnsiTheme="minorHAnsi" w:cstheme="minorHAnsi"/>
        </w:rPr>
        <w:t xml:space="preserve"> </w:t>
      </w:r>
      <w:r w:rsidR="00983E62">
        <w:rPr>
          <w:rFonts w:asciiTheme="minorHAnsi" w:hAnsiTheme="minorHAnsi" w:cstheme="minorHAnsi"/>
        </w:rPr>
        <w:t xml:space="preserve">som </w:t>
      </w:r>
      <w:r w:rsidR="00A43802" w:rsidRPr="00085571">
        <w:rPr>
          <w:rFonts w:asciiTheme="minorHAnsi" w:hAnsiTheme="minorHAnsi" w:cstheme="minorHAnsi"/>
        </w:rPr>
        <w:t xml:space="preserve">anvendes </w:t>
      </w:r>
      <w:r w:rsidRPr="00085571">
        <w:rPr>
          <w:rFonts w:asciiTheme="minorHAnsi" w:hAnsiTheme="minorHAnsi" w:cstheme="minorHAnsi"/>
        </w:rPr>
        <w:t xml:space="preserve">af ansøgeren </w:t>
      </w:r>
      <w:r w:rsidR="00A43802" w:rsidRPr="00085571">
        <w:rPr>
          <w:rFonts w:asciiTheme="minorHAnsi" w:hAnsiTheme="minorHAnsi" w:cstheme="minorHAnsi"/>
        </w:rPr>
        <w:t xml:space="preserve">i </w:t>
      </w:r>
      <w:r w:rsidRPr="00085571">
        <w:rPr>
          <w:rFonts w:asciiTheme="minorHAnsi" w:hAnsiTheme="minorHAnsi" w:cstheme="minorHAnsi"/>
        </w:rPr>
        <w:t xml:space="preserve">en mængde på over 1 ton pr. år og mindre end 10 </w:t>
      </w:r>
      <w:r w:rsidR="00AE50BB" w:rsidRPr="00085571">
        <w:rPr>
          <w:rFonts w:asciiTheme="minorHAnsi" w:hAnsiTheme="minorHAnsi" w:cstheme="minorHAnsi"/>
        </w:rPr>
        <w:t>ton pr. år</w:t>
      </w:r>
      <w:r w:rsidRPr="00085571">
        <w:rPr>
          <w:rFonts w:asciiTheme="minorHAnsi" w:hAnsiTheme="minorHAnsi" w:cstheme="minorHAnsi"/>
        </w:rPr>
        <w:t xml:space="preserve">. Faren ved stoffet er </w:t>
      </w:r>
      <w:r w:rsidR="00E60E25" w:rsidRPr="00085571">
        <w:rPr>
          <w:rFonts w:asciiTheme="minorHAnsi" w:hAnsiTheme="minorHAnsi" w:cstheme="minorHAnsi"/>
        </w:rPr>
        <w:t xml:space="preserve">fareniveau </w:t>
      </w:r>
      <w:r w:rsidRPr="00085571">
        <w:rPr>
          <w:rFonts w:asciiTheme="minorHAnsi" w:hAnsiTheme="minorHAnsi" w:cstheme="minorHAnsi"/>
        </w:rPr>
        <w:t xml:space="preserve">0 eller 1 (som defineret </w:t>
      </w:r>
      <w:r w:rsidR="00DB516D" w:rsidRPr="00085571">
        <w:rPr>
          <w:rFonts w:asciiTheme="minorHAnsi" w:hAnsiTheme="minorHAnsi" w:cstheme="minorHAnsi"/>
        </w:rPr>
        <w:t>nedenfor</w:t>
      </w:r>
      <w:r w:rsidRPr="00085571">
        <w:rPr>
          <w:rFonts w:asciiTheme="minorHAnsi" w:hAnsiTheme="minorHAnsi" w:cstheme="minorHAnsi"/>
        </w:rPr>
        <w:t xml:space="preserve">). </w:t>
      </w:r>
    </w:p>
    <w:p w14:paraId="164BD5E2" w14:textId="394A47E4" w:rsidR="00DD1DB5" w:rsidRPr="00085571" w:rsidRDefault="00DD1DB5" w:rsidP="003514D1">
      <w:pPr>
        <w:pStyle w:val="Bodytext20"/>
        <w:shd w:val="clear" w:color="auto" w:fill="auto"/>
        <w:tabs>
          <w:tab w:val="left" w:pos="850"/>
        </w:tabs>
        <w:spacing w:after="260" w:line="240" w:lineRule="auto"/>
        <w:ind w:left="840" w:firstLine="0"/>
        <w:jc w:val="both"/>
        <w:rPr>
          <w:rFonts w:asciiTheme="minorHAnsi" w:hAnsiTheme="minorHAnsi" w:cstheme="minorHAnsi"/>
        </w:rPr>
      </w:pPr>
      <w:r w:rsidRPr="00085571">
        <w:rPr>
          <w:rStyle w:val="Bodytext2Bold"/>
          <w:rFonts w:asciiTheme="minorHAnsi" w:hAnsiTheme="minorHAnsi" w:cstheme="minorHAnsi"/>
        </w:rPr>
        <w:t xml:space="preserve">Middelrisiko: </w:t>
      </w:r>
      <w:r w:rsidR="002C2C69" w:rsidRPr="00085571">
        <w:rPr>
          <w:rFonts w:asciiTheme="minorHAnsi" w:hAnsiTheme="minorHAnsi" w:cstheme="minorHAnsi"/>
        </w:rPr>
        <w:t xml:space="preserve">Ved </w:t>
      </w:r>
      <w:r w:rsidR="00B07988" w:rsidRPr="00085571">
        <w:rPr>
          <w:rFonts w:asciiTheme="minorHAnsi" w:hAnsiTheme="minorHAnsi" w:cstheme="minorHAnsi"/>
        </w:rPr>
        <w:t xml:space="preserve">ansøgning om </w:t>
      </w:r>
      <w:r w:rsidRPr="00085571">
        <w:rPr>
          <w:rFonts w:asciiTheme="minorHAnsi" w:hAnsiTheme="minorHAnsi" w:cstheme="minorHAnsi"/>
        </w:rPr>
        <w:t xml:space="preserve">undtagelse </w:t>
      </w:r>
      <w:r w:rsidR="002C2C69" w:rsidRPr="00085571">
        <w:rPr>
          <w:rFonts w:asciiTheme="minorHAnsi" w:hAnsiTheme="minorHAnsi" w:cstheme="minorHAnsi"/>
        </w:rPr>
        <w:t xml:space="preserve">fra REACH-forordningens </w:t>
      </w:r>
      <w:r w:rsidR="005932EE" w:rsidRPr="00085571">
        <w:rPr>
          <w:rFonts w:asciiTheme="minorHAnsi" w:hAnsiTheme="minorHAnsi" w:cstheme="minorHAnsi"/>
        </w:rPr>
        <w:t>afsnit</w:t>
      </w:r>
      <w:r w:rsidR="002C2C69" w:rsidRPr="00085571">
        <w:rPr>
          <w:rFonts w:asciiTheme="minorHAnsi" w:hAnsiTheme="minorHAnsi" w:cstheme="minorHAnsi"/>
        </w:rPr>
        <w:t xml:space="preserve"> II om</w:t>
      </w:r>
      <w:r w:rsidR="002C2C69" w:rsidRPr="00085571" w:rsidDel="002C2C69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>registrering af stoffer</w:t>
      </w:r>
      <w:r w:rsidR="005932EE" w:rsidRPr="00085571">
        <w:rPr>
          <w:rFonts w:asciiTheme="minorHAnsi" w:hAnsiTheme="minorHAnsi" w:cstheme="minorHAnsi"/>
        </w:rPr>
        <w:t>,</w:t>
      </w:r>
      <w:r w:rsidR="00A43802" w:rsidRPr="00085571">
        <w:rPr>
          <w:rFonts w:asciiTheme="minorHAnsi" w:hAnsiTheme="minorHAnsi" w:cstheme="minorHAnsi"/>
        </w:rPr>
        <w:t xml:space="preserve"> som</w:t>
      </w:r>
      <w:r w:rsidRPr="00085571">
        <w:rPr>
          <w:rFonts w:asciiTheme="minorHAnsi" w:hAnsiTheme="minorHAnsi" w:cstheme="minorHAnsi"/>
        </w:rPr>
        <w:t xml:space="preserve"> anvendes af ansøgeren i en mængde på over 1 </w:t>
      </w:r>
      <w:r w:rsidR="00AE50BB" w:rsidRPr="00085571">
        <w:rPr>
          <w:rFonts w:asciiTheme="minorHAnsi" w:hAnsiTheme="minorHAnsi" w:cstheme="minorHAnsi"/>
        </w:rPr>
        <w:t>ton pr. år</w:t>
      </w:r>
      <w:r w:rsidRPr="00085571">
        <w:rPr>
          <w:rFonts w:asciiTheme="minorHAnsi" w:hAnsiTheme="minorHAnsi" w:cstheme="minorHAnsi"/>
        </w:rPr>
        <w:t xml:space="preserve"> med </w:t>
      </w:r>
      <w:r w:rsidR="00E60E25" w:rsidRPr="00085571">
        <w:rPr>
          <w:rFonts w:asciiTheme="minorHAnsi" w:hAnsiTheme="minorHAnsi" w:cstheme="minorHAnsi"/>
        </w:rPr>
        <w:t>fareniveau</w:t>
      </w:r>
      <w:r w:rsidRPr="00085571">
        <w:rPr>
          <w:rFonts w:asciiTheme="minorHAnsi" w:hAnsiTheme="minorHAnsi" w:cstheme="minorHAnsi"/>
        </w:rPr>
        <w:t xml:space="preserve"> 2 og over 10 </w:t>
      </w:r>
      <w:r w:rsidR="00AE50BB" w:rsidRPr="00085571">
        <w:rPr>
          <w:rFonts w:asciiTheme="minorHAnsi" w:hAnsiTheme="minorHAnsi" w:cstheme="minorHAnsi"/>
        </w:rPr>
        <w:t>ton pr. år</w:t>
      </w:r>
      <w:r w:rsidRPr="00085571">
        <w:rPr>
          <w:rFonts w:asciiTheme="minorHAnsi" w:hAnsiTheme="minorHAnsi" w:cstheme="minorHAnsi"/>
        </w:rPr>
        <w:t xml:space="preserve"> med </w:t>
      </w:r>
      <w:r w:rsidR="00E60E25" w:rsidRPr="00085571">
        <w:rPr>
          <w:rFonts w:asciiTheme="minorHAnsi" w:hAnsiTheme="minorHAnsi" w:cstheme="minorHAnsi"/>
        </w:rPr>
        <w:t>fareniveau</w:t>
      </w:r>
      <w:r w:rsidRPr="00085571">
        <w:rPr>
          <w:rFonts w:asciiTheme="minorHAnsi" w:hAnsiTheme="minorHAnsi" w:cstheme="minorHAnsi"/>
        </w:rPr>
        <w:t xml:space="preserve"> 0</w:t>
      </w:r>
      <w:r w:rsidR="00AE50BB" w:rsidRPr="00085571">
        <w:rPr>
          <w:rFonts w:asciiTheme="minorHAnsi" w:hAnsiTheme="minorHAnsi" w:cstheme="minorHAnsi"/>
        </w:rPr>
        <w:t xml:space="preserve"> eller</w:t>
      </w:r>
      <w:r w:rsidRPr="00085571">
        <w:rPr>
          <w:rFonts w:asciiTheme="minorHAnsi" w:hAnsiTheme="minorHAnsi" w:cstheme="minorHAnsi"/>
        </w:rPr>
        <w:t xml:space="preserve"> 1.</w:t>
      </w:r>
    </w:p>
    <w:p w14:paraId="7658F50C" w14:textId="31BFA993" w:rsidR="00DD1DB5" w:rsidRPr="00085571" w:rsidRDefault="00DD1DB5" w:rsidP="003514D1">
      <w:pPr>
        <w:pStyle w:val="Bodytext20"/>
        <w:shd w:val="clear" w:color="auto" w:fill="auto"/>
        <w:tabs>
          <w:tab w:val="left" w:pos="850"/>
        </w:tabs>
        <w:spacing w:after="260" w:line="240" w:lineRule="auto"/>
        <w:ind w:left="840" w:firstLine="0"/>
        <w:jc w:val="both"/>
        <w:rPr>
          <w:rFonts w:asciiTheme="minorHAnsi" w:hAnsiTheme="minorHAnsi" w:cstheme="minorHAnsi"/>
        </w:rPr>
      </w:pPr>
      <w:r w:rsidRPr="00085571">
        <w:rPr>
          <w:rStyle w:val="Bodytext2Bold"/>
          <w:rFonts w:asciiTheme="minorHAnsi" w:hAnsiTheme="minorHAnsi" w:cstheme="minorHAnsi"/>
        </w:rPr>
        <w:t xml:space="preserve">Høj risiko: </w:t>
      </w:r>
      <w:r w:rsidR="002C2C69" w:rsidRPr="00085571">
        <w:rPr>
          <w:rFonts w:asciiTheme="minorHAnsi" w:hAnsiTheme="minorHAnsi" w:cstheme="minorHAnsi"/>
        </w:rPr>
        <w:t xml:space="preserve">Ved </w:t>
      </w:r>
      <w:r w:rsidR="00B07988" w:rsidRPr="00085571">
        <w:rPr>
          <w:rFonts w:asciiTheme="minorHAnsi" w:hAnsiTheme="minorHAnsi" w:cstheme="minorHAnsi"/>
        </w:rPr>
        <w:t xml:space="preserve">ansøgning om </w:t>
      </w:r>
      <w:r w:rsidRPr="00085571">
        <w:rPr>
          <w:rFonts w:asciiTheme="minorHAnsi" w:hAnsiTheme="minorHAnsi" w:cstheme="minorHAnsi"/>
        </w:rPr>
        <w:t xml:space="preserve">undtagelse for </w:t>
      </w:r>
      <w:r w:rsidR="00E60E25" w:rsidRPr="00085571">
        <w:rPr>
          <w:rFonts w:asciiTheme="minorHAnsi" w:hAnsiTheme="minorHAnsi" w:cstheme="minorHAnsi"/>
        </w:rPr>
        <w:t>stoffer opført i bilag XIV (stoffer, der skal godkendes) og/eller bilag XVII (</w:t>
      </w:r>
      <w:r w:rsidR="0049491C">
        <w:rPr>
          <w:rFonts w:asciiTheme="minorHAnsi" w:hAnsiTheme="minorHAnsi" w:cstheme="minorHAnsi"/>
        </w:rPr>
        <w:t xml:space="preserve">Stoffer, der er underlagt </w:t>
      </w:r>
      <w:r w:rsidR="00E60E25" w:rsidRPr="00085571">
        <w:rPr>
          <w:rFonts w:asciiTheme="minorHAnsi" w:hAnsiTheme="minorHAnsi" w:cstheme="minorHAnsi"/>
        </w:rPr>
        <w:t>begræns</w:t>
      </w:r>
      <w:r w:rsidR="0049491C">
        <w:rPr>
          <w:rFonts w:asciiTheme="minorHAnsi" w:hAnsiTheme="minorHAnsi" w:cstheme="minorHAnsi"/>
        </w:rPr>
        <w:t>ninger</w:t>
      </w:r>
      <w:r w:rsidR="00E60E25" w:rsidRPr="00085571">
        <w:rPr>
          <w:rFonts w:asciiTheme="minorHAnsi" w:hAnsiTheme="minorHAnsi" w:cstheme="minorHAnsi"/>
        </w:rPr>
        <w:t>) til REACH-forordningen</w:t>
      </w:r>
      <w:r w:rsidR="005932EE" w:rsidRPr="00085571">
        <w:rPr>
          <w:rFonts w:asciiTheme="minorHAnsi" w:hAnsiTheme="minorHAnsi" w:cstheme="minorHAnsi"/>
        </w:rPr>
        <w:t>,</w:t>
      </w:r>
      <w:r w:rsidR="00E60E25" w:rsidRPr="00085571">
        <w:rPr>
          <w:rFonts w:asciiTheme="minorHAnsi" w:hAnsiTheme="minorHAnsi" w:cstheme="minorHAnsi"/>
        </w:rPr>
        <w:t xml:space="preserve"> og </w:t>
      </w:r>
      <w:r w:rsidR="002C2C69" w:rsidRPr="00085571">
        <w:rPr>
          <w:rFonts w:asciiTheme="minorHAnsi" w:hAnsiTheme="minorHAnsi" w:cstheme="minorHAnsi"/>
        </w:rPr>
        <w:t xml:space="preserve">som </w:t>
      </w:r>
      <w:r w:rsidR="00E60E25" w:rsidRPr="00085571">
        <w:rPr>
          <w:rFonts w:asciiTheme="minorHAnsi" w:hAnsiTheme="minorHAnsi" w:cstheme="minorHAnsi"/>
        </w:rPr>
        <w:t>er fareniveau 3</w:t>
      </w:r>
      <w:r w:rsidRPr="00085571">
        <w:rPr>
          <w:rFonts w:asciiTheme="minorHAnsi" w:hAnsiTheme="minorHAnsi" w:cstheme="minorHAnsi"/>
        </w:rPr>
        <w:t xml:space="preserve">. </w:t>
      </w:r>
      <w:r w:rsidR="002C2C69" w:rsidRPr="00085571">
        <w:rPr>
          <w:rFonts w:asciiTheme="minorHAnsi" w:hAnsiTheme="minorHAnsi" w:cstheme="minorHAnsi"/>
        </w:rPr>
        <w:t>Dette gælder uanset mængde</w:t>
      </w:r>
      <w:r w:rsidRPr="00085571">
        <w:rPr>
          <w:rFonts w:asciiTheme="minorHAnsi" w:hAnsiTheme="minorHAnsi" w:cstheme="minorHAnsi"/>
        </w:rPr>
        <w:t>.</w:t>
      </w:r>
    </w:p>
    <w:p w14:paraId="65A06834" w14:textId="710F7A39" w:rsidR="00DB516D" w:rsidRPr="00085571" w:rsidRDefault="00DB516D" w:rsidP="00B3254B">
      <w:pPr>
        <w:spacing w:line="240" w:lineRule="auto"/>
        <w:rPr>
          <w:rFonts w:cstheme="minorHAnsi"/>
        </w:rPr>
      </w:pPr>
      <w:r w:rsidRPr="00085571">
        <w:rPr>
          <w:rFonts w:cstheme="minorHAnsi"/>
        </w:rPr>
        <w:t>De fire fareniveauer</w:t>
      </w:r>
      <w:r w:rsidR="005932EE" w:rsidRPr="00085571">
        <w:rPr>
          <w:rFonts w:cstheme="minorHAnsi"/>
        </w:rPr>
        <w:t>,</w:t>
      </w:r>
      <w:r w:rsidR="002C2C69" w:rsidRPr="00085571">
        <w:rPr>
          <w:rFonts w:cstheme="minorHAnsi"/>
        </w:rPr>
        <w:t xml:space="preserve"> som anven</w:t>
      </w:r>
      <w:r w:rsidR="00531EC5" w:rsidRPr="00085571">
        <w:rPr>
          <w:rFonts w:cstheme="minorHAnsi"/>
        </w:rPr>
        <w:t>des i forbindelse med risikoniv</w:t>
      </w:r>
      <w:r w:rsidR="002C2C69" w:rsidRPr="00085571">
        <w:rPr>
          <w:rFonts w:cstheme="minorHAnsi"/>
        </w:rPr>
        <w:t>eauerne</w:t>
      </w:r>
      <w:r w:rsidR="005932EE" w:rsidRPr="00085571">
        <w:rPr>
          <w:rFonts w:cstheme="minorHAnsi"/>
        </w:rPr>
        <w:t>,</w:t>
      </w:r>
      <w:r w:rsidRPr="00085571">
        <w:rPr>
          <w:rFonts w:cstheme="minorHAnsi"/>
        </w:rPr>
        <w:t xml:space="preserve"> er: </w:t>
      </w:r>
    </w:p>
    <w:p w14:paraId="6AB03C1B" w14:textId="55C642F2" w:rsidR="00DB516D" w:rsidRPr="00085571" w:rsidRDefault="00DB516D" w:rsidP="003514D1">
      <w:pPr>
        <w:pStyle w:val="Listeafsnit"/>
        <w:rPr>
          <w:rFonts w:cstheme="minorHAnsi"/>
        </w:rPr>
      </w:pPr>
      <w:r w:rsidRPr="003514D1">
        <w:rPr>
          <w:b/>
        </w:rPr>
        <w:t>F</w:t>
      </w:r>
      <w:r w:rsidR="00EA6A99" w:rsidRPr="003514D1">
        <w:rPr>
          <w:b/>
        </w:rPr>
        <w:t>areniveau</w:t>
      </w:r>
      <w:r w:rsidRPr="003514D1">
        <w:rPr>
          <w:b/>
        </w:rPr>
        <w:t xml:space="preserve"> 0:</w:t>
      </w:r>
      <w:r w:rsidRPr="00085571">
        <w:rPr>
          <w:rFonts w:cstheme="minorHAnsi"/>
        </w:rPr>
        <w:t xml:space="preserve"> Stoffet opfylder ikke kriterierne for klassificering som farligt i henhold til REACH</w:t>
      </w:r>
      <w:r w:rsidR="00A979B6">
        <w:rPr>
          <w:rFonts w:cstheme="minorHAnsi"/>
        </w:rPr>
        <w:t>-forordningen</w:t>
      </w:r>
      <w:r w:rsidRPr="00085571">
        <w:rPr>
          <w:rFonts w:cstheme="minorHAnsi"/>
        </w:rPr>
        <w:t xml:space="preserve"> og CLP</w:t>
      </w:r>
      <w:r w:rsidR="00A979B6">
        <w:rPr>
          <w:rFonts w:cstheme="minorHAnsi"/>
        </w:rPr>
        <w:t>-forordningen</w:t>
      </w:r>
      <w:r w:rsidRPr="00085571">
        <w:rPr>
          <w:rFonts w:cstheme="minorHAnsi"/>
        </w:rPr>
        <w:t xml:space="preserve"> (stoffet er ikke farligt)</w:t>
      </w:r>
    </w:p>
    <w:p w14:paraId="714C92D6" w14:textId="77777777" w:rsidR="001E661F" w:rsidRDefault="001E661F" w:rsidP="00DA5A92">
      <w:pPr>
        <w:pStyle w:val="Listeafsnit"/>
        <w:rPr>
          <w:rFonts w:cstheme="minorHAnsi"/>
        </w:rPr>
      </w:pPr>
    </w:p>
    <w:p w14:paraId="05FEC954" w14:textId="48DB8AD8" w:rsidR="00DB516D" w:rsidRPr="00085571" w:rsidRDefault="00EA6A99" w:rsidP="003514D1">
      <w:pPr>
        <w:pStyle w:val="Listeafsnit"/>
        <w:rPr>
          <w:rFonts w:cstheme="minorHAnsi"/>
        </w:rPr>
      </w:pPr>
      <w:r w:rsidRPr="003514D1">
        <w:rPr>
          <w:b/>
        </w:rPr>
        <w:t>Fareniveau</w:t>
      </w:r>
      <w:r w:rsidR="00DB516D" w:rsidRPr="003514D1">
        <w:rPr>
          <w:b/>
        </w:rPr>
        <w:t xml:space="preserve"> 1:</w:t>
      </w:r>
      <w:r w:rsidR="00DB516D" w:rsidRPr="00085571">
        <w:rPr>
          <w:rFonts w:cstheme="minorHAnsi"/>
        </w:rPr>
        <w:t xml:space="preserve"> Stoffet opfylder kriterierne for klassificering som farligt i henhold til REACH</w:t>
      </w:r>
      <w:r w:rsidR="00A979B6">
        <w:rPr>
          <w:rFonts w:cstheme="minorHAnsi"/>
        </w:rPr>
        <w:t>-forordningen</w:t>
      </w:r>
      <w:r w:rsidR="00DB516D" w:rsidRPr="00085571">
        <w:rPr>
          <w:rFonts w:cstheme="minorHAnsi"/>
        </w:rPr>
        <w:t xml:space="preserve"> og CLP</w:t>
      </w:r>
      <w:r w:rsidR="00A979B6">
        <w:rPr>
          <w:rFonts w:cstheme="minorHAnsi"/>
        </w:rPr>
        <w:t>-forordningen</w:t>
      </w:r>
      <w:r w:rsidR="00DB516D" w:rsidRPr="00085571">
        <w:rPr>
          <w:rFonts w:cstheme="minorHAnsi"/>
        </w:rPr>
        <w:t>, men er ikke farligt som defineret i niveau 2 eller 3</w:t>
      </w:r>
    </w:p>
    <w:p w14:paraId="12250807" w14:textId="77777777" w:rsidR="001E661F" w:rsidRDefault="001E661F" w:rsidP="00DA5A92">
      <w:pPr>
        <w:pStyle w:val="Listeafsnit"/>
        <w:rPr>
          <w:rFonts w:cstheme="minorHAnsi"/>
        </w:rPr>
      </w:pPr>
    </w:p>
    <w:p w14:paraId="01523167" w14:textId="180B4CD6" w:rsidR="00B636B0" w:rsidRDefault="00EA6A99" w:rsidP="00DA5A92">
      <w:pPr>
        <w:pStyle w:val="Listeafsnit"/>
        <w:rPr>
          <w:rFonts w:cstheme="minorHAnsi"/>
        </w:rPr>
      </w:pPr>
      <w:r w:rsidRPr="003514D1">
        <w:rPr>
          <w:b/>
        </w:rPr>
        <w:t>Fareniveau</w:t>
      </w:r>
      <w:r w:rsidR="00DB516D" w:rsidRPr="003514D1">
        <w:rPr>
          <w:b/>
        </w:rPr>
        <w:t xml:space="preserve"> 2: </w:t>
      </w:r>
      <w:r w:rsidR="005932EE" w:rsidRPr="001E661F">
        <w:rPr>
          <w:rFonts w:cstheme="minorHAnsi"/>
        </w:rPr>
        <w:t>U</w:t>
      </w:r>
      <w:r w:rsidR="00DB516D" w:rsidRPr="00CD25B7">
        <w:rPr>
          <w:rFonts w:cstheme="minorHAnsi"/>
        </w:rPr>
        <w:t xml:space="preserve">ndergruppe af farlige stoffer, der er klassificeret som </w:t>
      </w:r>
      <w:r w:rsidR="005932EE" w:rsidRPr="00CD25B7">
        <w:rPr>
          <w:rFonts w:cstheme="minorHAnsi"/>
        </w:rPr>
        <w:t>v</w:t>
      </w:r>
      <w:r w:rsidR="00DB516D" w:rsidRPr="00CD25B7">
        <w:rPr>
          <w:rFonts w:cstheme="minorHAnsi"/>
        </w:rPr>
        <w:t>ærende</w:t>
      </w:r>
      <w:r w:rsidR="00B636B0">
        <w:rPr>
          <w:rFonts w:cstheme="minorHAnsi"/>
        </w:rPr>
        <w:t xml:space="preserve">: </w:t>
      </w:r>
      <w:r w:rsidR="00DB516D" w:rsidRPr="00CD25B7">
        <w:rPr>
          <w:rFonts w:cstheme="minorHAnsi"/>
        </w:rPr>
        <w:t xml:space="preserve"> </w:t>
      </w:r>
    </w:p>
    <w:p w14:paraId="0099C42D" w14:textId="43B40AB5" w:rsidR="005932EE" w:rsidRPr="00B636B0" w:rsidRDefault="00DB516D" w:rsidP="003514D1">
      <w:pPr>
        <w:pStyle w:val="Listeafsnit"/>
        <w:numPr>
          <w:ilvl w:val="0"/>
          <w:numId w:val="34"/>
        </w:numPr>
        <w:rPr>
          <w:rFonts w:cstheme="minorHAnsi"/>
        </w:rPr>
      </w:pPr>
      <w:r w:rsidRPr="00CD25B7">
        <w:rPr>
          <w:rFonts w:cstheme="minorHAnsi"/>
        </w:rPr>
        <w:t>kræftfremkaldende, mutagent eller reprodukti</w:t>
      </w:r>
      <w:r w:rsidR="005932EE" w:rsidRPr="00B636B0">
        <w:rPr>
          <w:rFonts w:cstheme="minorHAnsi"/>
        </w:rPr>
        <w:t>onstoksisk</w:t>
      </w:r>
      <w:r w:rsidRPr="00B636B0">
        <w:rPr>
          <w:rFonts w:cstheme="minorHAnsi"/>
        </w:rPr>
        <w:t xml:space="preserve"> (CMR kategori 1A eller 1B i henhold til CLP</w:t>
      </w:r>
      <w:r w:rsidR="00A979B6">
        <w:rPr>
          <w:rFonts w:cstheme="minorHAnsi"/>
        </w:rPr>
        <w:t>-forordningen</w:t>
      </w:r>
      <w:r w:rsidRPr="00B636B0">
        <w:rPr>
          <w:rFonts w:cstheme="minorHAnsi"/>
        </w:rPr>
        <w:t xml:space="preserve">), </w:t>
      </w:r>
    </w:p>
    <w:p w14:paraId="05D7916F" w14:textId="77777777" w:rsidR="00165D61" w:rsidRDefault="00DB516D" w:rsidP="003514D1">
      <w:pPr>
        <w:pStyle w:val="Listeafsnit"/>
        <w:numPr>
          <w:ilvl w:val="0"/>
          <w:numId w:val="34"/>
        </w:numPr>
        <w:rPr>
          <w:rFonts w:cstheme="minorHAnsi"/>
        </w:rPr>
      </w:pPr>
      <w:r w:rsidRPr="00085571">
        <w:rPr>
          <w:rFonts w:cstheme="minorHAnsi"/>
        </w:rPr>
        <w:t xml:space="preserve">stoffer, der er persistente, bioakkumulerende og giftige (PBT), </w:t>
      </w:r>
    </w:p>
    <w:p w14:paraId="0FFE0F7B" w14:textId="048F6A83" w:rsidR="005932EE" w:rsidRPr="00085571" w:rsidRDefault="00DB516D" w:rsidP="003514D1">
      <w:pPr>
        <w:pStyle w:val="Listeafsnit"/>
        <w:numPr>
          <w:ilvl w:val="0"/>
          <w:numId w:val="34"/>
        </w:numPr>
        <w:rPr>
          <w:rFonts w:cstheme="minorHAnsi"/>
        </w:rPr>
      </w:pPr>
      <w:r w:rsidRPr="00085571">
        <w:rPr>
          <w:rFonts w:cstheme="minorHAnsi"/>
        </w:rPr>
        <w:t>stoffer, der er meget persistente og meget bioakkumulerende (</w:t>
      </w:r>
      <w:proofErr w:type="spellStart"/>
      <w:r w:rsidRPr="00085571">
        <w:rPr>
          <w:rFonts w:cstheme="minorHAnsi"/>
        </w:rPr>
        <w:t>vPvB</w:t>
      </w:r>
      <w:proofErr w:type="spellEnd"/>
      <w:r w:rsidRPr="00085571">
        <w:rPr>
          <w:rFonts w:cstheme="minorHAnsi"/>
        </w:rPr>
        <w:t>)</w:t>
      </w:r>
      <w:r w:rsidR="007D6E3B">
        <w:rPr>
          <w:rFonts w:cstheme="minorHAnsi"/>
        </w:rPr>
        <w:t>, eller</w:t>
      </w:r>
    </w:p>
    <w:p w14:paraId="1A7E561D" w14:textId="18F333A4" w:rsidR="00DB516D" w:rsidRPr="00085571" w:rsidRDefault="00DB516D" w:rsidP="00DA5A92">
      <w:pPr>
        <w:pStyle w:val="Listeafsnit"/>
        <w:numPr>
          <w:ilvl w:val="0"/>
          <w:numId w:val="34"/>
        </w:numPr>
        <w:rPr>
          <w:rFonts w:cstheme="minorHAnsi"/>
        </w:rPr>
      </w:pPr>
      <w:r w:rsidRPr="00085571">
        <w:rPr>
          <w:rFonts w:cstheme="minorHAnsi"/>
        </w:rPr>
        <w:t>hormonforstyrrende eller tilsvarende bekymringsniveau, som defineret i REACH</w:t>
      </w:r>
      <w:r w:rsidR="00CC7F3E">
        <w:rPr>
          <w:rFonts w:cstheme="minorHAnsi"/>
        </w:rPr>
        <w:t>-forordningens</w:t>
      </w:r>
      <w:r w:rsidRPr="00085571">
        <w:rPr>
          <w:rFonts w:cstheme="minorHAnsi"/>
        </w:rPr>
        <w:t xml:space="preserve"> artikel 57, litra a til f.</w:t>
      </w:r>
      <w:r w:rsidR="00B636B0">
        <w:rPr>
          <w:rFonts w:cstheme="minorHAnsi"/>
        </w:rPr>
        <w:t xml:space="preserve"> </w:t>
      </w:r>
    </w:p>
    <w:p w14:paraId="0642C81B" w14:textId="77777777" w:rsidR="001E661F" w:rsidRDefault="001E661F" w:rsidP="003514D1">
      <w:pPr>
        <w:pStyle w:val="Listeafsnit"/>
        <w:rPr>
          <w:rFonts w:cstheme="minorHAnsi"/>
        </w:rPr>
      </w:pPr>
    </w:p>
    <w:p w14:paraId="7BBA4BA8" w14:textId="0AE4C8F1" w:rsidR="00DB516D" w:rsidRPr="00085571" w:rsidRDefault="00EA6A99" w:rsidP="003514D1">
      <w:pPr>
        <w:pStyle w:val="Listeafsnit"/>
        <w:rPr>
          <w:rFonts w:cstheme="minorHAnsi"/>
        </w:rPr>
      </w:pPr>
      <w:r w:rsidRPr="003514D1">
        <w:rPr>
          <w:b/>
        </w:rPr>
        <w:lastRenderedPageBreak/>
        <w:t>Fareniveau</w:t>
      </w:r>
      <w:r w:rsidR="00DB516D" w:rsidRPr="003514D1">
        <w:rPr>
          <w:b/>
        </w:rPr>
        <w:t xml:space="preserve"> 3:</w:t>
      </w:r>
      <w:r w:rsidR="00DB516D" w:rsidRPr="00085571">
        <w:rPr>
          <w:rFonts w:cstheme="minorHAnsi"/>
        </w:rPr>
        <w:t xml:space="preserve"> Stoffer på </w:t>
      </w:r>
      <w:r w:rsidR="005932EE" w:rsidRPr="00085571">
        <w:rPr>
          <w:rFonts w:cstheme="minorHAnsi"/>
        </w:rPr>
        <w:t>fare</w:t>
      </w:r>
      <w:r w:rsidR="00DB516D" w:rsidRPr="00085571">
        <w:rPr>
          <w:rFonts w:cstheme="minorHAnsi"/>
        </w:rPr>
        <w:t xml:space="preserve">niveau 2 inkluderet i bilag XIV </w:t>
      </w:r>
      <w:r w:rsidR="00A979B6" w:rsidRPr="00085571">
        <w:rPr>
          <w:rFonts w:cstheme="minorHAnsi"/>
        </w:rPr>
        <w:t>(stoffer, der skal godkendes)</w:t>
      </w:r>
      <w:r w:rsidR="00A979B6">
        <w:rPr>
          <w:rFonts w:cstheme="minorHAnsi"/>
        </w:rPr>
        <w:t xml:space="preserve"> </w:t>
      </w:r>
      <w:r w:rsidR="00DB516D" w:rsidRPr="00085571">
        <w:rPr>
          <w:rFonts w:cstheme="minorHAnsi"/>
        </w:rPr>
        <w:t xml:space="preserve">eller bilag XVII </w:t>
      </w:r>
      <w:r w:rsidR="00A979B6" w:rsidRPr="00085571">
        <w:rPr>
          <w:rFonts w:cstheme="minorHAnsi"/>
        </w:rPr>
        <w:t>(</w:t>
      </w:r>
      <w:r w:rsidR="00D452FE">
        <w:rPr>
          <w:rFonts w:cstheme="minorHAnsi"/>
        </w:rPr>
        <w:t xml:space="preserve">Stoffer, der er underlagt </w:t>
      </w:r>
      <w:r w:rsidR="00D452FE" w:rsidRPr="00085571">
        <w:rPr>
          <w:rFonts w:cstheme="minorHAnsi"/>
        </w:rPr>
        <w:t>begræns</w:t>
      </w:r>
      <w:r w:rsidR="00D452FE">
        <w:rPr>
          <w:rFonts w:cstheme="minorHAnsi"/>
        </w:rPr>
        <w:t>ninger</w:t>
      </w:r>
      <w:r w:rsidR="00A979B6" w:rsidRPr="00085571">
        <w:rPr>
          <w:rFonts w:cstheme="minorHAnsi"/>
        </w:rPr>
        <w:t>)</w:t>
      </w:r>
      <w:r w:rsidR="00A979B6">
        <w:rPr>
          <w:rFonts w:cstheme="minorHAnsi"/>
        </w:rPr>
        <w:t xml:space="preserve"> </w:t>
      </w:r>
      <w:r w:rsidR="00DB516D" w:rsidRPr="00085571">
        <w:rPr>
          <w:rFonts w:cstheme="minorHAnsi"/>
        </w:rPr>
        <w:t>til REACH</w:t>
      </w:r>
      <w:r w:rsidR="00A979B6">
        <w:rPr>
          <w:rFonts w:cstheme="minorHAnsi"/>
        </w:rPr>
        <w:t>-</w:t>
      </w:r>
      <w:r w:rsidR="00DB516D" w:rsidRPr="00085571">
        <w:rPr>
          <w:rFonts w:cstheme="minorHAnsi"/>
        </w:rPr>
        <w:t>forordningen.</w:t>
      </w:r>
    </w:p>
    <w:p w14:paraId="4A87C69B" w14:textId="77777777" w:rsidR="00886E03" w:rsidRPr="00085571" w:rsidRDefault="00886E03" w:rsidP="00886E03">
      <w:pPr>
        <w:pStyle w:val="Listeafsnit"/>
        <w:rPr>
          <w:rFonts w:cstheme="minorHAnsi"/>
        </w:rPr>
      </w:pPr>
    </w:p>
    <w:p w14:paraId="748B6579" w14:textId="2FC30307" w:rsidR="00DD1DB5" w:rsidRPr="00085571" w:rsidRDefault="00DD1DB5" w:rsidP="00A064F9">
      <w:pPr>
        <w:pStyle w:val="Bodytext20"/>
        <w:numPr>
          <w:ilvl w:val="0"/>
          <w:numId w:val="12"/>
        </w:numPr>
        <w:shd w:val="clear" w:color="auto" w:fill="auto"/>
        <w:spacing w:after="272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85571">
        <w:rPr>
          <w:rFonts w:asciiTheme="minorHAnsi" w:hAnsiTheme="minorHAnsi" w:cstheme="minorHAnsi"/>
          <w:b/>
          <w:u w:val="single"/>
        </w:rPr>
        <w:t xml:space="preserve">Krav </w:t>
      </w:r>
      <w:r w:rsidR="00A064F9" w:rsidRPr="00085571">
        <w:rPr>
          <w:rFonts w:asciiTheme="minorHAnsi" w:hAnsiTheme="minorHAnsi" w:cstheme="minorHAnsi"/>
          <w:b/>
          <w:u w:val="single"/>
        </w:rPr>
        <w:t>til oplysninger for stoffer med</w:t>
      </w:r>
      <w:r w:rsidR="00531EC5" w:rsidRPr="00085571">
        <w:rPr>
          <w:rFonts w:asciiTheme="minorHAnsi" w:hAnsiTheme="minorHAnsi" w:cstheme="minorHAnsi"/>
          <w:b/>
          <w:u w:val="single"/>
        </w:rPr>
        <w:t xml:space="preserve"> </w:t>
      </w:r>
      <w:r w:rsidR="00A064F9" w:rsidRPr="00085571">
        <w:rPr>
          <w:rFonts w:asciiTheme="minorHAnsi" w:hAnsiTheme="minorHAnsi" w:cstheme="minorHAnsi"/>
          <w:b/>
          <w:u w:val="single"/>
        </w:rPr>
        <w:t>risikoniveauet ”</w:t>
      </w:r>
      <w:r w:rsidRPr="00085571">
        <w:rPr>
          <w:rFonts w:asciiTheme="minorHAnsi" w:hAnsiTheme="minorHAnsi" w:cstheme="minorHAnsi"/>
          <w:b/>
          <w:u w:val="single"/>
        </w:rPr>
        <w:t>lav risiko</w:t>
      </w:r>
      <w:r w:rsidR="00A064F9" w:rsidRPr="00085571">
        <w:rPr>
          <w:rFonts w:asciiTheme="minorHAnsi" w:hAnsiTheme="minorHAnsi" w:cstheme="minorHAnsi"/>
          <w:b/>
          <w:u w:val="single"/>
        </w:rPr>
        <w:t>”</w:t>
      </w:r>
    </w:p>
    <w:p w14:paraId="22C0CDC4" w14:textId="63345B18" w:rsidR="00DD1DB5" w:rsidRPr="00085571" w:rsidRDefault="00DD1DB5" w:rsidP="00DD4896">
      <w:pPr>
        <w:pStyle w:val="Bodytext20"/>
        <w:shd w:val="clear" w:color="auto" w:fill="auto"/>
        <w:spacing w:after="374" w:line="240" w:lineRule="auto"/>
        <w:ind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Ansøgeren skal </w:t>
      </w:r>
      <w:r w:rsidR="00A064F9" w:rsidRPr="00085571">
        <w:rPr>
          <w:rFonts w:asciiTheme="minorHAnsi" w:hAnsiTheme="minorHAnsi" w:cstheme="minorHAnsi"/>
        </w:rPr>
        <w:t xml:space="preserve">som minimum </w:t>
      </w:r>
      <w:r w:rsidR="00AD1FE8" w:rsidRPr="00085571">
        <w:rPr>
          <w:rFonts w:asciiTheme="minorHAnsi" w:hAnsiTheme="minorHAnsi" w:cstheme="minorHAnsi"/>
        </w:rPr>
        <w:t xml:space="preserve">vedlægge </w:t>
      </w:r>
      <w:r w:rsidRPr="00085571">
        <w:rPr>
          <w:rFonts w:asciiTheme="minorHAnsi" w:hAnsiTheme="minorHAnsi" w:cstheme="minorHAnsi"/>
        </w:rPr>
        <w:t>et sikkerhedsdatablad i</w:t>
      </w:r>
      <w:r w:rsidR="00A064F9" w:rsidRPr="00085571">
        <w:rPr>
          <w:rFonts w:asciiTheme="minorHAnsi" w:hAnsiTheme="minorHAnsi" w:cstheme="minorHAnsi"/>
        </w:rPr>
        <w:t xml:space="preserve"> overensstemmelse med</w:t>
      </w:r>
      <w:r w:rsidRPr="00085571">
        <w:rPr>
          <w:rFonts w:asciiTheme="minorHAnsi" w:hAnsiTheme="minorHAnsi" w:cstheme="minorHAnsi"/>
        </w:rPr>
        <w:t xml:space="preserve"> </w:t>
      </w:r>
      <w:r w:rsidR="00EC0965" w:rsidRPr="00085571">
        <w:rPr>
          <w:rFonts w:asciiTheme="minorHAnsi" w:hAnsiTheme="minorHAnsi" w:cstheme="minorHAnsi"/>
        </w:rPr>
        <w:t xml:space="preserve">REACH-forordningens bilag </w:t>
      </w:r>
      <w:r w:rsidR="00A064F9" w:rsidRPr="00085571">
        <w:rPr>
          <w:rFonts w:asciiTheme="minorHAnsi" w:hAnsiTheme="minorHAnsi" w:cstheme="minorHAnsi"/>
        </w:rPr>
        <w:t>II</w:t>
      </w:r>
      <w:r w:rsidR="00AD1FE8" w:rsidRPr="00085571">
        <w:rPr>
          <w:rFonts w:asciiTheme="minorHAnsi" w:hAnsiTheme="minorHAnsi" w:cstheme="minorHAnsi"/>
        </w:rPr>
        <w:t xml:space="preserve"> til ansøgningen</w:t>
      </w:r>
      <w:r w:rsidR="00A064F9" w:rsidRPr="00085571">
        <w:rPr>
          <w:rFonts w:asciiTheme="minorHAnsi" w:hAnsiTheme="minorHAnsi" w:cstheme="minorHAnsi"/>
        </w:rPr>
        <w:t xml:space="preserve">. Hvis stoffet ikke anses for </w:t>
      </w:r>
      <w:r w:rsidR="00983E62" w:rsidRPr="00983E62">
        <w:rPr>
          <w:rFonts w:asciiTheme="minorHAnsi" w:hAnsiTheme="minorHAnsi" w:cstheme="minorHAnsi"/>
        </w:rPr>
        <w:t>særligt problematisk</w:t>
      </w:r>
      <w:r w:rsidR="00A064F9" w:rsidRPr="00085571">
        <w:rPr>
          <w:rFonts w:asciiTheme="minorHAnsi" w:hAnsiTheme="minorHAnsi" w:cstheme="minorHAnsi"/>
        </w:rPr>
        <w:t xml:space="preserve"> i henhold til REACH</w:t>
      </w:r>
      <w:r w:rsidR="00B07988" w:rsidRPr="00085571">
        <w:rPr>
          <w:rFonts w:asciiTheme="minorHAnsi" w:hAnsiTheme="minorHAnsi" w:cstheme="minorHAnsi"/>
        </w:rPr>
        <w:t>-forordningen</w:t>
      </w:r>
      <w:r w:rsidR="00A064F9" w:rsidRPr="00085571">
        <w:rPr>
          <w:rFonts w:asciiTheme="minorHAnsi" w:hAnsiTheme="minorHAnsi" w:cstheme="minorHAnsi"/>
        </w:rPr>
        <w:t xml:space="preserve"> eller </w:t>
      </w:r>
      <w:r w:rsidR="00983E62">
        <w:rPr>
          <w:rFonts w:asciiTheme="minorHAnsi" w:hAnsiTheme="minorHAnsi" w:cstheme="minorHAnsi"/>
        </w:rPr>
        <w:t xml:space="preserve">farligt i henhold </w:t>
      </w:r>
      <w:r w:rsidR="00A064F9" w:rsidRPr="00085571">
        <w:rPr>
          <w:rFonts w:asciiTheme="minorHAnsi" w:hAnsiTheme="minorHAnsi" w:cstheme="minorHAnsi"/>
        </w:rPr>
        <w:t>CLP</w:t>
      </w:r>
      <w:r w:rsidR="00B07988" w:rsidRPr="00085571">
        <w:rPr>
          <w:rFonts w:asciiTheme="minorHAnsi" w:hAnsiTheme="minorHAnsi" w:cstheme="minorHAnsi"/>
        </w:rPr>
        <w:t>-forordningen</w:t>
      </w:r>
      <w:r w:rsidR="00A064F9" w:rsidRPr="00085571">
        <w:rPr>
          <w:rFonts w:asciiTheme="minorHAnsi" w:hAnsiTheme="minorHAnsi" w:cstheme="minorHAnsi"/>
        </w:rPr>
        <w:t xml:space="preserve">, jf. fareniveau 0, kan </w:t>
      </w:r>
      <w:r w:rsidRPr="00085571">
        <w:rPr>
          <w:rFonts w:asciiTheme="minorHAnsi" w:hAnsiTheme="minorHAnsi" w:cstheme="minorHAnsi"/>
        </w:rPr>
        <w:t>en samling af tilsvarende oplysninger</w:t>
      </w:r>
      <w:r w:rsidR="00A064F9" w:rsidRPr="00085571">
        <w:rPr>
          <w:rFonts w:asciiTheme="minorHAnsi" w:hAnsiTheme="minorHAnsi" w:cstheme="minorHAnsi"/>
        </w:rPr>
        <w:t xml:space="preserve"> vedlægges ansøgningen.</w:t>
      </w:r>
    </w:p>
    <w:p w14:paraId="20C8D438" w14:textId="566C81BD" w:rsidR="00164F33" w:rsidRPr="00085571" w:rsidRDefault="00164F33" w:rsidP="00CC7F3E">
      <w:pPr>
        <w:pStyle w:val="Bodytext20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85571">
        <w:rPr>
          <w:rStyle w:val="Tablecaption1"/>
          <w:rFonts w:asciiTheme="minorHAnsi" w:hAnsiTheme="minorHAnsi" w:cstheme="minorHAnsi"/>
          <w:b/>
        </w:rPr>
        <w:t>Krav til</w:t>
      </w:r>
      <w:r w:rsidR="00B3254B" w:rsidRPr="00085571">
        <w:rPr>
          <w:rFonts w:asciiTheme="minorHAnsi" w:hAnsiTheme="minorHAnsi" w:cstheme="minorHAnsi"/>
          <w:b/>
          <w:u w:val="single"/>
        </w:rPr>
        <w:t xml:space="preserve"> oplysninger for stoffer med</w:t>
      </w:r>
      <w:r w:rsidR="00D1636D" w:rsidRPr="00085571">
        <w:rPr>
          <w:rFonts w:asciiTheme="minorHAnsi" w:hAnsiTheme="minorHAnsi" w:cstheme="minorHAnsi"/>
          <w:b/>
          <w:u w:val="single"/>
        </w:rPr>
        <w:t xml:space="preserve"> </w:t>
      </w:r>
      <w:r w:rsidR="00B3254B" w:rsidRPr="00085571">
        <w:rPr>
          <w:rFonts w:asciiTheme="minorHAnsi" w:hAnsiTheme="minorHAnsi" w:cstheme="minorHAnsi"/>
          <w:b/>
          <w:u w:val="single"/>
        </w:rPr>
        <w:t>risikoniveauet ”</w:t>
      </w:r>
      <w:r w:rsidRPr="00085571">
        <w:rPr>
          <w:rStyle w:val="Tablecaption1"/>
          <w:rFonts w:asciiTheme="minorHAnsi" w:hAnsiTheme="minorHAnsi" w:cstheme="minorHAnsi"/>
          <w:b/>
        </w:rPr>
        <w:t>middel</w:t>
      </w:r>
      <w:r w:rsidR="00B3254B" w:rsidRPr="00085571">
        <w:rPr>
          <w:rStyle w:val="Tablecaption1"/>
          <w:rFonts w:asciiTheme="minorHAnsi" w:hAnsiTheme="minorHAnsi" w:cstheme="minorHAnsi"/>
          <w:b/>
        </w:rPr>
        <w:t xml:space="preserve"> risiko” </w:t>
      </w:r>
      <w:r w:rsidR="00531EC5" w:rsidRPr="00085571">
        <w:rPr>
          <w:rStyle w:val="Tablecaption1"/>
          <w:rFonts w:asciiTheme="minorHAnsi" w:hAnsiTheme="minorHAnsi" w:cstheme="minorHAnsi"/>
          <w:b/>
        </w:rPr>
        <w:t xml:space="preserve">og </w:t>
      </w:r>
      <w:r w:rsidR="00B3254B" w:rsidRPr="00085571">
        <w:rPr>
          <w:rStyle w:val="Tablecaption1"/>
          <w:rFonts w:asciiTheme="minorHAnsi" w:hAnsiTheme="minorHAnsi" w:cstheme="minorHAnsi"/>
          <w:b/>
        </w:rPr>
        <w:t>”</w:t>
      </w:r>
      <w:r w:rsidRPr="00085571">
        <w:rPr>
          <w:rStyle w:val="Tablecaption1"/>
          <w:rFonts w:asciiTheme="minorHAnsi" w:hAnsiTheme="minorHAnsi" w:cstheme="minorHAnsi"/>
          <w:b/>
        </w:rPr>
        <w:t>høj</w:t>
      </w:r>
      <w:r w:rsidR="00B3254B" w:rsidRPr="00085571">
        <w:rPr>
          <w:rStyle w:val="Tablecaption1"/>
          <w:rFonts w:asciiTheme="minorHAnsi" w:hAnsiTheme="minorHAnsi" w:cstheme="minorHAnsi"/>
          <w:b/>
        </w:rPr>
        <w:t xml:space="preserve"> </w:t>
      </w:r>
      <w:r w:rsidRPr="00085571">
        <w:rPr>
          <w:rStyle w:val="Tablecaption1"/>
          <w:rFonts w:asciiTheme="minorHAnsi" w:hAnsiTheme="minorHAnsi" w:cstheme="minorHAnsi"/>
          <w:b/>
        </w:rPr>
        <w:t>risiko</w:t>
      </w:r>
      <w:r w:rsidR="00B3254B" w:rsidRPr="00085571">
        <w:rPr>
          <w:rStyle w:val="Tablecaption1"/>
          <w:rFonts w:asciiTheme="minorHAnsi" w:hAnsiTheme="minorHAnsi" w:cstheme="minorHAnsi"/>
          <w:b/>
        </w:rPr>
        <w:t>”</w:t>
      </w:r>
    </w:p>
    <w:p w14:paraId="59628AD3" w14:textId="2E08A1A1" w:rsidR="00B3254B" w:rsidRPr="00085571" w:rsidRDefault="00AD1FE8" w:rsidP="00DD4896">
      <w:pPr>
        <w:pStyle w:val="Bodytext20"/>
        <w:shd w:val="clear" w:color="auto" w:fill="auto"/>
        <w:spacing w:before="293" w:after="240" w:line="240" w:lineRule="auto"/>
        <w:ind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>Er risikoniveauet for stoffet eller anvendelsen ”middel risiko” eller ”høj risiko”, skal a</w:t>
      </w:r>
      <w:r w:rsidR="00164F33" w:rsidRPr="00085571">
        <w:rPr>
          <w:rFonts w:asciiTheme="minorHAnsi" w:hAnsiTheme="minorHAnsi" w:cstheme="minorHAnsi"/>
        </w:rPr>
        <w:t xml:space="preserve">nsøgeren </w:t>
      </w:r>
      <w:r w:rsidRPr="00085571">
        <w:rPr>
          <w:rFonts w:asciiTheme="minorHAnsi" w:hAnsiTheme="minorHAnsi" w:cstheme="minorHAnsi"/>
        </w:rPr>
        <w:t>ved</w:t>
      </w:r>
      <w:r w:rsidR="00164F33" w:rsidRPr="00085571">
        <w:rPr>
          <w:rFonts w:asciiTheme="minorHAnsi" w:hAnsiTheme="minorHAnsi" w:cstheme="minorHAnsi"/>
        </w:rPr>
        <w:t>lægge et sikkerhedsdatablad</w:t>
      </w:r>
      <w:r w:rsidRPr="00085571">
        <w:rPr>
          <w:rFonts w:asciiTheme="minorHAnsi" w:hAnsiTheme="minorHAnsi" w:cstheme="minorHAnsi"/>
        </w:rPr>
        <w:t xml:space="preserve">, i overensstemmelse med </w:t>
      </w:r>
      <w:r w:rsidR="00A979B6" w:rsidRPr="00A979B6">
        <w:rPr>
          <w:rFonts w:asciiTheme="minorHAnsi" w:hAnsiTheme="minorHAnsi" w:cstheme="minorHAnsi"/>
        </w:rPr>
        <w:t>REACH-forordningens bilag II</w:t>
      </w:r>
      <w:r w:rsidR="00A979B6">
        <w:rPr>
          <w:rFonts w:asciiTheme="minorHAnsi" w:hAnsiTheme="minorHAnsi" w:cstheme="minorHAnsi"/>
        </w:rPr>
        <w:t xml:space="preserve"> samt et e</w:t>
      </w:r>
      <w:r w:rsidR="00A979B6" w:rsidRPr="00A979B6">
        <w:rPr>
          <w:rFonts w:asciiTheme="minorHAnsi" w:hAnsiTheme="minorHAnsi" w:cstheme="minorHAnsi"/>
        </w:rPr>
        <w:t>ksponeringsscenarie for arbejdstagere og/eller forbrugere</w:t>
      </w:r>
      <w:r w:rsidR="00A979B6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>til ansøgningen</w:t>
      </w:r>
      <w:r w:rsidR="00164F33" w:rsidRPr="00085571">
        <w:rPr>
          <w:rFonts w:asciiTheme="minorHAnsi" w:hAnsiTheme="minorHAnsi" w:cstheme="minorHAnsi"/>
        </w:rPr>
        <w:t xml:space="preserve">. </w:t>
      </w:r>
      <w:r w:rsidR="00B3254B" w:rsidRPr="00085571">
        <w:rPr>
          <w:rFonts w:asciiTheme="minorHAnsi" w:hAnsiTheme="minorHAnsi" w:cstheme="minorHAnsi"/>
        </w:rPr>
        <w:t xml:space="preserve">Hvis stoffet ikke anses for </w:t>
      </w:r>
      <w:r w:rsidR="00983E62" w:rsidRPr="00983E62">
        <w:rPr>
          <w:rFonts w:asciiTheme="minorHAnsi" w:hAnsiTheme="minorHAnsi" w:cstheme="minorHAnsi"/>
        </w:rPr>
        <w:t xml:space="preserve">særligt problematisk </w:t>
      </w:r>
      <w:r w:rsidR="00B3254B" w:rsidRPr="00085571">
        <w:rPr>
          <w:rFonts w:asciiTheme="minorHAnsi" w:hAnsiTheme="minorHAnsi" w:cstheme="minorHAnsi"/>
        </w:rPr>
        <w:t xml:space="preserve">i henhold til REACH-forordningen eller </w:t>
      </w:r>
      <w:r w:rsidR="00983E62" w:rsidRPr="00085571">
        <w:rPr>
          <w:rFonts w:asciiTheme="minorHAnsi" w:hAnsiTheme="minorHAnsi" w:cstheme="minorHAnsi"/>
        </w:rPr>
        <w:t>farligt</w:t>
      </w:r>
      <w:r w:rsidR="00983E62">
        <w:rPr>
          <w:rFonts w:asciiTheme="minorHAnsi" w:hAnsiTheme="minorHAnsi" w:cstheme="minorHAnsi"/>
        </w:rPr>
        <w:t xml:space="preserve"> i henhold</w:t>
      </w:r>
      <w:r w:rsidR="00983E62" w:rsidRPr="00085571">
        <w:rPr>
          <w:rFonts w:asciiTheme="minorHAnsi" w:hAnsiTheme="minorHAnsi" w:cstheme="minorHAnsi"/>
        </w:rPr>
        <w:t xml:space="preserve"> </w:t>
      </w:r>
      <w:r w:rsidR="00B3254B" w:rsidRPr="00085571">
        <w:rPr>
          <w:rFonts w:asciiTheme="minorHAnsi" w:hAnsiTheme="minorHAnsi" w:cstheme="minorHAnsi"/>
        </w:rPr>
        <w:t>CLP-forordningen, jf. fareniveau 0, kan en samling af tilsvarende oplysninger vedlægges ansøgningen.</w:t>
      </w:r>
      <w:r w:rsidR="00164F33" w:rsidRPr="00085571">
        <w:rPr>
          <w:rFonts w:asciiTheme="minorHAnsi" w:hAnsiTheme="minorHAnsi" w:cstheme="minorHAnsi"/>
        </w:rPr>
        <w:t xml:space="preserve"> </w:t>
      </w:r>
      <w:r w:rsidR="00B3254B" w:rsidRPr="00085571">
        <w:rPr>
          <w:rFonts w:asciiTheme="minorHAnsi" w:hAnsiTheme="minorHAnsi" w:cstheme="minorHAnsi"/>
        </w:rPr>
        <w:t>Det samme gør sig gældende</w:t>
      </w:r>
      <w:r w:rsidR="005932EE" w:rsidRPr="00085571">
        <w:rPr>
          <w:rFonts w:asciiTheme="minorHAnsi" w:hAnsiTheme="minorHAnsi" w:cstheme="minorHAnsi"/>
        </w:rPr>
        <w:t>,</w:t>
      </w:r>
      <w:r w:rsidR="00B3254B" w:rsidRPr="00085571">
        <w:rPr>
          <w:rFonts w:asciiTheme="minorHAnsi" w:hAnsiTheme="minorHAnsi" w:cstheme="minorHAnsi"/>
        </w:rPr>
        <w:t xml:space="preserve"> </w:t>
      </w:r>
      <w:r w:rsidR="00164F33" w:rsidRPr="00085571">
        <w:rPr>
          <w:rFonts w:asciiTheme="minorHAnsi" w:hAnsiTheme="minorHAnsi" w:cstheme="minorHAnsi"/>
        </w:rPr>
        <w:t xml:space="preserve">hvis mængden er mindre end 10 </w:t>
      </w:r>
      <w:r w:rsidR="00A66806" w:rsidRPr="00085571">
        <w:rPr>
          <w:rFonts w:asciiTheme="minorHAnsi" w:hAnsiTheme="minorHAnsi" w:cstheme="minorHAnsi"/>
        </w:rPr>
        <w:t>ton pr. år</w:t>
      </w:r>
      <w:r w:rsidR="00164F33" w:rsidRPr="00085571">
        <w:rPr>
          <w:rFonts w:asciiTheme="minorHAnsi" w:hAnsiTheme="minorHAnsi" w:cstheme="minorHAnsi"/>
        </w:rPr>
        <w:t xml:space="preserve"> (dvs. </w:t>
      </w:r>
      <w:r w:rsidR="00A66806" w:rsidRPr="00085571">
        <w:rPr>
          <w:rFonts w:asciiTheme="minorHAnsi" w:hAnsiTheme="minorHAnsi" w:cstheme="minorHAnsi"/>
        </w:rPr>
        <w:t>fare</w:t>
      </w:r>
      <w:r w:rsidR="00164F33" w:rsidRPr="00085571">
        <w:rPr>
          <w:rFonts w:asciiTheme="minorHAnsi" w:hAnsiTheme="minorHAnsi" w:cstheme="minorHAnsi"/>
        </w:rPr>
        <w:t xml:space="preserve">niveau 2 </w:t>
      </w:r>
      <w:r w:rsidR="00B3254B" w:rsidRPr="00085571">
        <w:rPr>
          <w:rFonts w:asciiTheme="minorHAnsi" w:hAnsiTheme="minorHAnsi" w:cstheme="minorHAnsi"/>
        </w:rPr>
        <w:t>og</w:t>
      </w:r>
      <w:r w:rsidR="00164F33" w:rsidRPr="00085571">
        <w:rPr>
          <w:rFonts w:asciiTheme="minorHAnsi" w:hAnsiTheme="minorHAnsi" w:cstheme="minorHAnsi"/>
        </w:rPr>
        <w:t xml:space="preserve"> &lt; 10 </w:t>
      </w:r>
      <w:r w:rsidR="00A66806" w:rsidRPr="00085571">
        <w:rPr>
          <w:rFonts w:asciiTheme="minorHAnsi" w:hAnsiTheme="minorHAnsi" w:cstheme="minorHAnsi"/>
        </w:rPr>
        <w:t>ton pr. år</w:t>
      </w:r>
      <w:r w:rsidR="00164F33" w:rsidRPr="00085571">
        <w:rPr>
          <w:rFonts w:asciiTheme="minorHAnsi" w:hAnsiTheme="minorHAnsi" w:cstheme="minorHAnsi"/>
        </w:rPr>
        <w:t xml:space="preserve"> i middelrisikoniveau</w:t>
      </w:r>
      <w:r w:rsidRPr="00085571">
        <w:rPr>
          <w:rFonts w:asciiTheme="minorHAnsi" w:hAnsiTheme="minorHAnsi" w:cstheme="minorHAnsi"/>
        </w:rPr>
        <w:t>et</w:t>
      </w:r>
      <w:r w:rsidR="00164F33" w:rsidRPr="00085571">
        <w:rPr>
          <w:rFonts w:asciiTheme="minorHAnsi" w:hAnsiTheme="minorHAnsi" w:cstheme="minorHAnsi"/>
        </w:rPr>
        <w:t xml:space="preserve">). </w:t>
      </w:r>
    </w:p>
    <w:p w14:paraId="57B17B48" w14:textId="1C2D6413" w:rsidR="00164F33" w:rsidRPr="00085571" w:rsidRDefault="00164F33" w:rsidP="00DD4896">
      <w:pPr>
        <w:pStyle w:val="Bodytext20"/>
        <w:shd w:val="clear" w:color="auto" w:fill="auto"/>
        <w:spacing w:before="293" w:after="240" w:line="240" w:lineRule="auto"/>
        <w:ind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 xml:space="preserve">Ansøgeren skal </w:t>
      </w:r>
      <w:r w:rsidR="00AD1FE8" w:rsidRPr="00085571">
        <w:rPr>
          <w:rFonts w:asciiTheme="minorHAnsi" w:hAnsiTheme="minorHAnsi" w:cstheme="minorHAnsi"/>
        </w:rPr>
        <w:t xml:space="preserve">vedlægge </w:t>
      </w:r>
      <w:r w:rsidRPr="00085571">
        <w:rPr>
          <w:rFonts w:asciiTheme="minorHAnsi" w:hAnsiTheme="minorHAnsi" w:cstheme="minorHAnsi"/>
        </w:rPr>
        <w:t>en kemikaliesikkerhedsvurdering</w:t>
      </w:r>
      <w:r w:rsidR="00AD1FE8" w:rsidRPr="00085571">
        <w:rPr>
          <w:rFonts w:asciiTheme="minorHAnsi" w:hAnsiTheme="minorHAnsi" w:cstheme="minorHAnsi"/>
        </w:rPr>
        <w:t xml:space="preserve">, i overensstemmelse med tabel </w:t>
      </w:r>
      <w:r w:rsidR="00A979B6">
        <w:rPr>
          <w:rFonts w:asciiTheme="minorHAnsi" w:hAnsiTheme="minorHAnsi" w:cstheme="minorHAnsi"/>
        </w:rPr>
        <w:t>1</w:t>
      </w:r>
      <w:r w:rsidR="00D1636D" w:rsidRPr="00085571">
        <w:rPr>
          <w:rFonts w:asciiTheme="minorHAnsi" w:hAnsiTheme="minorHAnsi" w:cstheme="minorHAnsi"/>
        </w:rPr>
        <w:t xml:space="preserve"> nedenfor</w:t>
      </w:r>
      <w:r w:rsidR="00AD1FE8" w:rsidRPr="00085571">
        <w:rPr>
          <w:rFonts w:asciiTheme="minorHAnsi" w:hAnsiTheme="minorHAnsi" w:cstheme="minorHAnsi"/>
        </w:rPr>
        <w:t>, til ansøgningen</w:t>
      </w:r>
      <w:r w:rsidRPr="00085571">
        <w:rPr>
          <w:rFonts w:asciiTheme="minorHAnsi" w:hAnsiTheme="minorHAnsi" w:cstheme="minorHAnsi"/>
        </w:rPr>
        <w:t xml:space="preserve">, hvis mængden er på over 10 </w:t>
      </w:r>
      <w:r w:rsidR="00A66806" w:rsidRPr="00085571">
        <w:rPr>
          <w:rFonts w:asciiTheme="minorHAnsi" w:hAnsiTheme="minorHAnsi" w:cstheme="minorHAnsi"/>
        </w:rPr>
        <w:t>ton pr. år</w:t>
      </w:r>
      <w:r w:rsidR="005932EE" w:rsidRPr="00085571">
        <w:rPr>
          <w:rFonts w:asciiTheme="minorHAnsi" w:hAnsiTheme="minorHAnsi" w:cstheme="minorHAnsi"/>
        </w:rPr>
        <w:t>,</w:t>
      </w:r>
      <w:r w:rsidRPr="00085571">
        <w:rPr>
          <w:rFonts w:asciiTheme="minorHAnsi" w:hAnsiTheme="minorHAnsi" w:cstheme="minorHAnsi"/>
        </w:rPr>
        <w:t xml:space="preserve"> </w:t>
      </w:r>
      <w:r w:rsidR="00B3254B" w:rsidRPr="00085571">
        <w:rPr>
          <w:rFonts w:asciiTheme="minorHAnsi" w:hAnsiTheme="minorHAnsi" w:cstheme="minorHAnsi"/>
        </w:rPr>
        <w:t xml:space="preserve">hvor </w:t>
      </w:r>
      <w:r w:rsidR="00165D61" w:rsidRPr="00085571">
        <w:rPr>
          <w:rFonts w:asciiTheme="minorHAnsi" w:hAnsiTheme="minorHAnsi" w:cstheme="minorHAnsi"/>
        </w:rPr>
        <w:t>risikoniveaue</w:t>
      </w:r>
      <w:r w:rsidR="00165D61">
        <w:rPr>
          <w:rFonts w:asciiTheme="minorHAnsi" w:hAnsiTheme="minorHAnsi" w:cstheme="minorHAnsi"/>
        </w:rPr>
        <w:t>t</w:t>
      </w:r>
      <w:r w:rsidR="00165D61" w:rsidRPr="00085571">
        <w:rPr>
          <w:rFonts w:asciiTheme="minorHAnsi" w:hAnsiTheme="minorHAnsi" w:cstheme="minorHAnsi"/>
        </w:rPr>
        <w:t xml:space="preserve"> </w:t>
      </w:r>
      <w:r w:rsidR="00B3254B" w:rsidRPr="00085571">
        <w:rPr>
          <w:rFonts w:asciiTheme="minorHAnsi" w:hAnsiTheme="minorHAnsi" w:cstheme="minorHAnsi"/>
        </w:rPr>
        <w:t>er ”middel risiko”</w:t>
      </w:r>
      <w:r w:rsidRPr="00085571">
        <w:rPr>
          <w:rFonts w:asciiTheme="minorHAnsi" w:hAnsiTheme="minorHAnsi" w:cstheme="minorHAnsi"/>
        </w:rPr>
        <w:t xml:space="preserve">, og i alle tilfælde, hvor risikoniveauet er </w:t>
      </w:r>
      <w:r w:rsidR="00B3254B" w:rsidRPr="00085571">
        <w:rPr>
          <w:rFonts w:asciiTheme="minorHAnsi" w:hAnsiTheme="minorHAnsi" w:cstheme="minorHAnsi"/>
        </w:rPr>
        <w:t>”</w:t>
      </w:r>
      <w:r w:rsidRPr="00085571">
        <w:rPr>
          <w:rFonts w:asciiTheme="minorHAnsi" w:hAnsiTheme="minorHAnsi" w:cstheme="minorHAnsi"/>
        </w:rPr>
        <w:t>høj</w:t>
      </w:r>
      <w:r w:rsidR="00B3254B" w:rsidRPr="00085571">
        <w:rPr>
          <w:rFonts w:asciiTheme="minorHAnsi" w:hAnsiTheme="minorHAnsi" w:cstheme="minorHAnsi"/>
        </w:rPr>
        <w:t xml:space="preserve"> risiko”</w:t>
      </w:r>
      <w:r w:rsidRPr="00085571">
        <w:rPr>
          <w:rFonts w:asciiTheme="minorHAnsi" w:hAnsiTheme="minorHAnsi" w:cstheme="minorHAnsi"/>
        </w:rPr>
        <w:t>.</w:t>
      </w:r>
    </w:p>
    <w:p w14:paraId="52F05CF1" w14:textId="2D4C642F" w:rsidR="00164F33" w:rsidRPr="00085571" w:rsidRDefault="00D1636D" w:rsidP="00DD4896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085571">
        <w:rPr>
          <w:rFonts w:asciiTheme="minorHAnsi" w:hAnsiTheme="minorHAnsi" w:cstheme="minorHAnsi"/>
        </w:rPr>
        <w:t>Ved ansø</w:t>
      </w:r>
      <w:r w:rsidR="00531EC5" w:rsidRPr="00085571">
        <w:rPr>
          <w:rFonts w:asciiTheme="minorHAnsi" w:hAnsiTheme="minorHAnsi" w:cstheme="minorHAnsi"/>
        </w:rPr>
        <w:t>g</w:t>
      </w:r>
      <w:r w:rsidRPr="00085571">
        <w:rPr>
          <w:rFonts w:asciiTheme="minorHAnsi" w:hAnsiTheme="minorHAnsi" w:cstheme="minorHAnsi"/>
        </w:rPr>
        <w:t>ning om undtagelse</w:t>
      </w:r>
      <w:r w:rsidR="00164F33" w:rsidRPr="00085571">
        <w:rPr>
          <w:rFonts w:asciiTheme="minorHAnsi" w:hAnsiTheme="minorHAnsi" w:cstheme="minorHAnsi"/>
        </w:rPr>
        <w:t xml:space="preserve"> fra </w:t>
      </w:r>
      <w:r w:rsidRPr="00085571">
        <w:rPr>
          <w:rFonts w:asciiTheme="minorHAnsi" w:hAnsiTheme="minorHAnsi" w:cstheme="minorHAnsi"/>
        </w:rPr>
        <w:t xml:space="preserve">REACH-forordningens bilag XIV om fortegnelse over stoffer, der kræver </w:t>
      </w:r>
      <w:r w:rsidR="00164F33" w:rsidRPr="00085571">
        <w:rPr>
          <w:rFonts w:asciiTheme="minorHAnsi" w:hAnsiTheme="minorHAnsi" w:cstheme="minorHAnsi"/>
        </w:rPr>
        <w:t xml:space="preserve">godkendelse eller </w:t>
      </w:r>
      <w:r w:rsidRPr="00085571">
        <w:rPr>
          <w:rFonts w:asciiTheme="minorHAnsi" w:hAnsiTheme="minorHAnsi" w:cstheme="minorHAnsi"/>
        </w:rPr>
        <w:t xml:space="preserve">bilag XVII om </w:t>
      </w:r>
      <w:r w:rsidR="00164F33" w:rsidRPr="00085571">
        <w:rPr>
          <w:rFonts w:asciiTheme="minorHAnsi" w:hAnsiTheme="minorHAnsi" w:cstheme="minorHAnsi"/>
        </w:rPr>
        <w:t>begrænsning</w:t>
      </w:r>
      <w:r w:rsidRPr="00085571">
        <w:rPr>
          <w:rFonts w:asciiTheme="minorHAnsi" w:hAnsiTheme="minorHAnsi" w:cstheme="minorHAnsi"/>
        </w:rPr>
        <w:t>er vedrørende fremstilling, markedsføring og anvendelse af visse stoffer, blandinger og artikler,</w:t>
      </w:r>
      <w:r w:rsidR="00164F33" w:rsidRPr="00085571">
        <w:rPr>
          <w:rFonts w:asciiTheme="minorHAnsi" w:hAnsiTheme="minorHAnsi" w:cstheme="minorHAnsi"/>
        </w:rPr>
        <w:t xml:space="preserve"> er det kun de anvendelser</w:t>
      </w:r>
      <w:r w:rsidR="005932EE" w:rsidRPr="00085571">
        <w:rPr>
          <w:rFonts w:asciiTheme="minorHAnsi" w:hAnsiTheme="minorHAnsi" w:cstheme="minorHAnsi"/>
        </w:rPr>
        <w:t>,</w:t>
      </w:r>
      <w:r w:rsidR="00164F33" w:rsidRPr="00085571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 xml:space="preserve">som </w:t>
      </w:r>
      <w:r w:rsidR="005932EE" w:rsidRPr="00085571">
        <w:rPr>
          <w:rFonts w:asciiTheme="minorHAnsi" w:hAnsiTheme="minorHAnsi" w:cstheme="minorHAnsi"/>
        </w:rPr>
        <w:t xml:space="preserve">er </w:t>
      </w:r>
      <w:r w:rsidRPr="00085571">
        <w:rPr>
          <w:rFonts w:asciiTheme="minorHAnsi" w:hAnsiTheme="minorHAnsi" w:cstheme="minorHAnsi"/>
        </w:rPr>
        <w:t>relevante for forsvaret</w:t>
      </w:r>
      <w:r w:rsidR="000772B2">
        <w:rPr>
          <w:rFonts w:asciiTheme="minorHAnsi" w:hAnsiTheme="minorHAnsi" w:cstheme="minorHAnsi"/>
        </w:rPr>
        <w:t xml:space="preserve"> eller den nationale sikkerhed</w:t>
      </w:r>
      <w:r w:rsidR="005932EE" w:rsidRPr="00085571">
        <w:rPr>
          <w:rFonts w:asciiTheme="minorHAnsi" w:hAnsiTheme="minorHAnsi" w:cstheme="minorHAnsi"/>
        </w:rPr>
        <w:t>,</w:t>
      </w:r>
      <w:r w:rsidR="00164F33" w:rsidRPr="00085571">
        <w:rPr>
          <w:rFonts w:asciiTheme="minorHAnsi" w:hAnsiTheme="minorHAnsi" w:cstheme="minorHAnsi"/>
        </w:rPr>
        <w:t xml:space="preserve"> </w:t>
      </w:r>
      <w:r w:rsidRPr="00085571">
        <w:rPr>
          <w:rFonts w:asciiTheme="minorHAnsi" w:hAnsiTheme="minorHAnsi" w:cstheme="minorHAnsi"/>
        </w:rPr>
        <w:t xml:space="preserve">som </w:t>
      </w:r>
      <w:r w:rsidR="00164F33" w:rsidRPr="00085571">
        <w:rPr>
          <w:rFonts w:asciiTheme="minorHAnsi" w:hAnsiTheme="minorHAnsi" w:cstheme="minorHAnsi"/>
        </w:rPr>
        <w:t>nævnes</w:t>
      </w:r>
      <w:r w:rsidR="005932EE" w:rsidRPr="00085571">
        <w:rPr>
          <w:rFonts w:asciiTheme="minorHAnsi" w:hAnsiTheme="minorHAnsi" w:cstheme="minorHAnsi"/>
        </w:rPr>
        <w:t>,</w:t>
      </w:r>
      <w:r w:rsidR="00E9654C" w:rsidRPr="00085571">
        <w:rPr>
          <w:rFonts w:asciiTheme="minorHAnsi" w:hAnsiTheme="minorHAnsi" w:cstheme="minorHAnsi"/>
        </w:rPr>
        <w:t xml:space="preserve"> og </w:t>
      </w:r>
      <w:r w:rsidR="00164F33" w:rsidRPr="00085571">
        <w:rPr>
          <w:rFonts w:asciiTheme="minorHAnsi" w:hAnsiTheme="minorHAnsi" w:cstheme="minorHAnsi"/>
        </w:rPr>
        <w:t>kemikaliesikkerhedsvurdering</w:t>
      </w:r>
      <w:r w:rsidR="005932EE" w:rsidRPr="00085571">
        <w:rPr>
          <w:rFonts w:asciiTheme="minorHAnsi" w:hAnsiTheme="minorHAnsi" w:cstheme="minorHAnsi"/>
        </w:rPr>
        <w:t>en</w:t>
      </w:r>
      <w:r w:rsidR="00164F33" w:rsidRPr="00085571">
        <w:rPr>
          <w:rFonts w:asciiTheme="minorHAnsi" w:hAnsiTheme="minorHAnsi" w:cstheme="minorHAnsi"/>
        </w:rPr>
        <w:t xml:space="preserve"> begrænse</w:t>
      </w:r>
      <w:r w:rsidR="00E9654C" w:rsidRPr="00085571">
        <w:rPr>
          <w:rFonts w:asciiTheme="minorHAnsi" w:hAnsiTheme="minorHAnsi" w:cstheme="minorHAnsi"/>
        </w:rPr>
        <w:t>s</w:t>
      </w:r>
      <w:r w:rsidR="00164F33" w:rsidRPr="00085571">
        <w:rPr>
          <w:rFonts w:asciiTheme="minorHAnsi" w:hAnsiTheme="minorHAnsi" w:cstheme="minorHAnsi"/>
        </w:rPr>
        <w:t xml:space="preserve"> til de relevante anvendelser og eksponeringsveje </w:t>
      </w:r>
      <w:r w:rsidRPr="00085571">
        <w:rPr>
          <w:rFonts w:asciiTheme="minorHAnsi" w:hAnsiTheme="minorHAnsi" w:cstheme="minorHAnsi"/>
        </w:rPr>
        <w:t>herfor</w:t>
      </w:r>
      <w:r w:rsidR="00164F33" w:rsidRPr="00085571">
        <w:rPr>
          <w:rFonts w:asciiTheme="minorHAnsi" w:hAnsiTheme="minorHAnsi" w:cstheme="minorHAnsi"/>
        </w:rPr>
        <w:t>.</w:t>
      </w:r>
    </w:p>
    <w:p w14:paraId="6DA5A505" w14:textId="77777777" w:rsidR="00164F33" w:rsidRPr="00085571" w:rsidRDefault="00164F33" w:rsidP="00DD4896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0ADC0412" w14:textId="7D9BF3EC" w:rsidR="00AD1FE8" w:rsidRPr="00085571" w:rsidRDefault="00D1636D" w:rsidP="00E9412D">
      <w:pPr>
        <w:spacing w:after="0" w:line="240" w:lineRule="auto"/>
        <w:rPr>
          <w:rFonts w:cstheme="minorHAnsi"/>
        </w:rPr>
      </w:pPr>
      <w:r w:rsidRPr="00085571">
        <w:rPr>
          <w:rFonts w:cstheme="minorHAnsi"/>
        </w:rPr>
        <w:t xml:space="preserve">Tabel </w:t>
      </w:r>
      <w:r w:rsidR="00A979B6">
        <w:rPr>
          <w:rFonts w:cstheme="minorHAnsi"/>
        </w:rPr>
        <w:t>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8218"/>
      </w:tblGrid>
      <w:tr w:rsidR="00D1636D" w:rsidRPr="00085571" w14:paraId="025CE21C" w14:textId="77777777" w:rsidTr="00886E03">
        <w:trPr>
          <w:trHeight w:hRule="exact" w:val="379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4F738" w14:textId="2CAEC260" w:rsidR="00D1636D" w:rsidRPr="00085571" w:rsidRDefault="00D1636D" w:rsidP="00D1636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85571">
              <w:rPr>
                <w:rFonts w:cstheme="minorHAnsi"/>
                <w:b/>
              </w:rPr>
              <w:t>Kemikaliesikkerhedsvurdering, begrænset til de relevante anvendelser og eksponeringsveje</w:t>
            </w:r>
          </w:p>
        </w:tc>
      </w:tr>
      <w:tr w:rsidR="00D1636D" w:rsidRPr="00085571" w14:paraId="22976A12" w14:textId="77777777" w:rsidTr="00531EC5">
        <w:trPr>
          <w:trHeight w:hRule="exact" w:val="38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AF994" w14:textId="5B010700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1</w:t>
            </w:r>
            <w:r w:rsidR="006C1712">
              <w:rPr>
                <w:rFonts w:cstheme="minorHAnsi"/>
              </w:rPr>
              <w:t>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7F73" w14:textId="07438817" w:rsidR="00D1636D" w:rsidRPr="00085571" w:rsidRDefault="00D1636D" w:rsidP="00EF1C21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Vurdering af faren for menneskers sundhed (DNEL)</w:t>
            </w:r>
          </w:p>
        </w:tc>
      </w:tr>
      <w:tr w:rsidR="00D1636D" w:rsidRPr="00085571" w14:paraId="289BF668" w14:textId="77777777" w:rsidTr="00531EC5">
        <w:trPr>
          <w:trHeight w:hRule="exact" w:val="37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D01CB" w14:textId="51767433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2</w:t>
            </w:r>
            <w:r w:rsidR="006C1712">
              <w:rPr>
                <w:rFonts w:cstheme="minorHAnsi"/>
              </w:rPr>
              <w:t>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A86A3" w14:textId="77777777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Fysisk-kemisk farevurdering (klassificering)</w:t>
            </w:r>
          </w:p>
        </w:tc>
      </w:tr>
      <w:tr w:rsidR="00D1636D" w:rsidRPr="00085571" w14:paraId="56939886" w14:textId="77777777" w:rsidTr="00531EC5">
        <w:trPr>
          <w:trHeight w:hRule="exact" w:val="38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8A96F" w14:textId="4854A344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3</w:t>
            </w:r>
            <w:r w:rsidR="006C1712">
              <w:rPr>
                <w:rFonts w:cstheme="minorHAnsi"/>
              </w:rPr>
              <w:t>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8BCE6" w14:textId="77777777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Vurdering af miljøfare (PNEC)</w:t>
            </w:r>
          </w:p>
        </w:tc>
      </w:tr>
      <w:tr w:rsidR="00D1636D" w:rsidRPr="00085571" w14:paraId="3855D5E7" w14:textId="77777777" w:rsidTr="00531EC5">
        <w:trPr>
          <w:trHeight w:hRule="exact" w:val="38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F3CC5" w14:textId="72084044" w:rsidR="00D1636D" w:rsidRPr="00085571" w:rsidRDefault="00D1636D" w:rsidP="00D1636D">
            <w:pPr>
              <w:spacing w:line="240" w:lineRule="auto"/>
              <w:rPr>
                <w:rFonts w:cstheme="minorHAnsi"/>
              </w:rPr>
            </w:pPr>
            <w:r w:rsidRPr="00085571">
              <w:rPr>
                <w:rFonts w:cstheme="minorHAnsi"/>
              </w:rPr>
              <w:t>4</w:t>
            </w:r>
            <w:r w:rsidR="006C1712">
              <w:rPr>
                <w:rFonts w:cstheme="minorHAnsi"/>
              </w:rPr>
              <w:t>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B4794" w14:textId="7BECF35B" w:rsidR="00D1636D" w:rsidRPr="00085571" w:rsidRDefault="00EA6A99" w:rsidP="00EA6A9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Risiko k</w:t>
            </w:r>
            <w:r w:rsidR="00D1636D" w:rsidRPr="00085571">
              <w:rPr>
                <w:rFonts w:cstheme="minorHAnsi"/>
              </w:rPr>
              <w:t>arakterisering af eksponeringsvurdering</w:t>
            </w:r>
          </w:p>
        </w:tc>
      </w:tr>
    </w:tbl>
    <w:p w14:paraId="7A2B9052" w14:textId="77777777" w:rsidR="00AD1FE8" w:rsidRPr="00085571" w:rsidRDefault="00AD1FE8" w:rsidP="00D1636D">
      <w:pPr>
        <w:spacing w:line="240" w:lineRule="auto"/>
        <w:rPr>
          <w:rFonts w:cstheme="minorHAnsi"/>
        </w:rPr>
      </w:pPr>
    </w:p>
    <w:sectPr w:rsidR="00AD1FE8" w:rsidRPr="00085571">
      <w:headerReference w:type="even" r:id="rId8"/>
      <w:head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29D2" w14:textId="77777777" w:rsidR="000C3CE3" w:rsidRDefault="000C3CE3" w:rsidP="00EB643A">
      <w:pPr>
        <w:spacing w:after="0" w:line="240" w:lineRule="auto"/>
      </w:pPr>
      <w:r>
        <w:separator/>
      </w:r>
    </w:p>
  </w:endnote>
  <w:endnote w:type="continuationSeparator" w:id="0">
    <w:p w14:paraId="41CE0B56" w14:textId="77777777" w:rsidR="000C3CE3" w:rsidRDefault="000C3CE3" w:rsidP="00EB643A">
      <w:pPr>
        <w:spacing w:after="0" w:line="240" w:lineRule="auto"/>
      </w:pPr>
      <w:r>
        <w:continuationSeparator/>
      </w:r>
    </w:p>
  </w:endnote>
  <w:endnote w:type="continuationNotice" w:id="1">
    <w:p w14:paraId="40946360" w14:textId="77777777" w:rsidR="000C3CE3" w:rsidRDefault="000C3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5757F" w14:textId="77777777" w:rsidR="000C3CE3" w:rsidRDefault="000C3CE3" w:rsidP="00EB643A">
      <w:pPr>
        <w:spacing w:after="0" w:line="240" w:lineRule="auto"/>
      </w:pPr>
      <w:r>
        <w:separator/>
      </w:r>
    </w:p>
  </w:footnote>
  <w:footnote w:type="continuationSeparator" w:id="0">
    <w:p w14:paraId="09C242C5" w14:textId="77777777" w:rsidR="000C3CE3" w:rsidRDefault="000C3CE3" w:rsidP="00EB643A">
      <w:pPr>
        <w:spacing w:after="0" w:line="240" w:lineRule="auto"/>
      </w:pPr>
      <w:r>
        <w:continuationSeparator/>
      </w:r>
    </w:p>
  </w:footnote>
  <w:footnote w:type="continuationNotice" w:id="1">
    <w:p w14:paraId="1245C5B6" w14:textId="77777777" w:rsidR="000C3CE3" w:rsidRDefault="000C3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76B8" w14:textId="2EB91BC6" w:rsidR="00531EC5" w:rsidRDefault="000C3CE3">
    <w:pPr>
      <w:pStyle w:val="Sidehoved"/>
    </w:pPr>
    <w:r>
      <w:rPr>
        <w:noProof/>
      </w:rPr>
      <w:pict w14:anchorId="4ABC2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98985" o:spid="_x0000_s2050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71F5" w14:textId="1BE180B3" w:rsidR="00531EC5" w:rsidRDefault="000C3CE3">
    <w:pPr>
      <w:pStyle w:val="Sidehoved"/>
    </w:pPr>
    <w:r>
      <w:rPr>
        <w:noProof/>
      </w:rPr>
      <w:pict w14:anchorId="03EAD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98986" o:spid="_x0000_s2051" type="#_x0000_t136" style="position:absolute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  <w:r w:rsidR="00531EC5">
      <w:t>UDKAST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D589" w14:textId="00EAE811" w:rsidR="00531EC5" w:rsidRDefault="000C3CE3">
    <w:pPr>
      <w:pStyle w:val="Sidehoved"/>
    </w:pPr>
    <w:r>
      <w:rPr>
        <w:noProof/>
      </w:rPr>
      <w:pict w14:anchorId="53BFD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98984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0D4E72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86159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3159D"/>
    <w:multiLevelType w:val="hybridMultilevel"/>
    <w:tmpl w:val="D402E42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52477"/>
    <w:multiLevelType w:val="hybridMultilevel"/>
    <w:tmpl w:val="3A94B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52ECD"/>
    <w:multiLevelType w:val="multilevel"/>
    <w:tmpl w:val="750CC2D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13A25"/>
    <w:multiLevelType w:val="hybridMultilevel"/>
    <w:tmpl w:val="CFC8E6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314B1"/>
    <w:multiLevelType w:val="hybridMultilevel"/>
    <w:tmpl w:val="F75AE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5FC6"/>
    <w:multiLevelType w:val="multilevel"/>
    <w:tmpl w:val="064004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FE79AF"/>
    <w:multiLevelType w:val="hybridMultilevel"/>
    <w:tmpl w:val="1A36F4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39FF"/>
    <w:multiLevelType w:val="hybridMultilevel"/>
    <w:tmpl w:val="DB9C7C36"/>
    <w:lvl w:ilvl="0" w:tplc="519E723C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D4EF0"/>
    <w:multiLevelType w:val="multilevel"/>
    <w:tmpl w:val="2534A7A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F10D15"/>
    <w:multiLevelType w:val="hybridMultilevel"/>
    <w:tmpl w:val="96E096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20286"/>
    <w:multiLevelType w:val="hybridMultilevel"/>
    <w:tmpl w:val="9C8E6B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C2D22"/>
    <w:multiLevelType w:val="hybridMultilevel"/>
    <w:tmpl w:val="429A7B6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7BB8"/>
    <w:multiLevelType w:val="hybridMultilevel"/>
    <w:tmpl w:val="FDE270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1C92"/>
    <w:multiLevelType w:val="multilevel"/>
    <w:tmpl w:val="94562EA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E650A3"/>
    <w:multiLevelType w:val="hybridMultilevel"/>
    <w:tmpl w:val="6A5262D4"/>
    <w:lvl w:ilvl="0" w:tplc="01D6E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6A3D"/>
    <w:multiLevelType w:val="hybridMultilevel"/>
    <w:tmpl w:val="56FEB7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F5B0E"/>
    <w:multiLevelType w:val="multilevel"/>
    <w:tmpl w:val="DC02F9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0A6C9D"/>
    <w:multiLevelType w:val="multilevel"/>
    <w:tmpl w:val="3AE276A6"/>
    <w:lvl w:ilvl="0">
      <w:start w:val="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235B6A"/>
    <w:multiLevelType w:val="hybridMultilevel"/>
    <w:tmpl w:val="39F2651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2D2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4D35FC"/>
    <w:multiLevelType w:val="hybridMultilevel"/>
    <w:tmpl w:val="A4B8C9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A3230"/>
    <w:multiLevelType w:val="hybridMultilevel"/>
    <w:tmpl w:val="27DA5CC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F248C"/>
    <w:multiLevelType w:val="hybridMultilevel"/>
    <w:tmpl w:val="B0901D7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171A2"/>
    <w:multiLevelType w:val="hybridMultilevel"/>
    <w:tmpl w:val="37C4E5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61E2D"/>
    <w:multiLevelType w:val="hybridMultilevel"/>
    <w:tmpl w:val="C0868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0432D"/>
    <w:multiLevelType w:val="hybridMultilevel"/>
    <w:tmpl w:val="BFACC43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026BA"/>
    <w:multiLevelType w:val="hybridMultilevel"/>
    <w:tmpl w:val="F210D55E"/>
    <w:lvl w:ilvl="0" w:tplc="01D6E2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F404DE"/>
    <w:multiLevelType w:val="hybridMultilevel"/>
    <w:tmpl w:val="B27E1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F43E7"/>
    <w:multiLevelType w:val="multilevel"/>
    <w:tmpl w:val="66F2EF2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842B6E"/>
    <w:multiLevelType w:val="hybridMultilevel"/>
    <w:tmpl w:val="AC7EEA1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3C58"/>
    <w:multiLevelType w:val="hybridMultilevel"/>
    <w:tmpl w:val="64A6D26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F2C73"/>
    <w:multiLevelType w:val="hybridMultilevel"/>
    <w:tmpl w:val="DA22D20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2"/>
  </w:num>
  <w:num w:numId="3">
    <w:abstractNumId w:val="7"/>
  </w:num>
  <w:num w:numId="4">
    <w:abstractNumId w:val="15"/>
  </w:num>
  <w:num w:numId="5">
    <w:abstractNumId w:val="11"/>
  </w:num>
  <w:num w:numId="6">
    <w:abstractNumId w:val="0"/>
  </w:num>
  <w:num w:numId="7">
    <w:abstractNumId w:val="1"/>
  </w:num>
  <w:num w:numId="8">
    <w:abstractNumId w:val="30"/>
  </w:num>
  <w:num w:numId="9">
    <w:abstractNumId w:val="18"/>
  </w:num>
  <w:num w:numId="10">
    <w:abstractNumId w:val="10"/>
  </w:num>
  <w:num w:numId="11">
    <w:abstractNumId w:val="19"/>
  </w:num>
  <w:num w:numId="12">
    <w:abstractNumId w:val="8"/>
  </w:num>
  <w:num w:numId="13">
    <w:abstractNumId w:val="29"/>
  </w:num>
  <w:num w:numId="14">
    <w:abstractNumId w:val="21"/>
  </w:num>
  <w:num w:numId="15">
    <w:abstractNumId w:val="6"/>
  </w:num>
  <w:num w:numId="16">
    <w:abstractNumId w:val="26"/>
  </w:num>
  <w:num w:numId="17">
    <w:abstractNumId w:val="16"/>
  </w:num>
  <w:num w:numId="18">
    <w:abstractNumId w:val="14"/>
  </w:num>
  <w:num w:numId="19">
    <w:abstractNumId w:val="31"/>
  </w:num>
  <w:num w:numId="20">
    <w:abstractNumId w:val="9"/>
  </w:num>
  <w:num w:numId="21">
    <w:abstractNumId w:val="25"/>
  </w:num>
  <w:num w:numId="22">
    <w:abstractNumId w:val="12"/>
  </w:num>
  <w:num w:numId="23">
    <w:abstractNumId w:val="27"/>
  </w:num>
  <w:num w:numId="24">
    <w:abstractNumId w:val="24"/>
  </w:num>
  <w:num w:numId="25">
    <w:abstractNumId w:val="5"/>
  </w:num>
  <w:num w:numId="26">
    <w:abstractNumId w:val="23"/>
  </w:num>
  <w:num w:numId="27">
    <w:abstractNumId w:val="13"/>
  </w:num>
  <w:num w:numId="28">
    <w:abstractNumId w:val="2"/>
  </w:num>
  <w:num w:numId="29">
    <w:abstractNumId w:val="3"/>
  </w:num>
  <w:num w:numId="30">
    <w:abstractNumId w:val="28"/>
  </w:num>
  <w:num w:numId="31">
    <w:abstractNumId w:val="17"/>
  </w:num>
  <w:num w:numId="32">
    <w:abstractNumId w:val="4"/>
  </w:num>
  <w:num w:numId="33">
    <w:abstractNumId w:val="2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3A"/>
    <w:rsid w:val="00001E85"/>
    <w:rsid w:val="00001FF9"/>
    <w:rsid w:val="00004CA3"/>
    <w:rsid w:val="00004F56"/>
    <w:rsid w:val="000050E3"/>
    <w:rsid w:val="00005F1B"/>
    <w:rsid w:val="00010027"/>
    <w:rsid w:val="000116E0"/>
    <w:rsid w:val="00011C6D"/>
    <w:rsid w:val="00011CC6"/>
    <w:rsid w:val="00011D7B"/>
    <w:rsid w:val="0001288F"/>
    <w:rsid w:val="00013858"/>
    <w:rsid w:val="000163A5"/>
    <w:rsid w:val="00017938"/>
    <w:rsid w:val="0002112C"/>
    <w:rsid w:val="00021C75"/>
    <w:rsid w:val="00022BE9"/>
    <w:rsid w:val="00022FEB"/>
    <w:rsid w:val="0002390A"/>
    <w:rsid w:val="0003172B"/>
    <w:rsid w:val="000349BA"/>
    <w:rsid w:val="0003724C"/>
    <w:rsid w:val="0004056C"/>
    <w:rsid w:val="000409CD"/>
    <w:rsid w:val="00041BE8"/>
    <w:rsid w:val="00042397"/>
    <w:rsid w:val="000428DB"/>
    <w:rsid w:val="00045529"/>
    <w:rsid w:val="00046405"/>
    <w:rsid w:val="000513F8"/>
    <w:rsid w:val="00051428"/>
    <w:rsid w:val="000530D7"/>
    <w:rsid w:val="00053F95"/>
    <w:rsid w:val="00064877"/>
    <w:rsid w:val="000669EE"/>
    <w:rsid w:val="0006701B"/>
    <w:rsid w:val="00070C2A"/>
    <w:rsid w:val="0007278F"/>
    <w:rsid w:val="00073950"/>
    <w:rsid w:val="00074BBF"/>
    <w:rsid w:val="000750FC"/>
    <w:rsid w:val="00075CD0"/>
    <w:rsid w:val="00076FD6"/>
    <w:rsid w:val="000772B2"/>
    <w:rsid w:val="00077482"/>
    <w:rsid w:val="00081900"/>
    <w:rsid w:val="000839A9"/>
    <w:rsid w:val="00084100"/>
    <w:rsid w:val="0008465D"/>
    <w:rsid w:val="00084D6F"/>
    <w:rsid w:val="00085571"/>
    <w:rsid w:val="00086451"/>
    <w:rsid w:val="000920F5"/>
    <w:rsid w:val="00092A6F"/>
    <w:rsid w:val="0009426D"/>
    <w:rsid w:val="000946CE"/>
    <w:rsid w:val="00095958"/>
    <w:rsid w:val="00096789"/>
    <w:rsid w:val="00096C74"/>
    <w:rsid w:val="00097E0B"/>
    <w:rsid w:val="000A2A31"/>
    <w:rsid w:val="000A3576"/>
    <w:rsid w:val="000A5A47"/>
    <w:rsid w:val="000A6145"/>
    <w:rsid w:val="000A7658"/>
    <w:rsid w:val="000A7DBC"/>
    <w:rsid w:val="000B419A"/>
    <w:rsid w:val="000B4AA9"/>
    <w:rsid w:val="000B7B4C"/>
    <w:rsid w:val="000C0BA8"/>
    <w:rsid w:val="000C1676"/>
    <w:rsid w:val="000C267C"/>
    <w:rsid w:val="000C3A32"/>
    <w:rsid w:val="000C3C8A"/>
    <w:rsid w:val="000C3CE3"/>
    <w:rsid w:val="000C4162"/>
    <w:rsid w:val="000C5428"/>
    <w:rsid w:val="000C5CB6"/>
    <w:rsid w:val="000C6523"/>
    <w:rsid w:val="000C76A1"/>
    <w:rsid w:val="000D2493"/>
    <w:rsid w:val="000D3661"/>
    <w:rsid w:val="000D3F27"/>
    <w:rsid w:val="000D55DE"/>
    <w:rsid w:val="000D5802"/>
    <w:rsid w:val="000D6B30"/>
    <w:rsid w:val="000D6B4F"/>
    <w:rsid w:val="000E3F90"/>
    <w:rsid w:val="000E7BCB"/>
    <w:rsid w:val="000E7E16"/>
    <w:rsid w:val="000F2C28"/>
    <w:rsid w:val="000F57A1"/>
    <w:rsid w:val="00101302"/>
    <w:rsid w:val="00101BFB"/>
    <w:rsid w:val="001045D6"/>
    <w:rsid w:val="00104ABC"/>
    <w:rsid w:val="00104CD8"/>
    <w:rsid w:val="00106568"/>
    <w:rsid w:val="001071EE"/>
    <w:rsid w:val="001073E7"/>
    <w:rsid w:val="00107C9E"/>
    <w:rsid w:val="00110279"/>
    <w:rsid w:val="0011066E"/>
    <w:rsid w:val="001112B2"/>
    <w:rsid w:val="0011571C"/>
    <w:rsid w:val="001250BE"/>
    <w:rsid w:val="00126C4B"/>
    <w:rsid w:val="00131428"/>
    <w:rsid w:val="00134F81"/>
    <w:rsid w:val="00135D65"/>
    <w:rsid w:val="001363F7"/>
    <w:rsid w:val="00136736"/>
    <w:rsid w:val="001374D3"/>
    <w:rsid w:val="001413CF"/>
    <w:rsid w:val="00141C4C"/>
    <w:rsid w:val="0014220C"/>
    <w:rsid w:val="00142502"/>
    <w:rsid w:val="00144401"/>
    <w:rsid w:val="00146403"/>
    <w:rsid w:val="00150891"/>
    <w:rsid w:val="00152DCB"/>
    <w:rsid w:val="00153108"/>
    <w:rsid w:val="001569B6"/>
    <w:rsid w:val="00157950"/>
    <w:rsid w:val="00162E44"/>
    <w:rsid w:val="00163282"/>
    <w:rsid w:val="00164F33"/>
    <w:rsid w:val="00165D61"/>
    <w:rsid w:val="001732F9"/>
    <w:rsid w:val="00173C1F"/>
    <w:rsid w:val="0017477E"/>
    <w:rsid w:val="001759D0"/>
    <w:rsid w:val="00175E76"/>
    <w:rsid w:val="001761F3"/>
    <w:rsid w:val="00176C92"/>
    <w:rsid w:val="00177803"/>
    <w:rsid w:val="001779D9"/>
    <w:rsid w:val="00180706"/>
    <w:rsid w:val="00180F0B"/>
    <w:rsid w:val="00182E50"/>
    <w:rsid w:val="00183892"/>
    <w:rsid w:val="00184ACA"/>
    <w:rsid w:val="001856D6"/>
    <w:rsid w:val="0018601E"/>
    <w:rsid w:val="001865E0"/>
    <w:rsid w:val="00187280"/>
    <w:rsid w:val="00193612"/>
    <w:rsid w:val="00195C25"/>
    <w:rsid w:val="001A0C49"/>
    <w:rsid w:val="001A1806"/>
    <w:rsid w:val="001A25CE"/>
    <w:rsid w:val="001A4C5D"/>
    <w:rsid w:val="001A545E"/>
    <w:rsid w:val="001A57A8"/>
    <w:rsid w:val="001A5B3F"/>
    <w:rsid w:val="001A749A"/>
    <w:rsid w:val="001B066C"/>
    <w:rsid w:val="001B066F"/>
    <w:rsid w:val="001B17B0"/>
    <w:rsid w:val="001B1DE4"/>
    <w:rsid w:val="001B278D"/>
    <w:rsid w:val="001B3C1E"/>
    <w:rsid w:val="001B4FF1"/>
    <w:rsid w:val="001B5E22"/>
    <w:rsid w:val="001B77E8"/>
    <w:rsid w:val="001C15D6"/>
    <w:rsid w:val="001C490D"/>
    <w:rsid w:val="001D0677"/>
    <w:rsid w:val="001D2A92"/>
    <w:rsid w:val="001D40FC"/>
    <w:rsid w:val="001E0E4F"/>
    <w:rsid w:val="001E173F"/>
    <w:rsid w:val="001E1DA8"/>
    <w:rsid w:val="001E2999"/>
    <w:rsid w:val="001E35DD"/>
    <w:rsid w:val="001E4CB3"/>
    <w:rsid w:val="001E661F"/>
    <w:rsid w:val="001F13C2"/>
    <w:rsid w:val="001F2E96"/>
    <w:rsid w:val="001F4F34"/>
    <w:rsid w:val="001F66A6"/>
    <w:rsid w:val="00200395"/>
    <w:rsid w:val="0020053C"/>
    <w:rsid w:val="00200BB3"/>
    <w:rsid w:val="00203DBB"/>
    <w:rsid w:val="00204526"/>
    <w:rsid w:val="00211CF2"/>
    <w:rsid w:val="00215BFF"/>
    <w:rsid w:val="00216221"/>
    <w:rsid w:val="00221A0A"/>
    <w:rsid w:val="00221AAD"/>
    <w:rsid w:val="0022250C"/>
    <w:rsid w:val="0022331B"/>
    <w:rsid w:val="002239F3"/>
    <w:rsid w:val="002250D1"/>
    <w:rsid w:val="00225181"/>
    <w:rsid w:val="00226EAF"/>
    <w:rsid w:val="00226ED6"/>
    <w:rsid w:val="002303AA"/>
    <w:rsid w:val="00230CA9"/>
    <w:rsid w:val="0023229E"/>
    <w:rsid w:val="00233426"/>
    <w:rsid w:val="0023434C"/>
    <w:rsid w:val="00236484"/>
    <w:rsid w:val="002367C4"/>
    <w:rsid w:val="00237938"/>
    <w:rsid w:val="00240FFF"/>
    <w:rsid w:val="00241317"/>
    <w:rsid w:val="00242C72"/>
    <w:rsid w:val="00243ED5"/>
    <w:rsid w:val="00246B5C"/>
    <w:rsid w:val="00250ED7"/>
    <w:rsid w:val="00254CC3"/>
    <w:rsid w:val="002560F7"/>
    <w:rsid w:val="00256ADF"/>
    <w:rsid w:val="0026042A"/>
    <w:rsid w:val="00262160"/>
    <w:rsid w:val="002643CC"/>
    <w:rsid w:val="00271D9C"/>
    <w:rsid w:val="00275B9B"/>
    <w:rsid w:val="002761E1"/>
    <w:rsid w:val="00276BA6"/>
    <w:rsid w:val="002773DB"/>
    <w:rsid w:val="00281BD9"/>
    <w:rsid w:val="00281E7E"/>
    <w:rsid w:val="00284F77"/>
    <w:rsid w:val="00285B28"/>
    <w:rsid w:val="002866FA"/>
    <w:rsid w:val="002919AB"/>
    <w:rsid w:val="00292836"/>
    <w:rsid w:val="00297D93"/>
    <w:rsid w:val="002A0A08"/>
    <w:rsid w:val="002A0E23"/>
    <w:rsid w:val="002A2981"/>
    <w:rsid w:val="002A4F06"/>
    <w:rsid w:val="002A4FB6"/>
    <w:rsid w:val="002B146C"/>
    <w:rsid w:val="002B3B17"/>
    <w:rsid w:val="002B5561"/>
    <w:rsid w:val="002B58AA"/>
    <w:rsid w:val="002B5AE0"/>
    <w:rsid w:val="002B7137"/>
    <w:rsid w:val="002C08A0"/>
    <w:rsid w:val="002C27AC"/>
    <w:rsid w:val="002C2C69"/>
    <w:rsid w:val="002C2FBD"/>
    <w:rsid w:val="002C3128"/>
    <w:rsid w:val="002D231A"/>
    <w:rsid w:val="002D4687"/>
    <w:rsid w:val="002D540C"/>
    <w:rsid w:val="002D5D3F"/>
    <w:rsid w:val="002E2626"/>
    <w:rsid w:val="002E39EC"/>
    <w:rsid w:val="002E5030"/>
    <w:rsid w:val="002E5E35"/>
    <w:rsid w:val="002F0710"/>
    <w:rsid w:val="002F1667"/>
    <w:rsid w:val="002F2503"/>
    <w:rsid w:val="002F3688"/>
    <w:rsid w:val="002F3A85"/>
    <w:rsid w:val="002F44AA"/>
    <w:rsid w:val="002F5DE3"/>
    <w:rsid w:val="002F6C17"/>
    <w:rsid w:val="002F79B2"/>
    <w:rsid w:val="0030044E"/>
    <w:rsid w:val="0030235F"/>
    <w:rsid w:val="003027B2"/>
    <w:rsid w:val="00302B1F"/>
    <w:rsid w:val="00303FD0"/>
    <w:rsid w:val="00307DE5"/>
    <w:rsid w:val="00310E9C"/>
    <w:rsid w:val="003113D7"/>
    <w:rsid w:val="00311F3E"/>
    <w:rsid w:val="00312A32"/>
    <w:rsid w:val="00312FED"/>
    <w:rsid w:val="00313B90"/>
    <w:rsid w:val="00314E39"/>
    <w:rsid w:val="003152B8"/>
    <w:rsid w:val="00317A31"/>
    <w:rsid w:val="00320147"/>
    <w:rsid w:val="00324899"/>
    <w:rsid w:val="0032564C"/>
    <w:rsid w:val="00330000"/>
    <w:rsid w:val="00331E85"/>
    <w:rsid w:val="00332889"/>
    <w:rsid w:val="00335644"/>
    <w:rsid w:val="00337E6C"/>
    <w:rsid w:val="00341110"/>
    <w:rsid w:val="00345275"/>
    <w:rsid w:val="00346395"/>
    <w:rsid w:val="0034737D"/>
    <w:rsid w:val="00350E3F"/>
    <w:rsid w:val="003514D1"/>
    <w:rsid w:val="00352FF0"/>
    <w:rsid w:val="0035375F"/>
    <w:rsid w:val="00356E09"/>
    <w:rsid w:val="00360D74"/>
    <w:rsid w:val="0036284D"/>
    <w:rsid w:val="003628A8"/>
    <w:rsid w:val="00362AE9"/>
    <w:rsid w:val="00365182"/>
    <w:rsid w:val="00365CD6"/>
    <w:rsid w:val="00365E03"/>
    <w:rsid w:val="0037236A"/>
    <w:rsid w:val="00372DBD"/>
    <w:rsid w:val="00380312"/>
    <w:rsid w:val="003821B7"/>
    <w:rsid w:val="0038353E"/>
    <w:rsid w:val="00384507"/>
    <w:rsid w:val="00387885"/>
    <w:rsid w:val="003900BB"/>
    <w:rsid w:val="00390C92"/>
    <w:rsid w:val="003926A6"/>
    <w:rsid w:val="00392DBE"/>
    <w:rsid w:val="00392ED1"/>
    <w:rsid w:val="003A00ED"/>
    <w:rsid w:val="003A2ADB"/>
    <w:rsid w:val="003A3E7E"/>
    <w:rsid w:val="003A68CA"/>
    <w:rsid w:val="003B2671"/>
    <w:rsid w:val="003B47DF"/>
    <w:rsid w:val="003B7469"/>
    <w:rsid w:val="003B7472"/>
    <w:rsid w:val="003B7741"/>
    <w:rsid w:val="003C0C99"/>
    <w:rsid w:val="003C0DE0"/>
    <w:rsid w:val="003C2CC8"/>
    <w:rsid w:val="003C3222"/>
    <w:rsid w:val="003C4DE7"/>
    <w:rsid w:val="003C6F08"/>
    <w:rsid w:val="003C6FC3"/>
    <w:rsid w:val="003D227B"/>
    <w:rsid w:val="003D3428"/>
    <w:rsid w:val="003D3FD8"/>
    <w:rsid w:val="003D5B01"/>
    <w:rsid w:val="003E040E"/>
    <w:rsid w:val="003E057B"/>
    <w:rsid w:val="003E0D6B"/>
    <w:rsid w:val="003E3989"/>
    <w:rsid w:val="003E5285"/>
    <w:rsid w:val="003E773D"/>
    <w:rsid w:val="003F05DA"/>
    <w:rsid w:val="003F184D"/>
    <w:rsid w:val="003F2E61"/>
    <w:rsid w:val="003F4B8E"/>
    <w:rsid w:val="003F4FD3"/>
    <w:rsid w:val="003F513C"/>
    <w:rsid w:val="003F6E10"/>
    <w:rsid w:val="003F7034"/>
    <w:rsid w:val="00402FB5"/>
    <w:rsid w:val="00403497"/>
    <w:rsid w:val="00403A1A"/>
    <w:rsid w:val="00403F4C"/>
    <w:rsid w:val="00404723"/>
    <w:rsid w:val="00404A06"/>
    <w:rsid w:val="00406206"/>
    <w:rsid w:val="00406D54"/>
    <w:rsid w:val="00407420"/>
    <w:rsid w:val="00411FAE"/>
    <w:rsid w:val="004157D3"/>
    <w:rsid w:val="00415A86"/>
    <w:rsid w:val="00415FB6"/>
    <w:rsid w:val="00417D06"/>
    <w:rsid w:val="0042221A"/>
    <w:rsid w:val="00422900"/>
    <w:rsid w:val="00424F91"/>
    <w:rsid w:val="00430ACA"/>
    <w:rsid w:val="004319F3"/>
    <w:rsid w:val="00431DBD"/>
    <w:rsid w:val="00432CA7"/>
    <w:rsid w:val="004335D9"/>
    <w:rsid w:val="00434533"/>
    <w:rsid w:val="00434C66"/>
    <w:rsid w:val="00440C84"/>
    <w:rsid w:val="00441FDB"/>
    <w:rsid w:val="00443CF4"/>
    <w:rsid w:val="00445757"/>
    <w:rsid w:val="00446CA7"/>
    <w:rsid w:val="0044739C"/>
    <w:rsid w:val="00447CEB"/>
    <w:rsid w:val="00447F81"/>
    <w:rsid w:val="00450912"/>
    <w:rsid w:val="00451588"/>
    <w:rsid w:val="00452A12"/>
    <w:rsid w:val="00452D53"/>
    <w:rsid w:val="00453AE9"/>
    <w:rsid w:val="004545C0"/>
    <w:rsid w:val="00454A79"/>
    <w:rsid w:val="00454A83"/>
    <w:rsid w:val="00455378"/>
    <w:rsid w:val="00457409"/>
    <w:rsid w:val="00460C39"/>
    <w:rsid w:val="004616C4"/>
    <w:rsid w:val="004633E2"/>
    <w:rsid w:val="0046348D"/>
    <w:rsid w:val="004639DB"/>
    <w:rsid w:val="00463F37"/>
    <w:rsid w:val="004700DD"/>
    <w:rsid w:val="004705F8"/>
    <w:rsid w:val="00474E12"/>
    <w:rsid w:val="00477E61"/>
    <w:rsid w:val="00481598"/>
    <w:rsid w:val="00481870"/>
    <w:rsid w:val="00482FDD"/>
    <w:rsid w:val="00482FE6"/>
    <w:rsid w:val="0048329E"/>
    <w:rsid w:val="0048449D"/>
    <w:rsid w:val="004844EC"/>
    <w:rsid w:val="004851EB"/>
    <w:rsid w:val="00486B2F"/>
    <w:rsid w:val="00487912"/>
    <w:rsid w:val="00490864"/>
    <w:rsid w:val="00491C6B"/>
    <w:rsid w:val="004934BD"/>
    <w:rsid w:val="0049491C"/>
    <w:rsid w:val="00496C3F"/>
    <w:rsid w:val="00496CA5"/>
    <w:rsid w:val="00496D31"/>
    <w:rsid w:val="00496ECD"/>
    <w:rsid w:val="00497EBA"/>
    <w:rsid w:val="004A048F"/>
    <w:rsid w:val="004A0792"/>
    <w:rsid w:val="004A08C3"/>
    <w:rsid w:val="004A18B6"/>
    <w:rsid w:val="004A2D0B"/>
    <w:rsid w:val="004A3D8E"/>
    <w:rsid w:val="004A6536"/>
    <w:rsid w:val="004B0AC6"/>
    <w:rsid w:val="004B13CE"/>
    <w:rsid w:val="004B5B91"/>
    <w:rsid w:val="004B60EF"/>
    <w:rsid w:val="004B6698"/>
    <w:rsid w:val="004C22D3"/>
    <w:rsid w:val="004C3321"/>
    <w:rsid w:val="004C3556"/>
    <w:rsid w:val="004C430A"/>
    <w:rsid w:val="004C534C"/>
    <w:rsid w:val="004C7329"/>
    <w:rsid w:val="004D0A28"/>
    <w:rsid w:val="004D2ED5"/>
    <w:rsid w:val="004D3FB2"/>
    <w:rsid w:val="004D4F8D"/>
    <w:rsid w:val="004D56F0"/>
    <w:rsid w:val="004E063D"/>
    <w:rsid w:val="004E22FC"/>
    <w:rsid w:val="004E7CB5"/>
    <w:rsid w:val="004F2180"/>
    <w:rsid w:val="004F2C97"/>
    <w:rsid w:val="004F3E7E"/>
    <w:rsid w:val="004F4B44"/>
    <w:rsid w:val="004F5133"/>
    <w:rsid w:val="004F6338"/>
    <w:rsid w:val="004F658D"/>
    <w:rsid w:val="004F6C95"/>
    <w:rsid w:val="0050203E"/>
    <w:rsid w:val="005067E6"/>
    <w:rsid w:val="0050680D"/>
    <w:rsid w:val="0050680F"/>
    <w:rsid w:val="005074A0"/>
    <w:rsid w:val="00507E52"/>
    <w:rsid w:val="00511D64"/>
    <w:rsid w:val="00512C94"/>
    <w:rsid w:val="005131CD"/>
    <w:rsid w:val="0051383C"/>
    <w:rsid w:val="00515808"/>
    <w:rsid w:val="005215EC"/>
    <w:rsid w:val="005223FC"/>
    <w:rsid w:val="005236D0"/>
    <w:rsid w:val="00524EB1"/>
    <w:rsid w:val="0052579F"/>
    <w:rsid w:val="00526858"/>
    <w:rsid w:val="00526CD7"/>
    <w:rsid w:val="00527116"/>
    <w:rsid w:val="00527EFD"/>
    <w:rsid w:val="0053028C"/>
    <w:rsid w:val="00530E96"/>
    <w:rsid w:val="00531EC5"/>
    <w:rsid w:val="005338B2"/>
    <w:rsid w:val="00533EFE"/>
    <w:rsid w:val="0053783F"/>
    <w:rsid w:val="00540C0A"/>
    <w:rsid w:val="00540C1A"/>
    <w:rsid w:val="00540E05"/>
    <w:rsid w:val="00541FB0"/>
    <w:rsid w:val="005424EB"/>
    <w:rsid w:val="00543E0E"/>
    <w:rsid w:val="005459FB"/>
    <w:rsid w:val="005519CA"/>
    <w:rsid w:val="00551E3C"/>
    <w:rsid w:val="0055722C"/>
    <w:rsid w:val="00557A10"/>
    <w:rsid w:val="00563097"/>
    <w:rsid w:val="0056449A"/>
    <w:rsid w:val="00564817"/>
    <w:rsid w:val="00572A9A"/>
    <w:rsid w:val="00574246"/>
    <w:rsid w:val="005772F5"/>
    <w:rsid w:val="00577AF4"/>
    <w:rsid w:val="00577B32"/>
    <w:rsid w:val="005805D3"/>
    <w:rsid w:val="00580E7A"/>
    <w:rsid w:val="00580FDD"/>
    <w:rsid w:val="00581DC9"/>
    <w:rsid w:val="005822D9"/>
    <w:rsid w:val="005822F0"/>
    <w:rsid w:val="00584AAE"/>
    <w:rsid w:val="005874D9"/>
    <w:rsid w:val="005908A7"/>
    <w:rsid w:val="00591053"/>
    <w:rsid w:val="0059303C"/>
    <w:rsid w:val="005932EE"/>
    <w:rsid w:val="00594A5E"/>
    <w:rsid w:val="00594FB5"/>
    <w:rsid w:val="00595691"/>
    <w:rsid w:val="00596D69"/>
    <w:rsid w:val="00597EF4"/>
    <w:rsid w:val="005A4E2A"/>
    <w:rsid w:val="005A746A"/>
    <w:rsid w:val="005A75D8"/>
    <w:rsid w:val="005B076D"/>
    <w:rsid w:val="005B0A54"/>
    <w:rsid w:val="005B0B61"/>
    <w:rsid w:val="005B29D3"/>
    <w:rsid w:val="005B58CE"/>
    <w:rsid w:val="005C09A0"/>
    <w:rsid w:val="005C137C"/>
    <w:rsid w:val="005C63C3"/>
    <w:rsid w:val="005C671B"/>
    <w:rsid w:val="005C760C"/>
    <w:rsid w:val="005C7DFF"/>
    <w:rsid w:val="005D0D15"/>
    <w:rsid w:val="005D17E5"/>
    <w:rsid w:val="005D1DF2"/>
    <w:rsid w:val="005D30D9"/>
    <w:rsid w:val="005D388B"/>
    <w:rsid w:val="005E17D6"/>
    <w:rsid w:val="005E1BC9"/>
    <w:rsid w:val="005E4079"/>
    <w:rsid w:val="005F218B"/>
    <w:rsid w:val="005F3302"/>
    <w:rsid w:val="005F621D"/>
    <w:rsid w:val="00600701"/>
    <w:rsid w:val="00603266"/>
    <w:rsid w:val="0060432F"/>
    <w:rsid w:val="00604630"/>
    <w:rsid w:val="0060538B"/>
    <w:rsid w:val="006058B5"/>
    <w:rsid w:val="00605DB5"/>
    <w:rsid w:val="0060755F"/>
    <w:rsid w:val="00610AF8"/>
    <w:rsid w:val="006172AE"/>
    <w:rsid w:val="006176A2"/>
    <w:rsid w:val="00617883"/>
    <w:rsid w:val="0062158C"/>
    <w:rsid w:val="00621DDE"/>
    <w:rsid w:val="006271CE"/>
    <w:rsid w:val="0062732E"/>
    <w:rsid w:val="006316DF"/>
    <w:rsid w:val="00631CCB"/>
    <w:rsid w:val="006323D4"/>
    <w:rsid w:val="006402F1"/>
    <w:rsid w:val="006435D7"/>
    <w:rsid w:val="00645B61"/>
    <w:rsid w:val="0064606F"/>
    <w:rsid w:val="0065032E"/>
    <w:rsid w:val="00650C57"/>
    <w:rsid w:val="006512D6"/>
    <w:rsid w:val="006527F2"/>
    <w:rsid w:val="0065284E"/>
    <w:rsid w:val="00655A54"/>
    <w:rsid w:val="00655AEA"/>
    <w:rsid w:val="00655BBE"/>
    <w:rsid w:val="00656E14"/>
    <w:rsid w:val="00657B95"/>
    <w:rsid w:val="00660C1B"/>
    <w:rsid w:val="00661A10"/>
    <w:rsid w:val="00663C27"/>
    <w:rsid w:val="00664091"/>
    <w:rsid w:val="006649C5"/>
    <w:rsid w:val="006653C4"/>
    <w:rsid w:val="00666431"/>
    <w:rsid w:val="0066769E"/>
    <w:rsid w:val="00674472"/>
    <w:rsid w:val="0067539B"/>
    <w:rsid w:val="00676407"/>
    <w:rsid w:val="00677A88"/>
    <w:rsid w:val="006909C4"/>
    <w:rsid w:val="00691328"/>
    <w:rsid w:val="0069728B"/>
    <w:rsid w:val="00697968"/>
    <w:rsid w:val="006A1650"/>
    <w:rsid w:val="006A3C97"/>
    <w:rsid w:val="006A41FA"/>
    <w:rsid w:val="006A4F56"/>
    <w:rsid w:val="006A5B1B"/>
    <w:rsid w:val="006A6C2A"/>
    <w:rsid w:val="006A6C9F"/>
    <w:rsid w:val="006A6EF9"/>
    <w:rsid w:val="006A7656"/>
    <w:rsid w:val="006A7CFF"/>
    <w:rsid w:val="006B0D5B"/>
    <w:rsid w:val="006B0E43"/>
    <w:rsid w:val="006B113E"/>
    <w:rsid w:val="006B1547"/>
    <w:rsid w:val="006B17E7"/>
    <w:rsid w:val="006B21A0"/>
    <w:rsid w:val="006B3224"/>
    <w:rsid w:val="006B6DE0"/>
    <w:rsid w:val="006B74B8"/>
    <w:rsid w:val="006B7DAE"/>
    <w:rsid w:val="006C02BB"/>
    <w:rsid w:val="006C1712"/>
    <w:rsid w:val="006C1B45"/>
    <w:rsid w:val="006D1296"/>
    <w:rsid w:val="006D1C4C"/>
    <w:rsid w:val="006D5423"/>
    <w:rsid w:val="006D54BA"/>
    <w:rsid w:val="006D662B"/>
    <w:rsid w:val="006D6B4C"/>
    <w:rsid w:val="006D6F8A"/>
    <w:rsid w:val="006D769C"/>
    <w:rsid w:val="006E08ED"/>
    <w:rsid w:val="006E0B0A"/>
    <w:rsid w:val="006E0C9E"/>
    <w:rsid w:val="006E1330"/>
    <w:rsid w:val="006E35A8"/>
    <w:rsid w:val="006E4881"/>
    <w:rsid w:val="006E7E02"/>
    <w:rsid w:val="006F0C95"/>
    <w:rsid w:val="006F1924"/>
    <w:rsid w:val="00701536"/>
    <w:rsid w:val="00701686"/>
    <w:rsid w:val="007035C1"/>
    <w:rsid w:val="007037E2"/>
    <w:rsid w:val="0070394C"/>
    <w:rsid w:val="00707AF8"/>
    <w:rsid w:val="00707ECC"/>
    <w:rsid w:val="0071038C"/>
    <w:rsid w:val="00714E10"/>
    <w:rsid w:val="00715CA0"/>
    <w:rsid w:val="0071682D"/>
    <w:rsid w:val="00716DED"/>
    <w:rsid w:val="007179AA"/>
    <w:rsid w:val="00717D38"/>
    <w:rsid w:val="00720708"/>
    <w:rsid w:val="007220F9"/>
    <w:rsid w:val="0072235A"/>
    <w:rsid w:val="00723596"/>
    <w:rsid w:val="0072389D"/>
    <w:rsid w:val="00723AB3"/>
    <w:rsid w:val="00727158"/>
    <w:rsid w:val="007273DF"/>
    <w:rsid w:val="00730341"/>
    <w:rsid w:val="00730417"/>
    <w:rsid w:val="0073632A"/>
    <w:rsid w:val="0073654C"/>
    <w:rsid w:val="00741098"/>
    <w:rsid w:val="007426F8"/>
    <w:rsid w:val="007440E1"/>
    <w:rsid w:val="0075136A"/>
    <w:rsid w:val="0075163A"/>
    <w:rsid w:val="007523DB"/>
    <w:rsid w:val="00754029"/>
    <w:rsid w:val="00754102"/>
    <w:rsid w:val="007564C4"/>
    <w:rsid w:val="007571A7"/>
    <w:rsid w:val="007619BB"/>
    <w:rsid w:val="00761C21"/>
    <w:rsid w:val="0076432A"/>
    <w:rsid w:val="00765755"/>
    <w:rsid w:val="00765C92"/>
    <w:rsid w:val="00765F0F"/>
    <w:rsid w:val="007708AA"/>
    <w:rsid w:val="007713CF"/>
    <w:rsid w:val="00771B5F"/>
    <w:rsid w:val="00772656"/>
    <w:rsid w:val="00775F77"/>
    <w:rsid w:val="00776070"/>
    <w:rsid w:val="00783A21"/>
    <w:rsid w:val="0078613B"/>
    <w:rsid w:val="00787729"/>
    <w:rsid w:val="00790739"/>
    <w:rsid w:val="00790A61"/>
    <w:rsid w:val="00791007"/>
    <w:rsid w:val="007916EB"/>
    <w:rsid w:val="00791A12"/>
    <w:rsid w:val="00794DF4"/>
    <w:rsid w:val="007A1E33"/>
    <w:rsid w:val="007A363A"/>
    <w:rsid w:val="007A48F0"/>
    <w:rsid w:val="007A5023"/>
    <w:rsid w:val="007B003E"/>
    <w:rsid w:val="007B161D"/>
    <w:rsid w:val="007B17F2"/>
    <w:rsid w:val="007B28A9"/>
    <w:rsid w:val="007B3239"/>
    <w:rsid w:val="007B35AF"/>
    <w:rsid w:val="007B6DB5"/>
    <w:rsid w:val="007B7D74"/>
    <w:rsid w:val="007C0216"/>
    <w:rsid w:val="007C1F43"/>
    <w:rsid w:val="007C25F5"/>
    <w:rsid w:val="007C3013"/>
    <w:rsid w:val="007C4A7A"/>
    <w:rsid w:val="007C51A0"/>
    <w:rsid w:val="007C5545"/>
    <w:rsid w:val="007C584A"/>
    <w:rsid w:val="007C6CD4"/>
    <w:rsid w:val="007C7583"/>
    <w:rsid w:val="007D152F"/>
    <w:rsid w:val="007D1998"/>
    <w:rsid w:val="007D304F"/>
    <w:rsid w:val="007D5E24"/>
    <w:rsid w:val="007D5FA7"/>
    <w:rsid w:val="007D6E3B"/>
    <w:rsid w:val="007E1C30"/>
    <w:rsid w:val="007E2BFB"/>
    <w:rsid w:val="007E5528"/>
    <w:rsid w:val="007F51C7"/>
    <w:rsid w:val="007F6358"/>
    <w:rsid w:val="008006B6"/>
    <w:rsid w:val="008009F3"/>
    <w:rsid w:val="00801649"/>
    <w:rsid w:val="008024FF"/>
    <w:rsid w:val="0080312C"/>
    <w:rsid w:val="00805B34"/>
    <w:rsid w:val="00805E47"/>
    <w:rsid w:val="00806962"/>
    <w:rsid w:val="00807C86"/>
    <w:rsid w:val="00810DD4"/>
    <w:rsid w:val="00815AA2"/>
    <w:rsid w:val="00815C2C"/>
    <w:rsid w:val="00816410"/>
    <w:rsid w:val="00816B74"/>
    <w:rsid w:val="0081771B"/>
    <w:rsid w:val="00820E0A"/>
    <w:rsid w:val="00822058"/>
    <w:rsid w:val="00822D9A"/>
    <w:rsid w:val="0082410A"/>
    <w:rsid w:val="00824878"/>
    <w:rsid w:val="00834412"/>
    <w:rsid w:val="00835098"/>
    <w:rsid w:val="008366B6"/>
    <w:rsid w:val="0083676F"/>
    <w:rsid w:val="00840025"/>
    <w:rsid w:val="00842D5B"/>
    <w:rsid w:val="00843E9D"/>
    <w:rsid w:val="0084434F"/>
    <w:rsid w:val="008451C0"/>
    <w:rsid w:val="008456AB"/>
    <w:rsid w:val="008507BE"/>
    <w:rsid w:val="00851835"/>
    <w:rsid w:val="00851950"/>
    <w:rsid w:val="00853A1F"/>
    <w:rsid w:val="008551AC"/>
    <w:rsid w:val="00857231"/>
    <w:rsid w:val="0086026E"/>
    <w:rsid w:val="008608AA"/>
    <w:rsid w:val="00861269"/>
    <w:rsid w:val="0086177E"/>
    <w:rsid w:val="0086742B"/>
    <w:rsid w:val="008674EA"/>
    <w:rsid w:val="00871111"/>
    <w:rsid w:val="00871A85"/>
    <w:rsid w:val="00872A06"/>
    <w:rsid w:val="0087346A"/>
    <w:rsid w:val="008813E8"/>
    <w:rsid w:val="008820EF"/>
    <w:rsid w:val="00882880"/>
    <w:rsid w:val="00885708"/>
    <w:rsid w:val="00885BB7"/>
    <w:rsid w:val="0088619C"/>
    <w:rsid w:val="00886520"/>
    <w:rsid w:val="00886E03"/>
    <w:rsid w:val="00887C0C"/>
    <w:rsid w:val="00887FE0"/>
    <w:rsid w:val="00890A0C"/>
    <w:rsid w:val="00890A28"/>
    <w:rsid w:val="00890FA5"/>
    <w:rsid w:val="00893061"/>
    <w:rsid w:val="008936A2"/>
    <w:rsid w:val="0089416B"/>
    <w:rsid w:val="00894C94"/>
    <w:rsid w:val="00896873"/>
    <w:rsid w:val="008A08B0"/>
    <w:rsid w:val="008A0E28"/>
    <w:rsid w:val="008A7526"/>
    <w:rsid w:val="008A7DCB"/>
    <w:rsid w:val="008B12B9"/>
    <w:rsid w:val="008B4019"/>
    <w:rsid w:val="008B44E7"/>
    <w:rsid w:val="008B4F6B"/>
    <w:rsid w:val="008C04CD"/>
    <w:rsid w:val="008C36E1"/>
    <w:rsid w:val="008C5368"/>
    <w:rsid w:val="008C5688"/>
    <w:rsid w:val="008D0346"/>
    <w:rsid w:val="008D04B9"/>
    <w:rsid w:val="008D1EDC"/>
    <w:rsid w:val="008D2C6F"/>
    <w:rsid w:val="008D41D6"/>
    <w:rsid w:val="008D48AA"/>
    <w:rsid w:val="008D4B57"/>
    <w:rsid w:val="008D6678"/>
    <w:rsid w:val="008D6F12"/>
    <w:rsid w:val="008E0083"/>
    <w:rsid w:val="008E0B2C"/>
    <w:rsid w:val="008E36E2"/>
    <w:rsid w:val="008E4841"/>
    <w:rsid w:val="008E577B"/>
    <w:rsid w:val="008E6518"/>
    <w:rsid w:val="008F1776"/>
    <w:rsid w:val="008F1CD4"/>
    <w:rsid w:val="008F2B41"/>
    <w:rsid w:val="008F6897"/>
    <w:rsid w:val="008F69A1"/>
    <w:rsid w:val="009000E7"/>
    <w:rsid w:val="00901675"/>
    <w:rsid w:val="00902CA2"/>
    <w:rsid w:val="009042D2"/>
    <w:rsid w:val="009048F2"/>
    <w:rsid w:val="0090799B"/>
    <w:rsid w:val="00907F71"/>
    <w:rsid w:val="00907FD3"/>
    <w:rsid w:val="009102FE"/>
    <w:rsid w:val="0091070F"/>
    <w:rsid w:val="00910A69"/>
    <w:rsid w:val="00913DAA"/>
    <w:rsid w:val="00920DE5"/>
    <w:rsid w:val="0092136E"/>
    <w:rsid w:val="00922618"/>
    <w:rsid w:val="009239EB"/>
    <w:rsid w:val="009258A4"/>
    <w:rsid w:val="00926B59"/>
    <w:rsid w:val="009270C9"/>
    <w:rsid w:val="00927CA2"/>
    <w:rsid w:val="0093159C"/>
    <w:rsid w:val="00932660"/>
    <w:rsid w:val="00934B6D"/>
    <w:rsid w:val="00935369"/>
    <w:rsid w:val="00936E8C"/>
    <w:rsid w:val="0094122D"/>
    <w:rsid w:val="00944C7F"/>
    <w:rsid w:val="00945356"/>
    <w:rsid w:val="00946C86"/>
    <w:rsid w:val="0094709E"/>
    <w:rsid w:val="00947F0E"/>
    <w:rsid w:val="00953462"/>
    <w:rsid w:val="009538D7"/>
    <w:rsid w:val="00953D79"/>
    <w:rsid w:val="00956D72"/>
    <w:rsid w:val="009574AC"/>
    <w:rsid w:val="009574C9"/>
    <w:rsid w:val="0095773E"/>
    <w:rsid w:val="00957A0F"/>
    <w:rsid w:val="00960BD2"/>
    <w:rsid w:val="00960FB1"/>
    <w:rsid w:val="00961FAD"/>
    <w:rsid w:val="00964242"/>
    <w:rsid w:val="00965242"/>
    <w:rsid w:val="009663B9"/>
    <w:rsid w:val="00966D40"/>
    <w:rsid w:val="009672BA"/>
    <w:rsid w:val="009734A5"/>
    <w:rsid w:val="00973EB7"/>
    <w:rsid w:val="00980093"/>
    <w:rsid w:val="00981261"/>
    <w:rsid w:val="009816A5"/>
    <w:rsid w:val="00983588"/>
    <w:rsid w:val="00983E62"/>
    <w:rsid w:val="0098601B"/>
    <w:rsid w:val="0098603A"/>
    <w:rsid w:val="00987EC8"/>
    <w:rsid w:val="009924D0"/>
    <w:rsid w:val="009928FB"/>
    <w:rsid w:val="00996AEE"/>
    <w:rsid w:val="00997B5E"/>
    <w:rsid w:val="009A28A0"/>
    <w:rsid w:val="009A28EB"/>
    <w:rsid w:val="009A41BE"/>
    <w:rsid w:val="009A74B3"/>
    <w:rsid w:val="009B0FC3"/>
    <w:rsid w:val="009B3C0E"/>
    <w:rsid w:val="009B65EB"/>
    <w:rsid w:val="009C0D43"/>
    <w:rsid w:val="009C3E1B"/>
    <w:rsid w:val="009C49C9"/>
    <w:rsid w:val="009C65BD"/>
    <w:rsid w:val="009D0692"/>
    <w:rsid w:val="009D0F68"/>
    <w:rsid w:val="009D5FA8"/>
    <w:rsid w:val="009D696A"/>
    <w:rsid w:val="009D6DB2"/>
    <w:rsid w:val="009E0F6B"/>
    <w:rsid w:val="009E3583"/>
    <w:rsid w:val="009E4396"/>
    <w:rsid w:val="009E5D8E"/>
    <w:rsid w:val="009F2534"/>
    <w:rsid w:val="009F32D2"/>
    <w:rsid w:val="009F425F"/>
    <w:rsid w:val="009F45F5"/>
    <w:rsid w:val="009F5008"/>
    <w:rsid w:val="009F6294"/>
    <w:rsid w:val="009F6A3D"/>
    <w:rsid w:val="009F7B93"/>
    <w:rsid w:val="00A01059"/>
    <w:rsid w:val="00A02779"/>
    <w:rsid w:val="00A029A5"/>
    <w:rsid w:val="00A047A5"/>
    <w:rsid w:val="00A05B20"/>
    <w:rsid w:val="00A064F9"/>
    <w:rsid w:val="00A0751E"/>
    <w:rsid w:val="00A07E8B"/>
    <w:rsid w:val="00A1141D"/>
    <w:rsid w:val="00A115DB"/>
    <w:rsid w:val="00A11FD4"/>
    <w:rsid w:val="00A15FEE"/>
    <w:rsid w:val="00A2088E"/>
    <w:rsid w:val="00A20CBF"/>
    <w:rsid w:val="00A2126D"/>
    <w:rsid w:val="00A25691"/>
    <w:rsid w:val="00A3199E"/>
    <w:rsid w:val="00A3647F"/>
    <w:rsid w:val="00A364B5"/>
    <w:rsid w:val="00A37C08"/>
    <w:rsid w:val="00A37ED0"/>
    <w:rsid w:val="00A41313"/>
    <w:rsid w:val="00A4139C"/>
    <w:rsid w:val="00A4177C"/>
    <w:rsid w:val="00A432C5"/>
    <w:rsid w:val="00A43802"/>
    <w:rsid w:val="00A43A1F"/>
    <w:rsid w:val="00A43D9E"/>
    <w:rsid w:val="00A45B49"/>
    <w:rsid w:val="00A505A1"/>
    <w:rsid w:val="00A50808"/>
    <w:rsid w:val="00A52E19"/>
    <w:rsid w:val="00A54E31"/>
    <w:rsid w:val="00A5603A"/>
    <w:rsid w:val="00A57A84"/>
    <w:rsid w:val="00A60916"/>
    <w:rsid w:val="00A6180F"/>
    <w:rsid w:val="00A640A7"/>
    <w:rsid w:val="00A66806"/>
    <w:rsid w:val="00A7042A"/>
    <w:rsid w:val="00A70A8D"/>
    <w:rsid w:val="00A71131"/>
    <w:rsid w:val="00A73373"/>
    <w:rsid w:val="00A747E8"/>
    <w:rsid w:val="00A75B6C"/>
    <w:rsid w:val="00A769EC"/>
    <w:rsid w:val="00A8189A"/>
    <w:rsid w:val="00A848AD"/>
    <w:rsid w:val="00A864CF"/>
    <w:rsid w:val="00A8698A"/>
    <w:rsid w:val="00A90CFF"/>
    <w:rsid w:val="00A93888"/>
    <w:rsid w:val="00A93A0E"/>
    <w:rsid w:val="00A93DD7"/>
    <w:rsid w:val="00A9415E"/>
    <w:rsid w:val="00A9510C"/>
    <w:rsid w:val="00A9712A"/>
    <w:rsid w:val="00A979B6"/>
    <w:rsid w:val="00AA096C"/>
    <w:rsid w:val="00AA113C"/>
    <w:rsid w:val="00AA15F6"/>
    <w:rsid w:val="00AA3B2F"/>
    <w:rsid w:val="00AA426B"/>
    <w:rsid w:val="00AA452D"/>
    <w:rsid w:val="00AA4FFF"/>
    <w:rsid w:val="00AB1681"/>
    <w:rsid w:val="00AB1BCC"/>
    <w:rsid w:val="00AB2765"/>
    <w:rsid w:val="00AB5D2F"/>
    <w:rsid w:val="00AC07AE"/>
    <w:rsid w:val="00AC169D"/>
    <w:rsid w:val="00AC3866"/>
    <w:rsid w:val="00AC3AA2"/>
    <w:rsid w:val="00AC47E5"/>
    <w:rsid w:val="00AC49E9"/>
    <w:rsid w:val="00AC4EBA"/>
    <w:rsid w:val="00AC569B"/>
    <w:rsid w:val="00AD1FE8"/>
    <w:rsid w:val="00AD336B"/>
    <w:rsid w:val="00AD35AD"/>
    <w:rsid w:val="00AD7626"/>
    <w:rsid w:val="00AD7773"/>
    <w:rsid w:val="00AD7933"/>
    <w:rsid w:val="00AD7DF4"/>
    <w:rsid w:val="00AE0738"/>
    <w:rsid w:val="00AE27D8"/>
    <w:rsid w:val="00AE2E52"/>
    <w:rsid w:val="00AE315A"/>
    <w:rsid w:val="00AE3239"/>
    <w:rsid w:val="00AE3756"/>
    <w:rsid w:val="00AE40B8"/>
    <w:rsid w:val="00AE50BB"/>
    <w:rsid w:val="00AE6649"/>
    <w:rsid w:val="00AF15B1"/>
    <w:rsid w:val="00AF394D"/>
    <w:rsid w:val="00B07988"/>
    <w:rsid w:val="00B07A31"/>
    <w:rsid w:val="00B1008B"/>
    <w:rsid w:val="00B103B5"/>
    <w:rsid w:val="00B12DC2"/>
    <w:rsid w:val="00B13C1C"/>
    <w:rsid w:val="00B15490"/>
    <w:rsid w:val="00B2065A"/>
    <w:rsid w:val="00B2154A"/>
    <w:rsid w:val="00B21722"/>
    <w:rsid w:val="00B22E5F"/>
    <w:rsid w:val="00B231AC"/>
    <w:rsid w:val="00B267AA"/>
    <w:rsid w:val="00B3006A"/>
    <w:rsid w:val="00B31188"/>
    <w:rsid w:val="00B3254B"/>
    <w:rsid w:val="00B32586"/>
    <w:rsid w:val="00B33026"/>
    <w:rsid w:val="00B33512"/>
    <w:rsid w:val="00B346A4"/>
    <w:rsid w:val="00B346D5"/>
    <w:rsid w:val="00B35027"/>
    <w:rsid w:val="00B37235"/>
    <w:rsid w:val="00B37B21"/>
    <w:rsid w:val="00B4012B"/>
    <w:rsid w:val="00B4090E"/>
    <w:rsid w:val="00B40F49"/>
    <w:rsid w:val="00B425D5"/>
    <w:rsid w:val="00B44094"/>
    <w:rsid w:val="00B45B83"/>
    <w:rsid w:val="00B4660C"/>
    <w:rsid w:val="00B50050"/>
    <w:rsid w:val="00B54E5E"/>
    <w:rsid w:val="00B55901"/>
    <w:rsid w:val="00B60521"/>
    <w:rsid w:val="00B60930"/>
    <w:rsid w:val="00B6256F"/>
    <w:rsid w:val="00B6356F"/>
    <w:rsid w:val="00B636B0"/>
    <w:rsid w:val="00B64E27"/>
    <w:rsid w:val="00B66495"/>
    <w:rsid w:val="00B67521"/>
    <w:rsid w:val="00B6753A"/>
    <w:rsid w:val="00B7025E"/>
    <w:rsid w:val="00B7042C"/>
    <w:rsid w:val="00B711AC"/>
    <w:rsid w:val="00B77BAA"/>
    <w:rsid w:val="00B8080A"/>
    <w:rsid w:val="00B80986"/>
    <w:rsid w:val="00B81C1B"/>
    <w:rsid w:val="00B82990"/>
    <w:rsid w:val="00B85202"/>
    <w:rsid w:val="00B8623A"/>
    <w:rsid w:val="00B95703"/>
    <w:rsid w:val="00B95D34"/>
    <w:rsid w:val="00BA0552"/>
    <w:rsid w:val="00BA10D3"/>
    <w:rsid w:val="00BA2475"/>
    <w:rsid w:val="00BA30A8"/>
    <w:rsid w:val="00BB0324"/>
    <w:rsid w:val="00BB17FE"/>
    <w:rsid w:val="00BB226D"/>
    <w:rsid w:val="00BB3690"/>
    <w:rsid w:val="00BB4879"/>
    <w:rsid w:val="00BB499F"/>
    <w:rsid w:val="00BB7807"/>
    <w:rsid w:val="00BC147A"/>
    <w:rsid w:val="00BC60BA"/>
    <w:rsid w:val="00BD081D"/>
    <w:rsid w:val="00BD19E8"/>
    <w:rsid w:val="00BD2E48"/>
    <w:rsid w:val="00BD6701"/>
    <w:rsid w:val="00BD7077"/>
    <w:rsid w:val="00BD715F"/>
    <w:rsid w:val="00BE0B18"/>
    <w:rsid w:val="00BE1F84"/>
    <w:rsid w:val="00BE659B"/>
    <w:rsid w:val="00BE7129"/>
    <w:rsid w:val="00BE7A7C"/>
    <w:rsid w:val="00BF198C"/>
    <w:rsid w:val="00BF251B"/>
    <w:rsid w:val="00BF3061"/>
    <w:rsid w:val="00BF3555"/>
    <w:rsid w:val="00BF4CC6"/>
    <w:rsid w:val="00BF4D60"/>
    <w:rsid w:val="00C01C14"/>
    <w:rsid w:val="00C03182"/>
    <w:rsid w:val="00C04494"/>
    <w:rsid w:val="00C057D6"/>
    <w:rsid w:val="00C05E0F"/>
    <w:rsid w:val="00C10047"/>
    <w:rsid w:val="00C13F0B"/>
    <w:rsid w:val="00C15ABE"/>
    <w:rsid w:val="00C16C53"/>
    <w:rsid w:val="00C2142E"/>
    <w:rsid w:val="00C218A8"/>
    <w:rsid w:val="00C21BD9"/>
    <w:rsid w:val="00C21E33"/>
    <w:rsid w:val="00C226BD"/>
    <w:rsid w:val="00C22C7E"/>
    <w:rsid w:val="00C2429D"/>
    <w:rsid w:val="00C25859"/>
    <w:rsid w:val="00C25B9B"/>
    <w:rsid w:val="00C26A00"/>
    <w:rsid w:val="00C306B4"/>
    <w:rsid w:val="00C32CC2"/>
    <w:rsid w:val="00C3311F"/>
    <w:rsid w:val="00C33B32"/>
    <w:rsid w:val="00C344CA"/>
    <w:rsid w:val="00C37AD0"/>
    <w:rsid w:val="00C405B5"/>
    <w:rsid w:val="00C408BE"/>
    <w:rsid w:val="00C40A4F"/>
    <w:rsid w:val="00C40F0B"/>
    <w:rsid w:val="00C417A7"/>
    <w:rsid w:val="00C42082"/>
    <w:rsid w:val="00C42C17"/>
    <w:rsid w:val="00C43A7E"/>
    <w:rsid w:val="00C442B7"/>
    <w:rsid w:val="00C44ED7"/>
    <w:rsid w:val="00C478D9"/>
    <w:rsid w:val="00C4798E"/>
    <w:rsid w:val="00C47F46"/>
    <w:rsid w:val="00C519F7"/>
    <w:rsid w:val="00C54916"/>
    <w:rsid w:val="00C55E78"/>
    <w:rsid w:val="00C60D49"/>
    <w:rsid w:val="00C660FD"/>
    <w:rsid w:val="00C709A7"/>
    <w:rsid w:val="00C73432"/>
    <w:rsid w:val="00C7548B"/>
    <w:rsid w:val="00C755ED"/>
    <w:rsid w:val="00C7623D"/>
    <w:rsid w:val="00C77859"/>
    <w:rsid w:val="00C77ED1"/>
    <w:rsid w:val="00C8246D"/>
    <w:rsid w:val="00C86A6B"/>
    <w:rsid w:val="00C90E38"/>
    <w:rsid w:val="00C91F10"/>
    <w:rsid w:val="00C92527"/>
    <w:rsid w:val="00C926BA"/>
    <w:rsid w:val="00CA0215"/>
    <w:rsid w:val="00CA2901"/>
    <w:rsid w:val="00CA2F15"/>
    <w:rsid w:val="00CA3CEE"/>
    <w:rsid w:val="00CA4397"/>
    <w:rsid w:val="00CA464F"/>
    <w:rsid w:val="00CA6282"/>
    <w:rsid w:val="00CA6C8F"/>
    <w:rsid w:val="00CA7719"/>
    <w:rsid w:val="00CA7A7A"/>
    <w:rsid w:val="00CB173E"/>
    <w:rsid w:val="00CB45B4"/>
    <w:rsid w:val="00CB5FFA"/>
    <w:rsid w:val="00CB68A2"/>
    <w:rsid w:val="00CB6AD9"/>
    <w:rsid w:val="00CB743F"/>
    <w:rsid w:val="00CC1BDA"/>
    <w:rsid w:val="00CC2351"/>
    <w:rsid w:val="00CC2998"/>
    <w:rsid w:val="00CC7D7C"/>
    <w:rsid w:val="00CC7EC1"/>
    <w:rsid w:val="00CC7F3E"/>
    <w:rsid w:val="00CD205F"/>
    <w:rsid w:val="00CD24AA"/>
    <w:rsid w:val="00CD25B7"/>
    <w:rsid w:val="00CE20F2"/>
    <w:rsid w:val="00CE2DAD"/>
    <w:rsid w:val="00CE742E"/>
    <w:rsid w:val="00CE7F99"/>
    <w:rsid w:val="00CF16D5"/>
    <w:rsid w:val="00CF2C34"/>
    <w:rsid w:val="00CF3115"/>
    <w:rsid w:val="00CF3A7A"/>
    <w:rsid w:val="00CF3CA0"/>
    <w:rsid w:val="00CF42CF"/>
    <w:rsid w:val="00CF48DE"/>
    <w:rsid w:val="00D061BE"/>
    <w:rsid w:val="00D076AB"/>
    <w:rsid w:val="00D077D9"/>
    <w:rsid w:val="00D11D6B"/>
    <w:rsid w:val="00D12A23"/>
    <w:rsid w:val="00D13886"/>
    <w:rsid w:val="00D1636D"/>
    <w:rsid w:val="00D209D8"/>
    <w:rsid w:val="00D21CBB"/>
    <w:rsid w:val="00D23673"/>
    <w:rsid w:val="00D25C21"/>
    <w:rsid w:val="00D273A9"/>
    <w:rsid w:val="00D2761C"/>
    <w:rsid w:val="00D3036D"/>
    <w:rsid w:val="00D304F1"/>
    <w:rsid w:val="00D3489C"/>
    <w:rsid w:val="00D37B9E"/>
    <w:rsid w:val="00D40207"/>
    <w:rsid w:val="00D44213"/>
    <w:rsid w:val="00D4498B"/>
    <w:rsid w:val="00D452FE"/>
    <w:rsid w:val="00D4662E"/>
    <w:rsid w:val="00D557FB"/>
    <w:rsid w:val="00D569A6"/>
    <w:rsid w:val="00D56FB7"/>
    <w:rsid w:val="00D57F0C"/>
    <w:rsid w:val="00D6039A"/>
    <w:rsid w:val="00D6119D"/>
    <w:rsid w:val="00D629FC"/>
    <w:rsid w:val="00D67158"/>
    <w:rsid w:val="00D7043E"/>
    <w:rsid w:val="00D70A93"/>
    <w:rsid w:val="00D72960"/>
    <w:rsid w:val="00D740D1"/>
    <w:rsid w:val="00D75BDE"/>
    <w:rsid w:val="00D76A77"/>
    <w:rsid w:val="00D773D1"/>
    <w:rsid w:val="00D802F7"/>
    <w:rsid w:val="00D807DC"/>
    <w:rsid w:val="00D82385"/>
    <w:rsid w:val="00D82B36"/>
    <w:rsid w:val="00D83C0E"/>
    <w:rsid w:val="00D8437A"/>
    <w:rsid w:val="00D844FE"/>
    <w:rsid w:val="00D86E13"/>
    <w:rsid w:val="00D87663"/>
    <w:rsid w:val="00D8775B"/>
    <w:rsid w:val="00D935A4"/>
    <w:rsid w:val="00D94BA1"/>
    <w:rsid w:val="00D94CB1"/>
    <w:rsid w:val="00D97BA9"/>
    <w:rsid w:val="00DA02B5"/>
    <w:rsid w:val="00DA1D12"/>
    <w:rsid w:val="00DA3ACC"/>
    <w:rsid w:val="00DA5524"/>
    <w:rsid w:val="00DA58AF"/>
    <w:rsid w:val="00DA5A92"/>
    <w:rsid w:val="00DB23B0"/>
    <w:rsid w:val="00DB32FA"/>
    <w:rsid w:val="00DB516D"/>
    <w:rsid w:val="00DB5965"/>
    <w:rsid w:val="00DB611D"/>
    <w:rsid w:val="00DB6BB5"/>
    <w:rsid w:val="00DC0699"/>
    <w:rsid w:val="00DC1BD8"/>
    <w:rsid w:val="00DC7304"/>
    <w:rsid w:val="00DD1DB5"/>
    <w:rsid w:val="00DD21D2"/>
    <w:rsid w:val="00DD2840"/>
    <w:rsid w:val="00DD4790"/>
    <w:rsid w:val="00DD4896"/>
    <w:rsid w:val="00DD5299"/>
    <w:rsid w:val="00DD5DA8"/>
    <w:rsid w:val="00DE016E"/>
    <w:rsid w:val="00DE0EC7"/>
    <w:rsid w:val="00DE1B1D"/>
    <w:rsid w:val="00DE27C8"/>
    <w:rsid w:val="00DE2B02"/>
    <w:rsid w:val="00DE2DDD"/>
    <w:rsid w:val="00DE31A0"/>
    <w:rsid w:val="00DE6E90"/>
    <w:rsid w:val="00DF7104"/>
    <w:rsid w:val="00DF7467"/>
    <w:rsid w:val="00E04C08"/>
    <w:rsid w:val="00E05592"/>
    <w:rsid w:val="00E06795"/>
    <w:rsid w:val="00E10D16"/>
    <w:rsid w:val="00E13850"/>
    <w:rsid w:val="00E143DF"/>
    <w:rsid w:val="00E14F12"/>
    <w:rsid w:val="00E1592A"/>
    <w:rsid w:val="00E16931"/>
    <w:rsid w:val="00E214EA"/>
    <w:rsid w:val="00E2197B"/>
    <w:rsid w:val="00E269A8"/>
    <w:rsid w:val="00E27AF0"/>
    <w:rsid w:val="00E27C3A"/>
    <w:rsid w:val="00E3001B"/>
    <w:rsid w:val="00E30997"/>
    <w:rsid w:val="00E313A5"/>
    <w:rsid w:val="00E34CFC"/>
    <w:rsid w:val="00E352F9"/>
    <w:rsid w:val="00E36C8F"/>
    <w:rsid w:val="00E40340"/>
    <w:rsid w:val="00E4176E"/>
    <w:rsid w:val="00E42442"/>
    <w:rsid w:val="00E43A6F"/>
    <w:rsid w:val="00E4471E"/>
    <w:rsid w:val="00E44CA8"/>
    <w:rsid w:val="00E45948"/>
    <w:rsid w:val="00E46C90"/>
    <w:rsid w:val="00E50B73"/>
    <w:rsid w:val="00E50D36"/>
    <w:rsid w:val="00E53742"/>
    <w:rsid w:val="00E5536A"/>
    <w:rsid w:val="00E55C05"/>
    <w:rsid w:val="00E56B03"/>
    <w:rsid w:val="00E60056"/>
    <w:rsid w:val="00E60E25"/>
    <w:rsid w:val="00E63A3A"/>
    <w:rsid w:val="00E63FFB"/>
    <w:rsid w:val="00E646DB"/>
    <w:rsid w:val="00E65135"/>
    <w:rsid w:val="00E66B90"/>
    <w:rsid w:val="00E66F4B"/>
    <w:rsid w:val="00E67081"/>
    <w:rsid w:val="00E719E2"/>
    <w:rsid w:val="00E721CA"/>
    <w:rsid w:val="00E726A4"/>
    <w:rsid w:val="00E7310D"/>
    <w:rsid w:val="00E7531D"/>
    <w:rsid w:val="00E75655"/>
    <w:rsid w:val="00E769E7"/>
    <w:rsid w:val="00E76C8A"/>
    <w:rsid w:val="00E813DA"/>
    <w:rsid w:val="00E827A2"/>
    <w:rsid w:val="00E82C7A"/>
    <w:rsid w:val="00E845EF"/>
    <w:rsid w:val="00E90763"/>
    <w:rsid w:val="00E90D71"/>
    <w:rsid w:val="00E911C4"/>
    <w:rsid w:val="00E923C3"/>
    <w:rsid w:val="00E9412D"/>
    <w:rsid w:val="00E947E5"/>
    <w:rsid w:val="00E9654C"/>
    <w:rsid w:val="00EA2953"/>
    <w:rsid w:val="00EA6435"/>
    <w:rsid w:val="00EA6A99"/>
    <w:rsid w:val="00EA71BC"/>
    <w:rsid w:val="00EB2CDB"/>
    <w:rsid w:val="00EB4928"/>
    <w:rsid w:val="00EB643A"/>
    <w:rsid w:val="00EB6FCB"/>
    <w:rsid w:val="00EB7C89"/>
    <w:rsid w:val="00EC0965"/>
    <w:rsid w:val="00EC181B"/>
    <w:rsid w:val="00EC203E"/>
    <w:rsid w:val="00EC5891"/>
    <w:rsid w:val="00EC5D03"/>
    <w:rsid w:val="00EC69A6"/>
    <w:rsid w:val="00EC7887"/>
    <w:rsid w:val="00ED3256"/>
    <w:rsid w:val="00ED47A2"/>
    <w:rsid w:val="00ED5915"/>
    <w:rsid w:val="00ED6910"/>
    <w:rsid w:val="00ED7C05"/>
    <w:rsid w:val="00ED7F54"/>
    <w:rsid w:val="00EE2C5D"/>
    <w:rsid w:val="00EE4069"/>
    <w:rsid w:val="00EE4669"/>
    <w:rsid w:val="00EE5CA0"/>
    <w:rsid w:val="00EE6265"/>
    <w:rsid w:val="00EE6896"/>
    <w:rsid w:val="00EE6FB6"/>
    <w:rsid w:val="00EF1017"/>
    <w:rsid w:val="00EF1C21"/>
    <w:rsid w:val="00EF3B06"/>
    <w:rsid w:val="00EF4BEF"/>
    <w:rsid w:val="00EF5E8F"/>
    <w:rsid w:val="00EF7357"/>
    <w:rsid w:val="00EF7CED"/>
    <w:rsid w:val="00F0069E"/>
    <w:rsid w:val="00F00D83"/>
    <w:rsid w:val="00F00DE0"/>
    <w:rsid w:val="00F02569"/>
    <w:rsid w:val="00F040F9"/>
    <w:rsid w:val="00F05131"/>
    <w:rsid w:val="00F06C51"/>
    <w:rsid w:val="00F12AE1"/>
    <w:rsid w:val="00F13088"/>
    <w:rsid w:val="00F1407B"/>
    <w:rsid w:val="00F27FBC"/>
    <w:rsid w:val="00F311E5"/>
    <w:rsid w:val="00F329A0"/>
    <w:rsid w:val="00F342F2"/>
    <w:rsid w:val="00F34CBD"/>
    <w:rsid w:val="00F418D2"/>
    <w:rsid w:val="00F456F5"/>
    <w:rsid w:val="00F5120A"/>
    <w:rsid w:val="00F546B9"/>
    <w:rsid w:val="00F5684A"/>
    <w:rsid w:val="00F56DFF"/>
    <w:rsid w:val="00F57481"/>
    <w:rsid w:val="00F5752C"/>
    <w:rsid w:val="00F57ED1"/>
    <w:rsid w:val="00F60226"/>
    <w:rsid w:val="00F62C88"/>
    <w:rsid w:val="00F6344E"/>
    <w:rsid w:val="00F637F0"/>
    <w:rsid w:val="00F650E8"/>
    <w:rsid w:val="00F6511D"/>
    <w:rsid w:val="00F65B9E"/>
    <w:rsid w:val="00F66267"/>
    <w:rsid w:val="00F67E2A"/>
    <w:rsid w:val="00F70845"/>
    <w:rsid w:val="00F70C0E"/>
    <w:rsid w:val="00F7412E"/>
    <w:rsid w:val="00F74F0C"/>
    <w:rsid w:val="00F7620D"/>
    <w:rsid w:val="00F7719F"/>
    <w:rsid w:val="00F80340"/>
    <w:rsid w:val="00F82695"/>
    <w:rsid w:val="00F850D6"/>
    <w:rsid w:val="00F85247"/>
    <w:rsid w:val="00F86BF3"/>
    <w:rsid w:val="00F9024E"/>
    <w:rsid w:val="00F91A53"/>
    <w:rsid w:val="00F93DDE"/>
    <w:rsid w:val="00F9461D"/>
    <w:rsid w:val="00F94E19"/>
    <w:rsid w:val="00F959D5"/>
    <w:rsid w:val="00F97428"/>
    <w:rsid w:val="00FA00C8"/>
    <w:rsid w:val="00FA0E38"/>
    <w:rsid w:val="00FA256E"/>
    <w:rsid w:val="00FA3B3C"/>
    <w:rsid w:val="00FA4C58"/>
    <w:rsid w:val="00FA55AD"/>
    <w:rsid w:val="00FA783D"/>
    <w:rsid w:val="00FA7D6A"/>
    <w:rsid w:val="00FB1274"/>
    <w:rsid w:val="00FB176D"/>
    <w:rsid w:val="00FB272A"/>
    <w:rsid w:val="00FB3794"/>
    <w:rsid w:val="00FB41AB"/>
    <w:rsid w:val="00FB4434"/>
    <w:rsid w:val="00FB52B2"/>
    <w:rsid w:val="00FB5354"/>
    <w:rsid w:val="00FC004A"/>
    <w:rsid w:val="00FC1A5E"/>
    <w:rsid w:val="00FC4DC7"/>
    <w:rsid w:val="00FC5C8A"/>
    <w:rsid w:val="00FC795E"/>
    <w:rsid w:val="00FD0D28"/>
    <w:rsid w:val="00FD2AEF"/>
    <w:rsid w:val="00FD2DFF"/>
    <w:rsid w:val="00FD4070"/>
    <w:rsid w:val="00FD59FC"/>
    <w:rsid w:val="00FD6A87"/>
    <w:rsid w:val="00FD6D5D"/>
    <w:rsid w:val="00FD7C16"/>
    <w:rsid w:val="00FE01FE"/>
    <w:rsid w:val="00FE0A88"/>
    <w:rsid w:val="00FE212F"/>
    <w:rsid w:val="00FE3643"/>
    <w:rsid w:val="00FE44A6"/>
    <w:rsid w:val="00FE5336"/>
    <w:rsid w:val="00FE75D8"/>
    <w:rsid w:val="00FF191A"/>
    <w:rsid w:val="00FF2A02"/>
    <w:rsid w:val="00FF5A32"/>
    <w:rsid w:val="00FF6A65"/>
    <w:rsid w:val="00FF72F7"/>
    <w:rsid w:val="00FF776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937A4B"/>
  <w15:chartTrackingRefBased/>
  <w15:docId w15:val="{C94A4855-F037-4BE7-8E49-7DB5A2AB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3A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4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B643A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EB643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B643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B643A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64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B64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B643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6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643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43A"/>
    <w:rPr>
      <w:rFonts w:ascii="Segoe UI" w:hAnsi="Segoe UI" w:cs="Segoe UI"/>
      <w:sz w:val="18"/>
      <w:szCs w:val="18"/>
    </w:rPr>
  </w:style>
  <w:style w:type="character" w:customStyle="1" w:styleId="paragrafnr">
    <w:name w:val="paragrafnr"/>
    <w:basedOn w:val="Standardskrifttypeiafsnit"/>
    <w:rsid w:val="00DE2B02"/>
  </w:style>
  <w:style w:type="paragraph" w:customStyle="1" w:styleId="kapiteloverskrift2">
    <w:name w:val="kapiteloverskrift2"/>
    <w:basedOn w:val="Normal"/>
    <w:rsid w:val="00D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Standardskrifttypeiafsnit"/>
    <w:rsid w:val="00DE2B02"/>
  </w:style>
  <w:style w:type="paragraph" w:customStyle="1" w:styleId="paragraf">
    <w:name w:val="paragraf"/>
    <w:basedOn w:val="Normal"/>
    <w:rsid w:val="00D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D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DE2B02"/>
  </w:style>
  <w:style w:type="paragraph" w:styleId="Sidehoved">
    <w:name w:val="header"/>
    <w:basedOn w:val="Normal"/>
    <w:link w:val="SidehovedTegn"/>
    <w:uiPriority w:val="99"/>
    <w:unhideWhenUsed/>
    <w:rsid w:val="00CC2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998"/>
  </w:style>
  <w:style w:type="paragraph" w:styleId="Sidefod">
    <w:name w:val="footer"/>
    <w:basedOn w:val="Normal"/>
    <w:link w:val="SidefodTegn"/>
    <w:uiPriority w:val="99"/>
    <w:unhideWhenUsed/>
    <w:rsid w:val="00CC2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998"/>
  </w:style>
  <w:style w:type="paragraph" w:styleId="Listeafsnit">
    <w:name w:val="List Paragraph"/>
    <w:basedOn w:val="Normal"/>
    <w:uiPriority w:val="34"/>
    <w:qFormat/>
    <w:rsid w:val="00961FAD"/>
    <w:pPr>
      <w:ind w:left="720"/>
      <w:contextualSpacing/>
    </w:pPr>
  </w:style>
  <w:style w:type="character" w:customStyle="1" w:styleId="Bodytext2">
    <w:name w:val="Body text|2_"/>
    <w:basedOn w:val="Standardskrifttypeiafsnit"/>
    <w:link w:val="Bodytext20"/>
    <w:rsid w:val="003B47DF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3B47DF"/>
    <w:pPr>
      <w:widowControl w:val="0"/>
      <w:shd w:val="clear" w:color="auto" w:fill="FFFFFF"/>
      <w:spacing w:after="2620" w:line="246" w:lineRule="exact"/>
      <w:ind w:hanging="360"/>
    </w:pPr>
    <w:rPr>
      <w:rFonts w:ascii="Arial" w:eastAsia="Arial" w:hAnsi="Arial" w:cs="Arial"/>
    </w:rPr>
  </w:style>
  <w:style w:type="character" w:customStyle="1" w:styleId="Picturecaption1Exact">
    <w:name w:val="Picture caption|1 Exact"/>
    <w:basedOn w:val="Standardskrifttypeiafsnit"/>
    <w:link w:val="Picturecaption1"/>
    <w:rsid w:val="003B47DF"/>
    <w:rPr>
      <w:rFonts w:ascii="Arial" w:eastAsia="Arial" w:hAnsi="Arial" w:cs="Arial"/>
      <w:shd w:val="clear" w:color="auto" w:fill="FFFFFF"/>
    </w:rPr>
  </w:style>
  <w:style w:type="paragraph" w:customStyle="1" w:styleId="Picturecaption1">
    <w:name w:val="Picture caption|1"/>
    <w:basedOn w:val="Normal"/>
    <w:link w:val="Picturecaption1Exact"/>
    <w:qFormat/>
    <w:rsid w:val="003B47DF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</w:rPr>
  </w:style>
  <w:style w:type="paragraph" w:styleId="Opstilling-talellerbogst">
    <w:name w:val="List Number"/>
    <w:basedOn w:val="Normal"/>
    <w:uiPriority w:val="99"/>
    <w:unhideWhenUsed/>
    <w:rsid w:val="008366B6"/>
    <w:pPr>
      <w:numPr>
        <w:numId w:val="6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816B74"/>
    <w:pPr>
      <w:numPr>
        <w:numId w:val="7"/>
      </w:numPr>
      <w:contextualSpacing/>
    </w:pPr>
  </w:style>
  <w:style w:type="character" w:customStyle="1" w:styleId="Heading21">
    <w:name w:val="Heading #2|1_"/>
    <w:basedOn w:val="Standardskrifttypeiafsnit"/>
    <w:rsid w:val="00E719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0">
    <w:name w:val="Heading #2|1"/>
    <w:basedOn w:val="Heading21"/>
    <w:semiHidden/>
    <w:unhideWhenUsed/>
    <w:rsid w:val="00E719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a" w:eastAsia="en-US" w:bidi="en-US"/>
    </w:rPr>
  </w:style>
  <w:style w:type="character" w:customStyle="1" w:styleId="Bodytext2Bold">
    <w:name w:val="Body text|2 + Bold"/>
    <w:basedOn w:val="Bodytext2"/>
    <w:semiHidden/>
    <w:unhideWhenUsed/>
    <w:rsid w:val="00DD1D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da" w:eastAsia="en-US" w:bidi="en-US"/>
    </w:rPr>
  </w:style>
  <w:style w:type="character" w:customStyle="1" w:styleId="Tablecaption2">
    <w:name w:val="Table caption|2_"/>
    <w:basedOn w:val="Standardskrifttypeiafsnit"/>
    <w:link w:val="Tablecaption20"/>
    <w:rsid w:val="00DD1DB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ablecaption20">
    <w:name w:val="Table caption|2"/>
    <w:basedOn w:val="Normal"/>
    <w:link w:val="Tablecaption2"/>
    <w:rsid w:val="00DD1DB5"/>
    <w:pPr>
      <w:widowControl w:val="0"/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character" w:customStyle="1" w:styleId="Tablecaption1">
    <w:name w:val="Table caption|1"/>
    <w:basedOn w:val="Standardskrifttypeiafsnit"/>
    <w:semiHidden/>
    <w:unhideWhenUsed/>
    <w:rsid w:val="00164F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a" w:eastAsia="en-US" w:bidi="en-US"/>
    </w:rPr>
  </w:style>
  <w:style w:type="character" w:customStyle="1" w:styleId="Footnote1">
    <w:name w:val="Footnote|1_"/>
    <w:basedOn w:val="Standardskrifttypeiafsnit"/>
    <w:link w:val="Footnote10"/>
    <w:rsid w:val="00164F33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Footnote10">
    <w:name w:val="Footnote|1"/>
    <w:basedOn w:val="Normal"/>
    <w:link w:val="Footnote1"/>
    <w:qFormat/>
    <w:rsid w:val="00164F33"/>
    <w:pPr>
      <w:widowControl w:val="0"/>
      <w:shd w:val="clear" w:color="auto" w:fill="FFFFFF"/>
      <w:spacing w:after="0" w:line="168" w:lineRule="exact"/>
      <w:ind w:hanging="360"/>
      <w:jc w:val="both"/>
    </w:pPr>
    <w:rPr>
      <w:rFonts w:ascii="Arial" w:eastAsia="Arial" w:hAnsi="Arial" w:cs="Arial"/>
      <w:sz w:val="15"/>
      <w:szCs w:val="15"/>
    </w:rPr>
  </w:style>
  <w:style w:type="character" w:styleId="Hyperlink">
    <w:name w:val="Hyperlink"/>
    <w:basedOn w:val="Standardskrifttypeiafsnit"/>
    <w:uiPriority w:val="99"/>
    <w:unhideWhenUsed/>
    <w:rsid w:val="003E0D6B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DD4896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D4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946C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0921-3AC8-4037-B31D-4676C000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2149</Words>
  <Characters>12771</Characters>
  <Application>Microsoft Office Word</Application>
  <DocSecurity>0</DocSecurity>
  <Lines>297</Lines>
  <Paragraphs>181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Baad Jensen</dc:creator>
  <cp:keywords/>
  <dc:description/>
  <cp:lastModifiedBy>Louise Marie Baad Jensen</cp:lastModifiedBy>
  <cp:revision>2</cp:revision>
  <cp:lastPrinted>2021-10-04T11:41:00Z</cp:lastPrinted>
  <dcterms:created xsi:type="dcterms:W3CDTF">2022-03-04T13:29:00Z</dcterms:created>
  <dcterms:modified xsi:type="dcterms:W3CDTF">2022-03-04T13:29:00Z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ffb83150-8aaa-42af-b5ce-9731a43b2c05</vt:lpwstr>
  </property>
  <property fmtid="{D5CDD505-2E9C-101B-9397-08002B2CF9AE}" pid="4" name="sdDocumentDate">
    <vt:lpwstr>44469</vt:lpwstr>
  </property>
  <property fmtid="{D5CDD505-2E9C-101B-9397-08002B2CF9AE}" pid="5" name="SD_IntegrationInfoAdded">
    <vt:bool>true</vt:bool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