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AB" w:rsidRDefault="00290CAB" w:rsidP="00161BBD">
      <w:bookmarkStart w:id="0" w:name="_GoBack"/>
      <w:bookmarkEnd w:id="0"/>
    </w:p>
    <w:p w:rsidR="00B00FBF" w:rsidRDefault="00D911B6" w:rsidP="004C336F">
      <w:pPr>
        <w:jc w:val="center"/>
        <w:rPr>
          <w:b/>
          <w:bCs/>
        </w:rPr>
      </w:pPr>
      <w:r>
        <w:rPr>
          <w:b/>
          <w:bCs/>
        </w:rPr>
        <w:t>Udkast</w:t>
      </w:r>
      <w:r w:rsidRPr="00077B66">
        <w:rPr>
          <w:b/>
          <w:bCs/>
        </w:rPr>
        <w:t xml:space="preserve"> </w:t>
      </w:r>
    </w:p>
    <w:p w:rsidR="00D911B6" w:rsidRDefault="00D911B6" w:rsidP="004C336F">
      <w:pPr>
        <w:jc w:val="center"/>
      </w:pPr>
      <w:r w:rsidRPr="00077B66">
        <w:rPr>
          <w:b/>
          <w:bCs/>
        </w:rPr>
        <w:t>til</w:t>
      </w:r>
    </w:p>
    <w:p w:rsidR="00D911B6" w:rsidRDefault="00161BBD" w:rsidP="004C336F">
      <w:pPr>
        <w:jc w:val="center"/>
        <w:rPr>
          <w:sz w:val="28"/>
          <w:szCs w:val="28"/>
        </w:rPr>
      </w:pPr>
      <w:r w:rsidRPr="004C336F">
        <w:rPr>
          <w:sz w:val="28"/>
          <w:szCs w:val="28"/>
        </w:rPr>
        <w:t>Bekendtgørelse om førelse af et register over pålagte konkur</w:t>
      </w:r>
      <w:r w:rsidRPr="004C336F">
        <w:rPr>
          <w:sz w:val="28"/>
          <w:szCs w:val="28"/>
        </w:rPr>
        <w:t>s</w:t>
      </w:r>
      <w:r w:rsidRPr="004C336F">
        <w:rPr>
          <w:sz w:val="28"/>
          <w:szCs w:val="28"/>
        </w:rPr>
        <w:t xml:space="preserve">karantæner </w:t>
      </w:r>
    </w:p>
    <w:p w:rsidR="00161BBD" w:rsidRPr="00B00FBF" w:rsidRDefault="00161BBD" w:rsidP="004C336F">
      <w:pPr>
        <w:jc w:val="center"/>
        <w:rPr>
          <w:szCs w:val="24"/>
        </w:rPr>
      </w:pPr>
      <w:r w:rsidRPr="00D911B6">
        <w:rPr>
          <w:szCs w:val="24"/>
        </w:rPr>
        <w:t>(Konkurskarantæneregistret)</w:t>
      </w:r>
    </w:p>
    <w:p w:rsidR="00161BBD" w:rsidRDefault="00161BBD" w:rsidP="00DF3C13">
      <w:pPr>
        <w:jc w:val="both"/>
      </w:pPr>
    </w:p>
    <w:p w:rsidR="00161BBD" w:rsidRDefault="00161BBD" w:rsidP="00DF3C13">
      <w:pPr>
        <w:jc w:val="both"/>
      </w:pPr>
      <w:r>
        <w:t>I medfør af konkurslovens § 169, stk. 2, jf. lov</w:t>
      </w:r>
      <w:r w:rsidR="00402609">
        <w:t>bekendtgørelse nr. 217 af 15. marts 2011 som senest ændret ved lov</w:t>
      </w:r>
      <w:r>
        <w:t xml:space="preserve"> nr. 429 af 1. maj 2013, og efter forhandling med justitsministeren fastsættes:</w:t>
      </w:r>
    </w:p>
    <w:p w:rsidR="00161BBD" w:rsidRDefault="00161BBD" w:rsidP="00DF3C13">
      <w:pPr>
        <w:jc w:val="both"/>
      </w:pPr>
    </w:p>
    <w:p w:rsidR="00AE18B1" w:rsidRPr="00AE18B1" w:rsidRDefault="00AE18B1" w:rsidP="00AE18B1">
      <w:pPr>
        <w:jc w:val="center"/>
        <w:rPr>
          <w:i/>
        </w:rPr>
      </w:pPr>
      <w:r>
        <w:rPr>
          <w:i/>
        </w:rPr>
        <w:t>Formål</w:t>
      </w:r>
    </w:p>
    <w:p w:rsidR="00AE18B1" w:rsidRDefault="00AE18B1" w:rsidP="00DF3C13">
      <w:pPr>
        <w:jc w:val="both"/>
      </w:pPr>
    </w:p>
    <w:p w:rsidR="00161BBD" w:rsidRDefault="00161BBD" w:rsidP="00DF3C13">
      <w:pPr>
        <w:jc w:val="both"/>
      </w:pPr>
      <w:r w:rsidRPr="00841E70">
        <w:rPr>
          <w:b/>
          <w:bCs/>
        </w:rPr>
        <w:t>§ 1.</w:t>
      </w:r>
      <w:r>
        <w:t xml:space="preserve"> Erhvervsstyrelsen fører et register over personer, der er pålagt ko</w:t>
      </w:r>
      <w:r>
        <w:t>n</w:t>
      </w:r>
      <w:r>
        <w:t>kurskarantæne (konkurskarantæneregistret).</w:t>
      </w:r>
    </w:p>
    <w:p w:rsidR="00161BBD" w:rsidRDefault="00161BBD" w:rsidP="00DF3C13">
      <w:pPr>
        <w:jc w:val="both"/>
      </w:pPr>
      <w:r>
        <w:rPr>
          <w:i/>
          <w:iCs/>
        </w:rPr>
        <w:t xml:space="preserve">   </w:t>
      </w:r>
      <w:r w:rsidRPr="00841E70">
        <w:rPr>
          <w:i/>
          <w:iCs/>
        </w:rPr>
        <w:t>Stk. 2</w:t>
      </w:r>
      <w:r>
        <w:rPr>
          <w:i/>
          <w:iCs/>
        </w:rPr>
        <w:t xml:space="preserve">. </w:t>
      </w:r>
      <w:r>
        <w:t>Formålet med registret er at hindre, at personer, der er pålagt ko</w:t>
      </w:r>
      <w:r>
        <w:t>n</w:t>
      </w:r>
      <w:r>
        <w:t xml:space="preserve">kurskarantæne, registreres som ledelsesmedlemmer i </w:t>
      </w:r>
      <w:r w:rsidR="00451A11">
        <w:t>visse erhvervsvir</w:t>
      </w:r>
      <w:r w:rsidR="00451A11">
        <w:t>k</w:t>
      </w:r>
      <w:r w:rsidR="00451A11">
        <w:t>somheder</w:t>
      </w:r>
      <w:r w:rsidR="00333B24">
        <w:t xml:space="preserve">, jf. § </w:t>
      </w:r>
      <w:r w:rsidR="003A7972">
        <w:t>7</w:t>
      </w:r>
      <w:r>
        <w:t>, og sikre, at eventuelle eksisterende registreringer i s</w:t>
      </w:r>
      <w:r>
        <w:t>y</w:t>
      </w:r>
      <w:r>
        <w:t xml:space="preserve">stemet af de pågældende personer som ledelsesmedlemmer </w:t>
      </w:r>
      <w:r w:rsidR="00E6772A">
        <w:t>afregistreres</w:t>
      </w:r>
      <w:r>
        <w:t xml:space="preserve">.  </w:t>
      </w:r>
    </w:p>
    <w:p w:rsidR="00161BBD" w:rsidRDefault="00161BBD" w:rsidP="00DF3C13">
      <w:pPr>
        <w:jc w:val="both"/>
      </w:pPr>
      <w:r>
        <w:t xml:space="preserve">   </w:t>
      </w:r>
      <w:r>
        <w:rPr>
          <w:i/>
        </w:rPr>
        <w:t xml:space="preserve">Stk. 3. </w:t>
      </w:r>
      <w:r>
        <w:t>Formålet med registret er endvidere, at andre offentlige myndi</w:t>
      </w:r>
      <w:r>
        <w:t>g</w:t>
      </w:r>
      <w:r>
        <w:t>heder</w:t>
      </w:r>
      <w:r w:rsidR="00171235">
        <w:t xml:space="preserve">, jf. §§ </w:t>
      </w:r>
      <w:r w:rsidR="004B2E04">
        <w:t>8</w:t>
      </w:r>
      <w:r w:rsidR="00171235">
        <w:t xml:space="preserve">, </w:t>
      </w:r>
      <w:r w:rsidR="003A7972">
        <w:t>10</w:t>
      </w:r>
      <w:r w:rsidR="00171235">
        <w:t xml:space="preserve"> og </w:t>
      </w:r>
      <w:r w:rsidR="003A7972">
        <w:t>11</w:t>
      </w:r>
      <w:r w:rsidR="00171235">
        <w:t>,</w:t>
      </w:r>
      <w:r>
        <w:t xml:space="preserve"> kan få oplyst, om en person er pålagt konkursk</w:t>
      </w:r>
      <w:r>
        <w:t>a</w:t>
      </w:r>
      <w:r>
        <w:t>rantæne, når det er nødvendigt for varetagelsen af d</w:t>
      </w:r>
      <w:r w:rsidR="00171235">
        <w:t xml:space="preserve">isse myndigheders </w:t>
      </w:r>
      <w:r>
        <w:t>o</w:t>
      </w:r>
      <w:r>
        <w:t>p</w:t>
      </w:r>
      <w:r>
        <w:t>gaver.</w:t>
      </w:r>
    </w:p>
    <w:p w:rsidR="00AE18B1" w:rsidRDefault="00AE18B1" w:rsidP="00DF3C13">
      <w:pPr>
        <w:jc w:val="both"/>
      </w:pPr>
    </w:p>
    <w:p w:rsidR="00AE18B1" w:rsidRPr="00AE18B1" w:rsidRDefault="00AE18B1" w:rsidP="00AE18B1">
      <w:pPr>
        <w:jc w:val="center"/>
        <w:rPr>
          <w:i/>
        </w:rPr>
      </w:pPr>
      <w:r>
        <w:rPr>
          <w:i/>
        </w:rPr>
        <w:t>Registrering af oplysninger</w:t>
      </w:r>
    </w:p>
    <w:p w:rsidR="00161BBD" w:rsidRDefault="00161BBD" w:rsidP="00DF3C13">
      <w:pPr>
        <w:jc w:val="both"/>
      </w:pPr>
    </w:p>
    <w:p w:rsidR="008A1CFF" w:rsidRDefault="00161BBD" w:rsidP="00DF3C13">
      <w:pPr>
        <w:jc w:val="both"/>
      </w:pPr>
      <w:r w:rsidRPr="00841E70">
        <w:rPr>
          <w:b/>
          <w:bCs/>
        </w:rPr>
        <w:t>§ 2.</w:t>
      </w:r>
      <w:r>
        <w:t xml:space="preserve"> Indberetning </w:t>
      </w:r>
      <w:r w:rsidR="00CB1087">
        <w:t xml:space="preserve">i registret </w:t>
      </w:r>
      <w:r>
        <w:t xml:space="preserve">af pålagte konkurskarantæner foretages </w:t>
      </w:r>
      <w:r w:rsidR="006A2382">
        <w:t>hu</w:t>
      </w:r>
      <w:r w:rsidR="006A2382">
        <w:t>r</w:t>
      </w:r>
      <w:r w:rsidR="006A2382">
        <w:t xml:space="preserve">tigst muligt </w:t>
      </w:r>
      <w:r>
        <w:t xml:space="preserve">af den skifteret, der har truffet afgørelse </w:t>
      </w:r>
      <w:r w:rsidR="006D4DC8">
        <w:t>i sagen</w:t>
      </w:r>
      <w:r w:rsidR="008A1CFF">
        <w:t xml:space="preserve"> </w:t>
      </w:r>
      <w:r>
        <w:t>i første i</w:t>
      </w:r>
      <w:r>
        <w:t>n</w:t>
      </w:r>
      <w:r>
        <w:t>stans</w:t>
      </w:r>
      <w:r w:rsidR="008A1CFF">
        <w:t>.</w:t>
      </w:r>
    </w:p>
    <w:p w:rsidR="00161BBD" w:rsidRDefault="00EF5493" w:rsidP="00CB1087">
      <w:pPr>
        <w:jc w:val="both"/>
      </w:pPr>
      <w:r>
        <w:t xml:space="preserve">   </w:t>
      </w:r>
      <w:r w:rsidR="008A1CFF" w:rsidRPr="008A1CFF">
        <w:rPr>
          <w:i/>
        </w:rPr>
        <w:t>Stk.2.</w:t>
      </w:r>
      <w:r w:rsidR="008A1CFF">
        <w:t xml:space="preserve"> Indberetning efter stk. 1 foretages, </w:t>
      </w:r>
      <w:r w:rsidR="00161BBD">
        <w:t xml:space="preserve">når </w:t>
      </w:r>
      <w:r w:rsidR="002C206D">
        <w:t>afgørelsen om konkurs</w:t>
      </w:r>
      <w:r w:rsidR="00161BBD">
        <w:t>k</w:t>
      </w:r>
      <w:r w:rsidR="00161BBD">
        <w:t>a</w:t>
      </w:r>
      <w:r w:rsidR="00161BBD">
        <w:t xml:space="preserve">rantænen </w:t>
      </w:r>
      <w:r w:rsidR="002C206D">
        <w:t>er endelig</w:t>
      </w:r>
      <w:r w:rsidR="008A1CFF">
        <w:t>, jf. konkurslovens § 164</w:t>
      </w:r>
      <w:r w:rsidR="00161BBD">
        <w:t>.</w:t>
      </w:r>
      <w:r w:rsidR="00161BBD" w:rsidDel="009D45FD">
        <w:t xml:space="preserve"> </w:t>
      </w:r>
    </w:p>
    <w:p w:rsidR="00161BBD" w:rsidRDefault="00161BBD" w:rsidP="00DF3C13">
      <w:pPr>
        <w:jc w:val="both"/>
        <w:rPr>
          <w:b/>
          <w:bCs/>
        </w:rPr>
      </w:pPr>
    </w:p>
    <w:p w:rsidR="00161BBD" w:rsidRDefault="00161BBD" w:rsidP="00DF3C13">
      <w:pPr>
        <w:jc w:val="both"/>
      </w:pPr>
      <w:r w:rsidRPr="00841E70">
        <w:rPr>
          <w:b/>
          <w:bCs/>
        </w:rPr>
        <w:t>§ 3.</w:t>
      </w:r>
      <w:r>
        <w:t xml:space="preserve"> Skifteretten skal for hver konkurskarantæne indberette følgende o</w:t>
      </w:r>
      <w:r>
        <w:t>p</w:t>
      </w:r>
      <w:r>
        <w:t>lysninger:</w:t>
      </w:r>
    </w:p>
    <w:p w:rsidR="00161BBD" w:rsidRPr="005728C8" w:rsidRDefault="00161BBD" w:rsidP="00DF3C13">
      <w:pPr>
        <w:pStyle w:val="Listeafsnit"/>
        <w:numPr>
          <w:ilvl w:val="0"/>
          <w:numId w:val="1"/>
        </w:numPr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>den karantæne</w:t>
      </w:r>
      <w:r w:rsidR="003027C3">
        <w:rPr>
          <w:rFonts w:ascii="Times New Roman" w:eastAsia="Calibri" w:hAnsi="Times New Roman" w:cs="Times New Roman"/>
          <w:sz w:val="24"/>
          <w:szCs w:val="22"/>
        </w:rPr>
        <w:t>pålagte</w:t>
      </w:r>
      <w:r w:rsidRPr="005728C8">
        <w:rPr>
          <w:rFonts w:ascii="Times New Roman" w:eastAsia="Calibri" w:hAnsi="Times New Roman" w:cs="Times New Roman"/>
          <w:sz w:val="24"/>
          <w:szCs w:val="22"/>
        </w:rPr>
        <w:t xml:space="preserve"> persons CPR-nr., </w:t>
      </w:r>
    </w:p>
    <w:p w:rsidR="00161BBD" w:rsidRPr="005728C8" w:rsidRDefault="00161BBD" w:rsidP="00DF3C13">
      <w:pPr>
        <w:pStyle w:val="Listeafsnit"/>
        <w:numPr>
          <w:ilvl w:val="0"/>
          <w:numId w:val="1"/>
        </w:numPr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>tidspunkt</w:t>
      </w:r>
      <w:r w:rsidR="00333B24">
        <w:rPr>
          <w:rFonts w:ascii="Times New Roman" w:eastAsia="Calibri" w:hAnsi="Times New Roman" w:cs="Times New Roman"/>
          <w:sz w:val="24"/>
          <w:szCs w:val="22"/>
        </w:rPr>
        <w:t xml:space="preserve"> for hvornår</w:t>
      </w:r>
      <w:r w:rsidRPr="005728C8">
        <w:rPr>
          <w:rFonts w:ascii="Times New Roman" w:eastAsia="Calibri" w:hAnsi="Times New Roman" w:cs="Times New Roman"/>
          <w:sz w:val="24"/>
          <w:szCs w:val="22"/>
        </w:rPr>
        <w:t xml:space="preserve"> konkurskarantænen </w:t>
      </w:r>
      <w:r w:rsidR="001E6107">
        <w:rPr>
          <w:rFonts w:ascii="Times New Roman" w:eastAsia="Calibri" w:hAnsi="Times New Roman" w:cs="Times New Roman"/>
          <w:sz w:val="24"/>
          <w:szCs w:val="22"/>
        </w:rPr>
        <w:t>træder</w:t>
      </w:r>
      <w:r w:rsidRPr="005728C8">
        <w:rPr>
          <w:rFonts w:ascii="Times New Roman" w:eastAsia="Calibri" w:hAnsi="Times New Roman" w:cs="Times New Roman"/>
          <w:sz w:val="24"/>
          <w:szCs w:val="22"/>
        </w:rPr>
        <w:t xml:space="preserve"> i kraft,</w:t>
      </w:r>
    </w:p>
    <w:p w:rsidR="00161BBD" w:rsidRPr="005728C8" w:rsidRDefault="00161BBD" w:rsidP="00DF3C13">
      <w:pPr>
        <w:pStyle w:val="Listeafsnit"/>
        <w:numPr>
          <w:ilvl w:val="0"/>
          <w:numId w:val="1"/>
        </w:numPr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>udløbstidspunktet for konkurskarantænen,</w:t>
      </w:r>
    </w:p>
    <w:p w:rsidR="00161BBD" w:rsidRPr="005728C8" w:rsidRDefault="00161BBD" w:rsidP="00DF3C13">
      <w:pPr>
        <w:pStyle w:val="Listeafsnit"/>
        <w:numPr>
          <w:ilvl w:val="0"/>
          <w:numId w:val="1"/>
        </w:numPr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>omfanget af konkurskarantænen,</w:t>
      </w:r>
      <w:r w:rsidR="005728C8" w:rsidRPr="005728C8">
        <w:rPr>
          <w:rFonts w:ascii="Times New Roman" w:eastAsia="Calibri" w:hAnsi="Times New Roman" w:cs="Times New Roman"/>
          <w:sz w:val="24"/>
          <w:szCs w:val="22"/>
        </w:rPr>
        <w:t xml:space="preserve"> jf. konkurslovens § 159,</w:t>
      </w:r>
    </w:p>
    <w:p w:rsidR="00161BBD" w:rsidRPr="005728C8" w:rsidRDefault="00161BBD" w:rsidP="00DF3C13">
      <w:pPr>
        <w:pStyle w:val="Listeafsnit"/>
        <w:numPr>
          <w:ilvl w:val="0"/>
          <w:numId w:val="1"/>
        </w:numPr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 xml:space="preserve">hvilken ret, der har truffet afgørelse, og </w:t>
      </w:r>
    </w:p>
    <w:p w:rsidR="005728C8" w:rsidRPr="005728C8" w:rsidRDefault="00161BBD" w:rsidP="00DF3C13">
      <w:pPr>
        <w:pStyle w:val="Listeafsnit"/>
        <w:numPr>
          <w:ilvl w:val="0"/>
          <w:numId w:val="1"/>
        </w:numPr>
        <w:spacing w:line="360" w:lineRule="auto"/>
        <w:ind w:left="426" w:hanging="284"/>
        <w:rPr>
          <w:rFonts w:ascii="Times New Roman" w:eastAsia="Calibri" w:hAnsi="Times New Roman" w:cs="Times New Roman"/>
          <w:sz w:val="24"/>
          <w:szCs w:val="22"/>
        </w:rPr>
      </w:pPr>
      <w:r w:rsidRPr="005728C8">
        <w:rPr>
          <w:rFonts w:ascii="Times New Roman" w:eastAsia="Calibri" w:hAnsi="Times New Roman" w:cs="Times New Roman"/>
          <w:sz w:val="24"/>
          <w:szCs w:val="22"/>
        </w:rPr>
        <w:t>afgørelsens journalnummer.</w:t>
      </w:r>
    </w:p>
    <w:p w:rsidR="00161BBD" w:rsidRPr="005728C8" w:rsidRDefault="00161BBD" w:rsidP="00DF3C13">
      <w:pPr>
        <w:jc w:val="both"/>
        <w:rPr>
          <w:iCs/>
        </w:rPr>
      </w:pPr>
      <w:r>
        <w:t xml:space="preserve">   </w:t>
      </w:r>
      <w:r w:rsidRPr="008A1CFF">
        <w:rPr>
          <w:i/>
          <w:iCs/>
        </w:rPr>
        <w:t>Stk.</w:t>
      </w:r>
      <w:r w:rsidRPr="005728C8">
        <w:rPr>
          <w:iCs/>
        </w:rPr>
        <w:t xml:space="preserve"> </w:t>
      </w:r>
      <w:r w:rsidR="008A1CFF">
        <w:rPr>
          <w:i/>
          <w:iCs/>
        </w:rPr>
        <w:t>2</w:t>
      </w:r>
      <w:r w:rsidRPr="005728C8">
        <w:rPr>
          <w:iCs/>
        </w:rPr>
        <w:t>.</w:t>
      </w:r>
      <w:r>
        <w:rPr>
          <w:i/>
          <w:iCs/>
        </w:rPr>
        <w:t xml:space="preserve"> </w:t>
      </w:r>
      <w:r>
        <w:t>For personer, der ikke har dansk CPR-nr., indberettes</w:t>
      </w:r>
      <w:r w:rsidR="005728C8">
        <w:t xml:space="preserve"> for hver k</w:t>
      </w:r>
      <w:r w:rsidR="005728C8">
        <w:t>a</w:t>
      </w:r>
      <w:r w:rsidR="005728C8">
        <w:t>rantæne</w:t>
      </w:r>
      <w:r>
        <w:t xml:space="preserve"> den pågældendes fulde navn, adresse og fødselsdato. </w:t>
      </w:r>
      <w:r w:rsidR="00B83E6D">
        <w:t>Er det i</w:t>
      </w:r>
      <w:r w:rsidR="00B83E6D">
        <w:t>k</w:t>
      </w:r>
      <w:r w:rsidR="00B83E6D">
        <w:t xml:space="preserve">ke </w:t>
      </w:r>
      <w:r w:rsidR="00B83E6D">
        <w:lastRenderedPageBreak/>
        <w:t>muligt for skifteretten at indberette d</w:t>
      </w:r>
      <w:r w:rsidR="00661B92">
        <w:t>e i 1. pkt. nævnte</w:t>
      </w:r>
      <w:r w:rsidR="00B83E6D">
        <w:t xml:space="preserve"> oplysninger, bør skifteretten indberette den pågældendes statsborgerskab ved fødslen, ent</w:t>
      </w:r>
      <w:r w:rsidR="00B83E6D">
        <w:t>y</w:t>
      </w:r>
      <w:r w:rsidR="00B83E6D">
        <w:t>digt identifikationsnummer fra nationalt identifikations</w:t>
      </w:r>
      <w:r w:rsidR="00661B92">
        <w:t>kort, udlænding</w:t>
      </w:r>
      <w:r w:rsidR="00661B92">
        <w:t>e</w:t>
      </w:r>
      <w:r w:rsidR="00661B92">
        <w:t xml:space="preserve">nummer </w:t>
      </w:r>
      <w:r w:rsidR="00B83E6D">
        <w:t>eller lignende. S</w:t>
      </w:r>
      <w:r>
        <w:t>kifteretten</w:t>
      </w:r>
      <w:r w:rsidR="00B83E6D">
        <w:t xml:space="preserve"> kan i alle tilfælde</w:t>
      </w:r>
      <w:r>
        <w:t xml:space="preserve"> indberette</w:t>
      </w:r>
      <w:r w:rsidR="00B83E6D">
        <w:t xml:space="preserve"> de i 2. pkt. nævnte oplysninger.</w:t>
      </w:r>
      <w:r>
        <w:t xml:space="preserve"> Pasnum</w:t>
      </w:r>
      <w:r w:rsidR="00B83E6D">
        <w:t>mer</w:t>
      </w:r>
      <w:r>
        <w:t xml:space="preserve"> kan ikke træde i stedet for identifik</w:t>
      </w:r>
      <w:r>
        <w:t>a</w:t>
      </w:r>
      <w:r>
        <w:t>tion</w:t>
      </w:r>
      <w:r>
        <w:t>s</w:t>
      </w:r>
      <w:r>
        <w:t>num</w:t>
      </w:r>
      <w:r w:rsidR="00B83E6D">
        <w:t>mer</w:t>
      </w:r>
      <w:r>
        <w:t>.</w:t>
      </w:r>
    </w:p>
    <w:p w:rsidR="00EB036D" w:rsidRDefault="00161BBD" w:rsidP="008A1CFF">
      <w:pPr>
        <w:jc w:val="both"/>
      </w:pPr>
      <w:r>
        <w:t xml:space="preserve">   </w:t>
      </w:r>
    </w:p>
    <w:p w:rsidR="001B706F" w:rsidRDefault="00EB036D" w:rsidP="008A1CFF">
      <w:pPr>
        <w:jc w:val="both"/>
      </w:pPr>
      <w:r w:rsidRPr="00B95DB3">
        <w:rPr>
          <w:b/>
          <w:bCs/>
        </w:rPr>
        <w:t>§ 4.</w:t>
      </w:r>
      <w:r>
        <w:rPr>
          <w:b/>
          <w:bCs/>
        </w:rPr>
        <w:t xml:space="preserve"> </w:t>
      </w:r>
      <w:r w:rsidR="008A1CFF" w:rsidRPr="005728C8">
        <w:t>Hvis virkningerne af en konkurskarantæne</w:t>
      </w:r>
      <w:r w:rsidR="008A1CFF">
        <w:rPr>
          <w:iCs/>
        </w:rPr>
        <w:t xml:space="preserve"> stilles i bero, jf. konkursl</w:t>
      </w:r>
      <w:r w:rsidR="008A1CFF">
        <w:rPr>
          <w:iCs/>
        </w:rPr>
        <w:t>o</w:t>
      </w:r>
      <w:r w:rsidR="008A1CFF">
        <w:rPr>
          <w:iCs/>
        </w:rPr>
        <w:t>vens § 164, stk. 4, indberette</w:t>
      </w:r>
      <w:r>
        <w:rPr>
          <w:iCs/>
        </w:rPr>
        <w:t>r skifteretten</w:t>
      </w:r>
      <w:r w:rsidR="008A1CFF">
        <w:rPr>
          <w:iCs/>
        </w:rPr>
        <w:t xml:space="preserve"> oplysning herom samt tidspun</w:t>
      </w:r>
      <w:r w:rsidR="008A1CFF">
        <w:rPr>
          <w:iCs/>
        </w:rPr>
        <w:t>k</w:t>
      </w:r>
      <w:r w:rsidR="008A1CFF">
        <w:rPr>
          <w:iCs/>
        </w:rPr>
        <w:t>tet for berostillelsen.</w:t>
      </w:r>
    </w:p>
    <w:p w:rsidR="00B204D4" w:rsidRDefault="001B706F" w:rsidP="008A1CFF">
      <w:pPr>
        <w:jc w:val="both"/>
      </w:pPr>
      <w:r>
        <w:t xml:space="preserve">   </w:t>
      </w:r>
      <w:r w:rsidR="00EB036D" w:rsidRPr="00EB036D">
        <w:rPr>
          <w:i/>
        </w:rPr>
        <w:t>Stk.</w:t>
      </w:r>
      <w:r w:rsidR="00EB036D">
        <w:rPr>
          <w:i/>
        </w:rPr>
        <w:t xml:space="preserve"> </w:t>
      </w:r>
      <w:r w:rsidR="002C206D">
        <w:rPr>
          <w:i/>
        </w:rPr>
        <w:t>2</w:t>
      </w:r>
      <w:r w:rsidR="00EB036D" w:rsidRPr="00EB036D">
        <w:rPr>
          <w:i/>
        </w:rPr>
        <w:t>.</w:t>
      </w:r>
      <w:r w:rsidR="00402609">
        <w:rPr>
          <w:i/>
        </w:rPr>
        <w:t xml:space="preserve"> </w:t>
      </w:r>
      <w:r w:rsidR="00EB036D" w:rsidRPr="00EB036D">
        <w:t>Skifteretten</w:t>
      </w:r>
      <w:r w:rsidR="00613B14">
        <w:t xml:space="preserve"> sikrer, at berostillelsen oph</w:t>
      </w:r>
      <w:r w:rsidR="00613B14">
        <w:t>æ</w:t>
      </w:r>
      <w:r w:rsidR="00613B14">
        <w:t>ves, hvis kære ikke sker rettidigt.</w:t>
      </w:r>
    </w:p>
    <w:p w:rsidR="00B204D4" w:rsidRDefault="001B706F" w:rsidP="008A1CFF">
      <w:pPr>
        <w:jc w:val="both"/>
      </w:pPr>
      <w:r>
        <w:t xml:space="preserve">   Stk. 3. Skifteretten opdaterer eller sletter indberetningen i registret, når der på ny er truffet afgørelse i sagen.</w:t>
      </w:r>
    </w:p>
    <w:p w:rsidR="001B706F" w:rsidRDefault="001B706F" w:rsidP="008A1CFF">
      <w:pPr>
        <w:jc w:val="both"/>
      </w:pPr>
    </w:p>
    <w:p w:rsidR="00B204D4" w:rsidRDefault="00B204D4" w:rsidP="00B204D4">
      <w:pPr>
        <w:jc w:val="both"/>
      </w:pPr>
      <w:r>
        <w:rPr>
          <w:b/>
        </w:rPr>
        <w:t>§ 5</w:t>
      </w:r>
      <w:r w:rsidRPr="006C3325">
        <w:rPr>
          <w:b/>
        </w:rPr>
        <w:t>.</w:t>
      </w:r>
      <w:r>
        <w:t xml:space="preserve"> Opdatering af oplysningerne i </w:t>
      </w:r>
      <w:r w:rsidR="00E74823">
        <w:t>konkurskarantæne</w:t>
      </w:r>
      <w:r>
        <w:t>registret om en ko</w:t>
      </w:r>
      <w:r>
        <w:t>n</w:t>
      </w:r>
      <w:r>
        <w:t xml:space="preserve">kret </w:t>
      </w:r>
      <w:r w:rsidR="00E74823">
        <w:t>konkurs</w:t>
      </w:r>
      <w:r>
        <w:t>karantæne ophører to år efter udløbet af karantænen</w:t>
      </w:r>
      <w:r w:rsidR="00DD612B">
        <w:t>. O</w:t>
      </w:r>
      <w:r>
        <w:t>ply</w:t>
      </w:r>
      <w:r>
        <w:t>s</w:t>
      </w:r>
      <w:r>
        <w:t xml:space="preserve">ningerne overføres på dette tidspunkt til </w:t>
      </w:r>
      <w:r w:rsidR="00E6772A">
        <w:t>en database over historiske oply</w:t>
      </w:r>
      <w:r w:rsidR="00E6772A">
        <w:t>s</w:t>
      </w:r>
      <w:r w:rsidR="00E6772A">
        <w:t>ninger</w:t>
      </w:r>
      <w:r w:rsidR="00E74823">
        <w:t xml:space="preserve"> hos Erhvervsstyrelsen</w:t>
      </w:r>
      <w:r>
        <w:t>.</w:t>
      </w:r>
    </w:p>
    <w:p w:rsidR="00E74823" w:rsidRDefault="00E74823" w:rsidP="00B204D4">
      <w:pPr>
        <w:jc w:val="both"/>
      </w:pPr>
    </w:p>
    <w:p w:rsidR="00EB036D" w:rsidRPr="00DA6B56" w:rsidRDefault="00E74823" w:rsidP="008A1CFF">
      <w:pPr>
        <w:jc w:val="both"/>
      </w:pPr>
      <w:r>
        <w:rPr>
          <w:b/>
          <w:bCs/>
        </w:rPr>
        <w:t>§ 6.</w:t>
      </w:r>
      <w:r>
        <w:t xml:space="preserve"> Ved tvivl om de indberettede oplysninger</w:t>
      </w:r>
      <w:r w:rsidDel="00402609">
        <w:t xml:space="preserve"> </w:t>
      </w:r>
      <w:r>
        <w:t>kan Erhvervsstyrelsen rette henvendelse til den skifteret, jf. § 2, der har foretaget indbere</w:t>
      </w:r>
      <w:r>
        <w:t>t</w:t>
      </w:r>
      <w:r>
        <w:t xml:space="preserve">ningen. </w:t>
      </w:r>
    </w:p>
    <w:p w:rsidR="005B4437" w:rsidRDefault="005B4437" w:rsidP="00DF3C13">
      <w:pPr>
        <w:jc w:val="both"/>
      </w:pPr>
    </w:p>
    <w:p w:rsidR="00AE18B1" w:rsidRPr="00AE18B1" w:rsidRDefault="00AE18B1" w:rsidP="00AE18B1">
      <w:pPr>
        <w:jc w:val="center"/>
        <w:rPr>
          <w:i/>
        </w:rPr>
      </w:pPr>
      <w:r>
        <w:rPr>
          <w:i/>
        </w:rPr>
        <w:t>Registrering som ledelsesmedlem</w:t>
      </w:r>
    </w:p>
    <w:p w:rsidR="00AE18B1" w:rsidRDefault="00AE18B1" w:rsidP="00DF3C13">
      <w:pPr>
        <w:jc w:val="both"/>
      </w:pPr>
    </w:p>
    <w:p w:rsidR="00161BBD" w:rsidRDefault="00161BBD" w:rsidP="00DF3C13">
      <w:pPr>
        <w:jc w:val="both"/>
      </w:pPr>
      <w:r w:rsidRPr="00B95DB3">
        <w:rPr>
          <w:b/>
          <w:bCs/>
        </w:rPr>
        <w:t xml:space="preserve">§ </w:t>
      </w:r>
      <w:r w:rsidR="00631EE1">
        <w:rPr>
          <w:b/>
          <w:bCs/>
        </w:rPr>
        <w:t>7</w:t>
      </w:r>
      <w:r w:rsidRPr="00B95DB3">
        <w:rPr>
          <w:b/>
          <w:bCs/>
        </w:rPr>
        <w:t>.</w:t>
      </w:r>
      <w:r>
        <w:rPr>
          <w:b/>
          <w:bCs/>
        </w:rPr>
        <w:t xml:space="preserve"> </w:t>
      </w:r>
      <w:r w:rsidR="005728C8">
        <w:t xml:space="preserve">Erhvervsstyrelsen sikrer, at </w:t>
      </w:r>
      <w:r w:rsidR="008A1CFF">
        <w:t xml:space="preserve">en </w:t>
      </w:r>
      <w:r w:rsidR="005728C8">
        <w:t xml:space="preserve">person, der er </w:t>
      </w:r>
      <w:r w:rsidR="008D6658">
        <w:t>pålagt en konkurskara</w:t>
      </w:r>
      <w:r w:rsidR="008D6658">
        <w:t>n</w:t>
      </w:r>
      <w:r w:rsidR="008D6658">
        <w:t>tæne</w:t>
      </w:r>
      <w:r w:rsidR="005728C8">
        <w:t>,</w:t>
      </w:r>
      <w:r>
        <w:t xml:space="preserve"> ikke</w:t>
      </w:r>
      <w:r w:rsidR="005728C8">
        <w:t xml:space="preserve"> kan</w:t>
      </w:r>
      <w:r>
        <w:t xml:space="preserve"> </w:t>
      </w:r>
      <w:r w:rsidR="00980C30">
        <w:t>registreres</w:t>
      </w:r>
      <w:r>
        <w:t xml:space="preserve"> som ledelsesmedlem i en erhvervsvirksomhed, der er registreret i Erhvervsstyrelsens it-system</w:t>
      </w:r>
      <w:r w:rsidR="00623BF4">
        <w:t xml:space="preserve"> i henhold til selskabslo</w:t>
      </w:r>
      <w:r w:rsidR="00623BF4">
        <w:t>v</w:t>
      </w:r>
      <w:r w:rsidR="00623BF4">
        <w:t>givningen eller den finansielle lovgivning</w:t>
      </w:r>
      <w:r w:rsidR="005728C8">
        <w:t>.</w:t>
      </w:r>
    </w:p>
    <w:p w:rsidR="00980C30" w:rsidRDefault="00DF3C13" w:rsidP="00DF3C13">
      <w:pPr>
        <w:jc w:val="both"/>
      </w:pPr>
      <w:r>
        <w:rPr>
          <w:i/>
          <w:iCs/>
        </w:rPr>
        <w:t xml:space="preserve">   Stk. 2</w:t>
      </w:r>
      <w:r w:rsidR="00980C30">
        <w:rPr>
          <w:i/>
          <w:iCs/>
        </w:rPr>
        <w:t>.</w:t>
      </w:r>
      <w:r w:rsidR="00980C30">
        <w:t xml:space="preserve"> </w:t>
      </w:r>
      <w:r w:rsidR="000154B5">
        <w:t>Bliver</w:t>
      </w:r>
      <w:r w:rsidR="00980C30">
        <w:t xml:space="preserve"> en </w:t>
      </w:r>
      <w:r w:rsidR="008A1CFF">
        <w:t>person pålagt konkurs</w:t>
      </w:r>
      <w:r w:rsidR="00980C30">
        <w:t>karantæne</w:t>
      </w:r>
      <w:r w:rsidR="008A1CFF">
        <w:t>,</w:t>
      </w:r>
      <w:r w:rsidR="00980C30">
        <w:t xml:space="preserve"> </w:t>
      </w:r>
      <w:r w:rsidR="00631EE1">
        <w:t>afregistreres</w:t>
      </w:r>
      <w:r w:rsidR="008A1CFF">
        <w:t xml:space="preserve"> personens eksisterende </w:t>
      </w:r>
      <w:r w:rsidR="00980C30">
        <w:t>registrer</w:t>
      </w:r>
      <w:r w:rsidR="008A1CFF">
        <w:t>inger</w:t>
      </w:r>
      <w:r w:rsidR="00980C30">
        <w:t xml:space="preserve"> som ledelsesmedlem i en erhverv</w:t>
      </w:r>
      <w:r w:rsidR="00980C30">
        <w:t>s</w:t>
      </w:r>
      <w:r w:rsidR="00980C30">
        <w:t>virksomhed</w:t>
      </w:r>
      <w:r w:rsidR="0094147B">
        <w:t>, jf. stk. 1</w:t>
      </w:r>
      <w:r w:rsidR="00980C30">
        <w:t xml:space="preserve">. </w:t>
      </w:r>
      <w:r w:rsidR="0094147B">
        <w:t>De relevante erhvervsvirksomheder</w:t>
      </w:r>
      <w:r w:rsidR="00980C30">
        <w:t xml:space="preserve"> modtager meddele</w:t>
      </w:r>
      <w:r w:rsidR="00980C30">
        <w:t>l</w:t>
      </w:r>
      <w:r w:rsidR="00980C30">
        <w:t>se herom fra Erhvervsstyrelsen.</w:t>
      </w:r>
    </w:p>
    <w:p w:rsidR="00980C30" w:rsidRDefault="00980C30" w:rsidP="00DF3C13">
      <w:pPr>
        <w:jc w:val="both"/>
      </w:pPr>
      <w:r>
        <w:t xml:space="preserve">   </w:t>
      </w:r>
      <w:r w:rsidR="00DF3C13">
        <w:rPr>
          <w:i/>
          <w:iCs/>
        </w:rPr>
        <w:t>Stk. 3</w:t>
      </w:r>
      <w:r>
        <w:rPr>
          <w:i/>
          <w:iCs/>
        </w:rPr>
        <w:t>.</w:t>
      </w:r>
      <w:r>
        <w:t xml:space="preserve"> Såfremt </w:t>
      </w:r>
      <w:r w:rsidRPr="0094147B">
        <w:t>erhvervsvirksomheden</w:t>
      </w:r>
      <w:r w:rsidR="0094147B">
        <w:t>, jf. stk. 1,</w:t>
      </w:r>
      <w:r>
        <w:t xml:space="preserve"> efter </w:t>
      </w:r>
      <w:r w:rsidR="00582E62">
        <w:t xml:space="preserve">afregistrering </w:t>
      </w:r>
      <w:r>
        <w:t xml:space="preserve">af den pågældende person </w:t>
      </w:r>
      <w:r w:rsidR="008A1CFF">
        <w:t>efter stk. 2</w:t>
      </w:r>
      <w:r w:rsidR="00582E62">
        <w:t>,</w:t>
      </w:r>
      <w:r w:rsidR="008A1CFF">
        <w:t xml:space="preserve"> </w:t>
      </w:r>
      <w:r>
        <w:t>ikke har den i henhold til lov eller b</w:t>
      </w:r>
      <w:r>
        <w:t>e</w:t>
      </w:r>
      <w:r>
        <w:t>stemmelser fastsat i henhold til lov fornødne ledelse, igangsættes den o</w:t>
      </w:r>
      <w:r>
        <w:t>p</w:t>
      </w:r>
      <w:r>
        <w:t xml:space="preserve">løsningsprocedure, der gælder for den pågældende </w:t>
      </w:r>
      <w:r w:rsidRPr="0094147B">
        <w:t>virksomhed</w:t>
      </w:r>
      <w:r w:rsidR="0094147B">
        <w:t>s</w:t>
      </w:r>
      <w:r w:rsidR="0094147B">
        <w:t>type</w:t>
      </w:r>
      <w:r w:rsidRPr="0094147B">
        <w:t>.</w:t>
      </w:r>
    </w:p>
    <w:p w:rsidR="00980C30" w:rsidRDefault="00DF3C13" w:rsidP="00DF3C13">
      <w:pPr>
        <w:jc w:val="both"/>
      </w:pPr>
      <w:r>
        <w:rPr>
          <w:i/>
          <w:iCs/>
        </w:rPr>
        <w:t xml:space="preserve">   </w:t>
      </w:r>
      <w:r w:rsidRPr="0000568F">
        <w:rPr>
          <w:i/>
          <w:iCs/>
        </w:rPr>
        <w:t>Stk. 4</w:t>
      </w:r>
      <w:r w:rsidR="00980C30" w:rsidRPr="0000568F">
        <w:rPr>
          <w:i/>
          <w:iCs/>
        </w:rPr>
        <w:t xml:space="preserve">. </w:t>
      </w:r>
      <w:r w:rsidR="00980C30" w:rsidRPr="0000568F">
        <w:t>Ved ledelsesmedlem forstås direktør, bestyrelsesmedlem, tilsyn</w:t>
      </w:r>
      <w:r w:rsidR="00980C30" w:rsidRPr="0000568F">
        <w:t>s</w:t>
      </w:r>
      <w:r w:rsidR="00980C30" w:rsidRPr="0000568F">
        <w:t>rådsmedlem, likvidator, filialbestyrer, generalagent eller lignende person, der faktisk varetager ledelsesbeføjelser, eller suppleanter for disse pers</w:t>
      </w:r>
      <w:r w:rsidR="00980C30" w:rsidRPr="0000568F">
        <w:t>o</w:t>
      </w:r>
      <w:r w:rsidR="00980C30" w:rsidRPr="0000568F">
        <w:t>ner.</w:t>
      </w:r>
    </w:p>
    <w:p w:rsidR="00980C30" w:rsidRDefault="00980C30" w:rsidP="00DF3C13">
      <w:pPr>
        <w:jc w:val="both"/>
        <w:rPr>
          <w:i/>
        </w:rPr>
      </w:pPr>
    </w:p>
    <w:p w:rsidR="00AE18B1" w:rsidRDefault="00AE18B1" w:rsidP="00AE18B1">
      <w:pPr>
        <w:jc w:val="center"/>
        <w:rPr>
          <w:i/>
        </w:rPr>
      </w:pPr>
      <w:r>
        <w:rPr>
          <w:i/>
        </w:rPr>
        <w:t>Videregivelse af oplysninger</w:t>
      </w:r>
    </w:p>
    <w:p w:rsidR="00AE18B1" w:rsidRDefault="00AE18B1" w:rsidP="00DF3C13">
      <w:pPr>
        <w:jc w:val="both"/>
        <w:rPr>
          <w:i/>
        </w:rPr>
      </w:pPr>
    </w:p>
    <w:p w:rsidR="00DF3C13" w:rsidRDefault="00DF3C13" w:rsidP="00DF3C13">
      <w:pPr>
        <w:jc w:val="both"/>
        <w:rPr>
          <w:bCs/>
        </w:rPr>
      </w:pPr>
      <w:r>
        <w:rPr>
          <w:b/>
          <w:bCs/>
        </w:rPr>
        <w:t xml:space="preserve">§ </w:t>
      </w:r>
      <w:r w:rsidR="00364B62">
        <w:rPr>
          <w:b/>
          <w:bCs/>
        </w:rPr>
        <w:t>8</w:t>
      </w:r>
      <w:r>
        <w:rPr>
          <w:b/>
          <w:bCs/>
        </w:rPr>
        <w:t xml:space="preserve">. </w:t>
      </w:r>
      <w:r>
        <w:rPr>
          <w:bCs/>
        </w:rPr>
        <w:t>Når en kendelse om at pålægge en person konkurskarantæne efter konkurslovens § 159, 2. pkt., er indberettet til konkurskarantæneregistret af skifteretten, videregiver Erhvervsstyrelsen de indberettede oplysninger til SKAT.</w:t>
      </w:r>
    </w:p>
    <w:p w:rsidR="00DF3C13" w:rsidRDefault="00DF3C13" w:rsidP="00DF3C13">
      <w:pPr>
        <w:jc w:val="both"/>
        <w:rPr>
          <w:bCs/>
        </w:rPr>
      </w:pPr>
      <w:r>
        <w:rPr>
          <w:bCs/>
        </w:rPr>
        <w:t xml:space="preserve">   </w:t>
      </w:r>
      <w:r>
        <w:rPr>
          <w:bCs/>
          <w:i/>
        </w:rPr>
        <w:t xml:space="preserve">Stk. 2. </w:t>
      </w:r>
      <w:r>
        <w:rPr>
          <w:bCs/>
        </w:rPr>
        <w:t>Når en person, der er pålagt konkurskarantæne efter konkursl</w:t>
      </w:r>
      <w:r>
        <w:rPr>
          <w:bCs/>
        </w:rPr>
        <w:t>o</w:t>
      </w:r>
      <w:r>
        <w:rPr>
          <w:bCs/>
        </w:rPr>
        <w:t xml:space="preserve">vens § 159, 2. pkt., ansøger om at blive momsregistreret eller registreret som arbejdsgiver </w:t>
      </w:r>
      <w:r w:rsidR="00A736B1">
        <w:rPr>
          <w:bCs/>
        </w:rPr>
        <w:t>via</w:t>
      </w:r>
      <w:r w:rsidR="001C1921">
        <w:rPr>
          <w:bCs/>
        </w:rPr>
        <w:t xml:space="preserve"> Erhvervsstyrelsens selvregistreringsløsning</w:t>
      </w:r>
      <w:r w:rsidR="003C7C96">
        <w:rPr>
          <w:bCs/>
        </w:rPr>
        <w:t xml:space="preserve"> på www.virk.dk</w:t>
      </w:r>
      <w:r>
        <w:rPr>
          <w:bCs/>
        </w:rPr>
        <w:t>, underretter Erhvervsstyrelsen SKAT herom med angivelse af de</w:t>
      </w:r>
      <w:r w:rsidR="00402609">
        <w:rPr>
          <w:bCs/>
        </w:rPr>
        <w:t xml:space="preserve"> oplysninger, som er registreret om den pågældende</w:t>
      </w:r>
      <w:r>
        <w:rPr>
          <w:bCs/>
        </w:rPr>
        <w:t xml:space="preserve"> i konkurskara</w:t>
      </w:r>
      <w:r>
        <w:rPr>
          <w:bCs/>
        </w:rPr>
        <w:t>n</w:t>
      </w:r>
      <w:r>
        <w:rPr>
          <w:bCs/>
        </w:rPr>
        <w:t>tæn</w:t>
      </w:r>
      <w:r>
        <w:rPr>
          <w:bCs/>
        </w:rPr>
        <w:t>e</w:t>
      </w:r>
      <w:r>
        <w:rPr>
          <w:bCs/>
        </w:rPr>
        <w:t>registret.</w:t>
      </w:r>
    </w:p>
    <w:p w:rsidR="00DF3C13" w:rsidRDefault="00DF3C13" w:rsidP="00DF3C13">
      <w:pPr>
        <w:jc w:val="both"/>
        <w:rPr>
          <w:bCs/>
        </w:rPr>
      </w:pPr>
      <w:r>
        <w:rPr>
          <w:bCs/>
        </w:rPr>
        <w:t xml:space="preserve">   </w:t>
      </w:r>
      <w:r w:rsidRPr="006C3325">
        <w:rPr>
          <w:bCs/>
          <w:i/>
        </w:rPr>
        <w:t>Stk. 3.</w:t>
      </w:r>
      <w:r>
        <w:rPr>
          <w:bCs/>
        </w:rPr>
        <w:t xml:space="preserve"> </w:t>
      </w:r>
      <w:r w:rsidR="00EB036D">
        <w:rPr>
          <w:bCs/>
        </w:rPr>
        <w:t>Ændres en konkurskarantæne efter konkurslovens § 159, 2. pkt.</w:t>
      </w:r>
      <w:r w:rsidR="00402609">
        <w:rPr>
          <w:bCs/>
        </w:rPr>
        <w:t>,</w:t>
      </w:r>
      <w:r w:rsidR="00EB036D">
        <w:rPr>
          <w:bCs/>
        </w:rPr>
        <w:t xml:space="preserve"> eller sættes d</w:t>
      </w:r>
      <w:r>
        <w:rPr>
          <w:bCs/>
        </w:rPr>
        <w:t>en i bero, jf. konkurslovens § 164, stk. 4, giver Erhvervsst</w:t>
      </w:r>
      <w:r>
        <w:rPr>
          <w:bCs/>
        </w:rPr>
        <w:t>y</w:t>
      </w:r>
      <w:r>
        <w:rPr>
          <w:bCs/>
        </w:rPr>
        <w:t>relsen SKAT oplysning he</w:t>
      </w:r>
      <w:r>
        <w:rPr>
          <w:bCs/>
        </w:rPr>
        <w:t>r</w:t>
      </w:r>
      <w:r>
        <w:rPr>
          <w:bCs/>
        </w:rPr>
        <w:t>om.</w:t>
      </w:r>
    </w:p>
    <w:p w:rsidR="00DF3C13" w:rsidRDefault="00DF3C13" w:rsidP="00DF3C13">
      <w:pPr>
        <w:jc w:val="both"/>
        <w:rPr>
          <w:i/>
        </w:rPr>
      </w:pPr>
    </w:p>
    <w:p w:rsidR="00DF3C13" w:rsidRDefault="00DF3C13" w:rsidP="00402609">
      <w:pPr>
        <w:jc w:val="both"/>
      </w:pPr>
      <w:r>
        <w:rPr>
          <w:b/>
          <w:bCs/>
        </w:rPr>
        <w:t xml:space="preserve">§ </w:t>
      </w:r>
      <w:r w:rsidR="00364B62">
        <w:rPr>
          <w:b/>
          <w:bCs/>
        </w:rPr>
        <w:t>9</w:t>
      </w:r>
      <w:r w:rsidR="00980C30">
        <w:rPr>
          <w:b/>
          <w:bCs/>
        </w:rPr>
        <w:t xml:space="preserve">. </w:t>
      </w:r>
      <w:r w:rsidRPr="00DF3C13">
        <w:rPr>
          <w:bCs/>
        </w:rPr>
        <w:t>SKAT sikrer, at</w:t>
      </w:r>
      <w:r>
        <w:rPr>
          <w:bCs/>
        </w:rPr>
        <w:t xml:space="preserve"> en person, der er pålagt konkurskarantæne efter ko</w:t>
      </w:r>
      <w:r>
        <w:rPr>
          <w:bCs/>
        </w:rPr>
        <w:t>n</w:t>
      </w:r>
      <w:r>
        <w:rPr>
          <w:bCs/>
        </w:rPr>
        <w:t xml:space="preserve">kurslovens § 159, 2. pkt., ikke </w:t>
      </w:r>
      <w:r>
        <w:t xml:space="preserve">kan </w:t>
      </w:r>
      <w:r w:rsidR="00161BBD">
        <w:t>blive momsregistreret eller registreret som arbejdsgiver, medmindre den pågældende over for SKAT godtgør, at vedkommende ikke deltager i og ikke forventer at skulle deltage i lede</w:t>
      </w:r>
      <w:r w:rsidR="00161BBD">
        <w:t>l</w:t>
      </w:r>
      <w:r w:rsidR="00161BBD">
        <w:t>sen af den pågældende erhvervsvir</w:t>
      </w:r>
      <w:r w:rsidR="00161BBD">
        <w:t>k</w:t>
      </w:r>
      <w:r w:rsidR="00161BBD">
        <w:t>somhed.</w:t>
      </w:r>
    </w:p>
    <w:p w:rsidR="00161BBD" w:rsidRDefault="00DF3C13" w:rsidP="00DF3C13">
      <w:pPr>
        <w:jc w:val="both"/>
      </w:pPr>
      <w:r>
        <w:rPr>
          <w:i/>
        </w:rPr>
        <w:t xml:space="preserve">   Stk. </w:t>
      </w:r>
      <w:r w:rsidR="00402609">
        <w:rPr>
          <w:i/>
        </w:rPr>
        <w:t>2</w:t>
      </w:r>
      <w:r>
        <w:rPr>
          <w:i/>
        </w:rPr>
        <w:t xml:space="preserve">. </w:t>
      </w:r>
      <w:r w:rsidR="00161BBD">
        <w:t xml:space="preserve">Er en person pålagt </w:t>
      </w:r>
      <w:r>
        <w:t>konkurs</w:t>
      </w:r>
      <w:r w:rsidR="00161BBD">
        <w:t>karantæne efter konkurslovens § 159, 2. pkt.,</w:t>
      </w:r>
      <w:r w:rsidR="00E6772A">
        <w:t xml:space="preserve"> afregistreres</w:t>
      </w:r>
      <w:r w:rsidR="00161BBD">
        <w:t xml:space="preserve"> personens eksisterende momsregistreringer og reg</w:t>
      </w:r>
      <w:r w:rsidR="00161BBD">
        <w:t>i</w:t>
      </w:r>
      <w:r w:rsidR="00161BBD">
        <w:t>streringer som arbejdsgiver, medmindre den pågældende over for SKAT godtgør, at vedkommende ikke deltager i og ikke forventes at skulle delt</w:t>
      </w:r>
      <w:r w:rsidR="00161BBD">
        <w:t>a</w:t>
      </w:r>
      <w:r w:rsidR="00161BBD">
        <w:t>ge i lede</w:t>
      </w:r>
      <w:r w:rsidR="00161BBD">
        <w:t>l</w:t>
      </w:r>
      <w:r w:rsidR="00161BBD">
        <w:t>sen af den omhandlede erhvervsvirksomhed.</w:t>
      </w:r>
    </w:p>
    <w:p w:rsidR="00161BBD" w:rsidRDefault="00161BBD" w:rsidP="00DF3C13">
      <w:pPr>
        <w:jc w:val="both"/>
      </w:pPr>
    </w:p>
    <w:p w:rsidR="00161BBD" w:rsidRDefault="00161BBD" w:rsidP="00DF3C13">
      <w:pPr>
        <w:jc w:val="both"/>
        <w:rPr>
          <w:bCs/>
        </w:rPr>
      </w:pPr>
      <w:r>
        <w:rPr>
          <w:b/>
          <w:bCs/>
        </w:rPr>
        <w:t xml:space="preserve">§ </w:t>
      </w:r>
      <w:r w:rsidR="00364B62">
        <w:rPr>
          <w:b/>
          <w:bCs/>
        </w:rPr>
        <w:t>10</w:t>
      </w:r>
      <w:r>
        <w:rPr>
          <w:b/>
          <w:bCs/>
        </w:rPr>
        <w:t xml:space="preserve">. </w:t>
      </w:r>
      <w:r>
        <w:rPr>
          <w:bCs/>
        </w:rPr>
        <w:t>Politi</w:t>
      </w:r>
      <w:r w:rsidR="001E6107">
        <w:rPr>
          <w:bCs/>
        </w:rPr>
        <w:t xml:space="preserve"> og anklagemyndighed</w:t>
      </w:r>
      <w:r>
        <w:rPr>
          <w:bCs/>
        </w:rPr>
        <w:t xml:space="preserve"> kan indhente oplysninger </w:t>
      </w:r>
      <w:r w:rsidR="00E74823">
        <w:rPr>
          <w:bCs/>
        </w:rPr>
        <w:t xml:space="preserve">i </w:t>
      </w:r>
      <w:r>
        <w:rPr>
          <w:bCs/>
        </w:rPr>
        <w:t>konkursk</w:t>
      </w:r>
      <w:r>
        <w:rPr>
          <w:bCs/>
        </w:rPr>
        <w:t>a</w:t>
      </w:r>
      <w:r>
        <w:rPr>
          <w:bCs/>
        </w:rPr>
        <w:t>rantæne</w:t>
      </w:r>
      <w:r w:rsidR="00E74823">
        <w:rPr>
          <w:bCs/>
        </w:rPr>
        <w:t>registret</w:t>
      </w:r>
      <w:r>
        <w:rPr>
          <w:bCs/>
        </w:rPr>
        <w:t xml:space="preserve">, når det er nødvendigt til brug for efterforskning af </w:t>
      </w:r>
      <w:r w:rsidR="001B706F">
        <w:rPr>
          <w:bCs/>
        </w:rPr>
        <w:t xml:space="preserve">en anmeldelse eller en </w:t>
      </w:r>
      <w:r>
        <w:rPr>
          <w:bCs/>
        </w:rPr>
        <w:t>straffes</w:t>
      </w:r>
      <w:r>
        <w:rPr>
          <w:bCs/>
        </w:rPr>
        <w:t>a</w:t>
      </w:r>
      <w:r>
        <w:rPr>
          <w:bCs/>
        </w:rPr>
        <w:t>g.</w:t>
      </w:r>
    </w:p>
    <w:p w:rsidR="00161BBD" w:rsidRDefault="00161BBD" w:rsidP="00DF3C13">
      <w:pPr>
        <w:jc w:val="both"/>
        <w:rPr>
          <w:bCs/>
        </w:rPr>
      </w:pPr>
      <w:r>
        <w:rPr>
          <w:bCs/>
        </w:rPr>
        <w:t xml:space="preserve">   </w:t>
      </w:r>
      <w:r w:rsidRPr="006C3325">
        <w:rPr>
          <w:bCs/>
          <w:i/>
        </w:rPr>
        <w:t>Stk. 2.</w:t>
      </w:r>
      <w:r>
        <w:rPr>
          <w:bCs/>
        </w:rPr>
        <w:t xml:space="preserve"> Erhvervsstyrelsen giver politi </w:t>
      </w:r>
      <w:r w:rsidR="00AA37E6">
        <w:rPr>
          <w:bCs/>
        </w:rPr>
        <w:t xml:space="preserve">og anklagemyndighed </w:t>
      </w:r>
      <w:r>
        <w:rPr>
          <w:bCs/>
        </w:rPr>
        <w:t xml:space="preserve">adgang til løbende at indhente oplysninger </w:t>
      </w:r>
      <w:r w:rsidR="00E74823">
        <w:rPr>
          <w:bCs/>
        </w:rPr>
        <w:t>i</w:t>
      </w:r>
      <w:r>
        <w:rPr>
          <w:bCs/>
        </w:rPr>
        <w:t xml:space="preserve"> registret </w:t>
      </w:r>
      <w:r w:rsidR="00402609">
        <w:rPr>
          <w:bCs/>
        </w:rPr>
        <w:t>om</w:t>
      </w:r>
      <w:r>
        <w:rPr>
          <w:bCs/>
        </w:rPr>
        <w:t xml:space="preserve"> konkrete personer.</w:t>
      </w:r>
    </w:p>
    <w:p w:rsidR="00161BBD" w:rsidRDefault="00161BBD" w:rsidP="00DF3C13">
      <w:pPr>
        <w:jc w:val="both"/>
        <w:rPr>
          <w:bCs/>
        </w:rPr>
      </w:pPr>
    </w:p>
    <w:p w:rsidR="00161BBD" w:rsidRDefault="00161BBD" w:rsidP="00DF3C13">
      <w:pPr>
        <w:jc w:val="both"/>
        <w:rPr>
          <w:bCs/>
        </w:rPr>
      </w:pPr>
      <w:r w:rsidRPr="006C3325">
        <w:rPr>
          <w:b/>
          <w:bCs/>
        </w:rPr>
        <w:t xml:space="preserve">§ </w:t>
      </w:r>
      <w:r w:rsidR="00E74823">
        <w:rPr>
          <w:b/>
          <w:bCs/>
        </w:rPr>
        <w:t>1</w:t>
      </w:r>
      <w:r w:rsidR="00364B62">
        <w:rPr>
          <w:b/>
          <w:bCs/>
        </w:rPr>
        <w:t>1</w:t>
      </w:r>
      <w:r w:rsidRPr="006C3325">
        <w:rPr>
          <w:b/>
          <w:bCs/>
        </w:rPr>
        <w:t>.</w:t>
      </w:r>
      <w:r>
        <w:rPr>
          <w:bCs/>
        </w:rPr>
        <w:t xml:space="preserve"> Skifteretterne kan indhente oplysninger </w:t>
      </w:r>
      <w:r w:rsidR="00E74823">
        <w:rPr>
          <w:bCs/>
        </w:rPr>
        <w:t>i</w:t>
      </w:r>
      <w:r>
        <w:rPr>
          <w:bCs/>
        </w:rPr>
        <w:t xml:space="preserve"> konkurskarantæner</w:t>
      </w:r>
      <w:r w:rsidR="00E74823">
        <w:rPr>
          <w:bCs/>
        </w:rPr>
        <w:t>eg</w:t>
      </w:r>
      <w:r w:rsidR="00E74823">
        <w:rPr>
          <w:bCs/>
        </w:rPr>
        <w:t>i</w:t>
      </w:r>
      <w:r w:rsidR="00E74823">
        <w:rPr>
          <w:bCs/>
        </w:rPr>
        <w:t>stret</w:t>
      </w:r>
      <w:r>
        <w:rPr>
          <w:bCs/>
        </w:rPr>
        <w:t>, når det er nødvendigt til brug for behandlingen af sager ved skiftere</w:t>
      </w:r>
      <w:r>
        <w:rPr>
          <w:bCs/>
        </w:rPr>
        <w:t>t</w:t>
      </w:r>
      <w:r>
        <w:rPr>
          <w:bCs/>
        </w:rPr>
        <w:t>ten.</w:t>
      </w:r>
    </w:p>
    <w:p w:rsidR="00161BBD" w:rsidRDefault="00161BBD" w:rsidP="00DF3C13">
      <w:pPr>
        <w:jc w:val="both"/>
        <w:rPr>
          <w:bCs/>
        </w:rPr>
      </w:pPr>
      <w:r>
        <w:rPr>
          <w:bCs/>
        </w:rPr>
        <w:t xml:space="preserve">   </w:t>
      </w:r>
      <w:r w:rsidRPr="006C3325">
        <w:rPr>
          <w:bCs/>
          <w:i/>
        </w:rPr>
        <w:t>Stk. 2.</w:t>
      </w:r>
      <w:r>
        <w:rPr>
          <w:bCs/>
        </w:rPr>
        <w:t xml:space="preserve"> Skifteretten kan på anmodning fra en rekonstruktør eller kurator indhente og videregive oplysninger fra </w:t>
      </w:r>
      <w:r w:rsidR="00E74823">
        <w:rPr>
          <w:bCs/>
        </w:rPr>
        <w:t>konkurskarantæne</w:t>
      </w:r>
      <w:r>
        <w:rPr>
          <w:bCs/>
        </w:rPr>
        <w:t xml:space="preserve">registret, når det efter skifterettens vurdering er nødvendigt for </w:t>
      </w:r>
      <w:r w:rsidR="00402609">
        <w:rPr>
          <w:bCs/>
        </w:rPr>
        <w:t>rekonstruktørens eller kur</w:t>
      </w:r>
      <w:r w:rsidR="00402609">
        <w:rPr>
          <w:bCs/>
        </w:rPr>
        <w:t>a</w:t>
      </w:r>
      <w:r w:rsidR="00402609">
        <w:rPr>
          <w:bCs/>
        </w:rPr>
        <w:t>torens</w:t>
      </w:r>
      <w:r>
        <w:rPr>
          <w:bCs/>
        </w:rPr>
        <w:t xml:space="preserve"> v</w:t>
      </w:r>
      <w:r>
        <w:rPr>
          <w:bCs/>
        </w:rPr>
        <w:t>a</w:t>
      </w:r>
      <w:r>
        <w:rPr>
          <w:bCs/>
        </w:rPr>
        <w:t>retagelse af sit hverv.</w:t>
      </w:r>
    </w:p>
    <w:p w:rsidR="00DF3C13" w:rsidRDefault="00DF3C13" w:rsidP="00DF3C13">
      <w:pPr>
        <w:jc w:val="both"/>
        <w:rPr>
          <w:bCs/>
        </w:rPr>
      </w:pPr>
      <w:r>
        <w:rPr>
          <w:bCs/>
        </w:rPr>
        <w:lastRenderedPageBreak/>
        <w:t xml:space="preserve">   </w:t>
      </w:r>
      <w:r w:rsidRPr="00DF3C13">
        <w:rPr>
          <w:bCs/>
          <w:i/>
        </w:rPr>
        <w:t>Stk. 3.</w:t>
      </w:r>
      <w:r>
        <w:rPr>
          <w:bCs/>
        </w:rPr>
        <w:t xml:space="preserve"> Erhvervsstyrelsen giver skifteretterne adgang til løbende at in</w:t>
      </w:r>
      <w:r>
        <w:rPr>
          <w:bCs/>
        </w:rPr>
        <w:t>d</w:t>
      </w:r>
      <w:r>
        <w:rPr>
          <w:bCs/>
        </w:rPr>
        <w:t xml:space="preserve">hente oplysninger i registret </w:t>
      </w:r>
      <w:r w:rsidR="00402609">
        <w:rPr>
          <w:bCs/>
        </w:rPr>
        <w:t xml:space="preserve">om </w:t>
      </w:r>
      <w:r>
        <w:rPr>
          <w:bCs/>
        </w:rPr>
        <w:t>konkrete personer.</w:t>
      </w:r>
    </w:p>
    <w:p w:rsidR="008D6658" w:rsidRDefault="008D6658" w:rsidP="00DF3C13">
      <w:pPr>
        <w:jc w:val="both"/>
        <w:rPr>
          <w:b/>
          <w:bCs/>
        </w:rPr>
      </w:pPr>
    </w:p>
    <w:p w:rsidR="00AE18B1" w:rsidRDefault="00DF3C13" w:rsidP="00DF3C13">
      <w:pPr>
        <w:jc w:val="both"/>
      </w:pPr>
      <w:r>
        <w:rPr>
          <w:b/>
          <w:bCs/>
        </w:rPr>
        <w:t xml:space="preserve">§ </w:t>
      </w:r>
      <w:r w:rsidR="00613B14">
        <w:rPr>
          <w:b/>
          <w:bCs/>
        </w:rPr>
        <w:t>1</w:t>
      </w:r>
      <w:r w:rsidR="00364B62">
        <w:rPr>
          <w:b/>
          <w:bCs/>
        </w:rPr>
        <w:t>2</w:t>
      </w:r>
      <w:r>
        <w:rPr>
          <w:b/>
          <w:bCs/>
        </w:rPr>
        <w:t>.</w:t>
      </w:r>
      <w:r w:rsidR="000345B6">
        <w:t xml:space="preserve"> Erhvervsstyrelsen kan, ud</w:t>
      </w:r>
      <w:r w:rsidR="00582E62">
        <w:t xml:space="preserve"> </w:t>
      </w:r>
      <w:r w:rsidR="000345B6">
        <w:t>over hv</w:t>
      </w:r>
      <w:r w:rsidR="008A1CFF">
        <w:t>ad</w:t>
      </w:r>
      <w:r w:rsidR="000345B6">
        <w:t xml:space="preserve"> der følger af </w:t>
      </w:r>
      <w:r w:rsidR="008A1CFF">
        <w:t>§</w:t>
      </w:r>
      <w:r w:rsidR="000345B6">
        <w:t xml:space="preserve">§ </w:t>
      </w:r>
      <w:r w:rsidR="004B2E04">
        <w:t>8</w:t>
      </w:r>
      <w:r w:rsidR="000345B6">
        <w:t xml:space="preserve">, </w:t>
      </w:r>
      <w:r w:rsidR="00E74823">
        <w:t>1</w:t>
      </w:r>
      <w:r w:rsidR="00983CB4">
        <w:t>0</w:t>
      </w:r>
      <w:r w:rsidR="000345B6">
        <w:t xml:space="preserve"> og </w:t>
      </w:r>
      <w:r w:rsidR="00E74823">
        <w:t>1</w:t>
      </w:r>
      <w:r w:rsidR="00983CB4">
        <w:t>1</w:t>
      </w:r>
      <w:r w:rsidR="000345B6">
        <w:t xml:space="preserve">, kun videregive </w:t>
      </w:r>
      <w:r w:rsidR="00A201E4">
        <w:t>person</w:t>
      </w:r>
      <w:r w:rsidR="000345B6">
        <w:t>o</w:t>
      </w:r>
      <w:r>
        <w:t xml:space="preserve">plysninger </w:t>
      </w:r>
      <w:r w:rsidR="00A201E4">
        <w:t>fra</w:t>
      </w:r>
      <w:r>
        <w:t xml:space="preserve"> ko</w:t>
      </w:r>
      <w:r w:rsidR="000345B6">
        <w:t>nkurskarantæneregistret</w:t>
      </w:r>
      <w:r w:rsidR="00E74823">
        <w:t xml:space="preserve"> og</w:t>
      </w:r>
      <w:r w:rsidR="00B204D4">
        <w:t xml:space="preserve"> </w:t>
      </w:r>
      <w:r w:rsidR="00E74823">
        <w:t>de</w:t>
      </w:r>
      <w:r w:rsidR="00E6772A">
        <w:t xml:space="preserve">n </w:t>
      </w:r>
      <w:r w:rsidR="00B204D4">
        <w:t>hist</w:t>
      </w:r>
      <w:r w:rsidR="00B204D4">
        <w:t>o</w:t>
      </w:r>
      <w:r w:rsidR="00B204D4">
        <w:t xml:space="preserve">riske </w:t>
      </w:r>
      <w:r w:rsidR="00E6772A">
        <w:t>database</w:t>
      </w:r>
      <w:r w:rsidR="000345B6">
        <w:t xml:space="preserve">, hvis </w:t>
      </w:r>
      <w:r>
        <w:t>det følger af lov eller bestemmelser fastsat i henhold til lov.</w:t>
      </w:r>
    </w:p>
    <w:p w:rsidR="00AE18B1" w:rsidRDefault="00AE18B1" w:rsidP="00DF3C13">
      <w:pPr>
        <w:jc w:val="both"/>
      </w:pPr>
    </w:p>
    <w:p w:rsidR="00AE18B1" w:rsidRPr="00AE18B1" w:rsidRDefault="00AE18B1" w:rsidP="00AE18B1">
      <w:pPr>
        <w:jc w:val="center"/>
        <w:rPr>
          <w:i/>
        </w:rPr>
      </w:pPr>
      <w:r>
        <w:rPr>
          <w:i/>
        </w:rPr>
        <w:t>Ikrafttrædelse</w:t>
      </w:r>
      <w:r w:rsidR="00B00FBF">
        <w:rPr>
          <w:i/>
        </w:rPr>
        <w:t>n</w:t>
      </w:r>
    </w:p>
    <w:p w:rsidR="00161BBD" w:rsidRDefault="00161BBD" w:rsidP="00DF3C13">
      <w:pPr>
        <w:jc w:val="both"/>
      </w:pPr>
    </w:p>
    <w:p w:rsidR="00921669" w:rsidRDefault="00161BBD" w:rsidP="00DF3C13">
      <w:pPr>
        <w:jc w:val="both"/>
        <w:rPr>
          <w:bCs/>
        </w:rPr>
      </w:pPr>
      <w:r w:rsidRPr="00DD7466">
        <w:rPr>
          <w:b/>
          <w:bCs/>
        </w:rPr>
        <w:t xml:space="preserve">§ </w:t>
      </w:r>
      <w:r w:rsidR="00DF3C13">
        <w:rPr>
          <w:b/>
          <w:bCs/>
        </w:rPr>
        <w:t>1</w:t>
      </w:r>
      <w:r w:rsidR="00364B62">
        <w:rPr>
          <w:b/>
          <w:bCs/>
        </w:rPr>
        <w:t>3</w:t>
      </w:r>
      <w:r w:rsidRPr="00DD7466">
        <w:rPr>
          <w:b/>
          <w:bCs/>
        </w:rPr>
        <w:t xml:space="preserve">. </w:t>
      </w:r>
      <w:r w:rsidR="00364B62" w:rsidRPr="00364B62">
        <w:rPr>
          <w:bCs/>
        </w:rPr>
        <w:t>B</w:t>
      </w:r>
      <w:r w:rsidR="000154B5" w:rsidRPr="00FC5784">
        <w:rPr>
          <w:bCs/>
        </w:rPr>
        <w:t xml:space="preserve">ekendtgørelsen </w:t>
      </w:r>
      <w:r w:rsidR="000154B5">
        <w:rPr>
          <w:bCs/>
        </w:rPr>
        <w:t xml:space="preserve">træder i kraft den </w:t>
      </w:r>
      <w:r w:rsidR="00775D70">
        <w:rPr>
          <w:bCs/>
        </w:rPr>
        <w:t>1. december</w:t>
      </w:r>
      <w:r w:rsidR="000154B5">
        <w:rPr>
          <w:bCs/>
        </w:rPr>
        <w:t xml:space="preserve"> 2013.</w:t>
      </w:r>
    </w:p>
    <w:p w:rsidR="00D911B6" w:rsidRDefault="00D911B6" w:rsidP="00DF3C13">
      <w:pPr>
        <w:jc w:val="both"/>
        <w:rPr>
          <w:bCs/>
        </w:rPr>
      </w:pPr>
    </w:p>
    <w:p w:rsidR="00364B62" w:rsidRDefault="00364B62" w:rsidP="00DF3C13">
      <w:pPr>
        <w:jc w:val="both"/>
        <w:rPr>
          <w:bCs/>
        </w:rPr>
      </w:pPr>
    </w:p>
    <w:p w:rsidR="00364B62" w:rsidRDefault="00364B62" w:rsidP="00364B62">
      <w:pPr>
        <w:jc w:val="center"/>
        <w:rPr>
          <w:bCs/>
          <w:i/>
        </w:rPr>
      </w:pPr>
      <w:r>
        <w:rPr>
          <w:bCs/>
          <w:i/>
        </w:rPr>
        <w:t>Erhvervs</w:t>
      </w:r>
      <w:r w:rsidR="00D911B6" w:rsidRPr="00D911B6">
        <w:rPr>
          <w:bCs/>
          <w:i/>
        </w:rPr>
        <w:t>- og Vækstministeriet, den</w:t>
      </w:r>
      <w:r>
        <w:rPr>
          <w:bCs/>
          <w:i/>
        </w:rPr>
        <w:t xml:space="preserve"> </w:t>
      </w:r>
      <w:r w:rsidR="00F514C4">
        <w:rPr>
          <w:bCs/>
          <w:i/>
        </w:rPr>
        <w:t xml:space="preserve"> </w:t>
      </w:r>
      <w:r>
        <w:rPr>
          <w:bCs/>
          <w:i/>
        </w:rPr>
        <w:t xml:space="preserve">  2013</w:t>
      </w:r>
    </w:p>
    <w:p w:rsidR="00364B62" w:rsidRDefault="00364B62" w:rsidP="00364B62">
      <w:pPr>
        <w:jc w:val="center"/>
        <w:rPr>
          <w:bCs/>
          <w:i/>
        </w:rPr>
      </w:pPr>
    </w:p>
    <w:p w:rsidR="00D911B6" w:rsidRDefault="00D911B6" w:rsidP="00D911B6">
      <w:pPr>
        <w:jc w:val="center"/>
        <w:rPr>
          <w:bCs/>
        </w:rPr>
      </w:pPr>
    </w:p>
    <w:p w:rsidR="00364B62" w:rsidRDefault="00364B62" w:rsidP="00D911B6">
      <w:pPr>
        <w:jc w:val="center"/>
        <w:rPr>
          <w:bCs/>
        </w:rPr>
      </w:pPr>
    </w:p>
    <w:p w:rsidR="00D911B6" w:rsidRPr="00D911B6" w:rsidRDefault="00D911B6" w:rsidP="00D911B6">
      <w:pPr>
        <w:jc w:val="right"/>
      </w:pPr>
    </w:p>
    <w:sectPr w:rsidR="00D911B6" w:rsidRPr="00D911B6" w:rsidSect="00B52AD6">
      <w:headerReference w:type="default" r:id="rId9"/>
      <w:pgSz w:w="11906" w:h="16838" w:code="9"/>
      <w:pgMar w:top="1418" w:right="3260" w:bottom="1134" w:left="1418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42" w:rsidRDefault="00912242" w:rsidP="007B0361">
      <w:pPr>
        <w:spacing w:line="240" w:lineRule="auto"/>
      </w:pPr>
      <w:r>
        <w:separator/>
      </w:r>
    </w:p>
  </w:endnote>
  <w:endnote w:type="continuationSeparator" w:id="0">
    <w:p w:rsidR="00912242" w:rsidRDefault="00912242" w:rsidP="007B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42" w:rsidRDefault="00912242" w:rsidP="007B0361">
      <w:pPr>
        <w:spacing w:line="240" w:lineRule="auto"/>
      </w:pPr>
      <w:r>
        <w:separator/>
      </w:r>
    </w:p>
  </w:footnote>
  <w:footnote w:type="continuationSeparator" w:id="0">
    <w:p w:rsidR="00912242" w:rsidRDefault="00912242" w:rsidP="007B03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8444" w:tblpY="15724"/>
      <w:tblOverlap w:val="never"/>
      <w:tblW w:w="14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</w:tblGrid>
    <w:tr w:rsidR="00B83E6D" w:rsidTr="00FE3C13">
      <w:tc>
        <w:tcPr>
          <w:tcW w:w="1418" w:type="dxa"/>
          <w:hideMark/>
        </w:tcPr>
        <w:p w:rsidR="00B83E6D" w:rsidRPr="001564EC" w:rsidRDefault="00B83E6D">
          <w:pPr>
            <w:pStyle w:val="Sidefod"/>
            <w:rPr>
              <w:lang w:val="da-DK"/>
            </w:rPr>
          </w:pPr>
          <w:r w:rsidRPr="001564EC">
            <w:rPr>
              <w:rStyle w:val="Sidetal"/>
              <w:sz w:val="20"/>
              <w:lang w:val="da-DK"/>
            </w:rPr>
            <w:fldChar w:fldCharType="begin"/>
          </w:r>
          <w:r w:rsidRPr="001564EC">
            <w:rPr>
              <w:rStyle w:val="Sidetal"/>
              <w:sz w:val="20"/>
              <w:lang w:val="da-DK"/>
            </w:rPr>
            <w:instrText xml:space="preserve"> PAGE </w:instrText>
          </w:r>
          <w:r w:rsidRPr="001564EC">
            <w:rPr>
              <w:rStyle w:val="Sidetal"/>
              <w:sz w:val="20"/>
              <w:lang w:val="da-DK"/>
            </w:rPr>
            <w:fldChar w:fldCharType="separate"/>
          </w:r>
          <w:r w:rsidR="00891ED4">
            <w:rPr>
              <w:rStyle w:val="Sidetal"/>
              <w:noProof/>
              <w:sz w:val="20"/>
              <w:lang w:val="da-DK"/>
            </w:rPr>
            <w:t>2</w:t>
          </w:r>
          <w:r w:rsidRPr="001564EC">
            <w:rPr>
              <w:rStyle w:val="Sidetal"/>
              <w:sz w:val="20"/>
              <w:lang w:val="da-DK"/>
            </w:rPr>
            <w:fldChar w:fldCharType="end"/>
          </w:r>
        </w:p>
      </w:tc>
    </w:tr>
  </w:tbl>
  <w:p w:rsidR="00B83E6D" w:rsidRDefault="00B83E6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2FCB"/>
    <w:multiLevelType w:val="hybridMultilevel"/>
    <w:tmpl w:val="D7464C0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6F"/>
    <w:rsid w:val="0000568F"/>
    <w:rsid w:val="00015386"/>
    <w:rsid w:val="000154B5"/>
    <w:rsid w:val="00021B4C"/>
    <w:rsid w:val="000271A1"/>
    <w:rsid w:val="000345B6"/>
    <w:rsid w:val="0004285C"/>
    <w:rsid w:val="00042C7C"/>
    <w:rsid w:val="00054D5E"/>
    <w:rsid w:val="00060B07"/>
    <w:rsid w:val="00066CAE"/>
    <w:rsid w:val="000975C7"/>
    <w:rsid w:val="000A1497"/>
    <w:rsid w:val="000B11F0"/>
    <w:rsid w:val="000C0064"/>
    <w:rsid w:val="000D387D"/>
    <w:rsid w:val="000F6FFA"/>
    <w:rsid w:val="000F709B"/>
    <w:rsid w:val="0010412E"/>
    <w:rsid w:val="00115DEF"/>
    <w:rsid w:val="0012523D"/>
    <w:rsid w:val="0012647F"/>
    <w:rsid w:val="00133E18"/>
    <w:rsid w:val="001379F9"/>
    <w:rsid w:val="00143016"/>
    <w:rsid w:val="00143D12"/>
    <w:rsid w:val="0015545A"/>
    <w:rsid w:val="001564EC"/>
    <w:rsid w:val="00161BBD"/>
    <w:rsid w:val="00167FAF"/>
    <w:rsid w:val="00171235"/>
    <w:rsid w:val="00175682"/>
    <w:rsid w:val="001768FD"/>
    <w:rsid w:val="00186588"/>
    <w:rsid w:val="00193A42"/>
    <w:rsid w:val="001B3821"/>
    <w:rsid w:val="001B608A"/>
    <w:rsid w:val="001B706F"/>
    <w:rsid w:val="001C1921"/>
    <w:rsid w:val="001D2FE9"/>
    <w:rsid w:val="001D79E6"/>
    <w:rsid w:val="001E6107"/>
    <w:rsid w:val="001F2472"/>
    <w:rsid w:val="00200A94"/>
    <w:rsid w:val="002408F4"/>
    <w:rsid w:val="002422F8"/>
    <w:rsid w:val="002766B6"/>
    <w:rsid w:val="00282EEF"/>
    <w:rsid w:val="002846F5"/>
    <w:rsid w:val="00286CD0"/>
    <w:rsid w:val="00287E1F"/>
    <w:rsid w:val="00290CAB"/>
    <w:rsid w:val="002A7A2B"/>
    <w:rsid w:val="002C206D"/>
    <w:rsid w:val="003027C3"/>
    <w:rsid w:val="0032781E"/>
    <w:rsid w:val="00333B24"/>
    <w:rsid w:val="00350541"/>
    <w:rsid w:val="00361A30"/>
    <w:rsid w:val="00364B62"/>
    <w:rsid w:val="0039626A"/>
    <w:rsid w:val="003A06B0"/>
    <w:rsid w:val="003A1BD1"/>
    <w:rsid w:val="003A549C"/>
    <w:rsid w:val="003A7972"/>
    <w:rsid w:val="003B5FE4"/>
    <w:rsid w:val="003C17C9"/>
    <w:rsid w:val="003C7C96"/>
    <w:rsid w:val="003D27BA"/>
    <w:rsid w:val="003E7472"/>
    <w:rsid w:val="00402609"/>
    <w:rsid w:val="00402EAE"/>
    <w:rsid w:val="0041559A"/>
    <w:rsid w:val="00415B26"/>
    <w:rsid w:val="00420D3C"/>
    <w:rsid w:val="0042557D"/>
    <w:rsid w:val="00434F78"/>
    <w:rsid w:val="00437A82"/>
    <w:rsid w:val="00451A11"/>
    <w:rsid w:val="0047325C"/>
    <w:rsid w:val="0047566F"/>
    <w:rsid w:val="00485A15"/>
    <w:rsid w:val="00485CC6"/>
    <w:rsid w:val="00493835"/>
    <w:rsid w:val="00494E7E"/>
    <w:rsid w:val="004951B8"/>
    <w:rsid w:val="004B2E04"/>
    <w:rsid w:val="004C336F"/>
    <w:rsid w:val="004D2636"/>
    <w:rsid w:val="004E2CE7"/>
    <w:rsid w:val="00513FC7"/>
    <w:rsid w:val="005176B7"/>
    <w:rsid w:val="005264D9"/>
    <w:rsid w:val="00527D77"/>
    <w:rsid w:val="005330DA"/>
    <w:rsid w:val="00562A13"/>
    <w:rsid w:val="005639D8"/>
    <w:rsid w:val="00567C82"/>
    <w:rsid w:val="005728C8"/>
    <w:rsid w:val="00582E62"/>
    <w:rsid w:val="00594E1A"/>
    <w:rsid w:val="005A4002"/>
    <w:rsid w:val="005B4437"/>
    <w:rsid w:val="006061B4"/>
    <w:rsid w:val="0061038B"/>
    <w:rsid w:val="006113A6"/>
    <w:rsid w:val="00613B14"/>
    <w:rsid w:val="00613CC6"/>
    <w:rsid w:val="00615CDA"/>
    <w:rsid w:val="00623BF4"/>
    <w:rsid w:val="00627F72"/>
    <w:rsid w:val="00631EE1"/>
    <w:rsid w:val="006552CA"/>
    <w:rsid w:val="00657C24"/>
    <w:rsid w:val="00661B92"/>
    <w:rsid w:val="00670916"/>
    <w:rsid w:val="00671738"/>
    <w:rsid w:val="006754B3"/>
    <w:rsid w:val="00690B9B"/>
    <w:rsid w:val="006A2382"/>
    <w:rsid w:val="006B6DA7"/>
    <w:rsid w:val="006D4DC8"/>
    <w:rsid w:val="006D769D"/>
    <w:rsid w:val="006E0E1F"/>
    <w:rsid w:val="00700212"/>
    <w:rsid w:val="007045A0"/>
    <w:rsid w:val="00711507"/>
    <w:rsid w:val="00713DC4"/>
    <w:rsid w:val="00733501"/>
    <w:rsid w:val="00741CBA"/>
    <w:rsid w:val="0074343D"/>
    <w:rsid w:val="00755D6C"/>
    <w:rsid w:val="00775D70"/>
    <w:rsid w:val="00782F65"/>
    <w:rsid w:val="007975D6"/>
    <w:rsid w:val="007B0361"/>
    <w:rsid w:val="007D0E6B"/>
    <w:rsid w:val="00814ACB"/>
    <w:rsid w:val="00840103"/>
    <w:rsid w:val="00852A03"/>
    <w:rsid w:val="00891ED4"/>
    <w:rsid w:val="008A1CFF"/>
    <w:rsid w:val="008A1E85"/>
    <w:rsid w:val="008D6658"/>
    <w:rsid w:val="008D755C"/>
    <w:rsid w:val="008F6574"/>
    <w:rsid w:val="00902DEE"/>
    <w:rsid w:val="00911380"/>
    <w:rsid w:val="00912242"/>
    <w:rsid w:val="00921669"/>
    <w:rsid w:val="00930CFA"/>
    <w:rsid w:val="0093624E"/>
    <w:rsid w:val="0094147B"/>
    <w:rsid w:val="00942697"/>
    <w:rsid w:val="0095386E"/>
    <w:rsid w:val="00961297"/>
    <w:rsid w:val="009628A1"/>
    <w:rsid w:val="00977D59"/>
    <w:rsid w:val="00980AD1"/>
    <w:rsid w:val="00980C30"/>
    <w:rsid w:val="00983BC5"/>
    <w:rsid w:val="00983CB4"/>
    <w:rsid w:val="00993238"/>
    <w:rsid w:val="0099500F"/>
    <w:rsid w:val="009A1F3E"/>
    <w:rsid w:val="009B5652"/>
    <w:rsid w:val="009B6317"/>
    <w:rsid w:val="009B78CA"/>
    <w:rsid w:val="009E1C28"/>
    <w:rsid w:val="009E3D80"/>
    <w:rsid w:val="009E7047"/>
    <w:rsid w:val="00A12D66"/>
    <w:rsid w:val="00A201E4"/>
    <w:rsid w:val="00A51B94"/>
    <w:rsid w:val="00A736B1"/>
    <w:rsid w:val="00AA2102"/>
    <w:rsid w:val="00AA37E6"/>
    <w:rsid w:val="00AA4EF1"/>
    <w:rsid w:val="00AB7799"/>
    <w:rsid w:val="00AC4674"/>
    <w:rsid w:val="00AD66F2"/>
    <w:rsid w:val="00AD7F49"/>
    <w:rsid w:val="00AE18B1"/>
    <w:rsid w:val="00AE2981"/>
    <w:rsid w:val="00AF4111"/>
    <w:rsid w:val="00AF5867"/>
    <w:rsid w:val="00B00FBF"/>
    <w:rsid w:val="00B204D4"/>
    <w:rsid w:val="00B322BC"/>
    <w:rsid w:val="00B52AD6"/>
    <w:rsid w:val="00B66B55"/>
    <w:rsid w:val="00B723E0"/>
    <w:rsid w:val="00B81C2F"/>
    <w:rsid w:val="00B82EAE"/>
    <w:rsid w:val="00B83E6D"/>
    <w:rsid w:val="00B87DA7"/>
    <w:rsid w:val="00B94A28"/>
    <w:rsid w:val="00BC2472"/>
    <w:rsid w:val="00BE4B35"/>
    <w:rsid w:val="00BF4706"/>
    <w:rsid w:val="00BF7A09"/>
    <w:rsid w:val="00C230A6"/>
    <w:rsid w:val="00C274E7"/>
    <w:rsid w:val="00C85322"/>
    <w:rsid w:val="00C9317E"/>
    <w:rsid w:val="00C97613"/>
    <w:rsid w:val="00CA007C"/>
    <w:rsid w:val="00CB1087"/>
    <w:rsid w:val="00CB6FF7"/>
    <w:rsid w:val="00CE1413"/>
    <w:rsid w:val="00D416E1"/>
    <w:rsid w:val="00D50CA0"/>
    <w:rsid w:val="00D911B6"/>
    <w:rsid w:val="00DA6B56"/>
    <w:rsid w:val="00DD3C7D"/>
    <w:rsid w:val="00DD5E13"/>
    <w:rsid w:val="00DD612B"/>
    <w:rsid w:val="00DF3C13"/>
    <w:rsid w:val="00E06BDF"/>
    <w:rsid w:val="00E165C4"/>
    <w:rsid w:val="00E25DA3"/>
    <w:rsid w:val="00E279CB"/>
    <w:rsid w:val="00E475A2"/>
    <w:rsid w:val="00E6772A"/>
    <w:rsid w:val="00E72BD1"/>
    <w:rsid w:val="00E74823"/>
    <w:rsid w:val="00E840A3"/>
    <w:rsid w:val="00EA6F3C"/>
    <w:rsid w:val="00EB036D"/>
    <w:rsid w:val="00EB42C3"/>
    <w:rsid w:val="00EB4399"/>
    <w:rsid w:val="00EB53BD"/>
    <w:rsid w:val="00EC3C83"/>
    <w:rsid w:val="00ED066F"/>
    <w:rsid w:val="00EF5493"/>
    <w:rsid w:val="00EF6E77"/>
    <w:rsid w:val="00F075D0"/>
    <w:rsid w:val="00F23C8D"/>
    <w:rsid w:val="00F24B9C"/>
    <w:rsid w:val="00F3391F"/>
    <w:rsid w:val="00F5087E"/>
    <w:rsid w:val="00F514C4"/>
    <w:rsid w:val="00F52F9A"/>
    <w:rsid w:val="00F713CB"/>
    <w:rsid w:val="00F842DA"/>
    <w:rsid w:val="00F92C69"/>
    <w:rsid w:val="00FC5784"/>
    <w:rsid w:val="00FE0DFC"/>
    <w:rsid w:val="00FE1D42"/>
    <w:rsid w:val="00FE3C1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6F"/>
    <w:pPr>
      <w:spacing w:line="300" w:lineRule="auto"/>
    </w:pPr>
    <w:rPr>
      <w:rFonts w:ascii="Times New Roman" w:hAnsi="Times New Roman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1669"/>
    <w:pPr>
      <w:keepNext/>
      <w:spacing w:before="100" w:beforeAutospacing="1" w:after="100" w:afterAutospacing="1"/>
      <w:outlineLvl w:val="0"/>
    </w:pPr>
    <w:rPr>
      <w:rFonts w:eastAsia="Times New Roman"/>
      <w:b/>
      <w:bCs/>
      <w:sz w:val="28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1669"/>
    <w:pPr>
      <w:keepNext/>
      <w:spacing w:before="100" w:beforeAutospacing="1" w:after="100" w:afterAutospacing="1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361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hovedTegn">
    <w:name w:val="Sidehoved Tegn"/>
    <w:link w:val="Sidehoved"/>
    <w:uiPriority w:val="99"/>
    <w:rsid w:val="007B0361"/>
    <w:rPr>
      <w:rFonts w:ascii="Times New Roman" w:hAnsi="Times New Roman"/>
      <w:sz w:val="24"/>
      <w:szCs w:val="22"/>
      <w:lang w:eastAsia="en-US"/>
    </w:rPr>
  </w:style>
  <w:style w:type="paragraph" w:styleId="Sidefod">
    <w:name w:val="footer"/>
    <w:basedOn w:val="Normal"/>
    <w:link w:val="SidefodTegn"/>
    <w:unhideWhenUsed/>
    <w:rsid w:val="007B0361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fodTegn">
    <w:name w:val="Sidefod Tegn"/>
    <w:link w:val="Sidefod"/>
    <w:rsid w:val="007B0361"/>
    <w:rPr>
      <w:rFonts w:ascii="Times New Roman" w:hAnsi="Times New Roman"/>
      <w:sz w:val="24"/>
      <w:szCs w:val="22"/>
      <w:lang w:eastAsia="en-US"/>
    </w:rPr>
  </w:style>
  <w:style w:type="character" w:styleId="Sidetal">
    <w:name w:val="page number"/>
    <w:semiHidden/>
    <w:unhideWhenUsed/>
    <w:rsid w:val="00FE3C13"/>
  </w:style>
  <w:style w:type="character" w:customStyle="1" w:styleId="Overskrift1Tegn">
    <w:name w:val="Overskrift 1 Tegn"/>
    <w:link w:val="Overskrift1"/>
    <w:uiPriority w:val="9"/>
    <w:rsid w:val="00921669"/>
    <w:rPr>
      <w:rFonts w:ascii="Times New Roman" w:eastAsia="Times New Roman" w:hAnsi="Times New Roman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semiHidden/>
    <w:rsid w:val="00921669"/>
    <w:rPr>
      <w:rFonts w:ascii="Times New Roman" w:eastAsia="Times New Roman" w:hAnsi="Times New Roman" w:cs="Times New Roman"/>
      <w:b/>
      <w:bCs/>
      <w:iCs/>
      <w:sz w:val="28"/>
      <w:szCs w:val="28"/>
      <w:lang w:eastAsia="en-US"/>
    </w:rPr>
  </w:style>
  <w:style w:type="paragraph" w:styleId="Listeafsnit">
    <w:name w:val="List Paragraph"/>
    <w:basedOn w:val="Normal"/>
    <w:uiPriority w:val="99"/>
    <w:qFormat/>
    <w:rsid w:val="00161BBD"/>
    <w:pPr>
      <w:spacing w:line="280" w:lineRule="exact"/>
      <w:ind w:left="720"/>
      <w:jc w:val="both"/>
    </w:pPr>
    <w:rPr>
      <w:rFonts w:ascii="Arial" w:eastAsia="Times New Roman" w:hAnsi="Arial" w:cs="Arial"/>
      <w:sz w:val="21"/>
      <w:szCs w:val="21"/>
    </w:rPr>
  </w:style>
  <w:style w:type="character" w:styleId="Kommentarhenvisning">
    <w:name w:val="annotation reference"/>
    <w:uiPriority w:val="99"/>
    <w:semiHidden/>
    <w:rsid w:val="00161BBD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61BBD"/>
    <w:pPr>
      <w:spacing w:line="240" w:lineRule="auto"/>
      <w:jc w:val="both"/>
    </w:pPr>
    <w:rPr>
      <w:rFonts w:ascii="Arial" w:eastAsia="Times New Roman" w:hAnsi="Arial"/>
      <w:sz w:val="20"/>
      <w:szCs w:val="20"/>
      <w:lang w:val="x-none"/>
    </w:rPr>
  </w:style>
  <w:style w:type="character" w:customStyle="1" w:styleId="KommentartekstTegn">
    <w:name w:val="Kommentartekst Tegn"/>
    <w:link w:val="Kommentartekst"/>
    <w:uiPriority w:val="99"/>
    <w:semiHidden/>
    <w:rsid w:val="00161BBD"/>
    <w:rPr>
      <w:rFonts w:ascii="Arial" w:eastAsia="Times New Roman" w:hAnsi="Arial" w:cs="Arial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1BB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61BBD"/>
    <w:rPr>
      <w:rFonts w:ascii="Tahoma" w:hAnsi="Tahoma" w:cs="Tahoma"/>
      <w:sz w:val="16"/>
      <w:szCs w:val="16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86588"/>
    <w:pPr>
      <w:spacing w:line="300" w:lineRule="auto"/>
      <w:jc w:val="left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186588"/>
    <w:rPr>
      <w:rFonts w:ascii="Times New Roman" w:eastAsia="Times New Roman" w:hAnsi="Times New Roman" w:cs="Arial"/>
      <w:b/>
      <w:bCs/>
      <w:lang w:eastAsia="en-US"/>
    </w:rPr>
  </w:style>
  <w:style w:type="paragraph" w:styleId="Korrektur">
    <w:name w:val="Revision"/>
    <w:hidden/>
    <w:uiPriority w:val="99"/>
    <w:semiHidden/>
    <w:rsid w:val="00961297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6F"/>
    <w:pPr>
      <w:spacing w:line="300" w:lineRule="auto"/>
    </w:pPr>
    <w:rPr>
      <w:rFonts w:ascii="Times New Roman" w:hAnsi="Times New Roman"/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1669"/>
    <w:pPr>
      <w:keepNext/>
      <w:spacing w:before="100" w:beforeAutospacing="1" w:after="100" w:afterAutospacing="1"/>
      <w:outlineLvl w:val="0"/>
    </w:pPr>
    <w:rPr>
      <w:rFonts w:eastAsia="Times New Roman"/>
      <w:b/>
      <w:bCs/>
      <w:sz w:val="28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1669"/>
    <w:pPr>
      <w:keepNext/>
      <w:spacing w:before="100" w:beforeAutospacing="1" w:after="100" w:afterAutospacing="1"/>
      <w:outlineLvl w:val="1"/>
    </w:pPr>
    <w:rPr>
      <w:rFonts w:eastAsia="Times New Roman"/>
      <w:b/>
      <w:bCs/>
      <w:iCs/>
      <w:sz w:val="28"/>
      <w:szCs w:val="28"/>
      <w:lang w:val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361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hovedTegn">
    <w:name w:val="Sidehoved Tegn"/>
    <w:link w:val="Sidehoved"/>
    <w:uiPriority w:val="99"/>
    <w:rsid w:val="007B0361"/>
    <w:rPr>
      <w:rFonts w:ascii="Times New Roman" w:hAnsi="Times New Roman"/>
      <w:sz w:val="24"/>
      <w:szCs w:val="22"/>
      <w:lang w:eastAsia="en-US"/>
    </w:rPr>
  </w:style>
  <w:style w:type="paragraph" w:styleId="Sidefod">
    <w:name w:val="footer"/>
    <w:basedOn w:val="Normal"/>
    <w:link w:val="SidefodTegn"/>
    <w:unhideWhenUsed/>
    <w:rsid w:val="007B0361"/>
    <w:pPr>
      <w:tabs>
        <w:tab w:val="center" w:pos="4819"/>
        <w:tab w:val="right" w:pos="9638"/>
      </w:tabs>
    </w:pPr>
    <w:rPr>
      <w:lang w:val="x-none"/>
    </w:rPr>
  </w:style>
  <w:style w:type="character" w:customStyle="1" w:styleId="SidefodTegn">
    <w:name w:val="Sidefod Tegn"/>
    <w:link w:val="Sidefod"/>
    <w:rsid w:val="007B0361"/>
    <w:rPr>
      <w:rFonts w:ascii="Times New Roman" w:hAnsi="Times New Roman"/>
      <w:sz w:val="24"/>
      <w:szCs w:val="22"/>
      <w:lang w:eastAsia="en-US"/>
    </w:rPr>
  </w:style>
  <w:style w:type="character" w:styleId="Sidetal">
    <w:name w:val="page number"/>
    <w:semiHidden/>
    <w:unhideWhenUsed/>
    <w:rsid w:val="00FE3C13"/>
  </w:style>
  <w:style w:type="character" w:customStyle="1" w:styleId="Overskrift1Tegn">
    <w:name w:val="Overskrift 1 Tegn"/>
    <w:link w:val="Overskrift1"/>
    <w:uiPriority w:val="9"/>
    <w:rsid w:val="00921669"/>
    <w:rPr>
      <w:rFonts w:ascii="Times New Roman" w:eastAsia="Times New Roman" w:hAnsi="Times New Roman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semiHidden/>
    <w:rsid w:val="00921669"/>
    <w:rPr>
      <w:rFonts w:ascii="Times New Roman" w:eastAsia="Times New Roman" w:hAnsi="Times New Roman" w:cs="Times New Roman"/>
      <w:b/>
      <w:bCs/>
      <w:iCs/>
      <w:sz w:val="28"/>
      <w:szCs w:val="28"/>
      <w:lang w:eastAsia="en-US"/>
    </w:rPr>
  </w:style>
  <w:style w:type="paragraph" w:styleId="Listeafsnit">
    <w:name w:val="List Paragraph"/>
    <w:basedOn w:val="Normal"/>
    <w:uiPriority w:val="99"/>
    <w:qFormat/>
    <w:rsid w:val="00161BBD"/>
    <w:pPr>
      <w:spacing w:line="280" w:lineRule="exact"/>
      <w:ind w:left="720"/>
      <w:jc w:val="both"/>
    </w:pPr>
    <w:rPr>
      <w:rFonts w:ascii="Arial" w:eastAsia="Times New Roman" w:hAnsi="Arial" w:cs="Arial"/>
      <w:sz w:val="21"/>
      <w:szCs w:val="21"/>
    </w:rPr>
  </w:style>
  <w:style w:type="character" w:styleId="Kommentarhenvisning">
    <w:name w:val="annotation reference"/>
    <w:uiPriority w:val="99"/>
    <w:semiHidden/>
    <w:rsid w:val="00161BBD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61BBD"/>
    <w:pPr>
      <w:spacing w:line="240" w:lineRule="auto"/>
      <w:jc w:val="both"/>
    </w:pPr>
    <w:rPr>
      <w:rFonts w:ascii="Arial" w:eastAsia="Times New Roman" w:hAnsi="Arial"/>
      <w:sz w:val="20"/>
      <w:szCs w:val="20"/>
      <w:lang w:val="x-none"/>
    </w:rPr>
  </w:style>
  <w:style w:type="character" w:customStyle="1" w:styleId="KommentartekstTegn">
    <w:name w:val="Kommentartekst Tegn"/>
    <w:link w:val="Kommentartekst"/>
    <w:uiPriority w:val="99"/>
    <w:semiHidden/>
    <w:rsid w:val="00161BBD"/>
    <w:rPr>
      <w:rFonts w:ascii="Arial" w:eastAsia="Times New Roman" w:hAnsi="Arial" w:cs="Arial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1BB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61BBD"/>
    <w:rPr>
      <w:rFonts w:ascii="Tahoma" w:hAnsi="Tahoma" w:cs="Tahoma"/>
      <w:sz w:val="16"/>
      <w:szCs w:val="16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86588"/>
    <w:pPr>
      <w:spacing w:line="300" w:lineRule="auto"/>
      <w:jc w:val="left"/>
    </w:pPr>
    <w:rPr>
      <w:rFonts w:ascii="Times New Roman" w:hAnsi="Times New Roman"/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186588"/>
    <w:rPr>
      <w:rFonts w:ascii="Times New Roman" w:eastAsia="Times New Roman" w:hAnsi="Times New Roman" w:cs="Arial"/>
      <w:b/>
      <w:bCs/>
      <w:lang w:eastAsia="en-US"/>
    </w:rPr>
  </w:style>
  <w:style w:type="paragraph" w:styleId="Korrektur">
    <w:name w:val="Revision"/>
    <w:hidden/>
    <w:uiPriority w:val="99"/>
    <w:semiHidden/>
    <w:rsid w:val="0096129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4843-C69D-40E0-B530-BB3D6CA9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Team Data Support A/S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Rosenberg</dc:creator>
  <cp:keywords/>
  <cp:lastModifiedBy>Søren Houen</cp:lastModifiedBy>
  <cp:revision>2</cp:revision>
  <cp:lastPrinted>2013-10-08T13:32:00Z</cp:lastPrinted>
  <dcterms:created xsi:type="dcterms:W3CDTF">2013-10-25T13:49:00Z</dcterms:created>
  <dcterms:modified xsi:type="dcterms:W3CDTF">2013-10-25T13:49:00Z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C:\Users\951mam\AppData\Local\Temp\SJ20130911110931229 [DOK881576].DOC</vt:lpwstr>
  </property>
  <property fmtid="{D5CDD505-2E9C-101B-9397-08002B2CF9AE}" pid="3" name="title">
    <vt:lpwstr>Udkast til bekendtgørelse</vt:lpwstr>
  </property>
  <property fmtid="{D5CDD505-2E9C-101B-9397-08002B2CF9AE}" pid="4" name="command">
    <vt:lpwstr/>
  </property>
</Properties>
</file>