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44"/>
      </w:tblGrid>
      <w:tr w:rsidR="00D65E69" w:rsidRPr="009F2BC1" w14:paraId="23B0EDD9" w14:textId="77777777" w:rsidTr="00F079B4">
        <w:trPr>
          <w:cantSplit/>
          <w:trHeight w:val="3159"/>
        </w:trPr>
        <w:tc>
          <w:tcPr>
            <w:tcW w:w="7144" w:type="dxa"/>
          </w:tcPr>
          <w:p w14:paraId="5A5803FC" w14:textId="77777777" w:rsidR="00D65E69" w:rsidRPr="009F2BC1" w:rsidRDefault="00D65E69" w:rsidP="00F079B4">
            <w:pPr>
              <w:rPr>
                <w:rFonts w:cs="Arial"/>
                <w:szCs w:val="22"/>
              </w:rPr>
            </w:pPr>
            <w:r w:rsidRPr="009F2BC1">
              <w:rPr>
                <w:rFonts w:cs="Arial"/>
                <w:szCs w:val="22"/>
              </w:rPr>
              <w:t xml:space="preserve">  </w:t>
            </w:r>
          </w:p>
          <w:p w14:paraId="7D9DC7B7" w14:textId="77777777" w:rsidR="00D65E69" w:rsidRPr="009F2BC1" w:rsidRDefault="00D65E69" w:rsidP="00F079B4">
            <w:pPr>
              <w:rPr>
                <w:rFonts w:cs="Arial"/>
                <w:szCs w:val="22"/>
              </w:rPr>
            </w:pPr>
            <w:r w:rsidRPr="009F2BC1">
              <w:rPr>
                <w:rFonts w:cs="Arial"/>
                <w:szCs w:val="22"/>
              </w:rPr>
              <w:t xml:space="preserve">  </w:t>
            </w:r>
          </w:p>
          <w:p w14:paraId="2903AA46" w14:textId="77777777" w:rsidR="001E63D8" w:rsidRPr="009F2BC1" w:rsidRDefault="00D65E69" w:rsidP="008D1674">
            <w:pPr>
              <w:tabs>
                <w:tab w:val="left" w:pos="6511"/>
              </w:tabs>
              <w:rPr>
                <w:rFonts w:cs="Arial"/>
                <w:szCs w:val="22"/>
              </w:rPr>
            </w:pPr>
            <w:r w:rsidRPr="009F2BC1">
              <w:rPr>
                <w:rFonts w:cs="Arial"/>
                <w:szCs w:val="22"/>
              </w:rPr>
              <w:t xml:space="preserve"> </w:t>
            </w:r>
          </w:p>
          <w:p w14:paraId="0CA7FD66" w14:textId="77777777" w:rsidR="0077532B" w:rsidRPr="009F2BC1" w:rsidRDefault="0077532B" w:rsidP="008D1674">
            <w:pPr>
              <w:tabs>
                <w:tab w:val="left" w:pos="6511"/>
              </w:tabs>
              <w:rPr>
                <w:rFonts w:cs="Arial"/>
                <w:szCs w:val="22"/>
              </w:rPr>
            </w:pPr>
          </w:p>
        </w:tc>
      </w:tr>
    </w:tbl>
    <w:p w14:paraId="55A175B9" w14:textId="0ED3A049" w:rsidR="00A85ECD" w:rsidRPr="003D5CB7" w:rsidRDefault="00306CC8" w:rsidP="003D5CB7">
      <w:pPr>
        <w:rPr>
          <w:b/>
        </w:rPr>
      </w:pPr>
      <w:r w:rsidRPr="003D5CB7">
        <w:rPr>
          <w:b/>
        </w:rPr>
        <w:t>Høring over udkast til ændring af bekendtgørelse om godkendelse og tilladelse m.v. af husdyrbrug (husdyrgodkendelsesbekendtgørelsen)</w:t>
      </w:r>
    </w:p>
    <w:p w14:paraId="2E2E1685" w14:textId="77777777" w:rsidR="004830C6" w:rsidRPr="009F2BC1" w:rsidRDefault="004830C6" w:rsidP="00FE7E77"/>
    <w:p w14:paraId="3922BDC4" w14:textId="77777777" w:rsidR="00306CC8" w:rsidRDefault="00306CC8" w:rsidP="00FE7E77">
      <w:r w:rsidRPr="00306CC8">
        <w:t xml:space="preserve">Miljøministeriet sender hermed udkast til bekendtgørelse om godkendelse og tilladelse m.v. af husdyrbrug (husdyrgodkendelsesbekendtgørelsen) i høring. </w:t>
      </w:r>
    </w:p>
    <w:p w14:paraId="04D6CCB1" w14:textId="77777777" w:rsidR="00306CC8" w:rsidRDefault="00306CC8" w:rsidP="00FE7E77"/>
    <w:p w14:paraId="3F775687" w14:textId="28BFE9ED" w:rsidR="00306CC8" w:rsidRDefault="00306CC8" w:rsidP="00FE7E77">
      <w:r w:rsidRPr="00306CC8">
        <w:t xml:space="preserve">Bekendtgørelsesudkastet </w:t>
      </w:r>
      <w:r w:rsidR="000317A2">
        <w:t xml:space="preserve">skal ses i sammenhæng med </w:t>
      </w:r>
      <w:r w:rsidR="002A7623">
        <w:t>aftale om grøn omstilling af dansk landbrug af okto</w:t>
      </w:r>
      <w:r w:rsidR="00D45590">
        <w:t>b</w:t>
      </w:r>
      <w:r w:rsidR="002A7623">
        <w:t>er 2021</w:t>
      </w:r>
      <w:r w:rsidR="00457431">
        <w:t xml:space="preserve">. Her </w:t>
      </w:r>
      <w:r w:rsidR="002A7623">
        <w:t xml:space="preserve">blev det aftalt, at der skal indføres et generelt reduktionskrav for </w:t>
      </w:r>
      <w:r w:rsidR="004800E2">
        <w:t xml:space="preserve">metan fra kvægs </w:t>
      </w:r>
      <w:r w:rsidR="002A7623">
        <w:t>fordøjelse</w:t>
      </w:r>
      <w:r w:rsidR="004800E2">
        <w:t>ssystem</w:t>
      </w:r>
      <w:r w:rsidR="002A7623">
        <w:t xml:space="preserve"> fra 2025</w:t>
      </w:r>
      <w:r w:rsidR="004800E2">
        <w:t xml:space="preserve">. Reduktionen skal svare til den effekt, der kan opnås </w:t>
      </w:r>
      <w:r w:rsidR="002A7623">
        <w:t xml:space="preserve">ved øget fedtandel i foderet. Efter lov om husdyrbrug og anvendelse af gødning m.v. har miljøministeren bemyndigelse til at fastsætte regler om indretning og drift af anlæg med henblik på at reducere udledning af drivhusgasser fra erhvervsmæssige dyrehold. Bemyndigelsen skal herved bl.a. anvendes til udmønte beslutninger fra landbrugsaftalen, herunder regler om tiltag med henblik på reduktion af udledninger fra kvæg. Nærværende bekendtgørelsesændring har til formål at udmønte denne bemyndigelse til at fastsætte et generelt reduktionskrav for </w:t>
      </w:r>
      <w:r w:rsidR="00D45590">
        <w:t>metan fra malke</w:t>
      </w:r>
      <w:r w:rsidR="00457431">
        <w:t xml:space="preserve">køers </w:t>
      </w:r>
      <w:r w:rsidR="002A7623">
        <w:t>fordøjelse.</w:t>
      </w:r>
    </w:p>
    <w:p w14:paraId="603F43AB" w14:textId="77777777" w:rsidR="00306CC8" w:rsidRDefault="00306CC8" w:rsidP="00FE7E77"/>
    <w:p w14:paraId="42A56AF3" w14:textId="77777777" w:rsidR="008630FF" w:rsidRDefault="00306CC8" w:rsidP="00FE7E77">
      <w:r w:rsidRPr="00306CC8">
        <w:t xml:space="preserve">De foreslåede ændringer i bekendtgørelsesudkastet er fremhævet </w:t>
      </w:r>
      <w:r w:rsidR="008630FF">
        <w:t xml:space="preserve">med korrekturtegn </w:t>
      </w:r>
      <w:r w:rsidRPr="00306CC8">
        <w:t xml:space="preserve">i forhold til den gældende bekendtgørelse. </w:t>
      </w:r>
    </w:p>
    <w:p w14:paraId="578FC348" w14:textId="77777777" w:rsidR="008630FF" w:rsidRDefault="008630FF" w:rsidP="00FE7E77"/>
    <w:p w14:paraId="7613F406" w14:textId="5F04D5ED" w:rsidR="00306CC8" w:rsidRDefault="00306CC8" w:rsidP="00FE7E77">
      <w:r w:rsidRPr="00306CC8">
        <w:t xml:space="preserve">Bekendtgørelsesudkastets væsentligste ændringer omfatter følgende: </w:t>
      </w:r>
    </w:p>
    <w:p w14:paraId="70B22B56" w14:textId="2EFCF640" w:rsidR="002216AA" w:rsidRDefault="002216AA" w:rsidP="00FE7E77"/>
    <w:p w14:paraId="64954FD9" w14:textId="23EB4690" w:rsidR="002216AA" w:rsidRDefault="001A3156" w:rsidP="002216AA">
      <w:pPr>
        <w:pStyle w:val="Opstilling-punkttegn"/>
      </w:pPr>
      <w:r>
        <w:t>F</w:t>
      </w:r>
      <w:r w:rsidR="002216AA" w:rsidRPr="002216AA">
        <w:t>oder til malkekøer på husdyrbrug skal tilsættes enten fedt via fedtrige fodermidler eller fodertilsætningsstoffer indeholdende aktivstoffet 3</w:t>
      </w:r>
      <w:r w:rsidR="00751337">
        <w:t>-</w:t>
      </w:r>
      <w:r w:rsidR="002216AA" w:rsidRPr="002216AA">
        <w:t>NOP</w:t>
      </w:r>
      <w:r w:rsidR="00E918EC">
        <w:t>.</w:t>
      </w:r>
    </w:p>
    <w:p w14:paraId="651E22C6" w14:textId="13FEC12E" w:rsidR="002216AA" w:rsidRDefault="001A3156" w:rsidP="002216AA">
      <w:pPr>
        <w:pStyle w:val="Opstilling-punkttegn"/>
      </w:pPr>
      <w:r>
        <w:t>Hvis kravet opfyldes v</w:t>
      </w:r>
      <w:r w:rsidR="002216AA" w:rsidRPr="002216AA">
        <w:t>ed tildeling af fedtsyrer skal den samlede daglige foderration, som malkekoen tildeles, indeholde mindst 48 g fedtsyrer pr. kg tørstof</w:t>
      </w:r>
      <w:r w:rsidR="002216AA">
        <w:t>.</w:t>
      </w:r>
    </w:p>
    <w:p w14:paraId="76FC98AD" w14:textId="35F9F640" w:rsidR="001A3156" w:rsidRDefault="001A3156" w:rsidP="002216AA">
      <w:pPr>
        <w:pStyle w:val="Opstilling-punkttegn"/>
      </w:pPr>
      <w:r>
        <w:t>Hvis kravet opfyldes v</w:t>
      </w:r>
      <w:r w:rsidRPr="00B04BA9">
        <w:t>ed tildeling af fodertilsætningsstoffer indeholdende aktivstoffet 3-NOP, skal den samlede daglige foderration indeholde mindst 60 mg 3-NOP</w:t>
      </w:r>
      <w:r w:rsidRPr="00B04BA9" w:rsidDel="00611D1E">
        <w:t xml:space="preserve"> </w:t>
      </w:r>
      <w:r w:rsidRPr="00B04BA9">
        <w:t>pr. kg tørstof</w:t>
      </w:r>
      <w:r w:rsidR="0067091B">
        <w:t xml:space="preserve"> i en periode på i alt 90 dage indenfor et kalenderår</w:t>
      </w:r>
      <w:r w:rsidR="00DC71C9">
        <w:t xml:space="preserve"> </w:t>
      </w:r>
    </w:p>
    <w:p w14:paraId="76858283" w14:textId="657DECD5" w:rsidR="00306CC8" w:rsidRDefault="001A3156" w:rsidP="002216AA">
      <w:pPr>
        <w:pStyle w:val="Opstilling-punkttegn"/>
      </w:pPr>
      <w:r>
        <w:t>D</w:t>
      </w:r>
      <w:r w:rsidR="002216AA" w:rsidRPr="002216AA">
        <w:t>en ansvarlige for driften skal</w:t>
      </w:r>
      <w:r w:rsidR="0097603F">
        <w:t xml:space="preserve"> opbevare relevant dokumentation, der viser</w:t>
      </w:r>
      <w:r w:rsidR="00D821E9">
        <w:t>,</w:t>
      </w:r>
      <w:r w:rsidR="0097603F">
        <w:t xml:space="preserve"> at de nye foderkrav er opfyldt</w:t>
      </w:r>
      <w:r w:rsidR="002216AA" w:rsidRPr="002216AA">
        <w:t xml:space="preserve">. </w:t>
      </w:r>
      <w:r w:rsidR="00E918EC">
        <w:t xml:space="preserve"> </w:t>
      </w:r>
    </w:p>
    <w:p w14:paraId="6A1ADF1D" w14:textId="77777777" w:rsidR="00306CC8" w:rsidRDefault="00306CC8" w:rsidP="00FE7E77"/>
    <w:p w14:paraId="08314B22" w14:textId="57F86E5D" w:rsidR="00306CC8" w:rsidRDefault="00306CC8" w:rsidP="00FE7E77">
      <w:r w:rsidRPr="00306CC8">
        <w:t xml:space="preserve">De foreslåede ændringer </w:t>
      </w:r>
      <w:r>
        <w:t xml:space="preserve">er uddybet </w:t>
      </w:r>
      <w:r w:rsidRPr="00306CC8">
        <w:t xml:space="preserve">nærmere nedenfor. Idet der indsættes nye regler, er de efterfølgende paragrafnumre konsekvensrettet. Det bemærkes, at reglerne fortsat er under lovteknisk bearbejdning. Høringssvar bedes senest den </w:t>
      </w:r>
      <w:r w:rsidR="005B296E">
        <w:lastRenderedPageBreak/>
        <w:t>20</w:t>
      </w:r>
      <w:bookmarkStart w:id="0" w:name="_GoBack"/>
      <w:bookmarkEnd w:id="0"/>
      <w:r w:rsidR="0093732C" w:rsidRPr="00620976">
        <w:t>. juni</w:t>
      </w:r>
      <w:r w:rsidR="008630FF">
        <w:t xml:space="preserve"> </w:t>
      </w:r>
      <w:r w:rsidR="00CF7C94">
        <w:t>2024</w:t>
      </w:r>
      <w:r w:rsidR="002216AA">
        <w:t xml:space="preserve"> </w:t>
      </w:r>
      <w:r w:rsidRPr="00306CC8">
        <w:t xml:space="preserve">sendt til mim@mim.dk med kopi til </w:t>
      </w:r>
      <w:r w:rsidR="00092DD5">
        <w:t>sikjl</w:t>
      </w:r>
      <w:r w:rsidRPr="00306CC8">
        <w:t>@mim.dk med angivelse af j.nr. 202</w:t>
      </w:r>
      <w:r w:rsidR="00092DD5">
        <w:t>4</w:t>
      </w:r>
      <w:r w:rsidRPr="00306CC8">
        <w:t>-</w:t>
      </w:r>
      <w:r w:rsidR="00043105">
        <w:t>5033</w:t>
      </w:r>
      <w:r w:rsidRPr="00306CC8">
        <w:t>. Bekendtgørelsen er sendt i høring hos de høringsparter, der fremgår af vedlagte høringsliste. Miljøministeriet gør opmærksom på, at man ved afgivelse af høringssvar giver samtykke til, at svaret, herunder afsenders navn og adresse, offentliggøres på Hørings</w:t>
      </w:r>
      <w:r w:rsidR="00E918EC">
        <w:t>p</w:t>
      </w:r>
      <w:r w:rsidRPr="00306CC8">
        <w:t xml:space="preserve">ortalen efterfølgende. </w:t>
      </w:r>
    </w:p>
    <w:p w14:paraId="661C0162" w14:textId="77777777" w:rsidR="00306CC8" w:rsidRDefault="00306CC8" w:rsidP="00FE7E77"/>
    <w:p w14:paraId="5B6E08FB" w14:textId="714E946F" w:rsidR="00FE7E77" w:rsidRDefault="00306CC8" w:rsidP="00FE7E77">
      <w:r w:rsidRPr="00306CC8">
        <w:t xml:space="preserve">Den ændrede bekendtgørelse forventes at træde i kraft den </w:t>
      </w:r>
      <w:r w:rsidR="00CF7C94">
        <w:t>1. januar</w:t>
      </w:r>
      <w:r w:rsidRPr="00306CC8">
        <w:t xml:space="preserve"> 202</w:t>
      </w:r>
      <w:r w:rsidR="00CF7C94">
        <w:t>5</w:t>
      </w:r>
      <w:r w:rsidRPr="00306CC8">
        <w:t>. Eventuelle spørgsmål til bekendtgørelsesudkastet kan rettes</w:t>
      </w:r>
      <w:r>
        <w:t xml:space="preserve"> til </w:t>
      </w:r>
      <w:r w:rsidR="00092DD5">
        <w:t>Simon Kjølby Larsen</w:t>
      </w:r>
      <w:r>
        <w:t xml:space="preserve"> på </w:t>
      </w:r>
      <w:r w:rsidR="00092DD5">
        <w:t>sikjl</w:t>
      </w:r>
      <w:r>
        <w:t>@mim.dk.</w:t>
      </w:r>
    </w:p>
    <w:p w14:paraId="275B731B" w14:textId="77777777" w:rsidR="00317AB1" w:rsidRDefault="00317AB1" w:rsidP="00FE7E77"/>
    <w:p w14:paraId="7A5B9830" w14:textId="77777777" w:rsidR="00317AB1" w:rsidRDefault="00317AB1" w:rsidP="00FE7E77"/>
    <w:p w14:paraId="26EA7149" w14:textId="77777777" w:rsidR="00317AB1" w:rsidRDefault="00317AB1" w:rsidP="00FE7E77">
      <w:r>
        <w:t>Venlig hilsen</w:t>
      </w:r>
    </w:p>
    <w:p w14:paraId="694CA35B" w14:textId="099B3DC5" w:rsidR="00317AB1" w:rsidRDefault="00092DD5" w:rsidP="00FE7E77">
      <w:r>
        <w:t>Simon Kjølby Larsen</w:t>
      </w:r>
    </w:p>
    <w:p w14:paraId="3C23CA60" w14:textId="77777777" w:rsidR="00317AB1" w:rsidRDefault="00317AB1" w:rsidP="00FE7E77"/>
    <w:p w14:paraId="4417A96E" w14:textId="77777777" w:rsidR="00317AB1" w:rsidRDefault="00317AB1" w:rsidP="00FE7E77"/>
    <w:p w14:paraId="5ACBB1A8" w14:textId="77777777" w:rsidR="00317AB1" w:rsidRPr="009F2BC1" w:rsidRDefault="00317AB1" w:rsidP="00FE7E77"/>
    <w:p w14:paraId="536B6BEC" w14:textId="77777777" w:rsidR="00306CC8" w:rsidRDefault="00306CC8" w:rsidP="00EE0137">
      <w:pPr>
        <w:keepNext/>
        <w:keepLines/>
        <w:rPr>
          <w:szCs w:val="22"/>
        </w:rPr>
      </w:pPr>
      <w:bookmarkStart w:id="1" w:name="LAN_YoursSincerely"/>
    </w:p>
    <w:p w14:paraId="5B181A2B" w14:textId="77777777" w:rsidR="003D5CB7" w:rsidRDefault="003D5CB7" w:rsidP="00EE0137">
      <w:pPr>
        <w:keepNext/>
        <w:keepLines/>
        <w:rPr>
          <w:szCs w:val="22"/>
        </w:rPr>
      </w:pPr>
      <w:bookmarkStart w:id="2" w:name="USR_Name_HIF"/>
      <w:bookmarkEnd w:id="1"/>
    </w:p>
    <w:sdt>
      <w:sdtPr>
        <w:rPr>
          <w:rFonts w:eastAsia="Times New Roman" w:cs="Times New Roman"/>
          <w:sz w:val="20"/>
          <w:szCs w:val="20"/>
          <w:lang w:eastAsia="da-DK"/>
        </w:rPr>
        <w:id w:val="-505282292"/>
        <w:docPartObj>
          <w:docPartGallery w:val="Table of Contents"/>
          <w:docPartUnique/>
        </w:docPartObj>
      </w:sdtPr>
      <w:sdtEndPr>
        <w:rPr>
          <w:b/>
          <w:bCs/>
        </w:rPr>
      </w:sdtEndPr>
      <w:sdtContent>
        <w:p w14:paraId="3F12212B" w14:textId="441D998E" w:rsidR="003C5083" w:rsidRDefault="003C5083">
          <w:pPr>
            <w:pStyle w:val="Overskrift"/>
          </w:pPr>
          <w:r>
            <w:t>Indhold</w:t>
          </w:r>
        </w:p>
        <w:p w14:paraId="0B413F32" w14:textId="24113C05" w:rsidR="00D821E9" w:rsidRDefault="003C5083">
          <w:pPr>
            <w:pStyle w:val="Indholdsfortegnelse2"/>
            <w:tabs>
              <w:tab w:val="left" w:pos="851"/>
            </w:tabs>
            <w:rPr>
              <w:rFonts w:asciiTheme="minorHAnsi" w:eastAsiaTheme="minorEastAsia" w:hAnsiTheme="minorHAnsi"/>
              <w:noProof/>
              <w:sz w:val="22"/>
              <w:szCs w:val="22"/>
              <w:lang w:eastAsia="da-DK"/>
            </w:rPr>
          </w:pPr>
          <w:r>
            <w:fldChar w:fldCharType="begin"/>
          </w:r>
          <w:r>
            <w:instrText xml:space="preserve"> TOC \o "1-3" \h \z \u </w:instrText>
          </w:r>
          <w:r>
            <w:fldChar w:fldCharType="separate"/>
          </w:r>
          <w:hyperlink w:anchor="_Toc166664924" w:history="1">
            <w:r w:rsidR="00D821E9" w:rsidRPr="00CE620A">
              <w:rPr>
                <w:rStyle w:val="Hyperlink"/>
                <w:noProof/>
              </w:rPr>
              <w:t>1.</w:t>
            </w:r>
            <w:r w:rsidR="00D821E9">
              <w:rPr>
                <w:rFonts w:asciiTheme="minorHAnsi" w:eastAsiaTheme="minorEastAsia" w:hAnsiTheme="minorHAnsi"/>
                <w:noProof/>
                <w:sz w:val="22"/>
                <w:szCs w:val="22"/>
                <w:lang w:eastAsia="da-DK"/>
              </w:rPr>
              <w:tab/>
            </w:r>
            <w:r w:rsidR="00D821E9" w:rsidRPr="00CE620A">
              <w:rPr>
                <w:rStyle w:val="Hyperlink"/>
                <w:noProof/>
              </w:rPr>
              <w:t>Baggrund for de foreslåede ændringer</w:t>
            </w:r>
            <w:r w:rsidR="00D821E9">
              <w:rPr>
                <w:noProof/>
                <w:webHidden/>
              </w:rPr>
              <w:tab/>
            </w:r>
            <w:r w:rsidR="00D821E9">
              <w:rPr>
                <w:noProof/>
                <w:webHidden/>
              </w:rPr>
              <w:fldChar w:fldCharType="begin"/>
            </w:r>
            <w:r w:rsidR="00D821E9">
              <w:rPr>
                <w:noProof/>
                <w:webHidden/>
              </w:rPr>
              <w:instrText xml:space="preserve"> PAGEREF _Toc166664924 \h </w:instrText>
            </w:r>
            <w:r w:rsidR="00D821E9">
              <w:rPr>
                <w:noProof/>
                <w:webHidden/>
              </w:rPr>
            </w:r>
            <w:r w:rsidR="00D821E9">
              <w:rPr>
                <w:noProof/>
                <w:webHidden/>
              </w:rPr>
              <w:fldChar w:fldCharType="separate"/>
            </w:r>
            <w:r w:rsidR="00F87B2D">
              <w:rPr>
                <w:noProof/>
                <w:webHidden/>
              </w:rPr>
              <w:t>3</w:t>
            </w:r>
            <w:r w:rsidR="00D821E9">
              <w:rPr>
                <w:noProof/>
                <w:webHidden/>
              </w:rPr>
              <w:fldChar w:fldCharType="end"/>
            </w:r>
          </w:hyperlink>
        </w:p>
        <w:p w14:paraId="612215B0" w14:textId="53A6A059" w:rsidR="00D821E9" w:rsidRDefault="00EE15C1">
          <w:pPr>
            <w:pStyle w:val="Indholdsfortegnelse2"/>
            <w:tabs>
              <w:tab w:val="left" w:pos="851"/>
            </w:tabs>
            <w:rPr>
              <w:rFonts w:asciiTheme="minorHAnsi" w:eastAsiaTheme="minorEastAsia" w:hAnsiTheme="minorHAnsi"/>
              <w:noProof/>
              <w:sz w:val="22"/>
              <w:szCs w:val="22"/>
              <w:lang w:eastAsia="da-DK"/>
            </w:rPr>
          </w:pPr>
          <w:hyperlink w:anchor="_Toc166664925" w:history="1">
            <w:r w:rsidR="00D821E9" w:rsidRPr="00CE620A">
              <w:rPr>
                <w:rStyle w:val="Hyperlink"/>
                <w:noProof/>
              </w:rPr>
              <w:t>2.</w:t>
            </w:r>
            <w:r w:rsidR="00D821E9">
              <w:rPr>
                <w:rFonts w:asciiTheme="minorHAnsi" w:eastAsiaTheme="minorEastAsia" w:hAnsiTheme="minorHAnsi"/>
                <w:noProof/>
                <w:sz w:val="22"/>
                <w:szCs w:val="22"/>
                <w:lang w:eastAsia="da-DK"/>
              </w:rPr>
              <w:tab/>
            </w:r>
            <w:r w:rsidR="00D821E9" w:rsidRPr="00CE620A">
              <w:rPr>
                <w:rStyle w:val="Hyperlink"/>
                <w:noProof/>
              </w:rPr>
              <w:t>Indholdet i de foreslåede regler</w:t>
            </w:r>
            <w:r w:rsidR="00D821E9">
              <w:rPr>
                <w:noProof/>
                <w:webHidden/>
              </w:rPr>
              <w:tab/>
            </w:r>
            <w:r w:rsidR="00D821E9">
              <w:rPr>
                <w:noProof/>
                <w:webHidden/>
              </w:rPr>
              <w:fldChar w:fldCharType="begin"/>
            </w:r>
            <w:r w:rsidR="00D821E9">
              <w:rPr>
                <w:noProof/>
                <w:webHidden/>
              </w:rPr>
              <w:instrText xml:space="preserve"> PAGEREF _Toc166664925 \h </w:instrText>
            </w:r>
            <w:r w:rsidR="00D821E9">
              <w:rPr>
                <w:noProof/>
                <w:webHidden/>
              </w:rPr>
            </w:r>
            <w:r w:rsidR="00D821E9">
              <w:rPr>
                <w:noProof/>
                <w:webHidden/>
              </w:rPr>
              <w:fldChar w:fldCharType="separate"/>
            </w:r>
            <w:r w:rsidR="00F87B2D">
              <w:rPr>
                <w:noProof/>
                <w:webHidden/>
              </w:rPr>
              <w:t>4</w:t>
            </w:r>
            <w:r w:rsidR="00D821E9">
              <w:rPr>
                <w:noProof/>
                <w:webHidden/>
              </w:rPr>
              <w:fldChar w:fldCharType="end"/>
            </w:r>
          </w:hyperlink>
        </w:p>
        <w:p w14:paraId="73A6E770" w14:textId="67D0037C" w:rsidR="00D821E9" w:rsidRDefault="00EE15C1">
          <w:pPr>
            <w:pStyle w:val="Indholdsfortegnelse3"/>
            <w:tabs>
              <w:tab w:val="left" w:pos="1376"/>
            </w:tabs>
            <w:rPr>
              <w:rFonts w:asciiTheme="minorHAnsi" w:eastAsiaTheme="minorEastAsia" w:hAnsiTheme="minorHAnsi"/>
              <w:noProof/>
              <w:sz w:val="22"/>
              <w:szCs w:val="22"/>
              <w:lang w:eastAsia="da-DK"/>
            </w:rPr>
          </w:pPr>
          <w:hyperlink w:anchor="_Toc166664926" w:history="1">
            <w:r w:rsidR="00D821E9" w:rsidRPr="00CE620A">
              <w:rPr>
                <w:rStyle w:val="Hyperlink"/>
                <w:noProof/>
              </w:rPr>
              <w:t>2.1.</w:t>
            </w:r>
            <w:r w:rsidR="00D821E9">
              <w:rPr>
                <w:rFonts w:asciiTheme="minorHAnsi" w:eastAsiaTheme="minorEastAsia" w:hAnsiTheme="minorHAnsi"/>
                <w:noProof/>
                <w:sz w:val="22"/>
                <w:szCs w:val="22"/>
                <w:lang w:eastAsia="da-DK"/>
              </w:rPr>
              <w:tab/>
            </w:r>
            <w:r w:rsidR="00D821E9" w:rsidRPr="00CE620A">
              <w:rPr>
                <w:rStyle w:val="Hyperlink"/>
                <w:noProof/>
              </w:rPr>
              <w:t>Generelt reduktionskrav (§ 40, stk. 1)</w:t>
            </w:r>
            <w:r w:rsidR="00D821E9">
              <w:rPr>
                <w:noProof/>
                <w:webHidden/>
              </w:rPr>
              <w:tab/>
            </w:r>
            <w:r w:rsidR="00D821E9">
              <w:rPr>
                <w:noProof/>
                <w:webHidden/>
              </w:rPr>
              <w:fldChar w:fldCharType="begin"/>
            </w:r>
            <w:r w:rsidR="00D821E9">
              <w:rPr>
                <w:noProof/>
                <w:webHidden/>
              </w:rPr>
              <w:instrText xml:space="preserve"> PAGEREF _Toc166664926 \h </w:instrText>
            </w:r>
            <w:r w:rsidR="00D821E9">
              <w:rPr>
                <w:noProof/>
                <w:webHidden/>
              </w:rPr>
            </w:r>
            <w:r w:rsidR="00D821E9">
              <w:rPr>
                <w:noProof/>
                <w:webHidden/>
              </w:rPr>
              <w:fldChar w:fldCharType="separate"/>
            </w:r>
            <w:r w:rsidR="00F87B2D">
              <w:rPr>
                <w:noProof/>
                <w:webHidden/>
              </w:rPr>
              <w:t>4</w:t>
            </w:r>
            <w:r w:rsidR="00D821E9">
              <w:rPr>
                <w:noProof/>
                <w:webHidden/>
              </w:rPr>
              <w:fldChar w:fldCharType="end"/>
            </w:r>
          </w:hyperlink>
        </w:p>
        <w:p w14:paraId="6509A01B" w14:textId="72575D0C" w:rsidR="00D821E9" w:rsidRDefault="00EE15C1">
          <w:pPr>
            <w:pStyle w:val="Indholdsfortegnelse3"/>
            <w:tabs>
              <w:tab w:val="left" w:pos="1402"/>
            </w:tabs>
            <w:rPr>
              <w:rFonts w:asciiTheme="minorHAnsi" w:eastAsiaTheme="minorEastAsia" w:hAnsiTheme="minorHAnsi"/>
              <w:noProof/>
              <w:sz w:val="22"/>
              <w:szCs w:val="22"/>
              <w:lang w:eastAsia="da-DK"/>
            </w:rPr>
          </w:pPr>
          <w:hyperlink w:anchor="_Toc166664927" w:history="1">
            <w:r w:rsidR="00D821E9" w:rsidRPr="00CE620A">
              <w:rPr>
                <w:rStyle w:val="Hyperlink"/>
                <w:noProof/>
              </w:rPr>
              <w:t>2.2.</w:t>
            </w:r>
            <w:r w:rsidR="00D821E9">
              <w:rPr>
                <w:rFonts w:asciiTheme="minorHAnsi" w:eastAsiaTheme="minorEastAsia" w:hAnsiTheme="minorHAnsi"/>
                <w:noProof/>
                <w:sz w:val="22"/>
                <w:szCs w:val="22"/>
                <w:lang w:eastAsia="da-DK"/>
              </w:rPr>
              <w:tab/>
            </w:r>
            <w:r w:rsidR="00D821E9" w:rsidRPr="00CE620A">
              <w:rPr>
                <w:rStyle w:val="Hyperlink"/>
                <w:noProof/>
              </w:rPr>
              <w:t>Generel undtagelse for økologiske malkekvæg (§ 40, stk. 2)</w:t>
            </w:r>
            <w:r w:rsidR="00D821E9">
              <w:rPr>
                <w:noProof/>
                <w:webHidden/>
              </w:rPr>
              <w:tab/>
            </w:r>
            <w:r w:rsidR="00D821E9">
              <w:rPr>
                <w:noProof/>
                <w:webHidden/>
              </w:rPr>
              <w:fldChar w:fldCharType="begin"/>
            </w:r>
            <w:r w:rsidR="00D821E9">
              <w:rPr>
                <w:noProof/>
                <w:webHidden/>
              </w:rPr>
              <w:instrText xml:space="preserve"> PAGEREF _Toc166664927 \h </w:instrText>
            </w:r>
            <w:r w:rsidR="00D821E9">
              <w:rPr>
                <w:noProof/>
                <w:webHidden/>
              </w:rPr>
            </w:r>
            <w:r w:rsidR="00D821E9">
              <w:rPr>
                <w:noProof/>
                <w:webHidden/>
              </w:rPr>
              <w:fldChar w:fldCharType="separate"/>
            </w:r>
            <w:r w:rsidR="00F87B2D">
              <w:rPr>
                <w:noProof/>
                <w:webHidden/>
              </w:rPr>
              <w:t>6</w:t>
            </w:r>
            <w:r w:rsidR="00D821E9">
              <w:rPr>
                <w:noProof/>
                <w:webHidden/>
              </w:rPr>
              <w:fldChar w:fldCharType="end"/>
            </w:r>
          </w:hyperlink>
        </w:p>
        <w:p w14:paraId="3D5025B8" w14:textId="48CCA0ED" w:rsidR="00D821E9" w:rsidRDefault="00EE15C1">
          <w:pPr>
            <w:pStyle w:val="Indholdsfortegnelse3"/>
            <w:tabs>
              <w:tab w:val="left" w:pos="1401"/>
            </w:tabs>
            <w:rPr>
              <w:rFonts w:asciiTheme="minorHAnsi" w:eastAsiaTheme="minorEastAsia" w:hAnsiTheme="minorHAnsi"/>
              <w:noProof/>
              <w:sz w:val="22"/>
              <w:szCs w:val="22"/>
              <w:lang w:eastAsia="da-DK"/>
            </w:rPr>
          </w:pPr>
          <w:hyperlink w:anchor="_Toc166664928" w:history="1">
            <w:r w:rsidR="00D821E9" w:rsidRPr="00CE620A">
              <w:rPr>
                <w:rStyle w:val="Hyperlink"/>
                <w:noProof/>
              </w:rPr>
              <w:t>2.3.</w:t>
            </w:r>
            <w:r w:rsidR="00D821E9">
              <w:rPr>
                <w:rFonts w:asciiTheme="minorHAnsi" w:eastAsiaTheme="minorEastAsia" w:hAnsiTheme="minorHAnsi"/>
                <w:noProof/>
                <w:sz w:val="22"/>
                <w:szCs w:val="22"/>
                <w:lang w:eastAsia="da-DK"/>
              </w:rPr>
              <w:tab/>
            </w:r>
            <w:r w:rsidR="00D821E9" w:rsidRPr="00CE620A">
              <w:rPr>
                <w:rStyle w:val="Hyperlink"/>
                <w:noProof/>
              </w:rPr>
              <w:t>Øget fedtandel i foderet (§ 40, stk. 3)</w:t>
            </w:r>
            <w:r w:rsidR="00D821E9">
              <w:rPr>
                <w:noProof/>
                <w:webHidden/>
              </w:rPr>
              <w:tab/>
            </w:r>
            <w:r w:rsidR="00D821E9">
              <w:rPr>
                <w:noProof/>
                <w:webHidden/>
              </w:rPr>
              <w:fldChar w:fldCharType="begin"/>
            </w:r>
            <w:r w:rsidR="00D821E9">
              <w:rPr>
                <w:noProof/>
                <w:webHidden/>
              </w:rPr>
              <w:instrText xml:space="preserve"> PAGEREF _Toc166664928 \h </w:instrText>
            </w:r>
            <w:r w:rsidR="00D821E9">
              <w:rPr>
                <w:noProof/>
                <w:webHidden/>
              </w:rPr>
            </w:r>
            <w:r w:rsidR="00D821E9">
              <w:rPr>
                <w:noProof/>
                <w:webHidden/>
              </w:rPr>
              <w:fldChar w:fldCharType="separate"/>
            </w:r>
            <w:r w:rsidR="00F87B2D">
              <w:rPr>
                <w:noProof/>
                <w:webHidden/>
              </w:rPr>
              <w:t>6</w:t>
            </w:r>
            <w:r w:rsidR="00D821E9">
              <w:rPr>
                <w:noProof/>
                <w:webHidden/>
              </w:rPr>
              <w:fldChar w:fldCharType="end"/>
            </w:r>
          </w:hyperlink>
        </w:p>
        <w:p w14:paraId="46C3CBA0" w14:textId="425D68C0" w:rsidR="00D821E9" w:rsidRDefault="00EE15C1">
          <w:pPr>
            <w:pStyle w:val="Indholdsfortegnelse3"/>
            <w:tabs>
              <w:tab w:val="left" w:pos="1404"/>
            </w:tabs>
            <w:rPr>
              <w:rFonts w:asciiTheme="minorHAnsi" w:eastAsiaTheme="minorEastAsia" w:hAnsiTheme="minorHAnsi"/>
              <w:noProof/>
              <w:sz w:val="22"/>
              <w:szCs w:val="22"/>
              <w:lang w:eastAsia="da-DK"/>
            </w:rPr>
          </w:pPr>
          <w:hyperlink w:anchor="_Toc166664929" w:history="1">
            <w:r w:rsidR="00D821E9" w:rsidRPr="00CE620A">
              <w:rPr>
                <w:rStyle w:val="Hyperlink"/>
                <w:noProof/>
              </w:rPr>
              <w:t>2.4.</w:t>
            </w:r>
            <w:r w:rsidR="00D821E9">
              <w:rPr>
                <w:rFonts w:asciiTheme="minorHAnsi" w:eastAsiaTheme="minorEastAsia" w:hAnsiTheme="minorHAnsi"/>
                <w:noProof/>
                <w:sz w:val="22"/>
                <w:szCs w:val="22"/>
                <w:lang w:eastAsia="da-DK"/>
              </w:rPr>
              <w:tab/>
            </w:r>
            <w:r w:rsidR="00D821E9" w:rsidRPr="00CE620A">
              <w:rPr>
                <w:rStyle w:val="Hyperlink"/>
                <w:noProof/>
              </w:rPr>
              <w:t>Anvendelse af fodertilsætningsstoffer indeholdende aktivstoffet 3-NOP (§ 40, stk. 4)</w:t>
            </w:r>
            <w:r w:rsidR="00D821E9">
              <w:rPr>
                <w:noProof/>
                <w:webHidden/>
              </w:rPr>
              <w:tab/>
            </w:r>
            <w:r w:rsidR="00D821E9">
              <w:rPr>
                <w:noProof/>
                <w:webHidden/>
              </w:rPr>
              <w:fldChar w:fldCharType="begin"/>
            </w:r>
            <w:r w:rsidR="00D821E9">
              <w:rPr>
                <w:noProof/>
                <w:webHidden/>
              </w:rPr>
              <w:instrText xml:space="preserve"> PAGEREF _Toc166664929 \h </w:instrText>
            </w:r>
            <w:r w:rsidR="00D821E9">
              <w:rPr>
                <w:noProof/>
                <w:webHidden/>
              </w:rPr>
            </w:r>
            <w:r w:rsidR="00D821E9">
              <w:rPr>
                <w:noProof/>
                <w:webHidden/>
              </w:rPr>
              <w:fldChar w:fldCharType="separate"/>
            </w:r>
            <w:r w:rsidR="00F87B2D">
              <w:rPr>
                <w:noProof/>
                <w:webHidden/>
              </w:rPr>
              <w:t>7</w:t>
            </w:r>
            <w:r w:rsidR="00D821E9">
              <w:rPr>
                <w:noProof/>
                <w:webHidden/>
              </w:rPr>
              <w:fldChar w:fldCharType="end"/>
            </w:r>
          </w:hyperlink>
        </w:p>
        <w:p w14:paraId="60679369" w14:textId="50009D45" w:rsidR="00D821E9" w:rsidRDefault="00EE15C1">
          <w:pPr>
            <w:pStyle w:val="Indholdsfortegnelse3"/>
            <w:tabs>
              <w:tab w:val="left" w:pos="1396"/>
            </w:tabs>
            <w:rPr>
              <w:rFonts w:asciiTheme="minorHAnsi" w:eastAsiaTheme="minorEastAsia" w:hAnsiTheme="minorHAnsi"/>
              <w:noProof/>
              <w:sz w:val="22"/>
              <w:szCs w:val="22"/>
              <w:lang w:eastAsia="da-DK"/>
            </w:rPr>
          </w:pPr>
          <w:hyperlink w:anchor="_Toc166664930" w:history="1">
            <w:r w:rsidR="00D821E9" w:rsidRPr="00CE620A">
              <w:rPr>
                <w:rStyle w:val="Hyperlink"/>
                <w:noProof/>
              </w:rPr>
              <w:t>2.5.</w:t>
            </w:r>
            <w:r w:rsidR="00D821E9">
              <w:rPr>
                <w:rFonts w:asciiTheme="minorHAnsi" w:eastAsiaTheme="minorEastAsia" w:hAnsiTheme="minorHAnsi"/>
                <w:noProof/>
                <w:sz w:val="22"/>
                <w:szCs w:val="22"/>
                <w:lang w:eastAsia="da-DK"/>
              </w:rPr>
              <w:tab/>
            </w:r>
            <w:r w:rsidR="00D821E9" w:rsidRPr="00CE620A">
              <w:rPr>
                <w:rStyle w:val="Hyperlink"/>
                <w:noProof/>
              </w:rPr>
              <w:t>Krav om dokumentation (§ 41, stk. 1)</w:t>
            </w:r>
            <w:r w:rsidR="00D821E9">
              <w:rPr>
                <w:noProof/>
                <w:webHidden/>
              </w:rPr>
              <w:tab/>
            </w:r>
            <w:r w:rsidR="00D821E9">
              <w:rPr>
                <w:noProof/>
                <w:webHidden/>
              </w:rPr>
              <w:fldChar w:fldCharType="begin"/>
            </w:r>
            <w:r w:rsidR="00D821E9">
              <w:rPr>
                <w:noProof/>
                <w:webHidden/>
              </w:rPr>
              <w:instrText xml:space="preserve"> PAGEREF _Toc166664930 \h </w:instrText>
            </w:r>
            <w:r w:rsidR="00D821E9">
              <w:rPr>
                <w:noProof/>
                <w:webHidden/>
              </w:rPr>
            </w:r>
            <w:r w:rsidR="00D821E9">
              <w:rPr>
                <w:noProof/>
                <w:webHidden/>
              </w:rPr>
              <w:fldChar w:fldCharType="separate"/>
            </w:r>
            <w:r w:rsidR="00F87B2D">
              <w:rPr>
                <w:noProof/>
                <w:webHidden/>
              </w:rPr>
              <w:t>7</w:t>
            </w:r>
            <w:r w:rsidR="00D821E9">
              <w:rPr>
                <w:noProof/>
                <w:webHidden/>
              </w:rPr>
              <w:fldChar w:fldCharType="end"/>
            </w:r>
          </w:hyperlink>
        </w:p>
        <w:p w14:paraId="008F1EA1" w14:textId="49D2D9F4" w:rsidR="00D821E9" w:rsidRDefault="00EE15C1">
          <w:pPr>
            <w:pStyle w:val="Indholdsfortegnelse3"/>
            <w:tabs>
              <w:tab w:val="left" w:pos="1391"/>
            </w:tabs>
            <w:rPr>
              <w:rFonts w:asciiTheme="minorHAnsi" w:eastAsiaTheme="minorEastAsia" w:hAnsiTheme="minorHAnsi"/>
              <w:noProof/>
              <w:sz w:val="22"/>
              <w:szCs w:val="22"/>
              <w:lang w:eastAsia="da-DK"/>
            </w:rPr>
          </w:pPr>
          <w:hyperlink w:anchor="_Toc166664931" w:history="1">
            <w:r w:rsidR="00D821E9" w:rsidRPr="00CE620A">
              <w:rPr>
                <w:rStyle w:val="Hyperlink"/>
                <w:noProof/>
              </w:rPr>
              <w:t>2.7.</w:t>
            </w:r>
            <w:r w:rsidR="00D821E9">
              <w:rPr>
                <w:rFonts w:asciiTheme="minorHAnsi" w:eastAsiaTheme="minorEastAsia" w:hAnsiTheme="minorHAnsi"/>
                <w:noProof/>
                <w:sz w:val="22"/>
                <w:szCs w:val="22"/>
                <w:lang w:eastAsia="da-DK"/>
              </w:rPr>
              <w:tab/>
            </w:r>
            <w:r w:rsidR="00D821E9" w:rsidRPr="00CE620A">
              <w:rPr>
                <w:rStyle w:val="Hyperlink"/>
                <w:noProof/>
              </w:rPr>
              <w:t>Nye strafregler (§ 78)</w:t>
            </w:r>
            <w:r w:rsidR="00D821E9">
              <w:rPr>
                <w:noProof/>
                <w:webHidden/>
              </w:rPr>
              <w:tab/>
            </w:r>
            <w:r w:rsidR="00D821E9">
              <w:rPr>
                <w:noProof/>
                <w:webHidden/>
              </w:rPr>
              <w:fldChar w:fldCharType="begin"/>
            </w:r>
            <w:r w:rsidR="00D821E9">
              <w:rPr>
                <w:noProof/>
                <w:webHidden/>
              </w:rPr>
              <w:instrText xml:space="preserve"> PAGEREF _Toc166664931 \h </w:instrText>
            </w:r>
            <w:r w:rsidR="00D821E9">
              <w:rPr>
                <w:noProof/>
                <w:webHidden/>
              </w:rPr>
            </w:r>
            <w:r w:rsidR="00D821E9">
              <w:rPr>
                <w:noProof/>
                <w:webHidden/>
              </w:rPr>
              <w:fldChar w:fldCharType="separate"/>
            </w:r>
            <w:r w:rsidR="00F87B2D">
              <w:rPr>
                <w:noProof/>
                <w:webHidden/>
              </w:rPr>
              <w:t>8</w:t>
            </w:r>
            <w:r w:rsidR="00D821E9">
              <w:rPr>
                <w:noProof/>
                <w:webHidden/>
              </w:rPr>
              <w:fldChar w:fldCharType="end"/>
            </w:r>
          </w:hyperlink>
        </w:p>
        <w:p w14:paraId="0D96C728" w14:textId="5C25459C" w:rsidR="00D821E9" w:rsidRDefault="00EE15C1">
          <w:pPr>
            <w:pStyle w:val="Indholdsfortegnelse3"/>
            <w:tabs>
              <w:tab w:val="left" w:pos="1410"/>
            </w:tabs>
            <w:rPr>
              <w:rFonts w:asciiTheme="minorHAnsi" w:eastAsiaTheme="minorEastAsia" w:hAnsiTheme="minorHAnsi"/>
              <w:noProof/>
              <w:sz w:val="22"/>
              <w:szCs w:val="22"/>
              <w:lang w:eastAsia="da-DK"/>
            </w:rPr>
          </w:pPr>
          <w:hyperlink w:anchor="_Toc166664932" w:history="1">
            <w:r w:rsidR="00D821E9" w:rsidRPr="00CE620A">
              <w:rPr>
                <w:rStyle w:val="Hyperlink"/>
                <w:rFonts w:eastAsia="Calibri"/>
                <w:noProof/>
              </w:rPr>
              <w:t>2.8.</w:t>
            </w:r>
            <w:r w:rsidR="00D821E9">
              <w:rPr>
                <w:rFonts w:asciiTheme="minorHAnsi" w:eastAsiaTheme="minorEastAsia" w:hAnsiTheme="minorHAnsi"/>
                <w:noProof/>
                <w:sz w:val="22"/>
                <w:szCs w:val="22"/>
                <w:lang w:eastAsia="da-DK"/>
              </w:rPr>
              <w:tab/>
            </w:r>
            <w:r w:rsidR="00D821E9" w:rsidRPr="00CE620A">
              <w:rPr>
                <w:rStyle w:val="Hyperlink"/>
                <w:rFonts w:eastAsia="Calibri"/>
                <w:noProof/>
              </w:rPr>
              <w:t>Ikrafttrædelse</w:t>
            </w:r>
            <w:r w:rsidR="00D821E9">
              <w:rPr>
                <w:noProof/>
                <w:webHidden/>
              </w:rPr>
              <w:tab/>
            </w:r>
            <w:r w:rsidR="00D821E9">
              <w:rPr>
                <w:noProof/>
                <w:webHidden/>
              </w:rPr>
              <w:fldChar w:fldCharType="begin"/>
            </w:r>
            <w:r w:rsidR="00D821E9">
              <w:rPr>
                <w:noProof/>
                <w:webHidden/>
              </w:rPr>
              <w:instrText xml:space="preserve"> PAGEREF _Toc166664932 \h </w:instrText>
            </w:r>
            <w:r w:rsidR="00D821E9">
              <w:rPr>
                <w:noProof/>
                <w:webHidden/>
              </w:rPr>
            </w:r>
            <w:r w:rsidR="00D821E9">
              <w:rPr>
                <w:noProof/>
                <w:webHidden/>
              </w:rPr>
              <w:fldChar w:fldCharType="separate"/>
            </w:r>
            <w:r w:rsidR="00F87B2D">
              <w:rPr>
                <w:noProof/>
                <w:webHidden/>
              </w:rPr>
              <w:t>8</w:t>
            </w:r>
            <w:r w:rsidR="00D821E9">
              <w:rPr>
                <w:noProof/>
                <w:webHidden/>
              </w:rPr>
              <w:fldChar w:fldCharType="end"/>
            </w:r>
          </w:hyperlink>
        </w:p>
        <w:p w14:paraId="6C62F3A4" w14:textId="31B79FA4" w:rsidR="00D821E9" w:rsidRDefault="00EE15C1">
          <w:pPr>
            <w:pStyle w:val="Indholdsfortegnelse2"/>
            <w:tabs>
              <w:tab w:val="left" w:pos="851"/>
            </w:tabs>
            <w:rPr>
              <w:rFonts w:asciiTheme="minorHAnsi" w:eastAsiaTheme="minorEastAsia" w:hAnsiTheme="minorHAnsi"/>
              <w:noProof/>
              <w:sz w:val="22"/>
              <w:szCs w:val="22"/>
              <w:lang w:eastAsia="da-DK"/>
            </w:rPr>
          </w:pPr>
          <w:hyperlink w:anchor="_Toc166664933" w:history="1">
            <w:r w:rsidR="00D821E9" w:rsidRPr="00CE620A">
              <w:rPr>
                <w:rStyle w:val="Hyperlink"/>
                <w:rFonts w:eastAsia="Calibri"/>
                <w:noProof/>
              </w:rPr>
              <w:t>3.</w:t>
            </w:r>
            <w:r w:rsidR="00D821E9">
              <w:rPr>
                <w:rFonts w:asciiTheme="minorHAnsi" w:eastAsiaTheme="minorEastAsia" w:hAnsiTheme="minorHAnsi"/>
                <w:noProof/>
                <w:sz w:val="22"/>
                <w:szCs w:val="22"/>
                <w:lang w:eastAsia="da-DK"/>
              </w:rPr>
              <w:tab/>
            </w:r>
            <w:r w:rsidR="00D821E9" w:rsidRPr="00CE620A">
              <w:rPr>
                <w:rStyle w:val="Hyperlink"/>
                <w:rFonts w:eastAsia="Calibri"/>
                <w:noProof/>
              </w:rPr>
              <w:t>Konsekvenser for klima, miljø og dyrevelfærd</w:t>
            </w:r>
            <w:r w:rsidR="00D821E9">
              <w:rPr>
                <w:noProof/>
                <w:webHidden/>
              </w:rPr>
              <w:tab/>
            </w:r>
            <w:r w:rsidR="00D821E9">
              <w:rPr>
                <w:noProof/>
                <w:webHidden/>
              </w:rPr>
              <w:fldChar w:fldCharType="begin"/>
            </w:r>
            <w:r w:rsidR="00D821E9">
              <w:rPr>
                <w:noProof/>
                <w:webHidden/>
              </w:rPr>
              <w:instrText xml:space="preserve"> PAGEREF _Toc166664933 \h </w:instrText>
            </w:r>
            <w:r w:rsidR="00D821E9">
              <w:rPr>
                <w:noProof/>
                <w:webHidden/>
              </w:rPr>
            </w:r>
            <w:r w:rsidR="00D821E9">
              <w:rPr>
                <w:noProof/>
                <w:webHidden/>
              </w:rPr>
              <w:fldChar w:fldCharType="separate"/>
            </w:r>
            <w:r w:rsidR="00F87B2D">
              <w:rPr>
                <w:noProof/>
                <w:webHidden/>
              </w:rPr>
              <w:t>8</w:t>
            </w:r>
            <w:r w:rsidR="00D821E9">
              <w:rPr>
                <w:noProof/>
                <w:webHidden/>
              </w:rPr>
              <w:fldChar w:fldCharType="end"/>
            </w:r>
          </w:hyperlink>
        </w:p>
        <w:p w14:paraId="2B29C311" w14:textId="3DAF2A5C" w:rsidR="00D821E9" w:rsidRDefault="00EE15C1">
          <w:pPr>
            <w:pStyle w:val="Indholdsfortegnelse3"/>
            <w:tabs>
              <w:tab w:val="left" w:pos="1375"/>
            </w:tabs>
            <w:rPr>
              <w:rFonts w:asciiTheme="minorHAnsi" w:eastAsiaTheme="minorEastAsia" w:hAnsiTheme="minorHAnsi"/>
              <w:noProof/>
              <w:sz w:val="22"/>
              <w:szCs w:val="22"/>
              <w:lang w:eastAsia="da-DK"/>
            </w:rPr>
          </w:pPr>
          <w:hyperlink w:anchor="_Toc166664934" w:history="1">
            <w:r w:rsidR="00D821E9" w:rsidRPr="00CE620A">
              <w:rPr>
                <w:rStyle w:val="Hyperlink"/>
                <w:rFonts w:eastAsia="Calibri"/>
                <w:noProof/>
              </w:rPr>
              <w:t>3.1.</w:t>
            </w:r>
            <w:r w:rsidR="00D821E9">
              <w:rPr>
                <w:rFonts w:asciiTheme="minorHAnsi" w:eastAsiaTheme="minorEastAsia" w:hAnsiTheme="minorHAnsi"/>
                <w:noProof/>
                <w:sz w:val="22"/>
                <w:szCs w:val="22"/>
                <w:lang w:eastAsia="da-DK"/>
              </w:rPr>
              <w:tab/>
            </w:r>
            <w:r w:rsidR="00D821E9" w:rsidRPr="00CE620A">
              <w:rPr>
                <w:rStyle w:val="Hyperlink"/>
                <w:rFonts w:eastAsia="Calibri"/>
                <w:noProof/>
              </w:rPr>
              <w:t>Konsekvenser for klimaet</w:t>
            </w:r>
            <w:r w:rsidR="00D821E9">
              <w:rPr>
                <w:noProof/>
                <w:webHidden/>
              </w:rPr>
              <w:tab/>
            </w:r>
            <w:r w:rsidR="00D821E9">
              <w:rPr>
                <w:noProof/>
                <w:webHidden/>
              </w:rPr>
              <w:fldChar w:fldCharType="begin"/>
            </w:r>
            <w:r w:rsidR="00D821E9">
              <w:rPr>
                <w:noProof/>
                <w:webHidden/>
              </w:rPr>
              <w:instrText xml:space="preserve"> PAGEREF _Toc166664934 \h </w:instrText>
            </w:r>
            <w:r w:rsidR="00D821E9">
              <w:rPr>
                <w:noProof/>
                <w:webHidden/>
              </w:rPr>
            </w:r>
            <w:r w:rsidR="00D821E9">
              <w:rPr>
                <w:noProof/>
                <w:webHidden/>
              </w:rPr>
              <w:fldChar w:fldCharType="separate"/>
            </w:r>
            <w:r w:rsidR="00F87B2D">
              <w:rPr>
                <w:noProof/>
                <w:webHidden/>
              </w:rPr>
              <w:t>8</w:t>
            </w:r>
            <w:r w:rsidR="00D821E9">
              <w:rPr>
                <w:noProof/>
                <w:webHidden/>
              </w:rPr>
              <w:fldChar w:fldCharType="end"/>
            </w:r>
          </w:hyperlink>
        </w:p>
        <w:p w14:paraId="7C2D355E" w14:textId="7B21B3CE" w:rsidR="00D821E9" w:rsidRDefault="00EE15C1">
          <w:pPr>
            <w:pStyle w:val="Indholdsfortegnelse3"/>
            <w:tabs>
              <w:tab w:val="left" w:pos="1401"/>
            </w:tabs>
            <w:rPr>
              <w:rFonts w:asciiTheme="minorHAnsi" w:eastAsiaTheme="minorEastAsia" w:hAnsiTheme="minorHAnsi"/>
              <w:noProof/>
              <w:sz w:val="22"/>
              <w:szCs w:val="22"/>
              <w:lang w:eastAsia="da-DK"/>
            </w:rPr>
          </w:pPr>
          <w:hyperlink w:anchor="_Toc166664935" w:history="1">
            <w:r w:rsidR="00D821E9" w:rsidRPr="00CE620A">
              <w:rPr>
                <w:rStyle w:val="Hyperlink"/>
                <w:rFonts w:eastAsia="Calibri"/>
                <w:noProof/>
              </w:rPr>
              <w:t>3.2.</w:t>
            </w:r>
            <w:r w:rsidR="00D821E9">
              <w:rPr>
                <w:rFonts w:asciiTheme="minorHAnsi" w:eastAsiaTheme="minorEastAsia" w:hAnsiTheme="minorHAnsi"/>
                <w:noProof/>
                <w:sz w:val="22"/>
                <w:szCs w:val="22"/>
                <w:lang w:eastAsia="da-DK"/>
              </w:rPr>
              <w:tab/>
            </w:r>
            <w:r w:rsidR="00D821E9" w:rsidRPr="00CE620A">
              <w:rPr>
                <w:rStyle w:val="Hyperlink"/>
                <w:rFonts w:eastAsia="Calibri"/>
                <w:noProof/>
              </w:rPr>
              <w:t>Konsekvenser for miljøet</w:t>
            </w:r>
            <w:r w:rsidR="00D821E9">
              <w:rPr>
                <w:noProof/>
                <w:webHidden/>
              </w:rPr>
              <w:tab/>
            </w:r>
            <w:r w:rsidR="00D821E9">
              <w:rPr>
                <w:noProof/>
                <w:webHidden/>
              </w:rPr>
              <w:fldChar w:fldCharType="begin"/>
            </w:r>
            <w:r w:rsidR="00D821E9">
              <w:rPr>
                <w:noProof/>
                <w:webHidden/>
              </w:rPr>
              <w:instrText xml:space="preserve"> PAGEREF _Toc166664935 \h </w:instrText>
            </w:r>
            <w:r w:rsidR="00D821E9">
              <w:rPr>
                <w:noProof/>
                <w:webHidden/>
              </w:rPr>
            </w:r>
            <w:r w:rsidR="00D821E9">
              <w:rPr>
                <w:noProof/>
                <w:webHidden/>
              </w:rPr>
              <w:fldChar w:fldCharType="separate"/>
            </w:r>
            <w:r w:rsidR="00F87B2D">
              <w:rPr>
                <w:noProof/>
                <w:webHidden/>
              </w:rPr>
              <w:t>9</w:t>
            </w:r>
            <w:r w:rsidR="00D821E9">
              <w:rPr>
                <w:noProof/>
                <w:webHidden/>
              </w:rPr>
              <w:fldChar w:fldCharType="end"/>
            </w:r>
          </w:hyperlink>
        </w:p>
        <w:p w14:paraId="6D656150" w14:textId="19F11128" w:rsidR="00D821E9" w:rsidRDefault="00EE15C1">
          <w:pPr>
            <w:pStyle w:val="Indholdsfortegnelse3"/>
            <w:tabs>
              <w:tab w:val="left" w:pos="1400"/>
            </w:tabs>
            <w:rPr>
              <w:rFonts w:asciiTheme="minorHAnsi" w:eastAsiaTheme="minorEastAsia" w:hAnsiTheme="minorHAnsi"/>
              <w:noProof/>
              <w:sz w:val="22"/>
              <w:szCs w:val="22"/>
              <w:lang w:eastAsia="da-DK"/>
            </w:rPr>
          </w:pPr>
          <w:hyperlink w:anchor="_Toc166664936" w:history="1">
            <w:r w:rsidR="00D821E9" w:rsidRPr="00CE620A">
              <w:rPr>
                <w:rStyle w:val="Hyperlink"/>
                <w:rFonts w:eastAsia="Calibri"/>
                <w:noProof/>
              </w:rPr>
              <w:t>3.3.</w:t>
            </w:r>
            <w:r w:rsidR="00D821E9">
              <w:rPr>
                <w:rFonts w:asciiTheme="minorHAnsi" w:eastAsiaTheme="minorEastAsia" w:hAnsiTheme="minorHAnsi"/>
                <w:noProof/>
                <w:sz w:val="22"/>
                <w:szCs w:val="22"/>
                <w:lang w:eastAsia="da-DK"/>
              </w:rPr>
              <w:tab/>
            </w:r>
            <w:r w:rsidR="00D821E9" w:rsidRPr="00CE620A">
              <w:rPr>
                <w:rStyle w:val="Hyperlink"/>
                <w:rFonts w:eastAsia="Calibri"/>
                <w:noProof/>
              </w:rPr>
              <w:t>Konsekvenser for dyrevelfærd</w:t>
            </w:r>
            <w:r w:rsidR="00D821E9">
              <w:rPr>
                <w:noProof/>
                <w:webHidden/>
              </w:rPr>
              <w:tab/>
            </w:r>
            <w:r w:rsidR="00D821E9">
              <w:rPr>
                <w:noProof/>
                <w:webHidden/>
              </w:rPr>
              <w:fldChar w:fldCharType="begin"/>
            </w:r>
            <w:r w:rsidR="00D821E9">
              <w:rPr>
                <w:noProof/>
                <w:webHidden/>
              </w:rPr>
              <w:instrText xml:space="preserve"> PAGEREF _Toc166664936 \h </w:instrText>
            </w:r>
            <w:r w:rsidR="00D821E9">
              <w:rPr>
                <w:noProof/>
                <w:webHidden/>
              </w:rPr>
            </w:r>
            <w:r w:rsidR="00D821E9">
              <w:rPr>
                <w:noProof/>
                <w:webHidden/>
              </w:rPr>
              <w:fldChar w:fldCharType="separate"/>
            </w:r>
            <w:r w:rsidR="00F87B2D">
              <w:rPr>
                <w:noProof/>
                <w:webHidden/>
              </w:rPr>
              <w:t>10</w:t>
            </w:r>
            <w:r w:rsidR="00D821E9">
              <w:rPr>
                <w:noProof/>
                <w:webHidden/>
              </w:rPr>
              <w:fldChar w:fldCharType="end"/>
            </w:r>
          </w:hyperlink>
        </w:p>
        <w:p w14:paraId="6553382A" w14:textId="401F69FE" w:rsidR="00D821E9" w:rsidRDefault="00EE15C1">
          <w:pPr>
            <w:pStyle w:val="Indholdsfortegnelse2"/>
            <w:tabs>
              <w:tab w:val="left" w:pos="851"/>
            </w:tabs>
            <w:rPr>
              <w:rFonts w:asciiTheme="minorHAnsi" w:eastAsiaTheme="minorEastAsia" w:hAnsiTheme="minorHAnsi"/>
              <w:noProof/>
              <w:sz w:val="22"/>
              <w:szCs w:val="22"/>
              <w:lang w:eastAsia="da-DK"/>
            </w:rPr>
          </w:pPr>
          <w:hyperlink w:anchor="_Toc166664937" w:history="1">
            <w:r w:rsidR="00D821E9" w:rsidRPr="00CE620A">
              <w:rPr>
                <w:rStyle w:val="Hyperlink"/>
                <w:noProof/>
              </w:rPr>
              <w:t>4.</w:t>
            </w:r>
            <w:r w:rsidR="00D821E9">
              <w:rPr>
                <w:rFonts w:asciiTheme="minorHAnsi" w:eastAsiaTheme="minorEastAsia" w:hAnsiTheme="minorHAnsi"/>
                <w:noProof/>
                <w:sz w:val="22"/>
                <w:szCs w:val="22"/>
                <w:lang w:eastAsia="da-DK"/>
              </w:rPr>
              <w:tab/>
            </w:r>
            <w:r w:rsidR="00D821E9" w:rsidRPr="00CE620A">
              <w:rPr>
                <w:rStyle w:val="Hyperlink"/>
                <w:noProof/>
              </w:rPr>
              <w:t>Administrative og økonomiske konsekvenser for erhvervslivet</w:t>
            </w:r>
            <w:r w:rsidR="00D821E9">
              <w:rPr>
                <w:noProof/>
                <w:webHidden/>
              </w:rPr>
              <w:tab/>
            </w:r>
            <w:r w:rsidR="00D821E9">
              <w:rPr>
                <w:noProof/>
                <w:webHidden/>
              </w:rPr>
              <w:fldChar w:fldCharType="begin"/>
            </w:r>
            <w:r w:rsidR="00D821E9">
              <w:rPr>
                <w:noProof/>
                <w:webHidden/>
              </w:rPr>
              <w:instrText xml:space="preserve"> PAGEREF _Toc166664937 \h </w:instrText>
            </w:r>
            <w:r w:rsidR="00D821E9">
              <w:rPr>
                <w:noProof/>
                <w:webHidden/>
              </w:rPr>
            </w:r>
            <w:r w:rsidR="00D821E9">
              <w:rPr>
                <w:noProof/>
                <w:webHidden/>
              </w:rPr>
              <w:fldChar w:fldCharType="separate"/>
            </w:r>
            <w:r w:rsidR="00F87B2D">
              <w:rPr>
                <w:noProof/>
                <w:webHidden/>
              </w:rPr>
              <w:t>11</w:t>
            </w:r>
            <w:r w:rsidR="00D821E9">
              <w:rPr>
                <w:noProof/>
                <w:webHidden/>
              </w:rPr>
              <w:fldChar w:fldCharType="end"/>
            </w:r>
          </w:hyperlink>
        </w:p>
        <w:p w14:paraId="449E9812" w14:textId="68DCDB56" w:rsidR="00D821E9" w:rsidRDefault="00EE15C1">
          <w:pPr>
            <w:pStyle w:val="Indholdsfortegnelse3"/>
            <w:tabs>
              <w:tab w:val="left" w:pos="1378"/>
            </w:tabs>
            <w:rPr>
              <w:rFonts w:asciiTheme="minorHAnsi" w:eastAsiaTheme="minorEastAsia" w:hAnsiTheme="minorHAnsi"/>
              <w:noProof/>
              <w:sz w:val="22"/>
              <w:szCs w:val="22"/>
              <w:lang w:eastAsia="da-DK"/>
            </w:rPr>
          </w:pPr>
          <w:hyperlink w:anchor="_Toc166664938" w:history="1">
            <w:r w:rsidR="00D821E9" w:rsidRPr="00CE620A">
              <w:rPr>
                <w:rStyle w:val="Hyperlink"/>
                <w:noProof/>
              </w:rPr>
              <w:t>4.1.</w:t>
            </w:r>
            <w:r w:rsidR="00D821E9">
              <w:rPr>
                <w:rFonts w:asciiTheme="minorHAnsi" w:eastAsiaTheme="minorEastAsia" w:hAnsiTheme="minorHAnsi"/>
                <w:noProof/>
                <w:sz w:val="22"/>
                <w:szCs w:val="22"/>
                <w:lang w:eastAsia="da-DK"/>
              </w:rPr>
              <w:tab/>
            </w:r>
            <w:r w:rsidR="00D821E9" w:rsidRPr="00CE620A">
              <w:rPr>
                <w:rStyle w:val="Hyperlink"/>
                <w:noProof/>
              </w:rPr>
              <w:t>Administrative konsekvenser for erhvervslivet</w:t>
            </w:r>
            <w:r w:rsidR="00D821E9">
              <w:rPr>
                <w:noProof/>
                <w:webHidden/>
              </w:rPr>
              <w:tab/>
            </w:r>
            <w:r w:rsidR="00D821E9">
              <w:rPr>
                <w:noProof/>
                <w:webHidden/>
              </w:rPr>
              <w:fldChar w:fldCharType="begin"/>
            </w:r>
            <w:r w:rsidR="00D821E9">
              <w:rPr>
                <w:noProof/>
                <w:webHidden/>
              </w:rPr>
              <w:instrText xml:space="preserve"> PAGEREF _Toc166664938 \h </w:instrText>
            </w:r>
            <w:r w:rsidR="00D821E9">
              <w:rPr>
                <w:noProof/>
                <w:webHidden/>
              </w:rPr>
            </w:r>
            <w:r w:rsidR="00D821E9">
              <w:rPr>
                <w:noProof/>
                <w:webHidden/>
              </w:rPr>
              <w:fldChar w:fldCharType="separate"/>
            </w:r>
            <w:r w:rsidR="00F87B2D">
              <w:rPr>
                <w:noProof/>
                <w:webHidden/>
              </w:rPr>
              <w:t>11</w:t>
            </w:r>
            <w:r w:rsidR="00D821E9">
              <w:rPr>
                <w:noProof/>
                <w:webHidden/>
              </w:rPr>
              <w:fldChar w:fldCharType="end"/>
            </w:r>
          </w:hyperlink>
        </w:p>
        <w:p w14:paraId="133CCB33" w14:textId="13682FED" w:rsidR="00D821E9" w:rsidRDefault="00EE15C1">
          <w:pPr>
            <w:pStyle w:val="Indholdsfortegnelse3"/>
            <w:tabs>
              <w:tab w:val="left" w:pos="1404"/>
            </w:tabs>
            <w:rPr>
              <w:rFonts w:asciiTheme="minorHAnsi" w:eastAsiaTheme="minorEastAsia" w:hAnsiTheme="minorHAnsi"/>
              <w:noProof/>
              <w:sz w:val="22"/>
              <w:szCs w:val="22"/>
              <w:lang w:eastAsia="da-DK"/>
            </w:rPr>
          </w:pPr>
          <w:hyperlink w:anchor="_Toc166664939" w:history="1">
            <w:r w:rsidR="00D821E9" w:rsidRPr="00CE620A">
              <w:rPr>
                <w:rStyle w:val="Hyperlink"/>
                <w:noProof/>
              </w:rPr>
              <w:t>4.2.</w:t>
            </w:r>
            <w:r w:rsidR="00D821E9">
              <w:rPr>
                <w:rFonts w:asciiTheme="minorHAnsi" w:eastAsiaTheme="minorEastAsia" w:hAnsiTheme="minorHAnsi"/>
                <w:noProof/>
                <w:sz w:val="22"/>
                <w:szCs w:val="22"/>
                <w:lang w:eastAsia="da-DK"/>
              </w:rPr>
              <w:tab/>
            </w:r>
            <w:r w:rsidR="00D821E9" w:rsidRPr="00CE620A">
              <w:rPr>
                <w:rStyle w:val="Hyperlink"/>
                <w:noProof/>
              </w:rPr>
              <w:t>Agil erhvervsrettet lovgivning</w:t>
            </w:r>
            <w:r w:rsidR="00D821E9">
              <w:rPr>
                <w:noProof/>
                <w:webHidden/>
              </w:rPr>
              <w:tab/>
            </w:r>
            <w:r w:rsidR="00D821E9">
              <w:rPr>
                <w:noProof/>
                <w:webHidden/>
              </w:rPr>
              <w:fldChar w:fldCharType="begin"/>
            </w:r>
            <w:r w:rsidR="00D821E9">
              <w:rPr>
                <w:noProof/>
                <w:webHidden/>
              </w:rPr>
              <w:instrText xml:space="preserve"> PAGEREF _Toc166664939 \h </w:instrText>
            </w:r>
            <w:r w:rsidR="00D821E9">
              <w:rPr>
                <w:noProof/>
                <w:webHidden/>
              </w:rPr>
            </w:r>
            <w:r w:rsidR="00D821E9">
              <w:rPr>
                <w:noProof/>
                <w:webHidden/>
              </w:rPr>
              <w:fldChar w:fldCharType="separate"/>
            </w:r>
            <w:r w:rsidR="00F87B2D">
              <w:rPr>
                <w:noProof/>
                <w:webHidden/>
              </w:rPr>
              <w:t>11</w:t>
            </w:r>
            <w:r w:rsidR="00D821E9">
              <w:rPr>
                <w:noProof/>
                <w:webHidden/>
              </w:rPr>
              <w:fldChar w:fldCharType="end"/>
            </w:r>
          </w:hyperlink>
        </w:p>
        <w:p w14:paraId="1E4C2325" w14:textId="5C733985" w:rsidR="00D821E9" w:rsidRDefault="00EE15C1">
          <w:pPr>
            <w:pStyle w:val="Indholdsfortegnelse3"/>
            <w:tabs>
              <w:tab w:val="left" w:pos="1402"/>
            </w:tabs>
            <w:rPr>
              <w:rFonts w:asciiTheme="minorHAnsi" w:eastAsiaTheme="minorEastAsia" w:hAnsiTheme="minorHAnsi"/>
              <w:noProof/>
              <w:sz w:val="22"/>
              <w:szCs w:val="22"/>
              <w:lang w:eastAsia="da-DK"/>
            </w:rPr>
          </w:pPr>
          <w:hyperlink w:anchor="_Toc166664940" w:history="1">
            <w:r w:rsidR="00D821E9" w:rsidRPr="00CE620A">
              <w:rPr>
                <w:rStyle w:val="Hyperlink"/>
                <w:noProof/>
              </w:rPr>
              <w:t>4.3.</w:t>
            </w:r>
            <w:r w:rsidR="00D821E9">
              <w:rPr>
                <w:rFonts w:asciiTheme="minorHAnsi" w:eastAsiaTheme="minorEastAsia" w:hAnsiTheme="minorHAnsi"/>
                <w:noProof/>
                <w:sz w:val="22"/>
                <w:szCs w:val="22"/>
                <w:lang w:eastAsia="da-DK"/>
              </w:rPr>
              <w:tab/>
            </w:r>
            <w:r w:rsidR="00D821E9" w:rsidRPr="00CE620A">
              <w:rPr>
                <w:rStyle w:val="Hyperlink"/>
                <w:noProof/>
              </w:rPr>
              <w:t>Erhvervsøkonomiske konsekvenser</w:t>
            </w:r>
            <w:r w:rsidR="00D821E9">
              <w:rPr>
                <w:noProof/>
                <w:webHidden/>
              </w:rPr>
              <w:tab/>
            </w:r>
            <w:r w:rsidR="00D821E9">
              <w:rPr>
                <w:noProof/>
                <w:webHidden/>
              </w:rPr>
              <w:fldChar w:fldCharType="begin"/>
            </w:r>
            <w:r w:rsidR="00D821E9">
              <w:rPr>
                <w:noProof/>
                <w:webHidden/>
              </w:rPr>
              <w:instrText xml:space="preserve"> PAGEREF _Toc166664940 \h </w:instrText>
            </w:r>
            <w:r w:rsidR="00D821E9">
              <w:rPr>
                <w:noProof/>
                <w:webHidden/>
              </w:rPr>
            </w:r>
            <w:r w:rsidR="00D821E9">
              <w:rPr>
                <w:noProof/>
                <w:webHidden/>
              </w:rPr>
              <w:fldChar w:fldCharType="separate"/>
            </w:r>
            <w:r w:rsidR="00F87B2D">
              <w:rPr>
                <w:noProof/>
                <w:webHidden/>
              </w:rPr>
              <w:t>12</w:t>
            </w:r>
            <w:r w:rsidR="00D821E9">
              <w:rPr>
                <w:noProof/>
                <w:webHidden/>
              </w:rPr>
              <w:fldChar w:fldCharType="end"/>
            </w:r>
          </w:hyperlink>
        </w:p>
        <w:p w14:paraId="69ECFE15" w14:textId="063D4AE9" w:rsidR="00D821E9" w:rsidRDefault="00EE15C1">
          <w:pPr>
            <w:pStyle w:val="Indholdsfortegnelse2"/>
            <w:tabs>
              <w:tab w:val="left" w:pos="851"/>
            </w:tabs>
            <w:rPr>
              <w:rFonts w:asciiTheme="minorHAnsi" w:eastAsiaTheme="minorEastAsia" w:hAnsiTheme="minorHAnsi"/>
              <w:noProof/>
              <w:sz w:val="22"/>
              <w:szCs w:val="22"/>
              <w:lang w:eastAsia="da-DK"/>
            </w:rPr>
          </w:pPr>
          <w:hyperlink w:anchor="_Toc166664941" w:history="1">
            <w:r w:rsidR="00D821E9" w:rsidRPr="00CE620A">
              <w:rPr>
                <w:rStyle w:val="Hyperlink"/>
                <w:noProof/>
              </w:rPr>
              <w:t>5.</w:t>
            </w:r>
            <w:r w:rsidR="00D821E9">
              <w:rPr>
                <w:rFonts w:asciiTheme="minorHAnsi" w:eastAsiaTheme="minorEastAsia" w:hAnsiTheme="minorHAnsi"/>
                <w:noProof/>
                <w:sz w:val="22"/>
                <w:szCs w:val="22"/>
                <w:lang w:eastAsia="da-DK"/>
              </w:rPr>
              <w:tab/>
            </w:r>
            <w:r w:rsidR="00D821E9" w:rsidRPr="00CE620A">
              <w:rPr>
                <w:rStyle w:val="Hyperlink"/>
                <w:noProof/>
              </w:rPr>
              <w:t>Administrative og økonomiske konsekvenser for det offentlige</w:t>
            </w:r>
            <w:r w:rsidR="00D821E9">
              <w:rPr>
                <w:noProof/>
                <w:webHidden/>
              </w:rPr>
              <w:tab/>
            </w:r>
            <w:r w:rsidR="00D821E9">
              <w:rPr>
                <w:noProof/>
                <w:webHidden/>
              </w:rPr>
              <w:fldChar w:fldCharType="begin"/>
            </w:r>
            <w:r w:rsidR="00D821E9">
              <w:rPr>
                <w:noProof/>
                <w:webHidden/>
              </w:rPr>
              <w:instrText xml:space="preserve"> PAGEREF _Toc166664941 \h </w:instrText>
            </w:r>
            <w:r w:rsidR="00D821E9">
              <w:rPr>
                <w:noProof/>
                <w:webHidden/>
              </w:rPr>
            </w:r>
            <w:r w:rsidR="00D821E9">
              <w:rPr>
                <w:noProof/>
                <w:webHidden/>
              </w:rPr>
              <w:fldChar w:fldCharType="separate"/>
            </w:r>
            <w:r w:rsidR="00F87B2D">
              <w:rPr>
                <w:noProof/>
                <w:webHidden/>
              </w:rPr>
              <w:t>12</w:t>
            </w:r>
            <w:r w:rsidR="00D821E9">
              <w:rPr>
                <w:noProof/>
                <w:webHidden/>
              </w:rPr>
              <w:fldChar w:fldCharType="end"/>
            </w:r>
          </w:hyperlink>
        </w:p>
        <w:p w14:paraId="43DC5BF2" w14:textId="65E115F8" w:rsidR="00D821E9" w:rsidRDefault="00EE15C1">
          <w:pPr>
            <w:pStyle w:val="Indholdsfortegnelse3"/>
            <w:tabs>
              <w:tab w:val="left" w:pos="1370"/>
            </w:tabs>
            <w:rPr>
              <w:rFonts w:asciiTheme="minorHAnsi" w:eastAsiaTheme="minorEastAsia" w:hAnsiTheme="minorHAnsi"/>
              <w:noProof/>
              <w:sz w:val="22"/>
              <w:szCs w:val="22"/>
              <w:lang w:eastAsia="da-DK"/>
            </w:rPr>
          </w:pPr>
          <w:hyperlink w:anchor="_Toc166664942" w:history="1">
            <w:r w:rsidR="00D821E9" w:rsidRPr="00CE620A">
              <w:rPr>
                <w:rStyle w:val="Hyperlink"/>
                <w:noProof/>
              </w:rPr>
              <w:t>5.1.</w:t>
            </w:r>
            <w:r w:rsidR="00D821E9">
              <w:rPr>
                <w:rFonts w:asciiTheme="minorHAnsi" w:eastAsiaTheme="minorEastAsia" w:hAnsiTheme="minorHAnsi"/>
                <w:noProof/>
                <w:sz w:val="22"/>
                <w:szCs w:val="22"/>
                <w:lang w:eastAsia="da-DK"/>
              </w:rPr>
              <w:tab/>
            </w:r>
            <w:r w:rsidR="00D821E9" w:rsidRPr="00CE620A">
              <w:rPr>
                <w:rStyle w:val="Hyperlink"/>
                <w:noProof/>
              </w:rPr>
              <w:t>Administrative og økonomiske konsekvenser for staten</w:t>
            </w:r>
            <w:r w:rsidR="00D821E9">
              <w:rPr>
                <w:noProof/>
                <w:webHidden/>
              </w:rPr>
              <w:tab/>
            </w:r>
            <w:r w:rsidR="00D821E9">
              <w:rPr>
                <w:noProof/>
                <w:webHidden/>
              </w:rPr>
              <w:fldChar w:fldCharType="begin"/>
            </w:r>
            <w:r w:rsidR="00D821E9">
              <w:rPr>
                <w:noProof/>
                <w:webHidden/>
              </w:rPr>
              <w:instrText xml:space="preserve"> PAGEREF _Toc166664942 \h </w:instrText>
            </w:r>
            <w:r w:rsidR="00D821E9">
              <w:rPr>
                <w:noProof/>
                <w:webHidden/>
              </w:rPr>
            </w:r>
            <w:r w:rsidR="00D821E9">
              <w:rPr>
                <w:noProof/>
                <w:webHidden/>
              </w:rPr>
              <w:fldChar w:fldCharType="separate"/>
            </w:r>
            <w:r w:rsidR="00F87B2D">
              <w:rPr>
                <w:noProof/>
                <w:webHidden/>
              </w:rPr>
              <w:t>12</w:t>
            </w:r>
            <w:r w:rsidR="00D821E9">
              <w:rPr>
                <w:noProof/>
                <w:webHidden/>
              </w:rPr>
              <w:fldChar w:fldCharType="end"/>
            </w:r>
          </w:hyperlink>
        </w:p>
        <w:p w14:paraId="77C03777" w14:textId="427A8348" w:rsidR="00D821E9" w:rsidRDefault="00EE15C1">
          <w:pPr>
            <w:pStyle w:val="Indholdsfortegnelse3"/>
            <w:tabs>
              <w:tab w:val="left" w:pos="1396"/>
            </w:tabs>
            <w:rPr>
              <w:rFonts w:asciiTheme="minorHAnsi" w:eastAsiaTheme="minorEastAsia" w:hAnsiTheme="minorHAnsi"/>
              <w:noProof/>
              <w:sz w:val="22"/>
              <w:szCs w:val="22"/>
              <w:lang w:eastAsia="da-DK"/>
            </w:rPr>
          </w:pPr>
          <w:hyperlink w:anchor="_Toc166664943" w:history="1">
            <w:r w:rsidR="00D821E9" w:rsidRPr="00CE620A">
              <w:rPr>
                <w:rStyle w:val="Hyperlink"/>
                <w:noProof/>
              </w:rPr>
              <w:t>5.2.</w:t>
            </w:r>
            <w:r w:rsidR="00D821E9">
              <w:rPr>
                <w:rFonts w:asciiTheme="minorHAnsi" w:eastAsiaTheme="minorEastAsia" w:hAnsiTheme="minorHAnsi"/>
                <w:noProof/>
                <w:sz w:val="22"/>
                <w:szCs w:val="22"/>
                <w:lang w:eastAsia="da-DK"/>
              </w:rPr>
              <w:tab/>
            </w:r>
            <w:r w:rsidR="00D821E9" w:rsidRPr="00CE620A">
              <w:rPr>
                <w:rStyle w:val="Hyperlink"/>
                <w:noProof/>
              </w:rPr>
              <w:t>Administrative og økonomiske konsekvenser for kommuner og regioner</w:t>
            </w:r>
            <w:r w:rsidR="00D821E9">
              <w:rPr>
                <w:noProof/>
                <w:webHidden/>
              </w:rPr>
              <w:tab/>
            </w:r>
            <w:r w:rsidR="00D821E9">
              <w:rPr>
                <w:noProof/>
                <w:webHidden/>
              </w:rPr>
              <w:fldChar w:fldCharType="begin"/>
            </w:r>
            <w:r w:rsidR="00D821E9">
              <w:rPr>
                <w:noProof/>
                <w:webHidden/>
              </w:rPr>
              <w:instrText xml:space="preserve"> PAGEREF _Toc166664943 \h </w:instrText>
            </w:r>
            <w:r w:rsidR="00D821E9">
              <w:rPr>
                <w:noProof/>
                <w:webHidden/>
              </w:rPr>
            </w:r>
            <w:r w:rsidR="00D821E9">
              <w:rPr>
                <w:noProof/>
                <w:webHidden/>
              </w:rPr>
              <w:fldChar w:fldCharType="separate"/>
            </w:r>
            <w:r w:rsidR="00F87B2D">
              <w:rPr>
                <w:noProof/>
                <w:webHidden/>
              </w:rPr>
              <w:t>13</w:t>
            </w:r>
            <w:r w:rsidR="00D821E9">
              <w:rPr>
                <w:noProof/>
                <w:webHidden/>
              </w:rPr>
              <w:fldChar w:fldCharType="end"/>
            </w:r>
          </w:hyperlink>
        </w:p>
        <w:p w14:paraId="241CC74B" w14:textId="59783C90" w:rsidR="00D821E9" w:rsidRDefault="00EE15C1">
          <w:pPr>
            <w:pStyle w:val="Indholdsfortegnelse2"/>
            <w:tabs>
              <w:tab w:val="left" w:pos="851"/>
            </w:tabs>
            <w:rPr>
              <w:rFonts w:asciiTheme="minorHAnsi" w:eastAsiaTheme="minorEastAsia" w:hAnsiTheme="minorHAnsi"/>
              <w:noProof/>
              <w:sz w:val="22"/>
              <w:szCs w:val="22"/>
              <w:lang w:eastAsia="da-DK"/>
            </w:rPr>
          </w:pPr>
          <w:hyperlink w:anchor="_Toc166664944" w:history="1">
            <w:r w:rsidR="00D821E9" w:rsidRPr="00CE620A">
              <w:rPr>
                <w:rStyle w:val="Hyperlink"/>
                <w:noProof/>
              </w:rPr>
              <w:t>6.</w:t>
            </w:r>
            <w:r w:rsidR="00D821E9">
              <w:rPr>
                <w:rFonts w:asciiTheme="minorHAnsi" w:eastAsiaTheme="minorEastAsia" w:hAnsiTheme="minorHAnsi"/>
                <w:noProof/>
                <w:sz w:val="22"/>
                <w:szCs w:val="22"/>
                <w:lang w:eastAsia="da-DK"/>
              </w:rPr>
              <w:tab/>
            </w:r>
            <w:r w:rsidR="00D821E9" w:rsidRPr="00CE620A">
              <w:rPr>
                <w:rStyle w:val="Hyperlink"/>
                <w:noProof/>
              </w:rPr>
              <w:t>Forholdet til EU-retten</w:t>
            </w:r>
            <w:r w:rsidR="00D821E9">
              <w:rPr>
                <w:noProof/>
                <w:webHidden/>
              </w:rPr>
              <w:tab/>
            </w:r>
            <w:r w:rsidR="00D821E9">
              <w:rPr>
                <w:noProof/>
                <w:webHidden/>
              </w:rPr>
              <w:fldChar w:fldCharType="begin"/>
            </w:r>
            <w:r w:rsidR="00D821E9">
              <w:rPr>
                <w:noProof/>
                <w:webHidden/>
              </w:rPr>
              <w:instrText xml:space="preserve"> PAGEREF _Toc166664944 \h </w:instrText>
            </w:r>
            <w:r w:rsidR="00D821E9">
              <w:rPr>
                <w:noProof/>
                <w:webHidden/>
              </w:rPr>
            </w:r>
            <w:r w:rsidR="00D821E9">
              <w:rPr>
                <w:noProof/>
                <w:webHidden/>
              </w:rPr>
              <w:fldChar w:fldCharType="separate"/>
            </w:r>
            <w:r w:rsidR="00F87B2D">
              <w:rPr>
                <w:noProof/>
                <w:webHidden/>
              </w:rPr>
              <w:t>13</w:t>
            </w:r>
            <w:r w:rsidR="00D821E9">
              <w:rPr>
                <w:noProof/>
                <w:webHidden/>
              </w:rPr>
              <w:fldChar w:fldCharType="end"/>
            </w:r>
          </w:hyperlink>
        </w:p>
        <w:p w14:paraId="7F1653D8" w14:textId="5C39A937" w:rsidR="00D821E9" w:rsidRDefault="00EE15C1">
          <w:pPr>
            <w:pStyle w:val="Indholdsfortegnelse3"/>
            <w:tabs>
              <w:tab w:val="left" w:pos="1378"/>
            </w:tabs>
            <w:rPr>
              <w:rFonts w:asciiTheme="minorHAnsi" w:eastAsiaTheme="minorEastAsia" w:hAnsiTheme="minorHAnsi"/>
              <w:noProof/>
              <w:sz w:val="22"/>
              <w:szCs w:val="22"/>
              <w:lang w:eastAsia="da-DK"/>
            </w:rPr>
          </w:pPr>
          <w:hyperlink w:anchor="_Toc166664945" w:history="1">
            <w:r w:rsidR="00D821E9" w:rsidRPr="00CE620A">
              <w:rPr>
                <w:rStyle w:val="Hyperlink"/>
                <w:noProof/>
              </w:rPr>
              <w:t>6.1.</w:t>
            </w:r>
            <w:r w:rsidR="00D821E9">
              <w:rPr>
                <w:rFonts w:asciiTheme="minorHAnsi" w:eastAsiaTheme="minorEastAsia" w:hAnsiTheme="minorHAnsi"/>
                <w:noProof/>
                <w:sz w:val="22"/>
                <w:szCs w:val="22"/>
                <w:lang w:eastAsia="da-DK"/>
              </w:rPr>
              <w:tab/>
            </w:r>
            <w:r w:rsidR="00D821E9" w:rsidRPr="00CE620A">
              <w:rPr>
                <w:rStyle w:val="Hyperlink"/>
                <w:noProof/>
              </w:rPr>
              <w:t>Notifikation</w:t>
            </w:r>
            <w:r w:rsidR="00D821E9">
              <w:rPr>
                <w:noProof/>
                <w:webHidden/>
              </w:rPr>
              <w:tab/>
            </w:r>
            <w:r w:rsidR="00D821E9">
              <w:rPr>
                <w:noProof/>
                <w:webHidden/>
              </w:rPr>
              <w:fldChar w:fldCharType="begin"/>
            </w:r>
            <w:r w:rsidR="00D821E9">
              <w:rPr>
                <w:noProof/>
                <w:webHidden/>
              </w:rPr>
              <w:instrText xml:space="preserve"> PAGEREF _Toc166664945 \h </w:instrText>
            </w:r>
            <w:r w:rsidR="00D821E9">
              <w:rPr>
                <w:noProof/>
                <w:webHidden/>
              </w:rPr>
            </w:r>
            <w:r w:rsidR="00D821E9">
              <w:rPr>
                <w:noProof/>
                <w:webHidden/>
              </w:rPr>
              <w:fldChar w:fldCharType="separate"/>
            </w:r>
            <w:r w:rsidR="00F87B2D">
              <w:rPr>
                <w:noProof/>
                <w:webHidden/>
              </w:rPr>
              <w:t>13</w:t>
            </w:r>
            <w:r w:rsidR="00D821E9">
              <w:rPr>
                <w:noProof/>
                <w:webHidden/>
              </w:rPr>
              <w:fldChar w:fldCharType="end"/>
            </w:r>
          </w:hyperlink>
        </w:p>
        <w:p w14:paraId="169B903D" w14:textId="284CB34E" w:rsidR="00D821E9" w:rsidRDefault="00EE15C1">
          <w:pPr>
            <w:pStyle w:val="Indholdsfortegnelse3"/>
            <w:tabs>
              <w:tab w:val="left" w:pos="1404"/>
            </w:tabs>
            <w:rPr>
              <w:rFonts w:asciiTheme="minorHAnsi" w:eastAsiaTheme="minorEastAsia" w:hAnsiTheme="minorHAnsi"/>
              <w:noProof/>
              <w:sz w:val="22"/>
              <w:szCs w:val="22"/>
              <w:lang w:eastAsia="da-DK"/>
            </w:rPr>
          </w:pPr>
          <w:hyperlink w:anchor="_Toc166664946" w:history="1">
            <w:r w:rsidR="00D821E9" w:rsidRPr="00CE620A">
              <w:rPr>
                <w:rStyle w:val="Hyperlink"/>
                <w:noProof/>
              </w:rPr>
              <w:t>6.2.</w:t>
            </w:r>
            <w:r w:rsidR="00D821E9">
              <w:rPr>
                <w:rFonts w:asciiTheme="minorHAnsi" w:eastAsiaTheme="minorEastAsia" w:hAnsiTheme="minorHAnsi"/>
                <w:noProof/>
                <w:sz w:val="22"/>
                <w:szCs w:val="22"/>
                <w:lang w:eastAsia="da-DK"/>
              </w:rPr>
              <w:tab/>
            </w:r>
            <w:r w:rsidR="00D821E9" w:rsidRPr="00CE620A">
              <w:rPr>
                <w:rStyle w:val="Hyperlink"/>
                <w:noProof/>
              </w:rPr>
              <w:t>Statsstøtte</w:t>
            </w:r>
            <w:r w:rsidR="00D821E9">
              <w:rPr>
                <w:noProof/>
                <w:webHidden/>
              </w:rPr>
              <w:tab/>
            </w:r>
            <w:r w:rsidR="00D821E9">
              <w:rPr>
                <w:noProof/>
                <w:webHidden/>
              </w:rPr>
              <w:fldChar w:fldCharType="begin"/>
            </w:r>
            <w:r w:rsidR="00D821E9">
              <w:rPr>
                <w:noProof/>
                <w:webHidden/>
              </w:rPr>
              <w:instrText xml:space="preserve"> PAGEREF _Toc166664946 \h </w:instrText>
            </w:r>
            <w:r w:rsidR="00D821E9">
              <w:rPr>
                <w:noProof/>
                <w:webHidden/>
              </w:rPr>
            </w:r>
            <w:r w:rsidR="00D821E9">
              <w:rPr>
                <w:noProof/>
                <w:webHidden/>
              </w:rPr>
              <w:fldChar w:fldCharType="separate"/>
            </w:r>
            <w:r w:rsidR="00F87B2D">
              <w:rPr>
                <w:noProof/>
                <w:webHidden/>
              </w:rPr>
              <w:t>13</w:t>
            </w:r>
            <w:r w:rsidR="00D821E9">
              <w:rPr>
                <w:noProof/>
                <w:webHidden/>
              </w:rPr>
              <w:fldChar w:fldCharType="end"/>
            </w:r>
          </w:hyperlink>
        </w:p>
        <w:p w14:paraId="358F3AF9" w14:textId="44E473F4" w:rsidR="003C5083" w:rsidRDefault="003C5083">
          <w:r>
            <w:rPr>
              <w:b/>
              <w:bCs/>
            </w:rPr>
            <w:fldChar w:fldCharType="end"/>
          </w:r>
        </w:p>
      </w:sdtContent>
    </w:sdt>
    <w:p w14:paraId="1FFB0ED4" w14:textId="77777777" w:rsidR="00317AB1" w:rsidRDefault="00317AB1" w:rsidP="00EE0137">
      <w:pPr>
        <w:keepNext/>
        <w:keepLines/>
        <w:rPr>
          <w:szCs w:val="22"/>
        </w:rPr>
      </w:pPr>
    </w:p>
    <w:p w14:paraId="7D749C93" w14:textId="77777777" w:rsidR="003D5CB7" w:rsidRDefault="003D5CB7" w:rsidP="00EE0137">
      <w:pPr>
        <w:keepNext/>
        <w:keepLines/>
        <w:rPr>
          <w:szCs w:val="22"/>
        </w:rPr>
      </w:pPr>
    </w:p>
    <w:bookmarkEnd w:id="2"/>
    <w:p w14:paraId="32BAC9BC" w14:textId="77777777" w:rsidR="003D5CB7" w:rsidRDefault="003D5CB7" w:rsidP="001A4D56">
      <w:pPr>
        <w:rPr>
          <w:szCs w:val="22"/>
        </w:rPr>
      </w:pPr>
    </w:p>
    <w:p w14:paraId="42D9F58F" w14:textId="77777777" w:rsidR="003D5CB7" w:rsidRDefault="003D5CB7" w:rsidP="001A4D56">
      <w:pPr>
        <w:rPr>
          <w:szCs w:val="22"/>
        </w:rPr>
      </w:pPr>
    </w:p>
    <w:p w14:paraId="3EAE34A2" w14:textId="77777777" w:rsidR="003D5CB7" w:rsidRDefault="003D5CB7" w:rsidP="001A4D56">
      <w:pPr>
        <w:rPr>
          <w:szCs w:val="22"/>
        </w:rPr>
      </w:pPr>
    </w:p>
    <w:p w14:paraId="1201622F" w14:textId="3299FA01" w:rsidR="00C95728" w:rsidRPr="00CF589F" w:rsidRDefault="00974027" w:rsidP="003D5CB7">
      <w:pPr>
        <w:pStyle w:val="Overskrift2"/>
        <w:numPr>
          <w:ilvl w:val="0"/>
          <w:numId w:val="17"/>
        </w:numPr>
      </w:pPr>
      <w:bookmarkStart w:id="3" w:name="_Toc166664924"/>
      <w:bookmarkStart w:id="4" w:name="_Hlk164767399"/>
      <w:r w:rsidRPr="00CF589F">
        <w:t xml:space="preserve">Baggrund for </w:t>
      </w:r>
      <w:r w:rsidR="008130E7" w:rsidRPr="00CF589F">
        <w:t>de foreslåede ændringer</w:t>
      </w:r>
      <w:bookmarkEnd w:id="3"/>
      <w:r w:rsidR="008130E7" w:rsidRPr="00CF589F">
        <w:t xml:space="preserve"> </w:t>
      </w:r>
    </w:p>
    <w:p w14:paraId="0B3E8C4E" w14:textId="6A6523FE" w:rsidR="00CC75C7" w:rsidRDefault="00CC75C7" w:rsidP="00CC75C7"/>
    <w:p w14:paraId="7F041D8B" w14:textId="6E27A52E" w:rsidR="00A0089E" w:rsidRDefault="00401A54" w:rsidP="00A0089E">
      <w:pPr>
        <w:jc w:val="both"/>
      </w:pPr>
      <w:r w:rsidRPr="00CB558B">
        <w:rPr>
          <w:rFonts w:asciiTheme="minorHAnsi" w:hAnsiTheme="minorHAnsi" w:cstheme="minorHAnsi"/>
        </w:rPr>
        <w:t xml:space="preserve">Regeringen (Socialdemokratiet) indgik den 4. oktober 2021 en aftale med Venstre, Dansk Folkeparti, Socialistisk Folkeparti, Radikale Venstre, Enhedslisten, Det Konservative Folkeparti, Nye Borgerlige, Liberal Alliance og Kristendemokraterne, om grøn omstilling af dansk landbrug (herefter </w:t>
      </w:r>
      <w:r w:rsidR="00D821E9">
        <w:rPr>
          <w:rFonts w:asciiTheme="minorHAnsi" w:hAnsiTheme="minorHAnsi" w:cstheme="minorHAnsi"/>
        </w:rPr>
        <w:t>l</w:t>
      </w:r>
      <w:r w:rsidRPr="00CB558B">
        <w:rPr>
          <w:rFonts w:asciiTheme="minorHAnsi" w:hAnsiTheme="minorHAnsi" w:cstheme="minorHAnsi"/>
        </w:rPr>
        <w:t xml:space="preserve">andbrugsaftalen). Med aftalen blev det bl.a. besluttet, at der skal indføres </w:t>
      </w:r>
      <w:r>
        <w:t xml:space="preserve">et generelt reduktionskrav for </w:t>
      </w:r>
      <w:r w:rsidR="003C34C4">
        <w:t xml:space="preserve">metan fra </w:t>
      </w:r>
      <w:r w:rsidR="00364D05">
        <w:t xml:space="preserve">kvægs </w:t>
      </w:r>
      <w:r>
        <w:t xml:space="preserve">fordøjelse fra 2025 og frem svarende til </w:t>
      </w:r>
      <w:r w:rsidR="003C34C4">
        <w:t>reduktions</w:t>
      </w:r>
      <w:r>
        <w:t>effekten ved øget fedtandel i foderet svare</w:t>
      </w:r>
      <w:r w:rsidR="00B93E2C">
        <w:t xml:space="preserve">nde </w:t>
      </w:r>
      <w:r>
        <w:t>il en effekt på 0,17 mio. t. CO2e i 2025 og 0,16 mio. t. CO2e i 2030.</w:t>
      </w:r>
      <w:r w:rsidR="00A0089E">
        <w:t xml:space="preserve"> Det generelle krav forudsætter, at der er flere fodervirkemid</w:t>
      </w:r>
      <w:r w:rsidR="005F254A">
        <w:t>l</w:t>
      </w:r>
      <w:r w:rsidR="00A0089E">
        <w:t>er til rådighed</w:t>
      </w:r>
      <w:r w:rsidR="00AF23FF" w:rsidRPr="00AF23FF">
        <w:t xml:space="preserve"> til opfyldelse af kravet</w:t>
      </w:r>
      <w:r w:rsidR="00A0089E">
        <w:t>. Hvis dette ikke er tilfældet blev det med landbrugsaftalen lagt til grund, at effekten skulle opnås ved øget fedtandel i foderet.</w:t>
      </w:r>
    </w:p>
    <w:p w14:paraId="693CBC4E" w14:textId="5A10F45F" w:rsidR="00AD4E9B" w:rsidRDefault="00AD4E9B" w:rsidP="00A0089E">
      <w:pPr>
        <w:jc w:val="both"/>
      </w:pPr>
    </w:p>
    <w:p w14:paraId="27085DE3" w14:textId="485D25BE" w:rsidR="001A3156" w:rsidRDefault="00AD4E9B" w:rsidP="001A3156">
      <w:pPr>
        <w:jc w:val="both"/>
      </w:pPr>
      <w:r>
        <w:t>Efter landbrugsaftalens indgåelse</w:t>
      </w:r>
      <w:r w:rsidR="003C34C4">
        <w:t xml:space="preserve"> har Den Europæiske Fødevaresikkerhedsautoritet (EFSA) godkendt et </w:t>
      </w:r>
      <w:r>
        <w:t>fodertilsætningsstof</w:t>
      </w:r>
      <w:r w:rsidR="003C34C4">
        <w:t xml:space="preserve"> </w:t>
      </w:r>
      <w:r w:rsidR="00AF23FF" w:rsidRPr="00AF23FF">
        <w:t>indeholdende aktivstoffet 3-NOP</w:t>
      </w:r>
      <w:r w:rsidR="003C34C4">
        <w:t xml:space="preserve"> (3-nitrooxypropanol) </w:t>
      </w:r>
      <w:r w:rsidR="006C47BD">
        <w:t>til anvendelse med henblik på anvendelse som metanreducerende virkemiddel</w:t>
      </w:r>
      <w:r w:rsidR="003C34C4">
        <w:t xml:space="preserve"> for malkekøer</w:t>
      </w:r>
      <w:r w:rsidR="00250C15">
        <w:t>.</w:t>
      </w:r>
      <w:r w:rsidR="001A3156" w:rsidRPr="001A3156">
        <w:t xml:space="preserve"> </w:t>
      </w:r>
      <w:r w:rsidR="001A3156">
        <w:t xml:space="preserve">Der er herved grundlag for at etablere et generelt krav om anvendelse af metanreducerende foder til kvæg med valgfrihed imellem øget fedtandel i foderet og </w:t>
      </w:r>
      <w:r w:rsidR="003C34C4">
        <w:t xml:space="preserve">et fodertilsætningsstof </w:t>
      </w:r>
      <w:r w:rsidR="00AF23FF" w:rsidRPr="00AF23FF">
        <w:t xml:space="preserve">indeholdende aktivstoffet 3-NOP </w:t>
      </w:r>
      <w:r w:rsidR="001A3156">
        <w:t xml:space="preserve">til opnåelse af de nødvendige reduktioner, dvs. et teknologineutralt krav med metodefrihed for landbrugeren. </w:t>
      </w:r>
    </w:p>
    <w:p w14:paraId="1FCCAC61" w14:textId="77777777" w:rsidR="001A3156" w:rsidRDefault="001A3156" w:rsidP="001A3156">
      <w:pPr>
        <w:jc w:val="both"/>
      </w:pPr>
    </w:p>
    <w:p w14:paraId="2D7A1A2B" w14:textId="77777777" w:rsidR="003C34C4" w:rsidRDefault="00974027" w:rsidP="006F11BF">
      <w:pPr>
        <w:jc w:val="both"/>
      </w:pPr>
      <w:r>
        <w:t xml:space="preserve">I forlængelse af landbrugsaftalen er der den 15. april 2024 indgået en politisk delaftale om </w:t>
      </w:r>
      <w:r w:rsidR="008630FF">
        <w:t>G</w:t>
      </w:r>
      <w:r>
        <w:t xml:space="preserve">røn </w:t>
      </w:r>
      <w:r w:rsidR="008630FF">
        <w:t>F</w:t>
      </w:r>
      <w:r>
        <w:t>ond. Aftalen er indgået imellem regeringen og Socialistisk Folkeparti, Det Konservative Folkeparti, Enhedslisten og Radikale Venstre. Den indebærer bl.a., at der reserveres midler til en model for metanreducerende foder</w:t>
      </w:r>
      <w:r w:rsidR="001A3156">
        <w:t xml:space="preserve">. </w:t>
      </w:r>
    </w:p>
    <w:p w14:paraId="757B6DEB" w14:textId="77777777" w:rsidR="003C34C4" w:rsidRDefault="003C34C4" w:rsidP="003C34C4">
      <w:pPr>
        <w:jc w:val="both"/>
      </w:pPr>
    </w:p>
    <w:p w14:paraId="0994DD06" w14:textId="1D1ADADE" w:rsidR="00FA4489" w:rsidRDefault="003C34C4" w:rsidP="00974027">
      <w:r>
        <w:t xml:space="preserve">Med aftalen tages der udgangspunkt i landbrugsaftalens krav om </w:t>
      </w:r>
      <w:proofErr w:type="spellStart"/>
      <w:r>
        <w:t>metanreduktion</w:t>
      </w:r>
      <w:proofErr w:type="spellEnd"/>
      <w:r>
        <w:t xml:space="preserve"> fra køers fordøjelse fra 1. januar 2025 og frem kombineret med et ønskes om at øge reduktionseffekten til 30 pct. med støtte til øget anvendelse af et fodertilsætningsstof indeholdende aktivstoffet3-NOP. Aftalen indebærer, at der skal etableres en kompensationsordning til dækning af erhvervets udgifter til at imødegå </w:t>
      </w:r>
      <w:r w:rsidR="00D45590">
        <w:t xml:space="preserve">landbrugsaftalens </w:t>
      </w:r>
      <w:r>
        <w:t xml:space="preserve">krav i en toårig periode </w:t>
      </w:r>
      <w:r w:rsidR="00D45590">
        <w:t>(</w:t>
      </w:r>
      <w:r>
        <w:t>2025 og 2026</w:t>
      </w:r>
      <w:r w:rsidR="00D45590">
        <w:t>)</w:t>
      </w:r>
      <w:r>
        <w:t>. Der er endvidere enighed om at afsætte midler til at etablere en tilskudsordning, der har til formål</w:t>
      </w:r>
      <w:r w:rsidR="00751337">
        <w:t xml:space="preserve"> </w:t>
      </w:r>
      <w:r w:rsidRPr="00E62456">
        <w:t xml:space="preserve">at øge </w:t>
      </w:r>
      <w:proofErr w:type="spellStart"/>
      <w:r w:rsidRPr="00E62456">
        <w:t>metanreduktion</w:t>
      </w:r>
      <w:r>
        <w:t>en</w:t>
      </w:r>
      <w:proofErr w:type="spellEnd"/>
      <w:r w:rsidRPr="00E62456">
        <w:t xml:space="preserve"> til 30 pct</w:t>
      </w:r>
      <w:r>
        <w:t>.</w:t>
      </w:r>
      <w:r w:rsidRPr="00E62456">
        <w:t xml:space="preserve"> </w:t>
      </w:r>
      <w:r>
        <w:t>frem til 2027 gennem</w:t>
      </w:r>
      <w:r w:rsidR="00740728">
        <w:t xml:space="preserve"> </w:t>
      </w:r>
      <w:r>
        <w:t>dækning af erhvervets udgifter til øget brug af</w:t>
      </w:r>
      <w:r w:rsidRPr="006928E1">
        <w:t xml:space="preserve"> </w:t>
      </w:r>
      <w:r>
        <w:t>fodertilsætningsstof indeholdende aktivstoffet</w:t>
      </w:r>
      <w:r w:rsidR="00740728">
        <w:t xml:space="preserve"> </w:t>
      </w:r>
      <w:r>
        <w:t>3-NOP.</w:t>
      </w:r>
      <w:r w:rsidRPr="00E62456">
        <w:t xml:space="preserve"> </w:t>
      </w:r>
    </w:p>
    <w:p w14:paraId="62D78C64" w14:textId="77777777" w:rsidR="00740728" w:rsidRDefault="00740728" w:rsidP="00974027"/>
    <w:p w14:paraId="47B48BCE" w14:textId="7BF864CB" w:rsidR="00106007" w:rsidRDefault="00974027" w:rsidP="00106007">
      <w:r>
        <w:t>Miljøministeren fremsatte 9. februar</w:t>
      </w:r>
      <w:r w:rsidRPr="00C2069C">
        <w:t xml:space="preserve"> </w:t>
      </w:r>
      <w:r>
        <w:t xml:space="preserve">2023 </w:t>
      </w:r>
      <w:r w:rsidR="00A40180">
        <w:t>f</w:t>
      </w:r>
      <w:r w:rsidRPr="00C2069C">
        <w:t>orslag til lov om ændring af lov om husdyrbrug og anvendelse af gødning m.v</w:t>
      </w:r>
      <w:r w:rsidR="00740728">
        <w:t>.</w:t>
      </w:r>
      <w:r w:rsidR="00A40180">
        <w:t xml:space="preserve"> (</w:t>
      </w:r>
      <w:r w:rsidR="00A40180" w:rsidRPr="00C2069C">
        <w:t>L 47</w:t>
      </w:r>
      <w:r w:rsidR="00A40180">
        <w:t>)</w:t>
      </w:r>
      <w:r w:rsidRPr="00C2069C">
        <w:t>.</w:t>
      </w:r>
      <w:r>
        <w:t xml:space="preserve"> Med l</w:t>
      </w:r>
      <w:r w:rsidRPr="00C2069C">
        <w:t>ov</w:t>
      </w:r>
      <w:r>
        <w:t>ændringen</w:t>
      </w:r>
      <w:r w:rsidRPr="00C2069C">
        <w:t xml:space="preserve"> </w:t>
      </w:r>
      <w:r>
        <w:t xml:space="preserve">fik </w:t>
      </w:r>
      <w:r w:rsidRPr="00C2069C">
        <w:t xml:space="preserve">miljøministeren en </w:t>
      </w:r>
      <w:r w:rsidR="006F11BF">
        <w:t xml:space="preserve">ny </w:t>
      </w:r>
      <w:r w:rsidRPr="00C2069C">
        <w:t>bemyndigelse i loven</w:t>
      </w:r>
      <w:r>
        <w:t>s § 35</w:t>
      </w:r>
      <w:r w:rsidRPr="00C2069C">
        <w:t>, som kan anvendes til at fastsætte regler om indretning og drift af anlæg for at reducere udledning af drivhusgasser fra erhvervsmæssige dyrehold</w:t>
      </w:r>
      <w:r>
        <w:t xml:space="preserve"> efter forudgående forhandling med ministeren for fødevarer, landbrug og fiskeri</w:t>
      </w:r>
      <w:r w:rsidRPr="00C2069C">
        <w:t xml:space="preserve">. </w:t>
      </w:r>
      <w:r w:rsidR="00106007">
        <w:t>B</w:t>
      </w:r>
      <w:r w:rsidR="00106007" w:rsidRPr="00C2069C">
        <w:t xml:space="preserve">emyndigelsen skal </w:t>
      </w:r>
      <w:r w:rsidR="00106007">
        <w:t xml:space="preserve">herved bl.a. </w:t>
      </w:r>
      <w:r w:rsidR="00106007">
        <w:lastRenderedPageBreak/>
        <w:t xml:space="preserve">anvendes til </w:t>
      </w:r>
      <w:r w:rsidR="008630FF">
        <w:t xml:space="preserve">at </w:t>
      </w:r>
      <w:r w:rsidR="00106007">
        <w:t xml:space="preserve">udmønte beslutninger fra landbrugsaftalen, herunder </w:t>
      </w:r>
      <w:r w:rsidR="00106007" w:rsidRPr="00C2069C">
        <w:t>regler om tiltag med henblik på reduktion af udledninger fra kvæg</w:t>
      </w:r>
      <w:r w:rsidR="00106007">
        <w:t>,</w:t>
      </w:r>
      <w:r w:rsidR="00106007" w:rsidRPr="00C2069C">
        <w:t xml:space="preserve"> </w:t>
      </w:r>
      <w:r w:rsidR="00106007">
        <w:t xml:space="preserve">samt </w:t>
      </w:r>
      <w:r w:rsidR="00106007" w:rsidRPr="00C2069C">
        <w:t>på sigt at gennemføre de tiltag, som forligskredsen træffer beslutning om</w:t>
      </w:r>
      <w:r w:rsidR="00106007">
        <w:t>. Udover at tiltagene skal hvile på beslutninger i forligskredsen, så fremgår det, at udkast til bekendtgørelser skal forelægges forligskredsen inden udstedelse.</w:t>
      </w:r>
    </w:p>
    <w:p w14:paraId="033FB6A9" w14:textId="3E4F2F10" w:rsidR="000C76AD" w:rsidRDefault="000C76AD" w:rsidP="00106007"/>
    <w:p w14:paraId="7ECD3F18" w14:textId="668F636E" w:rsidR="000C76AD" w:rsidRDefault="000C76AD" w:rsidP="00106007">
      <w:r>
        <w:t>De</w:t>
      </w:r>
      <w:r w:rsidR="00D97E48">
        <w:t>r</w:t>
      </w:r>
      <w:r>
        <w:t xml:space="preserve"> er tale om et generelt krav om </w:t>
      </w:r>
      <w:r w:rsidR="00B15C46">
        <w:t xml:space="preserve">en </w:t>
      </w:r>
      <w:r>
        <w:t>særlig praksis vedr. fodring</w:t>
      </w:r>
      <w:r w:rsidR="00B15C46">
        <w:t>,</w:t>
      </w:r>
      <w:r>
        <w:t xml:space="preserve"> som foreslås indarbejdet i </w:t>
      </w:r>
      <w:r w:rsidRPr="00306CC8">
        <w:t>husdyrgodkendelsesbekendtgørelsen</w:t>
      </w:r>
      <w:r>
        <w:t xml:space="preserve">s kapitel 13 </w:t>
      </w:r>
      <w:r w:rsidR="00B15C46">
        <w:t xml:space="preserve">i </w:t>
      </w:r>
      <w:r>
        <w:t>afsnittet om reduktion af drivhusgasudledninger fra husdyrbrug ved anvendelse af bestemte teknikker. Denne placering er valgt, idet der her i forvejen fin</w:t>
      </w:r>
      <w:r w:rsidR="00B15C46">
        <w:t>d</w:t>
      </w:r>
      <w:r>
        <w:t>es generelle regler om hyppig udslusning. De nye regler kommer -lighed med reglerne om hyppig udslusning</w:t>
      </w:r>
      <w:r w:rsidR="00B15C46">
        <w:t>-</w:t>
      </w:r>
      <w:r>
        <w:t xml:space="preserve"> til at gælde umiddelbart for landbrugeren, når de nye regler er trådt i kraft. Kommunalbestyrelsen skal således ikke indarbejde </w:t>
      </w:r>
      <w:r w:rsidR="00B15C46">
        <w:t xml:space="preserve">vilkår </w:t>
      </w:r>
      <w:r>
        <w:t xml:space="preserve">herom i tilladelser eller godkendelser af husdyrbrug. Kommunalbestyrelsen vil heller ikke </w:t>
      </w:r>
      <w:r w:rsidR="00B15C46">
        <w:t>skulle føre tilsyn med overholdelse af de foreslåede regler, idet tilsynet foreslås overført ved delegation til Fødevarestyrelsen, jf. nedenfor kap. 5.</w:t>
      </w:r>
      <w:r>
        <w:t xml:space="preserve"> </w:t>
      </w:r>
    </w:p>
    <w:p w14:paraId="7E83DEAA" w14:textId="77777777" w:rsidR="00106007" w:rsidRDefault="00106007" w:rsidP="00974027"/>
    <w:p w14:paraId="42198CC0" w14:textId="41DC062E" w:rsidR="00FA4489" w:rsidRPr="00CF589F" w:rsidRDefault="00FA4489" w:rsidP="001408A2">
      <w:pPr>
        <w:pStyle w:val="Overskrift2"/>
        <w:numPr>
          <w:ilvl w:val="0"/>
          <w:numId w:val="17"/>
        </w:numPr>
      </w:pPr>
      <w:bookmarkStart w:id="5" w:name="_Toc166664925"/>
      <w:r w:rsidRPr="004C6FE8">
        <w:t>Indholdet i de foreslåede regler</w:t>
      </w:r>
      <w:bookmarkEnd w:id="5"/>
    </w:p>
    <w:p w14:paraId="5F11F26E" w14:textId="77777777" w:rsidR="00F50290" w:rsidRDefault="00F50290" w:rsidP="00FA4489"/>
    <w:p w14:paraId="75AFF98D" w14:textId="15E075C0" w:rsidR="00FA4489" w:rsidRDefault="00FA4489" w:rsidP="00FA4489">
      <w:r>
        <w:t xml:space="preserve">På </w:t>
      </w:r>
      <w:r w:rsidR="00106007">
        <w:t xml:space="preserve">denne </w:t>
      </w:r>
      <w:r>
        <w:t>baggrund foreslås det, at der fastsættes nærmere regler i husdyrgodkendelsesbekendtgørelsen om følgende:</w:t>
      </w:r>
    </w:p>
    <w:p w14:paraId="0E717E61" w14:textId="1A42B0CF" w:rsidR="00F412AB" w:rsidRPr="001408A2" w:rsidRDefault="008E210C" w:rsidP="001408A2">
      <w:pPr>
        <w:pStyle w:val="Overskrift3"/>
        <w:numPr>
          <w:ilvl w:val="1"/>
          <w:numId w:val="17"/>
        </w:numPr>
        <w:rPr>
          <w:b w:val="0"/>
        </w:rPr>
      </w:pPr>
      <w:bookmarkStart w:id="6" w:name="_Toc166664926"/>
      <w:r>
        <w:rPr>
          <w:b w:val="0"/>
        </w:rPr>
        <w:t>G</w:t>
      </w:r>
      <w:r w:rsidR="00F412AB" w:rsidRPr="001408A2">
        <w:rPr>
          <w:b w:val="0"/>
        </w:rPr>
        <w:t xml:space="preserve">enerelt </w:t>
      </w:r>
      <w:r w:rsidR="00DC54F0">
        <w:rPr>
          <w:b w:val="0"/>
        </w:rPr>
        <w:t>reduktions</w:t>
      </w:r>
      <w:r w:rsidR="00F412AB" w:rsidRPr="001408A2">
        <w:rPr>
          <w:b w:val="0"/>
        </w:rPr>
        <w:t>krav</w:t>
      </w:r>
      <w:r w:rsidR="00FF2F67" w:rsidRPr="001408A2">
        <w:rPr>
          <w:b w:val="0"/>
        </w:rPr>
        <w:t xml:space="preserve"> (§ </w:t>
      </w:r>
      <w:r w:rsidR="00740728">
        <w:rPr>
          <w:b w:val="0"/>
        </w:rPr>
        <w:t>40</w:t>
      </w:r>
      <w:r w:rsidR="00FF2F67" w:rsidRPr="001408A2">
        <w:rPr>
          <w:b w:val="0"/>
        </w:rPr>
        <w:t>, stk. 1)</w:t>
      </w:r>
      <w:bookmarkEnd w:id="6"/>
    </w:p>
    <w:p w14:paraId="4759D1C9" w14:textId="77777777" w:rsidR="00F50290" w:rsidRDefault="00F50290"/>
    <w:p w14:paraId="7BB4E445" w14:textId="413EFFE1" w:rsidR="004D21B2" w:rsidRDefault="00F412AB">
      <w:r>
        <w:t>De</w:t>
      </w:r>
      <w:r w:rsidR="00FF2F67">
        <w:t xml:space="preserve">t foreslås at </w:t>
      </w:r>
      <w:r>
        <w:t xml:space="preserve">indføre et krav </w:t>
      </w:r>
      <w:r w:rsidR="00FA4489" w:rsidRPr="00B04BA9">
        <w:t>om</w:t>
      </w:r>
      <w:r>
        <w:t>,</w:t>
      </w:r>
      <w:r w:rsidR="00FA4489" w:rsidRPr="00B04BA9">
        <w:t xml:space="preserve"> at foder til</w:t>
      </w:r>
      <w:r w:rsidR="00AF23FF">
        <w:t xml:space="preserve"> konventionelle</w:t>
      </w:r>
      <w:r w:rsidR="00FA4489" w:rsidRPr="00B04BA9">
        <w:t xml:space="preserve"> malkekøer på husdyrbrug </w:t>
      </w:r>
      <w:r w:rsidR="008630FF">
        <w:t xml:space="preserve">med </w:t>
      </w:r>
      <w:r w:rsidR="00740728">
        <w:t xml:space="preserve">flere end </w:t>
      </w:r>
      <w:r w:rsidR="00106007">
        <w:t xml:space="preserve">50 årskøer </w:t>
      </w:r>
      <w:r w:rsidR="00FA4489" w:rsidRPr="00B04BA9">
        <w:t>skal ti</w:t>
      </w:r>
      <w:r w:rsidR="001B0299">
        <w:t xml:space="preserve">ldeles </w:t>
      </w:r>
      <w:r w:rsidR="004D21B2">
        <w:t>enten fedt via fedtrige fodermidler, jf. stk. 3, eller fodertilsætningsstoffer indeholdende aktivstoffet 3- NOP, jf. stk. 4, eller andre fodertilsætningsstoffer eller fodermidler, der fremgår af nærværende bestemmelse. Fodertilsætningsstoffer indeholdende aktivstoffet 3- NOP skal være godkendt af EU til brug for reduktion af drivhusgasser fra malkekøers fordøjelsessystem.</w:t>
      </w:r>
    </w:p>
    <w:p w14:paraId="348034AD" w14:textId="77777777" w:rsidR="004D21B2" w:rsidRDefault="004D21B2"/>
    <w:p w14:paraId="54F436E1" w14:textId="6C2ADEB2" w:rsidR="001B0299" w:rsidRDefault="001B0299" w:rsidP="001B0299">
      <w:r>
        <w:t xml:space="preserve">Der er tale om en generelt foderkrav, som indeholdt i landbrugsaftalen, idet kravet kan indfries på forskellig vis med valgfrihed. For indeværende er det muligt at vælge imellem tildeling af fedtrige fodermidler eller fodertilsætningsstoffer indeholdende aktivstoffet 3- NOP. </w:t>
      </w:r>
    </w:p>
    <w:p w14:paraId="2CE2A171" w14:textId="77777777" w:rsidR="001B0299" w:rsidRDefault="001B0299" w:rsidP="001B0299"/>
    <w:p w14:paraId="129ED6E8" w14:textId="17C835AC" w:rsidR="001B0299" w:rsidRDefault="001B0299" w:rsidP="00421592">
      <w:r>
        <w:t xml:space="preserve">Bestemmelsen udtrykker imidlertid, </w:t>
      </w:r>
      <w:r w:rsidR="007C217A">
        <w:t xml:space="preserve">at </w:t>
      </w:r>
      <w:r>
        <w:t>det forventes, at bekendtgørelsen vil blive udbygget med yderligere fodervirkemidler</w:t>
      </w:r>
      <w:r w:rsidR="0036576D">
        <w:t>.</w:t>
      </w:r>
      <w:r w:rsidR="0036576D" w:rsidDel="0036576D">
        <w:t xml:space="preserve"> </w:t>
      </w:r>
      <w:r>
        <w:t xml:space="preserve">Således er der pt. en række teknologier under udvikling, som endnu ikke er inkluderet i bekendtgørelsen på grund af manglende markedsmodenhed eller </w:t>
      </w:r>
      <w:r w:rsidR="00D821E9">
        <w:t>u</w:t>
      </w:r>
      <w:r>
        <w:t>tilstrækkelig dokumentation under danske forhold til at blive medtaget i den nationale emissionsopgørelse</w:t>
      </w:r>
      <w:r w:rsidR="0036576D">
        <w:t xml:space="preserve">, men som vil blive indarbejdet i </w:t>
      </w:r>
      <w:r w:rsidR="00D821E9">
        <w:t xml:space="preserve">bekendtgørelsen i </w:t>
      </w:r>
      <w:r w:rsidR="0036576D">
        <w:t>takt med, at disse bliver udviklet og klar til implementering.</w:t>
      </w:r>
    </w:p>
    <w:p w14:paraId="72A74FFB" w14:textId="77777777" w:rsidR="001B0299" w:rsidRDefault="001B0299" w:rsidP="001B0299"/>
    <w:p w14:paraId="17B437E3" w14:textId="7C96AB0F" w:rsidR="001B0299" w:rsidRDefault="001B0299" w:rsidP="001B0299">
      <w:r>
        <w:t>Disse teknologier omfatter bl.a. calciumnitrat (nitrat)</w:t>
      </w:r>
      <w:r w:rsidR="00B93E2C">
        <w:t xml:space="preserve">. Der er tale om et </w:t>
      </w:r>
      <w:r>
        <w:t>foder</w:t>
      </w:r>
      <w:r w:rsidR="00B93E2C">
        <w:t>virke</w:t>
      </w:r>
      <w:r>
        <w:t xml:space="preserve">middel, der </w:t>
      </w:r>
      <w:r w:rsidR="00B93E2C">
        <w:t xml:space="preserve">virker ved at forbruge </w:t>
      </w:r>
      <w:r>
        <w:t>brint</w:t>
      </w:r>
      <w:r w:rsidR="00B93E2C">
        <w:t xml:space="preserve"> </w:t>
      </w:r>
      <w:r>
        <w:t>i vommen</w:t>
      </w:r>
      <w:r w:rsidR="00B93E2C">
        <w:t>,</w:t>
      </w:r>
      <w:r>
        <w:t xml:space="preserve"> </w:t>
      </w:r>
      <w:r w:rsidR="00B93E2C">
        <w:t xml:space="preserve">som ellers indgår i </w:t>
      </w:r>
      <w:proofErr w:type="spellStart"/>
      <w:r w:rsidR="00B93E2C">
        <w:t>metandannelsen</w:t>
      </w:r>
      <w:proofErr w:type="spellEnd"/>
      <w:r w:rsidR="00B93E2C">
        <w:t xml:space="preserve">, hvorved man </w:t>
      </w:r>
      <w:r>
        <w:t xml:space="preserve">potentielt kan opnå en reduktion på ca. 10 pct. i </w:t>
      </w:r>
      <w:proofErr w:type="spellStart"/>
      <w:r>
        <w:t>metanudledningen</w:t>
      </w:r>
      <w:proofErr w:type="spellEnd"/>
      <w:r>
        <w:t xml:space="preserve"> ved den forventede dosis under danske forhold. Nitrat testes i </w:t>
      </w:r>
      <w:r>
        <w:lastRenderedPageBreak/>
        <w:t>øjeblikket under danske forhold med henblik på mulig inkludering i den nationale emissionsopgørelse inden for den nærmeste fremtid.</w:t>
      </w:r>
    </w:p>
    <w:p w14:paraId="77D0C1EC" w14:textId="77777777" w:rsidR="001B0299" w:rsidRDefault="001B0299" w:rsidP="001B0299"/>
    <w:p w14:paraId="1EAC7F5C" w14:textId="77777777" w:rsidR="001B0299" w:rsidRDefault="001B0299" w:rsidP="001B0299">
      <w:r>
        <w:t>Desuden samarbejder Aarhus Universitet (AU) og DLG/</w:t>
      </w:r>
      <w:proofErr w:type="spellStart"/>
      <w:r>
        <w:t>Vilofoss</w:t>
      </w:r>
      <w:proofErr w:type="spellEnd"/>
      <w:r>
        <w:t xml:space="preserve"> om udviklingen af Stof X2, et nyt metanreducerende fodertilsætningsstof, hvor tidlige forsøg har vist en reduktion på ca. 25 pct. i </w:t>
      </w:r>
      <w:proofErr w:type="spellStart"/>
      <w:r>
        <w:t>metanudledning</w:t>
      </w:r>
      <w:proofErr w:type="spellEnd"/>
      <w:r>
        <w:t xml:space="preserve"> hos malkekøer uden negative sideeffekter på mælkeydelse og foderoptagelse. Stof X2 forventes kun anvendt til konventionelle køer på stald og anvendelse kræver en forudgående EU-godkendelse.</w:t>
      </w:r>
    </w:p>
    <w:p w14:paraId="5A9EB361" w14:textId="77777777" w:rsidR="001B0299" w:rsidRDefault="001B0299" w:rsidP="001B0299"/>
    <w:p w14:paraId="15546A9B" w14:textId="76BFCF90" w:rsidR="001B0299" w:rsidRDefault="001B0299" w:rsidP="001B0299">
      <w:r>
        <w:t xml:space="preserve">Endvidere er det kendt, at visse tangarter (makroalger), især tropiske rødalger, producerer bioaktive stoffer, der kan hæmme </w:t>
      </w:r>
      <w:proofErr w:type="spellStart"/>
      <w:r>
        <w:t>metandannelsen</w:t>
      </w:r>
      <w:proofErr w:type="spellEnd"/>
      <w:r>
        <w:t xml:space="preserve"> i drøvtyggeres vom. Tidligere forsøg har vist, at tropiske rødalger har et betydeligt reduktionspotentiale på mellem 25-80 pct., men der mangler stadig viden om risici og potentielle sideeffekter på miljø, dyresundhed og -velfærd ved anvendelse, hvilket skal undersøges nærmere</w:t>
      </w:r>
      <w:r w:rsidR="00D821E9">
        <w:t>,</w:t>
      </w:r>
      <w:r>
        <w:t xml:space="preserve"> og effekten skal dokumenteres under danske forhold.</w:t>
      </w:r>
    </w:p>
    <w:p w14:paraId="1842E94C" w14:textId="77777777" w:rsidR="00106007" w:rsidRDefault="00106007"/>
    <w:p w14:paraId="6DEB033C" w14:textId="1BD2D6FB" w:rsidR="00C331F8" w:rsidRDefault="00C331F8" w:rsidP="00C331F8">
      <w:pPr>
        <w:pStyle w:val="Listeafsnit"/>
        <w:numPr>
          <w:ilvl w:val="2"/>
          <w:numId w:val="17"/>
        </w:numPr>
      </w:pPr>
      <w:r>
        <w:t xml:space="preserve">Kun husdyrbrug med </w:t>
      </w:r>
      <w:r w:rsidR="00740728">
        <w:t xml:space="preserve">flere end </w:t>
      </w:r>
      <w:r>
        <w:t xml:space="preserve">50 årskøer </w:t>
      </w:r>
    </w:p>
    <w:p w14:paraId="1C976FAD" w14:textId="77777777" w:rsidR="00F50290" w:rsidRDefault="00F50290" w:rsidP="00C331F8"/>
    <w:p w14:paraId="74279810" w14:textId="4CEB2D52" w:rsidR="00D83BE2" w:rsidRDefault="00106007" w:rsidP="00106007">
      <w:r>
        <w:t>Ved beregning af reduktionseffekterne i landbrugsaftalen blev det lagt til grund, at alle kvæg, der findes i kategorien ”erhvervsmæssigt dyrehold” skulle omfattes af krav om øget fedtandel i foderet. Det vurderes at være ude af proportioner at forlange særligt blandeudstyr, foderplanlægning mv. set i forhold til den begrænsede effekt, der opnås</w:t>
      </w:r>
      <w:r w:rsidR="00D83BE2">
        <w:t>, fra så små bedrifter</w:t>
      </w:r>
      <w:r>
        <w:t xml:space="preserve">. </w:t>
      </w:r>
      <w:r w:rsidR="00740728">
        <w:t xml:space="preserve">På denne baggrund foreslås det at undtage husdyrbrug med op til 50 årskøer. </w:t>
      </w:r>
      <w:r w:rsidR="00D83BE2">
        <w:t>Ved denne grænse undtages i alt 208 bedrifter med samlet set 4.959 malkekøer, svarende til ca. 1 pct. af det samlede antal konventionelle malkekøer</w:t>
      </w:r>
      <w:r w:rsidR="00751337">
        <w:rPr>
          <w:rStyle w:val="Fodnotehenvisning"/>
        </w:rPr>
        <w:footnoteReference w:id="1"/>
      </w:r>
      <w:r w:rsidR="00D83BE2">
        <w:t>.</w:t>
      </w:r>
    </w:p>
    <w:p w14:paraId="0F2070E4" w14:textId="77777777" w:rsidR="00D83BE2" w:rsidRDefault="00D83BE2" w:rsidP="00106007"/>
    <w:p w14:paraId="292C3271" w14:textId="54BF1469" w:rsidR="00106007" w:rsidRDefault="00D74B23" w:rsidP="001E1726">
      <w:pPr>
        <w:pStyle w:val="Kommentartekst"/>
      </w:pPr>
      <w:r>
        <w:t>Begrebet ”e</w:t>
      </w:r>
      <w:r w:rsidR="00106007">
        <w:t>n årsko</w:t>
      </w:r>
      <w:r>
        <w:t>” følger den afgrænsning, der findes i regi af gødskningsreglerne</w:t>
      </w:r>
      <w:r w:rsidR="00D45590">
        <w:t xml:space="preserve"> </w:t>
      </w:r>
      <w:r>
        <w:t>(</w:t>
      </w:r>
      <w:r w:rsidR="00740728">
        <w:t>en årsko svarer til 365 foderdage, hvilket vil sige en ko fodret i 365 dage).</w:t>
      </w:r>
    </w:p>
    <w:p w14:paraId="5C148B44" w14:textId="77777777" w:rsidR="00D74B23" w:rsidRDefault="00D74B23"/>
    <w:p w14:paraId="14B22582" w14:textId="77777777" w:rsidR="00C331F8" w:rsidRDefault="00C331F8" w:rsidP="00C331F8">
      <w:pPr>
        <w:pStyle w:val="Listeafsnit"/>
        <w:numPr>
          <w:ilvl w:val="2"/>
          <w:numId w:val="17"/>
        </w:numPr>
        <w:jc w:val="both"/>
      </w:pPr>
      <w:r>
        <w:t>Kun malkekøer</w:t>
      </w:r>
    </w:p>
    <w:p w14:paraId="479787D9" w14:textId="77777777" w:rsidR="00F50290" w:rsidRDefault="00F50290" w:rsidP="00C331F8">
      <w:pPr>
        <w:jc w:val="both"/>
      </w:pPr>
    </w:p>
    <w:p w14:paraId="28B9A33D" w14:textId="78A4066D" w:rsidR="00106007" w:rsidRDefault="00106007" w:rsidP="00C331F8">
      <w:pPr>
        <w:jc w:val="both"/>
      </w:pPr>
      <w:r>
        <w:t xml:space="preserve">Det fremgår af landbrugsaftalen, at det generelle reduktionskrav retter sig imod kvæg generelt, idet der skal opnås en klimaeffekt på 0,17 mio. t. CO2e i 2025 og 0,16 mio. t. CO2e i 2030. Der er herved ikke bindinger i selve aftalen i forhold til hvilke kvæg, der skal omfattes. </w:t>
      </w:r>
    </w:p>
    <w:p w14:paraId="74B81EE4" w14:textId="77777777" w:rsidR="00106007" w:rsidRDefault="00106007" w:rsidP="00106007">
      <w:pPr>
        <w:jc w:val="both"/>
      </w:pPr>
    </w:p>
    <w:p w14:paraId="6F2E2E64" w14:textId="12BC4869" w:rsidR="00C331F8" w:rsidRDefault="00106007" w:rsidP="00106007">
      <w:pPr>
        <w:jc w:val="both"/>
        <w:rPr>
          <w:rFonts w:asciiTheme="minorHAnsi" w:eastAsia="Calibri" w:hAnsiTheme="minorHAnsi" w:cstheme="minorHAnsi"/>
        </w:rPr>
      </w:pPr>
      <w:r>
        <w:t xml:space="preserve">Ved effektberegningen ifm. landbrugsaftalen blev det lagt til grund, at konventionelle malkekøer af skulle tildeles </w:t>
      </w:r>
      <w:r w:rsidR="008C2059">
        <w:t xml:space="preserve">mellem </w:t>
      </w:r>
      <w:r>
        <w:t xml:space="preserve">50 </w:t>
      </w:r>
      <w:r w:rsidR="008C2059">
        <w:t xml:space="preserve">og 55 </w:t>
      </w:r>
      <w:r>
        <w:t>g fedtsyrer pr. kg tørstof</w:t>
      </w:r>
      <w:r w:rsidR="008C2059">
        <w:t xml:space="preserve"> alt efter race, </w:t>
      </w:r>
      <w:r>
        <w:t>mens kvier over 1 år</w:t>
      </w:r>
      <w:r w:rsidR="008C2059">
        <w:t xml:space="preserve"> </w:t>
      </w:r>
      <w:r>
        <w:t>skulle tildeles minimum 40 g fedtsyrer pr. kg tørstof. Malkekøer i tidlig laktation, svarende til de 2 første måneder, blev undtaget kravet, eftersom der var usikkerhed om, hvorvidt et højt fedtniveau var problematisk i denne periode, herunder om det ville påvirke koens sundhed og produktivitet negativt.</w:t>
      </w:r>
      <w:r w:rsidR="00C331F8">
        <w:t xml:space="preserve"> </w:t>
      </w:r>
    </w:p>
    <w:p w14:paraId="3ADA162D" w14:textId="77777777" w:rsidR="00AC4977" w:rsidRDefault="00AC4977" w:rsidP="00106007">
      <w:pPr>
        <w:jc w:val="both"/>
        <w:rPr>
          <w:rFonts w:asciiTheme="minorHAnsi" w:eastAsia="Calibri" w:hAnsiTheme="minorHAnsi" w:cstheme="minorHAnsi"/>
        </w:rPr>
      </w:pPr>
    </w:p>
    <w:p w14:paraId="26132D0D" w14:textId="7D3EFCE2" w:rsidR="00C331F8" w:rsidRDefault="00106007" w:rsidP="00C331F8">
      <w:pPr>
        <w:jc w:val="both"/>
        <w:rPr>
          <w:rFonts w:asciiTheme="minorHAnsi" w:eastAsia="Calibri" w:hAnsiTheme="minorHAnsi" w:cstheme="minorHAnsi"/>
        </w:rPr>
      </w:pPr>
      <w:r>
        <w:rPr>
          <w:rFonts w:asciiTheme="minorHAnsi" w:eastAsia="Calibri" w:hAnsiTheme="minorHAnsi" w:cstheme="minorHAnsi"/>
        </w:rPr>
        <w:lastRenderedPageBreak/>
        <w:t xml:space="preserve">Ved den nærmere tilrettelæggelse af </w:t>
      </w:r>
      <w:r w:rsidR="00751337">
        <w:rPr>
          <w:rFonts w:asciiTheme="minorHAnsi" w:eastAsia="Calibri" w:hAnsiTheme="minorHAnsi" w:cstheme="minorHAnsi"/>
        </w:rPr>
        <w:t xml:space="preserve">et generelt foderkrav for kvæg </w:t>
      </w:r>
      <w:r>
        <w:rPr>
          <w:rFonts w:asciiTheme="minorHAnsi" w:eastAsia="Calibri" w:hAnsiTheme="minorHAnsi" w:cstheme="minorHAnsi"/>
        </w:rPr>
        <w:t xml:space="preserve">er der foretaget undersøgelser og analyser med henblik på at opnå en smidig og effektiv ordning. </w:t>
      </w:r>
    </w:p>
    <w:p w14:paraId="3DAAF7C5" w14:textId="77777777" w:rsidR="00A4185C" w:rsidRDefault="00A4185C" w:rsidP="00C331F8">
      <w:pPr>
        <w:jc w:val="both"/>
      </w:pPr>
    </w:p>
    <w:p w14:paraId="4E584FE8" w14:textId="5C76D01C" w:rsidR="00A4185C" w:rsidRDefault="00A4185C" w:rsidP="00A4185C">
      <w:r>
        <w:t>Det er herunder lagt til grund, at der bør vælges den samme afgrænsning af omfattede dyr, uanset om land</w:t>
      </w:r>
      <w:r w:rsidR="008C2059">
        <w:t xml:space="preserve">brugeren </w:t>
      </w:r>
      <w:r>
        <w:t xml:space="preserve">vælger at opfylde kravet ved fedtfodring eller tildeling af </w:t>
      </w:r>
      <w:r w:rsidR="008C2059">
        <w:t>foder indeholdende aktivstoffet 3-NOP</w:t>
      </w:r>
      <w:r>
        <w:t xml:space="preserve">. </w:t>
      </w:r>
      <w:r w:rsidR="008C2059">
        <w:t xml:space="preserve">Fodertilsætningsstof indeholdende 3-NOP </w:t>
      </w:r>
      <w:r>
        <w:t>er kun godkendt til løb</w:t>
      </w:r>
      <w:r w:rsidR="00AF23FF">
        <w:t>ede</w:t>
      </w:r>
      <w:r>
        <w:t>/inseminerede kvier, der kan klassificeres som avlskøer, hvorfor et generelt krav ikke vil kunne gælde for alle kvier. Hvis kvier skal være underlagt kravet</w:t>
      </w:r>
      <w:r w:rsidR="008C2059">
        <w:t>,</w:t>
      </w:r>
      <w:r>
        <w:t xml:space="preserve"> vil </w:t>
      </w:r>
      <w:r w:rsidR="00D45590">
        <w:t xml:space="preserve">tildeling kun </w:t>
      </w:r>
      <w:r>
        <w:t xml:space="preserve">kunne </w:t>
      </w:r>
      <w:r w:rsidR="00D45590">
        <w:t xml:space="preserve">ske til den </w:t>
      </w:r>
      <w:r>
        <w:t>delmængde af kvierne, der udgøres af løb</w:t>
      </w:r>
      <w:r w:rsidR="00AF23FF">
        <w:t>ede</w:t>
      </w:r>
      <w:r>
        <w:t xml:space="preserve"> (inseminerede) kvier</w:t>
      </w:r>
      <w:r w:rsidR="00D45590">
        <w:t>.</w:t>
      </w:r>
      <w:r>
        <w:t xml:space="preserve"> Dette vil imidlertid kræve en </w:t>
      </w:r>
      <w:r w:rsidRPr="001B2D57">
        <w:t>praksisændring</w:t>
      </w:r>
      <w:r>
        <w:t xml:space="preserve"> på bedrifterne ift. opdeling af kvier, således løb</w:t>
      </w:r>
      <w:r w:rsidR="00AC4977">
        <w:t>ne</w:t>
      </w:r>
      <w:r>
        <w:t xml:space="preserve"> kvier adskilles fra øvrige kvier. Som det er nu, går kvier (både drægtige og ikke-drægtige) typisk i samme hold, hvor de tildeles samme foderration, hvorfor der ikke umiddelbart kan tilsættes </w:t>
      </w:r>
      <w:r w:rsidR="00AC4977">
        <w:t>foder indeholdende aktivstoffet 3-NOP</w:t>
      </w:r>
      <w:r>
        <w:t xml:space="preserve"> til rationen. Samtidig kan det være forbundet med stress for dyrene at introducere nye kvier til et nyt hold. </w:t>
      </w:r>
    </w:p>
    <w:p w14:paraId="14C9AF23" w14:textId="18508F4F" w:rsidR="00763DCD" w:rsidRDefault="00763DCD" w:rsidP="00A4185C"/>
    <w:p w14:paraId="6812C5CB" w14:textId="17D0DA73" w:rsidR="00A4185C" w:rsidRDefault="00D45590" w:rsidP="00157669">
      <w:r>
        <w:t>Samtidig er d</w:t>
      </w:r>
      <w:r w:rsidR="00A12CED">
        <w:t>e</w:t>
      </w:r>
      <w:r w:rsidR="00DC54F0">
        <w:t>r</w:t>
      </w:r>
      <w:r w:rsidR="00A12CED">
        <w:t xml:space="preserve"> </w:t>
      </w:r>
      <w:r w:rsidR="00DC54F0">
        <w:t xml:space="preserve">for indeværende hverken en tilstrækkeligt dokumenteret emissionsfaktor eller dokumentation for aktivitetsdata for kvierne. </w:t>
      </w:r>
      <w:r w:rsidR="00A12CED">
        <w:t xml:space="preserve">Derfor vil mereffekten ved at inkludere kvier i kravet for nuværende </w:t>
      </w:r>
      <w:r w:rsidR="00DC54F0">
        <w:t xml:space="preserve">under alle omstændigheder </w:t>
      </w:r>
      <w:r w:rsidR="00A12CED">
        <w:t xml:space="preserve">ikke kunne medregnes i den nationale emissionsopgørelse. </w:t>
      </w:r>
    </w:p>
    <w:p w14:paraId="7C04B80E" w14:textId="77777777" w:rsidR="00AC4977" w:rsidRDefault="00AC4977" w:rsidP="00840F9F">
      <w:pPr>
        <w:jc w:val="both"/>
      </w:pPr>
    </w:p>
    <w:p w14:paraId="51A17030" w14:textId="33266963" w:rsidR="00421592" w:rsidRDefault="00A4185C" w:rsidP="00421592">
      <w:pPr>
        <w:jc w:val="both"/>
        <w:rPr>
          <w:rFonts w:asciiTheme="minorHAnsi" w:eastAsia="Calibri" w:hAnsiTheme="minorHAnsi" w:cstheme="minorHAnsi"/>
        </w:rPr>
      </w:pPr>
      <w:r>
        <w:t>Det vu</w:t>
      </w:r>
      <w:r w:rsidR="00421592">
        <w:t>r</w:t>
      </w:r>
      <w:r>
        <w:t xml:space="preserve">deres </w:t>
      </w:r>
      <w:r w:rsidR="00A12CED">
        <w:t xml:space="preserve">derfor </w:t>
      </w:r>
      <w:r>
        <w:t>ikke at være hensigtsmæssigt</w:t>
      </w:r>
      <w:r w:rsidR="00AC4977">
        <w:t xml:space="preserve"> at medtage kvier</w:t>
      </w:r>
      <w:r>
        <w:t>, hvorfor det foreslås at u</w:t>
      </w:r>
      <w:r w:rsidR="008630FF">
        <w:t>n</w:t>
      </w:r>
      <w:r>
        <w:t xml:space="preserve">dtage </w:t>
      </w:r>
      <w:r w:rsidR="00AC4977">
        <w:t xml:space="preserve">dem </w:t>
      </w:r>
      <w:r>
        <w:t>fra kravet</w:t>
      </w:r>
      <w:r w:rsidR="00751337">
        <w:t>. Af reglen fremgår således</w:t>
      </w:r>
      <w:r w:rsidR="00DC43E9">
        <w:t>, at kravet gælder for</w:t>
      </w:r>
      <w:r w:rsidR="008630FF">
        <w:t xml:space="preserve"> malkekøer, </w:t>
      </w:r>
      <w:r w:rsidR="007C217A">
        <w:t>in</w:t>
      </w:r>
      <w:r w:rsidR="00C21199">
        <w:t>k</w:t>
      </w:r>
      <w:r w:rsidR="007C217A">
        <w:t xml:space="preserve">l. goldkøer, </w:t>
      </w:r>
      <w:r w:rsidR="008630FF">
        <w:t>der begrebsmæssigt ikke omfatte</w:t>
      </w:r>
      <w:r w:rsidR="007C217A">
        <w:t>r</w:t>
      </w:r>
      <w:r w:rsidR="008630FF">
        <w:t xml:space="preserve"> kvier.</w:t>
      </w:r>
      <w:r w:rsidR="007C217A">
        <w:t xml:space="preserve"> </w:t>
      </w:r>
    </w:p>
    <w:p w14:paraId="4266E4FB" w14:textId="77777777" w:rsidR="00421592" w:rsidRDefault="00421592" w:rsidP="00421592"/>
    <w:p w14:paraId="36A7BB38" w14:textId="34913DC1" w:rsidR="0051499C" w:rsidRPr="00421592" w:rsidRDefault="0051499C" w:rsidP="00C21199">
      <w:pPr>
        <w:pStyle w:val="Overskrift3"/>
        <w:numPr>
          <w:ilvl w:val="1"/>
          <w:numId w:val="17"/>
        </w:numPr>
      </w:pPr>
      <w:bookmarkStart w:id="7" w:name="_Toc166664927"/>
      <w:r w:rsidRPr="00421592">
        <w:rPr>
          <w:b w:val="0"/>
        </w:rPr>
        <w:t>Generel undtagelse for økologiske malkekvæg</w:t>
      </w:r>
      <w:r w:rsidR="00FF2F67" w:rsidRPr="00421592">
        <w:rPr>
          <w:b w:val="0"/>
        </w:rPr>
        <w:t xml:space="preserve"> (§ </w:t>
      </w:r>
      <w:r w:rsidR="0094430E" w:rsidRPr="00421592">
        <w:rPr>
          <w:b w:val="0"/>
        </w:rPr>
        <w:t>40</w:t>
      </w:r>
      <w:r w:rsidR="00FF2F67" w:rsidRPr="00421592">
        <w:rPr>
          <w:b w:val="0"/>
        </w:rPr>
        <w:t>, stk. 2)</w:t>
      </w:r>
      <w:bookmarkEnd w:id="7"/>
    </w:p>
    <w:p w14:paraId="5C729AAE" w14:textId="77777777" w:rsidR="00F50290" w:rsidRDefault="00F50290" w:rsidP="0051499C">
      <w:pPr>
        <w:rPr>
          <w:bCs/>
          <w:iCs/>
        </w:rPr>
      </w:pPr>
    </w:p>
    <w:p w14:paraId="7200EC6E" w14:textId="4759E839" w:rsidR="00157669" w:rsidRPr="0051499C" w:rsidRDefault="00157669" w:rsidP="00157669">
      <w:r w:rsidRPr="0051499C">
        <w:rPr>
          <w:bCs/>
          <w:iCs/>
        </w:rPr>
        <w:t xml:space="preserve">Ved beregning af reduktionseffekten i tilknytning til landbrugsaftalen blev </w:t>
      </w:r>
      <w:bookmarkStart w:id="8" w:name="_Hlk164943309"/>
      <w:r w:rsidRPr="0051499C">
        <w:rPr>
          <w:bCs/>
          <w:iCs/>
        </w:rPr>
        <w:t xml:space="preserve">økologiske kvæg udeladt fra kravet om </w:t>
      </w:r>
      <w:r w:rsidR="00DC43E9">
        <w:rPr>
          <w:bCs/>
          <w:iCs/>
        </w:rPr>
        <w:t xml:space="preserve">tildeling af øget </w:t>
      </w:r>
      <w:r w:rsidRPr="0051499C">
        <w:rPr>
          <w:bCs/>
          <w:iCs/>
        </w:rPr>
        <w:t>fedt</w:t>
      </w:r>
      <w:r w:rsidR="00DC43E9">
        <w:rPr>
          <w:bCs/>
          <w:iCs/>
        </w:rPr>
        <w:t>andel i foderet</w:t>
      </w:r>
      <w:bookmarkEnd w:id="8"/>
      <w:r w:rsidRPr="0051499C">
        <w:rPr>
          <w:bCs/>
          <w:iCs/>
        </w:rPr>
        <w:t xml:space="preserve"> idet</w:t>
      </w:r>
      <w:r>
        <w:rPr>
          <w:bCs/>
          <w:iCs/>
        </w:rPr>
        <w:t xml:space="preserve"> det pga. økologireglerne kun er muligt i begrænset omfang. Desuden</w:t>
      </w:r>
      <w:r w:rsidRPr="0051499C">
        <w:rPr>
          <w:bCs/>
          <w:iCs/>
        </w:rPr>
        <w:t xml:space="preserve"> vurderede</w:t>
      </w:r>
      <w:r>
        <w:rPr>
          <w:bCs/>
          <w:iCs/>
        </w:rPr>
        <w:t xml:space="preserve"> man</w:t>
      </w:r>
      <w:r w:rsidRPr="0051499C">
        <w:rPr>
          <w:bCs/>
          <w:iCs/>
        </w:rPr>
        <w:t>, at ekstra fedt ville være meget omkostningstungt for økologerne, idet der samtidig vil være en meget begrænset yderligere effekt forbundet hermed</w:t>
      </w:r>
      <w:r>
        <w:rPr>
          <w:bCs/>
          <w:iCs/>
        </w:rPr>
        <w:t>, da der er tale om et begrænset antal dyr</w:t>
      </w:r>
      <w:r w:rsidRPr="0051499C">
        <w:rPr>
          <w:bCs/>
          <w:iCs/>
        </w:rPr>
        <w:t xml:space="preserve">. </w:t>
      </w:r>
      <w:r>
        <w:t>Fodersætningsstof indeholdende</w:t>
      </w:r>
      <w:r>
        <w:rPr>
          <w:bCs/>
          <w:iCs/>
        </w:rPr>
        <w:t xml:space="preserve"> 3-NOP</w:t>
      </w:r>
      <w:r w:rsidRPr="0051499C">
        <w:rPr>
          <w:bCs/>
          <w:iCs/>
        </w:rPr>
        <w:t xml:space="preserve"> er ikke godkendt til anvendelse i den økologiske produktion.</w:t>
      </w:r>
    </w:p>
    <w:p w14:paraId="2F78146C" w14:textId="77777777" w:rsidR="0051499C" w:rsidRDefault="0051499C" w:rsidP="0051499C"/>
    <w:p w14:paraId="15F4DDD6" w14:textId="6D5E4BD4" w:rsidR="0051499C" w:rsidRPr="00CF589F" w:rsidRDefault="0051499C" w:rsidP="0051499C">
      <w:r>
        <w:t>På denne baggrund foreslås det</w:t>
      </w:r>
      <w:r w:rsidR="00157669">
        <w:t>,</w:t>
      </w:r>
      <w:r>
        <w:t xml:space="preserve"> at foderkravet </w:t>
      </w:r>
      <w:r w:rsidRPr="00CF589F">
        <w:t xml:space="preserve">ikke </w:t>
      </w:r>
      <w:r>
        <w:t xml:space="preserve">gælder </w:t>
      </w:r>
      <w:r w:rsidRPr="00CF589F">
        <w:t>for malkekøer på husdyrbrug, der er certificeret eller under omlægning</w:t>
      </w:r>
      <w:r w:rsidR="00502FA6">
        <w:t xml:space="preserve"> </w:t>
      </w:r>
      <w:r w:rsidRPr="00CF589F">
        <w:t xml:space="preserve">til økologisk jordbrugsproduktion i henhold til forordning (EU) 2018/848 af 30. maj 2018 om økologisk produktion og mærkning af økologiske produkter. </w:t>
      </w:r>
    </w:p>
    <w:p w14:paraId="41157EE8" w14:textId="378ABD7A" w:rsidR="0051499C" w:rsidRDefault="0051499C" w:rsidP="0051499C"/>
    <w:p w14:paraId="07E957BC" w14:textId="2DBB74D2" w:rsidR="00D821E9" w:rsidRDefault="00D821E9" w:rsidP="0051499C">
      <w:r>
        <w:t>Samtidig foreslås det at justere den tilsvarende undtagelse for hyppig udslusning, jf. § 37, således det også der fremgår, at undtagelsen også gælder under omlægningen.</w:t>
      </w:r>
    </w:p>
    <w:p w14:paraId="2D8BB819" w14:textId="26616591" w:rsidR="0069474A" w:rsidRPr="001408A2" w:rsidRDefault="00DC43E9" w:rsidP="001408A2">
      <w:pPr>
        <w:pStyle w:val="Overskrift3"/>
        <w:numPr>
          <w:ilvl w:val="1"/>
          <w:numId w:val="17"/>
        </w:numPr>
        <w:rPr>
          <w:b w:val="0"/>
        </w:rPr>
      </w:pPr>
      <w:bookmarkStart w:id="9" w:name="_Toc166664928"/>
      <w:r>
        <w:rPr>
          <w:b w:val="0"/>
        </w:rPr>
        <w:t>Øget f</w:t>
      </w:r>
      <w:r w:rsidR="0069474A" w:rsidRPr="001408A2">
        <w:rPr>
          <w:b w:val="0"/>
        </w:rPr>
        <w:t>edt</w:t>
      </w:r>
      <w:r>
        <w:rPr>
          <w:b w:val="0"/>
        </w:rPr>
        <w:t xml:space="preserve">andel i foderet </w:t>
      </w:r>
      <w:r w:rsidR="00FF2F67" w:rsidRPr="001408A2">
        <w:rPr>
          <w:b w:val="0"/>
        </w:rPr>
        <w:t>(§</w:t>
      </w:r>
      <w:r w:rsidR="00E5261F">
        <w:rPr>
          <w:b w:val="0"/>
        </w:rPr>
        <w:t xml:space="preserve"> </w:t>
      </w:r>
      <w:r w:rsidR="00157669">
        <w:rPr>
          <w:b w:val="0"/>
        </w:rPr>
        <w:t>40</w:t>
      </w:r>
      <w:r w:rsidR="00FF2F67" w:rsidRPr="001408A2">
        <w:rPr>
          <w:b w:val="0"/>
        </w:rPr>
        <w:t>, stk. 3)</w:t>
      </w:r>
      <w:bookmarkEnd w:id="9"/>
    </w:p>
    <w:p w14:paraId="7004FEEF" w14:textId="77777777" w:rsidR="00F50290" w:rsidRDefault="00F50290" w:rsidP="0069474A"/>
    <w:p w14:paraId="4557D46B" w14:textId="11ADE066" w:rsidR="00F67790" w:rsidRDefault="00F412AB" w:rsidP="0069474A">
      <w:r>
        <w:t>Hvis kravet opfyldes v</w:t>
      </w:r>
      <w:r w:rsidRPr="00B04BA9">
        <w:t>ed tildeling af fedtsyrer</w:t>
      </w:r>
      <w:r w:rsidR="00A15AE5">
        <w:t>,</w:t>
      </w:r>
      <w:r w:rsidRPr="00B04BA9">
        <w:t xml:space="preserve"> skal den samlede daglige foderration, som malkekoen tildeles</w:t>
      </w:r>
      <w:r w:rsidR="00A15AE5">
        <w:t>,</w:t>
      </w:r>
      <w:r w:rsidRPr="00B04BA9">
        <w:t xml:space="preserve"> indeholde mindst 48 g fedtsyrer pr. kg </w:t>
      </w:r>
      <w:r w:rsidRPr="00B04BA9">
        <w:lastRenderedPageBreak/>
        <w:t>tørstof.</w:t>
      </w:r>
      <w:r>
        <w:t xml:space="preserve"> </w:t>
      </w:r>
      <w:r w:rsidR="00F67790">
        <w:t xml:space="preserve">Dette niveau er fremkommet </w:t>
      </w:r>
      <w:r w:rsidR="0051499C">
        <w:t xml:space="preserve">under hensyntagen til på den ene side den metanreducerende effekt på den anden side hensynet til dyresundhed og dyrevelfærd. </w:t>
      </w:r>
      <w:r w:rsidR="0051499C" w:rsidRPr="001E1726">
        <w:t>Niveauet er endeligt fastsat med inddragelse af AU</w:t>
      </w:r>
      <w:r w:rsidR="00DC71C9" w:rsidRPr="001E1726">
        <w:t xml:space="preserve"> og med baggrund i seneste klimavirkemiddelkatalog</w:t>
      </w:r>
      <w:r w:rsidR="00316F2B" w:rsidRPr="001E1726">
        <w:rPr>
          <w:rStyle w:val="Fodnotehenvisning"/>
        </w:rPr>
        <w:footnoteReference w:id="2"/>
      </w:r>
      <w:r w:rsidR="0051499C" w:rsidRPr="001E1726">
        <w:t>.</w:t>
      </w:r>
      <w:r w:rsidR="0051499C">
        <w:t xml:space="preserve"> </w:t>
      </w:r>
    </w:p>
    <w:p w14:paraId="31DFBA7B" w14:textId="77777777" w:rsidR="00F67790" w:rsidRDefault="00F67790" w:rsidP="0069474A"/>
    <w:p w14:paraId="7E474256" w14:textId="42F1E11B" w:rsidR="00F412AB" w:rsidRDefault="008A3CD9" w:rsidP="0069474A">
      <w:r w:rsidRPr="001A3156">
        <w:t>Kravet g</w:t>
      </w:r>
      <w:r w:rsidRPr="001A3156">
        <w:rPr>
          <w:rFonts w:hint="eastAsia"/>
        </w:rPr>
        <w:t>æ</w:t>
      </w:r>
      <w:r w:rsidRPr="001A3156">
        <w:t>lder ikke for den andel af foderrationen, som malkekoen indtager som frisk gr</w:t>
      </w:r>
      <w:r w:rsidRPr="001A3156">
        <w:rPr>
          <w:rFonts w:hint="eastAsia"/>
        </w:rPr>
        <w:t>æ</w:t>
      </w:r>
      <w:r w:rsidRPr="001A3156">
        <w:t>s i marken.</w:t>
      </w:r>
      <w:r w:rsidR="009E38A1">
        <w:t xml:space="preserve"> Baggrunden herfor er</w:t>
      </w:r>
      <w:r w:rsidR="0036576D">
        <w:t>,</w:t>
      </w:r>
      <w:r w:rsidR="00CB190B">
        <w:t xml:space="preserve"> at friskt græs, som koen optager under afgræsning, ikke kan iblandes fedt</w:t>
      </w:r>
      <w:r w:rsidR="00CB190B" w:rsidRPr="00CB190B">
        <w:t>.</w:t>
      </w:r>
      <w:r w:rsidR="00F50290" w:rsidRPr="00CB190B">
        <w:t xml:space="preserve"> Det indebærer, at malkekøer</w:t>
      </w:r>
      <w:r w:rsidR="00157669">
        <w:t>,</w:t>
      </w:r>
      <w:r w:rsidR="00F50290" w:rsidRPr="00CB190B">
        <w:t xml:space="preserve"> der dele af året er på græs</w:t>
      </w:r>
      <w:r w:rsidR="00A15AE5" w:rsidRPr="00CB190B">
        <w:t>,</w:t>
      </w:r>
      <w:r w:rsidR="00F50290" w:rsidRPr="00CB190B">
        <w:t xml:space="preserve"> alene skal </w:t>
      </w:r>
      <w:r w:rsidR="00157669">
        <w:t xml:space="preserve">tildeles </w:t>
      </w:r>
      <w:r w:rsidR="00F50290" w:rsidRPr="00CB190B">
        <w:t>fode</w:t>
      </w:r>
      <w:r w:rsidR="00157669">
        <w:t>r</w:t>
      </w:r>
      <w:r w:rsidR="00F50290" w:rsidRPr="00CB190B">
        <w:t xml:space="preserve"> </w:t>
      </w:r>
      <w:r w:rsidR="00157669" w:rsidRPr="00B04BA9">
        <w:t>indeholde mindst 48 g fedtsyrer pr. kg tørstof</w:t>
      </w:r>
      <w:r w:rsidR="00157669">
        <w:t xml:space="preserve"> </w:t>
      </w:r>
      <w:proofErr w:type="spellStart"/>
      <w:r w:rsidR="00157669">
        <w:t>fsv</w:t>
      </w:r>
      <w:proofErr w:type="spellEnd"/>
      <w:r w:rsidR="00157669">
        <w:t xml:space="preserve">. angår den foderration, </w:t>
      </w:r>
      <w:r w:rsidR="00F50290" w:rsidRPr="00CB190B">
        <w:t xml:space="preserve">de </w:t>
      </w:r>
      <w:r w:rsidR="00157669">
        <w:t xml:space="preserve">i </w:t>
      </w:r>
      <w:r w:rsidR="00F50290" w:rsidRPr="00CB190B">
        <w:t>græsning</w:t>
      </w:r>
      <w:r w:rsidR="00DC71C9">
        <w:t>sperioden</w:t>
      </w:r>
      <w:r w:rsidR="00F50290" w:rsidRPr="00CB190B">
        <w:t xml:space="preserve"> indtager på stald.</w:t>
      </w:r>
      <w:r w:rsidR="00F50290">
        <w:t xml:space="preserve"> </w:t>
      </w:r>
    </w:p>
    <w:p w14:paraId="6DEA9CC3" w14:textId="5C8CE93D" w:rsidR="0069474A" w:rsidRDefault="0069474A" w:rsidP="00F412AB"/>
    <w:p w14:paraId="21D96C7E" w14:textId="703086E2" w:rsidR="001A3156" w:rsidRPr="001408A2" w:rsidRDefault="0069474A" w:rsidP="001408A2">
      <w:pPr>
        <w:pStyle w:val="Overskrift3"/>
        <w:numPr>
          <w:ilvl w:val="1"/>
          <w:numId w:val="17"/>
        </w:numPr>
        <w:rPr>
          <w:b w:val="0"/>
        </w:rPr>
      </w:pPr>
      <w:bookmarkStart w:id="10" w:name="_Toc166664929"/>
      <w:r w:rsidRPr="001408A2">
        <w:rPr>
          <w:b w:val="0"/>
        </w:rPr>
        <w:t xml:space="preserve">Anvendelse af </w:t>
      </w:r>
      <w:r w:rsidR="00DC43E9">
        <w:rPr>
          <w:b w:val="0"/>
        </w:rPr>
        <w:t xml:space="preserve">fodertilsætningsstoffer indeholdende </w:t>
      </w:r>
      <w:r w:rsidRPr="001408A2">
        <w:rPr>
          <w:b w:val="0"/>
        </w:rPr>
        <w:t>aktivstoffet 3-NOP</w:t>
      </w:r>
      <w:r w:rsidR="00FF2F67" w:rsidRPr="001408A2">
        <w:rPr>
          <w:b w:val="0"/>
        </w:rPr>
        <w:t xml:space="preserve"> (§ </w:t>
      </w:r>
      <w:r w:rsidR="00E5261F">
        <w:rPr>
          <w:b w:val="0"/>
        </w:rPr>
        <w:t>40</w:t>
      </w:r>
      <w:r w:rsidR="00FF2F67" w:rsidRPr="001408A2">
        <w:rPr>
          <w:b w:val="0"/>
        </w:rPr>
        <w:t>, stk. 4)</w:t>
      </w:r>
      <w:bookmarkEnd w:id="10"/>
    </w:p>
    <w:p w14:paraId="618F6B7C" w14:textId="77777777" w:rsidR="0064547C" w:rsidRDefault="0064547C" w:rsidP="0064547C">
      <w:pPr>
        <w:pStyle w:val="Listeafsnit"/>
        <w:ind w:left="1080"/>
      </w:pPr>
    </w:p>
    <w:p w14:paraId="12E90964" w14:textId="3C3B17C0" w:rsidR="00DE6A54" w:rsidRDefault="0069474A" w:rsidP="0069474A">
      <w:r>
        <w:t>Hvis kravet opfyldes v</w:t>
      </w:r>
      <w:r w:rsidRPr="00B04BA9">
        <w:t>ed tildeling af fodertilsætningsstoffer indeholdende aktivstoffet 3-NOP, skal den samlede daglige foderration indeholde mindst 60 mg 3-NOP</w:t>
      </w:r>
      <w:r w:rsidRPr="00B04BA9" w:rsidDel="00611D1E">
        <w:t xml:space="preserve"> </w:t>
      </w:r>
      <w:r w:rsidRPr="00B04BA9">
        <w:t>pr. kg tørstof</w:t>
      </w:r>
      <w:r>
        <w:t>.</w:t>
      </w:r>
      <w:r w:rsidRPr="00CF589F">
        <w:t xml:space="preserve"> </w:t>
      </w:r>
      <w:r w:rsidR="00DE6A54" w:rsidRPr="001A3156">
        <w:t>Fodertils</w:t>
      </w:r>
      <w:r w:rsidR="00DE6A54" w:rsidRPr="001A3156">
        <w:rPr>
          <w:rFonts w:hint="eastAsia"/>
        </w:rPr>
        <w:t>æ</w:t>
      </w:r>
      <w:r w:rsidR="00DE6A54" w:rsidRPr="001A3156">
        <w:t>tningsstoffer indeholdende aktivstoffet 3</w:t>
      </w:r>
      <w:r w:rsidR="00DC43E9">
        <w:t>-</w:t>
      </w:r>
      <w:r w:rsidR="00DE6A54" w:rsidRPr="001A3156">
        <w:t>NOP skal v</w:t>
      </w:r>
      <w:r w:rsidR="00DE6A54" w:rsidRPr="001A3156">
        <w:rPr>
          <w:rFonts w:hint="eastAsia"/>
        </w:rPr>
        <w:t>æ</w:t>
      </w:r>
      <w:r w:rsidR="00DE6A54" w:rsidRPr="001A3156">
        <w:t xml:space="preserve">re godkendt af EU til brug for reduktion af </w:t>
      </w:r>
      <w:r w:rsidR="00E5261F">
        <w:t xml:space="preserve">metan </w:t>
      </w:r>
      <w:r w:rsidR="00DE6A54" w:rsidRPr="001A3156">
        <w:t>fra malkek</w:t>
      </w:r>
      <w:r w:rsidR="00DE6A54" w:rsidRPr="001A3156">
        <w:rPr>
          <w:rFonts w:hint="eastAsia"/>
        </w:rPr>
        <w:t>ø</w:t>
      </w:r>
      <w:r w:rsidR="00DE6A54" w:rsidRPr="001A3156">
        <w:t>ers ford</w:t>
      </w:r>
      <w:r w:rsidR="00DE6A54" w:rsidRPr="001A3156">
        <w:rPr>
          <w:rFonts w:hint="eastAsia"/>
        </w:rPr>
        <w:t>ø</w:t>
      </w:r>
      <w:r w:rsidR="00DE6A54" w:rsidRPr="001A3156">
        <w:t>jelsessystem</w:t>
      </w:r>
      <w:r w:rsidR="008A3CD9">
        <w:t>.</w:t>
      </w:r>
      <w:r w:rsidR="009E38A1">
        <w:t xml:space="preserve"> For indeværende er det alene fodertilsætnings</w:t>
      </w:r>
      <w:r w:rsidR="00AF23FF">
        <w:t>stoffet</w:t>
      </w:r>
      <w:r w:rsidR="009E38A1">
        <w:t xml:space="preserve"> Bovaer, der opfylder denne betingelse. </w:t>
      </w:r>
    </w:p>
    <w:p w14:paraId="2C3BAFB9" w14:textId="7967BCFB" w:rsidR="00DE6A54" w:rsidRDefault="00DE6A54" w:rsidP="0069474A"/>
    <w:p w14:paraId="5A8919F2" w14:textId="6DBD4B5E" w:rsidR="00DC43E9" w:rsidRDefault="00DC43E9" w:rsidP="00DC43E9">
      <w:r>
        <w:t>Niveauet på mindst 60 mg 3-NOP er fremkommet på baggrund af, at AU i forlængelse af EU-godkendelsen af stoffet har gennemført to forsøg under danske forhold. Den gennemsnitlige reduktion af metanudledningen i de to forsøg var hhv. 33,0 pct. og 34,6 pct. På den baggrund af d</w:t>
      </w:r>
      <w:r w:rsidR="00B93E2C">
        <w:t>isse</w:t>
      </w:r>
      <w:r>
        <w:t xml:space="preserve"> resultater</w:t>
      </w:r>
      <w:r w:rsidR="00B265CE">
        <w:t>,</w:t>
      </w:r>
      <w:r>
        <w:t xml:space="preserve"> </w:t>
      </w:r>
      <w:r w:rsidR="00AF23FF">
        <w:t xml:space="preserve">og resultater fra udenlandske forsøg </w:t>
      </w:r>
      <w:r>
        <w:t>sammenholdt med viden om praksis i malkekvægsbedrifterne</w:t>
      </w:r>
      <w:r w:rsidR="00B265CE">
        <w:t>,</w:t>
      </w:r>
      <w:r>
        <w:t xml:space="preserve"> har AU estimeret, at den opnåelige effekt for en årsko er 27 pct. Derfor lægges dette til grund for et krav. Det betyder, at en landmand principielt kan nå målet for malkekøer ved tildeling af 60 </w:t>
      </w:r>
      <w:r w:rsidRPr="003F6DD8">
        <w:t xml:space="preserve">mg </w:t>
      </w:r>
      <w:r w:rsidR="008E210C">
        <w:t xml:space="preserve">3-NOP </w:t>
      </w:r>
      <w:r w:rsidRPr="003F6DD8">
        <w:t xml:space="preserve">/kg </w:t>
      </w:r>
      <w:r w:rsidR="00DC54F0">
        <w:t xml:space="preserve">tørstof </w:t>
      </w:r>
      <w:r w:rsidRPr="003F6DD8">
        <w:t xml:space="preserve">i </w:t>
      </w:r>
      <w:r w:rsidRPr="00614DAD">
        <w:t xml:space="preserve">cirka </w:t>
      </w:r>
      <w:r>
        <w:t>90</w:t>
      </w:r>
      <w:r w:rsidRPr="003F6DD8">
        <w:t xml:space="preserve"> dage om året</w:t>
      </w:r>
      <w:r>
        <w:t>.</w:t>
      </w:r>
    </w:p>
    <w:p w14:paraId="435544D1" w14:textId="77777777" w:rsidR="00DC43E9" w:rsidRDefault="00DC43E9" w:rsidP="00DC43E9"/>
    <w:p w14:paraId="715FDA3B" w14:textId="23FD160C" w:rsidR="008A3CD9" w:rsidRPr="001A3156" w:rsidRDefault="0069474A" w:rsidP="001A3156">
      <w:r w:rsidRPr="0069474A">
        <w:t>Tildeling skal ske minimum 30 sammenhængende dag</w:t>
      </w:r>
      <w:r w:rsidR="00A15AE5">
        <w:t>e</w:t>
      </w:r>
      <w:r w:rsidRPr="0069474A">
        <w:t xml:space="preserve"> ad gangen og i en samlet periode på i alt 90 dage inden</w:t>
      </w:r>
      <w:r w:rsidR="00AF23FF">
        <w:t xml:space="preserve"> </w:t>
      </w:r>
      <w:r w:rsidRPr="0069474A">
        <w:t xml:space="preserve">for samme kalenderår. </w:t>
      </w:r>
      <w:bookmarkStart w:id="11" w:name="_Hlk166593392"/>
      <w:r w:rsidR="0045179E">
        <w:t xml:space="preserve">De 30 dage er </w:t>
      </w:r>
      <w:r w:rsidR="00A81267">
        <w:t>fastsat f</w:t>
      </w:r>
      <w:r w:rsidR="0045179E">
        <w:t xml:space="preserve">or at begrænse </w:t>
      </w:r>
      <w:r w:rsidR="00CF33B1">
        <w:t xml:space="preserve">risiko for </w:t>
      </w:r>
      <w:r w:rsidR="0045179E">
        <w:t xml:space="preserve">fortynding </w:t>
      </w:r>
      <w:r w:rsidR="00D821E9">
        <w:t xml:space="preserve">af aktivstoffet ved opblanding af små mængder </w:t>
      </w:r>
      <w:r w:rsidR="00CF33B1">
        <w:t xml:space="preserve">og </w:t>
      </w:r>
      <w:r w:rsidR="00A81267">
        <w:t xml:space="preserve">for at </w:t>
      </w:r>
      <w:r w:rsidR="00CF33B1">
        <w:t xml:space="preserve">understøtte </w:t>
      </w:r>
      <w:r w:rsidR="0045179E">
        <w:t>kontrolsituation</w:t>
      </w:r>
      <w:r w:rsidR="00CF33B1">
        <w:t>en</w:t>
      </w:r>
      <w:r w:rsidR="005B6B3F">
        <w:t xml:space="preserve">. </w:t>
      </w:r>
      <w:bookmarkEnd w:id="11"/>
      <w:r w:rsidR="008A3CD9" w:rsidRPr="001A3156">
        <w:t>P</w:t>
      </w:r>
      <w:r w:rsidR="008A3CD9" w:rsidRPr="001A3156">
        <w:rPr>
          <w:rFonts w:hint="eastAsia"/>
        </w:rPr>
        <w:t>å</w:t>
      </w:r>
      <w:r w:rsidR="008A3CD9" w:rsidRPr="001A3156">
        <w:t xml:space="preserve"> husdyrbrug med malkek</w:t>
      </w:r>
      <w:r w:rsidR="008A3CD9" w:rsidRPr="001A3156">
        <w:rPr>
          <w:rFonts w:hint="eastAsia"/>
        </w:rPr>
        <w:t>ø</w:t>
      </w:r>
      <w:r w:rsidR="008A3CD9" w:rsidRPr="001A3156">
        <w:t>er, der anvender afgr</w:t>
      </w:r>
      <w:r w:rsidR="008A3CD9" w:rsidRPr="001A3156">
        <w:rPr>
          <w:rFonts w:hint="eastAsia"/>
        </w:rPr>
        <w:t>æ</w:t>
      </w:r>
      <w:r w:rsidR="008A3CD9" w:rsidRPr="001A3156">
        <w:t>sning, skal tildeling af 3-NOP ske indenfor m</w:t>
      </w:r>
      <w:r w:rsidR="008A3CD9" w:rsidRPr="001A3156">
        <w:rPr>
          <w:rFonts w:hint="eastAsia"/>
        </w:rPr>
        <w:t>å</w:t>
      </w:r>
      <w:r w:rsidR="008A3CD9" w:rsidRPr="001A3156">
        <w:t>nederne januar-</w:t>
      </w:r>
      <w:r w:rsidR="00DC54F0">
        <w:t xml:space="preserve">marts </w:t>
      </w:r>
      <w:r w:rsidR="008A3CD9" w:rsidRPr="001A3156">
        <w:t xml:space="preserve">og </w:t>
      </w:r>
      <w:r w:rsidR="00DC54F0">
        <w:t>oktober</w:t>
      </w:r>
      <w:r w:rsidR="008A3CD9" w:rsidRPr="001A3156">
        <w:t>-december.</w:t>
      </w:r>
      <w:r w:rsidR="009E38A1">
        <w:t xml:space="preserve"> Baggrunden herfor er, at fodring med </w:t>
      </w:r>
      <w:r w:rsidR="00CB190B">
        <w:t xml:space="preserve">3-NOP </w:t>
      </w:r>
      <w:r w:rsidR="009E38A1">
        <w:t xml:space="preserve">ikke kan ske i perioder, hvor dyrene er på græs, hvorfor tildelingen må ske i sammenhængende perioder </w:t>
      </w:r>
      <w:r w:rsidR="00017C0E">
        <w:t>uden</w:t>
      </w:r>
      <w:r w:rsidR="00AF23FF">
        <w:t xml:space="preserve"> </w:t>
      </w:r>
      <w:r w:rsidR="00017C0E">
        <w:t>for græsningssæsonen</w:t>
      </w:r>
      <w:r w:rsidR="009E38A1">
        <w:t xml:space="preserve">, hvor dyrene er på stald. </w:t>
      </w:r>
    </w:p>
    <w:p w14:paraId="33F7E374" w14:textId="481DC1ED" w:rsidR="004C6FE8" w:rsidRPr="001408A2" w:rsidRDefault="004C6FE8" w:rsidP="001408A2">
      <w:pPr>
        <w:pStyle w:val="Overskrift3"/>
        <w:numPr>
          <w:ilvl w:val="1"/>
          <w:numId w:val="17"/>
        </w:numPr>
        <w:rPr>
          <w:b w:val="0"/>
        </w:rPr>
      </w:pPr>
      <w:bookmarkStart w:id="12" w:name="_Toc166664930"/>
      <w:r w:rsidRPr="001408A2">
        <w:rPr>
          <w:b w:val="0"/>
        </w:rPr>
        <w:t xml:space="preserve">Krav om </w:t>
      </w:r>
      <w:r w:rsidR="001E1726">
        <w:rPr>
          <w:b w:val="0"/>
        </w:rPr>
        <w:t>dokumentation</w:t>
      </w:r>
      <w:r w:rsidR="00FF2F67" w:rsidRPr="001408A2">
        <w:rPr>
          <w:b w:val="0"/>
        </w:rPr>
        <w:t xml:space="preserve"> (§ 4</w:t>
      </w:r>
      <w:r w:rsidR="00D5347C">
        <w:rPr>
          <w:b w:val="0"/>
        </w:rPr>
        <w:t>1</w:t>
      </w:r>
      <w:r w:rsidR="00E85CBD">
        <w:rPr>
          <w:b w:val="0"/>
        </w:rPr>
        <w:t>, stk. 1</w:t>
      </w:r>
      <w:r w:rsidR="00FF2F67" w:rsidRPr="001408A2">
        <w:rPr>
          <w:b w:val="0"/>
        </w:rPr>
        <w:t>)</w:t>
      </w:r>
      <w:bookmarkEnd w:id="12"/>
    </w:p>
    <w:p w14:paraId="7E226B5D" w14:textId="77777777" w:rsidR="0061566D" w:rsidRDefault="0061566D" w:rsidP="00CF589F"/>
    <w:p w14:paraId="4F926D2D" w14:textId="27FE05EA" w:rsidR="00F412AB" w:rsidRDefault="004C6FE8" w:rsidP="00CF589F">
      <w:r>
        <w:t>Det foreslå</w:t>
      </w:r>
      <w:r w:rsidR="00CF589F">
        <w:t>s</w:t>
      </w:r>
      <w:r>
        <w:t xml:space="preserve">, at </w:t>
      </w:r>
      <w:r w:rsidR="00CF589F">
        <w:t>d</w:t>
      </w:r>
      <w:r w:rsidR="00F412AB" w:rsidRPr="00CF589F">
        <w:t xml:space="preserve">en ansvarlige for driften skal </w:t>
      </w:r>
      <w:r w:rsidR="001E1726">
        <w:t xml:space="preserve">kunne </w:t>
      </w:r>
      <w:r w:rsidR="001E1726" w:rsidRPr="001E1726">
        <w:t xml:space="preserve">forevise relevant dokumentation, der viser, at kravet i § 40 er overholdt, herunder dokumentation for indkøb </w:t>
      </w:r>
      <w:r w:rsidR="001E6E6A">
        <w:t xml:space="preserve">f.eks. </w:t>
      </w:r>
      <w:r w:rsidR="001E1726" w:rsidRPr="001E1726">
        <w:t xml:space="preserve">i form af fakturaer og fysisk lagerbeholdning, samt anden dokumentation for anvendt dosis og fodermængde, herunder for eksempel </w:t>
      </w:r>
      <w:r w:rsidR="001E1726" w:rsidRPr="001E1726">
        <w:lastRenderedPageBreak/>
        <w:t>blanderecepter, foderplaner, foderkontroller, opgørelser over forbrugt foder, analyser eller anden tilsvarende dokumentation.</w:t>
      </w:r>
      <w:r w:rsidR="00CF589F">
        <w:t xml:space="preserve"> </w:t>
      </w:r>
      <w:r w:rsidR="001E1726">
        <w:t>D</w:t>
      </w:r>
      <w:r w:rsidR="00F412AB" w:rsidRPr="00CF589F">
        <w:t>okumentation</w:t>
      </w:r>
      <w:r w:rsidR="001E1726">
        <w:t>en skal</w:t>
      </w:r>
      <w:r w:rsidR="00F412AB" w:rsidRPr="00CF589F">
        <w:t xml:space="preserve"> vise, at dyrene fodres i overensstemmelse med </w:t>
      </w:r>
      <w:r w:rsidR="00CF589F">
        <w:t>de nye regler</w:t>
      </w:r>
      <w:r w:rsidR="00F412AB" w:rsidRPr="00CF589F">
        <w:t xml:space="preserve">. Den ansvarlige for driften skal opbevare relevant dokumentation for forbrugt foder, </w:t>
      </w:r>
      <w:r w:rsidR="001E6E6A">
        <w:t>f.eks.</w:t>
      </w:r>
      <w:r w:rsidR="00F412AB" w:rsidRPr="00CF589F">
        <w:t xml:space="preserve"> fakturaer, i 5 år og kunne forevise </w:t>
      </w:r>
      <w:r w:rsidR="001E6E6A">
        <w:t xml:space="preserve">dokumentation </w:t>
      </w:r>
      <w:r w:rsidR="00F412AB" w:rsidRPr="00CF589F">
        <w:t>på forlangende i forbindelse med kontrol.</w:t>
      </w:r>
    </w:p>
    <w:p w14:paraId="41CE5F50" w14:textId="5C90BA48" w:rsidR="00E85CBD" w:rsidRDefault="00E85CBD" w:rsidP="00CF589F"/>
    <w:p w14:paraId="37474030" w14:textId="46104274" w:rsidR="00E85CBD" w:rsidRDefault="00E85CBD" w:rsidP="00E85CBD">
      <w:pPr>
        <w:pStyle w:val="Listeafsnit"/>
        <w:numPr>
          <w:ilvl w:val="1"/>
          <w:numId w:val="17"/>
        </w:numPr>
      </w:pPr>
      <w:r>
        <w:t>Delegation af tilsynsbeføjelse til Fødevarestyrelsen (§ 41, stk. 2)</w:t>
      </w:r>
    </w:p>
    <w:p w14:paraId="0CC35B70" w14:textId="18C1BE97" w:rsidR="00E85CBD" w:rsidRDefault="00E85CBD" w:rsidP="00E85CBD"/>
    <w:p w14:paraId="5BB95E3A" w14:textId="03D36121" w:rsidR="00E85CBD" w:rsidRDefault="00E85CBD" w:rsidP="00E85CBD">
      <w:r>
        <w:t xml:space="preserve">Det foreslås, at kommunalbestyrelsens kompetencer til at føre tilsyn med at kravene i § 40 og § 41, stk. 1, jf. husdyrbruglovens § 44, stk. 1, overholdes, overføres til Fødevarestyrelsen. Delegationen omfatter </w:t>
      </w:r>
      <w:r w:rsidRPr="00E85CBD">
        <w:t>de rettigheder og pligter, som en tilsynsmyndighed har efter kap</w:t>
      </w:r>
      <w:r>
        <w:t>itel</w:t>
      </w:r>
      <w:r w:rsidRPr="00E85CBD">
        <w:t xml:space="preserve"> 5 i husdyrbrugloven, herunder ift. håndhævelse.</w:t>
      </w:r>
    </w:p>
    <w:p w14:paraId="0283C568" w14:textId="178666F7" w:rsidR="00FF2F67" w:rsidRPr="001408A2" w:rsidRDefault="00FF2F67" w:rsidP="001408A2">
      <w:pPr>
        <w:pStyle w:val="Overskrift3"/>
        <w:numPr>
          <w:ilvl w:val="1"/>
          <w:numId w:val="17"/>
        </w:numPr>
        <w:rPr>
          <w:b w:val="0"/>
        </w:rPr>
      </w:pPr>
      <w:bookmarkStart w:id="13" w:name="_Toc166664931"/>
      <w:bookmarkEnd w:id="4"/>
      <w:r w:rsidRPr="001408A2">
        <w:rPr>
          <w:b w:val="0"/>
        </w:rPr>
        <w:t>Nye strafregler</w:t>
      </w:r>
      <w:r w:rsidR="00A15AE5">
        <w:rPr>
          <w:b w:val="0"/>
        </w:rPr>
        <w:t xml:space="preserve"> (§ 78)</w:t>
      </w:r>
      <w:bookmarkEnd w:id="13"/>
    </w:p>
    <w:p w14:paraId="15A8737C" w14:textId="77777777" w:rsidR="00FF2F67" w:rsidRDefault="00FF2F67" w:rsidP="00FF2F67">
      <w:pPr>
        <w:autoSpaceDE w:val="0"/>
        <w:autoSpaceDN w:val="0"/>
        <w:adjustRightInd w:val="0"/>
        <w:spacing w:line="240" w:lineRule="auto"/>
        <w:rPr>
          <w:rFonts w:cs="Georgia"/>
          <w:color w:val="000000"/>
        </w:rPr>
      </w:pPr>
    </w:p>
    <w:p w14:paraId="4C20CD3A" w14:textId="21E9C4B1" w:rsidR="00FF2F67" w:rsidRPr="00856BFC" w:rsidRDefault="00FF2F67" w:rsidP="00AE4D0F">
      <w:r w:rsidRPr="00FF2F67">
        <w:t xml:space="preserve">Det følger af husdyrbruglovens nye bemyndigelsesbestemmelse i § 35, som </w:t>
      </w:r>
      <w:r w:rsidR="00AE4D0F">
        <w:t xml:space="preserve">danner grundlag for de foreslåede regler, </w:t>
      </w:r>
      <w:r w:rsidRPr="00FF2F67">
        <w:t xml:space="preserve">at der skal indsættes en regel om straf for overtrædelse af </w:t>
      </w:r>
      <w:r w:rsidR="00A80508">
        <w:t xml:space="preserve">de nye </w:t>
      </w:r>
      <w:r w:rsidRPr="00FF2F67">
        <w:t xml:space="preserve">krav </w:t>
      </w:r>
      <w:r w:rsidR="00A80508">
        <w:t xml:space="preserve">om reduktion af drivhusgasudledning fra husdyrbrug, herunder de foreslåede foderkrav. </w:t>
      </w:r>
      <w:r w:rsidRPr="00856BFC">
        <w:t xml:space="preserve">Dette </w:t>
      </w:r>
      <w:r w:rsidR="00AE4D0F" w:rsidRPr="00856BFC">
        <w:t xml:space="preserve">foreslås </w:t>
      </w:r>
      <w:r w:rsidRPr="00856BFC">
        <w:t xml:space="preserve">indarbejdes i </w:t>
      </w:r>
      <w:r w:rsidR="00AE4D0F" w:rsidRPr="00856BFC">
        <w:t xml:space="preserve">bekendtgørelsens </w:t>
      </w:r>
      <w:r w:rsidRPr="00856BFC">
        <w:t>§ 7</w:t>
      </w:r>
      <w:r w:rsidR="00A80508" w:rsidRPr="00856BFC">
        <w:t>8.</w:t>
      </w:r>
    </w:p>
    <w:p w14:paraId="202B6E14" w14:textId="3D2ABC73" w:rsidR="00A80508" w:rsidRPr="00A80508" w:rsidRDefault="00A80508" w:rsidP="00AE4D0F"/>
    <w:p w14:paraId="08B064CF" w14:textId="57359961" w:rsidR="00FF2F67" w:rsidRPr="00CF589F" w:rsidRDefault="00A80508" w:rsidP="00856BFC">
      <w:r w:rsidRPr="00A80508">
        <w:t>Det foreslås</w:t>
      </w:r>
      <w:r>
        <w:t xml:space="preserve"> således, der i § 78, stk. 1, indsættes et nyt nr. </w:t>
      </w:r>
      <w:r w:rsidR="00856BFC">
        <w:t xml:space="preserve">5 og 6, hvorefter det er strafbart at udlade at fodre i overensstemmelse med reglerne i § </w:t>
      </w:r>
      <w:r w:rsidR="00D5347C">
        <w:t>40</w:t>
      </w:r>
      <w:r w:rsidR="00856BFC">
        <w:t xml:space="preserve"> og at tilsidesætte reglerne om </w:t>
      </w:r>
      <w:r w:rsidR="00D72657">
        <w:t xml:space="preserve">dokumentation </w:t>
      </w:r>
      <w:r w:rsidR="00856BFC">
        <w:t>efter § 4</w:t>
      </w:r>
      <w:r w:rsidR="00D5347C">
        <w:t>1</w:t>
      </w:r>
      <w:r w:rsidR="00856BFC">
        <w:t xml:space="preserve">. </w:t>
      </w:r>
    </w:p>
    <w:p w14:paraId="6CF172F3" w14:textId="599E3413" w:rsidR="00401A54" w:rsidRDefault="00401A54" w:rsidP="00401A54">
      <w:pPr>
        <w:jc w:val="both"/>
        <w:rPr>
          <w:rFonts w:asciiTheme="minorHAnsi" w:eastAsia="Calibri" w:hAnsiTheme="minorHAnsi" w:cstheme="minorHAnsi"/>
        </w:rPr>
      </w:pPr>
    </w:p>
    <w:p w14:paraId="25409159" w14:textId="07CB30C5" w:rsidR="009D7498" w:rsidRPr="001408A2" w:rsidRDefault="009D7498" w:rsidP="001408A2">
      <w:pPr>
        <w:pStyle w:val="Overskrift3"/>
        <w:numPr>
          <w:ilvl w:val="1"/>
          <w:numId w:val="17"/>
        </w:numPr>
        <w:rPr>
          <w:rFonts w:eastAsia="Calibri"/>
          <w:b w:val="0"/>
        </w:rPr>
      </w:pPr>
      <w:bookmarkStart w:id="14" w:name="_Toc166664932"/>
      <w:r w:rsidRPr="001408A2">
        <w:rPr>
          <w:rFonts w:eastAsia="Calibri"/>
          <w:b w:val="0"/>
        </w:rPr>
        <w:t>Ikrafttrædelse</w:t>
      </w:r>
      <w:bookmarkEnd w:id="14"/>
    </w:p>
    <w:p w14:paraId="15B6C855" w14:textId="0A46BAB5" w:rsidR="009D7498" w:rsidRPr="0082258D" w:rsidRDefault="009D7498" w:rsidP="009D7498">
      <w:pPr>
        <w:rPr>
          <w:bCs/>
          <w:szCs w:val="22"/>
        </w:rPr>
      </w:pPr>
    </w:p>
    <w:p w14:paraId="203023BF" w14:textId="3F4396B6" w:rsidR="009D7498" w:rsidRDefault="009D7498" w:rsidP="009D7498">
      <w:pPr>
        <w:rPr>
          <w:szCs w:val="22"/>
        </w:rPr>
      </w:pPr>
      <w:r>
        <w:rPr>
          <w:szCs w:val="22"/>
        </w:rPr>
        <w:t>Det foreslås, at de nye foderkrav mv. træder i kraft 1. januar 2025, som forudsat ifm</w:t>
      </w:r>
      <w:r w:rsidR="00AF23FF">
        <w:rPr>
          <w:szCs w:val="22"/>
        </w:rPr>
        <w:t>.</w:t>
      </w:r>
      <w:r>
        <w:rPr>
          <w:szCs w:val="22"/>
        </w:rPr>
        <w:t xml:space="preserve"> indgåelse af landbrugsaftalen.</w:t>
      </w:r>
    </w:p>
    <w:p w14:paraId="0E5B9D50" w14:textId="6BAECB72" w:rsidR="00325BE5" w:rsidRDefault="00325BE5" w:rsidP="009D7498">
      <w:pPr>
        <w:rPr>
          <w:szCs w:val="22"/>
        </w:rPr>
      </w:pPr>
    </w:p>
    <w:p w14:paraId="279FCF34" w14:textId="1EF9A17B" w:rsidR="00D5347C" w:rsidRDefault="00D5347C" w:rsidP="00D5347C">
      <w:pPr>
        <w:rPr>
          <w:szCs w:val="22"/>
        </w:rPr>
      </w:pPr>
      <w:r>
        <w:rPr>
          <w:szCs w:val="22"/>
        </w:rPr>
        <w:t xml:space="preserve">Den foreslåede regel i § 40, stk. 4, indebærer, at der vil være behov for, at bedrifter med </w:t>
      </w:r>
      <w:proofErr w:type="spellStart"/>
      <w:r>
        <w:rPr>
          <w:szCs w:val="22"/>
        </w:rPr>
        <w:t>udegående</w:t>
      </w:r>
      <w:proofErr w:type="spellEnd"/>
      <w:r>
        <w:rPr>
          <w:szCs w:val="22"/>
        </w:rPr>
        <w:t xml:space="preserve"> dyr, der vælger at opfylde kravet med 3-NOP, har adgang til tilstrækkelige mængder 3-NOP i de første måneder af 2025, for at de kan overholde reglen om at fodre i </w:t>
      </w:r>
      <w:r w:rsidRPr="0069474A">
        <w:t>en samlet periode på i alt 90 dage inden</w:t>
      </w:r>
      <w:r w:rsidR="00AF23FF">
        <w:t xml:space="preserve"> </w:t>
      </w:r>
      <w:r w:rsidRPr="0069474A">
        <w:t>for samme kalenderår.</w:t>
      </w:r>
      <w:r>
        <w:rPr>
          <w:szCs w:val="22"/>
        </w:rPr>
        <w:t xml:space="preserve">  Efter forespørgsel i markedet forventes der ikke at opstå problemer i den henseende.</w:t>
      </w:r>
    </w:p>
    <w:p w14:paraId="422AC907" w14:textId="2911CC17" w:rsidR="009D7498" w:rsidRDefault="009D7498" w:rsidP="009D7498">
      <w:pPr>
        <w:jc w:val="both"/>
        <w:rPr>
          <w:rFonts w:asciiTheme="minorHAnsi" w:eastAsia="Calibri" w:hAnsiTheme="minorHAnsi" w:cstheme="minorHAnsi"/>
        </w:rPr>
      </w:pPr>
    </w:p>
    <w:p w14:paraId="2CE61E70" w14:textId="4F6A5661" w:rsidR="0061566D" w:rsidRPr="009D7498" w:rsidRDefault="0061566D" w:rsidP="001408A2">
      <w:pPr>
        <w:pStyle w:val="Overskrift2"/>
        <w:numPr>
          <w:ilvl w:val="0"/>
          <w:numId w:val="17"/>
        </w:numPr>
        <w:rPr>
          <w:rFonts w:eastAsia="Calibri"/>
        </w:rPr>
      </w:pPr>
      <w:bookmarkStart w:id="15" w:name="_Toc166664933"/>
      <w:r w:rsidRPr="009D7498">
        <w:rPr>
          <w:rFonts w:eastAsia="Calibri"/>
        </w:rPr>
        <w:t>Konsekvenser for klima, miljø og dyrevelfærd</w:t>
      </w:r>
      <w:bookmarkEnd w:id="15"/>
    </w:p>
    <w:p w14:paraId="5B60BB92" w14:textId="1B504BC5" w:rsidR="0061566D" w:rsidRDefault="0061566D" w:rsidP="0061566D">
      <w:pPr>
        <w:jc w:val="both"/>
        <w:rPr>
          <w:rFonts w:asciiTheme="minorHAnsi" w:eastAsia="Calibri" w:hAnsiTheme="minorHAnsi" w:cstheme="minorHAnsi"/>
          <w:b/>
        </w:rPr>
      </w:pPr>
    </w:p>
    <w:p w14:paraId="727796D6" w14:textId="4D590F7B" w:rsidR="0061566D" w:rsidRPr="001408A2" w:rsidRDefault="005F254A" w:rsidP="001408A2">
      <w:pPr>
        <w:pStyle w:val="Overskrift3"/>
        <w:numPr>
          <w:ilvl w:val="1"/>
          <w:numId w:val="17"/>
        </w:numPr>
        <w:rPr>
          <w:rFonts w:eastAsia="Calibri"/>
          <w:b w:val="0"/>
        </w:rPr>
      </w:pPr>
      <w:bookmarkStart w:id="16" w:name="_Toc166664934"/>
      <w:r w:rsidRPr="001408A2">
        <w:rPr>
          <w:rFonts w:eastAsia="Calibri"/>
          <w:b w:val="0"/>
        </w:rPr>
        <w:t>Konsekvenser for klimaet</w:t>
      </w:r>
      <w:bookmarkEnd w:id="16"/>
    </w:p>
    <w:p w14:paraId="719ECA34" w14:textId="0161DEAA" w:rsidR="005F254A" w:rsidRDefault="005F254A" w:rsidP="005F254A">
      <w:pPr>
        <w:jc w:val="both"/>
        <w:rPr>
          <w:rFonts w:asciiTheme="minorHAnsi" w:eastAsia="Calibri" w:hAnsiTheme="minorHAnsi" w:cstheme="minorHAnsi"/>
        </w:rPr>
      </w:pPr>
    </w:p>
    <w:p w14:paraId="201CFD4F" w14:textId="691C66D9" w:rsidR="005F254A" w:rsidRDefault="005F254A" w:rsidP="005F254A">
      <w:pPr>
        <w:jc w:val="both"/>
        <w:rPr>
          <w:rFonts w:asciiTheme="minorHAnsi" w:eastAsia="Calibri" w:hAnsiTheme="minorHAnsi" w:cstheme="minorHAnsi"/>
        </w:rPr>
      </w:pPr>
      <w:r>
        <w:rPr>
          <w:rFonts w:asciiTheme="minorHAnsi" w:eastAsia="Calibri" w:hAnsiTheme="minorHAnsi" w:cstheme="minorHAnsi"/>
        </w:rPr>
        <w:t xml:space="preserve">Forslaget indebærer en reduktionseffekt på </w:t>
      </w:r>
      <w:r w:rsidR="00D3086C">
        <w:rPr>
          <w:rFonts w:asciiTheme="minorHAnsi" w:eastAsia="Calibri" w:hAnsiTheme="minorHAnsi" w:cstheme="minorHAnsi"/>
        </w:rPr>
        <w:t xml:space="preserve">0,13 </w:t>
      </w:r>
      <w:r w:rsidRPr="009A117A">
        <w:rPr>
          <w:rFonts w:asciiTheme="minorHAnsi" w:eastAsia="Calibri" w:hAnsiTheme="minorHAnsi" w:cstheme="minorHAnsi"/>
        </w:rPr>
        <w:t>mio. tons C02e/år i</w:t>
      </w:r>
      <w:r>
        <w:rPr>
          <w:rFonts w:asciiTheme="minorHAnsi" w:eastAsia="Calibri" w:hAnsiTheme="minorHAnsi" w:cstheme="minorHAnsi"/>
        </w:rPr>
        <w:t xml:space="preserve"> 20</w:t>
      </w:r>
      <w:r w:rsidR="009A117A">
        <w:rPr>
          <w:rFonts w:asciiTheme="minorHAnsi" w:eastAsia="Calibri" w:hAnsiTheme="minorHAnsi" w:cstheme="minorHAnsi"/>
        </w:rPr>
        <w:t>30</w:t>
      </w:r>
      <w:r>
        <w:rPr>
          <w:rFonts w:asciiTheme="minorHAnsi" w:eastAsia="Calibri" w:hAnsiTheme="minorHAnsi" w:cstheme="minorHAnsi"/>
        </w:rPr>
        <w:t xml:space="preserve"> og en reduktionseffekt på </w:t>
      </w:r>
      <w:r w:rsidR="00DC71C9">
        <w:rPr>
          <w:rFonts w:asciiTheme="minorHAnsi" w:eastAsia="Calibri" w:hAnsiTheme="minorHAnsi" w:cstheme="minorHAnsi"/>
        </w:rPr>
        <w:t>0,14</w:t>
      </w:r>
      <w:r w:rsidR="00DC71C9" w:rsidRPr="009A117A">
        <w:rPr>
          <w:rFonts w:asciiTheme="minorHAnsi" w:eastAsia="Calibri" w:hAnsiTheme="minorHAnsi" w:cstheme="minorHAnsi"/>
        </w:rPr>
        <w:t xml:space="preserve"> </w:t>
      </w:r>
      <w:r w:rsidRPr="009A117A">
        <w:rPr>
          <w:rFonts w:asciiTheme="minorHAnsi" w:eastAsia="Calibri" w:hAnsiTheme="minorHAnsi" w:cstheme="minorHAnsi"/>
        </w:rPr>
        <w:t xml:space="preserve">mio. tons C02e/år i </w:t>
      </w:r>
      <w:r w:rsidRPr="0097603F">
        <w:rPr>
          <w:rFonts w:asciiTheme="minorHAnsi" w:eastAsia="Calibri" w:hAnsiTheme="minorHAnsi" w:cstheme="minorHAnsi"/>
        </w:rPr>
        <w:t>20</w:t>
      </w:r>
      <w:r w:rsidR="009A117A" w:rsidRPr="0097603F">
        <w:rPr>
          <w:rFonts w:asciiTheme="minorHAnsi" w:eastAsia="Calibri" w:hAnsiTheme="minorHAnsi" w:cstheme="minorHAnsi"/>
        </w:rPr>
        <w:t>25</w:t>
      </w:r>
      <w:r>
        <w:rPr>
          <w:rFonts w:asciiTheme="minorHAnsi" w:eastAsia="Calibri" w:hAnsiTheme="minorHAnsi" w:cstheme="minorHAnsi"/>
        </w:rPr>
        <w:t>.</w:t>
      </w:r>
    </w:p>
    <w:p w14:paraId="3ECE55F0" w14:textId="09A52EA0" w:rsidR="00D3086C" w:rsidRDefault="00D3086C" w:rsidP="005F254A">
      <w:pPr>
        <w:jc w:val="both"/>
        <w:rPr>
          <w:rFonts w:asciiTheme="minorHAnsi" w:eastAsia="Calibri" w:hAnsiTheme="minorHAnsi" w:cstheme="minorHAnsi"/>
        </w:rPr>
      </w:pPr>
    </w:p>
    <w:p w14:paraId="49115BDE" w14:textId="434B2A7D" w:rsidR="00D3086C" w:rsidRPr="00D821E9" w:rsidRDefault="00D3086C" w:rsidP="00D3086C">
      <w:r w:rsidRPr="00D821E9">
        <w:t xml:space="preserve">Tabel 1. </w:t>
      </w:r>
      <w:r w:rsidR="009A117A" w:rsidRPr="00D821E9">
        <w:t>Effekt af generelt foderkrav i 2030 ved landbrugsaftale og nu ved</w:t>
      </w:r>
      <w:r w:rsidR="00D821E9">
        <w:t xml:space="preserve"> fastsættelse af generelt reduktionskrav </w:t>
      </w:r>
    </w:p>
    <w:p w14:paraId="20FA6F11" w14:textId="4283A8D5" w:rsidR="00D3086C" w:rsidRDefault="00D3086C" w:rsidP="005F254A">
      <w:pPr>
        <w:jc w:val="both"/>
        <w:rPr>
          <w:rFonts w:asciiTheme="minorHAnsi" w:eastAsia="Calibri" w:hAnsiTheme="minorHAnsi" w:cstheme="minorHAnsi"/>
        </w:rPr>
      </w:pPr>
    </w:p>
    <w:tbl>
      <w:tblPr>
        <w:tblStyle w:val="Tabel-Gitter"/>
        <w:tblW w:w="7230" w:type="dxa"/>
        <w:tblInd w:w="-5" w:type="dxa"/>
        <w:tblLook w:val="04A0" w:firstRow="1" w:lastRow="0" w:firstColumn="1" w:lastColumn="0" w:noHBand="0" w:noVBand="1"/>
      </w:tblPr>
      <w:tblGrid>
        <w:gridCol w:w="2190"/>
        <w:gridCol w:w="1836"/>
        <w:gridCol w:w="1126"/>
        <w:gridCol w:w="2078"/>
      </w:tblGrid>
      <w:tr w:rsidR="001E6E6A" w14:paraId="3DA25C4F" w14:textId="77777777" w:rsidTr="001E6E6A">
        <w:trPr>
          <w:trHeight w:val="587"/>
        </w:trPr>
        <w:tc>
          <w:tcPr>
            <w:tcW w:w="2190" w:type="dxa"/>
          </w:tcPr>
          <w:p w14:paraId="71334CE1" w14:textId="77777777" w:rsidR="001E6E6A" w:rsidRDefault="001E6E6A" w:rsidP="00157669"/>
        </w:tc>
        <w:tc>
          <w:tcPr>
            <w:tcW w:w="1836" w:type="dxa"/>
          </w:tcPr>
          <w:p w14:paraId="5B9CB9FD" w14:textId="77777777" w:rsidR="001E6E6A" w:rsidRDefault="001E6E6A" w:rsidP="00157669">
            <w:r>
              <w:t>Landbrugsaftalen (2021)</w:t>
            </w:r>
          </w:p>
        </w:tc>
        <w:tc>
          <w:tcPr>
            <w:tcW w:w="1126" w:type="dxa"/>
          </w:tcPr>
          <w:p w14:paraId="26981825" w14:textId="77777777" w:rsidR="001E6E6A" w:rsidRDefault="001E6E6A" w:rsidP="00157669">
            <w:r>
              <w:t>Genbesøg (2024)</w:t>
            </w:r>
          </w:p>
        </w:tc>
        <w:tc>
          <w:tcPr>
            <w:tcW w:w="2078" w:type="dxa"/>
          </w:tcPr>
          <w:p w14:paraId="33E3193C" w14:textId="77777777" w:rsidR="001E6E6A" w:rsidRDefault="001E6E6A" w:rsidP="00157669">
            <w:r>
              <w:t>Forskel (numerisk)</w:t>
            </w:r>
          </w:p>
        </w:tc>
      </w:tr>
      <w:tr w:rsidR="001E6E6A" w14:paraId="672BEADF" w14:textId="77777777" w:rsidTr="001E6E6A">
        <w:trPr>
          <w:trHeight w:val="587"/>
        </w:trPr>
        <w:tc>
          <w:tcPr>
            <w:tcW w:w="2190" w:type="dxa"/>
          </w:tcPr>
          <w:p w14:paraId="05048BB2" w14:textId="731A17A6" w:rsidR="001E6E6A" w:rsidRDefault="001E6E6A" w:rsidP="00157669">
            <w:r>
              <w:t>Forventet klimaeffekt i 2025</w:t>
            </w:r>
          </w:p>
        </w:tc>
        <w:tc>
          <w:tcPr>
            <w:tcW w:w="1836" w:type="dxa"/>
          </w:tcPr>
          <w:p w14:paraId="50BEFA86" w14:textId="01A27C56" w:rsidR="001E6E6A" w:rsidRPr="008734ED" w:rsidRDefault="001E6E6A" w:rsidP="00157669">
            <w:pPr>
              <w:rPr>
                <w:highlight w:val="yellow"/>
              </w:rPr>
            </w:pPr>
            <w:r w:rsidRPr="0097603F">
              <w:t xml:space="preserve">0,17 </w:t>
            </w:r>
            <w:r>
              <w:t>mio. t. CO2e</w:t>
            </w:r>
          </w:p>
        </w:tc>
        <w:tc>
          <w:tcPr>
            <w:tcW w:w="1126" w:type="dxa"/>
          </w:tcPr>
          <w:p w14:paraId="499DD8CC" w14:textId="51889920" w:rsidR="001E6E6A" w:rsidRPr="008734ED" w:rsidRDefault="001E6E6A" w:rsidP="00157669">
            <w:pPr>
              <w:rPr>
                <w:highlight w:val="yellow"/>
              </w:rPr>
            </w:pPr>
            <w:r w:rsidRPr="0097603F">
              <w:t>0,14</w:t>
            </w:r>
            <w:r>
              <w:t xml:space="preserve"> mio. t. CO2e</w:t>
            </w:r>
          </w:p>
        </w:tc>
        <w:tc>
          <w:tcPr>
            <w:tcW w:w="2078" w:type="dxa"/>
          </w:tcPr>
          <w:p w14:paraId="4792D616" w14:textId="00674F13" w:rsidR="001E6E6A" w:rsidRPr="008734ED" w:rsidRDefault="001E6E6A" w:rsidP="00157669">
            <w:pPr>
              <w:rPr>
                <w:highlight w:val="yellow"/>
              </w:rPr>
            </w:pPr>
            <w:r w:rsidRPr="0097603F">
              <w:t>0,03</w:t>
            </w:r>
            <w:r>
              <w:t xml:space="preserve"> mio. t. CO2e</w:t>
            </w:r>
          </w:p>
        </w:tc>
      </w:tr>
      <w:tr w:rsidR="001E6E6A" w14:paraId="01C08F90" w14:textId="77777777" w:rsidTr="001E6E6A">
        <w:trPr>
          <w:trHeight w:val="278"/>
        </w:trPr>
        <w:tc>
          <w:tcPr>
            <w:tcW w:w="2190" w:type="dxa"/>
            <w:tcBorders>
              <w:top w:val="single" w:sz="12" w:space="0" w:color="auto"/>
              <w:bottom w:val="thickThinLargeGap" w:sz="6" w:space="0" w:color="auto"/>
            </w:tcBorders>
          </w:tcPr>
          <w:p w14:paraId="5345E52B" w14:textId="77777777" w:rsidR="001E6E6A" w:rsidRDefault="001E6E6A" w:rsidP="00157669">
            <w:r>
              <w:t xml:space="preserve">Forventet klimaeffekt i 2030 </w:t>
            </w:r>
          </w:p>
        </w:tc>
        <w:tc>
          <w:tcPr>
            <w:tcW w:w="1836" w:type="dxa"/>
            <w:tcBorders>
              <w:top w:val="single" w:sz="12" w:space="0" w:color="auto"/>
              <w:bottom w:val="thickThinLargeGap" w:sz="6" w:space="0" w:color="auto"/>
            </w:tcBorders>
          </w:tcPr>
          <w:p w14:paraId="28E3621F" w14:textId="1AAA4C93" w:rsidR="001E6E6A" w:rsidRDefault="001E6E6A" w:rsidP="00157669">
            <w:r>
              <w:t>0,16 mio. t. CO2e</w:t>
            </w:r>
          </w:p>
        </w:tc>
        <w:tc>
          <w:tcPr>
            <w:tcW w:w="1126" w:type="dxa"/>
            <w:tcBorders>
              <w:top w:val="single" w:sz="12" w:space="0" w:color="auto"/>
              <w:bottom w:val="thickThinLargeGap" w:sz="6" w:space="0" w:color="auto"/>
            </w:tcBorders>
          </w:tcPr>
          <w:p w14:paraId="36380FA9" w14:textId="0EF7358F" w:rsidR="001E6E6A" w:rsidRDefault="001E6E6A" w:rsidP="00157669">
            <w:r>
              <w:t>0,13 mio. t. CO2e</w:t>
            </w:r>
          </w:p>
        </w:tc>
        <w:tc>
          <w:tcPr>
            <w:tcW w:w="2078" w:type="dxa"/>
            <w:tcBorders>
              <w:top w:val="single" w:sz="12" w:space="0" w:color="auto"/>
              <w:bottom w:val="thickThinLargeGap" w:sz="6" w:space="0" w:color="auto"/>
            </w:tcBorders>
          </w:tcPr>
          <w:p w14:paraId="1FBD9C6A" w14:textId="14C71156" w:rsidR="001E6E6A" w:rsidRDefault="001E6E6A" w:rsidP="00157669">
            <w:r>
              <w:t>0,03 mio. t. CO2e</w:t>
            </w:r>
          </w:p>
        </w:tc>
      </w:tr>
    </w:tbl>
    <w:p w14:paraId="4FF0BC0F" w14:textId="77777777" w:rsidR="00D3086C" w:rsidRDefault="00D3086C" w:rsidP="005F254A">
      <w:pPr>
        <w:jc w:val="both"/>
        <w:rPr>
          <w:rFonts w:asciiTheme="minorHAnsi" w:eastAsia="Calibri" w:hAnsiTheme="minorHAnsi" w:cstheme="minorHAnsi"/>
        </w:rPr>
      </w:pPr>
    </w:p>
    <w:p w14:paraId="53D2E774" w14:textId="1ED5FC4A" w:rsidR="005F254A" w:rsidRDefault="005F254A" w:rsidP="005F254A">
      <w:pPr>
        <w:jc w:val="both"/>
        <w:rPr>
          <w:rFonts w:asciiTheme="minorHAnsi" w:eastAsia="Calibri" w:hAnsiTheme="minorHAnsi" w:cstheme="minorHAnsi"/>
        </w:rPr>
      </w:pPr>
    </w:p>
    <w:p w14:paraId="57A2F5A0" w14:textId="432D35E6" w:rsidR="001A434A" w:rsidRDefault="00D5347C" w:rsidP="005F254A">
      <w:pPr>
        <w:jc w:val="both"/>
      </w:pPr>
      <w:r>
        <w:t xml:space="preserve">Ved effektberegningen ifm. landbrugsaftalen blev det lagt til grund, at konventionelle malkekøer af skulle tildeles mellem 50 og 55 g fedtsyrer pr. kg tørstof alt efter race, mens kvier over 1 år skulle tildeles minimum 40 g fedtsyrer pr. kg tørstof. Malkekøer i tidlig laktation, svarende til de 2 første måneder, blev undtaget kravet, eftersom der var usikkerhed om, hvorvidt et højt fedtniveau var problematisk i denne periode, herunder om det ville påvirke koens sundhed og produktivitet negativt. </w:t>
      </w:r>
      <w:r w:rsidR="009A117A">
        <w:t>De omfattede bedrifterne blev afgrænset til at være erhvervsmæssige dyrehold</w:t>
      </w:r>
      <w:r w:rsidR="00AB7334">
        <w:t xml:space="preserve">. Herved var </w:t>
      </w:r>
      <w:r w:rsidR="00AB52CA">
        <w:t xml:space="preserve">også </w:t>
      </w:r>
      <w:r w:rsidR="009A117A">
        <w:t>ganske små bedrifter</w:t>
      </w:r>
      <w:r w:rsidR="00AB7334">
        <w:t xml:space="preserve"> (fra bedrifter med to malkekøer og mere) omfattet</w:t>
      </w:r>
      <w:r w:rsidR="00AB52CA">
        <w:t>.</w:t>
      </w:r>
    </w:p>
    <w:p w14:paraId="590363DE" w14:textId="77777777" w:rsidR="001A434A" w:rsidRDefault="001A434A" w:rsidP="005F254A">
      <w:pPr>
        <w:jc w:val="both"/>
      </w:pPr>
    </w:p>
    <w:p w14:paraId="2E95844F" w14:textId="4BC6CBA6" w:rsidR="001A434A" w:rsidRDefault="001A434A" w:rsidP="005F254A">
      <w:pPr>
        <w:jc w:val="both"/>
      </w:pPr>
      <w:r>
        <w:t>Som det</w:t>
      </w:r>
      <w:r w:rsidR="008734ED">
        <w:t xml:space="preserve"> </w:t>
      </w:r>
      <w:r>
        <w:t>fremgår ovenfor lægges der med de foreslåede regler op til en anderledes afgræ</w:t>
      </w:r>
      <w:r w:rsidR="00A15AE5">
        <w:t>n</w:t>
      </w:r>
      <w:r>
        <w:t xml:space="preserve">sning og knap så høj fedtsyretildeling. Dette påvirker effektberegningen. </w:t>
      </w:r>
      <w:r w:rsidR="008734ED">
        <w:t xml:space="preserve">Derudover spiller andre, ude fra kommende, faktorer ind. </w:t>
      </w:r>
      <w:r w:rsidR="009A117A">
        <w:t xml:space="preserve">Samlet set </w:t>
      </w:r>
      <w:r>
        <w:t>spiller disse faktorer ind:</w:t>
      </w:r>
    </w:p>
    <w:p w14:paraId="75038A74" w14:textId="77777777" w:rsidR="00AB7334" w:rsidRDefault="00AB7334" w:rsidP="005F254A">
      <w:pPr>
        <w:jc w:val="both"/>
      </w:pPr>
    </w:p>
    <w:p w14:paraId="262119DD" w14:textId="77777777" w:rsidR="00AB7334" w:rsidRDefault="00AB7334" w:rsidP="00AB7334">
      <w:pPr>
        <w:pStyle w:val="Listeafsnit"/>
        <w:numPr>
          <w:ilvl w:val="0"/>
          <w:numId w:val="34"/>
        </w:numPr>
        <w:jc w:val="both"/>
      </w:pPr>
      <w:r>
        <w:t>Kvier undtages fra kravet.</w:t>
      </w:r>
    </w:p>
    <w:p w14:paraId="5EE9F1A0" w14:textId="3BC9C539" w:rsidR="00AB7334" w:rsidRDefault="00AB7334" w:rsidP="00AB7334">
      <w:pPr>
        <w:pStyle w:val="Listeafsnit"/>
        <w:numPr>
          <w:ilvl w:val="0"/>
          <w:numId w:val="34"/>
        </w:numPr>
        <w:jc w:val="both"/>
      </w:pPr>
      <w:r>
        <w:t>Bedrifter med op til 50 årskøer undtages fra kravet.</w:t>
      </w:r>
    </w:p>
    <w:p w14:paraId="4FE765C2" w14:textId="024845C7" w:rsidR="00AB7334" w:rsidRDefault="00AB7334" w:rsidP="00AB7334">
      <w:pPr>
        <w:pStyle w:val="Listeafsnit"/>
        <w:numPr>
          <w:ilvl w:val="0"/>
          <w:numId w:val="34"/>
        </w:numPr>
        <w:jc w:val="both"/>
      </w:pPr>
      <w:r>
        <w:t xml:space="preserve">Reduktionseffekten af </w:t>
      </w:r>
      <w:r w:rsidR="00017C0E">
        <w:t xml:space="preserve">øget andel af </w:t>
      </w:r>
      <w:r>
        <w:t>fed</w:t>
      </w:r>
      <w:r w:rsidR="00017C0E">
        <w:t xml:space="preserve">t i </w:t>
      </w:r>
      <w:r>
        <w:t>fod</w:t>
      </w:r>
      <w:r w:rsidR="00017C0E">
        <w:t>e</w:t>
      </w:r>
      <w:r>
        <w:t>r</w:t>
      </w:r>
      <w:r w:rsidR="00017C0E">
        <w:t>et</w:t>
      </w:r>
      <w:r>
        <w:t xml:space="preserve"> er efter AU’s seneste beregninger knap så høj, som forudsat ved landbrugsaftalens indgåelse.</w:t>
      </w:r>
    </w:p>
    <w:p w14:paraId="7B37AD1F" w14:textId="77777777" w:rsidR="00AB7334" w:rsidRDefault="00AB7334" w:rsidP="00AB7334">
      <w:pPr>
        <w:pStyle w:val="Listeafsnit"/>
        <w:numPr>
          <w:ilvl w:val="0"/>
          <w:numId w:val="34"/>
        </w:numPr>
        <w:jc w:val="both"/>
      </w:pPr>
      <w:r>
        <w:t xml:space="preserve">Der er færre malkekøer end forudsat ved tidligere fremskrivninger.  </w:t>
      </w:r>
    </w:p>
    <w:p w14:paraId="21F982D0" w14:textId="77777777" w:rsidR="00AB7334" w:rsidRDefault="00AB7334" w:rsidP="00AB7334">
      <w:pPr>
        <w:jc w:val="both"/>
        <w:rPr>
          <w:rFonts w:asciiTheme="minorHAnsi" w:eastAsia="Calibri" w:hAnsiTheme="minorHAnsi" w:cstheme="minorHAnsi"/>
        </w:rPr>
      </w:pPr>
    </w:p>
    <w:p w14:paraId="7C1C2579" w14:textId="41FDC89E" w:rsidR="00AB7334" w:rsidRDefault="00AB7334" w:rsidP="00AB7334">
      <w:pPr>
        <w:jc w:val="both"/>
        <w:rPr>
          <w:rFonts w:asciiTheme="minorHAnsi" w:eastAsia="Calibri" w:hAnsiTheme="minorHAnsi" w:cstheme="minorHAnsi"/>
        </w:rPr>
      </w:pPr>
      <w:r>
        <w:rPr>
          <w:rFonts w:asciiTheme="minorHAnsi" w:eastAsia="Calibri" w:hAnsiTheme="minorHAnsi" w:cstheme="minorHAnsi"/>
        </w:rPr>
        <w:t xml:space="preserve">Det forventes, at ovenstående reduktionseffekter kan </w:t>
      </w:r>
      <w:r w:rsidR="00017C0E">
        <w:rPr>
          <w:rFonts w:asciiTheme="minorHAnsi" w:eastAsia="Calibri" w:hAnsiTheme="minorHAnsi" w:cstheme="minorHAnsi"/>
        </w:rPr>
        <w:t xml:space="preserve">indgå i emissionsberegningen for 2025, der indgår i den </w:t>
      </w:r>
      <w:r>
        <w:rPr>
          <w:rFonts w:asciiTheme="minorHAnsi" w:eastAsia="Calibri" w:hAnsiTheme="minorHAnsi" w:cstheme="minorHAnsi"/>
        </w:rPr>
        <w:t xml:space="preserve">nationale </w:t>
      </w:r>
      <w:r w:rsidR="00017C0E">
        <w:rPr>
          <w:rFonts w:asciiTheme="minorHAnsi" w:eastAsia="Calibri" w:hAnsiTheme="minorHAnsi" w:cstheme="minorHAnsi"/>
        </w:rPr>
        <w:t xml:space="preserve">emissionsopgørelse, der offentliggøres i </w:t>
      </w:r>
      <w:r w:rsidRPr="0097603F">
        <w:rPr>
          <w:rFonts w:asciiTheme="minorHAnsi" w:eastAsia="Calibri" w:hAnsiTheme="minorHAnsi" w:cstheme="minorHAnsi"/>
        </w:rPr>
        <w:t>2027</w:t>
      </w:r>
      <w:r w:rsidR="00017C0E" w:rsidRPr="0097603F">
        <w:rPr>
          <w:rFonts w:asciiTheme="minorHAnsi" w:eastAsia="Calibri" w:hAnsiTheme="minorHAnsi" w:cstheme="minorHAnsi"/>
        </w:rPr>
        <w:t>,</w:t>
      </w:r>
      <w:r>
        <w:rPr>
          <w:rFonts w:asciiTheme="minorHAnsi" w:eastAsia="Calibri" w:hAnsiTheme="minorHAnsi" w:cstheme="minorHAnsi"/>
        </w:rPr>
        <w:t xml:space="preserve"> som følge af de bindende foderkrav for malkekøer. Disse krav vil sikre, at de nødvendige aktivitetsdata foreligger, idet der er tale om et præcist afgrænset lovkrav, der kontrolleres og håndhæves.  </w:t>
      </w:r>
    </w:p>
    <w:p w14:paraId="49FCDD93" w14:textId="508D8B13" w:rsidR="008E210C" w:rsidRDefault="008E210C" w:rsidP="00AB7334">
      <w:pPr>
        <w:jc w:val="both"/>
        <w:rPr>
          <w:rFonts w:asciiTheme="minorHAnsi" w:eastAsia="Calibri" w:hAnsiTheme="minorHAnsi" w:cstheme="minorHAnsi"/>
        </w:rPr>
      </w:pPr>
    </w:p>
    <w:p w14:paraId="1D388644" w14:textId="445026D3" w:rsidR="008E210C" w:rsidRDefault="008E210C" w:rsidP="008E210C">
      <w:r>
        <w:t xml:space="preserve">Det er navnlig undtagelse af kvier, der har betydning for den mindre effekt. Som det fremgår ovenfor vil effekten ved at inkludere kvier for nuværende under alle omstændigheder ikke kunne medregnes i den nationale emissionsopgørelse. </w:t>
      </w:r>
    </w:p>
    <w:p w14:paraId="09AF1D88" w14:textId="137167E7" w:rsidR="008E210C" w:rsidRDefault="008E210C" w:rsidP="005F254A">
      <w:pPr>
        <w:jc w:val="both"/>
      </w:pPr>
    </w:p>
    <w:p w14:paraId="1EA16074" w14:textId="4224D999" w:rsidR="002121E2" w:rsidRPr="001408A2" w:rsidRDefault="002121E2" w:rsidP="001408A2">
      <w:pPr>
        <w:pStyle w:val="Overskrift3"/>
        <w:numPr>
          <w:ilvl w:val="1"/>
          <w:numId w:val="17"/>
        </w:numPr>
        <w:rPr>
          <w:rFonts w:eastAsia="Calibri"/>
          <w:b w:val="0"/>
        </w:rPr>
      </w:pPr>
      <w:bookmarkStart w:id="17" w:name="_Toc166664935"/>
      <w:r w:rsidRPr="001408A2">
        <w:rPr>
          <w:rFonts w:eastAsia="Calibri"/>
          <w:b w:val="0"/>
        </w:rPr>
        <w:t>Konsekvenser for miljøet</w:t>
      </w:r>
      <w:bookmarkEnd w:id="17"/>
    </w:p>
    <w:p w14:paraId="47A82036" w14:textId="351A5A2A" w:rsidR="007A505D" w:rsidRDefault="007A505D" w:rsidP="007A505D"/>
    <w:p w14:paraId="310EB556" w14:textId="6792EE90" w:rsidR="007A505D" w:rsidRPr="007A505D" w:rsidRDefault="007A505D" w:rsidP="007A505D">
      <w:pPr>
        <w:jc w:val="both"/>
        <w:rPr>
          <w:rFonts w:asciiTheme="minorHAnsi" w:eastAsia="Calibri" w:hAnsiTheme="minorHAnsi" w:cstheme="minorHAnsi"/>
        </w:rPr>
      </w:pPr>
      <w:r w:rsidRPr="007A505D">
        <w:rPr>
          <w:rFonts w:asciiTheme="minorHAnsi" w:eastAsia="Calibri" w:hAnsiTheme="minorHAnsi" w:cstheme="minorHAnsi"/>
        </w:rPr>
        <w:t>Husdyrgodkendelsesbekendtgørelsen udgør en plan eller et program efter miljøvurderingslovens regler, som</w:t>
      </w:r>
      <w:r>
        <w:rPr>
          <w:rFonts w:asciiTheme="minorHAnsi" w:eastAsia="Calibri" w:hAnsiTheme="minorHAnsi" w:cstheme="minorHAnsi"/>
        </w:rPr>
        <w:t xml:space="preserve"> </w:t>
      </w:r>
      <w:r w:rsidRPr="007A505D">
        <w:rPr>
          <w:rFonts w:asciiTheme="minorHAnsi" w:eastAsia="Calibri" w:hAnsiTheme="minorHAnsi" w:cstheme="minorHAnsi"/>
        </w:rPr>
        <w:t>fastlægger rammerne for fremtidige anlægstilladelser til anlæg til intensiv husdyravl. Med Miljøministeriets</w:t>
      </w:r>
    </w:p>
    <w:p w14:paraId="1C4F716C" w14:textId="0AD709C5" w:rsidR="007A505D" w:rsidRDefault="007A505D" w:rsidP="007A505D">
      <w:pPr>
        <w:jc w:val="both"/>
        <w:rPr>
          <w:rFonts w:asciiTheme="minorHAnsi" w:eastAsia="Calibri" w:hAnsiTheme="minorHAnsi" w:cstheme="minorHAnsi"/>
        </w:rPr>
      </w:pPr>
      <w:r w:rsidRPr="007A505D">
        <w:rPr>
          <w:rFonts w:asciiTheme="minorHAnsi" w:eastAsia="Calibri" w:hAnsiTheme="minorHAnsi" w:cstheme="minorHAnsi"/>
        </w:rPr>
        <w:t>udkast til ændret husdyrgodkendelsesbekendtgørelse videreføres således allerede miljøvurderede regler.</w:t>
      </w:r>
    </w:p>
    <w:p w14:paraId="769E7CEA" w14:textId="77777777" w:rsidR="007A505D" w:rsidRPr="007A505D" w:rsidRDefault="007A505D" w:rsidP="007A505D">
      <w:pPr>
        <w:jc w:val="both"/>
        <w:rPr>
          <w:rFonts w:asciiTheme="minorHAnsi" w:eastAsia="Calibri" w:hAnsiTheme="minorHAnsi" w:cstheme="minorHAnsi"/>
        </w:rPr>
      </w:pPr>
    </w:p>
    <w:p w14:paraId="1DE6838F" w14:textId="3FEC281E" w:rsidR="007A505D" w:rsidRDefault="007A505D" w:rsidP="007A505D">
      <w:pPr>
        <w:jc w:val="both"/>
        <w:rPr>
          <w:rFonts w:asciiTheme="minorHAnsi" w:eastAsia="Calibri" w:hAnsiTheme="minorHAnsi" w:cstheme="minorHAnsi"/>
        </w:rPr>
      </w:pPr>
      <w:r w:rsidRPr="007A505D">
        <w:rPr>
          <w:rFonts w:asciiTheme="minorHAnsi" w:eastAsia="Calibri" w:hAnsiTheme="minorHAnsi" w:cstheme="minorHAnsi"/>
        </w:rPr>
        <w:lastRenderedPageBreak/>
        <w:t>Det følger af miljøvurderingslovens § 8, stk. 2, at myndigheden skal gennemføre en vurdering (en såkaldt</w:t>
      </w:r>
      <w:r w:rsidR="003B7428">
        <w:rPr>
          <w:rFonts w:asciiTheme="minorHAnsi" w:eastAsia="Calibri" w:hAnsiTheme="minorHAnsi" w:cstheme="minorHAnsi"/>
        </w:rPr>
        <w:t xml:space="preserve"> </w:t>
      </w:r>
      <w:r w:rsidRPr="007A505D">
        <w:rPr>
          <w:rFonts w:asciiTheme="minorHAnsi" w:eastAsia="Calibri" w:hAnsiTheme="minorHAnsi" w:cstheme="minorHAnsi"/>
        </w:rPr>
        <w:t xml:space="preserve">screening) af, hvorvidt </w:t>
      </w:r>
      <w:r w:rsidR="003B7428">
        <w:rPr>
          <w:rFonts w:asciiTheme="minorHAnsi" w:eastAsia="Calibri" w:hAnsiTheme="minorHAnsi" w:cstheme="minorHAnsi"/>
        </w:rPr>
        <w:t>mindre</w:t>
      </w:r>
      <w:r w:rsidRPr="007A505D">
        <w:rPr>
          <w:rFonts w:asciiTheme="minorHAnsi" w:eastAsia="Calibri" w:hAnsiTheme="minorHAnsi" w:cstheme="minorHAnsi"/>
        </w:rPr>
        <w:t xml:space="preserve"> ændringer i planer eller programmer, der udarbejdes inden for landbrug og</w:t>
      </w:r>
      <w:r w:rsidR="003B7428">
        <w:rPr>
          <w:rFonts w:asciiTheme="minorHAnsi" w:eastAsia="Calibri" w:hAnsiTheme="minorHAnsi" w:cstheme="minorHAnsi"/>
        </w:rPr>
        <w:t xml:space="preserve"> </w:t>
      </w:r>
      <w:r w:rsidRPr="007A505D">
        <w:rPr>
          <w:rFonts w:asciiTheme="minorHAnsi" w:eastAsia="Calibri" w:hAnsiTheme="minorHAnsi" w:cstheme="minorHAnsi"/>
        </w:rPr>
        <w:t>fastlægger rammerne for fremtidige anlægstilladelser til anlæg til intensiv husdyravl, kan få væsentlig</w:t>
      </w:r>
      <w:r w:rsidR="003B7428">
        <w:rPr>
          <w:rFonts w:asciiTheme="minorHAnsi" w:eastAsia="Calibri" w:hAnsiTheme="minorHAnsi" w:cstheme="minorHAnsi"/>
        </w:rPr>
        <w:t xml:space="preserve"> </w:t>
      </w:r>
      <w:r w:rsidRPr="007A505D">
        <w:rPr>
          <w:rFonts w:asciiTheme="minorHAnsi" w:eastAsia="Calibri" w:hAnsiTheme="minorHAnsi" w:cstheme="minorHAnsi"/>
        </w:rPr>
        <w:t>indvirkning på miljøet, således at der skal gennemføres en miljøvurdering.</w:t>
      </w:r>
    </w:p>
    <w:p w14:paraId="60F3EE9F" w14:textId="77777777" w:rsidR="003B7428" w:rsidRDefault="003B7428" w:rsidP="003B7428"/>
    <w:p w14:paraId="5564B6AB" w14:textId="20248F5D" w:rsidR="003B7428" w:rsidRDefault="003B7428" w:rsidP="003B7428">
      <w:r>
        <w:t xml:space="preserve">Øget tildeling af fedt vil ændre forholdet mellem næringsstoffer tildelt koen, men det vil ikke ændre foderrationens totale indhold af kvælstof og fosfor, hvorfor der ikke forventes nogen effekter på miljøet. </w:t>
      </w:r>
    </w:p>
    <w:p w14:paraId="359CA40C" w14:textId="554E4237" w:rsidR="0051029B" w:rsidRDefault="0051029B" w:rsidP="003B7428"/>
    <w:p w14:paraId="13B32839" w14:textId="4A26739F" w:rsidR="0051029B" w:rsidRDefault="0051029B" w:rsidP="0051029B">
      <w:r>
        <w:t xml:space="preserve">Hvad angår </w:t>
      </w:r>
      <w:r w:rsidR="00AB7334">
        <w:t>3-NOP</w:t>
      </w:r>
      <w:r>
        <w:t xml:space="preserve"> er de miljømæssige konsekvenser indgået i godkendelsesproceduren hos Den Europæiske Fødevaresikkerhedsautoritet (EFSA). EFSA har i denne forbindelse bl.a. vurderet, at </w:t>
      </w:r>
      <w:r w:rsidR="00C25482">
        <w:t xml:space="preserve">stoffet </w:t>
      </w:r>
      <w:r>
        <w:t>ikke udgør en risiko for miljøet.</w:t>
      </w:r>
    </w:p>
    <w:p w14:paraId="5B1ABC4A" w14:textId="77777777" w:rsidR="0051029B" w:rsidRDefault="0051029B" w:rsidP="0051029B"/>
    <w:p w14:paraId="2BB65BD2" w14:textId="402E82D6" w:rsidR="0051029B" w:rsidRDefault="0051029B" w:rsidP="0051029B">
      <w:pPr>
        <w:jc w:val="both"/>
        <w:rPr>
          <w:rFonts w:asciiTheme="minorHAnsi" w:eastAsia="Calibri" w:hAnsiTheme="minorHAnsi" w:cstheme="minorHAnsi"/>
        </w:rPr>
      </w:pPr>
      <w:r w:rsidRPr="007A505D">
        <w:rPr>
          <w:rFonts w:asciiTheme="minorHAnsi" w:eastAsia="Calibri" w:hAnsiTheme="minorHAnsi" w:cstheme="minorHAnsi"/>
        </w:rPr>
        <w:t xml:space="preserve">Miljøministeriet </w:t>
      </w:r>
      <w:r>
        <w:rPr>
          <w:rFonts w:asciiTheme="minorHAnsi" w:eastAsia="Calibri" w:hAnsiTheme="minorHAnsi" w:cstheme="minorHAnsi"/>
        </w:rPr>
        <w:t>vurderer på denne baggrund</w:t>
      </w:r>
      <w:r w:rsidRPr="007A505D">
        <w:rPr>
          <w:rFonts w:asciiTheme="minorHAnsi" w:eastAsia="Calibri" w:hAnsiTheme="minorHAnsi" w:cstheme="minorHAnsi"/>
        </w:rPr>
        <w:t xml:space="preserve">, at forslaget om at indføre </w:t>
      </w:r>
      <w:r>
        <w:rPr>
          <w:rFonts w:asciiTheme="minorHAnsi" w:eastAsia="Calibri" w:hAnsiTheme="minorHAnsi" w:cstheme="minorHAnsi"/>
        </w:rPr>
        <w:t>et generelt krav som foreslået ikke</w:t>
      </w:r>
      <w:r w:rsidRPr="007A505D">
        <w:rPr>
          <w:rFonts w:asciiTheme="minorHAnsi" w:eastAsia="Calibri" w:hAnsiTheme="minorHAnsi" w:cstheme="minorHAnsi"/>
        </w:rPr>
        <w:t xml:space="preserve"> skal</w:t>
      </w:r>
      <w:r>
        <w:rPr>
          <w:rFonts w:asciiTheme="minorHAnsi" w:eastAsia="Calibri" w:hAnsiTheme="minorHAnsi" w:cstheme="minorHAnsi"/>
        </w:rPr>
        <w:t xml:space="preserve"> </w:t>
      </w:r>
      <w:r w:rsidRPr="007A505D">
        <w:rPr>
          <w:rFonts w:asciiTheme="minorHAnsi" w:eastAsia="Calibri" w:hAnsiTheme="minorHAnsi" w:cstheme="minorHAnsi"/>
        </w:rPr>
        <w:t>miljøvurderes.</w:t>
      </w:r>
      <w:r>
        <w:rPr>
          <w:rFonts w:asciiTheme="minorHAnsi" w:eastAsia="Calibri" w:hAnsiTheme="minorHAnsi" w:cstheme="minorHAnsi"/>
        </w:rPr>
        <w:t xml:space="preserve"> Der vil blive udarbejdet en screeningsafgørelse i overensstemmelse hermed.</w:t>
      </w:r>
    </w:p>
    <w:p w14:paraId="16296E09" w14:textId="7714EC7D" w:rsidR="007A505D" w:rsidRPr="001408A2" w:rsidRDefault="00E25A5D" w:rsidP="001408A2">
      <w:pPr>
        <w:pStyle w:val="Overskrift3"/>
        <w:numPr>
          <w:ilvl w:val="1"/>
          <w:numId w:val="17"/>
        </w:numPr>
        <w:rPr>
          <w:rFonts w:eastAsia="Calibri"/>
          <w:b w:val="0"/>
        </w:rPr>
      </w:pPr>
      <w:bookmarkStart w:id="18" w:name="_Toc166664936"/>
      <w:r w:rsidRPr="001408A2">
        <w:rPr>
          <w:rFonts w:eastAsia="Calibri"/>
          <w:b w:val="0"/>
        </w:rPr>
        <w:t>Konsekvenser for dyrevelfærd</w:t>
      </w:r>
      <w:bookmarkEnd w:id="18"/>
    </w:p>
    <w:p w14:paraId="65E2E369" w14:textId="7DFB93BC" w:rsidR="00E25A5D" w:rsidRDefault="00E25A5D" w:rsidP="00E25A5D">
      <w:pPr>
        <w:jc w:val="both"/>
        <w:rPr>
          <w:rFonts w:asciiTheme="minorHAnsi" w:eastAsia="Calibri" w:hAnsiTheme="minorHAnsi" w:cstheme="minorHAnsi"/>
        </w:rPr>
      </w:pPr>
    </w:p>
    <w:p w14:paraId="18337647" w14:textId="535E310B" w:rsidR="00E25A5D" w:rsidRDefault="00E25A5D" w:rsidP="00E25A5D">
      <w:r>
        <w:t>Efter landbrugsaftalen må der ikke ske dyrevelfærdsmæssige forringelser ved fastsættelse af foderkrav. Dette er ligeledes en forudsætning for a</w:t>
      </w:r>
      <w:r w:rsidR="00C25482">
        <w:t xml:space="preserve">t </w:t>
      </w:r>
      <w:r>
        <w:t>anvende bemyndigelsen i husdyrbruglovens § 35.</w:t>
      </w:r>
    </w:p>
    <w:p w14:paraId="094D4947" w14:textId="77777777" w:rsidR="00E25A5D" w:rsidRDefault="00E25A5D" w:rsidP="00E25A5D"/>
    <w:p w14:paraId="7500E735" w14:textId="422376BC" w:rsidR="00E25A5D" w:rsidRDefault="00E25A5D" w:rsidP="00E25A5D"/>
    <w:p w14:paraId="6AC3D416" w14:textId="33B62D42" w:rsidR="00E25A5D" w:rsidRDefault="00E25A5D" w:rsidP="00E25A5D">
      <w:r>
        <w:t xml:space="preserve">Det </w:t>
      </w:r>
      <w:r w:rsidR="00A06114">
        <w:t>blev i 2023</w:t>
      </w:r>
      <w:r>
        <w:t xml:space="preserve"> – i AU’s klimavirkemiddelkatalog</w:t>
      </w:r>
      <w:r>
        <w:rPr>
          <w:rStyle w:val="Fodnotehenvisning"/>
        </w:rPr>
        <w:footnoteReference w:id="3"/>
      </w:r>
      <w:r>
        <w:t xml:space="preserve"> – vurderet, at et niveau på hhv. 53 g og 57 g fedtsyrer pr. kg tørstof for hhv. stor malkerace og Jersey kan tildeles uden negative konsekvenser for dyrenes sundhed, velfærd og </w:t>
      </w:r>
      <w:r w:rsidR="00DD3203">
        <w:t>mælke</w:t>
      </w:r>
      <w:r>
        <w:t>produktion. Aarhus Universitet leverede i december 2023 et notat baseret på litteratursøgning omkring øget fedtandel i foder til kvier og goldkøer</w:t>
      </w:r>
      <w:r>
        <w:rPr>
          <w:rStyle w:val="Fodnotehenvisning"/>
        </w:rPr>
        <w:footnoteReference w:id="4"/>
      </w:r>
      <w:r>
        <w:t>.  Der er begrænset litteratur vedrørende disse emner, men de</w:t>
      </w:r>
      <w:r w:rsidR="00C25482">
        <w:t>t</w:t>
      </w:r>
      <w:r>
        <w:t xml:space="preserve"> blev konkluderet, at der formodentligt kan gøres samme konklusion på goldkøer som på lakterende køer.  </w:t>
      </w:r>
    </w:p>
    <w:p w14:paraId="75AC2E8C" w14:textId="77777777" w:rsidR="00E25A5D" w:rsidRDefault="00E25A5D" w:rsidP="00E25A5D"/>
    <w:p w14:paraId="024E6EC9" w14:textId="1FC1377E" w:rsidR="00E25A5D" w:rsidRDefault="00A06114" w:rsidP="00E25A5D">
      <w:pPr>
        <w:jc w:val="both"/>
        <w:rPr>
          <w:rFonts w:asciiTheme="minorHAnsi" w:eastAsia="Calibri" w:hAnsiTheme="minorHAnsi" w:cstheme="minorHAnsi"/>
        </w:rPr>
      </w:pPr>
      <w:r>
        <w:rPr>
          <w:rFonts w:asciiTheme="minorHAnsi" w:eastAsia="Calibri" w:hAnsiTheme="minorHAnsi" w:cstheme="minorHAnsi"/>
        </w:rPr>
        <w:t>Efterfølgende er der imidlertid – i AU’s senest opdaterede klimavirkemiddelkatalog fra 2024 – vurderet, at et niveau på cirka 48 g fedtsyre pr. kg tørstof var risikofri</w:t>
      </w:r>
      <w:r w:rsidR="00C25482">
        <w:rPr>
          <w:rFonts w:asciiTheme="minorHAnsi" w:eastAsia="Calibri" w:hAnsiTheme="minorHAnsi" w:cstheme="minorHAnsi"/>
        </w:rPr>
        <w:t>t i</w:t>
      </w:r>
      <w:r>
        <w:rPr>
          <w:rFonts w:asciiTheme="minorHAnsi" w:eastAsia="Calibri" w:hAnsiTheme="minorHAnsi" w:cstheme="minorHAnsi"/>
        </w:rPr>
        <w:t xml:space="preserve"> relation til stofskiftesygdomme og dermed dyrevelfærd</w:t>
      </w:r>
      <w:r>
        <w:rPr>
          <w:rStyle w:val="Fodnotehenvisning"/>
          <w:rFonts w:eastAsia="Calibri" w:cstheme="minorHAnsi"/>
        </w:rPr>
        <w:footnoteReference w:id="5"/>
      </w:r>
      <w:r>
        <w:rPr>
          <w:rFonts w:asciiTheme="minorHAnsi" w:eastAsia="Calibri" w:hAnsiTheme="minorHAnsi" w:cstheme="minorHAnsi"/>
        </w:rPr>
        <w:t>. F</w:t>
      </w:r>
      <w:r w:rsidR="00DD3203">
        <w:rPr>
          <w:rFonts w:asciiTheme="minorHAnsi" w:eastAsia="Calibri" w:hAnsiTheme="minorHAnsi" w:cstheme="minorHAnsi"/>
        </w:rPr>
        <w:t>orslaget lægge</w:t>
      </w:r>
      <w:r>
        <w:rPr>
          <w:rFonts w:asciiTheme="minorHAnsi" w:eastAsia="Calibri" w:hAnsiTheme="minorHAnsi" w:cstheme="minorHAnsi"/>
        </w:rPr>
        <w:t>r</w:t>
      </w:r>
      <w:r w:rsidR="00DD3203">
        <w:rPr>
          <w:rFonts w:asciiTheme="minorHAnsi" w:eastAsia="Calibri" w:hAnsiTheme="minorHAnsi" w:cstheme="minorHAnsi"/>
        </w:rPr>
        <w:t xml:space="preserve"> </w:t>
      </w:r>
      <w:r>
        <w:rPr>
          <w:rFonts w:asciiTheme="minorHAnsi" w:eastAsia="Calibri" w:hAnsiTheme="minorHAnsi" w:cstheme="minorHAnsi"/>
        </w:rPr>
        <w:t xml:space="preserve">derfor </w:t>
      </w:r>
      <w:r w:rsidR="00DD3203">
        <w:rPr>
          <w:rFonts w:asciiTheme="minorHAnsi" w:eastAsia="Calibri" w:hAnsiTheme="minorHAnsi" w:cstheme="minorHAnsi"/>
        </w:rPr>
        <w:t>op til</w:t>
      </w:r>
      <w:r w:rsidR="00C25482">
        <w:rPr>
          <w:rFonts w:asciiTheme="minorHAnsi" w:eastAsia="Calibri" w:hAnsiTheme="minorHAnsi" w:cstheme="minorHAnsi"/>
        </w:rPr>
        <w:t>,</w:t>
      </w:r>
      <w:r w:rsidR="00DD3203">
        <w:rPr>
          <w:rFonts w:asciiTheme="minorHAnsi" w:eastAsia="Calibri" w:hAnsiTheme="minorHAnsi" w:cstheme="minorHAnsi"/>
        </w:rPr>
        <w:t xml:space="preserve"> at malkekøer tildeles 48 g fedtsyre pr kg. tørstof, </w:t>
      </w:r>
      <w:r w:rsidR="00A15AE5">
        <w:rPr>
          <w:rFonts w:asciiTheme="minorHAnsi" w:eastAsia="Calibri" w:hAnsiTheme="minorHAnsi" w:cstheme="minorHAnsi"/>
        </w:rPr>
        <w:t xml:space="preserve">idet der samtidig ikke gøres undtagelse </w:t>
      </w:r>
      <w:r w:rsidR="00DD3203">
        <w:rPr>
          <w:rFonts w:asciiTheme="minorHAnsi" w:eastAsia="Calibri" w:hAnsiTheme="minorHAnsi" w:cstheme="minorHAnsi"/>
        </w:rPr>
        <w:t>for køer</w:t>
      </w:r>
      <w:r w:rsidR="00734564">
        <w:rPr>
          <w:rFonts w:asciiTheme="minorHAnsi" w:eastAsia="Calibri" w:hAnsiTheme="minorHAnsi" w:cstheme="minorHAnsi"/>
        </w:rPr>
        <w:t xml:space="preserve"> i tidlig laktation</w:t>
      </w:r>
      <w:r w:rsidR="00C25482">
        <w:rPr>
          <w:rFonts w:asciiTheme="minorHAnsi" w:eastAsia="Calibri" w:hAnsiTheme="minorHAnsi" w:cstheme="minorHAnsi"/>
        </w:rPr>
        <w:t>.</w:t>
      </w:r>
      <w:r w:rsidR="00DD3203">
        <w:rPr>
          <w:rFonts w:asciiTheme="minorHAnsi" w:eastAsia="Calibri" w:hAnsiTheme="minorHAnsi" w:cstheme="minorHAnsi"/>
        </w:rPr>
        <w:t xml:space="preserve"> På denne baggrund vurderes det, at der ikke </w:t>
      </w:r>
      <w:r w:rsidR="00DD3203">
        <w:rPr>
          <w:rFonts w:asciiTheme="minorHAnsi" w:eastAsia="Calibri" w:hAnsiTheme="minorHAnsi" w:cstheme="minorHAnsi"/>
        </w:rPr>
        <w:lastRenderedPageBreak/>
        <w:t xml:space="preserve">vil være dyrevelfærdsmæssige konsekvenser forbundet med </w:t>
      </w:r>
      <w:r w:rsidR="00C25482">
        <w:rPr>
          <w:rFonts w:asciiTheme="minorHAnsi" w:eastAsia="Calibri" w:hAnsiTheme="minorHAnsi" w:cstheme="minorHAnsi"/>
        </w:rPr>
        <w:t xml:space="preserve">tildeling af øget andel af </w:t>
      </w:r>
      <w:r w:rsidR="00DD3203">
        <w:rPr>
          <w:rFonts w:asciiTheme="minorHAnsi" w:eastAsia="Calibri" w:hAnsiTheme="minorHAnsi" w:cstheme="minorHAnsi"/>
        </w:rPr>
        <w:t xml:space="preserve">fedt som foreslået. </w:t>
      </w:r>
    </w:p>
    <w:p w14:paraId="136D90AB" w14:textId="505DA0B3" w:rsidR="00E25A5D" w:rsidRDefault="00E25A5D" w:rsidP="00E25A5D">
      <w:pPr>
        <w:jc w:val="both"/>
        <w:rPr>
          <w:rFonts w:asciiTheme="minorHAnsi" w:eastAsia="Calibri" w:hAnsiTheme="minorHAnsi" w:cstheme="minorHAnsi"/>
        </w:rPr>
      </w:pPr>
    </w:p>
    <w:p w14:paraId="7F262B24" w14:textId="01FCA2E5" w:rsidR="00565161" w:rsidRDefault="00565161" w:rsidP="00565161">
      <w:r>
        <w:t xml:space="preserve">I forhold til </w:t>
      </w:r>
      <w:r w:rsidR="00AB7334">
        <w:t>3-NOP</w:t>
      </w:r>
      <w:r>
        <w:t xml:space="preserve"> bemærkes, at EU-Kommissionen</w:t>
      </w:r>
      <w:r w:rsidR="0051029B">
        <w:t>s</w:t>
      </w:r>
      <w:r>
        <w:t xml:space="preserve"> godkende</w:t>
      </w:r>
      <w:r w:rsidR="0051029B">
        <w:t>lse fra 2022</w:t>
      </w:r>
      <w:r w:rsidR="0051029B" w:rsidRPr="0051029B">
        <w:t xml:space="preserve"> </w:t>
      </w:r>
      <w:r w:rsidR="0051029B">
        <w:t xml:space="preserve">bl.a. baserer sig på </w:t>
      </w:r>
      <w:r>
        <w:t xml:space="preserve">en risikovurdering udført af Den Europæiske Fødevaresikkerhedsautoritet (EFSA) </w:t>
      </w:r>
      <w:r w:rsidRPr="00561F3B">
        <w:t>med fokus på effektivitet, dyresundhed og fødevaresikkerhed</w:t>
      </w:r>
      <w:r>
        <w:t>.</w:t>
      </w:r>
      <w:r w:rsidRPr="00AA78D5">
        <w:t xml:space="preserve"> </w:t>
      </w:r>
      <w:r w:rsidR="00AB7334">
        <w:t>3-NOP</w:t>
      </w:r>
      <w:r>
        <w:t xml:space="preserve"> </w:t>
      </w:r>
      <w:r w:rsidR="0051029B">
        <w:t xml:space="preserve">blev herved </w:t>
      </w:r>
      <w:r>
        <w:t>vurderet sikkert at anvende i EU, og produktet markedsføres allerede i dag.</w:t>
      </w:r>
      <w:r w:rsidRPr="00683FAC">
        <w:t xml:space="preserve"> </w:t>
      </w:r>
      <w:r>
        <w:t xml:space="preserve">EU-godkendte fodertilsætningsstoffer </w:t>
      </w:r>
      <w:r w:rsidR="001777F3">
        <w:t>baseret på 3-NOP</w:t>
      </w:r>
      <w:r>
        <w:t xml:space="preserve"> vurderes på det grundlag ikke at medføre dyrevelfærdsmæssige forringelser. </w:t>
      </w:r>
    </w:p>
    <w:p w14:paraId="69F430EA" w14:textId="77777777" w:rsidR="00565161" w:rsidRDefault="00565161" w:rsidP="00E25A5D"/>
    <w:p w14:paraId="440CE8D4" w14:textId="7AEEBAD6" w:rsidR="00E25A5D" w:rsidRDefault="00565161" w:rsidP="00E25A5D">
      <w:r>
        <w:t>Det bemærkes</w:t>
      </w:r>
      <w:r w:rsidR="0051029B">
        <w:t xml:space="preserve"> hertil også</w:t>
      </w:r>
      <w:r>
        <w:t xml:space="preserve">, at det fremgår af </w:t>
      </w:r>
      <w:r w:rsidR="0051029B">
        <w:t xml:space="preserve">den politiske aftale </w:t>
      </w:r>
      <w:r w:rsidR="00A15AE5">
        <w:t>af 15</w:t>
      </w:r>
      <w:r w:rsidR="00AB7334">
        <w:t xml:space="preserve">. april </w:t>
      </w:r>
      <w:r w:rsidR="00A15AE5">
        <w:t xml:space="preserve">2024 </w:t>
      </w:r>
      <w:r w:rsidR="0051029B">
        <w:t xml:space="preserve">om </w:t>
      </w:r>
      <w:r w:rsidR="00A15AE5">
        <w:t>G</w:t>
      </w:r>
      <w:r w:rsidR="0051029B">
        <w:t xml:space="preserve">røn </w:t>
      </w:r>
      <w:r w:rsidR="00A15AE5">
        <w:t>F</w:t>
      </w:r>
      <w:r w:rsidR="0051029B">
        <w:t>ond, jf. omtalen ovenfor, at pa</w:t>
      </w:r>
      <w:r>
        <w:t>rtierne er enige om at følge, hvordan metanreducerende foder påvirker køernes dyrevelfærd</w:t>
      </w:r>
      <w:r w:rsidR="0051029B">
        <w:t xml:space="preserve">. </w:t>
      </w:r>
      <w:r>
        <w:t>Partierne noterer sig</w:t>
      </w:r>
      <w:r w:rsidR="0051029B">
        <w:t xml:space="preserve"> herved også</w:t>
      </w:r>
      <w:r>
        <w:t>, at regeringen vil prioritere midler til forskning af dette fra pulje afsat med Aftale om fordeling af forskningsreserve mv. 2024 til grøn omstilling af landbruget.</w:t>
      </w:r>
    </w:p>
    <w:p w14:paraId="30E164A6" w14:textId="77777777" w:rsidR="002121E2" w:rsidRDefault="002121E2" w:rsidP="005F254A">
      <w:pPr>
        <w:jc w:val="both"/>
        <w:rPr>
          <w:rFonts w:asciiTheme="minorHAnsi" w:eastAsia="Calibri" w:hAnsiTheme="minorHAnsi" w:cstheme="minorHAnsi"/>
        </w:rPr>
      </w:pPr>
    </w:p>
    <w:p w14:paraId="25065A1E" w14:textId="7B404E35" w:rsidR="008130E7" w:rsidRDefault="008130E7" w:rsidP="009D7498">
      <w:pPr>
        <w:pStyle w:val="Overskrift2"/>
        <w:numPr>
          <w:ilvl w:val="0"/>
          <w:numId w:val="17"/>
        </w:numPr>
      </w:pPr>
      <w:bookmarkStart w:id="19" w:name="_Toc166664937"/>
      <w:r w:rsidRPr="008130E7">
        <w:t xml:space="preserve">Administrative </w:t>
      </w:r>
      <w:r w:rsidR="00C87B16">
        <w:t xml:space="preserve">og økonomiske </w:t>
      </w:r>
      <w:r w:rsidRPr="008130E7">
        <w:t xml:space="preserve">konsekvenser </w:t>
      </w:r>
      <w:r w:rsidR="0064547C">
        <w:t>for erhvervslivet</w:t>
      </w:r>
      <w:bookmarkEnd w:id="19"/>
      <w:r w:rsidRPr="008130E7">
        <w:t xml:space="preserve"> </w:t>
      </w:r>
    </w:p>
    <w:p w14:paraId="4EA60A63" w14:textId="267D8C00" w:rsidR="00766CDB" w:rsidRPr="0051029B" w:rsidRDefault="00766CDB" w:rsidP="009D7498">
      <w:pPr>
        <w:pStyle w:val="Overskrift3"/>
        <w:numPr>
          <w:ilvl w:val="1"/>
          <w:numId w:val="17"/>
        </w:numPr>
        <w:rPr>
          <w:b w:val="0"/>
        </w:rPr>
      </w:pPr>
      <w:bookmarkStart w:id="20" w:name="_Toc166664938"/>
      <w:r w:rsidRPr="0051029B">
        <w:rPr>
          <w:b w:val="0"/>
        </w:rPr>
        <w:t>Administrative konsekvenser</w:t>
      </w:r>
      <w:r w:rsidR="0064547C">
        <w:rPr>
          <w:b w:val="0"/>
        </w:rPr>
        <w:t xml:space="preserve"> for erhvervslivet</w:t>
      </w:r>
      <w:bookmarkEnd w:id="20"/>
      <w:r w:rsidRPr="0051029B">
        <w:rPr>
          <w:b w:val="0"/>
        </w:rPr>
        <w:t xml:space="preserve"> </w:t>
      </w:r>
    </w:p>
    <w:p w14:paraId="71C9C0A6" w14:textId="77777777" w:rsidR="0064547C" w:rsidRDefault="0064547C" w:rsidP="00781CA8"/>
    <w:p w14:paraId="1F4534E5" w14:textId="306516EE" w:rsidR="0061566D" w:rsidRDefault="0061566D" w:rsidP="00781CA8">
      <w:r>
        <w:t xml:space="preserve">De foreslåede regler indebærer, at </w:t>
      </w:r>
      <w:r w:rsidR="0051029B">
        <w:t xml:space="preserve">der bliver krav om, at </w:t>
      </w:r>
      <w:r>
        <w:t xml:space="preserve">landbrugeren på husdyrbrug med </w:t>
      </w:r>
      <w:r w:rsidR="00C25482">
        <w:t xml:space="preserve">flere end </w:t>
      </w:r>
      <w:r>
        <w:t>50 malkekøer (årskøer) som noget nyt skal opbevare fakturaer</w:t>
      </w:r>
      <w:r w:rsidR="00DB4E30">
        <w:t xml:space="preserve"> og anden relevant dokumentation</w:t>
      </w:r>
      <w:r w:rsidR="0051029B">
        <w:t>.</w:t>
      </w:r>
      <w:r>
        <w:t xml:space="preserve"> </w:t>
      </w:r>
      <w:r w:rsidR="0051029B">
        <w:t>Der vurderes at være øgede administrative konsekvenser som følge af forslaget</w:t>
      </w:r>
      <w:r w:rsidR="00DB4E30">
        <w:t xml:space="preserve"> i forbindelse med gennemførelse af kontroller</w:t>
      </w:r>
      <w:r w:rsidR="0051029B">
        <w:t>.</w:t>
      </w:r>
    </w:p>
    <w:p w14:paraId="55D83BDB" w14:textId="77777777" w:rsidR="0051029B" w:rsidRDefault="0051029B" w:rsidP="00781CA8"/>
    <w:p w14:paraId="0724EDA3" w14:textId="2BC18057" w:rsidR="00781CA8" w:rsidRDefault="00781CA8" w:rsidP="00781CA8">
      <w:r>
        <w:t>Udkast til nærværende bekendtgørelse har været sendt i præhøring i Erhvervsstyrelsens Område for Bedre Regulering (OBR). OBR har følgende bemærkninger om de administrative konsekvenser for erhvervslivet:</w:t>
      </w:r>
    </w:p>
    <w:p w14:paraId="39655B34" w14:textId="0068AC51" w:rsidR="00DB4E30" w:rsidRDefault="00DB4E30" w:rsidP="00781CA8"/>
    <w:p w14:paraId="4AA74B69" w14:textId="77BC294F" w:rsidR="00DB4E30" w:rsidRDefault="00DB4E30" w:rsidP="00781CA8">
      <w:r w:rsidRPr="00DB4E30">
        <w:t>OBR vurderer, at bekendtgørelsesudkastet medfører administrative konsekvenser i form af omkostninger for erhvervslivet. De administrative konsekvenser består i, at den ansvarlige for driften skal kunne forevise dokumentation på at kravene fastsat i § 40 er overholdt i forbindelse med kontrol, jf. § 41. OBR vurderer, at de samlede administrative konsekvenserne ikke overstiger bagatelgrænsen for forelæggelsen for Regeringens økonomiudvalg på 4 mio. kr., hvorfor de ikke kvantificeres nærmere.</w:t>
      </w:r>
    </w:p>
    <w:p w14:paraId="50B574E0" w14:textId="1D40E5BA" w:rsidR="0051029B" w:rsidRDefault="0051029B" w:rsidP="00781CA8"/>
    <w:p w14:paraId="4B48EA9B" w14:textId="03B7F240" w:rsidR="00766CDB" w:rsidRDefault="00766CDB" w:rsidP="00766CDB">
      <w:r>
        <w:t xml:space="preserve">Miljøministeriet har vurderet, at Innovations- og Iværksættertjekket ikke er relevant for de konkrete ændringer i bekendtgørelsesudkastet. </w:t>
      </w:r>
      <w:r w:rsidRPr="001E1726">
        <w:t>OBR har ingen bemærkninger hertil</w:t>
      </w:r>
      <w:r w:rsidR="00B0056E" w:rsidRPr="001E1726">
        <w:t>.</w:t>
      </w:r>
    </w:p>
    <w:p w14:paraId="254CFC9C" w14:textId="065D5646" w:rsidR="003D5CB7" w:rsidRPr="00F079B4" w:rsidRDefault="003D5CB7" w:rsidP="009D7498">
      <w:pPr>
        <w:pStyle w:val="Overskrift3"/>
        <w:numPr>
          <w:ilvl w:val="1"/>
          <w:numId w:val="17"/>
        </w:numPr>
        <w:rPr>
          <w:b w:val="0"/>
        </w:rPr>
      </w:pPr>
      <w:bookmarkStart w:id="21" w:name="_Toc166664939"/>
      <w:r w:rsidRPr="00F079B4">
        <w:rPr>
          <w:b w:val="0"/>
        </w:rPr>
        <w:t>Agil erhvervsrettet lovgivning</w:t>
      </w:r>
      <w:bookmarkEnd w:id="21"/>
      <w:r w:rsidRPr="00F079B4">
        <w:rPr>
          <w:b w:val="0"/>
        </w:rPr>
        <w:t xml:space="preserve"> </w:t>
      </w:r>
    </w:p>
    <w:p w14:paraId="3B0E930B" w14:textId="77777777" w:rsidR="0064547C" w:rsidRDefault="0064547C" w:rsidP="00BA05A1"/>
    <w:p w14:paraId="226FF010" w14:textId="1F3E7B58" w:rsidR="00781CA8" w:rsidRDefault="00781CA8" w:rsidP="00BA05A1">
      <w:r w:rsidRPr="00781CA8">
        <w:t xml:space="preserve">Miljøministeriet har vurderet, at principperne for agil erhvervsrettet regulering ikke er relevante for de konkrete ændringer i bekendtgørelsesudkastet. </w:t>
      </w:r>
    </w:p>
    <w:p w14:paraId="1583A120" w14:textId="0C251913" w:rsidR="00BA05A1" w:rsidRDefault="00781CA8" w:rsidP="00BA05A1">
      <w:r w:rsidRPr="001E1726">
        <w:t>OBR har ingen bemærkninger hertil.</w:t>
      </w:r>
    </w:p>
    <w:p w14:paraId="75C901CB" w14:textId="438BABD1" w:rsidR="008130E7" w:rsidRPr="0064547C" w:rsidRDefault="008130E7" w:rsidP="009D7498">
      <w:pPr>
        <w:pStyle w:val="Overskrift3"/>
        <w:numPr>
          <w:ilvl w:val="1"/>
          <w:numId w:val="17"/>
        </w:numPr>
        <w:rPr>
          <w:b w:val="0"/>
        </w:rPr>
      </w:pPr>
      <w:bookmarkStart w:id="22" w:name="_Toc166664940"/>
      <w:r w:rsidRPr="0064547C">
        <w:rPr>
          <w:b w:val="0"/>
        </w:rPr>
        <w:lastRenderedPageBreak/>
        <w:t>Erhvervsøkonomiske konsekvenser</w:t>
      </w:r>
      <w:bookmarkEnd w:id="22"/>
      <w:r w:rsidRPr="0064547C">
        <w:rPr>
          <w:b w:val="0"/>
        </w:rPr>
        <w:t xml:space="preserve"> </w:t>
      </w:r>
    </w:p>
    <w:p w14:paraId="65A50181" w14:textId="77777777" w:rsidR="0064547C" w:rsidRDefault="0064547C" w:rsidP="00F079B4">
      <w:pPr>
        <w:rPr>
          <w:szCs w:val="22"/>
        </w:rPr>
      </w:pPr>
    </w:p>
    <w:p w14:paraId="07FB7ADE" w14:textId="183B58C6" w:rsidR="00F079B4" w:rsidRDefault="00F079B4" w:rsidP="00F079B4">
      <w:r>
        <w:rPr>
          <w:szCs w:val="22"/>
        </w:rPr>
        <w:t xml:space="preserve">Som følge af den politiske aftale af den </w:t>
      </w:r>
      <w:r>
        <w:t xml:space="preserve">15. april 2024 om </w:t>
      </w:r>
      <w:r w:rsidR="00A15AE5">
        <w:t>G</w:t>
      </w:r>
      <w:r>
        <w:t xml:space="preserve">røn </w:t>
      </w:r>
      <w:r w:rsidR="00A15AE5">
        <w:t>F</w:t>
      </w:r>
      <w:r>
        <w:t>ond forventes der at blive etableret en kompensationsordning til dækning af erhvervets udgifter</w:t>
      </w:r>
      <w:r w:rsidR="00A15AE5">
        <w:t xml:space="preserve"> til</w:t>
      </w:r>
      <w:r>
        <w:t xml:space="preserve"> det generelle reduktionskrav i en toårig periode (2025-2026).</w:t>
      </w:r>
    </w:p>
    <w:p w14:paraId="43F67E52" w14:textId="77777777" w:rsidR="00F079B4" w:rsidRDefault="00F079B4" w:rsidP="00F079B4"/>
    <w:p w14:paraId="4F7E8D80" w14:textId="39CF62AA" w:rsidR="00F079B4" w:rsidRDefault="00F079B4" w:rsidP="008130E7">
      <w:pPr>
        <w:rPr>
          <w:szCs w:val="22"/>
        </w:rPr>
      </w:pPr>
      <w:r>
        <w:rPr>
          <w:szCs w:val="22"/>
        </w:rPr>
        <w:t>Efter dette tidspunkt vil erhvervet</w:t>
      </w:r>
      <w:r w:rsidR="007B6845">
        <w:rPr>
          <w:szCs w:val="22"/>
        </w:rPr>
        <w:t>s</w:t>
      </w:r>
      <w:r>
        <w:rPr>
          <w:szCs w:val="22"/>
        </w:rPr>
        <w:t xml:space="preserve"> omkostninger til </w:t>
      </w:r>
      <w:r w:rsidR="00A15AE5">
        <w:rPr>
          <w:szCs w:val="22"/>
        </w:rPr>
        <w:t xml:space="preserve">at </w:t>
      </w:r>
      <w:r>
        <w:rPr>
          <w:szCs w:val="22"/>
        </w:rPr>
        <w:t>opfylde kravet være som følger:</w:t>
      </w:r>
    </w:p>
    <w:p w14:paraId="434B4DCD" w14:textId="3AF49654" w:rsidR="00F079B4" w:rsidRDefault="00F079B4" w:rsidP="008130E7">
      <w:pPr>
        <w:rPr>
          <w:szCs w:val="22"/>
        </w:rPr>
      </w:pPr>
    </w:p>
    <w:p w14:paraId="5437DAB9" w14:textId="7DA8DFAA" w:rsidR="00F079B4" w:rsidRDefault="00F079B4" w:rsidP="008130E7">
      <w:pPr>
        <w:rPr>
          <w:szCs w:val="22"/>
        </w:rPr>
      </w:pPr>
      <w:r>
        <w:rPr>
          <w:szCs w:val="22"/>
        </w:rPr>
        <w:t xml:space="preserve">Tabel </w:t>
      </w:r>
      <w:r w:rsidR="00D821E9">
        <w:rPr>
          <w:szCs w:val="22"/>
        </w:rPr>
        <w:t xml:space="preserve">2. </w:t>
      </w:r>
      <w:r>
        <w:rPr>
          <w:szCs w:val="22"/>
        </w:rPr>
        <w:t xml:space="preserve"> Erhvervsøkonomiske omkostninger efter 2026 </w:t>
      </w:r>
    </w:p>
    <w:p w14:paraId="4D489411" w14:textId="613EAFE6" w:rsidR="00BE3710" w:rsidRDefault="00BE3710" w:rsidP="008130E7">
      <w:pPr>
        <w:rPr>
          <w:szCs w:val="22"/>
        </w:rPr>
      </w:pPr>
    </w:p>
    <w:tbl>
      <w:tblPr>
        <w:tblStyle w:val="Tabel-Gitter"/>
        <w:tblW w:w="0" w:type="auto"/>
        <w:tblLook w:val="04A0" w:firstRow="1" w:lastRow="0" w:firstColumn="1" w:lastColumn="0" w:noHBand="0" w:noVBand="1"/>
      </w:tblPr>
      <w:tblGrid>
        <w:gridCol w:w="3651"/>
        <w:gridCol w:w="3652"/>
      </w:tblGrid>
      <w:tr w:rsidR="00F079B4" w14:paraId="6AD759E7" w14:textId="77777777" w:rsidTr="00F079B4">
        <w:tc>
          <w:tcPr>
            <w:tcW w:w="3651" w:type="dxa"/>
          </w:tcPr>
          <w:p w14:paraId="1EFC2943" w14:textId="4153610F" w:rsidR="00F079B4" w:rsidRPr="00B92C6F" w:rsidRDefault="00F079B4" w:rsidP="008130E7">
            <w:pPr>
              <w:rPr>
                <w:b/>
                <w:szCs w:val="22"/>
              </w:rPr>
            </w:pPr>
            <w:r w:rsidRPr="00B92C6F">
              <w:rPr>
                <w:b/>
                <w:szCs w:val="22"/>
              </w:rPr>
              <w:t xml:space="preserve">Øget </w:t>
            </w:r>
            <w:r w:rsidR="00AF23FF" w:rsidRPr="00AF23FF">
              <w:rPr>
                <w:b/>
                <w:szCs w:val="22"/>
              </w:rPr>
              <w:t>fedtandel i foderet</w:t>
            </w:r>
          </w:p>
        </w:tc>
        <w:tc>
          <w:tcPr>
            <w:tcW w:w="3652" w:type="dxa"/>
          </w:tcPr>
          <w:p w14:paraId="4AC7B77F" w14:textId="1AE6ACA1" w:rsidR="00F079B4" w:rsidRPr="00B92C6F" w:rsidRDefault="00583D34" w:rsidP="008130E7">
            <w:pPr>
              <w:rPr>
                <w:b/>
                <w:szCs w:val="22"/>
              </w:rPr>
            </w:pPr>
            <w:r w:rsidRPr="00583D34">
              <w:rPr>
                <w:b/>
                <w:szCs w:val="22"/>
              </w:rPr>
              <w:t>Fodertilsætningsstoffer indeholdende 3-NOP</w:t>
            </w:r>
          </w:p>
        </w:tc>
      </w:tr>
      <w:tr w:rsidR="00F079B4" w14:paraId="14F81DB4" w14:textId="77777777" w:rsidTr="00F079B4">
        <w:tc>
          <w:tcPr>
            <w:tcW w:w="3651" w:type="dxa"/>
          </w:tcPr>
          <w:p w14:paraId="2BA3479B" w14:textId="6982648E" w:rsidR="00F079B4" w:rsidRPr="00B92C6F" w:rsidRDefault="00F079B4" w:rsidP="008130E7">
            <w:pPr>
              <w:rPr>
                <w:sz w:val="18"/>
                <w:szCs w:val="18"/>
              </w:rPr>
            </w:pPr>
            <w:r w:rsidRPr="00B92C6F">
              <w:rPr>
                <w:sz w:val="18"/>
                <w:szCs w:val="18"/>
              </w:rPr>
              <w:t xml:space="preserve">Samlede, årlige </w:t>
            </w:r>
            <w:r w:rsidR="00B92C6F" w:rsidRPr="00B92C6F">
              <w:rPr>
                <w:sz w:val="18"/>
                <w:szCs w:val="18"/>
              </w:rPr>
              <w:t xml:space="preserve">udgifter: </w:t>
            </w:r>
            <w:r w:rsidR="00043105">
              <w:rPr>
                <w:sz w:val="18"/>
                <w:szCs w:val="18"/>
              </w:rPr>
              <w:t>[10</w:t>
            </w:r>
            <w:r w:rsidR="00620976">
              <w:rPr>
                <w:sz w:val="18"/>
                <w:szCs w:val="18"/>
              </w:rPr>
              <w:t>2</w:t>
            </w:r>
            <w:r w:rsidR="00043105">
              <w:rPr>
                <w:sz w:val="18"/>
                <w:szCs w:val="18"/>
              </w:rPr>
              <w:t xml:space="preserve"> mio.kr.]</w:t>
            </w:r>
          </w:p>
        </w:tc>
        <w:tc>
          <w:tcPr>
            <w:tcW w:w="3652" w:type="dxa"/>
          </w:tcPr>
          <w:p w14:paraId="31FEBF28" w14:textId="612C5C3F" w:rsidR="00F079B4" w:rsidRPr="00B92C6F" w:rsidRDefault="00B92C6F" w:rsidP="008130E7">
            <w:pPr>
              <w:rPr>
                <w:sz w:val="18"/>
                <w:szCs w:val="18"/>
              </w:rPr>
            </w:pPr>
            <w:r w:rsidRPr="00B92C6F">
              <w:rPr>
                <w:sz w:val="18"/>
                <w:szCs w:val="18"/>
              </w:rPr>
              <w:t>Samlede, årlige udgifter:</w:t>
            </w:r>
            <w:r w:rsidR="00043105">
              <w:rPr>
                <w:sz w:val="18"/>
                <w:szCs w:val="18"/>
              </w:rPr>
              <w:t xml:space="preserve"> [60 mio.kr.]</w:t>
            </w:r>
          </w:p>
        </w:tc>
      </w:tr>
      <w:tr w:rsidR="00F079B4" w14:paraId="0E273115" w14:textId="77777777" w:rsidTr="00F079B4">
        <w:tc>
          <w:tcPr>
            <w:tcW w:w="3651" w:type="dxa"/>
          </w:tcPr>
          <w:p w14:paraId="76A98C28" w14:textId="1AE0CC04" w:rsidR="00F079B4" w:rsidRPr="00B92C6F" w:rsidRDefault="00B92C6F" w:rsidP="008130E7">
            <w:pPr>
              <w:rPr>
                <w:sz w:val="18"/>
                <w:szCs w:val="18"/>
              </w:rPr>
            </w:pPr>
            <w:r w:rsidRPr="00B92C6F">
              <w:rPr>
                <w:sz w:val="18"/>
                <w:szCs w:val="18"/>
              </w:rPr>
              <w:t>Pr. årsko</w:t>
            </w:r>
            <w:r>
              <w:rPr>
                <w:sz w:val="18"/>
                <w:szCs w:val="18"/>
              </w:rPr>
              <w:t>:</w:t>
            </w:r>
            <w:r w:rsidR="00734564">
              <w:rPr>
                <w:sz w:val="18"/>
                <w:szCs w:val="18"/>
              </w:rPr>
              <w:t xml:space="preserve"> </w:t>
            </w:r>
            <w:r w:rsidR="00256B89">
              <w:rPr>
                <w:sz w:val="18"/>
                <w:szCs w:val="18"/>
              </w:rPr>
              <w:t>[2</w:t>
            </w:r>
            <w:r w:rsidR="00620976">
              <w:rPr>
                <w:sz w:val="18"/>
                <w:szCs w:val="18"/>
              </w:rPr>
              <w:t>22</w:t>
            </w:r>
            <w:r w:rsidR="00043105">
              <w:rPr>
                <w:sz w:val="18"/>
                <w:szCs w:val="18"/>
              </w:rPr>
              <w:t xml:space="preserve"> </w:t>
            </w:r>
            <w:r w:rsidR="00256B89">
              <w:rPr>
                <w:sz w:val="18"/>
                <w:szCs w:val="18"/>
              </w:rPr>
              <w:t>kr</w:t>
            </w:r>
            <w:r w:rsidR="006329E8">
              <w:rPr>
                <w:sz w:val="18"/>
                <w:szCs w:val="18"/>
              </w:rPr>
              <w:t>.</w:t>
            </w:r>
            <w:r w:rsidR="00043105">
              <w:rPr>
                <w:sz w:val="18"/>
                <w:szCs w:val="18"/>
              </w:rPr>
              <w:t>]</w:t>
            </w:r>
          </w:p>
        </w:tc>
        <w:tc>
          <w:tcPr>
            <w:tcW w:w="3652" w:type="dxa"/>
          </w:tcPr>
          <w:p w14:paraId="6172DA22" w14:textId="77561144" w:rsidR="00F079B4" w:rsidRPr="00B92C6F" w:rsidRDefault="00B92C6F" w:rsidP="008130E7">
            <w:pPr>
              <w:rPr>
                <w:sz w:val="18"/>
                <w:szCs w:val="18"/>
              </w:rPr>
            </w:pPr>
            <w:r w:rsidRPr="00B92C6F">
              <w:rPr>
                <w:sz w:val="18"/>
                <w:szCs w:val="18"/>
              </w:rPr>
              <w:t>Pr. årsko</w:t>
            </w:r>
            <w:r>
              <w:rPr>
                <w:sz w:val="18"/>
                <w:szCs w:val="18"/>
              </w:rPr>
              <w:t>:</w:t>
            </w:r>
            <w:r w:rsidR="000E55BD">
              <w:rPr>
                <w:sz w:val="18"/>
                <w:szCs w:val="18"/>
              </w:rPr>
              <w:t xml:space="preserve"> [135</w:t>
            </w:r>
            <w:r w:rsidR="00043105">
              <w:rPr>
                <w:sz w:val="18"/>
                <w:szCs w:val="18"/>
              </w:rPr>
              <w:t xml:space="preserve"> kr.</w:t>
            </w:r>
            <w:r w:rsidR="000E55BD">
              <w:rPr>
                <w:sz w:val="18"/>
                <w:szCs w:val="18"/>
              </w:rPr>
              <w:t>]</w:t>
            </w:r>
          </w:p>
        </w:tc>
      </w:tr>
    </w:tbl>
    <w:p w14:paraId="6876E835" w14:textId="529968BB" w:rsidR="00BE3710" w:rsidRDefault="00BE3710" w:rsidP="008130E7">
      <w:pPr>
        <w:rPr>
          <w:szCs w:val="22"/>
        </w:rPr>
      </w:pPr>
    </w:p>
    <w:p w14:paraId="62539E08" w14:textId="2EDCEF50" w:rsidR="00D821E9" w:rsidRDefault="00D821E9" w:rsidP="008130E7">
      <w:pPr>
        <w:rPr>
          <w:szCs w:val="22"/>
        </w:rPr>
      </w:pPr>
      <w:r>
        <w:rPr>
          <w:szCs w:val="22"/>
        </w:rPr>
        <w:t>Det lægges til grund, at der vælges den billigste form, hvorved de samlede, årlige udgifter vil være 60 mio. kr.</w:t>
      </w:r>
    </w:p>
    <w:p w14:paraId="7845F535" w14:textId="77777777" w:rsidR="00D821E9" w:rsidRDefault="00D821E9" w:rsidP="008130E7">
      <w:pPr>
        <w:rPr>
          <w:szCs w:val="22"/>
        </w:rPr>
      </w:pPr>
    </w:p>
    <w:p w14:paraId="5AB9D958" w14:textId="3ECBFFF0" w:rsidR="00B92C6F" w:rsidRDefault="00C65C06" w:rsidP="008130E7">
      <w:pPr>
        <w:rPr>
          <w:szCs w:val="22"/>
        </w:rPr>
      </w:pPr>
      <w:r>
        <w:rPr>
          <w:szCs w:val="22"/>
        </w:rPr>
        <w:t xml:space="preserve">Der indgik ikke </w:t>
      </w:r>
      <w:r w:rsidR="00B92C6F">
        <w:rPr>
          <w:szCs w:val="22"/>
        </w:rPr>
        <w:t>medfølgende kompensation</w:t>
      </w:r>
      <w:r>
        <w:rPr>
          <w:szCs w:val="22"/>
        </w:rPr>
        <w:t xml:space="preserve"> til erhvervet i landbrugsaftalen</w:t>
      </w:r>
      <w:r w:rsidR="00B92C6F">
        <w:rPr>
          <w:szCs w:val="22"/>
        </w:rPr>
        <w:t>.</w:t>
      </w:r>
    </w:p>
    <w:p w14:paraId="2C5077C2" w14:textId="4870132D" w:rsidR="00B92C6F" w:rsidRDefault="00B92C6F" w:rsidP="008130E7">
      <w:pPr>
        <w:rPr>
          <w:szCs w:val="22"/>
        </w:rPr>
      </w:pPr>
    </w:p>
    <w:p w14:paraId="0E9C8D34" w14:textId="37B5CFAF" w:rsidR="0064547C" w:rsidRDefault="0064547C" w:rsidP="001408A2">
      <w:pPr>
        <w:pStyle w:val="Overskrift2"/>
        <w:numPr>
          <w:ilvl w:val="0"/>
          <w:numId w:val="17"/>
        </w:numPr>
      </w:pPr>
      <w:bookmarkStart w:id="23" w:name="_Toc166664941"/>
      <w:r>
        <w:t>Administrative og økonomiske konsekvenser for det offentlige</w:t>
      </w:r>
      <w:bookmarkEnd w:id="23"/>
    </w:p>
    <w:p w14:paraId="35840121" w14:textId="132151B4" w:rsidR="0064547C" w:rsidRPr="001408A2" w:rsidRDefault="0064547C" w:rsidP="001408A2">
      <w:pPr>
        <w:pStyle w:val="Overskrift3"/>
        <w:numPr>
          <w:ilvl w:val="1"/>
          <w:numId w:val="17"/>
        </w:numPr>
        <w:rPr>
          <w:b w:val="0"/>
        </w:rPr>
      </w:pPr>
      <w:bookmarkStart w:id="24" w:name="_Toc166664942"/>
      <w:r w:rsidRPr="001408A2">
        <w:rPr>
          <w:b w:val="0"/>
        </w:rPr>
        <w:t>Administrative og økonomiske konsekvenser for staten</w:t>
      </w:r>
      <w:bookmarkEnd w:id="24"/>
    </w:p>
    <w:p w14:paraId="6C81E3E0" w14:textId="77777777" w:rsidR="001408A2" w:rsidRDefault="001408A2" w:rsidP="0064547C">
      <w:pPr>
        <w:rPr>
          <w:szCs w:val="22"/>
        </w:rPr>
      </w:pPr>
    </w:p>
    <w:p w14:paraId="3308240C" w14:textId="004830B9" w:rsidR="00E17555" w:rsidRDefault="009F5818" w:rsidP="0064547C">
      <w:pPr>
        <w:rPr>
          <w:szCs w:val="22"/>
        </w:rPr>
      </w:pPr>
      <w:bookmarkStart w:id="25" w:name="_Hlk164433755"/>
      <w:r>
        <w:rPr>
          <w:szCs w:val="22"/>
        </w:rPr>
        <w:t>De statslige udgifter knytter sig til tilsyn og håndhævelse af de nye regler. Ved indgåelse af landbrugsaftalen blev det forudsat, at kontrollen ville indgå i det kommunale miljøtilsyn</w:t>
      </w:r>
      <w:r w:rsidR="00E17555">
        <w:rPr>
          <w:szCs w:val="22"/>
        </w:rPr>
        <w:t>, der følger af reglerne i husdyrbruglovens kap. 5</w:t>
      </w:r>
      <w:r>
        <w:rPr>
          <w:szCs w:val="22"/>
        </w:rPr>
        <w:t xml:space="preserve">. </w:t>
      </w:r>
    </w:p>
    <w:p w14:paraId="0A56BB79" w14:textId="77777777" w:rsidR="00E17555" w:rsidRDefault="00E17555" w:rsidP="0064547C">
      <w:pPr>
        <w:rPr>
          <w:szCs w:val="22"/>
        </w:rPr>
      </w:pPr>
    </w:p>
    <w:p w14:paraId="23EC8F90" w14:textId="6F1C1D38" w:rsidR="000E7C37" w:rsidRDefault="009F5818" w:rsidP="000E7C37">
      <w:pPr>
        <w:rPr>
          <w:szCs w:val="22"/>
        </w:rPr>
      </w:pPr>
      <w:r>
        <w:rPr>
          <w:szCs w:val="22"/>
        </w:rPr>
        <w:t xml:space="preserve">Det vurderes dog mere hensigtsmæssigt at placere tilsyn og håndhævelse i tilknytning til </w:t>
      </w:r>
      <w:r w:rsidR="00E17555">
        <w:rPr>
          <w:szCs w:val="22"/>
        </w:rPr>
        <w:t xml:space="preserve">den </w:t>
      </w:r>
      <w:r>
        <w:rPr>
          <w:szCs w:val="22"/>
        </w:rPr>
        <w:t>kontrol</w:t>
      </w:r>
      <w:r w:rsidR="00E17555">
        <w:rPr>
          <w:szCs w:val="22"/>
        </w:rPr>
        <w:t xml:space="preserve">, som Fødevarestyrelsen og Landbrugsstyrelsen i forvejen udfører </w:t>
      </w:r>
      <w:r>
        <w:rPr>
          <w:szCs w:val="22"/>
        </w:rPr>
        <w:t xml:space="preserve">på de omfattede malkekvægbedrifter. </w:t>
      </w:r>
      <w:r w:rsidR="00E17555">
        <w:rPr>
          <w:szCs w:val="22"/>
        </w:rPr>
        <w:t xml:space="preserve">På denne baggrund </w:t>
      </w:r>
      <w:r w:rsidR="00B265CE">
        <w:rPr>
          <w:szCs w:val="22"/>
        </w:rPr>
        <w:t xml:space="preserve">foreslås </w:t>
      </w:r>
      <w:r w:rsidR="00E17555">
        <w:rPr>
          <w:szCs w:val="22"/>
        </w:rPr>
        <w:t xml:space="preserve">husdyrbruglovens tilsyns- og håndhævelsesregler delegeret fra miljøministeren til </w:t>
      </w:r>
      <w:r w:rsidR="00477BFF">
        <w:rPr>
          <w:szCs w:val="22"/>
        </w:rPr>
        <w:t>F</w:t>
      </w:r>
      <w:r w:rsidR="00E17555">
        <w:rPr>
          <w:szCs w:val="22"/>
        </w:rPr>
        <w:t>ødevare</w:t>
      </w:r>
      <w:r w:rsidR="00477BFF">
        <w:rPr>
          <w:szCs w:val="22"/>
        </w:rPr>
        <w:t>styrelsen</w:t>
      </w:r>
      <w:r w:rsidR="00A15AE5">
        <w:rPr>
          <w:szCs w:val="22"/>
        </w:rPr>
        <w:t>,</w:t>
      </w:r>
      <w:r w:rsidR="00E17555">
        <w:rPr>
          <w:szCs w:val="22"/>
        </w:rPr>
        <w:t xml:space="preserve"> for så vidt angår kontrol af om de nye foderkrav, herunder regler om </w:t>
      </w:r>
      <w:r w:rsidR="00B265CE">
        <w:rPr>
          <w:szCs w:val="22"/>
        </w:rPr>
        <w:t xml:space="preserve">dokumentation </w:t>
      </w:r>
      <w:r w:rsidR="00E17555">
        <w:rPr>
          <w:szCs w:val="22"/>
        </w:rPr>
        <w:t xml:space="preserve">mv., overholdes. </w:t>
      </w:r>
    </w:p>
    <w:p w14:paraId="1D5D70AC" w14:textId="77777777" w:rsidR="000E7C37" w:rsidRDefault="000E7C37" w:rsidP="000E7C37">
      <w:pPr>
        <w:rPr>
          <w:szCs w:val="22"/>
        </w:rPr>
      </w:pPr>
    </w:p>
    <w:p w14:paraId="737E8253" w14:textId="203CB8C0" w:rsidR="000E7C37" w:rsidRDefault="00E17555" w:rsidP="000E7C37">
      <w:pPr>
        <w:rPr>
          <w:szCs w:val="22"/>
        </w:rPr>
      </w:pPr>
      <w:r>
        <w:rPr>
          <w:szCs w:val="22"/>
        </w:rPr>
        <w:t xml:space="preserve">Tilsynet vil foregå som stikprøvekontroller </w:t>
      </w:r>
      <w:r w:rsidR="00A31B41">
        <w:rPr>
          <w:szCs w:val="22"/>
        </w:rPr>
        <w:t xml:space="preserve">på udvalgte bedrifter. Der vil ske kontrol </w:t>
      </w:r>
      <w:r w:rsidR="00A40046">
        <w:rPr>
          <w:szCs w:val="22"/>
        </w:rPr>
        <w:t xml:space="preserve">via evt. </w:t>
      </w:r>
      <w:r w:rsidR="00A31B41">
        <w:rPr>
          <w:szCs w:val="22"/>
        </w:rPr>
        <w:t>foderplaner</w:t>
      </w:r>
      <w:r w:rsidR="00A40046">
        <w:rPr>
          <w:szCs w:val="22"/>
        </w:rPr>
        <w:t xml:space="preserve">, </w:t>
      </w:r>
      <w:r w:rsidR="00A31B41">
        <w:rPr>
          <w:szCs w:val="22"/>
        </w:rPr>
        <w:t>fakturaer</w:t>
      </w:r>
      <w:r w:rsidR="00A40046">
        <w:rPr>
          <w:szCs w:val="22"/>
        </w:rPr>
        <w:t>, lagerbeholdning, blanderecepter, opgørelser over forbrugt</w:t>
      </w:r>
      <w:r w:rsidR="004F31DB">
        <w:rPr>
          <w:szCs w:val="22"/>
        </w:rPr>
        <w:t xml:space="preserve"> </w:t>
      </w:r>
      <w:r w:rsidR="00A40046">
        <w:rPr>
          <w:szCs w:val="22"/>
        </w:rPr>
        <w:t xml:space="preserve">foder mv. </w:t>
      </w:r>
      <w:r w:rsidR="004F31DB">
        <w:rPr>
          <w:szCs w:val="22"/>
        </w:rPr>
        <w:t>for at kontrollere</w:t>
      </w:r>
      <w:r w:rsidR="00A40046">
        <w:rPr>
          <w:szCs w:val="22"/>
        </w:rPr>
        <w:t xml:space="preserve">, at </w:t>
      </w:r>
      <w:r w:rsidR="004F31DB">
        <w:rPr>
          <w:szCs w:val="22"/>
        </w:rPr>
        <w:t xml:space="preserve">anvendelse </w:t>
      </w:r>
      <w:r w:rsidR="00A40046">
        <w:rPr>
          <w:szCs w:val="22"/>
        </w:rPr>
        <w:t xml:space="preserve">er sket </w:t>
      </w:r>
      <w:r w:rsidR="004F31DB">
        <w:rPr>
          <w:szCs w:val="22"/>
        </w:rPr>
        <w:t>i nødvendigt omfang</w:t>
      </w:r>
      <w:bookmarkStart w:id="26" w:name="_Hlk165185059"/>
      <w:r w:rsidR="000E7C37">
        <w:rPr>
          <w:szCs w:val="22"/>
        </w:rPr>
        <w:t xml:space="preserve">. Derudover vil der blive foretaget enkelte analyser af foderet med henblik på verifikation af indholdsstofferne.    </w:t>
      </w:r>
    </w:p>
    <w:bookmarkEnd w:id="26"/>
    <w:p w14:paraId="575A90A7" w14:textId="77777777" w:rsidR="000E7C37" w:rsidRDefault="000E7C37" w:rsidP="000E7C37">
      <w:pPr>
        <w:rPr>
          <w:szCs w:val="22"/>
        </w:rPr>
      </w:pPr>
    </w:p>
    <w:p w14:paraId="4FA84E40" w14:textId="145AB25B" w:rsidR="00A31B41" w:rsidRDefault="00A31B41" w:rsidP="0064547C">
      <w:pPr>
        <w:rPr>
          <w:szCs w:val="22"/>
        </w:rPr>
      </w:pPr>
      <w:r>
        <w:rPr>
          <w:szCs w:val="22"/>
        </w:rPr>
        <w:t>Der vil både være engangsu</w:t>
      </w:r>
      <w:r w:rsidR="004F31DB">
        <w:rPr>
          <w:szCs w:val="22"/>
        </w:rPr>
        <w:t>d</w:t>
      </w:r>
      <w:r>
        <w:rPr>
          <w:szCs w:val="22"/>
        </w:rPr>
        <w:t>gifter i form af startomkostninger og løbende, årlige omkostninger. Udgifterne fremgår nedenfor tabel 3.</w:t>
      </w:r>
    </w:p>
    <w:tbl>
      <w:tblPr>
        <w:tblStyle w:val="Tabelgitter-lys"/>
        <w:tblpPr w:leftFromText="141" w:rightFromText="141" w:vertAnchor="text" w:horzAnchor="margin" w:tblpY="190"/>
        <w:tblW w:w="8031" w:type="dxa"/>
        <w:tblLook w:val="04A0" w:firstRow="1" w:lastRow="0" w:firstColumn="1" w:lastColumn="0" w:noHBand="0" w:noVBand="1"/>
      </w:tblPr>
      <w:tblGrid>
        <w:gridCol w:w="222"/>
        <w:gridCol w:w="7761"/>
        <w:gridCol w:w="222"/>
      </w:tblGrid>
      <w:tr w:rsidR="00A31B41" w14:paraId="4DD32B79" w14:textId="77777777" w:rsidTr="00572F47">
        <w:trPr>
          <w:trHeight w:val="2937"/>
        </w:trPr>
        <w:tc>
          <w:tcPr>
            <w:tcW w:w="335" w:type="dxa"/>
          </w:tcPr>
          <w:p w14:paraId="6CF15E56" w14:textId="77777777" w:rsidR="00A31B41" w:rsidRDefault="00A31B41" w:rsidP="00A31B41">
            <w:pPr>
              <w:ind w:left="-284"/>
            </w:pPr>
          </w:p>
        </w:tc>
        <w:tc>
          <w:tcPr>
            <w:tcW w:w="7553" w:type="dxa"/>
          </w:tcPr>
          <w:p w14:paraId="26996956" w14:textId="77777777" w:rsidR="00A31B41" w:rsidRDefault="00A31B41" w:rsidP="00A31B41">
            <w:pPr>
              <w:pStyle w:val="Billedtekst"/>
              <w:spacing w:line="260" w:lineRule="atLeast"/>
            </w:pPr>
            <w:r>
              <w:t>Tabel 3</w:t>
            </w:r>
          </w:p>
          <w:p w14:paraId="666ACFB9" w14:textId="0F73BF61" w:rsidR="00A31B41" w:rsidRDefault="00A31B41" w:rsidP="00A31B41">
            <w:r>
              <w:t xml:space="preserve">Økonomiske konsekvenser for </w:t>
            </w:r>
            <w:r w:rsidR="004F31DB">
              <w:t>staten</w:t>
            </w:r>
            <w:r>
              <w:t xml:space="preserve">, mio. kr. </w:t>
            </w:r>
          </w:p>
          <w:tbl>
            <w:tblPr>
              <w:tblW w:w="7545" w:type="dxa"/>
              <w:tblCellMar>
                <w:left w:w="0" w:type="dxa"/>
                <w:right w:w="0" w:type="dxa"/>
              </w:tblCellMar>
              <w:tblLook w:val="04A0" w:firstRow="1" w:lastRow="0" w:firstColumn="1" w:lastColumn="0" w:noHBand="0" w:noVBand="1"/>
            </w:tblPr>
            <w:tblGrid>
              <w:gridCol w:w="2085"/>
              <w:gridCol w:w="910"/>
              <w:gridCol w:w="910"/>
              <w:gridCol w:w="910"/>
              <w:gridCol w:w="910"/>
              <w:gridCol w:w="910"/>
              <w:gridCol w:w="910"/>
            </w:tblGrid>
            <w:tr w:rsidR="00A31B41" w14:paraId="5D361E8E" w14:textId="77777777" w:rsidTr="00A31B41">
              <w:trPr>
                <w:trHeight w:val="249"/>
              </w:trPr>
              <w:tc>
                <w:tcPr>
                  <w:tcW w:w="2085" w:type="dxa"/>
                  <w:tcBorders>
                    <w:top w:val="single" w:sz="8" w:space="0" w:color="ED7D31"/>
                    <w:left w:val="nil"/>
                    <w:bottom w:val="single" w:sz="8" w:space="0" w:color="ED7D31"/>
                    <w:right w:val="nil"/>
                  </w:tcBorders>
                  <w:vAlign w:val="center"/>
                </w:tcPr>
                <w:p w14:paraId="2AAFE7FD" w14:textId="77777777" w:rsidR="00A31B41" w:rsidRDefault="00A31B41" w:rsidP="005B296E">
                  <w:pPr>
                    <w:framePr w:hSpace="141" w:wrap="around" w:vAnchor="text" w:hAnchor="margin" w:y="190"/>
                    <w:rPr>
                      <w:b/>
                      <w:bCs/>
                    </w:rPr>
                  </w:pPr>
                </w:p>
              </w:tc>
              <w:tc>
                <w:tcPr>
                  <w:tcW w:w="910" w:type="dxa"/>
                  <w:tcBorders>
                    <w:top w:val="single" w:sz="8" w:space="0" w:color="ED7D31"/>
                    <w:left w:val="nil"/>
                    <w:bottom w:val="single" w:sz="8" w:space="0" w:color="ED7D31"/>
                    <w:right w:val="nil"/>
                  </w:tcBorders>
                  <w:vAlign w:val="center"/>
                </w:tcPr>
                <w:p w14:paraId="3963B173" w14:textId="77777777" w:rsidR="00A31B41" w:rsidRDefault="00A31B41" w:rsidP="005B296E">
                  <w:pPr>
                    <w:pStyle w:val="Tabel-TekstTotal"/>
                    <w:framePr w:hSpace="141" w:wrap="around" w:vAnchor="text" w:hAnchor="margin" w:y="190"/>
                    <w:rPr>
                      <w:bCs/>
                    </w:rPr>
                  </w:pPr>
                </w:p>
              </w:tc>
              <w:tc>
                <w:tcPr>
                  <w:tcW w:w="910" w:type="dxa"/>
                  <w:tcBorders>
                    <w:top w:val="single" w:sz="8" w:space="0" w:color="ED7D31"/>
                    <w:left w:val="nil"/>
                    <w:bottom w:val="single" w:sz="8" w:space="0" w:color="ED7D31"/>
                    <w:right w:val="nil"/>
                  </w:tcBorders>
                  <w:vAlign w:val="center"/>
                  <w:hideMark/>
                </w:tcPr>
                <w:p w14:paraId="409B48C4" w14:textId="77777777" w:rsidR="00A31B41" w:rsidRDefault="00A31B41" w:rsidP="005B296E">
                  <w:pPr>
                    <w:pStyle w:val="Tabel-TekstTotal"/>
                    <w:framePr w:hSpace="141" w:wrap="around" w:vAnchor="text" w:hAnchor="margin" w:y="190"/>
                  </w:pPr>
                  <w:r>
                    <w:t>2024</w:t>
                  </w:r>
                </w:p>
              </w:tc>
              <w:tc>
                <w:tcPr>
                  <w:tcW w:w="910" w:type="dxa"/>
                  <w:tcBorders>
                    <w:top w:val="single" w:sz="8" w:space="0" w:color="ED7D31"/>
                    <w:left w:val="nil"/>
                    <w:bottom w:val="single" w:sz="8" w:space="0" w:color="ED7D31"/>
                    <w:right w:val="nil"/>
                  </w:tcBorders>
                  <w:vAlign w:val="center"/>
                  <w:hideMark/>
                </w:tcPr>
                <w:p w14:paraId="204365B1" w14:textId="77777777" w:rsidR="00A31B41" w:rsidRDefault="00A31B41" w:rsidP="005B296E">
                  <w:pPr>
                    <w:pStyle w:val="Tabel-TekstTotal"/>
                    <w:framePr w:hSpace="141" w:wrap="around" w:vAnchor="text" w:hAnchor="margin" w:y="190"/>
                  </w:pPr>
                  <w:r>
                    <w:t>2025</w:t>
                  </w:r>
                </w:p>
              </w:tc>
              <w:tc>
                <w:tcPr>
                  <w:tcW w:w="910" w:type="dxa"/>
                  <w:tcBorders>
                    <w:top w:val="single" w:sz="8" w:space="0" w:color="ED7D31"/>
                    <w:left w:val="nil"/>
                    <w:bottom w:val="single" w:sz="8" w:space="0" w:color="ED7D31"/>
                    <w:right w:val="nil"/>
                  </w:tcBorders>
                  <w:vAlign w:val="center"/>
                  <w:hideMark/>
                </w:tcPr>
                <w:p w14:paraId="54A0ECA6" w14:textId="77777777" w:rsidR="00A31B41" w:rsidRDefault="00A31B41" w:rsidP="005B296E">
                  <w:pPr>
                    <w:pStyle w:val="Tabel-TekstTotal"/>
                    <w:framePr w:hSpace="141" w:wrap="around" w:vAnchor="text" w:hAnchor="margin" w:y="190"/>
                  </w:pPr>
                  <w:r>
                    <w:t>2026</w:t>
                  </w:r>
                </w:p>
              </w:tc>
              <w:tc>
                <w:tcPr>
                  <w:tcW w:w="910" w:type="dxa"/>
                  <w:tcBorders>
                    <w:top w:val="single" w:sz="8" w:space="0" w:color="ED7D31"/>
                    <w:left w:val="nil"/>
                    <w:bottom w:val="single" w:sz="8" w:space="0" w:color="ED7D31"/>
                    <w:right w:val="nil"/>
                  </w:tcBorders>
                  <w:vAlign w:val="center"/>
                  <w:hideMark/>
                </w:tcPr>
                <w:p w14:paraId="3CA382BB" w14:textId="77777777" w:rsidR="00A31B41" w:rsidRDefault="00A31B41" w:rsidP="005B296E">
                  <w:pPr>
                    <w:pStyle w:val="Tabel-TekstTotal"/>
                    <w:framePr w:hSpace="141" w:wrap="around" w:vAnchor="text" w:hAnchor="margin" w:y="190"/>
                  </w:pPr>
                  <w:r>
                    <w:t>2027</w:t>
                  </w:r>
                </w:p>
              </w:tc>
              <w:tc>
                <w:tcPr>
                  <w:tcW w:w="910" w:type="dxa"/>
                  <w:tcBorders>
                    <w:top w:val="single" w:sz="8" w:space="0" w:color="ED7D31"/>
                    <w:left w:val="nil"/>
                    <w:bottom w:val="single" w:sz="8" w:space="0" w:color="ED7D31"/>
                    <w:right w:val="nil"/>
                  </w:tcBorders>
                  <w:vAlign w:val="center"/>
                  <w:hideMark/>
                </w:tcPr>
                <w:p w14:paraId="67DB2562" w14:textId="77777777" w:rsidR="00A31B41" w:rsidRDefault="00A31B41" w:rsidP="005B296E">
                  <w:pPr>
                    <w:pStyle w:val="Tabel-TekstTotal"/>
                    <w:framePr w:hSpace="141" w:wrap="around" w:vAnchor="text" w:hAnchor="margin" w:y="190"/>
                  </w:pPr>
                  <w:r>
                    <w:t>Evt. varige herefter</w:t>
                  </w:r>
                </w:p>
              </w:tc>
            </w:tr>
            <w:tr w:rsidR="00A31B41" w14:paraId="0F4AAD1A" w14:textId="77777777" w:rsidTr="00A31B41">
              <w:trPr>
                <w:trHeight w:val="249"/>
              </w:trPr>
              <w:tc>
                <w:tcPr>
                  <w:tcW w:w="2085" w:type="dxa"/>
                  <w:tcBorders>
                    <w:top w:val="nil"/>
                    <w:left w:val="nil"/>
                    <w:bottom w:val="single" w:sz="8" w:space="0" w:color="ED7D31"/>
                    <w:right w:val="nil"/>
                  </w:tcBorders>
                  <w:vAlign w:val="center"/>
                  <w:hideMark/>
                </w:tcPr>
                <w:p w14:paraId="003F1464" w14:textId="77777777" w:rsidR="00A31B41" w:rsidRDefault="00A31B41" w:rsidP="005B296E">
                  <w:pPr>
                    <w:pStyle w:val="Tabel-Tekst"/>
                    <w:framePr w:hSpace="141" w:wrap="around" w:vAnchor="text" w:hAnchor="margin" w:y="190"/>
                  </w:pPr>
                  <w:r>
                    <w:t>Løn</w:t>
                  </w:r>
                </w:p>
              </w:tc>
              <w:tc>
                <w:tcPr>
                  <w:tcW w:w="910" w:type="dxa"/>
                  <w:tcBorders>
                    <w:top w:val="nil"/>
                    <w:left w:val="nil"/>
                    <w:bottom w:val="single" w:sz="8" w:space="0" w:color="ED7D31"/>
                    <w:right w:val="nil"/>
                  </w:tcBorders>
                  <w:vAlign w:val="center"/>
                </w:tcPr>
                <w:p w14:paraId="0EFDFBE6" w14:textId="77777777" w:rsidR="00A31B41" w:rsidRDefault="00A31B41" w:rsidP="005B296E">
                  <w:pPr>
                    <w:pStyle w:val="Tabel-Tekst"/>
                    <w:framePr w:hSpace="141" w:wrap="around" w:vAnchor="text" w:hAnchor="margin" w:y="190"/>
                  </w:pPr>
                </w:p>
              </w:tc>
              <w:tc>
                <w:tcPr>
                  <w:tcW w:w="910" w:type="dxa"/>
                  <w:tcBorders>
                    <w:top w:val="nil"/>
                    <w:left w:val="nil"/>
                    <w:bottom w:val="single" w:sz="8" w:space="0" w:color="ED7D31"/>
                    <w:right w:val="nil"/>
                  </w:tcBorders>
                  <w:vAlign w:val="center"/>
                  <w:hideMark/>
                </w:tcPr>
                <w:p w14:paraId="40B5698B" w14:textId="77777777" w:rsidR="00A31B41" w:rsidRDefault="00A31B41" w:rsidP="005B296E">
                  <w:pPr>
                    <w:pStyle w:val="Tabel-Tekst"/>
                    <w:framePr w:hSpace="141" w:wrap="around" w:vAnchor="text" w:hAnchor="margin" w:y="190"/>
                  </w:pPr>
                  <w:r>
                    <w:t>0</w:t>
                  </w:r>
                </w:p>
              </w:tc>
              <w:tc>
                <w:tcPr>
                  <w:tcW w:w="910" w:type="dxa"/>
                  <w:tcBorders>
                    <w:top w:val="nil"/>
                    <w:left w:val="nil"/>
                    <w:bottom w:val="single" w:sz="8" w:space="0" w:color="ED7D31"/>
                    <w:right w:val="nil"/>
                  </w:tcBorders>
                  <w:vAlign w:val="center"/>
                  <w:hideMark/>
                </w:tcPr>
                <w:p w14:paraId="0A9ECA2E" w14:textId="77777777" w:rsidR="00A31B41" w:rsidRDefault="00A31B41" w:rsidP="005B296E">
                  <w:pPr>
                    <w:pStyle w:val="Tabel-Tekst"/>
                    <w:framePr w:hSpace="141" w:wrap="around" w:vAnchor="text" w:hAnchor="margin" w:y="190"/>
                    <w:ind w:left="0"/>
                  </w:pPr>
                  <w:r>
                    <w:t>0,45-0,85</w:t>
                  </w:r>
                </w:p>
              </w:tc>
              <w:tc>
                <w:tcPr>
                  <w:tcW w:w="910" w:type="dxa"/>
                  <w:tcBorders>
                    <w:top w:val="nil"/>
                    <w:left w:val="nil"/>
                    <w:bottom w:val="single" w:sz="8" w:space="0" w:color="ED7D31"/>
                    <w:right w:val="nil"/>
                  </w:tcBorders>
                  <w:vAlign w:val="center"/>
                  <w:hideMark/>
                </w:tcPr>
                <w:p w14:paraId="08BEF3BF" w14:textId="77777777" w:rsidR="00A31B41" w:rsidRDefault="00A31B41" w:rsidP="005B296E">
                  <w:pPr>
                    <w:pStyle w:val="Tabel-Tekst"/>
                    <w:framePr w:hSpace="141" w:wrap="around" w:vAnchor="text" w:hAnchor="margin" w:y="190"/>
                    <w:ind w:left="0"/>
                  </w:pPr>
                  <w:r>
                    <w:t>0,45-0,85</w:t>
                  </w:r>
                </w:p>
              </w:tc>
              <w:tc>
                <w:tcPr>
                  <w:tcW w:w="910" w:type="dxa"/>
                  <w:tcBorders>
                    <w:top w:val="nil"/>
                    <w:left w:val="nil"/>
                    <w:bottom w:val="single" w:sz="8" w:space="0" w:color="ED7D31"/>
                    <w:right w:val="nil"/>
                  </w:tcBorders>
                  <w:vAlign w:val="center"/>
                  <w:hideMark/>
                </w:tcPr>
                <w:p w14:paraId="2099A03C" w14:textId="77777777" w:rsidR="00A31B41" w:rsidRDefault="00A31B41" w:rsidP="005B296E">
                  <w:pPr>
                    <w:pStyle w:val="Tabel-Tekst"/>
                    <w:framePr w:hSpace="141" w:wrap="around" w:vAnchor="text" w:hAnchor="margin" w:y="190"/>
                    <w:ind w:left="0"/>
                  </w:pPr>
                  <w:r>
                    <w:t>0,45-0,85</w:t>
                  </w:r>
                </w:p>
              </w:tc>
              <w:tc>
                <w:tcPr>
                  <w:tcW w:w="910" w:type="dxa"/>
                  <w:tcBorders>
                    <w:top w:val="nil"/>
                    <w:left w:val="nil"/>
                    <w:bottom w:val="single" w:sz="8" w:space="0" w:color="ED7D31"/>
                    <w:right w:val="nil"/>
                  </w:tcBorders>
                  <w:vAlign w:val="center"/>
                  <w:hideMark/>
                </w:tcPr>
                <w:p w14:paraId="40A4D9F7" w14:textId="77777777" w:rsidR="00A31B41" w:rsidRDefault="00A31B41" w:rsidP="005B296E">
                  <w:pPr>
                    <w:pStyle w:val="Tabel-Tekst"/>
                    <w:framePr w:hSpace="141" w:wrap="around" w:vAnchor="text" w:hAnchor="margin" w:y="190"/>
                    <w:ind w:left="0"/>
                  </w:pPr>
                  <w:r>
                    <w:t>0,45-0,85</w:t>
                  </w:r>
                </w:p>
              </w:tc>
            </w:tr>
            <w:tr w:rsidR="00A31B41" w14:paraId="62F4BB00" w14:textId="77777777" w:rsidTr="00A31B41">
              <w:trPr>
                <w:trHeight w:val="249"/>
              </w:trPr>
              <w:tc>
                <w:tcPr>
                  <w:tcW w:w="2085" w:type="dxa"/>
                  <w:tcBorders>
                    <w:top w:val="nil"/>
                    <w:left w:val="nil"/>
                    <w:bottom w:val="single" w:sz="8" w:space="0" w:color="ED7D31"/>
                    <w:right w:val="nil"/>
                  </w:tcBorders>
                  <w:vAlign w:val="center"/>
                  <w:hideMark/>
                </w:tcPr>
                <w:p w14:paraId="3EDF8627" w14:textId="77777777" w:rsidR="00A31B41" w:rsidRDefault="00A31B41" w:rsidP="005B296E">
                  <w:pPr>
                    <w:pStyle w:val="Tabel-Tekst"/>
                    <w:framePr w:hSpace="141" w:wrap="around" w:vAnchor="text" w:hAnchor="margin" w:y="190"/>
                  </w:pPr>
                  <w:r>
                    <w:t>Drift</w:t>
                  </w:r>
                </w:p>
              </w:tc>
              <w:tc>
                <w:tcPr>
                  <w:tcW w:w="910" w:type="dxa"/>
                  <w:tcBorders>
                    <w:top w:val="nil"/>
                    <w:left w:val="nil"/>
                    <w:bottom w:val="single" w:sz="8" w:space="0" w:color="ED7D31"/>
                    <w:right w:val="nil"/>
                  </w:tcBorders>
                  <w:vAlign w:val="center"/>
                </w:tcPr>
                <w:p w14:paraId="202A597E" w14:textId="77777777" w:rsidR="00A31B41" w:rsidRDefault="00A31B41" w:rsidP="005B296E">
                  <w:pPr>
                    <w:pStyle w:val="Tabel-Tekst"/>
                    <w:framePr w:hSpace="141" w:wrap="around" w:vAnchor="text" w:hAnchor="margin" w:y="190"/>
                  </w:pPr>
                </w:p>
              </w:tc>
              <w:tc>
                <w:tcPr>
                  <w:tcW w:w="910" w:type="dxa"/>
                  <w:tcBorders>
                    <w:top w:val="nil"/>
                    <w:left w:val="nil"/>
                    <w:bottom w:val="single" w:sz="8" w:space="0" w:color="ED7D31"/>
                    <w:right w:val="nil"/>
                  </w:tcBorders>
                  <w:vAlign w:val="center"/>
                  <w:hideMark/>
                </w:tcPr>
                <w:p w14:paraId="13B7E9A7" w14:textId="77777777" w:rsidR="00A31B41" w:rsidRDefault="00A31B41" w:rsidP="005B296E">
                  <w:pPr>
                    <w:pStyle w:val="Tabel-Tekst"/>
                    <w:framePr w:hSpace="141" w:wrap="around" w:vAnchor="text" w:hAnchor="margin" w:y="190"/>
                  </w:pPr>
                  <w:r>
                    <w:t>0</w:t>
                  </w:r>
                </w:p>
              </w:tc>
              <w:tc>
                <w:tcPr>
                  <w:tcW w:w="910" w:type="dxa"/>
                  <w:tcBorders>
                    <w:top w:val="nil"/>
                    <w:left w:val="nil"/>
                    <w:bottom w:val="single" w:sz="8" w:space="0" w:color="ED7D31"/>
                    <w:right w:val="nil"/>
                  </w:tcBorders>
                  <w:vAlign w:val="center"/>
                  <w:hideMark/>
                </w:tcPr>
                <w:p w14:paraId="118B6BF6" w14:textId="77777777" w:rsidR="00A31B41" w:rsidRDefault="00A31B41" w:rsidP="005B296E">
                  <w:pPr>
                    <w:pStyle w:val="Tabel-Tekst"/>
                    <w:framePr w:hSpace="141" w:wrap="around" w:vAnchor="text" w:hAnchor="margin" w:y="190"/>
                    <w:ind w:left="0"/>
                  </w:pPr>
                  <w:r>
                    <w:t>0,05</w:t>
                  </w:r>
                </w:p>
              </w:tc>
              <w:tc>
                <w:tcPr>
                  <w:tcW w:w="910" w:type="dxa"/>
                  <w:tcBorders>
                    <w:top w:val="nil"/>
                    <w:left w:val="nil"/>
                    <w:bottom w:val="single" w:sz="8" w:space="0" w:color="ED7D31"/>
                    <w:right w:val="nil"/>
                  </w:tcBorders>
                  <w:vAlign w:val="center"/>
                  <w:hideMark/>
                </w:tcPr>
                <w:p w14:paraId="2CB96A00" w14:textId="77777777" w:rsidR="00A31B41" w:rsidRDefault="00A31B41" w:rsidP="005B296E">
                  <w:pPr>
                    <w:pStyle w:val="Tabel-Tekst"/>
                    <w:framePr w:hSpace="141" w:wrap="around" w:vAnchor="text" w:hAnchor="margin" w:y="190"/>
                    <w:ind w:left="0"/>
                  </w:pPr>
                  <w:r>
                    <w:t>0,05</w:t>
                  </w:r>
                </w:p>
              </w:tc>
              <w:tc>
                <w:tcPr>
                  <w:tcW w:w="910" w:type="dxa"/>
                  <w:tcBorders>
                    <w:top w:val="nil"/>
                    <w:left w:val="nil"/>
                    <w:bottom w:val="single" w:sz="8" w:space="0" w:color="ED7D31"/>
                    <w:right w:val="nil"/>
                  </w:tcBorders>
                  <w:vAlign w:val="center"/>
                  <w:hideMark/>
                </w:tcPr>
                <w:p w14:paraId="60244D3A" w14:textId="77777777" w:rsidR="00A31B41" w:rsidRDefault="00A31B41" w:rsidP="005B296E">
                  <w:pPr>
                    <w:pStyle w:val="Tabel-Tekst"/>
                    <w:framePr w:hSpace="141" w:wrap="around" w:vAnchor="text" w:hAnchor="margin" w:y="190"/>
                    <w:ind w:left="0"/>
                  </w:pPr>
                  <w:r>
                    <w:t>0,05</w:t>
                  </w:r>
                </w:p>
              </w:tc>
              <w:tc>
                <w:tcPr>
                  <w:tcW w:w="910" w:type="dxa"/>
                  <w:tcBorders>
                    <w:top w:val="nil"/>
                    <w:left w:val="nil"/>
                    <w:bottom w:val="single" w:sz="8" w:space="0" w:color="ED7D31"/>
                    <w:right w:val="nil"/>
                  </w:tcBorders>
                  <w:vAlign w:val="center"/>
                  <w:hideMark/>
                </w:tcPr>
                <w:p w14:paraId="6BB391FE" w14:textId="77777777" w:rsidR="00A31B41" w:rsidRDefault="00A31B41" w:rsidP="005B296E">
                  <w:pPr>
                    <w:pStyle w:val="Tabel-Tekst"/>
                    <w:framePr w:hSpace="141" w:wrap="around" w:vAnchor="text" w:hAnchor="margin" w:y="190"/>
                    <w:ind w:left="0"/>
                  </w:pPr>
                  <w:r>
                    <w:t>0,05</w:t>
                  </w:r>
                </w:p>
              </w:tc>
            </w:tr>
            <w:tr w:rsidR="00A31B41" w14:paraId="416498AB" w14:textId="77777777" w:rsidTr="00A31B41">
              <w:trPr>
                <w:trHeight w:val="249"/>
              </w:trPr>
              <w:tc>
                <w:tcPr>
                  <w:tcW w:w="2085" w:type="dxa"/>
                  <w:tcBorders>
                    <w:top w:val="nil"/>
                    <w:left w:val="nil"/>
                    <w:bottom w:val="single" w:sz="8" w:space="0" w:color="ED7D31"/>
                    <w:right w:val="nil"/>
                  </w:tcBorders>
                  <w:vAlign w:val="center"/>
                  <w:hideMark/>
                </w:tcPr>
                <w:p w14:paraId="61B6E768" w14:textId="77777777" w:rsidR="00A31B41" w:rsidRDefault="00A31B41" w:rsidP="005B296E">
                  <w:pPr>
                    <w:pStyle w:val="Tabel-Tekst"/>
                    <w:framePr w:hSpace="141" w:wrap="around" w:vAnchor="text" w:hAnchor="margin" w:y="190"/>
                  </w:pPr>
                  <w:r>
                    <w:t>Startomkostninger</w:t>
                  </w:r>
                </w:p>
              </w:tc>
              <w:tc>
                <w:tcPr>
                  <w:tcW w:w="910" w:type="dxa"/>
                  <w:tcBorders>
                    <w:top w:val="nil"/>
                    <w:left w:val="nil"/>
                    <w:bottom w:val="single" w:sz="8" w:space="0" w:color="ED7D31"/>
                    <w:right w:val="nil"/>
                  </w:tcBorders>
                  <w:vAlign w:val="center"/>
                </w:tcPr>
                <w:p w14:paraId="40D87D03" w14:textId="77777777" w:rsidR="00A31B41" w:rsidRDefault="00A31B41" w:rsidP="005B296E">
                  <w:pPr>
                    <w:pStyle w:val="Tabel-Tekst"/>
                    <w:framePr w:hSpace="141" w:wrap="around" w:vAnchor="text" w:hAnchor="margin" w:y="190"/>
                    <w:rPr>
                      <w:b/>
                      <w:bCs/>
                    </w:rPr>
                  </w:pPr>
                </w:p>
              </w:tc>
              <w:tc>
                <w:tcPr>
                  <w:tcW w:w="910" w:type="dxa"/>
                  <w:tcBorders>
                    <w:top w:val="nil"/>
                    <w:left w:val="nil"/>
                    <w:bottom w:val="single" w:sz="8" w:space="0" w:color="ED7D31"/>
                    <w:right w:val="nil"/>
                  </w:tcBorders>
                  <w:vAlign w:val="center"/>
                  <w:hideMark/>
                </w:tcPr>
                <w:p w14:paraId="4C40BC13" w14:textId="77777777" w:rsidR="00A31B41" w:rsidRDefault="00A31B41" w:rsidP="005B296E">
                  <w:pPr>
                    <w:pStyle w:val="Tabel-Tekst"/>
                    <w:framePr w:hSpace="141" w:wrap="around" w:vAnchor="text" w:hAnchor="margin" w:y="190"/>
                    <w:rPr>
                      <w:b/>
                      <w:bCs/>
                    </w:rPr>
                  </w:pPr>
                  <w:r>
                    <w:t>0,65-0,7</w:t>
                  </w:r>
                </w:p>
              </w:tc>
              <w:tc>
                <w:tcPr>
                  <w:tcW w:w="910" w:type="dxa"/>
                  <w:tcBorders>
                    <w:top w:val="nil"/>
                    <w:left w:val="nil"/>
                    <w:bottom w:val="single" w:sz="8" w:space="0" w:color="ED7D31"/>
                    <w:right w:val="nil"/>
                  </w:tcBorders>
                  <w:vAlign w:val="center"/>
                  <w:hideMark/>
                </w:tcPr>
                <w:p w14:paraId="6A7BF287" w14:textId="77777777" w:rsidR="00A31B41" w:rsidRDefault="00A31B41" w:rsidP="005B296E">
                  <w:pPr>
                    <w:pStyle w:val="Tabel-Tekst"/>
                    <w:framePr w:hSpace="141" w:wrap="around" w:vAnchor="text" w:hAnchor="margin" w:y="190"/>
                    <w:ind w:left="0"/>
                  </w:pPr>
                  <w:r>
                    <w:t>0</w:t>
                  </w:r>
                </w:p>
              </w:tc>
              <w:tc>
                <w:tcPr>
                  <w:tcW w:w="910" w:type="dxa"/>
                  <w:tcBorders>
                    <w:top w:val="nil"/>
                    <w:left w:val="nil"/>
                    <w:bottom w:val="single" w:sz="8" w:space="0" w:color="ED7D31"/>
                    <w:right w:val="nil"/>
                  </w:tcBorders>
                  <w:vAlign w:val="center"/>
                  <w:hideMark/>
                </w:tcPr>
                <w:p w14:paraId="301405C7" w14:textId="77777777" w:rsidR="00A31B41" w:rsidRDefault="00A31B41" w:rsidP="005B296E">
                  <w:pPr>
                    <w:pStyle w:val="Tabel-Tekst"/>
                    <w:framePr w:hSpace="141" w:wrap="around" w:vAnchor="text" w:hAnchor="margin" w:y="190"/>
                  </w:pPr>
                  <w:r>
                    <w:t>0</w:t>
                  </w:r>
                </w:p>
              </w:tc>
              <w:tc>
                <w:tcPr>
                  <w:tcW w:w="910" w:type="dxa"/>
                  <w:tcBorders>
                    <w:top w:val="nil"/>
                    <w:left w:val="nil"/>
                    <w:bottom w:val="single" w:sz="8" w:space="0" w:color="ED7D31"/>
                    <w:right w:val="nil"/>
                  </w:tcBorders>
                  <w:vAlign w:val="center"/>
                  <w:hideMark/>
                </w:tcPr>
                <w:p w14:paraId="0B2E69E1" w14:textId="77777777" w:rsidR="00A31B41" w:rsidRDefault="00A31B41" w:rsidP="005B296E">
                  <w:pPr>
                    <w:pStyle w:val="Tabel-Tekst"/>
                    <w:framePr w:hSpace="141" w:wrap="around" w:vAnchor="text" w:hAnchor="margin" w:y="190"/>
                  </w:pPr>
                  <w:r>
                    <w:t>0</w:t>
                  </w:r>
                </w:p>
              </w:tc>
              <w:tc>
                <w:tcPr>
                  <w:tcW w:w="910" w:type="dxa"/>
                  <w:tcBorders>
                    <w:top w:val="nil"/>
                    <w:left w:val="nil"/>
                    <w:bottom w:val="single" w:sz="8" w:space="0" w:color="ED7D31"/>
                    <w:right w:val="nil"/>
                  </w:tcBorders>
                  <w:vAlign w:val="center"/>
                  <w:hideMark/>
                </w:tcPr>
                <w:p w14:paraId="0EA09443" w14:textId="77777777" w:rsidR="00A31B41" w:rsidRDefault="00A31B41" w:rsidP="005B296E">
                  <w:pPr>
                    <w:pStyle w:val="Tabel-Tekst"/>
                    <w:framePr w:hSpace="141" w:wrap="around" w:vAnchor="text" w:hAnchor="margin" w:y="190"/>
                  </w:pPr>
                  <w:r>
                    <w:t>0</w:t>
                  </w:r>
                </w:p>
              </w:tc>
            </w:tr>
            <w:tr w:rsidR="00A31B41" w14:paraId="531F8934" w14:textId="77777777" w:rsidTr="00A31B41">
              <w:trPr>
                <w:trHeight w:val="249"/>
              </w:trPr>
              <w:tc>
                <w:tcPr>
                  <w:tcW w:w="2085" w:type="dxa"/>
                  <w:tcBorders>
                    <w:top w:val="nil"/>
                    <w:left w:val="nil"/>
                    <w:bottom w:val="single" w:sz="8" w:space="0" w:color="ED7D31"/>
                    <w:right w:val="nil"/>
                  </w:tcBorders>
                  <w:vAlign w:val="center"/>
                  <w:hideMark/>
                </w:tcPr>
                <w:p w14:paraId="4B41B927" w14:textId="77777777" w:rsidR="00A31B41" w:rsidRDefault="00A31B41" w:rsidP="005B296E">
                  <w:pPr>
                    <w:pStyle w:val="Tabel-Tekst"/>
                    <w:framePr w:hSpace="141" w:wrap="around" w:vAnchor="text" w:hAnchor="margin" w:y="190"/>
                    <w:rPr>
                      <w:b/>
                      <w:bCs/>
                    </w:rPr>
                  </w:pPr>
                  <w:r>
                    <w:rPr>
                      <w:b/>
                      <w:bCs/>
                    </w:rPr>
                    <w:t>I alt</w:t>
                  </w:r>
                </w:p>
              </w:tc>
              <w:tc>
                <w:tcPr>
                  <w:tcW w:w="910" w:type="dxa"/>
                  <w:tcBorders>
                    <w:top w:val="nil"/>
                    <w:left w:val="nil"/>
                    <w:bottom w:val="single" w:sz="8" w:space="0" w:color="ED7D31"/>
                    <w:right w:val="nil"/>
                  </w:tcBorders>
                  <w:vAlign w:val="center"/>
                </w:tcPr>
                <w:p w14:paraId="3368EFA0" w14:textId="77777777" w:rsidR="00A31B41" w:rsidRDefault="00A31B41" w:rsidP="005B296E">
                  <w:pPr>
                    <w:pStyle w:val="Tabel-TekstTotal"/>
                    <w:framePr w:hSpace="141" w:wrap="around" w:vAnchor="text" w:hAnchor="margin" w:y="190"/>
                    <w:rPr>
                      <w:bCs/>
                    </w:rPr>
                  </w:pPr>
                </w:p>
              </w:tc>
              <w:tc>
                <w:tcPr>
                  <w:tcW w:w="910" w:type="dxa"/>
                  <w:tcBorders>
                    <w:top w:val="nil"/>
                    <w:left w:val="nil"/>
                    <w:bottom w:val="single" w:sz="8" w:space="0" w:color="ED7D31"/>
                    <w:right w:val="nil"/>
                  </w:tcBorders>
                  <w:vAlign w:val="center"/>
                  <w:hideMark/>
                </w:tcPr>
                <w:p w14:paraId="5BBD9A86" w14:textId="77777777" w:rsidR="00A31B41" w:rsidRDefault="00A31B41" w:rsidP="005B296E">
                  <w:pPr>
                    <w:pStyle w:val="Tabel-TekstTotal"/>
                    <w:framePr w:hSpace="141" w:wrap="around" w:vAnchor="text" w:hAnchor="margin" w:y="190"/>
                  </w:pPr>
                  <w:r>
                    <w:t>0,65-0,7</w:t>
                  </w:r>
                </w:p>
              </w:tc>
              <w:tc>
                <w:tcPr>
                  <w:tcW w:w="910" w:type="dxa"/>
                  <w:tcBorders>
                    <w:top w:val="nil"/>
                    <w:left w:val="nil"/>
                    <w:bottom w:val="single" w:sz="8" w:space="0" w:color="ED7D31"/>
                    <w:right w:val="nil"/>
                  </w:tcBorders>
                  <w:vAlign w:val="center"/>
                  <w:hideMark/>
                </w:tcPr>
                <w:p w14:paraId="13DDF8E0" w14:textId="77777777" w:rsidR="00A31B41" w:rsidRDefault="00A31B41" w:rsidP="005B296E">
                  <w:pPr>
                    <w:pStyle w:val="Tabel-TekstTotal"/>
                    <w:framePr w:hSpace="141" w:wrap="around" w:vAnchor="text" w:hAnchor="margin" w:y="190"/>
                    <w:ind w:left="0"/>
                  </w:pPr>
                  <w:r>
                    <w:t>0,5-0,9</w:t>
                  </w:r>
                </w:p>
              </w:tc>
              <w:tc>
                <w:tcPr>
                  <w:tcW w:w="910" w:type="dxa"/>
                  <w:tcBorders>
                    <w:top w:val="nil"/>
                    <w:left w:val="nil"/>
                    <w:bottom w:val="single" w:sz="8" w:space="0" w:color="ED7D31"/>
                    <w:right w:val="nil"/>
                  </w:tcBorders>
                  <w:vAlign w:val="center"/>
                  <w:hideMark/>
                </w:tcPr>
                <w:p w14:paraId="45A155F5" w14:textId="77777777" w:rsidR="00A31B41" w:rsidRDefault="00A31B41" w:rsidP="005B296E">
                  <w:pPr>
                    <w:pStyle w:val="Tabel-TekstTotal"/>
                    <w:framePr w:hSpace="141" w:wrap="around" w:vAnchor="text" w:hAnchor="margin" w:y="190"/>
                  </w:pPr>
                  <w:r>
                    <w:t>0,5-0,9</w:t>
                  </w:r>
                </w:p>
              </w:tc>
              <w:tc>
                <w:tcPr>
                  <w:tcW w:w="910" w:type="dxa"/>
                  <w:tcBorders>
                    <w:top w:val="nil"/>
                    <w:left w:val="nil"/>
                    <w:bottom w:val="single" w:sz="8" w:space="0" w:color="ED7D31"/>
                    <w:right w:val="nil"/>
                  </w:tcBorders>
                  <w:vAlign w:val="center"/>
                  <w:hideMark/>
                </w:tcPr>
                <w:p w14:paraId="596B74C4" w14:textId="77777777" w:rsidR="00A31B41" w:rsidRDefault="00A31B41" w:rsidP="005B296E">
                  <w:pPr>
                    <w:pStyle w:val="Tabel-TekstTotal"/>
                    <w:framePr w:hSpace="141" w:wrap="around" w:vAnchor="text" w:hAnchor="margin" w:y="190"/>
                  </w:pPr>
                  <w:r>
                    <w:t>0,5-0,9</w:t>
                  </w:r>
                </w:p>
              </w:tc>
              <w:tc>
                <w:tcPr>
                  <w:tcW w:w="910" w:type="dxa"/>
                  <w:tcBorders>
                    <w:top w:val="nil"/>
                    <w:left w:val="nil"/>
                    <w:bottom w:val="single" w:sz="8" w:space="0" w:color="ED7D31"/>
                    <w:right w:val="nil"/>
                  </w:tcBorders>
                  <w:vAlign w:val="center"/>
                  <w:hideMark/>
                </w:tcPr>
                <w:p w14:paraId="0A6B581A" w14:textId="77777777" w:rsidR="00A31B41" w:rsidRDefault="00A31B41" w:rsidP="005B296E">
                  <w:pPr>
                    <w:pStyle w:val="Tabel-TekstTotal"/>
                    <w:framePr w:hSpace="141" w:wrap="around" w:vAnchor="text" w:hAnchor="margin" w:y="190"/>
                  </w:pPr>
                  <w:r>
                    <w:t>0,5-0,9</w:t>
                  </w:r>
                </w:p>
              </w:tc>
            </w:tr>
          </w:tbl>
          <w:p w14:paraId="7BDF6CB9" w14:textId="77777777" w:rsidR="00A31B41" w:rsidRDefault="00A31B41" w:rsidP="00A31B41">
            <w:pPr>
              <w:rPr>
                <w:rFonts w:ascii="Calibri" w:eastAsiaTheme="minorHAnsi" w:hAnsi="Calibri" w:cs="Calibri"/>
                <w:sz w:val="22"/>
                <w:szCs w:val="22"/>
                <w:lang w:eastAsia="en-US"/>
              </w:rPr>
            </w:pPr>
          </w:p>
        </w:tc>
        <w:tc>
          <w:tcPr>
            <w:tcW w:w="143" w:type="dxa"/>
          </w:tcPr>
          <w:p w14:paraId="455AF76F" w14:textId="77777777" w:rsidR="00A31B41" w:rsidRDefault="00A31B41" w:rsidP="00A31B41">
            <w:pPr>
              <w:pStyle w:val="Overskrift1"/>
              <w:outlineLvl w:val="0"/>
            </w:pPr>
          </w:p>
        </w:tc>
      </w:tr>
    </w:tbl>
    <w:p w14:paraId="6313FA1E" w14:textId="0ACE7AC6" w:rsidR="0064547C" w:rsidRPr="00B457A6" w:rsidRDefault="0064547C" w:rsidP="00B457A6">
      <w:pPr>
        <w:pStyle w:val="Overskrift3"/>
        <w:numPr>
          <w:ilvl w:val="1"/>
          <w:numId w:val="17"/>
        </w:numPr>
        <w:rPr>
          <w:b w:val="0"/>
        </w:rPr>
      </w:pPr>
      <w:bookmarkStart w:id="27" w:name="_Toc166664943"/>
      <w:bookmarkEnd w:id="25"/>
      <w:r w:rsidRPr="00B457A6">
        <w:rPr>
          <w:b w:val="0"/>
        </w:rPr>
        <w:t>Administrative og økonomiske konsekvenser for kommuner og regioner</w:t>
      </w:r>
      <w:bookmarkEnd w:id="27"/>
    </w:p>
    <w:p w14:paraId="45A2E25D" w14:textId="77777777" w:rsidR="004F31DB" w:rsidRDefault="004F31DB" w:rsidP="004F31DB">
      <w:pPr>
        <w:pStyle w:val="Listeafsnit"/>
        <w:ind w:left="1080"/>
        <w:rPr>
          <w:szCs w:val="22"/>
        </w:rPr>
      </w:pPr>
    </w:p>
    <w:p w14:paraId="44E053E8" w14:textId="43542C62" w:rsidR="0064547C" w:rsidRDefault="004F31DB" w:rsidP="0064547C">
      <w:pPr>
        <w:ind w:left="360"/>
        <w:rPr>
          <w:szCs w:val="22"/>
        </w:rPr>
      </w:pPr>
      <w:r>
        <w:rPr>
          <w:szCs w:val="22"/>
        </w:rPr>
        <w:t>Der vil ikke være administrative eller økonomiske konsekvenser for kommuner og regioner.</w:t>
      </w:r>
    </w:p>
    <w:p w14:paraId="7B6559BF" w14:textId="77777777" w:rsidR="008130E7" w:rsidRDefault="008130E7" w:rsidP="009D7498">
      <w:pPr>
        <w:pStyle w:val="Overskrift2"/>
        <w:numPr>
          <w:ilvl w:val="0"/>
          <w:numId w:val="17"/>
        </w:numPr>
      </w:pPr>
      <w:bookmarkStart w:id="28" w:name="_Toc166664944"/>
      <w:r>
        <w:t>Forholdet til EU-retten</w:t>
      </w:r>
      <w:bookmarkEnd w:id="28"/>
      <w:r>
        <w:t xml:space="preserve"> </w:t>
      </w:r>
    </w:p>
    <w:p w14:paraId="0DA01445" w14:textId="620AFDFF" w:rsidR="004F31DB" w:rsidRPr="00B457A6" w:rsidRDefault="004F31DB" w:rsidP="00B457A6">
      <w:pPr>
        <w:pStyle w:val="Overskrift3"/>
        <w:numPr>
          <w:ilvl w:val="1"/>
          <w:numId w:val="17"/>
        </w:numPr>
        <w:rPr>
          <w:b w:val="0"/>
        </w:rPr>
      </w:pPr>
      <w:bookmarkStart w:id="29" w:name="_Toc166664945"/>
      <w:r w:rsidRPr="00B457A6">
        <w:rPr>
          <w:b w:val="0"/>
        </w:rPr>
        <w:t>Notifikation</w:t>
      </w:r>
      <w:bookmarkEnd w:id="29"/>
    </w:p>
    <w:p w14:paraId="7660EA23" w14:textId="77777777" w:rsidR="007E5BFD" w:rsidRDefault="007E5BFD" w:rsidP="004F31DB"/>
    <w:p w14:paraId="30370A97" w14:textId="4B116BC9" w:rsidR="007E5BFD" w:rsidRDefault="007E5BFD" w:rsidP="004F31DB">
      <w:r>
        <w:t xml:space="preserve">De foreslåede </w:t>
      </w:r>
      <w:r w:rsidR="004F31DB" w:rsidRPr="001B2D57">
        <w:t>regl</w:t>
      </w:r>
      <w:r>
        <w:t>er</w:t>
      </w:r>
      <w:r w:rsidR="004F31DB" w:rsidRPr="001B2D57">
        <w:t xml:space="preserve"> vurderes </w:t>
      </w:r>
      <w:r>
        <w:t xml:space="preserve">at </w:t>
      </w:r>
      <w:r w:rsidR="004F31DB" w:rsidRPr="001B2D57">
        <w:t xml:space="preserve">være omfattet af notifikationsforpligtelsen i informationsproceduredirektivets art. 5, idet der stilles krav til fodertilsætningsstoffets nærmere sammensætning som forudsætning for anvendelsen og den forudsatte effekt. </w:t>
      </w:r>
    </w:p>
    <w:p w14:paraId="307FA251" w14:textId="77777777" w:rsidR="007E5BFD" w:rsidRDefault="007E5BFD" w:rsidP="007E5BFD"/>
    <w:p w14:paraId="7E8D263F" w14:textId="32E7BB76" w:rsidR="007E5BFD" w:rsidRPr="001B2D57" w:rsidRDefault="007E5BFD" w:rsidP="007E5BFD">
      <w:r>
        <w:t xml:space="preserve">Der foreligger herved en </w:t>
      </w:r>
      <w:r w:rsidRPr="001B2D57">
        <w:t>teknisk forskrift</w:t>
      </w:r>
      <w:r>
        <w:t xml:space="preserve">, der skal forelægges </w:t>
      </w:r>
      <w:r w:rsidRPr="001B2D57">
        <w:t>Kommissionen</w:t>
      </w:r>
      <w:r>
        <w:t xml:space="preserve"> inden udstedelse, idet </w:t>
      </w:r>
      <w:r w:rsidRPr="001B2D57">
        <w:t xml:space="preserve">de øvrige medlemsstaters og Kommissionens </w:t>
      </w:r>
      <w:r>
        <w:t xml:space="preserve">evt. </w:t>
      </w:r>
      <w:r w:rsidRPr="001B2D57">
        <w:t xml:space="preserve">reaktion </w:t>
      </w:r>
      <w:r>
        <w:t xml:space="preserve">skal afventes </w:t>
      </w:r>
      <w:r w:rsidRPr="001B2D57">
        <w:t xml:space="preserve">i mindst tre måneder (stand still-perioden). </w:t>
      </w:r>
    </w:p>
    <w:p w14:paraId="11FC841A" w14:textId="7BA9440E" w:rsidR="004F31DB" w:rsidRPr="00B457A6" w:rsidRDefault="004F31DB" w:rsidP="00B457A6">
      <w:pPr>
        <w:pStyle w:val="Overskrift3"/>
        <w:numPr>
          <w:ilvl w:val="1"/>
          <w:numId w:val="17"/>
        </w:numPr>
        <w:rPr>
          <w:b w:val="0"/>
        </w:rPr>
      </w:pPr>
      <w:bookmarkStart w:id="30" w:name="_Toc166664946"/>
      <w:r w:rsidRPr="00B457A6">
        <w:rPr>
          <w:b w:val="0"/>
        </w:rPr>
        <w:t>Statsstøtte</w:t>
      </w:r>
      <w:bookmarkEnd w:id="30"/>
    </w:p>
    <w:p w14:paraId="7BBADF32" w14:textId="27A4C74C" w:rsidR="007E5BFD" w:rsidRDefault="007E5BFD" w:rsidP="004F31DB"/>
    <w:p w14:paraId="50BA2A7B" w14:textId="7F100B3A" w:rsidR="004F31DB" w:rsidRDefault="004F31DB" w:rsidP="004F31DB">
      <w:r w:rsidRPr="00C053D9">
        <w:t>I forbindelse med implementering af det forestående</w:t>
      </w:r>
      <w:r>
        <w:t>,</w:t>
      </w:r>
      <w:r w:rsidRPr="00C053D9">
        <w:t xml:space="preserve"> generelle reduktionskrav i landbrugsaftalen skal det sikres, at kravet er i overensstemmelse med EU’s </w:t>
      </w:r>
      <w:r>
        <w:t>statsstøtte- og konkur</w:t>
      </w:r>
      <w:r w:rsidR="007E5BFD">
        <w:t>r</w:t>
      </w:r>
      <w:r>
        <w:t>enceregler</w:t>
      </w:r>
      <w:r w:rsidRPr="00C053D9">
        <w:t xml:space="preserve">. </w:t>
      </w:r>
      <w:r w:rsidRPr="00E14E4C">
        <w:t>Det er Fødevareministeriets vurdering, at</w:t>
      </w:r>
      <w:r>
        <w:t xml:space="preserve"> </w:t>
      </w:r>
      <w:r w:rsidR="007E5BFD">
        <w:t xml:space="preserve">det generelle </w:t>
      </w:r>
      <w:r>
        <w:t xml:space="preserve">reduktionskrav </w:t>
      </w:r>
      <w:r w:rsidR="007E5BFD">
        <w:t xml:space="preserve">som foreslået </w:t>
      </w:r>
      <w:r>
        <w:t>er</w:t>
      </w:r>
      <w:r w:rsidRPr="00E14E4C">
        <w:t xml:space="preserve"> forenelig</w:t>
      </w:r>
      <w:r>
        <w:t>t</w:t>
      </w:r>
      <w:r w:rsidRPr="00E14E4C">
        <w:t xml:space="preserve"> med</w:t>
      </w:r>
      <w:r>
        <w:t xml:space="preserve"> EU’s</w:t>
      </w:r>
      <w:r w:rsidRPr="00E14E4C">
        <w:t xml:space="preserve"> sta</w:t>
      </w:r>
      <w:r>
        <w:t>tsstøtte- og konkurrenceregler</w:t>
      </w:r>
      <w:r w:rsidRPr="00E14E4C">
        <w:t xml:space="preserve">. </w:t>
      </w:r>
    </w:p>
    <w:sectPr w:rsidR="004F31DB" w:rsidSect="00317AB1">
      <w:headerReference w:type="default" r:id="rId8"/>
      <w:footerReference w:type="even" r:id="rId9"/>
      <w:footerReference w:type="default" r:id="rId10"/>
      <w:headerReference w:type="first" r:id="rId11"/>
      <w:footerReference w:type="first" r:id="rId12"/>
      <w:pgSz w:w="11906" w:h="16838" w:code="9"/>
      <w:pgMar w:top="2041" w:right="3175" w:bottom="1701" w:left="1418" w:header="113"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44981" w14:textId="77777777" w:rsidR="00EE15C1" w:rsidRDefault="00EE15C1">
      <w:r>
        <w:separator/>
      </w:r>
    </w:p>
  </w:endnote>
  <w:endnote w:type="continuationSeparator" w:id="0">
    <w:p w14:paraId="3AD5A585" w14:textId="77777777" w:rsidR="00EE15C1" w:rsidRDefault="00EE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26FA" w14:textId="77777777" w:rsidR="00D821E9" w:rsidRDefault="00D821E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2F20D20" w14:textId="77777777" w:rsidR="00D821E9" w:rsidRDefault="00D821E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9A27" w14:textId="77777777" w:rsidR="00D821E9" w:rsidRPr="001C6975" w:rsidRDefault="00D821E9"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3227" w14:textId="77777777" w:rsidR="00D821E9" w:rsidRPr="009F2BC1" w:rsidRDefault="00D821E9" w:rsidP="00EE0137">
    <w:pPr>
      <w:pStyle w:val="Template-Address"/>
    </w:pPr>
    <w:bookmarkStart w:id="48" w:name="OFF_Institution"/>
    <w:bookmarkStart w:id="49" w:name="OFF_InstitutionHIF"/>
    <w:bookmarkStart w:id="50" w:name="XIF_MMFirstAddressLine"/>
    <w:r w:rsidRPr="009F2BC1">
      <w:t>Miljøministeriet</w:t>
    </w:r>
    <w:bookmarkEnd w:id="48"/>
    <w:r w:rsidRPr="009F2BC1">
      <w:t xml:space="preserve"> </w:t>
    </w:r>
    <w:bookmarkEnd w:id="49"/>
    <w:r w:rsidRPr="009F2BC1">
      <w:t xml:space="preserve">• </w:t>
    </w:r>
    <w:bookmarkStart w:id="51" w:name="OFF_AddressA"/>
    <w:bookmarkStart w:id="52" w:name="OFF_AddressAHIF"/>
    <w:r w:rsidRPr="009F2BC1">
      <w:t>Frederiksholms Kanal 26</w:t>
    </w:r>
    <w:bookmarkEnd w:id="51"/>
    <w:r w:rsidRPr="009F2BC1">
      <w:t xml:space="preserve"> </w:t>
    </w:r>
    <w:bookmarkEnd w:id="52"/>
    <w:r w:rsidRPr="009F2BC1">
      <w:rPr>
        <w:vanish/>
      </w:rPr>
      <w:t xml:space="preserve">• </w:t>
    </w:r>
    <w:bookmarkStart w:id="53" w:name="OFF_AddressB"/>
    <w:bookmarkStart w:id="54" w:name="OFF_AddressBHIF"/>
    <w:bookmarkEnd w:id="53"/>
    <w:r w:rsidRPr="009F2BC1">
      <w:rPr>
        <w:vanish/>
      </w:rPr>
      <w:t xml:space="preserve"> </w:t>
    </w:r>
    <w:bookmarkEnd w:id="54"/>
    <w:r w:rsidRPr="009F2BC1">
      <w:rPr>
        <w:vanish/>
      </w:rPr>
      <w:t xml:space="preserve">• </w:t>
    </w:r>
    <w:bookmarkStart w:id="55" w:name="OFF_AddressC"/>
    <w:bookmarkStart w:id="56" w:name="OFF_AddressCHIF"/>
    <w:bookmarkEnd w:id="55"/>
    <w:r w:rsidRPr="009F2BC1">
      <w:rPr>
        <w:vanish/>
      </w:rPr>
      <w:t xml:space="preserve"> </w:t>
    </w:r>
    <w:bookmarkEnd w:id="56"/>
    <w:r w:rsidRPr="009F2BC1">
      <w:t xml:space="preserve">• </w:t>
    </w:r>
    <w:bookmarkStart w:id="57" w:name="OFF_AddressD"/>
    <w:bookmarkStart w:id="58" w:name="OFF_AddressDHIF"/>
    <w:r w:rsidRPr="009F2BC1">
      <w:t>1220</w:t>
    </w:r>
    <w:bookmarkEnd w:id="57"/>
    <w:r w:rsidRPr="009F2BC1">
      <w:t xml:space="preserve"> </w:t>
    </w:r>
    <w:bookmarkStart w:id="59" w:name="OFF_City"/>
    <w:r>
      <w:t>København K</w:t>
    </w:r>
    <w:bookmarkEnd w:id="59"/>
    <w:r w:rsidRPr="009F2BC1">
      <w:t xml:space="preserve"> </w:t>
    </w:r>
    <w:bookmarkEnd w:id="58"/>
  </w:p>
  <w:p w14:paraId="3051E839" w14:textId="77777777" w:rsidR="00D821E9" w:rsidRPr="00043105" w:rsidRDefault="00D821E9" w:rsidP="00EE0137">
    <w:pPr>
      <w:pStyle w:val="Template-Address"/>
    </w:pPr>
    <w:bookmarkStart w:id="60" w:name="LAN_Phone"/>
    <w:bookmarkStart w:id="61" w:name="OFF_PhoneHIF"/>
    <w:bookmarkStart w:id="62" w:name="XIF_MMSecondAddressLine"/>
    <w:bookmarkEnd w:id="50"/>
    <w:r w:rsidRPr="00043105">
      <w:t>Tlf.</w:t>
    </w:r>
    <w:bookmarkEnd w:id="60"/>
    <w:r w:rsidRPr="00043105">
      <w:t xml:space="preserve"> </w:t>
    </w:r>
    <w:bookmarkStart w:id="63" w:name="OFF_Phone"/>
    <w:r w:rsidRPr="00043105">
      <w:t>38 14 21 42</w:t>
    </w:r>
    <w:bookmarkEnd w:id="63"/>
    <w:r w:rsidRPr="00043105">
      <w:t xml:space="preserve"> </w:t>
    </w:r>
    <w:bookmarkEnd w:id="61"/>
    <w:r w:rsidRPr="00043105">
      <w:rPr>
        <w:vanish/>
      </w:rPr>
      <w:t xml:space="preserve">• </w:t>
    </w:r>
    <w:bookmarkStart w:id="64" w:name="LAN_Fax"/>
    <w:bookmarkStart w:id="65" w:name="OFF_FaxHIF"/>
    <w:r w:rsidRPr="00043105">
      <w:rPr>
        <w:vanish/>
      </w:rPr>
      <w:t>Fax</w:t>
    </w:r>
    <w:bookmarkEnd w:id="64"/>
    <w:r w:rsidRPr="00043105">
      <w:rPr>
        <w:vanish/>
      </w:rPr>
      <w:t xml:space="preserve"> </w:t>
    </w:r>
    <w:bookmarkStart w:id="66" w:name="OFF_Fax"/>
    <w:bookmarkEnd w:id="66"/>
    <w:r w:rsidRPr="00043105">
      <w:rPr>
        <w:vanish/>
      </w:rPr>
      <w:t xml:space="preserve"> </w:t>
    </w:r>
    <w:bookmarkEnd w:id="65"/>
    <w:r w:rsidRPr="00043105">
      <w:t xml:space="preserve">• </w:t>
    </w:r>
    <w:bookmarkStart w:id="67" w:name="OFF_CVRHIF"/>
    <w:r w:rsidRPr="00043105">
      <w:t xml:space="preserve">CVR </w:t>
    </w:r>
    <w:bookmarkStart w:id="68" w:name="OFF_CVR"/>
    <w:r w:rsidRPr="00043105">
      <w:t>12854358</w:t>
    </w:r>
    <w:bookmarkEnd w:id="68"/>
    <w:r w:rsidRPr="00043105">
      <w:t xml:space="preserve"> </w:t>
    </w:r>
    <w:bookmarkEnd w:id="67"/>
    <w:r w:rsidRPr="00043105">
      <w:t xml:space="preserve">• </w:t>
    </w:r>
    <w:bookmarkStart w:id="69" w:name="OFF_EANHIF"/>
    <w:r w:rsidRPr="00043105">
      <w:t xml:space="preserve">EAN </w:t>
    </w:r>
    <w:bookmarkStart w:id="70" w:name="OFF_EAN"/>
    <w:r w:rsidRPr="00043105">
      <w:t>5798000862005</w:t>
    </w:r>
    <w:bookmarkEnd w:id="70"/>
    <w:r w:rsidRPr="00043105">
      <w:t xml:space="preserve"> </w:t>
    </w:r>
    <w:bookmarkEnd w:id="69"/>
    <w:r w:rsidRPr="00043105">
      <w:t xml:space="preserve">• </w:t>
    </w:r>
    <w:bookmarkStart w:id="71" w:name="OFF_Email"/>
    <w:bookmarkStart w:id="72" w:name="OFF_EmailHIF"/>
    <w:r w:rsidRPr="00043105">
      <w:t>mim@mim.dk</w:t>
    </w:r>
    <w:bookmarkEnd w:id="71"/>
    <w:r w:rsidRPr="00043105">
      <w:t xml:space="preserve"> </w:t>
    </w:r>
    <w:bookmarkEnd w:id="72"/>
    <w:r w:rsidRPr="00043105">
      <w:t xml:space="preserve">• </w:t>
    </w:r>
    <w:bookmarkStart w:id="73" w:name="OFF_Web"/>
    <w:bookmarkStart w:id="74" w:name="OFF_WebHIF"/>
    <w:r w:rsidRPr="00043105">
      <w:t>www.mim.dk</w:t>
    </w:r>
    <w:bookmarkEnd w:id="73"/>
    <w:r w:rsidRPr="00043105">
      <w:t xml:space="preserve"> </w:t>
    </w:r>
    <w:bookmarkEnd w:id="62"/>
    <w:bookmarkEnd w:id="74"/>
  </w:p>
  <w:p w14:paraId="51469551" w14:textId="77777777" w:rsidR="00D821E9" w:rsidRPr="00043105" w:rsidRDefault="00D821E9"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4E243" w14:textId="77777777" w:rsidR="00EE15C1" w:rsidRDefault="00EE15C1">
      <w:r>
        <w:separator/>
      </w:r>
    </w:p>
  </w:footnote>
  <w:footnote w:type="continuationSeparator" w:id="0">
    <w:p w14:paraId="7073E38D" w14:textId="77777777" w:rsidR="00EE15C1" w:rsidRDefault="00EE15C1">
      <w:r>
        <w:continuationSeparator/>
      </w:r>
    </w:p>
  </w:footnote>
  <w:footnote w:id="1">
    <w:p w14:paraId="77D7EA42" w14:textId="77777777" w:rsidR="00D821E9" w:rsidRDefault="00D821E9" w:rsidP="00751337">
      <w:pPr>
        <w:pStyle w:val="Fodnotetekst"/>
      </w:pPr>
      <w:r>
        <w:rPr>
          <w:rStyle w:val="Fodnotehenvisning"/>
        </w:rPr>
        <w:footnoteRef/>
      </w:r>
      <w:r>
        <w:t xml:space="preserve"> Opgørelsen er beregnet ud fra det registrerede antal malkekøer (årskøer) i CHR-registeret pr. 1. juli 2022.</w:t>
      </w:r>
    </w:p>
  </w:footnote>
  <w:footnote w:id="2">
    <w:p w14:paraId="6AE5C3DC" w14:textId="102D8F6F" w:rsidR="00D821E9" w:rsidRPr="001E1726" w:rsidRDefault="00D821E9">
      <w:pPr>
        <w:pStyle w:val="Fodnotetekst"/>
      </w:pPr>
      <w:r>
        <w:rPr>
          <w:rStyle w:val="Fodnotehenvisning"/>
        </w:rPr>
        <w:footnoteRef/>
      </w:r>
      <w:r w:rsidRPr="001E1726">
        <w:t xml:space="preserve"> </w:t>
      </w:r>
      <w:hyperlink r:id="rId1" w:history="1">
        <w:r w:rsidRPr="001E1726">
          <w:rPr>
            <w:rStyle w:val="Hyperlink"/>
          </w:rPr>
          <w:t>https://pure.au.dk/ws/portalfiles/portal/374194078/Klimavirkemiddelkataloget_2024opdatering_1604_2024.pdf</w:t>
        </w:r>
      </w:hyperlink>
      <w:r w:rsidRPr="001E1726">
        <w:t xml:space="preserve"> </w:t>
      </w:r>
    </w:p>
  </w:footnote>
  <w:footnote w:id="3">
    <w:p w14:paraId="5722B54C" w14:textId="77777777" w:rsidR="00D821E9" w:rsidRPr="0097603F" w:rsidRDefault="00D821E9" w:rsidP="00E25A5D">
      <w:pPr>
        <w:pStyle w:val="Fodnotetekst"/>
      </w:pPr>
      <w:r>
        <w:rPr>
          <w:rStyle w:val="Fodnotehenvisning"/>
        </w:rPr>
        <w:footnoteRef/>
      </w:r>
      <w:r w:rsidRPr="0097603F">
        <w:t xml:space="preserve"> </w:t>
      </w:r>
      <w:hyperlink r:id="rId2" w:history="1">
        <w:r w:rsidRPr="0097603F">
          <w:rPr>
            <w:rStyle w:val="Hyperlink"/>
          </w:rPr>
          <w:t>https://pure.au.dk/ws/portalfiles/portal/342793015/Klimavirkemiddelkatalog_28.09.2023.pdf</w:t>
        </w:r>
      </w:hyperlink>
      <w:r w:rsidRPr="0097603F">
        <w:t xml:space="preserve"> </w:t>
      </w:r>
    </w:p>
  </w:footnote>
  <w:footnote w:id="4">
    <w:p w14:paraId="69921167" w14:textId="77777777" w:rsidR="00D821E9" w:rsidRPr="0097603F" w:rsidRDefault="00D821E9" w:rsidP="00E25A5D">
      <w:pPr>
        <w:pStyle w:val="Fodnotetekst"/>
      </w:pPr>
      <w:r>
        <w:rPr>
          <w:rStyle w:val="Fodnotehenvisning"/>
        </w:rPr>
        <w:footnoteRef/>
      </w:r>
      <w:r w:rsidRPr="0097603F">
        <w:t xml:space="preserve"> </w:t>
      </w:r>
      <w:hyperlink r:id="rId3" w:history="1">
        <w:r w:rsidRPr="0097603F">
          <w:rPr>
            <w:rStyle w:val="Hyperlink"/>
          </w:rPr>
          <w:t>https://pure.au.dk/ws/portalfiles/portal/361266804/Fat_in_heifers_and_dry_cows_20-12-2023.pdf</w:t>
        </w:r>
      </w:hyperlink>
    </w:p>
    <w:p w14:paraId="23B292BB" w14:textId="77777777" w:rsidR="00D821E9" w:rsidRPr="0097603F" w:rsidRDefault="00D821E9" w:rsidP="00E25A5D">
      <w:pPr>
        <w:pStyle w:val="Fodnotetekst"/>
      </w:pPr>
    </w:p>
  </w:footnote>
  <w:footnote w:id="5">
    <w:p w14:paraId="2226BE9C" w14:textId="77777777" w:rsidR="00D821E9" w:rsidRPr="0097603F" w:rsidRDefault="00D821E9" w:rsidP="00A06114">
      <w:pPr>
        <w:pStyle w:val="Fodnotetekst"/>
      </w:pPr>
      <w:r>
        <w:rPr>
          <w:rStyle w:val="Fodnotehenvisning"/>
        </w:rPr>
        <w:footnoteRef/>
      </w:r>
      <w:r w:rsidRPr="0097603F">
        <w:t xml:space="preserve"> </w:t>
      </w:r>
      <w:hyperlink r:id="rId4" w:history="1">
        <w:r w:rsidRPr="0097603F">
          <w:rPr>
            <w:rStyle w:val="Hyperlink"/>
          </w:rPr>
          <w:t>https://pure.au.dk/ws/portalfiles/portal/374194078/Klimavirkemiddelkataloget_2024opdatering_1604_2024.pdf</w:t>
        </w:r>
      </w:hyperlink>
      <w:r w:rsidRPr="0097603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F250" w14:textId="13261381" w:rsidR="00D821E9" w:rsidRDefault="00D821E9">
    <w:pPr>
      <w:pStyle w:val="Sidehoved"/>
    </w:pPr>
    <w:bookmarkStart w:id="31" w:name="BIT_PrimaryHeader"/>
  </w:p>
  <w:bookmarkEnd w:id="31"/>
  <w:p w14:paraId="5B699957" w14:textId="77777777" w:rsidR="00D821E9" w:rsidRDefault="00D821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7954" w14:textId="4B712A5E" w:rsidR="00D821E9" w:rsidRPr="00E959A5" w:rsidRDefault="00D821E9" w:rsidP="00EE0137">
    <w:r>
      <w:rPr>
        <w:noProof/>
      </w:rPr>
      <w:drawing>
        <wp:anchor distT="0" distB="0" distL="114300" distR="114300" simplePos="0" relativeHeight="251660288" behindDoc="0" locked="1" layoutInCell="1" allowOverlap="1" wp14:anchorId="6C56DB79" wp14:editId="5B2EB49B">
          <wp:simplePos x="0" y="0"/>
          <wp:positionH relativeFrom="rightMargin">
            <wp:align>right</wp:align>
          </wp:positionH>
          <wp:positionV relativeFrom="page">
            <wp:posOffset>431800</wp:posOffset>
          </wp:positionV>
          <wp:extent cx="2627626" cy="527050"/>
          <wp:effectExtent l="0" t="0" r="0" b="0"/>
          <wp:wrapNone/>
          <wp:docPr id="2" name="TopLogoFirst_bmkAr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527050"/>
                  </a:xfrm>
                  <a:prstGeom prst="rect">
                    <a:avLst/>
                  </a:prstGeom>
                </pic:spPr>
              </pic:pic>
            </a:graphicData>
          </a:graphic>
          <wp14:sizeRelH relativeFrom="page">
            <wp14:pctWidth>0</wp14:pctWidth>
          </wp14:sizeRelH>
          <wp14:sizeRelV relativeFrom="page">
            <wp14:pctHeight>0</wp14:pctHeight>
          </wp14:sizeRelV>
        </wp:anchor>
      </w:drawing>
    </w:r>
    <w:r w:rsidRPr="00E959A5">
      <w:rPr>
        <w:noProof/>
      </w:rPr>
      <mc:AlternateContent>
        <mc:Choice Requires="wps">
          <w:drawing>
            <wp:anchor distT="0" distB="0" distL="114300" distR="114300" simplePos="0" relativeHeight="251659264" behindDoc="0" locked="1" layoutInCell="1" allowOverlap="1" wp14:anchorId="29D37DB2" wp14:editId="3189D1E8">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D821E9" w14:paraId="5AD62F63" w14:textId="77777777">
                            <w:trPr>
                              <w:cantSplit/>
                              <w:trHeight w:val="2778"/>
                            </w:trPr>
                            <w:tc>
                              <w:tcPr>
                                <w:tcW w:w="2755" w:type="dxa"/>
                                <w:tcMar>
                                  <w:top w:w="34" w:type="dxa"/>
                                  <w:left w:w="0" w:type="dxa"/>
                                  <w:bottom w:w="28" w:type="dxa"/>
                                  <w:right w:w="0" w:type="dxa"/>
                                </w:tcMar>
                              </w:tcPr>
                              <w:p w14:paraId="0F468C9F" w14:textId="77777777" w:rsidR="00D821E9" w:rsidRPr="009F2BC1" w:rsidRDefault="00D821E9">
                                <w:pPr>
                                  <w:pStyle w:val="Kolofontekst"/>
                                </w:pPr>
                                <w:bookmarkStart w:id="32" w:name="OFF_Department"/>
                                <w:bookmarkStart w:id="33" w:name="OFF_DepartmentHIF"/>
                                <w:r w:rsidRPr="009F2BC1">
                                  <w:t>Bæredygtigt Miljø og Produktion</w:t>
                                </w:r>
                                <w:bookmarkEnd w:id="32"/>
                              </w:p>
                              <w:p w14:paraId="208D7359" w14:textId="18C6CC9D" w:rsidR="00D821E9" w:rsidRPr="009F2BC1" w:rsidRDefault="00D821E9">
                                <w:pPr>
                                  <w:pStyle w:val="Kolofontekst"/>
                                </w:pPr>
                                <w:bookmarkStart w:id="34" w:name="LAN_CaseNo"/>
                                <w:bookmarkStart w:id="35" w:name="dossier_f2casenumberHIF"/>
                                <w:bookmarkEnd w:id="33"/>
                                <w:r w:rsidRPr="009F2BC1">
                                  <w:t>J.nr.</w:t>
                                </w:r>
                                <w:bookmarkEnd w:id="34"/>
                                <w:r w:rsidRPr="009F2BC1">
                                  <w:t xml:space="preserve"> </w:t>
                                </w:r>
                                <w:bookmarkStart w:id="36" w:name="dossier_f2casenumber"/>
                                <w:r w:rsidRPr="009F2BC1">
                                  <w:rPr>
                                    <w:color w:val="000000" w:themeColor="text1"/>
                                    <w:lang w:val="de-DE"/>
                                  </w:rPr>
                                  <w:t>202</w:t>
                                </w:r>
                                <w:r>
                                  <w:rPr>
                                    <w:color w:val="000000" w:themeColor="text1"/>
                                    <w:lang w:val="de-DE"/>
                                  </w:rPr>
                                  <w:t>4</w:t>
                                </w:r>
                                <w:r w:rsidRPr="009F2BC1">
                                  <w:rPr>
                                    <w:color w:val="000000" w:themeColor="text1"/>
                                    <w:lang w:val="de-DE"/>
                                  </w:rPr>
                                  <w:t xml:space="preserve"> - </w:t>
                                </w:r>
                                <w:bookmarkEnd w:id="36"/>
                                <w:r>
                                  <w:rPr>
                                    <w:color w:val="000000" w:themeColor="text1"/>
                                    <w:lang w:val="de-DE"/>
                                  </w:rPr>
                                  <w:t>5033</w:t>
                                </w:r>
                                <w:r w:rsidRPr="009F2BC1">
                                  <w:t xml:space="preserve">  </w:t>
                                </w:r>
                              </w:p>
                              <w:p w14:paraId="6D8EF106" w14:textId="3C26732A" w:rsidR="00D821E9" w:rsidRPr="009F2BC1" w:rsidRDefault="00D821E9">
                                <w:pPr>
                                  <w:pStyle w:val="Kolofontekst"/>
                                </w:pPr>
                                <w:bookmarkStart w:id="37" w:name="LAN_Ref"/>
                                <w:bookmarkStart w:id="38" w:name="USR_InitialsHIF"/>
                                <w:bookmarkEnd w:id="35"/>
                                <w:r w:rsidRPr="009F2BC1">
                                  <w:t>Ref.</w:t>
                                </w:r>
                                <w:bookmarkEnd w:id="37"/>
                                <w:r w:rsidRPr="009F2BC1">
                                  <w:t xml:space="preserve"> </w:t>
                                </w:r>
                                <w:r>
                                  <w:t>SIKJL/PEJOE</w:t>
                                </w:r>
                              </w:p>
                              <w:p w14:paraId="1FC16F43" w14:textId="0CC213CD" w:rsidR="00D821E9" w:rsidRDefault="00D821E9" w:rsidP="00F079B4">
                                <w:pPr>
                                  <w:pStyle w:val="Kolofontekst"/>
                                </w:pPr>
                                <w:bookmarkStart w:id="39" w:name="FLD_DocumentDate"/>
                                <w:bookmarkEnd w:id="38"/>
                                <w:r>
                                  <w:t>Den 2</w:t>
                                </w:r>
                                <w:r w:rsidR="005B296E">
                                  <w:t>3</w:t>
                                </w:r>
                                <w:r>
                                  <w:t>. maj 2024</w:t>
                                </w:r>
                                <w:bookmarkEnd w:id="39"/>
                              </w:p>
                            </w:tc>
                          </w:tr>
                        </w:tbl>
                        <w:p w14:paraId="65E4BED5" w14:textId="77777777" w:rsidR="00D821E9" w:rsidRDefault="00D821E9"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37DB2"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D821E9" w14:paraId="5AD62F63" w14:textId="77777777">
                      <w:trPr>
                        <w:cantSplit/>
                        <w:trHeight w:val="2778"/>
                      </w:trPr>
                      <w:tc>
                        <w:tcPr>
                          <w:tcW w:w="2755" w:type="dxa"/>
                          <w:tcMar>
                            <w:top w:w="34" w:type="dxa"/>
                            <w:left w:w="0" w:type="dxa"/>
                            <w:bottom w:w="28" w:type="dxa"/>
                            <w:right w:w="0" w:type="dxa"/>
                          </w:tcMar>
                        </w:tcPr>
                        <w:p w14:paraId="0F468C9F" w14:textId="77777777" w:rsidR="00D821E9" w:rsidRPr="009F2BC1" w:rsidRDefault="00D821E9">
                          <w:pPr>
                            <w:pStyle w:val="Kolofontekst"/>
                          </w:pPr>
                          <w:bookmarkStart w:id="40" w:name="OFF_Department"/>
                          <w:bookmarkStart w:id="41" w:name="OFF_DepartmentHIF"/>
                          <w:r w:rsidRPr="009F2BC1">
                            <w:t>Bæredygtigt Miljø og Produktion</w:t>
                          </w:r>
                          <w:bookmarkEnd w:id="40"/>
                        </w:p>
                        <w:p w14:paraId="208D7359" w14:textId="18C6CC9D" w:rsidR="00D821E9" w:rsidRPr="009F2BC1" w:rsidRDefault="00D821E9">
                          <w:pPr>
                            <w:pStyle w:val="Kolofontekst"/>
                          </w:pPr>
                          <w:bookmarkStart w:id="42" w:name="LAN_CaseNo"/>
                          <w:bookmarkStart w:id="43" w:name="dossier_f2casenumberHIF"/>
                          <w:bookmarkEnd w:id="41"/>
                          <w:r w:rsidRPr="009F2BC1">
                            <w:t>J.nr.</w:t>
                          </w:r>
                          <w:bookmarkEnd w:id="42"/>
                          <w:r w:rsidRPr="009F2BC1">
                            <w:t xml:space="preserve"> </w:t>
                          </w:r>
                          <w:bookmarkStart w:id="44" w:name="dossier_f2casenumber"/>
                          <w:r w:rsidRPr="009F2BC1">
                            <w:rPr>
                              <w:color w:val="000000" w:themeColor="text1"/>
                              <w:lang w:val="de-DE"/>
                            </w:rPr>
                            <w:t>202</w:t>
                          </w:r>
                          <w:r>
                            <w:rPr>
                              <w:color w:val="000000" w:themeColor="text1"/>
                              <w:lang w:val="de-DE"/>
                            </w:rPr>
                            <w:t>4</w:t>
                          </w:r>
                          <w:r w:rsidRPr="009F2BC1">
                            <w:rPr>
                              <w:color w:val="000000" w:themeColor="text1"/>
                              <w:lang w:val="de-DE"/>
                            </w:rPr>
                            <w:t xml:space="preserve"> - </w:t>
                          </w:r>
                          <w:bookmarkEnd w:id="44"/>
                          <w:r>
                            <w:rPr>
                              <w:color w:val="000000" w:themeColor="text1"/>
                              <w:lang w:val="de-DE"/>
                            </w:rPr>
                            <w:t>5033</w:t>
                          </w:r>
                          <w:r w:rsidRPr="009F2BC1">
                            <w:t xml:space="preserve">  </w:t>
                          </w:r>
                        </w:p>
                        <w:p w14:paraId="6D8EF106" w14:textId="3C26732A" w:rsidR="00D821E9" w:rsidRPr="009F2BC1" w:rsidRDefault="00D821E9">
                          <w:pPr>
                            <w:pStyle w:val="Kolofontekst"/>
                          </w:pPr>
                          <w:bookmarkStart w:id="45" w:name="LAN_Ref"/>
                          <w:bookmarkStart w:id="46" w:name="USR_InitialsHIF"/>
                          <w:bookmarkEnd w:id="43"/>
                          <w:r w:rsidRPr="009F2BC1">
                            <w:t>Ref.</w:t>
                          </w:r>
                          <w:bookmarkEnd w:id="45"/>
                          <w:r w:rsidRPr="009F2BC1">
                            <w:t xml:space="preserve"> </w:t>
                          </w:r>
                          <w:r>
                            <w:t>SIKJL/PEJOE</w:t>
                          </w:r>
                        </w:p>
                        <w:p w14:paraId="1FC16F43" w14:textId="0CC213CD" w:rsidR="00D821E9" w:rsidRDefault="00D821E9" w:rsidP="00F079B4">
                          <w:pPr>
                            <w:pStyle w:val="Kolofontekst"/>
                          </w:pPr>
                          <w:bookmarkStart w:id="47" w:name="FLD_DocumentDate"/>
                          <w:bookmarkEnd w:id="46"/>
                          <w:r>
                            <w:t>Den 2</w:t>
                          </w:r>
                          <w:r w:rsidR="005B296E">
                            <w:t>3</w:t>
                          </w:r>
                          <w:r>
                            <w:t>. maj 2024</w:t>
                          </w:r>
                          <w:bookmarkEnd w:id="47"/>
                        </w:p>
                      </w:tc>
                    </w:tr>
                  </w:tbl>
                  <w:p w14:paraId="65E4BED5" w14:textId="77777777" w:rsidR="00D821E9" w:rsidRDefault="00D821E9" w:rsidP="00EE0137"/>
                </w:txbxContent>
              </v:textbox>
              <w10:wrap anchorx="margin" anchory="page"/>
              <w10:anchorlock/>
            </v:shape>
          </w:pict>
        </mc:Fallback>
      </mc:AlternateContent>
    </w:r>
  </w:p>
  <w:p w14:paraId="386B4B6E" w14:textId="77777777" w:rsidR="00D821E9" w:rsidRDefault="00D821E9"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05C0856"/>
    <w:multiLevelType w:val="hybridMultilevel"/>
    <w:tmpl w:val="4344E022"/>
    <w:lvl w:ilvl="0" w:tplc="5022A0B2">
      <w:start w:val="1"/>
      <w:numFmt w:val="bullet"/>
      <w:lvlText w:val="-"/>
      <w:lvlJc w:val="left"/>
      <w:pPr>
        <w:ind w:left="1080" w:hanging="360"/>
      </w:pPr>
      <w:rPr>
        <w:rFonts w:ascii="Georgia" w:eastAsia="Times New Roman" w:hAnsi="Georgi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E86B0F"/>
    <w:multiLevelType w:val="multilevel"/>
    <w:tmpl w:val="E996D9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17957609"/>
    <w:multiLevelType w:val="hybridMultilevel"/>
    <w:tmpl w:val="55589064"/>
    <w:lvl w:ilvl="0" w:tplc="E50A60FE">
      <w:start w:val="1"/>
      <w:numFmt w:val="decimal"/>
      <w:lvlText w:val="%1)"/>
      <w:lvlJc w:val="left"/>
      <w:pPr>
        <w:ind w:left="814" w:hanging="360"/>
      </w:pPr>
      <w:rPr>
        <w:rFonts w:hint="default"/>
      </w:rPr>
    </w:lvl>
    <w:lvl w:ilvl="1" w:tplc="04060019" w:tentative="1">
      <w:start w:val="1"/>
      <w:numFmt w:val="lowerLetter"/>
      <w:lvlText w:val="%2."/>
      <w:lvlJc w:val="left"/>
      <w:pPr>
        <w:ind w:left="1534" w:hanging="360"/>
      </w:pPr>
    </w:lvl>
    <w:lvl w:ilvl="2" w:tplc="0406001B" w:tentative="1">
      <w:start w:val="1"/>
      <w:numFmt w:val="lowerRoman"/>
      <w:lvlText w:val="%3."/>
      <w:lvlJc w:val="right"/>
      <w:pPr>
        <w:ind w:left="2254" w:hanging="180"/>
      </w:pPr>
    </w:lvl>
    <w:lvl w:ilvl="3" w:tplc="0406000F" w:tentative="1">
      <w:start w:val="1"/>
      <w:numFmt w:val="decimal"/>
      <w:lvlText w:val="%4."/>
      <w:lvlJc w:val="left"/>
      <w:pPr>
        <w:ind w:left="2974" w:hanging="360"/>
      </w:pPr>
    </w:lvl>
    <w:lvl w:ilvl="4" w:tplc="04060019" w:tentative="1">
      <w:start w:val="1"/>
      <w:numFmt w:val="lowerLetter"/>
      <w:lvlText w:val="%5."/>
      <w:lvlJc w:val="left"/>
      <w:pPr>
        <w:ind w:left="3694" w:hanging="360"/>
      </w:pPr>
    </w:lvl>
    <w:lvl w:ilvl="5" w:tplc="0406001B" w:tentative="1">
      <w:start w:val="1"/>
      <w:numFmt w:val="lowerRoman"/>
      <w:lvlText w:val="%6."/>
      <w:lvlJc w:val="right"/>
      <w:pPr>
        <w:ind w:left="4414" w:hanging="180"/>
      </w:pPr>
    </w:lvl>
    <w:lvl w:ilvl="6" w:tplc="0406000F" w:tentative="1">
      <w:start w:val="1"/>
      <w:numFmt w:val="decimal"/>
      <w:lvlText w:val="%7."/>
      <w:lvlJc w:val="left"/>
      <w:pPr>
        <w:ind w:left="5134" w:hanging="360"/>
      </w:pPr>
    </w:lvl>
    <w:lvl w:ilvl="7" w:tplc="04060019" w:tentative="1">
      <w:start w:val="1"/>
      <w:numFmt w:val="lowerLetter"/>
      <w:lvlText w:val="%8."/>
      <w:lvlJc w:val="left"/>
      <w:pPr>
        <w:ind w:left="5854" w:hanging="360"/>
      </w:pPr>
    </w:lvl>
    <w:lvl w:ilvl="8" w:tplc="0406001B" w:tentative="1">
      <w:start w:val="1"/>
      <w:numFmt w:val="lowerRoman"/>
      <w:lvlText w:val="%9."/>
      <w:lvlJc w:val="right"/>
      <w:pPr>
        <w:ind w:left="6574" w:hanging="180"/>
      </w:pPr>
    </w:lvl>
  </w:abstractNum>
  <w:abstractNum w:abstractNumId="14" w15:restartNumberingAfterBreak="0">
    <w:nsid w:val="216309E1"/>
    <w:multiLevelType w:val="hybridMultilevel"/>
    <w:tmpl w:val="0464E2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471296D"/>
    <w:multiLevelType w:val="multilevel"/>
    <w:tmpl w:val="85E8B3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7" w15:restartNumberingAfterBreak="0">
    <w:nsid w:val="338E7D3E"/>
    <w:multiLevelType w:val="hybridMultilevel"/>
    <w:tmpl w:val="5386D0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CD4B0E"/>
    <w:multiLevelType w:val="hybridMultilevel"/>
    <w:tmpl w:val="771032A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984F79"/>
    <w:multiLevelType w:val="hybridMultilevel"/>
    <w:tmpl w:val="C3A2C3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1372B86"/>
    <w:multiLevelType w:val="hybridMultilevel"/>
    <w:tmpl w:val="A932873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5D712E7"/>
    <w:multiLevelType w:val="hybridMultilevel"/>
    <w:tmpl w:val="98AEF7BE"/>
    <w:lvl w:ilvl="0" w:tplc="1402000E">
      <w:start w:val="1"/>
      <w:numFmt w:val="bullet"/>
      <w:lvlText w:val="-"/>
      <w:lvlJc w:val="left"/>
      <w:pPr>
        <w:ind w:left="1440" w:hanging="360"/>
      </w:pPr>
      <w:rPr>
        <w:rFonts w:ascii="Georgia" w:eastAsia="Times New Roman" w:hAnsi="Georgia"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469F1802"/>
    <w:multiLevelType w:val="hybridMultilevel"/>
    <w:tmpl w:val="EA6E13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D6024DC"/>
    <w:multiLevelType w:val="hybridMultilevel"/>
    <w:tmpl w:val="9762137A"/>
    <w:lvl w:ilvl="0" w:tplc="04060011">
      <w:start w:val="1"/>
      <w:numFmt w:val="decimal"/>
      <w:lvlText w:val="%1)"/>
      <w:lvlJc w:val="left"/>
      <w:pPr>
        <w:ind w:left="50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973A0A"/>
    <w:multiLevelType w:val="hybridMultilevel"/>
    <w:tmpl w:val="40DCB2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58E7C5F"/>
    <w:multiLevelType w:val="hybridMultilevel"/>
    <w:tmpl w:val="D48C944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7DC4BF7"/>
    <w:multiLevelType w:val="multilevel"/>
    <w:tmpl w:val="EB46A042"/>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DF0CEB"/>
    <w:multiLevelType w:val="hybridMultilevel"/>
    <w:tmpl w:val="08A2B340"/>
    <w:lvl w:ilvl="0" w:tplc="E34EA986">
      <w:start w:val="5"/>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9B47E5B"/>
    <w:multiLevelType w:val="multilevel"/>
    <w:tmpl w:val="85E8B3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0E22E4"/>
    <w:multiLevelType w:val="multilevel"/>
    <w:tmpl w:val="C74AD7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EE0A6D"/>
    <w:multiLevelType w:val="multilevel"/>
    <w:tmpl w:val="85E8B3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5B7EDF"/>
    <w:multiLevelType w:val="hybridMultilevel"/>
    <w:tmpl w:val="6BF862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2BB3FC6"/>
    <w:multiLevelType w:val="hybridMultilevel"/>
    <w:tmpl w:val="B4C47694"/>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5" w15:restartNumberingAfterBreak="0">
    <w:nsid w:val="7AAC644A"/>
    <w:multiLevelType w:val="hybridMultilevel"/>
    <w:tmpl w:val="360A790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DBE4660"/>
    <w:multiLevelType w:val="multilevel"/>
    <w:tmpl w:val="1E6429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10"/>
  </w:num>
  <w:num w:numId="12">
    <w:abstractNumId w:val="28"/>
  </w:num>
  <w:num w:numId="13">
    <w:abstractNumId w:val="19"/>
  </w:num>
  <w:num w:numId="14">
    <w:abstractNumId w:val="8"/>
  </w:num>
  <w:num w:numId="15">
    <w:abstractNumId w:val="26"/>
  </w:num>
  <w:num w:numId="16">
    <w:abstractNumId w:val="36"/>
  </w:num>
  <w:num w:numId="17">
    <w:abstractNumId w:val="31"/>
  </w:num>
  <w:num w:numId="18">
    <w:abstractNumId w:val="29"/>
  </w:num>
  <w:num w:numId="19">
    <w:abstractNumId w:val="18"/>
  </w:num>
  <w:num w:numId="20">
    <w:abstractNumId w:val="20"/>
  </w:num>
  <w:num w:numId="21">
    <w:abstractNumId w:val="14"/>
  </w:num>
  <w:num w:numId="22">
    <w:abstractNumId w:val="27"/>
  </w:num>
  <w:num w:numId="23">
    <w:abstractNumId w:val="11"/>
  </w:num>
  <w:num w:numId="24">
    <w:abstractNumId w:val="21"/>
  </w:num>
  <w:num w:numId="25">
    <w:abstractNumId w:val="9"/>
  </w:num>
  <w:num w:numId="26">
    <w:abstractNumId w:val="22"/>
  </w:num>
  <w:num w:numId="27">
    <w:abstractNumId w:val="33"/>
  </w:num>
  <w:num w:numId="28">
    <w:abstractNumId w:val="17"/>
  </w:num>
  <w:num w:numId="29">
    <w:abstractNumId w:val="24"/>
  </w:num>
  <w:num w:numId="30">
    <w:abstractNumId w:val="13"/>
  </w:num>
  <w:num w:numId="31">
    <w:abstractNumId w:val="35"/>
  </w:num>
  <w:num w:numId="32">
    <w:abstractNumId w:val="15"/>
  </w:num>
  <w:num w:numId="33">
    <w:abstractNumId w:val="32"/>
  </w:num>
  <w:num w:numId="34">
    <w:abstractNumId w:val="25"/>
  </w:num>
  <w:num w:numId="35">
    <w:abstractNumId w:val="30"/>
  </w:num>
  <w:num w:numId="36">
    <w:abstractNumId w:val="2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C1"/>
    <w:rsid w:val="00002EA0"/>
    <w:rsid w:val="00003636"/>
    <w:rsid w:val="00004B27"/>
    <w:rsid w:val="00005FAA"/>
    <w:rsid w:val="00006DF6"/>
    <w:rsid w:val="000072B8"/>
    <w:rsid w:val="0001457C"/>
    <w:rsid w:val="0001528D"/>
    <w:rsid w:val="000166A0"/>
    <w:rsid w:val="00017C0E"/>
    <w:rsid w:val="00024D20"/>
    <w:rsid w:val="00030051"/>
    <w:rsid w:val="000317A2"/>
    <w:rsid w:val="00037E7E"/>
    <w:rsid w:val="00042AD4"/>
    <w:rsid w:val="00043105"/>
    <w:rsid w:val="000452C6"/>
    <w:rsid w:val="00060BC5"/>
    <w:rsid w:val="000647F2"/>
    <w:rsid w:val="00066A0C"/>
    <w:rsid w:val="00070BA1"/>
    <w:rsid w:val="00073466"/>
    <w:rsid w:val="00074F1A"/>
    <w:rsid w:val="000758FD"/>
    <w:rsid w:val="00082404"/>
    <w:rsid w:val="000825EC"/>
    <w:rsid w:val="00092DD5"/>
    <w:rsid w:val="00096AA1"/>
    <w:rsid w:val="000A1C92"/>
    <w:rsid w:val="000A26F5"/>
    <w:rsid w:val="000A41EB"/>
    <w:rsid w:val="000A7219"/>
    <w:rsid w:val="000B26E7"/>
    <w:rsid w:val="000B2E5E"/>
    <w:rsid w:val="000B4D4B"/>
    <w:rsid w:val="000B5461"/>
    <w:rsid w:val="000C0294"/>
    <w:rsid w:val="000C0594"/>
    <w:rsid w:val="000C13E6"/>
    <w:rsid w:val="000C3D52"/>
    <w:rsid w:val="000C45B7"/>
    <w:rsid w:val="000C62D3"/>
    <w:rsid w:val="000C75F9"/>
    <w:rsid w:val="000C76AD"/>
    <w:rsid w:val="000D0F4C"/>
    <w:rsid w:val="000D1CF4"/>
    <w:rsid w:val="000D3B0E"/>
    <w:rsid w:val="000D5FBF"/>
    <w:rsid w:val="000D600E"/>
    <w:rsid w:val="000E179B"/>
    <w:rsid w:val="000E3992"/>
    <w:rsid w:val="000E55BD"/>
    <w:rsid w:val="000E6A45"/>
    <w:rsid w:val="000E717B"/>
    <w:rsid w:val="000E7C37"/>
    <w:rsid w:val="000F0B81"/>
    <w:rsid w:val="00103018"/>
    <w:rsid w:val="0010372D"/>
    <w:rsid w:val="00104CB1"/>
    <w:rsid w:val="00106007"/>
    <w:rsid w:val="001062D0"/>
    <w:rsid w:val="00114DE6"/>
    <w:rsid w:val="001210A9"/>
    <w:rsid w:val="001225F0"/>
    <w:rsid w:val="001354CC"/>
    <w:rsid w:val="001408A2"/>
    <w:rsid w:val="0014150F"/>
    <w:rsid w:val="00144670"/>
    <w:rsid w:val="0014616C"/>
    <w:rsid w:val="00150899"/>
    <w:rsid w:val="00152CB8"/>
    <w:rsid w:val="00154300"/>
    <w:rsid w:val="00156908"/>
    <w:rsid w:val="00157669"/>
    <w:rsid w:val="001605C5"/>
    <w:rsid w:val="00160721"/>
    <w:rsid w:val="001743E7"/>
    <w:rsid w:val="001777F3"/>
    <w:rsid w:val="00183602"/>
    <w:rsid w:val="0018769C"/>
    <w:rsid w:val="001A3156"/>
    <w:rsid w:val="001A366A"/>
    <w:rsid w:val="001A434A"/>
    <w:rsid w:val="001A4D56"/>
    <w:rsid w:val="001A58BF"/>
    <w:rsid w:val="001A6CB5"/>
    <w:rsid w:val="001A7E4B"/>
    <w:rsid w:val="001B0299"/>
    <w:rsid w:val="001B04AB"/>
    <w:rsid w:val="001B3021"/>
    <w:rsid w:val="001B3F10"/>
    <w:rsid w:val="001B660E"/>
    <w:rsid w:val="001B72A9"/>
    <w:rsid w:val="001B7351"/>
    <w:rsid w:val="001C2544"/>
    <w:rsid w:val="001C417D"/>
    <w:rsid w:val="001C4328"/>
    <w:rsid w:val="001C6975"/>
    <w:rsid w:val="001C7630"/>
    <w:rsid w:val="001D1196"/>
    <w:rsid w:val="001D19D8"/>
    <w:rsid w:val="001E0ACC"/>
    <w:rsid w:val="001E1726"/>
    <w:rsid w:val="001E2D7D"/>
    <w:rsid w:val="001E38EF"/>
    <w:rsid w:val="001E50D1"/>
    <w:rsid w:val="001E63D8"/>
    <w:rsid w:val="001E6E6A"/>
    <w:rsid w:val="001E7F16"/>
    <w:rsid w:val="001F3A47"/>
    <w:rsid w:val="001F763E"/>
    <w:rsid w:val="00200B86"/>
    <w:rsid w:val="0020134B"/>
    <w:rsid w:val="0020402C"/>
    <w:rsid w:val="002044E3"/>
    <w:rsid w:val="00204BF4"/>
    <w:rsid w:val="00211AC9"/>
    <w:rsid w:val="002121E2"/>
    <w:rsid w:val="00212497"/>
    <w:rsid w:val="002216AA"/>
    <w:rsid w:val="002239C6"/>
    <w:rsid w:val="00225534"/>
    <w:rsid w:val="00232C57"/>
    <w:rsid w:val="00235C1F"/>
    <w:rsid w:val="002366E2"/>
    <w:rsid w:val="002438D0"/>
    <w:rsid w:val="00245E41"/>
    <w:rsid w:val="00250C15"/>
    <w:rsid w:val="00256B89"/>
    <w:rsid w:val="002629A8"/>
    <w:rsid w:val="002639DB"/>
    <w:rsid w:val="00264240"/>
    <w:rsid w:val="002654F9"/>
    <w:rsid w:val="002665DE"/>
    <w:rsid w:val="00267F76"/>
    <w:rsid w:val="0027053D"/>
    <w:rsid w:val="0027546B"/>
    <w:rsid w:val="00283D52"/>
    <w:rsid w:val="00284176"/>
    <w:rsid w:val="00293240"/>
    <w:rsid w:val="002933E6"/>
    <w:rsid w:val="0029629D"/>
    <w:rsid w:val="002A05BF"/>
    <w:rsid w:val="002A29B1"/>
    <w:rsid w:val="002A7623"/>
    <w:rsid w:val="002A7860"/>
    <w:rsid w:val="002B2639"/>
    <w:rsid w:val="002C042D"/>
    <w:rsid w:val="002C0B34"/>
    <w:rsid w:val="002C4595"/>
    <w:rsid w:val="002C4D00"/>
    <w:rsid w:val="002D00C9"/>
    <w:rsid w:val="002D03C2"/>
    <w:rsid w:val="002D1414"/>
    <w:rsid w:val="002D268E"/>
    <w:rsid w:val="002D5E62"/>
    <w:rsid w:val="002D7F0F"/>
    <w:rsid w:val="002E5AC4"/>
    <w:rsid w:val="003001A2"/>
    <w:rsid w:val="003016A3"/>
    <w:rsid w:val="003033ED"/>
    <w:rsid w:val="00306CC8"/>
    <w:rsid w:val="00310C3C"/>
    <w:rsid w:val="00313642"/>
    <w:rsid w:val="00315AC9"/>
    <w:rsid w:val="00316F2B"/>
    <w:rsid w:val="00317AB1"/>
    <w:rsid w:val="00320951"/>
    <w:rsid w:val="003209AA"/>
    <w:rsid w:val="00322BBE"/>
    <w:rsid w:val="00325BE5"/>
    <w:rsid w:val="00326ED5"/>
    <w:rsid w:val="00331970"/>
    <w:rsid w:val="00334562"/>
    <w:rsid w:val="00334B77"/>
    <w:rsid w:val="00335F59"/>
    <w:rsid w:val="0034032A"/>
    <w:rsid w:val="00343153"/>
    <w:rsid w:val="00343A37"/>
    <w:rsid w:val="00345FA9"/>
    <w:rsid w:val="003464E5"/>
    <w:rsid w:val="00350582"/>
    <w:rsid w:val="0035240F"/>
    <w:rsid w:val="00353B4E"/>
    <w:rsid w:val="003558D9"/>
    <w:rsid w:val="00362EAC"/>
    <w:rsid w:val="00364D05"/>
    <w:rsid w:val="0036576D"/>
    <w:rsid w:val="00365BC4"/>
    <w:rsid w:val="003819FF"/>
    <w:rsid w:val="00381D5B"/>
    <w:rsid w:val="00385C06"/>
    <w:rsid w:val="00386D0C"/>
    <w:rsid w:val="003A3350"/>
    <w:rsid w:val="003A3369"/>
    <w:rsid w:val="003A44A9"/>
    <w:rsid w:val="003B116A"/>
    <w:rsid w:val="003B1468"/>
    <w:rsid w:val="003B6C74"/>
    <w:rsid w:val="003B7428"/>
    <w:rsid w:val="003C34C4"/>
    <w:rsid w:val="003C5083"/>
    <w:rsid w:val="003C67E6"/>
    <w:rsid w:val="003D3CB2"/>
    <w:rsid w:val="003D518E"/>
    <w:rsid w:val="003D5CB7"/>
    <w:rsid w:val="003E06B4"/>
    <w:rsid w:val="003E09D1"/>
    <w:rsid w:val="003E1377"/>
    <w:rsid w:val="003E3617"/>
    <w:rsid w:val="003F0D75"/>
    <w:rsid w:val="00401A54"/>
    <w:rsid w:val="0040506D"/>
    <w:rsid w:val="00406784"/>
    <w:rsid w:val="00406AF1"/>
    <w:rsid w:val="00407A11"/>
    <w:rsid w:val="00407C2F"/>
    <w:rsid w:val="0041385B"/>
    <w:rsid w:val="00414BA2"/>
    <w:rsid w:val="00415BC0"/>
    <w:rsid w:val="004171A8"/>
    <w:rsid w:val="004208E6"/>
    <w:rsid w:val="00421592"/>
    <w:rsid w:val="004232F9"/>
    <w:rsid w:val="00424590"/>
    <w:rsid w:val="004260DC"/>
    <w:rsid w:val="00430C3E"/>
    <w:rsid w:val="0043177D"/>
    <w:rsid w:val="00433A1E"/>
    <w:rsid w:val="00440668"/>
    <w:rsid w:val="004421D7"/>
    <w:rsid w:val="0044334D"/>
    <w:rsid w:val="004476BD"/>
    <w:rsid w:val="00447B83"/>
    <w:rsid w:val="00450475"/>
    <w:rsid w:val="0045179E"/>
    <w:rsid w:val="00457431"/>
    <w:rsid w:val="00457882"/>
    <w:rsid w:val="00460B5A"/>
    <w:rsid w:val="0046600E"/>
    <w:rsid w:val="00467E79"/>
    <w:rsid w:val="00470306"/>
    <w:rsid w:val="00476722"/>
    <w:rsid w:val="00477BFF"/>
    <w:rsid w:val="004800E2"/>
    <w:rsid w:val="00481EEB"/>
    <w:rsid w:val="004830C6"/>
    <w:rsid w:val="0048366C"/>
    <w:rsid w:val="0048414C"/>
    <w:rsid w:val="00484ACD"/>
    <w:rsid w:val="0048667B"/>
    <w:rsid w:val="00486F50"/>
    <w:rsid w:val="00495993"/>
    <w:rsid w:val="004A3AAA"/>
    <w:rsid w:val="004A4315"/>
    <w:rsid w:val="004B4CF4"/>
    <w:rsid w:val="004B4D15"/>
    <w:rsid w:val="004B5995"/>
    <w:rsid w:val="004B5AC3"/>
    <w:rsid w:val="004B6A8B"/>
    <w:rsid w:val="004B79D7"/>
    <w:rsid w:val="004C0742"/>
    <w:rsid w:val="004C2277"/>
    <w:rsid w:val="004C237E"/>
    <w:rsid w:val="004C491E"/>
    <w:rsid w:val="004C63FE"/>
    <w:rsid w:val="004C6FE8"/>
    <w:rsid w:val="004D21B2"/>
    <w:rsid w:val="004D23C9"/>
    <w:rsid w:val="004D6645"/>
    <w:rsid w:val="004E09EE"/>
    <w:rsid w:val="004E33EF"/>
    <w:rsid w:val="004E562B"/>
    <w:rsid w:val="004E642A"/>
    <w:rsid w:val="004E7C82"/>
    <w:rsid w:val="004F2DA0"/>
    <w:rsid w:val="004F31DB"/>
    <w:rsid w:val="004F7C92"/>
    <w:rsid w:val="005009DC"/>
    <w:rsid w:val="00500EFC"/>
    <w:rsid w:val="00501E2E"/>
    <w:rsid w:val="00502FA6"/>
    <w:rsid w:val="0051029B"/>
    <w:rsid w:val="0051499C"/>
    <w:rsid w:val="0051781E"/>
    <w:rsid w:val="00520971"/>
    <w:rsid w:val="00523BD4"/>
    <w:rsid w:val="005267CB"/>
    <w:rsid w:val="00531869"/>
    <w:rsid w:val="00531B72"/>
    <w:rsid w:val="00535B7D"/>
    <w:rsid w:val="00542A75"/>
    <w:rsid w:val="00552498"/>
    <w:rsid w:val="005543C3"/>
    <w:rsid w:val="00554FAA"/>
    <w:rsid w:val="005630B4"/>
    <w:rsid w:val="00563773"/>
    <w:rsid w:val="005650F2"/>
    <w:rsid w:val="00565161"/>
    <w:rsid w:val="005660C4"/>
    <w:rsid w:val="005672CB"/>
    <w:rsid w:val="00572F47"/>
    <w:rsid w:val="00576B90"/>
    <w:rsid w:val="0058155D"/>
    <w:rsid w:val="00583D34"/>
    <w:rsid w:val="00590A5B"/>
    <w:rsid w:val="00590C13"/>
    <w:rsid w:val="0059175F"/>
    <w:rsid w:val="0059560E"/>
    <w:rsid w:val="00596C25"/>
    <w:rsid w:val="005A01E1"/>
    <w:rsid w:val="005A0290"/>
    <w:rsid w:val="005A1F29"/>
    <w:rsid w:val="005A29CB"/>
    <w:rsid w:val="005A50B9"/>
    <w:rsid w:val="005B296E"/>
    <w:rsid w:val="005B6581"/>
    <w:rsid w:val="005B6B3F"/>
    <w:rsid w:val="005C2A31"/>
    <w:rsid w:val="005C51A1"/>
    <w:rsid w:val="005D2B26"/>
    <w:rsid w:val="005D3CF2"/>
    <w:rsid w:val="005D543F"/>
    <w:rsid w:val="005D7152"/>
    <w:rsid w:val="005E0829"/>
    <w:rsid w:val="005E352B"/>
    <w:rsid w:val="005E4484"/>
    <w:rsid w:val="005E77EF"/>
    <w:rsid w:val="005F172E"/>
    <w:rsid w:val="005F254A"/>
    <w:rsid w:val="005F60BD"/>
    <w:rsid w:val="005F61FB"/>
    <w:rsid w:val="00602CD0"/>
    <w:rsid w:val="00604DC5"/>
    <w:rsid w:val="006067F0"/>
    <w:rsid w:val="006079D5"/>
    <w:rsid w:val="00610541"/>
    <w:rsid w:val="00610A43"/>
    <w:rsid w:val="00612296"/>
    <w:rsid w:val="0061566D"/>
    <w:rsid w:val="006161E8"/>
    <w:rsid w:val="00616530"/>
    <w:rsid w:val="006200CA"/>
    <w:rsid w:val="00620976"/>
    <w:rsid w:val="006217FF"/>
    <w:rsid w:val="00623A75"/>
    <w:rsid w:val="0063273A"/>
    <w:rsid w:val="006329E8"/>
    <w:rsid w:val="00632DB3"/>
    <w:rsid w:val="00632EB9"/>
    <w:rsid w:val="00641AE1"/>
    <w:rsid w:val="0064221F"/>
    <w:rsid w:val="0064547C"/>
    <w:rsid w:val="006468F5"/>
    <w:rsid w:val="00655780"/>
    <w:rsid w:val="006557F2"/>
    <w:rsid w:val="00656097"/>
    <w:rsid w:val="00656763"/>
    <w:rsid w:val="00656C96"/>
    <w:rsid w:val="00662296"/>
    <w:rsid w:val="00663B73"/>
    <w:rsid w:val="006665A1"/>
    <w:rsid w:val="006706E8"/>
    <w:rsid w:val="0067091B"/>
    <w:rsid w:val="0067771A"/>
    <w:rsid w:val="00684B85"/>
    <w:rsid w:val="0068783F"/>
    <w:rsid w:val="0069166D"/>
    <w:rsid w:val="0069474A"/>
    <w:rsid w:val="00696E85"/>
    <w:rsid w:val="006A18C5"/>
    <w:rsid w:val="006A3443"/>
    <w:rsid w:val="006B2683"/>
    <w:rsid w:val="006B2D23"/>
    <w:rsid w:val="006C1347"/>
    <w:rsid w:val="006C47BD"/>
    <w:rsid w:val="006C7759"/>
    <w:rsid w:val="006D09A7"/>
    <w:rsid w:val="006E2007"/>
    <w:rsid w:val="006E7F1D"/>
    <w:rsid w:val="006F11BF"/>
    <w:rsid w:val="006F3EB3"/>
    <w:rsid w:val="006F4DCD"/>
    <w:rsid w:val="00702FF2"/>
    <w:rsid w:val="00703B66"/>
    <w:rsid w:val="00705800"/>
    <w:rsid w:val="00705EAB"/>
    <w:rsid w:val="007158FE"/>
    <w:rsid w:val="00723455"/>
    <w:rsid w:val="00724762"/>
    <w:rsid w:val="00724D6D"/>
    <w:rsid w:val="00734564"/>
    <w:rsid w:val="0073474C"/>
    <w:rsid w:val="0073754C"/>
    <w:rsid w:val="00740728"/>
    <w:rsid w:val="0074716F"/>
    <w:rsid w:val="0074737F"/>
    <w:rsid w:val="007478A3"/>
    <w:rsid w:val="00751337"/>
    <w:rsid w:val="00751E72"/>
    <w:rsid w:val="00753673"/>
    <w:rsid w:val="007540BD"/>
    <w:rsid w:val="007579F1"/>
    <w:rsid w:val="00761D1E"/>
    <w:rsid w:val="00762205"/>
    <w:rsid w:val="0076323D"/>
    <w:rsid w:val="00763DB3"/>
    <w:rsid w:val="00763DCD"/>
    <w:rsid w:val="00764201"/>
    <w:rsid w:val="00766369"/>
    <w:rsid w:val="00766CDB"/>
    <w:rsid w:val="0077107A"/>
    <w:rsid w:val="0077532B"/>
    <w:rsid w:val="00781CA8"/>
    <w:rsid w:val="007830BE"/>
    <w:rsid w:val="00785E7E"/>
    <w:rsid w:val="007912B3"/>
    <w:rsid w:val="007940C9"/>
    <w:rsid w:val="00796312"/>
    <w:rsid w:val="007A3115"/>
    <w:rsid w:val="007A505D"/>
    <w:rsid w:val="007B1B23"/>
    <w:rsid w:val="007B21FA"/>
    <w:rsid w:val="007B2ADE"/>
    <w:rsid w:val="007B3940"/>
    <w:rsid w:val="007B5362"/>
    <w:rsid w:val="007B6845"/>
    <w:rsid w:val="007C0634"/>
    <w:rsid w:val="007C217A"/>
    <w:rsid w:val="007C679A"/>
    <w:rsid w:val="007D3CA4"/>
    <w:rsid w:val="007D492E"/>
    <w:rsid w:val="007E0C49"/>
    <w:rsid w:val="007E2D64"/>
    <w:rsid w:val="007E3A3B"/>
    <w:rsid w:val="007E51F2"/>
    <w:rsid w:val="007E5BFD"/>
    <w:rsid w:val="007E5E97"/>
    <w:rsid w:val="007E7688"/>
    <w:rsid w:val="007F4A4B"/>
    <w:rsid w:val="007F770C"/>
    <w:rsid w:val="0080202A"/>
    <w:rsid w:val="00802CB9"/>
    <w:rsid w:val="00807BA4"/>
    <w:rsid w:val="008130E7"/>
    <w:rsid w:val="00820D7B"/>
    <w:rsid w:val="00821133"/>
    <w:rsid w:val="0082258D"/>
    <w:rsid w:val="00823ACE"/>
    <w:rsid w:val="00827772"/>
    <w:rsid w:val="008324B0"/>
    <w:rsid w:val="00833A82"/>
    <w:rsid w:val="0083780F"/>
    <w:rsid w:val="008407EC"/>
    <w:rsid w:val="00840F9F"/>
    <w:rsid w:val="0084333E"/>
    <w:rsid w:val="0084379B"/>
    <w:rsid w:val="00844CA9"/>
    <w:rsid w:val="00847491"/>
    <w:rsid w:val="00850194"/>
    <w:rsid w:val="008512FB"/>
    <w:rsid w:val="008559E9"/>
    <w:rsid w:val="00856BFC"/>
    <w:rsid w:val="00860D2C"/>
    <w:rsid w:val="00861CBA"/>
    <w:rsid w:val="008630FF"/>
    <w:rsid w:val="00863B4C"/>
    <w:rsid w:val="0086405E"/>
    <w:rsid w:val="00872AC0"/>
    <w:rsid w:val="008734ED"/>
    <w:rsid w:val="00875531"/>
    <w:rsid w:val="00882741"/>
    <w:rsid w:val="008865E3"/>
    <w:rsid w:val="0089059C"/>
    <w:rsid w:val="00892B13"/>
    <w:rsid w:val="008A1C6B"/>
    <w:rsid w:val="008A3CD9"/>
    <w:rsid w:val="008B1B83"/>
    <w:rsid w:val="008B29BE"/>
    <w:rsid w:val="008B3ADA"/>
    <w:rsid w:val="008C2059"/>
    <w:rsid w:val="008C5F4A"/>
    <w:rsid w:val="008D1674"/>
    <w:rsid w:val="008D2726"/>
    <w:rsid w:val="008D3A0B"/>
    <w:rsid w:val="008E0F64"/>
    <w:rsid w:val="008E210C"/>
    <w:rsid w:val="008E2DC5"/>
    <w:rsid w:val="008E3990"/>
    <w:rsid w:val="008F17E5"/>
    <w:rsid w:val="008F272E"/>
    <w:rsid w:val="008F44D2"/>
    <w:rsid w:val="008F4EA2"/>
    <w:rsid w:val="008F6B2B"/>
    <w:rsid w:val="00905C37"/>
    <w:rsid w:val="00906916"/>
    <w:rsid w:val="009243E8"/>
    <w:rsid w:val="0092514B"/>
    <w:rsid w:val="009264AA"/>
    <w:rsid w:val="009312DF"/>
    <w:rsid w:val="0093732C"/>
    <w:rsid w:val="0094430E"/>
    <w:rsid w:val="00944EE8"/>
    <w:rsid w:val="009461F0"/>
    <w:rsid w:val="009536B3"/>
    <w:rsid w:val="009540AB"/>
    <w:rsid w:val="009601F5"/>
    <w:rsid w:val="00961931"/>
    <w:rsid w:val="00963284"/>
    <w:rsid w:val="00963E43"/>
    <w:rsid w:val="00970F21"/>
    <w:rsid w:val="00973403"/>
    <w:rsid w:val="00973B53"/>
    <w:rsid w:val="00974027"/>
    <w:rsid w:val="00975F3B"/>
    <w:rsid w:val="0097603F"/>
    <w:rsid w:val="00977EE6"/>
    <w:rsid w:val="00982CCE"/>
    <w:rsid w:val="0098382A"/>
    <w:rsid w:val="0098532A"/>
    <w:rsid w:val="009878D6"/>
    <w:rsid w:val="009943CD"/>
    <w:rsid w:val="00994E91"/>
    <w:rsid w:val="009A117A"/>
    <w:rsid w:val="009A2DA2"/>
    <w:rsid w:val="009B1E1C"/>
    <w:rsid w:val="009B35AE"/>
    <w:rsid w:val="009C1713"/>
    <w:rsid w:val="009C37F8"/>
    <w:rsid w:val="009C6BB2"/>
    <w:rsid w:val="009D2201"/>
    <w:rsid w:val="009D7498"/>
    <w:rsid w:val="009E13A1"/>
    <w:rsid w:val="009E27B6"/>
    <w:rsid w:val="009E38A1"/>
    <w:rsid w:val="009E46B7"/>
    <w:rsid w:val="009E7920"/>
    <w:rsid w:val="009F2BC1"/>
    <w:rsid w:val="009F368F"/>
    <w:rsid w:val="009F4367"/>
    <w:rsid w:val="009F5818"/>
    <w:rsid w:val="009F59FB"/>
    <w:rsid w:val="009F7033"/>
    <w:rsid w:val="00A0089E"/>
    <w:rsid w:val="00A011F0"/>
    <w:rsid w:val="00A03CE6"/>
    <w:rsid w:val="00A03E48"/>
    <w:rsid w:val="00A05A65"/>
    <w:rsid w:val="00A06114"/>
    <w:rsid w:val="00A11F5A"/>
    <w:rsid w:val="00A12CED"/>
    <w:rsid w:val="00A13DC0"/>
    <w:rsid w:val="00A158CB"/>
    <w:rsid w:val="00A15AE5"/>
    <w:rsid w:val="00A164E3"/>
    <w:rsid w:val="00A24A07"/>
    <w:rsid w:val="00A31B41"/>
    <w:rsid w:val="00A34B40"/>
    <w:rsid w:val="00A35F6C"/>
    <w:rsid w:val="00A36292"/>
    <w:rsid w:val="00A36D64"/>
    <w:rsid w:val="00A3749F"/>
    <w:rsid w:val="00A40046"/>
    <w:rsid w:val="00A40180"/>
    <w:rsid w:val="00A4185C"/>
    <w:rsid w:val="00A44A6B"/>
    <w:rsid w:val="00A51DBA"/>
    <w:rsid w:val="00A51E18"/>
    <w:rsid w:val="00A5408B"/>
    <w:rsid w:val="00A556CE"/>
    <w:rsid w:val="00A66881"/>
    <w:rsid w:val="00A67D37"/>
    <w:rsid w:val="00A71B79"/>
    <w:rsid w:val="00A72DDE"/>
    <w:rsid w:val="00A763F1"/>
    <w:rsid w:val="00A77855"/>
    <w:rsid w:val="00A80508"/>
    <w:rsid w:val="00A81267"/>
    <w:rsid w:val="00A82ABD"/>
    <w:rsid w:val="00A85ECD"/>
    <w:rsid w:val="00A87248"/>
    <w:rsid w:val="00A917F9"/>
    <w:rsid w:val="00A923E2"/>
    <w:rsid w:val="00A964CE"/>
    <w:rsid w:val="00A96C60"/>
    <w:rsid w:val="00AA4437"/>
    <w:rsid w:val="00AA7EAD"/>
    <w:rsid w:val="00AB363A"/>
    <w:rsid w:val="00AB52CA"/>
    <w:rsid w:val="00AB70A4"/>
    <w:rsid w:val="00AB7334"/>
    <w:rsid w:val="00AC35D6"/>
    <w:rsid w:val="00AC4977"/>
    <w:rsid w:val="00AC7A83"/>
    <w:rsid w:val="00AD1AC4"/>
    <w:rsid w:val="00AD4E9B"/>
    <w:rsid w:val="00AD678B"/>
    <w:rsid w:val="00AE41A1"/>
    <w:rsid w:val="00AE4D0F"/>
    <w:rsid w:val="00AE5A17"/>
    <w:rsid w:val="00AE5A6E"/>
    <w:rsid w:val="00AF23FF"/>
    <w:rsid w:val="00AF5AF6"/>
    <w:rsid w:val="00B0056E"/>
    <w:rsid w:val="00B04BA9"/>
    <w:rsid w:val="00B1158C"/>
    <w:rsid w:val="00B138A0"/>
    <w:rsid w:val="00B13BB6"/>
    <w:rsid w:val="00B15C46"/>
    <w:rsid w:val="00B2565D"/>
    <w:rsid w:val="00B265CE"/>
    <w:rsid w:val="00B30727"/>
    <w:rsid w:val="00B30DF2"/>
    <w:rsid w:val="00B33A35"/>
    <w:rsid w:val="00B3497E"/>
    <w:rsid w:val="00B358B3"/>
    <w:rsid w:val="00B441D7"/>
    <w:rsid w:val="00B449BB"/>
    <w:rsid w:val="00B457A6"/>
    <w:rsid w:val="00B508FA"/>
    <w:rsid w:val="00B54207"/>
    <w:rsid w:val="00B55908"/>
    <w:rsid w:val="00B6189D"/>
    <w:rsid w:val="00B639C7"/>
    <w:rsid w:val="00B67959"/>
    <w:rsid w:val="00B67E21"/>
    <w:rsid w:val="00B72A78"/>
    <w:rsid w:val="00B734BB"/>
    <w:rsid w:val="00B76D98"/>
    <w:rsid w:val="00B77950"/>
    <w:rsid w:val="00B80700"/>
    <w:rsid w:val="00B81B85"/>
    <w:rsid w:val="00B83609"/>
    <w:rsid w:val="00B86940"/>
    <w:rsid w:val="00B87347"/>
    <w:rsid w:val="00B90A33"/>
    <w:rsid w:val="00B912F1"/>
    <w:rsid w:val="00B91712"/>
    <w:rsid w:val="00B91D48"/>
    <w:rsid w:val="00B92C6F"/>
    <w:rsid w:val="00B932C3"/>
    <w:rsid w:val="00B93E2C"/>
    <w:rsid w:val="00B9796D"/>
    <w:rsid w:val="00B97F15"/>
    <w:rsid w:val="00BA05A1"/>
    <w:rsid w:val="00BA7059"/>
    <w:rsid w:val="00BA7D8D"/>
    <w:rsid w:val="00BB1581"/>
    <w:rsid w:val="00BB40C8"/>
    <w:rsid w:val="00BB6856"/>
    <w:rsid w:val="00BB6985"/>
    <w:rsid w:val="00BC31CE"/>
    <w:rsid w:val="00BC56EA"/>
    <w:rsid w:val="00BC6602"/>
    <w:rsid w:val="00BD1A79"/>
    <w:rsid w:val="00BD787B"/>
    <w:rsid w:val="00BE0CE4"/>
    <w:rsid w:val="00BE3710"/>
    <w:rsid w:val="00BE7D68"/>
    <w:rsid w:val="00BF101A"/>
    <w:rsid w:val="00C03ED1"/>
    <w:rsid w:val="00C07148"/>
    <w:rsid w:val="00C132FA"/>
    <w:rsid w:val="00C1503E"/>
    <w:rsid w:val="00C15D05"/>
    <w:rsid w:val="00C16955"/>
    <w:rsid w:val="00C20F0C"/>
    <w:rsid w:val="00C21199"/>
    <w:rsid w:val="00C21584"/>
    <w:rsid w:val="00C2184A"/>
    <w:rsid w:val="00C22C94"/>
    <w:rsid w:val="00C25482"/>
    <w:rsid w:val="00C26117"/>
    <w:rsid w:val="00C27DAB"/>
    <w:rsid w:val="00C331F8"/>
    <w:rsid w:val="00C3559B"/>
    <w:rsid w:val="00C41BBD"/>
    <w:rsid w:val="00C439FC"/>
    <w:rsid w:val="00C44620"/>
    <w:rsid w:val="00C455D2"/>
    <w:rsid w:val="00C46FBE"/>
    <w:rsid w:val="00C53CED"/>
    <w:rsid w:val="00C57362"/>
    <w:rsid w:val="00C57CA7"/>
    <w:rsid w:val="00C617FE"/>
    <w:rsid w:val="00C64F3D"/>
    <w:rsid w:val="00C65C06"/>
    <w:rsid w:val="00C7051E"/>
    <w:rsid w:val="00C70BEA"/>
    <w:rsid w:val="00C70CA3"/>
    <w:rsid w:val="00C71B04"/>
    <w:rsid w:val="00C766CC"/>
    <w:rsid w:val="00C76B7D"/>
    <w:rsid w:val="00C80300"/>
    <w:rsid w:val="00C8406C"/>
    <w:rsid w:val="00C87AAA"/>
    <w:rsid w:val="00C87B16"/>
    <w:rsid w:val="00C94E96"/>
    <w:rsid w:val="00C95728"/>
    <w:rsid w:val="00CA543F"/>
    <w:rsid w:val="00CA6429"/>
    <w:rsid w:val="00CA6ADF"/>
    <w:rsid w:val="00CB190B"/>
    <w:rsid w:val="00CB5C14"/>
    <w:rsid w:val="00CC12A8"/>
    <w:rsid w:val="00CC3891"/>
    <w:rsid w:val="00CC6892"/>
    <w:rsid w:val="00CC75C7"/>
    <w:rsid w:val="00CC7ECF"/>
    <w:rsid w:val="00CD31FE"/>
    <w:rsid w:val="00CD4F1D"/>
    <w:rsid w:val="00CD657C"/>
    <w:rsid w:val="00CE0A21"/>
    <w:rsid w:val="00CE1EC6"/>
    <w:rsid w:val="00CE5201"/>
    <w:rsid w:val="00CE6D89"/>
    <w:rsid w:val="00CF1627"/>
    <w:rsid w:val="00CF33B1"/>
    <w:rsid w:val="00CF589F"/>
    <w:rsid w:val="00CF760D"/>
    <w:rsid w:val="00CF7C94"/>
    <w:rsid w:val="00D008ED"/>
    <w:rsid w:val="00D01984"/>
    <w:rsid w:val="00D01EDA"/>
    <w:rsid w:val="00D07555"/>
    <w:rsid w:val="00D07592"/>
    <w:rsid w:val="00D16472"/>
    <w:rsid w:val="00D3086C"/>
    <w:rsid w:val="00D321C9"/>
    <w:rsid w:val="00D3331F"/>
    <w:rsid w:val="00D33ED1"/>
    <w:rsid w:val="00D353A2"/>
    <w:rsid w:val="00D37FC2"/>
    <w:rsid w:val="00D43DB0"/>
    <w:rsid w:val="00D45590"/>
    <w:rsid w:val="00D46B26"/>
    <w:rsid w:val="00D5347C"/>
    <w:rsid w:val="00D55BDE"/>
    <w:rsid w:val="00D570C5"/>
    <w:rsid w:val="00D57DD1"/>
    <w:rsid w:val="00D6105B"/>
    <w:rsid w:val="00D65E69"/>
    <w:rsid w:val="00D661BB"/>
    <w:rsid w:val="00D72657"/>
    <w:rsid w:val="00D74B23"/>
    <w:rsid w:val="00D817C2"/>
    <w:rsid w:val="00D821E9"/>
    <w:rsid w:val="00D8355F"/>
    <w:rsid w:val="00D83BE2"/>
    <w:rsid w:val="00D922CF"/>
    <w:rsid w:val="00D951B4"/>
    <w:rsid w:val="00D97E48"/>
    <w:rsid w:val="00DA32B3"/>
    <w:rsid w:val="00DA392B"/>
    <w:rsid w:val="00DA6734"/>
    <w:rsid w:val="00DB21FB"/>
    <w:rsid w:val="00DB4E30"/>
    <w:rsid w:val="00DB56B3"/>
    <w:rsid w:val="00DC43E9"/>
    <w:rsid w:val="00DC54F0"/>
    <w:rsid w:val="00DC71C9"/>
    <w:rsid w:val="00DD3203"/>
    <w:rsid w:val="00DE24BE"/>
    <w:rsid w:val="00DE512A"/>
    <w:rsid w:val="00DE5B21"/>
    <w:rsid w:val="00DE6A54"/>
    <w:rsid w:val="00DE7479"/>
    <w:rsid w:val="00DF128B"/>
    <w:rsid w:val="00DF2F94"/>
    <w:rsid w:val="00DF6185"/>
    <w:rsid w:val="00DF7393"/>
    <w:rsid w:val="00E1113C"/>
    <w:rsid w:val="00E11688"/>
    <w:rsid w:val="00E13B5F"/>
    <w:rsid w:val="00E17555"/>
    <w:rsid w:val="00E204B1"/>
    <w:rsid w:val="00E25A5D"/>
    <w:rsid w:val="00E26EAA"/>
    <w:rsid w:val="00E27CC3"/>
    <w:rsid w:val="00E30FCA"/>
    <w:rsid w:val="00E36F97"/>
    <w:rsid w:val="00E42057"/>
    <w:rsid w:val="00E44C4F"/>
    <w:rsid w:val="00E508D2"/>
    <w:rsid w:val="00E5261F"/>
    <w:rsid w:val="00E62BEE"/>
    <w:rsid w:val="00E63075"/>
    <w:rsid w:val="00E644BF"/>
    <w:rsid w:val="00E732E7"/>
    <w:rsid w:val="00E73A40"/>
    <w:rsid w:val="00E74BDA"/>
    <w:rsid w:val="00E806E3"/>
    <w:rsid w:val="00E81697"/>
    <w:rsid w:val="00E8383E"/>
    <w:rsid w:val="00E85CBD"/>
    <w:rsid w:val="00E87D86"/>
    <w:rsid w:val="00E918EC"/>
    <w:rsid w:val="00E928D4"/>
    <w:rsid w:val="00E92AE3"/>
    <w:rsid w:val="00E94852"/>
    <w:rsid w:val="00EA4D25"/>
    <w:rsid w:val="00EA576F"/>
    <w:rsid w:val="00EA5A06"/>
    <w:rsid w:val="00EB024C"/>
    <w:rsid w:val="00EB0255"/>
    <w:rsid w:val="00EB3838"/>
    <w:rsid w:val="00EB4C77"/>
    <w:rsid w:val="00EB68CC"/>
    <w:rsid w:val="00EC0C63"/>
    <w:rsid w:val="00EC1285"/>
    <w:rsid w:val="00EC2095"/>
    <w:rsid w:val="00EC5120"/>
    <w:rsid w:val="00EC5E51"/>
    <w:rsid w:val="00EC76B0"/>
    <w:rsid w:val="00EC7A64"/>
    <w:rsid w:val="00ED48AE"/>
    <w:rsid w:val="00EE0137"/>
    <w:rsid w:val="00EE15C1"/>
    <w:rsid w:val="00EE454A"/>
    <w:rsid w:val="00EE65A7"/>
    <w:rsid w:val="00EF48EC"/>
    <w:rsid w:val="00EF58B4"/>
    <w:rsid w:val="00EF6016"/>
    <w:rsid w:val="00F03131"/>
    <w:rsid w:val="00F05E03"/>
    <w:rsid w:val="00F06691"/>
    <w:rsid w:val="00F079B4"/>
    <w:rsid w:val="00F101A4"/>
    <w:rsid w:val="00F11C49"/>
    <w:rsid w:val="00F2061A"/>
    <w:rsid w:val="00F24481"/>
    <w:rsid w:val="00F2483E"/>
    <w:rsid w:val="00F25CF6"/>
    <w:rsid w:val="00F30057"/>
    <w:rsid w:val="00F34750"/>
    <w:rsid w:val="00F353AA"/>
    <w:rsid w:val="00F35DBF"/>
    <w:rsid w:val="00F412AB"/>
    <w:rsid w:val="00F46114"/>
    <w:rsid w:val="00F47B3A"/>
    <w:rsid w:val="00F50290"/>
    <w:rsid w:val="00F602C8"/>
    <w:rsid w:val="00F62595"/>
    <w:rsid w:val="00F63C7D"/>
    <w:rsid w:val="00F67790"/>
    <w:rsid w:val="00F7168A"/>
    <w:rsid w:val="00F71C13"/>
    <w:rsid w:val="00F72089"/>
    <w:rsid w:val="00F76072"/>
    <w:rsid w:val="00F77228"/>
    <w:rsid w:val="00F83E06"/>
    <w:rsid w:val="00F87B2D"/>
    <w:rsid w:val="00F90567"/>
    <w:rsid w:val="00F91352"/>
    <w:rsid w:val="00F922ED"/>
    <w:rsid w:val="00F97F20"/>
    <w:rsid w:val="00FA4489"/>
    <w:rsid w:val="00FB7ADE"/>
    <w:rsid w:val="00FC164F"/>
    <w:rsid w:val="00FD2036"/>
    <w:rsid w:val="00FD2AAF"/>
    <w:rsid w:val="00FE45B3"/>
    <w:rsid w:val="00FE7E77"/>
    <w:rsid w:val="00FF2F67"/>
    <w:rsid w:val="00FF3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BA453"/>
  <w15:docId w15:val="{F7C01A86-4220-48D8-A036-7245872D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link w:val="FodnotetekstTegn"/>
    <w:uiPriority w:val="9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5"/>
    <w:qFormat/>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rsid w:val="00225534"/>
    <w:pPr>
      <w:spacing w:line="240" w:lineRule="auto"/>
    </w:pPr>
  </w:style>
  <w:style w:type="character" w:customStyle="1" w:styleId="KommentartekstTegn">
    <w:name w:val="Kommentartekst Tegn"/>
    <w:basedOn w:val="Standardskrifttypeiafsnit"/>
    <w:link w:val="Kommentartekst"/>
    <w:uiPriority w:val="99"/>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20"/>
    <w:qFormat/>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3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3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3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39"/>
    <w:qFormat/>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styleId="Ulstomtale">
    <w:name w:val="Unresolved Mention"/>
    <w:basedOn w:val="Standardskrifttypeiafsnit"/>
    <w:uiPriority w:val="99"/>
    <w:semiHidden/>
    <w:unhideWhenUsed/>
    <w:rsid w:val="006A3443"/>
    <w:rPr>
      <w:color w:val="605E5C"/>
      <w:shd w:val="clear" w:color="auto" w:fill="E1DFDD"/>
    </w:rPr>
  </w:style>
  <w:style w:type="character" w:customStyle="1" w:styleId="FodnotetekstTegn">
    <w:name w:val="Fodnotetekst Tegn"/>
    <w:basedOn w:val="Standardskrifttypeiafsnit"/>
    <w:link w:val="Fodnotetekst"/>
    <w:uiPriority w:val="99"/>
    <w:semiHidden/>
    <w:rsid w:val="00CC75C7"/>
    <w:rPr>
      <w:sz w:val="18"/>
    </w:rPr>
  </w:style>
  <w:style w:type="paragraph" w:customStyle="1" w:styleId="paragraf">
    <w:name w:val="paragraf"/>
    <w:basedOn w:val="Normal"/>
    <w:rsid w:val="00F412AB"/>
    <w:pPr>
      <w:spacing w:before="100" w:beforeAutospacing="1" w:after="100" w:afterAutospacing="1" w:line="240" w:lineRule="auto"/>
    </w:pPr>
    <w:rPr>
      <w:rFonts w:ascii="Times New Roman" w:hAnsi="Times New Roman"/>
      <w:sz w:val="24"/>
      <w:szCs w:val="24"/>
    </w:rPr>
  </w:style>
  <w:style w:type="character" w:customStyle="1" w:styleId="paragrafnr">
    <w:name w:val="paragrafnr"/>
    <w:basedOn w:val="Standardskrifttypeiafsnit"/>
    <w:rsid w:val="00F412AB"/>
  </w:style>
  <w:style w:type="paragraph" w:styleId="Korrektur">
    <w:name w:val="Revision"/>
    <w:hidden/>
    <w:uiPriority w:val="99"/>
    <w:semiHidden/>
    <w:rsid w:val="00DC54F0"/>
    <w:pPr>
      <w:spacing w:line="240" w:lineRule="auto"/>
    </w:pPr>
  </w:style>
  <w:style w:type="table" w:styleId="Tabelgitter-lys">
    <w:name w:val="Grid Table Light"/>
    <w:basedOn w:val="Tabel-Normal"/>
    <w:uiPriority w:val="40"/>
    <w:rsid w:val="00572F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7352">
      <w:bodyDiv w:val="1"/>
      <w:marLeft w:val="0"/>
      <w:marRight w:val="0"/>
      <w:marTop w:val="0"/>
      <w:marBottom w:val="0"/>
      <w:divBdr>
        <w:top w:val="none" w:sz="0" w:space="0" w:color="auto"/>
        <w:left w:val="none" w:sz="0" w:space="0" w:color="auto"/>
        <w:bottom w:val="none" w:sz="0" w:space="0" w:color="auto"/>
        <w:right w:val="none" w:sz="0" w:space="0" w:color="auto"/>
      </w:divBdr>
    </w:div>
    <w:div w:id="430400186">
      <w:bodyDiv w:val="1"/>
      <w:marLeft w:val="0"/>
      <w:marRight w:val="0"/>
      <w:marTop w:val="0"/>
      <w:marBottom w:val="0"/>
      <w:divBdr>
        <w:top w:val="none" w:sz="0" w:space="0" w:color="auto"/>
        <w:left w:val="none" w:sz="0" w:space="0" w:color="auto"/>
        <w:bottom w:val="none" w:sz="0" w:space="0" w:color="auto"/>
        <w:right w:val="none" w:sz="0" w:space="0" w:color="auto"/>
      </w:divBdr>
    </w:div>
    <w:div w:id="611520539">
      <w:bodyDiv w:val="1"/>
      <w:marLeft w:val="0"/>
      <w:marRight w:val="0"/>
      <w:marTop w:val="0"/>
      <w:marBottom w:val="0"/>
      <w:divBdr>
        <w:top w:val="none" w:sz="0" w:space="0" w:color="auto"/>
        <w:left w:val="none" w:sz="0" w:space="0" w:color="auto"/>
        <w:bottom w:val="none" w:sz="0" w:space="0" w:color="auto"/>
        <w:right w:val="none" w:sz="0" w:space="0" w:color="auto"/>
      </w:divBdr>
    </w:div>
    <w:div w:id="1180586817">
      <w:bodyDiv w:val="1"/>
      <w:marLeft w:val="0"/>
      <w:marRight w:val="0"/>
      <w:marTop w:val="0"/>
      <w:marBottom w:val="0"/>
      <w:divBdr>
        <w:top w:val="none" w:sz="0" w:space="0" w:color="auto"/>
        <w:left w:val="none" w:sz="0" w:space="0" w:color="auto"/>
        <w:bottom w:val="none" w:sz="0" w:space="0" w:color="auto"/>
        <w:right w:val="none" w:sz="0" w:space="0" w:color="auto"/>
      </w:divBdr>
    </w:div>
    <w:div w:id="1483231848">
      <w:bodyDiv w:val="1"/>
      <w:marLeft w:val="0"/>
      <w:marRight w:val="0"/>
      <w:marTop w:val="0"/>
      <w:marBottom w:val="0"/>
      <w:divBdr>
        <w:top w:val="none" w:sz="0" w:space="0" w:color="auto"/>
        <w:left w:val="none" w:sz="0" w:space="0" w:color="auto"/>
        <w:bottom w:val="none" w:sz="0" w:space="0" w:color="auto"/>
        <w:right w:val="none" w:sz="0" w:space="0" w:color="auto"/>
      </w:divBdr>
    </w:div>
    <w:div w:id="1547715966">
      <w:bodyDiv w:val="1"/>
      <w:marLeft w:val="0"/>
      <w:marRight w:val="0"/>
      <w:marTop w:val="0"/>
      <w:marBottom w:val="0"/>
      <w:divBdr>
        <w:top w:val="none" w:sz="0" w:space="0" w:color="auto"/>
        <w:left w:val="none" w:sz="0" w:space="0" w:color="auto"/>
        <w:bottom w:val="none" w:sz="0" w:space="0" w:color="auto"/>
        <w:right w:val="none" w:sz="0" w:space="0" w:color="auto"/>
      </w:divBdr>
    </w:div>
    <w:div w:id="1638144632">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re.au.dk/ws/portalfiles/portal/361266804/Fat_in_heifers_and_dry_cows_20-12-2023.pdf" TargetMode="External"/><Relationship Id="rId2" Type="http://schemas.openxmlformats.org/officeDocument/2006/relationships/hyperlink" Target="https://pure.au.dk/ws/portalfiles/portal/342793015/Klimavirkemiddelkatalog_28.09.2023.pdf" TargetMode="External"/><Relationship Id="rId1" Type="http://schemas.openxmlformats.org/officeDocument/2006/relationships/hyperlink" Target="https://pure.au.dk/ws/portalfiles/portal/374194078/Klimavirkemiddelkataloget_2024opdatering_1604_2024.pdf" TargetMode="External"/><Relationship Id="rId4" Type="http://schemas.openxmlformats.org/officeDocument/2006/relationships/hyperlink" Target="https://pure.au.dk/ws/portalfiles/portal/374194078/Klimavirkemiddelkataloget_2024opdatering_1604_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8482\AppData\Local\cBrain\F2\.tmp\c4eab32dca9b40b19383f961c7d26dea.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D593-7F1D-4896-8478-070E390C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c4eab32dca9b40b19383f961c7d26dea.dotx</Template>
  <TotalTime>1</TotalTime>
  <Pages>13</Pages>
  <Words>4534</Words>
  <Characters>27663</Characters>
  <Application>Microsoft Office Word</Application>
  <DocSecurity>0</DocSecurity>
  <Lines>230</Lines>
  <Paragraphs>64</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Anne Kathrine Hermansen</dc:creator>
  <cp:keywords/>
  <dc:description/>
  <cp:lastModifiedBy>Simon Kjølby Larsen</cp:lastModifiedBy>
  <cp:revision>2</cp:revision>
  <cp:lastPrinted>2024-05-17T12:05:00Z</cp:lastPrinted>
  <dcterms:created xsi:type="dcterms:W3CDTF">2024-05-23T09:32:00Z</dcterms:created>
  <dcterms:modified xsi:type="dcterms:W3CDTF">2024-05-23T09:32:00Z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IntegrationInfoAdded">
    <vt:bool>true</vt:bool>
  </property>
  <property fmtid="{D5CDD505-2E9C-101B-9397-08002B2CF9AE}" pid="13" name="SD_DocumentLanguage">
    <vt:lpwstr>da-DK</vt:lpwstr>
  </property>
  <property fmtid="{D5CDD505-2E9C-101B-9397-08002B2CF9AE}" pid="14" name="sdDocumentDate">
    <vt:lpwstr>45327</vt:lpwstr>
  </property>
  <property fmtid="{D5CDD505-2E9C-101B-9397-08002B2CF9AE}" pid="15" name="sdDocumentDateFormat">
    <vt:lpwstr>da-DK:'Den' d. MMMM yyyy</vt:lpwstr>
  </property>
  <property fmtid="{D5CDD505-2E9C-101B-9397-08002B2CF9AE}" pid="16" name="SD_DocumentLanguageString">
    <vt:lpwstr>Dansk</vt:lpwstr>
  </property>
  <property fmtid="{D5CDD505-2E9C-101B-9397-08002B2CF9AE}" pid="17" name="SD_CtlText_Usersettings_Userprofile">
    <vt:lpwstr>ak</vt:lpwstr>
  </property>
  <property fmtid="{D5CDD505-2E9C-101B-9397-08002B2CF9AE}" pid="18" name="SD_CtlText_Generelt_CaseNoF2">
    <vt:lpwstr>2023 - 11400</vt:lpwstr>
  </property>
  <property fmtid="{D5CDD505-2E9C-101B-9397-08002B2CF9AE}" pid="19" name="SD_UserprofileName">
    <vt:lpwstr>ak</vt:lpwstr>
  </property>
  <property fmtid="{D5CDD505-2E9C-101B-9397-08002B2CF9AE}" pid="20" name="SD_Office_OFF_ID">
    <vt:lpwstr>142</vt:lpwstr>
  </property>
  <property fmtid="{D5CDD505-2E9C-101B-9397-08002B2CF9AE}" pid="21" name="CurrentOfficeID">
    <vt:lpwstr>142</vt:lpwstr>
  </property>
  <property fmtid="{D5CDD505-2E9C-101B-9397-08002B2CF9AE}" pid="22" name="SD_Office_OFF_Organisation">
    <vt:lpwstr>MIM</vt:lpwstr>
  </property>
  <property fmtid="{D5CDD505-2E9C-101B-9397-08002B2CF9AE}" pid="23" name="SD_Office_OFF_ArtworkDefinition">
    <vt:lpwstr>MIM</vt:lpwstr>
  </property>
  <property fmtid="{D5CDD505-2E9C-101B-9397-08002B2CF9AE}" pid="24" name="SD_Office_OFF_LogoFileName">
    <vt:lpwstr>MIMDEP</vt:lpwstr>
  </property>
  <property fmtid="{D5CDD505-2E9C-101B-9397-08002B2CF9AE}" pid="25" name="SD_Office_OFF_Institution">
    <vt:lpwstr>Miljøministeriet</vt:lpwstr>
  </property>
  <property fmtid="{D5CDD505-2E9C-101B-9397-08002B2CF9AE}" pid="26" name="SD_Office_OFF_Institution_EN">
    <vt:lpwstr>Ministry of Environment</vt:lpwstr>
  </property>
  <property fmtid="{D5CDD505-2E9C-101B-9397-08002B2CF9AE}" pid="27" name="SD_Office_OFF_kontor">
    <vt:lpwstr>Bæredygtigt Miljø og Produktion</vt:lpwstr>
  </property>
  <property fmtid="{D5CDD505-2E9C-101B-9397-08002B2CF9AE}" pid="28" name="SD_Office_OFF_Department">
    <vt:lpwstr>Bæredygtigt Miljø og Produktion</vt:lpwstr>
  </property>
  <property fmtid="{D5CDD505-2E9C-101B-9397-08002B2CF9AE}" pid="29" name="SD_Office_OFF_Department_EN">
    <vt:lpwstr>Bæredygtigt Miljø og Produktion</vt:lpwstr>
  </property>
  <property fmtid="{D5CDD505-2E9C-101B-9397-08002B2CF9AE}" pid="30" name="SD_Office_OFF_Footertext">
    <vt:lpwstr/>
  </property>
  <property fmtid="{D5CDD505-2E9C-101B-9397-08002B2CF9AE}" pid="31" name="SD_Office_OFF_AddressA">
    <vt:lpwstr>Frederiksholms Kanal 26</vt:lpwstr>
  </property>
  <property fmtid="{D5CDD505-2E9C-101B-9397-08002B2CF9AE}" pid="32" name="SD_Office_OFF_AddressB">
    <vt:lpwstr/>
  </property>
  <property fmtid="{D5CDD505-2E9C-101B-9397-08002B2CF9AE}" pid="33" name="SD_Office_OFF_AddressC">
    <vt:lpwstr/>
  </property>
  <property fmtid="{D5CDD505-2E9C-101B-9397-08002B2CF9AE}" pid="34" name="SD_Office_OFF_AddressCollected">
    <vt:lpwstr>Frederiksholms Kanal 26</vt:lpwstr>
  </property>
  <property fmtid="{D5CDD505-2E9C-101B-9397-08002B2CF9AE}" pid="35" name="SD_Office_OFF_AddressD">
    <vt:lpwstr>1220</vt:lpwstr>
  </property>
  <property fmtid="{D5CDD505-2E9C-101B-9397-08002B2CF9AE}" pid="36" name="SD_Office_OFF_City">
    <vt:lpwstr>København K</vt:lpwstr>
  </property>
  <property fmtid="{D5CDD505-2E9C-101B-9397-08002B2CF9AE}" pid="37" name="SD_Office_OFF_City_EN">
    <vt:lpwstr>Copenhagen K Denmark</vt:lpwstr>
  </property>
  <property fmtid="{D5CDD505-2E9C-101B-9397-08002B2CF9AE}" pid="38" name="SD_Office_OFF_Phone">
    <vt:lpwstr>38 14 21 42</vt:lpwstr>
  </property>
  <property fmtid="{D5CDD505-2E9C-101B-9397-08002B2CF9AE}" pid="39" name="SD_Office_OFF_Phone_EN">
    <vt:lpwstr>+45 38 14 21 42</vt:lpwstr>
  </property>
  <property fmtid="{D5CDD505-2E9C-101B-9397-08002B2CF9AE}" pid="40" name="SD_Office_OFF_Fax">
    <vt:lpwstr/>
  </property>
  <property fmtid="{D5CDD505-2E9C-101B-9397-08002B2CF9AE}" pid="41" name="SD_Office_OFF_Fax_EN">
    <vt:lpwstr/>
  </property>
  <property fmtid="{D5CDD505-2E9C-101B-9397-08002B2CF9AE}" pid="42" name="SD_Office_OFF_Email">
    <vt:lpwstr>mim@mim.dk</vt:lpwstr>
  </property>
  <property fmtid="{D5CDD505-2E9C-101B-9397-08002B2CF9AE}" pid="43" name="SD_Office_OFF_Web">
    <vt:lpwstr>www.mim.dk</vt:lpwstr>
  </property>
  <property fmtid="{D5CDD505-2E9C-101B-9397-08002B2CF9AE}" pid="44" name="SD_Office_OFF_CVR">
    <vt:lpwstr>12854358</vt:lpwstr>
  </property>
  <property fmtid="{D5CDD505-2E9C-101B-9397-08002B2CF9AE}" pid="45" name="SD_Office_OFF_EAN">
    <vt:lpwstr>5798000862005</vt:lpwstr>
  </property>
  <property fmtid="{D5CDD505-2E9C-101B-9397-08002B2CF9AE}" pid="46" name="SD_Office_OFF_EAN_EN">
    <vt:lpwstr>5798000862005</vt:lpwstr>
  </property>
  <property fmtid="{D5CDD505-2E9C-101B-9397-08002B2CF9AE}" pid="47" name="SD_Office_OFF_ColorTheme">
    <vt:lpwstr>MFVM - Departementet_Koncern</vt:lpwstr>
  </property>
  <property fmtid="{D5CDD505-2E9C-101B-9397-08002B2CF9AE}" pid="48" name="LastCompletedArtworkDefinition">
    <vt:lpwstr>MIM</vt:lpwstr>
  </property>
  <property fmtid="{D5CDD505-2E9C-101B-9397-08002B2CF9AE}" pid="49" name="USR_Name">
    <vt:lpwstr>Anne Kathrine Hermansen</vt:lpwstr>
  </property>
  <property fmtid="{D5CDD505-2E9C-101B-9397-08002B2CF9AE}" pid="50" name="USR_Initials">
    <vt:lpwstr>AKAHE</vt:lpwstr>
  </property>
  <property fmtid="{D5CDD505-2E9C-101B-9397-08002B2CF9AE}" pid="51" name="USR_Title">
    <vt:lpwstr>Fuldmægtig</vt:lpwstr>
  </property>
  <property fmtid="{D5CDD505-2E9C-101B-9397-08002B2CF9AE}" pid="52" name="USR_DirectPhone">
    <vt:lpwstr>+45 29 33 70 23</vt:lpwstr>
  </property>
  <property fmtid="{D5CDD505-2E9C-101B-9397-08002B2CF9AE}" pid="53" name="USR_Mobile">
    <vt:lpwstr>+45 29 33 70 23</vt:lpwstr>
  </property>
  <property fmtid="{D5CDD505-2E9C-101B-9397-08002B2CF9AE}" pid="54" name="USR_Email">
    <vt:lpwstr>akahe@mim.dk</vt:lpwstr>
  </property>
  <property fmtid="{D5CDD505-2E9C-101B-9397-08002B2CF9AE}" pid="55" name="DocumentInfoFinished">
    <vt:lpwstr>True</vt:lpwstr>
  </property>
</Properties>
</file>