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46A7" w14:textId="30A9756D" w:rsidR="00DD20DA" w:rsidRPr="00DD20DA" w:rsidRDefault="00DD20DA" w:rsidP="00FD1A50">
      <w:pPr>
        <w:jc w:val="center"/>
        <w:rPr>
          <w:rFonts w:eastAsia="Calibri" w:cs="Times New Roman"/>
          <w:szCs w:val="24"/>
        </w:rPr>
      </w:pPr>
      <w:bookmarkStart w:id="0" w:name="_GoBack"/>
      <w:bookmarkEnd w:id="0"/>
    </w:p>
    <w:p w14:paraId="40434238" w14:textId="77777777" w:rsidR="00FD1A50" w:rsidRDefault="00FD1A50" w:rsidP="00FD1A50">
      <w:pPr>
        <w:jc w:val="center"/>
        <w:rPr>
          <w:rFonts w:eastAsia="Calibri" w:cs="Times New Roman"/>
          <w:b/>
          <w:szCs w:val="24"/>
        </w:rPr>
      </w:pPr>
      <w:r>
        <w:rPr>
          <w:rFonts w:eastAsia="Calibri" w:cs="Times New Roman"/>
          <w:b/>
          <w:szCs w:val="24"/>
        </w:rPr>
        <w:t>Forslag</w:t>
      </w:r>
    </w:p>
    <w:p w14:paraId="6F50381B" w14:textId="77777777" w:rsidR="00FD1A50" w:rsidRPr="00686734" w:rsidRDefault="00FD1A50" w:rsidP="00FD1A50">
      <w:pPr>
        <w:jc w:val="center"/>
        <w:rPr>
          <w:rFonts w:eastAsia="Calibri" w:cs="Times New Roman"/>
          <w:szCs w:val="24"/>
        </w:rPr>
      </w:pPr>
      <w:r w:rsidRPr="00686734">
        <w:rPr>
          <w:rFonts w:eastAsia="Calibri" w:cs="Times New Roman"/>
          <w:szCs w:val="24"/>
        </w:rPr>
        <w:t>til</w:t>
      </w:r>
    </w:p>
    <w:p w14:paraId="738554DF" w14:textId="77777777" w:rsidR="00FD1A50" w:rsidRPr="00686734" w:rsidRDefault="00FD1A50" w:rsidP="00FD1A50">
      <w:pPr>
        <w:jc w:val="center"/>
        <w:rPr>
          <w:rFonts w:eastAsia="Calibri" w:cs="Times New Roman"/>
          <w:szCs w:val="24"/>
        </w:rPr>
      </w:pPr>
      <w:r w:rsidRPr="00686734">
        <w:rPr>
          <w:rFonts w:eastAsia="Calibri" w:cs="Times New Roman"/>
          <w:szCs w:val="24"/>
        </w:rPr>
        <w:t xml:space="preserve">Lov om ændring af lov om </w:t>
      </w:r>
      <w:r w:rsidR="004B57CF">
        <w:rPr>
          <w:rFonts w:eastAsia="Calibri" w:cs="Times New Roman"/>
          <w:szCs w:val="24"/>
        </w:rPr>
        <w:t>miljøbeskyttelse</w:t>
      </w:r>
    </w:p>
    <w:p w14:paraId="5D15F2F6" w14:textId="77777777" w:rsidR="00FD1A50" w:rsidRPr="003B0B97" w:rsidRDefault="00FD1A50" w:rsidP="00FD1A50">
      <w:pPr>
        <w:jc w:val="center"/>
        <w:rPr>
          <w:rFonts w:eastAsia="Calibri" w:cs="Times New Roman"/>
          <w:szCs w:val="24"/>
        </w:rPr>
      </w:pPr>
      <w:r w:rsidRPr="003B0B97">
        <w:rPr>
          <w:rFonts w:eastAsia="Calibri" w:cs="Times New Roman"/>
          <w:szCs w:val="24"/>
        </w:rPr>
        <w:t>(</w:t>
      </w:r>
      <w:r w:rsidR="004B57CF">
        <w:rPr>
          <w:rFonts w:eastAsia="Calibri" w:cs="Times New Roman"/>
          <w:szCs w:val="24"/>
        </w:rPr>
        <w:t>Styrket affaldstilsyn og håndhævelse af forbud mod destruktion af usolgte forbrugerprodukter</w:t>
      </w:r>
      <w:r w:rsidR="00260A41">
        <w:rPr>
          <w:rFonts w:eastAsia="Calibri" w:cs="Times New Roman"/>
          <w:szCs w:val="24"/>
        </w:rPr>
        <w:t xml:space="preserve"> m.v.</w:t>
      </w:r>
      <w:r w:rsidRPr="003B0B97">
        <w:rPr>
          <w:rFonts w:eastAsia="Calibri" w:cs="Times New Roman"/>
          <w:szCs w:val="24"/>
        </w:rPr>
        <w:t>)</w:t>
      </w:r>
    </w:p>
    <w:p w14:paraId="2E169C43" w14:textId="77777777" w:rsidR="00FD1A50" w:rsidRPr="003B0B97" w:rsidRDefault="00FD1A50" w:rsidP="00FD1A50">
      <w:pPr>
        <w:jc w:val="center"/>
        <w:rPr>
          <w:rFonts w:eastAsia="Calibri" w:cs="Times New Roman"/>
          <w:szCs w:val="24"/>
        </w:rPr>
      </w:pPr>
    </w:p>
    <w:p w14:paraId="34758876" w14:textId="77777777" w:rsidR="00FD1A50" w:rsidRDefault="00FD1A50" w:rsidP="00FD1A50">
      <w:pPr>
        <w:jc w:val="center"/>
        <w:rPr>
          <w:rFonts w:eastAsia="Calibri" w:cs="Times New Roman"/>
          <w:b/>
          <w:szCs w:val="24"/>
        </w:rPr>
      </w:pPr>
      <w:r w:rsidRPr="003B0B97">
        <w:rPr>
          <w:rFonts w:eastAsia="Calibri" w:cs="Times New Roman"/>
          <w:b/>
          <w:szCs w:val="24"/>
        </w:rPr>
        <w:t>§ 1</w:t>
      </w:r>
    </w:p>
    <w:p w14:paraId="1C00F3B5" w14:textId="77777777" w:rsidR="00FD1A50" w:rsidRPr="003B0B97" w:rsidRDefault="00FD1A50" w:rsidP="00FD1A50">
      <w:pPr>
        <w:jc w:val="center"/>
        <w:rPr>
          <w:rFonts w:eastAsia="Calibri" w:cs="Times New Roman"/>
          <w:szCs w:val="24"/>
        </w:rPr>
      </w:pPr>
    </w:p>
    <w:p w14:paraId="6B921C40" w14:textId="47D9A47B" w:rsidR="00FD1A50" w:rsidRPr="003B0B97" w:rsidRDefault="00FD1A50" w:rsidP="00FD1A50">
      <w:pPr>
        <w:rPr>
          <w:rFonts w:eastAsia="Calibri" w:cs="Times New Roman"/>
          <w:szCs w:val="24"/>
        </w:rPr>
      </w:pPr>
      <w:r w:rsidRPr="003B0B97">
        <w:rPr>
          <w:rFonts w:eastAsia="Calibri" w:cs="Times New Roman"/>
          <w:szCs w:val="24"/>
        </w:rPr>
        <w:t>I lov</w:t>
      </w:r>
      <w:r>
        <w:rPr>
          <w:rFonts w:eastAsia="Calibri" w:cs="Times New Roman"/>
          <w:szCs w:val="24"/>
        </w:rPr>
        <w:t xml:space="preserve"> om </w:t>
      </w:r>
      <w:r w:rsidR="004B57CF">
        <w:rPr>
          <w:rFonts w:eastAsia="Calibri" w:cs="Times New Roman"/>
          <w:szCs w:val="24"/>
        </w:rPr>
        <w:t>miljøbeskyttelse</w:t>
      </w:r>
      <w:r w:rsidRPr="003B0B97">
        <w:rPr>
          <w:rFonts w:eastAsia="Calibri" w:cs="Times New Roman"/>
          <w:szCs w:val="24"/>
        </w:rPr>
        <w:t xml:space="preserve">, jf. lovbekendtgørelse nr. </w:t>
      </w:r>
      <w:r w:rsidR="000F58BA">
        <w:rPr>
          <w:rFonts w:eastAsia="Calibri" w:cs="Times New Roman"/>
          <w:szCs w:val="24"/>
        </w:rPr>
        <w:t>48</w:t>
      </w:r>
      <w:r w:rsidR="00F3356F">
        <w:rPr>
          <w:rFonts w:eastAsia="Calibri" w:cs="Times New Roman"/>
          <w:szCs w:val="24"/>
        </w:rPr>
        <w:t xml:space="preserve"> af </w:t>
      </w:r>
      <w:r w:rsidR="000F58BA">
        <w:rPr>
          <w:rFonts w:eastAsia="Calibri" w:cs="Times New Roman"/>
          <w:szCs w:val="24"/>
        </w:rPr>
        <w:t>12</w:t>
      </w:r>
      <w:r w:rsidR="00F3356F">
        <w:rPr>
          <w:rFonts w:eastAsia="Calibri" w:cs="Times New Roman"/>
          <w:szCs w:val="24"/>
        </w:rPr>
        <w:t>. januar 202</w:t>
      </w:r>
      <w:r w:rsidR="000F58BA">
        <w:rPr>
          <w:rFonts w:eastAsia="Calibri" w:cs="Times New Roman"/>
          <w:szCs w:val="24"/>
        </w:rPr>
        <w:t>4</w:t>
      </w:r>
      <w:r w:rsidRPr="003B0B97">
        <w:rPr>
          <w:rFonts w:eastAsia="Calibri" w:cs="Times New Roman"/>
          <w:szCs w:val="24"/>
        </w:rPr>
        <w:t xml:space="preserve">, som ændret </w:t>
      </w:r>
      <w:r w:rsidRPr="00C967E1">
        <w:rPr>
          <w:rFonts w:eastAsia="Calibri" w:cs="Times New Roman"/>
          <w:szCs w:val="24"/>
        </w:rPr>
        <w:t xml:space="preserve">ved § </w:t>
      </w:r>
      <w:r w:rsidR="00AE1C7E">
        <w:rPr>
          <w:rFonts w:eastAsia="Calibri" w:cs="Times New Roman"/>
          <w:szCs w:val="24"/>
        </w:rPr>
        <w:t>2</w:t>
      </w:r>
      <w:r w:rsidRPr="00C967E1">
        <w:rPr>
          <w:rFonts w:eastAsia="Calibri" w:cs="Times New Roman"/>
          <w:szCs w:val="24"/>
        </w:rPr>
        <w:t xml:space="preserve"> i</w:t>
      </w:r>
      <w:r>
        <w:rPr>
          <w:rFonts w:eastAsia="Calibri" w:cs="Times New Roman"/>
          <w:szCs w:val="24"/>
        </w:rPr>
        <w:t xml:space="preserve"> </w:t>
      </w:r>
      <w:r w:rsidRPr="003B0B97">
        <w:rPr>
          <w:rFonts w:eastAsia="Calibri" w:cs="Times New Roman"/>
          <w:szCs w:val="24"/>
        </w:rPr>
        <w:t xml:space="preserve">lov nr. </w:t>
      </w:r>
      <w:r w:rsidR="00AE1C7E">
        <w:rPr>
          <w:rFonts w:eastAsia="Calibri" w:cs="Times New Roman"/>
          <w:szCs w:val="24"/>
        </w:rPr>
        <w:t>322 af 2. april 2024 og lov nr. 323 af 2. april 2024</w:t>
      </w:r>
      <w:r>
        <w:rPr>
          <w:rFonts w:eastAsia="Calibri" w:cs="Times New Roman"/>
          <w:szCs w:val="24"/>
        </w:rPr>
        <w:t>,</w:t>
      </w:r>
      <w:r w:rsidRPr="003B0B97">
        <w:rPr>
          <w:rFonts w:eastAsia="Calibri" w:cs="Times New Roman"/>
          <w:szCs w:val="24"/>
        </w:rPr>
        <w:t xml:space="preserve"> foretages følgende ændring</w:t>
      </w:r>
      <w:r>
        <w:rPr>
          <w:rFonts w:eastAsia="Calibri" w:cs="Times New Roman"/>
          <w:szCs w:val="24"/>
        </w:rPr>
        <w:t>er</w:t>
      </w:r>
      <w:r w:rsidRPr="003B0B97">
        <w:rPr>
          <w:rFonts w:eastAsia="Calibri" w:cs="Times New Roman"/>
          <w:szCs w:val="24"/>
        </w:rPr>
        <w:t>:</w:t>
      </w:r>
    </w:p>
    <w:p w14:paraId="035ADF53" w14:textId="77777777" w:rsidR="00FD1A50" w:rsidRPr="003B0B97" w:rsidRDefault="00FD1A50" w:rsidP="00FD1A50">
      <w:pPr>
        <w:rPr>
          <w:rFonts w:eastAsia="Calibri" w:cs="Times New Roman"/>
          <w:szCs w:val="24"/>
        </w:rPr>
      </w:pPr>
    </w:p>
    <w:p w14:paraId="50362C19" w14:textId="77777777" w:rsidR="00FD1A50" w:rsidRPr="003B0B97" w:rsidRDefault="00F40FB8" w:rsidP="00FD1A50">
      <w:pPr>
        <w:rPr>
          <w:rFonts w:cs="Times New Roman"/>
          <w:szCs w:val="24"/>
        </w:rPr>
      </w:pPr>
      <w:bookmarkStart w:id="1" w:name="_Hlk163812589"/>
      <w:bookmarkStart w:id="2" w:name="_Hlk167177734"/>
      <w:r>
        <w:rPr>
          <w:rFonts w:cs="Times New Roman"/>
          <w:b/>
          <w:szCs w:val="24"/>
        </w:rPr>
        <w:t>1</w:t>
      </w:r>
      <w:r w:rsidR="00FD1A50" w:rsidRPr="003B0B97">
        <w:rPr>
          <w:rFonts w:cs="Times New Roman"/>
          <w:b/>
          <w:szCs w:val="24"/>
        </w:rPr>
        <w:t>.</w:t>
      </w:r>
      <w:r w:rsidR="00FD1A50" w:rsidRPr="003B0B97">
        <w:rPr>
          <w:rFonts w:cs="Times New Roman"/>
          <w:szCs w:val="24"/>
        </w:rPr>
        <w:t xml:space="preserve"> </w:t>
      </w:r>
      <w:r w:rsidR="00FD1A50" w:rsidRPr="0020125C">
        <w:rPr>
          <w:rFonts w:cs="Times New Roman"/>
          <w:szCs w:val="24"/>
        </w:rPr>
        <w:t>I</w:t>
      </w:r>
      <w:r w:rsidR="00FD1A50">
        <w:rPr>
          <w:rFonts w:cs="Times New Roman"/>
          <w:i/>
          <w:szCs w:val="24"/>
        </w:rPr>
        <w:t xml:space="preserve"> </w:t>
      </w:r>
      <w:r w:rsidR="00FD1A50" w:rsidRPr="003B0B97">
        <w:rPr>
          <w:rFonts w:cs="Times New Roman"/>
          <w:i/>
          <w:szCs w:val="24"/>
        </w:rPr>
        <w:t xml:space="preserve">§ </w:t>
      </w:r>
      <w:r w:rsidR="001D6721">
        <w:rPr>
          <w:rFonts w:cs="Times New Roman"/>
          <w:i/>
          <w:szCs w:val="24"/>
        </w:rPr>
        <w:t>44</w:t>
      </w:r>
      <w:r w:rsidR="00FD1A50" w:rsidRPr="003B0B97">
        <w:rPr>
          <w:rFonts w:cs="Times New Roman"/>
          <w:szCs w:val="24"/>
        </w:rPr>
        <w:t xml:space="preserve"> indsættes </w:t>
      </w:r>
      <w:r w:rsidR="00FD1A50">
        <w:rPr>
          <w:rFonts w:cs="Times New Roman"/>
          <w:szCs w:val="24"/>
        </w:rPr>
        <w:t xml:space="preserve">efter stk. </w:t>
      </w:r>
      <w:r>
        <w:rPr>
          <w:rFonts w:cs="Times New Roman"/>
          <w:szCs w:val="24"/>
        </w:rPr>
        <w:t>7</w:t>
      </w:r>
      <w:r w:rsidR="00FD1A50">
        <w:rPr>
          <w:rFonts w:cs="Times New Roman"/>
          <w:szCs w:val="24"/>
        </w:rPr>
        <w:t xml:space="preserve"> </w:t>
      </w:r>
      <w:r w:rsidR="00FD1A50" w:rsidRPr="003B0B97">
        <w:rPr>
          <w:rFonts w:cs="Times New Roman"/>
          <w:szCs w:val="24"/>
        </w:rPr>
        <w:t xml:space="preserve">som </w:t>
      </w:r>
      <w:r w:rsidR="00FD1A50">
        <w:rPr>
          <w:rFonts w:cs="Times New Roman"/>
          <w:szCs w:val="24"/>
        </w:rPr>
        <w:t>ny</w:t>
      </w:r>
      <w:r w:rsidR="00991AAC">
        <w:rPr>
          <w:rFonts w:cs="Times New Roman"/>
          <w:szCs w:val="24"/>
        </w:rPr>
        <w:t>e</w:t>
      </w:r>
      <w:r w:rsidR="00FD1A50">
        <w:rPr>
          <w:rFonts w:cs="Times New Roman"/>
          <w:szCs w:val="24"/>
        </w:rPr>
        <w:t xml:space="preserve"> stykke</w:t>
      </w:r>
      <w:r w:rsidR="00991AAC">
        <w:rPr>
          <w:rFonts w:cs="Times New Roman"/>
          <w:szCs w:val="24"/>
        </w:rPr>
        <w:t>r</w:t>
      </w:r>
      <w:r w:rsidR="00FD1A50">
        <w:rPr>
          <w:rFonts w:cs="Times New Roman"/>
          <w:szCs w:val="24"/>
        </w:rPr>
        <w:t>:</w:t>
      </w:r>
    </w:p>
    <w:p w14:paraId="494696B8" w14:textId="5E1C17E4" w:rsidR="006A2CF1" w:rsidRDefault="00FD1A50" w:rsidP="00FD1A50">
      <w:pPr>
        <w:ind w:firstLine="284"/>
        <w:rPr>
          <w:rFonts w:cs="Times New Roman"/>
          <w:szCs w:val="24"/>
        </w:rPr>
      </w:pPr>
      <w:r w:rsidRPr="00FC260B">
        <w:rPr>
          <w:rFonts w:cs="Times New Roman"/>
          <w:i/>
          <w:szCs w:val="24"/>
        </w:rPr>
        <w:t>»</w:t>
      </w:r>
      <w:r w:rsidRPr="003B0B97">
        <w:rPr>
          <w:rFonts w:cs="Times New Roman"/>
          <w:i/>
          <w:szCs w:val="24"/>
        </w:rPr>
        <w:t xml:space="preserve">Stk. </w:t>
      </w:r>
      <w:r w:rsidR="00F40FB8">
        <w:rPr>
          <w:rFonts w:cs="Times New Roman"/>
          <w:i/>
          <w:szCs w:val="24"/>
        </w:rPr>
        <w:t>8</w:t>
      </w:r>
      <w:r>
        <w:rPr>
          <w:rFonts w:cs="Times New Roman"/>
          <w:szCs w:val="24"/>
        </w:rPr>
        <w:t>.</w:t>
      </w:r>
      <w:r>
        <w:rPr>
          <w:rFonts w:cs="Times New Roman"/>
          <w:i/>
          <w:szCs w:val="24"/>
        </w:rPr>
        <w:t xml:space="preserve"> </w:t>
      </w:r>
      <w:r w:rsidR="00E16D80">
        <w:rPr>
          <w:rFonts w:cs="Times New Roman"/>
          <w:szCs w:val="24"/>
        </w:rPr>
        <w:t>Miljøministeren kan fastsætte regler om, at virksomheder, der driver affaldsbehandlingsanlæg, der modtager affald med henblik på forbrænding eller genanvendelse</w:t>
      </w:r>
      <w:r w:rsidR="00BF2B05">
        <w:rPr>
          <w:rFonts w:cs="Times New Roman"/>
          <w:szCs w:val="24"/>
        </w:rPr>
        <w:t>,</w:t>
      </w:r>
      <w:r w:rsidR="00E16D80">
        <w:rPr>
          <w:rFonts w:cs="Times New Roman"/>
          <w:szCs w:val="24"/>
        </w:rPr>
        <w:t xml:space="preserve"> skal </w:t>
      </w:r>
      <w:bookmarkStart w:id="3" w:name="_Hlk159592346"/>
      <w:r w:rsidR="006A2CF1">
        <w:rPr>
          <w:rFonts w:cs="Times New Roman"/>
          <w:szCs w:val="24"/>
        </w:rPr>
        <w:t>foretage</w:t>
      </w:r>
      <w:r w:rsidR="0048040E">
        <w:rPr>
          <w:rFonts w:cs="Times New Roman"/>
          <w:szCs w:val="24"/>
        </w:rPr>
        <w:t xml:space="preserve"> </w:t>
      </w:r>
      <w:r w:rsidR="006A2CF1">
        <w:rPr>
          <w:rFonts w:cs="Times New Roman"/>
          <w:szCs w:val="24"/>
        </w:rPr>
        <w:t>kontrol</w:t>
      </w:r>
      <w:r w:rsidR="0048040E">
        <w:rPr>
          <w:rFonts w:cs="Times New Roman"/>
          <w:szCs w:val="24"/>
        </w:rPr>
        <w:t xml:space="preserve"> af</w:t>
      </w:r>
      <w:r w:rsidR="004764D3">
        <w:rPr>
          <w:rFonts w:cs="Times New Roman"/>
          <w:szCs w:val="24"/>
        </w:rPr>
        <w:t xml:space="preserve"> affaldets indhold af </w:t>
      </w:r>
      <w:r w:rsidR="004D2EF7">
        <w:rPr>
          <w:rFonts w:cs="Times New Roman"/>
          <w:szCs w:val="24"/>
        </w:rPr>
        <w:t>affald egnet til materialenyttiggørelse og usolgte forbrugerprodukter</w:t>
      </w:r>
      <w:r w:rsidR="0048040E">
        <w:rPr>
          <w:rFonts w:cs="Times New Roman"/>
          <w:szCs w:val="24"/>
        </w:rPr>
        <w:t>.</w:t>
      </w:r>
    </w:p>
    <w:p w14:paraId="3410F04E" w14:textId="06217F32" w:rsidR="00991AAC" w:rsidRDefault="006A2CF1" w:rsidP="00FD1A50">
      <w:pPr>
        <w:ind w:firstLine="284"/>
        <w:rPr>
          <w:rFonts w:cs="Times New Roman"/>
          <w:szCs w:val="24"/>
        </w:rPr>
      </w:pPr>
      <w:r w:rsidRPr="002D5094">
        <w:rPr>
          <w:rFonts w:cs="Times New Roman"/>
          <w:i/>
          <w:szCs w:val="24"/>
        </w:rPr>
        <w:t xml:space="preserve">Stk. 9. </w:t>
      </w:r>
      <w:r w:rsidR="00F40FB8" w:rsidRPr="002D5094">
        <w:rPr>
          <w:rFonts w:cs="Times New Roman"/>
          <w:szCs w:val="24"/>
        </w:rPr>
        <w:t xml:space="preserve">Miljøministeren kan fastsætte regler om, at </w:t>
      </w:r>
      <w:r w:rsidR="00651BE7" w:rsidRPr="002D5094">
        <w:rPr>
          <w:rFonts w:cs="Times New Roman"/>
          <w:szCs w:val="24"/>
        </w:rPr>
        <w:t xml:space="preserve">virksomheder der driver </w:t>
      </w:r>
      <w:r w:rsidR="00111C30" w:rsidRPr="002D5094">
        <w:rPr>
          <w:rFonts w:cs="Times New Roman"/>
          <w:szCs w:val="24"/>
        </w:rPr>
        <w:t>affaldsbehandlingsanlæg</w:t>
      </w:r>
      <w:r w:rsidRPr="002D5094">
        <w:rPr>
          <w:rFonts w:cs="Times New Roman"/>
          <w:szCs w:val="24"/>
        </w:rPr>
        <w:t>,</w:t>
      </w:r>
      <w:r w:rsidR="00F40FB8" w:rsidRPr="002D5094">
        <w:rPr>
          <w:rFonts w:cs="Times New Roman"/>
          <w:szCs w:val="24"/>
        </w:rPr>
        <w:t xml:space="preserve"> der </w:t>
      </w:r>
      <w:r w:rsidR="0048040E" w:rsidRPr="002D5094">
        <w:rPr>
          <w:rFonts w:cs="Times New Roman"/>
          <w:szCs w:val="24"/>
        </w:rPr>
        <w:t>modtager</w:t>
      </w:r>
      <w:r w:rsidR="00F40FB8" w:rsidRPr="002D5094">
        <w:rPr>
          <w:rFonts w:cs="Times New Roman"/>
          <w:szCs w:val="24"/>
        </w:rPr>
        <w:t xml:space="preserve"> affald med henblik på forbrænding</w:t>
      </w:r>
      <w:r w:rsidRPr="002D5094">
        <w:rPr>
          <w:rFonts w:cs="Times New Roman"/>
          <w:szCs w:val="24"/>
        </w:rPr>
        <w:t>,</w:t>
      </w:r>
      <w:r w:rsidR="00F40FB8" w:rsidRPr="002D5094">
        <w:rPr>
          <w:rFonts w:cs="Times New Roman"/>
          <w:szCs w:val="24"/>
        </w:rPr>
        <w:t xml:space="preserve"> skal afvise affaldet</w:t>
      </w:r>
      <w:r w:rsidR="0048040E" w:rsidRPr="002D5094">
        <w:rPr>
          <w:rFonts w:cs="Times New Roman"/>
          <w:szCs w:val="24"/>
        </w:rPr>
        <w:t>,</w:t>
      </w:r>
      <w:r w:rsidR="00F40FB8" w:rsidRPr="002D5094">
        <w:rPr>
          <w:rFonts w:cs="Times New Roman"/>
          <w:szCs w:val="24"/>
        </w:rPr>
        <w:t xml:space="preserve"> </w:t>
      </w:r>
      <w:r w:rsidR="00CD503B" w:rsidRPr="002D5094">
        <w:rPr>
          <w:rFonts w:cs="Times New Roman"/>
          <w:szCs w:val="24"/>
        </w:rPr>
        <w:t xml:space="preserve">hvis det </w:t>
      </w:r>
      <w:r w:rsidR="003A21E9">
        <w:rPr>
          <w:rFonts w:cs="Times New Roman"/>
          <w:szCs w:val="24"/>
        </w:rPr>
        <w:t>indeholder affald</w:t>
      </w:r>
      <w:r w:rsidR="002D5094" w:rsidRPr="002D5094">
        <w:rPr>
          <w:rFonts w:cs="Times New Roman"/>
          <w:szCs w:val="24"/>
        </w:rPr>
        <w:t xml:space="preserve"> egnet til materialenyttiggørelse</w:t>
      </w:r>
      <w:r w:rsidR="0018672C">
        <w:rPr>
          <w:rFonts w:cs="Times New Roman"/>
          <w:szCs w:val="24"/>
        </w:rPr>
        <w:t>.</w:t>
      </w:r>
      <w:r w:rsidR="002D5094">
        <w:rPr>
          <w:rFonts w:cs="Times New Roman"/>
          <w:szCs w:val="24"/>
        </w:rPr>
        <w:t xml:space="preserve"> </w:t>
      </w:r>
      <w:r w:rsidR="00F40FB8" w:rsidRPr="002D5094">
        <w:rPr>
          <w:rFonts w:cs="Times New Roman"/>
          <w:szCs w:val="24"/>
        </w:rPr>
        <w:t>Ministeren kan endvidere</w:t>
      </w:r>
      <w:r w:rsidR="00F40FB8">
        <w:rPr>
          <w:rFonts w:cs="Times New Roman"/>
          <w:szCs w:val="24"/>
        </w:rPr>
        <w:t xml:space="preserve"> fastsætte regler om, at </w:t>
      </w:r>
      <w:r w:rsidR="00651BE7">
        <w:rPr>
          <w:rFonts w:cs="Times New Roman"/>
          <w:szCs w:val="24"/>
        </w:rPr>
        <w:t>virksomheder</w:t>
      </w:r>
      <w:r w:rsidR="0018672C">
        <w:rPr>
          <w:rFonts w:cs="Times New Roman"/>
          <w:szCs w:val="24"/>
        </w:rPr>
        <w:t>,</w:t>
      </w:r>
      <w:r w:rsidR="00651BE7">
        <w:rPr>
          <w:rFonts w:cs="Times New Roman"/>
          <w:szCs w:val="24"/>
        </w:rPr>
        <w:t xml:space="preserve"> der driver </w:t>
      </w:r>
      <w:r w:rsidR="00111C30">
        <w:rPr>
          <w:rFonts w:cs="Times New Roman"/>
          <w:szCs w:val="24"/>
        </w:rPr>
        <w:t xml:space="preserve">affaldsbehandlingsanlæg, der modtager </w:t>
      </w:r>
      <w:r w:rsidR="00F40FB8">
        <w:rPr>
          <w:rFonts w:cs="Times New Roman"/>
          <w:szCs w:val="24"/>
        </w:rPr>
        <w:t>affald med henblik på genanvendelse</w:t>
      </w:r>
      <w:r w:rsidR="0048040E">
        <w:rPr>
          <w:rFonts w:cs="Times New Roman"/>
          <w:szCs w:val="24"/>
        </w:rPr>
        <w:t>,</w:t>
      </w:r>
      <w:r w:rsidR="00F40FB8">
        <w:rPr>
          <w:rFonts w:cs="Times New Roman"/>
          <w:szCs w:val="24"/>
        </w:rPr>
        <w:t xml:space="preserve"> skal </w:t>
      </w:r>
      <w:r w:rsidR="002D5094">
        <w:rPr>
          <w:rFonts w:cs="Times New Roman"/>
          <w:szCs w:val="24"/>
        </w:rPr>
        <w:t>afvise affald</w:t>
      </w:r>
      <w:r w:rsidR="00B547DD">
        <w:rPr>
          <w:rFonts w:cs="Times New Roman"/>
          <w:szCs w:val="24"/>
        </w:rPr>
        <w:t xml:space="preserve"> i form af usolgte forbrugerpro</w:t>
      </w:r>
      <w:r w:rsidR="00637BD6">
        <w:rPr>
          <w:rFonts w:cs="Times New Roman"/>
          <w:szCs w:val="24"/>
        </w:rPr>
        <w:t>d</w:t>
      </w:r>
      <w:r w:rsidR="00B547DD">
        <w:rPr>
          <w:rFonts w:cs="Times New Roman"/>
          <w:szCs w:val="24"/>
        </w:rPr>
        <w:t>ukter</w:t>
      </w:r>
      <w:r w:rsidR="009C662C">
        <w:rPr>
          <w:rFonts w:cs="Times New Roman"/>
          <w:szCs w:val="24"/>
        </w:rPr>
        <w:t>.</w:t>
      </w:r>
      <w:r w:rsidR="003A21E9">
        <w:rPr>
          <w:rFonts w:cs="Times New Roman"/>
          <w:szCs w:val="24"/>
        </w:rPr>
        <w:t xml:space="preserve"> </w:t>
      </w:r>
    </w:p>
    <w:p w14:paraId="08DFA38D" w14:textId="4E194BF3" w:rsidR="00FD1A50" w:rsidRDefault="00991AAC" w:rsidP="00FD1A50">
      <w:pPr>
        <w:ind w:firstLine="284"/>
        <w:rPr>
          <w:rFonts w:cs="Times New Roman"/>
          <w:szCs w:val="24"/>
        </w:rPr>
      </w:pPr>
      <w:r>
        <w:rPr>
          <w:rFonts w:cs="Times New Roman"/>
          <w:i/>
          <w:szCs w:val="24"/>
        </w:rPr>
        <w:t xml:space="preserve">Stk. </w:t>
      </w:r>
      <w:r w:rsidR="006A2CF1">
        <w:rPr>
          <w:rFonts w:cs="Times New Roman"/>
          <w:i/>
          <w:szCs w:val="24"/>
        </w:rPr>
        <w:t>10</w:t>
      </w:r>
      <w:r>
        <w:rPr>
          <w:rFonts w:cs="Times New Roman"/>
          <w:i/>
          <w:szCs w:val="24"/>
        </w:rPr>
        <w:t xml:space="preserve">. </w:t>
      </w:r>
      <w:r>
        <w:rPr>
          <w:rFonts w:cs="Times New Roman"/>
          <w:szCs w:val="24"/>
        </w:rPr>
        <w:t xml:space="preserve">Miljøministeren kan fastsætte regler om, at </w:t>
      </w:r>
      <w:r w:rsidR="000C0805">
        <w:rPr>
          <w:rFonts w:cs="Times New Roman"/>
          <w:szCs w:val="24"/>
        </w:rPr>
        <w:t>virksomhed</w:t>
      </w:r>
      <w:r w:rsidR="007C74F1">
        <w:rPr>
          <w:rFonts w:cs="Times New Roman"/>
          <w:szCs w:val="24"/>
        </w:rPr>
        <w:t>er</w:t>
      </w:r>
      <w:r w:rsidR="000C0805">
        <w:rPr>
          <w:rFonts w:cs="Times New Roman"/>
          <w:szCs w:val="24"/>
        </w:rPr>
        <w:t xml:space="preserve">, </w:t>
      </w:r>
      <w:r w:rsidR="00B46C41">
        <w:rPr>
          <w:rFonts w:cs="Times New Roman"/>
          <w:szCs w:val="24"/>
        </w:rPr>
        <w:t xml:space="preserve">der driver </w:t>
      </w:r>
      <w:r w:rsidR="00111C30">
        <w:rPr>
          <w:rFonts w:cs="Times New Roman"/>
          <w:szCs w:val="24"/>
        </w:rPr>
        <w:t>affalds</w:t>
      </w:r>
      <w:r w:rsidR="00A11004">
        <w:rPr>
          <w:rFonts w:cs="Times New Roman"/>
          <w:szCs w:val="24"/>
        </w:rPr>
        <w:t>behandlings</w:t>
      </w:r>
      <w:r w:rsidR="00111C30">
        <w:rPr>
          <w:rFonts w:cs="Times New Roman"/>
          <w:szCs w:val="24"/>
        </w:rPr>
        <w:t>anlæg</w:t>
      </w:r>
      <w:r>
        <w:rPr>
          <w:rFonts w:cs="Times New Roman"/>
          <w:szCs w:val="24"/>
        </w:rPr>
        <w:t xml:space="preserve">, skal underrette </w:t>
      </w:r>
      <w:r w:rsidR="00356F3A">
        <w:rPr>
          <w:rFonts w:cs="Times New Roman"/>
          <w:szCs w:val="24"/>
        </w:rPr>
        <w:t>affalds</w:t>
      </w:r>
      <w:r>
        <w:rPr>
          <w:rFonts w:cs="Times New Roman"/>
          <w:szCs w:val="24"/>
        </w:rPr>
        <w:t>tilsynsmyndigheden</w:t>
      </w:r>
      <w:r w:rsidR="005603C4">
        <w:rPr>
          <w:rFonts w:cs="Times New Roman"/>
          <w:szCs w:val="24"/>
        </w:rPr>
        <w:t xml:space="preserve"> og affaldsproducenten</w:t>
      </w:r>
      <w:r w:rsidR="009633E8">
        <w:rPr>
          <w:rFonts w:cs="Times New Roman"/>
          <w:szCs w:val="24"/>
        </w:rPr>
        <w:t xml:space="preserve"> eller affaldsindsamleren</w:t>
      </w:r>
      <w:r w:rsidR="005603C4">
        <w:rPr>
          <w:rFonts w:cs="Times New Roman"/>
          <w:szCs w:val="24"/>
        </w:rPr>
        <w:t xml:space="preserve">, hvis det ved kontrol </w:t>
      </w:r>
      <w:r w:rsidR="00283D31">
        <w:rPr>
          <w:rFonts w:cs="Times New Roman"/>
          <w:szCs w:val="24"/>
        </w:rPr>
        <w:t>vurderes</w:t>
      </w:r>
      <w:r w:rsidR="005603C4">
        <w:rPr>
          <w:rFonts w:cs="Times New Roman"/>
          <w:szCs w:val="24"/>
        </w:rPr>
        <w:t>, at et affaldslæs indeholder affald egnet til materialenyttiggørelse</w:t>
      </w:r>
      <w:r>
        <w:rPr>
          <w:rFonts w:cs="Times New Roman"/>
          <w:szCs w:val="24"/>
        </w:rPr>
        <w:t xml:space="preserve"> </w:t>
      </w:r>
      <w:r w:rsidR="005603C4">
        <w:rPr>
          <w:rFonts w:cs="Times New Roman"/>
          <w:szCs w:val="24"/>
        </w:rPr>
        <w:t>eller usolgte forbrugerprodukter</w:t>
      </w:r>
      <w:r w:rsidR="00BF2B05">
        <w:rPr>
          <w:rFonts w:cs="Times New Roman"/>
          <w:szCs w:val="24"/>
        </w:rPr>
        <w:t>,</w:t>
      </w:r>
      <w:r w:rsidR="00B86780">
        <w:rPr>
          <w:rFonts w:cs="Times New Roman"/>
          <w:szCs w:val="24"/>
        </w:rPr>
        <w:t xml:space="preserve"> og </w:t>
      </w:r>
      <w:r w:rsidR="005603C4">
        <w:rPr>
          <w:rFonts w:cs="Times New Roman"/>
          <w:szCs w:val="24"/>
        </w:rPr>
        <w:t>at virksomhede</w:t>
      </w:r>
      <w:r w:rsidR="007C74F1">
        <w:rPr>
          <w:rFonts w:cs="Times New Roman"/>
          <w:szCs w:val="24"/>
        </w:rPr>
        <w:t>rne</w:t>
      </w:r>
      <w:r w:rsidR="005603C4">
        <w:rPr>
          <w:rFonts w:cs="Times New Roman"/>
          <w:szCs w:val="24"/>
        </w:rPr>
        <w:t xml:space="preserve"> skal </w:t>
      </w:r>
      <w:r w:rsidR="00B86780">
        <w:rPr>
          <w:rFonts w:cs="Times New Roman"/>
          <w:szCs w:val="24"/>
        </w:rPr>
        <w:t xml:space="preserve">indberette oplysninger til brug for </w:t>
      </w:r>
      <w:r w:rsidR="00A84978">
        <w:rPr>
          <w:rFonts w:cs="Times New Roman"/>
          <w:szCs w:val="24"/>
        </w:rPr>
        <w:t>affalds</w:t>
      </w:r>
      <w:r w:rsidR="00B86780">
        <w:rPr>
          <w:rFonts w:cs="Times New Roman"/>
          <w:szCs w:val="24"/>
        </w:rPr>
        <w:t>tilsyn</w:t>
      </w:r>
      <w:r w:rsidR="00A84978">
        <w:rPr>
          <w:rFonts w:cs="Times New Roman"/>
          <w:szCs w:val="24"/>
        </w:rPr>
        <w:t>smyndigheden</w:t>
      </w:r>
      <w:r>
        <w:rPr>
          <w:rFonts w:cs="Times New Roman"/>
          <w:szCs w:val="24"/>
        </w:rPr>
        <w:t>.</w:t>
      </w:r>
      <w:r w:rsidR="00060459">
        <w:rPr>
          <w:rFonts w:cs="Times New Roman"/>
          <w:szCs w:val="24"/>
        </w:rPr>
        <w:t xml:space="preserve"> </w:t>
      </w:r>
      <w:r w:rsidR="00FD1A50" w:rsidRPr="00FC260B">
        <w:rPr>
          <w:rFonts w:cs="Times New Roman"/>
          <w:szCs w:val="24"/>
        </w:rPr>
        <w:t>«</w:t>
      </w:r>
    </w:p>
    <w:bookmarkEnd w:id="1"/>
    <w:bookmarkEnd w:id="2"/>
    <w:bookmarkEnd w:id="3"/>
    <w:p w14:paraId="2B73083A" w14:textId="77777777" w:rsidR="00FD1A50" w:rsidRDefault="00FD1A50" w:rsidP="00FD1A50">
      <w:pPr>
        <w:rPr>
          <w:rFonts w:eastAsia="Calibri" w:cs="Times New Roman"/>
          <w:szCs w:val="24"/>
        </w:rPr>
      </w:pPr>
    </w:p>
    <w:p w14:paraId="770F693E" w14:textId="3BD41E22" w:rsidR="00280257" w:rsidRDefault="00651BE7" w:rsidP="00FD5C30">
      <w:pPr>
        <w:rPr>
          <w:rFonts w:cs="Times New Roman"/>
          <w:szCs w:val="24"/>
        </w:rPr>
      </w:pPr>
      <w:r>
        <w:rPr>
          <w:rFonts w:eastAsia="Calibri" w:cs="Times New Roman"/>
          <w:b/>
          <w:szCs w:val="24"/>
        </w:rPr>
        <w:t>2</w:t>
      </w:r>
      <w:r w:rsidR="00FD1A50">
        <w:rPr>
          <w:rFonts w:eastAsia="Calibri" w:cs="Times New Roman"/>
          <w:b/>
          <w:szCs w:val="24"/>
        </w:rPr>
        <w:t xml:space="preserve">. </w:t>
      </w:r>
      <w:r w:rsidR="00FD1A50" w:rsidRPr="003B0B97">
        <w:rPr>
          <w:rFonts w:cs="Times New Roman"/>
          <w:i/>
          <w:szCs w:val="24"/>
        </w:rPr>
        <w:t xml:space="preserve">§ </w:t>
      </w:r>
      <w:r w:rsidR="00280257">
        <w:rPr>
          <w:rFonts w:cs="Times New Roman"/>
          <w:i/>
          <w:szCs w:val="24"/>
        </w:rPr>
        <w:t>48, stk. 1, nr. 2</w:t>
      </w:r>
      <w:r w:rsidR="009E23AF">
        <w:rPr>
          <w:rFonts w:cs="Times New Roman"/>
          <w:i/>
          <w:szCs w:val="24"/>
        </w:rPr>
        <w:t>,</w:t>
      </w:r>
      <w:r w:rsidR="00FD5C30">
        <w:rPr>
          <w:rFonts w:cs="Times New Roman"/>
          <w:i/>
          <w:szCs w:val="24"/>
        </w:rPr>
        <w:t xml:space="preserve"> </w:t>
      </w:r>
      <w:r w:rsidR="00FD5C30" w:rsidRPr="00FD5C30">
        <w:rPr>
          <w:rFonts w:cs="Times New Roman"/>
          <w:szCs w:val="24"/>
        </w:rPr>
        <w:t>ophæves</w:t>
      </w:r>
      <w:r w:rsidR="00FD5C30">
        <w:rPr>
          <w:rFonts w:cs="Times New Roman"/>
          <w:szCs w:val="24"/>
        </w:rPr>
        <w:t>.</w:t>
      </w:r>
    </w:p>
    <w:p w14:paraId="25455700" w14:textId="77777777" w:rsidR="00FD1A50" w:rsidRDefault="00280257" w:rsidP="00FD5C30">
      <w:pPr>
        <w:rPr>
          <w:rFonts w:cs="Times New Roman"/>
          <w:szCs w:val="24"/>
        </w:rPr>
      </w:pPr>
      <w:r>
        <w:rPr>
          <w:rFonts w:cs="Times New Roman"/>
          <w:szCs w:val="24"/>
        </w:rPr>
        <w:t>Nr. 3-5 bliver herefter nr. 2-4.</w:t>
      </w:r>
      <w:r>
        <w:rPr>
          <w:rFonts w:cs="Times New Roman"/>
          <w:szCs w:val="24"/>
        </w:rPr>
        <w:tab/>
      </w:r>
    </w:p>
    <w:p w14:paraId="70276EFE" w14:textId="77777777" w:rsidR="00280257" w:rsidRDefault="00280257" w:rsidP="00FD5C30">
      <w:pPr>
        <w:rPr>
          <w:rFonts w:eastAsia="Calibri" w:cs="Times New Roman"/>
          <w:szCs w:val="24"/>
        </w:rPr>
      </w:pPr>
    </w:p>
    <w:p w14:paraId="767FCC9F" w14:textId="64E3B6E7" w:rsidR="0018672C" w:rsidRPr="00A84978" w:rsidRDefault="0018672C" w:rsidP="00FD5C30">
      <w:pPr>
        <w:rPr>
          <w:rFonts w:eastAsia="Calibri" w:cs="Times New Roman"/>
          <w:szCs w:val="24"/>
        </w:rPr>
      </w:pPr>
      <w:r>
        <w:rPr>
          <w:rFonts w:eastAsia="Calibri" w:cs="Times New Roman"/>
          <w:b/>
          <w:szCs w:val="24"/>
        </w:rPr>
        <w:t xml:space="preserve">3. </w:t>
      </w:r>
      <w:r w:rsidR="009E23AF">
        <w:rPr>
          <w:rFonts w:eastAsia="Calibri" w:cs="Times New Roman"/>
          <w:szCs w:val="24"/>
        </w:rPr>
        <w:t xml:space="preserve">I </w:t>
      </w:r>
      <w:r w:rsidR="009E23AF" w:rsidRPr="00A84978">
        <w:rPr>
          <w:rFonts w:eastAsia="Calibri" w:cs="Times New Roman"/>
          <w:i/>
          <w:szCs w:val="24"/>
        </w:rPr>
        <w:t>§ 48, stk. 8,</w:t>
      </w:r>
      <w:r w:rsidR="009E23AF">
        <w:rPr>
          <w:rFonts w:eastAsia="Calibri" w:cs="Times New Roman"/>
          <w:szCs w:val="24"/>
        </w:rPr>
        <w:t xml:space="preserve"> ændres </w:t>
      </w:r>
      <w:r w:rsidR="009E23AF" w:rsidRPr="00A84978">
        <w:rPr>
          <w:rFonts w:cs="Times New Roman"/>
          <w:szCs w:val="24"/>
        </w:rPr>
        <w:t>»</w:t>
      </w:r>
      <w:r w:rsidR="009E23AF">
        <w:rPr>
          <w:rFonts w:cs="Times New Roman"/>
          <w:szCs w:val="24"/>
        </w:rPr>
        <w:t>stk. 1, nr. 5</w:t>
      </w:r>
      <w:r w:rsidR="009E23AF" w:rsidRPr="00FC260B">
        <w:rPr>
          <w:rFonts w:cs="Times New Roman"/>
          <w:szCs w:val="24"/>
        </w:rPr>
        <w:t>«</w:t>
      </w:r>
      <w:r w:rsidR="009E23AF">
        <w:rPr>
          <w:rFonts w:cs="Times New Roman"/>
          <w:szCs w:val="24"/>
        </w:rPr>
        <w:t xml:space="preserve"> til: </w:t>
      </w:r>
      <w:r w:rsidR="009E23AF" w:rsidRPr="00004B0C">
        <w:rPr>
          <w:rFonts w:cs="Times New Roman"/>
          <w:szCs w:val="24"/>
        </w:rPr>
        <w:t>»</w:t>
      </w:r>
      <w:r w:rsidR="009E23AF">
        <w:rPr>
          <w:rFonts w:cs="Times New Roman"/>
          <w:szCs w:val="24"/>
        </w:rPr>
        <w:t>stk. 1, nr. 4</w:t>
      </w:r>
      <w:r w:rsidR="009E23AF" w:rsidRPr="00FC260B">
        <w:rPr>
          <w:rFonts w:cs="Times New Roman"/>
          <w:szCs w:val="24"/>
        </w:rPr>
        <w:t>«</w:t>
      </w:r>
      <w:r w:rsidR="009E23AF">
        <w:rPr>
          <w:rFonts w:cs="Times New Roman"/>
          <w:szCs w:val="24"/>
        </w:rPr>
        <w:t>.</w:t>
      </w:r>
    </w:p>
    <w:p w14:paraId="051FDC58" w14:textId="77777777" w:rsidR="0018672C" w:rsidRDefault="0018672C" w:rsidP="00FD5C30">
      <w:pPr>
        <w:rPr>
          <w:rFonts w:eastAsia="Calibri" w:cs="Times New Roman"/>
          <w:b/>
          <w:szCs w:val="24"/>
        </w:rPr>
      </w:pPr>
    </w:p>
    <w:p w14:paraId="33D9F7DE" w14:textId="46B11F06" w:rsidR="00280257" w:rsidRPr="003B0B97" w:rsidRDefault="00ED5FC7" w:rsidP="00FD5C30">
      <w:pPr>
        <w:rPr>
          <w:rFonts w:eastAsia="Calibri" w:cs="Times New Roman"/>
          <w:szCs w:val="24"/>
        </w:rPr>
      </w:pPr>
      <w:r>
        <w:rPr>
          <w:rFonts w:eastAsia="Calibri" w:cs="Times New Roman"/>
          <w:b/>
          <w:szCs w:val="24"/>
        </w:rPr>
        <w:t>4</w:t>
      </w:r>
      <w:r w:rsidR="00280257">
        <w:rPr>
          <w:rFonts w:eastAsia="Calibri" w:cs="Times New Roman"/>
          <w:b/>
          <w:szCs w:val="24"/>
        </w:rPr>
        <w:t xml:space="preserve">. </w:t>
      </w:r>
      <w:r w:rsidR="00280257" w:rsidRPr="003B0B97">
        <w:rPr>
          <w:rFonts w:cs="Times New Roman"/>
          <w:i/>
          <w:szCs w:val="24"/>
        </w:rPr>
        <w:t xml:space="preserve">§ </w:t>
      </w:r>
      <w:r w:rsidR="00280257">
        <w:rPr>
          <w:rFonts w:cs="Times New Roman"/>
          <w:i/>
          <w:szCs w:val="24"/>
        </w:rPr>
        <w:t xml:space="preserve">50 f </w:t>
      </w:r>
      <w:r w:rsidR="00280257" w:rsidRPr="00FD5C30">
        <w:rPr>
          <w:rFonts w:cs="Times New Roman"/>
          <w:szCs w:val="24"/>
        </w:rPr>
        <w:t>ophæves</w:t>
      </w:r>
      <w:r>
        <w:rPr>
          <w:rFonts w:cs="Times New Roman"/>
          <w:szCs w:val="24"/>
        </w:rPr>
        <w:t>.</w:t>
      </w:r>
    </w:p>
    <w:p w14:paraId="4C06C136" w14:textId="77777777" w:rsidR="00FD1A50" w:rsidRPr="003B0B97" w:rsidRDefault="00FD1A50" w:rsidP="00FD1A50">
      <w:pPr>
        <w:rPr>
          <w:rFonts w:eastAsia="Calibri" w:cs="Times New Roman"/>
          <w:szCs w:val="24"/>
        </w:rPr>
      </w:pPr>
    </w:p>
    <w:p w14:paraId="3A2F0BFC" w14:textId="77777777" w:rsidR="00FD1A50" w:rsidRDefault="00FD1A50" w:rsidP="00FD1A50">
      <w:pPr>
        <w:jc w:val="center"/>
        <w:rPr>
          <w:rFonts w:eastAsia="Calibri" w:cs="Times New Roman"/>
          <w:b/>
          <w:szCs w:val="24"/>
        </w:rPr>
      </w:pPr>
      <w:r w:rsidRPr="003B0B97">
        <w:rPr>
          <w:rFonts w:eastAsia="Calibri" w:cs="Times New Roman"/>
          <w:b/>
          <w:szCs w:val="24"/>
        </w:rPr>
        <w:lastRenderedPageBreak/>
        <w:t xml:space="preserve">§ </w:t>
      </w:r>
      <w:r w:rsidR="00FD5C30">
        <w:rPr>
          <w:rFonts w:eastAsia="Calibri" w:cs="Times New Roman"/>
          <w:b/>
          <w:szCs w:val="24"/>
        </w:rPr>
        <w:t>2</w:t>
      </w:r>
    </w:p>
    <w:p w14:paraId="39EB9472" w14:textId="77777777" w:rsidR="00FD1A50" w:rsidRPr="003B0B97" w:rsidRDefault="00FD1A50" w:rsidP="00FD1A50">
      <w:pPr>
        <w:jc w:val="center"/>
        <w:rPr>
          <w:rFonts w:eastAsia="Calibri" w:cs="Times New Roman"/>
          <w:b/>
          <w:szCs w:val="24"/>
        </w:rPr>
      </w:pPr>
    </w:p>
    <w:p w14:paraId="1DAAA159" w14:textId="77777777" w:rsidR="00FD1A50" w:rsidRDefault="00FD1A50" w:rsidP="00FD1A50">
      <w:pPr>
        <w:ind w:firstLine="284"/>
        <w:rPr>
          <w:rFonts w:eastAsia="Calibri" w:cs="Times New Roman"/>
          <w:szCs w:val="24"/>
        </w:rPr>
      </w:pPr>
      <w:r w:rsidRPr="003B0B97">
        <w:rPr>
          <w:rFonts w:eastAsia="Calibri" w:cs="Times New Roman"/>
          <w:szCs w:val="24"/>
        </w:rPr>
        <w:t>Loven træder i kraft den</w:t>
      </w:r>
      <w:r>
        <w:rPr>
          <w:rFonts w:eastAsia="Calibri" w:cs="Times New Roman"/>
          <w:szCs w:val="24"/>
        </w:rPr>
        <w:t xml:space="preserve"> </w:t>
      </w:r>
      <w:r w:rsidR="00F3356F">
        <w:rPr>
          <w:rFonts w:eastAsia="Calibri" w:cs="Times New Roman"/>
          <w:szCs w:val="24"/>
        </w:rPr>
        <w:t>1. januar 2025</w:t>
      </w:r>
      <w:r w:rsidRPr="003B0B97">
        <w:rPr>
          <w:rFonts w:eastAsia="Calibri" w:cs="Times New Roman"/>
          <w:szCs w:val="24"/>
        </w:rPr>
        <w:t>.</w:t>
      </w:r>
    </w:p>
    <w:p w14:paraId="35FC9532" w14:textId="77777777" w:rsidR="00FD1A50" w:rsidRDefault="00FD1A50" w:rsidP="00FD1A50">
      <w:pPr>
        <w:rPr>
          <w:rFonts w:eastAsia="Calibri" w:cs="Times New Roman"/>
          <w:szCs w:val="24"/>
        </w:rPr>
      </w:pPr>
    </w:p>
    <w:p w14:paraId="35F46C0B" w14:textId="77777777" w:rsidR="00FD1A50" w:rsidRPr="003B0B97" w:rsidRDefault="00FD1A50" w:rsidP="00FD1A50">
      <w:pPr>
        <w:rPr>
          <w:rFonts w:eastAsia="Calibri" w:cs="Times New Roman"/>
          <w:szCs w:val="24"/>
        </w:rPr>
      </w:pPr>
    </w:p>
    <w:p w14:paraId="7CE1A368" w14:textId="77777777" w:rsidR="00FD1A50" w:rsidRPr="003B0B97" w:rsidRDefault="00FD1A50" w:rsidP="00FD1A50">
      <w:pPr>
        <w:rPr>
          <w:rFonts w:eastAsia="Calibri" w:cs="Times New Roman"/>
          <w:szCs w:val="24"/>
        </w:rPr>
      </w:pPr>
    </w:p>
    <w:p w14:paraId="7746BC92" w14:textId="77777777" w:rsidR="00FD1A50" w:rsidRDefault="00FD1A50" w:rsidP="00FD1A50">
      <w:pPr>
        <w:rPr>
          <w:rFonts w:eastAsia="Calibri" w:cs="Times New Roman"/>
          <w:i/>
          <w:szCs w:val="24"/>
        </w:rPr>
      </w:pPr>
    </w:p>
    <w:p w14:paraId="6FBD2D8A" w14:textId="77777777" w:rsidR="00FD1A50" w:rsidRDefault="00FD1A50" w:rsidP="00FD1A50">
      <w:pPr>
        <w:spacing w:after="240"/>
        <w:jc w:val="center"/>
        <w:rPr>
          <w:rFonts w:eastAsia="Calibri" w:cs="Times New Roman"/>
          <w:i/>
          <w:szCs w:val="24"/>
        </w:rPr>
        <w:sectPr w:rsidR="00FD1A50" w:rsidSect="00D712BA">
          <w:headerReference w:type="default" r:id="rId11"/>
          <w:footerReference w:type="default" r:id="rId12"/>
          <w:headerReference w:type="first" r:id="rId13"/>
          <w:pgSz w:w="11906" w:h="16838" w:code="9"/>
          <w:pgMar w:top="1418" w:right="3260" w:bottom="1134" w:left="1418" w:header="0" w:footer="709" w:gutter="0"/>
          <w:cols w:space="708"/>
          <w:titlePg/>
          <w:docGrid w:linePitch="360"/>
        </w:sectPr>
      </w:pPr>
    </w:p>
    <w:p w14:paraId="4788F4C1" w14:textId="77777777" w:rsidR="00FD1A50" w:rsidRPr="003B0B97" w:rsidRDefault="00FD1A50" w:rsidP="00FD1A50">
      <w:pPr>
        <w:spacing w:after="240"/>
        <w:jc w:val="center"/>
        <w:rPr>
          <w:rFonts w:eastAsia="Calibri" w:cs="Times New Roman"/>
          <w:i/>
          <w:szCs w:val="24"/>
        </w:rPr>
      </w:pPr>
      <w:r w:rsidRPr="003B0B97">
        <w:rPr>
          <w:rFonts w:eastAsia="Calibri" w:cs="Times New Roman"/>
          <w:i/>
          <w:szCs w:val="24"/>
        </w:rPr>
        <w:lastRenderedPageBreak/>
        <w:t>Bemærkninger til lovforslaget</w:t>
      </w:r>
    </w:p>
    <w:p w14:paraId="6C22600F" w14:textId="77777777" w:rsidR="00FD1A50" w:rsidRPr="003B0B97" w:rsidRDefault="00FD1A50" w:rsidP="00FD1A50">
      <w:pPr>
        <w:spacing w:after="240"/>
        <w:jc w:val="center"/>
        <w:rPr>
          <w:rFonts w:eastAsia="Calibri" w:cs="Times New Roman"/>
          <w:i/>
          <w:szCs w:val="24"/>
        </w:rPr>
      </w:pPr>
      <w:r w:rsidRPr="003B0B97">
        <w:rPr>
          <w:rFonts w:eastAsia="Calibri" w:cs="Times New Roman"/>
          <w:i/>
          <w:szCs w:val="24"/>
        </w:rPr>
        <w:t>Almindelige bemærkninger</w:t>
      </w:r>
    </w:p>
    <w:p w14:paraId="7DCC1861" w14:textId="77777777" w:rsidR="00FD1A50" w:rsidRPr="003B0B97" w:rsidRDefault="00FD1A50" w:rsidP="00FD1A50">
      <w:pPr>
        <w:spacing w:after="240"/>
        <w:rPr>
          <w:rFonts w:eastAsia="Calibri" w:cs="Times New Roman"/>
          <w:szCs w:val="24"/>
        </w:rPr>
      </w:pPr>
      <w:r w:rsidRPr="003B0B97">
        <w:rPr>
          <w:rFonts w:eastAsia="Calibri" w:cs="Times New Roman"/>
          <w:szCs w:val="24"/>
        </w:rPr>
        <w:t>Indholdsfortegnelse</w:t>
      </w:r>
    </w:p>
    <w:p w14:paraId="19D04809" w14:textId="77777777" w:rsidR="00FD1A50" w:rsidRDefault="00FD1A50" w:rsidP="00FD1A50">
      <w:pPr>
        <w:spacing w:after="240"/>
        <w:rPr>
          <w:rFonts w:eastAsia="Calibri" w:cs="Times New Roman"/>
          <w:i/>
          <w:szCs w:val="24"/>
        </w:rPr>
      </w:pPr>
      <w:r>
        <w:rPr>
          <w:rFonts w:eastAsia="Calibri" w:cs="Times New Roman"/>
          <w:szCs w:val="24"/>
        </w:rPr>
        <w:t>1. Indledning</w:t>
      </w:r>
      <w:r w:rsidR="00F3356F">
        <w:rPr>
          <w:rFonts w:eastAsia="Calibri" w:cs="Times New Roman"/>
          <w:szCs w:val="24"/>
        </w:rPr>
        <w:t xml:space="preserve"> </w:t>
      </w:r>
    </w:p>
    <w:p w14:paraId="6668526A" w14:textId="77777777" w:rsidR="00FD1A50" w:rsidRDefault="00FD1A50" w:rsidP="00FD1A50">
      <w:pPr>
        <w:spacing w:after="240"/>
        <w:rPr>
          <w:rFonts w:eastAsia="Calibri" w:cs="Times New Roman"/>
          <w:i/>
          <w:szCs w:val="24"/>
        </w:rPr>
      </w:pPr>
      <w:r>
        <w:rPr>
          <w:rFonts w:eastAsia="Calibri" w:cs="Times New Roman"/>
          <w:szCs w:val="24"/>
        </w:rPr>
        <w:t>2. Lovforslagets baggrund</w:t>
      </w:r>
      <w:r w:rsidR="00F3356F">
        <w:rPr>
          <w:rFonts w:eastAsia="Calibri" w:cs="Times New Roman"/>
          <w:szCs w:val="24"/>
        </w:rPr>
        <w:t xml:space="preserve"> </w:t>
      </w:r>
    </w:p>
    <w:p w14:paraId="4B2EA1D8" w14:textId="68D75598" w:rsidR="00A81CAC" w:rsidRPr="00970AE2" w:rsidRDefault="00970AE2" w:rsidP="00FD1A50">
      <w:pPr>
        <w:spacing w:after="240"/>
        <w:rPr>
          <w:rFonts w:eastAsia="Calibri" w:cs="Times New Roman"/>
          <w:szCs w:val="24"/>
        </w:rPr>
      </w:pPr>
      <w:r w:rsidRPr="00970AE2">
        <w:rPr>
          <w:rFonts w:eastAsia="Calibri" w:cs="Times New Roman"/>
          <w:szCs w:val="24"/>
        </w:rPr>
        <w:t>2.1</w:t>
      </w:r>
      <w:r w:rsidR="00A81CAC" w:rsidRPr="00970AE2">
        <w:rPr>
          <w:rFonts w:eastAsia="Calibri" w:cs="Times New Roman"/>
          <w:szCs w:val="24"/>
        </w:rPr>
        <w:t xml:space="preserve">. </w:t>
      </w:r>
      <w:r w:rsidR="00A6531F">
        <w:rPr>
          <w:rFonts w:eastAsia="Calibri" w:cs="Times New Roman"/>
          <w:szCs w:val="24"/>
        </w:rPr>
        <w:t xml:space="preserve">Den politiske aftale om </w:t>
      </w:r>
      <w:r w:rsidR="00A81CAC" w:rsidRPr="00970AE2">
        <w:rPr>
          <w:rFonts w:eastAsia="Calibri" w:cs="Times New Roman"/>
          <w:szCs w:val="24"/>
        </w:rPr>
        <w:t xml:space="preserve">styrket affaldstilsyn </w:t>
      </w:r>
    </w:p>
    <w:p w14:paraId="5703C68A" w14:textId="77777777" w:rsidR="00A81CAC" w:rsidRDefault="00970AE2" w:rsidP="00FD1A50">
      <w:pPr>
        <w:spacing w:after="240"/>
        <w:rPr>
          <w:rFonts w:eastAsia="Calibri" w:cs="Times New Roman"/>
          <w:szCs w:val="24"/>
        </w:rPr>
      </w:pPr>
      <w:r w:rsidRPr="00970AE2">
        <w:rPr>
          <w:rFonts w:eastAsia="Calibri" w:cs="Times New Roman"/>
          <w:szCs w:val="24"/>
        </w:rPr>
        <w:t>2.2</w:t>
      </w:r>
      <w:r w:rsidR="00A81CAC" w:rsidRPr="00970AE2">
        <w:rPr>
          <w:rFonts w:eastAsia="Calibri" w:cs="Times New Roman"/>
          <w:szCs w:val="24"/>
        </w:rPr>
        <w:t xml:space="preserve">. </w:t>
      </w:r>
      <w:proofErr w:type="spellStart"/>
      <w:r w:rsidR="00A81CAC" w:rsidRPr="00970AE2">
        <w:rPr>
          <w:rFonts w:eastAsia="Calibri" w:cs="Times New Roman"/>
          <w:szCs w:val="24"/>
        </w:rPr>
        <w:t>Ecodesignforordningen</w:t>
      </w:r>
      <w:proofErr w:type="spellEnd"/>
      <w:r w:rsidR="00A81CAC" w:rsidRPr="00970AE2">
        <w:rPr>
          <w:rFonts w:eastAsia="Calibri" w:cs="Times New Roman"/>
          <w:szCs w:val="24"/>
        </w:rPr>
        <w:t xml:space="preserve"> </w:t>
      </w:r>
    </w:p>
    <w:p w14:paraId="46E48BA0" w14:textId="27FB9DA2" w:rsidR="00A6531F" w:rsidRPr="00970AE2" w:rsidRDefault="00A6531F" w:rsidP="00FD1A50">
      <w:pPr>
        <w:spacing w:after="240"/>
        <w:rPr>
          <w:rFonts w:eastAsia="Calibri" w:cs="Times New Roman"/>
          <w:szCs w:val="24"/>
        </w:rPr>
      </w:pPr>
      <w:r>
        <w:rPr>
          <w:rFonts w:eastAsia="Calibri" w:cs="Times New Roman"/>
          <w:szCs w:val="24"/>
        </w:rPr>
        <w:t>2.3</w:t>
      </w:r>
      <w:r w:rsidR="00FA14A2">
        <w:rPr>
          <w:rFonts w:eastAsia="Calibri" w:cs="Times New Roman"/>
          <w:szCs w:val="24"/>
        </w:rPr>
        <w:t>.</w:t>
      </w:r>
      <w:r>
        <w:rPr>
          <w:rFonts w:eastAsia="Calibri" w:cs="Times New Roman"/>
          <w:szCs w:val="24"/>
        </w:rPr>
        <w:t xml:space="preserve"> Genbrugsområder på kommunale genbrugspladser</w:t>
      </w:r>
    </w:p>
    <w:p w14:paraId="48CD5DC1" w14:textId="77777777" w:rsidR="00FD1A50" w:rsidRDefault="00FD1A50" w:rsidP="00FD1A50">
      <w:pPr>
        <w:spacing w:after="240"/>
        <w:rPr>
          <w:rFonts w:eastAsia="Calibri" w:cs="Times New Roman"/>
          <w:szCs w:val="24"/>
        </w:rPr>
      </w:pPr>
      <w:r>
        <w:rPr>
          <w:rFonts w:eastAsia="Calibri" w:cs="Times New Roman"/>
          <w:szCs w:val="24"/>
        </w:rPr>
        <w:t>3. Lovforslagets hovedpunkter</w:t>
      </w:r>
    </w:p>
    <w:p w14:paraId="09928CC8" w14:textId="77777777" w:rsidR="00FD1A50" w:rsidRPr="00A81CAC" w:rsidRDefault="00FD1A50" w:rsidP="00FD1A50">
      <w:pPr>
        <w:spacing w:after="240"/>
        <w:rPr>
          <w:rFonts w:eastAsia="Calibri" w:cs="Times New Roman"/>
          <w:i/>
          <w:szCs w:val="24"/>
        </w:rPr>
      </w:pPr>
      <w:r>
        <w:rPr>
          <w:rFonts w:eastAsia="Calibri" w:cs="Times New Roman"/>
          <w:szCs w:val="24"/>
        </w:rPr>
        <w:t xml:space="preserve">3.1. </w:t>
      </w:r>
      <w:r w:rsidR="00A81CAC">
        <w:rPr>
          <w:rFonts w:eastAsia="Calibri" w:cs="Times New Roman"/>
          <w:szCs w:val="24"/>
        </w:rPr>
        <w:t xml:space="preserve">Bemyndigelse til at fastsætte regler om modtagekontrol </w:t>
      </w:r>
      <w:r w:rsidR="000525DC">
        <w:rPr>
          <w:rFonts w:eastAsia="Calibri" w:cs="Times New Roman"/>
          <w:szCs w:val="24"/>
        </w:rPr>
        <w:t xml:space="preserve">mv. </w:t>
      </w:r>
      <w:r w:rsidR="00A81CAC">
        <w:rPr>
          <w:rFonts w:eastAsia="Calibri" w:cs="Times New Roman"/>
          <w:szCs w:val="24"/>
        </w:rPr>
        <w:t xml:space="preserve">på </w:t>
      </w:r>
      <w:r w:rsidR="000525DC">
        <w:rPr>
          <w:rFonts w:eastAsia="Calibri" w:cs="Times New Roman"/>
          <w:szCs w:val="24"/>
        </w:rPr>
        <w:t>affaldsbehandlingsan</w:t>
      </w:r>
      <w:r w:rsidR="00A81CAC">
        <w:rPr>
          <w:rFonts w:eastAsia="Calibri" w:cs="Times New Roman"/>
          <w:szCs w:val="24"/>
        </w:rPr>
        <w:t xml:space="preserve">læg </w:t>
      </w:r>
    </w:p>
    <w:p w14:paraId="562F9C10" w14:textId="77777777" w:rsidR="00FD1A50" w:rsidRDefault="00FD1A50" w:rsidP="00FD1A50">
      <w:pPr>
        <w:spacing w:after="240"/>
        <w:rPr>
          <w:rFonts w:eastAsia="Calibri" w:cs="Times New Roman"/>
          <w:szCs w:val="24"/>
        </w:rPr>
      </w:pPr>
      <w:r>
        <w:rPr>
          <w:rFonts w:eastAsia="Calibri" w:cs="Times New Roman"/>
          <w:szCs w:val="24"/>
        </w:rPr>
        <w:t>3.1.1. Gældende ret</w:t>
      </w:r>
    </w:p>
    <w:p w14:paraId="7B82EF9F" w14:textId="568D79ED" w:rsidR="00A6531F" w:rsidRDefault="00A6531F" w:rsidP="00FD1A50">
      <w:pPr>
        <w:spacing w:after="240"/>
        <w:rPr>
          <w:rFonts w:eastAsia="Calibri" w:cs="Times New Roman"/>
          <w:szCs w:val="24"/>
        </w:rPr>
      </w:pPr>
      <w:r>
        <w:rPr>
          <w:rFonts w:eastAsia="Calibri" w:cs="Times New Roman"/>
          <w:szCs w:val="24"/>
        </w:rPr>
        <w:t>3.1.1.1</w:t>
      </w:r>
      <w:r w:rsidR="00082A38">
        <w:rPr>
          <w:rFonts w:eastAsia="Calibri" w:cs="Times New Roman"/>
          <w:szCs w:val="24"/>
        </w:rPr>
        <w:t>.</w:t>
      </w:r>
      <w:r>
        <w:rPr>
          <w:rFonts w:eastAsia="Calibri" w:cs="Times New Roman"/>
          <w:szCs w:val="24"/>
        </w:rPr>
        <w:t xml:space="preserve"> Miljøbeskyttelsesloven</w:t>
      </w:r>
    </w:p>
    <w:p w14:paraId="692F907C" w14:textId="0C8B4CDF" w:rsidR="00A6531F" w:rsidRDefault="00A6531F" w:rsidP="00FD1A50">
      <w:pPr>
        <w:spacing w:after="240"/>
        <w:rPr>
          <w:rFonts w:eastAsia="Calibri" w:cs="Times New Roman"/>
          <w:szCs w:val="24"/>
        </w:rPr>
      </w:pPr>
      <w:r>
        <w:rPr>
          <w:rFonts w:eastAsia="Calibri" w:cs="Times New Roman"/>
          <w:szCs w:val="24"/>
        </w:rPr>
        <w:t>3.1.1.2</w:t>
      </w:r>
      <w:r w:rsidR="00082A38">
        <w:rPr>
          <w:rFonts w:eastAsia="Calibri" w:cs="Times New Roman"/>
          <w:szCs w:val="24"/>
        </w:rPr>
        <w:t>.</w:t>
      </w:r>
      <w:r>
        <w:rPr>
          <w:rFonts w:eastAsia="Calibri" w:cs="Times New Roman"/>
          <w:szCs w:val="24"/>
        </w:rPr>
        <w:t xml:space="preserve"> Affaldsbekendtgørelsen</w:t>
      </w:r>
    </w:p>
    <w:p w14:paraId="60C6CA46" w14:textId="5710BD55" w:rsidR="00A6531F" w:rsidRDefault="00A6531F" w:rsidP="00FD1A50">
      <w:pPr>
        <w:spacing w:after="240"/>
        <w:rPr>
          <w:rFonts w:eastAsia="Calibri" w:cs="Times New Roman"/>
          <w:szCs w:val="24"/>
        </w:rPr>
      </w:pPr>
      <w:r>
        <w:rPr>
          <w:rFonts w:eastAsia="Calibri" w:cs="Times New Roman"/>
          <w:szCs w:val="24"/>
        </w:rPr>
        <w:t>3.1.1.3</w:t>
      </w:r>
      <w:r w:rsidR="00082A38">
        <w:rPr>
          <w:rFonts w:eastAsia="Calibri" w:cs="Times New Roman"/>
          <w:szCs w:val="24"/>
        </w:rPr>
        <w:t>.</w:t>
      </w:r>
      <w:r>
        <w:rPr>
          <w:rFonts w:eastAsia="Calibri" w:cs="Times New Roman"/>
          <w:szCs w:val="24"/>
        </w:rPr>
        <w:t xml:space="preserve"> Bekendtgørelse om anlæg, der forbrænder affald</w:t>
      </w:r>
    </w:p>
    <w:p w14:paraId="454AC87B" w14:textId="383C5A2B" w:rsidR="00A6531F" w:rsidRDefault="00A6531F" w:rsidP="00FD1A50">
      <w:pPr>
        <w:spacing w:after="240"/>
        <w:rPr>
          <w:rFonts w:eastAsia="Calibri" w:cs="Times New Roman"/>
          <w:szCs w:val="24"/>
        </w:rPr>
      </w:pPr>
      <w:r>
        <w:rPr>
          <w:rFonts w:eastAsia="Calibri" w:cs="Times New Roman"/>
          <w:szCs w:val="24"/>
        </w:rPr>
        <w:t>3.1.1.3</w:t>
      </w:r>
      <w:r w:rsidR="00082A38">
        <w:rPr>
          <w:rFonts w:eastAsia="Calibri" w:cs="Times New Roman"/>
          <w:szCs w:val="24"/>
        </w:rPr>
        <w:t>.</w:t>
      </w:r>
      <w:r>
        <w:rPr>
          <w:rFonts w:eastAsia="Calibri" w:cs="Times New Roman"/>
          <w:szCs w:val="24"/>
        </w:rPr>
        <w:t xml:space="preserve"> </w:t>
      </w:r>
      <w:proofErr w:type="spellStart"/>
      <w:r>
        <w:rPr>
          <w:rFonts w:eastAsia="Calibri" w:cs="Times New Roman"/>
          <w:szCs w:val="24"/>
        </w:rPr>
        <w:t>Ecodesignforordningen</w:t>
      </w:r>
      <w:proofErr w:type="spellEnd"/>
    </w:p>
    <w:p w14:paraId="60F9E37C" w14:textId="77777777" w:rsidR="00FD1A50" w:rsidRDefault="00FD1A50" w:rsidP="00FD1A50">
      <w:pPr>
        <w:spacing w:after="240"/>
        <w:rPr>
          <w:rFonts w:eastAsia="Calibri" w:cs="Times New Roman"/>
          <w:szCs w:val="24"/>
        </w:rPr>
      </w:pPr>
      <w:r>
        <w:rPr>
          <w:rFonts w:eastAsia="Calibri" w:cs="Times New Roman"/>
          <w:szCs w:val="24"/>
        </w:rPr>
        <w:t xml:space="preserve">3.1.2. </w:t>
      </w:r>
      <w:r w:rsidR="00A81CAC">
        <w:rPr>
          <w:rFonts w:eastAsia="Calibri" w:cs="Times New Roman"/>
          <w:szCs w:val="24"/>
        </w:rPr>
        <w:t>Miljøministeriets</w:t>
      </w:r>
      <w:r>
        <w:rPr>
          <w:rFonts w:eastAsia="Calibri" w:cs="Times New Roman"/>
          <w:szCs w:val="24"/>
        </w:rPr>
        <w:t xml:space="preserve"> overvejelser</w:t>
      </w:r>
      <w:r w:rsidR="00A6531F">
        <w:rPr>
          <w:rFonts w:eastAsia="Calibri" w:cs="Times New Roman"/>
          <w:szCs w:val="24"/>
        </w:rPr>
        <w:t xml:space="preserve"> og den foreslåede ordning</w:t>
      </w:r>
    </w:p>
    <w:p w14:paraId="6D98ECDA" w14:textId="7E5BF9DC" w:rsidR="00A6531F" w:rsidRDefault="0098674A" w:rsidP="00FD1A50">
      <w:pPr>
        <w:spacing w:after="240"/>
        <w:rPr>
          <w:rFonts w:eastAsia="Calibri" w:cs="Times New Roman"/>
          <w:szCs w:val="24"/>
        </w:rPr>
      </w:pPr>
      <w:r>
        <w:rPr>
          <w:rFonts w:eastAsia="Calibri" w:cs="Times New Roman"/>
          <w:szCs w:val="24"/>
        </w:rPr>
        <w:t>3.1.2.</w:t>
      </w:r>
      <w:r w:rsidR="00F675E8">
        <w:rPr>
          <w:rFonts w:eastAsia="Calibri" w:cs="Times New Roman"/>
          <w:szCs w:val="24"/>
        </w:rPr>
        <w:t>1</w:t>
      </w:r>
      <w:r w:rsidR="00082A38">
        <w:rPr>
          <w:rFonts w:eastAsia="Calibri" w:cs="Times New Roman"/>
          <w:szCs w:val="24"/>
        </w:rPr>
        <w:t>.</w:t>
      </w:r>
      <w:r>
        <w:rPr>
          <w:rFonts w:eastAsia="Calibri" w:cs="Times New Roman"/>
          <w:szCs w:val="24"/>
        </w:rPr>
        <w:t xml:space="preserve"> Krav om kontrol</w:t>
      </w:r>
    </w:p>
    <w:p w14:paraId="1EC35B1D" w14:textId="298D6FC0" w:rsidR="0098674A" w:rsidRDefault="0098674A" w:rsidP="00FD1A50">
      <w:pPr>
        <w:spacing w:after="240"/>
        <w:rPr>
          <w:rFonts w:eastAsia="Calibri" w:cs="Times New Roman"/>
          <w:szCs w:val="24"/>
        </w:rPr>
      </w:pPr>
      <w:r>
        <w:rPr>
          <w:rFonts w:eastAsia="Calibri" w:cs="Times New Roman"/>
          <w:szCs w:val="24"/>
        </w:rPr>
        <w:t>3.1.2.</w:t>
      </w:r>
      <w:r w:rsidR="00F675E8">
        <w:rPr>
          <w:rFonts w:eastAsia="Calibri" w:cs="Times New Roman"/>
          <w:szCs w:val="24"/>
        </w:rPr>
        <w:t>2</w:t>
      </w:r>
      <w:r w:rsidR="00082A38">
        <w:rPr>
          <w:rFonts w:eastAsia="Calibri" w:cs="Times New Roman"/>
          <w:szCs w:val="24"/>
        </w:rPr>
        <w:t>.</w:t>
      </w:r>
      <w:r>
        <w:rPr>
          <w:rFonts w:eastAsia="Calibri" w:cs="Times New Roman"/>
          <w:szCs w:val="24"/>
        </w:rPr>
        <w:t xml:space="preserve"> Krav om afvisning</w:t>
      </w:r>
    </w:p>
    <w:p w14:paraId="478B1B03" w14:textId="3204D1EC" w:rsidR="0098674A" w:rsidRDefault="0098674A" w:rsidP="00FD1A50">
      <w:pPr>
        <w:spacing w:after="240"/>
        <w:rPr>
          <w:rFonts w:eastAsia="Calibri" w:cs="Times New Roman"/>
          <w:szCs w:val="24"/>
        </w:rPr>
      </w:pPr>
      <w:r>
        <w:rPr>
          <w:rFonts w:eastAsia="Calibri" w:cs="Times New Roman"/>
          <w:szCs w:val="24"/>
        </w:rPr>
        <w:t>3.1.2.</w:t>
      </w:r>
      <w:r w:rsidR="00F675E8">
        <w:rPr>
          <w:rFonts w:eastAsia="Calibri" w:cs="Times New Roman"/>
          <w:szCs w:val="24"/>
        </w:rPr>
        <w:t>3</w:t>
      </w:r>
      <w:r w:rsidR="00082A38">
        <w:rPr>
          <w:rFonts w:eastAsia="Calibri" w:cs="Times New Roman"/>
          <w:szCs w:val="24"/>
        </w:rPr>
        <w:t>.</w:t>
      </w:r>
      <w:r>
        <w:rPr>
          <w:rFonts w:eastAsia="Calibri" w:cs="Times New Roman"/>
          <w:szCs w:val="24"/>
        </w:rPr>
        <w:t xml:space="preserve"> Krav om indberetning til tilsynsmyndigheden</w:t>
      </w:r>
    </w:p>
    <w:p w14:paraId="6B3AF93A" w14:textId="77777777" w:rsidR="00FD1A50" w:rsidRPr="00A81CAC" w:rsidRDefault="00FD1A50" w:rsidP="00E96D0A">
      <w:pPr>
        <w:spacing w:after="240"/>
        <w:rPr>
          <w:rFonts w:eastAsia="Calibri" w:cs="Times New Roman"/>
          <w:i/>
          <w:szCs w:val="24"/>
        </w:rPr>
      </w:pPr>
      <w:r>
        <w:rPr>
          <w:rFonts w:eastAsia="Calibri" w:cs="Times New Roman"/>
          <w:szCs w:val="24"/>
        </w:rPr>
        <w:t xml:space="preserve">3.2. </w:t>
      </w:r>
      <w:r w:rsidR="000525DC">
        <w:rPr>
          <w:rFonts w:eastAsia="Calibri" w:cs="Times New Roman"/>
          <w:szCs w:val="24"/>
        </w:rPr>
        <w:t>Ophævelse af regler om genbrugshjørner</w:t>
      </w:r>
    </w:p>
    <w:p w14:paraId="50781AA8" w14:textId="77777777" w:rsidR="00FD1A50" w:rsidRDefault="00FD1A50" w:rsidP="00FD1A50">
      <w:pPr>
        <w:spacing w:after="240"/>
        <w:rPr>
          <w:rFonts w:eastAsia="Calibri" w:cs="Times New Roman"/>
          <w:szCs w:val="24"/>
        </w:rPr>
      </w:pPr>
      <w:r>
        <w:rPr>
          <w:rFonts w:eastAsia="Calibri" w:cs="Times New Roman"/>
          <w:szCs w:val="24"/>
        </w:rPr>
        <w:t>3.2.1. Gældende ret</w:t>
      </w:r>
    </w:p>
    <w:p w14:paraId="60042AC8" w14:textId="7ADB1B87" w:rsidR="00E96D0A" w:rsidRPr="00E96D0A" w:rsidRDefault="00FD1A50" w:rsidP="00FD1A50">
      <w:pPr>
        <w:spacing w:after="240"/>
        <w:rPr>
          <w:rFonts w:eastAsia="Calibri" w:cs="Times New Roman"/>
          <w:szCs w:val="24"/>
        </w:rPr>
      </w:pPr>
      <w:r>
        <w:rPr>
          <w:rFonts w:eastAsia="Calibri" w:cs="Times New Roman"/>
          <w:szCs w:val="24"/>
        </w:rPr>
        <w:t xml:space="preserve">3.2.2. </w:t>
      </w:r>
      <w:r w:rsidR="00E96D0A">
        <w:rPr>
          <w:rFonts w:eastAsia="Calibri" w:cs="Times New Roman"/>
          <w:szCs w:val="24"/>
        </w:rPr>
        <w:t>Miljø</w:t>
      </w:r>
      <w:r>
        <w:rPr>
          <w:rFonts w:eastAsia="Calibri" w:cs="Times New Roman"/>
          <w:szCs w:val="24"/>
        </w:rPr>
        <w:t>ministeriets overvejelser</w:t>
      </w:r>
      <w:r w:rsidR="0098674A">
        <w:rPr>
          <w:rFonts w:eastAsia="Calibri" w:cs="Times New Roman"/>
          <w:szCs w:val="24"/>
        </w:rPr>
        <w:t xml:space="preserve"> og den foreslåede ordning</w:t>
      </w:r>
    </w:p>
    <w:p w14:paraId="222F51A7" w14:textId="42BBF56A" w:rsidR="0098674A" w:rsidRDefault="00FD1A50" w:rsidP="00FD1A50">
      <w:pPr>
        <w:spacing w:after="240"/>
        <w:rPr>
          <w:rFonts w:eastAsia="Calibri" w:cs="Times New Roman"/>
          <w:szCs w:val="24"/>
        </w:rPr>
      </w:pPr>
      <w:r>
        <w:rPr>
          <w:rFonts w:eastAsia="Calibri" w:cs="Times New Roman"/>
          <w:szCs w:val="24"/>
        </w:rPr>
        <w:lastRenderedPageBreak/>
        <w:t xml:space="preserve">4. </w:t>
      </w:r>
      <w:r w:rsidR="0098674A">
        <w:rPr>
          <w:rFonts w:eastAsia="Calibri" w:cs="Times New Roman"/>
          <w:szCs w:val="24"/>
        </w:rPr>
        <w:t>Konsekvenser for opfyldelsen af FN’s verdensmål</w:t>
      </w:r>
    </w:p>
    <w:p w14:paraId="0C5C4951" w14:textId="77777777" w:rsidR="00FD1A50" w:rsidRDefault="0098674A" w:rsidP="00FD1A50">
      <w:pPr>
        <w:spacing w:after="240"/>
        <w:rPr>
          <w:rFonts w:eastAsia="Calibri" w:cs="Times New Roman"/>
          <w:szCs w:val="24"/>
        </w:rPr>
      </w:pPr>
      <w:r>
        <w:rPr>
          <w:rFonts w:eastAsia="Calibri" w:cs="Times New Roman"/>
          <w:szCs w:val="24"/>
        </w:rPr>
        <w:t xml:space="preserve">5. </w:t>
      </w:r>
      <w:r w:rsidR="00FD1A50">
        <w:rPr>
          <w:rFonts w:eastAsia="Calibri" w:cs="Times New Roman"/>
          <w:szCs w:val="24"/>
        </w:rPr>
        <w:t>Økonomiske konsekvenser og implementeringskonsekvenser for det offentlige</w:t>
      </w:r>
    </w:p>
    <w:p w14:paraId="4B754D24" w14:textId="77777777" w:rsidR="00FD1A50" w:rsidRDefault="0098674A" w:rsidP="00FD1A50">
      <w:pPr>
        <w:spacing w:after="240"/>
        <w:rPr>
          <w:rFonts w:eastAsia="Calibri" w:cs="Times New Roman"/>
          <w:szCs w:val="24"/>
        </w:rPr>
      </w:pPr>
      <w:r>
        <w:rPr>
          <w:rFonts w:eastAsia="Calibri" w:cs="Times New Roman"/>
          <w:szCs w:val="24"/>
        </w:rPr>
        <w:t>6</w:t>
      </w:r>
      <w:r w:rsidR="00FD1A50">
        <w:rPr>
          <w:rFonts w:eastAsia="Calibri" w:cs="Times New Roman"/>
          <w:szCs w:val="24"/>
        </w:rPr>
        <w:t>. Økonomiske og administrative konsekvenser for erhvervslivet m.v.</w:t>
      </w:r>
    </w:p>
    <w:p w14:paraId="6E1D3811" w14:textId="77777777" w:rsidR="00FD1A50" w:rsidRDefault="0098674A" w:rsidP="00FD1A50">
      <w:pPr>
        <w:spacing w:after="240"/>
        <w:rPr>
          <w:rFonts w:eastAsia="Calibri" w:cs="Times New Roman"/>
          <w:szCs w:val="24"/>
        </w:rPr>
      </w:pPr>
      <w:r>
        <w:rPr>
          <w:rFonts w:eastAsia="Calibri" w:cs="Times New Roman"/>
          <w:szCs w:val="24"/>
        </w:rPr>
        <w:t>7</w:t>
      </w:r>
      <w:r w:rsidR="00FD1A50">
        <w:rPr>
          <w:rFonts w:eastAsia="Calibri" w:cs="Times New Roman"/>
          <w:szCs w:val="24"/>
        </w:rPr>
        <w:t>. Administrative konsekvenser for borgerne</w:t>
      </w:r>
    </w:p>
    <w:p w14:paraId="71FCC3C8" w14:textId="77777777" w:rsidR="00FD1A50" w:rsidRDefault="0098674A" w:rsidP="00FD1A50">
      <w:pPr>
        <w:spacing w:after="240"/>
        <w:rPr>
          <w:rFonts w:eastAsia="Calibri" w:cs="Times New Roman"/>
          <w:szCs w:val="24"/>
        </w:rPr>
      </w:pPr>
      <w:r>
        <w:rPr>
          <w:rFonts w:eastAsia="Calibri" w:cs="Times New Roman"/>
          <w:szCs w:val="24"/>
        </w:rPr>
        <w:t>8</w:t>
      </w:r>
      <w:r w:rsidR="00FD1A50">
        <w:rPr>
          <w:rFonts w:eastAsia="Calibri" w:cs="Times New Roman"/>
          <w:szCs w:val="24"/>
        </w:rPr>
        <w:t>. Klimamæssige konsekvenser</w:t>
      </w:r>
    </w:p>
    <w:p w14:paraId="08EFC72C" w14:textId="77777777" w:rsidR="00FD1A50" w:rsidRDefault="0098674A" w:rsidP="00FD1A50">
      <w:pPr>
        <w:spacing w:after="240"/>
        <w:rPr>
          <w:rFonts w:eastAsia="Calibri" w:cs="Times New Roman"/>
          <w:szCs w:val="24"/>
        </w:rPr>
      </w:pPr>
      <w:r>
        <w:rPr>
          <w:rFonts w:eastAsia="Calibri" w:cs="Times New Roman"/>
          <w:szCs w:val="24"/>
        </w:rPr>
        <w:t>10</w:t>
      </w:r>
      <w:r w:rsidR="00FD1A50">
        <w:rPr>
          <w:rFonts w:eastAsia="Calibri" w:cs="Times New Roman"/>
          <w:szCs w:val="24"/>
        </w:rPr>
        <w:t>. Miljø- og naturmæssige konsekvenser</w:t>
      </w:r>
    </w:p>
    <w:p w14:paraId="71B88BAB" w14:textId="77777777" w:rsidR="00FD1A50" w:rsidRDefault="0098674A" w:rsidP="00FD1A50">
      <w:pPr>
        <w:spacing w:after="240"/>
        <w:rPr>
          <w:rFonts w:eastAsia="Calibri" w:cs="Times New Roman"/>
          <w:szCs w:val="24"/>
        </w:rPr>
      </w:pPr>
      <w:r>
        <w:rPr>
          <w:rFonts w:eastAsia="Calibri" w:cs="Times New Roman"/>
          <w:szCs w:val="24"/>
        </w:rPr>
        <w:t>11</w:t>
      </w:r>
      <w:r w:rsidR="00FD1A50">
        <w:rPr>
          <w:rFonts w:eastAsia="Calibri" w:cs="Times New Roman"/>
          <w:szCs w:val="24"/>
        </w:rPr>
        <w:t>. Forholdet til EU-retten</w:t>
      </w:r>
    </w:p>
    <w:p w14:paraId="4FD31129" w14:textId="77777777" w:rsidR="00FD1A50" w:rsidRDefault="00FD1A50" w:rsidP="00FD1A50">
      <w:pPr>
        <w:spacing w:after="240"/>
        <w:rPr>
          <w:rFonts w:eastAsia="Calibri" w:cs="Times New Roman"/>
          <w:szCs w:val="24"/>
        </w:rPr>
      </w:pPr>
      <w:r>
        <w:rPr>
          <w:rFonts w:eastAsia="Calibri" w:cs="Times New Roman"/>
          <w:szCs w:val="24"/>
        </w:rPr>
        <w:t>1</w:t>
      </w:r>
      <w:r w:rsidR="0098674A">
        <w:rPr>
          <w:rFonts w:eastAsia="Calibri" w:cs="Times New Roman"/>
          <w:szCs w:val="24"/>
        </w:rPr>
        <w:t>2</w:t>
      </w:r>
      <w:r>
        <w:rPr>
          <w:rFonts w:eastAsia="Calibri" w:cs="Times New Roman"/>
          <w:szCs w:val="24"/>
        </w:rPr>
        <w:t>. Hørte myndigheder og organisationer m.v.</w:t>
      </w:r>
    </w:p>
    <w:p w14:paraId="6F463D6A" w14:textId="77777777" w:rsidR="00FD1A50" w:rsidRDefault="00FD1A50" w:rsidP="00FD1A50">
      <w:pPr>
        <w:spacing w:after="240"/>
        <w:rPr>
          <w:rFonts w:eastAsia="Calibri" w:cs="Times New Roman"/>
          <w:szCs w:val="24"/>
        </w:rPr>
      </w:pPr>
      <w:r>
        <w:rPr>
          <w:rFonts w:eastAsia="Calibri" w:cs="Times New Roman"/>
          <w:szCs w:val="24"/>
        </w:rPr>
        <w:t>1</w:t>
      </w:r>
      <w:r w:rsidR="0098674A">
        <w:rPr>
          <w:rFonts w:eastAsia="Calibri" w:cs="Times New Roman"/>
          <w:szCs w:val="24"/>
        </w:rPr>
        <w:t>3</w:t>
      </w:r>
      <w:r>
        <w:rPr>
          <w:rFonts w:eastAsia="Calibri" w:cs="Times New Roman"/>
          <w:szCs w:val="24"/>
        </w:rPr>
        <w:t>. Sammenfattende skema</w:t>
      </w:r>
    </w:p>
    <w:p w14:paraId="74AEFE72" w14:textId="77777777" w:rsidR="00FD1A50" w:rsidRPr="003B0B97" w:rsidRDefault="00FD1A50" w:rsidP="00FD1A50">
      <w:pPr>
        <w:spacing w:after="240"/>
        <w:rPr>
          <w:rFonts w:cs="Times New Roman"/>
          <w:szCs w:val="24"/>
        </w:rPr>
      </w:pPr>
    </w:p>
    <w:p w14:paraId="78644DD4" w14:textId="77777777" w:rsidR="00FD1A50" w:rsidRDefault="00FD1A50" w:rsidP="00FD1A50">
      <w:pPr>
        <w:pStyle w:val="Overskrift1"/>
        <w:rPr>
          <w:rFonts w:cs="Times New Roman"/>
          <w:bCs w:val="0"/>
          <w:iCs/>
          <w:sz w:val="24"/>
          <w:szCs w:val="24"/>
        </w:rPr>
      </w:pPr>
      <w:bookmarkStart w:id="4" w:name="_Toc442277386"/>
      <w:bookmarkStart w:id="5" w:name="_Toc442281298"/>
      <w:bookmarkStart w:id="6" w:name="_Toc442281328"/>
      <w:bookmarkStart w:id="7" w:name="_Toc442777834"/>
      <w:bookmarkStart w:id="8" w:name="_Toc442787232"/>
      <w:bookmarkStart w:id="9" w:name="_Toc442787524"/>
      <w:bookmarkStart w:id="10" w:name="_Toc442953229"/>
      <w:bookmarkStart w:id="11" w:name="_Toc443047614"/>
      <w:bookmarkStart w:id="12" w:name="_Toc444095974"/>
      <w:bookmarkStart w:id="13" w:name="_Toc444244500"/>
      <w:bookmarkStart w:id="14" w:name="_Toc498557071"/>
      <w:bookmarkStart w:id="15" w:name="_Toc498557151"/>
      <w:bookmarkStart w:id="16" w:name="_Toc498557218"/>
      <w:bookmarkStart w:id="17" w:name="_Toc498557282"/>
      <w:bookmarkStart w:id="18" w:name="_Toc498590016"/>
      <w:bookmarkStart w:id="19" w:name="_Toc498681499"/>
      <w:bookmarkStart w:id="20" w:name="_Toc499152771"/>
      <w:bookmarkStart w:id="21" w:name="_Toc499158730"/>
      <w:bookmarkStart w:id="22" w:name="_Toc499648599"/>
      <w:bookmarkStart w:id="23" w:name="_Toc499728092"/>
      <w:bookmarkStart w:id="24" w:name="_Toc499732940"/>
      <w:bookmarkStart w:id="25" w:name="_Toc499736971"/>
      <w:bookmarkStart w:id="26" w:name="_Toc499812911"/>
      <w:bookmarkStart w:id="27" w:name="_Toc499813714"/>
      <w:bookmarkStart w:id="28" w:name="_Toc500921460"/>
      <w:bookmarkStart w:id="29" w:name="_Toc500921486"/>
      <w:bookmarkStart w:id="30" w:name="_Toc500921594"/>
      <w:bookmarkStart w:id="31" w:name="_Toc501019204"/>
      <w:bookmarkStart w:id="32" w:name="_Toc504483849"/>
      <w:bookmarkStart w:id="33" w:name="_Toc505180547"/>
      <w:bookmarkStart w:id="34" w:name="_Toc505690192"/>
      <w:bookmarkStart w:id="35" w:name="_Toc505701745"/>
      <w:bookmarkStart w:id="36" w:name="_Toc505759537"/>
      <w:bookmarkStart w:id="37" w:name="_Toc505759554"/>
      <w:bookmarkStart w:id="38" w:name="_Toc505762647"/>
      <w:bookmarkStart w:id="39" w:name="_Toc505785987"/>
      <w:bookmarkStart w:id="40" w:name="_Toc506799572"/>
      <w:bookmarkStart w:id="41" w:name="_Toc506799589"/>
      <w:bookmarkStart w:id="42" w:name="_Toc506894548"/>
      <w:bookmarkStart w:id="43" w:name="_Toc507486285"/>
      <w:bookmarkStart w:id="44" w:name="_Toc515271224"/>
      <w:bookmarkStart w:id="45" w:name="_Toc515271547"/>
      <w:bookmarkStart w:id="46" w:name="_Toc515271575"/>
      <w:bookmarkStart w:id="47" w:name="_Toc515280471"/>
      <w:bookmarkStart w:id="48" w:name="_Toc515280622"/>
      <w:bookmarkStart w:id="49" w:name="_Toc515352774"/>
      <w:bookmarkStart w:id="50" w:name="_Toc515540847"/>
      <w:bookmarkStart w:id="51" w:name="_Toc515543683"/>
      <w:bookmarkStart w:id="52" w:name="_Toc515543868"/>
      <w:bookmarkStart w:id="53" w:name="_Toc515551669"/>
      <w:bookmarkStart w:id="54" w:name="_Toc515627611"/>
      <w:bookmarkStart w:id="55" w:name="_Toc516039921"/>
      <w:bookmarkStart w:id="56" w:name="_Toc516155344"/>
      <w:bookmarkStart w:id="57" w:name="_Toc516490245"/>
      <w:bookmarkStart w:id="58" w:name="_Toc518037927"/>
      <w:bookmarkStart w:id="59" w:name="_Toc524599575"/>
      <w:bookmarkStart w:id="60" w:name="_Toc526154928"/>
      <w:bookmarkStart w:id="61" w:name="_Toc526155474"/>
      <w:bookmarkStart w:id="62" w:name="_Toc526155547"/>
      <w:bookmarkStart w:id="63" w:name="_Toc526253984"/>
      <w:bookmarkStart w:id="64" w:name="_Toc526348408"/>
      <w:bookmarkStart w:id="65" w:name="_Toc526374599"/>
      <w:bookmarkStart w:id="66" w:name="_Toc526374615"/>
      <w:bookmarkStart w:id="67" w:name="_Toc526406478"/>
      <w:bookmarkStart w:id="68" w:name="_Toc526409498"/>
      <w:bookmarkStart w:id="69" w:name="_Toc526491397"/>
      <w:bookmarkStart w:id="70" w:name="_Toc526505509"/>
      <w:bookmarkStart w:id="71" w:name="_Toc526756601"/>
      <w:r w:rsidRPr="003B0B97">
        <w:rPr>
          <w:rFonts w:cs="Times New Roman"/>
          <w:bCs w:val="0"/>
          <w:iCs/>
          <w:sz w:val="24"/>
          <w:szCs w:val="24"/>
        </w:rPr>
        <w:t>1. Indledning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B0AA5F1" w14:textId="13FFF589" w:rsidR="00FD1A50" w:rsidRDefault="00355DC4" w:rsidP="00FD1A50">
      <w:pPr>
        <w:spacing w:after="240"/>
      </w:pPr>
      <w:r>
        <w:t xml:space="preserve">Lovforslaget indeholder forslag til ændring af miljøbeskyttelsesloven, jf. lovbekendtgørelse nr. </w:t>
      </w:r>
      <w:r w:rsidR="0035443B">
        <w:t>48</w:t>
      </w:r>
      <w:r>
        <w:t xml:space="preserve"> af </w:t>
      </w:r>
      <w:r w:rsidR="0035443B">
        <w:t>12</w:t>
      </w:r>
      <w:r>
        <w:t>. januar 202</w:t>
      </w:r>
      <w:r w:rsidR="0035443B">
        <w:t>4</w:t>
      </w:r>
      <w:r>
        <w:t xml:space="preserve">, som ændret ved </w:t>
      </w:r>
      <w:r w:rsidR="00CF3187">
        <w:t>lov nr. 323 af 2. februar 2024</w:t>
      </w:r>
      <w:r w:rsidR="00541497">
        <w:t xml:space="preserve"> </w:t>
      </w:r>
      <w:r>
        <w:t xml:space="preserve">(herefter </w:t>
      </w:r>
      <w:r w:rsidR="00E30251">
        <w:t>m</w:t>
      </w:r>
      <w:r>
        <w:t xml:space="preserve">iljøbeskyttelsesloven). </w:t>
      </w:r>
    </w:p>
    <w:p w14:paraId="228CE5FF" w14:textId="503A68F3" w:rsidR="00EB546D" w:rsidRDefault="00EB546D" w:rsidP="00FD1A50">
      <w:pPr>
        <w:spacing w:after="240"/>
      </w:pPr>
      <w:r>
        <w:t>Med lovforslaget for</w:t>
      </w:r>
      <w:r w:rsidR="0018487F">
        <w:t>e</w:t>
      </w:r>
      <w:r>
        <w:t xml:space="preserve">slås det, at der indsættes en bemyndigelse </w:t>
      </w:r>
      <w:r w:rsidR="00544707">
        <w:t xml:space="preserve">i miljøbeskyttelsesloven </w:t>
      </w:r>
      <w:r>
        <w:t xml:space="preserve">til miljøministeren, som kan anvendes til at fastsætte regler om </w:t>
      </w:r>
      <w:r w:rsidR="00E30251">
        <w:t xml:space="preserve">virksomheder, der driver </w:t>
      </w:r>
      <w:r>
        <w:t xml:space="preserve">affaldsbehandlingsanlægs forpligtelser ved modtagelse af </w:t>
      </w:r>
      <w:r w:rsidR="002D5094">
        <w:t>affald egnet til materialenyttiggørelse.</w:t>
      </w:r>
    </w:p>
    <w:p w14:paraId="12601A24" w14:textId="2B1DB83C" w:rsidR="00EB546D" w:rsidRDefault="00EB546D" w:rsidP="00FD1A50">
      <w:pPr>
        <w:spacing w:after="240"/>
      </w:pPr>
      <w:r>
        <w:t xml:space="preserve">Med de foreslåede bestemmelser kan ministeren fastsætte regler om, at </w:t>
      </w:r>
      <w:r w:rsidR="00425FB6">
        <w:t xml:space="preserve">virksomheder, der driver </w:t>
      </w:r>
      <w:r>
        <w:t xml:space="preserve">affaldsbehandlingsanlæg skal </w:t>
      </w:r>
      <w:r w:rsidR="00CF3187" w:rsidRPr="002D5094">
        <w:rPr>
          <w:rFonts w:cs="Times New Roman"/>
          <w:szCs w:val="24"/>
        </w:rPr>
        <w:t xml:space="preserve">foretage kontrol af indhold af </w:t>
      </w:r>
      <w:r w:rsidR="002D5094" w:rsidRPr="002D5094">
        <w:rPr>
          <w:rFonts w:cs="Times New Roman"/>
          <w:szCs w:val="24"/>
        </w:rPr>
        <w:t>affald egnet til materialenyttiggørelse</w:t>
      </w:r>
      <w:r w:rsidR="00CF3187" w:rsidRPr="002D5094">
        <w:t xml:space="preserve"> og</w:t>
      </w:r>
      <w:r w:rsidRPr="002D5094">
        <w:t xml:space="preserve"> om, at </w:t>
      </w:r>
      <w:r w:rsidR="00544707">
        <w:t xml:space="preserve">virksomheder, der driver </w:t>
      </w:r>
      <w:r w:rsidRPr="002D5094">
        <w:t xml:space="preserve">forbrændingsanlæg skal </w:t>
      </w:r>
      <w:r w:rsidR="00F13865" w:rsidRPr="002D5094">
        <w:t>afvise affald</w:t>
      </w:r>
      <w:r w:rsidRPr="002D5094">
        <w:t xml:space="preserve">, </w:t>
      </w:r>
      <w:r w:rsidR="00660187" w:rsidRPr="002D5094">
        <w:t xml:space="preserve">hvis det </w:t>
      </w:r>
      <w:r w:rsidR="00F13865">
        <w:t>vurderes</w:t>
      </w:r>
      <w:r w:rsidR="00D97291" w:rsidRPr="002D5094">
        <w:rPr>
          <w:rFonts w:cs="Times New Roman"/>
          <w:szCs w:val="24"/>
        </w:rPr>
        <w:t xml:space="preserve">, at </w:t>
      </w:r>
      <w:r w:rsidR="00291198">
        <w:rPr>
          <w:rFonts w:cs="Times New Roman"/>
          <w:szCs w:val="24"/>
        </w:rPr>
        <w:t>affaldslæsset indeholder affald</w:t>
      </w:r>
      <w:r w:rsidR="00D97291" w:rsidRPr="002D5094">
        <w:rPr>
          <w:rFonts w:cs="Times New Roman"/>
          <w:szCs w:val="24"/>
        </w:rPr>
        <w:t xml:space="preserve"> </w:t>
      </w:r>
      <w:r w:rsidR="002D5094" w:rsidRPr="002D5094">
        <w:rPr>
          <w:rFonts w:cs="Times New Roman"/>
          <w:szCs w:val="24"/>
        </w:rPr>
        <w:t>egnet til materialenyttiggørelse</w:t>
      </w:r>
      <w:r w:rsidR="00E30251">
        <w:rPr>
          <w:rFonts w:cs="Times New Roman"/>
          <w:szCs w:val="24"/>
        </w:rPr>
        <w:t xml:space="preserve"> </w:t>
      </w:r>
      <w:r w:rsidR="00970AE2" w:rsidRPr="002D5094">
        <w:t>og om</w:t>
      </w:r>
      <w:r w:rsidR="0021517E" w:rsidRPr="002D5094">
        <w:t>,</w:t>
      </w:r>
      <w:r w:rsidR="00970AE2" w:rsidRPr="002D5094">
        <w:t xml:space="preserve"> </w:t>
      </w:r>
      <w:r w:rsidRPr="002D5094">
        <w:t>at genanvendelsesanlæg skal afvise at modtage affald</w:t>
      </w:r>
      <w:r w:rsidR="00056441">
        <w:t xml:space="preserve"> i form af usolgte forbrugerprodukter</w:t>
      </w:r>
      <w:r w:rsidR="0021517E">
        <w:t>.</w:t>
      </w:r>
      <w:r>
        <w:t xml:space="preserve"> </w:t>
      </w:r>
    </w:p>
    <w:p w14:paraId="32495348" w14:textId="14CFA4F1" w:rsidR="008101C4" w:rsidRDefault="008101C4" w:rsidP="00FD1A50">
      <w:pPr>
        <w:spacing w:after="240"/>
      </w:pPr>
      <w:r>
        <w:t xml:space="preserve">Det forventes, at der efter lovforslaget fastsættes regler om, at virksomheder, der driver affaldsbehandlingsanlæg kan afvise affaldslæs egnet til materialenyttiggørelse på to måder. </w:t>
      </w:r>
      <w:bookmarkStart w:id="72" w:name="_Hlk167180311"/>
      <w:r>
        <w:t>Dels kan virksomheden fysisk afvise affaldslæsset, hvorefter det bortkøres fra affaldsbehandlingsanlægget. Dels kan virksomheden administrativt afvise affaldslæsset</w:t>
      </w:r>
      <w:r w:rsidR="00AB4A7C">
        <w:t xml:space="preserve"> i tilfælde</w:t>
      </w:r>
      <w:r w:rsidR="00BF2B05">
        <w:t>,</w:t>
      </w:r>
      <w:r w:rsidR="00AB4A7C">
        <w:t xml:space="preserve"> hvor det ikke er praktisk muligt fysisk at afvise affaldslæsset.</w:t>
      </w:r>
      <w:bookmarkEnd w:id="72"/>
    </w:p>
    <w:p w14:paraId="411536F3" w14:textId="64398647" w:rsidR="00AB4A7C" w:rsidRDefault="00AB4A7C" w:rsidP="00AB4A7C">
      <w:pPr>
        <w:spacing w:after="240"/>
      </w:pPr>
      <w:r>
        <w:lastRenderedPageBreak/>
        <w:t>Endelig foreslås det, at ministeren bemyndiges til at fastsætte regler om, at virksomheder, der driver et affaldsbehandlingsanlæg</w:t>
      </w:r>
      <w:r w:rsidR="00BF2B05">
        <w:t>,</w:t>
      </w:r>
      <w:r>
        <w:t xml:space="preserve"> skal underrette affaldstilsynsmyndigheden</w:t>
      </w:r>
      <w:r w:rsidR="00A84978">
        <w:t xml:space="preserve"> og affaldsproducenten</w:t>
      </w:r>
      <w:r>
        <w:t xml:space="preserve">, </w:t>
      </w:r>
      <w:r w:rsidR="00A84978">
        <w:rPr>
          <w:rFonts w:cs="Times New Roman"/>
          <w:szCs w:val="24"/>
        </w:rPr>
        <w:t xml:space="preserve">hvis det ved kontrol </w:t>
      </w:r>
      <w:r w:rsidR="00283D31">
        <w:rPr>
          <w:rFonts w:cs="Times New Roman"/>
          <w:szCs w:val="24"/>
        </w:rPr>
        <w:t>vurderes</w:t>
      </w:r>
      <w:r w:rsidR="00A84978">
        <w:rPr>
          <w:rFonts w:cs="Times New Roman"/>
          <w:szCs w:val="24"/>
        </w:rPr>
        <w:t>, at et affaldslæs indeholder affald egnet til materialenyttiggørelse eller usolgte forbrugerprodukter</w:t>
      </w:r>
      <w:r w:rsidR="00BF2B05">
        <w:rPr>
          <w:rFonts w:cs="Times New Roman"/>
          <w:szCs w:val="24"/>
        </w:rPr>
        <w:t>,</w:t>
      </w:r>
      <w:r w:rsidR="00A84978">
        <w:rPr>
          <w:rFonts w:cs="Times New Roman"/>
          <w:szCs w:val="24"/>
        </w:rPr>
        <w:t xml:space="preserve"> og at virksomheden skal indberette oplysninger til brug for affaldstilsynsmyndigheden. </w:t>
      </w:r>
    </w:p>
    <w:p w14:paraId="0BD79AE4" w14:textId="77777777" w:rsidR="00892BAF" w:rsidRDefault="00EB546D" w:rsidP="00FD1A50">
      <w:pPr>
        <w:spacing w:after="240"/>
      </w:pPr>
      <w:r>
        <w:t xml:space="preserve">Bemyndigelsen skal anvendes til at udmønte </w:t>
      </w:r>
      <w:r w:rsidR="00651BE7">
        <w:t>dele af den politiske aftale om</w:t>
      </w:r>
      <w:r>
        <w:t xml:space="preserve"> </w:t>
      </w:r>
      <w:r w:rsidR="0033543E">
        <w:t>Klimaplanen</w:t>
      </w:r>
      <w:r w:rsidR="00141B2A">
        <w:t xml:space="preserve"> for en grøn affaldssekt</w:t>
      </w:r>
      <w:r>
        <w:t>o</w:t>
      </w:r>
      <w:r w:rsidR="00141B2A">
        <w:t>r og cirkulær økonomi</w:t>
      </w:r>
      <w:r w:rsidR="00892BAF">
        <w:t xml:space="preserve"> </w:t>
      </w:r>
      <w:r>
        <w:t xml:space="preserve">(af juni 2020) </w:t>
      </w:r>
      <w:r w:rsidR="00892BAF">
        <w:t>og den opfølgende aftale</w:t>
      </w:r>
      <w:r w:rsidR="00813FE7">
        <w:t xml:space="preserve"> (2022)</w:t>
      </w:r>
      <w:r>
        <w:t>, der angår styrket affaldstilsyn.</w:t>
      </w:r>
    </w:p>
    <w:p w14:paraId="695DDF10" w14:textId="0CA5AB52" w:rsidR="002D7122" w:rsidRPr="00425FB6" w:rsidRDefault="001B4BD9" w:rsidP="00425FB6">
      <w:pPr>
        <w:spacing w:after="240"/>
      </w:pPr>
      <w:r w:rsidRPr="001F0DA1">
        <w:t>Bemyndigelsen skal herudover anvendes til</w:t>
      </w:r>
      <w:r w:rsidR="00892BAF" w:rsidRPr="001F0DA1">
        <w:t xml:space="preserve"> at </w:t>
      </w:r>
      <w:r w:rsidR="00A05EC5" w:rsidRPr="001F0DA1">
        <w:t>supplere</w:t>
      </w:r>
      <w:r w:rsidR="00892BAF" w:rsidRPr="001F0DA1">
        <w:t xml:space="preserve"> den </w:t>
      </w:r>
      <w:r w:rsidR="0005482C" w:rsidRPr="001F0DA1">
        <w:t>nye</w:t>
      </w:r>
      <w:r w:rsidR="00892BAF" w:rsidRPr="001F0DA1">
        <w:t xml:space="preserve"> </w:t>
      </w:r>
      <w:r w:rsidR="00A05EC5" w:rsidRPr="001F0DA1">
        <w:t xml:space="preserve">forordning om miljøvenligt </w:t>
      </w:r>
      <w:r w:rsidR="001F0DA1" w:rsidRPr="001F0DA1">
        <w:t>design, jf. Europa</w:t>
      </w:r>
      <w:r w:rsidR="00A23C63">
        <w:t>-P</w:t>
      </w:r>
      <w:r w:rsidR="001F0DA1" w:rsidRPr="001F0DA1">
        <w:t xml:space="preserve">arlamentets og Rådets forordning (EU) 2024/ af </w:t>
      </w:r>
      <w:r w:rsidR="00142586">
        <w:t>[</w:t>
      </w:r>
      <w:r w:rsidR="001F0DA1" w:rsidRPr="001F0DA1">
        <w:t>…</w:t>
      </w:r>
      <w:r w:rsidR="005D3F9E">
        <w:t>]</w:t>
      </w:r>
      <w:r w:rsidR="001F0DA1" w:rsidRPr="001F0DA1">
        <w:t xml:space="preserve"> om fastlæggelse af en ramme for krav til miljøvenligt design for bæredygtige produkter</w:t>
      </w:r>
      <w:r w:rsidR="00D76501">
        <w:t>s,</w:t>
      </w:r>
      <w:r w:rsidR="001F0DA1" w:rsidRPr="001F0DA1">
        <w:t xml:space="preserve"> herefter </w:t>
      </w:r>
      <w:proofErr w:type="spellStart"/>
      <w:r w:rsidR="001F0DA1" w:rsidRPr="001F0DA1">
        <w:t>ecodesignforordningens</w:t>
      </w:r>
      <w:proofErr w:type="spellEnd"/>
      <w:r w:rsidR="00D76501">
        <w:t>,</w:t>
      </w:r>
      <w:r w:rsidR="00892BAF" w:rsidRPr="001F0DA1">
        <w:t xml:space="preserve"> bestemmelser om forbud mod destruktion af </w:t>
      </w:r>
      <w:r w:rsidR="007B45ED" w:rsidRPr="001F0DA1">
        <w:t xml:space="preserve">visse </w:t>
      </w:r>
      <w:r w:rsidR="00892BAF" w:rsidRPr="001F0DA1">
        <w:t>forbrugerprodukter.</w:t>
      </w:r>
      <w:r w:rsidR="00141B2A" w:rsidRPr="001F0DA1">
        <w:t xml:space="preserve"> </w:t>
      </w:r>
      <w:r w:rsidR="00EB2945">
        <w:t>Det foreslås således</w:t>
      </w:r>
      <w:r w:rsidR="00BF2B05">
        <w:t>,</w:t>
      </w:r>
      <w:r w:rsidR="00EB2945">
        <w:t xml:space="preserve"> at miljøministeren får bemyndigelse til at fastsætte </w:t>
      </w:r>
      <w:r w:rsidR="00A23C63">
        <w:t xml:space="preserve">supplerende </w:t>
      </w:r>
      <w:r w:rsidR="00EB2945">
        <w:t>regler</w:t>
      </w:r>
      <w:r w:rsidR="000629D1">
        <w:t xml:space="preserve"> </w:t>
      </w:r>
      <w:r w:rsidR="00A23C63">
        <w:t>om</w:t>
      </w:r>
      <w:r w:rsidR="000629D1">
        <w:t xml:space="preserve"> håndhævelse af </w:t>
      </w:r>
      <w:proofErr w:type="spellStart"/>
      <w:r w:rsidR="00EB2945">
        <w:t>ecodesignforordningen</w:t>
      </w:r>
      <w:proofErr w:type="spellEnd"/>
      <w:r w:rsidR="00EB2945">
        <w:t>.</w:t>
      </w:r>
    </w:p>
    <w:p w14:paraId="51435888" w14:textId="03133229" w:rsidR="00C348E2" w:rsidRDefault="00C348E2" w:rsidP="00FD1A50">
      <w:pPr>
        <w:spacing w:after="240"/>
      </w:pPr>
      <w:r w:rsidRPr="001F0DA1">
        <w:t>Med lovforslaget foreslås end</w:t>
      </w:r>
      <w:r w:rsidR="00425FB6">
        <w:t>elig</w:t>
      </w:r>
      <w:r w:rsidRPr="001F0DA1">
        <w:t xml:space="preserve">, at miljøbeskyttelseslovens bestemmelser om </w:t>
      </w:r>
      <w:r w:rsidR="0018487F" w:rsidRPr="001F0DA1">
        <w:t>bemyndigelser til at fastsætte regler</w:t>
      </w:r>
      <w:r w:rsidR="0018487F">
        <w:t xml:space="preserve"> om </w:t>
      </w:r>
      <w:r>
        <w:t>genbrugs</w:t>
      </w:r>
      <w:r w:rsidR="00CD57C0">
        <w:t>områder på de kommunale genbrugspladser samt gebyrfinansieringshjemmelen hertil</w:t>
      </w:r>
      <w:r>
        <w:t xml:space="preserve"> </w:t>
      </w:r>
      <w:r w:rsidR="008101C4">
        <w:t>ophæves</w:t>
      </w:r>
      <w:r>
        <w:t>.</w:t>
      </w:r>
      <w:r w:rsidR="00CD57C0">
        <w:t xml:space="preserve"> Bestemmelserne er aldrig blevet udmøntet</w:t>
      </w:r>
      <w:r w:rsidR="008101C4">
        <w:t xml:space="preserve"> og forventes ikke udnyttet</w:t>
      </w:r>
      <w:r w:rsidR="00BF2B05">
        <w:t>,</w:t>
      </w:r>
      <w:r w:rsidR="00CD57C0">
        <w:t xml:space="preserve"> og ophævelsen </w:t>
      </w:r>
      <w:r w:rsidR="0018487F">
        <w:t>forventes</w:t>
      </w:r>
      <w:r w:rsidR="00CD57C0">
        <w:t xml:space="preserve"> dermed ikke have praktisk betydning. </w:t>
      </w:r>
    </w:p>
    <w:p w14:paraId="1FA82C94" w14:textId="77777777" w:rsidR="0035443B" w:rsidRDefault="0035443B" w:rsidP="00FD1A50">
      <w:pPr>
        <w:spacing w:after="240"/>
        <w:rPr>
          <w:rFonts w:eastAsia="Calibri" w:cs="Times New Roman"/>
          <w:szCs w:val="24"/>
        </w:rPr>
      </w:pPr>
    </w:p>
    <w:p w14:paraId="11C2F512" w14:textId="77777777" w:rsidR="00FD1A50" w:rsidRDefault="00FD1A50" w:rsidP="00FD1A50">
      <w:pPr>
        <w:pStyle w:val="Overskrift2"/>
        <w:rPr>
          <w:rFonts w:cs="Times New Roman"/>
          <w:sz w:val="24"/>
          <w:szCs w:val="24"/>
        </w:rPr>
      </w:pPr>
      <w:r>
        <w:rPr>
          <w:rFonts w:cs="Times New Roman"/>
          <w:sz w:val="24"/>
          <w:szCs w:val="24"/>
        </w:rPr>
        <w:t>2</w:t>
      </w:r>
      <w:r w:rsidRPr="00EA7DDF">
        <w:rPr>
          <w:rFonts w:cs="Times New Roman"/>
          <w:sz w:val="24"/>
          <w:szCs w:val="24"/>
        </w:rPr>
        <w:t xml:space="preserve">. </w:t>
      </w:r>
      <w:r>
        <w:rPr>
          <w:rFonts w:cs="Times New Roman"/>
          <w:sz w:val="24"/>
          <w:szCs w:val="24"/>
        </w:rPr>
        <w:t>Lovforslagets baggrund</w:t>
      </w:r>
    </w:p>
    <w:p w14:paraId="7F407C11" w14:textId="77777777" w:rsidR="00FD7D80" w:rsidRDefault="00FD7D80" w:rsidP="00FD7D80">
      <w:r>
        <w:t>2.1</w:t>
      </w:r>
      <w:r w:rsidR="00246CEF">
        <w:t xml:space="preserve">. </w:t>
      </w:r>
      <w:r w:rsidR="00425FB6">
        <w:t>Den politiske aftale om en k</w:t>
      </w:r>
      <w:r w:rsidR="00246CEF">
        <w:t xml:space="preserve">limaplan for </w:t>
      </w:r>
      <w:r w:rsidR="00141B2A">
        <w:t xml:space="preserve">en </w:t>
      </w:r>
      <w:r w:rsidR="00246CEF">
        <w:t>grøn affaldssektor og cirkulær økonomi</w:t>
      </w:r>
    </w:p>
    <w:p w14:paraId="67E491C8" w14:textId="77777777" w:rsidR="00246CEF" w:rsidRPr="00FD7D80" w:rsidRDefault="00246CEF" w:rsidP="00FD7D80"/>
    <w:p w14:paraId="46B99E5E" w14:textId="09156D1C" w:rsidR="002D7122" w:rsidRDefault="002D7122" w:rsidP="002D7122">
      <w:pPr>
        <w:spacing w:after="240"/>
      </w:pPr>
      <w:r>
        <w:t>Erhvervsaffald udgjorde i 20</w:t>
      </w:r>
      <w:r w:rsidR="00A23176">
        <w:t>21</w:t>
      </w:r>
      <w:r>
        <w:t xml:space="preserve"> ca. 7</w:t>
      </w:r>
      <w:r w:rsidR="00A23176">
        <w:t>4</w:t>
      </w:r>
      <w:r>
        <w:t xml:space="preserve"> pct. af den totale affaldsmængde. Virksomhederne har </w:t>
      </w:r>
      <w:r w:rsidR="005D3F9E">
        <w:t xml:space="preserve">efter affaldsbekendtgørelsen, udstedt i medfør af miljøbeskyttelsesloven, </w:t>
      </w:r>
      <w:r>
        <w:t xml:space="preserve">pligt til at sortere deres affald og sikre, at udsorteret affald </w:t>
      </w:r>
      <w:r w:rsidR="00C556C3">
        <w:t xml:space="preserve">egnet til materialenyttiggørelse </w:t>
      </w:r>
      <w:r>
        <w:t xml:space="preserve">ikke bliver sendt til forbrænding. I dag er </w:t>
      </w:r>
      <w:r w:rsidR="009B0E4E">
        <w:t>affalds</w:t>
      </w:r>
      <w:r>
        <w:t xml:space="preserve">tilsynet med virksomhedernes affaldshåndtering dog varierende </w:t>
      </w:r>
      <w:r w:rsidR="00425FB6">
        <w:t xml:space="preserve">fra kommune til kommune </w:t>
      </w:r>
      <w:r>
        <w:t xml:space="preserve">og i mange tilfælde begrænset. Samtidig har modtagekontrollen </w:t>
      </w:r>
      <w:r w:rsidR="005D3F9E">
        <w:t xml:space="preserve">på affaldsforbrændingsanlæg </w:t>
      </w:r>
      <w:r w:rsidR="009B0E4E">
        <w:t xml:space="preserve">som led i miljøtilsynet </w:t>
      </w:r>
      <w:r>
        <w:t>fokus på at undgå luftforurening, men ikke på at undgå forbrænding af affald</w:t>
      </w:r>
      <w:r w:rsidR="00C556C3">
        <w:t xml:space="preserve"> egnet til materialenyttiggørelse</w:t>
      </w:r>
      <w:r>
        <w:t xml:space="preserve">. </w:t>
      </w:r>
      <w:r w:rsidR="00390CD3">
        <w:t>Desuden er der forskellig praksis for klassificering af affald på tværs af kommunegrænserne</w:t>
      </w:r>
      <w:r>
        <w:t>. Uensartet affaldstil</w:t>
      </w:r>
      <w:r>
        <w:lastRenderedPageBreak/>
        <w:t xml:space="preserve">syns- og klassificeringspraksis skaber ulige konkurrencevilkår mellem virksomhederne på tværs af kommunegrænser og medfører, at store mængder affald </w:t>
      </w:r>
      <w:r w:rsidR="00C556C3">
        <w:t xml:space="preserve">egnet til materialenyttiggørelse </w:t>
      </w:r>
      <w:r>
        <w:t>sendes til forbrænding.</w:t>
      </w:r>
    </w:p>
    <w:p w14:paraId="59FD4786" w14:textId="4AAA1812" w:rsidR="00C24BB8" w:rsidRDefault="002D7122" w:rsidP="002D7122">
      <w:pPr>
        <w:spacing w:after="240"/>
        <w:rPr>
          <w:rFonts w:eastAsia="Calibri" w:cs="Times New Roman"/>
          <w:szCs w:val="24"/>
        </w:rPr>
      </w:pPr>
      <w:r>
        <w:rPr>
          <w:rFonts w:eastAsia="Calibri" w:cs="Times New Roman"/>
          <w:szCs w:val="24"/>
        </w:rPr>
        <w:t xml:space="preserve">På denne baggrund indgik </w:t>
      </w:r>
      <w:r w:rsidR="00CB3D83">
        <w:rPr>
          <w:rFonts w:eastAsia="Calibri" w:cs="Times New Roman"/>
          <w:szCs w:val="24"/>
        </w:rPr>
        <w:t xml:space="preserve">den daværende </w:t>
      </w:r>
      <w:r>
        <w:rPr>
          <w:rFonts w:eastAsia="Calibri" w:cs="Times New Roman"/>
          <w:szCs w:val="24"/>
        </w:rPr>
        <w:t xml:space="preserve">regering (Socialdemokratiet) og Venstre, </w:t>
      </w:r>
      <w:r w:rsidR="002744EE">
        <w:rPr>
          <w:rFonts w:eastAsia="Calibri" w:cs="Times New Roman"/>
          <w:szCs w:val="24"/>
        </w:rPr>
        <w:t xml:space="preserve">Radikale Venstre, </w:t>
      </w:r>
      <w:r>
        <w:rPr>
          <w:rFonts w:eastAsia="Calibri" w:cs="Times New Roman"/>
          <w:szCs w:val="24"/>
        </w:rPr>
        <w:t>Socialistisk Folkeparti</w:t>
      </w:r>
      <w:r w:rsidR="002744EE">
        <w:rPr>
          <w:rFonts w:eastAsia="Calibri" w:cs="Times New Roman"/>
          <w:szCs w:val="24"/>
        </w:rPr>
        <w:t xml:space="preserve">, Enhedslisten, Det Konservative Folkeparti, </w:t>
      </w:r>
      <w:r>
        <w:rPr>
          <w:rFonts w:eastAsia="Calibri" w:cs="Times New Roman"/>
          <w:szCs w:val="24"/>
        </w:rPr>
        <w:t xml:space="preserve">Liberal Alliance </w:t>
      </w:r>
      <w:r w:rsidR="002744EE">
        <w:rPr>
          <w:rFonts w:eastAsia="Calibri" w:cs="Times New Roman"/>
          <w:szCs w:val="24"/>
        </w:rPr>
        <w:t xml:space="preserve">og Alternativet </w:t>
      </w:r>
      <w:r>
        <w:rPr>
          <w:rFonts w:eastAsia="Calibri" w:cs="Times New Roman"/>
          <w:szCs w:val="24"/>
        </w:rPr>
        <w:t xml:space="preserve">den 16. juni 2020 aftale om en </w:t>
      </w:r>
      <w:r>
        <w:rPr>
          <w:rFonts w:eastAsia="Calibri" w:cs="Times New Roman"/>
          <w:i/>
          <w:szCs w:val="24"/>
        </w:rPr>
        <w:t>Klimaplan for en grøn affaldssektor og cirkulær økonomi</w:t>
      </w:r>
      <w:r w:rsidR="00CD57C0">
        <w:rPr>
          <w:rFonts w:eastAsia="Calibri" w:cs="Times New Roman"/>
          <w:i/>
          <w:szCs w:val="24"/>
        </w:rPr>
        <w:t xml:space="preserve"> </w:t>
      </w:r>
      <w:r w:rsidR="00CD57C0">
        <w:rPr>
          <w:rFonts w:eastAsia="Calibri" w:cs="Times New Roman"/>
          <w:szCs w:val="24"/>
        </w:rPr>
        <w:t>(</w:t>
      </w:r>
      <w:r w:rsidR="00CB3D83">
        <w:rPr>
          <w:rFonts w:eastAsia="Calibri" w:cs="Times New Roman"/>
          <w:szCs w:val="24"/>
        </w:rPr>
        <w:t>herefter k</w:t>
      </w:r>
      <w:r w:rsidR="00CD57C0">
        <w:rPr>
          <w:rFonts w:eastAsia="Calibri" w:cs="Times New Roman"/>
          <w:szCs w:val="24"/>
        </w:rPr>
        <w:t>limaplanen)</w:t>
      </w:r>
      <w:r>
        <w:rPr>
          <w:rFonts w:eastAsia="Calibri" w:cs="Times New Roman"/>
          <w:i/>
          <w:szCs w:val="24"/>
        </w:rPr>
        <w:t xml:space="preserve">. </w:t>
      </w:r>
      <w:r w:rsidR="002744EE">
        <w:rPr>
          <w:rFonts w:eastAsia="Calibri" w:cs="Times New Roman"/>
          <w:szCs w:val="24"/>
        </w:rPr>
        <w:t xml:space="preserve">Enhedslisten, Det konservative Folkeparti og Alternativet er siden udtrådt af aftalen. </w:t>
      </w:r>
      <w:r w:rsidR="00C24BB8">
        <w:rPr>
          <w:rFonts w:eastAsia="Calibri" w:cs="Times New Roman"/>
          <w:szCs w:val="24"/>
        </w:rPr>
        <w:t>Et af delelementerne i aftalen</w:t>
      </w:r>
      <w:r w:rsidR="0021517E">
        <w:rPr>
          <w:rFonts w:eastAsia="Calibri" w:cs="Times New Roman"/>
          <w:szCs w:val="24"/>
        </w:rPr>
        <w:t xml:space="preserve"> er </w:t>
      </w:r>
      <w:r w:rsidR="00C24BB8">
        <w:rPr>
          <w:rFonts w:eastAsia="Calibri" w:cs="Times New Roman"/>
          <w:szCs w:val="24"/>
        </w:rPr>
        <w:t xml:space="preserve">et styrket </w:t>
      </w:r>
      <w:r w:rsidR="0021517E">
        <w:rPr>
          <w:rFonts w:eastAsia="Calibri" w:cs="Times New Roman"/>
          <w:szCs w:val="24"/>
        </w:rPr>
        <w:t xml:space="preserve">og risikobaseret </w:t>
      </w:r>
      <w:r w:rsidR="00C24BB8">
        <w:rPr>
          <w:rFonts w:eastAsia="Calibri" w:cs="Times New Roman"/>
          <w:szCs w:val="24"/>
        </w:rPr>
        <w:t>affaldstilsyn</w:t>
      </w:r>
      <w:r w:rsidR="0021517E">
        <w:rPr>
          <w:rFonts w:eastAsia="Calibri" w:cs="Times New Roman"/>
          <w:szCs w:val="24"/>
        </w:rPr>
        <w:t>,</w:t>
      </w:r>
      <w:r w:rsidR="00C24BB8">
        <w:rPr>
          <w:rFonts w:eastAsia="Calibri" w:cs="Times New Roman"/>
          <w:szCs w:val="24"/>
        </w:rPr>
        <w:t xml:space="preserve"> </w:t>
      </w:r>
      <w:r w:rsidR="005D56C8">
        <w:rPr>
          <w:rFonts w:eastAsia="Calibri" w:cs="Times New Roman"/>
          <w:szCs w:val="24"/>
        </w:rPr>
        <w:t>således at indsatsen målrettes de virksomheder, hvor der er størst risiko for, at reglerne ikke overholdes</w:t>
      </w:r>
      <w:r w:rsidR="00BF2B05">
        <w:rPr>
          <w:rFonts w:eastAsia="Calibri" w:cs="Times New Roman"/>
          <w:szCs w:val="24"/>
        </w:rPr>
        <w:t>,</w:t>
      </w:r>
      <w:r w:rsidR="005D56C8">
        <w:rPr>
          <w:rFonts w:eastAsia="Calibri" w:cs="Times New Roman"/>
          <w:szCs w:val="24"/>
        </w:rPr>
        <w:t xml:space="preserve"> og hvor miljørisikoen er størst.</w:t>
      </w:r>
    </w:p>
    <w:p w14:paraId="64ADD58A" w14:textId="77777777" w:rsidR="002D7122" w:rsidRDefault="002D7122" w:rsidP="002D7122">
      <w:pPr>
        <w:spacing w:after="240"/>
        <w:rPr>
          <w:rFonts w:eastAsia="Calibri" w:cs="Times New Roman"/>
          <w:szCs w:val="24"/>
        </w:rPr>
      </w:pPr>
      <w:r>
        <w:rPr>
          <w:rFonts w:eastAsia="Calibri" w:cs="Times New Roman"/>
          <w:szCs w:val="24"/>
        </w:rPr>
        <w:t xml:space="preserve">Aftalens delelement om styrket affaldstilsyn og strømlinet praksis </w:t>
      </w:r>
      <w:r w:rsidR="005D56C8">
        <w:rPr>
          <w:rFonts w:eastAsia="Calibri" w:cs="Times New Roman"/>
          <w:szCs w:val="24"/>
        </w:rPr>
        <w:t>er</w:t>
      </w:r>
      <w:r>
        <w:rPr>
          <w:rFonts w:eastAsia="Calibri" w:cs="Times New Roman"/>
          <w:szCs w:val="24"/>
        </w:rPr>
        <w:t xml:space="preserve"> beskrevet nærmere i opfølgende aftale om </w:t>
      </w:r>
      <w:r>
        <w:rPr>
          <w:rFonts w:eastAsia="Calibri" w:cs="Times New Roman"/>
          <w:i/>
          <w:szCs w:val="24"/>
        </w:rPr>
        <w:t>Klimaplan for en grøn affaldssektor og cirkulær økonomi</w:t>
      </w:r>
      <w:r>
        <w:rPr>
          <w:rFonts w:eastAsia="Calibri" w:cs="Times New Roman"/>
          <w:szCs w:val="24"/>
        </w:rPr>
        <w:t xml:space="preserve"> fra den 30. august 2022.</w:t>
      </w:r>
      <w:r w:rsidR="005D56C8">
        <w:rPr>
          <w:rFonts w:eastAsia="Calibri" w:cs="Times New Roman"/>
          <w:szCs w:val="24"/>
        </w:rPr>
        <w:t xml:space="preserve"> Med aftalen blev der </w:t>
      </w:r>
      <w:r w:rsidR="0005482C">
        <w:rPr>
          <w:rFonts w:eastAsia="Calibri" w:cs="Times New Roman"/>
          <w:szCs w:val="24"/>
        </w:rPr>
        <w:t xml:space="preserve">blandt andet </w:t>
      </w:r>
      <w:r w:rsidR="005D56C8">
        <w:rPr>
          <w:rFonts w:eastAsia="Calibri" w:cs="Times New Roman"/>
          <w:szCs w:val="24"/>
        </w:rPr>
        <w:t>opnået enighed om følgende:</w:t>
      </w:r>
    </w:p>
    <w:p w14:paraId="7BE6049E" w14:textId="77777777" w:rsidR="005D56C8" w:rsidRDefault="005D56C8" w:rsidP="00A11004">
      <w:pPr>
        <w:pStyle w:val="Opstilling-talellerbogst"/>
      </w:pPr>
      <w:r>
        <w:t xml:space="preserve">Dele af affaldstilsynet flyttes fra kommunerne og Landbrugsstyrelsen til Miljøstyrelsen fra 2025. Samtidigt overtager Miljøstyrelsen hele ansvaret for klassificering af </w:t>
      </w:r>
      <w:r w:rsidR="00EA0304">
        <w:t xml:space="preserve">alt </w:t>
      </w:r>
      <w:r>
        <w:t>affald fra kommunerne fra 2025.</w:t>
      </w:r>
    </w:p>
    <w:p w14:paraId="424C1A68" w14:textId="77777777" w:rsidR="005D56C8" w:rsidRDefault="005D56C8" w:rsidP="00A11004">
      <w:pPr>
        <w:pStyle w:val="Opstilling-talellerbogst"/>
      </w:pPr>
      <w:r>
        <w:t>Affaldstilsynet deles op i et administrativt databaseret tilsyn og et fysisk tilsyn i for</w:t>
      </w:r>
      <w:r w:rsidR="0089325B">
        <w:t>m</w:t>
      </w:r>
      <w:r>
        <w:t xml:space="preserve"> af kontrolbesøg hos virksomhederne. Frekvensen af affaldstilsynet s</w:t>
      </w:r>
      <w:r w:rsidR="0089325B">
        <w:t>k</w:t>
      </w:r>
      <w:r>
        <w:t>al fra 2025 være sådan</w:t>
      </w:r>
      <w:r w:rsidR="0005482C">
        <w:t>,</w:t>
      </w:r>
      <w:r>
        <w:t xml:space="preserve"> at hver 15. virksomhed årligt udtrækkes til administrativt tilsyn</w:t>
      </w:r>
      <w:r w:rsidR="0005482C">
        <w:t>,</w:t>
      </w:r>
      <w:r>
        <w:t xml:space="preserve"> og hver 75. virksomhed </w:t>
      </w:r>
      <w:r w:rsidR="008D2F30">
        <w:t>udtrækkes</w:t>
      </w:r>
      <w:r>
        <w:t xml:space="preserve"> til fysisk tilsyn. I 2027 øges frekvensen til henholdsvis hver 3. virksomhed og hver 15. virksomhed.</w:t>
      </w:r>
    </w:p>
    <w:p w14:paraId="7C9DEF1B" w14:textId="201F9247" w:rsidR="005D56C8" w:rsidRDefault="005D56C8" w:rsidP="00A11004">
      <w:pPr>
        <w:pStyle w:val="Opstilling-talellerbogst"/>
      </w:pPr>
      <w:r>
        <w:t xml:space="preserve">For tilsyn med import og eksport af affald skal tilsynsfrekvensen </w:t>
      </w:r>
      <w:r w:rsidR="006C6547">
        <w:t xml:space="preserve">fra 2025 </w:t>
      </w:r>
      <w:r>
        <w:t xml:space="preserve">øges, sådan at </w:t>
      </w:r>
      <w:r w:rsidR="006C6547">
        <w:t xml:space="preserve">det administrative tilsyn øges fra hver 1700. </w:t>
      </w:r>
      <w:r w:rsidR="00F94D9B">
        <w:t>affaldstransport</w:t>
      </w:r>
      <w:r w:rsidR="00ED433B">
        <w:t xml:space="preserve"> </w:t>
      </w:r>
      <w:r w:rsidR="006C6547">
        <w:t xml:space="preserve">til hver 100. </w:t>
      </w:r>
      <w:r w:rsidR="00F94D9B">
        <w:t>affaldstransport</w:t>
      </w:r>
      <w:r w:rsidR="00BF2B05">
        <w:t>,</w:t>
      </w:r>
      <w:r w:rsidR="006C6547">
        <w:t xml:space="preserve"> og det fysiske tilsyn øges fra hver 550. </w:t>
      </w:r>
      <w:r w:rsidR="00F94D9B">
        <w:t>affaldstransport</w:t>
      </w:r>
      <w:r w:rsidR="0005482C">
        <w:t xml:space="preserve"> </w:t>
      </w:r>
      <w:r w:rsidR="006C6547">
        <w:t xml:space="preserve">til hver 250. </w:t>
      </w:r>
      <w:r w:rsidR="00F94D9B">
        <w:t>affaldstransport</w:t>
      </w:r>
      <w:r w:rsidR="0005482C">
        <w:t>.</w:t>
      </w:r>
    </w:p>
    <w:p w14:paraId="51EACB27" w14:textId="7A6A359D" w:rsidR="006C6547" w:rsidRDefault="008D2F30" w:rsidP="00A11004">
      <w:pPr>
        <w:pStyle w:val="Opstilling-talellerbogst"/>
      </w:pPr>
      <w:r>
        <w:t>Forbrændingsanlæggene skal fra 2025 forpligtes til at afvise affaldslæs, der indeholder så meget genanvendeligt affald, at det samlede affaldslæs klassificeres som genanvendeligt.</w:t>
      </w:r>
      <w:r w:rsidR="00A11004">
        <w:t xml:space="preserve"> Forbrændingsanlæggene forpligtes samtidig til at give en tilbagemelding til relevante </w:t>
      </w:r>
      <w:r w:rsidR="009B0E4E">
        <w:t>affaldstilsyns</w:t>
      </w:r>
      <w:r w:rsidR="00A11004">
        <w:t>myndigheder med henblik på</w:t>
      </w:r>
      <w:r w:rsidR="0005482C">
        <w:t xml:space="preserve">, </w:t>
      </w:r>
      <w:r w:rsidR="00A11004">
        <w:t xml:space="preserve">at </w:t>
      </w:r>
      <w:r w:rsidR="0005482C">
        <w:t xml:space="preserve">disse </w:t>
      </w:r>
      <w:r w:rsidR="00A11004">
        <w:t>føre</w:t>
      </w:r>
      <w:r w:rsidR="0005482C">
        <w:t>r</w:t>
      </w:r>
      <w:r w:rsidR="00A11004">
        <w:t xml:space="preserve"> affaldstilsyn hos den relevante affaldsproducent eller affaldsindsamler. Inden den styrkede modtagekontrol træder i kraft, skal Miljøstyrelsen udarbejde en vejledning, hvorefter forbrændingsanlæg kun må behandle affaldslæs, der falder under en mindstegrænse for indhold af genanvendeligt affald. Dette skal sikre, at </w:t>
      </w:r>
      <w:r w:rsidR="00A11004">
        <w:lastRenderedPageBreak/>
        <w:t xml:space="preserve">forbrændingsanlæg kun må behandle affaldslæs, hvor intet eller en meget begrænset andel af affaldet potentielt ville kunne genanvendes.  </w:t>
      </w:r>
    </w:p>
    <w:p w14:paraId="37808A2F" w14:textId="77777777" w:rsidR="00A11004" w:rsidRDefault="00A11004" w:rsidP="00A11004">
      <w:pPr>
        <w:pStyle w:val="Opstilling-talellerbogst"/>
      </w:pPr>
      <w:r>
        <w:t xml:space="preserve">Udførsel af affaldstilsyn samt tilsyn med import og eksport af affald skal overgå til fuld gebyrfinansiering i henhold til det </w:t>
      </w:r>
      <w:proofErr w:type="spellStart"/>
      <w:r>
        <w:t>EU-retlige</w:t>
      </w:r>
      <w:proofErr w:type="spellEnd"/>
      <w:r>
        <w:t xml:space="preserve"> forureneren betaler-princip.</w:t>
      </w:r>
    </w:p>
    <w:p w14:paraId="5941FFF2" w14:textId="77777777" w:rsidR="00B132A5" w:rsidRDefault="00B132A5" w:rsidP="002D7122">
      <w:pPr>
        <w:spacing w:after="240"/>
        <w:rPr>
          <w:rFonts w:eastAsia="Calibri" w:cs="Times New Roman"/>
          <w:szCs w:val="24"/>
        </w:rPr>
      </w:pPr>
    </w:p>
    <w:p w14:paraId="5404BCB5" w14:textId="763B5FFE" w:rsidR="00C24BB8" w:rsidRDefault="00A11004" w:rsidP="002D7122">
      <w:pPr>
        <w:spacing w:after="240"/>
        <w:rPr>
          <w:rFonts w:eastAsia="Calibri" w:cs="Times New Roman"/>
          <w:szCs w:val="24"/>
        </w:rPr>
      </w:pPr>
      <w:r>
        <w:rPr>
          <w:rFonts w:eastAsia="Calibri" w:cs="Times New Roman"/>
          <w:szCs w:val="24"/>
        </w:rPr>
        <w:t xml:space="preserve">Med nærværende lovforslag </w:t>
      </w:r>
      <w:r w:rsidR="00ED433B">
        <w:rPr>
          <w:rFonts w:eastAsia="Calibri" w:cs="Times New Roman"/>
          <w:szCs w:val="24"/>
        </w:rPr>
        <w:t xml:space="preserve">foreslås </w:t>
      </w:r>
      <w:r>
        <w:rPr>
          <w:rFonts w:eastAsia="Calibri" w:cs="Times New Roman"/>
          <w:szCs w:val="24"/>
        </w:rPr>
        <w:t>tilvejebr</w:t>
      </w:r>
      <w:r w:rsidR="00ED433B">
        <w:rPr>
          <w:rFonts w:eastAsia="Calibri" w:cs="Times New Roman"/>
          <w:szCs w:val="24"/>
        </w:rPr>
        <w:t>agt</w:t>
      </w:r>
      <w:r>
        <w:rPr>
          <w:rFonts w:eastAsia="Calibri" w:cs="Times New Roman"/>
          <w:szCs w:val="24"/>
        </w:rPr>
        <w:t xml:space="preserve"> </w:t>
      </w:r>
      <w:r w:rsidR="00ED433B">
        <w:rPr>
          <w:rFonts w:eastAsia="Calibri" w:cs="Times New Roman"/>
          <w:szCs w:val="24"/>
        </w:rPr>
        <w:t xml:space="preserve">bemyndigelse </w:t>
      </w:r>
      <w:r>
        <w:rPr>
          <w:rFonts w:eastAsia="Calibri" w:cs="Times New Roman"/>
          <w:szCs w:val="24"/>
        </w:rPr>
        <w:t>til</w:t>
      </w:r>
      <w:r w:rsidR="00BF2B05">
        <w:rPr>
          <w:rFonts w:eastAsia="Calibri" w:cs="Times New Roman"/>
          <w:szCs w:val="24"/>
        </w:rPr>
        <w:t>,</w:t>
      </w:r>
      <w:r>
        <w:rPr>
          <w:rFonts w:eastAsia="Calibri" w:cs="Times New Roman"/>
          <w:szCs w:val="24"/>
        </w:rPr>
        <w:t xml:space="preserve"> at miljøministeren kan fastsætte regler, der implementerer pkt. </w:t>
      </w:r>
      <w:r w:rsidR="000629D1">
        <w:rPr>
          <w:rFonts w:eastAsia="Calibri" w:cs="Times New Roman"/>
          <w:szCs w:val="24"/>
        </w:rPr>
        <w:t>4</w:t>
      </w:r>
      <w:r>
        <w:rPr>
          <w:rFonts w:eastAsia="Calibri" w:cs="Times New Roman"/>
          <w:szCs w:val="24"/>
        </w:rPr>
        <w:t xml:space="preserve"> om modtagekontrol på </w:t>
      </w:r>
      <w:r w:rsidR="00970AE2">
        <w:rPr>
          <w:rFonts w:eastAsia="Calibri" w:cs="Times New Roman"/>
          <w:szCs w:val="24"/>
        </w:rPr>
        <w:t xml:space="preserve">affaldsbehandlingsanlæg, der modtager affald med henblik på </w:t>
      </w:r>
      <w:r>
        <w:rPr>
          <w:rFonts w:eastAsia="Calibri" w:cs="Times New Roman"/>
          <w:szCs w:val="24"/>
        </w:rPr>
        <w:t>forbrænding</w:t>
      </w:r>
      <w:r w:rsidR="00970AE2">
        <w:rPr>
          <w:rFonts w:eastAsia="Calibri" w:cs="Times New Roman"/>
          <w:szCs w:val="24"/>
        </w:rPr>
        <w:t>.</w:t>
      </w:r>
    </w:p>
    <w:p w14:paraId="54C844C5" w14:textId="77777777" w:rsidR="00C556C3" w:rsidRDefault="00C556C3" w:rsidP="002D7122">
      <w:pPr>
        <w:spacing w:after="240"/>
        <w:rPr>
          <w:rFonts w:eastAsia="Calibri" w:cs="Times New Roman"/>
          <w:szCs w:val="24"/>
        </w:rPr>
      </w:pPr>
    </w:p>
    <w:p w14:paraId="22030B51" w14:textId="78EDF107" w:rsidR="00246CEF" w:rsidRDefault="00246CEF" w:rsidP="00FD1A50">
      <w:pPr>
        <w:spacing w:after="240"/>
        <w:rPr>
          <w:rFonts w:eastAsia="Calibri" w:cs="Times New Roman"/>
          <w:szCs w:val="24"/>
        </w:rPr>
      </w:pPr>
      <w:r>
        <w:rPr>
          <w:rFonts w:eastAsia="Calibri" w:cs="Times New Roman"/>
          <w:szCs w:val="24"/>
        </w:rPr>
        <w:t xml:space="preserve">2.2. </w:t>
      </w:r>
      <w:proofErr w:type="spellStart"/>
      <w:r>
        <w:rPr>
          <w:rFonts w:eastAsia="Calibri" w:cs="Times New Roman"/>
          <w:szCs w:val="24"/>
        </w:rPr>
        <w:t>Ecodesignforordningen</w:t>
      </w:r>
      <w:proofErr w:type="spellEnd"/>
    </w:p>
    <w:p w14:paraId="69D5DC6B" w14:textId="4C6FFDA8" w:rsidR="00EF2761" w:rsidRDefault="00E74C95" w:rsidP="00FD1A50">
      <w:pPr>
        <w:spacing w:after="240"/>
        <w:rPr>
          <w:rFonts w:eastAsia="Calibri" w:cs="Times New Roman"/>
          <w:szCs w:val="24"/>
        </w:rPr>
      </w:pPr>
      <w:r w:rsidRPr="00927CD6">
        <w:rPr>
          <w:rFonts w:eastAsia="Calibri" w:cs="Times New Roman"/>
          <w:szCs w:val="24"/>
          <w:highlight w:val="yellow"/>
        </w:rPr>
        <w:t xml:space="preserve">Den xx 2024 vedtog EU </w:t>
      </w:r>
      <w:r w:rsidR="00ED433B" w:rsidRPr="00927CD6">
        <w:rPr>
          <w:rFonts w:eastAsia="Calibri" w:cs="Times New Roman"/>
          <w:szCs w:val="24"/>
          <w:highlight w:val="yellow"/>
        </w:rPr>
        <w:t xml:space="preserve">en </w:t>
      </w:r>
      <w:r w:rsidRPr="00927CD6">
        <w:rPr>
          <w:rFonts w:eastAsia="Calibri" w:cs="Times New Roman"/>
          <w:szCs w:val="24"/>
          <w:highlight w:val="yellow"/>
        </w:rPr>
        <w:t xml:space="preserve">ny </w:t>
      </w:r>
      <w:proofErr w:type="spellStart"/>
      <w:r w:rsidR="00ED433B" w:rsidRPr="00927CD6">
        <w:rPr>
          <w:rFonts w:eastAsia="Calibri" w:cs="Times New Roman"/>
          <w:szCs w:val="24"/>
          <w:highlight w:val="yellow"/>
        </w:rPr>
        <w:t>e</w:t>
      </w:r>
      <w:r w:rsidRPr="00927CD6">
        <w:rPr>
          <w:rFonts w:eastAsia="Calibri" w:cs="Times New Roman"/>
          <w:szCs w:val="24"/>
          <w:highlight w:val="yellow"/>
        </w:rPr>
        <w:t>codesignforordning</w:t>
      </w:r>
      <w:proofErr w:type="spellEnd"/>
      <w:r w:rsidRPr="00927CD6">
        <w:rPr>
          <w:rFonts w:eastAsia="Calibri" w:cs="Times New Roman"/>
          <w:szCs w:val="24"/>
          <w:highlight w:val="yellow"/>
        </w:rPr>
        <w:t xml:space="preserve">. </w:t>
      </w:r>
      <w:r w:rsidR="007C0F1B" w:rsidRPr="00927CD6">
        <w:rPr>
          <w:rFonts w:eastAsia="Calibri" w:cs="Times New Roman"/>
          <w:szCs w:val="24"/>
          <w:highlight w:val="yellow"/>
        </w:rPr>
        <w:t>Forordningen tr</w:t>
      </w:r>
      <w:r w:rsidR="0005482C" w:rsidRPr="00927CD6">
        <w:rPr>
          <w:rFonts w:eastAsia="Calibri" w:cs="Times New Roman"/>
          <w:szCs w:val="24"/>
          <w:highlight w:val="yellow"/>
        </w:rPr>
        <w:t>ådte i kraft</w:t>
      </w:r>
      <w:r w:rsidR="007C0F1B" w:rsidRPr="00927CD6">
        <w:rPr>
          <w:rFonts w:eastAsia="Calibri" w:cs="Times New Roman"/>
          <w:szCs w:val="24"/>
          <w:highlight w:val="yellow"/>
        </w:rPr>
        <w:t xml:space="preserve"> den </w:t>
      </w:r>
      <w:r w:rsidR="00ED433B" w:rsidRPr="00927CD6">
        <w:rPr>
          <w:rFonts w:eastAsia="Calibri" w:cs="Times New Roman"/>
          <w:szCs w:val="24"/>
          <w:highlight w:val="yellow"/>
        </w:rPr>
        <w:t>[</w:t>
      </w:r>
      <w:r w:rsidR="007C0F1B" w:rsidRPr="00927CD6">
        <w:rPr>
          <w:rFonts w:eastAsia="Calibri" w:cs="Times New Roman"/>
          <w:szCs w:val="24"/>
          <w:highlight w:val="yellow"/>
        </w:rPr>
        <w:t>xxx</w:t>
      </w:r>
      <w:r w:rsidR="00ED433B" w:rsidRPr="00927CD6">
        <w:rPr>
          <w:rFonts w:eastAsia="Calibri" w:cs="Times New Roman"/>
          <w:szCs w:val="24"/>
          <w:highlight w:val="yellow"/>
        </w:rPr>
        <w:t>].</w:t>
      </w:r>
    </w:p>
    <w:p w14:paraId="4C75E557" w14:textId="5EDE87EF" w:rsidR="00246CEF" w:rsidRDefault="00246CEF" w:rsidP="00246CEF">
      <w:r>
        <w:t xml:space="preserve">Forordningen indeholder </w:t>
      </w:r>
      <w:r w:rsidR="002F217E">
        <w:t xml:space="preserve">i artikel </w:t>
      </w:r>
      <w:r w:rsidR="00711115">
        <w:t>24</w:t>
      </w:r>
      <w:r w:rsidR="002F217E">
        <w:t xml:space="preserve"> </w:t>
      </w:r>
      <w:r>
        <w:t xml:space="preserve">en forpligtelse for </w:t>
      </w:r>
      <w:r w:rsidR="007F0E9A">
        <w:t xml:space="preserve">store og mellemstore </w:t>
      </w:r>
      <w:r>
        <w:t>virksomhede</w:t>
      </w:r>
      <w:r w:rsidR="007F0E9A">
        <w:t>r</w:t>
      </w:r>
      <w:r>
        <w:t xml:space="preserve"> til </w:t>
      </w:r>
      <w:r w:rsidR="00AC1448">
        <w:t xml:space="preserve">årligt at informere </w:t>
      </w:r>
      <w:r>
        <w:t>om affaldshåndteringen af usolgte forbrugerprodukter</w:t>
      </w:r>
      <w:r w:rsidR="007F0E9A">
        <w:t xml:space="preserve"> på enten deres hjemmeside eller deres bæredygtighedsrapportering,</w:t>
      </w:r>
      <w:r>
        <w:t xml:space="preserve"> og </w:t>
      </w:r>
      <w:r w:rsidR="00081B5B">
        <w:t xml:space="preserve">i artikel 25 </w:t>
      </w:r>
      <w:r>
        <w:t xml:space="preserve">en bemyndigelse for Kommissionen til </w:t>
      </w:r>
      <w:r w:rsidR="00081B5B">
        <w:t xml:space="preserve">i delegerede retsakter </w:t>
      </w:r>
      <w:r>
        <w:t xml:space="preserve">at </w:t>
      </w:r>
      <w:r w:rsidR="00081B5B">
        <w:t xml:space="preserve">vedtage </w:t>
      </w:r>
      <w:r>
        <w:t xml:space="preserve">produktspecifikke forbud mod virksomheders destruktion af usolgte forbrugerprodukter. </w:t>
      </w:r>
      <w:r w:rsidR="00081B5B">
        <w:t>F</w:t>
      </w:r>
      <w:r>
        <w:t>orordningen</w:t>
      </w:r>
      <w:r w:rsidR="00081B5B">
        <w:t xml:space="preserve"> indeholder</w:t>
      </w:r>
      <w:r>
        <w:t xml:space="preserve"> </w:t>
      </w:r>
      <w:r w:rsidR="002F217E">
        <w:t xml:space="preserve">i artikel </w:t>
      </w:r>
      <w:r w:rsidR="00711115">
        <w:t>25, jf. bilag VII</w:t>
      </w:r>
      <w:r w:rsidR="00BF2B05">
        <w:t>,</w:t>
      </w:r>
      <w:r w:rsidR="00711115">
        <w:t xml:space="preserve"> </w:t>
      </w:r>
      <w:r>
        <w:t xml:space="preserve">et forbud mod destruktion af </w:t>
      </w:r>
      <w:r w:rsidR="0005482C">
        <w:t xml:space="preserve">usolgt </w:t>
      </w:r>
      <w:r>
        <w:t>beklædning og fodtøj</w:t>
      </w:r>
      <w:r w:rsidR="00081B5B">
        <w:t>.</w:t>
      </w:r>
      <w:r w:rsidR="00EC5267">
        <w:t xml:space="preserve"> </w:t>
      </w:r>
      <w:r w:rsidR="00081B5B">
        <w:t>Øvrige</w:t>
      </w:r>
      <w:r>
        <w:t xml:space="preserve"> forbud </w:t>
      </w:r>
      <w:r w:rsidR="00081B5B">
        <w:t xml:space="preserve">vedtaget efterfølgende i delegerede retsakter </w:t>
      </w:r>
      <w:r>
        <w:t xml:space="preserve">mod destruktion af </w:t>
      </w:r>
      <w:r w:rsidR="0005482C">
        <w:t xml:space="preserve">usolgte </w:t>
      </w:r>
      <w:r>
        <w:t>forbrugerprodukter</w:t>
      </w:r>
      <w:r w:rsidR="00EC5267">
        <w:t xml:space="preserve"> </w:t>
      </w:r>
      <w:r w:rsidR="00081B5B">
        <w:t>vil fremgå af bilag VII.</w:t>
      </w:r>
      <w:r>
        <w:t xml:space="preserve"> </w:t>
      </w:r>
      <w:r w:rsidR="00EE19AA">
        <w:t>Mikrovirksomheder og s</w:t>
      </w:r>
      <w:r w:rsidR="002F217E">
        <w:t xml:space="preserve">må virksomheder </w:t>
      </w:r>
      <w:r>
        <w:t>er i hovedsagen undtaget både informationsforpligtelsen og forbud.</w:t>
      </w:r>
    </w:p>
    <w:p w14:paraId="61EC06BB" w14:textId="77777777" w:rsidR="007C0F1B" w:rsidRDefault="007C0F1B" w:rsidP="00246CEF">
      <w:pPr>
        <w:rPr>
          <w:sz w:val="20"/>
        </w:rPr>
      </w:pPr>
    </w:p>
    <w:p w14:paraId="7427A1CD" w14:textId="65A2F0C4" w:rsidR="00AA5D4A" w:rsidRDefault="00E74C95" w:rsidP="007C0F1B">
      <w:r>
        <w:rPr>
          <w:rFonts w:eastAsia="Calibri" w:cs="Times New Roman"/>
          <w:szCs w:val="24"/>
        </w:rPr>
        <w:t xml:space="preserve">Med forordningen </w:t>
      </w:r>
      <w:r w:rsidR="007C0F1B">
        <w:rPr>
          <w:rFonts w:eastAsia="Calibri" w:cs="Times New Roman"/>
          <w:szCs w:val="24"/>
        </w:rPr>
        <w:t xml:space="preserve">bestemmes, </w:t>
      </w:r>
      <w:r w:rsidR="007C0F1B">
        <w:t>at alene usolgte forbrugerprodukter, som opfylder betingelserne for at kunne undtages fra forbud mod destruktion, må destru</w:t>
      </w:r>
      <w:r w:rsidR="00EF7867">
        <w:t>eres i form af f</w:t>
      </w:r>
      <w:r w:rsidR="00D97291">
        <w:t>.eks.</w:t>
      </w:r>
      <w:r w:rsidR="00EF7867">
        <w:t xml:space="preserve"> </w:t>
      </w:r>
      <w:r w:rsidR="00D97291">
        <w:t xml:space="preserve">forbrænding eller </w:t>
      </w:r>
      <w:r w:rsidR="007C0F1B">
        <w:t>genanvendelse</w:t>
      </w:r>
      <w:r w:rsidR="001052AA">
        <w:t xml:space="preserve"> (der også anses som destruktion i forordningens forstand)</w:t>
      </w:r>
      <w:r w:rsidR="007C0F1B">
        <w:t xml:space="preserve">. </w:t>
      </w:r>
    </w:p>
    <w:p w14:paraId="089E3ED7" w14:textId="39DD7ACC" w:rsidR="00AA5D4A" w:rsidRDefault="00AA5D4A" w:rsidP="007C0F1B"/>
    <w:p w14:paraId="36CB22C1" w14:textId="782DDD17" w:rsidR="007C0F1B" w:rsidRDefault="00996583" w:rsidP="007C0F1B">
      <w:r>
        <w:t xml:space="preserve">Kommissionen kan i medfør af artikel </w:t>
      </w:r>
      <w:r w:rsidR="007C0F1B">
        <w:t xml:space="preserve"> 2</w:t>
      </w:r>
      <w:r w:rsidR="00EF7867">
        <w:t>5</w:t>
      </w:r>
      <w:r w:rsidR="007C0F1B">
        <w:t xml:space="preserve"> </w:t>
      </w:r>
      <w:r>
        <w:t xml:space="preserve"> vedtage delegerede retsakter, der fastsætter undtagelser fra forbuddet mod destruktion af usolgte forbrugerprodukter, når det er relevant og af følgende grunde: </w:t>
      </w:r>
      <w:r w:rsidR="007C0F1B">
        <w:t>1) sundhed</w:t>
      </w:r>
      <w:r>
        <w:t>s-</w:t>
      </w:r>
      <w:r w:rsidR="007C0F1B">
        <w:t>, hygiejne</w:t>
      </w:r>
      <w:r>
        <w:t>-</w:t>
      </w:r>
      <w:r w:rsidR="007C0F1B">
        <w:t xml:space="preserve"> og sikkerhed</w:t>
      </w:r>
      <w:r>
        <w:t>smæssige betænkeligheder</w:t>
      </w:r>
      <w:r w:rsidR="007C0F1B">
        <w:t xml:space="preserve">, 2) </w:t>
      </w:r>
      <w:r>
        <w:t xml:space="preserve">skader forårsaget på produkter som følge af håndtering, eller som opdages, efter produktet er blevet returneret af en forbruger, og som ikke kan repareres på en omkostningseffektiv </w:t>
      </w:r>
      <w:r>
        <w:lastRenderedPageBreak/>
        <w:t>måde</w:t>
      </w:r>
      <w:r w:rsidR="008509AD">
        <w:t>,</w:t>
      </w:r>
      <w:r w:rsidR="007C0F1B">
        <w:t xml:space="preserve"> 3) </w:t>
      </w:r>
      <w:r>
        <w:t xml:space="preserve">produkters </w:t>
      </w:r>
      <w:proofErr w:type="spellStart"/>
      <w:r>
        <w:t>uegnethed</w:t>
      </w:r>
      <w:proofErr w:type="spellEnd"/>
      <w:r>
        <w:t xml:space="preserve"> til det formål, de er beregnet til,</w:t>
      </w:r>
      <w:r w:rsidR="007C0F1B">
        <w:t xml:space="preserve"> 4) </w:t>
      </w:r>
      <w:r>
        <w:t>manglende accept af produkter, der tilbydes til donation</w:t>
      </w:r>
      <w:r w:rsidR="007C0F1B">
        <w:t xml:space="preserve">, 5) </w:t>
      </w:r>
      <w:r>
        <w:t xml:space="preserve">produkters </w:t>
      </w:r>
      <w:proofErr w:type="spellStart"/>
      <w:r>
        <w:t>uegnethed</w:t>
      </w:r>
      <w:proofErr w:type="spellEnd"/>
      <w:r>
        <w:t xml:space="preserve"> til forberedelse med henblik på genbrug eller genfremstilling, 6)</w:t>
      </w:r>
      <w:r w:rsidR="00FE05ED">
        <w:t xml:space="preserve"> </w:t>
      </w:r>
      <w:r>
        <w:t>pro</w:t>
      </w:r>
      <w:r w:rsidR="00D97291">
        <w:t>d</w:t>
      </w:r>
      <w:r>
        <w:t>ukter, der er usælgelige</w:t>
      </w:r>
      <w:r w:rsidR="007C0F1B">
        <w:t xml:space="preserve"> på grund af krænkelser af intellektuel</w:t>
      </w:r>
      <w:r w:rsidR="002E6074">
        <w:t>le</w:t>
      </w:r>
      <w:r w:rsidR="007C0F1B">
        <w:t xml:space="preserve"> ejendomsret</w:t>
      </w:r>
      <w:r w:rsidR="002E6074">
        <w:t>tigheder, herunder forfalskede produkter</w:t>
      </w:r>
      <w:r w:rsidR="007C0F1B">
        <w:t xml:space="preserve"> eller </w:t>
      </w:r>
      <w:r w:rsidR="002E6074">
        <w:t>7</w:t>
      </w:r>
      <w:r w:rsidR="007C0F1B">
        <w:t xml:space="preserve">) hvor destruktion er den mulighed, </w:t>
      </w:r>
      <w:r w:rsidR="002E6074">
        <w:t xml:space="preserve">der har mindst </w:t>
      </w:r>
      <w:r w:rsidR="007C0F1B">
        <w:t xml:space="preserve">negative miljøpåvirkninger. </w:t>
      </w:r>
    </w:p>
    <w:p w14:paraId="2A011264" w14:textId="77777777" w:rsidR="007C0F1B" w:rsidRDefault="007C0F1B" w:rsidP="007C0F1B">
      <w:pPr>
        <w:rPr>
          <w:sz w:val="20"/>
        </w:rPr>
      </w:pPr>
    </w:p>
    <w:p w14:paraId="062B5CB9" w14:textId="74EF5DA5" w:rsidR="007C0F1B" w:rsidRDefault="002E6074" w:rsidP="007C0F1B">
      <w:r>
        <w:t xml:space="preserve">Det foreslås med lovforslaget, at miljøministeren bemyndiges </w:t>
      </w:r>
      <w:r w:rsidR="00C348E2" w:rsidRPr="00C348E2">
        <w:t xml:space="preserve">til at fastsætte </w:t>
      </w:r>
      <w:r w:rsidR="002D1F90">
        <w:t xml:space="preserve">supplerende </w:t>
      </w:r>
      <w:r w:rsidR="004D66F7">
        <w:t>regler</w:t>
      </w:r>
      <w:r w:rsidR="00FE05ED">
        <w:t xml:space="preserve"> </w:t>
      </w:r>
      <w:r w:rsidR="002D1F90">
        <w:t>om</w:t>
      </w:r>
      <w:r w:rsidR="00FE05ED">
        <w:t xml:space="preserve"> håndhævelse af </w:t>
      </w:r>
      <w:r w:rsidR="00C348E2" w:rsidRPr="00C348E2">
        <w:t xml:space="preserve">forordningens </w:t>
      </w:r>
      <w:r w:rsidR="007C0F1B" w:rsidRPr="00C348E2">
        <w:t>og kommende delegerede retsakters forbud mod destruktion af forbrugerprodukter</w:t>
      </w:r>
      <w:r w:rsidR="00C348E2" w:rsidRPr="00C348E2">
        <w:t xml:space="preserve">. </w:t>
      </w:r>
      <w:r w:rsidR="0005482C">
        <w:t>Det foreslås således</w:t>
      </w:r>
      <w:r w:rsidR="00BF2B05">
        <w:t>,</w:t>
      </w:r>
      <w:r w:rsidR="0005482C">
        <w:t xml:space="preserve"> at m</w:t>
      </w:r>
      <w:r w:rsidR="00C348E2" w:rsidRPr="00C348E2">
        <w:t xml:space="preserve">inisteren får hjemmel til at fastsætte, at </w:t>
      </w:r>
      <w:r w:rsidR="008509AD">
        <w:t xml:space="preserve">virksomheder, der driver </w:t>
      </w:r>
      <w:r w:rsidR="00C348E2" w:rsidRPr="00C348E2">
        <w:t>affaldsbehandlingsanlæg</w:t>
      </w:r>
      <w:r w:rsidR="00BF2B05">
        <w:t>,</w:t>
      </w:r>
      <w:r w:rsidR="00934AF6">
        <w:t xml:space="preserve"> </w:t>
      </w:r>
      <w:r w:rsidR="00C348E2" w:rsidRPr="00C348E2">
        <w:t xml:space="preserve">skal </w:t>
      </w:r>
      <w:r w:rsidR="00056441">
        <w:t xml:space="preserve">sikre, at affaldet er ledsaget af oplysning om affaldets indhold af </w:t>
      </w:r>
      <w:r w:rsidR="009857ED">
        <w:t>usolgte forbrugerprodukter. Ministeren f</w:t>
      </w:r>
      <w:r w:rsidR="00E6369D">
        <w:t>år</w:t>
      </w:r>
      <w:r w:rsidR="009857ED">
        <w:t xml:space="preserve"> endvidere hjemmel til at fastsætte, at affaldsbehandlingsanlæg skal afvise at modtage affald i form af usolgte forbrugerprodukter og underrette tilsynsmyndigheden </w:t>
      </w:r>
      <w:r w:rsidR="00B86780">
        <w:t>om</w:t>
      </w:r>
      <w:r w:rsidR="009857ED">
        <w:t xml:space="preserve"> afvisningen</w:t>
      </w:r>
      <w:r w:rsidR="00B86780">
        <w:t xml:space="preserve"> samt indberette oplysninger til brug for tilsynsmyndighedens behandling af sagen.</w:t>
      </w:r>
      <w:r w:rsidR="00C348E2" w:rsidRPr="00C348E2">
        <w:t xml:space="preserve"> </w:t>
      </w:r>
    </w:p>
    <w:p w14:paraId="4890E93E" w14:textId="77777777" w:rsidR="00C348E2" w:rsidRDefault="00C348E2" w:rsidP="007C0F1B"/>
    <w:p w14:paraId="7A50C6A9" w14:textId="77777777" w:rsidR="00C348E2" w:rsidRDefault="00CD57C0" w:rsidP="00CD57C0">
      <w:r>
        <w:t>2.3   Genbrugsområder på kommunale genbrugspladser</w:t>
      </w:r>
    </w:p>
    <w:p w14:paraId="07E24B1E" w14:textId="31C7F23C" w:rsidR="00CD57C0" w:rsidRDefault="00CD57C0" w:rsidP="00CD57C0">
      <w:r>
        <w:t xml:space="preserve">Det fremgår af </w:t>
      </w:r>
      <w:r w:rsidR="004409C4">
        <w:t>k</w:t>
      </w:r>
      <w:r>
        <w:t>limaplan</w:t>
      </w:r>
      <w:r w:rsidR="004F143C">
        <w:t>en</w:t>
      </w:r>
      <w:r>
        <w:t xml:space="preserve"> at ”Genbrugspladserne vil fremadrettet fortsat være et centralt led i at sikre så meget genbrug og genanvendelse som muligt, og kommunerne vil fortsat skulle drive genbrugspladserne. Flere kommuner har allerede i dag et område, hvor borgerne kan stille ting til genbrug. Fremadrettet forpligtes alle kommunale genbrugspladser til at stille et sådant område, container el</w:t>
      </w:r>
      <w:r w:rsidR="002E6074">
        <w:t>ler</w:t>
      </w:r>
      <w:r w:rsidR="004409C4">
        <w:t xml:space="preserve"> </w:t>
      </w:r>
      <w:r>
        <w:t>lign</w:t>
      </w:r>
      <w:r w:rsidR="002E6074">
        <w:t>ende</w:t>
      </w:r>
      <w:r>
        <w:t xml:space="preserve"> til rådighed, hvor borgerne kan levere genstande til direkte genbrug. Genstandene skal først gøres tilgængelige for private aktører, herunder frivillige organisationer og borgere. De genstande, som ikke afsættes, må kommunerne afsætte i kommunale genbrugsbutikker eller til socioøkonomiske virksomheder. Kommunerne forpligtes til at inddrage de frivillige organisationer i den lokale kommunale udmøntning af initiativet.” </w:t>
      </w:r>
      <w:r w:rsidR="002E6074">
        <w:t xml:space="preserve">Der er med lov </w:t>
      </w:r>
      <w:r w:rsidR="00707626">
        <w:t xml:space="preserve">nr. 898 af 21. juni 2022 </w:t>
      </w:r>
      <w:r w:rsidR="002E6074">
        <w:t xml:space="preserve">etableret hjemmel </w:t>
      </w:r>
      <w:r w:rsidR="00707626">
        <w:t xml:space="preserve">i miljøbeskyttelsesloven </w:t>
      </w:r>
      <w:r w:rsidR="002E6074">
        <w:t xml:space="preserve">til, at miljøministeren kan fastsætte regler om gennemførelse af initiativet. </w:t>
      </w:r>
      <w:r w:rsidR="004409C4">
        <w:t>Der er med den nævnte lovændring</w:t>
      </w:r>
      <w:r>
        <w:t xml:space="preserve"> tilføjet en § 50 f i miljøbeskyttelsesloven, der bemyndiger h</w:t>
      </w:r>
      <w:r w:rsidR="004409C4">
        <w:t>enholdsvis</w:t>
      </w:r>
      <w:r>
        <w:t xml:space="preserve"> miljøministeren og klima-, energi- og forsyningsministeren til at fastsætte nærmere regler om genbrugsområder på genbrugspladser, samt § 48, stk. 1, nr. 2</w:t>
      </w:r>
      <w:r w:rsidR="004409C4">
        <w:t>,</w:t>
      </w:r>
      <w:r>
        <w:t xml:space="preserve"> om fastsættelse af gebyrer til </w:t>
      </w:r>
      <w:r w:rsidR="004409C4">
        <w:t xml:space="preserve">drift af </w:t>
      </w:r>
      <w:r>
        <w:t>genbrugsområderne</w:t>
      </w:r>
      <w:r w:rsidR="00625AC8">
        <w:t>.</w:t>
      </w:r>
    </w:p>
    <w:p w14:paraId="0F686BFC" w14:textId="77777777" w:rsidR="00CD57C0" w:rsidRDefault="00CD57C0" w:rsidP="00CD57C0"/>
    <w:p w14:paraId="34034ADC" w14:textId="4BA997A6" w:rsidR="00CD57C0" w:rsidRDefault="00CD57C0" w:rsidP="00CD57C0">
      <w:r>
        <w:t>Initiativet indeb</w:t>
      </w:r>
      <w:r w:rsidR="008C20F4">
        <w:t>ar</w:t>
      </w:r>
      <w:r>
        <w:t xml:space="preserve">, at kommunerne </w:t>
      </w:r>
      <w:r w:rsidR="008C20F4">
        <w:t xml:space="preserve">ved bekendtgørelse </w:t>
      </w:r>
      <w:r>
        <w:t>sk</w:t>
      </w:r>
      <w:r w:rsidR="008C20F4">
        <w:t>ulle</w:t>
      </w:r>
      <w:r>
        <w:t xml:space="preserve"> forpligtes til at etablere genbrugsområder på de kommunale genbrugspladser og give pri</w:t>
      </w:r>
      <w:r>
        <w:lastRenderedPageBreak/>
        <w:t>vate aktører, herunder frivillige organisationer, adgang til genbrugsgenstande</w:t>
      </w:r>
      <w:r w:rsidR="00BF2B05">
        <w:t>,</w:t>
      </w:r>
      <w:r>
        <w:t xml:space="preserve"> før de afsættes i kommunale genbrugsbutikker. Initiativet indeb</w:t>
      </w:r>
      <w:r w:rsidR="008C20F4">
        <w:t>ar</w:t>
      </w:r>
      <w:r>
        <w:t xml:space="preserve"> endvidere en mulighed for</w:t>
      </w:r>
      <w:r w:rsidR="008C20F4">
        <w:t xml:space="preserve"> at fastsætte regler om, at</w:t>
      </w:r>
      <w:r>
        <w:t xml:space="preserve"> kommunerne </w:t>
      </w:r>
      <w:r w:rsidR="008C20F4">
        <w:t xml:space="preserve">kunne </w:t>
      </w:r>
      <w:r>
        <w:t>gebyrfinansiere planlægning, etablering, drift og administration af genbrugsområder på genbrugspladser.</w:t>
      </w:r>
    </w:p>
    <w:p w14:paraId="7D5BA91E" w14:textId="77777777" w:rsidR="00547CFB" w:rsidRDefault="00547CFB" w:rsidP="00CD57C0"/>
    <w:p w14:paraId="4073E3E0" w14:textId="0D08A8A6" w:rsidR="00547CFB" w:rsidRDefault="00547CFB" w:rsidP="00CD57C0">
      <w:r>
        <w:t xml:space="preserve">To </w:t>
      </w:r>
      <w:r w:rsidR="008C20F4">
        <w:t xml:space="preserve">udkast til </w:t>
      </w:r>
      <w:r>
        <w:t xml:space="preserve">bekendtgørelser, der </w:t>
      </w:r>
      <w:r w:rsidR="008C20F4">
        <w:t xml:space="preserve">skulle </w:t>
      </w:r>
      <w:r>
        <w:t xml:space="preserve">udmønte initiativet har været i høring i </w:t>
      </w:r>
      <w:r w:rsidR="008C20F4">
        <w:t xml:space="preserve">andet </w:t>
      </w:r>
      <w:r>
        <w:t>halvår af 2022.</w:t>
      </w:r>
    </w:p>
    <w:p w14:paraId="38F9EB82" w14:textId="77777777" w:rsidR="00CD57C0" w:rsidRDefault="00CD57C0" w:rsidP="00CD57C0"/>
    <w:p w14:paraId="66CC999D" w14:textId="5BEEACCE" w:rsidR="00CD57C0" w:rsidRDefault="00CD57C0" w:rsidP="00CD57C0">
      <w:r>
        <w:t xml:space="preserve">I forbindelse med den offentlige høring af bekendtgørelserne </w:t>
      </w:r>
      <w:r w:rsidR="00547CFB">
        <w:t>blev</w:t>
      </w:r>
      <w:r>
        <w:t xml:space="preserve"> der tilkendegivet en række bekymringer</w:t>
      </w:r>
      <w:r w:rsidR="008C20F4">
        <w:t>,</w:t>
      </w:r>
      <w:r>
        <w:t xml:space="preserve"> bl.a. i forhold til manglende lokal fleksibilitet, øget bureaukrati, og at reglerne kan have konsekvenser for borgere der</w:t>
      </w:r>
      <w:r w:rsidR="008C20F4" w:rsidRPr="008C20F4">
        <w:t xml:space="preserve"> </w:t>
      </w:r>
      <w:r w:rsidR="008C20F4">
        <w:t>er ansat i en social beskæftigelsesordning</w:t>
      </w:r>
      <w:r>
        <w:t xml:space="preserve">, jf. </w:t>
      </w:r>
      <w:r w:rsidR="001F361C">
        <w:t xml:space="preserve">§ 103 i </w:t>
      </w:r>
      <w:r>
        <w:t>serviceloven</w:t>
      </w:r>
      <w:r w:rsidR="001F361C">
        <w:t xml:space="preserve">, jf. lovbekendtgørelse nr. </w:t>
      </w:r>
      <w:r w:rsidR="00547CFB">
        <w:t>67 af 22. januar 2024</w:t>
      </w:r>
      <w:r>
        <w:t xml:space="preserve">. </w:t>
      </w:r>
    </w:p>
    <w:p w14:paraId="522E0F80" w14:textId="77777777" w:rsidR="00CD57C0" w:rsidRDefault="00CD57C0" w:rsidP="00CD57C0"/>
    <w:p w14:paraId="4C1577D1" w14:textId="5116F895" w:rsidR="00CD57C0" w:rsidRDefault="00CD57C0" w:rsidP="00CD57C0">
      <w:r>
        <w:t xml:space="preserve">Miljøministeriet og Klima-, Energi- og Forsyningsministeriet valgte i foråret 2023 at sætte arbejdet med </w:t>
      </w:r>
      <w:r w:rsidR="001F361C">
        <w:t xml:space="preserve">udstedelse af </w:t>
      </w:r>
      <w:r>
        <w:t>bekendtgørelse</w:t>
      </w:r>
      <w:r w:rsidR="00FF1D4D">
        <w:t>rne</w:t>
      </w:r>
      <w:r>
        <w:t xml:space="preserve"> i bero og afsøge, hvorvidt initiativet </w:t>
      </w:r>
      <w:r w:rsidR="004F143C">
        <w:t>kunne</w:t>
      </w:r>
      <w:r>
        <w:t xml:space="preserve"> implementeres på en mere fleksibel måde. Det har dog ikke vist sig muligt. Aftalekredsen bag </w:t>
      </w:r>
      <w:r w:rsidR="00AD60A4">
        <w:t>k</w:t>
      </w:r>
      <w:r>
        <w:t xml:space="preserve">limaplanen har derfor besluttet ikke at gennemføre initiativet og i stedet bakke op om den frivillige indsats på kommunernes genbrugspladser. </w:t>
      </w:r>
      <w:r w:rsidR="004F143C">
        <w:t>S</w:t>
      </w:r>
      <w:r w:rsidR="004F143C" w:rsidRPr="004F143C">
        <w:t>om følge heraf</w:t>
      </w:r>
      <w:r w:rsidR="004F143C">
        <w:t xml:space="preserve"> </w:t>
      </w:r>
      <w:r w:rsidR="00AD60A4">
        <w:t xml:space="preserve">foreslås miljøbeskyttelseslovens </w:t>
      </w:r>
      <w:r>
        <w:t xml:space="preserve">§ 48, stk. 1, </w:t>
      </w:r>
      <w:r w:rsidR="00AD60A4">
        <w:t xml:space="preserve">nr. </w:t>
      </w:r>
      <w:r>
        <w:t>2</w:t>
      </w:r>
      <w:r w:rsidR="00AD60A4">
        <w:t>,</w:t>
      </w:r>
      <w:r>
        <w:t xml:space="preserve"> </w:t>
      </w:r>
      <w:r w:rsidR="00AD60A4">
        <w:t xml:space="preserve">og § 50 f </w:t>
      </w:r>
      <w:r>
        <w:t xml:space="preserve">ophævet. </w:t>
      </w:r>
    </w:p>
    <w:p w14:paraId="6EA2705A" w14:textId="77777777" w:rsidR="00CD57C0" w:rsidRDefault="00CD57C0" w:rsidP="00CD57C0"/>
    <w:p w14:paraId="68BD2E52" w14:textId="37DCCD9A" w:rsidR="00CD57C0" w:rsidRPr="00C348E2" w:rsidRDefault="00CD57C0" w:rsidP="007C0F1B">
      <w:r>
        <w:t>Eftersom der ikke er blevet udstedt regler</w:t>
      </w:r>
      <w:r w:rsidR="004A1E8E">
        <w:t>,</w:t>
      </w:r>
      <w:r>
        <w:t xml:space="preserve"> der udmønter § 50 f, vurderes ophævelsen ikke at have praktisk betydning for hverken kommuner, virksomheder eller borgere. Eftersom </w:t>
      </w:r>
      <w:r w:rsidR="001F361C">
        <w:t xml:space="preserve">udstedelse af regler om gebyrer efter </w:t>
      </w:r>
      <w:r>
        <w:t xml:space="preserve">§ 48, stk. 1, </w:t>
      </w:r>
      <w:r w:rsidR="004A1E8E">
        <w:t xml:space="preserve">nr. </w:t>
      </w:r>
      <w:r>
        <w:t>2</w:t>
      </w:r>
      <w:r w:rsidR="004A1E8E">
        <w:t>,</w:t>
      </w:r>
      <w:r>
        <w:t xml:space="preserve"> er betinget af, at der udstedes regler </w:t>
      </w:r>
      <w:r w:rsidR="004A1E8E">
        <w:t>efter</w:t>
      </w:r>
      <w:r>
        <w:t xml:space="preserve"> § 50 f, vurderes ophævelsen af § 48, stk. 1, </w:t>
      </w:r>
      <w:r w:rsidR="004A1E8E">
        <w:t xml:space="preserve">nr. </w:t>
      </w:r>
      <w:r>
        <w:t>2</w:t>
      </w:r>
      <w:r w:rsidR="004A1E8E">
        <w:t>,</w:t>
      </w:r>
      <w:r>
        <w:t xml:space="preserve"> heller ikke at have praktisk betydning. </w:t>
      </w:r>
    </w:p>
    <w:p w14:paraId="3CA6E2EB" w14:textId="77777777" w:rsidR="00E74C95" w:rsidRDefault="00E74C95" w:rsidP="00FD1A50">
      <w:pPr>
        <w:spacing w:after="240"/>
        <w:rPr>
          <w:rFonts w:eastAsia="Calibri" w:cs="Times New Roman"/>
          <w:szCs w:val="24"/>
        </w:rPr>
      </w:pPr>
    </w:p>
    <w:p w14:paraId="695C371F" w14:textId="77777777" w:rsidR="00FD1A50" w:rsidRPr="003B0B97" w:rsidRDefault="00FD1A50" w:rsidP="00FD1A50">
      <w:pPr>
        <w:pStyle w:val="Overskrift1"/>
        <w:rPr>
          <w:rFonts w:cs="Times New Roman"/>
          <w:bCs w:val="0"/>
          <w:iCs/>
          <w:sz w:val="24"/>
          <w:szCs w:val="24"/>
        </w:rPr>
      </w:pPr>
      <w:bookmarkStart w:id="73" w:name="_Toc498557219"/>
      <w:bookmarkStart w:id="74" w:name="_Toc498557283"/>
      <w:bookmarkStart w:id="75" w:name="_Toc498590017"/>
      <w:bookmarkStart w:id="76" w:name="_Toc498681500"/>
      <w:bookmarkStart w:id="77" w:name="_Toc499152772"/>
      <w:bookmarkStart w:id="78" w:name="_Toc499158731"/>
      <w:bookmarkStart w:id="79" w:name="_Toc499648600"/>
      <w:bookmarkStart w:id="80" w:name="_Toc499728093"/>
      <w:bookmarkStart w:id="81" w:name="_Toc499732941"/>
      <w:bookmarkStart w:id="82" w:name="_Toc499736972"/>
      <w:bookmarkStart w:id="83" w:name="_Toc499812912"/>
      <w:bookmarkStart w:id="84" w:name="_Toc499813715"/>
      <w:bookmarkStart w:id="85" w:name="_Toc500921461"/>
      <w:bookmarkStart w:id="86" w:name="_Toc500921487"/>
      <w:bookmarkStart w:id="87" w:name="_Toc500921595"/>
      <w:bookmarkStart w:id="88" w:name="_Toc501019205"/>
      <w:bookmarkStart w:id="89" w:name="_Toc504483850"/>
      <w:bookmarkStart w:id="90" w:name="_Toc505180548"/>
      <w:bookmarkStart w:id="91" w:name="_Toc505690193"/>
      <w:bookmarkStart w:id="92" w:name="_Toc505701746"/>
      <w:bookmarkStart w:id="93" w:name="_Toc505759538"/>
      <w:bookmarkStart w:id="94" w:name="_Toc505759555"/>
      <w:bookmarkStart w:id="95" w:name="_Toc505762648"/>
      <w:bookmarkStart w:id="96" w:name="_Toc505785988"/>
      <w:bookmarkStart w:id="97" w:name="_Toc506799573"/>
      <w:bookmarkStart w:id="98" w:name="_Toc506799590"/>
      <w:bookmarkStart w:id="99" w:name="_Toc506894549"/>
      <w:bookmarkStart w:id="100" w:name="_Toc507486286"/>
      <w:bookmarkStart w:id="101" w:name="_Toc515271225"/>
      <w:bookmarkStart w:id="102" w:name="_Toc515271548"/>
      <w:bookmarkStart w:id="103" w:name="_Toc515271576"/>
      <w:bookmarkStart w:id="104" w:name="_Toc515280472"/>
      <w:bookmarkStart w:id="105" w:name="_Toc515280623"/>
      <w:bookmarkStart w:id="106" w:name="_Toc515352775"/>
      <w:bookmarkStart w:id="107" w:name="_Toc515540848"/>
      <w:bookmarkStart w:id="108" w:name="_Toc515543684"/>
      <w:bookmarkStart w:id="109" w:name="_Toc515543869"/>
      <w:bookmarkStart w:id="110" w:name="_Toc515551670"/>
      <w:bookmarkStart w:id="111" w:name="_Toc515627612"/>
      <w:bookmarkStart w:id="112" w:name="_Toc516039922"/>
      <w:bookmarkStart w:id="113" w:name="_Toc516155345"/>
      <w:bookmarkStart w:id="114" w:name="_Toc516490246"/>
      <w:bookmarkStart w:id="115" w:name="_Toc518037928"/>
      <w:bookmarkStart w:id="116" w:name="_Toc524599576"/>
      <w:bookmarkStart w:id="117" w:name="_Toc526154929"/>
      <w:bookmarkStart w:id="118" w:name="_Toc526155475"/>
      <w:bookmarkStart w:id="119" w:name="_Toc526155548"/>
      <w:bookmarkStart w:id="120" w:name="_Toc526253985"/>
      <w:bookmarkStart w:id="121" w:name="_Toc526348409"/>
      <w:bookmarkStart w:id="122" w:name="_Toc526374600"/>
      <w:bookmarkStart w:id="123" w:name="_Toc526374616"/>
      <w:bookmarkStart w:id="124" w:name="_Toc526406479"/>
      <w:bookmarkStart w:id="125" w:name="_Toc526409499"/>
      <w:bookmarkStart w:id="126" w:name="_Toc526491398"/>
      <w:bookmarkStart w:id="127" w:name="_Toc526505510"/>
      <w:bookmarkStart w:id="128" w:name="_Toc526756602"/>
      <w:r>
        <w:rPr>
          <w:rFonts w:cs="Times New Roman"/>
          <w:bCs w:val="0"/>
          <w:iCs/>
          <w:sz w:val="24"/>
          <w:szCs w:val="24"/>
        </w:rPr>
        <w:t>3</w:t>
      </w:r>
      <w:r w:rsidRPr="003B0B97">
        <w:rPr>
          <w:rFonts w:cs="Times New Roman"/>
          <w:bCs w:val="0"/>
          <w:iCs/>
          <w:sz w:val="24"/>
          <w:szCs w:val="24"/>
        </w:rPr>
        <w:t>. Lovforslagets hovedpunkter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11BB93BB" w14:textId="77777777" w:rsidR="00FD1A50" w:rsidRDefault="00FD1A50" w:rsidP="00FD1A50">
      <w:pPr>
        <w:pStyle w:val="Overskrift2"/>
        <w:rPr>
          <w:rFonts w:cs="Times New Roman"/>
          <w:sz w:val="24"/>
          <w:szCs w:val="24"/>
        </w:rPr>
      </w:pPr>
      <w:bookmarkStart w:id="129" w:name="_Toc526348410"/>
      <w:bookmarkStart w:id="130" w:name="_Toc526374601"/>
      <w:bookmarkStart w:id="131" w:name="_Toc526374617"/>
      <w:bookmarkStart w:id="132" w:name="_Toc526406480"/>
      <w:bookmarkStart w:id="133" w:name="_Toc526409500"/>
      <w:bookmarkStart w:id="134" w:name="_Toc526491399"/>
      <w:bookmarkStart w:id="135" w:name="_Toc526505511"/>
      <w:bookmarkStart w:id="136" w:name="_Toc526756603"/>
      <w:r>
        <w:rPr>
          <w:rFonts w:cs="Times New Roman"/>
          <w:sz w:val="24"/>
          <w:szCs w:val="24"/>
        </w:rPr>
        <w:t>3</w:t>
      </w:r>
      <w:r w:rsidRPr="003B0B97">
        <w:rPr>
          <w:rFonts w:cs="Times New Roman"/>
          <w:sz w:val="24"/>
          <w:szCs w:val="24"/>
        </w:rPr>
        <w:t xml:space="preserve">.1. </w:t>
      </w:r>
      <w:bookmarkEnd w:id="129"/>
      <w:bookmarkEnd w:id="130"/>
      <w:bookmarkEnd w:id="131"/>
      <w:bookmarkEnd w:id="132"/>
      <w:bookmarkEnd w:id="133"/>
      <w:bookmarkEnd w:id="134"/>
      <w:bookmarkEnd w:id="135"/>
      <w:bookmarkEnd w:id="136"/>
      <w:r w:rsidR="00D163A3">
        <w:rPr>
          <w:rFonts w:cs="Times New Roman"/>
          <w:sz w:val="24"/>
          <w:szCs w:val="24"/>
        </w:rPr>
        <w:t xml:space="preserve">Bemyndigelse til at fastsætte regler om modtagekontrol </w:t>
      </w:r>
      <w:r w:rsidR="00517E8D">
        <w:rPr>
          <w:rFonts w:cs="Times New Roman"/>
          <w:sz w:val="24"/>
          <w:szCs w:val="24"/>
        </w:rPr>
        <w:t xml:space="preserve">mv. </w:t>
      </w:r>
      <w:r w:rsidR="00D163A3">
        <w:rPr>
          <w:rFonts w:cs="Times New Roman"/>
          <w:sz w:val="24"/>
          <w:szCs w:val="24"/>
        </w:rPr>
        <w:t xml:space="preserve">på </w:t>
      </w:r>
      <w:r w:rsidR="00517E8D">
        <w:rPr>
          <w:rFonts w:cs="Times New Roman"/>
          <w:sz w:val="24"/>
          <w:szCs w:val="24"/>
        </w:rPr>
        <w:t>affalds</w:t>
      </w:r>
      <w:r w:rsidR="00E6369D">
        <w:rPr>
          <w:rFonts w:cs="Times New Roman"/>
          <w:sz w:val="24"/>
          <w:szCs w:val="24"/>
        </w:rPr>
        <w:t>behandlingsanlæg</w:t>
      </w:r>
    </w:p>
    <w:p w14:paraId="641F1CE3" w14:textId="77777777" w:rsidR="00D163A3" w:rsidRPr="00D163A3" w:rsidRDefault="00D163A3" w:rsidP="00D163A3"/>
    <w:p w14:paraId="18A413E6" w14:textId="77777777" w:rsidR="00FD1A50" w:rsidRDefault="00FD1A50" w:rsidP="00FD1A50">
      <w:pPr>
        <w:pStyle w:val="Undertitel"/>
        <w:spacing w:after="0"/>
      </w:pPr>
      <w:bookmarkStart w:id="137" w:name="_Toc526409501"/>
      <w:bookmarkStart w:id="138" w:name="_Toc526491400"/>
      <w:bookmarkStart w:id="139" w:name="_Toc526505512"/>
      <w:bookmarkStart w:id="140" w:name="_Toc526756604"/>
      <w:r>
        <w:t xml:space="preserve">3.1.1. </w:t>
      </w:r>
      <w:r w:rsidRPr="00C2514E">
        <w:t>Gældende ret</w:t>
      </w:r>
      <w:bookmarkEnd w:id="137"/>
      <w:bookmarkEnd w:id="138"/>
      <w:bookmarkEnd w:id="139"/>
      <w:bookmarkEnd w:id="140"/>
    </w:p>
    <w:p w14:paraId="699C1374" w14:textId="77777777" w:rsidR="00293AB2" w:rsidRDefault="00293AB2" w:rsidP="00293AB2"/>
    <w:p w14:paraId="23A32C1F" w14:textId="77777777" w:rsidR="00293AB2" w:rsidRPr="00D665C2" w:rsidRDefault="00293AB2" w:rsidP="00D665C2">
      <w:r>
        <w:t>3.1.1.1. Miljøbeskyttelsesloven</w:t>
      </w:r>
    </w:p>
    <w:p w14:paraId="45E07914" w14:textId="1DE8816C" w:rsidR="00A1695E" w:rsidRDefault="00A1695E">
      <w:r w:rsidRPr="00091974">
        <w:rPr>
          <w:rFonts w:cstheme="minorHAnsi"/>
        </w:rPr>
        <w:t xml:space="preserve">I miljøbeskyttelseslovens kapitel 5 er der fastsat regler om </w:t>
      </w:r>
      <w:r w:rsidR="005B2851">
        <w:rPr>
          <w:rFonts w:cstheme="minorHAnsi"/>
        </w:rPr>
        <w:t>listevirksomhed og anden erhvervsvirksomhed</w:t>
      </w:r>
      <w:r>
        <w:rPr>
          <w:rFonts w:cstheme="minorHAnsi"/>
        </w:rPr>
        <w:t xml:space="preserve">, som </w:t>
      </w:r>
      <w:r w:rsidR="00135147">
        <w:rPr>
          <w:rFonts w:cstheme="minorHAnsi"/>
        </w:rPr>
        <w:t xml:space="preserve">blandt andet </w:t>
      </w:r>
      <w:r>
        <w:rPr>
          <w:rFonts w:cstheme="minorHAnsi"/>
        </w:rPr>
        <w:t>har til formål at sikre</w:t>
      </w:r>
      <w:r w:rsidR="00BF2B05">
        <w:rPr>
          <w:rFonts w:cstheme="minorHAnsi"/>
        </w:rPr>
        <w:t>,</w:t>
      </w:r>
      <w:r w:rsidRPr="00091974">
        <w:rPr>
          <w:rFonts w:cstheme="minorHAnsi"/>
        </w:rPr>
        <w:t xml:space="preserve"> at </w:t>
      </w:r>
      <w:r w:rsidR="00135147">
        <w:rPr>
          <w:rFonts w:cstheme="minorHAnsi"/>
        </w:rPr>
        <w:t xml:space="preserve">forbrændingsanlæg </w:t>
      </w:r>
      <w:r w:rsidR="005B2851">
        <w:rPr>
          <w:rFonts w:cstheme="minorHAnsi"/>
        </w:rPr>
        <w:t>ikke forurener omgivelserne ud over det acceptable niveau</w:t>
      </w:r>
      <w:r w:rsidR="00D10863">
        <w:rPr>
          <w:rFonts w:cstheme="minorHAnsi"/>
        </w:rPr>
        <w:t>.</w:t>
      </w:r>
      <w:r w:rsidRPr="00091974">
        <w:rPr>
          <w:rFonts w:cstheme="minorHAnsi"/>
        </w:rPr>
        <w:t xml:space="preserve"> </w:t>
      </w:r>
      <w:r w:rsidR="0096004F">
        <w:rPr>
          <w:rFonts w:cstheme="minorHAnsi"/>
        </w:rPr>
        <w:t>Ved</w:t>
      </w:r>
      <w:r w:rsidR="005B2851">
        <w:rPr>
          <w:rFonts w:cstheme="minorHAnsi"/>
        </w:rPr>
        <w:t xml:space="preserve"> miljøtilsyn fører </w:t>
      </w:r>
      <w:r w:rsidR="00AC1448">
        <w:rPr>
          <w:rFonts w:cstheme="minorHAnsi"/>
        </w:rPr>
        <w:t>tilsynsmyndigheden</w:t>
      </w:r>
      <w:r w:rsidR="005B2851">
        <w:rPr>
          <w:rFonts w:cstheme="minorHAnsi"/>
        </w:rPr>
        <w:t xml:space="preserve"> tilsyn med</w:t>
      </w:r>
      <w:r w:rsidRPr="00091974">
        <w:rPr>
          <w:rFonts w:cstheme="minorHAnsi"/>
        </w:rPr>
        <w:t xml:space="preserve">, at </w:t>
      </w:r>
      <w:r w:rsidR="00747753">
        <w:rPr>
          <w:rFonts w:cstheme="minorHAnsi"/>
        </w:rPr>
        <w:t>udledningen</w:t>
      </w:r>
      <w:r w:rsidRPr="00091974">
        <w:rPr>
          <w:rFonts w:cstheme="minorHAnsi"/>
        </w:rPr>
        <w:t xml:space="preserve"> </w:t>
      </w:r>
      <w:r w:rsidRPr="00091974">
        <w:rPr>
          <w:rFonts w:cstheme="minorHAnsi"/>
        </w:rPr>
        <w:lastRenderedPageBreak/>
        <w:t>fra virksomheden er forenelig med miljøbeskyttelseslovens formål herunder</w:t>
      </w:r>
      <w:r>
        <w:rPr>
          <w:rFonts w:cstheme="minorHAnsi"/>
        </w:rPr>
        <w:t>,</w:t>
      </w:r>
      <w:r w:rsidRPr="00091974">
        <w:rPr>
          <w:rFonts w:cstheme="minorHAnsi"/>
        </w:rPr>
        <w:t xml:space="preserve"> at vilkår i godkendelser og tilladelser samt regler i bekendtgørelser</w:t>
      </w:r>
      <w:r w:rsidR="0096004F">
        <w:rPr>
          <w:rFonts w:cstheme="minorHAnsi"/>
        </w:rPr>
        <w:t xml:space="preserve"> efter miljøbeskyttelsesloven</w:t>
      </w:r>
      <w:r w:rsidRPr="00091974">
        <w:rPr>
          <w:rFonts w:cstheme="minorHAnsi"/>
        </w:rPr>
        <w:t xml:space="preserve"> overholdes.</w:t>
      </w:r>
      <w:r>
        <w:rPr>
          <w:rFonts w:cstheme="minorHAnsi"/>
        </w:rPr>
        <w:t xml:space="preserve"> </w:t>
      </w:r>
      <w:r>
        <w:t xml:space="preserve">I miljøgodkendelsen </w:t>
      </w:r>
      <w:r w:rsidR="00A602C0">
        <w:t xml:space="preserve">af forbrændingsanlæg </w:t>
      </w:r>
      <w:r w:rsidR="00135147">
        <w:t>stiller</w:t>
      </w:r>
      <w:r>
        <w:t xml:space="preserve"> godkendelsesmyndigheden krav til</w:t>
      </w:r>
      <w:r w:rsidR="00BF46D0">
        <w:t xml:space="preserve">, at </w:t>
      </w:r>
      <w:r w:rsidR="0096004F">
        <w:t xml:space="preserve">de virksomheder, der driver </w:t>
      </w:r>
      <w:r w:rsidR="00BF46D0">
        <w:t>anlæggene</w:t>
      </w:r>
      <w:r w:rsidR="00BF2B05">
        <w:t>,</w:t>
      </w:r>
      <w:r w:rsidR="00BF46D0">
        <w:t xml:space="preserve"> udfører egenkontrol</w:t>
      </w:r>
      <w:r w:rsidR="00135147">
        <w:t>. Dette kan f.eks. gøres ved</w:t>
      </w:r>
      <w:r w:rsidR="00BF46D0">
        <w:t xml:space="preserve"> kamerainstallation og </w:t>
      </w:r>
      <w:r w:rsidR="00BC4142">
        <w:t>udspredning af affaldet på gulv.</w:t>
      </w:r>
      <w:r>
        <w:t xml:space="preserve"> </w:t>
      </w:r>
      <w:r w:rsidR="00BF46D0">
        <w:t xml:space="preserve">Herudover er der i </w:t>
      </w:r>
      <w:r w:rsidR="00A602C0">
        <w:t>affaldsforbrændingsbekendtgørelsens § 21</w:t>
      </w:r>
      <w:r w:rsidR="00BF46D0">
        <w:t xml:space="preserve"> fastsat krav om </w:t>
      </w:r>
      <w:r w:rsidR="00632F3D">
        <w:t>egenkontrol</w:t>
      </w:r>
      <w:r w:rsidR="00BF46D0">
        <w:t>, jf. nedenfor.</w:t>
      </w:r>
    </w:p>
    <w:p w14:paraId="4F91C99C" w14:textId="77777777" w:rsidR="00A1695E" w:rsidRDefault="00A1695E" w:rsidP="00A1695E"/>
    <w:p w14:paraId="26F03B3E" w14:textId="08985AE3" w:rsidR="00883AD5" w:rsidRDefault="0096004F" w:rsidP="00A1695E">
      <w:r>
        <w:t>Virksomheder, der driver a</w:t>
      </w:r>
      <w:r w:rsidR="00A1695E">
        <w:t>ffaldsforbrændingsanlæg</w:t>
      </w:r>
      <w:r w:rsidR="00611093">
        <w:t>,</w:t>
      </w:r>
      <w:r w:rsidR="00A1695E">
        <w:t xml:space="preserve"> fører </w:t>
      </w:r>
      <w:r w:rsidR="00A602C0">
        <w:t>på denne baggrund</w:t>
      </w:r>
      <w:r w:rsidR="00BF46D0">
        <w:t xml:space="preserve"> egenkont</w:t>
      </w:r>
      <w:r w:rsidR="00643557">
        <w:t>r</w:t>
      </w:r>
      <w:r w:rsidR="00BF46D0">
        <w:t xml:space="preserve">ol </w:t>
      </w:r>
      <w:r w:rsidR="00A1695E">
        <w:t xml:space="preserve">med tilkørte læs for at sikre, at kun forbrændingsegnet affald sendes til forbrænding. </w:t>
      </w:r>
      <w:r>
        <w:t>Kravet om e</w:t>
      </w:r>
      <w:r w:rsidR="00B00B32">
        <w:t>genkontrollen</w:t>
      </w:r>
      <w:r w:rsidR="00A602C0">
        <w:t xml:space="preserve"> har hjemmel i </w:t>
      </w:r>
      <w:r>
        <w:t>m</w:t>
      </w:r>
      <w:r w:rsidR="00A602C0">
        <w:t xml:space="preserve">iljøbeskyttelseslovens § 7, stk. 1, nr. 1 og 2, der har til formål at forebygge forurening fra virksomheder, anlæg mv. </w:t>
      </w:r>
      <w:r w:rsidR="00A1695E">
        <w:t xml:space="preserve">Tilsyn med </w:t>
      </w:r>
      <w:r w:rsidR="007516C1">
        <w:t>egenkontrollen, herunder</w:t>
      </w:r>
      <w:r w:rsidR="00A1695E">
        <w:t xml:space="preserve"> anlæggenes stikprøvekontrol</w:t>
      </w:r>
      <w:r>
        <w:t>,</w:t>
      </w:r>
      <w:r w:rsidR="00A1695E">
        <w:t xml:space="preserve"> er en del af det nuværende </w:t>
      </w:r>
      <w:r w:rsidR="00A1695E" w:rsidRPr="00A1695E">
        <w:t xml:space="preserve">miljøtilsyn med forbrændingsanlæggene, der har fokus på, at det indleverede affald </w:t>
      </w:r>
      <w:r w:rsidR="00A1695E" w:rsidRPr="00D665C2">
        <w:t>ikke medfører forøget luftforurening</w:t>
      </w:r>
      <w:r w:rsidR="00A1695E" w:rsidRPr="00A1695E">
        <w:t xml:space="preserve"> fra forbrændingsanlægget. </w:t>
      </w:r>
    </w:p>
    <w:p w14:paraId="691D7DA2" w14:textId="77777777" w:rsidR="00A1695E" w:rsidRDefault="00A1695E" w:rsidP="00A1695E"/>
    <w:p w14:paraId="0B77F59B" w14:textId="2B1CC9C4" w:rsidR="00D163A3" w:rsidRPr="007F0EDC" w:rsidRDefault="00AC1448" w:rsidP="00831B28">
      <w:pPr>
        <w:spacing w:after="240"/>
        <w:jc w:val="left"/>
      </w:pPr>
      <w:r>
        <w:rPr>
          <w:rFonts w:eastAsia="Calibri" w:cs="Times New Roman"/>
          <w:szCs w:val="24"/>
        </w:rPr>
        <w:t>Miljøbeskyttelsesloven indeholder derimod ikke regler om</w:t>
      </w:r>
      <w:r w:rsidR="0096004F">
        <w:rPr>
          <w:rFonts w:eastAsia="Calibri" w:cs="Times New Roman"/>
          <w:szCs w:val="24"/>
        </w:rPr>
        <w:t xml:space="preserve"> at virksomheder, der driver affalds</w:t>
      </w:r>
      <w:r w:rsidR="007215D1">
        <w:rPr>
          <w:rFonts w:eastAsia="Calibri" w:cs="Times New Roman"/>
          <w:szCs w:val="24"/>
        </w:rPr>
        <w:t>behandlings</w:t>
      </w:r>
      <w:r w:rsidR="0096004F">
        <w:rPr>
          <w:rFonts w:eastAsia="Calibri" w:cs="Times New Roman"/>
          <w:szCs w:val="24"/>
        </w:rPr>
        <w:t>anlæg med henblik på forbrænding, skal gennemføre en</w:t>
      </w:r>
      <w:r>
        <w:rPr>
          <w:rFonts w:eastAsia="Calibri" w:cs="Times New Roman"/>
          <w:szCs w:val="24"/>
        </w:rPr>
        <w:t xml:space="preserve"> modtagekontrol med fokus på </w:t>
      </w:r>
      <w:r w:rsidR="001D76C0">
        <w:rPr>
          <w:rFonts w:eastAsia="Calibri" w:cs="Times New Roman"/>
          <w:szCs w:val="24"/>
        </w:rPr>
        <w:t>affald egnet til materialenyttiggørelse</w:t>
      </w:r>
      <w:r w:rsidR="00E46A12">
        <w:rPr>
          <w:rFonts w:eastAsia="Calibri" w:cs="Times New Roman"/>
          <w:szCs w:val="24"/>
        </w:rPr>
        <w:t xml:space="preserve">. Miljøbeskyttelsesloven indeholder dog </w:t>
      </w:r>
      <w:r w:rsidR="00D163A3">
        <w:t xml:space="preserve">en række </w:t>
      </w:r>
      <w:r w:rsidR="00E46A12">
        <w:t xml:space="preserve">generelle </w:t>
      </w:r>
      <w:r w:rsidR="00D163A3">
        <w:t xml:space="preserve">regler om, hvordan affald skal håndteres, herunder at </w:t>
      </w:r>
      <w:r w:rsidR="001D76C0">
        <w:t xml:space="preserve">udarbejdelse af politikker og regler </w:t>
      </w:r>
      <w:r w:rsidR="00D163A3">
        <w:t>skal følge det såkaldte affaldshierarki</w:t>
      </w:r>
      <w:r w:rsidR="007D77E8">
        <w:t>, jf. nedenfor</w:t>
      </w:r>
      <w:r w:rsidR="00D163A3">
        <w:t>.</w:t>
      </w:r>
    </w:p>
    <w:p w14:paraId="1415E99E" w14:textId="13DACCDC" w:rsidR="00D163A3" w:rsidRDefault="00D163A3" w:rsidP="00D163A3">
      <w:r>
        <w:t xml:space="preserve">Det fremgår </w:t>
      </w:r>
      <w:r w:rsidR="0096004F">
        <w:t xml:space="preserve">videre </w:t>
      </w:r>
      <w:r>
        <w:t xml:space="preserve">af § 44, stk. 1, i miljøbeskyttelsesloven, at miljøministeren kan fastsætte regler om klassificering, håndtering, sortering og opbevaring af affald. </w:t>
      </w:r>
    </w:p>
    <w:p w14:paraId="27B00F9E" w14:textId="77777777" w:rsidR="00CB1590" w:rsidRDefault="00CB1590" w:rsidP="00D163A3"/>
    <w:p w14:paraId="2853E33C" w14:textId="77777777" w:rsidR="00CB1590" w:rsidRDefault="00CB1590" w:rsidP="00D163A3">
      <w:r>
        <w:t>Det fremgår af § 45, stk. 1, i miljøbeskyttelsesloven, at kommunalbestyrelsen forestår håndteringen af affald, medmindre andet er fastsat i loven eller regler udstedt i medfør af loven.</w:t>
      </w:r>
    </w:p>
    <w:p w14:paraId="35414F89" w14:textId="77777777" w:rsidR="00D163A3" w:rsidRDefault="00D163A3" w:rsidP="00D163A3"/>
    <w:p w14:paraId="25951356" w14:textId="77777777" w:rsidR="00D163A3" w:rsidRDefault="00D163A3" w:rsidP="00D163A3">
      <w:r>
        <w:t>Det fremgår af § 46 a, stk. 2, i miljøbeskyttelsesloven, at miljøministeren kan fastsætte regler om krav til anmeldelse, dokumentation og oplysninger om affald, herunder om myndigheders, borgeres, grundejeres, virksomheders, ejeres, køberes, sælgeres og eksportørers pligt til at foretage anmeldelse af, dokumentere og afgive oplysninger om affald, herunder i sager om klassificering af affald samt foretage undersøgelser af affald for egen regning.</w:t>
      </w:r>
    </w:p>
    <w:p w14:paraId="6313988A" w14:textId="77777777" w:rsidR="00D163A3" w:rsidRDefault="00D163A3" w:rsidP="00D163A3"/>
    <w:p w14:paraId="01CFDF39" w14:textId="77777777" w:rsidR="00A34C6D" w:rsidRDefault="00A34C6D" w:rsidP="00A34C6D">
      <w:r>
        <w:lastRenderedPageBreak/>
        <w:t xml:space="preserve">Det fremgår af miljøbeskyttelseslovens § 6 b, at udarbejdelse af politikker og udstedelse af regler om affaldsforebyggelse og -håndtering i udgangspunktet skal ske i overensstemmelse med affaldshierarkiet. Affaldshierarkiet består af 5 niveauer, hvoraf kun niveau 2-5 omhandler affaldshåndtering, mens niveau 1 omhandler affaldsforebyggelse. </w:t>
      </w:r>
    </w:p>
    <w:p w14:paraId="1EB32F34" w14:textId="77777777" w:rsidR="00A34C6D" w:rsidRDefault="00A34C6D" w:rsidP="00A34C6D"/>
    <w:p w14:paraId="5B2698C9" w14:textId="77B10081" w:rsidR="00A34C6D" w:rsidRDefault="00A34C6D" w:rsidP="00A34C6D">
      <w:r>
        <w:t xml:space="preserve">Affaldshierarkiet </w:t>
      </w:r>
      <w:r w:rsidR="003E77E6">
        <w:t>indeholder følgende niveauer</w:t>
      </w:r>
      <w:r>
        <w:t>:</w:t>
      </w:r>
    </w:p>
    <w:p w14:paraId="72C03F04" w14:textId="77777777" w:rsidR="00A34C6D" w:rsidRDefault="00A34C6D" w:rsidP="00A34C6D">
      <w:pPr>
        <w:pStyle w:val="Listeafsnit"/>
        <w:numPr>
          <w:ilvl w:val="0"/>
          <w:numId w:val="7"/>
        </w:numPr>
        <w:jc w:val="both"/>
        <w:rPr>
          <w:rFonts w:ascii="Times New Roman" w:hAnsi="Times New Roman"/>
          <w:sz w:val="24"/>
        </w:rPr>
      </w:pPr>
      <w:r>
        <w:rPr>
          <w:rFonts w:ascii="Times New Roman" w:hAnsi="Times New Roman"/>
          <w:sz w:val="24"/>
        </w:rPr>
        <w:t>Affaldsforebyggelse: Tiltag, der reducerer mængden af affald, der produceres (f.eks. direkte genbrug af byggematerialer).</w:t>
      </w:r>
    </w:p>
    <w:p w14:paraId="543E8126" w14:textId="77777777" w:rsidR="00A34C6D" w:rsidRDefault="00A34C6D" w:rsidP="00A34C6D">
      <w:pPr>
        <w:pStyle w:val="Listeafsnit"/>
        <w:numPr>
          <w:ilvl w:val="0"/>
          <w:numId w:val="7"/>
        </w:numPr>
        <w:jc w:val="both"/>
        <w:rPr>
          <w:rFonts w:ascii="Times New Roman" w:hAnsi="Times New Roman"/>
          <w:sz w:val="24"/>
        </w:rPr>
      </w:pPr>
      <w:r>
        <w:rPr>
          <w:rFonts w:ascii="Times New Roman" w:hAnsi="Times New Roman"/>
          <w:sz w:val="24"/>
        </w:rPr>
        <w:t>Forberedelse med henblik på genbrug: Enhver nyttiggørelsesoperation i form af kontrol, rengøring eller reparation, hvor produkter eller produktkomponenter, der er blevet til affald, forberedes, således at de kan genbruges uden anden forbehandling (f.eks. kasserede mursten, der rengøres og indgår i et nyt byggeprojekt).</w:t>
      </w:r>
    </w:p>
    <w:p w14:paraId="7CED8304" w14:textId="77777777" w:rsidR="00A34C6D" w:rsidRDefault="00A34C6D" w:rsidP="00A34C6D">
      <w:pPr>
        <w:pStyle w:val="Listeafsnit"/>
        <w:numPr>
          <w:ilvl w:val="0"/>
          <w:numId w:val="7"/>
        </w:numPr>
        <w:jc w:val="both"/>
        <w:rPr>
          <w:rFonts w:ascii="Times New Roman" w:hAnsi="Times New Roman"/>
          <w:sz w:val="24"/>
        </w:rPr>
      </w:pPr>
      <w:r>
        <w:rPr>
          <w:rFonts w:ascii="Times New Roman" w:hAnsi="Times New Roman"/>
          <w:sz w:val="24"/>
        </w:rPr>
        <w:t xml:space="preserve">Genanvendelse: Enhver nyttiggørelsesoperation, hvor affaldsmaterialer </w:t>
      </w:r>
      <w:proofErr w:type="spellStart"/>
      <w:r>
        <w:rPr>
          <w:rFonts w:ascii="Times New Roman" w:hAnsi="Times New Roman"/>
          <w:sz w:val="24"/>
        </w:rPr>
        <w:t>omforarbejdes</w:t>
      </w:r>
      <w:proofErr w:type="spellEnd"/>
      <w:r>
        <w:rPr>
          <w:rFonts w:ascii="Times New Roman" w:hAnsi="Times New Roman"/>
          <w:sz w:val="24"/>
        </w:rPr>
        <w:t xml:space="preserve"> til produkter, materialer eller stoffer, hvad enten de bruges til det oprindelige formål eller til andre formål (f.eks. nedknusning af gips til anvendelse i nye plader). Heri indgår </w:t>
      </w:r>
      <w:proofErr w:type="spellStart"/>
      <w:r>
        <w:rPr>
          <w:rFonts w:ascii="Times New Roman" w:hAnsi="Times New Roman"/>
          <w:sz w:val="24"/>
        </w:rPr>
        <w:t>omforarbejdning</w:t>
      </w:r>
      <w:proofErr w:type="spellEnd"/>
      <w:r>
        <w:rPr>
          <w:rFonts w:ascii="Times New Roman" w:hAnsi="Times New Roman"/>
          <w:sz w:val="24"/>
        </w:rPr>
        <w:t xml:space="preserve"> af organisk materiale, men ikke energiudnyttelse og </w:t>
      </w:r>
      <w:proofErr w:type="spellStart"/>
      <w:r>
        <w:rPr>
          <w:rFonts w:ascii="Times New Roman" w:hAnsi="Times New Roman"/>
          <w:sz w:val="24"/>
        </w:rPr>
        <w:t>omforarbejdning</w:t>
      </w:r>
      <w:proofErr w:type="spellEnd"/>
      <w:r>
        <w:rPr>
          <w:rFonts w:ascii="Times New Roman" w:hAnsi="Times New Roman"/>
          <w:sz w:val="24"/>
        </w:rPr>
        <w:t xml:space="preserve"> til materialer, der skal anvendes til brændsel eller til opfyldningsoperationer.</w:t>
      </w:r>
    </w:p>
    <w:p w14:paraId="3EC82617" w14:textId="77777777" w:rsidR="00A34C6D" w:rsidRDefault="00A34C6D" w:rsidP="00A34C6D">
      <w:pPr>
        <w:pStyle w:val="Listeafsnit"/>
        <w:numPr>
          <w:ilvl w:val="0"/>
          <w:numId w:val="7"/>
        </w:numPr>
        <w:jc w:val="both"/>
        <w:rPr>
          <w:rFonts w:ascii="Times New Roman" w:hAnsi="Times New Roman"/>
          <w:sz w:val="24"/>
        </w:rPr>
      </w:pPr>
      <w:r>
        <w:rPr>
          <w:rFonts w:ascii="Times New Roman" w:hAnsi="Times New Roman"/>
          <w:sz w:val="24"/>
        </w:rPr>
        <w:t>Anden nyttiggørelse: Enhver nyttiggørelsesoperation, bortset fra de operationer, hvor affald forberedes til genbrug, genanvendes, energiudnyttes ved forbrænding eller forbehandles (f.eks. nedknust bygge- og anlægsaffald til opbygning af en støjvold).</w:t>
      </w:r>
    </w:p>
    <w:p w14:paraId="1F6A2117" w14:textId="77777777" w:rsidR="00A34C6D" w:rsidRDefault="00A34C6D" w:rsidP="00A34C6D">
      <w:pPr>
        <w:pStyle w:val="Listeafsnit"/>
        <w:numPr>
          <w:ilvl w:val="0"/>
          <w:numId w:val="7"/>
        </w:numPr>
        <w:jc w:val="both"/>
        <w:rPr>
          <w:rFonts w:ascii="Times New Roman" w:hAnsi="Times New Roman"/>
          <w:sz w:val="24"/>
        </w:rPr>
      </w:pPr>
      <w:r>
        <w:rPr>
          <w:rFonts w:ascii="Times New Roman" w:hAnsi="Times New Roman"/>
          <w:sz w:val="24"/>
        </w:rPr>
        <w:t>Bortskaffelse: Enhver operation, der ikke er nyttiggørelse, også hvis operationen som sekundær konsekvens fører til genvinding af stoffer eller til energiudnyttelse (f.eks. deponering).</w:t>
      </w:r>
    </w:p>
    <w:p w14:paraId="458435F0" w14:textId="77777777" w:rsidR="00A34C6D" w:rsidRDefault="00A34C6D" w:rsidP="00D163A3"/>
    <w:p w14:paraId="7C161612" w14:textId="77777777" w:rsidR="00165E7D" w:rsidRDefault="00165E7D" w:rsidP="00D665C2">
      <w:pPr>
        <w:rPr>
          <w:rFonts w:eastAsia="Calibri" w:cs="Times New Roman"/>
          <w:szCs w:val="24"/>
        </w:rPr>
      </w:pPr>
    </w:p>
    <w:p w14:paraId="7659A13A" w14:textId="77777777" w:rsidR="00FD1A50" w:rsidRDefault="00D163A3" w:rsidP="00FD1A50">
      <w:pPr>
        <w:spacing w:after="240"/>
        <w:rPr>
          <w:rFonts w:eastAsia="Calibri" w:cs="Times New Roman"/>
          <w:szCs w:val="24"/>
        </w:rPr>
      </w:pPr>
      <w:r>
        <w:rPr>
          <w:rFonts w:eastAsia="Calibri" w:cs="Times New Roman"/>
          <w:szCs w:val="24"/>
        </w:rPr>
        <w:t>3.1.1.2 Affaldsbekendtgørelsen</w:t>
      </w:r>
    </w:p>
    <w:p w14:paraId="678B3577" w14:textId="0A751B6E" w:rsidR="00D163A3" w:rsidRDefault="00D163A3" w:rsidP="00D163A3">
      <w:pPr>
        <w:spacing w:after="240"/>
        <w:jc w:val="left"/>
        <w:rPr>
          <w:rFonts w:eastAsia="Calibri" w:cs="Times New Roman"/>
          <w:szCs w:val="24"/>
        </w:rPr>
      </w:pPr>
      <w:r>
        <w:rPr>
          <w:rFonts w:eastAsia="Calibri" w:cs="Times New Roman"/>
          <w:szCs w:val="24"/>
        </w:rPr>
        <w:t>Bekendtgørelse nr. 2512 af 10. december 2021 om affald (affaldsbekendtgørelsen), indeholder med hjemmel i miljøbeskyttelsesloven regler om affald</w:t>
      </w:r>
      <w:r w:rsidR="007D77E8">
        <w:rPr>
          <w:rFonts w:eastAsia="Calibri" w:cs="Times New Roman"/>
          <w:szCs w:val="24"/>
        </w:rPr>
        <w:t>shåndtering, klassificering, planlægning, anmeldelse m</w:t>
      </w:r>
      <w:r w:rsidR="002B2C27">
        <w:rPr>
          <w:rFonts w:eastAsia="Calibri" w:cs="Times New Roman"/>
          <w:szCs w:val="24"/>
        </w:rPr>
        <w:t>.</w:t>
      </w:r>
      <w:r w:rsidR="007D77E8">
        <w:rPr>
          <w:rFonts w:eastAsia="Calibri" w:cs="Times New Roman"/>
          <w:szCs w:val="24"/>
        </w:rPr>
        <w:t>v.</w:t>
      </w:r>
      <w:r>
        <w:rPr>
          <w:rFonts w:eastAsia="Calibri" w:cs="Times New Roman"/>
          <w:szCs w:val="24"/>
        </w:rPr>
        <w:t xml:space="preserve"> </w:t>
      </w:r>
    </w:p>
    <w:p w14:paraId="628EF8C2" w14:textId="78B3BF49" w:rsidR="00D163A3" w:rsidRDefault="00D163A3" w:rsidP="00D163A3">
      <w:pPr>
        <w:spacing w:after="240"/>
        <w:rPr>
          <w:rFonts w:eastAsia="Calibri" w:cs="Times New Roman"/>
          <w:szCs w:val="24"/>
        </w:rPr>
      </w:pPr>
      <w:r>
        <w:t>Det fremgår af</w:t>
      </w:r>
      <w:r>
        <w:rPr>
          <w:rFonts w:eastAsia="Calibri" w:cs="Times New Roman"/>
          <w:szCs w:val="24"/>
        </w:rPr>
        <w:t xml:space="preserve"> § 2, at ved affald forstås i bekendtgørelsen ethvert stof eller enhver genstand, som indehaveren skiller sig af med eller agter eller er forpligtet til at skille sig af med.</w:t>
      </w:r>
    </w:p>
    <w:p w14:paraId="21EA2536" w14:textId="0575A36B" w:rsidR="00D163A3" w:rsidRDefault="00823AB0" w:rsidP="00D163A3">
      <w:pPr>
        <w:spacing w:after="240"/>
        <w:rPr>
          <w:rFonts w:eastAsia="Calibri" w:cs="Times New Roman"/>
          <w:szCs w:val="24"/>
        </w:rPr>
      </w:pPr>
      <w:r>
        <w:rPr>
          <w:rFonts w:eastAsia="Calibri" w:cs="Times New Roman"/>
          <w:szCs w:val="24"/>
        </w:rPr>
        <w:t xml:space="preserve">Bekendtgørelsens § 3 indeholder blandt andet definitioner af </w:t>
      </w:r>
      <w:r w:rsidR="00F13865">
        <w:rPr>
          <w:rFonts w:eastAsia="Calibri" w:cs="Times New Roman"/>
          <w:szCs w:val="24"/>
        </w:rPr>
        <w:t xml:space="preserve">affald egnet til materialenyttiggørelse, </w:t>
      </w:r>
      <w:r>
        <w:rPr>
          <w:rFonts w:eastAsia="Calibri" w:cs="Times New Roman"/>
          <w:szCs w:val="24"/>
        </w:rPr>
        <w:t xml:space="preserve">affaldsbehandlingsanlæg, forbrændingsegnet affald, </w:t>
      </w:r>
      <w:r>
        <w:rPr>
          <w:rFonts w:eastAsia="Calibri" w:cs="Times New Roman"/>
          <w:szCs w:val="24"/>
        </w:rPr>
        <w:lastRenderedPageBreak/>
        <w:t xml:space="preserve">genanvendeligt affald, genanvendelse og </w:t>
      </w:r>
      <w:r w:rsidR="00FC2CB8">
        <w:rPr>
          <w:rFonts w:eastAsia="Calibri" w:cs="Times New Roman"/>
          <w:szCs w:val="24"/>
        </w:rPr>
        <w:t xml:space="preserve">forberedelse med henblik på </w:t>
      </w:r>
      <w:r>
        <w:rPr>
          <w:rFonts w:eastAsia="Calibri" w:cs="Times New Roman"/>
          <w:szCs w:val="24"/>
        </w:rPr>
        <w:t>genbrug.</w:t>
      </w:r>
    </w:p>
    <w:p w14:paraId="2EA25053" w14:textId="77777777" w:rsidR="00F13865" w:rsidRPr="00F13865" w:rsidRDefault="00F13865" w:rsidP="00D163A3">
      <w:pPr>
        <w:spacing w:after="240"/>
        <w:rPr>
          <w:rFonts w:eastAsia="Calibri" w:cs="Times New Roman"/>
          <w:szCs w:val="24"/>
        </w:rPr>
      </w:pPr>
      <w:r>
        <w:rPr>
          <w:rFonts w:eastAsia="Calibri" w:cs="Times New Roman"/>
          <w:szCs w:val="24"/>
        </w:rPr>
        <w:t xml:space="preserve">Ved </w:t>
      </w:r>
      <w:r>
        <w:rPr>
          <w:rFonts w:eastAsia="Calibri" w:cs="Times New Roman"/>
          <w:i/>
          <w:szCs w:val="24"/>
        </w:rPr>
        <w:t>affald egnet til materialenyttiggørelse</w:t>
      </w:r>
      <w:r>
        <w:rPr>
          <w:rFonts w:eastAsia="Calibri" w:cs="Times New Roman"/>
          <w:b/>
          <w:i/>
          <w:szCs w:val="24"/>
        </w:rPr>
        <w:t xml:space="preserve"> </w:t>
      </w:r>
      <w:r>
        <w:rPr>
          <w:rFonts w:eastAsia="Calibri" w:cs="Times New Roman"/>
          <w:szCs w:val="24"/>
        </w:rPr>
        <w:t>forstås affald, som kan forberedes til genbrug, genanvendes eller anvendes til anden endelig materialenyttiggørelse eller forbehandling med henblik på en af de nævnte behandlingsformer.</w:t>
      </w:r>
    </w:p>
    <w:p w14:paraId="23F0537A" w14:textId="77777777" w:rsidR="00823AB0" w:rsidRPr="00293AB2" w:rsidRDefault="00823AB0" w:rsidP="00D163A3">
      <w:pPr>
        <w:spacing w:after="240"/>
        <w:rPr>
          <w:rFonts w:eastAsia="Calibri" w:cs="Times New Roman"/>
          <w:szCs w:val="24"/>
        </w:rPr>
      </w:pPr>
      <w:r w:rsidRPr="00293AB2">
        <w:rPr>
          <w:rFonts w:eastAsia="Calibri" w:cs="Times New Roman"/>
          <w:szCs w:val="24"/>
        </w:rPr>
        <w:t xml:space="preserve">Ved </w:t>
      </w:r>
      <w:r w:rsidRPr="00547CFB">
        <w:rPr>
          <w:rFonts w:eastAsia="Calibri" w:cs="Times New Roman"/>
          <w:i/>
          <w:szCs w:val="24"/>
        </w:rPr>
        <w:t>affaldsbehandlingsanlæg</w:t>
      </w:r>
      <w:r w:rsidRPr="00293AB2">
        <w:rPr>
          <w:rFonts w:eastAsia="Calibri" w:cs="Times New Roman"/>
          <w:szCs w:val="24"/>
        </w:rPr>
        <w:t xml:space="preserve"> forstås anlæg, som nyttiggør eller bortskaffer affald, herunder anlæg, som forbereder affald forud for nyttiggørelse eller bortskaffelse.</w:t>
      </w:r>
    </w:p>
    <w:p w14:paraId="55BF2232" w14:textId="57E36F09" w:rsidR="00823AB0" w:rsidRPr="00293AB2" w:rsidRDefault="00823AB0" w:rsidP="00D163A3">
      <w:pPr>
        <w:spacing w:after="240"/>
        <w:rPr>
          <w:rFonts w:eastAsia="Calibri" w:cs="Times New Roman"/>
          <w:szCs w:val="24"/>
        </w:rPr>
      </w:pPr>
      <w:r w:rsidRPr="00293AB2">
        <w:rPr>
          <w:rFonts w:eastAsia="Calibri" w:cs="Times New Roman"/>
          <w:szCs w:val="24"/>
        </w:rPr>
        <w:t xml:space="preserve">Ved </w:t>
      </w:r>
      <w:r w:rsidRPr="00547CFB">
        <w:rPr>
          <w:rFonts w:eastAsia="Calibri" w:cs="Times New Roman"/>
          <w:i/>
          <w:szCs w:val="24"/>
        </w:rPr>
        <w:t>forbrændingsegnet affald</w:t>
      </w:r>
      <w:r w:rsidRPr="00293AB2">
        <w:rPr>
          <w:rFonts w:eastAsia="Calibri" w:cs="Times New Roman"/>
          <w:szCs w:val="24"/>
        </w:rPr>
        <w:t xml:space="preserve"> forstås affald, som ikke er egnet til materialenyttiggørelse, og som kan destrueres ved forbrænding, uden at forbrænding heraf giver anledning til udledning af forurenende stoffer i uacceptabelt omfang. Forbrændingsegnet affald omfatter ikke affald, som det efter lovgivningen er forbudt at forbrænde</w:t>
      </w:r>
      <w:r w:rsidR="00611093">
        <w:rPr>
          <w:rFonts w:eastAsia="Calibri" w:cs="Times New Roman"/>
          <w:szCs w:val="24"/>
        </w:rPr>
        <w:t>,</w:t>
      </w:r>
      <w:r w:rsidRPr="00293AB2">
        <w:rPr>
          <w:rFonts w:eastAsia="Calibri" w:cs="Times New Roman"/>
          <w:szCs w:val="24"/>
        </w:rPr>
        <w:t xml:space="preserve"> og affald, der efter lovgivningen, herunder et regulativ vedtaget af kommunalbestyrelsen, skal indsamles eller anvises til materialenyttiggørelse eller anden behandling, herunder deponering eller som konkret anvises til materialenyttiggørelse eller anden behandling, herunder deponering.</w:t>
      </w:r>
    </w:p>
    <w:p w14:paraId="208FBED1" w14:textId="77777777" w:rsidR="00823AB0" w:rsidRPr="00293AB2" w:rsidRDefault="00823AB0" w:rsidP="00D163A3">
      <w:pPr>
        <w:spacing w:after="240"/>
        <w:rPr>
          <w:rFonts w:eastAsia="Calibri" w:cs="Times New Roman"/>
          <w:szCs w:val="24"/>
        </w:rPr>
      </w:pPr>
      <w:r w:rsidRPr="00293AB2">
        <w:rPr>
          <w:rFonts w:eastAsia="Calibri" w:cs="Times New Roman"/>
          <w:szCs w:val="24"/>
        </w:rPr>
        <w:t xml:space="preserve">Ved </w:t>
      </w:r>
      <w:r w:rsidRPr="00F17506">
        <w:rPr>
          <w:rFonts w:eastAsia="Calibri" w:cs="Times New Roman"/>
          <w:i/>
          <w:szCs w:val="24"/>
        </w:rPr>
        <w:t>genanvendeligt affald</w:t>
      </w:r>
      <w:r w:rsidRPr="00293AB2">
        <w:rPr>
          <w:rFonts w:eastAsia="Calibri" w:cs="Times New Roman"/>
          <w:szCs w:val="24"/>
        </w:rPr>
        <w:t xml:space="preserve"> forstås</w:t>
      </w:r>
      <w:r w:rsidR="005B34E6" w:rsidRPr="00293AB2">
        <w:rPr>
          <w:rFonts w:eastAsia="Calibri" w:cs="Times New Roman"/>
          <w:szCs w:val="24"/>
        </w:rPr>
        <w:t xml:space="preserve"> affald, som er egnet til genanvendelse, og som efter lovgivningen skal genanvendes. </w:t>
      </w:r>
    </w:p>
    <w:p w14:paraId="45982BEC" w14:textId="77777777" w:rsidR="005B34E6" w:rsidRPr="00293AB2" w:rsidRDefault="005B34E6" w:rsidP="00D163A3">
      <w:pPr>
        <w:spacing w:after="240"/>
        <w:rPr>
          <w:rFonts w:eastAsia="Calibri" w:cs="Times New Roman"/>
          <w:szCs w:val="24"/>
        </w:rPr>
      </w:pPr>
      <w:r w:rsidRPr="00293AB2">
        <w:rPr>
          <w:rFonts w:eastAsia="Calibri" w:cs="Times New Roman"/>
          <w:szCs w:val="24"/>
        </w:rPr>
        <w:t xml:space="preserve">Ved </w:t>
      </w:r>
      <w:r w:rsidRPr="00F17506">
        <w:rPr>
          <w:rFonts w:eastAsia="Calibri" w:cs="Times New Roman"/>
          <w:i/>
          <w:szCs w:val="24"/>
        </w:rPr>
        <w:t>genanvendelse</w:t>
      </w:r>
      <w:r w:rsidRPr="00293AB2">
        <w:rPr>
          <w:rFonts w:eastAsia="Calibri" w:cs="Times New Roman"/>
          <w:szCs w:val="24"/>
        </w:rPr>
        <w:t xml:space="preserve"> forstås enhver nyttiggørelsesoperation, hvor affaldsmaterialer </w:t>
      </w:r>
      <w:proofErr w:type="spellStart"/>
      <w:r w:rsidRPr="00293AB2">
        <w:rPr>
          <w:rFonts w:eastAsia="Calibri" w:cs="Times New Roman"/>
          <w:szCs w:val="24"/>
        </w:rPr>
        <w:t>omforarbejdes</w:t>
      </w:r>
      <w:proofErr w:type="spellEnd"/>
      <w:r w:rsidRPr="00293AB2">
        <w:rPr>
          <w:rFonts w:eastAsia="Calibri" w:cs="Times New Roman"/>
          <w:szCs w:val="24"/>
        </w:rPr>
        <w:t xml:space="preserve"> til produkter, materialer eller stoffer, hvad enten de bruges til det oprindelige formål eller til andre formål. Heri indgår </w:t>
      </w:r>
      <w:proofErr w:type="spellStart"/>
      <w:r w:rsidRPr="00293AB2">
        <w:rPr>
          <w:rFonts w:eastAsia="Calibri" w:cs="Times New Roman"/>
          <w:szCs w:val="24"/>
        </w:rPr>
        <w:t>omforarbejdning</w:t>
      </w:r>
      <w:proofErr w:type="spellEnd"/>
      <w:r w:rsidRPr="00293AB2">
        <w:rPr>
          <w:rFonts w:eastAsia="Calibri" w:cs="Times New Roman"/>
          <w:szCs w:val="24"/>
        </w:rPr>
        <w:t xml:space="preserve"> af organisk materiale, men ikke energiudnyttelse og </w:t>
      </w:r>
      <w:proofErr w:type="spellStart"/>
      <w:r w:rsidRPr="00293AB2">
        <w:rPr>
          <w:rFonts w:eastAsia="Calibri" w:cs="Times New Roman"/>
          <w:szCs w:val="24"/>
        </w:rPr>
        <w:t>omforarbejdning</w:t>
      </w:r>
      <w:proofErr w:type="spellEnd"/>
      <w:r w:rsidRPr="00293AB2">
        <w:rPr>
          <w:rFonts w:eastAsia="Calibri" w:cs="Times New Roman"/>
          <w:szCs w:val="24"/>
        </w:rPr>
        <w:t xml:space="preserve"> til materialer, der skal anvendes til brændsel eller til </w:t>
      </w:r>
      <w:proofErr w:type="spellStart"/>
      <w:r w:rsidRPr="00293AB2">
        <w:rPr>
          <w:rFonts w:eastAsia="Calibri" w:cs="Times New Roman"/>
          <w:szCs w:val="24"/>
        </w:rPr>
        <w:t>opfyldingsoperationer</w:t>
      </w:r>
      <w:proofErr w:type="spellEnd"/>
      <w:r w:rsidRPr="00293AB2">
        <w:rPr>
          <w:rFonts w:eastAsia="Calibri" w:cs="Times New Roman"/>
          <w:szCs w:val="24"/>
        </w:rPr>
        <w:t>.</w:t>
      </w:r>
    </w:p>
    <w:p w14:paraId="79D9C7F6" w14:textId="49A9F96B" w:rsidR="005B34E6" w:rsidRPr="00293AB2" w:rsidRDefault="005B34E6" w:rsidP="00D163A3">
      <w:pPr>
        <w:spacing w:after="240"/>
        <w:rPr>
          <w:rFonts w:eastAsia="Calibri" w:cs="Times New Roman"/>
          <w:szCs w:val="24"/>
        </w:rPr>
      </w:pPr>
      <w:r w:rsidRPr="00293AB2">
        <w:rPr>
          <w:rFonts w:eastAsia="Calibri" w:cs="Times New Roman"/>
          <w:szCs w:val="24"/>
        </w:rPr>
        <w:t xml:space="preserve">Ved </w:t>
      </w:r>
      <w:r w:rsidR="00657AAB" w:rsidRPr="00F17506">
        <w:rPr>
          <w:rFonts w:eastAsia="Calibri" w:cs="Times New Roman"/>
          <w:i/>
          <w:szCs w:val="24"/>
        </w:rPr>
        <w:t xml:space="preserve">forberedelse med henblik på </w:t>
      </w:r>
      <w:r w:rsidRPr="00F17506">
        <w:rPr>
          <w:rFonts w:eastAsia="Calibri" w:cs="Times New Roman"/>
          <w:i/>
          <w:szCs w:val="24"/>
        </w:rPr>
        <w:t>genbrug</w:t>
      </w:r>
      <w:r w:rsidRPr="00293AB2">
        <w:rPr>
          <w:rFonts w:eastAsia="Calibri" w:cs="Times New Roman"/>
          <w:szCs w:val="24"/>
        </w:rPr>
        <w:t xml:space="preserve"> forstås </w:t>
      </w:r>
      <w:r w:rsidR="00FC2CB8" w:rsidRPr="00FC2CB8">
        <w:rPr>
          <w:rFonts w:eastAsia="Calibri" w:cs="Times New Roman"/>
          <w:szCs w:val="24"/>
        </w:rPr>
        <w:t>e</w:t>
      </w:r>
      <w:r w:rsidR="00F17506" w:rsidRPr="00FC2CB8">
        <w:rPr>
          <w:rFonts w:eastAsia="Calibri" w:cs="Times New Roman"/>
          <w:szCs w:val="24"/>
        </w:rPr>
        <w:t>nhver nyttiggørelsesoperation i form af kontrol, rengøring eller reparation, hvor produkter eller produktkomponenter, der er blevet til affald, forberedes, således at de kan genbruges uden anden forbehandling.</w:t>
      </w:r>
      <w:r w:rsidR="00F17506" w:rsidRPr="00293AB2" w:rsidDel="00F17506">
        <w:rPr>
          <w:rFonts w:eastAsia="Calibri" w:cs="Times New Roman"/>
          <w:szCs w:val="24"/>
        </w:rPr>
        <w:t xml:space="preserve"> </w:t>
      </w:r>
    </w:p>
    <w:p w14:paraId="32D9104B" w14:textId="153ED272" w:rsidR="00823AB0" w:rsidRPr="00D665C2" w:rsidRDefault="005B34E6" w:rsidP="00D163A3">
      <w:pPr>
        <w:spacing w:after="240"/>
        <w:rPr>
          <w:rFonts w:eastAsia="Calibri" w:cs="Times New Roman"/>
          <w:szCs w:val="24"/>
        </w:rPr>
      </w:pPr>
      <w:r w:rsidRPr="00D665C2">
        <w:rPr>
          <w:rFonts w:eastAsia="Calibri" w:cs="Times New Roman"/>
          <w:szCs w:val="24"/>
        </w:rPr>
        <w:t>Det fremg</w:t>
      </w:r>
      <w:r w:rsidRPr="00D665C2">
        <w:rPr>
          <w:rFonts w:eastAsia="Calibri" w:cs="Times New Roman" w:hint="eastAsia"/>
          <w:szCs w:val="24"/>
        </w:rPr>
        <w:t>å</w:t>
      </w:r>
      <w:r w:rsidRPr="00D665C2">
        <w:rPr>
          <w:rFonts w:eastAsia="Calibri" w:cs="Times New Roman"/>
          <w:szCs w:val="24"/>
        </w:rPr>
        <w:t xml:space="preserve">r af </w:t>
      </w:r>
      <w:r w:rsidR="00013D0C">
        <w:rPr>
          <w:rFonts w:eastAsia="Calibri" w:cs="Times New Roman"/>
          <w:szCs w:val="24"/>
        </w:rPr>
        <w:t xml:space="preserve">§ </w:t>
      </w:r>
      <w:r w:rsidRPr="00D665C2">
        <w:rPr>
          <w:rFonts w:eastAsia="Calibri" w:cs="Times New Roman"/>
          <w:szCs w:val="24"/>
        </w:rPr>
        <w:t xml:space="preserve">13, </w:t>
      </w:r>
      <w:r w:rsidR="00BC5436" w:rsidRPr="00D665C2">
        <w:rPr>
          <w:rFonts w:eastAsia="Calibri" w:cs="Times New Roman"/>
          <w:szCs w:val="24"/>
        </w:rPr>
        <w:t xml:space="preserve">stk. 1, </w:t>
      </w:r>
      <w:r w:rsidRPr="00D665C2">
        <w:rPr>
          <w:rFonts w:eastAsia="Calibri" w:cs="Times New Roman"/>
          <w:szCs w:val="24"/>
        </w:rPr>
        <w:t>at den kommunale affaldsh</w:t>
      </w:r>
      <w:r w:rsidRPr="00D665C2">
        <w:rPr>
          <w:rFonts w:eastAsia="Calibri" w:cs="Times New Roman" w:hint="eastAsia"/>
          <w:szCs w:val="24"/>
        </w:rPr>
        <w:t>å</w:t>
      </w:r>
      <w:r w:rsidRPr="00D665C2">
        <w:rPr>
          <w:rFonts w:eastAsia="Calibri" w:cs="Times New Roman"/>
          <w:szCs w:val="24"/>
        </w:rPr>
        <w:t>ndtering skal ske</w:t>
      </w:r>
      <w:r w:rsidR="00BC5436" w:rsidRPr="00D665C2">
        <w:rPr>
          <w:rFonts w:eastAsia="Calibri" w:cs="Times New Roman"/>
          <w:szCs w:val="24"/>
        </w:rPr>
        <w:t xml:space="preserve"> i overensstemmelse med f</w:t>
      </w:r>
      <w:r w:rsidR="00BC5436" w:rsidRPr="00D665C2">
        <w:rPr>
          <w:rFonts w:eastAsia="Calibri" w:cs="Times New Roman" w:hint="eastAsia"/>
          <w:szCs w:val="24"/>
        </w:rPr>
        <w:t>ø</w:t>
      </w:r>
      <w:r w:rsidR="00BC5436" w:rsidRPr="00D665C2">
        <w:rPr>
          <w:rFonts w:eastAsia="Calibri" w:cs="Times New Roman"/>
          <w:szCs w:val="24"/>
        </w:rPr>
        <w:t>lgende affaldshierarki:</w:t>
      </w:r>
    </w:p>
    <w:p w14:paraId="4C52E4B0" w14:textId="18D24907" w:rsidR="00BC5436" w:rsidRPr="00D665C2" w:rsidRDefault="00FC2CB8" w:rsidP="00BC5436">
      <w:pPr>
        <w:pStyle w:val="Listeafsnit"/>
        <w:numPr>
          <w:ilvl w:val="0"/>
          <w:numId w:val="10"/>
        </w:numPr>
        <w:spacing w:after="240"/>
        <w:rPr>
          <w:rFonts w:ascii="Times New Roman" w:eastAsia="Calibri" w:hAnsi="Times New Roman" w:cs="Times New Roman"/>
          <w:sz w:val="24"/>
          <w:szCs w:val="24"/>
        </w:rPr>
      </w:pPr>
      <w:r>
        <w:rPr>
          <w:rFonts w:ascii="Times New Roman" w:eastAsia="Calibri" w:hAnsi="Times New Roman" w:cs="Times New Roman"/>
          <w:sz w:val="24"/>
          <w:szCs w:val="24"/>
        </w:rPr>
        <w:t>F</w:t>
      </w:r>
      <w:r w:rsidR="00BC5436" w:rsidRPr="00D665C2">
        <w:rPr>
          <w:rFonts w:ascii="Times New Roman" w:eastAsia="Calibri" w:hAnsi="Times New Roman" w:cs="Times New Roman"/>
          <w:sz w:val="24"/>
          <w:szCs w:val="24"/>
        </w:rPr>
        <w:t>orberedelse med henblik p</w:t>
      </w:r>
      <w:r w:rsidR="00BC5436" w:rsidRPr="00D665C2">
        <w:rPr>
          <w:rFonts w:ascii="Times New Roman" w:eastAsia="Calibri" w:hAnsi="Times New Roman" w:cs="Times New Roman" w:hint="eastAsia"/>
          <w:sz w:val="24"/>
          <w:szCs w:val="24"/>
        </w:rPr>
        <w:t>å</w:t>
      </w:r>
      <w:r w:rsidR="00BC5436" w:rsidRPr="00D665C2">
        <w:rPr>
          <w:rFonts w:ascii="Times New Roman" w:eastAsia="Calibri" w:hAnsi="Times New Roman" w:cs="Times New Roman"/>
          <w:sz w:val="24"/>
          <w:szCs w:val="24"/>
        </w:rPr>
        <w:t xml:space="preserve"> genbrug</w:t>
      </w:r>
    </w:p>
    <w:p w14:paraId="231C0CCE" w14:textId="56484C23" w:rsidR="00BC5436" w:rsidRPr="00D665C2" w:rsidRDefault="00FC2CB8" w:rsidP="00BC5436">
      <w:pPr>
        <w:pStyle w:val="Listeafsnit"/>
        <w:numPr>
          <w:ilvl w:val="0"/>
          <w:numId w:val="10"/>
        </w:numPr>
        <w:spacing w:after="240"/>
        <w:rPr>
          <w:rFonts w:ascii="Times New Roman" w:eastAsia="Calibri" w:hAnsi="Times New Roman" w:cs="Times New Roman"/>
          <w:sz w:val="24"/>
          <w:szCs w:val="24"/>
        </w:rPr>
      </w:pPr>
      <w:r>
        <w:rPr>
          <w:rFonts w:ascii="Times New Roman" w:eastAsia="Calibri" w:hAnsi="Times New Roman" w:cs="Times New Roman"/>
          <w:sz w:val="24"/>
          <w:szCs w:val="24"/>
        </w:rPr>
        <w:t>G</w:t>
      </w:r>
      <w:r w:rsidR="00BC5436" w:rsidRPr="00D665C2">
        <w:rPr>
          <w:rFonts w:ascii="Times New Roman" w:eastAsia="Calibri" w:hAnsi="Times New Roman" w:cs="Times New Roman"/>
          <w:sz w:val="24"/>
          <w:szCs w:val="24"/>
        </w:rPr>
        <w:t>enanvendelse</w:t>
      </w:r>
    </w:p>
    <w:p w14:paraId="0623FEA6" w14:textId="77777777" w:rsidR="00BC5436" w:rsidRPr="00D665C2" w:rsidRDefault="00BC5436" w:rsidP="00BC5436">
      <w:pPr>
        <w:pStyle w:val="Listeafsnit"/>
        <w:numPr>
          <w:ilvl w:val="0"/>
          <w:numId w:val="10"/>
        </w:numPr>
        <w:spacing w:after="240"/>
        <w:rPr>
          <w:rFonts w:ascii="Times New Roman" w:eastAsia="Calibri" w:hAnsi="Times New Roman" w:cs="Times New Roman"/>
          <w:sz w:val="24"/>
          <w:szCs w:val="24"/>
        </w:rPr>
      </w:pPr>
      <w:r w:rsidRPr="00D665C2">
        <w:rPr>
          <w:rFonts w:ascii="Times New Roman" w:eastAsia="Calibri" w:hAnsi="Times New Roman" w:cs="Times New Roman"/>
          <w:sz w:val="24"/>
          <w:szCs w:val="24"/>
        </w:rPr>
        <w:t>Anden nyttigg</w:t>
      </w:r>
      <w:r w:rsidRPr="00D665C2">
        <w:rPr>
          <w:rFonts w:ascii="Times New Roman" w:eastAsia="Calibri" w:hAnsi="Times New Roman" w:cs="Times New Roman" w:hint="eastAsia"/>
          <w:sz w:val="24"/>
          <w:szCs w:val="24"/>
        </w:rPr>
        <w:t>ø</w:t>
      </w:r>
      <w:r w:rsidRPr="00D665C2">
        <w:rPr>
          <w:rFonts w:ascii="Times New Roman" w:eastAsia="Calibri" w:hAnsi="Times New Roman" w:cs="Times New Roman"/>
          <w:sz w:val="24"/>
          <w:szCs w:val="24"/>
        </w:rPr>
        <w:t>relse</w:t>
      </w:r>
    </w:p>
    <w:p w14:paraId="2DECE88B" w14:textId="77777777" w:rsidR="00BC5436" w:rsidRPr="00D665C2" w:rsidRDefault="00BC5436" w:rsidP="00BC5436">
      <w:pPr>
        <w:pStyle w:val="Listeafsnit"/>
        <w:numPr>
          <w:ilvl w:val="0"/>
          <w:numId w:val="10"/>
        </w:numPr>
        <w:spacing w:after="240"/>
        <w:rPr>
          <w:rFonts w:ascii="Times New Roman" w:eastAsia="Calibri" w:hAnsi="Times New Roman" w:cs="Times New Roman"/>
          <w:sz w:val="24"/>
          <w:szCs w:val="24"/>
        </w:rPr>
      </w:pPr>
      <w:r w:rsidRPr="00D665C2">
        <w:rPr>
          <w:rFonts w:ascii="Times New Roman" w:eastAsia="Calibri" w:hAnsi="Times New Roman" w:cs="Times New Roman"/>
          <w:sz w:val="24"/>
          <w:szCs w:val="24"/>
        </w:rPr>
        <w:t>Bortskaffelse</w:t>
      </w:r>
    </w:p>
    <w:p w14:paraId="74A1E5D9" w14:textId="77777777" w:rsidR="00BC5436" w:rsidRPr="00D665C2" w:rsidRDefault="00BC5436" w:rsidP="00BC5436">
      <w:pPr>
        <w:spacing w:after="240"/>
        <w:rPr>
          <w:rFonts w:eastAsia="Calibri" w:cs="Times New Roman"/>
          <w:szCs w:val="24"/>
        </w:rPr>
      </w:pPr>
      <w:r w:rsidRPr="00D665C2">
        <w:rPr>
          <w:rFonts w:eastAsia="Calibri" w:cs="Times New Roman"/>
          <w:szCs w:val="24"/>
        </w:rPr>
        <w:lastRenderedPageBreak/>
        <w:t>Affaldshierarkiet kan fraviges for s</w:t>
      </w:r>
      <w:r w:rsidRPr="00D665C2">
        <w:rPr>
          <w:rFonts w:eastAsia="Calibri" w:cs="Times New Roman" w:hint="eastAsia"/>
          <w:szCs w:val="24"/>
        </w:rPr>
        <w:t>æ</w:t>
      </w:r>
      <w:r w:rsidRPr="00D665C2">
        <w:rPr>
          <w:rFonts w:eastAsia="Calibri" w:cs="Times New Roman"/>
          <w:szCs w:val="24"/>
        </w:rPr>
        <w:t>rlige affaldsstr</w:t>
      </w:r>
      <w:r w:rsidRPr="00D665C2">
        <w:rPr>
          <w:rFonts w:eastAsia="Calibri" w:cs="Times New Roman" w:hint="eastAsia"/>
          <w:szCs w:val="24"/>
        </w:rPr>
        <w:t>ø</w:t>
      </w:r>
      <w:r w:rsidRPr="00D665C2">
        <w:rPr>
          <w:rFonts w:eastAsia="Calibri" w:cs="Times New Roman"/>
          <w:szCs w:val="24"/>
        </w:rPr>
        <w:t>mme, hvis fravigelsen er begrundet i en livscyklusbetragtning.</w:t>
      </w:r>
    </w:p>
    <w:p w14:paraId="01FBAF5F" w14:textId="1EF65C07" w:rsidR="00BC5436" w:rsidRDefault="00BC5436" w:rsidP="00BC5436">
      <w:pPr>
        <w:spacing w:after="240"/>
        <w:rPr>
          <w:rFonts w:eastAsia="Calibri" w:cs="Times New Roman"/>
          <w:szCs w:val="24"/>
        </w:rPr>
      </w:pPr>
      <w:r w:rsidRPr="00D665C2">
        <w:rPr>
          <w:rFonts w:eastAsia="Calibri" w:cs="Times New Roman"/>
          <w:szCs w:val="24"/>
        </w:rPr>
        <w:t>Det fremg</w:t>
      </w:r>
      <w:r w:rsidRPr="00D665C2">
        <w:rPr>
          <w:rFonts w:eastAsia="Calibri" w:cs="Times New Roman" w:hint="eastAsia"/>
          <w:szCs w:val="24"/>
        </w:rPr>
        <w:t>å</w:t>
      </w:r>
      <w:r w:rsidRPr="00D665C2">
        <w:rPr>
          <w:rFonts w:eastAsia="Calibri" w:cs="Times New Roman"/>
          <w:szCs w:val="24"/>
        </w:rPr>
        <w:t xml:space="preserve">r af </w:t>
      </w:r>
      <w:r w:rsidR="00013D0C">
        <w:rPr>
          <w:rFonts w:eastAsia="Calibri" w:cs="Times New Roman"/>
          <w:szCs w:val="24"/>
        </w:rPr>
        <w:t xml:space="preserve">§ </w:t>
      </w:r>
      <w:r w:rsidRPr="00D665C2">
        <w:rPr>
          <w:rFonts w:eastAsia="Calibri" w:cs="Times New Roman"/>
          <w:szCs w:val="24"/>
        </w:rPr>
        <w:t>60</w:t>
      </w:r>
      <w:r w:rsidR="00284248">
        <w:rPr>
          <w:rFonts w:eastAsia="Calibri" w:cs="Times New Roman"/>
          <w:szCs w:val="24"/>
        </w:rPr>
        <w:t>,</w:t>
      </w:r>
      <w:r w:rsidRPr="00D665C2">
        <w:rPr>
          <w:rFonts w:eastAsia="Calibri" w:cs="Times New Roman"/>
          <w:szCs w:val="24"/>
        </w:rPr>
        <w:t xml:space="preserve"> at affaldsproducerende virksomheder skal sortere deres affald til s</w:t>
      </w:r>
      <w:r w:rsidRPr="00D665C2">
        <w:rPr>
          <w:rFonts w:eastAsia="Calibri" w:cs="Times New Roman" w:hint="eastAsia"/>
          <w:szCs w:val="24"/>
        </w:rPr>
        <w:t>æ</w:t>
      </w:r>
      <w:r w:rsidRPr="00D665C2">
        <w:rPr>
          <w:rFonts w:eastAsia="Calibri" w:cs="Times New Roman"/>
          <w:szCs w:val="24"/>
        </w:rPr>
        <w:t>rskilt indsamling og sikre, at deres sorterede erhvervsaffald, som er egnet til materialenyttigg</w:t>
      </w:r>
      <w:r w:rsidRPr="00D665C2">
        <w:rPr>
          <w:rFonts w:eastAsia="Calibri" w:cs="Times New Roman" w:hint="eastAsia"/>
          <w:szCs w:val="24"/>
        </w:rPr>
        <w:t>ø</w:t>
      </w:r>
      <w:r w:rsidRPr="00D665C2">
        <w:rPr>
          <w:rFonts w:eastAsia="Calibri" w:cs="Times New Roman"/>
          <w:szCs w:val="24"/>
        </w:rPr>
        <w:t>relse, forberedes med henblik p</w:t>
      </w:r>
      <w:r w:rsidRPr="00D665C2">
        <w:rPr>
          <w:rFonts w:eastAsia="Calibri" w:cs="Times New Roman" w:hint="eastAsia"/>
          <w:szCs w:val="24"/>
        </w:rPr>
        <w:t>å</w:t>
      </w:r>
      <w:r w:rsidRPr="00D665C2">
        <w:rPr>
          <w:rFonts w:eastAsia="Calibri" w:cs="Times New Roman"/>
          <w:szCs w:val="24"/>
        </w:rPr>
        <w:t xml:space="preserve"> genbrug, genanvendes eller anvendes til anden endelig materialenyttigg</w:t>
      </w:r>
      <w:r w:rsidRPr="00D665C2">
        <w:rPr>
          <w:rFonts w:eastAsia="Calibri" w:cs="Times New Roman" w:hint="eastAsia"/>
          <w:szCs w:val="24"/>
        </w:rPr>
        <w:t>ø</w:t>
      </w:r>
      <w:r w:rsidRPr="00D665C2">
        <w:rPr>
          <w:rFonts w:eastAsia="Calibri" w:cs="Times New Roman"/>
          <w:szCs w:val="24"/>
        </w:rPr>
        <w:t xml:space="preserve">relse </w:t>
      </w:r>
      <w:r w:rsidR="006F2D66" w:rsidRPr="00D665C2">
        <w:rPr>
          <w:rFonts w:eastAsia="Calibri" w:cs="Times New Roman"/>
          <w:szCs w:val="24"/>
        </w:rPr>
        <w:t>efter reglerne om h</w:t>
      </w:r>
      <w:r w:rsidR="006F2D66" w:rsidRPr="00D665C2">
        <w:rPr>
          <w:rFonts w:eastAsia="Calibri" w:cs="Times New Roman" w:hint="eastAsia"/>
          <w:szCs w:val="24"/>
        </w:rPr>
        <w:t>å</w:t>
      </w:r>
      <w:r w:rsidR="006F2D66" w:rsidRPr="00D665C2">
        <w:rPr>
          <w:rFonts w:eastAsia="Calibri" w:cs="Times New Roman"/>
          <w:szCs w:val="24"/>
        </w:rPr>
        <w:t>ndtering af erhvervsaffald egnet til materialenyttigg</w:t>
      </w:r>
      <w:r w:rsidR="006F2D66" w:rsidRPr="00D665C2">
        <w:rPr>
          <w:rFonts w:eastAsia="Calibri" w:cs="Times New Roman" w:hint="eastAsia"/>
          <w:szCs w:val="24"/>
        </w:rPr>
        <w:t>ø</w:t>
      </w:r>
      <w:r w:rsidR="006F2D66" w:rsidRPr="00D665C2">
        <w:rPr>
          <w:rFonts w:eastAsia="Calibri" w:cs="Times New Roman"/>
          <w:szCs w:val="24"/>
        </w:rPr>
        <w:t>relse i bekendtg</w:t>
      </w:r>
      <w:r w:rsidR="006F2D66" w:rsidRPr="00D665C2">
        <w:rPr>
          <w:rFonts w:eastAsia="Calibri" w:cs="Times New Roman" w:hint="eastAsia"/>
          <w:szCs w:val="24"/>
        </w:rPr>
        <w:t>ø</w:t>
      </w:r>
      <w:r w:rsidR="006F2D66" w:rsidRPr="00D665C2">
        <w:rPr>
          <w:rFonts w:eastAsia="Calibri" w:cs="Times New Roman"/>
          <w:szCs w:val="24"/>
        </w:rPr>
        <w:t xml:space="preserve">relse om affaldsregulativer, </w:t>
      </w:r>
      <w:r w:rsidR="002D0974">
        <w:rPr>
          <w:rFonts w:eastAsia="Calibri" w:cs="Times New Roman"/>
          <w:szCs w:val="24"/>
        </w:rPr>
        <w:t>-</w:t>
      </w:r>
      <w:r w:rsidR="006F2D66" w:rsidRPr="00D665C2">
        <w:rPr>
          <w:rFonts w:eastAsia="Calibri" w:cs="Times New Roman"/>
          <w:szCs w:val="24"/>
        </w:rPr>
        <w:t>gebyrer og -akt</w:t>
      </w:r>
      <w:r w:rsidR="006F2D66" w:rsidRPr="00D665C2">
        <w:rPr>
          <w:rFonts w:eastAsia="Calibri" w:cs="Times New Roman" w:hint="eastAsia"/>
          <w:szCs w:val="24"/>
        </w:rPr>
        <w:t>ø</w:t>
      </w:r>
      <w:r w:rsidR="006F2D66" w:rsidRPr="00D665C2">
        <w:rPr>
          <w:rFonts w:eastAsia="Calibri" w:cs="Times New Roman"/>
          <w:szCs w:val="24"/>
        </w:rPr>
        <w:t>rer m</w:t>
      </w:r>
      <w:r w:rsidR="00013D0C">
        <w:rPr>
          <w:rFonts w:eastAsia="Calibri" w:cs="Times New Roman"/>
          <w:szCs w:val="24"/>
        </w:rPr>
        <w:t>.</w:t>
      </w:r>
      <w:r w:rsidR="006F2D66" w:rsidRPr="00D665C2">
        <w:rPr>
          <w:rFonts w:eastAsia="Calibri" w:cs="Times New Roman"/>
          <w:szCs w:val="24"/>
        </w:rPr>
        <w:t>v. Det fremg</w:t>
      </w:r>
      <w:r w:rsidR="006F2D66" w:rsidRPr="00D665C2">
        <w:rPr>
          <w:rFonts w:eastAsia="Calibri" w:cs="Times New Roman" w:hint="eastAsia"/>
          <w:szCs w:val="24"/>
        </w:rPr>
        <w:t>å</w:t>
      </w:r>
      <w:r w:rsidR="006F2D66" w:rsidRPr="00D665C2">
        <w:rPr>
          <w:rFonts w:eastAsia="Calibri" w:cs="Times New Roman"/>
          <w:szCs w:val="24"/>
        </w:rPr>
        <w:t>r endvidere, at affaldsproducerende virksomheder skal sikre en h</w:t>
      </w:r>
      <w:r w:rsidR="006F2D66" w:rsidRPr="00D665C2">
        <w:rPr>
          <w:rFonts w:eastAsia="Calibri" w:cs="Times New Roman" w:hint="eastAsia"/>
          <w:szCs w:val="24"/>
        </w:rPr>
        <w:t>ø</w:t>
      </w:r>
      <w:r w:rsidR="006F2D66" w:rsidRPr="00D665C2">
        <w:rPr>
          <w:rFonts w:eastAsia="Calibri" w:cs="Times New Roman"/>
          <w:szCs w:val="24"/>
        </w:rPr>
        <w:t>j reel genanvendelse af affaldet samt p</w:t>
      </w:r>
      <w:r w:rsidR="006F2D66" w:rsidRPr="00D665C2">
        <w:rPr>
          <w:rFonts w:eastAsia="Calibri" w:cs="Times New Roman" w:hint="eastAsia"/>
          <w:szCs w:val="24"/>
        </w:rPr>
        <w:t>å</w:t>
      </w:r>
      <w:r w:rsidR="006F2D66" w:rsidRPr="00D665C2">
        <w:rPr>
          <w:rFonts w:eastAsia="Calibri" w:cs="Times New Roman"/>
          <w:szCs w:val="24"/>
        </w:rPr>
        <w:t xml:space="preserve"> anmodning fra kommunalbestyrelsen dokumentere, hvor stor en del af de enkelte affaldsfraktioner, der reelt bliver forberedt med henblik p</w:t>
      </w:r>
      <w:r w:rsidR="006F2D66" w:rsidRPr="00D665C2">
        <w:rPr>
          <w:rFonts w:eastAsia="Calibri" w:cs="Times New Roman" w:hint="eastAsia"/>
          <w:szCs w:val="24"/>
        </w:rPr>
        <w:t>å</w:t>
      </w:r>
      <w:r w:rsidR="006F2D66" w:rsidRPr="00D665C2">
        <w:rPr>
          <w:rFonts w:eastAsia="Calibri" w:cs="Times New Roman"/>
          <w:szCs w:val="24"/>
        </w:rPr>
        <w:t xml:space="preserve"> genbrug eller genanvendt.</w:t>
      </w:r>
    </w:p>
    <w:p w14:paraId="2F83749A" w14:textId="508D1A7A" w:rsidR="006F2D66" w:rsidRDefault="006F2D66" w:rsidP="00BC5436">
      <w:pPr>
        <w:spacing w:after="240"/>
        <w:rPr>
          <w:rFonts w:eastAsia="Calibri" w:cs="Times New Roman"/>
          <w:szCs w:val="24"/>
        </w:rPr>
      </w:pPr>
      <w:r w:rsidRPr="00D665C2">
        <w:rPr>
          <w:rFonts w:eastAsia="Calibri" w:cs="Times New Roman"/>
          <w:szCs w:val="24"/>
        </w:rPr>
        <w:t>Det fremg</w:t>
      </w:r>
      <w:r w:rsidRPr="00D665C2">
        <w:rPr>
          <w:rFonts w:eastAsia="Calibri" w:cs="Times New Roman" w:hint="eastAsia"/>
          <w:szCs w:val="24"/>
        </w:rPr>
        <w:t>å</w:t>
      </w:r>
      <w:r w:rsidRPr="00D665C2">
        <w:rPr>
          <w:rFonts w:eastAsia="Calibri" w:cs="Times New Roman"/>
          <w:szCs w:val="24"/>
        </w:rPr>
        <w:t xml:space="preserve">r af </w:t>
      </w:r>
      <w:r w:rsidR="00CA3C84">
        <w:rPr>
          <w:rFonts w:eastAsia="Calibri" w:cs="Times New Roman"/>
          <w:szCs w:val="24"/>
        </w:rPr>
        <w:t xml:space="preserve">§ </w:t>
      </w:r>
      <w:r w:rsidRPr="00D665C2">
        <w:rPr>
          <w:rFonts w:eastAsia="Calibri" w:cs="Times New Roman"/>
          <w:szCs w:val="24"/>
        </w:rPr>
        <w:t>7</w:t>
      </w:r>
      <w:r w:rsidR="00663873">
        <w:rPr>
          <w:rFonts w:eastAsia="Calibri" w:cs="Times New Roman"/>
          <w:szCs w:val="24"/>
        </w:rPr>
        <w:t>7</w:t>
      </w:r>
      <w:r w:rsidRPr="00D665C2">
        <w:rPr>
          <w:rFonts w:eastAsia="Calibri" w:cs="Times New Roman"/>
          <w:szCs w:val="24"/>
        </w:rPr>
        <w:t>, at det er kommunalbestyrelsen, der f</w:t>
      </w:r>
      <w:r w:rsidRPr="00D665C2">
        <w:rPr>
          <w:rFonts w:eastAsia="Calibri" w:cs="Times New Roman" w:hint="eastAsia"/>
          <w:szCs w:val="24"/>
        </w:rPr>
        <w:t>ø</w:t>
      </w:r>
      <w:r w:rsidRPr="00D665C2">
        <w:rPr>
          <w:rFonts w:eastAsia="Calibri" w:cs="Times New Roman"/>
          <w:szCs w:val="24"/>
        </w:rPr>
        <w:t>rer tilsyn med at bekendtg</w:t>
      </w:r>
      <w:r w:rsidRPr="00D665C2">
        <w:rPr>
          <w:rFonts w:eastAsia="Calibri" w:cs="Times New Roman" w:hint="eastAsia"/>
          <w:szCs w:val="24"/>
        </w:rPr>
        <w:t>ø</w:t>
      </w:r>
      <w:r w:rsidRPr="00D665C2">
        <w:rPr>
          <w:rFonts w:eastAsia="Calibri" w:cs="Times New Roman"/>
          <w:szCs w:val="24"/>
        </w:rPr>
        <w:t>relsens bestemmelser overholdes, dog s</w:t>
      </w:r>
      <w:r w:rsidRPr="00D665C2">
        <w:rPr>
          <w:rFonts w:eastAsia="Calibri" w:cs="Times New Roman" w:hint="eastAsia"/>
          <w:szCs w:val="24"/>
        </w:rPr>
        <w:t>å</w:t>
      </w:r>
      <w:r w:rsidRPr="00D665C2">
        <w:rPr>
          <w:rFonts w:eastAsia="Calibri" w:cs="Times New Roman"/>
          <w:szCs w:val="24"/>
        </w:rPr>
        <w:t>ledes at Milj</w:t>
      </w:r>
      <w:r w:rsidRPr="00D665C2">
        <w:rPr>
          <w:rFonts w:eastAsia="Calibri" w:cs="Times New Roman" w:hint="eastAsia"/>
          <w:szCs w:val="24"/>
        </w:rPr>
        <w:t>ø</w:t>
      </w:r>
      <w:r w:rsidRPr="00D665C2">
        <w:rPr>
          <w:rFonts w:eastAsia="Calibri" w:cs="Times New Roman"/>
          <w:szCs w:val="24"/>
        </w:rPr>
        <w:t>styrelsen f</w:t>
      </w:r>
      <w:r w:rsidRPr="00D665C2">
        <w:rPr>
          <w:rFonts w:eastAsia="Calibri" w:cs="Times New Roman" w:hint="eastAsia"/>
          <w:szCs w:val="24"/>
        </w:rPr>
        <w:t>ø</w:t>
      </w:r>
      <w:r w:rsidRPr="00D665C2">
        <w:rPr>
          <w:rFonts w:eastAsia="Calibri" w:cs="Times New Roman"/>
          <w:szCs w:val="24"/>
        </w:rPr>
        <w:t>rer tilsyn med overholdelse af afg</w:t>
      </w:r>
      <w:r w:rsidRPr="00D665C2">
        <w:rPr>
          <w:rFonts w:eastAsia="Calibri" w:cs="Times New Roman" w:hint="eastAsia"/>
          <w:szCs w:val="24"/>
        </w:rPr>
        <w:t>ø</w:t>
      </w:r>
      <w:r w:rsidRPr="00D665C2">
        <w:rPr>
          <w:rFonts w:eastAsia="Calibri" w:cs="Times New Roman"/>
          <w:szCs w:val="24"/>
        </w:rPr>
        <w:t>relser truffet af Milj</w:t>
      </w:r>
      <w:r w:rsidRPr="00D665C2">
        <w:rPr>
          <w:rFonts w:eastAsia="Calibri" w:cs="Times New Roman" w:hint="eastAsia"/>
          <w:szCs w:val="24"/>
        </w:rPr>
        <w:t>ø</w:t>
      </w:r>
      <w:r w:rsidRPr="00D665C2">
        <w:rPr>
          <w:rFonts w:eastAsia="Calibri" w:cs="Times New Roman"/>
          <w:szCs w:val="24"/>
        </w:rPr>
        <w:t>styrelsen.</w:t>
      </w:r>
    </w:p>
    <w:p w14:paraId="611D0E6A" w14:textId="77777777" w:rsidR="00C50959" w:rsidRDefault="00C50959" w:rsidP="00BC5436">
      <w:pPr>
        <w:spacing w:after="240"/>
        <w:rPr>
          <w:rFonts w:eastAsia="Calibri" w:cs="Times New Roman"/>
          <w:szCs w:val="24"/>
        </w:rPr>
      </w:pPr>
      <w:r>
        <w:rPr>
          <w:rFonts w:eastAsia="Calibri" w:cs="Times New Roman"/>
          <w:szCs w:val="24"/>
        </w:rPr>
        <w:t xml:space="preserve">Overtrædelse af kravet om affaldssortering i § 60, stk. 1, </w:t>
      </w:r>
      <w:r w:rsidR="002646DD">
        <w:rPr>
          <w:rFonts w:eastAsia="Calibri" w:cs="Times New Roman"/>
          <w:szCs w:val="24"/>
        </w:rPr>
        <w:t>straffes med bøde, jf. § 79, stk. 1, nr. 10.</w:t>
      </w:r>
      <w:r>
        <w:rPr>
          <w:rFonts w:eastAsia="Calibri" w:cs="Times New Roman"/>
          <w:szCs w:val="24"/>
        </w:rPr>
        <w:t xml:space="preserve"> </w:t>
      </w:r>
    </w:p>
    <w:p w14:paraId="32BEDA84" w14:textId="77777777" w:rsidR="00A602C0" w:rsidRPr="00D665C2" w:rsidRDefault="00A602C0" w:rsidP="00BC5436">
      <w:pPr>
        <w:spacing w:after="240"/>
        <w:rPr>
          <w:rFonts w:eastAsia="Calibri" w:cs="Times New Roman"/>
          <w:szCs w:val="24"/>
        </w:rPr>
      </w:pPr>
    </w:p>
    <w:p w14:paraId="5ED1C3E8" w14:textId="77777777" w:rsidR="001D7808" w:rsidRPr="005C6268" w:rsidRDefault="001D7808" w:rsidP="00BC5436">
      <w:pPr>
        <w:spacing w:after="240"/>
        <w:rPr>
          <w:rFonts w:ascii="Questa-Regular" w:hAnsi="Questa-Regular"/>
          <w:color w:val="212529"/>
          <w:sz w:val="23"/>
          <w:szCs w:val="23"/>
          <w:shd w:val="clear" w:color="auto" w:fill="F9F9FB"/>
        </w:rPr>
      </w:pPr>
      <w:r>
        <w:t>3.1</w:t>
      </w:r>
      <w:r w:rsidRPr="005C6268">
        <w:t>.1.</w:t>
      </w:r>
      <w:r w:rsidR="00A34C6D" w:rsidRPr="005C6268">
        <w:t>3</w:t>
      </w:r>
      <w:r w:rsidRPr="005C6268">
        <w:t>. Bekendtgørelse om anlæg, der forbrænder affald</w:t>
      </w:r>
    </w:p>
    <w:p w14:paraId="30557FD6" w14:textId="4B278B6E" w:rsidR="001D7808" w:rsidRPr="005C6268" w:rsidRDefault="001D7808" w:rsidP="001D7808">
      <w:r w:rsidRPr="005C6268">
        <w:t>På affaldsforbrænding</w:t>
      </w:r>
      <w:r w:rsidR="005C6268" w:rsidRPr="005C6268">
        <w:t>s</w:t>
      </w:r>
      <w:r w:rsidRPr="005C6268">
        <w:t xml:space="preserve">- og medforbrændingsanlæg foreskriver bekendtgørelse om anlæg, der forbrænder affald, at </w:t>
      </w:r>
      <w:r w:rsidR="002D0974" w:rsidRPr="005C6268">
        <w:t xml:space="preserve">virksomheder, der driver </w:t>
      </w:r>
      <w:r w:rsidRPr="005C6268">
        <w:t>anlæggene</w:t>
      </w:r>
      <w:r w:rsidR="00611093">
        <w:t>,</w:t>
      </w:r>
      <w:r w:rsidRPr="005C6268">
        <w:t xml:space="preserve"> skal foretage en modtagekontrol med det tilførte affald. Modtagekontrollens formål er ifølge bekendtgørelsen at sikre, at </w:t>
      </w:r>
      <w:r w:rsidR="00663873">
        <w:t>anlæggene kun forbrænder det affald, som de har godkendelse til.</w:t>
      </w:r>
    </w:p>
    <w:p w14:paraId="5B160570" w14:textId="77777777" w:rsidR="00A34C6D" w:rsidRPr="005C6268" w:rsidRDefault="00A34C6D" w:rsidP="001D7808"/>
    <w:p w14:paraId="49B06632" w14:textId="5D541D15" w:rsidR="001D7808" w:rsidRDefault="00A34C6D" w:rsidP="001D7808">
      <w:r w:rsidRPr="005C6268">
        <w:t>Det følger således af affaldsforbrændingsbekendtgørelsens</w:t>
      </w:r>
      <w:r>
        <w:t xml:space="preserve"> § 20 om affaldsmodtagelse, at virksomheden skal tage alle de nødvendige forholdsregler ”for i det videst mulige, praktisk gennemførlige omfang at forebygge eller begrænse forurening af luft, jord, overfladevand og grundvand såvel som andre </w:t>
      </w:r>
      <w:proofErr w:type="spellStart"/>
      <w:r>
        <w:t>miljøskader</w:t>
      </w:r>
      <w:proofErr w:type="spellEnd"/>
      <w:r>
        <w:t xml:space="preserve">, lugt og støjgener samt for at undgå direkte fare for menneskers sundhed. Det følger i forlængelse heraf i § 21, stk. 1, at virksomheden i forbindelse med modtagelse af affald skal sikre sig, ”at der foreligger alle nødvendige oplysninger om affaldet for at kunne vurdere, om det må indgå i den påtænkte forbrændingsproces.”   </w:t>
      </w:r>
    </w:p>
    <w:p w14:paraId="7EEC92CE" w14:textId="77777777" w:rsidR="007516C1" w:rsidRDefault="007516C1" w:rsidP="001D7808"/>
    <w:p w14:paraId="0F4D6841" w14:textId="471CC8A9" w:rsidR="001D7808" w:rsidRDefault="001D7808" w:rsidP="001D7808">
      <w:r>
        <w:lastRenderedPageBreak/>
        <w:t>Modtagekontrollen skal sikre</w:t>
      </w:r>
      <w:r w:rsidR="00611093">
        <w:t>,</w:t>
      </w:r>
      <w:r>
        <w:t xml:space="preserve"> at affaldsforbrændingsanlægget ikke modtager affald, der ikke må forbrændes, fordi det </w:t>
      </w:r>
      <w:r w:rsidR="001F114B">
        <w:t>ikke er egnet til forbrænding på det pågældende anlæg.</w:t>
      </w:r>
      <w:r w:rsidR="009E0A32" w:rsidDel="009E0A32">
        <w:t xml:space="preserve"> </w:t>
      </w:r>
    </w:p>
    <w:p w14:paraId="27A54228" w14:textId="77777777" w:rsidR="00E52095" w:rsidRDefault="00E52095" w:rsidP="00D665C2">
      <w:pPr>
        <w:rPr>
          <w:rFonts w:eastAsia="Calibri" w:cs="Times New Roman"/>
          <w:szCs w:val="24"/>
        </w:rPr>
      </w:pPr>
    </w:p>
    <w:p w14:paraId="09E7C962" w14:textId="77777777" w:rsidR="001B76B0" w:rsidRDefault="001B76B0" w:rsidP="00D163A3">
      <w:pPr>
        <w:spacing w:after="240"/>
        <w:rPr>
          <w:rFonts w:eastAsia="Calibri" w:cs="Times New Roman"/>
          <w:szCs w:val="24"/>
        </w:rPr>
      </w:pPr>
      <w:r>
        <w:rPr>
          <w:rFonts w:eastAsia="Calibri" w:cs="Times New Roman"/>
          <w:szCs w:val="24"/>
        </w:rPr>
        <w:t xml:space="preserve">3.1.1.3 </w:t>
      </w:r>
      <w:proofErr w:type="spellStart"/>
      <w:r>
        <w:rPr>
          <w:rFonts w:eastAsia="Calibri" w:cs="Times New Roman"/>
          <w:szCs w:val="24"/>
        </w:rPr>
        <w:t>Ecodesignforordningen</w:t>
      </w:r>
      <w:proofErr w:type="spellEnd"/>
    </w:p>
    <w:p w14:paraId="1C2567B5" w14:textId="2E9DB634" w:rsidR="007823E2" w:rsidRPr="007823E2" w:rsidRDefault="002D0974" w:rsidP="007823E2">
      <w:pPr>
        <w:spacing w:after="240"/>
        <w:rPr>
          <w:rFonts w:eastAsia="Calibri" w:cs="Times New Roman"/>
          <w:szCs w:val="24"/>
        </w:rPr>
      </w:pPr>
      <w:proofErr w:type="spellStart"/>
      <w:r>
        <w:rPr>
          <w:rFonts w:eastAsia="Calibri" w:cs="Times New Roman"/>
          <w:szCs w:val="24"/>
        </w:rPr>
        <w:t>Ecodesignforordningen</w:t>
      </w:r>
      <w:proofErr w:type="spellEnd"/>
      <w:r>
        <w:rPr>
          <w:rFonts w:eastAsia="Calibri" w:cs="Times New Roman"/>
          <w:szCs w:val="24"/>
        </w:rPr>
        <w:t xml:space="preserve"> </w:t>
      </w:r>
      <w:r w:rsidRPr="007823E2">
        <w:rPr>
          <w:rFonts w:eastAsia="Calibri" w:cs="Times New Roman"/>
          <w:szCs w:val="24"/>
        </w:rPr>
        <w:t>bygger</w:t>
      </w:r>
      <w:r w:rsidR="007823E2" w:rsidRPr="007823E2">
        <w:rPr>
          <w:rFonts w:eastAsia="Calibri" w:cs="Times New Roman"/>
          <w:szCs w:val="24"/>
        </w:rPr>
        <w:t xml:space="preserve"> videre på erfaringer fra det gældende </w:t>
      </w:r>
      <w:proofErr w:type="spellStart"/>
      <w:r w:rsidR="007823E2" w:rsidRPr="007823E2">
        <w:rPr>
          <w:rFonts w:eastAsia="Calibri" w:cs="Times New Roman"/>
          <w:szCs w:val="24"/>
        </w:rPr>
        <w:t>ecodesigndirektiv</w:t>
      </w:r>
      <w:proofErr w:type="spellEnd"/>
      <w:r w:rsidR="004E52D1" w:rsidRPr="004D29F5">
        <w:rPr>
          <w:rFonts w:eastAsia="Calibri" w:cs="Times New Roman"/>
          <w:szCs w:val="24"/>
        </w:rPr>
        <w:t xml:space="preserve"> (2009/125/EC)</w:t>
      </w:r>
      <w:r w:rsidR="007823E2" w:rsidRPr="007823E2">
        <w:rPr>
          <w:rFonts w:eastAsia="Calibri" w:cs="Times New Roman"/>
          <w:szCs w:val="24"/>
        </w:rPr>
        <w:t xml:space="preserve">, som bl.a. har udgjort et væsentligt bidrag til at reducere energiforbruget fra energirelaterede produkter. </w:t>
      </w:r>
      <w:r w:rsidR="00400F0A">
        <w:rPr>
          <w:rFonts w:eastAsia="Calibri" w:cs="Times New Roman"/>
          <w:szCs w:val="24"/>
        </w:rPr>
        <w:t xml:space="preserve">Forordningen skal </w:t>
      </w:r>
      <w:r w:rsidR="00FC2CB8">
        <w:rPr>
          <w:rFonts w:eastAsia="Calibri" w:cs="Times New Roman"/>
          <w:szCs w:val="24"/>
        </w:rPr>
        <w:t xml:space="preserve">bidrage til </w:t>
      </w:r>
      <w:r w:rsidR="00400F0A">
        <w:rPr>
          <w:rFonts w:eastAsia="Calibri" w:cs="Times New Roman"/>
          <w:szCs w:val="24"/>
        </w:rPr>
        <w:t xml:space="preserve">at </w:t>
      </w:r>
      <w:r w:rsidR="007823E2" w:rsidRPr="007823E2">
        <w:rPr>
          <w:rFonts w:eastAsia="Calibri" w:cs="Times New Roman"/>
          <w:szCs w:val="24"/>
        </w:rPr>
        <w:t>forbedre produkters miljømæssige bæredygtighed og sikre fri bevægelighed på det indre marked ved</w:t>
      </w:r>
      <w:r w:rsidR="00081B5B">
        <w:rPr>
          <w:rFonts w:eastAsia="Calibri" w:cs="Times New Roman"/>
          <w:szCs w:val="24"/>
        </w:rPr>
        <w:t xml:space="preserve">, at Kommissionen </w:t>
      </w:r>
      <w:r w:rsidR="0031401B">
        <w:rPr>
          <w:rFonts w:eastAsia="Calibri" w:cs="Times New Roman"/>
          <w:szCs w:val="24"/>
        </w:rPr>
        <w:t>i medfør af forordningen kan vedtage</w:t>
      </w:r>
      <w:r w:rsidR="007823E2" w:rsidRPr="007823E2">
        <w:rPr>
          <w:rFonts w:eastAsia="Calibri" w:cs="Times New Roman"/>
          <w:szCs w:val="24"/>
        </w:rPr>
        <w:t xml:space="preserve"> krav til miljøvenligt design til </w:t>
      </w:r>
      <w:r w:rsidR="0031401B">
        <w:rPr>
          <w:rFonts w:eastAsia="Calibri" w:cs="Times New Roman"/>
          <w:szCs w:val="24"/>
        </w:rPr>
        <w:t>stort set</w:t>
      </w:r>
      <w:r w:rsidR="007823E2" w:rsidRPr="007823E2">
        <w:rPr>
          <w:rFonts w:eastAsia="Calibri" w:cs="Times New Roman"/>
          <w:szCs w:val="24"/>
        </w:rPr>
        <w:t xml:space="preserve"> alle</w:t>
      </w:r>
      <w:r w:rsidR="0031401B">
        <w:rPr>
          <w:rFonts w:eastAsia="Calibri" w:cs="Times New Roman"/>
          <w:szCs w:val="24"/>
        </w:rPr>
        <w:t xml:space="preserve"> fysiske</w:t>
      </w:r>
      <w:r w:rsidR="007823E2" w:rsidRPr="007823E2">
        <w:rPr>
          <w:rFonts w:eastAsia="Calibri" w:cs="Times New Roman"/>
          <w:szCs w:val="24"/>
        </w:rPr>
        <w:t xml:space="preserve"> produkter</w:t>
      </w:r>
      <w:r w:rsidR="0031401B">
        <w:rPr>
          <w:rFonts w:eastAsia="Calibri" w:cs="Times New Roman"/>
          <w:szCs w:val="24"/>
        </w:rPr>
        <w:t xml:space="preserve"> (undtagen fødevarer, foder og lægemidler)</w:t>
      </w:r>
      <w:r w:rsidR="007823E2" w:rsidRPr="007823E2">
        <w:rPr>
          <w:rFonts w:eastAsia="Calibri" w:cs="Times New Roman"/>
          <w:szCs w:val="24"/>
        </w:rPr>
        <w:t>, som markedsføres i EU. Ved udvidelsen sættes større fokus på produkters miljø- og klimaaftryk samt cirkulær økonomi.</w:t>
      </w:r>
    </w:p>
    <w:p w14:paraId="62083995" w14:textId="77777777" w:rsidR="000239CC" w:rsidRDefault="00D87F7D" w:rsidP="000239CC">
      <w:pPr>
        <w:spacing w:after="240"/>
        <w:rPr>
          <w:rFonts w:eastAsia="Calibri" w:cs="Times New Roman"/>
          <w:szCs w:val="24"/>
        </w:rPr>
      </w:pPr>
      <w:r>
        <w:rPr>
          <w:rFonts w:eastAsia="Calibri" w:cs="Times New Roman"/>
          <w:szCs w:val="24"/>
        </w:rPr>
        <w:t>For</w:t>
      </w:r>
      <w:r w:rsidR="00400F0A">
        <w:rPr>
          <w:rFonts w:eastAsia="Calibri" w:cs="Times New Roman"/>
          <w:szCs w:val="24"/>
        </w:rPr>
        <w:t>ordningen</w:t>
      </w:r>
      <w:r>
        <w:rPr>
          <w:rFonts w:eastAsia="Calibri" w:cs="Times New Roman"/>
          <w:szCs w:val="24"/>
        </w:rPr>
        <w:t xml:space="preserve"> </w:t>
      </w:r>
      <w:r w:rsidR="00400F0A">
        <w:rPr>
          <w:rFonts w:eastAsia="Calibri" w:cs="Times New Roman"/>
          <w:szCs w:val="24"/>
        </w:rPr>
        <w:t xml:space="preserve">træder i kraft den </w:t>
      </w:r>
      <w:r w:rsidR="002D0974">
        <w:rPr>
          <w:rFonts w:eastAsia="Calibri" w:cs="Times New Roman"/>
          <w:szCs w:val="24"/>
        </w:rPr>
        <w:t>[…]</w:t>
      </w:r>
      <w:r w:rsidR="00400F0A">
        <w:rPr>
          <w:rFonts w:eastAsia="Calibri" w:cs="Times New Roman"/>
          <w:szCs w:val="24"/>
        </w:rPr>
        <w:t xml:space="preserve"> og får </w:t>
      </w:r>
      <w:r w:rsidR="0075218A">
        <w:rPr>
          <w:rFonts w:eastAsia="Calibri" w:cs="Times New Roman"/>
          <w:szCs w:val="24"/>
        </w:rPr>
        <w:t>anvendelse fra</w:t>
      </w:r>
      <w:r w:rsidR="00400F0A">
        <w:rPr>
          <w:rFonts w:eastAsia="Calibri" w:cs="Times New Roman"/>
          <w:szCs w:val="24"/>
        </w:rPr>
        <w:t xml:space="preserve"> den</w:t>
      </w:r>
      <w:r w:rsidR="002D0974">
        <w:rPr>
          <w:rFonts w:eastAsia="Calibri" w:cs="Times New Roman"/>
          <w:szCs w:val="24"/>
        </w:rPr>
        <w:t xml:space="preserve"> […]</w:t>
      </w:r>
      <w:r w:rsidR="00BC3086">
        <w:rPr>
          <w:rFonts w:eastAsia="Calibri" w:cs="Times New Roman"/>
          <w:szCs w:val="24"/>
        </w:rPr>
        <w:t>, hvorefter den vil være direkte anvendelig i Danmark.</w:t>
      </w:r>
    </w:p>
    <w:p w14:paraId="443652FA" w14:textId="53F33FF6" w:rsidR="00AE5252" w:rsidRPr="00F13865" w:rsidRDefault="00D87F7D" w:rsidP="00F13865">
      <w:pPr>
        <w:pStyle w:val="Applicationdirecte"/>
        <w:spacing w:before="120"/>
        <w:jc w:val="left"/>
      </w:pPr>
      <w:r>
        <w:t xml:space="preserve">Forordningen indeholder </w:t>
      </w:r>
      <w:r w:rsidR="00FC2CB8">
        <w:t>elementer</w:t>
      </w:r>
      <w:r>
        <w:t xml:space="preserve">, som skal forebygge destruktion af usolgte forbrugerprodukter, herunder produkter, der returneres i henhold til </w:t>
      </w:r>
      <w:r w:rsidRPr="00F13865">
        <w:t xml:space="preserve">forbrugerfortrydelsesretten. Det fremgår overordnet af </w:t>
      </w:r>
      <w:r w:rsidR="00AE5252" w:rsidRPr="00F13865">
        <w:t xml:space="preserve">artikel </w:t>
      </w:r>
      <w:r w:rsidR="00C86562" w:rsidRPr="00F13865">
        <w:t>23</w:t>
      </w:r>
      <w:r w:rsidR="00AE5252" w:rsidRPr="00F13865">
        <w:t xml:space="preserve">, at </w:t>
      </w:r>
      <w:r w:rsidR="00C86562" w:rsidRPr="00F13865">
        <w:t xml:space="preserve">erhvervsdrivende </w:t>
      </w:r>
      <w:r w:rsidR="00FC2CB8">
        <w:t xml:space="preserve">skal </w:t>
      </w:r>
      <w:r w:rsidR="00C86562" w:rsidRPr="00F13865">
        <w:t>træffe de nødvendige foranstaltninger, som med rimelighed kan forventes at forebygge behovet for at destruere usolgte forbrugerprodukter.</w:t>
      </w:r>
    </w:p>
    <w:p w14:paraId="4C0790DC" w14:textId="104B9EC5" w:rsidR="00C86562" w:rsidRPr="00F13865" w:rsidRDefault="00C86562" w:rsidP="00F13865">
      <w:pPr>
        <w:pStyle w:val="Applicationdirecte"/>
        <w:spacing w:before="120"/>
        <w:jc w:val="left"/>
      </w:pPr>
      <w:r w:rsidRPr="00F13865">
        <w:t>Ved destruktion forstås i henhold til forordningen ”</w:t>
      </w:r>
      <w:r w:rsidRPr="00FE147F">
        <w:t xml:space="preserve">forsætlig beskadigelse eller </w:t>
      </w:r>
      <w:r>
        <w:t>kassering</w:t>
      </w:r>
      <w:r w:rsidRPr="00FE147F">
        <w:t xml:space="preserve"> af et produkt som affald med undtagelse af at </w:t>
      </w:r>
      <w:r>
        <w:t>kassere</w:t>
      </w:r>
      <w:r w:rsidRPr="00FE147F">
        <w:t xml:space="preserve"> det udelukkende med henblik på levering </w:t>
      </w:r>
      <w:r w:rsidRPr="00C86562">
        <w:t xml:space="preserve">af </w:t>
      </w:r>
      <w:r w:rsidRPr="00F13865">
        <w:t>det kasserede</w:t>
      </w:r>
      <w:r w:rsidRPr="00C86562">
        <w:t xml:space="preserve"> produkt til forberedelse med henblik på genbrug, </w:t>
      </w:r>
      <w:r w:rsidRPr="00F13865">
        <w:t>herunder istandsættelse</w:t>
      </w:r>
      <w:r w:rsidRPr="00C86562">
        <w:t xml:space="preserve"> eller</w:t>
      </w:r>
      <w:r w:rsidRPr="00FE147F">
        <w:t xml:space="preserve"> genfremstilling</w:t>
      </w:r>
      <w:r>
        <w:t>”.</w:t>
      </w:r>
    </w:p>
    <w:p w14:paraId="7E23925F" w14:textId="4016A556" w:rsidR="00D87F7D" w:rsidRDefault="00D87F7D" w:rsidP="00F13865">
      <w:pPr>
        <w:pStyle w:val="Applicationdirecte"/>
        <w:spacing w:before="120"/>
        <w:jc w:val="left"/>
      </w:pPr>
      <w:r>
        <w:t>Det f</w:t>
      </w:r>
      <w:r w:rsidR="00AE5252">
        <w:t>remgår af artikel 2</w:t>
      </w:r>
      <w:r w:rsidR="00AE1EEF">
        <w:t>4</w:t>
      </w:r>
      <w:r w:rsidR="00AE5252">
        <w:t>, at</w:t>
      </w:r>
      <w:r>
        <w:t xml:space="preserve"> større virksomheder skal offentliggøre oplysninger om antal usolgte, kasserede forbrugerprodukter og grunden hertil. Det skal endvidere oplyses, hvordan produkterne er håndteret i henhold til affaldshierarkiet. </w:t>
      </w:r>
    </w:p>
    <w:p w14:paraId="39BDEB74" w14:textId="3FD1AFCE" w:rsidR="00D87F7D" w:rsidRDefault="00AC3EAF" w:rsidP="004E52D1">
      <w:pPr>
        <w:pStyle w:val="Applicationdirecte"/>
        <w:spacing w:before="120"/>
        <w:jc w:val="left"/>
      </w:pPr>
      <w:r>
        <w:t xml:space="preserve">Med forordningen indføres et forbud mod destruktion af usolgte forbrugerprodukter i form af beklædning og fodtøj. Det fremgår således af artikel </w:t>
      </w:r>
      <w:r>
        <w:lastRenderedPageBreak/>
        <w:t>2</w:t>
      </w:r>
      <w:r w:rsidR="00AE1EEF">
        <w:t>5</w:t>
      </w:r>
      <w:r>
        <w:t xml:space="preserve">, at </w:t>
      </w:r>
      <w:r w:rsidR="00AE5252">
        <w:t>det</w:t>
      </w:r>
      <w:r w:rsidR="00480029">
        <w:t>,</w:t>
      </w:r>
      <w:r w:rsidR="00AE5252">
        <w:t xml:space="preserve"> 24 måneder efter forordningens ikrafttræden</w:t>
      </w:r>
      <w:r w:rsidR="00480029">
        <w:t>,</w:t>
      </w:r>
      <w:r w:rsidR="00AE5252">
        <w:t xml:space="preserve"> vil være forbudt at destruere forbruger produkter indeholdt i bilag VII. </w:t>
      </w:r>
    </w:p>
    <w:p w14:paraId="45FE88C6" w14:textId="039BCFEF" w:rsidR="00D87F7D" w:rsidRDefault="00D87F7D" w:rsidP="00D87F7D">
      <w:pPr>
        <w:rPr>
          <w:sz w:val="20"/>
        </w:rPr>
      </w:pPr>
      <w:r>
        <w:t xml:space="preserve">Kommissionen </w:t>
      </w:r>
      <w:r w:rsidR="00AC3EAF">
        <w:t xml:space="preserve">bliver bemyndiget til at foretage ændringer i bilag </w:t>
      </w:r>
      <w:r w:rsidR="001B43BF">
        <w:t>VII ved</w:t>
      </w:r>
      <w:r>
        <w:t xml:space="preserve"> delegerede retsakter </w:t>
      </w:r>
      <w:r w:rsidR="00AC3EAF">
        <w:t xml:space="preserve">og kan således </w:t>
      </w:r>
      <w:r>
        <w:t xml:space="preserve">forbyde destruktion af </w:t>
      </w:r>
      <w:r w:rsidR="00AC3EAF">
        <w:t>yderligere forbruger</w:t>
      </w:r>
      <w:r>
        <w:t>produkter</w:t>
      </w:r>
      <w:r w:rsidR="00AC3EAF">
        <w:t>.</w:t>
      </w:r>
      <w:r>
        <w:t xml:space="preserve"> </w:t>
      </w:r>
    </w:p>
    <w:p w14:paraId="50D1E048" w14:textId="77777777" w:rsidR="00D87F7D" w:rsidRDefault="00D87F7D" w:rsidP="00D87F7D">
      <w:pPr>
        <w:pStyle w:val="Normalindrykning"/>
        <w:ind w:left="0"/>
        <w:jc w:val="both"/>
        <w:rPr>
          <w:rFonts w:cs="Arial"/>
        </w:rPr>
      </w:pPr>
    </w:p>
    <w:p w14:paraId="1E960785" w14:textId="2A8569E3" w:rsidR="00D87F7D" w:rsidRDefault="001B43BF">
      <w:r>
        <w:t>Mikrovirksomheder og s</w:t>
      </w:r>
      <w:r w:rsidR="00D87F7D" w:rsidRPr="00230B7D">
        <w:t xml:space="preserve">må virksomheder </w:t>
      </w:r>
      <w:r w:rsidR="00C975A9">
        <w:t>er</w:t>
      </w:r>
      <w:r w:rsidR="00C975A9" w:rsidRPr="00230B7D">
        <w:t xml:space="preserve"> </w:t>
      </w:r>
      <w:r w:rsidR="00C975A9">
        <w:t xml:space="preserve">efter artikel </w:t>
      </w:r>
      <w:r w:rsidR="00EE19AA">
        <w:t>25</w:t>
      </w:r>
      <w:r w:rsidR="00C975A9">
        <w:t xml:space="preserve"> </w:t>
      </w:r>
      <w:r w:rsidR="00D87F7D" w:rsidRPr="00230B7D">
        <w:t xml:space="preserve">undtaget reguleringen om destruktion af usolgte produkter. </w:t>
      </w:r>
    </w:p>
    <w:p w14:paraId="7CAB393A" w14:textId="77777777" w:rsidR="009E0A32" w:rsidRDefault="009E0A32"/>
    <w:p w14:paraId="4FBF63F3" w14:textId="35E996E9" w:rsidR="00AE1EEF" w:rsidRDefault="00AE1EEF" w:rsidP="00AE1EEF">
      <w:r>
        <w:t>Kommissionen kan i medfør af artikel  25  vedtage delegerede retsakter, der fastsætter undtagelser fra forbuddet mod destruktion af usolgte forbrugerprodukter, når det er relevant og af følgende grunde: 1) sundheds-, hygiejne- og sikkerhedsmæssige betænkeligheder, 2) skader forårsaget på produkter som følge af håndtering, eller som opdages, efter produktet er blevet returneret af en forbruger, og som ikke kan repareres på en omkostningseffektiv måde</w:t>
      </w:r>
      <w:r w:rsidR="001B1855">
        <w:t>,</w:t>
      </w:r>
      <w:r>
        <w:t xml:space="preserve"> 3) produkters </w:t>
      </w:r>
      <w:proofErr w:type="spellStart"/>
      <w:r>
        <w:t>uegnethed</w:t>
      </w:r>
      <w:proofErr w:type="spellEnd"/>
      <w:r>
        <w:t xml:space="preserve"> til det formål, de er beregnet til, 4) manglende accept af produkter, der tilbydes til donation, 5) produkters </w:t>
      </w:r>
      <w:proofErr w:type="spellStart"/>
      <w:r>
        <w:t>uegnethed</w:t>
      </w:r>
      <w:proofErr w:type="spellEnd"/>
      <w:r>
        <w:t xml:space="preserve"> til forberedelse med henblik på genbrug eller genfremstilling, 6)</w:t>
      </w:r>
      <w:r w:rsidR="005E7D66">
        <w:t xml:space="preserve"> </w:t>
      </w:r>
      <w:r>
        <w:t>pro</w:t>
      </w:r>
      <w:r w:rsidR="005E7D66">
        <w:t>d</w:t>
      </w:r>
      <w:r>
        <w:t xml:space="preserve">ukter, der er usælgelige på grund af krænkelser af intellektuelle ejendomsrettigheder, herunder forfalskede produkter eller 7) hvor destruktion er den mulighed, der har mindst negative miljøpåvirkninger. </w:t>
      </w:r>
    </w:p>
    <w:p w14:paraId="7C6A411B" w14:textId="77777777" w:rsidR="00BC3086" w:rsidRPr="00D665C2" w:rsidRDefault="00BC3086" w:rsidP="00D665C2"/>
    <w:p w14:paraId="1350B53A" w14:textId="77777777" w:rsidR="00BC3086" w:rsidRDefault="00BC3086" w:rsidP="00FD1A50">
      <w:pPr>
        <w:pStyle w:val="Undertitel"/>
        <w:spacing w:after="0"/>
      </w:pPr>
      <w:bookmarkStart w:id="141" w:name="_Toc526409504"/>
      <w:bookmarkStart w:id="142" w:name="_Toc526491403"/>
      <w:bookmarkStart w:id="143" w:name="_Toc526505515"/>
      <w:bookmarkStart w:id="144" w:name="_Toc526756607"/>
    </w:p>
    <w:p w14:paraId="1A4534D6" w14:textId="77777777" w:rsidR="00BC3086" w:rsidRDefault="00BC3086" w:rsidP="00FD1A50">
      <w:pPr>
        <w:pStyle w:val="Undertitel"/>
        <w:spacing w:after="0"/>
      </w:pPr>
    </w:p>
    <w:p w14:paraId="6C08A325" w14:textId="77777777" w:rsidR="00BC3086" w:rsidRDefault="00BC3086" w:rsidP="00FD1A50">
      <w:pPr>
        <w:pStyle w:val="Undertitel"/>
        <w:spacing w:after="0"/>
      </w:pPr>
    </w:p>
    <w:p w14:paraId="2267C57E" w14:textId="77777777" w:rsidR="00FD1A50" w:rsidRDefault="00FD1A50" w:rsidP="00FD1A50">
      <w:pPr>
        <w:pStyle w:val="Undertitel"/>
        <w:spacing w:after="0"/>
      </w:pPr>
      <w:r>
        <w:t>3.1.2</w:t>
      </w:r>
      <w:r w:rsidRPr="00C2514E">
        <w:t xml:space="preserve">. </w:t>
      </w:r>
      <w:r w:rsidR="00697D54">
        <w:t>Miljøministeriets</w:t>
      </w:r>
      <w:r>
        <w:t xml:space="preserve"> overvejelser</w:t>
      </w:r>
      <w:bookmarkEnd w:id="141"/>
      <w:bookmarkEnd w:id="142"/>
      <w:bookmarkEnd w:id="143"/>
      <w:bookmarkEnd w:id="144"/>
      <w:r w:rsidR="00AC3EAF">
        <w:t xml:space="preserve"> og den foreslåede ordning</w:t>
      </w:r>
      <w:r w:rsidR="00216116">
        <w:t xml:space="preserve"> om modtagekontrol</w:t>
      </w:r>
    </w:p>
    <w:p w14:paraId="021040C7" w14:textId="77777777" w:rsidR="00697D54" w:rsidRPr="00697D54" w:rsidRDefault="00697D54" w:rsidP="00697D54"/>
    <w:p w14:paraId="1A23BB56" w14:textId="18B12AA8" w:rsidR="00B376A7" w:rsidRDefault="00697D54" w:rsidP="00697D54">
      <w:pPr>
        <w:shd w:val="clear" w:color="auto" w:fill="FFFFFF"/>
      </w:pPr>
      <w:r>
        <w:t xml:space="preserve">Med afsæt i den </w:t>
      </w:r>
      <w:r w:rsidR="000567E1">
        <w:t xml:space="preserve">Opfølgende aftale om klimaplan for en grøn affaldssektor og cirkulær økonomi </w:t>
      </w:r>
      <w:r>
        <w:t>fra 30. august 2022 skal reglerne for en modtagekontrol ændres således</w:t>
      </w:r>
      <w:r w:rsidR="00611093">
        <w:t>,</w:t>
      </w:r>
      <w:r>
        <w:t xml:space="preserve"> at</w:t>
      </w:r>
      <w:r w:rsidR="00170D74">
        <w:t xml:space="preserve"> virksomheder, der driver</w:t>
      </w:r>
      <w:r>
        <w:t xml:space="preserve"> </w:t>
      </w:r>
      <w:r w:rsidR="00F13865">
        <w:t>affalds</w:t>
      </w:r>
      <w:r>
        <w:t>forbrændingsanlæggene</w:t>
      </w:r>
      <w:r w:rsidR="00611093">
        <w:t>,</w:t>
      </w:r>
      <w:r>
        <w:t xml:space="preserve"> fra 2025</w:t>
      </w:r>
      <w:r w:rsidR="005E7D66">
        <w:t xml:space="preserve"> </w:t>
      </w:r>
      <w:r>
        <w:t xml:space="preserve">forpligtes til at afvise affaldslæs, </w:t>
      </w:r>
      <w:r w:rsidR="00110A04">
        <w:t>hvis det vurderes, at affaldslæs</w:t>
      </w:r>
      <w:r w:rsidR="007516C1">
        <w:t>set indeholder affald</w:t>
      </w:r>
      <w:r w:rsidR="00110A04">
        <w:t xml:space="preserve"> </w:t>
      </w:r>
      <w:r w:rsidR="00F13865">
        <w:t>egnet til materialenyttiggørelse</w:t>
      </w:r>
      <w:r w:rsidR="00110A04">
        <w:t>.</w:t>
      </w:r>
      <w:r>
        <w:t xml:space="preserve"> </w:t>
      </w:r>
      <w:r w:rsidR="00B376A7">
        <w:t xml:space="preserve">Det bemærkes, at der </w:t>
      </w:r>
      <w:r w:rsidR="000E6AA1">
        <w:t xml:space="preserve">påtænkes fastsat </w:t>
      </w:r>
      <w:r w:rsidR="009C7F9F">
        <w:t>en grænse for,</w:t>
      </w:r>
      <w:r w:rsidR="000E6AA1">
        <w:t xml:space="preserve"> </w:t>
      </w:r>
      <w:r w:rsidR="00B376A7">
        <w:t>hvornår et affaldslæs indeholder så meget affald egnet til materialenyttiggørelse, at det er omfattet af reglerne</w:t>
      </w:r>
      <w:r w:rsidR="000E6AA1">
        <w:t>.</w:t>
      </w:r>
    </w:p>
    <w:p w14:paraId="2E94F5D5" w14:textId="77777777" w:rsidR="00B376A7" w:rsidRDefault="00B376A7" w:rsidP="00697D54">
      <w:pPr>
        <w:shd w:val="clear" w:color="auto" w:fill="FFFFFF"/>
      </w:pPr>
    </w:p>
    <w:p w14:paraId="3B8E5412" w14:textId="67D69813" w:rsidR="009633E8" w:rsidRDefault="009633E8" w:rsidP="00697D54">
      <w:pPr>
        <w:shd w:val="clear" w:color="auto" w:fill="FFFFFF"/>
      </w:pPr>
      <w:r>
        <w:t>Afvisningen kan ske på to måder. Dels kan virksomheden fysisk afvise affaldslæsset, hvorefter det bortkøres fra affaldsbehandlingsanlægget. Dels kan virksomheden administrativt afvise affaldslæsset i tilfælde</w:t>
      </w:r>
      <w:r w:rsidR="005E7D66">
        <w:t>,</w:t>
      </w:r>
      <w:r>
        <w:t xml:space="preserve"> hvor det ikke er praktisk muligt fysisk at afvise affaldslæsset.</w:t>
      </w:r>
    </w:p>
    <w:p w14:paraId="4B56DAD9" w14:textId="648564DB" w:rsidR="009633E8" w:rsidRDefault="009633E8" w:rsidP="00697D54">
      <w:pPr>
        <w:shd w:val="clear" w:color="auto" w:fill="FFFFFF"/>
      </w:pPr>
    </w:p>
    <w:p w14:paraId="4491C924" w14:textId="299CD0B9" w:rsidR="00697D54" w:rsidRDefault="00697D54" w:rsidP="00697D54">
      <w:pPr>
        <w:shd w:val="clear" w:color="auto" w:fill="FFFFFF"/>
      </w:pPr>
      <w:r w:rsidRPr="00A23C63">
        <w:lastRenderedPageBreak/>
        <w:t>Samtidig forpligtes</w:t>
      </w:r>
      <w:r w:rsidR="00A23C63" w:rsidRPr="000567E1">
        <w:t xml:space="preserve"> virksomheder, der driver</w:t>
      </w:r>
      <w:r w:rsidRPr="00A23C63">
        <w:t xml:space="preserve"> forbrændingsanlæggene</w:t>
      </w:r>
      <w:r w:rsidR="00A23C63" w:rsidRPr="000567E1">
        <w:t>,</w:t>
      </w:r>
      <w:r w:rsidRPr="00A23C63">
        <w:t xml:space="preserve"> til at give en </w:t>
      </w:r>
      <w:r w:rsidR="00230B7D" w:rsidRPr="00A23C63">
        <w:t>underretning</w:t>
      </w:r>
      <w:r w:rsidRPr="00A23C63">
        <w:t xml:space="preserve"> til Miljøstyrelsen med henblik </w:t>
      </w:r>
      <w:r w:rsidR="000D383D" w:rsidRPr="00A23C63">
        <w:t>på, at</w:t>
      </w:r>
      <w:r w:rsidRPr="00A23C63">
        <w:t xml:space="preserve"> </w:t>
      </w:r>
      <w:r w:rsidR="00A86BC8" w:rsidRPr="002D1F90">
        <w:t>tilsynsmyndigheden</w:t>
      </w:r>
      <w:r w:rsidR="004F53D0" w:rsidRPr="002D1F90">
        <w:t xml:space="preserve"> </w:t>
      </w:r>
      <w:r w:rsidR="00230B7D" w:rsidRPr="002D1F90">
        <w:t xml:space="preserve">kan </w:t>
      </w:r>
      <w:r w:rsidRPr="002D1F90">
        <w:t xml:space="preserve">føre affaldstilsyn hos den relevante affaldsproducent eller affaldsindsamler. </w:t>
      </w:r>
    </w:p>
    <w:p w14:paraId="27DE426C" w14:textId="77777777" w:rsidR="00230B7D" w:rsidRDefault="00230B7D" w:rsidP="00697D54">
      <w:pPr>
        <w:shd w:val="clear" w:color="auto" w:fill="FFFFFF"/>
      </w:pPr>
    </w:p>
    <w:p w14:paraId="14A6F9A3" w14:textId="0000145D" w:rsidR="00697D54" w:rsidRDefault="008039FE" w:rsidP="00697D54">
      <w:pPr>
        <w:shd w:val="clear" w:color="auto" w:fill="FFFFFF"/>
      </w:pPr>
      <w:r>
        <w:t xml:space="preserve">Til </w:t>
      </w:r>
      <w:r w:rsidR="005E7D66">
        <w:t xml:space="preserve">brug for håndhævelse </w:t>
      </w:r>
      <w:r>
        <w:t>af</w:t>
      </w:r>
      <w:r w:rsidR="00697D54">
        <w:t xml:space="preserve"> </w:t>
      </w:r>
      <w:r w:rsidR="005E7D66">
        <w:t xml:space="preserve">destruktionsforbud i medfør af </w:t>
      </w:r>
      <w:proofErr w:type="spellStart"/>
      <w:r w:rsidR="00170D74">
        <w:t>e</w:t>
      </w:r>
      <w:r w:rsidR="00697D54">
        <w:t>codesignforordningen</w:t>
      </w:r>
      <w:proofErr w:type="spellEnd"/>
      <w:r w:rsidR="00697D54">
        <w:t xml:space="preserve"> </w:t>
      </w:r>
      <w:r w:rsidR="00170D74">
        <w:t xml:space="preserve">foreslås </w:t>
      </w:r>
      <w:r w:rsidR="00216116">
        <w:t xml:space="preserve">der </w:t>
      </w:r>
      <w:r w:rsidR="00923BF8">
        <w:t>etablere</w:t>
      </w:r>
      <w:r w:rsidR="000C17F0">
        <w:t>t</w:t>
      </w:r>
      <w:r w:rsidR="00923BF8">
        <w:t xml:space="preserve"> en bemyndigelse til, at miljøministeren kan fastsætte regler om, at virksomheder, der driver </w:t>
      </w:r>
      <w:r w:rsidR="00697D54">
        <w:t>anlæg</w:t>
      </w:r>
      <w:r w:rsidR="000C17F0">
        <w:t xml:space="preserve">, der modtager affald med henblik på genanvendelse, </w:t>
      </w:r>
      <w:r w:rsidR="00697D54">
        <w:t xml:space="preserve">skal afvise </w:t>
      </w:r>
      <w:r w:rsidR="00106744">
        <w:t>visse usolgte forbrugerprodukter</w:t>
      </w:r>
      <w:r w:rsidR="00697D54">
        <w:t xml:space="preserve">. I første omgang </w:t>
      </w:r>
      <w:r w:rsidR="00923BF8">
        <w:t xml:space="preserve">forventes </w:t>
      </w:r>
      <w:r w:rsidR="00697D54">
        <w:t>der</w:t>
      </w:r>
      <w:r w:rsidR="00923BF8">
        <w:t xml:space="preserve"> at</w:t>
      </w:r>
      <w:r w:rsidR="00697D54">
        <w:t xml:space="preserve"> blive fastsat regler om afvisning af beklædning og </w:t>
      </w:r>
      <w:r w:rsidR="00611093">
        <w:t>fodtøj</w:t>
      </w:r>
      <w:r w:rsidR="00697D54">
        <w:t xml:space="preserve">, men i takt med at EU-Kommissionen vedtager nye delegerede retsakter i medfør af </w:t>
      </w:r>
      <w:proofErr w:type="spellStart"/>
      <w:r w:rsidR="00923BF8">
        <w:t>e</w:t>
      </w:r>
      <w:r w:rsidR="00697D54">
        <w:t>codesign</w:t>
      </w:r>
      <w:r w:rsidR="00972AE9">
        <w:t>forordningens</w:t>
      </w:r>
      <w:proofErr w:type="spellEnd"/>
      <w:r w:rsidR="00972AE9">
        <w:t xml:space="preserve"> </w:t>
      </w:r>
      <w:r>
        <w:t>artikel 25</w:t>
      </w:r>
      <w:r w:rsidR="00972AE9">
        <w:t>, vil omfanget af forbrugerprodukter, der skal afvises blive forøget.</w:t>
      </w:r>
      <w:r>
        <w:t xml:space="preserve"> Reglerne </w:t>
      </w:r>
      <w:r w:rsidR="0096675F">
        <w:t xml:space="preserve">forventes </w:t>
      </w:r>
      <w:r>
        <w:t>fastsat således, at der kun skal ske afvisning, såfremt produkterne ikke er omfattet af undtagelsesbestemmelser fastsat af Kommissionen i medfør af artikel 25, jf. ovenfor.</w:t>
      </w:r>
    </w:p>
    <w:p w14:paraId="0B4A31A5" w14:textId="77777777" w:rsidR="00B40730" w:rsidRDefault="00B40730">
      <w:pPr>
        <w:rPr>
          <w:rFonts w:cstheme="minorHAnsi"/>
        </w:rPr>
      </w:pPr>
    </w:p>
    <w:p w14:paraId="385F2EA7" w14:textId="26BFE458" w:rsidR="00B40730" w:rsidRDefault="00B40730" w:rsidP="00D665C2">
      <w:pPr>
        <w:rPr>
          <w:rFonts w:cstheme="minorHAnsi"/>
        </w:rPr>
      </w:pPr>
      <w:r>
        <w:rPr>
          <w:rFonts w:cstheme="minorHAnsi"/>
        </w:rPr>
        <w:t>3.1.2.</w:t>
      </w:r>
      <w:r w:rsidR="00F675E8">
        <w:rPr>
          <w:rFonts w:cstheme="minorHAnsi"/>
        </w:rPr>
        <w:t>1</w:t>
      </w:r>
      <w:r w:rsidR="0096675F">
        <w:rPr>
          <w:rFonts w:cstheme="minorHAnsi"/>
        </w:rPr>
        <w:t xml:space="preserve"> </w:t>
      </w:r>
      <w:r>
        <w:rPr>
          <w:rFonts w:cstheme="minorHAnsi"/>
        </w:rPr>
        <w:t>Krav om kontrol</w:t>
      </w:r>
    </w:p>
    <w:p w14:paraId="368DA0D9" w14:textId="77777777" w:rsidR="00331F13" w:rsidRPr="00091974" w:rsidRDefault="00331F13" w:rsidP="00930109">
      <w:pPr>
        <w:rPr>
          <w:rFonts w:cstheme="minorHAnsi"/>
        </w:rPr>
      </w:pPr>
    </w:p>
    <w:p w14:paraId="7260790C" w14:textId="0E83AB46" w:rsidR="00331F13" w:rsidRDefault="00930109" w:rsidP="00B40730">
      <w:pPr>
        <w:rPr>
          <w:rFonts w:cstheme="minorHAnsi"/>
        </w:rPr>
      </w:pPr>
      <w:r w:rsidRPr="00091974">
        <w:rPr>
          <w:rFonts w:cstheme="minorHAnsi"/>
        </w:rPr>
        <w:t xml:space="preserve">Den foreslåede bemyndigelse </w:t>
      </w:r>
      <w:r w:rsidR="00331F13">
        <w:rPr>
          <w:rFonts w:cstheme="minorHAnsi"/>
        </w:rPr>
        <w:t xml:space="preserve">i lovforslagets </w:t>
      </w:r>
      <w:r w:rsidR="00B40730">
        <w:rPr>
          <w:rFonts w:cstheme="minorHAnsi"/>
        </w:rPr>
        <w:t xml:space="preserve">udkast til ny </w:t>
      </w:r>
      <w:r w:rsidR="00331F13">
        <w:rPr>
          <w:rFonts w:cstheme="minorHAnsi"/>
        </w:rPr>
        <w:t>§ 44, stk. 8,</w:t>
      </w:r>
      <w:r w:rsidR="00331F13" w:rsidRPr="00091974">
        <w:rPr>
          <w:rFonts w:cstheme="minorHAnsi"/>
        </w:rPr>
        <w:t xml:space="preserve"> </w:t>
      </w:r>
      <w:r w:rsidR="00331F13">
        <w:rPr>
          <w:rFonts w:cstheme="minorHAnsi"/>
        </w:rPr>
        <w:t>vil medføre, at ministeren kan fastsætte regler om</w:t>
      </w:r>
      <w:r w:rsidR="00B40730">
        <w:rPr>
          <w:rFonts w:cstheme="minorHAnsi"/>
        </w:rPr>
        <w:t xml:space="preserve">, at </w:t>
      </w:r>
      <w:r w:rsidR="0096675F">
        <w:rPr>
          <w:rFonts w:cstheme="minorHAnsi"/>
        </w:rPr>
        <w:t>den virksomhed, der driver affaldsbehandlingsanlægget eller genanvendelsesanlægget</w:t>
      </w:r>
      <w:r w:rsidR="00611093">
        <w:rPr>
          <w:rFonts w:cstheme="minorHAnsi"/>
        </w:rPr>
        <w:t>,</w:t>
      </w:r>
      <w:r w:rsidR="0096675F">
        <w:rPr>
          <w:rFonts w:cstheme="minorHAnsi"/>
        </w:rPr>
        <w:t xml:space="preserve"> </w:t>
      </w:r>
      <w:r w:rsidR="00B40730">
        <w:rPr>
          <w:rFonts w:cstheme="minorHAnsi"/>
        </w:rPr>
        <w:t>skal udføre kontrol</w:t>
      </w:r>
      <w:r w:rsidR="00331F13">
        <w:rPr>
          <w:rFonts w:cstheme="minorHAnsi"/>
        </w:rPr>
        <w:t xml:space="preserve"> ved modtagelsen af affald på affaldsforbrændingsanlæggene</w:t>
      </w:r>
      <w:r w:rsidR="00A17E30">
        <w:rPr>
          <w:rFonts w:cstheme="minorHAnsi"/>
        </w:rPr>
        <w:t xml:space="preserve"> og på genanvendelsesanlæggene</w:t>
      </w:r>
      <w:r w:rsidR="00331F13">
        <w:rPr>
          <w:rFonts w:cstheme="minorHAnsi"/>
        </w:rPr>
        <w:t xml:space="preserve">. </w:t>
      </w:r>
    </w:p>
    <w:p w14:paraId="7A10C7DA" w14:textId="77777777" w:rsidR="005D0935" w:rsidRDefault="005D0935" w:rsidP="00D665C2">
      <w:pPr>
        <w:rPr>
          <w:rFonts w:cstheme="minorHAnsi"/>
        </w:rPr>
      </w:pPr>
    </w:p>
    <w:p w14:paraId="757175B2" w14:textId="468D03C0" w:rsidR="00200D35" w:rsidRDefault="005D0935" w:rsidP="00331F13">
      <w:pPr>
        <w:shd w:val="clear" w:color="auto" w:fill="FFFFFF"/>
        <w:spacing w:after="120"/>
        <w:rPr>
          <w:rFonts w:cstheme="minorHAnsi"/>
        </w:rPr>
      </w:pPr>
      <w:r>
        <w:rPr>
          <w:rFonts w:cstheme="minorHAnsi"/>
        </w:rPr>
        <w:t>B</w:t>
      </w:r>
      <w:r w:rsidR="00331F13">
        <w:rPr>
          <w:rFonts w:cstheme="minorHAnsi"/>
        </w:rPr>
        <w:t>emyndigelse</w:t>
      </w:r>
      <w:r w:rsidR="008F3C71">
        <w:rPr>
          <w:rFonts w:cstheme="minorHAnsi"/>
        </w:rPr>
        <w:t>n</w:t>
      </w:r>
      <w:r w:rsidR="00331F13">
        <w:rPr>
          <w:rFonts w:cstheme="minorHAnsi"/>
        </w:rPr>
        <w:t xml:space="preserve"> påtænkes udnyttet til at fastsætte regler </w:t>
      </w:r>
      <w:r w:rsidR="005C6268">
        <w:rPr>
          <w:rFonts w:cstheme="minorHAnsi"/>
        </w:rPr>
        <w:t>om,</w:t>
      </w:r>
      <w:r w:rsidR="00200D35">
        <w:rPr>
          <w:rFonts w:cstheme="minorHAnsi"/>
        </w:rPr>
        <w:t xml:space="preserve"> at</w:t>
      </w:r>
      <w:r w:rsidR="00331F13">
        <w:rPr>
          <w:rFonts w:cstheme="minorHAnsi"/>
        </w:rPr>
        <w:t xml:space="preserve"> </w:t>
      </w:r>
      <w:r w:rsidR="00EE40A1">
        <w:rPr>
          <w:rFonts w:cstheme="minorHAnsi"/>
        </w:rPr>
        <w:t xml:space="preserve">virksomheder, der driver </w:t>
      </w:r>
      <w:r w:rsidR="00331F13">
        <w:rPr>
          <w:rFonts w:cstheme="minorHAnsi"/>
        </w:rPr>
        <w:t>affaldsforbrændingsanlæggene</w:t>
      </w:r>
      <w:r w:rsidR="00611093">
        <w:rPr>
          <w:rFonts w:cstheme="minorHAnsi"/>
        </w:rPr>
        <w:t>,</w:t>
      </w:r>
      <w:r w:rsidR="00331F13">
        <w:rPr>
          <w:rFonts w:cstheme="minorHAnsi"/>
        </w:rPr>
        <w:t xml:space="preserve"> </w:t>
      </w:r>
      <w:r w:rsidR="00200D35">
        <w:rPr>
          <w:rFonts w:cstheme="minorHAnsi"/>
        </w:rPr>
        <w:t>skal kontrollere repræsentativt udvalgte affaldslæs</w:t>
      </w:r>
      <w:r w:rsidR="00331F13">
        <w:rPr>
          <w:rFonts w:cstheme="minorHAnsi"/>
        </w:rPr>
        <w:t xml:space="preserve">, som modtages til forbrænding med henblik på at kontrollere </w:t>
      </w:r>
      <w:r w:rsidR="00200D35">
        <w:rPr>
          <w:rFonts w:cstheme="minorHAnsi"/>
        </w:rPr>
        <w:t>affaldslæssenes indhold af affald</w:t>
      </w:r>
      <w:r w:rsidR="001654C4">
        <w:rPr>
          <w:rFonts w:cstheme="minorHAnsi"/>
        </w:rPr>
        <w:t xml:space="preserve"> egnet til materialenyttiggørelse</w:t>
      </w:r>
      <w:r w:rsidR="00200D35">
        <w:rPr>
          <w:rFonts w:cstheme="minorHAnsi"/>
        </w:rPr>
        <w:t xml:space="preserve">. </w:t>
      </w:r>
      <w:r w:rsidR="00220452">
        <w:rPr>
          <w:rFonts w:cstheme="minorHAnsi"/>
        </w:rPr>
        <w:t>Det påtænkes at fastsætte</w:t>
      </w:r>
      <w:r w:rsidR="00EE40A1">
        <w:rPr>
          <w:rFonts w:cstheme="minorHAnsi"/>
        </w:rPr>
        <w:t xml:space="preserve"> regler om</w:t>
      </w:r>
      <w:r w:rsidR="00220452">
        <w:rPr>
          <w:rFonts w:cstheme="minorHAnsi"/>
        </w:rPr>
        <w:t>, at kontrollen skal udføres på minimum 5 procent af de affaldslæs, der modtages ugentligt</w:t>
      </w:r>
      <w:r w:rsidR="00200D35">
        <w:rPr>
          <w:rFonts w:cstheme="minorHAnsi"/>
        </w:rPr>
        <w:t>. Det påtænkes endvidere at fastsætte</w:t>
      </w:r>
      <w:r w:rsidR="00611093">
        <w:rPr>
          <w:rFonts w:cstheme="minorHAnsi"/>
        </w:rPr>
        <w:t xml:space="preserve"> regler om</w:t>
      </w:r>
      <w:r w:rsidR="008F3C71">
        <w:rPr>
          <w:rFonts w:cstheme="minorHAnsi"/>
        </w:rPr>
        <w:t>,</w:t>
      </w:r>
      <w:r w:rsidR="00200D35">
        <w:rPr>
          <w:rFonts w:cstheme="minorHAnsi"/>
        </w:rPr>
        <w:t xml:space="preserve"> at anlæggene herudover skal føre kontrol ved konkret begrundet mistanke. </w:t>
      </w:r>
    </w:p>
    <w:p w14:paraId="1CBD1E49" w14:textId="6ECAC5E3" w:rsidR="00200D35" w:rsidRDefault="00200D35" w:rsidP="00331F13">
      <w:pPr>
        <w:shd w:val="clear" w:color="auto" w:fill="FFFFFF"/>
        <w:spacing w:after="120"/>
        <w:rPr>
          <w:rFonts w:cstheme="minorHAnsi"/>
        </w:rPr>
      </w:pPr>
      <w:r>
        <w:rPr>
          <w:rFonts w:cstheme="minorHAnsi"/>
        </w:rPr>
        <w:t xml:space="preserve">Kontrollen </w:t>
      </w:r>
      <w:r w:rsidR="00F54832">
        <w:rPr>
          <w:rFonts w:cstheme="minorHAnsi"/>
        </w:rPr>
        <w:t>kan</w:t>
      </w:r>
      <w:r>
        <w:rPr>
          <w:rFonts w:cstheme="minorHAnsi"/>
        </w:rPr>
        <w:t xml:space="preserve"> være tilpasset de konkrete affaldsforbrændingsanlæg og affaldslæs og kan ske på følgende måder:</w:t>
      </w:r>
    </w:p>
    <w:p w14:paraId="1E3F8A4C" w14:textId="1E19EE62" w:rsidR="00E31351" w:rsidRDefault="00E31351" w:rsidP="00331F13">
      <w:pPr>
        <w:shd w:val="clear" w:color="auto" w:fill="FFFFFF"/>
        <w:spacing w:after="120"/>
        <w:rPr>
          <w:rFonts w:cstheme="minorHAnsi"/>
        </w:rPr>
      </w:pPr>
      <w:r>
        <w:rPr>
          <w:rFonts w:cstheme="minorHAnsi"/>
        </w:rPr>
        <w:t>V</w:t>
      </w:r>
      <w:r w:rsidR="00200D35">
        <w:rPr>
          <w:rFonts w:cstheme="minorHAnsi"/>
        </w:rPr>
        <w:t>ed visuel kontrol af åbne</w:t>
      </w:r>
      <w:r w:rsidR="0029251F">
        <w:rPr>
          <w:rFonts w:cstheme="minorHAnsi"/>
        </w:rPr>
        <w:t xml:space="preserve"> </w:t>
      </w:r>
      <w:r w:rsidR="00200D35">
        <w:rPr>
          <w:rFonts w:cstheme="minorHAnsi"/>
        </w:rPr>
        <w:t xml:space="preserve">affaldslæs, </w:t>
      </w:r>
      <w:r>
        <w:rPr>
          <w:rFonts w:cstheme="minorHAnsi"/>
        </w:rPr>
        <w:t xml:space="preserve">ved visuel kontrol af kameraovervågning i </w:t>
      </w:r>
      <w:r w:rsidR="005C3D6A">
        <w:rPr>
          <w:rFonts w:cstheme="minorHAnsi"/>
        </w:rPr>
        <w:t>forbrændingssiloen</w:t>
      </w:r>
      <w:r>
        <w:rPr>
          <w:rFonts w:cstheme="minorHAnsi"/>
        </w:rPr>
        <w:t xml:space="preserve"> </w:t>
      </w:r>
      <w:r w:rsidR="008B181A">
        <w:rPr>
          <w:rFonts w:cstheme="minorHAnsi"/>
        </w:rPr>
        <w:t>eller</w:t>
      </w:r>
      <w:r>
        <w:rPr>
          <w:rFonts w:cstheme="minorHAnsi"/>
        </w:rPr>
        <w:t xml:space="preserve"> ved at</w:t>
      </w:r>
      <w:r w:rsidR="005C3D6A">
        <w:rPr>
          <w:rFonts w:cstheme="minorHAnsi"/>
        </w:rPr>
        <w:t xml:space="preserve"> affaldet </w:t>
      </w:r>
      <w:r>
        <w:rPr>
          <w:rFonts w:cstheme="minorHAnsi"/>
        </w:rPr>
        <w:t xml:space="preserve">udspredes </w:t>
      </w:r>
      <w:r w:rsidR="005C3D6A">
        <w:rPr>
          <w:rFonts w:cstheme="minorHAnsi"/>
        </w:rPr>
        <w:t xml:space="preserve">på </w:t>
      </w:r>
      <w:r w:rsidR="00EE40A1">
        <w:rPr>
          <w:rFonts w:cstheme="minorHAnsi"/>
        </w:rPr>
        <w:t xml:space="preserve">et </w:t>
      </w:r>
      <w:r w:rsidR="005C3D6A">
        <w:rPr>
          <w:rFonts w:cstheme="minorHAnsi"/>
        </w:rPr>
        <w:t>gulv</w:t>
      </w:r>
      <w:r w:rsidR="00EE40A1">
        <w:rPr>
          <w:rFonts w:cstheme="minorHAnsi"/>
        </w:rPr>
        <w:t xml:space="preserve"> eller jorden</w:t>
      </w:r>
      <w:r>
        <w:rPr>
          <w:rFonts w:cstheme="minorHAnsi"/>
        </w:rPr>
        <w:t>, hvor affaldet gennemses. Metoderne kan kombineres</w:t>
      </w:r>
      <w:r w:rsidR="00A53386">
        <w:rPr>
          <w:rFonts w:cstheme="minorHAnsi"/>
        </w:rPr>
        <w:t>.</w:t>
      </w:r>
      <w:r>
        <w:rPr>
          <w:rFonts w:cstheme="minorHAnsi"/>
        </w:rPr>
        <w:t xml:space="preserve"> </w:t>
      </w:r>
    </w:p>
    <w:p w14:paraId="06A94CCC" w14:textId="77777777" w:rsidR="00E31351" w:rsidRDefault="00E31351" w:rsidP="00331F13">
      <w:pPr>
        <w:shd w:val="clear" w:color="auto" w:fill="FFFFFF"/>
        <w:spacing w:after="120"/>
        <w:rPr>
          <w:rFonts w:cstheme="minorHAnsi"/>
        </w:rPr>
      </w:pPr>
    </w:p>
    <w:p w14:paraId="27F3D0A7" w14:textId="61B8EDA6" w:rsidR="00E31351" w:rsidRDefault="00F70704" w:rsidP="00331F13">
      <w:pPr>
        <w:shd w:val="clear" w:color="auto" w:fill="FFFFFF"/>
        <w:spacing w:after="120"/>
        <w:rPr>
          <w:rFonts w:cstheme="minorHAnsi"/>
        </w:rPr>
      </w:pPr>
      <w:r>
        <w:rPr>
          <w:rFonts w:cstheme="minorHAnsi"/>
        </w:rPr>
        <w:lastRenderedPageBreak/>
        <w:t>Det forventes, at der fastsættes regler om, at der v</w:t>
      </w:r>
      <w:r w:rsidR="00FB2CF6">
        <w:rPr>
          <w:rFonts w:cstheme="minorHAnsi"/>
        </w:rPr>
        <w:t xml:space="preserve">ed kontrollen foretages en vurdering af affaldets indhold af </w:t>
      </w:r>
      <w:r w:rsidR="0029251F">
        <w:rPr>
          <w:rFonts w:cstheme="minorHAnsi"/>
        </w:rPr>
        <w:t xml:space="preserve">affald </w:t>
      </w:r>
      <w:r w:rsidR="000A2AD8">
        <w:rPr>
          <w:rFonts w:cstheme="minorHAnsi"/>
        </w:rPr>
        <w:t>egnet til materialenyttiggørelse</w:t>
      </w:r>
      <w:r w:rsidR="004C0EFA">
        <w:rPr>
          <w:rFonts w:cstheme="minorHAnsi"/>
        </w:rPr>
        <w:t xml:space="preserve"> </w:t>
      </w:r>
      <w:r w:rsidR="00F825EB">
        <w:rPr>
          <w:rFonts w:cstheme="minorHAnsi"/>
        </w:rPr>
        <w:t>med henblik på en vurdering af,</w:t>
      </w:r>
      <w:r w:rsidR="004C0EFA">
        <w:rPr>
          <w:rFonts w:cstheme="minorHAnsi"/>
        </w:rPr>
        <w:t xml:space="preserve"> </w:t>
      </w:r>
      <w:r w:rsidR="004C0EFA">
        <w:t>om grænse</w:t>
      </w:r>
      <w:r w:rsidR="00F825EB">
        <w:t>n</w:t>
      </w:r>
      <w:r w:rsidR="004C0EFA">
        <w:t xml:space="preserve"> for indehold </w:t>
      </w:r>
      <w:r w:rsidR="00F825EB">
        <w:t xml:space="preserve">af </w:t>
      </w:r>
      <w:r w:rsidR="004C0EFA">
        <w:t>affald egnet til materialenyttiggørelse</w:t>
      </w:r>
      <w:r w:rsidR="00F825EB">
        <w:t xml:space="preserve"> er overskredet</w:t>
      </w:r>
      <w:r w:rsidR="004C0EFA">
        <w:t xml:space="preserve">, </w:t>
      </w:r>
      <w:r w:rsidR="00F825EB">
        <w:t xml:space="preserve">således </w:t>
      </w:r>
      <w:r w:rsidR="004C0EFA">
        <w:t xml:space="preserve">at </w:t>
      </w:r>
      <w:r w:rsidR="00F825EB">
        <w:t xml:space="preserve">affaldslæsset </w:t>
      </w:r>
      <w:r w:rsidR="004C0EFA">
        <w:t>er omfattet af reglerne</w:t>
      </w:r>
      <w:r w:rsidR="00FB2CF6">
        <w:rPr>
          <w:rFonts w:cstheme="minorHAnsi"/>
        </w:rPr>
        <w:t xml:space="preserve">. </w:t>
      </w:r>
    </w:p>
    <w:p w14:paraId="4F986664" w14:textId="77777777" w:rsidR="00FB2CF6" w:rsidRDefault="00FB2CF6" w:rsidP="00331F13">
      <w:pPr>
        <w:shd w:val="clear" w:color="auto" w:fill="FFFFFF"/>
        <w:spacing w:after="120"/>
        <w:rPr>
          <w:rFonts w:cstheme="minorHAnsi"/>
        </w:rPr>
      </w:pPr>
    </w:p>
    <w:p w14:paraId="337105B5" w14:textId="7416894D" w:rsidR="00A17E30" w:rsidRDefault="00FB2CF6" w:rsidP="00331F13">
      <w:pPr>
        <w:shd w:val="clear" w:color="auto" w:fill="FFFFFF"/>
        <w:spacing w:after="120"/>
        <w:rPr>
          <w:rFonts w:cstheme="minorHAnsi"/>
        </w:rPr>
      </w:pPr>
      <w:r>
        <w:rPr>
          <w:rFonts w:cstheme="minorHAnsi"/>
        </w:rPr>
        <w:t xml:space="preserve">Det bemærkes, at den vurdering der foretages ved </w:t>
      </w:r>
      <w:r w:rsidR="00B56B49">
        <w:rPr>
          <w:rFonts w:cstheme="minorHAnsi"/>
        </w:rPr>
        <w:t>forbrændingsanlæggenes modtagekontrol</w:t>
      </w:r>
      <w:r>
        <w:rPr>
          <w:rFonts w:cstheme="minorHAnsi"/>
        </w:rPr>
        <w:t xml:space="preserve"> ikke vil have karakter af en egentlig afgørelse om klassificering. Der er tale om en indledende vurdering foretaget af </w:t>
      </w:r>
      <w:r w:rsidR="00AB09A2">
        <w:rPr>
          <w:rFonts w:cstheme="minorHAnsi"/>
        </w:rPr>
        <w:t xml:space="preserve">den virksomhed, der driver </w:t>
      </w:r>
      <w:r>
        <w:rPr>
          <w:rFonts w:cstheme="minorHAnsi"/>
        </w:rPr>
        <w:t>forbrændingsanlægget med henblik på at indsamle oplysninger og afgøre, hvorvidt der skal ske indberetning til Miljøstyrelsen med henblik på en nærmere vurdering af sagen og en egentlig klassificering af affaldet.</w:t>
      </w:r>
    </w:p>
    <w:p w14:paraId="737AE403" w14:textId="5E54A40C" w:rsidR="00191A15" w:rsidRDefault="00A17E30" w:rsidP="00331F13">
      <w:pPr>
        <w:shd w:val="clear" w:color="auto" w:fill="FFFFFF"/>
        <w:spacing w:after="120"/>
        <w:rPr>
          <w:rFonts w:cstheme="minorHAnsi"/>
        </w:rPr>
      </w:pPr>
      <w:r>
        <w:rPr>
          <w:rFonts w:cstheme="minorHAnsi"/>
        </w:rPr>
        <w:t xml:space="preserve">Bemyndigelsen påtænkes endvidere udnyttet til at stille krav om, at </w:t>
      </w:r>
      <w:r w:rsidR="00AB09A2">
        <w:rPr>
          <w:rFonts w:cstheme="minorHAnsi"/>
        </w:rPr>
        <w:t xml:space="preserve">virksomheder, der driver </w:t>
      </w:r>
      <w:r>
        <w:rPr>
          <w:rFonts w:cstheme="minorHAnsi"/>
        </w:rPr>
        <w:t>genanvendelsesanlæggene</w:t>
      </w:r>
      <w:r w:rsidR="00611093">
        <w:rPr>
          <w:rFonts w:cstheme="minorHAnsi"/>
        </w:rPr>
        <w:t>,</w:t>
      </w:r>
      <w:r>
        <w:rPr>
          <w:rFonts w:cstheme="minorHAnsi"/>
        </w:rPr>
        <w:t xml:space="preserve"> skal foretage kontrol af, hvorvidt det indleverede affald indeholder usolgte forbrugerprodukter til destruktion i strid med </w:t>
      </w:r>
      <w:proofErr w:type="spellStart"/>
      <w:r w:rsidR="00AB09A2">
        <w:rPr>
          <w:rFonts w:cstheme="minorHAnsi"/>
        </w:rPr>
        <w:t>e</w:t>
      </w:r>
      <w:r>
        <w:rPr>
          <w:rFonts w:cstheme="minorHAnsi"/>
        </w:rPr>
        <w:t>codesignforordningens</w:t>
      </w:r>
      <w:proofErr w:type="spellEnd"/>
      <w:r>
        <w:rPr>
          <w:rFonts w:cstheme="minorHAnsi"/>
        </w:rPr>
        <w:t xml:space="preserve"> bestemmelser. Kontrollens karakter </w:t>
      </w:r>
      <w:r w:rsidR="00611093">
        <w:rPr>
          <w:rFonts w:cstheme="minorHAnsi"/>
        </w:rPr>
        <w:t xml:space="preserve">og </w:t>
      </w:r>
      <w:r>
        <w:rPr>
          <w:rFonts w:cstheme="minorHAnsi"/>
        </w:rPr>
        <w:t>omfang vil afhænge af typen af forbrugerprodukter, der omfattes af forbuddet.</w:t>
      </w:r>
    </w:p>
    <w:p w14:paraId="62A707CF" w14:textId="77777777" w:rsidR="005E7D66" w:rsidRDefault="005E7D66" w:rsidP="00331F13">
      <w:pPr>
        <w:shd w:val="clear" w:color="auto" w:fill="FFFFFF"/>
        <w:spacing w:after="120"/>
        <w:rPr>
          <w:rFonts w:cstheme="minorHAnsi"/>
        </w:rPr>
      </w:pPr>
    </w:p>
    <w:p w14:paraId="4C8A4CFC" w14:textId="77777777" w:rsidR="00B56B49" w:rsidRPr="00FC3B7F" w:rsidRDefault="00B56B49" w:rsidP="00B56B49">
      <w:pPr>
        <w:shd w:val="clear" w:color="auto" w:fill="FFFFFF"/>
        <w:spacing w:after="120"/>
        <w:rPr>
          <w:rFonts w:cstheme="minorHAnsi"/>
        </w:rPr>
      </w:pPr>
      <w:r w:rsidRPr="00FC3B7F">
        <w:rPr>
          <w:rFonts w:cstheme="minorHAnsi"/>
        </w:rPr>
        <w:t>3.</w:t>
      </w:r>
      <w:r w:rsidR="003C5619" w:rsidRPr="00FC3B7F">
        <w:rPr>
          <w:rFonts w:cstheme="minorHAnsi"/>
        </w:rPr>
        <w:t>1</w:t>
      </w:r>
      <w:r w:rsidRPr="00FC3B7F">
        <w:rPr>
          <w:rFonts w:cstheme="minorHAnsi"/>
        </w:rPr>
        <w:t>.2.</w:t>
      </w:r>
      <w:r w:rsidR="00A53386" w:rsidRPr="00FC3B7F">
        <w:rPr>
          <w:rFonts w:cstheme="minorHAnsi"/>
        </w:rPr>
        <w:t>2</w:t>
      </w:r>
      <w:r w:rsidRPr="00FC3B7F">
        <w:rPr>
          <w:rFonts w:cstheme="minorHAnsi"/>
        </w:rPr>
        <w:t xml:space="preserve"> Krav om afvisning</w:t>
      </w:r>
    </w:p>
    <w:p w14:paraId="70B85029" w14:textId="77777777" w:rsidR="0001246F" w:rsidRDefault="0001246F" w:rsidP="00121A4D">
      <w:pPr>
        <w:shd w:val="clear" w:color="auto" w:fill="FFFFFF"/>
        <w:spacing w:after="120"/>
        <w:rPr>
          <w:rFonts w:cstheme="minorHAnsi"/>
        </w:rPr>
      </w:pPr>
    </w:p>
    <w:p w14:paraId="69E83552" w14:textId="0E81E55B" w:rsidR="008F3C71" w:rsidRDefault="0044780F" w:rsidP="00121A4D">
      <w:pPr>
        <w:shd w:val="clear" w:color="auto" w:fill="FFFFFF"/>
        <w:spacing w:after="120"/>
        <w:rPr>
          <w:rFonts w:cstheme="minorHAnsi"/>
        </w:rPr>
      </w:pPr>
      <w:r w:rsidRPr="00091974">
        <w:rPr>
          <w:rFonts w:cstheme="minorHAnsi"/>
        </w:rPr>
        <w:t xml:space="preserve">Den foreslåede bemyndigelse </w:t>
      </w:r>
      <w:r>
        <w:rPr>
          <w:rFonts w:cstheme="minorHAnsi"/>
        </w:rPr>
        <w:t xml:space="preserve">i lovforslagets </w:t>
      </w:r>
      <w:r w:rsidR="00B56B49">
        <w:rPr>
          <w:rFonts w:cstheme="minorHAnsi"/>
        </w:rPr>
        <w:t xml:space="preserve">udkast til ny </w:t>
      </w:r>
      <w:r>
        <w:rPr>
          <w:rFonts w:cstheme="minorHAnsi"/>
        </w:rPr>
        <w:t>§ 44, stk. 9</w:t>
      </w:r>
      <w:r w:rsidR="008F3C71">
        <w:rPr>
          <w:rFonts w:cstheme="minorHAnsi"/>
        </w:rPr>
        <w:t xml:space="preserve">, 1. </w:t>
      </w:r>
      <w:proofErr w:type="spellStart"/>
      <w:r w:rsidR="008F3C71">
        <w:rPr>
          <w:rFonts w:cstheme="minorHAnsi"/>
        </w:rPr>
        <w:t>pkt</w:t>
      </w:r>
      <w:proofErr w:type="spellEnd"/>
      <w:r w:rsidR="00191A15">
        <w:rPr>
          <w:rFonts w:cstheme="minorHAnsi"/>
        </w:rPr>
        <w:t>,</w:t>
      </w:r>
      <w:r>
        <w:rPr>
          <w:rFonts w:cstheme="minorHAnsi"/>
        </w:rPr>
        <w:t xml:space="preserve"> </w:t>
      </w:r>
      <w:r w:rsidR="00B56B49">
        <w:rPr>
          <w:rFonts w:cstheme="minorHAnsi"/>
        </w:rPr>
        <w:t>påtænkes anvendt til at forpligte</w:t>
      </w:r>
      <w:r w:rsidR="00550E94">
        <w:rPr>
          <w:rFonts w:cstheme="minorHAnsi"/>
        </w:rPr>
        <w:t xml:space="preserve"> </w:t>
      </w:r>
      <w:r w:rsidR="00AB09A2">
        <w:rPr>
          <w:rFonts w:cstheme="minorHAnsi"/>
        </w:rPr>
        <w:t xml:space="preserve">virksomheder, der driver </w:t>
      </w:r>
      <w:r w:rsidR="00550E94">
        <w:rPr>
          <w:rFonts w:cstheme="minorHAnsi"/>
        </w:rPr>
        <w:t xml:space="preserve">affaldsforbrændingsanlæg </w:t>
      </w:r>
      <w:r w:rsidR="00B56B49">
        <w:rPr>
          <w:rFonts w:cstheme="minorHAnsi"/>
        </w:rPr>
        <w:t>til at afvise</w:t>
      </w:r>
      <w:r w:rsidR="00550E94">
        <w:rPr>
          <w:rFonts w:cstheme="minorHAnsi"/>
        </w:rPr>
        <w:t xml:space="preserve"> affaldslæs, som indeholder affald</w:t>
      </w:r>
      <w:r w:rsidR="00213F69">
        <w:rPr>
          <w:rFonts w:cstheme="minorHAnsi"/>
        </w:rPr>
        <w:t xml:space="preserve"> egnet til materialenyttiggørelse</w:t>
      </w:r>
      <w:r w:rsidR="00550E94">
        <w:rPr>
          <w:rFonts w:cstheme="minorHAnsi"/>
        </w:rPr>
        <w:t xml:space="preserve">. </w:t>
      </w:r>
    </w:p>
    <w:p w14:paraId="4F4899C5" w14:textId="5EEC621E" w:rsidR="00B376A7" w:rsidRDefault="00B376A7" w:rsidP="00121A4D">
      <w:pPr>
        <w:shd w:val="clear" w:color="auto" w:fill="FFFFFF"/>
        <w:spacing w:after="120"/>
        <w:rPr>
          <w:rFonts w:cstheme="minorHAnsi"/>
          <w:highlight w:val="yellow"/>
        </w:rPr>
      </w:pPr>
    </w:p>
    <w:p w14:paraId="2D7D0C24" w14:textId="284884B0" w:rsidR="00B376A7" w:rsidRDefault="00B376A7" w:rsidP="00121A4D">
      <w:pPr>
        <w:shd w:val="clear" w:color="auto" w:fill="FFFFFF"/>
        <w:spacing w:after="120"/>
        <w:rPr>
          <w:rFonts w:cstheme="minorHAnsi"/>
          <w:highlight w:val="yellow"/>
        </w:rPr>
      </w:pPr>
      <w:r>
        <w:t>Bemyndigelse vil medføre, at ministeren vil kunne fastsætte regler om en grænse for</w:t>
      </w:r>
      <w:r w:rsidR="00F825EB">
        <w:t>,</w:t>
      </w:r>
      <w:r>
        <w:t xml:space="preserve"> hvornår et affaldslæs indeholder så meget affald egnet til materialenyttiggørelse, at det er omfattet af reglerne</w:t>
      </w:r>
      <w:r w:rsidR="00F825EB">
        <w:t>.</w:t>
      </w:r>
    </w:p>
    <w:p w14:paraId="425F5929" w14:textId="77777777" w:rsidR="00B376A7" w:rsidRDefault="00B376A7" w:rsidP="00121A4D">
      <w:pPr>
        <w:shd w:val="clear" w:color="auto" w:fill="FFFFFF"/>
        <w:spacing w:after="120"/>
        <w:rPr>
          <w:rFonts w:cstheme="minorHAnsi"/>
          <w:highlight w:val="yellow"/>
        </w:rPr>
      </w:pPr>
    </w:p>
    <w:p w14:paraId="51D9AFEA" w14:textId="16B4C88E" w:rsidR="006C0659" w:rsidRDefault="00B376A7" w:rsidP="00121A4D">
      <w:pPr>
        <w:shd w:val="clear" w:color="auto" w:fill="FFFFFF"/>
        <w:spacing w:after="120"/>
        <w:rPr>
          <w:rFonts w:cstheme="minorHAnsi"/>
        </w:rPr>
      </w:pPr>
      <w:r w:rsidRPr="000567E1">
        <w:rPr>
          <w:rFonts w:cstheme="minorHAnsi"/>
        </w:rPr>
        <w:t>M</w:t>
      </w:r>
      <w:r w:rsidR="006C0659" w:rsidRPr="00A23C63">
        <w:rPr>
          <w:rFonts w:cstheme="minorHAnsi"/>
        </w:rPr>
        <w:t xml:space="preserve">inisteren vil </w:t>
      </w:r>
      <w:r w:rsidRPr="000567E1">
        <w:rPr>
          <w:rFonts w:cstheme="minorHAnsi"/>
        </w:rPr>
        <w:t xml:space="preserve">således </w:t>
      </w:r>
      <w:r w:rsidR="006C0659" w:rsidRPr="00A23C63">
        <w:rPr>
          <w:rFonts w:cstheme="minorHAnsi"/>
        </w:rPr>
        <w:t xml:space="preserve">kunne fastsætte </w:t>
      </w:r>
      <w:r w:rsidR="003C5619" w:rsidRPr="00A23C63">
        <w:rPr>
          <w:rFonts w:cstheme="minorHAnsi"/>
        </w:rPr>
        <w:t>regler om, at virksomheder, der driver forbrændingsanlæg</w:t>
      </w:r>
      <w:r w:rsidR="00611093" w:rsidRPr="00A23C63">
        <w:rPr>
          <w:rFonts w:cstheme="minorHAnsi"/>
        </w:rPr>
        <w:t>,</w:t>
      </w:r>
      <w:r w:rsidR="006C0659" w:rsidRPr="00A23C63">
        <w:rPr>
          <w:rFonts w:cstheme="minorHAnsi"/>
        </w:rPr>
        <w:t xml:space="preserve"> skal vurdere, om et affaldslæs indeholder affald</w:t>
      </w:r>
      <w:r w:rsidR="00213F69" w:rsidRPr="002D1F90">
        <w:rPr>
          <w:rFonts w:cstheme="minorHAnsi"/>
        </w:rPr>
        <w:t xml:space="preserve"> egnet til materialenyttiggørelse</w:t>
      </w:r>
      <w:r w:rsidRPr="000567E1">
        <w:rPr>
          <w:rFonts w:cstheme="minorHAnsi"/>
        </w:rPr>
        <w:t>, der overstiger en grænse</w:t>
      </w:r>
      <w:r w:rsidR="006C0659" w:rsidRPr="00A23C63">
        <w:rPr>
          <w:rFonts w:cstheme="minorHAnsi"/>
        </w:rPr>
        <w:t xml:space="preserve">. </w:t>
      </w:r>
    </w:p>
    <w:p w14:paraId="265FDD9F" w14:textId="41D1D5DF" w:rsidR="004749BE" w:rsidRDefault="008F3C71" w:rsidP="00121A4D">
      <w:pPr>
        <w:shd w:val="clear" w:color="auto" w:fill="FFFFFF"/>
        <w:spacing w:after="120"/>
        <w:rPr>
          <w:rFonts w:cstheme="minorHAnsi"/>
        </w:rPr>
      </w:pPr>
      <w:r>
        <w:rPr>
          <w:rFonts w:cstheme="minorHAnsi"/>
        </w:rPr>
        <w:t xml:space="preserve">Såfremt </w:t>
      </w:r>
      <w:r w:rsidR="008D5C1F">
        <w:rPr>
          <w:rFonts w:cstheme="minorHAnsi"/>
        </w:rPr>
        <w:t xml:space="preserve">virksomheden, der driver </w:t>
      </w:r>
      <w:r w:rsidR="003C5619">
        <w:rPr>
          <w:rFonts w:cstheme="minorHAnsi"/>
        </w:rPr>
        <w:t>anlægget</w:t>
      </w:r>
      <w:r>
        <w:rPr>
          <w:rFonts w:cstheme="minorHAnsi"/>
        </w:rPr>
        <w:t xml:space="preserve">, </w:t>
      </w:r>
      <w:r w:rsidR="00A90B49">
        <w:rPr>
          <w:rFonts w:cstheme="minorHAnsi"/>
        </w:rPr>
        <w:t>ved en visuel kontrol af et åbent affaldslæs</w:t>
      </w:r>
      <w:r w:rsidR="00611093">
        <w:rPr>
          <w:rFonts w:cstheme="minorHAnsi"/>
        </w:rPr>
        <w:t>,</w:t>
      </w:r>
      <w:r w:rsidR="00A90B49">
        <w:rPr>
          <w:rFonts w:cstheme="minorHAnsi"/>
        </w:rPr>
        <w:t xml:space="preserve"> før det er læsset i silo eller ud på gulv</w:t>
      </w:r>
      <w:r w:rsidR="00922DC9">
        <w:rPr>
          <w:rFonts w:cstheme="minorHAnsi"/>
        </w:rPr>
        <w:t>,</w:t>
      </w:r>
      <w:r>
        <w:rPr>
          <w:rFonts w:cstheme="minorHAnsi"/>
        </w:rPr>
        <w:t xml:space="preserve"> har </w:t>
      </w:r>
      <w:r w:rsidR="00227BDD">
        <w:rPr>
          <w:rFonts w:cstheme="minorHAnsi"/>
        </w:rPr>
        <w:t>vurderet</w:t>
      </w:r>
      <w:r>
        <w:rPr>
          <w:rFonts w:cstheme="minorHAnsi"/>
        </w:rPr>
        <w:t>, at det samlede affaldslæs</w:t>
      </w:r>
      <w:r w:rsidR="00213F69">
        <w:rPr>
          <w:rFonts w:cstheme="minorHAnsi"/>
        </w:rPr>
        <w:t xml:space="preserve"> </w:t>
      </w:r>
      <w:r w:rsidR="001E0C60">
        <w:rPr>
          <w:rFonts w:cstheme="minorHAnsi"/>
        </w:rPr>
        <w:t>er</w:t>
      </w:r>
      <w:r w:rsidR="00213F69">
        <w:rPr>
          <w:rFonts w:cstheme="minorHAnsi"/>
        </w:rPr>
        <w:t xml:space="preserve"> egnet til materialenyttiggørelse</w:t>
      </w:r>
      <w:r>
        <w:rPr>
          <w:rFonts w:cstheme="minorHAnsi"/>
        </w:rPr>
        <w:t xml:space="preserve">, vil affaldslæsset kunne fysisk afvises fra forbrændingsanlægget. Såfremt kontrollen er foretaget i </w:t>
      </w:r>
      <w:r>
        <w:rPr>
          <w:rFonts w:cstheme="minorHAnsi"/>
        </w:rPr>
        <w:lastRenderedPageBreak/>
        <w:t>form a</w:t>
      </w:r>
      <w:r w:rsidR="006C0659">
        <w:rPr>
          <w:rFonts w:cstheme="minorHAnsi"/>
        </w:rPr>
        <w:t>f</w:t>
      </w:r>
      <w:r>
        <w:rPr>
          <w:rFonts w:cstheme="minorHAnsi"/>
        </w:rPr>
        <w:t xml:space="preserve"> udspredning på gulv eller</w:t>
      </w:r>
      <w:r w:rsidR="00550E94">
        <w:rPr>
          <w:rFonts w:cstheme="minorHAnsi"/>
        </w:rPr>
        <w:t xml:space="preserve"> gennemgang af overvågningsbilleder af affaldslæsset på ve</w:t>
      </w:r>
      <w:r w:rsidR="004749BE">
        <w:rPr>
          <w:rFonts w:cstheme="minorHAnsi"/>
        </w:rPr>
        <w:t>j</w:t>
      </w:r>
      <w:r w:rsidR="00550E94">
        <w:rPr>
          <w:rFonts w:cstheme="minorHAnsi"/>
        </w:rPr>
        <w:t xml:space="preserve"> ned i </w:t>
      </w:r>
      <w:r w:rsidR="00FE2F46">
        <w:rPr>
          <w:rFonts w:cstheme="minorHAnsi"/>
        </w:rPr>
        <w:t>affaldssiloen</w:t>
      </w:r>
      <w:r w:rsidR="00550E94">
        <w:rPr>
          <w:rFonts w:cstheme="minorHAnsi"/>
        </w:rPr>
        <w:t xml:space="preserve">, vil det i praksis ikke være muligt, </w:t>
      </w:r>
      <w:r>
        <w:rPr>
          <w:rFonts w:cstheme="minorHAnsi"/>
        </w:rPr>
        <w:t xml:space="preserve">fysisk </w:t>
      </w:r>
      <w:r w:rsidR="00550E94">
        <w:rPr>
          <w:rFonts w:cstheme="minorHAnsi"/>
        </w:rPr>
        <w:t xml:space="preserve">at afvise </w:t>
      </w:r>
      <w:r>
        <w:rPr>
          <w:rFonts w:cstheme="minorHAnsi"/>
        </w:rPr>
        <w:t>læsset</w:t>
      </w:r>
      <w:r w:rsidR="006C0659">
        <w:rPr>
          <w:rFonts w:cstheme="minorHAnsi"/>
        </w:rPr>
        <w:t xml:space="preserve">. </w:t>
      </w:r>
    </w:p>
    <w:p w14:paraId="32AC4DF7" w14:textId="24A4917D" w:rsidR="00FE2F46" w:rsidRDefault="00D87A1E" w:rsidP="00FC3B7F">
      <w:pPr>
        <w:ind w:right="-2"/>
        <w:rPr>
          <w:rFonts w:cstheme="minorHAnsi"/>
        </w:rPr>
      </w:pPr>
      <w:r>
        <w:rPr>
          <w:rFonts w:cstheme="minorHAnsi"/>
        </w:rPr>
        <w:t>Det skyldes</w:t>
      </w:r>
      <w:r w:rsidR="00FE2F46">
        <w:rPr>
          <w:rFonts w:cstheme="minorHAnsi"/>
        </w:rPr>
        <w:t xml:space="preserve">, at </w:t>
      </w:r>
      <w:r>
        <w:rPr>
          <w:rFonts w:cstheme="minorHAnsi"/>
        </w:rPr>
        <w:t>affald</w:t>
      </w:r>
      <w:r w:rsidR="00922DC9">
        <w:rPr>
          <w:rFonts w:cstheme="minorHAnsi"/>
        </w:rPr>
        <w:t>,</w:t>
      </w:r>
      <w:r>
        <w:rPr>
          <w:rFonts w:cstheme="minorHAnsi"/>
        </w:rPr>
        <w:t xml:space="preserve"> der spredes ud på gulvet </w:t>
      </w:r>
      <w:r w:rsidR="00A90B49">
        <w:rPr>
          <w:rFonts w:cstheme="minorHAnsi"/>
        </w:rPr>
        <w:t>eller læsses i silo</w:t>
      </w:r>
      <w:r w:rsidR="00922DC9">
        <w:rPr>
          <w:rFonts w:cstheme="minorHAnsi"/>
        </w:rPr>
        <w:t>,</w:t>
      </w:r>
      <w:r w:rsidR="00A90B49">
        <w:rPr>
          <w:rFonts w:cstheme="minorHAnsi"/>
        </w:rPr>
        <w:t xml:space="preserve"> </w:t>
      </w:r>
      <w:r>
        <w:rPr>
          <w:rFonts w:cstheme="minorHAnsi"/>
        </w:rPr>
        <w:t xml:space="preserve">ikke er praktisk muligt at tilbageføre i den lastbil, affaldet kom med. </w:t>
      </w:r>
      <w:r w:rsidR="00922DC9">
        <w:rPr>
          <w:rFonts w:cstheme="minorHAnsi"/>
        </w:rPr>
        <w:t>A</w:t>
      </w:r>
      <w:r>
        <w:rPr>
          <w:rFonts w:cstheme="minorHAnsi"/>
        </w:rPr>
        <w:t xml:space="preserve">ffaldet transporteres </w:t>
      </w:r>
      <w:r w:rsidR="00922DC9">
        <w:rPr>
          <w:rFonts w:cstheme="minorHAnsi"/>
        </w:rPr>
        <w:t xml:space="preserve">ofte </w:t>
      </w:r>
      <w:r>
        <w:rPr>
          <w:rFonts w:cstheme="minorHAnsi"/>
        </w:rPr>
        <w:t>i lukkede komprimatorbiler, og derfor er affaldet komprimeret inden aflæsning, og der</w:t>
      </w:r>
      <w:r>
        <w:t xml:space="preserve"> </w:t>
      </w:r>
      <w:r w:rsidR="00922DC9">
        <w:t xml:space="preserve">er </w:t>
      </w:r>
      <w:r>
        <w:t xml:space="preserve">ikke det fornødne udstyr til stede på alle forbrændingsanlæg til, at en eventuel tilbagelæsning kan ske i henhold til arbejdsmiljøreglerne. </w:t>
      </w:r>
      <w:r w:rsidR="008762D9" w:rsidRPr="008762D9">
        <w:rPr>
          <w:szCs w:val="24"/>
        </w:rPr>
        <w:t xml:space="preserve"> </w:t>
      </w:r>
      <w:r w:rsidR="008762D9" w:rsidRPr="009F586D">
        <w:rPr>
          <w:szCs w:val="24"/>
        </w:rPr>
        <w:t xml:space="preserve">Herudover er det ikke alle forbrændingsanlæg, som har de fornødne overdækkede faciliteter ved siloen til at aflæsse affaldslæs og kontrollere læsset på denne måde. Mange anlæg er begrænset til at kontrollere affaldslæs ved overvågningsbilleder af aflæsning af affaldet ned i siloen.   </w:t>
      </w:r>
    </w:p>
    <w:p w14:paraId="51C84C63" w14:textId="71FD6867" w:rsidR="0057225E" w:rsidRDefault="00550E94" w:rsidP="00FC3B7F">
      <w:pPr>
        <w:shd w:val="clear" w:color="auto" w:fill="FFFFFF"/>
        <w:spacing w:after="120"/>
        <w:rPr>
          <w:rFonts w:cstheme="minorHAnsi"/>
        </w:rPr>
      </w:pPr>
      <w:r>
        <w:rPr>
          <w:rFonts w:cstheme="minorHAnsi"/>
        </w:rPr>
        <w:t>Derfor påtænkes bemyndigelsesbestemmelse udnyttet på en sådan måde, at det vil være muligt at af</w:t>
      </w:r>
      <w:r w:rsidR="006C0659">
        <w:rPr>
          <w:rFonts w:cstheme="minorHAnsi"/>
        </w:rPr>
        <w:t>vise</w:t>
      </w:r>
      <w:r>
        <w:rPr>
          <w:rFonts w:cstheme="minorHAnsi"/>
        </w:rPr>
        <w:t xml:space="preserve"> affaldet administrativt</w:t>
      </w:r>
      <w:r w:rsidR="006C0659">
        <w:rPr>
          <w:rFonts w:cstheme="minorHAnsi"/>
        </w:rPr>
        <w:t xml:space="preserve"> ved at informere affaldsproducenten </w:t>
      </w:r>
      <w:r w:rsidR="00F6665F">
        <w:rPr>
          <w:rFonts w:cstheme="minorHAnsi"/>
        </w:rPr>
        <w:t xml:space="preserve">eller affaldsindsamleren </w:t>
      </w:r>
      <w:r w:rsidR="006C0659">
        <w:rPr>
          <w:rFonts w:cstheme="minorHAnsi"/>
        </w:rPr>
        <w:t xml:space="preserve">om, at affaldet vurderes at </w:t>
      </w:r>
      <w:r w:rsidR="00FE2F46">
        <w:rPr>
          <w:rFonts w:cstheme="minorHAnsi"/>
        </w:rPr>
        <w:t>være</w:t>
      </w:r>
      <w:r w:rsidR="006C0659">
        <w:rPr>
          <w:rFonts w:cstheme="minorHAnsi"/>
        </w:rPr>
        <w:t xml:space="preserve"> </w:t>
      </w:r>
      <w:r w:rsidR="00213F69">
        <w:rPr>
          <w:rFonts w:cstheme="minorHAnsi"/>
        </w:rPr>
        <w:t>egnet til materialenyttiggørelse</w:t>
      </w:r>
      <w:r w:rsidR="00231197">
        <w:rPr>
          <w:rFonts w:cstheme="minorHAnsi"/>
        </w:rPr>
        <w:t>,</w:t>
      </w:r>
      <w:r w:rsidR="006C0659">
        <w:rPr>
          <w:rFonts w:cstheme="minorHAnsi"/>
        </w:rPr>
        <w:t xml:space="preserve"> og der vil ske indberetning til tilsynsmyndigheden</w:t>
      </w:r>
      <w:r w:rsidR="00D702A7">
        <w:rPr>
          <w:rFonts w:cstheme="minorHAnsi"/>
        </w:rPr>
        <w:t xml:space="preserve"> om</w:t>
      </w:r>
      <w:r w:rsidR="00231197">
        <w:rPr>
          <w:rFonts w:cstheme="minorHAnsi"/>
        </w:rPr>
        <w:t>,</w:t>
      </w:r>
      <w:r w:rsidR="00D702A7">
        <w:rPr>
          <w:rFonts w:cstheme="minorHAnsi"/>
        </w:rPr>
        <w:t xml:space="preserve"> at reglerne ikke er overholdt</w:t>
      </w:r>
      <w:r w:rsidR="009C4626">
        <w:rPr>
          <w:rFonts w:cstheme="minorHAnsi"/>
        </w:rPr>
        <w:t>,</w:t>
      </w:r>
      <w:r w:rsidR="00D702A7">
        <w:rPr>
          <w:rFonts w:cstheme="minorHAnsi"/>
        </w:rPr>
        <w:t xml:space="preserve"> og affaldet derfor er afvist administrativt</w:t>
      </w:r>
      <w:r w:rsidR="00851FED">
        <w:rPr>
          <w:rFonts w:cstheme="minorHAnsi"/>
        </w:rPr>
        <w:t xml:space="preserve"> men ikke fysisk.</w:t>
      </w:r>
    </w:p>
    <w:p w14:paraId="4160E431" w14:textId="219B360D" w:rsidR="006C0659" w:rsidRDefault="006C0659" w:rsidP="00930109">
      <w:pPr>
        <w:rPr>
          <w:rFonts w:cstheme="minorHAnsi"/>
        </w:rPr>
      </w:pPr>
      <w:r w:rsidRPr="00091974">
        <w:rPr>
          <w:rFonts w:cstheme="minorHAnsi"/>
        </w:rPr>
        <w:t xml:space="preserve">Den foreslåede bemyndigelse </w:t>
      </w:r>
      <w:r>
        <w:rPr>
          <w:rFonts w:cstheme="minorHAnsi"/>
        </w:rPr>
        <w:t>i lovforslagets udkast til ny § 44, stk. 9, 2. pkt</w:t>
      </w:r>
      <w:r w:rsidR="00A54E66">
        <w:rPr>
          <w:rFonts w:cstheme="minorHAnsi"/>
        </w:rPr>
        <w:t>.</w:t>
      </w:r>
      <w:r>
        <w:rPr>
          <w:rFonts w:cstheme="minorHAnsi"/>
        </w:rPr>
        <w:t xml:space="preserve">, påtænkes anvendt til at forpligte </w:t>
      </w:r>
      <w:r w:rsidR="00851FED">
        <w:rPr>
          <w:rFonts w:cstheme="minorHAnsi"/>
        </w:rPr>
        <w:t xml:space="preserve">virksomheder, der driver </w:t>
      </w:r>
      <w:r>
        <w:rPr>
          <w:rFonts w:cstheme="minorHAnsi"/>
        </w:rPr>
        <w:t>genanvendelsesanlæg til at afvise at modtage usolgte forbrugerprodukter</w:t>
      </w:r>
      <w:r w:rsidR="001918C7">
        <w:rPr>
          <w:rFonts w:cstheme="minorHAnsi"/>
        </w:rPr>
        <w:t xml:space="preserve">, der </w:t>
      </w:r>
      <w:r w:rsidR="00A629B5">
        <w:rPr>
          <w:rFonts w:cstheme="minorHAnsi"/>
        </w:rPr>
        <w:t xml:space="preserve">er omfattet af destruktionsforbud </w:t>
      </w:r>
      <w:r w:rsidR="00213F69">
        <w:rPr>
          <w:rFonts w:cstheme="minorHAnsi"/>
        </w:rPr>
        <w:t xml:space="preserve">ifølge </w:t>
      </w:r>
      <w:proofErr w:type="spellStart"/>
      <w:r w:rsidR="00213F69">
        <w:rPr>
          <w:rFonts w:cstheme="minorHAnsi"/>
        </w:rPr>
        <w:t>ecodesignforordningen</w:t>
      </w:r>
      <w:proofErr w:type="spellEnd"/>
      <w:r w:rsidR="00A629B5">
        <w:rPr>
          <w:rFonts w:cstheme="minorHAnsi"/>
        </w:rPr>
        <w:t xml:space="preserve">, og som </w:t>
      </w:r>
      <w:r w:rsidR="001918C7">
        <w:rPr>
          <w:rFonts w:cstheme="minorHAnsi"/>
        </w:rPr>
        <w:t>ikke lever op til evt. undtagelser vedtaget i delegerede retsakter</w:t>
      </w:r>
      <w:r>
        <w:rPr>
          <w:rFonts w:cstheme="minorHAnsi"/>
        </w:rPr>
        <w:t xml:space="preserve">. </w:t>
      </w:r>
    </w:p>
    <w:p w14:paraId="5A75434C" w14:textId="77777777" w:rsidR="009C4626" w:rsidRDefault="009C4626" w:rsidP="00930109">
      <w:pPr>
        <w:rPr>
          <w:rFonts w:cstheme="minorHAnsi"/>
        </w:rPr>
      </w:pPr>
    </w:p>
    <w:p w14:paraId="3D1EFB73" w14:textId="082FB030" w:rsidR="006C0659" w:rsidRDefault="006C0659" w:rsidP="00930109">
      <w:pPr>
        <w:rPr>
          <w:rFonts w:cstheme="minorHAnsi"/>
        </w:rPr>
      </w:pPr>
      <w:r>
        <w:rPr>
          <w:rFonts w:cstheme="minorHAnsi"/>
        </w:rPr>
        <w:t>3.</w:t>
      </w:r>
      <w:r w:rsidR="00FE2F46">
        <w:rPr>
          <w:rFonts w:cstheme="minorHAnsi"/>
        </w:rPr>
        <w:t>1</w:t>
      </w:r>
      <w:r>
        <w:rPr>
          <w:rFonts w:cstheme="minorHAnsi"/>
        </w:rPr>
        <w:t>.2.</w:t>
      </w:r>
      <w:r w:rsidR="00A53386">
        <w:rPr>
          <w:rFonts w:cstheme="minorHAnsi"/>
        </w:rPr>
        <w:t>3</w:t>
      </w:r>
      <w:r>
        <w:rPr>
          <w:rFonts w:cstheme="minorHAnsi"/>
        </w:rPr>
        <w:t xml:space="preserve"> </w:t>
      </w:r>
      <w:r w:rsidR="00231197">
        <w:rPr>
          <w:rFonts w:cstheme="minorHAnsi"/>
        </w:rPr>
        <w:t>Underretning og i</w:t>
      </w:r>
      <w:r>
        <w:rPr>
          <w:rFonts w:cstheme="minorHAnsi"/>
        </w:rPr>
        <w:t xml:space="preserve">ndberetning </w:t>
      </w:r>
      <w:r w:rsidR="00231197">
        <w:rPr>
          <w:rFonts w:cstheme="minorHAnsi"/>
        </w:rPr>
        <w:t xml:space="preserve">om affaldets indhold af affald egnet til materialenyttiggørelse og usolgte forbrugerprodukter </w:t>
      </w:r>
    </w:p>
    <w:p w14:paraId="2886E241" w14:textId="77777777" w:rsidR="00A23C63" w:rsidRDefault="00A23C63" w:rsidP="00930109">
      <w:pPr>
        <w:rPr>
          <w:rFonts w:cstheme="minorHAnsi"/>
        </w:rPr>
      </w:pPr>
    </w:p>
    <w:p w14:paraId="0E4DCD83" w14:textId="179D322F" w:rsidR="0057225E" w:rsidRDefault="00930109" w:rsidP="00930109">
      <w:pPr>
        <w:rPr>
          <w:rFonts w:cstheme="minorHAnsi"/>
        </w:rPr>
      </w:pPr>
      <w:r w:rsidRPr="00091974">
        <w:rPr>
          <w:rFonts w:cstheme="minorHAnsi"/>
        </w:rPr>
        <w:t>De</w:t>
      </w:r>
      <w:r w:rsidR="00A629B5">
        <w:rPr>
          <w:rFonts w:cstheme="minorHAnsi"/>
        </w:rPr>
        <w:t>n</w:t>
      </w:r>
      <w:r w:rsidRPr="00091974">
        <w:rPr>
          <w:rFonts w:cstheme="minorHAnsi"/>
        </w:rPr>
        <w:t xml:space="preserve"> foreslåede bestemmelse </w:t>
      </w:r>
      <w:r w:rsidR="00FE2F46">
        <w:rPr>
          <w:rFonts w:cstheme="minorHAnsi"/>
        </w:rPr>
        <w:t xml:space="preserve">i miljøbeskyttelseslovens § 44, stk. 10, </w:t>
      </w:r>
      <w:r w:rsidRPr="00091974">
        <w:rPr>
          <w:rFonts w:cstheme="minorHAnsi"/>
        </w:rPr>
        <w:t xml:space="preserve">vil bemyndige miljøministeren til at </w:t>
      </w:r>
      <w:r w:rsidR="005B360B">
        <w:rPr>
          <w:rFonts w:cstheme="minorHAnsi"/>
        </w:rPr>
        <w:t xml:space="preserve">kunne </w:t>
      </w:r>
      <w:r w:rsidRPr="00091974">
        <w:rPr>
          <w:rFonts w:cstheme="minorHAnsi"/>
        </w:rPr>
        <w:t>fastsætte regler om</w:t>
      </w:r>
      <w:r w:rsidR="00C44634">
        <w:rPr>
          <w:rFonts w:cstheme="minorHAnsi"/>
        </w:rPr>
        <w:t xml:space="preserve">, </w:t>
      </w:r>
      <w:r w:rsidRPr="00091974">
        <w:rPr>
          <w:rFonts w:cstheme="minorHAnsi"/>
        </w:rPr>
        <w:t xml:space="preserve">at </w:t>
      </w:r>
      <w:r w:rsidR="006A6250">
        <w:rPr>
          <w:rFonts w:cstheme="minorHAnsi"/>
        </w:rPr>
        <w:t xml:space="preserve">virksomheder, der driver </w:t>
      </w:r>
      <w:r w:rsidR="00C17215">
        <w:rPr>
          <w:rFonts w:cstheme="minorHAnsi"/>
        </w:rPr>
        <w:t>affalds</w:t>
      </w:r>
      <w:r w:rsidR="00B86780">
        <w:rPr>
          <w:rFonts w:cstheme="minorHAnsi"/>
        </w:rPr>
        <w:t>behandlings</w:t>
      </w:r>
      <w:r w:rsidR="00C17215">
        <w:rPr>
          <w:rFonts w:cstheme="minorHAnsi"/>
        </w:rPr>
        <w:t>anlæg</w:t>
      </w:r>
      <w:r w:rsidR="00F6665F">
        <w:rPr>
          <w:rFonts w:cstheme="minorHAnsi"/>
        </w:rPr>
        <w:t xml:space="preserve"> skal underrette affaldstilsynsmyndigheden og affaldsproducenten eller affaldsindsamleren, hvis det ved kontrol </w:t>
      </w:r>
      <w:r w:rsidR="00283D31">
        <w:rPr>
          <w:rFonts w:cstheme="minorHAnsi"/>
        </w:rPr>
        <w:t>vurderes</w:t>
      </w:r>
      <w:r w:rsidR="00F6665F">
        <w:rPr>
          <w:rFonts w:cstheme="minorHAnsi"/>
        </w:rPr>
        <w:t>, at et affaldslæs indeholder affald egnet til materialenyttiggørelse eller usolgte forbrugerprodukter</w:t>
      </w:r>
      <w:r w:rsidR="006A6250">
        <w:rPr>
          <w:rFonts w:cstheme="minorHAnsi"/>
        </w:rPr>
        <w:t xml:space="preserve"> og </w:t>
      </w:r>
      <w:r w:rsidRPr="00091974">
        <w:rPr>
          <w:rFonts w:cstheme="minorHAnsi"/>
        </w:rPr>
        <w:t xml:space="preserve">indberette oplysninger </w:t>
      </w:r>
      <w:r w:rsidR="00F6665F">
        <w:rPr>
          <w:rFonts w:cstheme="minorHAnsi"/>
        </w:rPr>
        <w:t>til brug for affaldstilsynsmyndigheden</w:t>
      </w:r>
      <w:r w:rsidR="006A6250">
        <w:rPr>
          <w:rFonts w:cstheme="minorHAnsi"/>
        </w:rPr>
        <w:t>.</w:t>
      </w:r>
      <w:r w:rsidR="00E86A12">
        <w:rPr>
          <w:rFonts w:cstheme="minorHAnsi"/>
        </w:rPr>
        <w:t xml:space="preserve"> I forlængelse heraf vil ministeren kunne fastsætte</w:t>
      </w:r>
      <w:r w:rsidR="00E86A12">
        <w:t xml:space="preserve"> en grænse for</w:t>
      </w:r>
      <w:r w:rsidR="00F825EB">
        <w:t>,</w:t>
      </w:r>
      <w:r w:rsidR="00E86A12">
        <w:t xml:space="preserve"> hvornår et affaldslæs indeholder så meget affald egnet til materialenyttiggørelse, at det er omfattet af reglerne</w:t>
      </w:r>
      <w:r w:rsidR="00F825EB">
        <w:t>.</w:t>
      </w:r>
    </w:p>
    <w:p w14:paraId="54BB0643" w14:textId="77777777" w:rsidR="00922DC9" w:rsidRDefault="00922DC9" w:rsidP="00930109">
      <w:pPr>
        <w:rPr>
          <w:rFonts w:cstheme="minorHAnsi"/>
        </w:rPr>
      </w:pPr>
    </w:p>
    <w:p w14:paraId="32427A0F" w14:textId="08DCDF69" w:rsidR="00231197" w:rsidRDefault="00F6665F" w:rsidP="00930109">
      <w:pPr>
        <w:rPr>
          <w:rFonts w:cstheme="minorHAnsi"/>
        </w:rPr>
      </w:pPr>
      <w:r>
        <w:rPr>
          <w:rFonts w:cstheme="minorHAnsi"/>
        </w:rPr>
        <w:t xml:space="preserve">Underretningen af affaldsproducenten eller indsamleren </w:t>
      </w:r>
      <w:r w:rsidR="00A23C63">
        <w:rPr>
          <w:rFonts w:cstheme="minorHAnsi"/>
        </w:rPr>
        <w:t>forventes at skulle</w:t>
      </w:r>
      <w:r>
        <w:rPr>
          <w:rFonts w:cstheme="minorHAnsi"/>
        </w:rPr>
        <w:t xml:space="preserve"> indeholde oplysninger om, at der ved kontrol er fundet affald egnet til materialenyttiggørelse eller usolgte forbrugerprodukter</w:t>
      </w:r>
      <w:r w:rsidR="00922DC9">
        <w:rPr>
          <w:rFonts w:cstheme="minorHAnsi"/>
        </w:rPr>
        <w:t>,</w:t>
      </w:r>
      <w:r>
        <w:rPr>
          <w:rFonts w:cstheme="minorHAnsi"/>
        </w:rPr>
        <w:t xml:space="preserve"> og at affaldet derfor er </w:t>
      </w:r>
      <w:r>
        <w:rPr>
          <w:rFonts w:cstheme="minorHAnsi"/>
        </w:rPr>
        <w:lastRenderedPageBreak/>
        <w:t>afvist</w:t>
      </w:r>
      <w:r w:rsidR="00095150">
        <w:rPr>
          <w:rFonts w:cstheme="minorHAnsi"/>
        </w:rPr>
        <w:t xml:space="preserve"> enten administrativt eller fysisk. Ved fysisk afvisning forstås, at affaldslæsset forvises fra anlægget og ved administrativ afvisning forstås, at affaldslæsset forbrændes, men at affaldsproducent og affaldstilsynsmyndighed underrettes om affaldets indhold af affald egnet til materialenyttiggørelse.</w:t>
      </w:r>
      <w:r w:rsidR="00231197">
        <w:rPr>
          <w:rFonts w:cstheme="minorHAnsi"/>
        </w:rPr>
        <w:t xml:space="preserve"> Hvis det </w:t>
      </w:r>
      <w:r w:rsidR="00283D31">
        <w:rPr>
          <w:rFonts w:cstheme="minorHAnsi"/>
        </w:rPr>
        <w:t>vurderes</w:t>
      </w:r>
      <w:r w:rsidR="00231197">
        <w:rPr>
          <w:rFonts w:cstheme="minorHAnsi"/>
        </w:rPr>
        <w:t xml:space="preserve">, at et affaldslæs indeholder affald egnet til materialenyttiggørelse, kan det give anledning til et fysisk affaldstilsyn hos den pågældende affaldsproducent eller affaldsindsamler. </w:t>
      </w:r>
    </w:p>
    <w:p w14:paraId="5C24109D" w14:textId="77777777" w:rsidR="00F6665F" w:rsidRPr="00091974" w:rsidRDefault="00F6665F" w:rsidP="00930109">
      <w:pPr>
        <w:rPr>
          <w:rFonts w:cstheme="minorHAnsi"/>
        </w:rPr>
      </w:pPr>
    </w:p>
    <w:p w14:paraId="59D1DC3A" w14:textId="5D1FF89C" w:rsidR="00B86780" w:rsidRDefault="00930109" w:rsidP="00930109">
      <w:pPr>
        <w:shd w:val="clear" w:color="auto" w:fill="FFFFFF"/>
        <w:spacing w:after="120"/>
        <w:rPr>
          <w:rFonts w:cstheme="minorHAnsi"/>
        </w:rPr>
      </w:pPr>
      <w:r w:rsidRPr="00091974">
        <w:rPr>
          <w:rFonts w:cstheme="minorHAnsi"/>
        </w:rPr>
        <w:t xml:space="preserve">Indberetningen til Miljøstyrelsen </w:t>
      </w:r>
      <w:r w:rsidR="006A6250">
        <w:rPr>
          <w:rFonts w:cstheme="minorHAnsi"/>
        </w:rPr>
        <w:t xml:space="preserve">forventes at </w:t>
      </w:r>
      <w:r w:rsidRPr="00091974">
        <w:rPr>
          <w:rFonts w:cstheme="minorHAnsi"/>
        </w:rPr>
        <w:t>skulle indeholde oplysninger, som er relevante for</w:t>
      </w:r>
      <w:r w:rsidR="006A6250">
        <w:rPr>
          <w:rFonts w:cstheme="minorHAnsi"/>
        </w:rPr>
        <w:t>,</w:t>
      </w:r>
      <w:r w:rsidRPr="00091974">
        <w:rPr>
          <w:rFonts w:cstheme="minorHAnsi"/>
        </w:rPr>
        <w:t xml:space="preserve"> at Miljøstyrelsen kan</w:t>
      </w:r>
      <w:r w:rsidR="00D77254">
        <w:rPr>
          <w:rFonts w:cstheme="minorHAnsi"/>
        </w:rPr>
        <w:t xml:space="preserve"> udpege virksomheder til affaldstilsyn</w:t>
      </w:r>
      <w:r w:rsidR="00B86780">
        <w:rPr>
          <w:rFonts w:cstheme="minorHAnsi"/>
        </w:rPr>
        <w:t xml:space="preserve">. </w:t>
      </w:r>
      <w:r w:rsidR="00FC3B7F">
        <w:rPr>
          <w:rFonts w:cstheme="minorHAnsi"/>
        </w:rPr>
        <w:t>Det forventes endvidere, at der vil blive stillet krav om digital indberetning med hjemmel i miljøbeskyttelseslovens § 79</w:t>
      </w:r>
      <w:r w:rsidR="00864629">
        <w:rPr>
          <w:rFonts w:cstheme="minorHAnsi"/>
        </w:rPr>
        <w:t xml:space="preserve"> b</w:t>
      </w:r>
      <w:r w:rsidR="00FC3B7F">
        <w:rPr>
          <w:rFonts w:cstheme="minorHAnsi"/>
        </w:rPr>
        <w:t xml:space="preserve">, </w:t>
      </w:r>
      <w:r w:rsidR="00864629">
        <w:rPr>
          <w:rFonts w:cstheme="minorHAnsi"/>
        </w:rPr>
        <w:t>stk. 1, nr. 11.</w:t>
      </w:r>
    </w:p>
    <w:p w14:paraId="3E5D128F" w14:textId="77777777" w:rsidR="00930109" w:rsidRDefault="00930109" w:rsidP="00FD1A50">
      <w:pPr>
        <w:spacing w:after="240"/>
      </w:pPr>
    </w:p>
    <w:p w14:paraId="139DC042" w14:textId="77777777" w:rsidR="00FD1A50" w:rsidRPr="003B0B97" w:rsidRDefault="00FD1A50" w:rsidP="00FD1A50">
      <w:pPr>
        <w:pStyle w:val="Overskrift2"/>
        <w:rPr>
          <w:rFonts w:cs="Times New Roman"/>
          <w:sz w:val="24"/>
          <w:szCs w:val="24"/>
        </w:rPr>
      </w:pPr>
      <w:bookmarkStart w:id="145" w:name="_Toc526155549"/>
      <w:bookmarkStart w:id="146" w:name="_Toc526253986"/>
      <w:bookmarkStart w:id="147" w:name="_Toc526348411"/>
      <w:bookmarkStart w:id="148" w:name="_Toc526374602"/>
      <w:bookmarkStart w:id="149" w:name="_Toc526374618"/>
      <w:bookmarkStart w:id="150" w:name="_Toc526406481"/>
      <w:bookmarkStart w:id="151" w:name="_Toc526409507"/>
      <w:bookmarkStart w:id="152" w:name="_Toc526491406"/>
      <w:bookmarkStart w:id="153" w:name="_Toc526505518"/>
      <w:bookmarkStart w:id="154" w:name="_Toc526756610"/>
      <w:r>
        <w:rPr>
          <w:rFonts w:cs="Times New Roman"/>
          <w:sz w:val="24"/>
          <w:szCs w:val="24"/>
        </w:rPr>
        <w:t>3</w:t>
      </w:r>
      <w:r w:rsidRPr="003B0B97">
        <w:rPr>
          <w:rFonts w:cs="Times New Roman"/>
          <w:sz w:val="24"/>
          <w:szCs w:val="24"/>
        </w:rPr>
        <w:t xml:space="preserve">.2. </w:t>
      </w:r>
      <w:bookmarkEnd w:id="145"/>
      <w:bookmarkEnd w:id="146"/>
      <w:bookmarkEnd w:id="147"/>
      <w:bookmarkEnd w:id="148"/>
      <w:bookmarkEnd w:id="149"/>
      <w:bookmarkEnd w:id="150"/>
      <w:bookmarkEnd w:id="151"/>
      <w:bookmarkEnd w:id="152"/>
      <w:bookmarkEnd w:id="153"/>
      <w:bookmarkEnd w:id="154"/>
      <w:r w:rsidR="00CD57C0">
        <w:rPr>
          <w:rFonts w:cs="Times New Roman"/>
          <w:sz w:val="24"/>
          <w:szCs w:val="24"/>
        </w:rPr>
        <w:t>Ophævelse af b</w:t>
      </w:r>
      <w:r w:rsidR="00CD57C0" w:rsidRPr="00CD57C0">
        <w:rPr>
          <w:rFonts w:cs="Times New Roman"/>
          <w:sz w:val="24"/>
          <w:szCs w:val="24"/>
        </w:rPr>
        <w:t xml:space="preserve">estemmelser om genbrugsområder på de kommunale genbrugspladser samt </w:t>
      </w:r>
      <w:r w:rsidR="00CD57C0">
        <w:rPr>
          <w:rFonts w:cs="Times New Roman"/>
          <w:sz w:val="24"/>
          <w:szCs w:val="24"/>
        </w:rPr>
        <w:t>gebyrfinansiering hertil</w:t>
      </w:r>
    </w:p>
    <w:p w14:paraId="25E56252" w14:textId="77777777" w:rsidR="00FD1A50" w:rsidRPr="00C2514E" w:rsidRDefault="00FD1A50" w:rsidP="00FD1A50">
      <w:pPr>
        <w:pStyle w:val="Undertitel"/>
        <w:spacing w:after="0"/>
      </w:pPr>
      <w:bookmarkStart w:id="155" w:name="_Toc505690195"/>
      <w:bookmarkStart w:id="156" w:name="_Toc505701748"/>
      <w:bookmarkStart w:id="157" w:name="_Toc505759540"/>
      <w:bookmarkStart w:id="158" w:name="_Toc505759557"/>
      <w:bookmarkStart w:id="159" w:name="_Toc505762650"/>
      <w:bookmarkStart w:id="160" w:name="_Toc505785990"/>
      <w:bookmarkStart w:id="161" w:name="_Toc506799575"/>
      <w:bookmarkStart w:id="162" w:name="_Toc506799592"/>
      <w:bookmarkStart w:id="163" w:name="_Toc506894551"/>
      <w:bookmarkStart w:id="164" w:name="_Toc507486288"/>
      <w:bookmarkStart w:id="165" w:name="_Toc515271227"/>
      <w:bookmarkStart w:id="166" w:name="_Toc515271550"/>
      <w:bookmarkStart w:id="167" w:name="_Toc515271578"/>
      <w:bookmarkStart w:id="168" w:name="_Toc515280474"/>
      <w:bookmarkStart w:id="169" w:name="_Toc515280625"/>
      <w:bookmarkStart w:id="170" w:name="_Toc515352777"/>
      <w:bookmarkStart w:id="171" w:name="_Toc515540850"/>
      <w:bookmarkStart w:id="172" w:name="_Toc515543686"/>
      <w:bookmarkStart w:id="173" w:name="_Toc515543871"/>
      <w:bookmarkStart w:id="174" w:name="_Toc515551672"/>
      <w:bookmarkStart w:id="175" w:name="_Toc515627614"/>
      <w:bookmarkStart w:id="176" w:name="_Toc516039924"/>
      <w:bookmarkStart w:id="177" w:name="_Toc516155347"/>
      <w:bookmarkStart w:id="178" w:name="_Toc516490248"/>
      <w:bookmarkStart w:id="179" w:name="_Toc518037930"/>
      <w:bookmarkStart w:id="180" w:name="_Toc524599578"/>
      <w:bookmarkStart w:id="181" w:name="_Toc526154931"/>
      <w:bookmarkStart w:id="182" w:name="_Toc526155477"/>
      <w:bookmarkStart w:id="183" w:name="_Toc526155550"/>
      <w:bookmarkStart w:id="184" w:name="_Toc526253987"/>
      <w:bookmarkStart w:id="185" w:name="_Toc526348412"/>
      <w:bookmarkStart w:id="186" w:name="_Toc526374603"/>
      <w:bookmarkStart w:id="187" w:name="_Toc526374619"/>
      <w:bookmarkStart w:id="188" w:name="_Toc526406482"/>
      <w:bookmarkStart w:id="189" w:name="_Toc526409508"/>
      <w:bookmarkStart w:id="190" w:name="_Toc526491407"/>
      <w:bookmarkStart w:id="191" w:name="_Toc526505519"/>
      <w:bookmarkStart w:id="192" w:name="_Toc526756611"/>
      <w:r>
        <w:t>3</w:t>
      </w:r>
      <w:r w:rsidRPr="00C2514E">
        <w:t>.</w:t>
      </w:r>
      <w:r>
        <w:t>2</w:t>
      </w:r>
      <w:r w:rsidRPr="00C2514E">
        <w:t>.</w:t>
      </w:r>
      <w:r>
        <w:t>1</w:t>
      </w:r>
      <w:r w:rsidRPr="00C2514E">
        <w:t>. Gældende ret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BF99C0F" w14:textId="1C2C2885" w:rsidR="00CD57C0" w:rsidRPr="00CD57C0" w:rsidRDefault="006A6250" w:rsidP="00CD57C0">
      <w:pPr>
        <w:spacing w:after="240"/>
        <w:rPr>
          <w:rFonts w:cs="Times New Roman"/>
          <w:szCs w:val="24"/>
        </w:rPr>
      </w:pPr>
      <w:r>
        <w:rPr>
          <w:rFonts w:cs="Times New Roman"/>
          <w:szCs w:val="24"/>
        </w:rPr>
        <w:t xml:space="preserve">I </w:t>
      </w:r>
      <w:r w:rsidR="00CD57C0" w:rsidRPr="00CD57C0">
        <w:rPr>
          <w:rFonts w:cs="Times New Roman"/>
          <w:szCs w:val="24"/>
        </w:rPr>
        <w:t xml:space="preserve">miljøbeskyttelseslovens § 50 f samt § 48, stk. 1, </w:t>
      </w:r>
      <w:r w:rsidR="003D3B14">
        <w:rPr>
          <w:rFonts w:cs="Times New Roman"/>
          <w:szCs w:val="24"/>
        </w:rPr>
        <w:t xml:space="preserve">nr. </w:t>
      </w:r>
      <w:r w:rsidR="00CD57C0" w:rsidRPr="00CD57C0">
        <w:rPr>
          <w:rFonts w:cs="Times New Roman"/>
          <w:szCs w:val="24"/>
        </w:rPr>
        <w:t>2</w:t>
      </w:r>
      <w:r>
        <w:rPr>
          <w:rFonts w:cs="Times New Roman"/>
          <w:szCs w:val="24"/>
        </w:rPr>
        <w:t xml:space="preserve">, er der hjemmel til, at </w:t>
      </w:r>
      <w:r w:rsidR="003D3B14">
        <w:rPr>
          <w:rFonts w:cs="Times New Roman"/>
          <w:szCs w:val="24"/>
        </w:rPr>
        <w:t xml:space="preserve">fastsætte regler om at </w:t>
      </w:r>
      <w:r>
        <w:rPr>
          <w:rFonts w:cs="Times New Roman"/>
          <w:szCs w:val="24"/>
        </w:rPr>
        <w:t xml:space="preserve">gennemføre </w:t>
      </w:r>
      <w:r w:rsidR="003D3B14">
        <w:rPr>
          <w:rFonts w:cs="Times New Roman"/>
          <w:szCs w:val="24"/>
        </w:rPr>
        <w:t>k</w:t>
      </w:r>
      <w:r>
        <w:rPr>
          <w:rFonts w:cs="Times New Roman"/>
          <w:szCs w:val="24"/>
        </w:rPr>
        <w:t>limaplanens initiativ om genbrugsområder.</w:t>
      </w:r>
      <w:r w:rsidR="00CD57C0" w:rsidRPr="00CD57C0">
        <w:rPr>
          <w:rFonts w:cs="Times New Roman"/>
          <w:szCs w:val="24"/>
        </w:rPr>
        <w:t xml:space="preserve"> </w:t>
      </w:r>
    </w:p>
    <w:p w14:paraId="61E4D519" w14:textId="1C73734C" w:rsidR="00CD57C0" w:rsidRPr="00CD57C0" w:rsidRDefault="00CD57C0" w:rsidP="00CD57C0">
      <w:pPr>
        <w:spacing w:after="240"/>
        <w:rPr>
          <w:rFonts w:cs="Times New Roman"/>
          <w:szCs w:val="24"/>
        </w:rPr>
      </w:pPr>
      <w:r w:rsidRPr="00CD57C0">
        <w:rPr>
          <w:rFonts w:cs="Times New Roman"/>
          <w:szCs w:val="24"/>
        </w:rPr>
        <w:t>§ 50 f</w:t>
      </w:r>
      <w:r w:rsidR="003D3B14">
        <w:rPr>
          <w:rFonts w:cs="Times New Roman"/>
          <w:szCs w:val="24"/>
        </w:rPr>
        <w:t>,</w:t>
      </w:r>
      <w:r w:rsidRPr="00CD57C0">
        <w:rPr>
          <w:rFonts w:cs="Times New Roman"/>
          <w:szCs w:val="24"/>
        </w:rPr>
        <w:t xml:space="preserve"> stk. 1</w:t>
      </w:r>
      <w:r w:rsidR="003D3B14">
        <w:rPr>
          <w:rFonts w:cs="Times New Roman"/>
          <w:szCs w:val="24"/>
        </w:rPr>
        <w:t>,</w:t>
      </w:r>
      <w:r w:rsidRPr="00CD57C0">
        <w:rPr>
          <w:rFonts w:cs="Times New Roman"/>
          <w:szCs w:val="24"/>
        </w:rPr>
        <w:t xml:space="preserve"> bemyndiger miljøministerens til at fastsætte regler om kommunalbestyrelsens pligt til at etablere genbrugsområder på genbrugspladser i kommunen, herunder om størrelse, indretning, drift og anvendelse af genbrugsområdet. § 50 f, stk. 2</w:t>
      </w:r>
      <w:r w:rsidR="003D3B14">
        <w:rPr>
          <w:rFonts w:cs="Times New Roman"/>
          <w:szCs w:val="24"/>
        </w:rPr>
        <w:t>,</w:t>
      </w:r>
      <w:r w:rsidRPr="00CD57C0">
        <w:rPr>
          <w:rFonts w:cs="Times New Roman"/>
          <w:szCs w:val="24"/>
        </w:rPr>
        <w:t xml:space="preserve"> bemyndiger klima-, energi- og forsyningsministeren til at fastsætte regler om kommunalbestyrelsens pligt til at give private aktører eller kommunale institutioner mulighed for at overtage genstande, der er afleveret i genbrugsområder på genbrugspladser, herunder om kommunalbestyrelsens pligt til at afsætte genstandene vederlagsfrit. Klima-, energi- og forsyningsministeren bemyndiges endvidere til at fastsætte regler om inddragelse af offentligheden i den lokale udmøntning af ordningen, herunder om udelukkende digital annoncering.</w:t>
      </w:r>
      <w:r w:rsidR="004F143C">
        <w:rPr>
          <w:rFonts w:cs="Times New Roman"/>
          <w:szCs w:val="24"/>
        </w:rPr>
        <w:t xml:space="preserve"> Bemyndigelsen er ikke blevet udmøntet. </w:t>
      </w:r>
    </w:p>
    <w:p w14:paraId="22CFFE6B" w14:textId="083DD370" w:rsidR="00FD1A50" w:rsidRDefault="00CD57C0" w:rsidP="00CD57C0">
      <w:pPr>
        <w:spacing w:after="240"/>
        <w:rPr>
          <w:rFonts w:cs="Times New Roman"/>
          <w:szCs w:val="24"/>
        </w:rPr>
      </w:pPr>
      <w:r w:rsidRPr="00CD57C0">
        <w:rPr>
          <w:rFonts w:cs="Times New Roman"/>
          <w:szCs w:val="24"/>
        </w:rPr>
        <w:t xml:space="preserve">§ 48, stk. 1, </w:t>
      </w:r>
      <w:r w:rsidR="003D3B14">
        <w:rPr>
          <w:rFonts w:cs="Times New Roman"/>
          <w:szCs w:val="24"/>
        </w:rPr>
        <w:t xml:space="preserve">nr. </w:t>
      </w:r>
      <w:r w:rsidRPr="00CD57C0">
        <w:rPr>
          <w:rFonts w:cs="Times New Roman"/>
          <w:szCs w:val="24"/>
        </w:rPr>
        <w:t>2</w:t>
      </w:r>
      <w:r w:rsidR="003D3B14">
        <w:rPr>
          <w:rFonts w:cs="Times New Roman"/>
          <w:szCs w:val="24"/>
        </w:rPr>
        <w:t>,</w:t>
      </w:r>
      <w:r w:rsidRPr="00CD57C0">
        <w:rPr>
          <w:rFonts w:cs="Times New Roman"/>
          <w:szCs w:val="24"/>
        </w:rPr>
        <w:t xml:space="preserve"> giver kommunalbestyrelserne mulighed for, at gebyrfinansiere planlægning, etablering, drift og administration af genbrugsområderne etableret efter § 50 f, over kommunernes affaldsgebyr. § 48, stk. 1, </w:t>
      </w:r>
      <w:r w:rsidR="003D3B14">
        <w:rPr>
          <w:rFonts w:cs="Times New Roman"/>
          <w:szCs w:val="24"/>
        </w:rPr>
        <w:t xml:space="preserve">nr. </w:t>
      </w:r>
      <w:r w:rsidRPr="00CD57C0">
        <w:rPr>
          <w:rFonts w:cs="Times New Roman"/>
          <w:szCs w:val="24"/>
        </w:rPr>
        <w:t>2</w:t>
      </w:r>
      <w:r w:rsidR="003D3B14">
        <w:rPr>
          <w:rFonts w:cs="Times New Roman"/>
          <w:szCs w:val="24"/>
        </w:rPr>
        <w:t>,</w:t>
      </w:r>
      <w:r w:rsidRPr="00CD57C0">
        <w:rPr>
          <w:rFonts w:cs="Times New Roman"/>
          <w:szCs w:val="24"/>
        </w:rPr>
        <w:t xml:space="preserve"> giver udelukkende hjemmel til at de ovennævnte aktiviteter kan gebyrfinansieres genbrugsområder</w:t>
      </w:r>
      <w:r w:rsidR="003D3B14">
        <w:rPr>
          <w:rFonts w:cs="Times New Roman"/>
          <w:szCs w:val="24"/>
        </w:rPr>
        <w:t xml:space="preserve"> etableret efter regler, fastsat med hjemmel i § 50 f</w:t>
      </w:r>
      <w:r w:rsidRPr="00CD57C0">
        <w:rPr>
          <w:rFonts w:cs="Times New Roman"/>
          <w:szCs w:val="24"/>
        </w:rPr>
        <w:t xml:space="preserve">. Øvrige genbrugsrelaterede aktiviteter kan således ikke gebyrfinansieres, jf. § 48.  </w:t>
      </w:r>
    </w:p>
    <w:p w14:paraId="20601CA6" w14:textId="77777777" w:rsidR="00FD1A50" w:rsidRPr="00AE1166" w:rsidRDefault="00FD1A50" w:rsidP="00FD1A50">
      <w:pPr>
        <w:pStyle w:val="Undertitel"/>
        <w:spacing w:after="0"/>
      </w:pPr>
      <w:bookmarkStart w:id="193" w:name="_Toc505690196"/>
      <w:bookmarkStart w:id="194" w:name="_Toc505701749"/>
      <w:bookmarkStart w:id="195" w:name="_Toc505759541"/>
      <w:bookmarkStart w:id="196" w:name="_Toc505759558"/>
      <w:bookmarkStart w:id="197" w:name="_Toc505762651"/>
      <w:bookmarkStart w:id="198" w:name="_Toc505785991"/>
      <w:bookmarkStart w:id="199" w:name="_Toc506799576"/>
      <w:bookmarkStart w:id="200" w:name="_Toc506799593"/>
      <w:bookmarkStart w:id="201" w:name="_Toc506894552"/>
      <w:bookmarkStart w:id="202" w:name="_Toc507486289"/>
      <w:bookmarkStart w:id="203" w:name="_Toc515271228"/>
      <w:bookmarkStart w:id="204" w:name="_Toc515271551"/>
      <w:bookmarkStart w:id="205" w:name="_Toc515271579"/>
      <w:bookmarkStart w:id="206" w:name="_Toc515280475"/>
      <w:bookmarkStart w:id="207" w:name="_Toc515280626"/>
      <w:bookmarkStart w:id="208" w:name="_Toc515352778"/>
      <w:bookmarkStart w:id="209" w:name="_Toc515540851"/>
      <w:bookmarkStart w:id="210" w:name="_Toc515543687"/>
      <w:bookmarkStart w:id="211" w:name="_Toc515543872"/>
      <w:bookmarkStart w:id="212" w:name="_Toc515551673"/>
      <w:bookmarkStart w:id="213" w:name="_Toc515627615"/>
      <w:bookmarkStart w:id="214" w:name="_Toc516039925"/>
      <w:bookmarkStart w:id="215" w:name="_Toc516155348"/>
      <w:bookmarkStart w:id="216" w:name="_Toc516490249"/>
      <w:bookmarkStart w:id="217" w:name="_Toc518037931"/>
      <w:bookmarkStart w:id="218" w:name="_Toc524599579"/>
      <w:bookmarkStart w:id="219" w:name="_Toc526154932"/>
      <w:bookmarkStart w:id="220" w:name="_Toc526155478"/>
      <w:bookmarkStart w:id="221" w:name="_Toc526155551"/>
      <w:bookmarkStart w:id="222" w:name="_Toc526253988"/>
      <w:bookmarkStart w:id="223" w:name="_Toc526348413"/>
      <w:bookmarkStart w:id="224" w:name="_Toc526374604"/>
      <w:bookmarkStart w:id="225" w:name="_Toc526374620"/>
      <w:bookmarkStart w:id="226" w:name="_Toc526406483"/>
      <w:bookmarkStart w:id="227" w:name="_Toc526409509"/>
      <w:bookmarkStart w:id="228" w:name="_Toc526491408"/>
      <w:bookmarkStart w:id="229" w:name="_Toc526505520"/>
      <w:bookmarkStart w:id="230" w:name="_Toc526756612"/>
      <w:r>
        <w:lastRenderedPageBreak/>
        <w:t>3</w:t>
      </w:r>
      <w:r w:rsidRPr="00AE1166">
        <w:t>.</w:t>
      </w:r>
      <w:r>
        <w:t>2</w:t>
      </w:r>
      <w:r w:rsidRPr="00AE1166">
        <w:t>.</w:t>
      </w:r>
      <w:r>
        <w:t>2</w:t>
      </w:r>
      <w:r w:rsidRPr="00AE1166">
        <w:t xml:space="preserve">. </w:t>
      </w:r>
      <w:r w:rsidR="00CD57C0">
        <w:t>Miljø</w:t>
      </w:r>
      <w:r w:rsidRPr="00AE1166">
        <w:t>ministeriets overvejelser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CD57C0">
        <w:t xml:space="preserve"> </w:t>
      </w:r>
    </w:p>
    <w:p w14:paraId="2237D49D" w14:textId="5337AC9E" w:rsidR="00CD57C0" w:rsidRPr="00CD57C0" w:rsidRDefault="00C67C83" w:rsidP="00CD57C0">
      <w:pPr>
        <w:spacing w:after="240"/>
        <w:rPr>
          <w:rFonts w:cs="Times New Roman"/>
          <w:szCs w:val="24"/>
        </w:rPr>
      </w:pPr>
      <w:r>
        <w:rPr>
          <w:rFonts w:cs="Times New Roman"/>
          <w:szCs w:val="24"/>
        </w:rPr>
        <w:t xml:space="preserve">To </w:t>
      </w:r>
      <w:r w:rsidR="0093361B">
        <w:rPr>
          <w:rFonts w:cs="Times New Roman"/>
          <w:szCs w:val="24"/>
        </w:rPr>
        <w:t xml:space="preserve">udkast til </w:t>
      </w:r>
      <w:r>
        <w:rPr>
          <w:rFonts w:cs="Times New Roman"/>
          <w:szCs w:val="24"/>
        </w:rPr>
        <w:t xml:space="preserve">bekendtgørelser, der skulle udmønte initiativet var i høring i </w:t>
      </w:r>
      <w:r w:rsidR="0093361B">
        <w:rPr>
          <w:rFonts w:cs="Times New Roman"/>
          <w:szCs w:val="24"/>
        </w:rPr>
        <w:t xml:space="preserve">andet </w:t>
      </w:r>
      <w:r>
        <w:rPr>
          <w:rFonts w:cs="Times New Roman"/>
          <w:szCs w:val="24"/>
        </w:rPr>
        <w:t xml:space="preserve">halvår af 2022. </w:t>
      </w:r>
      <w:r w:rsidR="00CD57C0" w:rsidRPr="00CD57C0">
        <w:rPr>
          <w:rFonts w:cs="Times New Roman"/>
          <w:szCs w:val="24"/>
        </w:rPr>
        <w:t xml:space="preserve">I forbindelse med </w:t>
      </w:r>
      <w:r>
        <w:rPr>
          <w:rFonts w:cs="Times New Roman"/>
          <w:szCs w:val="24"/>
        </w:rPr>
        <w:t>høringen var</w:t>
      </w:r>
      <w:r w:rsidR="00CD57C0" w:rsidRPr="00CD57C0">
        <w:rPr>
          <w:rFonts w:cs="Times New Roman"/>
          <w:szCs w:val="24"/>
        </w:rPr>
        <w:t xml:space="preserve"> der en række bemærkninger fra interessenter</w:t>
      </w:r>
      <w:r w:rsidR="0093361B">
        <w:rPr>
          <w:rFonts w:cs="Times New Roman"/>
          <w:szCs w:val="24"/>
        </w:rPr>
        <w:t xml:space="preserve">, der </w:t>
      </w:r>
      <w:r w:rsidR="00CD57C0" w:rsidRPr="00CD57C0">
        <w:rPr>
          <w:rFonts w:cs="Times New Roman"/>
          <w:szCs w:val="24"/>
        </w:rPr>
        <w:t xml:space="preserve">hovedsageligt </w:t>
      </w:r>
      <w:r w:rsidR="0093361B">
        <w:rPr>
          <w:rFonts w:cs="Times New Roman"/>
          <w:szCs w:val="24"/>
        </w:rPr>
        <w:t>angik</w:t>
      </w:r>
      <w:r w:rsidR="00CD57C0" w:rsidRPr="00CD57C0">
        <w:rPr>
          <w:rFonts w:cs="Times New Roman"/>
          <w:szCs w:val="24"/>
        </w:rPr>
        <w:t xml:space="preserve"> udformningen af ordningen. Det </w:t>
      </w:r>
      <w:r w:rsidR="0093361B">
        <w:rPr>
          <w:rFonts w:cs="Times New Roman"/>
          <w:szCs w:val="24"/>
        </w:rPr>
        <w:t>angik</w:t>
      </w:r>
      <w:r w:rsidR="0093361B" w:rsidRPr="00CD57C0">
        <w:rPr>
          <w:rFonts w:cs="Times New Roman"/>
          <w:szCs w:val="24"/>
        </w:rPr>
        <w:t xml:space="preserve"> </w:t>
      </w:r>
      <w:r w:rsidR="00CD57C0" w:rsidRPr="00CD57C0">
        <w:rPr>
          <w:rFonts w:cs="Times New Roman"/>
          <w:szCs w:val="24"/>
        </w:rPr>
        <w:t>bl.a.</w:t>
      </w:r>
      <w:r w:rsidR="0093361B">
        <w:rPr>
          <w:rFonts w:cs="Times New Roman"/>
          <w:szCs w:val="24"/>
        </w:rPr>
        <w:t xml:space="preserve"> </w:t>
      </w:r>
      <w:r w:rsidR="00CD57C0" w:rsidRPr="00CD57C0">
        <w:rPr>
          <w:rFonts w:cs="Times New Roman"/>
          <w:szCs w:val="24"/>
        </w:rPr>
        <w:t xml:space="preserve">hvilke aktiviteter, som kommunalt ansatte på genbrugspladserne fremadrettet må deltage i inden for reglerne, hvordan kommunerne skal håndtere ansvaret for genbrugsgenstandene, hvordan finansieringen af genbrugsområder under forskellige indsamlings- og afsætningsmodeller fungerer samt hvor stor fleksibilitet kommunerne har i deres implementering af initiativet. Der </w:t>
      </w:r>
      <w:r w:rsidR="0093361B">
        <w:rPr>
          <w:rFonts w:cs="Times New Roman"/>
          <w:szCs w:val="24"/>
        </w:rPr>
        <w:t xml:space="preserve">blev i den forbindelse </w:t>
      </w:r>
      <w:r w:rsidR="00CD57C0" w:rsidRPr="00CD57C0">
        <w:rPr>
          <w:rFonts w:cs="Times New Roman"/>
          <w:szCs w:val="24"/>
        </w:rPr>
        <w:t>pege</w:t>
      </w:r>
      <w:r w:rsidR="0093361B">
        <w:rPr>
          <w:rFonts w:cs="Times New Roman"/>
          <w:szCs w:val="24"/>
        </w:rPr>
        <w:t>t</w:t>
      </w:r>
      <w:r w:rsidR="00CD57C0" w:rsidRPr="00CD57C0">
        <w:rPr>
          <w:rFonts w:cs="Times New Roman"/>
          <w:szCs w:val="24"/>
        </w:rPr>
        <w:t xml:space="preserve"> på, at reglerne kan have </w:t>
      </w:r>
      <w:r>
        <w:rPr>
          <w:rFonts w:cs="Times New Roman"/>
          <w:szCs w:val="24"/>
        </w:rPr>
        <w:t xml:space="preserve">negative </w:t>
      </w:r>
      <w:r w:rsidR="00CD57C0" w:rsidRPr="00CD57C0">
        <w:rPr>
          <w:rFonts w:cs="Times New Roman"/>
          <w:szCs w:val="24"/>
        </w:rPr>
        <w:t xml:space="preserve">konsekvenser for borgere over 18 år med betydelig nedsat fysisk eller psykisk funktionsevne eller særlige sociale problemer, der, jf. servicelovens § 103, er ansat i en social beskæftigelsesordning. På interessentmøder i foråret 2023 har interessenterne gentaget deres opmærksomhedspunkter. </w:t>
      </w:r>
    </w:p>
    <w:p w14:paraId="52E44960" w14:textId="141AEE46" w:rsidR="00CD57C0" w:rsidRPr="00CD57C0" w:rsidRDefault="00CD57C0" w:rsidP="00CD57C0">
      <w:pPr>
        <w:spacing w:after="240"/>
        <w:rPr>
          <w:rFonts w:cs="Times New Roman"/>
          <w:szCs w:val="24"/>
        </w:rPr>
      </w:pPr>
      <w:r w:rsidRPr="00CD57C0">
        <w:rPr>
          <w:rFonts w:cs="Times New Roman"/>
          <w:szCs w:val="24"/>
        </w:rPr>
        <w:t>Som opfølgning på bl.a. høring af bekendtgørelserne og dialog med branchen har Miljøministeriet og Klima-, Energi- og Forsyningsministeriet vurderet, hvorvidt initiativet kan implementeres på en mere fleksibel måde m</w:t>
      </w:r>
      <w:r w:rsidR="00D30DC0">
        <w:rPr>
          <w:rFonts w:cs="Times New Roman"/>
          <w:szCs w:val="24"/>
        </w:rPr>
        <w:t>ed henbli</w:t>
      </w:r>
      <w:r w:rsidR="00922DC9">
        <w:rPr>
          <w:rFonts w:cs="Times New Roman"/>
          <w:szCs w:val="24"/>
        </w:rPr>
        <w:t>k</w:t>
      </w:r>
      <w:r w:rsidR="00D30DC0">
        <w:rPr>
          <w:rFonts w:cs="Times New Roman"/>
          <w:szCs w:val="24"/>
        </w:rPr>
        <w:t xml:space="preserve"> på</w:t>
      </w:r>
      <w:r w:rsidRPr="00CD57C0">
        <w:rPr>
          <w:rFonts w:cs="Times New Roman"/>
          <w:szCs w:val="24"/>
        </w:rPr>
        <w:t xml:space="preserve"> at reducere unødige administrative byrder og øget bureaukrati f</w:t>
      </w:r>
      <w:r w:rsidR="00D30DC0">
        <w:rPr>
          <w:rFonts w:cs="Times New Roman"/>
          <w:szCs w:val="24"/>
        </w:rPr>
        <w:t>.eks.</w:t>
      </w:r>
      <w:r w:rsidRPr="00CD57C0">
        <w:rPr>
          <w:rFonts w:cs="Times New Roman"/>
          <w:szCs w:val="24"/>
        </w:rPr>
        <w:t xml:space="preserve"> i forbindelse med afsætning af genbrugsgenstandene. Det har dog ikke v</w:t>
      </w:r>
      <w:r w:rsidR="00D30DC0">
        <w:rPr>
          <w:rFonts w:cs="Times New Roman"/>
          <w:szCs w:val="24"/>
        </w:rPr>
        <w:t>æret muligt at identificere en alternativ løsning.</w:t>
      </w:r>
      <w:r w:rsidRPr="00CD57C0">
        <w:rPr>
          <w:rFonts w:cs="Times New Roman"/>
          <w:szCs w:val="24"/>
        </w:rPr>
        <w:t xml:space="preserve"> </w:t>
      </w:r>
    </w:p>
    <w:p w14:paraId="1ADFC683" w14:textId="6833A7BA" w:rsidR="00CD57C0" w:rsidRPr="00CD57C0" w:rsidRDefault="00CD57C0" w:rsidP="00CD57C0">
      <w:pPr>
        <w:spacing w:after="240"/>
        <w:rPr>
          <w:rFonts w:cs="Times New Roman"/>
          <w:szCs w:val="24"/>
        </w:rPr>
      </w:pPr>
      <w:r w:rsidRPr="00CD57C0">
        <w:rPr>
          <w:rFonts w:cs="Times New Roman"/>
          <w:szCs w:val="24"/>
        </w:rPr>
        <w:t xml:space="preserve">Aftalekredsen bag </w:t>
      </w:r>
      <w:r w:rsidR="00922DC9">
        <w:rPr>
          <w:rFonts w:cs="Times New Roman"/>
          <w:szCs w:val="24"/>
        </w:rPr>
        <w:t>k</w:t>
      </w:r>
      <w:r w:rsidRPr="00CD57C0">
        <w:rPr>
          <w:rFonts w:cs="Times New Roman"/>
          <w:szCs w:val="24"/>
        </w:rPr>
        <w:t>limaplanen har derfor besluttet ikke at gennemføre initiativet og i stedet bakke op om den frivillige indsats på kommunernes genbrugspladser.</w:t>
      </w:r>
    </w:p>
    <w:p w14:paraId="15CF52E1" w14:textId="77777777" w:rsidR="00FD1A50" w:rsidRPr="003B0B97" w:rsidRDefault="00FD1A50" w:rsidP="00FD1A50">
      <w:pPr>
        <w:pStyle w:val="Undertitel"/>
        <w:spacing w:after="0"/>
      </w:pPr>
      <w:bookmarkStart w:id="231" w:name="_Toc515352779"/>
      <w:bookmarkStart w:id="232" w:name="_Toc515540852"/>
      <w:bookmarkStart w:id="233" w:name="_Toc515543688"/>
      <w:bookmarkStart w:id="234" w:name="_Toc515543873"/>
      <w:bookmarkStart w:id="235" w:name="_Toc515551674"/>
      <w:bookmarkStart w:id="236" w:name="_Toc515627616"/>
      <w:bookmarkStart w:id="237" w:name="_Toc516039926"/>
      <w:bookmarkStart w:id="238" w:name="_Toc516155349"/>
      <w:bookmarkStart w:id="239" w:name="_Toc516490250"/>
      <w:bookmarkStart w:id="240" w:name="_Toc518037932"/>
      <w:bookmarkStart w:id="241" w:name="_Toc524599580"/>
      <w:bookmarkStart w:id="242" w:name="_Toc526154933"/>
      <w:bookmarkStart w:id="243" w:name="_Toc526155479"/>
      <w:bookmarkStart w:id="244" w:name="_Toc526155552"/>
      <w:bookmarkStart w:id="245" w:name="_Toc526253989"/>
      <w:bookmarkStart w:id="246" w:name="_Toc526348414"/>
      <w:bookmarkStart w:id="247" w:name="_Toc526374605"/>
      <w:bookmarkStart w:id="248" w:name="_Toc526374621"/>
      <w:bookmarkStart w:id="249" w:name="_Toc526406484"/>
      <w:bookmarkStart w:id="250" w:name="_Toc526409510"/>
      <w:bookmarkStart w:id="251" w:name="_Toc526491409"/>
      <w:bookmarkStart w:id="252" w:name="_Toc526505521"/>
      <w:bookmarkStart w:id="253" w:name="_Toc526756613"/>
      <w:r>
        <w:t>3</w:t>
      </w:r>
      <w:r w:rsidRPr="003B0B97">
        <w:t>.</w:t>
      </w:r>
      <w:r>
        <w:t>2</w:t>
      </w:r>
      <w:r w:rsidRPr="003B0B97">
        <w:t>.</w:t>
      </w:r>
      <w:r>
        <w:t>3</w:t>
      </w:r>
      <w:r w:rsidRPr="003B0B97">
        <w:t xml:space="preserve">. </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Den foreslåede ordning</w:t>
      </w:r>
      <w:bookmarkEnd w:id="250"/>
      <w:bookmarkEnd w:id="251"/>
      <w:bookmarkEnd w:id="252"/>
      <w:bookmarkEnd w:id="253"/>
    </w:p>
    <w:p w14:paraId="4DAB398F" w14:textId="0D8B1E6D" w:rsidR="00CD57C0" w:rsidRPr="00CD57C0" w:rsidRDefault="00CD57C0" w:rsidP="00CD57C0">
      <w:pPr>
        <w:spacing w:after="240"/>
        <w:rPr>
          <w:rFonts w:cs="Times New Roman"/>
          <w:szCs w:val="24"/>
        </w:rPr>
      </w:pPr>
      <w:r w:rsidRPr="00CD57C0">
        <w:rPr>
          <w:rFonts w:cs="Times New Roman"/>
          <w:szCs w:val="24"/>
        </w:rPr>
        <w:t>Det er Miljøministeriets vurdering, at de to bestemmelser i miljøbeskyttelsesloven</w:t>
      </w:r>
      <w:r w:rsidR="00B637C4">
        <w:rPr>
          <w:rFonts w:cs="Times New Roman"/>
          <w:szCs w:val="24"/>
        </w:rPr>
        <w:t xml:space="preserve">s § 50 f og § </w:t>
      </w:r>
      <w:r w:rsidR="00B637C4" w:rsidRPr="00CD57C0">
        <w:rPr>
          <w:rFonts w:cs="Times New Roman"/>
          <w:szCs w:val="24"/>
        </w:rPr>
        <w:t>48, stk. 1,</w:t>
      </w:r>
      <w:r w:rsidR="00B637C4">
        <w:rPr>
          <w:rFonts w:cs="Times New Roman"/>
          <w:szCs w:val="24"/>
        </w:rPr>
        <w:t xml:space="preserve"> nr. </w:t>
      </w:r>
      <w:r w:rsidR="00B637C4" w:rsidRPr="00CD57C0">
        <w:rPr>
          <w:rFonts w:cs="Times New Roman"/>
          <w:szCs w:val="24"/>
        </w:rPr>
        <w:t>2</w:t>
      </w:r>
      <w:r w:rsidR="00B637C4">
        <w:rPr>
          <w:rFonts w:cs="Times New Roman"/>
          <w:szCs w:val="24"/>
        </w:rPr>
        <w:t>,</w:t>
      </w:r>
      <w:r w:rsidRPr="00CD57C0">
        <w:rPr>
          <w:rFonts w:cs="Times New Roman"/>
          <w:szCs w:val="24"/>
        </w:rPr>
        <w:t xml:space="preserve"> der</w:t>
      </w:r>
      <w:r w:rsidR="00B637C4">
        <w:rPr>
          <w:rFonts w:cs="Times New Roman"/>
          <w:szCs w:val="24"/>
        </w:rPr>
        <w:t xml:space="preserve"> etablerer hjemmel til at fastsætte regler, der</w:t>
      </w:r>
      <w:r w:rsidRPr="00CD57C0">
        <w:rPr>
          <w:rFonts w:cs="Times New Roman"/>
          <w:szCs w:val="24"/>
        </w:rPr>
        <w:t xml:space="preserve"> udmønter </w:t>
      </w:r>
      <w:r w:rsidR="00B637C4">
        <w:rPr>
          <w:rFonts w:cs="Times New Roman"/>
          <w:szCs w:val="24"/>
        </w:rPr>
        <w:t>k</w:t>
      </w:r>
      <w:r w:rsidRPr="00CD57C0">
        <w:rPr>
          <w:rFonts w:cs="Times New Roman"/>
          <w:szCs w:val="24"/>
        </w:rPr>
        <w:t xml:space="preserve">limaplanens genbrugsområdeinitiativ, </w:t>
      </w:r>
      <w:r w:rsidR="00B637C4">
        <w:rPr>
          <w:rFonts w:cs="Times New Roman"/>
          <w:szCs w:val="24"/>
        </w:rPr>
        <w:t>bør ophæves som følge af den politiske aftale om ikke at gennemføre initiativet.</w:t>
      </w:r>
    </w:p>
    <w:p w14:paraId="7A87EDB6" w14:textId="77777777" w:rsidR="0076380E" w:rsidRDefault="00FD1A50" w:rsidP="00FD1A50">
      <w:pPr>
        <w:pStyle w:val="Overskrift1"/>
        <w:rPr>
          <w:rFonts w:cs="Times New Roman"/>
          <w:bCs w:val="0"/>
          <w:iCs/>
          <w:sz w:val="24"/>
          <w:szCs w:val="24"/>
        </w:rPr>
      </w:pPr>
      <w:bookmarkStart w:id="254" w:name="_Toc505180549"/>
      <w:bookmarkStart w:id="255" w:name="_Toc505690202"/>
      <w:bookmarkStart w:id="256" w:name="_Toc505701755"/>
      <w:bookmarkStart w:id="257" w:name="_Toc505759547"/>
      <w:bookmarkStart w:id="258" w:name="_Toc505759564"/>
      <w:bookmarkStart w:id="259" w:name="_Toc505762657"/>
      <w:bookmarkStart w:id="260" w:name="_Toc505785997"/>
      <w:bookmarkStart w:id="261" w:name="_Toc506799582"/>
      <w:bookmarkStart w:id="262" w:name="_Toc506799599"/>
      <w:bookmarkStart w:id="263" w:name="_Toc506894558"/>
      <w:bookmarkStart w:id="264" w:name="_Toc507486295"/>
      <w:bookmarkStart w:id="265" w:name="_Toc515271230"/>
      <w:bookmarkStart w:id="266" w:name="_Toc515271553"/>
      <w:bookmarkStart w:id="267" w:name="_Toc515271581"/>
      <w:bookmarkStart w:id="268" w:name="_Toc515280489"/>
      <w:bookmarkStart w:id="269" w:name="_Toc515280640"/>
      <w:bookmarkStart w:id="270" w:name="_Toc515352792"/>
      <w:bookmarkStart w:id="271" w:name="_Toc515540865"/>
      <w:bookmarkStart w:id="272" w:name="_Toc515543705"/>
      <w:bookmarkStart w:id="273" w:name="_Toc515543890"/>
      <w:bookmarkStart w:id="274" w:name="_Toc515551691"/>
      <w:bookmarkStart w:id="275" w:name="_Toc515627633"/>
      <w:bookmarkStart w:id="276" w:name="_Toc516039943"/>
      <w:bookmarkStart w:id="277" w:name="_Toc516155366"/>
      <w:bookmarkStart w:id="278" w:name="_Toc516490267"/>
      <w:bookmarkStart w:id="279" w:name="_Toc518037949"/>
      <w:bookmarkStart w:id="280" w:name="_Toc524599601"/>
      <w:bookmarkStart w:id="281" w:name="_Toc526154934"/>
      <w:bookmarkStart w:id="282" w:name="_Toc526155480"/>
      <w:bookmarkStart w:id="283" w:name="_Toc526155553"/>
      <w:bookmarkStart w:id="284" w:name="_Toc526253990"/>
      <w:bookmarkStart w:id="285" w:name="_Toc526348415"/>
      <w:bookmarkStart w:id="286" w:name="_Toc526374606"/>
      <w:bookmarkStart w:id="287" w:name="_Toc526374622"/>
      <w:bookmarkStart w:id="288" w:name="_Toc526406485"/>
      <w:bookmarkStart w:id="289" w:name="_Toc526409511"/>
      <w:bookmarkStart w:id="290" w:name="_Toc526491410"/>
      <w:bookmarkStart w:id="291" w:name="_Toc526505522"/>
      <w:bookmarkStart w:id="292" w:name="_Toc526756614"/>
      <w:bookmarkStart w:id="293" w:name="_Hlk166053913"/>
      <w:r>
        <w:rPr>
          <w:rFonts w:cs="Times New Roman"/>
          <w:bCs w:val="0"/>
          <w:iCs/>
          <w:sz w:val="24"/>
          <w:szCs w:val="24"/>
        </w:rPr>
        <w:t>4</w:t>
      </w:r>
      <w:r w:rsidRPr="003B0B97">
        <w:rPr>
          <w:rFonts w:cs="Times New Roman"/>
          <w:bCs w:val="0"/>
          <w:iCs/>
          <w:sz w:val="24"/>
          <w:szCs w:val="24"/>
        </w:rPr>
        <w:t>. </w:t>
      </w:r>
      <w:r w:rsidR="0076380E" w:rsidRPr="0076380E">
        <w:rPr>
          <w:rFonts w:cs="Times New Roman"/>
          <w:bCs w:val="0"/>
          <w:iCs/>
          <w:sz w:val="24"/>
          <w:szCs w:val="24"/>
        </w:rPr>
        <w:t>Konsekvenser for opfyldelsen af FN's verdensmål</w:t>
      </w:r>
    </w:p>
    <w:p w14:paraId="4BB7696F" w14:textId="77777777" w:rsidR="005D284F" w:rsidRPr="005D284F" w:rsidRDefault="005D284F" w:rsidP="00D665C2"/>
    <w:p w14:paraId="5654AD27" w14:textId="77777777" w:rsidR="005D284F" w:rsidRPr="00BE20DB" w:rsidRDefault="005D284F" w:rsidP="005D284F">
      <w:r w:rsidRPr="00BE20DB">
        <w:t>Lovforslaget forventes at bidrage positivt til realisering af verdensmål 12.5., hvorefter affaldsgenereringen skal reduceres væsentligt inden 2030 gennem forebyggelse, reduktion, genvinding og genbrug.</w:t>
      </w:r>
    </w:p>
    <w:p w14:paraId="0983853E" w14:textId="77777777" w:rsidR="0076380E" w:rsidRPr="0076380E" w:rsidRDefault="0076380E" w:rsidP="00D665C2"/>
    <w:p w14:paraId="159B475C" w14:textId="77777777" w:rsidR="00FD1A50" w:rsidRPr="003B0B97" w:rsidRDefault="0076380E" w:rsidP="00FD1A50">
      <w:pPr>
        <w:pStyle w:val="Overskrift1"/>
        <w:rPr>
          <w:rFonts w:cs="Times New Roman"/>
          <w:bCs w:val="0"/>
          <w:iCs/>
          <w:sz w:val="24"/>
          <w:szCs w:val="24"/>
        </w:rPr>
      </w:pPr>
      <w:r>
        <w:rPr>
          <w:rFonts w:cs="Times New Roman"/>
          <w:bCs w:val="0"/>
          <w:iCs/>
          <w:sz w:val="24"/>
          <w:szCs w:val="24"/>
        </w:rPr>
        <w:lastRenderedPageBreak/>
        <w:t xml:space="preserve">5. </w:t>
      </w:r>
      <w:r w:rsidR="00FD1A50" w:rsidRPr="003B0B97">
        <w:rPr>
          <w:rFonts w:cs="Times New Roman"/>
          <w:bCs w:val="0"/>
          <w:iCs/>
          <w:sz w:val="24"/>
          <w:szCs w:val="24"/>
        </w:rPr>
        <w:t>Økonomiske konsekvenser og implementeringskonsekvenser for det offentlige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010D51DE" w14:textId="77777777" w:rsidR="00597649" w:rsidRDefault="00597649" w:rsidP="00597649">
      <w:pPr>
        <w:spacing w:after="240"/>
      </w:pPr>
      <w:r>
        <w:t>De foreslåede bemyndigelsesbestemmelse</w:t>
      </w:r>
      <w:r w:rsidR="00984901">
        <w:t>r</w:t>
      </w:r>
      <w:r>
        <w:t xml:space="preserve"> vil ikke medføre hverken økonomiske konsekvenser eller implementeringskonsekvenser for det offentlige.</w:t>
      </w:r>
    </w:p>
    <w:p w14:paraId="770A6306" w14:textId="77777777" w:rsidR="00597649" w:rsidRDefault="00597649" w:rsidP="00597649">
      <w:pPr>
        <w:spacing w:after="240"/>
      </w:pPr>
      <w:r>
        <w:t xml:space="preserve">Den foreslåede bemyndigelsesbestemmelse forventes ikke ved udmøntning i bekendtgørelser med ophæng i lovforslaget at medføre forøgede opgaver for det offentlige. </w:t>
      </w:r>
    </w:p>
    <w:p w14:paraId="6485D1EB" w14:textId="784A738B" w:rsidR="00FD1A50" w:rsidRDefault="00597649" w:rsidP="00597649">
      <w:pPr>
        <w:spacing w:after="240"/>
        <w:rPr>
          <w:rFonts w:cs="Times New Roman"/>
          <w:szCs w:val="24"/>
        </w:rPr>
      </w:pPr>
      <w:r>
        <w:rPr>
          <w:rFonts w:cs="Times New Roman"/>
          <w:szCs w:val="24"/>
        </w:rPr>
        <w:t xml:space="preserve">De forslåede bemyndigelsesbestemmelser vil dog medføre afledte økonomiske omkostninger for Miljøstyrelsen. Dette skyldes, at lovforslaget </w:t>
      </w:r>
      <w:r w:rsidR="00984901">
        <w:rPr>
          <w:rFonts w:cs="Times New Roman"/>
          <w:szCs w:val="24"/>
        </w:rPr>
        <w:t xml:space="preserve">bemyndiger ministeren til at </w:t>
      </w:r>
      <w:r>
        <w:rPr>
          <w:rFonts w:cs="Times New Roman"/>
          <w:szCs w:val="24"/>
        </w:rPr>
        <w:t xml:space="preserve">stille krav om, at affaldsbehandlingsanlæg, der har afvist at modtage affald i medfør af bestemmelser fastsat i henhold til stk. 9, skal underrette tilsynsmyndigheden om afvisningen. </w:t>
      </w:r>
      <w:r w:rsidR="00213F69">
        <w:rPr>
          <w:rFonts w:cs="Times New Roman"/>
          <w:szCs w:val="24"/>
        </w:rPr>
        <w:t>Miljøstyrelsen</w:t>
      </w:r>
      <w:r w:rsidR="00E62144">
        <w:rPr>
          <w:rFonts w:cs="Times New Roman"/>
          <w:szCs w:val="24"/>
        </w:rPr>
        <w:t>s</w:t>
      </w:r>
      <w:r w:rsidR="00213F69">
        <w:rPr>
          <w:rFonts w:cs="Times New Roman"/>
          <w:szCs w:val="24"/>
        </w:rPr>
        <w:t xml:space="preserve"> tilsyn på baggrund af indberetninger fra affaldsbehandlingsanlæg reguleres i en ny bekendtgørelse om affaldstilsyn, der forventes at træde i kraft 1. januar 2025. De økonomiske </w:t>
      </w:r>
      <w:r w:rsidR="00EF1131">
        <w:rPr>
          <w:rFonts w:cs="Times New Roman"/>
          <w:szCs w:val="24"/>
        </w:rPr>
        <w:t>konsekvenser analyseres i forbindelse med udarbejdelsen af denne bekendtgørelse.</w:t>
      </w:r>
    </w:p>
    <w:p w14:paraId="7CD30999" w14:textId="77777777" w:rsidR="00FD1A50" w:rsidRPr="003B0B97" w:rsidRDefault="0076380E" w:rsidP="00FD1A50">
      <w:pPr>
        <w:pStyle w:val="Overskrift1"/>
        <w:rPr>
          <w:rFonts w:cs="Times New Roman"/>
          <w:bCs w:val="0"/>
          <w:iCs/>
          <w:sz w:val="24"/>
          <w:szCs w:val="24"/>
        </w:rPr>
      </w:pPr>
      <w:bookmarkStart w:id="294" w:name="_Toc515271231"/>
      <w:bookmarkStart w:id="295" w:name="_Toc515271554"/>
      <w:bookmarkStart w:id="296" w:name="_Toc515271582"/>
      <w:bookmarkStart w:id="297" w:name="_Toc515280490"/>
      <w:bookmarkStart w:id="298" w:name="_Toc515280641"/>
      <w:bookmarkStart w:id="299" w:name="_Toc515352793"/>
      <w:bookmarkStart w:id="300" w:name="_Toc515540866"/>
      <w:bookmarkStart w:id="301" w:name="_Toc515543706"/>
      <w:bookmarkStart w:id="302" w:name="_Toc515543891"/>
      <w:bookmarkStart w:id="303" w:name="_Toc515551692"/>
      <w:bookmarkStart w:id="304" w:name="_Toc515627634"/>
      <w:bookmarkStart w:id="305" w:name="_Toc516039944"/>
      <w:bookmarkStart w:id="306" w:name="_Toc516155367"/>
      <w:bookmarkStart w:id="307" w:name="_Toc516490268"/>
      <w:bookmarkStart w:id="308" w:name="_Toc518037950"/>
      <w:bookmarkStart w:id="309" w:name="_Toc524599602"/>
      <w:bookmarkStart w:id="310" w:name="_Toc526154935"/>
      <w:bookmarkStart w:id="311" w:name="_Toc526155481"/>
      <w:bookmarkStart w:id="312" w:name="_Toc526155554"/>
      <w:bookmarkStart w:id="313" w:name="_Toc526253991"/>
      <w:bookmarkStart w:id="314" w:name="_Toc526348416"/>
      <w:bookmarkStart w:id="315" w:name="_Toc526374607"/>
      <w:bookmarkStart w:id="316" w:name="_Toc526374623"/>
      <w:bookmarkStart w:id="317" w:name="_Toc526406486"/>
      <w:bookmarkStart w:id="318" w:name="_Toc526409512"/>
      <w:bookmarkStart w:id="319" w:name="_Toc526491411"/>
      <w:bookmarkStart w:id="320" w:name="_Toc526505523"/>
      <w:bookmarkStart w:id="321" w:name="_Toc526756615"/>
      <w:r>
        <w:rPr>
          <w:rFonts w:cs="Times New Roman"/>
          <w:bCs w:val="0"/>
          <w:iCs/>
          <w:sz w:val="24"/>
          <w:szCs w:val="24"/>
        </w:rPr>
        <w:t>6</w:t>
      </w:r>
      <w:r w:rsidR="00FD1A50" w:rsidRPr="003B0B97">
        <w:rPr>
          <w:rFonts w:cs="Times New Roman"/>
          <w:bCs w:val="0"/>
          <w:iCs/>
          <w:sz w:val="24"/>
          <w:szCs w:val="24"/>
        </w:rPr>
        <w:t>. Økonomiske og administrative konsekvenser for erhvervslivet m</w:t>
      </w:r>
      <w:r w:rsidR="00FD1A50">
        <w:rPr>
          <w:rFonts w:cs="Times New Roman"/>
          <w:bCs w:val="0"/>
          <w:iCs/>
          <w:sz w:val="24"/>
          <w:szCs w:val="24"/>
        </w:rPr>
        <w:t>.</w:t>
      </w:r>
      <w:r w:rsidR="00FD1A50" w:rsidRPr="003B0B97">
        <w:rPr>
          <w:rFonts w:cs="Times New Roman"/>
          <w:bCs w:val="0"/>
          <w:iCs/>
          <w:sz w:val="24"/>
          <w:szCs w:val="24"/>
        </w:rPr>
        <w:t>v.</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7241BA2" w14:textId="5B3F9268" w:rsidR="00597649" w:rsidRDefault="00597649" w:rsidP="00597649">
      <w:pPr>
        <w:spacing w:after="240"/>
      </w:pPr>
      <w:r>
        <w:t>De foreslåede bemyndigelsesbestemmelse</w:t>
      </w:r>
      <w:r w:rsidR="00E62144">
        <w:t>r</w:t>
      </w:r>
      <w:r>
        <w:t xml:space="preserve"> vil ikke i sig selv medføre økonomiske eller administrative konsekvenser for erhvervslivet. Omfanget af de økonomiske og administrative konsekvenser for erhvervslivet vil afhænge af, hvorledes bemyndigelsesbestemmelsen udmøntes. Nedenstående skøn er derfor behæftet med en betydelig usikkerhed.</w:t>
      </w:r>
    </w:p>
    <w:p w14:paraId="4F44E2CD" w14:textId="20B68288" w:rsidR="00984901" w:rsidRDefault="00984901" w:rsidP="00984901">
      <w:pPr>
        <w:spacing w:after="240"/>
        <w:rPr>
          <w:rFonts w:cs="Times New Roman"/>
          <w:szCs w:val="24"/>
        </w:rPr>
      </w:pPr>
      <w:r>
        <w:rPr>
          <w:rFonts w:cs="Times New Roman"/>
          <w:szCs w:val="24"/>
        </w:rPr>
        <w:t>Efter</w:t>
      </w:r>
      <w:r w:rsidR="00EF1131">
        <w:rPr>
          <w:rFonts w:cs="Times New Roman"/>
          <w:szCs w:val="24"/>
        </w:rPr>
        <w:t xml:space="preserve"> </w:t>
      </w:r>
      <w:r>
        <w:rPr>
          <w:rFonts w:cs="Times New Roman"/>
          <w:szCs w:val="24"/>
        </w:rPr>
        <w:t>de</w:t>
      </w:r>
      <w:r w:rsidR="00597649">
        <w:rPr>
          <w:rFonts w:cs="Times New Roman"/>
          <w:szCs w:val="24"/>
        </w:rPr>
        <w:t xml:space="preserve"> forslåede bemyndigelsesbestemmelser </w:t>
      </w:r>
      <w:r>
        <w:rPr>
          <w:rFonts w:cs="Times New Roman"/>
          <w:szCs w:val="24"/>
        </w:rPr>
        <w:t xml:space="preserve">kan </w:t>
      </w:r>
      <w:r w:rsidR="00597649">
        <w:rPr>
          <w:rFonts w:cs="Times New Roman"/>
          <w:szCs w:val="24"/>
        </w:rPr>
        <w:t xml:space="preserve">ministeren fastsætte regler om, at </w:t>
      </w:r>
      <w:r w:rsidR="002235E0">
        <w:rPr>
          <w:rFonts w:cs="Times New Roman"/>
          <w:szCs w:val="24"/>
        </w:rPr>
        <w:t xml:space="preserve">virksomheder, der driver </w:t>
      </w:r>
      <w:r w:rsidR="00597649">
        <w:rPr>
          <w:rFonts w:cs="Times New Roman"/>
          <w:szCs w:val="24"/>
        </w:rPr>
        <w:t>forbrændingsanlæg</w:t>
      </w:r>
      <w:r w:rsidR="00922DC9">
        <w:rPr>
          <w:rFonts w:cs="Times New Roman"/>
          <w:szCs w:val="24"/>
        </w:rPr>
        <w:t>,</w:t>
      </w:r>
      <w:r w:rsidR="00597649">
        <w:rPr>
          <w:rFonts w:cs="Times New Roman"/>
          <w:szCs w:val="24"/>
        </w:rPr>
        <w:t xml:space="preserve"> skal foretage visuel eller fysisk kontrol af </w:t>
      </w:r>
      <w:r w:rsidR="00E62144">
        <w:rPr>
          <w:rFonts w:cs="Times New Roman"/>
          <w:szCs w:val="24"/>
        </w:rPr>
        <w:t>affald egnet til materialenyttiggørelse</w:t>
      </w:r>
      <w:r w:rsidR="00597649">
        <w:rPr>
          <w:rFonts w:cs="Times New Roman"/>
          <w:szCs w:val="24"/>
        </w:rPr>
        <w:t xml:space="preserve">. Der foretages allerede i dag stikprøvekontroller på forbrændingsanlæg i forbindelse med eksisterende krav om egenkontrol på forbrændingsanlæg. </w:t>
      </w:r>
      <w:r w:rsidR="00597649">
        <w:t xml:space="preserve">Alle </w:t>
      </w:r>
      <w:r w:rsidR="002235E0">
        <w:t xml:space="preserve">virksomheder, der driver </w:t>
      </w:r>
      <w:r w:rsidR="00597649">
        <w:t>forbrændingsanlæg</w:t>
      </w:r>
      <w:r w:rsidR="00922DC9">
        <w:t>,</w:t>
      </w:r>
      <w:r w:rsidR="00597649">
        <w:t xml:space="preserve"> er forpligtet til at udføre egenkontrol i forbindelse med deres miljø</w:t>
      </w:r>
      <w:r w:rsidR="005C6268">
        <w:t>godkendelse</w:t>
      </w:r>
      <w:r w:rsidR="00597649">
        <w:t xml:space="preserve">. </w:t>
      </w:r>
      <w:r w:rsidR="00825A38">
        <w:rPr>
          <w:rFonts w:cs="Times New Roman"/>
          <w:szCs w:val="24"/>
        </w:rPr>
        <w:t>Det er hensigten, at de regler</w:t>
      </w:r>
      <w:r w:rsidR="00922DC9">
        <w:rPr>
          <w:rFonts w:cs="Times New Roman"/>
          <w:szCs w:val="24"/>
        </w:rPr>
        <w:t>,</w:t>
      </w:r>
      <w:r w:rsidR="00825A38">
        <w:rPr>
          <w:rFonts w:cs="Times New Roman"/>
          <w:szCs w:val="24"/>
        </w:rPr>
        <w:t xml:space="preserve"> der påtænkes at udmøntes i affaldsbekendtgørelsen i forhold til kontrol af affald egnet til materialenyttiggørelse, skal implementeres således, at de følger de eksisterende krav om egenkontrol. Der </w:t>
      </w:r>
      <w:r w:rsidR="00A23C63">
        <w:rPr>
          <w:rFonts w:cs="Times New Roman"/>
          <w:szCs w:val="24"/>
        </w:rPr>
        <w:t>forventes derfor ikke at</w:t>
      </w:r>
      <w:r w:rsidR="00825A38">
        <w:rPr>
          <w:rFonts w:cs="Times New Roman"/>
          <w:szCs w:val="24"/>
        </w:rPr>
        <w:t xml:space="preserve"> blive stillet </w:t>
      </w:r>
      <w:r w:rsidR="00BE20DB">
        <w:rPr>
          <w:rFonts w:cs="Times New Roman"/>
          <w:szCs w:val="24"/>
        </w:rPr>
        <w:t>mere vidtgående</w:t>
      </w:r>
      <w:r w:rsidR="002235E0">
        <w:rPr>
          <w:rFonts w:cs="Times New Roman"/>
          <w:szCs w:val="24"/>
        </w:rPr>
        <w:t xml:space="preserve"> </w:t>
      </w:r>
      <w:r w:rsidR="00825A38">
        <w:rPr>
          <w:rFonts w:cs="Times New Roman"/>
          <w:szCs w:val="24"/>
        </w:rPr>
        <w:t xml:space="preserve">krav til forbrændingsanlæggene end dem, der allerede eksisterer for deres nuværende egenkontrol. </w:t>
      </w:r>
      <w:r w:rsidR="009463C8">
        <w:t>D</w:t>
      </w:r>
      <w:r>
        <w:t xml:space="preserve">et </w:t>
      </w:r>
      <w:r w:rsidR="00B54E0E">
        <w:t>forventes</w:t>
      </w:r>
      <w:r>
        <w:t xml:space="preserve">, at kontrol </w:t>
      </w:r>
      <w:r w:rsidR="00EF1131">
        <w:t>af</w:t>
      </w:r>
      <w:r>
        <w:t xml:space="preserve"> </w:t>
      </w:r>
      <w:r w:rsidR="00EF1131">
        <w:t>affald egnet til materialenyttiggørelse</w:t>
      </w:r>
      <w:r>
        <w:t xml:space="preserve"> kan ske i forbindelse med egenkontrol, hvorfor de økonomiske og administrative konsekvenser for erhvervslivet holdes nede. </w:t>
      </w:r>
    </w:p>
    <w:p w14:paraId="20BDC138" w14:textId="43450D14" w:rsidR="00597649" w:rsidRDefault="00597649" w:rsidP="00597649">
      <w:pPr>
        <w:spacing w:after="240"/>
        <w:rPr>
          <w:rFonts w:eastAsia="Calibri" w:cs="Times New Roman"/>
          <w:szCs w:val="24"/>
        </w:rPr>
      </w:pPr>
      <w:r>
        <w:rPr>
          <w:rFonts w:eastAsia="Calibri" w:cs="Times New Roman"/>
          <w:szCs w:val="24"/>
        </w:rPr>
        <w:lastRenderedPageBreak/>
        <w:t xml:space="preserve">Ligeledes </w:t>
      </w:r>
      <w:r w:rsidR="00B54E0E">
        <w:rPr>
          <w:rFonts w:eastAsia="Calibri" w:cs="Times New Roman"/>
          <w:szCs w:val="24"/>
        </w:rPr>
        <w:t>forventes det</w:t>
      </w:r>
      <w:r>
        <w:rPr>
          <w:rFonts w:eastAsia="Calibri" w:cs="Times New Roman"/>
          <w:szCs w:val="24"/>
        </w:rPr>
        <w:t>, at der ligesom i de eksisterende krav om egenkontrol indføres fleksibilitet i</w:t>
      </w:r>
      <w:r w:rsidR="005C659A">
        <w:rPr>
          <w:rFonts w:eastAsia="Calibri" w:cs="Times New Roman"/>
          <w:szCs w:val="24"/>
        </w:rPr>
        <w:t xml:space="preserve"> forhold til</w:t>
      </w:r>
      <w:r>
        <w:rPr>
          <w:rFonts w:eastAsia="Calibri" w:cs="Times New Roman"/>
          <w:szCs w:val="24"/>
        </w:rPr>
        <w:t xml:space="preserve">, hvordan forbrændingsanlæggene kan vælge at udføre en kontrol. </w:t>
      </w:r>
    </w:p>
    <w:p w14:paraId="2AAA46A7" w14:textId="4F14305C" w:rsidR="00597649" w:rsidRDefault="00597649" w:rsidP="00597649">
      <w:pPr>
        <w:spacing w:after="240"/>
        <w:rPr>
          <w:rFonts w:cs="Times New Roman"/>
          <w:szCs w:val="24"/>
        </w:rPr>
      </w:pPr>
      <w:r>
        <w:rPr>
          <w:rFonts w:eastAsia="Calibri" w:cs="Times New Roman"/>
          <w:szCs w:val="24"/>
        </w:rPr>
        <w:t xml:space="preserve">Herudover </w:t>
      </w:r>
      <w:r w:rsidR="00B54E0E">
        <w:rPr>
          <w:rFonts w:eastAsia="Calibri" w:cs="Times New Roman"/>
          <w:szCs w:val="24"/>
        </w:rPr>
        <w:t xml:space="preserve">indebærer </w:t>
      </w:r>
      <w:r>
        <w:rPr>
          <w:rFonts w:eastAsia="Calibri" w:cs="Times New Roman"/>
          <w:szCs w:val="24"/>
        </w:rPr>
        <w:t xml:space="preserve">de forslåede bemyndigelsesbestemmelser, at </w:t>
      </w:r>
      <w:r w:rsidR="00B54E0E">
        <w:rPr>
          <w:rFonts w:eastAsia="Calibri" w:cs="Times New Roman"/>
          <w:szCs w:val="24"/>
        </w:rPr>
        <w:t xml:space="preserve">der kan fastsættes regler om, at virksomheder, der driver </w:t>
      </w:r>
      <w:r>
        <w:rPr>
          <w:rFonts w:eastAsia="Calibri" w:cs="Times New Roman"/>
          <w:szCs w:val="24"/>
        </w:rPr>
        <w:t>affalds</w:t>
      </w:r>
      <w:r w:rsidR="0057006D">
        <w:rPr>
          <w:rFonts w:eastAsia="Calibri" w:cs="Times New Roman"/>
          <w:szCs w:val="24"/>
        </w:rPr>
        <w:t>forbrændings</w:t>
      </w:r>
      <w:r>
        <w:rPr>
          <w:rFonts w:eastAsia="Calibri" w:cs="Times New Roman"/>
          <w:szCs w:val="24"/>
        </w:rPr>
        <w:t>anlæggene</w:t>
      </w:r>
      <w:r w:rsidR="00922DC9">
        <w:rPr>
          <w:rFonts w:eastAsia="Calibri" w:cs="Times New Roman"/>
          <w:szCs w:val="24"/>
        </w:rPr>
        <w:t>,</w:t>
      </w:r>
      <w:r>
        <w:rPr>
          <w:rFonts w:eastAsia="Calibri" w:cs="Times New Roman"/>
          <w:szCs w:val="24"/>
        </w:rPr>
        <w:t xml:space="preserve"> skal </w:t>
      </w:r>
      <w:r>
        <w:rPr>
          <w:rFonts w:cs="Times New Roman"/>
          <w:szCs w:val="24"/>
        </w:rPr>
        <w:t xml:space="preserve">afvise affald, hvis det </w:t>
      </w:r>
      <w:r w:rsidR="00EF1131">
        <w:rPr>
          <w:rFonts w:cs="Times New Roman"/>
          <w:szCs w:val="24"/>
        </w:rPr>
        <w:t>vurderes</w:t>
      </w:r>
      <w:r>
        <w:rPr>
          <w:rFonts w:cs="Times New Roman"/>
          <w:szCs w:val="24"/>
        </w:rPr>
        <w:t xml:space="preserve">, </w:t>
      </w:r>
      <w:r w:rsidR="00E62144">
        <w:rPr>
          <w:rFonts w:cs="Times New Roman"/>
          <w:szCs w:val="24"/>
        </w:rPr>
        <w:t xml:space="preserve">at affaldet indeholder affald </w:t>
      </w:r>
      <w:r w:rsidR="00EF1131">
        <w:rPr>
          <w:rFonts w:cs="Times New Roman"/>
          <w:szCs w:val="24"/>
        </w:rPr>
        <w:t>egnet til materialenyttiggørelse</w:t>
      </w:r>
      <w:r w:rsidR="00E86A12">
        <w:rPr>
          <w:rFonts w:cs="Times New Roman"/>
          <w:szCs w:val="24"/>
        </w:rPr>
        <w:t xml:space="preserve"> over en vis grænse</w:t>
      </w:r>
      <w:r w:rsidR="0057006D">
        <w:rPr>
          <w:rFonts w:cs="Times New Roman"/>
          <w:szCs w:val="24"/>
        </w:rPr>
        <w:t>,</w:t>
      </w:r>
      <w:r>
        <w:rPr>
          <w:rFonts w:cs="Times New Roman"/>
          <w:szCs w:val="24"/>
        </w:rPr>
        <w:t xml:space="preserve"> samt at affalds</w:t>
      </w:r>
      <w:r w:rsidR="00EF1131">
        <w:rPr>
          <w:rFonts w:cs="Times New Roman"/>
          <w:szCs w:val="24"/>
        </w:rPr>
        <w:t xml:space="preserve">forbrændingsanlæggene </w:t>
      </w:r>
      <w:r>
        <w:rPr>
          <w:rFonts w:cs="Times New Roman"/>
          <w:szCs w:val="24"/>
        </w:rPr>
        <w:t>i disse tilfælde skal foretage en indberetning til Miljøstyrelsen</w:t>
      </w:r>
      <w:r w:rsidR="00E62144">
        <w:rPr>
          <w:rFonts w:cs="Times New Roman"/>
          <w:szCs w:val="24"/>
        </w:rPr>
        <w:t xml:space="preserve"> og en underretning til affaldsproducenten eller affaldsindsamleren</w:t>
      </w:r>
      <w:r>
        <w:rPr>
          <w:rFonts w:cs="Times New Roman"/>
          <w:szCs w:val="24"/>
        </w:rPr>
        <w:t xml:space="preserve">. Dette vurderes at medføre mindre administrative konsekvenser for </w:t>
      </w:r>
      <w:r w:rsidR="00B54E0E">
        <w:rPr>
          <w:rFonts w:cs="Times New Roman"/>
          <w:szCs w:val="24"/>
        </w:rPr>
        <w:t xml:space="preserve">de virksomheder, der driver </w:t>
      </w:r>
      <w:r>
        <w:rPr>
          <w:rFonts w:cs="Times New Roman"/>
          <w:szCs w:val="24"/>
        </w:rPr>
        <w:t xml:space="preserve">forbrændingsanlæggene. </w:t>
      </w:r>
    </w:p>
    <w:p w14:paraId="16CCE3F7" w14:textId="64FD514B" w:rsidR="00597649" w:rsidRDefault="00597649" w:rsidP="00597649">
      <w:r>
        <w:t xml:space="preserve">Der forbrændes ca. 3,6 mio. tons affald om året i Danmark, og det gennemsnitlige vognlæs vurderes at veje ca. 4 tons, hvilket svarer til ca. </w:t>
      </w:r>
      <w:r w:rsidR="00400754">
        <w:t>45.000</w:t>
      </w:r>
      <w:r w:rsidR="003D3995">
        <w:t xml:space="preserve"> </w:t>
      </w:r>
      <w:r>
        <w:t xml:space="preserve">vognlæs med affald, som der skal udføres stikprøve på. </w:t>
      </w:r>
    </w:p>
    <w:p w14:paraId="4D5225F7" w14:textId="45732B96" w:rsidR="000D270F" w:rsidRDefault="009463C8" w:rsidP="00597649">
      <w:r>
        <w:t xml:space="preserve">Når et vognlæs udtages til </w:t>
      </w:r>
      <w:r w:rsidR="004A2BC9">
        <w:t>kontr</w:t>
      </w:r>
      <w:r w:rsidR="000D270F">
        <w:t>ol</w:t>
      </w:r>
      <w:r>
        <w:t xml:space="preserve">, skal der føres kontrol med indholdet af </w:t>
      </w:r>
      <w:r w:rsidR="00D60E53">
        <w:t>affald egnet til materialenyttiggørelse</w:t>
      </w:r>
      <w:r>
        <w:t xml:space="preserve">. </w:t>
      </w:r>
      <w:r w:rsidR="008C7BC0">
        <w:t>Kontrollen kan</w:t>
      </w:r>
      <w:r w:rsidR="00597649">
        <w:t xml:space="preserve"> udføres i forbindelse med egenkontrol, og</w:t>
      </w:r>
      <w:r>
        <w:t xml:space="preserve"> forbrændingsanlæggene vurderer selv</w:t>
      </w:r>
      <w:r w:rsidR="00597649">
        <w:t>, at dette vil medføre et merforbrug på 15 min</w:t>
      </w:r>
      <w:r w:rsidR="00F22E23">
        <w:t>utter</w:t>
      </w:r>
      <w:r w:rsidR="00597649">
        <w:t xml:space="preserve"> pr. kontrol i de første 2 år, hvorefter der her vil opnås en rutine</w:t>
      </w:r>
      <w:r w:rsidR="00F22E23">
        <w:t xml:space="preserve"> eller </w:t>
      </w:r>
      <w:r w:rsidR="00597649">
        <w:t>effektivisering, som medfører en tidsgevinst på 3 min</w:t>
      </w:r>
      <w:r w:rsidR="00F22E23">
        <w:t>utter pr. kontrol</w:t>
      </w:r>
      <w:r w:rsidR="00597649">
        <w:t xml:space="preserve">.  </w:t>
      </w:r>
    </w:p>
    <w:p w14:paraId="63874726" w14:textId="77777777" w:rsidR="000D270F" w:rsidRDefault="000D270F" w:rsidP="00597649"/>
    <w:p w14:paraId="57C17583" w14:textId="30E7169A" w:rsidR="00597649" w:rsidRDefault="009463C8" w:rsidP="00597649">
      <w:r>
        <w:t xml:space="preserve">Såfremt det </w:t>
      </w:r>
      <w:r w:rsidR="008C7BC0">
        <w:t>vurderes</w:t>
      </w:r>
      <w:r>
        <w:t xml:space="preserve">, at </w:t>
      </w:r>
      <w:r w:rsidR="00E86A12">
        <w:t>affaldet indeholder</w:t>
      </w:r>
      <w:r w:rsidR="00E62144">
        <w:t xml:space="preserve"> affald</w:t>
      </w:r>
      <w:r>
        <w:t xml:space="preserve"> egnet til </w:t>
      </w:r>
      <w:r w:rsidR="008C7BC0">
        <w:t>materialenyttiggørelse</w:t>
      </w:r>
      <w:r w:rsidR="00E86A12">
        <w:t xml:space="preserve"> over en vis grænse</w:t>
      </w:r>
      <w:r>
        <w:t xml:space="preserve">, skal </w:t>
      </w:r>
      <w:r w:rsidR="00F22E23">
        <w:t xml:space="preserve">virksomhederne, der driver </w:t>
      </w:r>
      <w:r>
        <w:t>forbrændingsanlæg,</w:t>
      </w:r>
      <w:r w:rsidR="00E65282">
        <w:t xml:space="preserve"> indberette oplysninger herom til affaldstilsynsmyndigheden</w:t>
      </w:r>
      <w:r>
        <w:t xml:space="preserve">. </w:t>
      </w:r>
      <w:r w:rsidR="00F22E23">
        <w:t>Virksomhederne, der driver f</w:t>
      </w:r>
      <w:r w:rsidR="000D270F">
        <w:t>orbrændingsanlæggene</w:t>
      </w:r>
      <w:r w:rsidR="00922DC9">
        <w:t>,</w:t>
      </w:r>
      <w:r w:rsidR="000D270F">
        <w:t xml:space="preserve"> anslår, at tidsforbruget til </w:t>
      </w:r>
      <w:r w:rsidR="00E65282">
        <w:t>indberetning af oplysninger om</w:t>
      </w:r>
      <w:r w:rsidR="000D270F">
        <w:t xml:space="preserve"> </w:t>
      </w:r>
      <w:r w:rsidR="00EF1131">
        <w:t>affald egnet til materialenyttiggørelse</w:t>
      </w:r>
      <w:r w:rsidR="000D270F">
        <w:t xml:space="preserve"> vil udgøre 4 min</w:t>
      </w:r>
      <w:r w:rsidR="00F22E23">
        <w:t>utter</w:t>
      </w:r>
      <w:r w:rsidR="000D270F">
        <w:t xml:space="preserve"> i de første 2 år, hvorefter der vil være opnået en vis rutine, som medfører en tidsgevinst på 2 min</w:t>
      </w:r>
      <w:r w:rsidR="00F22E23">
        <w:t>utter</w:t>
      </w:r>
      <w:r w:rsidR="000D270F">
        <w:t>. D</w:t>
      </w:r>
      <w:r w:rsidR="003F0B39">
        <w:t xml:space="preserve">isse tal baserer sig </w:t>
      </w:r>
      <w:r w:rsidR="00381EBD">
        <w:t>på kontrol</w:t>
      </w:r>
      <w:r w:rsidR="003F0B39">
        <w:t xml:space="preserve"> af alle papirer </w:t>
      </w:r>
      <w:r w:rsidR="000D270F">
        <w:t xml:space="preserve">for alle kontroller. I praksis </w:t>
      </w:r>
      <w:r w:rsidR="00427D43">
        <w:t xml:space="preserve">forventes det, at virksomhederne, der driver </w:t>
      </w:r>
      <w:r w:rsidR="000D270F">
        <w:t>anlæggene</w:t>
      </w:r>
      <w:r w:rsidR="00922DC9">
        <w:t>,</w:t>
      </w:r>
      <w:r w:rsidR="000D270F">
        <w:t xml:space="preserve"> kun </w:t>
      </w:r>
      <w:r w:rsidR="00427D43">
        <w:t xml:space="preserve">vil </w:t>
      </w:r>
      <w:r w:rsidR="000D270F">
        <w:t xml:space="preserve">gennemgå papirer ved læs, hvor det </w:t>
      </w:r>
      <w:r w:rsidR="00427D43">
        <w:t xml:space="preserve">umiddelbart </w:t>
      </w:r>
      <w:r w:rsidR="00EF1131">
        <w:t>vurderes</w:t>
      </w:r>
      <w:r w:rsidR="000D270F">
        <w:t xml:space="preserve">, at det samlede affaldslæs er egnet til </w:t>
      </w:r>
      <w:r w:rsidR="00EF1131">
        <w:t>materialenyttiggørelse</w:t>
      </w:r>
      <w:r w:rsidR="000D270F">
        <w:t xml:space="preserve">. </w:t>
      </w:r>
    </w:p>
    <w:p w14:paraId="33C61455" w14:textId="77777777" w:rsidR="000D270F" w:rsidRDefault="000D270F" w:rsidP="00597649"/>
    <w:p w14:paraId="5106D061" w14:textId="207328D1" w:rsidR="000D270F" w:rsidRDefault="000D270F" w:rsidP="00597649">
      <w:r>
        <w:t xml:space="preserve">Eftersom </w:t>
      </w:r>
      <w:r w:rsidR="00732E07">
        <w:t xml:space="preserve">virksomhederne, der driver </w:t>
      </w:r>
      <w:r>
        <w:t xml:space="preserve">forbrændingsanlæggene allerede foretager lignende kontroller for egenkontrol, findes der allerede eksisterende IT-systemer, der </w:t>
      </w:r>
      <w:r w:rsidR="00F31323">
        <w:t xml:space="preserve">på sigt vil kunne håndtere </w:t>
      </w:r>
      <w:r>
        <w:t xml:space="preserve">en styrkelse af modtagekontrollen. </w:t>
      </w:r>
      <w:r w:rsidR="00F31323">
        <w:t>Det forventes, at systemet vil være klar til at håndtere den styrkede modtagekontrol medio 2025.</w:t>
      </w:r>
    </w:p>
    <w:p w14:paraId="0D74E85E" w14:textId="77777777" w:rsidR="00597649" w:rsidRDefault="00597649" w:rsidP="00597649"/>
    <w:p w14:paraId="59030A6E" w14:textId="2CFEAFFE" w:rsidR="00597649" w:rsidRDefault="00597649" w:rsidP="00597649">
      <w:r>
        <w:lastRenderedPageBreak/>
        <w:t xml:space="preserve">Herunder ses en opsummering af et foreløbigt skøn over de </w:t>
      </w:r>
      <w:r w:rsidR="00E65282">
        <w:t xml:space="preserve">samlede </w:t>
      </w:r>
      <w:r>
        <w:t xml:space="preserve">erhvervsøkonomiske omkostninger, der er forbundet med implementering og drift af </w:t>
      </w:r>
      <w:r w:rsidR="00EF1131">
        <w:t>k</w:t>
      </w:r>
      <w:r>
        <w:t xml:space="preserve">ontrol på affaldslæs for </w:t>
      </w:r>
      <w:r w:rsidR="00EF1131">
        <w:t>affald egnet til materialenyttiggørelse</w:t>
      </w:r>
      <w:r>
        <w:t>.</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159"/>
        <w:gridCol w:w="967"/>
        <w:gridCol w:w="993"/>
        <w:gridCol w:w="850"/>
        <w:gridCol w:w="851"/>
      </w:tblGrid>
      <w:tr w:rsidR="00597649" w:rsidRPr="005F31F3" w14:paraId="6938CDFE" w14:textId="77777777" w:rsidTr="00DD1CFA">
        <w:trPr>
          <w:trHeight w:val="300"/>
        </w:trPr>
        <w:tc>
          <w:tcPr>
            <w:tcW w:w="7230" w:type="dxa"/>
            <w:gridSpan w:val="6"/>
            <w:tcBorders>
              <w:top w:val="nil"/>
              <w:left w:val="nil"/>
              <w:bottom w:val="single" w:sz="4" w:space="0" w:color="auto"/>
              <w:right w:val="nil"/>
            </w:tcBorders>
            <w:shd w:val="clear" w:color="auto" w:fill="auto"/>
            <w:noWrap/>
            <w:vAlign w:val="bottom"/>
          </w:tcPr>
          <w:p w14:paraId="64B40536" w14:textId="77777777" w:rsidR="00597649" w:rsidRPr="00F31323" w:rsidRDefault="00597649" w:rsidP="00DD1CFA">
            <w:pPr>
              <w:spacing w:line="240" w:lineRule="auto"/>
              <w:rPr>
                <w:rFonts w:cs="Times New Roman"/>
                <w:b/>
              </w:rPr>
            </w:pPr>
            <w:r w:rsidRPr="00F31323">
              <w:rPr>
                <w:rFonts w:cs="Times New Roman"/>
                <w:b/>
              </w:rPr>
              <w:t>Erhvervsøkonomiske konsekvenser, mio. kr., kontrol modtageanlæg</w:t>
            </w:r>
          </w:p>
        </w:tc>
      </w:tr>
      <w:tr w:rsidR="00597649" w:rsidRPr="005F31F3" w14:paraId="0F9C4EE7" w14:textId="77777777" w:rsidTr="00DD1CFA">
        <w:trPr>
          <w:trHeight w:val="300"/>
        </w:trPr>
        <w:tc>
          <w:tcPr>
            <w:tcW w:w="7230" w:type="dxa"/>
            <w:gridSpan w:val="6"/>
            <w:tcBorders>
              <w:top w:val="single" w:sz="4" w:space="0" w:color="auto"/>
            </w:tcBorders>
            <w:shd w:val="clear" w:color="auto" w:fill="auto"/>
            <w:noWrap/>
            <w:vAlign w:val="bottom"/>
            <w:hideMark/>
          </w:tcPr>
          <w:p w14:paraId="43438042" w14:textId="77777777" w:rsidR="00597649" w:rsidRPr="00732E07" w:rsidRDefault="00597649" w:rsidP="00DD1CFA">
            <w:pPr>
              <w:spacing w:line="240" w:lineRule="auto"/>
              <w:rPr>
                <w:rFonts w:cs="Times New Roman"/>
              </w:rPr>
            </w:pPr>
          </w:p>
        </w:tc>
      </w:tr>
      <w:tr w:rsidR="00597649" w:rsidRPr="005F31F3" w14:paraId="1AEB9864" w14:textId="77777777" w:rsidTr="00DD1CFA">
        <w:trPr>
          <w:trHeight w:val="300"/>
        </w:trPr>
        <w:tc>
          <w:tcPr>
            <w:tcW w:w="2410" w:type="dxa"/>
            <w:shd w:val="clear" w:color="auto" w:fill="auto"/>
            <w:noWrap/>
            <w:vAlign w:val="bottom"/>
            <w:hideMark/>
          </w:tcPr>
          <w:p w14:paraId="7A8BAF1C" w14:textId="77777777" w:rsidR="00597649" w:rsidRPr="00732E07" w:rsidRDefault="00597649" w:rsidP="00DD1CFA">
            <w:pPr>
              <w:spacing w:line="240" w:lineRule="auto"/>
              <w:jc w:val="right"/>
              <w:rPr>
                <w:rFonts w:cs="Times New Roman"/>
              </w:rPr>
            </w:pPr>
            <w:r w:rsidRPr="00732E07">
              <w:rPr>
                <w:rFonts w:cs="Times New Roman"/>
              </w:rPr>
              <w:t>År</w:t>
            </w:r>
          </w:p>
        </w:tc>
        <w:tc>
          <w:tcPr>
            <w:tcW w:w="1159" w:type="dxa"/>
            <w:shd w:val="clear" w:color="auto" w:fill="auto"/>
            <w:noWrap/>
            <w:vAlign w:val="bottom"/>
            <w:hideMark/>
          </w:tcPr>
          <w:p w14:paraId="5BC9B20B" w14:textId="77777777" w:rsidR="00597649" w:rsidRPr="00662FC7" w:rsidRDefault="00597649" w:rsidP="00DD1CFA">
            <w:pPr>
              <w:spacing w:line="240" w:lineRule="auto"/>
              <w:jc w:val="right"/>
              <w:rPr>
                <w:rFonts w:cs="Times New Roman"/>
              </w:rPr>
            </w:pPr>
            <w:r w:rsidRPr="00662FC7">
              <w:rPr>
                <w:rFonts w:cs="Times New Roman"/>
              </w:rPr>
              <w:t>2025</w:t>
            </w:r>
          </w:p>
        </w:tc>
        <w:tc>
          <w:tcPr>
            <w:tcW w:w="967" w:type="dxa"/>
            <w:shd w:val="clear" w:color="auto" w:fill="auto"/>
            <w:noWrap/>
            <w:vAlign w:val="bottom"/>
            <w:hideMark/>
          </w:tcPr>
          <w:p w14:paraId="63C026FC" w14:textId="77777777" w:rsidR="00597649" w:rsidRPr="00A22D2D" w:rsidRDefault="00597649" w:rsidP="00DD1CFA">
            <w:pPr>
              <w:spacing w:line="240" w:lineRule="auto"/>
              <w:jc w:val="right"/>
              <w:rPr>
                <w:rFonts w:cs="Times New Roman"/>
              </w:rPr>
            </w:pPr>
            <w:r w:rsidRPr="00A22D2D">
              <w:rPr>
                <w:rFonts w:cs="Times New Roman"/>
              </w:rPr>
              <w:t>2026</w:t>
            </w:r>
          </w:p>
        </w:tc>
        <w:tc>
          <w:tcPr>
            <w:tcW w:w="993" w:type="dxa"/>
            <w:shd w:val="clear" w:color="auto" w:fill="auto"/>
            <w:noWrap/>
            <w:vAlign w:val="bottom"/>
            <w:hideMark/>
          </w:tcPr>
          <w:p w14:paraId="5DA48D54" w14:textId="77777777" w:rsidR="00597649" w:rsidRPr="003A21E9" w:rsidRDefault="00597649" w:rsidP="00DD1CFA">
            <w:pPr>
              <w:spacing w:line="240" w:lineRule="auto"/>
              <w:jc w:val="right"/>
              <w:rPr>
                <w:rFonts w:cs="Times New Roman"/>
              </w:rPr>
            </w:pPr>
            <w:r w:rsidRPr="00E0677E">
              <w:rPr>
                <w:rFonts w:cs="Times New Roman"/>
              </w:rPr>
              <w:t>2027</w:t>
            </w:r>
          </w:p>
        </w:tc>
        <w:tc>
          <w:tcPr>
            <w:tcW w:w="850" w:type="dxa"/>
            <w:shd w:val="clear" w:color="auto" w:fill="auto"/>
            <w:noWrap/>
            <w:vAlign w:val="bottom"/>
            <w:hideMark/>
          </w:tcPr>
          <w:p w14:paraId="0CCEAC0E" w14:textId="77777777" w:rsidR="00597649" w:rsidRPr="00060459" w:rsidRDefault="00597649" w:rsidP="00DD1CFA">
            <w:pPr>
              <w:spacing w:line="240" w:lineRule="auto"/>
              <w:jc w:val="right"/>
              <w:rPr>
                <w:rFonts w:cs="Times New Roman"/>
              </w:rPr>
            </w:pPr>
            <w:r w:rsidRPr="00060459">
              <w:rPr>
                <w:rFonts w:cs="Times New Roman"/>
              </w:rPr>
              <w:t>2028</w:t>
            </w:r>
          </w:p>
        </w:tc>
        <w:tc>
          <w:tcPr>
            <w:tcW w:w="851" w:type="dxa"/>
            <w:shd w:val="clear" w:color="auto" w:fill="auto"/>
            <w:noWrap/>
            <w:vAlign w:val="bottom"/>
            <w:hideMark/>
          </w:tcPr>
          <w:p w14:paraId="6FAB5512" w14:textId="77777777" w:rsidR="00597649" w:rsidRPr="007A6F13" w:rsidRDefault="00597649" w:rsidP="00DD1CFA">
            <w:pPr>
              <w:spacing w:line="240" w:lineRule="auto"/>
              <w:rPr>
                <w:rFonts w:cs="Times New Roman"/>
              </w:rPr>
            </w:pPr>
            <w:r w:rsidRPr="007A6F13">
              <w:rPr>
                <w:rFonts w:cs="Times New Roman"/>
              </w:rPr>
              <w:t>herefter varige</w:t>
            </w:r>
          </w:p>
        </w:tc>
      </w:tr>
      <w:tr w:rsidR="00597649" w:rsidRPr="005F31F3" w14:paraId="37BB8F62" w14:textId="77777777" w:rsidTr="00DD1CFA">
        <w:trPr>
          <w:trHeight w:val="300"/>
        </w:trPr>
        <w:tc>
          <w:tcPr>
            <w:tcW w:w="2410" w:type="dxa"/>
            <w:shd w:val="clear" w:color="auto" w:fill="auto"/>
            <w:noWrap/>
            <w:vAlign w:val="bottom"/>
            <w:hideMark/>
          </w:tcPr>
          <w:p w14:paraId="5B41E9C0" w14:textId="77777777" w:rsidR="00597649" w:rsidRPr="00F31323" w:rsidRDefault="00597649" w:rsidP="00DD1CFA">
            <w:pPr>
              <w:rPr>
                <w:rFonts w:cs="Times New Roman"/>
                <w:color w:val="000000"/>
                <w:sz w:val="22"/>
              </w:rPr>
            </w:pPr>
            <w:r w:rsidRPr="00F31323">
              <w:rPr>
                <w:rFonts w:cs="Times New Roman"/>
                <w:color w:val="000000"/>
                <w:sz w:val="22"/>
              </w:rPr>
              <w:t>Løn</w:t>
            </w:r>
          </w:p>
        </w:tc>
        <w:tc>
          <w:tcPr>
            <w:tcW w:w="1159" w:type="dxa"/>
            <w:shd w:val="clear" w:color="auto" w:fill="auto"/>
            <w:noWrap/>
            <w:vAlign w:val="bottom"/>
            <w:hideMark/>
          </w:tcPr>
          <w:p w14:paraId="0AB15826"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4,6 </w:t>
            </w:r>
          </w:p>
        </w:tc>
        <w:tc>
          <w:tcPr>
            <w:tcW w:w="967" w:type="dxa"/>
            <w:shd w:val="clear" w:color="auto" w:fill="auto"/>
            <w:noWrap/>
            <w:vAlign w:val="bottom"/>
            <w:hideMark/>
          </w:tcPr>
          <w:p w14:paraId="508F64C6"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4,6 </w:t>
            </w:r>
          </w:p>
        </w:tc>
        <w:tc>
          <w:tcPr>
            <w:tcW w:w="993" w:type="dxa"/>
            <w:shd w:val="clear" w:color="auto" w:fill="auto"/>
            <w:noWrap/>
            <w:vAlign w:val="bottom"/>
            <w:hideMark/>
          </w:tcPr>
          <w:p w14:paraId="2819D7E6"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3,4 </w:t>
            </w:r>
          </w:p>
        </w:tc>
        <w:tc>
          <w:tcPr>
            <w:tcW w:w="850" w:type="dxa"/>
            <w:shd w:val="clear" w:color="auto" w:fill="auto"/>
            <w:noWrap/>
            <w:vAlign w:val="bottom"/>
            <w:hideMark/>
          </w:tcPr>
          <w:p w14:paraId="027C4F7A"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3,4 </w:t>
            </w:r>
          </w:p>
        </w:tc>
        <w:tc>
          <w:tcPr>
            <w:tcW w:w="851" w:type="dxa"/>
            <w:shd w:val="clear" w:color="auto" w:fill="auto"/>
            <w:noWrap/>
            <w:vAlign w:val="bottom"/>
            <w:hideMark/>
          </w:tcPr>
          <w:p w14:paraId="7601A248"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3,4 </w:t>
            </w:r>
          </w:p>
        </w:tc>
      </w:tr>
      <w:tr w:rsidR="00597649" w:rsidRPr="005F31F3" w14:paraId="305D13FF" w14:textId="77777777" w:rsidTr="00DD1CFA">
        <w:trPr>
          <w:trHeight w:val="300"/>
        </w:trPr>
        <w:tc>
          <w:tcPr>
            <w:tcW w:w="2410" w:type="dxa"/>
            <w:shd w:val="clear" w:color="auto" w:fill="auto"/>
            <w:noWrap/>
            <w:vAlign w:val="bottom"/>
            <w:hideMark/>
          </w:tcPr>
          <w:p w14:paraId="31786A4F" w14:textId="77777777" w:rsidR="00597649" w:rsidRPr="00F31323" w:rsidRDefault="00597649" w:rsidP="00DD1CFA">
            <w:pPr>
              <w:rPr>
                <w:rFonts w:cs="Times New Roman"/>
                <w:color w:val="000000"/>
                <w:sz w:val="22"/>
              </w:rPr>
            </w:pPr>
            <w:r w:rsidRPr="00F31323">
              <w:rPr>
                <w:rFonts w:cs="Times New Roman"/>
                <w:color w:val="000000"/>
                <w:sz w:val="22"/>
              </w:rPr>
              <w:t xml:space="preserve">Drift </w:t>
            </w:r>
          </w:p>
        </w:tc>
        <w:tc>
          <w:tcPr>
            <w:tcW w:w="1159" w:type="dxa"/>
            <w:shd w:val="clear" w:color="auto" w:fill="auto"/>
            <w:noWrap/>
            <w:vAlign w:val="bottom"/>
            <w:hideMark/>
          </w:tcPr>
          <w:p w14:paraId="73932C04"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0,0 </w:t>
            </w:r>
          </w:p>
        </w:tc>
        <w:tc>
          <w:tcPr>
            <w:tcW w:w="967" w:type="dxa"/>
            <w:shd w:val="clear" w:color="auto" w:fill="auto"/>
            <w:noWrap/>
            <w:vAlign w:val="bottom"/>
            <w:hideMark/>
          </w:tcPr>
          <w:p w14:paraId="700C950E"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0,0 </w:t>
            </w:r>
          </w:p>
        </w:tc>
        <w:tc>
          <w:tcPr>
            <w:tcW w:w="993" w:type="dxa"/>
            <w:shd w:val="clear" w:color="auto" w:fill="auto"/>
            <w:noWrap/>
            <w:vAlign w:val="bottom"/>
            <w:hideMark/>
          </w:tcPr>
          <w:p w14:paraId="2DBF20D0"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0,0 </w:t>
            </w:r>
          </w:p>
        </w:tc>
        <w:tc>
          <w:tcPr>
            <w:tcW w:w="850" w:type="dxa"/>
            <w:shd w:val="clear" w:color="auto" w:fill="auto"/>
            <w:noWrap/>
            <w:vAlign w:val="bottom"/>
            <w:hideMark/>
          </w:tcPr>
          <w:p w14:paraId="185AA69A"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0,0 </w:t>
            </w:r>
          </w:p>
        </w:tc>
        <w:tc>
          <w:tcPr>
            <w:tcW w:w="851" w:type="dxa"/>
            <w:shd w:val="clear" w:color="auto" w:fill="auto"/>
            <w:noWrap/>
            <w:vAlign w:val="bottom"/>
            <w:hideMark/>
          </w:tcPr>
          <w:p w14:paraId="68B63005"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0,0 </w:t>
            </w:r>
          </w:p>
        </w:tc>
      </w:tr>
      <w:tr w:rsidR="00597649" w:rsidRPr="005F31F3" w14:paraId="43ED2F26" w14:textId="77777777" w:rsidTr="00DD1CFA">
        <w:trPr>
          <w:trHeight w:val="300"/>
        </w:trPr>
        <w:tc>
          <w:tcPr>
            <w:tcW w:w="2410" w:type="dxa"/>
            <w:shd w:val="clear" w:color="auto" w:fill="auto"/>
            <w:noWrap/>
            <w:vAlign w:val="bottom"/>
            <w:hideMark/>
          </w:tcPr>
          <w:p w14:paraId="7DD4F1DA" w14:textId="77777777" w:rsidR="00597649" w:rsidRPr="00F31323" w:rsidRDefault="00597649" w:rsidP="00DD1CFA">
            <w:pPr>
              <w:rPr>
                <w:rFonts w:cs="Times New Roman"/>
                <w:color w:val="000000"/>
                <w:sz w:val="22"/>
              </w:rPr>
            </w:pPr>
            <w:r w:rsidRPr="00F31323">
              <w:rPr>
                <w:rFonts w:cs="Times New Roman"/>
                <w:color w:val="000000"/>
                <w:sz w:val="22"/>
              </w:rPr>
              <w:t>I alt</w:t>
            </w:r>
          </w:p>
        </w:tc>
        <w:tc>
          <w:tcPr>
            <w:tcW w:w="1159" w:type="dxa"/>
            <w:shd w:val="clear" w:color="auto" w:fill="auto"/>
            <w:noWrap/>
            <w:vAlign w:val="bottom"/>
            <w:hideMark/>
          </w:tcPr>
          <w:p w14:paraId="6D4F3EB0"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4,6 </w:t>
            </w:r>
          </w:p>
        </w:tc>
        <w:tc>
          <w:tcPr>
            <w:tcW w:w="967" w:type="dxa"/>
            <w:shd w:val="clear" w:color="auto" w:fill="auto"/>
            <w:noWrap/>
            <w:vAlign w:val="bottom"/>
            <w:hideMark/>
          </w:tcPr>
          <w:p w14:paraId="1424E7F1"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4,6 </w:t>
            </w:r>
          </w:p>
        </w:tc>
        <w:tc>
          <w:tcPr>
            <w:tcW w:w="993" w:type="dxa"/>
            <w:shd w:val="clear" w:color="auto" w:fill="auto"/>
            <w:noWrap/>
            <w:vAlign w:val="bottom"/>
            <w:hideMark/>
          </w:tcPr>
          <w:p w14:paraId="66E2C1B8"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3,4 </w:t>
            </w:r>
          </w:p>
        </w:tc>
        <w:tc>
          <w:tcPr>
            <w:tcW w:w="850" w:type="dxa"/>
            <w:shd w:val="clear" w:color="auto" w:fill="auto"/>
            <w:noWrap/>
            <w:vAlign w:val="bottom"/>
            <w:hideMark/>
          </w:tcPr>
          <w:p w14:paraId="242EA063"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3,4 </w:t>
            </w:r>
          </w:p>
        </w:tc>
        <w:tc>
          <w:tcPr>
            <w:tcW w:w="851" w:type="dxa"/>
            <w:shd w:val="clear" w:color="auto" w:fill="auto"/>
            <w:noWrap/>
            <w:vAlign w:val="bottom"/>
            <w:hideMark/>
          </w:tcPr>
          <w:p w14:paraId="2BCBC910" w14:textId="77777777" w:rsidR="00597649" w:rsidRPr="00F31323" w:rsidRDefault="00597649" w:rsidP="00DD1CFA">
            <w:pPr>
              <w:jc w:val="right"/>
              <w:rPr>
                <w:rFonts w:cs="Times New Roman"/>
                <w:color w:val="000000"/>
                <w:sz w:val="22"/>
              </w:rPr>
            </w:pPr>
            <w:r w:rsidRPr="00F31323">
              <w:rPr>
                <w:rFonts w:cs="Times New Roman"/>
                <w:color w:val="000000"/>
                <w:sz w:val="22"/>
              </w:rPr>
              <w:t xml:space="preserve">3,4 </w:t>
            </w:r>
          </w:p>
        </w:tc>
      </w:tr>
    </w:tbl>
    <w:p w14:paraId="7D369174" w14:textId="77777777" w:rsidR="00597649" w:rsidRDefault="00597649" w:rsidP="00597649">
      <w:pPr>
        <w:rPr>
          <w:rFonts w:asciiTheme="minorHAnsi" w:hAnsiTheme="minorHAnsi"/>
        </w:rPr>
      </w:pPr>
    </w:p>
    <w:p w14:paraId="31770860" w14:textId="77777777" w:rsidR="00597649" w:rsidRPr="00202990" w:rsidRDefault="00190DFE" w:rsidP="00597649">
      <w:pPr>
        <w:ind w:left="45"/>
        <w:rPr>
          <w:rFonts w:cs="Times New Roman"/>
        </w:rPr>
      </w:pPr>
      <w:r>
        <w:rPr>
          <w:rFonts w:cs="Times New Roman"/>
        </w:rPr>
        <w:t xml:space="preserve">Ud af de samlede erhvervsøkonomiske konsekvenser for kontrol på </w:t>
      </w:r>
      <w:r w:rsidR="008C7BC0">
        <w:rPr>
          <w:rFonts w:cs="Times New Roman"/>
        </w:rPr>
        <w:t>affaldsforbrændingsanlæg</w:t>
      </w:r>
      <w:r w:rsidR="00597649" w:rsidRPr="00202990">
        <w:rPr>
          <w:rFonts w:cs="Times New Roman"/>
        </w:rPr>
        <w:t xml:space="preserve"> udgør de administrative omkostninger ca. 1 mio. kr. årligt i perioden 2025-2026 og fra 2027 og frem </w:t>
      </w:r>
      <w:r w:rsidR="00082644">
        <w:rPr>
          <w:rFonts w:cs="Times New Roman"/>
        </w:rPr>
        <w:t xml:space="preserve">ca. </w:t>
      </w:r>
      <w:r w:rsidR="00597649" w:rsidRPr="00202990">
        <w:rPr>
          <w:rFonts w:cs="Times New Roman"/>
        </w:rPr>
        <w:t>0,5 mio. kr. årligt, som opsummeret i nedenstående tabel.</w:t>
      </w:r>
    </w:p>
    <w:p w14:paraId="3E8920D1" w14:textId="77777777" w:rsidR="00597649" w:rsidRDefault="00597649" w:rsidP="00597649">
      <w:pPr>
        <w:rPr>
          <w:rFonts w:asciiTheme="minorHAnsi" w:hAnsiTheme="minorHAnsi"/>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134"/>
        <w:gridCol w:w="992"/>
        <w:gridCol w:w="993"/>
        <w:gridCol w:w="850"/>
        <w:gridCol w:w="851"/>
      </w:tblGrid>
      <w:tr w:rsidR="00597649" w:rsidRPr="00CD27D8" w14:paraId="40D8F93E" w14:textId="77777777" w:rsidTr="00DD1CFA">
        <w:trPr>
          <w:trHeight w:val="300"/>
        </w:trPr>
        <w:tc>
          <w:tcPr>
            <w:tcW w:w="7225" w:type="dxa"/>
            <w:gridSpan w:val="6"/>
            <w:tcBorders>
              <w:top w:val="nil"/>
              <w:left w:val="nil"/>
              <w:bottom w:val="single" w:sz="4" w:space="0" w:color="auto"/>
              <w:right w:val="nil"/>
            </w:tcBorders>
            <w:shd w:val="clear" w:color="auto" w:fill="auto"/>
            <w:noWrap/>
            <w:vAlign w:val="bottom"/>
          </w:tcPr>
          <w:p w14:paraId="2DBCD8E1" w14:textId="77777777" w:rsidR="00597649" w:rsidRPr="00732E07" w:rsidRDefault="00597649" w:rsidP="00DD1CFA">
            <w:pPr>
              <w:spacing w:line="240" w:lineRule="auto"/>
              <w:rPr>
                <w:rFonts w:cs="Times New Roman"/>
              </w:rPr>
            </w:pPr>
            <w:r w:rsidRPr="00F31323">
              <w:rPr>
                <w:rFonts w:cs="Times New Roman"/>
                <w:b/>
              </w:rPr>
              <w:t>Administrative omkostninger, mio. kr. stikprøvekontrol modtageanlæg (andel af de samlede erhvervsøkonomiske konsekvenser)</w:t>
            </w:r>
          </w:p>
        </w:tc>
      </w:tr>
      <w:tr w:rsidR="00597649" w:rsidRPr="00CD27D8" w14:paraId="38596150" w14:textId="77777777" w:rsidTr="00DD1CFA">
        <w:trPr>
          <w:trHeight w:val="300"/>
        </w:trPr>
        <w:tc>
          <w:tcPr>
            <w:tcW w:w="2405" w:type="dxa"/>
            <w:tcBorders>
              <w:top w:val="single" w:sz="4" w:space="0" w:color="auto"/>
            </w:tcBorders>
            <w:shd w:val="clear" w:color="auto" w:fill="auto"/>
            <w:noWrap/>
            <w:vAlign w:val="bottom"/>
            <w:hideMark/>
          </w:tcPr>
          <w:p w14:paraId="5EDEA0A1" w14:textId="77777777" w:rsidR="00597649" w:rsidRPr="00CD27D8" w:rsidRDefault="00597649" w:rsidP="00DD1CFA">
            <w:pPr>
              <w:spacing w:line="240" w:lineRule="auto"/>
              <w:jc w:val="right"/>
            </w:pPr>
            <w:r>
              <w:t>År</w:t>
            </w:r>
          </w:p>
        </w:tc>
        <w:tc>
          <w:tcPr>
            <w:tcW w:w="1134" w:type="dxa"/>
            <w:tcBorders>
              <w:top w:val="single" w:sz="4" w:space="0" w:color="auto"/>
            </w:tcBorders>
            <w:shd w:val="clear" w:color="auto" w:fill="auto"/>
            <w:noWrap/>
            <w:vAlign w:val="bottom"/>
            <w:hideMark/>
          </w:tcPr>
          <w:p w14:paraId="1DC529EA" w14:textId="77777777" w:rsidR="00597649" w:rsidRPr="00732E07" w:rsidRDefault="00597649" w:rsidP="00DD1CFA">
            <w:pPr>
              <w:spacing w:line="240" w:lineRule="auto"/>
              <w:jc w:val="right"/>
              <w:rPr>
                <w:rFonts w:cs="Times New Roman"/>
              </w:rPr>
            </w:pPr>
            <w:r w:rsidRPr="00732E07">
              <w:rPr>
                <w:rFonts w:cs="Times New Roman"/>
              </w:rPr>
              <w:t>2025</w:t>
            </w:r>
          </w:p>
        </w:tc>
        <w:tc>
          <w:tcPr>
            <w:tcW w:w="992" w:type="dxa"/>
            <w:tcBorders>
              <w:top w:val="single" w:sz="4" w:space="0" w:color="auto"/>
            </w:tcBorders>
            <w:shd w:val="clear" w:color="auto" w:fill="auto"/>
            <w:noWrap/>
            <w:vAlign w:val="bottom"/>
            <w:hideMark/>
          </w:tcPr>
          <w:p w14:paraId="2FE5BF4A" w14:textId="77777777" w:rsidR="00597649" w:rsidRPr="00662FC7" w:rsidRDefault="00597649" w:rsidP="00DD1CFA">
            <w:pPr>
              <w:spacing w:line="240" w:lineRule="auto"/>
              <w:jc w:val="right"/>
              <w:rPr>
                <w:rFonts w:cs="Times New Roman"/>
              </w:rPr>
            </w:pPr>
            <w:r w:rsidRPr="00662FC7">
              <w:rPr>
                <w:rFonts w:cs="Times New Roman"/>
              </w:rPr>
              <w:t>2026</w:t>
            </w:r>
          </w:p>
        </w:tc>
        <w:tc>
          <w:tcPr>
            <w:tcW w:w="993" w:type="dxa"/>
            <w:tcBorders>
              <w:top w:val="single" w:sz="4" w:space="0" w:color="auto"/>
            </w:tcBorders>
            <w:shd w:val="clear" w:color="auto" w:fill="auto"/>
            <w:noWrap/>
            <w:vAlign w:val="bottom"/>
            <w:hideMark/>
          </w:tcPr>
          <w:p w14:paraId="1BE84616" w14:textId="77777777" w:rsidR="00597649" w:rsidRPr="00A22D2D" w:rsidRDefault="00597649" w:rsidP="00DD1CFA">
            <w:pPr>
              <w:spacing w:line="240" w:lineRule="auto"/>
              <w:jc w:val="right"/>
              <w:rPr>
                <w:rFonts w:cs="Times New Roman"/>
              </w:rPr>
            </w:pPr>
            <w:r w:rsidRPr="00A22D2D">
              <w:rPr>
                <w:rFonts w:cs="Times New Roman"/>
              </w:rPr>
              <w:t>2027</w:t>
            </w:r>
          </w:p>
        </w:tc>
        <w:tc>
          <w:tcPr>
            <w:tcW w:w="850" w:type="dxa"/>
            <w:tcBorders>
              <w:top w:val="single" w:sz="4" w:space="0" w:color="auto"/>
            </w:tcBorders>
            <w:shd w:val="clear" w:color="auto" w:fill="auto"/>
            <w:noWrap/>
            <w:vAlign w:val="bottom"/>
            <w:hideMark/>
          </w:tcPr>
          <w:p w14:paraId="38D5896B" w14:textId="77777777" w:rsidR="00597649" w:rsidRPr="003A21E9" w:rsidRDefault="00597649" w:rsidP="00DD1CFA">
            <w:pPr>
              <w:spacing w:line="240" w:lineRule="auto"/>
              <w:jc w:val="right"/>
              <w:rPr>
                <w:rFonts w:cs="Times New Roman"/>
              </w:rPr>
            </w:pPr>
            <w:r w:rsidRPr="00E0677E">
              <w:rPr>
                <w:rFonts w:cs="Times New Roman"/>
              </w:rPr>
              <w:t>2028</w:t>
            </w:r>
          </w:p>
        </w:tc>
        <w:tc>
          <w:tcPr>
            <w:tcW w:w="851" w:type="dxa"/>
            <w:tcBorders>
              <w:top w:val="single" w:sz="4" w:space="0" w:color="auto"/>
            </w:tcBorders>
            <w:shd w:val="clear" w:color="auto" w:fill="auto"/>
            <w:noWrap/>
            <w:vAlign w:val="bottom"/>
            <w:hideMark/>
          </w:tcPr>
          <w:p w14:paraId="73059606" w14:textId="77777777" w:rsidR="00597649" w:rsidRPr="00060459" w:rsidRDefault="00597649" w:rsidP="00DD1CFA">
            <w:pPr>
              <w:spacing w:line="240" w:lineRule="auto"/>
              <w:jc w:val="right"/>
              <w:rPr>
                <w:rFonts w:cs="Times New Roman"/>
              </w:rPr>
            </w:pPr>
            <w:r w:rsidRPr="003A21E9">
              <w:rPr>
                <w:rFonts w:cs="Times New Roman"/>
              </w:rPr>
              <w:t>herefter varige</w:t>
            </w:r>
          </w:p>
        </w:tc>
      </w:tr>
      <w:tr w:rsidR="00597649" w:rsidRPr="00CD27D8" w14:paraId="62E955C7" w14:textId="77777777" w:rsidTr="00DD1CFA">
        <w:trPr>
          <w:trHeight w:val="300"/>
        </w:trPr>
        <w:tc>
          <w:tcPr>
            <w:tcW w:w="2405" w:type="dxa"/>
            <w:shd w:val="clear" w:color="auto" w:fill="auto"/>
            <w:noWrap/>
            <w:vAlign w:val="bottom"/>
            <w:hideMark/>
          </w:tcPr>
          <w:p w14:paraId="57F6FAB9" w14:textId="77777777" w:rsidR="00597649" w:rsidRPr="00CD27D8" w:rsidRDefault="00597649" w:rsidP="00DD1CFA">
            <w:pPr>
              <w:spacing w:line="240" w:lineRule="auto"/>
              <w:jc w:val="right"/>
            </w:pPr>
            <w:r w:rsidRPr="00CD27D8">
              <w:t>Administrative omk.</w:t>
            </w:r>
          </w:p>
        </w:tc>
        <w:tc>
          <w:tcPr>
            <w:tcW w:w="1134" w:type="dxa"/>
            <w:shd w:val="clear" w:color="auto" w:fill="auto"/>
            <w:noWrap/>
            <w:vAlign w:val="bottom"/>
            <w:hideMark/>
          </w:tcPr>
          <w:p w14:paraId="38FD820B" w14:textId="77777777" w:rsidR="00597649" w:rsidRPr="00732E07" w:rsidRDefault="00597649" w:rsidP="00DD1CFA">
            <w:pPr>
              <w:spacing w:line="240" w:lineRule="auto"/>
              <w:jc w:val="right"/>
              <w:rPr>
                <w:rFonts w:cs="Times New Roman"/>
              </w:rPr>
            </w:pPr>
            <w:r w:rsidRPr="00732E07">
              <w:rPr>
                <w:rFonts w:cs="Times New Roman"/>
              </w:rPr>
              <w:t xml:space="preserve">1,0 </w:t>
            </w:r>
          </w:p>
        </w:tc>
        <w:tc>
          <w:tcPr>
            <w:tcW w:w="992" w:type="dxa"/>
            <w:shd w:val="clear" w:color="auto" w:fill="auto"/>
            <w:noWrap/>
            <w:vAlign w:val="bottom"/>
            <w:hideMark/>
          </w:tcPr>
          <w:p w14:paraId="7072BCFB" w14:textId="77777777" w:rsidR="00597649" w:rsidRPr="00662FC7" w:rsidRDefault="00597649" w:rsidP="00DD1CFA">
            <w:pPr>
              <w:spacing w:line="240" w:lineRule="auto"/>
              <w:jc w:val="right"/>
              <w:rPr>
                <w:rFonts w:cs="Times New Roman"/>
              </w:rPr>
            </w:pPr>
            <w:r w:rsidRPr="00662FC7">
              <w:rPr>
                <w:rFonts w:cs="Times New Roman"/>
              </w:rPr>
              <w:t xml:space="preserve">1,0 </w:t>
            </w:r>
          </w:p>
        </w:tc>
        <w:tc>
          <w:tcPr>
            <w:tcW w:w="993" w:type="dxa"/>
            <w:shd w:val="clear" w:color="auto" w:fill="auto"/>
            <w:noWrap/>
            <w:vAlign w:val="bottom"/>
            <w:hideMark/>
          </w:tcPr>
          <w:p w14:paraId="7CC8D2FB" w14:textId="77777777" w:rsidR="00597649" w:rsidRPr="00A22D2D" w:rsidRDefault="00597649" w:rsidP="00DD1CFA">
            <w:pPr>
              <w:spacing w:line="240" w:lineRule="auto"/>
              <w:jc w:val="right"/>
              <w:rPr>
                <w:rFonts w:cs="Times New Roman"/>
              </w:rPr>
            </w:pPr>
            <w:r w:rsidRPr="00A22D2D">
              <w:rPr>
                <w:rFonts w:cs="Times New Roman"/>
              </w:rPr>
              <w:t xml:space="preserve">0,5 </w:t>
            </w:r>
          </w:p>
        </w:tc>
        <w:tc>
          <w:tcPr>
            <w:tcW w:w="850" w:type="dxa"/>
            <w:shd w:val="clear" w:color="auto" w:fill="auto"/>
            <w:noWrap/>
            <w:vAlign w:val="bottom"/>
            <w:hideMark/>
          </w:tcPr>
          <w:p w14:paraId="3F52D34E" w14:textId="77777777" w:rsidR="00597649" w:rsidRPr="003A21E9" w:rsidRDefault="00597649" w:rsidP="00DD1CFA">
            <w:pPr>
              <w:spacing w:line="240" w:lineRule="auto"/>
              <w:jc w:val="right"/>
              <w:rPr>
                <w:rFonts w:cs="Times New Roman"/>
              </w:rPr>
            </w:pPr>
            <w:r w:rsidRPr="00E0677E">
              <w:rPr>
                <w:rFonts w:cs="Times New Roman"/>
              </w:rPr>
              <w:t xml:space="preserve">0,5 </w:t>
            </w:r>
          </w:p>
        </w:tc>
        <w:tc>
          <w:tcPr>
            <w:tcW w:w="851" w:type="dxa"/>
            <w:shd w:val="clear" w:color="auto" w:fill="auto"/>
            <w:noWrap/>
            <w:vAlign w:val="bottom"/>
            <w:hideMark/>
          </w:tcPr>
          <w:p w14:paraId="6781355E" w14:textId="77777777" w:rsidR="00597649" w:rsidRPr="00060459" w:rsidRDefault="00597649" w:rsidP="00DD1CFA">
            <w:pPr>
              <w:spacing w:line="240" w:lineRule="auto"/>
              <w:jc w:val="right"/>
              <w:rPr>
                <w:rFonts w:cs="Times New Roman"/>
              </w:rPr>
            </w:pPr>
            <w:r w:rsidRPr="003A21E9">
              <w:rPr>
                <w:rFonts w:cs="Times New Roman"/>
              </w:rPr>
              <w:t xml:space="preserve">0,5 </w:t>
            </w:r>
          </w:p>
        </w:tc>
      </w:tr>
    </w:tbl>
    <w:p w14:paraId="2C8C8C16" w14:textId="77777777" w:rsidR="00597649" w:rsidRPr="00CD27D8" w:rsidRDefault="00597649" w:rsidP="00597649">
      <w:pPr>
        <w:ind w:left="45"/>
        <w:rPr>
          <w:rFonts w:asciiTheme="minorHAnsi" w:hAnsiTheme="minorHAnsi"/>
        </w:rPr>
      </w:pPr>
    </w:p>
    <w:p w14:paraId="26E6E4D6" w14:textId="595BD033" w:rsidR="00BC65E2" w:rsidRDefault="00597649" w:rsidP="00BC65E2">
      <w:r>
        <w:t xml:space="preserve">I alt vurderes de nye krav til </w:t>
      </w:r>
      <w:r w:rsidR="00662FC7">
        <w:t xml:space="preserve">virksomheder, der driver </w:t>
      </w:r>
      <w:r>
        <w:t>forbrændingsanlæg</w:t>
      </w:r>
      <w:r w:rsidR="00922DC9">
        <w:t>,</w:t>
      </w:r>
      <w:r>
        <w:t xml:space="preserve"> ikke at udgøre nog</w:t>
      </w:r>
      <w:r w:rsidR="00082644">
        <w:t>le</w:t>
      </w:r>
      <w:r>
        <w:t xml:space="preserve"> større erhvervsøkonomiske konsekvenser, idet kontrollen kan udføres i forbindelse med allerede pålagt egenkontrol</w:t>
      </w:r>
      <w:r w:rsidR="00922DC9">
        <w:t>,</w:t>
      </w:r>
      <w:r>
        <w:t xml:space="preserve"> og kravene til stikprøvekontrollen ikke overstiger kravene til egenkontrollen. </w:t>
      </w:r>
    </w:p>
    <w:p w14:paraId="02E5AC1B" w14:textId="77777777" w:rsidR="0057006D" w:rsidRDefault="0057006D" w:rsidP="00BC65E2"/>
    <w:p w14:paraId="14506E4C" w14:textId="36005C1C" w:rsidR="00BC65E2" w:rsidRDefault="00BC65E2" w:rsidP="004D29F5">
      <w:proofErr w:type="spellStart"/>
      <w:r>
        <w:t>Ecodesignforordningen</w:t>
      </w:r>
      <w:proofErr w:type="spellEnd"/>
      <w:r>
        <w:t xml:space="preserve"> </w:t>
      </w:r>
      <w:r w:rsidR="00662FC7">
        <w:t>indeholder et</w:t>
      </w:r>
      <w:r>
        <w:t xml:space="preserve"> forbud mod destruktion af </w:t>
      </w:r>
      <w:r w:rsidR="008C7BC0">
        <w:t xml:space="preserve">affald i form af </w:t>
      </w:r>
      <w:r>
        <w:t xml:space="preserve">usolgte </w:t>
      </w:r>
      <w:r w:rsidR="00922DC9">
        <w:t>beklædningsgenstande</w:t>
      </w:r>
      <w:r>
        <w:t xml:space="preserve"> og fodtøj. Da der i dag allerede </w:t>
      </w:r>
      <w:r w:rsidR="008C7BC0">
        <w:t>eksisterer modtagekontrol</w:t>
      </w:r>
      <w:r>
        <w:t xml:space="preserve"> på </w:t>
      </w:r>
      <w:r w:rsidR="00190DFE">
        <w:t>genanvendelsesanlæg</w:t>
      </w:r>
      <w:r>
        <w:t xml:space="preserve"> for tekstiler, vurderes udmøntningen af bemyndigelsesbestemmelserne for så vidt angår genanvendelsesanlæg for tekstiler ikke at medføre økonomiske eller administrative konsekvenser. Det er ikke muligt at vurdere de økonomiske og administrative konsekvenser for andre genanvendelsesanlæg</w:t>
      </w:r>
      <w:r w:rsidR="00082644">
        <w:t>, da det på nuværende tidspunkt ikke er fastlagt, hvilke forbruge</w:t>
      </w:r>
      <w:r w:rsidR="009C4626">
        <w:t>r</w:t>
      </w:r>
      <w:r w:rsidR="00082644">
        <w:t xml:space="preserve">produkter </w:t>
      </w:r>
      <w:r w:rsidR="0057006D">
        <w:t xml:space="preserve">der vil </w:t>
      </w:r>
      <w:r w:rsidR="008C7BC0">
        <w:t>blive omfattet</w:t>
      </w:r>
      <w:r w:rsidR="00082644">
        <w:t xml:space="preserve"> af </w:t>
      </w:r>
      <w:proofErr w:type="spellStart"/>
      <w:r w:rsidR="00082644">
        <w:t>Ecodesignforordningens</w:t>
      </w:r>
      <w:proofErr w:type="spellEnd"/>
      <w:r w:rsidR="00082644">
        <w:t xml:space="preserve"> bestemmelser på sigt. </w:t>
      </w:r>
    </w:p>
    <w:p w14:paraId="3CC9574C" w14:textId="77777777" w:rsidR="009C4626" w:rsidRDefault="009C4626" w:rsidP="004D29F5">
      <w:pPr>
        <w:rPr>
          <w:rFonts w:eastAsia="Calibri" w:cs="Times New Roman"/>
          <w:szCs w:val="24"/>
        </w:rPr>
      </w:pPr>
    </w:p>
    <w:p w14:paraId="6CA403CB" w14:textId="77777777" w:rsidR="00CD57C0" w:rsidRPr="003B0B97" w:rsidRDefault="00CD57C0" w:rsidP="00FD1A50">
      <w:pPr>
        <w:spacing w:after="240"/>
        <w:rPr>
          <w:rFonts w:eastAsia="Calibri" w:cs="Times New Roman"/>
          <w:szCs w:val="24"/>
        </w:rPr>
      </w:pPr>
      <w:r w:rsidRPr="00CD57C0">
        <w:rPr>
          <w:rFonts w:eastAsia="Calibri" w:cs="Times New Roman"/>
          <w:szCs w:val="24"/>
        </w:rPr>
        <w:t>Ophævelsen af bestemmelserne om genbrugsområder på kommunale genbrugspladser vurderes ikke at have økonomiske og administrative konsekvenser for erhvervslivet mv.</w:t>
      </w:r>
    </w:p>
    <w:p w14:paraId="079AC6DC" w14:textId="02056AE0" w:rsidR="00FD1A50" w:rsidRDefault="0076380E" w:rsidP="004D29F5">
      <w:pPr>
        <w:pStyle w:val="Overskrift1"/>
      </w:pPr>
      <w:bookmarkStart w:id="322" w:name="_Toc329931204"/>
      <w:bookmarkStart w:id="323" w:name="_Toc329931315"/>
      <w:bookmarkStart w:id="324" w:name="_Toc442277390"/>
      <w:bookmarkStart w:id="325" w:name="_Toc442281308"/>
      <w:bookmarkStart w:id="326" w:name="_Toc442281338"/>
      <w:bookmarkStart w:id="327" w:name="_Toc442777848"/>
      <w:bookmarkStart w:id="328" w:name="_Toc442787245"/>
      <w:bookmarkStart w:id="329" w:name="_Toc442787537"/>
      <w:bookmarkStart w:id="330" w:name="_Toc442953243"/>
      <w:bookmarkStart w:id="331" w:name="_Toc443047627"/>
      <w:bookmarkStart w:id="332" w:name="_Toc444095987"/>
      <w:bookmarkStart w:id="333" w:name="_Toc444244513"/>
      <w:bookmarkStart w:id="334" w:name="_Toc498557228"/>
      <w:bookmarkStart w:id="335" w:name="_Toc498557298"/>
      <w:bookmarkStart w:id="336" w:name="_Toc498590032"/>
      <w:bookmarkStart w:id="337" w:name="_Toc498681515"/>
      <w:bookmarkStart w:id="338" w:name="_Toc499152787"/>
      <w:bookmarkStart w:id="339" w:name="_Toc499158746"/>
      <w:bookmarkStart w:id="340" w:name="_Toc499648619"/>
      <w:bookmarkStart w:id="341" w:name="_Toc499728112"/>
      <w:bookmarkStart w:id="342" w:name="_Toc499732960"/>
      <w:bookmarkStart w:id="343" w:name="_Toc499736991"/>
      <w:bookmarkStart w:id="344" w:name="_Toc499812931"/>
      <w:bookmarkStart w:id="345" w:name="_Toc499813734"/>
      <w:bookmarkStart w:id="346" w:name="_Toc500921481"/>
      <w:bookmarkStart w:id="347" w:name="_Toc500921507"/>
      <w:bookmarkStart w:id="348" w:name="_Toc500921618"/>
      <w:bookmarkStart w:id="349" w:name="_Toc501019228"/>
      <w:bookmarkStart w:id="350" w:name="_Toc504483873"/>
      <w:bookmarkStart w:id="351" w:name="_Toc505180551"/>
      <w:bookmarkStart w:id="352" w:name="_Toc505690204"/>
      <w:bookmarkStart w:id="353" w:name="_Toc505701757"/>
      <w:bookmarkStart w:id="354" w:name="_Toc505759549"/>
      <w:bookmarkStart w:id="355" w:name="_Toc505759566"/>
      <w:bookmarkStart w:id="356" w:name="_Toc505762659"/>
      <w:bookmarkStart w:id="357" w:name="_Toc505785999"/>
      <w:bookmarkStart w:id="358" w:name="_Toc506799584"/>
      <w:bookmarkStart w:id="359" w:name="_Toc506799601"/>
      <w:bookmarkStart w:id="360" w:name="_Toc506894560"/>
      <w:bookmarkStart w:id="361" w:name="_Toc507486297"/>
      <w:bookmarkStart w:id="362" w:name="_Toc515271232"/>
      <w:bookmarkStart w:id="363" w:name="_Toc515271555"/>
      <w:bookmarkStart w:id="364" w:name="_Toc515271583"/>
      <w:bookmarkStart w:id="365" w:name="_Toc515280491"/>
      <w:bookmarkStart w:id="366" w:name="_Toc515280642"/>
      <w:bookmarkStart w:id="367" w:name="_Toc515352794"/>
      <w:bookmarkStart w:id="368" w:name="_Toc515540867"/>
      <w:bookmarkStart w:id="369" w:name="_Toc515543707"/>
      <w:bookmarkStart w:id="370" w:name="_Toc515543892"/>
      <w:bookmarkStart w:id="371" w:name="_Toc515551693"/>
      <w:bookmarkStart w:id="372" w:name="_Toc515627635"/>
      <w:bookmarkStart w:id="373" w:name="_Toc516039945"/>
      <w:bookmarkStart w:id="374" w:name="_Toc516155368"/>
      <w:bookmarkStart w:id="375" w:name="_Toc516490269"/>
      <w:bookmarkStart w:id="376" w:name="_Toc518037951"/>
      <w:bookmarkStart w:id="377" w:name="_Toc524599603"/>
      <w:bookmarkStart w:id="378" w:name="_Toc526154936"/>
      <w:bookmarkStart w:id="379" w:name="_Toc526155482"/>
      <w:bookmarkStart w:id="380" w:name="_Toc526155555"/>
      <w:bookmarkStart w:id="381" w:name="_Toc526253992"/>
      <w:bookmarkStart w:id="382" w:name="_Toc526348417"/>
      <w:bookmarkStart w:id="383" w:name="_Toc526374608"/>
      <w:bookmarkStart w:id="384" w:name="_Toc526374624"/>
      <w:bookmarkStart w:id="385" w:name="_Toc526406487"/>
      <w:bookmarkStart w:id="386" w:name="_Toc526409513"/>
      <w:bookmarkStart w:id="387" w:name="_Toc526491412"/>
      <w:bookmarkStart w:id="388" w:name="_Toc526505524"/>
      <w:bookmarkStart w:id="389" w:name="_Toc526756616"/>
      <w:r>
        <w:rPr>
          <w:rFonts w:cs="Times New Roman"/>
          <w:bCs w:val="0"/>
          <w:iCs/>
          <w:sz w:val="24"/>
          <w:szCs w:val="24"/>
        </w:rPr>
        <w:lastRenderedPageBreak/>
        <w:t>7</w:t>
      </w:r>
      <w:r w:rsidR="00FD1A50" w:rsidRPr="003B0B97">
        <w:rPr>
          <w:rFonts w:cs="Times New Roman"/>
          <w:bCs w:val="0"/>
          <w:iCs/>
          <w:sz w:val="24"/>
          <w:szCs w:val="24"/>
        </w:rPr>
        <w:t>. Administrative konsekvenser for borgerne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7CB93B4" w14:textId="46DA5D30" w:rsidR="005D284F" w:rsidRPr="004D29F5" w:rsidRDefault="005D284F" w:rsidP="00FD1A50">
      <w:pPr>
        <w:spacing w:after="240"/>
        <w:rPr>
          <w:rFonts w:eastAsia="Calibri" w:cs="Times New Roman"/>
          <w:szCs w:val="24"/>
        </w:rPr>
      </w:pPr>
      <w:r w:rsidRPr="004D29F5">
        <w:rPr>
          <w:rFonts w:eastAsia="Calibri" w:cs="Times New Roman"/>
          <w:szCs w:val="24"/>
        </w:rPr>
        <w:t>Det vurderes, at lovforslaget ikke medfører administrative konsekvenser for borgere.</w:t>
      </w:r>
    </w:p>
    <w:p w14:paraId="37EE398E" w14:textId="77777777" w:rsidR="00FD1A50" w:rsidRPr="003B0B97" w:rsidRDefault="0076380E" w:rsidP="00FD1A50">
      <w:pPr>
        <w:pStyle w:val="Overskrift1"/>
        <w:rPr>
          <w:rFonts w:cs="Times New Roman"/>
          <w:bCs w:val="0"/>
          <w:iCs/>
          <w:sz w:val="24"/>
          <w:szCs w:val="24"/>
        </w:rPr>
      </w:pPr>
      <w:bookmarkStart w:id="390" w:name="_Toc329931205"/>
      <w:bookmarkStart w:id="391" w:name="_Toc329931316"/>
      <w:bookmarkStart w:id="392" w:name="_Toc442277391"/>
      <w:bookmarkStart w:id="393" w:name="_Toc442281309"/>
      <w:bookmarkStart w:id="394" w:name="_Toc442281339"/>
      <w:bookmarkStart w:id="395" w:name="_Toc442777849"/>
      <w:bookmarkStart w:id="396" w:name="_Toc442787246"/>
      <w:bookmarkStart w:id="397" w:name="_Toc442787538"/>
      <w:bookmarkStart w:id="398" w:name="_Toc442953244"/>
      <w:bookmarkStart w:id="399" w:name="_Toc443047628"/>
      <w:bookmarkStart w:id="400" w:name="_Toc444095988"/>
      <w:bookmarkStart w:id="401" w:name="_Toc444244514"/>
      <w:bookmarkStart w:id="402" w:name="_Toc498557229"/>
      <w:bookmarkStart w:id="403" w:name="_Toc498557299"/>
      <w:bookmarkStart w:id="404" w:name="_Toc498590033"/>
      <w:bookmarkStart w:id="405" w:name="_Toc498681516"/>
      <w:bookmarkStart w:id="406" w:name="_Toc499152788"/>
      <w:bookmarkStart w:id="407" w:name="_Toc499158747"/>
      <w:bookmarkStart w:id="408" w:name="_Toc499648620"/>
      <w:bookmarkStart w:id="409" w:name="_Toc499728113"/>
      <w:bookmarkStart w:id="410" w:name="_Toc499732961"/>
      <w:bookmarkStart w:id="411" w:name="_Toc499736992"/>
      <w:bookmarkStart w:id="412" w:name="_Toc499812932"/>
      <w:bookmarkStart w:id="413" w:name="_Toc499813735"/>
      <w:bookmarkStart w:id="414" w:name="_Toc500921482"/>
      <w:bookmarkStart w:id="415" w:name="_Toc500921508"/>
      <w:bookmarkStart w:id="416" w:name="_Toc500921619"/>
      <w:bookmarkStart w:id="417" w:name="_Toc501019229"/>
      <w:bookmarkStart w:id="418" w:name="_Toc504483874"/>
      <w:bookmarkStart w:id="419" w:name="_Toc505180552"/>
      <w:bookmarkStart w:id="420" w:name="_Toc505690205"/>
      <w:bookmarkStart w:id="421" w:name="_Toc505701758"/>
      <w:bookmarkStart w:id="422" w:name="_Toc505759550"/>
      <w:bookmarkStart w:id="423" w:name="_Toc505759567"/>
      <w:bookmarkStart w:id="424" w:name="_Toc505762660"/>
      <w:bookmarkStart w:id="425" w:name="_Toc505786000"/>
      <w:bookmarkStart w:id="426" w:name="_Toc506799585"/>
      <w:bookmarkStart w:id="427" w:name="_Toc506799602"/>
      <w:bookmarkStart w:id="428" w:name="_Toc506894561"/>
      <w:bookmarkStart w:id="429" w:name="_Toc507486298"/>
      <w:bookmarkStart w:id="430" w:name="_Toc515271233"/>
      <w:bookmarkStart w:id="431" w:name="_Toc515271556"/>
      <w:bookmarkStart w:id="432" w:name="_Toc515271584"/>
      <w:bookmarkStart w:id="433" w:name="_Toc515280492"/>
      <w:bookmarkStart w:id="434" w:name="_Toc515280643"/>
      <w:bookmarkStart w:id="435" w:name="_Toc515352795"/>
      <w:bookmarkStart w:id="436" w:name="_Toc515540868"/>
      <w:bookmarkStart w:id="437" w:name="_Toc515543708"/>
      <w:bookmarkStart w:id="438" w:name="_Toc515543893"/>
      <w:bookmarkStart w:id="439" w:name="_Toc515551694"/>
      <w:bookmarkStart w:id="440" w:name="_Toc515627636"/>
      <w:bookmarkStart w:id="441" w:name="_Toc516039946"/>
      <w:bookmarkStart w:id="442" w:name="_Toc516155369"/>
      <w:bookmarkStart w:id="443" w:name="_Toc516490270"/>
      <w:bookmarkStart w:id="444" w:name="_Toc518037952"/>
      <w:bookmarkStart w:id="445" w:name="_Toc524599604"/>
      <w:bookmarkStart w:id="446" w:name="_Toc526154937"/>
      <w:bookmarkStart w:id="447" w:name="_Toc526155483"/>
      <w:bookmarkStart w:id="448" w:name="_Toc526155556"/>
      <w:bookmarkStart w:id="449" w:name="_Toc526253993"/>
      <w:bookmarkStart w:id="450" w:name="_Toc526348418"/>
      <w:bookmarkStart w:id="451" w:name="_Toc526374609"/>
      <w:bookmarkStart w:id="452" w:name="_Toc526374625"/>
      <w:bookmarkStart w:id="453" w:name="_Toc526406488"/>
      <w:bookmarkStart w:id="454" w:name="_Toc526409514"/>
      <w:bookmarkStart w:id="455" w:name="_Toc526491413"/>
      <w:bookmarkStart w:id="456" w:name="_Toc526505525"/>
      <w:bookmarkStart w:id="457" w:name="_Toc526756617"/>
      <w:r>
        <w:rPr>
          <w:rFonts w:cs="Times New Roman"/>
          <w:bCs w:val="0"/>
          <w:iCs/>
          <w:sz w:val="24"/>
          <w:szCs w:val="24"/>
        </w:rPr>
        <w:t>8</w:t>
      </w:r>
      <w:r w:rsidR="00FD1A50" w:rsidRPr="003B0B97">
        <w:rPr>
          <w:rFonts w:cs="Times New Roman"/>
          <w:bCs w:val="0"/>
          <w:iCs/>
          <w:sz w:val="24"/>
          <w:szCs w:val="24"/>
        </w:rPr>
        <w:t>. </w:t>
      </w:r>
      <w:r w:rsidR="00FD1A50">
        <w:rPr>
          <w:rFonts w:cs="Times New Roman"/>
          <w:bCs w:val="0"/>
          <w:iCs/>
          <w:sz w:val="24"/>
          <w:szCs w:val="24"/>
        </w:rPr>
        <w:t>Klima</w:t>
      </w:r>
      <w:r w:rsidR="00FD1A50" w:rsidRPr="003B0B97">
        <w:rPr>
          <w:rFonts w:cs="Times New Roman"/>
          <w:bCs w:val="0"/>
          <w:iCs/>
          <w:sz w:val="24"/>
          <w:szCs w:val="24"/>
        </w:rPr>
        <w:t>mæssige konsekvenser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4922DC45" w14:textId="24BBE960" w:rsidR="00FD1A50" w:rsidRDefault="005D284F" w:rsidP="00FD1A50">
      <w:pPr>
        <w:spacing w:after="240"/>
        <w:rPr>
          <w:rFonts w:eastAsia="Calibri" w:cs="Times New Roman"/>
          <w:szCs w:val="24"/>
        </w:rPr>
      </w:pPr>
      <w:r w:rsidRPr="004D29F5">
        <w:rPr>
          <w:rFonts w:eastAsia="Calibri" w:cs="Times New Roman"/>
          <w:szCs w:val="24"/>
        </w:rPr>
        <w:t>De foreslåede bemyndigelsesbestemmelse</w:t>
      </w:r>
      <w:r w:rsidR="00131CA5">
        <w:rPr>
          <w:rFonts w:eastAsia="Calibri" w:cs="Times New Roman"/>
          <w:szCs w:val="24"/>
        </w:rPr>
        <w:t xml:space="preserve">r </w:t>
      </w:r>
      <w:r w:rsidRPr="004D29F5">
        <w:rPr>
          <w:rFonts w:eastAsia="Calibri" w:cs="Times New Roman"/>
          <w:szCs w:val="24"/>
        </w:rPr>
        <w:t>vil ikke i sig selv medføre klimamæssige konsekvenser. Bemyndigelsesbestemmelse</w:t>
      </w:r>
      <w:r w:rsidR="00131CA5">
        <w:rPr>
          <w:rFonts w:eastAsia="Calibri" w:cs="Times New Roman"/>
          <w:szCs w:val="24"/>
        </w:rPr>
        <w:t>r</w:t>
      </w:r>
      <w:r w:rsidRPr="004D29F5">
        <w:rPr>
          <w:rFonts w:eastAsia="Calibri" w:cs="Times New Roman"/>
          <w:szCs w:val="24"/>
        </w:rPr>
        <w:t>n</w:t>
      </w:r>
      <w:r w:rsidR="00131CA5">
        <w:rPr>
          <w:rFonts w:eastAsia="Calibri" w:cs="Times New Roman"/>
          <w:szCs w:val="24"/>
        </w:rPr>
        <w:t>e</w:t>
      </w:r>
      <w:r w:rsidRPr="004D29F5">
        <w:rPr>
          <w:rFonts w:eastAsia="Calibri" w:cs="Times New Roman"/>
          <w:szCs w:val="24"/>
        </w:rPr>
        <w:t xml:space="preserve"> kan dog i forbindelse med udmøntning i bekendtgørelse medføre klimamæssige konsekvenser. Der er ikke regnet på de konkrete klimamæssige konsekvenser ved udmøntning af reglerne i bekendtgørelsen. Dog forventes det, at der er positive klimamæssige konsekvenser, idet det forventes, at der vil </w:t>
      </w:r>
      <w:r w:rsidR="009C4626">
        <w:rPr>
          <w:rFonts w:eastAsia="Calibri" w:cs="Times New Roman"/>
          <w:szCs w:val="24"/>
        </w:rPr>
        <w:t xml:space="preserve">genanvendt </w:t>
      </w:r>
      <w:r w:rsidRPr="004D29F5">
        <w:rPr>
          <w:rFonts w:eastAsia="Calibri" w:cs="Times New Roman"/>
          <w:szCs w:val="24"/>
        </w:rPr>
        <w:t>mere affald, som dermed ikke forbrændes. Dette er under antagelse om, at forbrændingskapaciteten reduceres i takt med at mængden af dansk forbrændingsegnet affald (ekskl. farligt affald, haveaffald og slam) reduceres. Det er vurderingen, at der ikke er klimamæssige konsekvenser på mere end 10.000 tons CO2-ækvivalenter.</w:t>
      </w:r>
    </w:p>
    <w:p w14:paraId="59691B2E" w14:textId="57F4C311" w:rsidR="00CD57C0" w:rsidRPr="003B0B97" w:rsidRDefault="00CD57C0" w:rsidP="00FD1A50">
      <w:pPr>
        <w:spacing w:after="240"/>
        <w:rPr>
          <w:rFonts w:eastAsia="Calibri" w:cs="Times New Roman"/>
          <w:szCs w:val="24"/>
        </w:rPr>
      </w:pPr>
      <w:r w:rsidRPr="00CD57C0">
        <w:rPr>
          <w:rFonts w:eastAsia="Calibri" w:cs="Times New Roman"/>
          <w:szCs w:val="24"/>
        </w:rPr>
        <w:t>Ophævelsen af bestemmelserne om genbrugsområder på kommunale genbrugspladser vurderes ikke at have klimamæssige konsekvenser.</w:t>
      </w:r>
    </w:p>
    <w:p w14:paraId="3044A4EE" w14:textId="77777777" w:rsidR="00FD1A50" w:rsidRDefault="0076380E" w:rsidP="00FD1A50">
      <w:pPr>
        <w:pStyle w:val="Overskrift1"/>
        <w:rPr>
          <w:rFonts w:cs="Times New Roman"/>
          <w:bCs w:val="0"/>
          <w:iCs/>
          <w:sz w:val="24"/>
          <w:szCs w:val="24"/>
        </w:rPr>
      </w:pPr>
      <w:bookmarkStart w:id="458" w:name="_Toc329931206"/>
      <w:bookmarkStart w:id="459" w:name="_Toc329931317"/>
      <w:bookmarkStart w:id="460" w:name="_Toc442277392"/>
      <w:bookmarkStart w:id="461" w:name="_Toc442281310"/>
      <w:bookmarkStart w:id="462" w:name="_Toc442281340"/>
      <w:bookmarkStart w:id="463" w:name="_Toc442777850"/>
      <w:bookmarkStart w:id="464" w:name="_Toc442787247"/>
      <w:bookmarkStart w:id="465" w:name="_Toc442787539"/>
      <w:bookmarkStart w:id="466" w:name="_Toc442953245"/>
      <w:bookmarkStart w:id="467" w:name="_Toc443047629"/>
      <w:bookmarkStart w:id="468" w:name="_Toc444095989"/>
      <w:bookmarkStart w:id="469" w:name="_Toc444244515"/>
      <w:bookmarkStart w:id="470" w:name="_Toc498557230"/>
      <w:bookmarkStart w:id="471" w:name="_Toc498557300"/>
      <w:bookmarkStart w:id="472" w:name="_Toc498590034"/>
      <w:bookmarkStart w:id="473" w:name="_Toc498681517"/>
      <w:bookmarkStart w:id="474" w:name="_Toc499152789"/>
      <w:bookmarkStart w:id="475" w:name="_Toc499158748"/>
      <w:bookmarkStart w:id="476" w:name="_Toc499648621"/>
      <w:bookmarkStart w:id="477" w:name="_Toc499728114"/>
      <w:bookmarkStart w:id="478" w:name="_Toc499732962"/>
      <w:bookmarkStart w:id="479" w:name="_Toc499736993"/>
      <w:bookmarkStart w:id="480" w:name="_Toc499812933"/>
      <w:bookmarkStart w:id="481" w:name="_Toc499813736"/>
      <w:bookmarkStart w:id="482" w:name="_Toc500921483"/>
      <w:bookmarkStart w:id="483" w:name="_Toc500921509"/>
      <w:bookmarkStart w:id="484" w:name="_Toc500921620"/>
      <w:bookmarkStart w:id="485" w:name="_Toc501019230"/>
      <w:bookmarkStart w:id="486" w:name="_Toc504483875"/>
      <w:bookmarkStart w:id="487" w:name="_Toc505180553"/>
      <w:bookmarkStart w:id="488" w:name="_Toc505690206"/>
      <w:bookmarkStart w:id="489" w:name="_Toc505701759"/>
      <w:bookmarkStart w:id="490" w:name="_Toc505759551"/>
      <w:bookmarkStart w:id="491" w:name="_Toc505759568"/>
      <w:bookmarkStart w:id="492" w:name="_Toc505762661"/>
      <w:bookmarkStart w:id="493" w:name="_Toc505786001"/>
      <w:bookmarkStart w:id="494" w:name="_Toc506799586"/>
      <w:bookmarkStart w:id="495" w:name="_Toc506799603"/>
      <w:bookmarkStart w:id="496" w:name="_Toc506894562"/>
      <w:bookmarkStart w:id="497" w:name="_Toc507486299"/>
      <w:bookmarkStart w:id="498" w:name="_Toc515271234"/>
      <w:bookmarkStart w:id="499" w:name="_Toc515271557"/>
      <w:bookmarkStart w:id="500" w:name="_Toc515271585"/>
      <w:bookmarkStart w:id="501" w:name="_Toc515280493"/>
      <w:bookmarkStart w:id="502" w:name="_Toc515280644"/>
      <w:bookmarkStart w:id="503" w:name="_Toc515352796"/>
      <w:bookmarkStart w:id="504" w:name="_Toc515540869"/>
      <w:bookmarkStart w:id="505" w:name="_Toc515543709"/>
      <w:bookmarkStart w:id="506" w:name="_Toc515543894"/>
      <w:bookmarkStart w:id="507" w:name="_Toc515551695"/>
      <w:bookmarkStart w:id="508" w:name="_Toc515627637"/>
      <w:bookmarkStart w:id="509" w:name="_Toc516039947"/>
      <w:bookmarkStart w:id="510" w:name="_Toc516155370"/>
      <w:bookmarkStart w:id="511" w:name="_Toc516490271"/>
      <w:bookmarkStart w:id="512" w:name="_Toc518037953"/>
      <w:bookmarkStart w:id="513" w:name="_Toc524599605"/>
      <w:bookmarkStart w:id="514" w:name="_Toc526154938"/>
      <w:bookmarkStart w:id="515" w:name="_Toc526155484"/>
      <w:bookmarkStart w:id="516" w:name="_Toc526155557"/>
      <w:bookmarkStart w:id="517" w:name="_Toc526253994"/>
      <w:bookmarkStart w:id="518" w:name="_Toc526348419"/>
      <w:bookmarkStart w:id="519" w:name="_Toc526374610"/>
      <w:bookmarkStart w:id="520" w:name="_Toc526374626"/>
      <w:bookmarkStart w:id="521" w:name="_Toc526406489"/>
      <w:bookmarkStart w:id="522" w:name="_Toc526409515"/>
      <w:bookmarkStart w:id="523" w:name="_Toc526491414"/>
      <w:bookmarkStart w:id="524" w:name="_Toc526505526"/>
      <w:bookmarkStart w:id="525" w:name="_Toc526756618"/>
      <w:r>
        <w:rPr>
          <w:rFonts w:cs="Times New Roman"/>
          <w:bCs w:val="0"/>
          <w:iCs/>
          <w:sz w:val="24"/>
          <w:szCs w:val="24"/>
        </w:rPr>
        <w:t>9</w:t>
      </w:r>
      <w:r w:rsidR="00FD1A50">
        <w:rPr>
          <w:rFonts w:cs="Times New Roman"/>
          <w:bCs w:val="0"/>
          <w:iCs/>
          <w:sz w:val="24"/>
          <w:szCs w:val="24"/>
        </w:rPr>
        <w:t>. Miljø- og naturmæssige konsekvenser</w:t>
      </w:r>
    </w:p>
    <w:p w14:paraId="5478038B" w14:textId="19792042" w:rsidR="00CD57C0" w:rsidRPr="004D29F5" w:rsidRDefault="005D284F" w:rsidP="00CD57C0">
      <w:pPr>
        <w:rPr>
          <w:rFonts w:eastAsia="Calibri" w:cs="Times New Roman"/>
          <w:szCs w:val="24"/>
        </w:rPr>
      </w:pPr>
      <w:r w:rsidRPr="004D29F5">
        <w:rPr>
          <w:rFonts w:eastAsia="Calibri" w:cs="Times New Roman"/>
          <w:szCs w:val="24"/>
        </w:rPr>
        <w:t>De foreslåede bemyndigelsesbestemmelse</w:t>
      </w:r>
      <w:r w:rsidR="00C95827">
        <w:rPr>
          <w:rFonts w:eastAsia="Calibri" w:cs="Times New Roman"/>
          <w:szCs w:val="24"/>
        </w:rPr>
        <w:t xml:space="preserve">r </w:t>
      </w:r>
      <w:r w:rsidRPr="004D29F5">
        <w:rPr>
          <w:rFonts w:eastAsia="Calibri" w:cs="Times New Roman"/>
          <w:szCs w:val="24"/>
        </w:rPr>
        <w:t>vil ikke i sig selv medføre miljø- og naturmæssige konsekvenser. Bemyndigelsesbestemmelse</w:t>
      </w:r>
      <w:r w:rsidR="00C95827">
        <w:rPr>
          <w:rFonts w:eastAsia="Calibri" w:cs="Times New Roman"/>
          <w:szCs w:val="24"/>
        </w:rPr>
        <w:t>r</w:t>
      </w:r>
      <w:r w:rsidRPr="004D29F5">
        <w:rPr>
          <w:rFonts w:eastAsia="Calibri" w:cs="Times New Roman"/>
          <w:szCs w:val="24"/>
        </w:rPr>
        <w:t>n</w:t>
      </w:r>
      <w:r w:rsidR="00C95827">
        <w:rPr>
          <w:rFonts w:eastAsia="Calibri" w:cs="Times New Roman"/>
          <w:szCs w:val="24"/>
        </w:rPr>
        <w:t>e</w:t>
      </w:r>
      <w:r w:rsidRPr="004D29F5">
        <w:rPr>
          <w:rFonts w:eastAsia="Calibri" w:cs="Times New Roman"/>
          <w:szCs w:val="24"/>
        </w:rPr>
        <w:t xml:space="preserve"> kan dog i forbindelse med udmøntning i bekendtgørelse medføre miljø- og naturmæssige konsekvenser. Der er ikke regnet på de konkrete miljø- og naturmæssige konsekvenser ved udmøntning af reglerne i bekendtgørelsen. Dog forventes det, at der er positive miljø- og naturmæssige konsekvenser, idet en styrket modtagekontrol indebærer tættere opsyn med virksomhedernes affaldshåndtering og dermed forventet højere regelefterlevelse. Det</w:t>
      </w:r>
      <w:r w:rsidR="00082644" w:rsidRPr="004D29F5">
        <w:rPr>
          <w:rFonts w:eastAsia="Calibri" w:cs="Times New Roman"/>
          <w:szCs w:val="24"/>
        </w:rPr>
        <w:t>te</w:t>
      </w:r>
      <w:r w:rsidRPr="004D29F5">
        <w:rPr>
          <w:rFonts w:eastAsia="Calibri" w:cs="Times New Roman"/>
          <w:szCs w:val="24"/>
        </w:rPr>
        <w:t xml:space="preserve"> forventes </w:t>
      </w:r>
      <w:r w:rsidR="00082644" w:rsidRPr="004D29F5">
        <w:rPr>
          <w:rFonts w:eastAsia="Calibri" w:cs="Times New Roman"/>
          <w:szCs w:val="24"/>
        </w:rPr>
        <w:t>at medføre</w:t>
      </w:r>
      <w:r w:rsidRPr="004D29F5">
        <w:rPr>
          <w:rFonts w:eastAsia="Calibri" w:cs="Times New Roman"/>
          <w:szCs w:val="24"/>
        </w:rPr>
        <w:t xml:space="preserve"> en højere andel af erhvervsaffald sorteres til</w:t>
      </w:r>
      <w:r w:rsidR="008C7BC0" w:rsidRPr="004D29F5">
        <w:rPr>
          <w:rFonts w:eastAsia="Calibri" w:cs="Times New Roman"/>
          <w:szCs w:val="24"/>
        </w:rPr>
        <w:t xml:space="preserve"> materialenyttiggørelse</w:t>
      </w:r>
      <w:r w:rsidRPr="004D29F5">
        <w:rPr>
          <w:rFonts w:eastAsia="Calibri" w:cs="Times New Roman"/>
          <w:szCs w:val="24"/>
        </w:rPr>
        <w:t>. Den præcise mængde affald flyttet fra andre behandlingsformer (forbrænding, anden endelig materialenyttiggørelse og deponering) til</w:t>
      </w:r>
      <w:r w:rsidR="008C7BC0" w:rsidRPr="004D29F5">
        <w:rPr>
          <w:rFonts w:eastAsia="Calibri" w:cs="Times New Roman"/>
          <w:szCs w:val="24"/>
        </w:rPr>
        <w:t xml:space="preserve"> </w:t>
      </w:r>
      <w:r w:rsidR="00225E17">
        <w:rPr>
          <w:rFonts w:eastAsia="Calibri" w:cs="Times New Roman"/>
          <w:szCs w:val="24"/>
        </w:rPr>
        <w:t xml:space="preserve">genanvendelse eller for så vidt angår usolgte forbrugerprodukter </w:t>
      </w:r>
      <w:r w:rsidR="008C7BC0" w:rsidRPr="004D29F5">
        <w:rPr>
          <w:rFonts w:eastAsia="Calibri" w:cs="Times New Roman"/>
          <w:szCs w:val="24"/>
        </w:rPr>
        <w:t xml:space="preserve">forberedelse med henblik på genbrug </w:t>
      </w:r>
      <w:r w:rsidRPr="004D29F5">
        <w:rPr>
          <w:rFonts w:eastAsia="Calibri" w:cs="Times New Roman"/>
          <w:szCs w:val="24"/>
        </w:rPr>
        <w:t>forventes derfor også at afhænge af hyppigheden af tilsyn hos virksomhederne. Det vurderes ikke, at udmøntning i bekendtgørelse vil have væsentlige miljø- og naturmæssige konsekvenser.</w:t>
      </w:r>
    </w:p>
    <w:p w14:paraId="1B2CD778" w14:textId="77777777" w:rsidR="00CD57C0" w:rsidRPr="004D29F5" w:rsidRDefault="00CD57C0" w:rsidP="00CD57C0">
      <w:pPr>
        <w:rPr>
          <w:rFonts w:eastAsia="Calibri" w:cs="Times New Roman"/>
          <w:szCs w:val="24"/>
        </w:rPr>
      </w:pPr>
    </w:p>
    <w:p w14:paraId="2252E69F" w14:textId="56D74A8F" w:rsidR="00FD1A50" w:rsidRPr="004D29F5" w:rsidRDefault="00CD57C0" w:rsidP="00FD1A50">
      <w:pPr>
        <w:rPr>
          <w:rFonts w:eastAsia="Calibri" w:cs="Times New Roman"/>
          <w:szCs w:val="24"/>
        </w:rPr>
      </w:pPr>
      <w:r w:rsidRPr="004D29F5">
        <w:rPr>
          <w:rFonts w:eastAsia="Calibri" w:cs="Times New Roman"/>
          <w:szCs w:val="24"/>
        </w:rPr>
        <w:t>Ophævelsen af bestemmelserne om genbrugsområder på kommunale genbrugspladser vurderes ikke at have miljø- og naturmæssige konsekvenser.</w:t>
      </w:r>
    </w:p>
    <w:p w14:paraId="616614F0" w14:textId="77777777" w:rsidR="00FD1A50" w:rsidRPr="006E3FE2" w:rsidRDefault="00FD1A50" w:rsidP="00FD1A50"/>
    <w:p w14:paraId="243E175A" w14:textId="77777777" w:rsidR="00FD1A50" w:rsidRPr="003B0B97" w:rsidRDefault="0076380E" w:rsidP="00FD1A50">
      <w:pPr>
        <w:pStyle w:val="Overskrift1"/>
        <w:rPr>
          <w:rFonts w:cs="Times New Roman"/>
          <w:bCs w:val="0"/>
          <w:iCs/>
          <w:sz w:val="24"/>
          <w:szCs w:val="24"/>
        </w:rPr>
      </w:pPr>
      <w:r>
        <w:rPr>
          <w:rFonts w:cs="Times New Roman"/>
          <w:bCs w:val="0"/>
          <w:iCs/>
          <w:sz w:val="24"/>
          <w:szCs w:val="24"/>
        </w:rPr>
        <w:lastRenderedPageBreak/>
        <w:t>10</w:t>
      </w:r>
      <w:r w:rsidR="00FD1A50" w:rsidRPr="003B0B97">
        <w:rPr>
          <w:rFonts w:cs="Times New Roman"/>
          <w:bCs w:val="0"/>
          <w:iCs/>
          <w:sz w:val="24"/>
          <w:szCs w:val="24"/>
        </w:rPr>
        <w:t>. Forholdet til EU-retten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7D129B34" w14:textId="646F3512" w:rsidR="00FD1A50" w:rsidRPr="003B0B97" w:rsidRDefault="005D284F" w:rsidP="00FD1A50">
      <w:pPr>
        <w:spacing w:after="240"/>
        <w:rPr>
          <w:rFonts w:eastAsia="Calibri" w:cs="Times New Roman"/>
          <w:szCs w:val="24"/>
        </w:rPr>
      </w:pPr>
      <w:r w:rsidRPr="004D29F5">
        <w:rPr>
          <w:rFonts w:eastAsia="Calibri" w:cs="Times New Roman"/>
          <w:szCs w:val="24"/>
        </w:rPr>
        <w:t xml:space="preserve">Forslaget indeholder </w:t>
      </w:r>
      <w:r w:rsidR="00CA48BB" w:rsidRPr="004D29F5">
        <w:rPr>
          <w:rFonts w:eastAsia="Calibri" w:cs="Times New Roman"/>
          <w:szCs w:val="24"/>
        </w:rPr>
        <w:t>bemyndigelse til</w:t>
      </w:r>
      <w:r w:rsidR="00C8488B">
        <w:rPr>
          <w:rFonts w:eastAsia="Calibri" w:cs="Times New Roman"/>
          <w:szCs w:val="24"/>
        </w:rPr>
        <w:t>,</w:t>
      </w:r>
      <w:r w:rsidR="00CA48BB" w:rsidRPr="004D29F5">
        <w:rPr>
          <w:rFonts w:eastAsia="Calibri" w:cs="Times New Roman"/>
          <w:szCs w:val="24"/>
        </w:rPr>
        <w:t xml:space="preserve"> at miljøministeren udsteder </w:t>
      </w:r>
      <w:r w:rsidR="002D1F90">
        <w:rPr>
          <w:rFonts w:eastAsia="Calibri" w:cs="Times New Roman"/>
          <w:szCs w:val="24"/>
        </w:rPr>
        <w:t xml:space="preserve">supplerende </w:t>
      </w:r>
      <w:r w:rsidR="00CA48BB" w:rsidRPr="004D29F5">
        <w:rPr>
          <w:rFonts w:eastAsia="Calibri" w:cs="Times New Roman"/>
          <w:szCs w:val="24"/>
        </w:rPr>
        <w:t>regler</w:t>
      </w:r>
      <w:r w:rsidR="00C8488B">
        <w:rPr>
          <w:rFonts w:eastAsia="Calibri" w:cs="Times New Roman"/>
          <w:szCs w:val="24"/>
        </w:rPr>
        <w:t xml:space="preserve"> </w:t>
      </w:r>
      <w:r w:rsidR="002D1F90">
        <w:rPr>
          <w:rFonts w:eastAsia="Calibri" w:cs="Times New Roman"/>
          <w:szCs w:val="24"/>
        </w:rPr>
        <w:t>om</w:t>
      </w:r>
      <w:r w:rsidR="00C8488B">
        <w:rPr>
          <w:rFonts w:eastAsia="Calibri" w:cs="Times New Roman"/>
          <w:szCs w:val="24"/>
        </w:rPr>
        <w:t xml:space="preserve"> håndhævelse af destruktionsforbud for usolgte forbrugerprodukter i medfør af </w:t>
      </w:r>
      <w:proofErr w:type="spellStart"/>
      <w:r w:rsidR="00CA48BB" w:rsidRPr="004D29F5">
        <w:rPr>
          <w:rFonts w:eastAsia="Calibri" w:cs="Times New Roman"/>
          <w:szCs w:val="24"/>
        </w:rPr>
        <w:t>e</w:t>
      </w:r>
      <w:r w:rsidRPr="004D29F5">
        <w:rPr>
          <w:rFonts w:eastAsia="Calibri" w:cs="Times New Roman"/>
          <w:szCs w:val="24"/>
        </w:rPr>
        <w:t>codesignforordningen</w:t>
      </w:r>
      <w:proofErr w:type="spellEnd"/>
      <w:r w:rsidRPr="004D29F5">
        <w:rPr>
          <w:rFonts w:eastAsia="Calibri" w:cs="Times New Roman"/>
          <w:szCs w:val="24"/>
        </w:rPr>
        <w:t>.</w:t>
      </w:r>
      <w:r w:rsidR="00CA48BB" w:rsidRPr="004D29F5">
        <w:rPr>
          <w:rFonts w:eastAsia="Calibri" w:cs="Times New Roman"/>
          <w:szCs w:val="24"/>
        </w:rPr>
        <w:t xml:space="preserve"> Lovforslaget indeholder herudover ikke </w:t>
      </w:r>
      <w:proofErr w:type="spellStart"/>
      <w:r w:rsidR="00CA48BB" w:rsidRPr="004D29F5">
        <w:rPr>
          <w:rFonts w:eastAsia="Calibri" w:cs="Times New Roman"/>
          <w:szCs w:val="24"/>
        </w:rPr>
        <w:t>EU-retlige</w:t>
      </w:r>
      <w:proofErr w:type="spellEnd"/>
      <w:r w:rsidR="00CA48BB" w:rsidRPr="004D29F5">
        <w:rPr>
          <w:rFonts w:eastAsia="Calibri" w:cs="Times New Roman"/>
          <w:szCs w:val="24"/>
        </w:rPr>
        <w:t xml:space="preserve"> aspekter.</w:t>
      </w:r>
      <w:r w:rsidRPr="004D29F5">
        <w:rPr>
          <w:rFonts w:eastAsia="Calibri" w:cs="Times New Roman"/>
          <w:szCs w:val="24"/>
        </w:rPr>
        <w:t xml:space="preserve"> </w:t>
      </w:r>
    </w:p>
    <w:p w14:paraId="4DD90CFB" w14:textId="77777777" w:rsidR="00FD1A50" w:rsidRPr="003B0B97" w:rsidRDefault="00FD1A50" w:rsidP="00FD1A50">
      <w:pPr>
        <w:pStyle w:val="Overskrift1"/>
        <w:rPr>
          <w:rFonts w:cs="Times New Roman"/>
          <w:bCs w:val="0"/>
          <w:iCs/>
          <w:sz w:val="24"/>
          <w:szCs w:val="24"/>
        </w:rPr>
      </w:pPr>
      <w:bookmarkStart w:id="526" w:name="_Toc243705913"/>
      <w:bookmarkStart w:id="527" w:name="_Toc329931207"/>
      <w:bookmarkStart w:id="528" w:name="_Toc329931318"/>
      <w:bookmarkStart w:id="529" w:name="_Toc442277393"/>
      <w:bookmarkStart w:id="530" w:name="_Toc442281311"/>
      <w:bookmarkStart w:id="531" w:name="_Toc442281341"/>
      <w:bookmarkStart w:id="532" w:name="_Toc442777851"/>
      <w:bookmarkStart w:id="533" w:name="_Toc442787248"/>
      <w:bookmarkStart w:id="534" w:name="_Toc442787540"/>
      <w:bookmarkStart w:id="535" w:name="_Toc442953246"/>
      <w:bookmarkStart w:id="536" w:name="_Toc443047630"/>
      <w:bookmarkStart w:id="537" w:name="_Toc444095990"/>
      <w:bookmarkStart w:id="538" w:name="_Toc444244516"/>
      <w:bookmarkStart w:id="539" w:name="_Toc498557231"/>
      <w:bookmarkStart w:id="540" w:name="_Toc498557301"/>
      <w:bookmarkStart w:id="541" w:name="_Toc498590035"/>
      <w:bookmarkStart w:id="542" w:name="_Toc498681518"/>
      <w:bookmarkStart w:id="543" w:name="_Toc499152790"/>
      <w:bookmarkStart w:id="544" w:name="_Toc499158749"/>
      <w:bookmarkStart w:id="545" w:name="_Toc499648622"/>
      <w:bookmarkStart w:id="546" w:name="_Toc499728115"/>
      <w:bookmarkStart w:id="547" w:name="_Toc499732963"/>
      <w:bookmarkStart w:id="548" w:name="_Toc499736994"/>
      <w:bookmarkStart w:id="549" w:name="_Toc499812934"/>
      <w:bookmarkStart w:id="550" w:name="_Toc499813737"/>
      <w:bookmarkStart w:id="551" w:name="_Toc500921484"/>
      <w:bookmarkStart w:id="552" w:name="_Toc500921510"/>
      <w:bookmarkStart w:id="553" w:name="_Toc500921621"/>
      <w:bookmarkStart w:id="554" w:name="_Toc501019231"/>
      <w:bookmarkStart w:id="555" w:name="_Toc504483876"/>
      <w:bookmarkStart w:id="556" w:name="_Toc505180554"/>
      <w:bookmarkStart w:id="557" w:name="_Toc505690207"/>
      <w:bookmarkStart w:id="558" w:name="_Toc505701760"/>
      <w:bookmarkStart w:id="559" w:name="_Toc505759552"/>
      <w:bookmarkStart w:id="560" w:name="_Toc505759569"/>
      <w:bookmarkStart w:id="561" w:name="_Toc505762662"/>
      <w:bookmarkStart w:id="562" w:name="_Toc505786002"/>
      <w:bookmarkStart w:id="563" w:name="_Toc506799587"/>
      <w:bookmarkStart w:id="564" w:name="_Toc506799604"/>
      <w:bookmarkStart w:id="565" w:name="_Toc506894563"/>
      <w:bookmarkStart w:id="566" w:name="_Toc507486300"/>
      <w:bookmarkStart w:id="567" w:name="_Toc515271235"/>
      <w:bookmarkStart w:id="568" w:name="_Toc515271558"/>
      <w:bookmarkStart w:id="569" w:name="_Toc515271586"/>
      <w:bookmarkStart w:id="570" w:name="_Toc515280494"/>
      <w:bookmarkStart w:id="571" w:name="_Toc515280645"/>
      <w:bookmarkStart w:id="572" w:name="_Toc515352797"/>
      <w:bookmarkStart w:id="573" w:name="_Toc515540870"/>
      <w:bookmarkStart w:id="574" w:name="_Toc515543710"/>
      <w:bookmarkStart w:id="575" w:name="_Toc515543895"/>
      <w:bookmarkStart w:id="576" w:name="_Toc515551696"/>
      <w:bookmarkStart w:id="577" w:name="_Toc515627638"/>
      <w:bookmarkStart w:id="578" w:name="_Toc516039948"/>
      <w:bookmarkStart w:id="579" w:name="_Toc516155371"/>
      <w:bookmarkStart w:id="580" w:name="_Toc516490272"/>
      <w:bookmarkStart w:id="581" w:name="_Toc518037954"/>
      <w:bookmarkStart w:id="582" w:name="_Toc524599606"/>
      <w:bookmarkStart w:id="583" w:name="_Toc526154939"/>
      <w:bookmarkStart w:id="584" w:name="_Toc526155485"/>
      <w:bookmarkStart w:id="585" w:name="_Toc526155558"/>
      <w:bookmarkStart w:id="586" w:name="_Toc526253995"/>
      <w:bookmarkStart w:id="587" w:name="_Toc526348420"/>
      <w:bookmarkStart w:id="588" w:name="_Toc526374611"/>
      <w:bookmarkStart w:id="589" w:name="_Toc526374627"/>
      <w:bookmarkStart w:id="590" w:name="_Toc526406490"/>
      <w:bookmarkStart w:id="591" w:name="_Toc526409516"/>
      <w:bookmarkStart w:id="592" w:name="_Toc526491415"/>
      <w:bookmarkStart w:id="593" w:name="_Toc526505527"/>
      <w:bookmarkStart w:id="594" w:name="_Toc526756619"/>
      <w:r>
        <w:rPr>
          <w:rFonts w:cs="Times New Roman"/>
          <w:bCs w:val="0"/>
          <w:iCs/>
          <w:sz w:val="24"/>
          <w:szCs w:val="24"/>
        </w:rPr>
        <w:t>1</w:t>
      </w:r>
      <w:r w:rsidR="0076380E">
        <w:rPr>
          <w:rFonts w:cs="Times New Roman"/>
          <w:bCs w:val="0"/>
          <w:iCs/>
          <w:sz w:val="24"/>
          <w:szCs w:val="24"/>
        </w:rPr>
        <w:t>1</w:t>
      </w:r>
      <w:r w:rsidRPr="003B0B97">
        <w:rPr>
          <w:rFonts w:cs="Times New Roman"/>
          <w:bCs w:val="0"/>
          <w:iCs/>
          <w:sz w:val="24"/>
          <w:szCs w:val="24"/>
        </w:rPr>
        <w:t>. Hørte myndigheder og organisationer m</w:t>
      </w:r>
      <w:r>
        <w:rPr>
          <w:rFonts w:cs="Times New Roman"/>
          <w:bCs w:val="0"/>
          <w:iCs/>
          <w:sz w:val="24"/>
          <w:szCs w:val="24"/>
        </w:rPr>
        <w:t>.</w:t>
      </w:r>
      <w:r w:rsidRPr="003B0B97">
        <w:rPr>
          <w:rFonts w:cs="Times New Roman"/>
          <w:bCs w:val="0"/>
          <w:iCs/>
          <w:sz w:val="24"/>
          <w:szCs w:val="24"/>
        </w:rPr>
        <w:t>v.</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AD3D306" w14:textId="77777777" w:rsidR="00FD1A50" w:rsidRDefault="00FD1A50" w:rsidP="00FD1A50">
      <w:r>
        <w:t>Et udkast til lovforslag har i perioden fra den … til den … været sendt i høring hos følgende myndigheder og organisationer m.v.:</w:t>
      </w:r>
    </w:p>
    <w:p w14:paraId="4B535EDA" w14:textId="77777777" w:rsidR="00FD1A50" w:rsidRPr="00FC68D5" w:rsidRDefault="00FD1A50" w:rsidP="00FD1A50">
      <w:pPr>
        <w:autoSpaceDE w:val="0"/>
        <w:autoSpaceDN w:val="0"/>
        <w:adjustRightInd w:val="0"/>
        <w:spacing w:after="240"/>
        <w:jc w:val="left"/>
        <w:rPr>
          <w:rFonts w:eastAsia="Calibri" w:cs="Times New Roman"/>
          <w:szCs w:val="24"/>
        </w:rPr>
      </w:pPr>
      <w:r>
        <w:rPr>
          <w:rFonts w:eastAsia="Calibri" w:cs="Times New Roman"/>
          <w:szCs w:val="24"/>
        </w:rPr>
        <w:t>…</w:t>
      </w:r>
    </w:p>
    <w:p w14:paraId="586AAA95" w14:textId="77777777" w:rsidR="008358F3" w:rsidRPr="003B0B97" w:rsidRDefault="008358F3" w:rsidP="008358F3">
      <w:pPr>
        <w:pStyle w:val="Overskrift1"/>
        <w:rPr>
          <w:rFonts w:cs="Times New Roman"/>
          <w:bCs w:val="0"/>
          <w:iCs/>
          <w:sz w:val="24"/>
          <w:szCs w:val="24"/>
        </w:rPr>
      </w:pPr>
      <w:bookmarkStart w:id="595" w:name="_Toc243705914"/>
      <w:bookmarkStart w:id="596" w:name="_Toc329931208"/>
      <w:bookmarkStart w:id="597" w:name="_Toc329931319"/>
      <w:bookmarkStart w:id="598" w:name="_Toc442277394"/>
      <w:bookmarkStart w:id="599" w:name="_Toc442281312"/>
      <w:bookmarkStart w:id="600" w:name="_Toc442281342"/>
      <w:bookmarkStart w:id="601" w:name="_Toc442777852"/>
      <w:bookmarkStart w:id="602" w:name="_Toc442787249"/>
      <w:bookmarkStart w:id="603" w:name="_Toc442787541"/>
      <w:bookmarkStart w:id="604" w:name="_Toc442953247"/>
      <w:bookmarkStart w:id="605" w:name="_Toc443047631"/>
      <w:bookmarkStart w:id="606" w:name="_Toc444095991"/>
      <w:bookmarkStart w:id="607" w:name="_Toc444244517"/>
      <w:bookmarkStart w:id="608" w:name="_Toc498557232"/>
      <w:bookmarkStart w:id="609" w:name="_Toc498557302"/>
      <w:bookmarkStart w:id="610" w:name="_Toc498590036"/>
      <w:bookmarkStart w:id="611" w:name="_Toc498681519"/>
      <w:bookmarkStart w:id="612" w:name="_Toc499152791"/>
      <w:bookmarkStart w:id="613" w:name="_Toc499158750"/>
      <w:bookmarkStart w:id="614" w:name="_Toc499648623"/>
      <w:bookmarkStart w:id="615" w:name="_Toc499728116"/>
      <w:bookmarkStart w:id="616" w:name="_Toc499732964"/>
      <w:bookmarkStart w:id="617" w:name="_Toc499736995"/>
      <w:bookmarkStart w:id="618" w:name="_Toc499812935"/>
      <w:bookmarkStart w:id="619" w:name="_Toc499813738"/>
      <w:bookmarkStart w:id="620" w:name="_Toc500921485"/>
      <w:bookmarkStart w:id="621" w:name="_Toc500921511"/>
      <w:bookmarkStart w:id="622" w:name="_Toc500921622"/>
      <w:bookmarkStart w:id="623" w:name="_Toc501019232"/>
      <w:bookmarkStart w:id="624" w:name="_Toc504483877"/>
      <w:bookmarkStart w:id="625" w:name="_Toc505180555"/>
      <w:bookmarkStart w:id="626" w:name="_Toc505690208"/>
      <w:bookmarkStart w:id="627" w:name="_Toc505701761"/>
      <w:bookmarkStart w:id="628" w:name="_Toc505759553"/>
      <w:bookmarkStart w:id="629" w:name="_Toc505759570"/>
      <w:bookmarkStart w:id="630" w:name="_Toc505762663"/>
      <w:bookmarkStart w:id="631" w:name="_Toc505786003"/>
      <w:bookmarkStart w:id="632" w:name="_Toc506799588"/>
      <w:bookmarkStart w:id="633" w:name="_Toc506799605"/>
      <w:bookmarkStart w:id="634" w:name="_Toc506894564"/>
      <w:bookmarkStart w:id="635" w:name="_Toc507486301"/>
      <w:bookmarkStart w:id="636" w:name="_Toc515271236"/>
      <w:bookmarkStart w:id="637" w:name="_Toc515271559"/>
      <w:bookmarkStart w:id="638" w:name="_Toc515271587"/>
      <w:bookmarkStart w:id="639" w:name="_Toc515280495"/>
      <w:bookmarkStart w:id="640" w:name="_Toc515280646"/>
      <w:bookmarkStart w:id="641" w:name="_Toc515352798"/>
      <w:bookmarkStart w:id="642" w:name="_Toc515540871"/>
      <w:bookmarkStart w:id="643" w:name="_Toc515543711"/>
      <w:bookmarkStart w:id="644" w:name="_Toc515543896"/>
      <w:bookmarkStart w:id="645" w:name="_Toc515551697"/>
      <w:bookmarkStart w:id="646" w:name="_Toc515627639"/>
      <w:bookmarkStart w:id="647" w:name="_Toc516039949"/>
      <w:bookmarkStart w:id="648" w:name="_Toc516155372"/>
      <w:bookmarkStart w:id="649" w:name="_Toc516490273"/>
      <w:bookmarkStart w:id="650" w:name="_Toc518037955"/>
      <w:bookmarkStart w:id="651" w:name="_Toc524599607"/>
      <w:bookmarkStart w:id="652" w:name="_Toc526154940"/>
      <w:bookmarkStart w:id="653" w:name="_Toc526155486"/>
      <w:bookmarkStart w:id="654" w:name="_Toc526155559"/>
      <w:bookmarkStart w:id="655" w:name="_Toc526253996"/>
      <w:bookmarkStart w:id="656" w:name="_Toc526348421"/>
      <w:bookmarkStart w:id="657" w:name="_Toc526374612"/>
      <w:bookmarkStart w:id="658" w:name="_Toc526374628"/>
      <w:bookmarkStart w:id="659" w:name="_Toc526406491"/>
      <w:bookmarkStart w:id="660" w:name="_Toc526409517"/>
      <w:bookmarkStart w:id="661" w:name="_Toc526491416"/>
      <w:bookmarkStart w:id="662" w:name="_Toc526505528"/>
      <w:bookmarkStart w:id="663" w:name="_Toc526756620"/>
      <w:r>
        <w:rPr>
          <w:rFonts w:cs="Times New Roman"/>
          <w:bCs w:val="0"/>
          <w:iCs/>
          <w:sz w:val="24"/>
          <w:szCs w:val="24"/>
        </w:rPr>
        <w:t>12</w:t>
      </w:r>
      <w:r w:rsidRPr="003B0B97">
        <w:rPr>
          <w:rFonts w:cs="Times New Roman"/>
          <w:bCs w:val="0"/>
          <w:iCs/>
          <w:sz w:val="24"/>
          <w:szCs w:val="24"/>
        </w:rPr>
        <w:t>. Sammenfattende skema</w:t>
      </w:r>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2963"/>
        <w:gridCol w:w="3107"/>
        <w:gridCol w:w="2860"/>
      </w:tblGrid>
      <w:tr w:rsidR="008358F3" w:rsidRPr="00E93993" w14:paraId="501583D5" w14:textId="77777777" w:rsidTr="00827850">
        <w:tc>
          <w:tcPr>
            <w:tcW w:w="2963" w:type="dxa"/>
            <w:tcBorders>
              <w:top w:val="single" w:sz="8" w:space="0" w:color="000000"/>
              <w:left w:val="single" w:sz="8" w:space="0" w:color="000000"/>
              <w:bottom w:val="single" w:sz="8" w:space="0" w:color="000000"/>
              <w:right w:val="single" w:sz="8" w:space="0" w:color="000000"/>
            </w:tcBorders>
            <w:hideMark/>
          </w:tcPr>
          <w:p w14:paraId="0F1F0AB8"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t> </w:t>
            </w:r>
          </w:p>
        </w:tc>
        <w:tc>
          <w:tcPr>
            <w:tcW w:w="3107" w:type="dxa"/>
            <w:tcBorders>
              <w:top w:val="single" w:sz="8" w:space="0" w:color="000000"/>
              <w:left w:val="single" w:sz="8" w:space="0" w:color="000000"/>
              <w:bottom w:val="single" w:sz="8" w:space="0" w:color="000000"/>
              <w:right w:val="single" w:sz="8" w:space="0" w:color="000000"/>
            </w:tcBorders>
            <w:hideMark/>
          </w:tcPr>
          <w:p w14:paraId="34EB0099" w14:textId="77777777" w:rsidR="008358F3" w:rsidRPr="00E93993" w:rsidRDefault="008358F3" w:rsidP="00827850">
            <w:pPr>
              <w:spacing w:after="240"/>
              <w:jc w:val="center"/>
              <w:rPr>
                <w:rFonts w:eastAsia="Times New Roman"/>
                <w:color w:val="000000"/>
                <w:szCs w:val="24"/>
                <w:lang w:eastAsia="da-DK"/>
              </w:rPr>
            </w:pPr>
            <w:r w:rsidRPr="00E93993">
              <w:rPr>
                <w:rFonts w:eastAsia="Times New Roman"/>
                <w:color w:val="000000"/>
                <w:szCs w:val="24"/>
                <w:lang w:eastAsia="da-DK"/>
              </w:rPr>
              <w:t>Positive konsekvenser/</w:t>
            </w:r>
            <w:proofErr w:type="spellStart"/>
            <w:r w:rsidRPr="00E93993">
              <w:rPr>
                <w:rFonts w:eastAsia="Times New Roman"/>
                <w:color w:val="000000"/>
                <w:szCs w:val="24"/>
                <w:lang w:eastAsia="da-DK"/>
              </w:rPr>
              <w:t>mindreudgifter</w:t>
            </w:r>
            <w:proofErr w:type="spellEnd"/>
            <w:r>
              <w:rPr>
                <w:rFonts w:eastAsia="Times New Roman"/>
                <w:color w:val="000000"/>
                <w:szCs w:val="24"/>
                <w:lang w:eastAsia="da-DK"/>
              </w:rPr>
              <w:t xml:space="preserve"> </w:t>
            </w:r>
            <w:r w:rsidRPr="00E93993">
              <w:rPr>
                <w:rFonts w:eastAsia="Times New Roman"/>
                <w:color w:val="000000"/>
                <w:szCs w:val="24"/>
                <w:lang w:eastAsia="da-DK"/>
              </w:rPr>
              <w:t>(hvis ja, angiv omfang/Hvis nej, anfør »Ingen«)</w:t>
            </w:r>
          </w:p>
        </w:tc>
        <w:tc>
          <w:tcPr>
            <w:tcW w:w="2860" w:type="dxa"/>
            <w:tcBorders>
              <w:top w:val="single" w:sz="8" w:space="0" w:color="000000"/>
              <w:left w:val="single" w:sz="8" w:space="0" w:color="000000"/>
              <w:bottom w:val="single" w:sz="8" w:space="0" w:color="000000"/>
              <w:right w:val="single" w:sz="8" w:space="0" w:color="000000"/>
            </w:tcBorders>
            <w:hideMark/>
          </w:tcPr>
          <w:p w14:paraId="3682B98F" w14:textId="77777777" w:rsidR="008358F3" w:rsidRPr="00E93993" w:rsidRDefault="008358F3" w:rsidP="00827850">
            <w:pPr>
              <w:spacing w:after="240"/>
              <w:jc w:val="center"/>
              <w:rPr>
                <w:rFonts w:ascii="Tahoma" w:eastAsia="Times New Roman" w:hAnsi="Tahoma" w:cs="Tahoma"/>
                <w:color w:val="000000"/>
                <w:szCs w:val="24"/>
                <w:lang w:eastAsia="da-DK"/>
              </w:rPr>
            </w:pPr>
            <w:r w:rsidRPr="00E93993">
              <w:rPr>
                <w:rFonts w:eastAsia="Times New Roman" w:cs="Times New Roman"/>
                <w:color w:val="000000"/>
                <w:szCs w:val="24"/>
                <w:lang w:eastAsia="da-DK"/>
              </w:rPr>
              <w:t>Negative konsekvenser/merudgifter</w:t>
            </w:r>
            <w:r>
              <w:rPr>
                <w:rFonts w:eastAsia="Times New Roman" w:cs="Times New Roman"/>
                <w:color w:val="000000"/>
                <w:szCs w:val="24"/>
                <w:lang w:eastAsia="da-DK"/>
              </w:rPr>
              <w:t xml:space="preserve"> </w:t>
            </w:r>
            <w:r w:rsidRPr="00E93993">
              <w:rPr>
                <w:rFonts w:eastAsia="Times New Roman"/>
                <w:color w:val="000000"/>
                <w:szCs w:val="24"/>
                <w:lang w:eastAsia="da-DK"/>
              </w:rPr>
              <w:t>(hvis ja, angiv omfang/Hvis nej, anfør »Ingen«)</w:t>
            </w:r>
          </w:p>
        </w:tc>
      </w:tr>
      <w:tr w:rsidR="008358F3" w:rsidRPr="00E93993" w14:paraId="71E0E67D" w14:textId="77777777" w:rsidTr="00827850">
        <w:tc>
          <w:tcPr>
            <w:tcW w:w="2963" w:type="dxa"/>
            <w:tcBorders>
              <w:top w:val="single" w:sz="8" w:space="0" w:color="000000"/>
              <w:left w:val="single" w:sz="8" w:space="0" w:color="000000"/>
              <w:bottom w:val="single" w:sz="8" w:space="0" w:color="000000"/>
              <w:right w:val="single" w:sz="8" w:space="0" w:color="000000"/>
            </w:tcBorders>
            <w:hideMark/>
          </w:tcPr>
          <w:p w14:paraId="646F56E5"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t>Økonomiske konsekvenser for stat, kommuner og regioner</w:t>
            </w:r>
          </w:p>
        </w:tc>
        <w:tc>
          <w:tcPr>
            <w:tcW w:w="3107" w:type="dxa"/>
            <w:tcBorders>
              <w:top w:val="single" w:sz="8" w:space="0" w:color="000000"/>
              <w:left w:val="single" w:sz="8" w:space="0" w:color="000000"/>
              <w:bottom w:val="single" w:sz="8" w:space="0" w:color="000000"/>
              <w:right w:val="single" w:sz="8" w:space="0" w:color="000000"/>
            </w:tcBorders>
            <w:hideMark/>
          </w:tcPr>
          <w:p w14:paraId="1E658B33"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Ingen</w:t>
            </w:r>
          </w:p>
        </w:tc>
        <w:tc>
          <w:tcPr>
            <w:tcW w:w="2860" w:type="dxa"/>
            <w:tcBorders>
              <w:top w:val="single" w:sz="8" w:space="0" w:color="000000"/>
              <w:left w:val="single" w:sz="8" w:space="0" w:color="000000"/>
              <w:bottom w:val="single" w:sz="8" w:space="0" w:color="000000"/>
              <w:right w:val="single" w:sz="8" w:space="0" w:color="000000"/>
            </w:tcBorders>
            <w:hideMark/>
          </w:tcPr>
          <w:p w14:paraId="3899EE9B" w14:textId="77777777" w:rsidR="008358F3" w:rsidRDefault="008358F3" w:rsidP="00827850">
            <w:pPr>
              <w:spacing w:after="240"/>
              <w:rPr>
                <w:rFonts w:eastAsia="Times New Roman"/>
                <w:color w:val="000000"/>
                <w:szCs w:val="24"/>
                <w:lang w:eastAsia="da-DK"/>
              </w:rPr>
            </w:pPr>
            <w:r>
              <w:rPr>
                <w:rFonts w:eastAsia="Times New Roman"/>
                <w:color w:val="000000"/>
                <w:szCs w:val="24"/>
                <w:lang w:eastAsia="da-DK"/>
              </w:rPr>
              <w:t>Ingen</w:t>
            </w:r>
          </w:p>
          <w:p w14:paraId="04638A4D" w14:textId="77777777" w:rsidR="008358F3" w:rsidRDefault="008358F3" w:rsidP="00827850">
            <w:pPr>
              <w:spacing w:after="240"/>
              <w:rPr>
                <w:rFonts w:eastAsia="Times New Roman"/>
                <w:color w:val="000000"/>
                <w:szCs w:val="24"/>
                <w:lang w:eastAsia="da-DK"/>
              </w:rPr>
            </w:pPr>
          </w:p>
          <w:p w14:paraId="79BD6537" w14:textId="77777777" w:rsidR="008358F3" w:rsidRPr="00E93993" w:rsidRDefault="008358F3" w:rsidP="00827850">
            <w:pPr>
              <w:spacing w:after="240"/>
              <w:rPr>
                <w:rFonts w:eastAsia="Times New Roman"/>
                <w:color w:val="000000"/>
                <w:szCs w:val="24"/>
                <w:lang w:eastAsia="da-DK"/>
              </w:rPr>
            </w:pPr>
          </w:p>
        </w:tc>
      </w:tr>
      <w:tr w:rsidR="008358F3" w:rsidRPr="00E93993" w14:paraId="6F44A05B" w14:textId="77777777" w:rsidTr="00827850">
        <w:tc>
          <w:tcPr>
            <w:tcW w:w="2963" w:type="dxa"/>
            <w:tcBorders>
              <w:top w:val="single" w:sz="8" w:space="0" w:color="000000"/>
              <w:left w:val="single" w:sz="8" w:space="0" w:color="000000"/>
              <w:bottom w:val="single" w:sz="8" w:space="0" w:color="000000"/>
              <w:right w:val="single" w:sz="8" w:space="0" w:color="000000"/>
            </w:tcBorders>
            <w:hideMark/>
          </w:tcPr>
          <w:p w14:paraId="5BF73ED2"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Implementerings</w:t>
            </w:r>
            <w:r w:rsidRPr="00E93993">
              <w:rPr>
                <w:rFonts w:eastAsia="Times New Roman"/>
                <w:color w:val="000000"/>
                <w:szCs w:val="24"/>
                <w:lang w:eastAsia="da-DK"/>
              </w:rPr>
              <w:t>konsekvenser for stat, kommuner og regioner</w:t>
            </w:r>
          </w:p>
        </w:tc>
        <w:tc>
          <w:tcPr>
            <w:tcW w:w="3107" w:type="dxa"/>
            <w:tcBorders>
              <w:top w:val="single" w:sz="8" w:space="0" w:color="000000"/>
              <w:left w:val="single" w:sz="8" w:space="0" w:color="000000"/>
              <w:bottom w:val="single" w:sz="8" w:space="0" w:color="000000"/>
              <w:right w:val="single" w:sz="8" w:space="0" w:color="000000"/>
            </w:tcBorders>
            <w:hideMark/>
          </w:tcPr>
          <w:p w14:paraId="3731F068" w14:textId="77777777" w:rsidR="008358F3" w:rsidRPr="00E93993" w:rsidRDefault="008358F3" w:rsidP="00827850">
            <w:pPr>
              <w:spacing w:after="240"/>
              <w:rPr>
                <w:rFonts w:eastAsia="Times New Roman"/>
                <w:color w:val="000000"/>
                <w:szCs w:val="24"/>
                <w:lang w:eastAsia="da-DK"/>
              </w:rPr>
            </w:pPr>
          </w:p>
        </w:tc>
        <w:tc>
          <w:tcPr>
            <w:tcW w:w="2860" w:type="dxa"/>
            <w:tcBorders>
              <w:top w:val="single" w:sz="8" w:space="0" w:color="000000"/>
              <w:left w:val="single" w:sz="8" w:space="0" w:color="000000"/>
              <w:bottom w:val="single" w:sz="8" w:space="0" w:color="000000"/>
              <w:right w:val="single" w:sz="8" w:space="0" w:color="000000"/>
            </w:tcBorders>
            <w:hideMark/>
          </w:tcPr>
          <w:p w14:paraId="11E091C3" w14:textId="77777777" w:rsidR="008358F3" w:rsidRPr="00E93993" w:rsidRDefault="00E04354" w:rsidP="00827850">
            <w:pPr>
              <w:spacing w:after="240"/>
              <w:rPr>
                <w:rFonts w:eastAsia="Times New Roman"/>
                <w:color w:val="000000"/>
                <w:szCs w:val="24"/>
                <w:lang w:eastAsia="da-DK"/>
              </w:rPr>
            </w:pPr>
            <w:r>
              <w:rPr>
                <w:rFonts w:eastAsia="Times New Roman"/>
                <w:color w:val="000000"/>
                <w:szCs w:val="24"/>
                <w:lang w:eastAsia="da-DK"/>
              </w:rPr>
              <w:t>Ingen</w:t>
            </w:r>
          </w:p>
        </w:tc>
      </w:tr>
      <w:tr w:rsidR="008358F3" w:rsidRPr="00E93993" w14:paraId="6AB42583" w14:textId="77777777" w:rsidTr="00827850">
        <w:tc>
          <w:tcPr>
            <w:tcW w:w="2963" w:type="dxa"/>
            <w:tcBorders>
              <w:top w:val="single" w:sz="8" w:space="0" w:color="000000"/>
              <w:left w:val="single" w:sz="8" w:space="0" w:color="000000"/>
              <w:bottom w:val="single" w:sz="8" w:space="0" w:color="000000"/>
              <w:right w:val="single" w:sz="8" w:space="0" w:color="000000"/>
            </w:tcBorders>
            <w:hideMark/>
          </w:tcPr>
          <w:p w14:paraId="36C8BDF1"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t>Økonomiske konsekvenser for erhvervslivet</w:t>
            </w:r>
          </w:p>
        </w:tc>
        <w:tc>
          <w:tcPr>
            <w:tcW w:w="3107" w:type="dxa"/>
            <w:tcBorders>
              <w:top w:val="single" w:sz="8" w:space="0" w:color="000000"/>
              <w:left w:val="single" w:sz="8" w:space="0" w:color="000000"/>
              <w:bottom w:val="single" w:sz="8" w:space="0" w:color="000000"/>
              <w:right w:val="single" w:sz="8" w:space="0" w:color="000000"/>
            </w:tcBorders>
            <w:hideMark/>
          </w:tcPr>
          <w:p w14:paraId="4E2B9C31" w14:textId="77777777" w:rsidR="008358F3" w:rsidRPr="007C11B8" w:rsidRDefault="008358F3" w:rsidP="00E04354">
            <w:pPr>
              <w:spacing w:after="240"/>
              <w:rPr>
                <w:rFonts w:eastAsia="Times New Roman"/>
                <w:szCs w:val="24"/>
                <w:lang w:eastAsia="da-DK"/>
              </w:rPr>
            </w:pPr>
          </w:p>
        </w:tc>
        <w:tc>
          <w:tcPr>
            <w:tcW w:w="2860" w:type="dxa"/>
            <w:tcBorders>
              <w:top w:val="single" w:sz="8" w:space="0" w:color="000000"/>
              <w:left w:val="single" w:sz="8" w:space="0" w:color="000000"/>
              <w:bottom w:val="single" w:sz="8" w:space="0" w:color="000000"/>
              <w:right w:val="single" w:sz="8" w:space="0" w:color="000000"/>
            </w:tcBorders>
            <w:hideMark/>
          </w:tcPr>
          <w:p w14:paraId="7A13F53D" w14:textId="77777777" w:rsidR="008358F3" w:rsidRPr="00E93993" w:rsidRDefault="00E04354" w:rsidP="00643557">
            <w:pPr>
              <w:spacing w:after="240"/>
              <w:rPr>
                <w:rFonts w:eastAsia="Times New Roman"/>
                <w:color w:val="000000"/>
                <w:szCs w:val="24"/>
                <w:lang w:eastAsia="da-DK"/>
              </w:rPr>
            </w:pPr>
            <w:r>
              <w:rPr>
                <w:rFonts w:eastAsia="Times New Roman"/>
                <w:color w:val="000000"/>
                <w:szCs w:val="24"/>
                <w:lang w:eastAsia="da-DK"/>
              </w:rPr>
              <w:t>De første 2 år forventes de samlede erhvervsøkonomiske konsekvenser i forbindelse med øget kontrol med affald egnet til materialenyttiggørelse på 4,6 mio.kr. årligt. Derefter forventes det at falde til 3,4 mio. årligt.</w:t>
            </w:r>
          </w:p>
        </w:tc>
      </w:tr>
      <w:tr w:rsidR="008358F3" w:rsidRPr="00E93993" w14:paraId="44FB346E" w14:textId="77777777" w:rsidTr="00827850">
        <w:tc>
          <w:tcPr>
            <w:tcW w:w="2963" w:type="dxa"/>
            <w:tcBorders>
              <w:top w:val="single" w:sz="8" w:space="0" w:color="000000"/>
              <w:left w:val="single" w:sz="8" w:space="0" w:color="000000"/>
              <w:bottom w:val="single" w:sz="8" w:space="0" w:color="000000"/>
              <w:right w:val="single" w:sz="8" w:space="0" w:color="000000"/>
            </w:tcBorders>
            <w:hideMark/>
          </w:tcPr>
          <w:p w14:paraId="1C0FF247"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t>Administrative konsekvenser for erhvervslivet</w:t>
            </w:r>
          </w:p>
        </w:tc>
        <w:tc>
          <w:tcPr>
            <w:tcW w:w="3107" w:type="dxa"/>
            <w:tcBorders>
              <w:top w:val="single" w:sz="8" w:space="0" w:color="000000"/>
              <w:left w:val="single" w:sz="8" w:space="0" w:color="000000"/>
              <w:bottom w:val="single" w:sz="8" w:space="0" w:color="000000"/>
              <w:right w:val="single" w:sz="8" w:space="0" w:color="000000"/>
            </w:tcBorders>
            <w:hideMark/>
          </w:tcPr>
          <w:p w14:paraId="2ACE3F8C" w14:textId="77777777" w:rsidR="008358F3" w:rsidRDefault="008358F3" w:rsidP="00827850">
            <w:pPr>
              <w:spacing w:after="240"/>
              <w:rPr>
                <w:rFonts w:eastAsia="Times New Roman"/>
                <w:color w:val="000000"/>
                <w:szCs w:val="24"/>
                <w:lang w:eastAsia="da-DK"/>
              </w:rPr>
            </w:pPr>
            <w:r>
              <w:rPr>
                <w:rFonts w:eastAsia="Times New Roman"/>
                <w:color w:val="000000"/>
                <w:szCs w:val="24"/>
                <w:lang w:eastAsia="da-DK"/>
              </w:rPr>
              <w:t>.</w:t>
            </w:r>
          </w:p>
          <w:p w14:paraId="4568A8B6" w14:textId="77777777" w:rsidR="00827850" w:rsidRDefault="00827850" w:rsidP="00827850">
            <w:pPr>
              <w:spacing w:after="240"/>
              <w:rPr>
                <w:rFonts w:eastAsia="Times New Roman"/>
                <w:color w:val="000000"/>
                <w:szCs w:val="24"/>
                <w:lang w:eastAsia="da-DK"/>
              </w:rPr>
            </w:pPr>
          </w:p>
          <w:p w14:paraId="5B1D3990" w14:textId="77777777" w:rsidR="008358F3" w:rsidRPr="00E93993" w:rsidRDefault="008358F3" w:rsidP="00827850">
            <w:pPr>
              <w:spacing w:after="240"/>
              <w:rPr>
                <w:rFonts w:eastAsia="Times New Roman"/>
                <w:color w:val="000000"/>
                <w:szCs w:val="24"/>
                <w:lang w:eastAsia="da-DK"/>
              </w:rPr>
            </w:pPr>
          </w:p>
        </w:tc>
        <w:tc>
          <w:tcPr>
            <w:tcW w:w="2860" w:type="dxa"/>
            <w:tcBorders>
              <w:top w:val="single" w:sz="8" w:space="0" w:color="000000"/>
              <w:left w:val="single" w:sz="8" w:space="0" w:color="000000"/>
              <w:bottom w:val="single" w:sz="8" w:space="0" w:color="000000"/>
              <w:right w:val="single" w:sz="8" w:space="0" w:color="000000"/>
            </w:tcBorders>
            <w:hideMark/>
          </w:tcPr>
          <w:p w14:paraId="0B36354A" w14:textId="77777777" w:rsidR="008358F3" w:rsidRDefault="008358F3" w:rsidP="00827850">
            <w:pPr>
              <w:spacing w:after="240"/>
              <w:rPr>
                <w:rFonts w:eastAsia="Times New Roman"/>
                <w:color w:val="000000"/>
                <w:szCs w:val="24"/>
                <w:lang w:eastAsia="da-DK"/>
              </w:rPr>
            </w:pPr>
          </w:p>
          <w:p w14:paraId="39A7018B" w14:textId="1208208A" w:rsidR="00827850" w:rsidRPr="00202990" w:rsidRDefault="00827850" w:rsidP="00827850">
            <w:pPr>
              <w:ind w:left="45"/>
              <w:rPr>
                <w:rFonts w:cs="Times New Roman"/>
              </w:rPr>
            </w:pPr>
            <w:r>
              <w:rPr>
                <w:rFonts w:cs="Times New Roman"/>
              </w:rPr>
              <w:t>Ud af de samlede erhvervsøkonomiske konsekvenser for kontrol på affaldsforbrændingsanlæg</w:t>
            </w:r>
            <w:r w:rsidRPr="00202990">
              <w:rPr>
                <w:rFonts w:cs="Times New Roman"/>
              </w:rPr>
              <w:t xml:space="preserve"> udgør de administrative omkostninger ca. 1 mio. kr. årligt i perioden 2025-2026 og fra 2027 og frem </w:t>
            </w:r>
            <w:r>
              <w:rPr>
                <w:rFonts w:cs="Times New Roman"/>
              </w:rPr>
              <w:t xml:space="preserve">ca. </w:t>
            </w:r>
            <w:r w:rsidRPr="00202990">
              <w:rPr>
                <w:rFonts w:cs="Times New Roman"/>
              </w:rPr>
              <w:t>0,5 mio. kr. årligt</w:t>
            </w:r>
            <w:r w:rsidR="00225E17">
              <w:rPr>
                <w:rFonts w:cs="Times New Roman"/>
              </w:rPr>
              <w:t>.</w:t>
            </w:r>
            <w:r w:rsidRPr="00202990">
              <w:rPr>
                <w:rFonts w:cs="Times New Roman"/>
              </w:rPr>
              <w:t xml:space="preserve"> </w:t>
            </w:r>
          </w:p>
          <w:p w14:paraId="56F30B09" w14:textId="77777777" w:rsidR="00827850" w:rsidRPr="00E93993" w:rsidRDefault="00827850" w:rsidP="00827850">
            <w:pPr>
              <w:spacing w:after="240"/>
              <w:rPr>
                <w:rFonts w:eastAsia="Times New Roman"/>
                <w:color w:val="000000"/>
                <w:szCs w:val="24"/>
                <w:lang w:eastAsia="da-DK"/>
              </w:rPr>
            </w:pPr>
          </w:p>
        </w:tc>
      </w:tr>
      <w:tr w:rsidR="008358F3" w:rsidRPr="00E93993" w14:paraId="418B8FFF" w14:textId="77777777" w:rsidTr="00827850">
        <w:trPr>
          <w:trHeight w:val="1131"/>
        </w:trPr>
        <w:tc>
          <w:tcPr>
            <w:tcW w:w="2963" w:type="dxa"/>
            <w:tcBorders>
              <w:top w:val="single" w:sz="8" w:space="0" w:color="000000"/>
              <w:left w:val="single" w:sz="8" w:space="0" w:color="000000"/>
              <w:bottom w:val="single" w:sz="8" w:space="0" w:color="000000"/>
              <w:right w:val="single" w:sz="8" w:space="0" w:color="000000"/>
            </w:tcBorders>
            <w:hideMark/>
          </w:tcPr>
          <w:p w14:paraId="741749D5"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lastRenderedPageBreak/>
              <w:t>Administrative konsekvenser for borgerne</w:t>
            </w:r>
          </w:p>
        </w:tc>
        <w:tc>
          <w:tcPr>
            <w:tcW w:w="3107" w:type="dxa"/>
            <w:tcBorders>
              <w:top w:val="single" w:sz="8" w:space="0" w:color="000000"/>
              <w:left w:val="single" w:sz="8" w:space="0" w:color="000000"/>
              <w:bottom w:val="single" w:sz="8" w:space="0" w:color="000000"/>
              <w:right w:val="single" w:sz="8" w:space="0" w:color="000000"/>
            </w:tcBorders>
            <w:hideMark/>
          </w:tcPr>
          <w:p w14:paraId="3C786378"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Ingen</w:t>
            </w:r>
          </w:p>
        </w:tc>
        <w:tc>
          <w:tcPr>
            <w:tcW w:w="2860" w:type="dxa"/>
            <w:tcBorders>
              <w:top w:val="single" w:sz="8" w:space="0" w:color="000000"/>
              <w:left w:val="single" w:sz="8" w:space="0" w:color="000000"/>
              <w:bottom w:val="single" w:sz="8" w:space="0" w:color="000000"/>
              <w:right w:val="single" w:sz="8" w:space="0" w:color="000000"/>
            </w:tcBorders>
            <w:hideMark/>
          </w:tcPr>
          <w:p w14:paraId="718CCC6E"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Ingen</w:t>
            </w:r>
          </w:p>
        </w:tc>
      </w:tr>
      <w:tr w:rsidR="008358F3" w:rsidRPr="00E93993" w14:paraId="5F99DDD2" w14:textId="77777777" w:rsidTr="00827850">
        <w:tc>
          <w:tcPr>
            <w:tcW w:w="2963" w:type="dxa"/>
            <w:tcBorders>
              <w:top w:val="single" w:sz="8" w:space="0" w:color="000000"/>
              <w:left w:val="single" w:sz="8" w:space="0" w:color="000000"/>
              <w:bottom w:val="single" w:sz="8" w:space="0" w:color="000000"/>
              <w:right w:val="single" w:sz="8" w:space="0" w:color="000000"/>
            </w:tcBorders>
          </w:tcPr>
          <w:p w14:paraId="2220032E"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Klimamæssige konsekvenser</w:t>
            </w:r>
          </w:p>
        </w:tc>
        <w:tc>
          <w:tcPr>
            <w:tcW w:w="3107" w:type="dxa"/>
            <w:tcBorders>
              <w:top w:val="single" w:sz="8" w:space="0" w:color="000000"/>
              <w:left w:val="single" w:sz="8" w:space="0" w:color="000000"/>
              <w:bottom w:val="single" w:sz="8" w:space="0" w:color="000000"/>
              <w:right w:val="single" w:sz="8" w:space="0" w:color="000000"/>
            </w:tcBorders>
          </w:tcPr>
          <w:p w14:paraId="4126B182" w14:textId="77777777" w:rsidR="008358F3" w:rsidRDefault="008358F3" w:rsidP="00827850">
            <w:pPr>
              <w:spacing w:after="240"/>
              <w:rPr>
                <w:rFonts w:eastAsia="Times New Roman"/>
                <w:color w:val="000000"/>
                <w:szCs w:val="24"/>
                <w:lang w:eastAsia="da-DK"/>
              </w:rPr>
            </w:pPr>
            <w:r>
              <w:rPr>
                <w:rFonts w:eastAsia="Times New Roman"/>
                <w:color w:val="000000"/>
                <w:szCs w:val="24"/>
                <w:lang w:eastAsia="da-DK"/>
              </w:rPr>
              <w:t>Ingen direkte konsekvenser</w:t>
            </w:r>
          </w:p>
          <w:p w14:paraId="0474B21B" w14:textId="18D4E2A5"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 xml:space="preserve">Der forventes indirekte positive konsekvenser, idet udmøntningen vil medføre, at der </w:t>
            </w:r>
            <w:r w:rsidR="00C8488B">
              <w:rPr>
                <w:rFonts w:eastAsia="Times New Roman"/>
                <w:color w:val="000000"/>
                <w:szCs w:val="24"/>
                <w:lang w:eastAsia="da-DK"/>
              </w:rPr>
              <w:t>genanvendes</w:t>
            </w:r>
            <w:r>
              <w:rPr>
                <w:rFonts w:eastAsia="Times New Roman"/>
                <w:color w:val="000000"/>
                <w:szCs w:val="24"/>
                <w:lang w:eastAsia="da-DK"/>
              </w:rPr>
              <w:t xml:space="preserve"> mere erhvervsaffald, som dermed ikke forbrændes.</w:t>
            </w:r>
          </w:p>
        </w:tc>
        <w:tc>
          <w:tcPr>
            <w:tcW w:w="2860" w:type="dxa"/>
            <w:tcBorders>
              <w:top w:val="single" w:sz="8" w:space="0" w:color="000000"/>
              <w:left w:val="single" w:sz="8" w:space="0" w:color="000000"/>
              <w:bottom w:val="single" w:sz="8" w:space="0" w:color="000000"/>
              <w:right w:val="single" w:sz="8" w:space="0" w:color="000000"/>
            </w:tcBorders>
          </w:tcPr>
          <w:p w14:paraId="0BE15C2D"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Ingen</w:t>
            </w:r>
          </w:p>
        </w:tc>
      </w:tr>
      <w:tr w:rsidR="008358F3" w:rsidRPr="00E93993" w14:paraId="361F4558" w14:textId="77777777" w:rsidTr="00827850">
        <w:tc>
          <w:tcPr>
            <w:tcW w:w="2963" w:type="dxa"/>
            <w:tcBorders>
              <w:top w:val="single" w:sz="8" w:space="0" w:color="000000"/>
              <w:left w:val="single" w:sz="8" w:space="0" w:color="000000"/>
              <w:bottom w:val="single" w:sz="18" w:space="0" w:color="auto"/>
              <w:right w:val="single" w:sz="8" w:space="0" w:color="000000"/>
            </w:tcBorders>
            <w:hideMark/>
          </w:tcPr>
          <w:p w14:paraId="2CDFB953"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Miljø- og naturmæssige konsekvenser</w:t>
            </w:r>
          </w:p>
        </w:tc>
        <w:tc>
          <w:tcPr>
            <w:tcW w:w="3107" w:type="dxa"/>
            <w:tcBorders>
              <w:top w:val="single" w:sz="8" w:space="0" w:color="000000"/>
              <w:left w:val="single" w:sz="8" w:space="0" w:color="000000"/>
              <w:bottom w:val="single" w:sz="18" w:space="0" w:color="auto"/>
              <w:right w:val="single" w:sz="8" w:space="0" w:color="000000"/>
            </w:tcBorders>
            <w:hideMark/>
          </w:tcPr>
          <w:p w14:paraId="1DD57E8B" w14:textId="77777777" w:rsidR="008358F3" w:rsidRDefault="008358F3" w:rsidP="00827850">
            <w:pPr>
              <w:spacing w:after="240"/>
              <w:rPr>
                <w:rFonts w:eastAsia="Times New Roman"/>
                <w:color w:val="000000"/>
                <w:szCs w:val="24"/>
                <w:lang w:eastAsia="da-DK"/>
              </w:rPr>
            </w:pPr>
            <w:r>
              <w:rPr>
                <w:rFonts w:eastAsia="Times New Roman"/>
                <w:color w:val="000000"/>
                <w:szCs w:val="24"/>
                <w:lang w:eastAsia="da-DK"/>
              </w:rPr>
              <w:t>Ingen</w:t>
            </w:r>
          </w:p>
          <w:p w14:paraId="226468B9"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Det forventes, at der vil være indirekte positive konsekvenser, da det forventes at en styrket kontrol vil medføre en højere regelefterlevelse vedr.  sortering af erhvervsaffald til materialenyttiggørelse.</w:t>
            </w:r>
          </w:p>
        </w:tc>
        <w:tc>
          <w:tcPr>
            <w:tcW w:w="2860" w:type="dxa"/>
            <w:tcBorders>
              <w:top w:val="single" w:sz="8" w:space="0" w:color="000000"/>
              <w:left w:val="single" w:sz="8" w:space="0" w:color="000000"/>
              <w:bottom w:val="single" w:sz="18" w:space="0" w:color="auto"/>
              <w:right w:val="single" w:sz="8" w:space="0" w:color="000000"/>
            </w:tcBorders>
            <w:hideMark/>
          </w:tcPr>
          <w:p w14:paraId="01124CF7" w14:textId="77777777" w:rsidR="008358F3" w:rsidRPr="00E93993" w:rsidRDefault="008358F3" w:rsidP="00827850">
            <w:pPr>
              <w:spacing w:after="240"/>
              <w:rPr>
                <w:rFonts w:eastAsia="Times New Roman"/>
                <w:color w:val="000000"/>
                <w:szCs w:val="24"/>
                <w:lang w:eastAsia="da-DK"/>
              </w:rPr>
            </w:pPr>
            <w:r>
              <w:rPr>
                <w:rFonts w:eastAsia="Times New Roman"/>
                <w:color w:val="000000"/>
                <w:szCs w:val="24"/>
                <w:lang w:eastAsia="da-DK"/>
              </w:rPr>
              <w:t>Ingen</w:t>
            </w:r>
          </w:p>
        </w:tc>
      </w:tr>
      <w:tr w:rsidR="008358F3" w:rsidRPr="00E93993" w14:paraId="0E0C1A57" w14:textId="77777777" w:rsidTr="00827850">
        <w:tc>
          <w:tcPr>
            <w:tcW w:w="2963" w:type="dxa"/>
            <w:tcBorders>
              <w:top w:val="single" w:sz="18" w:space="0" w:color="auto"/>
              <w:left w:val="single" w:sz="8" w:space="0" w:color="000000"/>
              <w:bottom w:val="single" w:sz="4" w:space="0" w:color="auto"/>
              <w:right w:val="single" w:sz="8" w:space="0" w:color="000000"/>
            </w:tcBorders>
            <w:hideMark/>
          </w:tcPr>
          <w:p w14:paraId="68B421DA"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t>Forholdet til EU-retten</w:t>
            </w:r>
          </w:p>
        </w:tc>
        <w:tc>
          <w:tcPr>
            <w:tcW w:w="5967" w:type="dxa"/>
            <w:gridSpan w:val="2"/>
            <w:tcBorders>
              <w:top w:val="single" w:sz="18" w:space="0" w:color="auto"/>
              <w:left w:val="single" w:sz="8" w:space="0" w:color="000000"/>
              <w:bottom w:val="single" w:sz="4" w:space="0" w:color="auto"/>
              <w:right w:val="single" w:sz="8" w:space="0" w:color="000000"/>
            </w:tcBorders>
            <w:hideMark/>
          </w:tcPr>
          <w:p w14:paraId="7CEEBE47" w14:textId="77777777" w:rsidR="002D1F90" w:rsidRPr="003B0B97" w:rsidRDefault="002D1F90" w:rsidP="002D1F90">
            <w:pPr>
              <w:spacing w:after="240"/>
              <w:rPr>
                <w:rFonts w:eastAsia="Calibri" w:cs="Times New Roman"/>
                <w:szCs w:val="24"/>
              </w:rPr>
            </w:pPr>
            <w:r w:rsidRPr="004D29F5">
              <w:rPr>
                <w:rFonts w:eastAsia="Calibri" w:cs="Times New Roman"/>
                <w:szCs w:val="24"/>
              </w:rPr>
              <w:t>Forslaget indeholder bemyndigelse til</w:t>
            </w:r>
            <w:r>
              <w:rPr>
                <w:rFonts w:eastAsia="Calibri" w:cs="Times New Roman"/>
                <w:szCs w:val="24"/>
              </w:rPr>
              <w:t>,</w:t>
            </w:r>
            <w:r w:rsidRPr="004D29F5">
              <w:rPr>
                <w:rFonts w:eastAsia="Calibri" w:cs="Times New Roman"/>
                <w:szCs w:val="24"/>
              </w:rPr>
              <w:t xml:space="preserve"> at miljøministeren udsteder </w:t>
            </w:r>
            <w:r>
              <w:rPr>
                <w:rFonts w:eastAsia="Calibri" w:cs="Times New Roman"/>
                <w:szCs w:val="24"/>
              </w:rPr>
              <w:t xml:space="preserve">supplerende </w:t>
            </w:r>
            <w:r w:rsidRPr="004D29F5">
              <w:rPr>
                <w:rFonts w:eastAsia="Calibri" w:cs="Times New Roman"/>
                <w:szCs w:val="24"/>
              </w:rPr>
              <w:t>regler</w:t>
            </w:r>
            <w:r>
              <w:rPr>
                <w:rFonts w:eastAsia="Calibri" w:cs="Times New Roman"/>
                <w:szCs w:val="24"/>
              </w:rPr>
              <w:t xml:space="preserve"> om håndhævelse af destruktionsforbud for usolgte forbrugerprodukter i medfør af </w:t>
            </w:r>
            <w:proofErr w:type="spellStart"/>
            <w:r w:rsidRPr="004D29F5">
              <w:rPr>
                <w:rFonts w:eastAsia="Calibri" w:cs="Times New Roman"/>
                <w:szCs w:val="24"/>
              </w:rPr>
              <w:t>ecodesignforordningen</w:t>
            </w:r>
            <w:proofErr w:type="spellEnd"/>
            <w:r w:rsidRPr="004D29F5">
              <w:rPr>
                <w:rFonts w:eastAsia="Calibri" w:cs="Times New Roman"/>
                <w:szCs w:val="24"/>
              </w:rPr>
              <w:t xml:space="preserve">. Lovforslaget indeholder herudover ikke </w:t>
            </w:r>
            <w:proofErr w:type="spellStart"/>
            <w:r w:rsidRPr="004D29F5">
              <w:rPr>
                <w:rFonts w:eastAsia="Calibri" w:cs="Times New Roman"/>
                <w:szCs w:val="24"/>
              </w:rPr>
              <w:t>EU-retlige</w:t>
            </w:r>
            <w:proofErr w:type="spellEnd"/>
            <w:r w:rsidRPr="004D29F5">
              <w:rPr>
                <w:rFonts w:eastAsia="Calibri" w:cs="Times New Roman"/>
                <w:szCs w:val="24"/>
              </w:rPr>
              <w:t xml:space="preserve"> aspekter. </w:t>
            </w:r>
          </w:p>
          <w:p w14:paraId="6183882D" w14:textId="42DDCB9C" w:rsidR="008358F3" w:rsidRPr="00E93993" w:rsidRDefault="008358F3" w:rsidP="00827850">
            <w:pPr>
              <w:spacing w:after="240"/>
              <w:rPr>
                <w:szCs w:val="24"/>
              </w:rPr>
            </w:pPr>
          </w:p>
        </w:tc>
      </w:tr>
      <w:tr w:rsidR="008358F3" w:rsidRPr="00E93993" w14:paraId="345DD3E7" w14:textId="77777777" w:rsidTr="00827850">
        <w:tc>
          <w:tcPr>
            <w:tcW w:w="2963" w:type="dxa"/>
            <w:tcBorders>
              <w:top w:val="single" w:sz="4" w:space="0" w:color="auto"/>
              <w:left w:val="single" w:sz="8" w:space="0" w:color="000000"/>
              <w:bottom w:val="single" w:sz="4" w:space="0" w:color="auto"/>
              <w:right w:val="single" w:sz="8" w:space="0" w:color="000000"/>
            </w:tcBorders>
          </w:tcPr>
          <w:p w14:paraId="015B35FB" w14:textId="77777777" w:rsidR="008358F3" w:rsidRPr="00E93993" w:rsidRDefault="008358F3" w:rsidP="00827850">
            <w:pPr>
              <w:spacing w:after="240"/>
              <w:rPr>
                <w:rFonts w:eastAsia="Times New Roman"/>
                <w:color w:val="000000"/>
                <w:szCs w:val="24"/>
                <w:lang w:eastAsia="da-DK"/>
              </w:rPr>
            </w:pPr>
            <w:r w:rsidRPr="00E93993">
              <w:rPr>
                <w:rFonts w:eastAsia="Times New Roman"/>
                <w:color w:val="000000"/>
                <w:szCs w:val="24"/>
                <w:lang w:eastAsia="da-DK"/>
              </w:rPr>
              <w:t>Er i strid med de</w:t>
            </w:r>
            <w:r>
              <w:rPr>
                <w:rFonts w:eastAsia="Times New Roman"/>
                <w:color w:val="000000"/>
                <w:szCs w:val="24"/>
                <w:lang w:eastAsia="da-DK"/>
              </w:rPr>
              <w:t xml:space="preserve"> fem</w:t>
            </w:r>
            <w:r w:rsidRPr="00E93993">
              <w:rPr>
                <w:rFonts w:eastAsia="Times New Roman"/>
                <w:color w:val="000000"/>
                <w:szCs w:val="24"/>
                <w:lang w:eastAsia="da-DK"/>
              </w:rPr>
              <w:t xml:space="preserve"> principper for implementering</w:t>
            </w:r>
            <w:r>
              <w:rPr>
                <w:rFonts w:eastAsia="Times New Roman"/>
                <w:color w:val="000000"/>
                <w:szCs w:val="24"/>
                <w:lang w:eastAsia="da-DK"/>
              </w:rPr>
              <w:t xml:space="preserve"> </w:t>
            </w:r>
            <w:r w:rsidRPr="00E93993">
              <w:rPr>
                <w:rFonts w:eastAsia="Times New Roman"/>
                <w:color w:val="000000"/>
                <w:szCs w:val="24"/>
                <w:lang w:eastAsia="da-DK"/>
              </w:rPr>
              <w:t>af erhvervsrettet EU-regulering/</w:t>
            </w:r>
            <w:r>
              <w:rPr>
                <w:rFonts w:eastAsia="Times New Roman"/>
                <w:color w:val="000000"/>
                <w:szCs w:val="24"/>
                <w:lang w:eastAsia="da-DK"/>
              </w:rPr>
              <w:t xml:space="preserve"> </w:t>
            </w:r>
            <w:r w:rsidRPr="00E93993">
              <w:rPr>
                <w:rFonts w:eastAsia="Times New Roman"/>
                <w:color w:val="000000"/>
                <w:szCs w:val="24"/>
                <w:lang w:eastAsia="da-DK"/>
              </w:rPr>
              <w:t>Går videre end minimumskrav i EU</w:t>
            </w:r>
            <w:r>
              <w:rPr>
                <w:rFonts w:eastAsia="Times New Roman"/>
                <w:color w:val="000000"/>
                <w:szCs w:val="24"/>
                <w:lang w:eastAsia="da-DK"/>
              </w:rPr>
              <w:t>-</w:t>
            </w:r>
            <w:r w:rsidRPr="00E93993">
              <w:rPr>
                <w:rFonts w:eastAsia="Times New Roman"/>
                <w:color w:val="000000"/>
                <w:szCs w:val="24"/>
                <w:lang w:eastAsia="da-DK"/>
              </w:rPr>
              <w:t>regulering</w:t>
            </w:r>
            <w:r>
              <w:rPr>
                <w:rFonts w:eastAsia="Times New Roman"/>
                <w:color w:val="000000"/>
                <w:szCs w:val="24"/>
                <w:lang w:eastAsia="da-DK"/>
              </w:rPr>
              <w:t xml:space="preserve"> </w:t>
            </w:r>
            <w:r w:rsidRPr="00E93993">
              <w:rPr>
                <w:rFonts w:eastAsia="Times New Roman"/>
                <w:color w:val="000000"/>
                <w:szCs w:val="24"/>
                <w:lang w:eastAsia="da-DK"/>
              </w:rPr>
              <w:t>(sæt X)</w:t>
            </w:r>
          </w:p>
        </w:tc>
        <w:tc>
          <w:tcPr>
            <w:tcW w:w="5967" w:type="dxa"/>
            <w:gridSpan w:val="2"/>
            <w:tcBorders>
              <w:top w:val="single" w:sz="4" w:space="0" w:color="auto"/>
              <w:left w:val="single" w:sz="8" w:space="0" w:color="000000"/>
              <w:bottom w:val="single" w:sz="4" w:space="0" w:color="auto"/>
              <w:right w:val="single" w:sz="8" w:space="0" w:color="000000"/>
            </w:tcBorders>
          </w:tcPr>
          <w:p w14:paraId="23327E68" w14:textId="77777777" w:rsidR="008358F3" w:rsidRDefault="008358F3" w:rsidP="00827850">
            <w:pPr>
              <w:spacing w:after="240"/>
              <w:rPr>
                <w:szCs w:val="24"/>
              </w:rPr>
            </w:pPr>
          </w:p>
          <w:p w14:paraId="6328134D" w14:textId="77777777" w:rsidR="008358F3" w:rsidRDefault="008358F3" w:rsidP="00827850">
            <w:pPr>
              <w:spacing w:after="240"/>
              <w:rPr>
                <w:szCs w:val="24"/>
              </w:rPr>
            </w:pPr>
            <w:r>
              <w:rPr>
                <w:szCs w:val="24"/>
              </w:rPr>
              <w:t xml:space="preserve">                            Ja                                                     Nej</w:t>
            </w:r>
          </w:p>
          <w:p w14:paraId="13796D2B" w14:textId="77777777" w:rsidR="008358F3" w:rsidRPr="00E93993" w:rsidRDefault="008358F3" w:rsidP="00827850">
            <w:pPr>
              <w:spacing w:after="240"/>
              <w:rPr>
                <w:szCs w:val="24"/>
              </w:rPr>
            </w:pPr>
            <w:r>
              <w:rPr>
                <w:szCs w:val="24"/>
              </w:rPr>
              <w:t xml:space="preserve">                                                                                      x</w:t>
            </w:r>
          </w:p>
        </w:tc>
      </w:tr>
    </w:tbl>
    <w:p w14:paraId="0E971120" w14:textId="77777777" w:rsidR="008358F3" w:rsidRDefault="008358F3" w:rsidP="00FD1A50">
      <w:pPr>
        <w:pStyle w:val="Overskrift1"/>
        <w:rPr>
          <w:rFonts w:cs="Times New Roman"/>
          <w:bCs w:val="0"/>
          <w:iCs/>
          <w:sz w:val="24"/>
          <w:szCs w:val="24"/>
        </w:rPr>
      </w:pPr>
    </w:p>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14:paraId="5478A1AF" w14:textId="77777777" w:rsidR="00FD1A50" w:rsidRPr="003B0B97" w:rsidRDefault="00FD1A50" w:rsidP="00FD1A50">
      <w:pPr>
        <w:spacing w:after="240"/>
        <w:rPr>
          <w:rFonts w:eastAsia="Calibri" w:cs="Times New Roman"/>
          <w:szCs w:val="24"/>
        </w:rPr>
      </w:pPr>
    </w:p>
    <w:p w14:paraId="32DFA518" w14:textId="77777777" w:rsidR="00FD1A50" w:rsidRDefault="00FD1A50" w:rsidP="00FD1A50">
      <w:pPr>
        <w:spacing w:after="240"/>
        <w:jc w:val="center"/>
        <w:rPr>
          <w:rFonts w:eastAsia="Calibri" w:cs="Times New Roman"/>
          <w:i/>
          <w:szCs w:val="24"/>
        </w:rPr>
        <w:sectPr w:rsidR="00FD1A50" w:rsidSect="00D712BA">
          <w:pgSz w:w="11906" w:h="16838" w:code="9"/>
          <w:pgMar w:top="1418" w:right="3260" w:bottom="1134" w:left="1418" w:header="0" w:footer="709" w:gutter="0"/>
          <w:cols w:space="708"/>
          <w:titlePg/>
          <w:docGrid w:linePitch="360"/>
        </w:sectPr>
      </w:pPr>
    </w:p>
    <w:bookmarkEnd w:id="293"/>
    <w:p w14:paraId="48CD607C" w14:textId="77777777" w:rsidR="00FD1A50" w:rsidRPr="0020125C" w:rsidRDefault="00FD1A50" w:rsidP="00FD1A50">
      <w:pPr>
        <w:spacing w:after="240"/>
        <w:jc w:val="center"/>
        <w:rPr>
          <w:rFonts w:eastAsia="Calibri" w:cs="Times New Roman"/>
          <w:i/>
          <w:szCs w:val="24"/>
        </w:rPr>
      </w:pPr>
      <w:r w:rsidRPr="0020125C">
        <w:rPr>
          <w:rFonts w:eastAsia="Calibri" w:cs="Times New Roman"/>
          <w:i/>
          <w:szCs w:val="24"/>
        </w:rPr>
        <w:lastRenderedPageBreak/>
        <w:t>Bemærkninger til lovforslagets enkelte bestemmelser</w:t>
      </w:r>
    </w:p>
    <w:p w14:paraId="09FB5BED" w14:textId="77777777" w:rsidR="00FD1A50" w:rsidRPr="005768D7" w:rsidRDefault="00FD1A50" w:rsidP="00FD1A50">
      <w:pPr>
        <w:spacing w:after="240"/>
        <w:jc w:val="center"/>
        <w:rPr>
          <w:rFonts w:eastAsia="Calibri" w:cs="Times New Roman"/>
          <w:i/>
          <w:szCs w:val="24"/>
        </w:rPr>
      </w:pPr>
      <w:r w:rsidRPr="005768D7">
        <w:rPr>
          <w:rFonts w:eastAsia="Calibri" w:cs="Times New Roman"/>
          <w:i/>
          <w:szCs w:val="24"/>
        </w:rPr>
        <w:t>Til § 1</w:t>
      </w:r>
    </w:p>
    <w:p w14:paraId="0B0255A3" w14:textId="77777777" w:rsidR="00FD1A50" w:rsidRPr="005768D7" w:rsidRDefault="00FD1A50" w:rsidP="00FD1A50">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739C0D14" w14:textId="29978DB9" w:rsidR="00BC4142" w:rsidRDefault="00BC4142" w:rsidP="00BC4142">
      <w:r w:rsidRPr="00091974">
        <w:rPr>
          <w:rFonts w:cstheme="minorHAnsi"/>
        </w:rPr>
        <w:t xml:space="preserve">I miljøbeskyttelseslovens kapitel 5 er der fastsat regler om </w:t>
      </w:r>
      <w:r>
        <w:rPr>
          <w:rFonts w:cstheme="minorHAnsi"/>
        </w:rPr>
        <w:t>listevirksomhed og anden erhvervsvirksomhed, som blandt andet har til formål at sikre</w:t>
      </w:r>
      <w:r w:rsidR="00A57D6F">
        <w:rPr>
          <w:rFonts w:cstheme="minorHAnsi"/>
        </w:rPr>
        <w:t>,</w:t>
      </w:r>
      <w:r w:rsidRPr="00091974">
        <w:rPr>
          <w:rFonts w:cstheme="minorHAnsi"/>
        </w:rPr>
        <w:t xml:space="preserve"> at </w:t>
      </w:r>
      <w:r>
        <w:rPr>
          <w:rFonts w:cstheme="minorHAnsi"/>
        </w:rPr>
        <w:t>forbrændingsanlæg ikke forurener omgivelserne ud over det acceptable niveau</w:t>
      </w:r>
      <w:r w:rsidR="00247F24">
        <w:rPr>
          <w:rFonts w:cstheme="minorHAnsi"/>
        </w:rPr>
        <w:t>.</w:t>
      </w:r>
      <w:r w:rsidRPr="00091974">
        <w:rPr>
          <w:rFonts w:cstheme="minorHAnsi"/>
        </w:rPr>
        <w:t xml:space="preserve"> </w:t>
      </w:r>
      <w:r w:rsidR="00247F24">
        <w:rPr>
          <w:rFonts w:cstheme="minorHAnsi"/>
        </w:rPr>
        <w:t>Ved</w:t>
      </w:r>
      <w:r>
        <w:rPr>
          <w:rFonts w:cstheme="minorHAnsi"/>
        </w:rPr>
        <w:t xml:space="preserve"> et miljøtilsyn </w:t>
      </w:r>
      <w:r w:rsidR="003B69D9">
        <w:rPr>
          <w:rFonts w:cstheme="minorHAnsi"/>
        </w:rPr>
        <w:t xml:space="preserve">efter miljøbeskyttelseslovens kapitel 9 </w:t>
      </w:r>
      <w:r>
        <w:rPr>
          <w:rFonts w:cstheme="minorHAnsi"/>
        </w:rPr>
        <w:t>fører tilsynsmyndigheden tilsyn med</w:t>
      </w:r>
      <w:r w:rsidRPr="00091974">
        <w:rPr>
          <w:rFonts w:cstheme="minorHAnsi"/>
        </w:rPr>
        <w:t xml:space="preserve">, at </w:t>
      </w:r>
      <w:r>
        <w:rPr>
          <w:rFonts w:cstheme="minorHAnsi"/>
        </w:rPr>
        <w:t>udledningen</w:t>
      </w:r>
      <w:r w:rsidRPr="00091974">
        <w:rPr>
          <w:rFonts w:cstheme="minorHAnsi"/>
        </w:rPr>
        <w:t xml:space="preserve"> fra virksomheden er forenelig med miljøbeskyttelseslovens formål herunder</w:t>
      </w:r>
      <w:r>
        <w:rPr>
          <w:rFonts w:cstheme="minorHAnsi"/>
        </w:rPr>
        <w:t>,</w:t>
      </w:r>
      <w:r w:rsidRPr="00091974">
        <w:rPr>
          <w:rFonts w:cstheme="minorHAnsi"/>
        </w:rPr>
        <w:t xml:space="preserve"> at vilkår i godkendelser og tilladelser samt regler i bekendtgørelser overholdes.</w:t>
      </w:r>
      <w:r>
        <w:rPr>
          <w:rFonts w:cstheme="minorHAnsi"/>
        </w:rPr>
        <w:t xml:space="preserve"> </w:t>
      </w:r>
      <w:r>
        <w:t xml:space="preserve">I miljøgodkendelsen af forbrændingsanlæg stiller godkendelsesmyndigheden krav til, at anlæggene udfører egenkontrol. Dette kan f.eks. gøres ved kamerainstallation og udspredning af affaldet på gulv. Herudover er der i affaldsforbrændingsbekendtgørelsens § 21 fastsat krav om </w:t>
      </w:r>
      <w:r w:rsidR="00632F3D">
        <w:t>egenkontrol</w:t>
      </w:r>
      <w:r>
        <w:t>, jf. nedenfor.</w:t>
      </w:r>
    </w:p>
    <w:p w14:paraId="44AEA151" w14:textId="77777777" w:rsidR="000A6B2E" w:rsidRDefault="000A6B2E" w:rsidP="000A6B2E"/>
    <w:p w14:paraId="7A6F6D60" w14:textId="4DCA5AF9" w:rsidR="000A6B2E" w:rsidRDefault="000A6B2E" w:rsidP="000A6B2E">
      <w:r>
        <w:t>Virksomheder, der driver affaldsforbrændingsanlæg</w:t>
      </w:r>
      <w:r w:rsidR="00A57D6F">
        <w:t>,</w:t>
      </w:r>
      <w:r>
        <w:t xml:space="preserve"> skal på denne baggrund </w:t>
      </w:r>
      <w:r w:rsidR="00474E93">
        <w:t xml:space="preserve">udføre </w:t>
      </w:r>
      <w:r>
        <w:t>egenkont</w:t>
      </w:r>
      <w:r w:rsidR="00643557">
        <w:t>r</w:t>
      </w:r>
      <w:r>
        <w:t xml:space="preserve">ol med tilkørte læs for at sikre, at kun forbrændingsegnet affald sendes til forbrænding. </w:t>
      </w:r>
      <w:r w:rsidR="00B00B32">
        <w:t>Egenkontrollen</w:t>
      </w:r>
      <w:r>
        <w:t xml:space="preserve"> har hjemmel i </w:t>
      </w:r>
      <w:r w:rsidR="00A057E2">
        <w:t>m</w:t>
      </w:r>
      <w:r>
        <w:t>iljøbeskyttelseslovens § 7, stk. 1, nr. 1 og 2, der har til formål at forebygge forurening fra virksomheder, anlæg m</w:t>
      </w:r>
      <w:r w:rsidR="00107759">
        <w:t>.</w:t>
      </w:r>
      <w:r>
        <w:t xml:space="preserve">v. Tilsyn med </w:t>
      </w:r>
      <w:r w:rsidR="00B00B32">
        <w:t>egenkontrollen</w:t>
      </w:r>
      <w:r>
        <w:t xml:space="preserve"> – herunder </w:t>
      </w:r>
      <w:r w:rsidR="00474E93">
        <w:t xml:space="preserve">med </w:t>
      </w:r>
      <w:r>
        <w:t xml:space="preserve">anlæggenes stikprøvekontrol – er en del af det nuværende </w:t>
      </w:r>
      <w:r w:rsidRPr="00A1695E">
        <w:t xml:space="preserve">miljøtilsyn med forbrændingsanlæggene, der har fokus på, at det indleverede affald </w:t>
      </w:r>
      <w:r w:rsidRPr="00D665C2">
        <w:t>ikke medfører forøget luftforurening</w:t>
      </w:r>
      <w:r w:rsidRPr="00A1695E">
        <w:t xml:space="preserve"> fra forbrændingsanlægget. </w:t>
      </w:r>
    </w:p>
    <w:p w14:paraId="1FC3EA9F" w14:textId="77777777" w:rsidR="000A6B2E" w:rsidRDefault="000A6B2E" w:rsidP="000A6B2E"/>
    <w:p w14:paraId="3A0C9B39" w14:textId="77777777" w:rsidR="000A6B2E" w:rsidRDefault="000A6B2E" w:rsidP="000A6B2E">
      <w:pPr>
        <w:spacing w:after="240"/>
        <w:jc w:val="left"/>
      </w:pPr>
      <w:r>
        <w:rPr>
          <w:rFonts w:eastAsia="Calibri" w:cs="Times New Roman"/>
          <w:szCs w:val="24"/>
        </w:rPr>
        <w:t xml:space="preserve">Miljøbeskyttelsesloven indeholder derimod ikke regler om </w:t>
      </w:r>
      <w:r w:rsidR="00474E93">
        <w:rPr>
          <w:rFonts w:eastAsia="Calibri" w:cs="Times New Roman"/>
          <w:szCs w:val="24"/>
        </w:rPr>
        <w:t xml:space="preserve">eller hjemmel til at fastsætte regler om </w:t>
      </w:r>
      <w:r>
        <w:rPr>
          <w:rFonts w:eastAsia="Calibri" w:cs="Times New Roman"/>
          <w:szCs w:val="24"/>
        </w:rPr>
        <w:t xml:space="preserve">modtagekontrol med fokus på affald egnet til materialenyttiggørelse på affaldsbehandlingsanlæg, der modtager affald med henblik på forbrænding. Miljøbeskyttelsesloven indeholder dog </w:t>
      </w:r>
      <w:r>
        <w:t>en række generelle regler om, hvordan affald skal håndteres, herunder at udarbejdelse af politikker og regler skal følge det såkaldte affaldshierarki, jf. nedenfor.</w:t>
      </w:r>
    </w:p>
    <w:p w14:paraId="10AB9BCC" w14:textId="77777777" w:rsidR="002379BD" w:rsidRDefault="002379BD" w:rsidP="00420F67">
      <w:pPr>
        <w:spacing w:after="240"/>
        <w:jc w:val="left"/>
      </w:pPr>
    </w:p>
    <w:p w14:paraId="22849C88" w14:textId="77777777" w:rsidR="00420F67" w:rsidRDefault="00420F67" w:rsidP="00000BD4">
      <w:pPr>
        <w:spacing w:after="240"/>
        <w:rPr>
          <w:rFonts w:eastAsia="Calibri" w:cstheme="minorHAnsi"/>
          <w:szCs w:val="24"/>
        </w:rPr>
      </w:pPr>
    </w:p>
    <w:p w14:paraId="5475C274" w14:textId="77777777" w:rsidR="00420F67" w:rsidRDefault="00420F67" w:rsidP="00000BD4">
      <w:pPr>
        <w:spacing w:after="240"/>
        <w:rPr>
          <w:rFonts w:eastAsia="Calibri" w:cstheme="minorHAnsi"/>
          <w:szCs w:val="24"/>
        </w:rPr>
      </w:pPr>
    </w:p>
    <w:p w14:paraId="44B1CD0F" w14:textId="6710E450" w:rsidR="00000BD4" w:rsidRDefault="00000BD4" w:rsidP="00000BD4">
      <w:pPr>
        <w:spacing w:after="240"/>
      </w:pPr>
      <w:r w:rsidRPr="00091974">
        <w:rPr>
          <w:rFonts w:cstheme="minorHAnsi"/>
        </w:rPr>
        <w:lastRenderedPageBreak/>
        <w:t xml:space="preserve">Det foreslås </w:t>
      </w:r>
      <w:r w:rsidR="0089470C">
        <w:rPr>
          <w:rFonts w:cstheme="minorHAnsi"/>
        </w:rPr>
        <w:t xml:space="preserve">med lovforslaget </w:t>
      </w:r>
      <w:r w:rsidRPr="00091974">
        <w:rPr>
          <w:rFonts w:cstheme="minorHAnsi"/>
        </w:rPr>
        <w:t xml:space="preserve">at indsætte et nyt </w:t>
      </w:r>
      <w:r w:rsidRPr="00091974">
        <w:rPr>
          <w:rFonts w:cstheme="minorHAnsi"/>
          <w:i/>
        </w:rPr>
        <w:t>stk.</w:t>
      </w:r>
      <w:r>
        <w:rPr>
          <w:rFonts w:cstheme="minorHAnsi"/>
          <w:i/>
        </w:rPr>
        <w:t xml:space="preserve"> 8</w:t>
      </w:r>
      <w:r w:rsidR="00A61FB5">
        <w:rPr>
          <w:rFonts w:cstheme="minorHAnsi"/>
          <w:i/>
        </w:rPr>
        <w:t>,</w:t>
      </w:r>
      <w:r>
        <w:rPr>
          <w:rFonts w:cstheme="minorHAnsi"/>
          <w:i/>
        </w:rPr>
        <w:t xml:space="preserve"> </w:t>
      </w:r>
      <w:r w:rsidRPr="00091974">
        <w:rPr>
          <w:rFonts w:cstheme="minorHAnsi"/>
        </w:rPr>
        <w:t xml:space="preserve">i § </w:t>
      </w:r>
      <w:r>
        <w:rPr>
          <w:rFonts w:cstheme="minorHAnsi"/>
        </w:rPr>
        <w:t>44</w:t>
      </w:r>
      <w:r w:rsidR="00FC17A0">
        <w:rPr>
          <w:rFonts w:cstheme="minorHAnsi"/>
        </w:rPr>
        <w:t>, hvorefter</w:t>
      </w:r>
      <w:r>
        <w:rPr>
          <w:rFonts w:cstheme="minorHAnsi"/>
        </w:rPr>
        <w:t xml:space="preserve"> m</w:t>
      </w:r>
      <w:r>
        <w:t>iljøministeren bemyndige</w:t>
      </w:r>
      <w:r w:rsidR="00FC17A0">
        <w:t>s</w:t>
      </w:r>
      <w:r>
        <w:t xml:space="preserve"> til at kunne fastsætte regler om, at </w:t>
      </w:r>
      <w:r w:rsidR="00135147">
        <w:t xml:space="preserve">virksomheder, der driver </w:t>
      </w:r>
      <w:r w:rsidR="00135147" w:rsidRPr="003E18E1">
        <w:t>affaldsbehandlingsanlæg</w:t>
      </w:r>
      <w:r>
        <w:t>, der modtager affald med henblik på forbrænding eller genanvendelse</w:t>
      </w:r>
      <w:r w:rsidR="00A57D6F">
        <w:t>,</w:t>
      </w:r>
      <w:r>
        <w:t xml:space="preserve"> skal </w:t>
      </w:r>
      <w:r w:rsidR="00FC17A0">
        <w:t xml:space="preserve">foretage kontrol af affaldets indhold af </w:t>
      </w:r>
      <w:r w:rsidR="008C7BC0">
        <w:t>affald egnet til materialenyttiggørelse</w:t>
      </w:r>
      <w:r w:rsidR="004C6EB6">
        <w:t xml:space="preserve"> og usolgte forbrugerprodukter</w:t>
      </w:r>
      <w:r w:rsidR="008C7BC0">
        <w:t>.</w:t>
      </w:r>
    </w:p>
    <w:p w14:paraId="74148805" w14:textId="7B54A9A3" w:rsidR="0089470C" w:rsidRDefault="0089470C" w:rsidP="00000BD4">
      <w:pPr>
        <w:spacing w:after="240"/>
        <w:rPr>
          <w:rFonts w:cstheme="minorHAnsi"/>
        </w:rPr>
      </w:pPr>
      <w:r>
        <w:rPr>
          <w:rFonts w:cstheme="minorHAnsi"/>
        </w:rPr>
        <w:t>Ved ”kontrol” forstås en undersøgelse af, hvorvidt affaldet</w:t>
      </w:r>
      <w:r w:rsidR="004C6EB6">
        <w:rPr>
          <w:rFonts w:cstheme="minorHAnsi"/>
        </w:rPr>
        <w:t>s</w:t>
      </w:r>
      <w:r>
        <w:rPr>
          <w:rFonts w:cstheme="minorHAnsi"/>
        </w:rPr>
        <w:t xml:space="preserve"> </w:t>
      </w:r>
      <w:r w:rsidR="004C6EB6">
        <w:rPr>
          <w:rFonts w:cstheme="minorHAnsi"/>
        </w:rPr>
        <w:t xml:space="preserve">indehold overstiger en mindstegrænse for </w:t>
      </w:r>
      <w:r>
        <w:rPr>
          <w:rFonts w:cstheme="minorHAnsi"/>
        </w:rPr>
        <w:t>affald egnet til materialenyttiggørelse</w:t>
      </w:r>
      <w:r w:rsidR="004C6EB6">
        <w:rPr>
          <w:rFonts w:cstheme="minorHAnsi"/>
        </w:rPr>
        <w:t xml:space="preserve"> eller indeholder usolgte forbrugerprodukter</w:t>
      </w:r>
      <w:r>
        <w:rPr>
          <w:rFonts w:cstheme="minorHAnsi"/>
        </w:rPr>
        <w:t>. Undersøgelsen vil kunne udføres ved visuel kontrol af åbne affaldslæs</w:t>
      </w:r>
      <w:r w:rsidR="00E14D8A">
        <w:rPr>
          <w:rFonts w:cstheme="minorHAnsi"/>
        </w:rPr>
        <w:t xml:space="preserve">, </w:t>
      </w:r>
      <w:r w:rsidR="00A57D6F">
        <w:rPr>
          <w:rFonts w:cstheme="minorHAnsi"/>
        </w:rPr>
        <w:t xml:space="preserve">ved gennemsyn af materiale fra overvågningskameraer, </w:t>
      </w:r>
      <w:r>
        <w:rPr>
          <w:rFonts w:cstheme="minorHAnsi"/>
        </w:rPr>
        <w:t>ved udspredning af dele af affaldet på gulv</w:t>
      </w:r>
      <w:r w:rsidR="00E14D8A">
        <w:rPr>
          <w:rFonts w:cstheme="minorHAnsi"/>
        </w:rPr>
        <w:t xml:space="preserve"> eller på anden vis</w:t>
      </w:r>
      <w:r w:rsidR="004C6EB6">
        <w:rPr>
          <w:rFonts w:cstheme="minorHAnsi"/>
        </w:rPr>
        <w:t xml:space="preserve">, der er egnet til at fastlægge affaldets indhold. </w:t>
      </w:r>
    </w:p>
    <w:p w14:paraId="52B32446" w14:textId="53FF0892" w:rsidR="0089470C" w:rsidRPr="005E23CA" w:rsidRDefault="0089470C" w:rsidP="00000BD4">
      <w:pPr>
        <w:spacing w:after="240"/>
        <w:rPr>
          <w:rFonts w:cstheme="minorHAnsi"/>
        </w:rPr>
      </w:pPr>
      <w:r>
        <w:rPr>
          <w:rFonts w:cstheme="minorHAnsi"/>
        </w:rPr>
        <w:t xml:space="preserve">Ved ”affald egnet til materialenyttiggørelse” forstås i overensstemmelse med affaldsbekendtgørelsens § 3, stk. 1, nr. </w:t>
      </w:r>
      <w:r w:rsidR="00E14D8A">
        <w:rPr>
          <w:rFonts w:cstheme="minorHAnsi"/>
        </w:rPr>
        <w:t>1, a</w:t>
      </w:r>
      <w:r w:rsidR="00E14D8A" w:rsidRPr="005E23CA">
        <w:rPr>
          <w:rFonts w:cstheme="minorHAnsi"/>
        </w:rPr>
        <w:t>ffald, som kan forberedes til genbrug, genanvendes eller anvendes til anden endelig materialenyttigg</w:t>
      </w:r>
      <w:r w:rsidR="00E14D8A" w:rsidRPr="005E23CA">
        <w:rPr>
          <w:rFonts w:cstheme="minorHAnsi" w:hint="eastAsia"/>
        </w:rPr>
        <w:t>ø</w:t>
      </w:r>
      <w:r w:rsidR="00E14D8A" w:rsidRPr="005E23CA">
        <w:rPr>
          <w:rFonts w:cstheme="minorHAnsi"/>
        </w:rPr>
        <w:t>relse eller forbehandling med henblik p</w:t>
      </w:r>
      <w:r w:rsidR="00E14D8A" w:rsidRPr="005E23CA">
        <w:rPr>
          <w:rFonts w:cstheme="minorHAnsi" w:hint="eastAsia"/>
        </w:rPr>
        <w:t>å</w:t>
      </w:r>
      <w:r w:rsidR="00E14D8A" w:rsidRPr="005E23CA">
        <w:rPr>
          <w:rFonts w:cstheme="minorHAnsi"/>
        </w:rPr>
        <w:t xml:space="preserve"> en af de n</w:t>
      </w:r>
      <w:r w:rsidR="00E14D8A" w:rsidRPr="005E23CA">
        <w:rPr>
          <w:rFonts w:cstheme="minorHAnsi" w:hint="eastAsia"/>
        </w:rPr>
        <w:t>æ</w:t>
      </w:r>
      <w:r w:rsidR="00E14D8A" w:rsidRPr="005E23CA">
        <w:rPr>
          <w:rFonts w:cstheme="minorHAnsi"/>
        </w:rPr>
        <w:t>vnte behandlingsformer.</w:t>
      </w:r>
      <w:r w:rsidR="005C2CEA">
        <w:rPr>
          <w:rFonts w:cstheme="minorHAnsi"/>
        </w:rPr>
        <w:t xml:space="preserve"> Det bemærkes, at usolgte forbrugerprodukter jf. nedenfor er omfattet af definitionen affald egnet til materialenyttiggørelse. </w:t>
      </w:r>
    </w:p>
    <w:p w14:paraId="3D836008" w14:textId="5CF62B27" w:rsidR="0005052E" w:rsidRPr="0005052E" w:rsidRDefault="004C6EB6" w:rsidP="00095150">
      <w:pPr>
        <w:spacing w:after="240"/>
        <w:rPr>
          <w:rFonts w:cstheme="minorHAnsi"/>
        </w:rPr>
      </w:pPr>
      <w:r>
        <w:rPr>
          <w:rFonts w:cstheme="minorHAnsi"/>
        </w:rPr>
        <w:t xml:space="preserve">Ved ”usolgte forbrugerprodukter” forstås </w:t>
      </w:r>
      <w:r w:rsidR="0005052E">
        <w:rPr>
          <w:rFonts w:cstheme="minorHAnsi"/>
        </w:rPr>
        <w:t xml:space="preserve">i henhold til </w:t>
      </w:r>
      <w:proofErr w:type="spellStart"/>
      <w:r w:rsidR="0005052E">
        <w:rPr>
          <w:rFonts w:cstheme="minorHAnsi"/>
        </w:rPr>
        <w:t>ecodesignforordningen</w:t>
      </w:r>
      <w:r w:rsidR="00C5599C">
        <w:rPr>
          <w:rFonts w:cstheme="minorHAnsi"/>
        </w:rPr>
        <w:t>s</w:t>
      </w:r>
      <w:proofErr w:type="spellEnd"/>
      <w:r w:rsidR="00C5599C">
        <w:rPr>
          <w:rFonts w:cstheme="minorHAnsi"/>
        </w:rPr>
        <w:t xml:space="preserve"> artikel </w:t>
      </w:r>
      <w:r w:rsidR="005E23CA">
        <w:rPr>
          <w:rFonts w:cstheme="minorHAnsi"/>
        </w:rPr>
        <w:t>2</w:t>
      </w:r>
      <w:r w:rsidR="0005052E">
        <w:rPr>
          <w:rFonts w:cstheme="minorHAnsi"/>
        </w:rPr>
        <w:t xml:space="preserve"> </w:t>
      </w:r>
      <w:r w:rsidR="0005052E" w:rsidRPr="0005052E">
        <w:rPr>
          <w:rFonts w:cstheme="minorHAnsi"/>
        </w:rPr>
        <w:t>ethvert forbrugerprodukt, der ikke er blevet solgt, herunder overskudslager, for stor lageropbygning og ukurante produkter og produkter, som er blevet returneret af en forbruger på grundlag af dennes fortrydelsesret i overensstemmelse med artikel 9 i direktiv 2011/83/EU</w:t>
      </w:r>
      <w:r w:rsidR="00A57D6F">
        <w:rPr>
          <w:rFonts w:cstheme="minorHAnsi"/>
        </w:rPr>
        <w:t>,</w:t>
      </w:r>
      <w:r w:rsidR="0005052E" w:rsidRPr="0005052E">
        <w:rPr>
          <w:rFonts w:cstheme="minorHAnsi"/>
        </w:rPr>
        <w:t xml:space="preserve"> eller, hvor det er relevant, under en eventuel længere fortrydelsesfrist, som den handlende har givet</w:t>
      </w:r>
      <w:r w:rsidR="0005052E">
        <w:rPr>
          <w:rFonts w:cstheme="minorHAnsi"/>
        </w:rPr>
        <w:t>.</w:t>
      </w:r>
    </w:p>
    <w:p w14:paraId="6C6EAB73" w14:textId="08E878C7" w:rsidR="004203D0" w:rsidRPr="00091974" w:rsidRDefault="00A61FB5" w:rsidP="004203D0">
      <w:pPr>
        <w:spacing w:after="240"/>
        <w:rPr>
          <w:rFonts w:cstheme="minorHAnsi"/>
        </w:rPr>
      </w:pPr>
      <w:r w:rsidRPr="00091974">
        <w:rPr>
          <w:rFonts w:cstheme="minorHAnsi"/>
        </w:rPr>
        <w:t xml:space="preserve">Den foreslåede bestemmelse </w:t>
      </w:r>
      <w:r w:rsidR="00253B18">
        <w:t xml:space="preserve">forventes udmøntet i </w:t>
      </w:r>
      <w:r w:rsidR="003070BF">
        <w:rPr>
          <w:rFonts w:cstheme="minorHAnsi"/>
        </w:rPr>
        <w:t xml:space="preserve">affaldsbekendtgørelsen </w:t>
      </w:r>
      <w:r w:rsidR="00253B18">
        <w:rPr>
          <w:rFonts w:cstheme="minorHAnsi"/>
        </w:rPr>
        <w:t>med regler om</w:t>
      </w:r>
      <w:r w:rsidR="00A57D6F">
        <w:rPr>
          <w:rFonts w:cstheme="minorHAnsi"/>
        </w:rPr>
        <w:t>,</w:t>
      </w:r>
      <w:r w:rsidR="00253B18">
        <w:rPr>
          <w:rFonts w:cstheme="minorHAnsi"/>
        </w:rPr>
        <w:t xml:space="preserve"> at virksomheder, der driver affaldsforbrændingsanlæg</w:t>
      </w:r>
      <w:r w:rsidR="00A57D6F">
        <w:rPr>
          <w:rFonts w:cstheme="minorHAnsi"/>
        </w:rPr>
        <w:t>,</w:t>
      </w:r>
      <w:r w:rsidR="00253B18">
        <w:rPr>
          <w:rFonts w:cstheme="minorHAnsi"/>
        </w:rPr>
        <w:t xml:space="preserve"> skal føre kontrol med en vis andel af de affaldslæs, der modtages på affaldsforbrændingsanlægget ugentligt. </w:t>
      </w:r>
      <w:r w:rsidR="00AA0B20">
        <w:rPr>
          <w:rFonts w:cstheme="minorHAnsi"/>
        </w:rPr>
        <w:t xml:space="preserve">Bemyndigelsen </w:t>
      </w:r>
      <w:r w:rsidR="00253B18">
        <w:rPr>
          <w:rFonts w:cstheme="minorHAnsi"/>
        </w:rPr>
        <w:t xml:space="preserve">forventes herudover anvendt til at fastsætte regler om, at affaldsforbrændingsanlæg skal føre kontrol ved begrundet mistanke om, at et affaldslæs indeholder </w:t>
      </w:r>
      <w:r w:rsidR="008C7BC0">
        <w:rPr>
          <w:rFonts w:cstheme="minorHAnsi"/>
        </w:rPr>
        <w:t>affald egnet til materialenytti</w:t>
      </w:r>
      <w:r w:rsidR="002A06FE">
        <w:rPr>
          <w:rFonts w:cstheme="minorHAnsi"/>
        </w:rPr>
        <w:t>g</w:t>
      </w:r>
      <w:r w:rsidR="008C7BC0">
        <w:rPr>
          <w:rFonts w:cstheme="minorHAnsi"/>
        </w:rPr>
        <w:t>gørelse</w:t>
      </w:r>
      <w:r w:rsidR="00253B18">
        <w:rPr>
          <w:rFonts w:cstheme="minorHAnsi"/>
        </w:rPr>
        <w:t xml:space="preserve">. </w:t>
      </w:r>
    </w:p>
    <w:p w14:paraId="6CB43D9B" w14:textId="596E31D9" w:rsidR="00A61FB5" w:rsidRPr="00091974" w:rsidRDefault="00253B18" w:rsidP="00000BD4">
      <w:pPr>
        <w:spacing w:after="240"/>
        <w:rPr>
          <w:rFonts w:cstheme="minorHAnsi"/>
        </w:rPr>
      </w:pPr>
      <w:r>
        <w:rPr>
          <w:rFonts w:cstheme="minorHAnsi"/>
        </w:rPr>
        <w:t xml:space="preserve">Den foreslåede bestemmelse forventes endvidere at blive udmøntet ved, at der, når </w:t>
      </w:r>
      <w:proofErr w:type="spellStart"/>
      <w:r w:rsidR="00AA0B20">
        <w:rPr>
          <w:rFonts w:cstheme="minorHAnsi"/>
        </w:rPr>
        <w:t>e</w:t>
      </w:r>
      <w:r>
        <w:rPr>
          <w:rFonts w:cstheme="minorHAnsi"/>
        </w:rPr>
        <w:t>codesignforordningen</w:t>
      </w:r>
      <w:proofErr w:type="spellEnd"/>
      <w:r>
        <w:rPr>
          <w:rFonts w:cstheme="minorHAnsi"/>
        </w:rPr>
        <w:t xml:space="preserve"> træder i kraft, vil blive fastsat bestemmelser om, at virksomheder, der driver genanvendelsesanlæg</w:t>
      </w:r>
      <w:r w:rsidR="00A57D6F">
        <w:rPr>
          <w:rFonts w:cstheme="minorHAnsi"/>
        </w:rPr>
        <w:t>,</w:t>
      </w:r>
      <w:r>
        <w:rPr>
          <w:rFonts w:cstheme="minorHAnsi"/>
        </w:rPr>
        <w:t xml:space="preserve"> skal føre kontrol med, hvorvidt indleverede affaldslæs indeholder usolgte forbrugerprodukter</w:t>
      </w:r>
      <w:r w:rsidR="00E14EAE">
        <w:rPr>
          <w:rFonts w:cstheme="minorHAnsi"/>
        </w:rPr>
        <w:t xml:space="preserve"> i strid med reglerne i </w:t>
      </w:r>
      <w:proofErr w:type="spellStart"/>
      <w:r w:rsidR="00AA0B20">
        <w:rPr>
          <w:rFonts w:cstheme="minorHAnsi"/>
        </w:rPr>
        <w:t>e</w:t>
      </w:r>
      <w:r w:rsidR="00E14EAE">
        <w:rPr>
          <w:rFonts w:cstheme="minorHAnsi"/>
        </w:rPr>
        <w:t>codesignforordningen</w:t>
      </w:r>
      <w:proofErr w:type="spellEnd"/>
      <w:r w:rsidR="00E14EAE">
        <w:rPr>
          <w:rFonts w:cstheme="minorHAnsi"/>
        </w:rPr>
        <w:t>. Hvordan kontrollen nærmere skal foregå, vil afhænge af hvilket forbrugerprodukt, der er tale om.</w:t>
      </w:r>
    </w:p>
    <w:p w14:paraId="59AC53A0" w14:textId="77777777" w:rsidR="00000BD4" w:rsidRPr="00091974" w:rsidRDefault="00000BD4" w:rsidP="00000BD4">
      <w:pPr>
        <w:spacing w:after="240"/>
        <w:rPr>
          <w:rFonts w:cstheme="minorHAnsi"/>
        </w:rPr>
      </w:pPr>
      <w:r w:rsidRPr="00091974">
        <w:rPr>
          <w:rFonts w:cstheme="minorHAnsi"/>
        </w:rPr>
        <w:lastRenderedPageBreak/>
        <w:t>Der henvises i øvrigt til pkt.</w:t>
      </w:r>
      <w:r w:rsidR="00E14EAE">
        <w:rPr>
          <w:rFonts w:cstheme="minorHAnsi"/>
        </w:rPr>
        <w:t xml:space="preserve"> 3.1.2.</w:t>
      </w:r>
      <w:r w:rsidR="001C75F2">
        <w:rPr>
          <w:rFonts w:cstheme="minorHAnsi"/>
        </w:rPr>
        <w:t>1</w:t>
      </w:r>
      <w:r w:rsidRPr="00091974">
        <w:rPr>
          <w:rFonts w:cstheme="minorHAnsi"/>
        </w:rPr>
        <w:t xml:space="preserve"> i lovforslagets almindelige bemærkninger.</w:t>
      </w:r>
    </w:p>
    <w:p w14:paraId="431105C1" w14:textId="77777777" w:rsidR="00CF4137" w:rsidRDefault="00000BD4" w:rsidP="00000BD4">
      <w:pPr>
        <w:spacing w:after="240"/>
        <w:rPr>
          <w:rFonts w:cstheme="minorHAnsi"/>
        </w:rPr>
      </w:pPr>
      <w:r w:rsidRPr="00091974">
        <w:rPr>
          <w:rFonts w:cstheme="minorHAnsi"/>
        </w:rPr>
        <w:t xml:space="preserve">Det foreslås </w:t>
      </w:r>
      <w:r w:rsidR="00CF4137">
        <w:rPr>
          <w:rFonts w:cstheme="minorHAnsi"/>
        </w:rPr>
        <w:t xml:space="preserve">med lovforslaget </w:t>
      </w:r>
      <w:r w:rsidRPr="00091974">
        <w:rPr>
          <w:rFonts w:cstheme="minorHAnsi"/>
        </w:rPr>
        <w:t xml:space="preserve">at indsætte et nyt </w:t>
      </w:r>
      <w:r w:rsidRPr="00091974">
        <w:rPr>
          <w:rFonts w:cstheme="minorHAnsi"/>
          <w:i/>
        </w:rPr>
        <w:t>stk.</w:t>
      </w:r>
      <w:r>
        <w:rPr>
          <w:rFonts w:cstheme="minorHAnsi"/>
          <w:i/>
        </w:rPr>
        <w:t xml:space="preserve"> </w:t>
      </w:r>
      <w:r w:rsidR="00A61FB5">
        <w:rPr>
          <w:rFonts w:cstheme="minorHAnsi"/>
          <w:i/>
        </w:rPr>
        <w:t>9</w:t>
      </w:r>
      <w:r>
        <w:rPr>
          <w:rFonts w:cstheme="minorHAnsi"/>
          <w:i/>
        </w:rPr>
        <w:t xml:space="preserve"> </w:t>
      </w:r>
      <w:r w:rsidRPr="00091974">
        <w:rPr>
          <w:rFonts w:cstheme="minorHAnsi"/>
        </w:rPr>
        <w:t xml:space="preserve">i § </w:t>
      </w:r>
      <w:r>
        <w:rPr>
          <w:rFonts w:cstheme="minorHAnsi"/>
        </w:rPr>
        <w:t>44</w:t>
      </w:r>
      <w:r w:rsidRPr="00091974">
        <w:rPr>
          <w:rFonts w:cstheme="minorHAnsi"/>
        </w:rPr>
        <w:t xml:space="preserve">. </w:t>
      </w:r>
    </w:p>
    <w:p w14:paraId="7F1694C7" w14:textId="79FCD4A9" w:rsidR="00CF4137" w:rsidRDefault="00000BD4" w:rsidP="00000BD4">
      <w:pPr>
        <w:spacing w:after="240"/>
      </w:pPr>
      <w:r w:rsidRPr="00091974">
        <w:rPr>
          <w:rFonts w:cstheme="minorHAnsi"/>
        </w:rPr>
        <w:t xml:space="preserve">Ifølge det foreslåede stk. </w:t>
      </w:r>
      <w:r>
        <w:rPr>
          <w:rFonts w:cstheme="minorHAnsi"/>
        </w:rPr>
        <w:t>9</w:t>
      </w:r>
      <w:r w:rsidR="000C789C">
        <w:rPr>
          <w:rFonts w:cstheme="minorHAnsi"/>
        </w:rPr>
        <w:t xml:space="preserve">, </w:t>
      </w:r>
      <w:r w:rsidR="000C789C">
        <w:rPr>
          <w:rFonts w:cstheme="minorHAnsi"/>
          <w:i/>
        </w:rPr>
        <w:t>1. pkt.,</w:t>
      </w:r>
      <w:r>
        <w:rPr>
          <w:rFonts w:cstheme="minorHAnsi"/>
        </w:rPr>
        <w:t xml:space="preserve"> bliver m</w:t>
      </w:r>
      <w:r>
        <w:t xml:space="preserve">iljøministeren bemyndiget til at kunne fastsætte regler om, at </w:t>
      </w:r>
      <w:r w:rsidR="000C789C">
        <w:t xml:space="preserve">virksomheder, der driver </w:t>
      </w:r>
      <w:r w:rsidRPr="003E18E1">
        <w:t>affaldsbehandlingsanlæg</w:t>
      </w:r>
      <w:r>
        <w:t>, der modtager affald med henblik på forbrænding</w:t>
      </w:r>
      <w:r w:rsidR="00A57D6F">
        <w:t>,</w:t>
      </w:r>
      <w:r>
        <w:t xml:space="preserve"> </w:t>
      </w:r>
      <w:r w:rsidR="000C789C">
        <w:t xml:space="preserve">skal afvise affald, hvis det </w:t>
      </w:r>
      <w:r w:rsidR="008C7BC0">
        <w:t>vurderes</w:t>
      </w:r>
      <w:r w:rsidR="000C789C">
        <w:t xml:space="preserve">, at </w:t>
      </w:r>
      <w:r w:rsidR="005C2CEA">
        <w:t>affaldet indeholder affald</w:t>
      </w:r>
      <w:r w:rsidR="000C789C">
        <w:t xml:space="preserve"> </w:t>
      </w:r>
      <w:r w:rsidR="008C7BC0">
        <w:t>egnet til materia</w:t>
      </w:r>
      <w:r w:rsidR="00413B94">
        <w:t xml:space="preserve">lenyttiggørelse. </w:t>
      </w:r>
    </w:p>
    <w:p w14:paraId="20568411" w14:textId="43D096D0" w:rsidR="000C789C" w:rsidRDefault="000C789C" w:rsidP="00000BD4">
      <w:pPr>
        <w:spacing w:after="240"/>
      </w:pPr>
      <w:r>
        <w:t xml:space="preserve">Ifølge det foreslåede stk. 9, </w:t>
      </w:r>
      <w:r>
        <w:rPr>
          <w:i/>
        </w:rPr>
        <w:t xml:space="preserve">2. pkt., </w:t>
      </w:r>
      <w:r>
        <w:t xml:space="preserve">bliver miljøministeren bemyndiget til at fastsætte regler om, at virksomheder, der driver affaldsbehandlingsanlæg, der modtager affald med henblik på genanvendelse, skal afvise affald i form af usolgte forbrugerprodukter. </w:t>
      </w:r>
    </w:p>
    <w:p w14:paraId="34368B7F" w14:textId="737760BC" w:rsidR="00E86A12" w:rsidRDefault="00E86A12" w:rsidP="00000BD4">
      <w:pPr>
        <w:spacing w:after="240"/>
      </w:pPr>
      <w:r>
        <w:t>Det bemærkes, at der vil blive fastsat regler om en grænse for</w:t>
      </w:r>
      <w:r w:rsidR="00D0635D">
        <w:t>,</w:t>
      </w:r>
      <w:r>
        <w:t xml:space="preserve"> hvornår et affaldslæs indeholder så meget affald egnet til materialenyttiggørelse, at </w:t>
      </w:r>
      <w:proofErr w:type="gramStart"/>
      <w:r>
        <w:t xml:space="preserve">det </w:t>
      </w:r>
      <w:r w:rsidR="00F61DA9">
        <w:t xml:space="preserve"> </w:t>
      </w:r>
      <w:r>
        <w:t>er</w:t>
      </w:r>
      <w:proofErr w:type="gramEnd"/>
      <w:r>
        <w:t xml:space="preserve"> omfattet af reglerne.</w:t>
      </w:r>
    </w:p>
    <w:p w14:paraId="321537B3" w14:textId="77777777" w:rsidR="00CF4137" w:rsidRDefault="00CF4137" w:rsidP="00000BD4">
      <w:pPr>
        <w:spacing w:after="240"/>
      </w:pPr>
      <w:r>
        <w:t xml:space="preserve">Ved </w:t>
      </w:r>
      <w:proofErr w:type="gramStart"/>
      <w:r>
        <w:t>”afvise”</w:t>
      </w:r>
      <w:proofErr w:type="gramEnd"/>
      <w:r>
        <w:t xml:space="preserve"> forstås dels en egentlig fysisk afvisning, hvorved affaldet nægtes modtaget på anlægget og dels en såkaldt administrativ afvisning, hvorved affaldet af praktiske årsager </w:t>
      </w:r>
      <w:r w:rsidR="000C3632">
        <w:t xml:space="preserve">alligevel </w:t>
      </w:r>
      <w:r>
        <w:t>modtages og behandles på anlægget uanset indhold</w:t>
      </w:r>
      <w:r w:rsidR="000C3632">
        <w:t>, jf. nedenfor</w:t>
      </w:r>
      <w:r>
        <w:t>.</w:t>
      </w:r>
      <w:r w:rsidR="000C3632">
        <w:t xml:space="preserve"> </w:t>
      </w:r>
    </w:p>
    <w:p w14:paraId="7306985A" w14:textId="77777777" w:rsidR="00D75DD3" w:rsidRDefault="00D75DD3" w:rsidP="00000BD4">
      <w:pPr>
        <w:spacing w:after="240"/>
      </w:pPr>
      <w:r>
        <w:t>I praksis er det forventningen, at afvisningen kommer til at foregå på følgende måde:</w:t>
      </w:r>
    </w:p>
    <w:p w14:paraId="5F0FBC17" w14:textId="33B3FC17" w:rsidR="00C7613C" w:rsidRDefault="00D75DD3" w:rsidP="00000BD4">
      <w:pPr>
        <w:spacing w:after="240"/>
      </w:pPr>
      <w:r>
        <w:t xml:space="preserve">En virksomhed, der driver affaldsforbrændingsanlæg, foretager kontrol af et affaldslæs i henhold til bestemmelser fastsat i medfør af § 44, nyt stk. 8. Kontrollen kan </w:t>
      </w:r>
      <w:r w:rsidR="007C5732">
        <w:t xml:space="preserve">f.eks. </w:t>
      </w:r>
      <w:r>
        <w:t xml:space="preserve">være visuel kontrol af et åbent læs, kontrol i form af videoovervågning eller kontrol ved udspredning af affald på gulv. Hvis kontrollen medfører, at det </w:t>
      </w:r>
      <w:r w:rsidR="00413B94">
        <w:t>vurderes</w:t>
      </w:r>
      <w:r>
        <w:t>, at affaldet indeholder affald egnet til materialenyttiggørelse</w:t>
      </w:r>
      <w:r w:rsidR="00E86A12">
        <w:t xml:space="preserve"> over en vis grænse</w:t>
      </w:r>
      <w:r w:rsidR="00A57D6F">
        <w:t>,</w:t>
      </w:r>
      <w:r>
        <w:t xml:space="preserve"> skal virksomheden afvise affaldslæsset. </w:t>
      </w:r>
      <w:r w:rsidR="00C7613C">
        <w:t xml:space="preserve">Det bemærkes, at kontrollen fra affaldsforbrændingsanlæggets side alene er en indledende vurdering af affaldet. Den egentlige klassificering af affaldet foretages af Miljøstyrelsen efter underretning </w:t>
      </w:r>
      <w:r w:rsidR="0010175B">
        <w:t xml:space="preserve">fra virksomheden, der driver affaldsforbrændingsanlægget </w:t>
      </w:r>
      <w:r w:rsidR="00C7613C">
        <w:t>om afvisning</w:t>
      </w:r>
      <w:r w:rsidR="00A57D6F">
        <w:t>en</w:t>
      </w:r>
      <w:r w:rsidR="00C7613C">
        <w:t xml:space="preserve">. </w:t>
      </w:r>
    </w:p>
    <w:p w14:paraId="79AFA0E2" w14:textId="54D373CE" w:rsidR="00D75DD3" w:rsidRDefault="00D75DD3" w:rsidP="00000BD4">
      <w:pPr>
        <w:spacing w:after="240"/>
        <w:rPr>
          <w:rFonts w:cstheme="minorHAnsi"/>
        </w:rPr>
      </w:pPr>
      <w:r>
        <w:t xml:space="preserve">Afvisning kan ske på to måder; ved en </w:t>
      </w:r>
      <w:r w:rsidR="00C7613C">
        <w:t xml:space="preserve">fysisk afvisning eller ved en administrativ afvisning. Ved en fysisk afvisning nægter affaldsforbrændingsanlægget at modtage affaldet og læsset bortkøres fra anlægget. </w:t>
      </w:r>
      <w:r w:rsidR="00C7613C">
        <w:rPr>
          <w:rFonts w:cstheme="minorHAnsi"/>
        </w:rPr>
        <w:t xml:space="preserve">Såfremt kontrollen er foretaget i form af gennemgang af overvågningsbilleder af affaldslæsset </w:t>
      </w:r>
      <w:r w:rsidR="00C7613C">
        <w:rPr>
          <w:rFonts w:cstheme="minorHAnsi"/>
        </w:rPr>
        <w:lastRenderedPageBreak/>
        <w:t>på vej ned i affaldsforbrændingssiloen</w:t>
      </w:r>
      <w:r w:rsidR="00AD641D">
        <w:rPr>
          <w:rFonts w:cstheme="minorHAnsi"/>
        </w:rPr>
        <w:t xml:space="preserve"> eller udspredning på gulv</w:t>
      </w:r>
      <w:r w:rsidR="00C7613C">
        <w:rPr>
          <w:rFonts w:cstheme="minorHAnsi"/>
        </w:rPr>
        <w:t xml:space="preserve">, vil det i praksis ikke være muligt fysisk at afvise læsset. </w:t>
      </w:r>
    </w:p>
    <w:p w14:paraId="61BBF8D5" w14:textId="4B0F4E49" w:rsidR="00C7613C" w:rsidRDefault="00C7613C" w:rsidP="00000BD4">
      <w:pPr>
        <w:spacing w:after="240"/>
      </w:pPr>
      <w:r>
        <w:t xml:space="preserve">I sådanne tilfælde vil der i stedet skulle </w:t>
      </w:r>
      <w:r w:rsidR="00D60D56">
        <w:t>gennemføres</w:t>
      </w:r>
      <w:r>
        <w:t xml:space="preserve"> en administrativ afvisning, hvorved affaldsforbrændingsanlægget kontakter affaldsproducenten eller -indsamleren og meddeler, at affaldet er administrativt afvist</w:t>
      </w:r>
      <w:r w:rsidR="00A57D6F">
        <w:t>,</w:t>
      </w:r>
      <w:r>
        <w:t xml:space="preserve"> og at der vil ske underretning af Miljøstyrelsen, jf. nedenfor.</w:t>
      </w:r>
    </w:p>
    <w:p w14:paraId="0345F19A" w14:textId="7D35FFA2" w:rsidR="000C3632" w:rsidRDefault="00D60D56" w:rsidP="000C3632">
      <w:pPr>
        <w:spacing w:after="240"/>
      </w:pPr>
      <w:r>
        <w:t xml:space="preserve">Bemyndigelsen </w:t>
      </w:r>
      <w:r w:rsidR="000C3632">
        <w:t>påtænkes udnyttet til at fastsætte regler i affaldsbekendtgørelsen om, at virksomheder, der driver affaldsforbrændingsanlæg, skal afvise at modtage affaldslæs, der indeholder affald egnet til materialenyttiggørelse</w:t>
      </w:r>
      <w:r w:rsidR="000E6AA1">
        <w:t xml:space="preserve"> over en vis grænse</w:t>
      </w:r>
      <w:r w:rsidR="000C3632">
        <w:t xml:space="preserve">. </w:t>
      </w:r>
    </w:p>
    <w:p w14:paraId="2D525BD7" w14:textId="253B21EF" w:rsidR="00000BD4" w:rsidRPr="00091974" w:rsidRDefault="00D60D56" w:rsidP="00C7613C">
      <w:pPr>
        <w:spacing w:after="240"/>
        <w:rPr>
          <w:rFonts w:cstheme="minorHAnsi"/>
        </w:rPr>
      </w:pPr>
      <w:r>
        <w:rPr>
          <w:rFonts w:cstheme="minorHAnsi"/>
        </w:rPr>
        <w:t>Bemyndigelsen</w:t>
      </w:r>
      <w:r w:rsidR="00322874">
        <w:rPr>
          <w:rFonts w:cstheme="minorHAnsi"/>
        </w:rPr>
        <w:t xml:space="preserve"> forventes </w:t>
      </w:r>
      <w:r w:rsidR="00BF3D9E">
        <w:rPr>
          <w:rFonts w:cstheme="minorHAnsi"/>
        </w:rPr>
        <w:t xml:space="preserve">endvidere </w:t>
      </w:r>
      <w:r w:rsidR="00322874">
        <w:rPr>
          <w:rFonts w:cstheme="minorHAnsi"/>
        </w:rPr>
        <w:t>anvendt til at fastsætte regler om, at virksomheder, der driver genanvendelsesanlæg</w:t>
      </w:r>
      <w:r w:rsidR="00A57D6F">
        <w:rPr>
          <w:rFonts w:cstheme="minorHAnsi"/>
        </w:rPr>
        <w:t>,</w:t>
      </w:r>
      <w:r w:rsidR="00322874">
        <w:rPr>
          <w:rFonts w:cstheme="minorHAnsi"/>
        </w:rPr>
        <w:t xml:space="preserve"> skal afvise at modtage affald, der </w:t>
      </w:r>
      <w:r w:rsidR="009E13CF">
        <w:rPr>
          <w:rFonts w:cstheme="minorHAnsi"/>
        </w:rPr>
        <w:t xml:space="preserve">er omfattet af destruktionsforbud vedtaget i medfør af </w:t>
      </w:r>
      <w:proofErr w:type="spellStart"/>
      <w:r w:rsidR="005E23CA">
        <w:rPr>
          <w:rFonts w:cstheme="minorHAnsi"/>
        </w:rPr>
        <w:t>e</w:t>
      </w:r>
      <w:r w:rsidR="009E13CF">
        <w:rPr>
          <w:rFonts w:cstheme="minorHAnsi"/>
        </w:rPr>
        <w:t>codesignforordningen</w:t>
      </w:r>
      <w:r>
        <w:rPr>
          <w:rFonts w:cstheme="minorHAnsi"/>
        </w:rPr>
        <w:t>s</w:t>
      </w:r>
      <w:proofErr w:type="spellEnd"/>
      <w:r>
        <w:rPr>
          <w:rFonts w:cstheme="minorHAnsi"/>
        </w:rPr>
        <w:t xml:space="preserve"> artikel </w:t>
      </w:r>
      <w:r w:rsidR="005E23CA">
        <w:rPr>
          <w:rFonts w:cstheme="minorHAnsi"/>
        </w:rPr>
        <w:t>25</w:t>
      </w:r>
      <w:r w:rsidR="009E13CF">
        <w:rPr>
          <w:rFonts w:cstheme="minorHAnsi"/>
        </w:rPr>
        <w:t xml:space="preserve">. </w:t>
      </w:r>
    </w:p>
    <w:p w14:paraId="4B9A181B" w14:textId="77777777" w:rsidR="00000BD4" w:rsidRPr="00091974" w:rsidRDefault="00000BD4" w:rsidP="00000BD4">
      <w:pPr>
        <w:spacing w:after="240"/>
        <w:rPr>
          <w:rFonts w:cstheme="minorHAnsi"/>
        </w:rPr>
      </w:pPr>
      <w:r w:rsidRPr="00091974">
        <w:rPr>
          <w:rFonts w:cstheme="minorHAnsi"/>
        </w:rPr>
        <w:t xml:space="preserve">Der henvises i øvrigt til pkt. </w:t>
      </w:r>
      <w:r w:rsidR="00322874">
        <w:rPr>
          <w:rFonts w:cstheme="minorHAnsi"/>
        </w:rPr>
        <w:t>3.1.2.</w:t>
      </w:r>
      <w:r w:rsidR="007C5732">
        <w:rPr>
          <w:rFonts w:cstheme="minorHAnsi"/>
        </w:rPr>
        <w:t xml:space="preserve">2 </w:t>
      </w:r>
      <w:r w:rsidRPr="00091974">
        <w:rPr>
          <w:rFonts w:cstheme="minorHAnsi"/>
        </w:rPr>
        <w:t>i lovforslagets almindelige bemærkninger.</w:t>
      </w:r>
    </w:p>
    <w:p w14:paraId="719B9BD9" w14:textId="1B9CE410" w:rsidR="00000BD4" w:rsidRDefault="00000BD4" w:rsidP="00095150">
      <w:pPr>
        <w:spacing w:after="240"/>
        <w:rPr>
          <w:rFonts w:cstheme="minorHAnsi"/>
        </w:rPr>
      </w:pPr>
      <w:r w:rsidRPr="00091974">
        <w:rPr>
          <w:rFonts w:cstheme="minorHAnsi"/>
        </w:rPr>
        <w:t xml:space="preserve">Det foreslås </w:t>
      </w:r>
      <w:r w:rsidR="007C5732">
        <w:rPr>
          <w:rFonts w:cstheme="minorHAnsi"/>
        </w:rPr>
        <w:t xml:space="preserve">med lovforslaget </w:t>
      </w:r>
      <w:r w:rsidRPr="00091974">
        <w:rPr>
          <w:rFonts w:cstheme="minorHAnsi"/>
        </w:rPr>
        <w:t xml:space="preserve">at indsætte et nyt </w:t>
      </w:r>
      <w:r w:rsidRPr="00091974">
        <w:rPr>
          <w:rFonts w:cstheme="minorHAnsi"/>
          <w:i/>
        </w:rPr>
        <w:t>stk.</w:t>
      </w:r>
      <w:r>
        <w:rPr>
          <w:rFonts w:cstheme="minorHAnsi"/>
          <w:i/>
        </w:rPr>
        <w:t xml:space="preserve"> </w:t>
      </w:r>
      <w:r w:rsidR="00322874">
        <w:rPr>
          <w:rFonts w:cstheme="minorHAnsi"/>
          <w:i/>
        </w:rPr>
        <w:t>10</w:t>
      </w:r>
      <w:r>
        <w:rPr>
          <w:rFonts w:cstheme="minorHAnsi"/>
          <w:i/>
        </w:rPr>
        <w:t xml:space="preserve"> </w:t>
      </w:r>
      <w:r w:rsidRPr="00091974">
        <w:rPr>
          <w:rFonts w:cstheme="minorHAnsi"/>
        </w:rPr>
        <w:t xml:space="preserve">i § </w:t>
      </w:r>
      <w:r>
        <w:rPr>
          <w:rFonts w:cstheme="minorHAnsi"/>
        </w:rPr>
        <w:t>44</w:t>
      </w:r>
      <w:r w:rsidRPr="00091974">
        <w:rPr>
          <w:rFonts w:cstheme="minorHAnsi"/>
        </w:rPr>
        <w:t xml:space="preserve">. Ifølge det </w:t>
      </w:r>
      <w:r>
        <w:rPr>
          <w:rFonts w:cstheme="minorHAnsi"/>
        </w:rPr>
        <w:t>foreslåede stk</w:t>
      </w:r>
      <w:r>
        <w:t xml:space="preserve">. 10 bemyndiges miljøministeren til at fastsætte regler om, at </w:t>
      </w:r>
      <w:r w:rsidR="00D60D56">
        <w:t xml:space="preserve">virksomheder, der driver </w:t>
      </w:r>
      <w:r>
        <w:t xml:space="preserve">affaldsbehandlingsanlæg, </w:t>
      </w:r>
      <w:r w:rsidR="00095150">
        <w:rPr>
          <w:rFonts w:cs="Times New Roman"/>
          <w:szCs w:val="24"/>
        </w:rPr>
        <w:t xml:space="preserve">skal underrette affaldstilsynsmyndigheden og affaldsproducenten, hvis det ved kontrol </w:t>
      </w:r>
      <w:r w:rsidR="00283D31">
        <w:rPr>
          <w:rFonts w:cs="Times New Roman"/>
          <w:szCs w:val="24"/>
        </w:rPr>
        <w:t>vurderes</w:t>
      </w:r>
      <w:r w:rsidR="00095150">
        <w:rPr>
          <w:rFonts w:cs="Times New Roman"/>
          <w:szCs w:val="24"/>
        </w:rPr>
        <w:t>, at et affaldslæs indeholder affald egnet til materialenyttiggørelse eller usolgte forbrugerprodukter</w:t>
      </w:r>
      <w:r w:rsidR="0075041F">
        <w:rPr>
          <w:rFonts w:cs="Times New Roman"/>
          <w:szCs w:val="24"/>
        </w:rPr>
        <w:t>,</w:t>
      </w:r>
      <w:r w:rsidR="00095150">
        <w:rPr>
          <w:rFonts w:cs="Times New Roman"/>
          <w:szCs w:val="24"/>
        </w:rPr>
        <w:t xml:space="preserve"> og at virksomheden skal indberette oplysninger til brug for affaldstilsynsmyndigheden.</w:t>
      </w:r>
      <w:r w:rsidRPr="00091974">
        <w:rPr>
          <w:rFonts w:cstheme="minorHAnsi"/>
        </w:rPr>
        <w:t xml:space="preserve"> </w:t>
      </w:r>
    </w:p>
    <w:p w14:paraId="79B6BE14" w14:textId="6BB10305" w:rsidR="00BA662C" w:rsidRDefault="00BA662C" w:rsidP="00000BD4">
      <w:pPr>
        <w:spacing w:after="240"/>
        <w:rPr>
          <w:rFonts w:cstheme="minorHAnsi"/>
        </w:rPr>
      </w:pPr>
      <w:r>
        <w:rPr>
          <w:rFonts w:cstheme="minorHAnsi"/>
        </w:rPr>
        <w:t xml:space="preserve">Ved ”oplysninger” forstås nærmere angivne data om </w:t>
      </w:r>
      <w:r w:rsidR="00D60D56">
        <w:rPr>
          <w:rFonts w:cstheme="minorHAnsi"/>
        </w:rPr>
        <w:t xml:space="preserve">den </w:t>
      </w:r>
      <w:r>
        <w:rPr>
          <w:rFonts w:cstheme="minorHAnsi"/>
        </w:rPr>
        <w:t>virksomhed</w:t>
      </w:r>
      <w:r w:rsidR="00D60D56">
        <w:rPr>
          <w:rFonts w:cstheme="minorHAnsi"/>
        </w:rPr>
        <w:t>, der har afleveret affaldet</w:t>
      </w:r>
      <w:r>
        <w:rPr>
          <w:rFonts w:cstheme="minorHAnsi"/>
        </w:rPr>
        <w:t xml:space="preserve"> og</w:t>
      </w:r>
      <w:r w:rsidR="00D60D56">
        <w:rPr>
          <w:rFonts w:cstheme="minorHAnsi"/>
        </w:rPr>
        <w:t xml:space="preserve"> om</w:t>
      </w:r>
      <w:r>
        <w:rPr>
          <w:rFonts w:cstheme="minorHAnsi"/>
        </w:rPr>
        <w:t xml:space="preserve"> affaldet</w:t>
      </w:r>
      <w:r w:rsidR="00081B5B">
        <w:rPr>
          <w:rFonts w:cstheme="minorHAnsi"/>
        </w:rPr>
        <w:t>s beskaffenhed</w:t>
      </w:r>
      <w:r>
        <w:rPr>
          <w:rFonts w:cstheme="minorHAnsi"/>
        </w:rPr>
        <w:t>, der er relevant for affaldstilsynsmyndighedens mulighed for at</w:t>
      </w:r>
      <w:r w:rsidR="00AC3D77">
        <w:rPr>
          <w:rFonts w:cstheme="minorHAnsi"/>
        </w:rPr>
        <w:t xml:space="preserve"> oplyse sagen</w:t>
      </w:r>
      <w:r w:rsidR="00CB416B">
        <w:rPr>
          <w:rFonts w:cstheme="minorHAnsi"/>
        </w:rPr>
        <w:t>, herunder eksempelvis, navn, CVR-nummer, P-nummer, affaldstype og vægt.</w:t>
      </w:r>
    </w:p>
    <w:p w14:paraId="72A6F4FB" w14:textId="4D48707C" w:rsidR="004D2E9D" w:rsidRDefault="00D60D56" w:rsidP="00000BD4">
      <w:pPr>
        <w:spacing w:after="240"/>
        <w:rPr>
          <w:rFonts w:cstheme="minorHAnsi"/>
        </w:rPr>
      </w:pPr>
      <w:r>
        <w:rPr>
          <w:rFonts w:cstheme="minorHAnsi"/>
        </w:rPr>
        <w:t xml:space="preserve">Bemyndigelsen </w:t>
      </w:r>
      <w:r w:rsidR="00BF3D9E">
        <w:rPr>
          <w:rFonts w:cstheme="minorHAnsi"/>
        </w:rPr>
        <w:t xml:space="preserve">påtænkes anvendt til at fastsætte regler i affaldsbekendtgørelsen om, at virksomheder, der driver affaldsforbrændingsanlæg og som har </w:t>
      </w:r>
      <w:r w:rsidR="00283D31">
        <w:rPr>
          <w:rFonts w:cstheme="minorHAnsi"/>
        </w:rPr>
        <w:t>vurderet</w:t>
      </w:r>
      <w:r w:rsidR="00AD3362">
        <w:rPr>
          <w:rFonts w:cstheme="minorHAnsi"/>
        </w:rPr>
        <w:t xml:space="preserve">, at et affaldslæs indeholder affald egnet til materialenyttiggørelse </w:t>
      </w:r>
      <w:r w:rsidR="000E6AA1">
        <w:rPr>
          <w:rFonts w:cstheme="minorHAnsi"/>
        </w:rPr>
        <w:t xml:space="preserve">over en vis grænse </w:t>
      </w:r>
      <w:r w:rsidR="00AD3362">
        <w:rPr>
          <w:rFonts w:cstheme="minorHAnsi"/>
        </w:rPr>
        <w:t>eller usolgte forbrugerprodukter</w:t>
      </w:r>
      <w:r w:rsidR="00BF3D9E">
        <w:rPr>
          <w:rFonts w:cstheme="minorHAnsi"/>
        </w:rPr>
        <w:t>, skal underrette Miljøstyrelsen om afvisningen og indberette en række nærmere angivne oplysninger til brug for Miljøstyrelsens tilsyn.</w:t>
      </w:r>
    </w:p>
    <w:p w14:paraId="52095017" w14:textId="264278E0" w:rsidR="00BF3D9E" w:rsidRDefault="00D60D56" w:rsidP="00000BD4">
      <w:pPr>
        <w:spacing w:after="240"/>
        <w:rPr>
          <w:rFonts w:cstheme="minorHAnsi"/>
        </w:rPr>
      </w:pPr>
      <w:r>
        <w:rPr>
          <w:rFonts w:cstheme="minorHAnsi"/>
        </w:rPr>
        <w:t xml:space="preserve">Bemyndigelsen </w:t>
      </w:r>
      <w:r w:rsidR="00BF3D9E">
        <w:rPr>
          <w:rFonts w:cstheme="minorHAnsi"/>
        </w:rPr>
        <w:t xml:space="preserve">påtænkes endvidere anvendt til at fastsætte regler i affaldsbekendtgørelsen, om at virksomheder, der driver genanvendelsesanlæg og som har </w:t>
      </w:r>
      <w:r w:rsidR="00283D31">
        <w:rPr>
          <w:rFonts w:cstheme="minorHAnsi"/>
        </w:rPr>
        <w:t>vurderet</w:t>
      </w:r>
      <w:r w:rsidR="00AD3362">
        <w:rPr>
          <w:rFonts w:cstheme="minorHAnsi"/>
        </w:rPr>
        <w:t xml:space="preserve">, at et affaldslæs indeholder </w:t>
      </w:r>
      <w:r w:rsidR="00BF3D9E">
        <w:rPr>
          <w:rFonts w:cstheme="minorHAnsi"/>
        </w:rPr>
        <w:t xml:space="preserve"> usolgte forbrugerprodukter</w:t>
      </w:r>
      <w:r w:rsidR="0075041F">
        <w:rPr>
          <w:rFonts w:cstheme="minorHAnsi"/>
        </w:rPr>
        <w:t>,</w:t>
      </w:r>
      <w:r w:rsidR="00BF3D9E">
        <w:rPr>
          <w:rFonts w:cstheme="minorHAnsi"/>
        </w:rPr>
        <w:t xml:space="preserve"> </w:t>
      </w:r>
      <w:r w:rsidR="0075041F">
        <w:rPr>
          <w:rFonts w:cstheme="minorHAnsi"/>
        </w:rPr>
        <w:lastRenderedPageBreak/>
        <w:t xml:space="preserve">der er omfattet af destruktionsforbud </w:t>
      </w:r>
      <w:r w:rsidR="00BF3D9E">
        <w:rPr>
          <w:rFonts w:cstheme="minorHAnsi"/>
        </w:rPr>
        <w:t xml:space="preserve">i henhold til </w:t>
      </w:r>
      <w:proofErr w:type="spellStart"/>
      <w:r>
        <w:rPr>
          <w:rFonts w:cstheme="minorHAnsi"/>
        </w:rPr>
        <w:t>e</w:t>
      </w:r>
      <w:r w:rsidR="00BF3D9E">
        <w:rPr>
          <w:rFonts w:cstheme="minorHAnsi"/>
        </w:rPr>
        <w:t>codesignforordningen</w:t>
      </w:r>
      <w:proofErr w:type="spellEnd"/>
      <w:r w:rsidR="00BF3D9E">
        <w:rPr>
          <w:rFonts w:cstheme="minorHAnsi"/>
        </w:rPr>
        <w:t>, skal underrette Miljøstyrelsen og indberette en række nærmere angivne oplysninger til brug for Miljøstyrelsens tilsyn</w:t>
      </w:r>
      <w:r>
        <w:rPr>
          <w:rFonts w:cstheme="minorHAnsi"/>
        </w:rPr>
        <w:t>, f.eks. oplysninger om den afleverende virksomheds navn, CVR-nummer, P-nummer, type af usolgte forbrugerprodukter og vægt.</w:t>
      </w:r>
    </w:p>
    <w:p w14:paraId="4A527419" w14:textId="213342BF" w:rsidR="00BA662C" w:rsidRDefault="00BA662C" w:rsidP="00BA662C">
      <w:pPr>
        <w:spacing w:after="240"/>
        <w:rPr>
          <w:rFonts w:cstheme="minorHAnsi"/>
        </w:rPr>
      </w:pPr>
      <w:r>
        <w:rPr>
          <w:rFonts w:cstheme="minorHAnsi"/>
        </w:rPr>
        <w:t>Underretningen for</w:t>
      </w:r>
      <w:r w:rsidR="00260CA2">
        <w:rPr>
          <w:rFonts w:cstheme="minorHAnsi"/>
        </w:rPr>
        <w:t>ventes at skulle foretages</w:t>
      </w:r>
      <w:r>
        <w:rPr>
          <w:rFonts w:cstheme="minorHAnsi"/>
        </w:rPr>
        <w:t xml:space="preserve"> elektronisk til Miljøstyrelsen i et system, der er under udvikling. Indtil færdiggørelsen af indberetningssystemet vil indberetning kunne ske som nærmere anvist af Miljøstyrelsen i affaldsbekendtgørelsen.</w:t>
      </w:r>
    </w:p>
    <w:p w14:paraId="46945062" w14:textId="5769C88D" w:rsidR="00AD3362" w:rsidRDefault="00AD3362" w:rsidP="00BA662C">
      <w:pPr>
        <w:spacing w:after="240"/>
        <w:rPr>
          <w:rFonts w:cstheme="minorHAnsi"/>
        </w:rPr>
      </w:pPr>
      <w:r>
        <w:rPr>
          <w:rFonts w:cstheme="minorHAnsi"/>
        </w:rPr>
        <w:t>Endelig påtænkes bemyndigelsen anvendt til at fastsætte regler i affaldsbekendtgørelsen om, at virksomheder, der driver affaldsbehandlingsanlæg</w:t>
      </w:r>
      <w:r w:rsidR="00A57D6F">
        <w:rPr>
          <w:rFonts w:cstheme="minorHAnsi"/>
        </w:rPr>
        <w:t>,</w:t>
      </w:r>
      <w:r>
        <w:rPr>
          <w:rFonts w:cstheme="minorHAnsi"/>
        </w:rPr>
        <w:t xml:space="preserve"> skal underrette affaldsproducenten eller affaldsindsamleren, såfremt det er </w:t>
      </w:r>
      <w:r w:rsidR="00283D31">
        <w:rPr>
          <w:rFonts w:cstheme="minorHAnsi"/>
        </w:rPr>
        <w:t>vurderet</w:t>
      </w:r>
      <w:r>
        <w:rPr>
          <w:rFonts w:cstheme="minorHAnsi"/>
        </w:rPr>
        <w:t xml:space="preserve">, at et affaldslæs indeholder affald egnet til materialenyttiggørelse </w:t>
      </w:r>
      <w:r w:rsidR="000E6AA1">
        <w:rPr>
          <w:rFonts w:cstheme="minorHAnsi"/>
        </w:rPr>
        <w:t xml:space="preserve">over en vis grænse </w:t>
      </w:r>
      <w:r>
        <w:rPr>
          <w:rFonts w:cstheme="minorHAnsi"/>
        </w:rPr>
        <w:t>eller usolgte forbrugerprodukter.</w:t>
      </w:r>
    </w:p>
    <w:p w14:paraId="4B49F232" w14:textId="761FDA4E" w:rsidR="00081B5B" w:rsidRDefault="00095150" w:rsidP="00EC5267">
      <w:pPr>
        <w:rPr>
          <w:rFonts w:cstheme="minorHAnsi"/>
        </w:rPr>
      </w:pPr>
      <w:r>
        <w:rPr>
          <w:rFonts w:cstheme="minorHAnsi"/>
        </w:rPr>
        <w:t xml:space="preserve">Underretningen af affaldsproducenten eller indsamleren skal indeholde oplysninger om, at der ved kontrol er fundet affald egnet til materialenyttiggørelse </w:t>
      </w:r>
      <w:r w:rsidR="000E6AA1">
        <w:rPr>
          <w:rFonts w:cstheme="minorHAnsi"/>
        </w:rPr>
        <w:t xml:space="preserve">over en vis grænse </w:t>
      </w:r>
      <w:r>
        <w:rPr>
          <w:rFonts w:cstheme="minorHAnsi"/>
        </w:rPr>
        <w:t>eller usolgte forbrugerprodukter</w:t>
      </w:r>
      <w:r w:rsidR="00A57D6F">
        <w:rPr>
          <w:rFonts w:cstheme="minorHAnsi"/>
        </w:rPr>
        <w:t>,</w:t>
      </w:r>
      <w:r>
        <w:rPr>
          <w:rFonts w:cstheme="minorHAnsi"/>
        </w:rPr>
        <w:t xml:space="preserve"> og at affaldet derfor er afvist enten administrativt eller fysisk. Ved fysisk afvisning forstås, at affaldslæsset forvises fra anlægget</w:t>
      </w:r>
      <w:r w:rsidR="00A57D6F">
        <w:rPr>
          <w:rFonts w:cstheme="minorHAnsi"/>
        </w:rPr>
        <w:t>,</w:t>
      </w:r>
      <w:r>
        <w:rPr>
          <w:rFonts w:cstheme="minorHAnsi"/>
        </w:rPr>
        <w:t xml:space="preserve"> og ved administrativ afvisning forstås, at affaldslæsset forbrændes, men at affaldsproducent og affaldstilsynsmyndighed underrettes om affaldets indhold af affald egnet til materialenyttiggørelse.</w:t>
      </w:r>
    </w:p>
    <w:p w14:paraId="2B9BCD41" w14:textId="0780CA9F" w:rsidR="00000BD4" w:rsidRPr="00091974" w:rsidRDefault="00081B5B" w:rsidP="00000BD4">
      <w:pPr>
        <w:spacing w:after="240"/>
        <w:rPr>
          <w:rFonts w:cstheme="minorHAnsi"/>
        </w:rPr>
      </w:pPr>
      <w:r>
        <w:rPr>
          <w:rFonts w:cstheme="minorHAnsi"/>
        </w:rPr>
        <w:t xml:space="preserve">Hvis det </w:t>
      </w:r>
      <w:r w:rsidR="00283D31">
        <w:rPr>
          <w:rFonts w:cstheme="minorHAnsi"/>
        </w:rPr>
        <w:t>vurderes</w:t>
      </w:r>
      <w:r>
        <w:rPr>
          <w:rFonts w:cstheme="minorHAnsi"/>
        </w:rPr>
        <w:t>, at et affaldslæs indeholder affald egnet til materialenyttiggørelse</w:t>
      </w:r>
      <w:r w:rsidR="000E6AA1">
        <w:rPr>
          <w:rFonts w:cstheme="minorHAnsi"/>
        </w:rPr>
        <w:t xml:space="preserve"> over en vis grænse</w:t>
      </w:r>
      <w:r>
        <w:rPr>
          <w:rFonts w:cstheme="minorHAnsi"/>
        </w:rPr>
        <w:t xml:space="preserve">, kan det give anledning til et fysisk affaldstilsyn hos den pågældende affaldsproducent eller affaldsindsamler, som herefter vil skulle betale et gebyr for tilsynet. </w:t>
      </w:r>
      <w:r w:rsidR="00000BD4" w:rsidRPr="00091974">
        <w:rPr>
          <w:rFonts w:cstheme="minorHAnsi"/>
        </w:rPr>
        <w:t xml:space="preserve">Der henvises i øvrigt til pkt. </w:t>
      </w:r>
      <w:r w:rsidR="00BF3D9E">
        <w:rPr>
          <w:rFonts w:cstheme="minorHAnsi"/>
        </w:rPr>
        <w:t>3.1.2.</w:t>
      </w:r>
      <w:r w:rsidR="00825FD3">
        <w:rPr>
          <w:rFonts w:cstheme="minorHAnsi"/>
        </w:rPr>
        <w:t>3</w:t>
      </w:r>
      <w:r w:rsidR="00000BD4" w:rsidRPr="00091974">
        <w:rPr>
          <w:rFonts w:cstheme="minorHAnsi"/>
        </w:rPr>
        <w:t xml:space="preserve"> i lovforslagets almindelige bemærkninger.</w:t>
      </w:r>
    </w:p>
    <w:p w14:paraId="131E0943" w14:textId="77777777" w:rsidR="00FD1A50" w:rsidRDefault="00FD1A50" w:rsidP="00FD1A50">
      <w:pPr>
        <w:spacing w:after="240"/>
        <w:rPr>
          <w:rFonts w:cs="Times New Roman"/>
          <w:szCs w:val="24"/>
        </w:rPr>
      </w:pPr>
      <w:r>
        <w:rPr>
          <w:rFonts w:cs="Times New Roman"/>
          <w:szCs w:val="24"/>
        </w:rPr>
        <w:t xml:space="preserve">Til nr. </w:t>
      </w:r>
      <w:r w:rsidR="00CD57C0">
        <w:rPr>
          <w:rFonts w:cs="Times New Roman"/>
          <w:szCs w:val="24"/>
        </w:rPr>
        <w:t>2</w:t>
      </w:r>
    </w:p>
    <w:p w14:paraId="7FF2EED4" w14:textId="71C85D2E" w:rsidR="00640289" w:rsidRPr="00CD57C0" w:rsidRDefault="00640289" w:rsidP="00640289">
      <w:pPr>
        <w:spacing w:after="240"/>
        <w:rPr>
          <w:rFonts w:cs="Times New Roman"/>
          <w:szCs w:val="24"/>
        </w:rPr>
      </w:pPr>
      <w:r w:rsidRPr="00CD57C0">
        <w:rPr>
          <w:rFonts w:cs="Times New Roman"/>
          <w:szCs w:val="24"/>
        </w:rPr>
        <w:t xml:space="preserve">§ 48, stk. 1, </w:t>
      </w:r>
      <w:r w:rsidR="00A23C63">
        <w:rPr>
          <w:rFonts w:cs="Times New Roman"/>
          <w:szCs w:val="24"/>
        </w:rPr>
        <w:t>nr. 2,</w:t>
      </w:r>
      <w:r w:rsidRPr="00CD57C0">
        <w:rPr>
          <w:rFonts w:cs="Times New Roman"/>
          <w:szCs w:val="24"/>
        </w:rPr>
        <w:t xml:space="preserve"> giver kommunalbestyrelserne mulighed for at gebyrfinansiere planlægning, etablering, drift og administration af genbrugsområderne etableret efter § 50 f, over kommunernes affaldsgebyr. § 48, stk. 1, </w:t>
      </w:r>
      <w:r w:rsidR="00A23C63">
        <w:rPr>
          <w:rFonts w:cs="Times New Roman"/>
          <w:szCs w:val="24"/>
        </w:rPr>
        <w:t xml:space="preserve">nr. </w:t>
      </w:r>
      <w:r w:rsidRPr="00CD57C0">
        <w:rPr>
          <w:rFonts w:cs="Times New Roman"/>
          <w:szCs w:val="24"/>
        </w:rPr>
        <w:t>2.</w:t>
      </w:r>
      <w:r w:rsidR="00A23C63">
        <w:rPr>
          <w:rFonts w:cs="Times New Roman"/>
          <w:szCs w:val="24"/>
        </w:rPr>
        <w:t>,</w:t>
      </w:r>
      <w:r w:rsidRPr="00CD57C0">
        <w:rPr>
          <w:rFonts w:cs="Times New Roman"/>
          <w:szCs w:val="24"/>
        </w:rPr>
        <w:t xml:space="preserve"> giver udelukkende hjemmel til at de ovennævnte aktiviteter kan gebyrfinansieres ifm. § 50 f-genbrugsområder. Øvrige genbrugsrelaterede aktiviteter kan således ikke gebyrfinansieres, jf. § 48.  </w:t>
      </w:r>
    </w:p>
    <w:p w14:paraId="5D15F6D2" w14:textId="2EAB94F7" w:rsidR="001C5F65" w:rsidRDefault="001C5F65" w:rsidP="001C5F65">
      <w:pPr>
        <w:spacing w:after="240"/>
        <w:rPr>
          <w:rFonts w:cs="Times New Roman"/>
          <w:szCs w:val="24"/>
        </w:rPr>
      </w:pPr>
      <w:r>
        <w:rPr>
          <w:rFonts w:cs="Times New Roman"/>
          <w:szCs w:val="24"/>
        </w:rPr>
        <w:t xml:space="preserve">Det foreslås at </w:t>
      </w:r>
      <w:r w:rsidRPr="00CD57C0">
        <w:rPr>
          <w:rFonts w:cs="Times New Roman"/>
          <w:szCs w:val="24"/>
        </w:rPr>
        <w:t xml:space="preserve">§ 48, stk. 1, </w:t>
      </w:r>
      <w:r w:rsidR="00A23C63">
        <w:rPr>
          <w:rFonts w:cs="Times New Roman"/>
          <w:szCs w:val="24"/>
        </w:rPr>
        <w:t>nr. 2,</w:t>
      </w:r>
      <w:r>
        <w:rPr>
          <w:rFonts w:cs="Times New Roman"/>
          <w:szCs w:val="24"/>
        </w:rPr>
        <w:t xml:space="preserve"> </w:t>
      </w:r>
      <w:r w:rsidRPr="009E2E73">
        <w:rPr>
          <w:rFonts w:cs="Times New Roman"/>
          <w:szCs w:val="24"/>
        </w:rPr>
        <w:t>ophæves</w:t>
      </w:r>
      <w:r>
        <w:rPr>
          <w:rFonts w:cs="Times New Roman"/>
          <w:szCs w:val="24"/>
        </w:rPr>
        <w:t>.</w:t>
      </w:r>
    </w:p>
    <w:p w14:paraId="0300BC2D" w14:textId="077E86E6" w:rsidR="00640289" w:rsidRDefault="00640289" w:rsidP="00640289">
      <w:pPr>
        <w:spacing w:after="240"/>
        <w:rPr>
          <w:rFonts w:cs="Times New Roman"/>
          <w:szCs w:val="24"/>
        </w:rPr>
      </w:pPr>
      <w:r w:rsidRPr="00CD57C0">
        <w:rPr>
          <w:rFonts w:cs="Times New Roman"/>
          <w:szCs w:val="24"/>
        </w:rPr>
        <w:lastRenderedPageBreak/>
        <w:t xml:space="preserve">Eftersom § 48, stk. 1, </w:t>
      </w:r>
      <w:r w:rsidR="00A23C63">
        <w:rPr>
          <w:rFonts w:cs="Times New Roman"/>
          <w:szCs w:val="24"/>
        </w:rPr>
        <w:t xml:space="preserve">nr. </w:t>
      </w:r>
      <w:proofErr w:type="gramStart"/>
      <w:r w:rsidRPr="00CD57C0">
        <w:rPr>
          <w:rFonts w:cs="Times New Roman"/>
          <w:szCs w:val="24"/>
        </w:rPr>
        <w:t xml:space="preserve">2. </w:t>
      </w:r>
      <w:r w:rsidR="00A23C63">
        <w:rPr>
          <w:rFonts w:cs="Times New Roman"/>
          <w:szCs w:val="24"/>
        </w:rPr>
        <w:t>,</w:t>
      </w:r>
      <w:proofErr w:type="gramEnd"/>
      <w:r w:rsidRPr="00CD57C0">
        <w:rPr>
          <w:rFonts w:cs="Times New Roman"/>
          <w:szCs w:val="24"/>
        </w:rPr>
        <w:t xml:space="preserve"> er betinget af, at der udstedes regler jf. § 50 f, vurderes ophævelsen ikke at have praktisk betydning.</w:t>
      </w:r>
    </w:p>
    <w:p w14:paraId="7A8CA158" w14:textId="77777777" w:rsidR="00640289" w:rsidRDefault="00640289" w:rsidP="00FD1A50">
      <w:pPr>
        <w:spacing w:after="240"/>
        <w:rPr>
          <w:rFonts w:cs="Times New Roman"/>
          <w:szCs w:val="24"/>
        </w:rPr>
      </w:pPr>
    </w:p>
    <w:p w14:paraId="7E5A39F0" w14:textId="19FC24F6" w:rsidR="00E30251" w:rsidRDefault="00E30251" w:rsidP="00CD57C0">
      <w:pPr>
        <w:spacing w:after="240"/>
        <w:rPr>
          <w:rFonts w:cs="Times New Roman"/>
          <w:szCs w:val="24"/>
        </w:rPr>
      </w:pPr>
      <w:r>
        <w:rPr>
          <w:rFonts w:cs="Times New Roman"/>
          <w:szCs w:val="24"/>
        </w:rPr>
        <w:t>Til nr. 3</w:t>
      </w:r>
    </w:p>
    <w:p w14:paraId="1AA6110B" w14:textId="1CF483D0" w:rsidR="00E30251" w:rsidRDefault="00502F10" w:rsidP="00CD57C0">
      <w:pPr>
        <w:spacing w:after="240"/>
        <w:rPr>
          <w:rFonts w:cs="Times New Roman"/>
          <w:szCs w:val="24"/>
        </w:rPr>
      </w:pPr>
      <w:r>
        <w:rPr>
          <w:rFonts w:cs="Times New Roman"/>
          <w:szCs w:val="24"/>
        </w:rPr>
        <w:t>Det følger af miljøbeskyttelseslovens § 48, stk. 8, at klima-, energi- og forsyningsministeren kan fastsætte nærmere regler om de i stk. 1, nr. 5, nævnte henlæggelser til planlagte investeringer, herunder vilkår om sammenhæng til affaldsplaner og om kommunalbestyrelsens beslutning om henlæggelser på baggrund af konkrete, planlagte og budgetterede investeringer og deres finansiering.</w:t>
      </w:r>
    </w:p>
    <w:p w14:paraId="6B7174B0" w14:textId="02F1F3BD" w:rsidR="00502F10" w:rsidRDefault="00502F10" w:rsidP="00CD57C0">
      <w:pPr>
        <w:spacing w:after="240"/>
        <w:rPr>
          <w:rFonts w:cs="Times New Roman"/>
          <w:szCs w:val="24"/>
        </w:rPr>
      </w:pPr>
      <w:r>
        <w:rPr>
          <w:rFonts w:cs="Times New Roman"/>
          <w:szCs w:val="24"/>
        </w:rPr>
        <w:t>Det foreslås, at § 48, stk. 8, ændres således, at ”stk. 1, nr. 5” ændres til: ”stk. 1, nr. 4”.</w:t>
      </w:r>
    </w:p>
    <w:p w14:paraId="172048B8" w14:textId="0C80FD00" w:rsidR="00502F10" w:rsidRDefault="00502F10" w:rsidP="00CD57C0">
      <w:pPr>
        <w:spacing w:after="240"/>
        <w:rPr>
          <w:rFonts w:cs="Times New Roman"/>
          <w:szCs w:val="24"/>
        </w:rPr>
      </w:pPr>
      <w:r>
        <w:rPr>
          <w:rFonts w:cs="Times New Roman"/>
          <w:szCs w:val="24"/>
        </w:rPr>
        <w:t xml:space="preserve">Den foreslåede ændring er en konsekvens af, at </w:t>
      </w:r>
      <w:r w:rsidR="00640289">
        <w:rPr>
          <w:rFonts w:cs="Times New Roman"/>
          <w:szCs w:val="24"/>
        </w:rPr>
        <w:t>miljøbeskyttelseslovens § 48, stk. 1, nr. 2, ophæves, hvorefter stk. 1, nr. 3-5, bliver til stk. 1, nr. 2-4.</w:t>
      </w:r>
    </w:p>
    <w:p w14:paraId="0A1390ED" w14:textId="47310FDC" w:rsidR="00CD57C0" w:rsidRDefault="00CD57C0" w:rsidP="00CD57C0">
      <w:pPr>
        <w:spacing w:after="240"/>
        <w:rPr>
          <w:rFonts w:cs="Times New Roman"/>
          <w:szCs w:val="24"/>
        </w:rPr>
      </w:pPr>
      <w:r>
        <w:rPr>
          <w:rFonts w:cs="Times New Roman"/>
          <w:szCs w:val="24"/>
        </w:rPr>
        <w:t xml:space="preserve">Til nr. </w:t>
      </w:r>
      <w:r w:rsidR="00E30251">
        <w:rPr>
          <w:rFonts w:cs="Times New Roman"/>
          <w:szCs w:val="24"/>
        </w:rPr>
        <w:t>4</w:t>
      </w:r>
    </w:p>
    <w:p w14:paraId="3110B478" w14:textId="0BC7F738" w:rsidR="00640289" w:rsidRDefault="00640289" w:rsidP="00640289">
      <w:pPr>
        <w:spacing w:after="240"/>
        <w:jc w:val="left"/>
        <w:rPr>
          <w:rFonts w:cs="Times New Roman"/>
          <w:szCs w:val="24"/>
        </w:rPr>
      </w:pPr>
      <w:r w:rsidRPr="00CD57C0">
        <w:rPr>
          <w:rFonts w:cs="Times New Roman"/>
          <w:szCs w:val="24"/>
        </w:rPr>
        <w:t>Det følger af § 50 f i lov nr. 898 af 21. juni 2022 om ændring af lov om miljøbeskyttelse og lov om Forsyningstilsynet (Nye rammer for kommunal behandling af affald egnet til materialenyttiggørelse, indsamling af erhvervsaffald, genbrug på genbrugspladser og skærpet økonomisk tilsyn), at miljøministeren fastsætter regler om kommunalbestyrelsens pligt til at etablere genbrugsområder på genbrugspladser i kommunen, herunder om størrelse, indretning, drift og anvendelse af genbrugsområdet. Det følger endvidere</w:t>
      </w:r>
      <w:r w:rsidR="00A57D6F">
        <w:rPr>
          <w:rFonts w:cs="Times New Roman"/>
          <w:szCs w:val="24"/>
        </w:rPr>
        <w:t>,</w:t>
      </w:r>
      <w:r w:rsidRPr="00CD57C0">
        <w:rPr>
          <w:rFonts w:cs="Times New Roman"/>
          <w:szCs w:val="24"/>
        </w:rPr>
        <w:t xml:space="preserve"> at klima-, energi- og forsyningsministeren fastsætter regler om kommunalbestyrelsens pligt til at give private aktører eller kommunale institutioner mulighed for at overtage genstande, der er afleveret i genbrugsområder på genbrugspladser, herunder om kommunalbestyrelsens pligt til at afsætte genstandene vederlagsfrit. </w:t>
      </w:r>
      <w:r>
        <w:rPr>
          <w:rFonts w:cs="Times New Roman"/>
          <w:szCs w:val="24"/>
        </w:rPr>
        <w:t>Det følger desuden af § 50 f, at k</w:t>
      </w:r>
      <w:r w:rsidRPr="00CD57C0">
        <w:rPr>
          <w:rFonts w:cs="Times New Roman"/>
          <w:szCs w:val="24"/>
        </w:rPr>
        <w:t>lima-, energi- og forsyningsministeren fastsætter regler om inddragelse af offentligheden i den lokale udmøntning af ordningen, herunder om udelukkende digital annoncering.</w:t>
      </w:r>
    </w:p>
    <w:p w14:paraId="32111CF3" w14:textId="77777777" w:rsidR="00282710" w:rsidRPr="005768D7" w:rsidRDefault="00282710" w:rsidP="00282710">
      <w:pPr>
        <w:spacing w:after="240"/>
        <w:rPr>
          <w:rFonts w:cs="Times New Roman"/>
          <w:szCs w:val="24"/>
        </w:rPr>
      </w:pPr>
      <w:r>
        <w:rPr>
          <w:rFonts w:cs="Times New Roman"/>
          <w:szCs w:val="24"/>
        </w:rPr>
        <w:t xml:space="preserve">Det foreslås at </w:t>
      </w:r>
      <w:r w:rsidRPr="009E2E73">
        <w:rPr>
          <w:rFonts w:cs="Times New Roman"/>
          <w:szCs w:val="24"/>
        </w:rPr>
        <w:t>§ 50 f ophæves</w:t>
      </w:r>
      <w:r>
        <w:rPr>
          <w:rFonts w:cs="Times New Roman"/>
          <w:szCs w:val="24"/>
        </w:rPr>
        <w:t>.</w:t>
      </w:r>
    </w:p>
    <w:p w14:paraId="686824D2" w14:textId="39002EEE" w:rsidR="00640289" w:rsidRDefault="00640289" w:rsidP="00640289">
      <w:pPr>
        <w:spacing w:after="240"/>
        <w:jc w:val="left"/>
        <w:rPr>
          <w:rFonts w:cs="Times New Roman"/>
          <w:szCs w:val="24"/>
        </w:rPr>
      </w:pPr>
      <w:r w:rsidRPr="00CD57C0">
        <w:rPr>
          <w:rFonts w:cs="Times New Roman"/>
          <w:szCs w:val="24"/>
        </w:rPr>
        <w:t>Eftersom der ikke er blevet udstedt regler</w:t>
      </w:r>
      <w:r w:rsidR="001C5F65">
        <w:rPr>
          <w:rFonts w:cs="Times New Roman"/>
          <w:szCs w:val="24"/>
        </w:rPr>
        <w:t xml:space="preserve"> efter</w:t>
      </w:r>
      <w:r w:rsidRPr="00CD57C0">
        <w:rPr>
          <w:rFonts w:cs="Times New Roman"/>
          <w:szCs w:val="24"/>
        </w:rPr>
        <w:t xml:space="preserve"> § 50 f, vurderes ophævelsen ikke at have praktisk betydning.</w:t>
      </w:r>
    </w:p>
    <w:p w14:paraId="11EC9184" w14:textId="77777777" w:rsidR="00640289" w:rsidRDefault="00640289" w:rsidP="00CD57C0">
      <w:pPr>
        <w:spacing w:after="240"/>
        <w:rPr>
          <w:rFonts w:cs="Times New Roman"/>
          <w:szCs w:val="24"/>
        </w:rPr>
      </w:pPr>
    </w:p>
    <w:p w14:paraId="6601644E" w14:textId="77777777" w:rsidR="00CD57C0" w:rsidRDefault="00CD57C0" w:rsidP="00CD57C0">
      <w:pPr>
        <w:spacing w:after="240"/>
        <w:jc w:val="left"/>
        <w:rPr>
          <w:rFonts w:cs="Times New Roman"/>
          <w:szCs w:val="24"/>
        </w:rPr>
      </w:pPr>
    </w:p>
    <w:p w14:paraId="5E71F51A" w14:textId="77777777" w:rsidR="00CD57C0" w:rsidRDefault="00CD57C0" w:rsidP="00CD57C0">
      <w:pPr>
        <w:spacing w:after="240"/>
        <w:jc w:val="left"/>
        <w:rPr>
          <w:rFonts w:cs="Times New Roman"/>
          <w:i/>
          <w:szCs w:val="24"/>
        </w:rPr>
      </w:pPr>
    </w:p>
    <w:p w14:paraId="54D4CE72" w14:textId="77777777" w:rsidR="00FD1A50" w:rsidRDefault="00FD1A50" w:rsidP="00CD57C0">
      <w:pPr>
        <w:spacing w:after="240"/>
        <w:jc w:val="center"/>
        <w:rPr>
          <w:rFonts w:cs="Times New Roman"/>
          <w:i/>
          <w:szCs w:val="24"/>
        </w:rPr>
      </w:pPr>
      <w:r w:rsidRPr="005768D7">
        <w:rPr>
          <w:rFonts w:cs="Times New Roman"/>
          <w:i/>
          <w:szCs w:val="24"/>
        </w:rPr>
        <w:t>Til § 2</w:t>
      </w:r>
    </w:p>
    <w:p w14:paraId="0300C9C1" w14:textId="77777777" w:rsidR="00A17E30" w:rsidRDefault="00A17E30" w:rsidP="00CD57C0">
      <w:pPr>
        <w:spacing w:after="240"/>
        <w:jc w:val="center"/>
        <w:rPr>
          <w:rFonts w:cs="Times New Roman"/>
          <w:i/>
          <w:szCs w:val="24"/>
        </w:rPr>
      </w:pPr>
    </w:p>
    <w:p w14:paraId="50489886" w14:textId="7D926611" w:rsidR="00A17E30" w:rsidRDefault="00A17E30" w:rsidP="00A17E30">
      <w:pPr>
        <w:spacing w:after="240"/>
        <w:rPr>
          <w:rFonts w:cs="Times New Roman"/>
          <w:szCs w:val="24"/>
        </w:rPr>
      </w:pPr>
      <w:r>
        <w:rPr>
          <w:rFonts w:cs="Times New Roman"/>
          <w:szCs w:val="24"/>
        </w:rPr>
        <w:t>Det foreslås, at loven træder i kraft den 1. j</w:t>
      </w:r>
      <w:r w:rsidR="007B6EC2">
        <w:rPr>
          <w:rFonts w:cs="Times New Roman"/>
          <w:szCs w:val="24"/>
        </w:rPr>
        <w:t>anuar</w:t>
      </w:r>
      <w:r>
        <w:rPr>
          <w:rFonts w:cs="Times New Roman"/>
          <w:szCs w:val="24"/>
        </w:rPr>
        <w:t xml:space="preserve"> 202</w:t>
      </w:r>
      <w:r w:rsidR="007B6EC2">
        <w:rPr>
          <w:rFonts w:cs="Times New Roman"/>
          <w:szCs w:val="24"/>
        </w:rPr>
        <w:t>5</w:t>
      </w:r>
      <w:r>
        <w:rPr>
          <w:rFonts w:cs="Times New Roman"/>
          <w:szCs w:val="24"/>
        </w:rPr>
        <w:t>.</w:t>
      </w:r>
    </w:p>
    <w:p w14:paraId="0C103B5B" w14:textId="77777777" w:rsidR="00A17E30" w:rsidRPr="006C194E" w:rsidRDefault="00A17E30" w:rsidP="006C194E">
      <w:pPr>
        <w:spacing w:after="240"/>
        <w:rPr>
          <w:rFonts w:cs="Times New Roman"/>
          <w:szCs w:val="24"/>
        </w:rPr>
      </w:pPr>
      <w:r>
        <w:rPr>
          <w:rFonts w:cs="Times New Roman"/>
          <w:szCs w:val="24"/>
        </w:rPr>
        <w:t>Loven gælder ikke for Færøerne og Gr</w:t>
      </w:r>
      <w:r w:rsidR="0051410D">
        <w:rPr>
          <w:rFonts w:cs="Times New Roman"/>
          <w:szCs w:val="24"/>
        </w:rPr>
        <w:t>ønland. Dette svarer</w:t>
      </w:r>
      <w:r w:rsidR="006C194E">
        <w:rPr>
          <w:rFonts w:cs="Times New Roman"/>
          <w:szCs w:val="24"/>
        </w:rPr>
        <w:t xml:space="preserve"> til det, der gælder for miljøbeskyttelsesloven i øvrigt, jf. miljøbeskyttelseslovens § 118.</w:t>
      </w:r>
    </w:p>
    <w:p w14:paraId="65C1C109" w14:textId="77777777" w:rsidR="00FD1A50" w:rsidRDefault="00FD1A50" w:rsidP="00CD57C0">
      <w:pPr>
        <w:spacing w:after="240"/>
        <w:jc w:val="left"/>
        <w:rPr>
          <w:rFonts w:cs="Times New Roman"/>
          <w:szCs w:val="24"/>
        </w:rPr>
      </w:pPr>
      <w:r>
        <w:rPr>
          <w:rFonts w:cs="Times New Roman"/>
          <w:szCs w:val="24"/>
        </w:rPr>
        <w:t>…</w:t>
      </w:r>
    </w:p>
    <w:p w14:paraId="55177233" w14:textId="77777777" w:rsidR="00FD1A50" w:rsidRDefault="00FD1A50" w:rsidP="00FD1A50">
      <w:pPr>
        <w:pageBreakBefore/>
        <w:spacing w:after="240"/>
        <w:contextualSpacing/>
        <w:mirrorIndents/>
        <w:jc w:val="right"/>
        <w:rPr>
          <w:b/>
        </w:rPr>
      </w:pPr>
      <w:r w:rsidRPr="00EA2A90">
        <w:rPr>
          <w:b/>
        </w:rPr>
        <w:lastRenderedPageBreak/>
        <w:t>Bilag 1</w:t>
      </w:r>
    </w:p>
    <w:p w14:paraId="7F84F8FF" w14:textId="77777777" w:rsidR="00FD1A50" w:rsidRPr="00EA2A90" w:rsidRDefault="00FD1A50" w:rsidP="00FD1A50">
      <w:pPr>
        <w:spacing w:after="240"/>
        <w:contextualSpacing/>
        <w:mirrorIndents/>
      </w:pPr>
    </w:p>
    <w:p w14:paraId="2B51531D" w14:textId="77777777" w:rsidR="00FD1A50" w:rsidRPr="00EA2A90" w:rsidRDefault="00FD1A50" w:rsidP="00FD1A50">
      <w:pPr>
        <w:spacing w:after="240"/>
        <w:contextualSpacing/>
        <w:mirrorIndents/>
        <w:jc w:val="center"/>
        <w:rPr>
          <w:b/>
        </w:rPr>
      </w:pPr>
      <w:r w:rsidRPr="00EA2A90">
        <w:rPr>
          <w:b/>
        </w:rPr>
        <w:t>Lovforslaget sammenholdt med gældende lov</w:t>
      </w:r>
    </w:p>
    <w:p w14:paraId="69EE3867" w14:textId="77777777" w:rsidR="00FD1A50" w:rsidRDefault="00FD1A50" w:rsidP="00FD1A50">
      <w:pPr>
        <w:spacing w:after="240"/>
        <w:rPr>
          <w:rFonts w:cs="Times New Roman"/>
          <w:szCs w:val="24"/>
        </w:rPr>
      </w:pPr>
    </w:p>
    <w:p w14:paraId="72F6C273" w14:textId="77777777" w:rsidR="000430B5" w:rsidRDefault="000430B5" w:rsidP="00FD1A50">
      <w:pPr>
        <w:spacing w:after="240"/>
        <w:rPr>
          <w:rFonts w:cs="Times New Roman"/>
          <w:szCs w:val="24"/>
        </w:rPr>
      </w:pPr>
    </w:p>
    <w:p w14:paraId="7F8E995A" w14:textId="77777777" w:rsidR="000430B5" w:rsidRDefault="000430B5" w:rsidP="000430B5">
      <w:pPr>
        <w:spacing w:after="24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0430B5" w:rsidRPr="003E4DDD" w14:paraId="166D7DCF" w14:textId="77777777" w:rsidTr="00420F67">
        <w:tc>
          <w:tcPr>
            <w:tcW w:w="3610" w:type="dxa"/>
          </w:tcPr>
          <w:p w14:paraId="1C9E2156" w14:textId="77777777" w:rsidR="000430B5" w:rsidRPr="003E4DDD" w:rsidRDefault="000430B5" w:rsidP="00420F67">
            <w:pPr>
              <w:spacing w:after="240"/>
              <w:contextualSpacing/>
              <w:mirrorIndents/>
              <w:jc w:val="center"/>
              <w:rPr>
                <w:rFonts w:cs="Times New Roman"/>
                <w:i/>
                <w:szCs w:val="24"/>
              </w:rPr>
            </w:pPr>
            <w:r w:rsidRPr="003E4DDD">
              <w:rPr>
                <w:rFonts w:cs="Times New Roman"/>
                <w:i/>
                <w:szCs w:val="24"/>
              </w:rPr>
              <w:t>Gældende formulering</w:t>
            </w:r>
          </w:p>
        </w:tc>
        <w:tc>
          <w:tcPr>
            <w:tcW w:w="3608" w:type="dxa"/>
          </w:tcPr>
          <w:p w14:paraId="79719BA8" w14:textId="77777777" w:rsidR="000430B5" w:rsidRPr="003E4DDD" w:rsidRDefault="000430B5" w:rsidP="00420F67">
            <w:pPr>
              <w:spacing w:after="240"/>
              <w:contextualSpacing/>
              <w:mirrorIndents/>
              <w:jc w:val="center"/>
              <w:rPr>
                <w:rFonts w:cs="Times New Roman"/>
                <w:i/>
                <w:szCs w:val="24"/>
              </w:rPr>
            </w:pPr>
            <w:r w:rsidRPr="003E4DDD">
              <w:rPr>
                <w:rFonts w:cs="Times New Roman"/>
                <w:i/>
                <w:szCs w:val="24"/>
              </w:rPr>
              <w:t>Lovforslaget</w:t>
            </w:r>
          </w:p>
        </w:tc>
      </w:tr>
      <w:tr w:rsidR="000430B5" w:rsidRPr="003E4DDD" w14:paraId="5FA9F3E4" w14:textId="77777777" w:rsidTr="00420F67">
        <w:tc>
          <w:tcPr>
            <w:tcW w:w="3610" w:type="dxa"/>
          </w:tcPr>
          <w:p w14:paraId="018038C2" w14:textId="77777777" w:rsidR="000430B5" w:rsidRPr="003E4DDD" w:rsidRDefault="000430B5" w:rsidP="00420F67">
            <w:pPr>
              <w:spacing w:after="240"/>
              <w:contextualSpacing/>
              <w:mirrorIndents/>
              <w:jc w:val="center"/>
              <w:rPr>
                <w:rFonts w:cs="Times New Roman"/>
                <w:i/>
                <w:szCs w:val="24"/>
              </w:rPr>
            </w:pPr>
          </w:p>
        </w:tc>
        <w:tc>
          <w:tcPr>
            <w:tcW w:w="3608" w:type="dxa"/>
          </w:tcPr>
          <w:p w14:paraId="2F0E13B0" w14:textId="77777777" w:rsidR="000430B5" w:rsidRPr="00C967E1" w:rsidRDefault="000430B5" w:rsidP="00420F67">
            <w:pPr>
              <w:spacing w:after="240"/>
              <w:contextualSpacing/>
              <w:mirrorIndents/>
              <w:jc w:val="center"/>
              <w:rPr>
                <w:rFonts w:cs="Times New Roman"/>
                <w:szCs w:val="24"/>
              </w:rPr>
            </w:pPr>
          </w:p>
          <w:p w14:paraId="4A161D08" w14:textId="77777777" w:rsidR="000430B5" w:rsidRDefault="000430B5" w:rsidP="00420F67">
            <w:pPr>
              <w:jc w:val="center"/>
              <w:rPr>
                <w:rFonts w:eastAsia="Calibri" w:cs="Times New Roman"/>
                <w:b/>
                <w:szCs w:val="24"/>
              </w:rPr>
            </w:pPr>
            <w:r w:rsidRPr="003B0B97">
              <w:rPr>
                <w:rFonts w:eastAsia="Calibri" w:cs="Times New Roman"/>
                <w:b/>
                <w:szCs w:val="24"/>
              </w:rPr>
              <w:t>§ 1</w:t>
            </w:r>
          </w:p>
          <w:p w14:paraId="4D6495EF" w14:textId="77777777" w:rsidR="000430B5" w:rsidRPr="003B0B97" w:rsidRDefault="000430B5" w:rsidP="00420F67">
            <w:pPr>
              <w:jc w:val="center"/>
              <w:rPr>
                <w:rFonts w:eastAsia="Calibri" w:cs="Times New Roman"/>
                <w:szCs w:val="24"/>
              </w:rPr>
            </w:pPr>
          </w:p>
          <w:p w14:paraId="26D8C1B3" w14:textId="77777777" w:rsidR="002B7359" w:rsidRPr="003B0B97" w:rsidRDefault="002B7359" w:rsidP="002B7359">
            <w:pPr>
              <w:rPr>
                <w:rFonts w:eastAsia="Calibri" w:cs="Times New Roman"/>
                <w:szCs w:val="24"/>
              </w:rPr>
            </w:pPr>
            <w:r w:rsidRPr="003B0B97">
              <w:rPr>
                <w:rFonts w:eastAsia="Calibri" w:cs="Times New Roman"/>
                <w:szCs w:val="24"/>
              </w:rPr>
              <w:t>I lov</w:t>
            </w:r>
            <w:r>
              <w:rPr>
                <w:rFonts w:eastAsia="Calibri" w:cs="Times New Roman"/>
                <w:szCs w:val="24"/>
              </w:rPr>
              <w:t xml:space="preserve"> om miljøbeskyttelse</w:t>
            </w:r>
            <w:r w:rsidRPr="003B0B97">
              <w:rPr>
                <w:rFonts w:eastAsia="Calibri" w:cs="Times New Roman"/>
                <w:szCs w:val="24"/>
              </w:rPr>
              <w:t xml:space="preserve">, jf. lovbekendtgørelse nr. </w:t>
            </w:r>
            <w:r>
              <w:rPr>
                <w:rFonts w:eastAsia="Calibri" w:cs="Times New Roman"/>
                <w:szCs w:val="24"/>
              </w:rPr>
              <w:t>48 af 12. januar 2024</w:t>
            </w:r>
            <w:r w:rsidRPr="003B0B97">
              <w:rPr>
                <w:rFonts w:eastAsia="Calibri" w:cs="Times New Roman"/>
                <w:szCs w:val="24"/>
              </w:rPr>
              <w:t xml:space="preserve">, som ændret </w:t>
            </w:r>
            <w:r w:rsidRPr="00C967E1">
              <w:rPr>
                <w:rFonts w:eastAsia="Calibri" w:cs="Times New Roman"/>
                <w:szCs w:val="24"/>
              </w:rPr>
              <w:t xml:space="preserve">ved § </w:t>
            </w:r>
            <w:r>
              <w:rPr>
                <w:rFonts w:eastAsia="Calibri" w:cs="Times New Roman"/>
                <w:szCs w:val="24"/>
              </w:rPr>
              <w:t>2</w:t>
            </w:r>
            <w:r w:rsidRPr="00C967E1">
              <w:rPr>
                <w:rFonts w:eastAsia="Calibri" w:cs="Times New Roman"/>
                <w:szCs w:val="24"/>
              </w:rPr>
              <w:t xml:space="preserve"> i</w:t>
            </w:r>
            <w:r>
              <w:rPr>
                <w:rFonts w:eastAsia="Calibri" w:cs="Times New Roman"/>
                <w:szCs w:val="24"/>
              </w:rPr>
              <w:t xml:space="preserve"> </w:t>
            </w:r>
            <w:r w:rsidRPr="003B0B97">
              <w:rPr>
                <w:rFonts w:eastAsia="Calibri" w:cs="Times New Roman"/>
                <w:szCs w:val="24"/>
              </w:rPr>
              <w:t xml:space="preserve">lov nr. </w:t>
            </w:r>
            <w:r>
              <w:rPr>
                <w:rFonts w:eastAsia="Calibri" w:cs="Times New Roman"/>
                <w:szCs w:val="24"/>
              </w:rPr>
              <w:t>322 af 2. april 2024 og lov nr. 323 af 2. april 2024,</w:t>
            </w:r>
            <w:r w:rsidRPr="003B0B97">
              <w:rPr>
                <w:rFonts w:eastAsia="Calibri" w:cs="Times New Roman"/>
                <w:szCs w:val="24"/>
              </w:rPr>
              <w:t xml:space="preserve"> foretages følgende ændring</w:t>
            </w:r>
            <w:r>
              <w:rPr>
                <w:rFonts w:eastAsia="Calibri" w:cs="Times New Roman"/>
                <w:szCs w:val="24"/>
              </w:rPr>
              <w:t>er</w:t>
            </w:r>
            <w:r w:rsidRPr="003B0B97">
              <w:rPr>
                <w:rFonts w:eastAsia="Calibri" w:cs="Times New Roman"/>
                <w:szCs w:val="24"/>
              </w:rPr>
              <w:t>:</w:t>
            </w:r>
          </w:p>
          <w:p w14:paraId="648BBBA1" w14:textId="77777777" w:rsidR="000430B5" w:rsidRPr="00463C8B" w:rsidRDefault="000430B5" w:rsidP="00E04354">
            <w:pPr>
              <w:rPr>
                <w:rFonts w:cs="Times New Roman"/>
                <w:szCs w:val="24"/>
              </w:rPr>
            </w:pPr>
          </w:p>
        </w:tc>
      </w:tr>
      <w:tr w:rsidR="000430B5" w:rsidRPr="003E4DDD" w14:paraId="4C8E8DE2" w14:textId="77777777" w:rsidTr="00420F67">
        <w:tc>
          <w:tcPr>
            <w:tcW w:w="3610" w:type="dxa"/>
          </w:tcPr>
          <w:p w14:paraId="15FE5AF5" w14:textId="77777777" w:rsidR="000430B5" w:rsidRPr="00CE39C3" w:rsidRDefault="000430B5" w:rsidP="00420F67">
            <w:pPr>
              <w:rPr>
                <w:b/>
                <w:bdr w:val="none" w:sz="0" w:space="0" w:color="auto" w:frame="1"/>
                <w:shd w:val="clear" w:color="auto" w:fill="FFFFFF"/>
              </w:rPr>
            </w:pPr>
            <w:r w:rsidRPr="00CE39C3">
              <w:rPr>
                <w:b/>
                <w:bdr w:val="none" w:sz="0" w:space="0" w:color="auto" w:frame="1"/>
                <w:shd w:val="clear" w:color="auto" w:fill="FFFFFF"/>
              </w:rPr>
              <w:t xml:space="preserve">§ 44. </w:t>
            </w:r>
            <w:r w:rsidRPr="00CE39C3">
              <w:rPr>
                <w:b/>
                <w:shd w:val="clear" w:color="auto" w:fill="FFFFFF"/>
              </w:rPr>
              <w:t>---</w:t>
            </w:r>
          </w:p>
          <w:p w14:paraId="59F41669" w14:textId="77777777" w:rsidR="000430B5" w:rsidRDefault="000430B5" w:rsidP="00420F67">
            <w:pPr>
              <w:rPr>
                <w:rStyle w:val="italic0"/>
                <w:rFonts w:cs="Times New Roman"/>
                <w:i/>
                <w:iCs/>
                <w:color w:val="2F2F2B"/>
                <w:spacing w:val="2"/>
                <w:bdr w:val="none" w:sz="0" w:space="0" w:color="auto" w:frame="1"/>
              </w:rPr>
            </w:pPr>
          </w:p>
          <w:p w14:paraId="040C96D6" w14:textId="77777777" w:rsidR="000430B5" w:rsidRPr="00CE39C3" w:rsidRDefault="000430B5" w:rsidP="00420F67">
            <w:pPr>
              <w:rPr>
                <w:rFonts w:cs="Times New Roman"/>
              </w:rPr>
            </w:pPr>
            <w:r w:rsidRPr="00CE39C3">
              <w:rPr>
                <w:rStyle w:val="italic0"/>
                <w:rFonts w:cs="Times New Roman"/>
                <w:i/>
                <w:iCs/>
                <w:color w:val="2F2F2B"/>
                <w:spacing w:val="2"/>
                <w:bdr w:val="none" w:sz="0" w:space="0" w:color="auto" w:frame="1"/>
              </w:rPr>
              <w:t>Stk. 2-7. ---</w:t>
            </w:r>
          </w:p>
          <w:p w14:paraId="7203374D" w14:textId="77777777" w:rsidR="000430B5" w:rsidRPr="00D5686E" w:rsidRDefault="000430B5" w:rsidP="00420F67">
            <w:pPr>
              <w:rPr>
                <w:rFonts w:cs="Times New Roman"/>
                <w:szCs w:val="24"/>
              </w:rPr>
            </w:pPr>
          </w:p>
        </w:tc>
        <w:tc>
          <w:tcPr>
            <w:tcW w:w="3608" w:type="dxa"/>
          </w:tcPr>
          <w:p w14:paraId="21937AF5" w14:textId="77777777" w:rsidR="00AD641D" w:rsidRPr="003B0B97" w:rsidRDefault="00AD641D" w:rsidP="00AD641D">
            <w:pPr>
              <w:rPr>
                <w:rFonts w:cs="Times New Roman"/>
                <w:szCs w:val="24"/>
              </w:rPr>
            </w:pPr>
            <w:r>
              <w:rPr>
                <w:rFonts w:cs="Times New Roman"/>
                <w:b/>
                <w:szCs w:val="24"/>
              </w:rPr>
              <w:t>1</w:t>
            </w:r>
            <w:r w:rsidRPr="003B0B97">
              <w:rPr>
                <w:rFonts w:cs="Times New Roman"/>
                <w:b/>
                <w:szCs w:val="24"/>
              </w:rPr>
              <w:t>.</w:t>
            </w:r>
            <w:r w:rsidRPr="003B0B97">
              <w:rPr>
                <w:rFonts w:cs="Times New Roman"/>
                <w:szCs w:val="24"/>
              </w:rPr>
              <w:t xml:space="preserve"> </w:t>
            </w:r>
            <w:r w:rsidRPr="0020125C">
              <w:rPr>
                <w:rFonts w:cs="Times New Roman"/>
                <w:szCs w:val="24"/>
              </w:rPr>
              <w:t>I</w:t>
            </w:r>
            <w:r>
              <w:rPr>
                <w:rFonts w:cs="Times New Roman"/>
                <w:i/>
                <w:szCs w:val="24"/>
              </w:rPr>
              <w:t xml:space="preserve"> </w:t>
            </w:r>
            <w:r w:rsidRPr="003B0B97">
              <w:rPr>
                <w:rFonts w:cs="Times New Roman"/>
                <w:i/>
                <w:szCs w:val="24"/>
              </w:rPr>
              <w:t xml:space="preserve">§ </w:t>
            </w:r>
            <w:r>
              <w:rPr>
                <w:rFonts w:cs="Times New Roman"/>
                <w:i/>
                <w:szCs w:val="24"/>
              </w:rPr>
              <w:t>44</w:t>
            </w:r>
            <w:r w:rsidRPr="003B0B97">
              <w:rPr>
                <w:rFonts w:cs="Times New Roman"/>
                <w:szCs w:val="24"/>
              </w:rPr>
              <w:t xml:space="preserve"> indsættes </w:t>
            </w:r>
            <w:r>
              <w:rPr>
                <w:rFonts w:cs="Times New Roman"/>
                <w:szCs w:val="24"/>
              </w:rPr>
              <w:t xml:space="preserve">efter stk. 7 </w:t>
            </w:r>
            <w:r w:rsidRPr="003B0B97">
              <w:rPr>
                <w:rFonts w:cs="Times New Roman"/>
                <w:szCs w:val="24"/>
              </w:rPr>
              <w:t xml:space="preserve">som </w:t>
            </w:r>
            <w:r>
              <w:rPr>
                <w:rFonts w:cs="Times New Roman"/>
                <w:szCs w:val="24"/>
              </w:rPr>
              <w:t>nye stykker:</w:t>
            </w:r>
          </w:p>
          <w:p w14:paraId="31E0CA91" w14:textId="77777777" w:rsidR="00AD641D" w:rsidRDefault="00AD641D" w:rsidP="00AD641D">
            <w:pPr>
              <w:ind w:firstLine="284"/>
              <w:rPr>
                <w:rFonts w:cs="Times New Roman"/>
                <w:szCs w:val="24"/>
              </w:rPr>
            </w:pPr>
            <w:r w:rsidRPr="00FC260B">
              <w:rPr>
                <w:rFonts w:cs="Times New Roman"/>
                <w:i/>
                <w:szCs w:val="24"/>
              </w:rPr>
              <w:t>»</w:t>
            </w:r>
            <w:r w:rsidRPr="003B0B97">
              <w:rPr>
                <w:rFonts w:cs="Times New Roman"/>
                <w:i/>
                <w:szCs w:val="24"/>
              </w:rPr>
              <w:t xml:space="preserve">Stk. </w:t>
            </w:r>
            <w:r>
              <w:rPr>
                <w:rFonts w:cs="Times New Roman"/>
                <w:i/>
                <w:szCs w:val="24"/>
              </w:rPr>
              <w:t>8</w:t>
            </w:r>
            <w:r>
              <w:rPr>
                <w:rFonts w:cs="Times New Roman"/>
                <w:szCs w:val="24"/>
              </w:rPr>
              <w:t>.</w:t>
            </w:r>
            <w:r>
              <w:rPr>
                <w:rFonts w:cs="Times New Roman"/>
                <w:i/>
                <w:szCs w:val="24"/>
              </w:rPr>
              <w:t xml:space="preserve"> </w:t>
            </w:r>
            <w:r>
              <w:rPr>
                <w:rFonts w:cs="Times New Roman"/>
                <w:szCs w:val="24"/>
              </w:rPr>
              <w:t>Miljøministeren kan fastsætte regler om, at virksomheder, der driver affaldsbehandlingsanlæg, der modtager affald med henblik på forbrænding eller genanvendelse, skal foretage kontrol af affaldets indhold af affald egnet til materialenyttiggørelse og usolgte forbrugerprodukter.</w:t>
            </w:r>
          </w:p>
          <w:p w14:paraId="17C7F40C" w14:textId="77777777" w:rsidR="00AD641D" w:rsidRDefault="00AD641D" w:rsidP="00AD641D">
            <w:pPr>
              <w:ind w:firstLine="284"/>
              <w:rPr>
                <w:rFonts w:cs="Times New Roman"/>
                <w:szCs w:val="24"/>
              </w:rPr>
            </w:pPr>
            <w:r w:rsidRPr="002D5094">
              <w:rPr>
                <w:rFonts w:cs="Times New Roman"/>
                <w:i/>
                <w:szCs w:val="24"/>
              </w:rPr>
              <w:t xml:space="preserve">Stk. 9. </w:t>
            </w:r>
            <w:r w:rsidRPr="002D5094">
              <w:rPr>
                <w:rFonts w:cs="Times New Roman"/>
                <w:szCs w:val="24"/>
              </w:rPr>
              <w:t xml:space="preserve">Miljøministeren kan fastsætte regler om, at virksomheder der driver affaldsbehandlingsanlæg, der modtager affald med henblik på forbrænding, skal afvise affaldet, hvis det </w:t>
            </w:r>
            <w:r>
              <w:rPr>
                <w:rFonts w:cs="Times New Roman"/>
                <w:szCs w:val="24"/>
              </w:rPr>
              <w:t>indeholder affald</w:t>
            </w:r>
            <w:r w:rsidRPr="002D5094">
              <w:rPr>
                <w:rFonts w:cs="Times New Roman"/>
                <w:szCs w:val="24"/>
              </w:rPr>
              <w:t xml:space="preserve"> egnet til materialenyttiggørelse</w:t>
            </w:r>
            <w:r>
              <w:rPr>
                <w:rFonts w:cs="Times New Roman"/>
                <w:szCs w:val="24"/>
              </w:rPr>
              <w:t xml:space="preserve">. </w:t>
            </w:r>
            <w:r w:rsidRPr="002D5094">
              <w:rPr>
                <w:rFonts w:cs="Times New Roman"/>
                <w:szCs w:val="24"/>
              </w:rPr>
              <w:t>Ministeren kan endvidere</w:t>
            </w:r>
            <w:r>
              <w:rPr>
                <w:rFonts w:cs="Times New Roman"/>
                <w:szCs w:val="24"/>
              </w:rPr>
              <w:t xml:space="preserve"> fastsætte regler om, at virksomheder, der driver affaldsbehandlingsanlæg, der modtager affald med henblik på </w:t>
            </w:r>
            <w:r>
              <w:rPr>
                <w:rFonts w:cs="Times New Roman"/>
                <w:szCs w:val="24"/>
              </w:rPr>
              <w:lastRenderedPageBreak/>
              <w:t xml:space="preserve">genanvendelse, skal afvise affald i form af usolgte forbrugerprodukter. </w:t>
            </w:r>
          </w:p>
          <w:p w14:paraId="6CEA1BE4" w14:textId="77777777" w:rsidR="00AD641D" w:rsidRDefault="00AD641D" w:rsidP="00AD641D">
            <w:pPr>
              <w:ind w:firstLine="284"/>
              <w:rPr>
                <w:rFonts w:cs="Times New Roman"/>
                <w:szCs w:val="24"/>
              </w:rPr>
            </w:pPr>
            <w:r>
              <w:rPr>
                <w:rFonts w:cs="Times New Roman"/>
                <w:i/>
                <w:szCs w:val="24"/>
              </w:rPr>
              <w:t xml:space="preserve">Stk. 10. </w:t>
            </w:r>
            <w:r>
              <w:rPr>
                <w:rFonts w:cs="Times New Roman"/>
                <w:szCs w:val="24"/>
              </w:rPr>
              <w:t xml:space="preserve">Miljøministeren kan fastsætte regler om, at virksomheder, der driver affaldsbehandlingsanlæg, skal underrette affaldstilsynsmyndigheden og affaldsproducenten eller affaldsindsamleren, hvis det ved kontrol vurderes, at et affaldslæs indeholder affald egnet til materialenyttiggørelse eller usolgte forbrugerprodukter, og at virksomhederne skal indberette oplysninger til brug for affaldstilsynsmyndigheden. </w:t>
            </w:r>
            <w:r w:rsidRPr="00FC260B">
              <w:rPr>
                <w:rFonts w:cs="Times New Roman"/>
                <w:szCs w:val="24"/>
              </w:rPr>
              <w:t>«</w:t>
            </w:r>
          </w:p>
          <w:p w14:paraId="2DEBDD1E" w14:textId="77777777" w:rsidR="000430B5" w:rsidRPr="00FA1704" w:rsidRDefault="000430B5" w:rsidP="00AD641D">
            <w:pPr>
              <w:ind w:firstLine="284"/>
              <w:rPr>
                <w:rFonts w:eastAsia="Calibri" w:cs="Times New Roman"/>
                <w:szCs w:val="24"/>
              </w:rPr>
            </w:pPr>
          </w:p>
        </w:tc>
      </w:tr>
      <w:tr w:rsidR="000430B5" w:rsidRPr="003E4DDD" w14:paraId="16097FEC" w14:textId="77777777" w:rsidTr="00420F67">
        <w:tc>
          <w:tcPr>
            <w:tcW w:w="3610" w:type="dxa"/>
          </w:tcPr>
          <w:p w14:paraId="13E5E39B" w14:textId="2FD0F931" w:rsidR="000430B5" w:rsidRPr="00CE39C3" w:rsidRDefault="000430B5" w:rsidP="00420F67">
            <w:pPr>
              <w:rPr>
                <w:b/>
                <w:sz w:val="20"/>
                <w:bdr w:val="none" w:sz="0" w:space="0" w:color="auto" w:frame="1"/>
                <w:shd w:val="clear" w:color="auto" w:fill="FFFFFF"/>
              </w:rPr>
            </w:pPr>
            <w:r w:rsidRPr="00CE39C3">
              <w:rPr>
                <w:b/>
                <w:bdr w:val="none" w:sz="0" w:space="0" w:color="auto" w:frame="1"/>
                <w:shd w:val="clear" w:color="auto" w:fill="FFFFFF"/>
              </w:rPr>
              <w:lastRenderedPageBreak/>
              <w:t>§ 48</w:t>
            </w:r>
            <w:r w:rsidR="007E1195">
              <w:rPr>
                <w:b/>
                <w:bdr w:val="none" w:sz="0" w:space="0" w:color="auto" w:frame="1"/>
                <w:shd w:val="clear" w:color="auto" w:fill="FFFFFF"/>
              </w:rPr>
              <w:t>, stk. 1</w:t>
            </w:r>
          </w:p>
          <w:p w14:paraId="7559763D" w14:textId="77777777" w:rsidR="000430B5" w:rsidRDefault="000430B5" w:rsidP="00420F67">
            <w:r>
              <w:t>Kommunalbestyrelsen skal fastsætte gebyrer til dækning af udgifter til</w:t>
            </w:r>
          </w:p>
          <w:p w14:paraId="041A0690" w14:textId="77777777" w:rsidR="000430B5" w:rsidRDefault="000430B5" w:rsidP="00420F67">
            <w:r>
              <w:t>1) ---</w:t>
            </w:r>
          </w:p>
          <w:p w14:paraId="757A7449" w14:textId="77777777" w:rsidR="000430B5" w:rsidRDefault="000430B5" w:rsidP="00420F67">
            <w:r>
              <w:t>2) planlægning, etablering, drift og administration af genbrugsområder på genbrugspladser, jf. § 50 f,</w:t>
            </w:r>
          </w:p>
          <w:p w14:paraId="75CC1AA3" w14:textId="77777777" w:rsidR="000430B5" w:rsidRDefault="000430B5" w:rsidP="00420F67">
            <w:r>
              <w:t>3) betaling af gebyrer efter § 48 g, stk. 1, udgifter afholdt i forbindelse med Forsyningstilsynets tilsyn efter dette kapitel eller regler udstedt i medfør heraf og omkostninger efter § 11, stk. 1, i lov om Forsyningstilsynet,</w:t>
            </w:r>
          </w:p>
          <w:p w14:paraId="3226E4D0" w14:textId="77777777" w:rsidR="000430B5" w:rsidRDefault="000430B5" w:rsidP="00420F67">
            <w:r>
              <w:t>4) indsamling og registrering af oplysninger, jf. § 46 a, og</w:t>
            </w:r>
          </w:p>
          <w:p w14:paraId="1924D44F" w14:textId="77777777" w:rsidR="000430B5" w:rsidRDefault="000430B5" w:rsidP="00420F67">
            <w:r>
              <w:t>5) forskudsvis dækning af planlagte investeringer på affaldsområdet, jf. dog stk. 8 og § 50 a.</w:t>
            </w:r>
          </w:p>
          <w:p w14:paraId="34F19EE3" w14:textId="77777777" w:rsidR="000430B5" w:rsidRPr="00FA1704" w:rsidRDefault="000430B5" w:rsidP="00420F67">
            <w:pPr>
              <w:rPr>
                <w:rFonts w:cs="Times New Roman"/>
                <w:szCs w:val="24"/>
              </w:rPr>
            </w:pPr>
          </w:p>
        </w:tc>
        <w:tc>
          <w:tcPr>
            <w:tcW w:w="3608" w:type="dxa"/>
          </w:tcPr>
          <w:p w14:paraId="3469292E" w14:textId="2DE6EC67" w:rsidR="000430B5" w:rsidRDefault="000430B5" w:rsidP="00420F67">
            <w:pPr>
              <w:rPr>
                <w:rFonts w:cs="Times New Roman"/>
                <w:szCs w:val="24"/>
              </w:rPr>
            </w:pPr>
            <w:r>
              <w:rPr>
                <w:rFonts w:eastAsia="Calibri" w:cs="Times New Roman"/>
                <w:b/>
                <w:szCs w:val="24"/>
              </w:rPr>
              <w:t xml:space="preserve">2. </w:t>
            </w:r>
            <w:r w:rsidRPr="003B0B97">
              <w:rPr>
                <w:rFonts w:cs="Times New Roman"/>
                <w:i/>
                <w:szCs w:val="24"/>
              </w:rPr>
              <w:t xml:space="preserve">§ </w:t>
            </w:r>
            <w:r>
              <w:rPr>
                <w:rFonts w:cs="Times New Roman"/>
                <w:i/>
                <w:szCs w:val="24"/>
              </w:rPr>
              <w:t>48, stk. 1, nr. 2</w:t>
            </w:r>
            <w:r w:rsidR="00101214">
              <w:rPr>
                <w:rFonts w:cs="Times New Roman"/>
                <w:i/>
                <w:szCs w:val="24"/>
              </w:rPr>
              <w:t>,</w:t>
            </w:r>
            <w:r>
              <w:rPr>
                <w:rFonts w:cs="Times New Roman"/>
                <w:i/>
                <w:szCs w:val="24"/>
              </w:rPr>
              <w:t xml:space="preserve"> </w:t>
            </w:r>
            <w:r w:rsidRPr="00FD5C30">
              <w:rPr>
                <w:rFonts w:cs="Times New Roman"/>
                <w:szCs w:val="24"/>
              </w:rPr>
              <w:t>ophæves</w:t>
            </w:r>
            <w:r>
              <w:rPr>
                <w:rFonts w:cs="Times New Roman"/>
                <w:szCs w:val="24"/>
              </w:rPr>
              <w:t>.</w:t>
            </w:r>
          </w:p>
          <w:p w14:paraId="415DA4D3" w14:textId="77777777" w:rsidR="000430B5" w:rsidRDefault="000430B5" w:rsidP="00420F67">
            <w:pPr>
              <w:spacing w:after="240"/>
              <w:contextualSpacing/>
              <w:mirrorIndents/>
              <w:rPr>
                <w:rFonts w:cs="Times New Roman"/>
                <w:szCs w:val="24"/>
              </w:rPr>
            </w:pPr>
            <w:r>
              <w:rPr>
                <w:rFonts w:cs="Times New Roman"/>
                <w:szCs w:val="24"/>
              </w:rPr>
              <w:t>Nr. 3-5 bliver herefter nr. 2-4.</w:t>
            </w:r>
          </w:p>
          <w:p w14:paraId="408907B2" w14:textId="77777777" w:rsidR="000430B5" w:rsidRDefault="000430B5" w:rsidP="00420F67">
            <w:pPr>
              <w:spacing w:after="240"/>
              <w:contextualSpacing/>
              <w:mirrorIndents/>
              <w:rPr>
                <w:rFonts w:cs="Times New Roman"/>
                <w:szCs w:val="24"/>
              </w:rPr>
            </w:pPr>
          </w:p>
          <w:p w14:paraId="63F917B8" w14:textId="77777777" w:rsidR="000430B5" w:rsidRPr="00CE39C3" w:rsidRDefault="000430B5" w:rsidP="00420F67">
            <w:pPr>
              <w:spacing w:after="240"/>
              <w:contextualSpacing/>
              <w:mirrorIndents/>
              <w:rPr>
                <w:rFonts w:cs="Times New Roman"/>
                <w:b/>
                <w:szCs w:val="24"/>
              </w:rPr>
            </w:pPr>
            <w:r w:rsidRPr="00CE39C3">
              <w:rPr>
                <w:rFonts w:cs="Times New Roman"/>
                <w:b/>
                <w:szCs w:val="24"/>
              </w:rPr>
              <w:t>§ 48</w:t>
            </w:r>
          </w:p>
          <w:p w14:paraId="660FE8CD" w14:textId="77777777" w:rsidR="000430B5" w:rsidRDefault="000430B5" w:rsidP="00420F67">
            <w:r>
              <w:t>Kommunalbestyrelsen skal fastsætte gebyrer til dækning af udgifter til</w:t>
            </w:r>
          </w:p>
          <w:p w14:paraId="0B62DD16" w14:textId="77777777" w:rsidR="000430B5" w:rsidRDefault="000430B5" w:rsidP="00420F67">
            <w:r>
              <w:t>1) ---</w:t>
            </w:r>
          </w:p>
          <w:p w14:paraId="6AC85BF2" w14:textId="77777777" w:rsidR="000430B5" w:rsidRDefault="000430B5" w:rsidP="00420F67">
            <w:r>
              <w:t>2) betaling af gebyrer efter § 48 g, stk. 1, udgifter afholdt i forbindelse med Forsyningstilsynets tilsyn efter dette kapitel eller regler udstedt i medfør heraf og omkostninger efter § 11, stk. 1, i lov om Forsyningstilsynet,</w:t>
            </w:r>
          </w:p>
          <w:p w14:paraId="237C53A5" w14:textId="77777777" w:rsidR="000430B5" w:rsidRDefault="000430B5" w:rsidP="00420F67">
            <w:r>
              <w:t>3) indsamling og registrering af oplysninger, jf. § 46 a, og</w:t>
            </w:r>
          </w:p>
          <w:p w14:paraId="73A196D0" w14:textId="77777777" w:rsidR="000430B5" w:rsidRDefault="000430B5" w:rsidP="00420F67">
            <w:pPr>
              <w:spacing w:after="240"/>
              <w:contextualSpacing/>
              <w:mirrorIndents/>
              <w:rPr>
                <w:rFonts w:cs="Times New Roman"/>
                <w:szCs w:val="24"/>
              </w:rPr>
            </w:pPr>
            <w:r>
              <w:t>4) forskudsvis dækning af planlagte investeringer på affaldsområdet, jf. dog stk. 8 og § 50 a</w:t>
            </w:r>
          </w:p>
          <w:p w14:paraId="19239A68" w14:textId="77777777" w:rsidR="000430B5" w:rsidRDefault="000430B5" w:rsidP="00420F67">
            <w:pPr>
              <w:spacing w:after="240"/>
              <w:contextualSpacing/>
              <w:mirrorIndents/>
              <w:rPr>
                <w:rFonts w:cs="Times New Roman"/>
                <w:b/>
                <w:szCs w:val="24"/>
              </w:rPr>
            </w:pPr>
          </w:p>
          <w:p w14:paraId="05E7508A" w14:textId="77777777" w:rsidR="000430B5" w:rsidRPr="00FA1704" w:rsidRDefault="000430B5" w:rsidP="00420F67">
            <w:pPr>
              <w:spacing w:after="240"/>
              <w:contextualSpacing/>
              <w:mirrorIndents/>
              <w:rPr>
                <w:rFonts w:cs="Times New Roman"/>
                <w:b/>
                <w:szCs w:val="24"/>
              </w:rPr>
            </w:pPr>
          </w:p>
        </w:tc>
      </w:tr>
      <w:tr w:rsidR="00101214" w:rsidRPr="003E4DDD" w14:paraId="051D2F67" w14:textId="77777777" w:rsidTr="00420F67">
        <w:tc>
          <w:tcPr>
            <w:tcW w:w="3610" w:type="dxa"/>
          </w:tcPr>
          <w:p w14:paraId="5D29C4D3" w14:textId="416DE735" w:rsidR="00E803F0" w:rsidRPr="00AD3362" w:rsidRDefault="00E803F0" w:rsidP="00E803F0">
            <w:pPr>
              <w:rPr>
                <w:b/>
              </w:rPr>
            </w:pPr>
            <w:r w:rsidRPr="00AD3362">
              <w:rPr>
                <w:b/>
              </w:rPr>
              <w:t>§ 48, stk. 8</w:t>
            </w:r>
          </w:p>
          <w:p w14:paraId="304BAF33" w14:textId="77777777" w:rsidR="00E803F0" w:rsidRPr="00AD3362" w:rsidRDefault="00E803F0" w:rsidP="00E803F0"/>
          <w:p w14:paraId="38525870" w14:textId="7F3AEB5F" w:rsidR="00101214" w:rsidRPr="00AD3362" w:rsidRDefault="00E803F0" w:rsidP="00420F67">
            <w:r w:rsidRPr="00AD3362">
              <w:lastRenderedPageBreak/>
              <w:t>Stk. 8.</w:t>
            </w:r>
            <w:r w:rsidRPr="00AD3362">
              <w:rPr>
                <w:rFonts w:hint="eastAsia"/>
              </w:rPr>
              <w:t> </w:t>
            </w:r>
            <w:r w:rsidRPr="00AD3362">
              <w:t>Klima-, energi- og forsyningsministeren kan fasts</w:t>
            </w:r>
            <w:r w:rsidRPr="00AD3362">
              <w:rPr>
                <w:rFonts w:hint="eastAsia"/>
              </w:rPr>
              <w:t>æ</w:t>
            </w:r>
            <w:r w:rsidRPr="00AD3362">
              <w:t>tte n</w:t>
            </w:r>
            <w:r w:rsidRPr="00AD3362">
              <w:rPr>
                <w:rFonts w:hint="eastAsia"/>
              </w:rPr>
              <w:t>æ</w:t>
            </w:r>
            <w:r w:rsidRPr="00AD3362">
              <w:t>rmere regler om de i stk. 1, nr. 5, n</w:t>
            </w:r>
            <w:r w:rsidRPr="00AD3362">
              <w:rPr>
                <w:rFonts w:hint="eastAsia"/>
              </w:rPr>
              <w:t>æ</w:t>
            </w:r>
            <w:r w:rsidRPr="00AD3362">
              <w:t>vnte henl</w:t>
            </w:r>
            <w:r w:rsidRPr="00AD3362">
              <w:rPr>
                <w:rFonts w:hint="eastAsia"/>
              </w:rPr>
              <w:t>æ</w:t>
            </w:r>
            <w:r w:rsidRPr="00AD3362">
              <w:t>ggelser til planlagte investeringer, herunder vilk</w:t>
            </w:r>
            <w:r w:rsidRPr="00AD3362">
              <w:rPr>
                <w:rFonts w:hint="eastAsia"/>
              </w:rPr>
              <w:t>å</w:t>
            </w:r>
            <w:r w:rsidRPr="00AD3362">
              <w:t>r om sammenh</w:t>
            </w:r>
            <w:r w:rsidRPr="00AD3362">
              <w:rPr>
                <w:rFonts w:hint="eastAsia"/>
              </w:rPr>
              <w:t>æ</w:t>
            </w:r>
            <w:r w:rsidRPr="00AD3362">
              <w:t>ng til affaldsplaner og om kommunalbestyrelsens beslutning om henl</w:t>
            </w:r>
            <w:r w:rsidRPr="00AD3362">
              <w:rPr>
                <w:rFonts w:hint="eastAsia"/>
              </w:rPr>
              <w:t>æ</w:t>
            </w:r>
            <w:r w:rsidRPr="00AD3362">
              <w:t>ggelser p</w:t>
            </w:r>
            <w:r w:rsidRPr="00AD3362">
              <w:rPr>
                <w:rFonts w:hint="eastAsia"/>
              </w:rPr>
              <w:t>å</w:t>
            </w:r>
            <w:r w:rsidRPr="00AD3362">
              <w:t xml:space="preserve"> baggrund af konkrete, planlagte og budgetterede investeringer og deres finansiering.</w:t>
            </w:r>
          </w:p>
        </w:tc>
        <w:tc>
          <w:tcPr>
            <w:tcW w:w="3608" w:type="dxa"/>
          </w:tcPr>
          <w:p w14:paraId="6FA8FFE5" w14:textId="77777777" w:rsidR="00E803F0" w:rsidRPr="00004B0C" w:rsidRDefault="00E803F0" w:rsidP="00E803F0">
            <w:pPr>
              <w:rPr>
                <w:rFonts w:eastAsia="Calibri" w:cs="Times New Roman"/>
                <w:szCs w:val="24"/>
              </w:rPr>
            </w:pPr>
            <w:r>
              <w:rPr>
                <w:rFonts w:eastAsia="Calibri" w:cs="Times New Roman"/>
                <w:b/>
                <w:szCs w:val="24"/>
              </w:rPr>
              <w:lastRenderedPageBreak/>
              <w:t xml:space="preserve">3. </w:t>
            </w:r>
            <w:r>
              <w:rPr>
                <w:rFonts w:eastAsia="Calibri" w:cs="Times New Roman"/>
                <w:szCs w:val="24"/>
              </w:rPr>
              <w:t xml:space="preserve">I </w:t>
            </w:r>
            <w:r w:rsidRPr="00004B0C">
              <w:rPr>
                <w:rFonts w:eastAsia="Calibri" w:cs="Times New Roman"/>
                <w:i/>
                <w:szCs w:val="24"/>
              </w:rPr>
              <w:t>§ 48, stk. 8,</w:t>
            </w:r>
            <w:r>
              <w:rPr>
                <w:rFonts w:eastAsia="Calibri" w:cs="Times New Roman"/>
                <w:szCs w:val="24"/>
              </w:rPr>
              <w:t xml:space="preserve"> ændres </w:t>
            </w:r>
            <w:r w:rsidRPr="00004B0C">
              <w:rPr>
                <w:rFonts w:cs="Times New Roman"/>
                <w:szCs w:val="24"/>
              </w:rPr>
              <w:t>»</w:t>
            </w:r>
            <w:r>
              <w:rPr>
                <w:rFonts w:cs="Times New Roman"/>
                <w:szCs w:val="24"/>
              </w:rPr>
              <w:t>stk. 1, nr. 5</w:t>
            </w:r>
            <w:r w:rsidRPr="00FC260B">
              <w:rPr>
                <w:rFonts w:cs="Times New Roman"/>
                <w:szCs w:val="24"/>
              </w:rPr>
              <w:t>«</w:t>
            </w:r>
            <w:r>
              <w:rPr>
                <w:rFonts w:cs="Times New Roman"/>
                <w:szCs w:val="24"/>
              </w:rPr>
              <w:t xml:space="preserve"> til: </w:t>
            </w:r>
            <w:r w:rsidRPr="00004B0C">
              <w:rPr>
                <w:rFonts w:cs="Times New Roman"/>
                <w:szCs w:val="24"/>
              </w:rPr>
              <w:t>»</w:t>
            </w:r>
            <w:r>
              <w:rPr>
                <w:rFonts w:cs="Times New Roman"/>
                <w:szCs w:val="24"/>
              </w:rPr>
              <w:t>stk. 1, nr. 4</w:t>
            </w:r>
            <w:r w:rsidRPr="00FC260B">
              <w:rPr>
                <w:rFonts w:cs="Times New Roman"/>
                <w:szCs w:val="24"/>
              </w:rPr>
              <w:t>«</w:t>
            </w:r>
            <w:r>
              <w:rPr>
                <w:rFonts w:cs="Times New Roman"/>
                <w:szCs w:val="24"/>
              </w:rPr>
              <w:t>.</w:t>
            </w:r>
          </w:p>
          <w:p w14:paraId="4A1790DC" w14:textId="319A3A58" w:rsidR="00101214" w:rsidRDefault="00E803F0" w:rsidP="00420F67">
            <w:pPr>
              <w:rPr>
                <w:rFonts w:eastAsia="Calibri" w:cs="Times New Roman"/>
                <w:b/>
                <w:szCs w:val="24"/>
              </w:rPr>
            </w:pPr>
            <w:r w:rsidRPr="00004B0C">
              <w:rPr>
                <w:i/>
              </w:rPr>
              <w:lastRenderedPageBreak/>
              <w:t>Stk. 8.</w:t>
            </w:r>
            <w:r w:rsidRPr="00004B0C">
              <w:t xml:space="preserve"> Klima-, energi- og forsyningsministeren kan fastsætte nærmere regler om de i stk. 1, nr. </w:t>
            </w:r>
            <w:r>
              <w:t>4</w:t>
            </w:r>
            <w:r w:rsidRPr="00004B0C">
              <w:t>, nævnte henlæggelser til planlagte investeringer, herunder vilkår om sammenhæng til affaldsplaner og om kommunalbestyrelsens beslutning om henlæggelser på baggrund af konkrete, planlagte og budgetterede investeringer og deres finansiering.</w:t>
            </w:r>
          </w:p>
        </w:tc>
      </w:tr>
      <w:tr w:rsidR="000430B5" w:rsidRPr="003E4DDD" w14:paraId="40A8B4CF" w14:textId="77777777" w:rsidTr="00420F67">
        <w:trPr>
          <w:trHeight w:val="280"/>
        </w:trPr>
        <w:tc>
          <w:tcPr>
            <w:tcW w:w="3610" w:type="dxa"/>
          </w:tcPr>
          <w:p w14:paraId="057D46A5" w14:textId="77777777" w:rsidR="000430B5" w:rsidRPr="00CE39C3" w:rsidRDefault="000430B5" w:rsidP="00420F67">
            <w:pPr>
              <w:rPr>
                <w:b/>
                <w:sz w:val="20"/>
                <w:bdr w:val="none" w:sz="0" w:space="0" w:color="auto" w:frame="1"/>
                <w:shd w:val="clear" w:color="auto" w:fill="FFFFFF"/>
              </w:rPr>
            </w:pPr>
            <w:r w:rsidRPr="00CE39C3">
              <w:rPr>
                <w:b/>
                <w:bdr w:val="none" w:sz="0" w:space="0" w:color="auto" w:frame="1"/>
                <w:shd w:val="clear" w:color="auto" w:fill="FFFFFF"/>
              </w:rPr>
              <w:lastRenderedPageBreak/>
              <w:t>§ 50 f</w:t>
            </w:r>
          </w:p>
          <w:p w14:paraId="320BED7A" w14:textId="77777777" w:rsidR="000430B5" w:rsidRDefault="000430B5" w:rsidP="00420F67">
            <w:r>
              <w:t>Miljøministeren fastsætter regler om kommunalbestyrelsens pligt til at etablere genbrugsområder på genbrugspladser i kommunen, herunder om størrelse, indretning, drift og anvendelse af genbrugsområdet.</w:t>
            </w:r>
          </w:p>
          <w:p w14:paraId="0EA22A61" w14:textId="77777777" w:rsidR="000430B5" w:rsidRPr="00CE39C3" w:rsidRDefault="000430B5" w:rsidP="00420F67">
            <w:pPr>
              <w:rPr>
                <w:rFonts w:cs="Times New Roman"/>
              </w:rPr>
            </w:pPr>
            <w:r w:rsidRPr="00CE39C3">
              <w:rPr>
                <w:rStyle w:val="italic0"/>
                <w:rFonts w:cs="Times New Roman"/>
                <w:i/>
                <w:iCs/>
                <w:color w:val="2F2F2B"/>
                <w:spacing w:val="2"/>
                <w:bdr w:val="none" w:sz="0" w:space="0" w:color="auto" w:frame="1"/>
              </w:rPr>
              <w:t>Stk. 2.</w:t>
            </w:r>
          </w:p>
          <w:p w14:paraId="7E408288" w14:textId="77777777" w:rsidR="000430B5" w:rsidRDefault="000430B5" w:rsidP="00420F67">
            <w:r>
              <w:t>Klima-, energi- og forsyningsministeren fastsætter regler om kommunalbestyrelsens pligt til at give private aktører eller kommunale institutioner mulighed for at overtage genstande, der er afleveret i genbrugsområder på genbrugspladser, herunder om kommunalbestyrelsens pligt til at afsætte genstandene vederlagsfrit. Klima-, energi- og forsyningsministeren fastsætter endvidere regler om inddragelse af offentligheden i den lokale udmøntning af ordningen, herunder om udelukkende digital annoncering.</w:t>
            </w:r>
          </w:p>
          <w:p w14:paraId="0BDC9D8F" w14:textId="77777777" w:rsidR="000430B5" w:rsidRPr="00780E55" w:rsidRDefault="000430B5" w:rsidP="00420F67">
            <w:pPr>
              <w:rPr>
                <w:rFonts w:cs="Times New Roman"/>
                <w:szCs w:val="24"/>
              </w:rPr>
            </w:pPr>
          </w:p>
        </w:tc>
        <w:tc>
          <w:tcPr>
            <w:tcW w:w="3608" w:type="dxa"/>
          </w:tcPr>
          <w:p w14:paraId="29953E0F" w14:textId="77777777" w:rsidR="000430B5" w:rsidRPr="003B0B97" w:rsidRDefault="000430B5" w:rsidP="00420F67">
            <w:pPr>
              <w:rPr>
                <w:rFonts w:eastAsia="Calibri" w:cs="Times New Roman"/>
                <w:szCs w:val="24"/>
              </w:rPr>
            </w:pPr>
            <w:r>
              <w:rPr>
                <w:rFonts w:eastAsia="Calibri" w:cs="Times New Roman"/>
                <w:b/>
                <w:szCs w:val="24"/>
              </w:rPr>
              <w:t xml:space="preserve">3. </w:t>
            </w:r>
            <w:r w:rsidRPr="003B0B97">
              <w:rPr>
                <w:rFonts w:cs="Times New Roman"/>
                <w:i/>
                <w:szCs w:val="24"/>
              </w:rPr>
              <w:t xml:space="preserve">§ </w:t>
            </w:r>
            <w:r>
              <w:rPr>
                <w:rFonts w:cs="Times New Roman"/>
                <w:i/>
                <w:szCs w:val="24"/>
              </w:rPr>
              <w:t xml:space="preserve">50 f </w:t>
            </w:r>
            <w:r w:rsidRPr="00FD5C30">
              <w:rPr>
                <w:rFonts w:cs="Times New Roman"/>
                <w:szCs w:val="24"/>
              </w:rPr>
              <w:t>ophæves</w:t>
            </w:r>
          </w:p>
          <w:p w14:paraId="5D7A8762" w14:textId="77777777" w:rsidR="000430B5" w:rsidRPr="00017280" w:rsidRDefault="000430B5" w:rsidP="00420F67">
            <w:pPr>
              <w:spacing w:after="240"/>
              <w:contextualSpacing/>
              <w:mirrorIndents/>
              <w:rPr>
                <w:rFonts w:cs="Times New Roman"/>
                <w:b/>
                <w:szCs w:val="24"/>
              </w:rPr>
            </w:pPr>
          </w:p>
        </w:tc>
      </w:tr>
      <w:tr w:rsidR="000430B5" w:rsidRPr="003E4DDD" w14:paraId="529E9A01" w14:textId="77777777" w:rsidTr="00420F67">
        <w:tc>
          <w:tcPr>
            <w:tcW w:w="3610" w:type="dxa"/>
          </w:tcPr>
          <w:p w14:paraId="232D4CDB" w14:textId="77777777" w:rsidR="000430B5" w:rsidRDefault="000430B5" w:rsidP="00420F67">
            <w:pPr>
              <w:spacing w:after="240"/>
              <w:contextualSpacing/>
              <w:mirrorIndents/>
              <w:rPr>
                <w:rFonts w:cs="Times New Roman"/>
                <w:b/>
                <w:szCs w:val="24"/>
              </w:rPr>
            </w:pPr>
          </w:p>
        </w:tc>
        <w:tc>
          <w:tcPr>
            <w:tcW w:w="3608" w:type="dxa"/>
          </w:tcPr>
          <w:p w14:paraId="1BEA375E" w14:textId="77777777" w:rsidR="000430B5" w:rsidRDefault="000430B5" w:rsidP="00420F67">
            <w:pPr>
              <w:jc w:val="center"/>
              <w:rPr>
                <w:rFonts w:eastAsia="Calibri" w:cs="Times New Roman"/>
                <w:b/>
                <w:szCs w:val="24"/>
              </w:rPr>
            </w:pPr>
            <w:r w:rsidRPr="003B0B97">
              <w:rPr>
                <w:rFonts w:eastAsia="Calibri" w:cs="Times New Roman"/>
                <w:b/>
                <w:szCs w:val="24"/>
              </w:rPr>
              <w:t xml:space="preserve">§ </w:t>
            </w:r>
            <w:r>
              <w:rPr>
                <w:rFonts w:eastAsia="Calibri" w:cs="Times New Roman"/>
                <w:b/>
                <w:szCs w:val="24"/>
              </w:rPr>
              <w:t>2</w:t>
            </w:r>
          </w:p>
          <w:p w14:paraId="035AC168" w14:textId="77777777" w:rsidR="000430B5" w:rsidRPr="003B0B97" w:rsidRDefault="000430B5" w:rsidP="00420F67">
            <w:pPr>
              <w:jc w:val="center"/>
              <w:rPr>
                <w:rFonts w:eastAsia="Calibri" w:cs="Times New Roman"/>
                <w:b/>
                <w:szCs w:val="24"/>
              </w:rPr>
            </w:pPr>
          </w:p>
          <w:p w14:paraId="4BBA655C" w14:textId="77777777" w:rsidR="000430B5" w:rsidRDefault="000430B5" w:rsidP="00420F67">
            <w:pPr>
              <w:ind w:firstLine="284"/>
              <w:rPr>
                <w:rFonts w:eastAsia="Calibri" w:cs="Times New Roman"/>
                <w:szCs w:val="24"/>
              </w:rPr>
            </w:pPr>
            <w:r w:rsidRPr="003B0B97">
              <w:rPr>
                <w:rFonts w:eastAsia="Calibri" w:cs="Times New Roman"/>
                <w:szCs w:val="24"/>
              </w:rPr>
              <w:t>Loven træder i kraft den</w:t>
            </w:r>
            <w:r>
              <w:rPr>
                <w:rFonts w:eastAsia="Calibri" w:cs="Times New Roman"/>
                <w:szCs w:val="24"/>
              </w:rPr>
              <w:t xml:space="preserve"> 1. januar 2025</w:t>
            </w:r>
            <w:r w:rsidRPr="003B0B97">
              <w:rPr>
                <w:rFonts w:eastAsia="Calibri" w:cs="Times New Roman"/>
                <w:szCs w:val="24"/>
              </w:rPr>
              <w:t>.</w:t>
            </w:r>
          </w:p>
          <w:p w14:paraId="48CF4533" w14:textId="77777777" w:rsidR="000430B5" w:rsidRPr="00C967E1" w:rsidRDefault="000430B5" w:rsidP="00420F67">
            <w:pPr>
              <w:spacing w:after="240"/>
              <w:contextualSpacing/>
              <w:mirrorIndents/>
              <w:rPr>
                <w:rFonts w:cs="Times New Roman"/>
                <w:szCs w:val="24"/>
              </w:rPr>
            </w:pPr>
          </w:p>
        </w:tc>
      </w:tr>
    </w:tbl>
    <w:p w14:paraId="29870875" w14:textId="77777777" w:rsidR="000430B5" w:rsidRDefault="000430B5" w:rsidP="00FD1A50">
      <w:pPr>
        <w:spacing w:after="240"/>
        <w:rPr>
          <w:rFonts w:cs="Times New Roman"/>
          <w:szCs w:val="24"/>
        </w:rPr>
      </w:pPr>
    </w:p>
    <w:p w14:paraId="3C5C4027" w14:textId="77777777" w:rsidR="00FD1A50" w:rsidRPr="007E42A5" w:rsidRDefault="00FD1A50" w:rsidP="00FD1A50"/>
    <w:p w14:paraId="3A15F53B" w14:textId="77777777" w:rsidR="004874A6" w:rsidRPr="00FD1A50" w:rsidRDefault="004874A6" w:rsidP="00FD1A50"/>
    <w:sectPr w:rsidR="004874A6" w:rsidRPr="00FD1A50" w:rsidSect="00D712BA">
      <w:headerReference w:type="default" r:id="rId14"/>
      <w:footerReference w:type="default" r:id="rId15"/>
      <w:headerReference w:type="first" r:id="rId16"/>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1B5E" w14:textId="77777777" w:rsidR="009851E7" w:rsidRDefault="009851E7" w:rsidP="00D712BA">
      <w:pPr>
        <w:spacing w:line="240" w:lineRule="auto"/>
      </w:pPr>
      <w:r>
        <w:separator/>
      </w:r>
    </w:p>
  </w:endnote>
  <w:endnote w:type="continuationSeparator" w:id="0">
    <w:p w14:paraId="4BD9CD13" w14:textId="77777777" w:rsidR="009851E7" w:rsidRDefault="009851E7"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F825EB" w14:paraId="0D20E0BE" w14:textId="77777777" w:rsidTr="007112C6">
      <w:trPr>
        <w:trHeight w:val="255"/>
      </w:trPr>
      <w:tc>
        <w:tcPr>
          <w:tcW w:w="1418" w:type="dxa"/>
          <w:hideMark/>
        </w:tcPr>
        <w:p w14:paraId="2F81442B" w14:textId="77777777" w:rsidR="00F825EB" w:rsidRPr="006A1B98" w:rsidRDefault="00F825EB">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6</w:t>
          </w:r>
          <w:r w:rsidRPr="006A1B98">
            <w:rPr>
              <w:rStyle w:val="Sidetal"/>
              <w:sz w:val="16"/>
              <w:szCs w:val="16"/>
            </w:rPr>
            <w:fldChar w:fldCharType="end"/>
          </w:r>
        </w:p>
      </w:tc>
    </w:tr>
  </w:tbl>
  <w:p w14:paraId="415A9890" w14:textId="77777777" w:rsidR="00F825EB" w:rsidRDefault="00F825E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F825EB" w14:paraId="6803027E" w14:textId="77777777" w:rsidTr="007112C6">
      <w:trPr>
        <w:trHeight w:val="255"/>
      </w:trPr>
      <w:tc>
        <w:tcPr>
          <w:tcW w:w="1418" w:type="dxa"/>
          <w:hideMark/>
        </w:tcPr>
        <w:p w14:paraId="7B863DEF" w14:textId="77777777" w:rsidR="00F825EB" w:rsidRPr="006A1B98" w:rsidRDefault="00F825EB">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10</w:t>
          </w:r>
          <w:r w:rsidRPr="006A1B98">
            <w:rPr>
              <w:rStyle w:val="Sidetal"/>
              <w:sz w:val="16"/>
              <w:szCs w:val="16"/>
            </w:rPr>
            <w:fldChar w:fldCharType="end"/>
          </w:r>
        </w:p>
      </w:tc>
    </w:tr>
  </w:tbl>
  <w:p w14:paraId="5683819A" w14:textId="77777777" w:rsidR="00F825EB" w:rsidRDefault="00F825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9BF3" w14:textId="77777777" w:rsidR="009851E7" w:rsidRDefault="009851E7" w:rsidP="00D712BA">
      <w:pPr>
        <w:spacing w:line="240" w:lineRule="auto"/>
      </w:pPr>
      <w:r>
        <w:separator/>
      </w:r>
    </w:p>
  </w:footnote>
  <w:footnote w:type="continuationSeparator" w:id="0">
    <w:p w14:paraId="35E881A9" w14:textId="77777777" w:rsidR="009851E7" w:rsidRDefault="009851E7" w:rsidP="00D7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5BC7" w14:textId="77777777" w:rsidR="00F825EB" w:rsidRDefault="00F825EB">
    <w:pPr>
      <w:pStyle w:val="Sidehoved"/>
    </w:pPr>
  </w:p>
  <w:p w14:paraId="3B0FDDAD" w14:textId="77777777" w:rsidR="00F825EB" w:rsidRPr="004A7268" w:rsidRDefault="00F825EB" w:rsidP="004A7268">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F5C6" w14:textId="77777777" w:rsidR="00F825EB" w:rsidRDefault="00F825EB">
    <w:pPr>
      <w:pStyle w:val="Sidehoved"/>
    </w:pPr>
  </w:p>
  <w:p w14:paraId="3B346ABF" w14:textId="77777777" w:rsidR="00F825EB" w:rsidRPr="004A7268" w:rsidRDefault="00F825EB" w:rsidP="004A7268">
    <w:pPr>
      <w:pStyle w:val="Sidehoved"/>
      <w:jc w:val="center"/>
      <w:rPr>
        <w:b/>
      </w:rPr>
    </w:pPr>
    <w:r w:rsidRPr="004A7268">
      <w:rPr>
        <w:b/>
      </w:rPr>
      <w:t>UDKAST</w:t>
    </w:r>
  </w:p>
  <w:p w14:paraId="64EFF59B" w14:textId="77777777" w:rsidR="00F825EB" w:rsidRDefault="00F825EB">
    <w:pPr>
      <w:pStyle w:val="Sidehoved"/>
    </w:pPr>
  </w:p>
  <w:p w14:paraId="64AE1B71" w14:textId="77777777" w:rsidR="00F825EB" w:rsidRDefault="00F825EB" w:rsidP="00B60A17">
    <w:pPr>
      <w:pStyle w:val="Sidehoved"/>
      <w:tabs>
        <w:tab w:val="clear" w:pos="4819"/>
        <w:tab w:val="clear" w:pos="9638"/>
        <w:tab w:val="left" w:pos="2070"/>
      </w:tabs>
    </w:pPr>
  </w:p>
  <w:p w14:paraId="065F999E" w14:textId="77777777" w:rsidR="00F825EB" w:rsidRDefault="00F825EB">
    <w:pPr>
      <w:pStyle w:val="Sidehoved"/>
    </w:pPr>
  </w:p>
  <w:p w14:paraId="1C94F487" w14:textId="77777777" w:rsidR="00F825EB" w:rsidRDefault="00F825EB">
    <w:pPr>
      <w:pStyle w:val="Sidehoved"/>
    </w:pPr>
  </w:p>
  <w:p w14:paraId="1975A661" w14:textId="77777777" w:rsidR="00F825EB" w:rsidRDefault="00F825EB">
    <w:pPr>
      <w:pStyle w:val="Sidehoved"/>
    </w:pPr>
  </w:p>
  <w:p w14:paraId="517C87B7" w14:textId="77777777" w:rsidR="00F825EB" w:rsidRDefault="00F825EB">
    <w:pPr>
      <w:pStyle w:val="Sidehoved"/>
    </w:pPr>
  </w:p>
  <w:p w14:paraId="316F6554" w14:textId="77777777" w:rsidR="00F825EB" w:rsidRDefault="00F825EB" w:rsidP="00D712BA">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6111" w14:textId="77777777" w:rsidR="00F825EB" w:rsidRDefault="00F825EB">
    <w:pPr>
      <w:pStyle w:val="Sidehoved"/>
    </w:pPr>
  </w:p>
  <w:p w14:paraId="140F8858" w14:textId="77777777" w:rsidR="00F825EB" w:rsidRPr="004A7268" w:rsidRDefault="00F825EB" w:rsidP="004A7268">
    <w:pPr>
      <w:pStyle w:val="Sidehoved"/>
      <w:jc w:val="center"/>
      <w:rPr>
        <w:b/>
      </w:rPr>
    </w:pPr>
    <w:r w:rsidRPr="004A7268">
      <w:rPr>
        <w:b/>
      </w:rPr>
      <w:t>UDKAST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FCA7" w14:textId="77777777" w:rsidR="00F825EB" w:rsidRDefault="00F825EB">
    <w:pPr>
      <w:pStyle w:val="Sidehoved"/>
    </w:pPr>
  </w:p>
  <w:p w14:paraId="16BA501D" w14:textId="77777777" w:rsidR="00F825EB" w:rsidRPr="004A7268" w:rsidRDefault="00F825EB" w:rsidP="004A7268">
    <w:pPr>
      <w:pStyle w:val="Sidehoved"/>
      <w:jc w:val="center"/>
      <w:rPr>
        <w:b/>
      </w:rPr>
    </w:pPr>
    <w:r w:rsidRPr="004A7268">
      <w:rPr>
        <w:b/>
      </w:rPr>
      <w:t>UDKAST</w:t>
    </w:r>
  </w:p>
  <w:p w14:paraId="04A019EB" w14:textId="77777777" w:rsidR="00F825EB" w:rsidRDefault="00F825EB">
    <w:pPr>
      <w:pStyle w:val="Sidehoved"/>
    </w:pPr>
  </w:p>
  <w:p w14:paraId="0D0EF463" w14:textId="77777777" w:rsidR="00F825EB" w:rsidRDefault="00F825EB" w:rsidP="00B60A17">
    <w:pPr>
      <w:pStyle w:val="Sidehoved"/>
      <w:tabs>
        <w:tab w:val="clear" w:pos="4819"/>
        <w:tab w:val="clear" w:pos="9638"/>
        <w:tab w:val="left" w:pos="2070"/>
      </w:tabs>
    </w:pPr>
  </w:p>
  <w:p w14:paraId="11C22D4B" w14:textId="77777777" w:rsidR="00F825EB" w:rsidRDefault="00F825EB">
    <w:pPr>
      <w:pStyle w:val="Sidehoved"/>
    </w:pPr>
  </w:p>
  <w:p w14:paraId="615059FB" w14:textId="77777777" w:rsidR="00F825EB" w:rsidRDefault="00F825EB">
    <w:pPr>
      <w:pStyle w:val="Sidehoved"/>
    </w:pPr>
  </w:p>
  <w:p w14:paraId="6298D3D0" w14:textId="77777777" w:rsidR="00F825EB" w:rsidRDefault="00F825EB">
    <w:pPr>
      <w:pStyle w:val="Sidehoved"/>
    </w:pPr>
  </w:p>
  <w:p w14:paraId="1C02C667" w14:textId="77777777" w:rsidR="00F825EB" w:rsidRDefault="00F825EB">
    <w:pPr>
      <w:pStyle w:val="Sidehoved"/>
    </w:pPr>
  </w:p>
  <w:p w14:paraId="31823037" w14:textId="77777777" w:rsidR="00F825EB" w:rsidRDefault="00F825EB"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6AF9E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ABAB18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8E0F4F"/>
    <w:multiLevelType w:val="hybridMultilevel"/>
    <w:tmpl w:val="66C8A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51F79A1"/>
    <w:multiLevelType w:val="hybridMultilevel"/>
    <w:tmpl w:val="884EA1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F8716D"/>
    <w:multiLevelType w:val="hybridMultilevel"/>
    <w:tmpl w:val="41D278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E564DA"/>
    <w:multiLevelType w:val="hybridMultilevel"/>
    <w:tmpl w:val="984637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4856C79"/>
    <w:multiLevelType w:val="hybridMultilevel"/>
    <w:tmpl w:val="290877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10F27DE"/>
    <w:multiLevelType w:val="hybridMultilevel"/>
    <w:tmpl w:val="DED2BF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1935CBC"/>
    <w:multiLevelType w:val="hybridMultilevel"/>
    <w:tmpl w:val="39D2B16A"/>
    <w:lvl w:ilvl="0" w:tplc="2A6CD49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
  </w:num>
  <w:num w:numId="3">
    <w:abstractNumId w:val="10"/>
  </w:num>
  <w:num w:numId="4">
    <w:abstractNumId w:val="11"/>
  </w:num>
  <w:num w:numId="5">
    <w:abstractNumId w:val="1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8"/>
  </w:num>
  <w:num w:numId="11">
    <w:abstractNumId w:val="6"/>
  </w:num>
  <w:num w:numId="12">
    <w:abstractNumId w:val="13"/>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1D"/>
    <w:rsid w:val="000000ED"/>
    <w:rsid w:val="00000BD4"/>
    <w:rsid w:val="00001BC4"/>
    <w:rsid w:val="00003979"/>
    <w:rsid w:val="00003C9A"/>
    <w:rsid w:val="00004010"/>
    <w:rsid w:val="0000453A"/>
    <w:rsid w:val="0001246F"/>
    <w:rsid w:val="00013ADD"/>
    <w:rsid w:val="00013D0C"/>
    <w:rsid w:val="00017296"/>
    <w:rsid w:val="000239CC"/>
    <w:rsid w:val="000330D8"/>
    <w:rsid w:val="00033C70"/>
    <w:rsid w:val="0003591E"/>
    <w:rsid w:val="0003729F"/>
    <w:rsid w:val="00040A7E"/>
    <w:rsid w:val="000430B5"/>
    <w:rsid w:val="00043C74"/>
    <w:rsid w:val="00043FB5"/>
    <w:rsid w:val="000447C2"/>
    <w:rsid w:val="0005052E"/>
    <w:rsid w:val="00050A72"/>
    <w:rsid w:val="000525DC"/>
    <w:rsid w:val="00053E38"/>
    <w:rsid w:val="000545CB"/>
    <w:rsid w:val="0005482C"/>
    <w:rsid w:val="00056441"/>
    <w:rsid w:val="000567E1"/>
    <w:rsid w:val="000575E5"/>
    <w:rsid w:val="00060459"/>
    <w:rsid w:val="000629D1"/>
    <w:rsid w:val="0007076A"/>
    <w:rsid w:val="0007525C"/>
    <w:rsid w:val="00081B5B"/>
    <w:rsid w:val="00082644"/>
    <w:rsid w:val="00082A38"/>
    <w:rsid w:val="00082ED6"/>
    <w:rsid w:val="00090C62"/>
    <w:rsid w:val="00090F76"/>
    <w:rsid w:val="00091450"/>
    <w:rsid w:val="00092308"/>
    <w:rsid w:val="0009298B"/>
    <w:rsid w:val="000942C4"/>
    <w:rsid w:val="00095150"/>
    <w:rsid w:val="000A2AD8"/>
    <w:rsid w:val="000A6B2E"/>
    <w:rsid w:val="000B057D"/>
    <w:rsid w:val="000B5607"/>
    <w:rsid w:val="000B6587"/>
    <w:rsid w:val="000C0805"/>
    <w:rsid w:val="000C0A5E"/>
    <w:rsid w:val="000C17F0"/>
    <w:rsid w:val="000C3632"/>
    <w:rsid w:val="000C51C5"/>
    <w:rsid w:val="000C52E2"/>
    <w:rsid w:val="000C789C"/>
    <w:rsid w:val="000D270F"/>
    <w:rsid w:val="000D383D"/>
    <w:rsid w:val="000E3052"/>
    <w:rsid w:val="000E6AA1"/>
    <w:rsid w:val="000F3B01"/>
    <w:rsid w:val="000F4FB5"/>
    <w:rsid w:val="000F58BA"/>
    <w:rsid w:val="00100CC7"/>
    <w:rsid w:val="00101214"/>
    <w:rsid w:val="0010175B"/>
    <w:rsid w:val="00104BCD"/>
    <w:rsid w:val="001052AA"/>
    <w:rsid w:val="00106744"/>
    <w:rsid w:val="001067E7"/>
    <w:rsid w:val="00107759"/>
    <w:rsid w:val="00107F4D"/>
    <w:rsid w:val="00110A04"/>
    <w:rsid w:val="00110CAA"/>
    <w:rsid w:val="00111C30"/>
    <w:rsid w:val="00121A4D"/>
    <w:rsid w:val="00123970"/>
    <w:rsid w:val="001259A7"/>
    <w:rsid w:val="001268B7"/>
    <w:rsid w:val="00126BC9"/>
    <w:rsid w:val="00126E55"/>
    <w:rsid w:val="00131CA5"/>
    <w:rsid w:val="00131DB3"/>
    <w:rsid w:val="0013238A"/>
    <w:rsid w:val="00135147"/>
    <w:rsid w:val="001362B6"/>
    <w:rsid w:val="001368A3"/>
    <w:rsid w:val="00141B2A"/>
    <w:rsid w:val="00142586"/>
    <w:rsid w:val="00143AD6"/>
    <w:rsid w:val="00146EAA"/>
    <w:rsid w:val="00150B87"/>
    <w:rsid w:val="00154B65"/>
    <w:rsid w:val="00156EB7"/>
    <w:rsid w:val="00161984"/>
    <w:rsid w:val="001640F5"/>
    <w:rsid w:val="00165435"/>
    <w:rsid w:val="001654C4"/>
    <w:rsid w:val="00165E7D"/>
    <w:rsid w:val="00166D68"/>
    <w:rsid w:val="00167AC4"/>
    <w:rsid w:val="00170D74"/>
    <w:rsid w:val="001741FA"/>
    <w:rsid w:val="0018147E"/>
    <w:rsid w:val="0018487F"/>
    <w:rsid w:val="0018672C"/>
    <w:rsid w:val="00190DFE"/>
    <w:rsid w:val="001918C7"/>
    <w:rsid w:val="00191A15"/>
    <w:rsid w:val="001937D0"/>
    <w:rsid w:val="00193ED6"/>
    <w:rsid w:val="001A074C"/>
    <w:rsid w:val="001A12CA"/>
    <w:rsid w:val="001B1855"/>
    <w:rsid w:val="001B2D4A"/>
    <w:rsid w:val="001B43BF"/>
    <w:rsid w:val="001B4BD9"/>
    <w:rsid w:val="001B7663"/>
    <w:rsid w:val="001B76B0"/>
    <w:rsid w:val="001C5F65"/>
    <w:rsid w:val="001C75F2"/>
    <w:rsid w:val="001D0970"/>
    <w:rsid w:val="001D1AF2"/>
    <w:rsid w:val="001D667E"/>
    <w:rsid w:val="001D6721"/>
    <w:rsid w:val="001D76C0"/>
    <w:rsid w:val="001D7808"/>
    <w:rsid w:val="001E0C60"/>
    <w:rsid w:val="001E1D0F"/>
    <w:rsid w:val="001E361D"/>
    <w:rsid w:val="001E6B7E"/>
    <w:rsid w:val="001F0DA1"/>
    <w:rsid w:val="001F114B"/>
    <w:rsid w:val="001F1BEB"/>
    <w:rsid w:val="001F361C"/>
    <w:rsid w:val="00200D35"/>
    <w:rsid w:val="00203FF6"/>
    <w:rsid w:val="002127F4"/>
    <w:rsid w:val="00213F69"/>
    <w:rsid w:val="0021517E"/>
    <w:rsid w:val="00215D00"/>
    <w:rsid w:val="00216116"/>
    <w:rsid w:val="0021689A"/>
    <w:rsid w:val="00217D27"/>
    <w:rsid w:val="00220452"/>
    <w:rsid w:val="00222C60"/>
    <w:rsid w:val="00222DED"/>
    <w:rsid w:val="002235E0"/>
    <w:rsid w:val="002242AF"/>
    <w:rsid w:val="00224C9C"/>
    <w:rsid w:val="00225E17"/>
    <w:rsid w:val="00227BDD"/>
    <w:rsid w:val="00230B7D"/>
    <w:rsid w:val="00231197"/>
    <w:rsid w:val="002332DB"/>
    <w:rsid w:val="002359A7"/>
    <w:rsid w:val="002379BD"/>
    <w:rsid w:val="00241030"/>
    <w:rsid w:val="0024639C"/>
    <w:rsid w:val="00246CEF"/>
    <w:rsid w:val="00247F24"/>
    <w:rsid w:val="00251D73"/>
    <w:rsid w:val="00253B18"/>
    <w:rsid w:val="00254C13"/>
    <w:rsid w:val="00260A41"/>
    <w:rsid w:val="00260CA2"/>
    <w:rsid w:val="002646DD"/>
    <w:rsid w:val="0027019F"/>
    <w:rsid w:val="002744EE"/>
    <w:rsid w:val="00275CD7"/>
    <w:rsid w:val="00276855"/>
    <w:rsid w:val="00280257"/>
    <w:rsid w:val="00282710"/>
    <w:rsid w:val="0028319D"/>
    <w:rsid w:val="00283D31"/>
    <w:rsid w:val="00284248"/>
    <w:rsid w:val="00291198"/>
    <w:rsid w:val="0029251F"/>
    <w:rsid w:val="00293AB2"/>
    <w:rsid w:val="00297E57"/>
    <w:rsid w:val="002A06FE"/>
    <w:rsid w:val="002A591A"/>
    <w:rsid w:val="002A6373"/>
    <w:rsid w:val="002A6AA6"/>
    <w:rsid w:val="002B21BA"/>
    <w:rsid w:val="002B2C27"/>
    <w:rsid w:val="002B7359"/>
    <w:rsid w:val="002C18FE"/>
    <w:rsid w:val="002C2358"/>
    <w:rsid w:val="002C4DFB"/>
    <w:rsid w:val="002C77A2"/>
    <w:rsid w:val="002C79FB"/>
    <w:rsid w:val="002D038D"/>
    <w:rsid w:val="002D0974"/>
    <w:rsid w:val="002D1F90"/>
    <w:rsid w:val="002D5094"/>
    <w:rsid w:val="002D7122"/>
    <w:rsid w:val="002E04AA"/>
    <w:rsid w:val="002E6074"/>
    <w:rsid w:val="002E631B"/>
    <w:rsid w:val="002F2037"/>
    <w:rsid w:val="002F217E"/>
    <w:rsid w:val="002F33A2"/>
    <w:rsid w:val="00305EE7"/>
    <w:rsid w:val="003070BF"/>
    <w:rsid w:val="0031401B"/>
    <w:rsid w:val="00322874"/>
    <w:rsid w:val="0032303D"/>
    <w:rsid w:val="00331F13"/>
    <w:rsid w:val="0033543E"/>
    <w:rsid w:val="003444EF"/>
    <w:rsid w:val="003465EB"/>
    <w:rsid w:val="00352073"/>
    <w:rsid w:val="003526CD"/>
    <w:rsid w:val="0035443B"/>
    <w:rsid w:val="00354FB0"/>
    <w:rsid w:val="00355DC4"/>
    <w:rsid w:val="00356F3A"/>
    <w:rsid w:val="00381EBD"/>
    <w:rsid w:val="00385541"/>
    <w:rsid w:val="003869DE"/>
    <w:rsid w:val="00390CD3"/>
    <w:rsid w:val="00395258"/>
    <w:rsid w:val="003A14A8"/>
    <w:rsid w:val="003A21E9"/>
    <w:rsid w:val="003A26A8"/>
    <w:rsid w:val="003A7A63"/>
    <w:rsid w:val="003B174B"/>
    <w:rsid w:val="003B3655"/>
    <w:rsid w:val="003B4EED"/>
    <w:rsid w:val="003B56C7"/>
    <w:rsid w:val="003B62AF"/>
    <w:rsid w:val="003B69D9"/>
    <w:rsid w:val="003C5337"/>
    <w:rsid w:val="003C5619"/>
    <w:rsid w:val="003C7083"/>
    <w:rsid w:val="003D0AD7"/>
    <w:rsid w:val="003D3995"/>
    <w:rsid w:val="003D3B14"/>
    <w:rsid w:val="003D4F0A"/>
    <w:rsid w:val="003E18E1"/>
    <w:rsid w:val="003E23A0"/>
    <w:rsid w:val="003E6F1B"/>
    <w:rsid w:val="003E77E6"/>
    <w:rsid w:val="003F0B39"/>
    <w:rsid w:val="003F34A4"/>
    <w:rsid w:val="003F3919"/>
    <w:rsid w:val="00400754"/>
    <w:rsid w:val="00400F0A"/>
    <w:rsid w:val="00402061"/>
    <w:rsid w:val="004052A5"/>
    <w:rsid w:val="00413B94"/>
    <w:rsid w:val="00413CCB"/>
    <w:rsid w:val="00415FDD"/>
    <w:rsid w:val="00416019"/>
    <w:rsid w:val="004203D0"/>
    <w:rsid w:val="00420F67"/>
    <w:rsid w:val="0042157D"/>
    <w:rsid w:val="00422AAD"/>
    <w:rsid w:val="00425FB6"/>
    <w:rsid w:val="00427D43"/>
    <w:rsid w:val="004409C4"/>
    <w:rsid w:val="00440C5E"/>
    <w:rsid w:val="00445EDC"/>
    <w:rsid w:val="00446DB0"/>
    <w:rsid w:val="0044780F"/>
    <w:rsid w:val="00450BA6"/>
    <w:rsid w:val="00451A17"/>
    <w:rsid w:val="004527E9"/>
    <w:rsid w:val="00466CFB"/>
    <w:rsid w:val="004678BF"/>
    <w:rsid w:val="00474396"/>
    <w:rsid w:val="004749BE"/>
    <w:rsid w:val="00474E93"/>
    <w:rsid w:val="004764D3"/>
    <w:rsid w:val="00480029"/>
    <w:rsid w:val="0048040E"/>
    <w:rsid w:val="00483CB4"/>
    <w:rsid w:val="004874A6"/>
    <w:rsid w:val="00493E75"/>
    <w:rsid w:val="004948CA"/>
    <w:rsid w:val="004A1E8E"/>
    <w:rsid w:val="004A2BC9"/>
    <w:rsid w:val="004A4378"/>
    <w:rsid w:val="004A7268"/>
    <w:rsid w:val="004B0D32"/>
    <w:rsid w:val="004B2B00"/>
    <w:rsid w:val="004B2B68"/>
    <w:rsid w:val="004B309A"/>
    <w:rsid w:val="004B4B2A"/>
    <w:rsid w:val="004B4C5D"/>
    <w:rsid w:val="004B57CF"/>
    <w:rsid w:val="004B7FBE"/>
    <w:rsid w:val="004C0EFA"/>
    <w:rsid w:val="004C6EB6"/>
    <w:rsid w:val="004D29F5"/>
    <w:rsid w:val="004D2E9D"/>
    <w:rsid w:val="004D2EF7"/>
    <w:rsid w:val="004D66F7"/>
    <w:rsid w:val="004E3D3D"/>
    <w:rsid w:val="004E3E98"/>
    <w:rsid w:val="004E3EAE"/>
    <w:rsid w:val="004E52D1"/>
    <w:rsid w:val="004E5408"/>
    <w:rsid w:val="004F0A19"/>
    <w:rsid w:val="004F143C"/>
    <w:rsid w:val="004F53D0"/>
    <w:rsid w:val="00501068"/>
    <w:rsid w:val="00502F10"/>
    <w:rsid w:val="0051410D"/>
    <w:rsid w:val="0051628D"/>
    <w:rsid w:val="00517A88"/>
    <w:rsid w:val="00517E8D"/>
    <w:rsid w:val="005271F2"/>
    <w:rsid w:val="00532DFB"/>
    <w:rsid w:val="00534E14"/>
    <w:rsid w:val="00534E2B"/>
    <w:rsid w:val="00537312"/>
    <w:rsid w:val="00541497"/>
    <w:rsid w:val="00544707"/>
    <w:rsid w:val="00547CFB"/>
    <w:rsid w:val="00550E94"/>
    <w:rsid w:val="005512C2"/>
    <w:rsid w:val="00554498"/>
    <w:rsid w:val="005603C4"/>
    <w:rsid w:val="005654FE"/>
    <w:rsid w:val="0057006D"/>
    <w:rsid w:val="0057031F"/>
    <w:rsid w:val="0057225E"/>
    <w:rsid w:val="005768D7"/>
    <w:rsid w:val="00577DF5"/>
    <w:rsid w:val="0058228B"/>
    <w:rsid w:val="005873E7"/>
    <w:rsid w:val="005931A1"/>
    <w:rsid w:val="00594A23"/>
    <w:rsid w:val="00596051"/>
    <w:rsid w:val="00597649"/>
    <w:rsid w:val="005A0C6B"/>
    <w:rsid w:val="005B15E1"/>
    <w:rsid w:val="005B2851"/>
    <w:rsid w:val="005B34E6"/>
    <w:rsid w:val="005B360B"/>
    <w:rsid w:val="005C2CEA"/>
    <w:rsid w:val="005C3D6A"/>
    <w:rsid w:val="005C6268"/>
    <w:rsid w:val="005C659A"/>
    <w:rsid w:val="005D0330"/>
    <w:rsid w:val="005D0935"/>
    <w:rsid w:val="005D177F"/>
    <w:rsid w:val="005D284F"/>
    <w:rsid w:val="005D3F9E"/>
    <w:rsid w:val="005D56C8"/>
    <w:rsid w:val="005D71A2"/>
    <w:rsid w:val="005E04AE"/>
    <w:rsid w:val="005E1056"/>
    <w:rsid w:val="005E23CA"/>
    <w:rsid w:val="005E2B24"/>
    <w:rsid w:val="005E7D66"/>
    <w:rsid w:val="005F35D5"/>
    <w:rsid w:val="005F6CB4"/>
    <w:rsid w:val="00600293"/>
    <w:rsid w:val="00601F8B"/>
    <w:rsid w:val="00602D32"/>
    <w:rsid w:val="006103B2"/>
    <w:rsid w:val="00611093"/>
    <w:rsid w:val="00613950"/>
    <w:rsid w:val="00615319"/>
    <w:rsid w:val="00621445"/>
    <w:rsid w:val="00622559"/>
    <w:rsid w:val="006236B1"/>
    <w:rsid w:val="00625AC8"/>
    <w:rsid w:val="00632F3D"/>
    <w:rsid w:val="006341C7"/>
    <w:rsid w:val="00637BD6"/>
    <w:rsid w:val="00640289"/>
    <w:rsid w:val="006416E5"/>
    <w:rsid w:val="00643557"/>
    <w:rsid w:val="00643F35"/>
    <w:rsid w:val="006502A8"/>
    <w:rsid w:val="006509DB"/>
    <w:rsid w:val="00651BE7"/>
    <w:rsid w:val="006547E3"/>
    <w:rsid w:val="00657AAB"/>
    <w:rsid w:val="00660187"/>
    <w:rsid w:val="0066256D"/>
    <w:rsid w:val="00662FC7"/>
    <w:rsid w:val="00663873"/>
    <w:rsid w:val="006766DC"/>
    <w:rsid w:val="00680E9E"/>
    <w:rsid w:val="0068223F"/>
    <w:rsid w:val="00682987"/>
    <w:rsid w:val="0068659A"/>
    <w:rsid w:val="00686734"/>
    <w:rsid w:val="00691CB8"/>
    <w:rsid w:val="0069268F"/>
    <w:rsid w:val="00697D54"/>
    <w:rsid w:val="006A067D"/>
    <w:rsid w:val="006A1B98"/>
    <w:rsid w:val="006A2CF1"/>
    <w:rsid w:val="006A3B04"/>
    <w:rsid w:val="006A6250"/>
    <w:rsid w:val="006B329A"/>
    <w:rsid w:val="006B47F8"/>
    <w:rsid w:val="006B4E5A"/>
    <w:rsid w:val="006B6177"/>
    <w:rsid w:val="006C0659"/>
    <w:rsid w:val="006C0A7C"/>
    <w:rsid w:val="006C194E"/>
    <w:rsid w:val="006C5CDE"/>
    <w:rsid w:val="006C6547"/>
    <w:rsid w:val="006E3FE2"/>
    <w:rsid w:val="006F238D"/>
    <w:rsid w:val="006F2D66"/>
    <w:rsid w:val="006F5844"/>
    <w:rsid w:val="007018B8"/>
    <w:rsid w:val="00703441"/>
    <w:rsid w:val="007039C3"/>
    <w:rsid w:val="00707626"/>
    <w:rsid w:val="00710975"/>
    <w:rsid w:val="00710D65"/>
    <w:rsid w:val="00711115"/>
    <w:rsid w:val="007112C6"/>
    <w:rsid w:val="00711787"/>
    <w:rsid w:val="0071439B"/>
    <w:rsid w:val="007162AF"/>
    <w:rsid w:val="007173E8"/>
    <w:rsid w:val="00717E1E"/>
    <w:rsid w:val="00720979"/>
    <w:rsid w:val="00720AE1"/>
    <w:rsid w:val="007215D1"/>
    <w:rsid w:val="007250DE"/>
    <w:rsid w:val="00732E07"/>
    <w:rsid w:val="00733522"/>
    <w:rsid w:val="007439F3"/>
    <w:rsid w:val="00747753"/>
    <w:rsid w:val="0075041F"/>
    <w:rsid w:val="00750A08"/>
    <w:rsid w:val="00751348"/>
    <w:rsid w:val="007516C1"/>
    <w:rsid w:val="0075218A"/>
    <w:rsid w:val="00752AD8"/>
    <w:rsid w:val="0075536D"/>
    <w:rsid w:val="0076380E"/>
    <w:rsid w:val="007823E2"/>
    <w:rsid w:val="00782A8F"/>
    <w:rsid w:val="00787D82"/>
    <w:rsid w:val="00790474"/>
    <w:rsid w:val="007972F0"/>
    <w:rsid w:val="007A6F13"/>
    <w:rsid w:val="007B13EB"/>
    <w:rsid w:val="007B1B35"/>
    <w:rsid w:val="007B45ED"/>
    <w:rsid w:val="007B4BEA"/>
    <w:rsid w:val="007B5D58"/>
    <w:rsid w:val="007B6EC2"/>
    <w:rsid w:val="007C0F1B"/>
    <w:rsid w:val="007C27DC"/>
    <w:rsid w:val="007C54DD"/>
    <w:rsid w:val="007C5732"/>
    <w:rsid w:val="007C74F1"/>
    <w:rsid w:val="007D2EA0"/>
    <w:rsid w:val="007D4232"/>
    <w:rsid w:val="007D6B16"/>
    <w:rsid w:val="007D77E8"/>
    <w:rsid w:val="007D7D56"/>
    <w:rsid w:val="007E1195"/>
    <w:rsid w:val="007E2B95"/>
    <w:rsid w:val="007E3F5F"/>
    <w:rsid w:val="007E42A5"/>
    <w:rsid w:val="007E4E1B"/>
    <w:rsid w:val="007F0E9A"/>
    <w:rsid w:val="007F0EDC"/>
    <w:rsid w:val="007F5970"/>
    <w:rsid w:val="007F6CAE"/>
    <w:rsid w:val="00801E61"/>
    <w:rsid w:val="008039FE"/>
    <w:rsid w:val="008101C4"/>
    <w:rsid w:val="00813FE7"/>
    <w:rsid w:val="008148CD"/>
    <w:rsid w:val="008165C2"/>
    <w:rsid w:val="00816AB3"/>
    <w:rsid w:val="00816B56"/>
    <w:rsid w:val="00820D41"/>
    <w:rsid w:val="00823AB0"/>
    <w:rsid w:val="00825A38"/>
    <w:rsid w:val="00825FD3"/>
    <w:rsid w:val="00827850"/>
    <w:rsid w:val="00831B28"/>
    <w:rsid w:val="00833E8D"/>
    <w:rsid w:val="008358F3"/>
    <w:rsid w:val="00835974"/>
    <w:rsid w:val="00840B29"/>
    <w:rsid w:val="00840B83"/>
    <w:rsid w:val="00847795"/>
    <w:rsid w:val="008509AD"/>
    <w:rsid w:val="00851FED"/>
    <w:rsid w:val="00856DA3"/>
    <w:rsid w:val="00862B4E"/>
    <w:rsid w:val="0086326A"/>
    <w:rsid w:val="00864629"/>
    <w:rsid w:val="00864A6E"/>
    <w:rsid w:val="00872B0B"/>
    <w:rsid w:val="00873528"/>
    <w:rsid w:val="00873F6B"/>
    <w:rsid w:val="008762D9"/>
    <w:rsid w:val="00882E68"/>
    <w:rsid w:val="00883AD5"/>
    <w:rsid w:val="008857AC"/>
    <w:rsid w:val="00892BAF"/>
    <w:rsid w:val="0089325B"/>
    <w:rsid w:val="0089470C"/>
    <w:rsid w:val="008A48D6"/>
    <w:rsid w:val="008A67DD"/>
    <w:rsid w:val="008A6E21"/>
    <w:rsid w:val="008B15D3"/>
    <w:rsid w:val="008B181A"/>
    <w:rsid w:val="008B1E05"/>
    <w:rsid w:val="008B4F63"/>
    <w:rsid w:val="008B672C"/>
    <w:rsid w:val="008C20F4"/>
    <w:rsid w:val="008C34CF"/>
    <w:rsid w:val="008C3FE5"/>
    <w:rsid w:val="008C4038"/>
    <w:rsid w:val="008C4B2D"/>
    <w:rsid w:val="008C5707"/>
    <w:rsid w:val="008C5F41"/>
    <w:rsid w:val="008C7BC0"/>
    <w:rsid w:val="008D0D10"/>
    <w:rsid w:val="008D2F30"/>
    <w:rsid w:val="008D5C1F"/>
    <w:rsid w:val="008E27EC"/>
    <w:rsid w:val="008E6F19"/>
    <w:rsid w:val="008F3C71"/>
    <w:rsid w:val="009024F4"/>
    <w:rsid w:val="009056E1"/>
    <w:rsid w:val="00906B0D"/>
    <w:rsid w:val="009112D5"/>
    <w:rsid w:val="0091301A"/>
    <w:rsid w:val="00922DC9"/>
    <w:rsid w:val="00923BF8"/>
    <w:rsid w:val="00927CB2"/>
    <w:rsid w:val="00927CD6"/>
    <w:rsid w:val="00930109"/>
    <w:rsid w:val="0093361B"/>
    <w:rsid w:val="00934AF6"/>
    <w:rsid w:val="0093527F"/>
    <w:rsid w:val="009463C8"/>
    <w:rsid w:val="00950277"/>
    <w:rsid w:val="0095128A"/>
    <w:rsid w:val="00951C35"/>
    <w:rsid w:val="009535ED"/>
    <w:rsid w:val="00956251"/>
    <w:rsid w:val="009573DD"/>
    <w:rsid w:val="0096004F"/>
    <w:rsid w:val="0096028D"/>
    <w:rsid w:val="0096066E"/>
    <w:rsid w:val="009633E8"/>
    <w:rsid w:val="00964004"/>
    <w:rsid w:val="00965FC1"/>
    <w:rsid w:val="0096675F"/>
    <w:rsid w:val="00970AE2"/>
    <w:rsid w:val="00970B9F"/>
    <w:rsid w:val="00972AE9"/>
    <w:rsid w:val="00977E3E"/>
    <w:rsid w:val="00984901"/>
    <w:rsid w:val="009851E7"/>
    <w:rsid w:val="009857ED"/>
    <w:rsid w:val="00985D46"/>
    <w:rsid w:val="0098674A"/>
    <w:rsid w:val="009918A8"/>
    <w:rsid w:val="0099196C"/>
    <w:rsid w:val="00991AAC"/>
    <w:rsid w:val="00993F66"/>
    <w:rsid w:val="00996583"/>
    <w:rsid w:val="009B0E4E"/>
    <w:rsid w:val="009B5D36"/>
    <w:rsid w:val="009B6647"/>
    <w:rsid w:val="009B72D0"/>
    <w:rsid w:val="009C1093"/>
    <w:rsid w:val="009C4626"/>
    <w:rsid w:val="009C662C"/>
    <w:rsid w:val="009C7F9F"/>
    <w:rsid w:val="009E0A32"/>
    <w:rsid w:val="009E13CF"/>
    <w:rsid w:val="009E23AF"/>
    <w:rsid w:val="009E2E73"/>
    <w:rsid w:val="009E38F7"/>
    <w:rsid w:val="009E4674"/>
    <w:rsid w:val="009F5748"/>
    <w:rsid w:val="00A008DF"/>
    <w:rsid w:val="00A035BD"/>
    <w:rsid w:val="00A057E2"/>
    <w:rsid w:val="00A05EC5"/>
    <w:rsid w:val="00A06563"/>
    <w:rsid w:val="00A10FC4"/>
    <w:rsid w:val="00A11004"/>
    <w:rsid w:val="00A14CCA"/>
    <w:rsid w:val="00A1695E"/>
    <w:rsid w:val="00A17E30"/>
    <w:rsid w:val="00A21A31"/>
    <w:rsid w:val="00A223ED"/>
    <w:rsid w:val="00A22AFE"/>
    <w:rsid w:val="00A22D2D"/>
    <w:rsid w:val="00A23176"/>
    <w:rsid w:val="00A233FC"/>
    <w:rsid w:val="00A23C63"/>
    <w:rsid w:val="00A34C6D"/>
    <w:rsid w:val="00A4143A"/>
    <w:rsid w:val="00A456AA"/>
    <w:rsid w:val="00A47E85"/>
    <w:rsid w:val="00A47FE1"/>
    <w:rsid w:val="00A50C12"/>
    <w:rsid w:val="00A52739"/>
    <w:rsid w:val="00A53386"/>
    <w:rsid w:val="00A54D97"/>
    <w:rsid w:val="00A54E66"/>
    <w:rsid w:val="00A55EEE"/>
    <w:rsid w:val="00A56226"/>
    <w:rsid w:val="00A56F8F"/>
    <w:rsid w:val="00A57D6F"/>
    <w:rsid w:val="00A602C0"/>
    <w:rsid w:val="00A61FB5"/>
    <w:rsid w:val="00A629B5"/>
    <w:rsid w:val="00A64DBF"/>
    <w:rsid w:val="00A6531F"/>
    <w:rsid w:val="00A73835"/>
    <w:rsid w:val="00A74435"/>
    <w:rsid w:val="00A74517"/>
    <w:rsid w:val="00A8112A"/>
    <w:rsid w:val="00A81CAC"/>
    <w:rsid w:val="00A846E0"/>
    <w:rsid w:val="00A84978"/>
    <w:rsid w:val="00A85FC0"/>
    <w:rsid w:val="00A86BC8"/>
    <w:rsid w:val="00A87224"/>
    <w:rsid w:val="00A90B49"/>
    <w:rsid w:val="00A97E7B"/>
    <w:rsid w:val="00AA0B20"/>
    <w:rsid w:val="00AA1400"/>
    <w:rsid w:val="00AA412E"/>
    <w:rsid w:val="00AA5D4A"/>
    <w:rsid w:val="00AB09A2"/>
    <w:rsid w:val="00AB12E8"/>
    <w:rsid w:val="00AB22EE"/>
    <w:rsid w:val="00AB4A7C"/>
    <w:rsid w:val="00AB64C5"/>
    <w:rsid w:val="00AC0445"/>
    <w:rsid w:val="00AC1448"/>
    <w:rsid w:val="00AC3565"/>
    <w:rsid w:val="00AC3D77"/>
    <w:rsid w:val="00AC3EAF"/>
    <w:rsid w:val="00AD29A3"/>
    <w:rsid w:val="00AD3362"/>
    <w:rsid w:val="00AD60A4"/>
    <w:rsid w:val="00AD641D"/>
    <w:rsid w:val="00AD68C6"/>
    <w:rsid w:val="00AD6D82"/>
    <w:rsid w:val="00AE1C7E"/>
    <w:rsid w:val="00AE1EEF"/>
    <w:rsid w:val="00AE2BA0"/>
    <w:rsid w:val="00AE3BAF"/>
    <w:rsid w:val="00AE5252"/>
    <w:rsid w:val="00AE6E03"/>
    <w:rsid w:val="00AE79FC"/>
    <w:rsid w:val="00AF3072"/>
    <w:rsid w:val="00AF3E83"/>
    <w:rsid w:val="00AF49BB"/>
    <w:rsid w:val="00AF6027"/>
    <w:rsid w:val="00B00B32"/>
    <w:rsid w:val="00B024F8"/>
    <w:rsid w:val="00B03B91"/>
    <w:rsid w:val="00B132A5"/>
    <w:rsid w:val="00B17861"/>
    <w:rsid w:val="00B2539C"/>
    <w:rsid w:val="00B300D5"/>
    <w:rsid w:val="00B36F18"/>
    <w:rsid w:val="00B376A7"/>
    <w:rsid w:val="00B40730"/>
    <w:rsid w:val="00B40E98"/>
    <w:rsid w:val="00B4426C"/>
    <w:rsid w:val="00B46C41"/>
    <w:rsid w:val="00B51A75"/>
    <w:rsid w:val="00B54302"/>
    <w:rsid w:val="00B547DD"/>
    <w:rsid w:val="00B54E0E"/>
    <w:rsid w:val="00B56B49"/>
    <w:rsid w:val="00B60A17"/>
    <w:rsid w:val="00B637C4"/>
    <w:rsid w:val="00B67FBE"/>
    <w:rsid w:val="00B74844"/>
    <w:rsid w:val="00B80072"/>
    <w:rsid w:val="00B8532C"/>
    <w:rsid w:val="00B86780"/>
    <w:rsid w:val="00B86B7F"/>
    <w:rsid w:val="00B93BCA"/>
    <w:rsid w:val="00BA01F4"/>
    <w:rsid w:val="00BA39DE"/>
    <w:rsid w:val="00BA4090"/>
    <w:rsid w:val="00BA662C"/>
    <w:rsid w:val="00BA7B8F"/>
    <w:rsid w:val="00BB012F"/>
    <w:rsid w:val="00BC1965"/>
    <w:rsid w:val="00BC292B"/>
    <w:rsid w:val="00BC3086"/>
    <w:rsid w:val="00BC4142"/>
    <w:rsid w:val="00BC5436"/>
    <w:rsid w:val="00BC65E2"/>
    <w:rsid w:val="00BC7B47"/>
    <w:rsid w:val="00BD0817"/>
    <w:rsid w:val="00BD46A3"/>
    <w:rsid w:val="00BD7284"/>
    <w:rsid w:val="00BE1603"/>
    <w:rsid w:val="00BE20DB"/>
    <w:rsid w:val="00BE7333"/>
    <w:rsid w:val="00BF0592"/>
    <w:rsid w:val="00BF0F50"/>
    <w:rsid w:val="00BF17D6"/>
    <w:rsid w:val="00BF2B05"/>
    <w:rsid w:val="00BF3D9E"/>
    <w:rsid w:val="00BF46D0"/>
    <w:rsid w:val="00C00ABA"/>
    <w:rsid w:val="00C04B5D"/>
    <w:rsid w:val="00C16CA3"/>
    <w:rsid w:val="00C17215"/>
    <w:rsid w:val="00C24BB8"/>
    <w:rsid w:val="00C26894"/>
    <w:rsid w:val="00C3228D"/>
    <w:rsid w:val="00C32EA8"/>
    <w:rsid w:val="00C348E2"/>
    <w:rsid w:val="00C37D4F"/>
    <w:rsid w:val="00C44233"/>
    <w:rsid w:val="00C44634"/>
    <w:rsid w:val="00C50959"/>
    <w:rsid w:val="00C556C3"/>
    <w:rsid w:val="00C5599C"/>
    <w:rsid w:val="00C6294B"/>
    <w:rsid w:val="00C6387C"/>
    <w:rsid w:val="00C65016"/>
    <w:rsid w:val="00C67C83"/>
    <w:rsid w:val="00C7613C"/>
    <w:rsid w:val="00C80B62"/>
    <w:rsid w:val="00C8488B"/>
    <w:rsid w:val="00C86562"/>
    <w:rsid w:val="00C86A2A"/>
    <w:rsid w:val="00C9412C"/>
    <w:rsid w:val="00C95827"/>
    <w:rsid w:val="00C967E1"/>
    <w:rsid w:val="00C975A9"/>
    <w:rsid w:val="00CA3C84"/>
    <w:rsid w:val="00CA48BB"/>
    <w:rsid w:val="00CA4EB5"/>
    <w:rsid w:val="00CA6D87"/>
    <w:rsid w:val="00CB1590"/>
    <w:rsid w:val="00CB3871"/>
    <w:rsid w:val="00CB3D83"/>
    <w:rsid w:val="00CB416B"/>
    <w:rsid w:val="00CB4B2A"/>
    <w:rsid w:val="00CB79EC"/>
    <w:rsid w:val="00CD05D8"/>
    <w:rsid w:val="00CD3159"/>
    <w:rsid w:val="00CD4695"/>
    <w:rsid w:val="00CD503B"/>
    <w:rsid w:val="00CD57C0"/>
    <w:rsid w:val="00CD77C9"/>
    <w:rsid w:val="00CE36B2"/>
    <w:rsid w:val="00CE5137"/>
    <w:rsid w:val="00CF3187"/>
    <w:rsid w:val="00CF4137"/>
    <w:rsid w:val="00CF7949"/>
    <w:rsid w:val="00D00F65"/>
    <w:rsid w:val="00D0635D"/>
    <w:rsid w:val="00D10863"/>
    <w:rsid w:val="00D163A3"/>
    <w:rsid w:val="00D170E3"/>
    <w:rsid w:val="00D265AB"/>
    <w:rsid w:val="00D30DC0"/>
    <w:rsid w:val="00D31F3A"/>
    <w:rsid w:val="00D36136"/>
    <w:rsid w:val="00D4348B"/>
    <w:rsid w:val="00D45314"/>
    <w:rsid w:val="00D53E56"/>
    <w:rsid w:val="00D566FD"/>
    <w:rsid w:val="00D57819"/>
    <w:rsid w:val="00D60D56"/>
    <w:rsid w:val="00D60E53"/>
    <w:rsid w:val="00D665C2"/>
    <w:rsid w:val="00D701FC"/>
    <w:rsid w:val="00D702A7"/>
    <w:rsid w:val="00D712BA"/>
    <w:rsid w:val="00D719C6"/>
    <w:rsid w:val="00D71D23"/>
    <w:rsid w:val="00D73ADF"/>
    <w:rsid w:val="00D754D8"/>
    <w:rsid w:val="00D75DD3"/>
    <w:rsid w:val="00D76501"/>
    <w:rsid w:val="00D77254"/>
    <w:rsid w:val="00D77338"/>
    <w:rsid w:val="00D84F41"/>
    <w:rsid w:val="00D87A1E"/>
    <w:rsid w:val="00D87A2B"/>
    <w:rsid w:val="00D87F7D"/>
    <w:rsid w:val="00D918A2"/>
    <w:rsid w:val="00D97291"/>
    <w:rsid w:val="00DA167C"/>
    <w:rsid w:val="00DA2B91"/>
    <w:rsid w:val="00DA5F6B"/>
    <w:rsid w:val="00DB2E1A"/>
    <w:rsid w:val="00DC4477"/>
    <w:rsid w:val="00DC5C35"/>
    <w:rsid w:val="00DD1CFA"/>
    <w:rsid w:val="00DD20DA"/>
    <w:rsid w:val="00DD58BA"/>
    <w:rsid w:val="00DD764E"/>
    <w:rsid w:val="00DD7AE6"/>
    <w:rsid w:val="00DD7E20"/>
    <w:rsid w:val="00DE3041"/>
    <w:rsid w:val="00DE61DE"/>
    <w:rsid w:val="00DE6F75"/>
    <w:rsid w:val="00DF1229"/>
    <w:rsid w:val="00E04354"/>
    <w:rsid w:val="00E0677E"/>
    <w:rsid w:val="00E126EB"/>
    <w:rsid w:val="00E14D8A"/>
    <w:rsid w:val="00E14EAE"/>
    <w:rsid w:val="00E16D80"/>
    <w:rsid w:val="00E30251"/>
    <w:rsid w:val="00E31351"/>
    <w:rsid w:val="00E413B5"/>
    <w:rsid w:val="00E4223B"/>
    <w:rsid w:val="00E42D70"/>
    <w:rsid w:val="00E46A12"/>
    <w:rsid w:val="00E5107B"/>
    <w:rsid w:val="00E5110A"/>
    <w:rsid w:val="00E52095"/>
    <w:rsid w:val="00E54C48"/>
    <w:rsid w:val="00E60DCE"/>
    <w:rsid w:val="00E6122C"/>
    <w:rsid w:val="00E62144"/>
    <w:rsid w:val="00E62F66"/>
    <w:rsid w:val="00E6369D"/>
    <w:rsid w:val="00E65282"/>
    <w:rsid w:val="00E6629B"/>
    <w:rsid w:val="00E6666C"/>
    <w:rsid w:val="00E66A00"/>
    <w:rsid w:val="00E710C8"/>
    <w:rsid w:val="00E72827"/>
    <w:rsid w:val="00E74C95"/>
    <w:rsid w:val="00E75493"/>
    <w:rsid w:val="00E803F0"/>
    <w:rsid w:val="00E80DBA"/>
    <w:rsid w:val="00E85230"/>
    <w:rsid w:val="00E86A12"/>
    <w:rsid w:val="00E87D64"/>
    <w:rsid w:val="00E93993"/>
    <w:rsid w:val="00E96D0A"/>
    <w:rsid w:val="00E976C0"/>
    <w:rsid w:val="00EA0304"/>
    <w:rsid w:val="00EA074E"/>
    <w:rsid w:val="00EA2F4C"/>
    <w:rsid w:val="00EA3C20"/>
    <w:rsid w:val="00EA7DDF"/>
    <w:rsid w:val="00EB0FA2"/>
    <w:rsid w:val="00EB2945"/>
    <w:rsid w:val="00EB546D"/>
    <w:rsid w:val="00EC5267"/>
    <w:rsid w:val="00ED433B"/>
    <w:rsid w:val="00ED5695"/>
    <w:rsid w:val="00ED5FC7"/>
    <w:rsid w:val="00ED77B7"/>
    <w:rsid w:val="00EE19AA"/>
    <w:rsid w:val="00EE2B5D"/>
    <w:rsid w:val="00EE34F5"/>
    <w:rsid w:val="00EE40A1"/>
    <w:rsid w:val="00EE4230"/>
    <w:rsid w:val="00EE6125"/>
    <w:rsid w:val="00EF1131"/>
    <w:rsid w:val="00EF1D15"/>
    <w:rsid w:val="00EF2761"/>
    <w:rsid w:val="00EF3111"/>
    <w:rsid w:val="00EF7867"/>
    <w:rsid w:val="00F02993"/>
    <w:rsid w:val="00F0531D"/>
    <w:rsid w:val="00F0590C"/>
    <w:rsid w:val="00F11424"/>
    <w:rsid w:val="00F13862"/>
    <w:rsid w:val="00F13865"/>
    <w:rsid w:val="00F14B14"/>
    <w:rsid w:val="00F16342"/>
    <w:rsid w:val="00F17506"/>
    <w:rsid w:val="00F21DBC"/>
    <w:rsid w:val="00F22E23"/>
    <w:rsid w:val="00F31323"/>
    <w:rsid w:val="00F3356F"/>
    <w:rsid w:val="00F357B7"/>
    <w:rsid w:val="00F37EE9"/>
    <w:rsid w:val="00F40CCD"/>
    <w:rsid w:val="00F40FB8"/>
    <w:rsid w:val="00F42843"/>
    <w:rsid w:val="00F438A7"/>
    <w:rsid w:val="00F443CD"/>
    <w:rsid w:val="00F444CE"/>
    <w:rsid w:val="00F45253"/>
    <w:rsid w:val="00F47A9E"/>
    <w:rsid w:val="00F53E00"/>
    <w:rsid w:val="00F54832"/>
    <w:rsid w:val="00F572EE"/>
    <w:rsid w:val="00F57D33"/>
    <w:rsid w:val="00F60B40"/>
    <w:rsid w:val="00F61745"/>
    <w:rsid w:val="00F6188A"/>
    <w:rsid w:val="00F61DA9"/>
    <w:rsid w:val="00F624A2"/>
    <w:rsid w:val="00F6665F"/>
    <w:rsid w:val="00F675E8"/>
    <w:rsid w:val="00F67A28"/>
    <w:rsid w:val="00F706B2"/>
    <w:rsid w:val="00F70704"/>
    <w:rsid w:val="00F73009"/>
    <w:rsid w:val="00F74C84"/>
    <w:rsid w:val="00F77BCD"/>
    <w:rsid w:val="00F800BC"/>
    <w:rsid w:val="00F825EB"/>
    <w:rsid w:val="00F85476"/>
    <w:rsid w:val="00F87ACE"/>
    <w:rsid w:val="00F90EEB"/>
    <w:rsid w:val="00F93396"/>
    <w:rsid w:val="00F9382D"/>
    <w:rsid w:val="00F939BC"/>
    <w:rsid w:val="00F94D9B"/>
    <w:rsid w:val="00F97BA6"/>
    <w:rsid w:val="00FA0BCA"/>
    <w:rsid w:val="00FA14A2"/>
    <w:rsid w:val="00FA1704"/>
    <w:rsid w:val="00FA78F7"/>
    <w:rsid w:val="00FB1859"/>
    <w:rsid w:val="00FB2CF6"/>
    <w:rsid w:val="00FC17A0"/>
    <w:rsid w:val="00FC260B"/>
    <w:rsid w:val="00FC2CB8"/>
    <w:rsid w:val="00FC3B7F"/>
    <w:rsid w:val="00FC6ACE"/>
    <w:rsid w:val="00FC7419"/>
    <w:rsid w:val="00FD1A50"/>
    <w:rsid w:val="00FD24F1"/>
    <w:rsid w:val="00FD3BEC"/>
    <w:rsid w:val="00FD4169"/>
    <w:rsid w:val="00FD5C30"/>
    <w:rsid w:val="00FD7D80"/>
    <w:rsid w:val="00FE05ED"/>
    <w:rsid w:val="00FE2F46"/>
    <w:rsid w:val="00FE788E"/>
    <w:rsid w:val="00FF0281"/>
    <w:rsid w:val="00FF06EA"/>
    <w:rsid w:val="00FF1D4D"/>
    <w:rsid w:val="00FF442F"/>
    <w:rsid w:val="00FF72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E4E5"/>
  <w15:docId w15:val="{9B9AE25C-C7F3-4977-B87C-10D668DB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A50"/>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semiHidden/>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semiHidden/>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qFormat/>
    <w:rsid w:val="00F0531D"/>
    <w:rPr>
      <w:rFonts w:ascii="Times New Roman" w:hAnsi="Times New Roman"/>
      <w:sz w:val="20"/>
      <w:szCs w:val="20"/>
    </w:rPr>
  </w:style>
  <w:style w:type="paragraph" w:styleId="Kommentartekst">
    <w:name w:val="annotation text"/>
    <w:basedOn w:val="Normal"/>
    <w:link w:val="KommentartekstTegn"/>
    <w:uiPriority w:val="99"/>
    <w:unhideWhenUsed/>
    <w:qFormat/>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unhideWhenUsed/>
    <w:qFormat/>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uiPriority w:val="99"/>
    <w:semiHidden/>
    <w:unhideWhenUsed/>
    <w:rsid w:val="0091301A"/>
    <w:rPr>
      <w:vertAlign w:val="superscript"/>
    </w:rPr>
  </w:style>
  <w:style w:type="paragraph" w:styleId="Opstilling-punkttegn">
    <w:name w:val="List Bullet"/>
    <w:basedOn w:val="Normal"/>
    <w:uiPriority w:val="99"/>
    <w:unhideWhenUsed/>
    <w:rsid w:val="005D56C8"/>
    <w:pPr>
      <w:numPr>
        <w:numId w:val="8"/>
      </w:numPr>
      <w:contextualSpacing/>
    </w:pPr>
  </w:style>
  <w:style w:type="paragraph" w:styleId="Opstilling-talellerbogst">
    <w:name w:val="List Number"/>
    <w:basedOn w:val="Normal"/>
    <w:uiPriority w:val="99"/>
    <w:unhideWhenUsed/>
    <w:rsid w:val="00A11004"/>
    <w:pPr>
      <w:numPr>
        <w:numId w:val="9"/>
      </w:numPr>
      <w:contextualSpacing/>
    </w:pPr>
  </w:style>
  <w:style w:type="paragraph" w:customStyle="1" w:styleId="liste1">
    <w:name w:val="liste1"/>
    <w:basedOn w:val="Normal"/>
    <w:rsid w:val="00E52095"/>
    <w:pPr>
      <w:spacing w:before="100" w:beforeAutospacing="1" w:after="100" w:afterAutospacing="1" w:line="240" w:lineRule="auto"/>
      <w:jc w:val="left"/>
    </w:pPr>
    <w:rPr>
      <w:rFonts w:eastAsia="Times New Roman" w:cs="Times New Roman"/>
      <w:szCs w:val="24"/>
      <w:lang w:eastAsia="da-DK"/>
    </w:rPr>
  </w:style>
  <w:style w:type="character" w:customStyle="1" w:styleId="liste1nr">
    <w:name w:val="liste1nr"/>
    <w:basedOn w:val="Standardskrifttypeiafsnit"/>
    <w:rsid w:val="00E52095"/>
  </w:style>
  <w:style w:type="paragraph" w:customStyle="1" w:styleId="liste2">
    <w:name w:val="liste2"/>
    <w:basedOn w:val="Normal"/>
    <w:rsid w:val="00E52095"/>
    <w:pPr>
      <w:spacing w:before="100" w:beforeAutospacing="1" w:after="100" w:afterAutospacing="1" w:line="240" w:lineRule="auto"/>
      <w:jc w:val="left"/>
    </w:pPr>
    <w:rPr>
      <w:rFonts w:eastAsia="Times New Roman" w:cs="Times New Roman"/>
      <w:szCs w:val="24"/>
      <w:lang w:eastAsia="da-DK"/>
    </w:rPr>
  </w:style>
  <w:style w:type="character" w:customStyle="1" w:styleId="liste2nr">
    <w:name w:val="liste2nr"/>
    <w:basedOn w:val="Standardskrifttypeiafsnit"/>
    <w:rsid w:val="00E52095"/>
  </w:style>
  <w:style w:type="paragraph" w:styleId="Normalindrykning">
    <w:name w:val="Normal Indent"/>
    <w:basedOn w:val="Normal"/>
    <w:semiHidden/>
    <w:unhideWhenUsed/>
    <w:rsid w:val="007823E2"/>
    <w:pPr>
      <w:spacing w:line="280" w:lineRule="atLeast"/>
      <w:ind w:left="340"/>
      <w:jc w:val="left"/>
    </w:pPr>
    <w:rPr>
      <w:rFonts w:ascii="Arial" w:eastAsia="Times New Roman" w:hAnsi="Arial" w:cs="Times New Roman"/>
      <w:sz w:val="20"/>
      <w:szCs w:val="20"/>
      <w:lang w:eastAsia="da-DK"/>
    </w:rPr>
  </w:style>
  <w:style w:type="character" w:customStyle="1" w:styleId="stknr">
    <w:name w:val="stknr"/>
    <w:basedOn w:val="Standardskrifttypeiafsnit"/>
    <w:rsid w:val="00A1695E"/>
  </w:style>
  <w:style w:type="paragraph" w:customStyle="1" w:styleId="stk2">
    <w:name w:val="stk2"/>
    <w:basedOn w:val="Normal"/>
    <w:rsid w:val="00A1695E"/>
    <w:pPr>
      <w:spacing w:before="100" w:beforeAutospacing="1" w:after="100" w:afterAutospacing="1" w:line="240" w:lineRule="auto"/>
      <w:jc w:val="left"/>
    </w:pPr>
    <w:rPr>
      <w:rFonts w:eastAsia="Times New Roman" w:cs="Times New Roman"/>
      <w:szCs w:val="24"/>
      <w:lang w:eastAsia="da-DK"/>
    </w:rPr>
  </w:style>
  <w:style w:type="paragraph" w:customStyle="1" w:styleId="NumPar1">
    <w:name w:val="NumPar 1"/>
    <w:basedOn w:val="Normal"/>
    <w:qFormat/>
    <w:rsid w:val="00EF7867"/>
    <w:pPr>
      <w:spacing w:before="120" w:after="120" w:line="360" w:lineRule="auto"/>
      <w:ind w:left="851" w:hanging="851"/>
    </w:pPr>
    <w:rPr>
      <w:rFonts w:cs="Times New Roman"/>
    </w:rPr>
  </w:style>
  <w:style w:type="paragraph" w:customStyle="1" w:styleId="Point1letter">
    <w:name w:val="Point 1 (letter)"/>
    <w:basedOn w:val="Normal"/>
    <w:qFormat/>
    <w:rsid w:val="00EF7867"/>
    <w:pPr>
      <w:spacing w:before="120" w:after="120" w:line="360" w:lineRule="auto"/>
      <w:ind w:left="1418" w:hanging="567"/>
    </w:pPr>
    <w:rPr>
      <w:rFonts w:cs="Times New Roman"/>
    </w:rPr>
  </w:style>
  <w:style w:type="paragraph" w:customStyle="1" w:styleId="Titreobjet">
    <w:name w:val="Titre objet"/>
    <w:basedOn w:val="Normal"/>
    <w:next w:val="Normal"/>
    <w:rsid w:val="001F0DA1"/>
    <w:pPr>
      <w:spacing w:before="360" w:after="360" w:line="360" w:lineRule="auto"/>
      <w:jc w:val="center"/>
    </w:pPr>
    <w:rPr>
      <w:rFonts w:cs="Times New Roman"/>
      <w:b/>
    </w:rPr>
  </w:style>
  <w:style w:type="paragraph" w:customStyle="1" w:styleId="Typedudocument">
    <w:name w:val="Type du document"/>
    <w:basedOn w:val="Normal"/>
    <w:next w:val="Titreobjet"/>
    <w:rsid w:val="001F0DA1"/>
    <w:pPr>
      <w:spacing w:before="360" w:line="360" w:lineRule="auto"/>
      <w:jc w:val="center"/>
    </w:pPr>
    <w:rPr>
      <w:rFonts w:cs="Times New Roman"/>
      <w:b/>
    </w:rPr>
  </w:style>
  <w:style w:type="character" w:customStyle="1" w:styleId="Italic">
    <w:name w:val="Italic"/>
    <w:uiPriority w:val="1"/>
    <w:qFormat/>
    <w:rsid w:val="001F0DA1"/>
    <w:rPr>
      <w:rFonts w:ascii="Times New Roman" w:hAnsi="Times New Roman" w:cs="Times New Roman" w:hint="default"/>
      <w:i/>
      <w:iCs w:val="0"/>
    </w:rPr>
  </w:style>
  <w:style w:type="paragraph" w:customStyle="1" w:styleId="Applicationdirecte">
    <w:name w:val="Application directe"/>
    <w:basedOn w:val="Normal"/>
    <w:next w:val="Normal"/>
    <w:rsid w:val="00C86562"/>
    <w:pPr>
      <w:spacing w:before="480" w:after="120" w:line="360" w:lineRule="auto"/>
    </w:pPr>
    <w:rPr>
      <w:rFonts w:cs="Times New Roman"/>
    </w:rPr>
  </w:style>
  <w:style w:type="paragraph" w:customStyle="1" w:styleId="paragraf">
    <w:name w:val="paragraf"/>
    <w:basedOn w:val="Normal"/>
    <w:rsid w:val="003B56C7"/>
    <w:pPr>
      <w:spacing w:before="100" w:beforeAutospacing="1" w:after="100" w:afterAutospacing="1" w:line="240" w:lineRule="auto"/>
      <w:jc w:val="left"/>
    </w:pPr>
    <w:rPr>
      <w:rFonts w:eastAsia="Times New Roman" w:cs="Times New Roman"/>
      <w:szCs w:val="24"/>
      <w:lang w:eastAsia="da-DK"/>
    </w:rPr>
  </w:style>
  <w:style w:type="character" w:customStyle="1" w:styleId="italic0">
    <w:name w:val="italic"/>
    <w:basedOn w:val="Standardskrifttypeiafsnit"/>
    <w:rsid w:val="000430B5"/>
  </w:style>
  <w:style w:type="character" w:customStyle="1" w:styleId="inline">
    <w:name w:val="inline"/>
    <w:basedOn w:val="Standardskrifttypeiafsnit"/>
    <w:rsid w:val="00135147"/>
  </w:style>
  <w:style w:type="paragraph" w:customStyle="1" w:styleId="Point0number">
    <w:name w:val="Point 0 (number)"/>
    <w:basedOn w:val="Normal"/>
    <w:qFormat/>
    <w:rsid w:val="0005052E"/>
    <w:pPr>
      <w:spacing w:before="120" w:after="120" w:line="360" w:lineRule="auto"/>
      <w:ind w:left="851" w:hanging="85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89738">
      <w:bodyDiv w:val="1"/>
      <w:marLeft w:val="0"/>
      <w:marRight w:val="0"/>
      <w:marTop w:val="0"/>
      <w:marBottom w:val="0"/>
      <w:divBdr>
        <w:top w:val="none" w:sz="0" w:space="0" w:color="auto"/>
        <w:left w:val="none" w:sz="0" w:space="0" w:color="auto"/>
        <w:bottom w:val="none" w:sz="0" w:space="0" w:color="auto"/>
        <w:right w:val="none" w:sz="0" w:space="0" w:color="auto"/>
      </w:divBdr>
    </w:div>
    <w:div w:id="400832614">
      <w:bodyDiv w:val="1"/>
      <w:marLeft w:val="0"/>
      <w:marRight w:val="0"/>
      <w:marTop w:val="0"/>
      <w:marBottom w:val="0"/>
      <w:divBdr>
        <w:top w:val="none" w:sz="0" w:space="0" w:color="auto"/>
        <w:left w:val="none" w:sz="0" w:space="0" w:color="auto"/>
        <w:bottom w:val="none" w:sz="0" w:space="0" w:color="auto"/>
        <w:right w:val="none" w:sz="0" w:space="0" w:color="auto"/>
      </w:divBdr>
    </w:div>
    <w:div w:id="503055246">
      <w:bodyDiv w:val="1"/>
      <w:marLeft w:val="0"/>
      <w:marRight w:val="0"/>
      <w:marTop w:val="0"/>
      <w:marBottom w:val="0"/>
      <w:divBdr>
        <w:top w:val="none" w:sz="0" w:space="0" w:color="auto"/>
        <w:left w:val="none" w:sz="0" w:space="0" w:color="auto"/>
        <w:bottom w:val="none" w:sz="0" w:space="0" w:color="auto"/>
        <w:right w:val="none" w:sz="0" w:space="0" w:color="auto"/>
      </w:divBdr>
    </w:div>
    <w:div w:id="553199689">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744645975">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238246837">
      <w:bodyDiv w:val="1"/>
      <w:marLeft w:val="0"/>
      <w:marRight w:val="0"/>
      <w:marTop w:val="0"/>
      <w:marBottom w:val="0"/>
      <w:divBdr>
        <w:top w:val="none" w:sz="0" w:space="0" w:color="auto"/>
        <w:left w:val="none" w:sz="0" w:space="0" w:color="auto"/>
        <w:bottom w:val="none" w:sz="0" w:space="0" w:color="auto"/>
        <w:right w:val="none" w:sz="0" w:space="0" w:color="auto"/>
      </w:divBdr>
    </w:div>
    <w:div w:id="1590694955">
      <w:bodyDiv w:val="1"/>
      <w:marLeft w:val="0"/>
      <w:marRight w:val="0"/>
      <w:marTop w:val="0"/>
      <w:marBottom w:val="0"/>
      <w:divBdr>
        <w:top w:val="none" w:sz="0" w:space="0" w:color="auto"/>
        <w:left w:val="none" w:sz="0" w:space="0" w:color="auto"/>
        <w:bottom w:val="none" w:sz="0" w:space="0" w:color="auto"/>
        <w:right w:val="none" w:sz="0" w:space="0" w:color="auto"/>
      </w:divBdr>
    </w:div>
    <w:div w:id="1659769198">
      <w:bodyDiv w:val="1"/>
      <w:marLeft w:val="0"/>
      <w:marRight w:val="0"/>
      <w:marTop w:val="0"/>
      <w:marBottom w:val="0"/>
      <w:divBdr>
        <w:top w:val="none" w:sz="0" w:space="0" w:color="auto"/>
        <w:left w:val="none" w:sz="0" w:space="0" w:color="auto"/>
        <w:bottom w:val="none" w:sz="0" w:space="0" w:color="auto"/>
        <w:right w:val="none" w:sz="0" w:space="0" w:color="auto"/>
      </w:divBdr>
    </w:div>
    <w:div w:id="1868173740">
      <w:bodyDiv w:val="1"/>
      <w:marLeft w:val="0"/>
      <w:marRight w:val="0"/>
      <w:marTop w:val="0"/>
      <w:marBottom w:val="0"/>
      <w:divBdr>
        <w:top w:val="none" w:sz="0" w:space="0" w:color="auto"/>
        <w:left w:val="none" w:sz="0" w:space="0" w:color="auto"/>
        <w:bottom w:val="none" w:sz="0" w:space="0" w:color="auto"/>
        <w:right w:val="none" w:sz="0" w:space="0" w:color="auto"/>
      </w:divBdr>
    </w:div>
    <w:div w:id="1928297683">
      <w:bodyDiv w:val="1"/>
      <w:marLeft w:val="0"/>
      <w:marRight w:val="0"/>
      <w:marTop w:val="0"/>
      <w:marBottom w:val="0"/>
      <w:divBdr>
        <w:top w:val="none" w:sz="0" w:space="0" w:color="auto"/>
        <w:left w:val="none" w:sz="0" w:space="0" w:color="auto"/>
        <w:bottom w:val="none" w:sz="0" w:space="0" w:color="auto"/>
        <w:right w:val="none" w:sz="0" w:space="0" w:color="auto"/>
      </w:divBdr>
    </w:div>
    <w:div w:id="1956251017">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A747BF9E73D04AAFEA2ACAFE286AFB" ma:contentTypeVersion="1" ma:contentTypeDescription="Opret et nyt dokument." ma:contentTypeScope="" ma:versionID="82b8dd424f5eb00549340950ffab8add">
  <xsd:schema xmlns:xsd="http://www.w3.org/2001/XMLSchema" xmlns:xs="http://www.w3.org/2001/XMLSchema" xmlns:p="http://schemas.microsoft.com/office/2006/metadata/properties" xmlns:ns2="2c971ac5-6fe3-4233-bd1b-000ffc5d0f10" targetNamespace="http://schemas.microsoft.com/office/2006/metadata/properties" ma:root="true" ma:fieldsID="d5b61b11d7022a1dde2c9bb24524f7b6"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5A16-6ACD-4285-91D0-D1F533DB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C40C6-B207-4F3B-A1C7-9480157D719B}">
  <ds:schemaRefs>
    <ds:schemaRef ds:uri="http://schemas.microsoft.com/sharepoint/v3/contenttype/forms"/>
  </ds:schemaRefs>
</ds:datastoreItem>
</file>

<file path=customXml/itemProps3.xml><?xml version="1.0" encoding="utf-8"?>
<ds:datastoreItem xmlns:ds="http://schemas.openxmlformats.org/officeDocument/2006/customXml" ds:itemID="{C3E100FF-C9F8-490E-A088-ADCAAE288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4A94F-28F6-4572-B519-58319B58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9878</Words>
  <Characters>60259</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Skabelon for lovforslag - ændringslov</vt:lpstr>
    </vt:vector>
  </TitlesOfParts>
  <Company/>
  <LinksUpToDate>false</LinksUpToDate>
  <CharactersWithSpaces>69998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lovforslag - ændringslov</dc:title>
  <dc:subject/>
  <dc:creator>Pernille Bjørnholk</dc:creator>
  <cp:keywords/>
  <dc:description/>
  <cp:lastModifiedBy>Anna Marie Nørhave Vestergård</cp:lastModifiedBy>
  <cp:revision>2</cp:revision>
  <cp:lastPrinted>2024-05-14T12:59:00Z</cp:lastPrinted>
  <dcterms:created xsi:type="dcterms:W3CDTF">2024-06-18T12:48:00Z</dcterms:created>
  <dcterms:modified xsi:type="dcterms:W3CDTF">2024-06-18T12:48:00Z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0x010100C6A747BF9E73D04AAFEA2ACAFE286AFB</vt:lpwstr>
  </property>
  <property fmtid="{D5CDD505-2E9C-101B-9397-08002B2CF9AE}" pid="3" name="ContentRemapped">
    <vt:lpwstr>true</vt:lpwstr>
  </property>
  <property fmtid="{D5CDD505-2E9C-101B-9397-08002B2CF9AE}" pid="4" name="sdDocumentDate">
    <vt:lpwstr>45299</vt:lpwstr>
  </property>
  <property fmtid="{D5CDD505-2E9C-101B-9397-08002B2CF9AE}" pid="5" name="SD_IntegrationInfoAdded">
    <vt:bool>true</vt:bool>
  </property>
</Properties>
</file>