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355D" w:rsidRPr="009F1907" w:rsidRDefault="0036355D" w:rsidP="0036355D">
      <w:pPr>
        <w:spacing w:line="288" w:lineRule="auto"/>
        <w:jc w:val="both"/>
        <w:rPr>
          <w:color w:val="000000"/>
          <w:lang w:val="da-DK"/>
        </w:rPr>
      </w:pPr>
      <w:r w:rsidRPr="009F1907">
        <w:rPr>
          <w:color w:val="000000"/>
          <w:lang w:val="da-DK"/>
        </w:rPr>
        <w:t xml:space="preserve">Skatteministeriet </w:t>
      </w:r>
      <w:r w:rsidRPr="009F1907">
        <w:rPr>
          <w:color w:val="000000"/>
          <w:lang w:val="da-DK"/>
        </w:rPr>
        <w:fldChar w:fldCharType="begin"/>
      </w:r>
      <w:r w:rsidRPr="009F1907">
        <w:rPr>
          <w:color w:val="000000"/>
          <w:lang w:val="da-DK"/>
        </w:rPr>
        <w:instrText>ADVANCE \r255</w:instrText>
      </w:r>
      <w:r w:rsidRPr="009F1907">
        <w:rPr>
          <w:color w:val="000000"/>
          <w:lang w:val="da-DK"/>
        </w:rPr>
        <w:fldChar w:fldCharType="end"/>
      </w:r>
      <w:r w:rsidRPr="009F1907">
        <w:rPr>
          <w:color w:val="000000"/>
          <w:lang w:val="da-DK"/>
        </w:rPr>
        <w:t xml:space="preserve">J. nr. </w:t>
      </w:r>
      <w:r w:rsidR="008F2B51">
        <w:rPr>
          <w:color w:val="000000"/>
          <w:lang w:val="da-DK"/>
        </w:rPr>
        <w:t>14-</w:t>
      </w:r>
      <w:proofErr w:type="gramStart"/>
      <w:r w:rsidR="008F2B51">
        <w:rPr>
          <w:color w:val="000000"/>
          <w:lang w:val="da-DK"/>
        </w:rPr>
        <w:t>3286777</w:t>
      </w:r>
      <w:proofErr w:type="gramEnd"/>
    </w:p>
    <w:p w:rsidR="0036355D" w:rsidRDefault="0050110D" w:rsidP="0036355D">
      <w:pPr>
        <w:spacing w:line="288" w:lineRule="auto"/>
        <w:jc w:val="both"/>
        <w:rPr>
          <w:color w:val="000000"/>
          <w:lang w:val="da-DK"/>
        </w:rPr>
      </w:pPr>
      <w:r>
        <w:rPr>
          <w:color w:val="000000"/>
          <w:lang w:val="da-DK"/>
        </w:rPr>
        <w:t>3. september 2014</w:t>
      </w:r>
    </w:p>
    <w:p w:rsidR="0050110D" w:rsidRPr="009F1907" w:rsidRDefault="0050110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jc w:val="center"/>
        <w:rPr>
          <w:b/>
          <w:bCs/>
          <w:color w:val="000000"/>
          <w:sz w:val="28"/>
          <w:lang w:val="da-DK"/>
        </w:rPr>
      </w:pPr>
      <w:bookmarkStart w:id="0" w:name="_Toc207591971"/>
      <w:bookmarkStart w:id="1" w:name="_Toc207684802"/>
      <w:bookmarkStart w:id="2" w:name="_Toc210026133"/>
      <w:r w:rsidRPr="009F1907">
        <w:rPr>
          <w:b/>
          <w:bCs/>
          <w:color w:val="000000"/>
          <w:sz w:val="28"/>
          <w:lang w:val="da-DK"/>
        </w:rPr>
        <w:t xml:space="preserve">Forslag </w:t>
      </w:r>
    </w:p>
    <w:p w:rsidR="0036355D" w:rsidRPr="009F1907" w:rsidRDefault="0036355D" w:rsidP="0036355D">
      <w:pPr>
        <w:jc w:val="center"/>
        <w:rPr>
          <w:color w:val="000000"/>
          <w:lang w:val="da-DK"/>
        </w:rPr>
      </w:pPr>
      <w:r w:rsidRPr="009F1907">
        <w:rPr>
          <w:color w:val="000000"/>
          <w:lang w:val="da-DK"/>
        </w:rPr>
        <w:t xml:space="preserve">til </w:t>
      </w:r>
    </w:p>
    <w:p w:rsidR="008F2B51" w:rsidRPr="008F2B51" w:rsidRDefault="008F2B51" w:rsidP="008F2B51">
      <w:pPr>
        <w:jc w:val="center"/>
        <w:rPr>
          <w:b/>
          <w:sz w:val="28"/>
          <w:lang w:val="da-DK"/>
        </w:rPr>
      </w:pPr>
      <w:r w:rsidRPr="008F2B51">
        <w:rPr>
          <w:b/>
          <w:sz w:val="28"/>
          <w:lang w:val="da-DK"/>
        </w:rPr>
        <w:t>Lov om ændring af fondsbeskatningsloven, kursgevinstloven, selskabsskattel</w:t>
      </w:r>
      <w:r w:rsidRPr="008F2B51">
        <w:rPr>
          <w:b/>
          <w:sz w:val="28"/>
          <w:lang w:val="da-DK"/>
        </w:rPr>
        <w:t>o</w:t>
      </w:r>
      <w:r w:rsidRPr="008F2B51">
        <w:rPr>
          <w:b/>
          <w:sz w:val="28"/>
          <w:lang w:val="da-DK"/>
        </w:rPr>
        <w:t>ven og skatteforvaltningsloven</w:t>
      </w:r>
    </w:p>
    <w:p w:rsidR="0036355D" w:rsidRPr="009F1907" w:rsidRDefault="0036355D" w:rsidP="0036355D">
      <w:pPr>
        <w:jc w:val="center"/>
        <w:rPr>
          <w:color w:val="000000"/>
          <w:lang w:val="da-DK"/>
        </w:rPr>
      </w:pPr>
      <w:r w:rsidRPr="009F1907">
        <w:rPr>
          <w:color w:val="000000"/>
          <w:lang w:val="da-DK"/>
        </w:rPr>
        <w:t>(</w:t>
      </w:r>
      <w:r w:rsidR="009F0B71">
        <w:rPr>
          <w:color w:val="000000"/>
          <w:lang w:val="da-DK"/>
        </w:rPr>
        <w:t>Lempelse af udbyttebeskatningen</w:t>
      </w:r>
      <w:r w:rsidRPr="009F1907">
        <w:rPr>
          <w:color w:val="000000"/>
          <w:lang w:val="da-DK"/>
        </w:rPr>
        <w:t>)</w:t>
      </w:r>
    </w:p>
    <w:p w:rsidR="0036355D" w:rsidRPr="009F1907" w:rsidRDefault="0036355D" w:rsidP="0036355D">
      <w:pPr>
        <w:spacing w:line="288" w:lineRule="auto"/>
        <w:jc w:val="center"/>
        <w:rPr>
          <w:color w:val="000000"/>
          <w:lang w:val="da-DK"/>
        </w:rPr>
      </w:pPr>
    </w:p>
    <w:p w:rsidR="0036355D" w:rsidRPr="009F1907" w:rsidRDefault="0036355D" w:rsidP="0036355D">
      <w:pPr>
        <w:spacing w:line="288" w:lineRule="auto"/>
        <w:jc w:val="both"/>
        <w:rPr>
          <w:color w:val="000000"/>
          <w:lang w:val="da-DK"/>
        </w:rPr>
      </w:pPr>
    </w:p>
    <w:p w:rsidR="008F2B51" w:rsidRPr="008F2B51" w:rsidRDefault="008F2B51" w:rsidP="008F2B51">
      <w:pPr>
        <w:ind w:left="3600" w:firstLine="720"/>
        <w:rPr>
          <w:lang w:val="da-DK"/>
        </w:rPr>
      </w:pPr>
      <w:r w:rsidRPr="008F2B51">
        <w:rPr>
          <w:b/>
          <w:lang w:val="da-DK"/>
        </w:rPr>
        <w:t>§ 1</w:t>
      </w:r>
    </w:p>
    <w:p w:rsidR="008F2B51" w:rsidRPr="008F2B51" w:rsidRDefault="008F2B51" w:rsidP="008F2B51">
      <w:pPr>
        <w:jc w:val="center"/>
        <w:rPr>
          <w:lang w:val="da-DK"/>
        </w:rPr>
      </w:pPr>
    </w:p>
    <w:p w:rsidR="008F2B51" w:rsidRPr="008F2B51" w:rsidRDefault="008F2B51" w:rsidP="008F2B51">
      <w:pPr>
        <w:spacing w:line="288" w:lineRule="auto"/>
        <w:ind w:firstLine="720"/>
        <w:rPr>
          <w:lang w:val="da-DK"/>
        </w:rPr>
      </w:pPr>
      <w:r w:rsidRPr="008F2B51">
        <w:rPr>
          <w:lang w:val="da-DK"/>
        </w:rPr>
        <w:t xml:space="preserve">I fondsbeskatningsloven, jf. lovbekendtgørelse nr. </w:t>
      </w:r>
      <w:r w:rsidR="006D285F">
        <w:rPr>
          <w:lang w:val="da-DK"/>
        </w:rPr>
        <w:t>934</w:t>
      </w:r>
      <w:r w:rsidRPr="008F2B51">
        <w:rPr>
          <w:lang w:val="da-DK"/>
        </w:rPr>
        <w:t xml:space="preserve"> af </w:t>
      </w:r>
      <w:r w:rsidR="006D285F">
        <w:rPr>
          <w:lang w:val="da-DK"/>
        </w:rPr>
        <w:t>14</w:t>
      </w:r>
      <w:r w:rsidRPr="008F2B51">
        <w:rPr>
          <w:lang w:val="da-DK"/>
        </w:rPr>
        <w:t xml:space="preserve">. </w:t>
      </w:r>
      <w:r w:rsidR="006D285F">
        <w:rPr>
          <w:lang w:val="da-DK"/>
        </w:rPr>
        <w:t>august 2014</w:t>
      </w:r>
      <w:r w:rsidRPr="008F2B51">
        <w:rPr>
          <w:lang w:val="da-DK"/>
        </w:rPr>
        <w:t>, foretages følge</w:t>
      </w:r>
      <w:r w:rsidRPr="008F2B51">
        <w:rPr>
          <w:lang w:val="da-DK"/>
        </w:rPr>
        <w:t>n</w:t>
      </w:r>
      <w:r w:rsidRPr="008F2B51">
        <w:rPr>
          <w:lang w:val="da-DK"/>
        </w:rPr>
        <w:t>de ændring:</w:t>
      </w:r>
    </w:p>
    <w:p w:rsidR="008F2B51" w:rsidRPr="008F2B51" w:rsidRDefault="008F2B51" w:rsidP="008F2B51">
      <w:pPr>
        <w:spacing w:line="288" w:lineRule="auto"/>
        <w:rPr>
          <w:lang w:val="da-DK"/>
        </w:rPr>
      </w:pPr>
    </w:p>
    <w:p w:rsidR="0036355D" w:rsidRPr="009F1907" w:rsidRDefault="008F2B51" w:rsidP="008F2B51">
      <w:pPr>
        <w:rPr>
          <w:color w:val="000000"/>
          <w:lang w:val="da-DK"/>
        </w:rPr>
      </w:pPr>
      <w:r w:rsidRPr="008F2B51">
        <w:rPr>
          <w:b/>
          <w:lang w:val="da-DK"/>
        </w:rPr>
        <w:t xml:space="preserve">1. </w:t>
      </w:r>
      <w:r w:rsidRPr="008F2B51">
        <w:rPr>
          <w:lang w:val="da-DK"/>
        </w:rPr>
        <w:t xml:space="preserve">I </w:t>
      </w:r>
      <w:r w:rsidRPr="008F2B51">
        <w:rPr>
          <w:i/>
          <w:lang w:val="da-DK"/>
        </w:rPr>
        <w:t xml:space="preserve">§ 10 </w:t>
      </w:r>
      <w:r w:rsidRPr="008F2B51">
        <w:rPr>
          <w:bCs/>
          <w:lang w:val="da-DK"/>
        </w:rPr>
        <w:t>indsættes efter ”Selskabsskattelovens § 13, stk. 1, nr. 2,”: ”og stk. 2,”.</w:t>
      </w:r>
      <w:r w:rsidR="0036355D" w:rsidRPr="009F1907">
        <w:rPr>
          <w:color w:val="000000"/>
          <w:lang w:val="da-DK"/>
        </w:rPr>
        <w:t xml:space="preserve"> </w:t>
      </w:r>
    </w:p>
    <w:p w:rsidR="0036355D" w:rsidRPr="009F1907" w:rsidRDefault="0036355D" w:rsidP="0036355D">
      <w:pPr>
        <w:tabs>
          <w:tab w:val="left" w:pos="0"/>
          <w:tab w:val="left" w:pos="284"/>
        </w:tabs>
        <w:spacing w:line="288" w:lineRule="auto"/>
        <w:rPr>
          <w:color w:val="000000"/>
          <w:lang w:val="da-DK"/>
        </w:rPr>
      </w:pPr>
    </w:p>
    <w:p w:rsidR="00FE40BF" w:rsidRDefault="00FE40BF" w:rsidP="0036355D">
      <w:pPr>
        <w:tabs>
          <w:tab w:val="left" w:pos="284"/>
        </w:tabs>
        <w:spacing w:line="288" w:lineRule="auto"/>
        <w:jc w:val="both"/>
        <w:rPr>
          <w:b/>
          <w:color w:val="000000"/>
          <w:lang w:val="da-DK"/>
        </w:rPr>
      </w:pPr>
    </w:p>
    <w:p w:rsidR="00FE40BF" w:rsidRPr="009F1907" w:rsidRDefault="00FE40BF" w:rsidP="00FE40BF">
      <w:pPr>
        <w:ind w:left="3600" w:firstLine="720"/>
        <w:rPr>
          <w:color w:val="000000"/>
          <w:lang w:val="da-DK"/>
        </w:rPr>
      </w:pPr>
      <w:r>
        <w:rPr>
          <w:b/>
          <w:color w:val="000000"/>
          <w:lang w:val="da-DK"/>
        </w:rPr>
        <w:t>§ 2</w:t>
      </w:r>
      <w:r w:rsidRPr="009F1907">
        <w:rPr>
          <w:color w:val="000000"/>
          <w:lang w:val="da-DK"/>
        </w:rPr>
        <w:t xml:space="preserve"> </w:t>
      </w:r>
    </w:p>
    <w:p w:rsidR="00FE40BF" w:rsidRPr="009F1907" w:rsidRDefault="00FE40BF" w:rsidP="00FE40BF">
      <w:pPr>
        <w:jc w:val="center"/>
        <w:rPr>
          <w:color w:val="000000"/>
          <w:lang w:val="da-DK"/>
        </w:rPr>
      </w:pPr>
    </w:p>
    <w:p w:rsidR="008F2B51" w:rsidRPr="008F2B51" w:rsidRDefault="00FE40BF" w:rsidP="008F2B51">
      <w:pPr>
        <w:spacing w:line="288" w:lineRule="auto"/>
        <w:ind w:firstLine="720"/>
        <w:rPr>
          <w:lang w:val="da-DK"/>
        </w:rPr>
      </w:pPr>
      <w:r w:rsidRPr="009F1907">
        <w:rPr>
          <w:rStyle w:val="Fodnotehenvisning"/>
          <w:rFonts w:eastAsia="Arial Unicode MS"/>
          <w:color w:val="000000"/>
          <w:lang w:val="da-DK"/>
        </w:rPr>
        <w:t>I</w:t>
      </w:r>
      <w:r w:rsidRPr="009F1907">
        <w:rPr>
          <w:color w:val="000000"/>
          <w:lang w:val="da-DK"/>
        </w:rPr>
        <w:t xml:space="preserve"> </w:t>
      </w:r>
      <w:r w:rsidR="008F2B51" w:rsidRPr="008F2B51">
        <w:rPr>
          <w:lang w:val="da-DK"/>
        </w:rPr>
        <w:t>kursgevinstloven, jf. lovbekendtgørelse nr. 1113 af 18. september 2013, som ændret ved § 20 i lov nr. 268 af 25. marts 2014, foretages følgende ændring:</w:t>
      </w:r>
    </w:p>
    <w:p w:rsidR="008F2B51" w:rsidRPr="008F2B51" w:rsidRDefault="008F2B51" w:rsidP="008F2B51">
      <w:pPr>
        <w:spacing w:line="288" w:lineRule="auto"/>
        <w:rPr>
          <w:lang w:val="da-DK"/>
        </w:rPr>
      </w:pPr>
    </w:p>
    <w:p w:rsidR="00FE40BF" w:rsidRPr="008F2B51" w:rsidRDefault="008F2B51" w:rsidP="008F2B51">
      <w:pPr>
        <w:spacing w:line="288" w:lineRule="auto"/>
        <w:jc w:val="both"/>
        <w:rPr>
          <w:color w:val="000000"/>
          <w:lang w:val="da-DK"/>
        </w:rPr>
      </w:pPr>
      <w:r w:rsidRPr="008F2B51">
        <w:rPr>
          <w:b/>
          <w:lang w:val="da-DK"/>
        </w:rPr>
        <w:t xml:space="preserve">1. </w:t>
      </w:r>
      <w:r w:rsidRPr="008F2B51">
        <w:rPr>
          <w:lang w:val="da-DK"/>
        </w:rPr>
        <w:t xml:space="preserve">I </w:t>
      </w:r>
      <w:r w:rsidRPr="008F2B51">
        <w:rPr>
          <w:i/>
          <w:lang w:val="da-DK"/>
        </w:rPr>
        <w:t xml:space="preserve">§ 31, stk. 1, 4. pkt., </w:t>
      </w:r>
      <w:r w:rsidRPr="008F2B51">
        <w:rPr>
          <w:lang w:val="da-DK"/>
        </w:rPr>
        <w:t>ændres ”selskabsskattelovens § 13, stk. 3-8” til: ”selskabsskattelovens § 13, stk. 4-9”.</w:t>
      </w:r>
    </w:p>
    <w:p w:rsidR="00FE40BF" w:rsidRDefault="00FE40BF" w:rsidP="0036355D">
      <w:pPr>
        <w:tabs>
          <w:tab w:val="left" w:pos="284"/>
        </w:tabs>
        <w:spacing w:line="288" w:lineRule="auto"/>
        <w:jc w:val="both"/>
        <w:rPr>
          <w:b/>
          <w:color w:val="000000"/>
          <w:lang w:val="da-DK"/>
        </w:rPr>
      </w:pPr>
    </w:p>
    <w:p w:rsidR="0036355D" w:rsidRPr="009F1907" w:rsidRDefault="0036355D" w:rsidP="00373D00">
      <w:pPr>
        <w:ind w:left="3600" w:firstLine="720"/>
        <w:rPr>
          <w:b/>
          <w:iCs/>
          <w:color w:val="000000"/>
          <w:lang w:val="da-DK"/>
        </w:rPr>
      </w:pPr>
      <w:r w:rsidRPr="009F1907">
        <w:rPr>
          <w:b/>
          <w:iCs/>
          <w:color w:val="000000"/>
          <w:lang w:val="da-DK"/>
        </w:rPr>
        <w:t xml:space="preserve">§ </w:t>
      </w:r>
      <w:r w:rsidR="00373D00">
        <w:rPr>
          <w:b/>
          <w:iCs/>
          <w:color w:val="000000"/>
          <w:lang w:val="da-DK"/>
        </w:rPr>
        <w:t>3</w:t>
      </w:r>
    </w:p>
    <w:p w:rsidR="0036355D" w:rsidRPr="009F1907" w:rsidRDefault="0036355D" w:rsidP="0036355D">
      <w:pPr>
        <w:rPr>
          <w:i/>
          <w:iCs/>
          <w:color w:val="000000"/>
          <w:lang w:val="da-DK"/>
        </w:rPr>
      </w:pPr>
    </w:p>
    <w:p w:rsidR="008F2B51" w:rsidRPr="008F2B51" w:rsidRDefault="0036355D" w:rsidP="008F2B51">
      <w:pPr>
        <w:tabs>
          <w:tab w:val="left" w:pos="284"/>
        </w:tabs>
        <w:spacing w:line="288" w:lineRule="auto"/>
        <w:jc w:val="both"/>
        <w:rPr>
          <w:iCs/>
          <w:color w:val="000000"/>
          <w:sz w:val="28"/>
          <w:lang w:val="da-DK"/>
        </w:rPr>
      </w:pPr>
      <w:r w:rsidRPr="009F1907">
        <w:rPr>
          <w:i/>
          <w:iCs/>
          <w:color w:val="000000"/>
          <w:lang w:val="da-DK"/>
        </w:rPr>
        <w:tab/>
      </w:r>
    </w:p>
    <w:p w:rsidR="008F2B51" w:rsidRPr="008F2B51" w:rsidRDefault="008F2B51" w:rsidP="008F2B51">
      <w:pPr>
        <w:spacing w:line="288" w:lineRule="auto"/>
        <w:ind w:firstLine="720"/>
        <w:rPr>
          <w:lang w:val="da-DK"/>
        </w:rPr>
      </w:pPr>
      <w:r w:rsidRPr="008F2B51">
        <w:rPr>
          <w:rStyle w:val="Fodnotehenvisning"/>
          <w:rFonts w:eastAsia="Arial Unicode MS"/>
          <w:lang w:val="da-DK"/>
        </w:rPr>
        <w:t>I</w:t>
      </w:r>
      <w:r w:rsidRPr="008F2B51">
        <w:rPr>
          <w:lang w:val="da-DK"/>
        </w:rPr>
        <w:t xml:space="preserve"> selskabsskatteloven, jf. lovbekendtgørelse nr. 1082 af 14. november 2012, som ændret s</w:t>
      </w:r>
      <w:r w:rsidRPr="008F2B51">
        <w:rPr>
          <w:lang w:val="da-DK"/>
        </w:rPr>
        <w:t>e</w:t>
      </w:r>
      <w:r w:rsidRPr="008F2B51">
        <w:rPr>
          <w:lang w:val="da-DK"/>
        </w:rPr>
        <w:t>nest ved § 2 i lov nr. 528 af 28. maj 2014, foretages følgende ændringer:</w:t>
      </w:r>
    </w:p>
    <w:p w:rsidR="008F2B51" w:rsidRPr="008F2B51" w:rsidRDefault="008F2B51" w:rsidP="008F2B51">
      <w:pPr>
        <w:spacing w:line="288" w:lineRule="auto"/>
        <w:rPr>
          <w:lang w:val="da-DK"/>
        </w:rPr>
      </w:pPr>
    </w:p>
    <w:p w:rsidR="008F2B51" w:rsidRPr="008F2B51" w:rsidRDefault="008F2B51" w:rsidP="008F2B51">
      <w:pPr>
        <w:spacing w:line="288" w:lineRule="auto"/>
        <w:rPr>
          <w:lang w:val="da-DK"/>
        </w:rPr>
      </w:pPr>
      <w:r w:rsidRPr="008F2B51">
        <w:rPr>
          <w:b/>
          <w:lang w:val="da-DK"/>
        </w:rPr>
        <w:t xml:space="preserve">1. </w:t>
      </w:r>
      <w:r w:rsidRPr="008F2B51">
        <w:rPr>
          <w:lang w:val="da-DK"/>
        </w:rPr>
        <w:t xml:space="preserve">I </w:t>
      </w:r>
      <w:r w:rsidRPr="008F2B51">
        <w:rPr>
          <w:i/>
          <w:lang w:val="da-DK"/>
        </w:rPr>
        <w:t xml:space="preserve">§ 13 </w:t>
      </w:r>
      <w:r w:rsidRPr="008F2B51">
        <w:rPr>
          <w:lang w:val="da-DK"/>
        </w:rPr>
        <w:t>indsættes efter stk. 1 som nyt stykke:</w:t>
      </w:r>
    </w:p>
    <w:p w:rsidR="008F2B51" w:rsidRPr="008F2B51" w:rsidRDefault="008F2B51" w:rsidP="008F2B51">
      <w:pPr>
        <w:spacing w:line="288" w:lineRule="auto"/>
        <w:jc w:val="both"/>
        <w:rPr>
          <w:lang w:val="da-DK"/>
        </w:rPr>
      </w:pPr>
      <w:r w:rsidRPr="008F2B51">
        <w:rPr>
          <w:i/>
          <w:lang w:val="da-DK"/>
        </w:rPr>
        <w:t>”Stk. 2.</w:t>
      </w:r>
      <w:r w:rsidRPr="008F2B51">
        <w:rPr>
          <w:lang w:val="da-DK"/>
        </w:rPr>
        <w:t xml:space="preserve"> Udbytter</w:t>
      </w:r>
      <w:r w:rsidR="00F567C4">
        <w:rPr>
          <w:lang w:val="da-DK"/>
        </w:rPr>
        <w:t xml:space="preserve"> af </w:t>
      </w:r>
      <w:r w:rsidR="004E4672">
        <w:rPr>
          <w:lang w:val="da-DK"/>
        </w:rPr>
        <w:t xml:space="preserve">skattefri </w:t>
      </w:r>
      <w:r w:rsidR="00F567C4" w:rsidRPr="008F2B51">
        <w:rPr>
          <w:lang w:val="da-DK"/>
        </w:rPr>
        <w:t xml:space="preserve">porteføljeaktier </w:t>
      </w:r>
      <w:r w:rsidR="004E4672">
        <w:rPr>
          <w:lang w:val="da-DK"/>
        </w:rPr>
        <w:t>jf.</w:t>
      </w:r>
      <w:r w:rsidR="00F567C4" w:rsidRPr="008F2B51">
        <w:rPr>
          <w:lang w:val="da-DK"/>
        </w:rPr>
        <w:t xml:space="preserve"> aktieavancebeskatningslovens § 4 C</w:t>
      </w:r>
      <w:r w:rsidRPr="008F2B51">
        <w:rPr>
          <w:lang w:val="da-DK"/>
        </w:rPr>
        <w:t>, der ikke er omfattet af stk. 1</w:t>
      </w:r>
      <w:r w:rsidR="00F567C4">
        <w:rPr>
          <w:lang w:val="da-DK"/>
        </w:rPr>
        <w:t>, nr. 2 eller 3</w:t>
      </w:r>
      <w:r w:rsidRPr="008F2B51">
        <w:rPr>
          <w:lang w:val="da-DK"/>
        </w:rPr>
        <w:t>, og som modtages af selskaber m.v., der er skattepligtige efter § 1 eller § 2, stk. 1, litra a, medregnes ved opgørelsen af den skattepligtige indkomst med 70 pct. af udbyttebeløbet. 1. pkt. finder ikke anvendelse, hvis aktierne i det udbyttegivende selskab er omfattet af aktieavancebeskatningslovens §§ 17 eller 19. 1. pkt. finder ikke anvendelse, hvis det udbytteg</w:t>
      </w:r>
      <w:r w:rsidRPr="008F2B51">
        <w:rPr>
          <w:lang w:val="da-DK"/>
        </w:rPr>
        <w:t>i</w:t>
      </w:r>
      <w:r w:rsidRPr="008F2B51">
        <w:rPr>
          <w:lang w:val="da-DK"/>
        </w:rPr>
        <w:lastRenderedPageBreak/>
        <w:t>vende selskab har fradrag for udbytteudlodningen.</w:t>
      </w:r>
      <w:r w:rsidR="00B552AD">
        <w:rPr>
          <w:lang w:val="da-DK"/>
        </w:rPr>
        <w:t xml:space="preserve"> Stk. 1, nr. 2, 4</w:t>
      </w:r>
      <w:r w:rsidR="000C14B3">
        <w:rPr>
          <w:lang w:val="da-DK"/>
        </w:rPr>
        <w:t>.</w:t>
      </w:r>
      <w:r w:rsidR="00B552AD">
        <w:rPr>
          <w:lang w:val="da-DK"/>
        </w:rPr>
        <w:t xml:space="preserve"> pkt.</w:t>
      </w:r>
      <w:r w:rsidR="00486E4B">
        <w:rPr>
          <w:lang w:val="da-DK"/>
        </w:rPr>
        <w:t>,</w:t>
      </w:r>
      <w:r w:rsidR="00B552AD">
        <w:rPr>
          <w:lang w:val="da-DK"/>
        </w:rPr>
        <w:t xml:space="preserve"> finder tilsvarende anvende</w:t>
      </w:r>
      <w:r w:rsidR="00B552AD">
        <w:rPr>
          <w:lang w:val="da-DK"/>
        </w:rPr>
        <w:t>l</w:t>
      </w:r>
      <w:r w:rsidR="00B552AD">
        <w:rPr>
          <w:lang w:val="da-DK"/>
        </w:rPr>
        <w:t>se.</w:t>
      </w:r>
      <w:r w:rsidRPr="008F2B51">
        <w:rPr>
          <w:lang w:val="da-DK"/>
        </w:rPr>
        <w:t>”</w:t>
      </w:r>
    </w:p>
    <w:p w:rsidR="008F2B51" w:rsidRPr="00B76953" w:rsidRDefault="008F2B51" w:rsidP="008F2B51">
      <w:pPr>
        <w:spacing w:line="288" w:lineRule="auto"/>
        <w:rPr>
          <w:lang w:val="da-DK"/>
        </w:rPr>
      </w:pPr>
      <w:r w:rsidRPr="00B76953">
        <w:rPr>
          <w:lang w:val="da-DK"/>
        </w:rPr>
        <w:t>Stk. 2-9 bliver herefter stk. 3-10</w:t>
      </w:r>
      <w:r w:rsidR="00B76953">
        <w:rPr>
          <w:lang w:val="da-DK"/>
        </w:rPr>
        <w:t>.</w:t>
      </w:r>
    </w:p>
    <w:p w:rsidR="008F2B51" w:rsidRPr="008F2B51" w:rsidRDefault="008F2B51" w:rsidP="008F2B51">
      <w:pPr>
        <w:spacing w:line="288" w:lineRule="auto"/>
        <w:rPr>
          <w:b/>
          <w:i/>
          <w:lang w:val="da-DK"/>
        </w:rPr>
      </w:pPr>
    </w:p>
    <w:p w:rsidR="008F2B51" w:rsidRPr="008F2B51" w:rsidRDefault="008F2B51" w:rsidP="008F2B51">
      <w:pPr>
        <w:spacing w:line="288" w:lineRule="auto"/>
        <w:rPr>
          <w:lang w:val="da-DK"/>
        </w:rPr>
      </w:pPr>
      <w:r w:rsidRPr="008F2B51">
        <w:rPr>
          <w:b/>
          <w:lang w:val="da-DK"/>
        </w:rPr>
        <w:t xml:space="preserve">2. </w:t>
      </w:r>
      <w:r w:rsidRPr="008F2B51">
        <w:rPr>
          <w:lang w:val="da-DK"/>
        </w:rPr>
        <w:t xml:space="preserve">I </w:t>
      </w:r>
      <w:r w:rsidRPr="008F2B51">
        <w:rPr>
          <w:i/>
          <w:lang w:val="da-DK"/>
        </w:rPr>
        <w:t>§ 13, stk. 2, 1. pkt.,</w:t>
      </w:r>
      <w:r w:rsidRPr="008F2B51">
        <w:rPr>
          <w:lang w:val="da-DK"/>
        </w:rPr>
        <w:t xml:space="preserve"> der bliver stk. 3, 1. pkt., ændres ”stk. 3-9” til: ”stk. 4-10”.</w:t>
      </w:r>
    </w:p>
    <w:p w:rsidR="008F2B51" w:rsidRPr="008F2B51" w:rsidRDefault="008F2B51" w:rsidP="008F2B51">
      <w:pPr>
        <w:spacing w:line="288" w:lineRule="auto"/>
        <w:rPr>
          <w:lang w:val="da-DK"/>
        </w:rPr>
      </w:pPr>
    </w:p>
    <w:p w:rsidR="008F2B51" w:rsidRPr="008F2B51" w:rsidRDefault="008F2B51" w:rsidP="008F2B51">
      <w:pPr>
        <w:spacing w:line="288" w:lineRule="auto"/>
        <w:rPr>
          <w:lang w:val="da-DK"/>
        </w:rPr>
      </w:pPr>
      <w:r w:rsidRPr="008F2B51">
        <w:rPr>
          <w:b/>
          <w:lang w:val="da-DK"/>
        </w:rPr>
        <w:t xml:space="preserve">3. </w:t>
      </w:r>
      <w:r w:rsidRPr="008F2B51">
        <w:rPr>
          <w:lang w:val="da-DK"/>
        </w:rPr>
        <w:t xml:space="preserve">I </w:t>
      </w:r>
      <w:r w:rsidRPr="008F2B51">
        <w:rPr>
          <w:i/>
          <w:lang w:val="da-DK"/>
        </w:rPr>
        <w:t>§ 13, stk. 3, 1. pkt.,</w:t>
      </w:r>
      <w:r w:rsidRPr="008F2B51">
        <w:rPr>
          <w:lang w:val="da-DK"/>
        </w:rPr>
        <w:t xml:space="preserve"> der bliver stk. 4, 1. pkt.,</w:t>
      </w:r>
      <w:r w:rsidR="004424F8">
        <w:rPr>
          <w:lang w:val="da-DK"/>
        </w:rPr>
        <w:t xml:space="preserve"> </w:t>
      </w:r>
      <w:r w:rsidR="004424F8" w:rsidRPr="008F2B51">
        <w:rPr>
          <w:i/>
          <w:lang w:val="da-DK"/>
        </w:rPr>
        <w:t>§ 13, stk. 4, 2. pkt.,</w:t>
      </w:r>
      <w:r w:rsidR="004424F8" w:rsidRPr="008F2B51">
        <w:rPr>
          <w:lang w:val="da-DK"/>
        </w:rPr>
        <w:t xml:space="preserve"> der bliver stk. 5, 2. pkt.,</w:t>
      </w:r>
      <w:r w:rsidRPr="008F2B51">
        <w:rPr>
          <w:lang w:val="da-DK"/>
        </w:rPr>
        <w:t xml:space="preserve"> </w:t>
      </w:r>
      <w:r w:rsidR="004424F8">
        <w:rPr>
          <w:lang w:val="da-DK"/>
        </w:rPr>
        <w:t xml:space="preserve">og i </w:t>
      </w:r>
      <w:r w:rsidR="004424F8" w:rsidRPr="008F2B51">
        <w:rPr>
          <w:i/>
          <w:lang w:val="da-DK"/>
        </w:rPr>
        <w:t xml:space="preserve">§ 13, stk. 5, 6. pkt., </w:t>
      </w:r>
      <w:r w:rsidR="004424F8" w:rsidRPr="008F2B51">
        <w:rPr>
          <w:lang w:val="da-DK"/>
        </w:rPr>
        <w:t xml:space="preserve">der bliver stk. 6, 6. pkt., </w:t>
      </w:r>
      <w:r w:rsidRPr="008F2B51">
        <w:rPr>
          <w:lang w:val="da-DK"/>
        </w:rPr>
        <w:t>ændres ”stk. 2, 1. pkt.” til: ” stk. 3, 1. pkt.”</w:t>
      </w:r>
    </w:p>
    <w:p w:rsidR="008F2B51" w:rsidRPr="008F2B51" w:rsidRDefault="008F2B51" w:rsidP="008F2B51">
      <w:pPr>
        <w:spacing w:line="288" w:lineRule="auto"/>
        <w:rPr>
          <w:lang w:val="da-DK"/>
        </w:rPr>
      </w:pPr>
    </w:p>
    <w:p w:rsidR="008F2B51" w:rsidRPr="008F2B51" w:rsidRDefault="008F2B51" w:rsidP="008F2B51">
      <w:pPr>
        <w:spacing w:line="288" w:lineRule="auto"/>
        <w:rPr>
          <w:lang w:val="da-DK"/>
        </w:rPr>
      </w:pPr>
      <w:r w:rsidRPr="008F2B51">
        <w:rPr>
          <w:b/>
          <w:lang w:val="da-DK"/>
        </w:rPr>
        <w:t xml:space="preserve">4. </w:t>
      </w:r>
      <w:r w:rsidRPr="008F2B51">
        <w:rPr>
          <w:lang w:val="da-DK"/>
        </w:rPr>
        <w:t xml:space="preserve">I </w:t>
      </w:r>
      <w:r w:rsidRPr="008F2B51">
        <w:rPr>
          <w:i/>
          <w:lang w:val="da-DK"/>
        </w:rPr>
        <w:t xml:space="preserve">§ 13, stk. 4, 1. pkt., </w:t>
      </w:r>
      <w:r w:rsidRPr="008F2B51">
        <w:rPr>
          <w:lang w:val="da-DK"/>
        </w:rPr>
        <w:t>der bliver stk. 5, 1. pkt., ændres ”stk. 3” til: ”stk. 4”, og ”stk. 2, 1. pkt.”</w:t>
      </w:r>
      <w:r w:rsidR="00B76953">
        <w:rPr>
          <w:lang w:val="da-DK"/>
        </w:rPr>
        <w:t xml:space="preserve"> æ</w:t>
      </w:r>
      <w:r w:rsidR="00B76953">
        <w:rPr>
          <w:lang w:val="da-DK"/>
        </w:rPr>
        <w:t>n</w:t>
      </w:r>
      <w:r w:rsidR="00B76953">
        <w:rPr>
          <w:lang w:val="da-DK"/>
        </w:rPr>
        <w:t>dres</w:t>
      </w:r>
      <w:r w:rsidRPr="008F2B51">
        <w:rPr>
          <w:lang w:val="da-DK"/>
        </w:rPr>
        <w:t xml:space="preserve"> til: ” stk. 3, 1. pkt.”</w:t>
      </w:r>
    </w:p>
    <w:p w:rsidR="008F2B51" w:rsidRPr="008F2B51" w:rsidRDefault="008F2B51" w:rsidP="008F2B51">
      <w:pPr>
        <w:spacing w:line="288" w:lineRule="auto"/>
        <w:rPr>
          <w:lang w:val="da-DK"/>
        </w:rPr>
      </w:pPr>
    </w:p>
    <w:p w:rsidR="008F2B51" w:rsidRPr="008F2B51" w:rsidRDefault="008F2B51" w:rsidP="008F2B51">
      <w:pPr>
        <w:spacing w:line="288" w:lineRule="auto"/>
        <w:rPr>
          <w:lang w:val="da-DK"/>
        </w:rPr>
      </w:pPr>
      <w:r w:rsidRPr="008F2B51">
        <w:rPr>
          <w:b/>
          <w:lang w:val="da-DK"/>
        </w:rPr>
        <w:t>5.</w:t>
      </w:r>
      <w:r w:rsidRPr="008F2B51">
        <w:rPr>
          <w:lang w:val="da-DK"/>
        </w:rPr>
        <w:t xml:space="preserve"> I </w:t>
      </w:r>
      <w:r w:rsidRPr="008F2B51">
        <w:rPr>
          <w:i/>
          <w:lang w:val="da-DK"/>
        </w:rPr>
        <w:t xml:space="preserve">§ 13, stk. 5, 1. pkt., </w:t>
      </w:r>
      <w:r w:rsidRPr="008F2B51">
        <w:rPr>
          <w:lang w:val="da-DK"/>
        </w:rPr>
        <w:t>der bliver stk. 6, 1. pkt., ændres ”stk. 3” til: ”stk. 4”.</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6</w:t>
      </w:r>
      <w:r w:rsidR="008F2B51" w:rsidRPr="008F2B51">
        <w:rPr>
          <w:b/>
          <w:lang w:val="da-DK"/>
        </w:rPr>
        <w:t>.</w:t>
      </w:r>
      <w:r w:rsidR="008F2B51" w:rsidRPr="008F2B51">
        <w:rPr>
          <w:lang w:val="da-DK"/>
        </w:rPr>
        <w:t xml:space="preserve"> I </w:t>
      </w:r>
      <w:r w:rsidR="008F2B51" w:rsidRPr="008F2B51">
        <w:rPr>
          <w:i/>
          <w:lang w:val="da-DK"/>
        </w:rPr>
        <w:t>§ 13, stk. 5, 2. pkt.</w:t>
      </w:r>
      <w:r w:rsidR="008F2B51" w:rsidRPr="008F2B51">
        <w:rPr>
          <w:lang w:val="da-DK"/>
        </w:rPr>
        <w:t xml:space="preserve">, der bliver stk. 6, 2. pkt., ændres ”stk. 3” til: ”stk. 4” og ”stk. 4” </w:t>
      </w:r>
      <w:r w:rsidR="00B76953">
        <w:rPr>
          <w:lang w:val="da-DK"/>
        </w:rPr>
        <w:t xml:space="preserve">ændres </w:t>
      </w:r>
      <w:r w:rsidR="008F2B51" w:rsidRPr="008F2B51">
        <w:rPr>
          <w:lang w:val="da-DK"/>
        </w:rPr>
        <w:t>til: ”stk. 5”.</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7</w:t>
      </w:r>
      <w:r w:rsidR="008F2B51" w:rsidRPr="008F2B51">
        <w:rPr>
          <w:b/>
          <w:lang w:val="da-DK"/>
        </w:rPr>
        <w:t xml:space="preserve">. </w:t>
      </w:r>
      <w:r w:rsidR="008F2B51" w:rsidRPr="008F2B51">
        <w:rPr>
          <w:lang w:val="da-DK"/>
        </w:rPr>
        <w:t xml:space="preserve">I </w:t>
      </w:r>
      <w:r w:rsidR="008F2B51" w:rsidRPr="008F2B51">
        <w:rPr>
          <w:i/>
          <w:lang w:val="da-DK"/>
        </w:rPr>
        <w:t xml:space="preserve">§ 13, stk. 6, 1. pkt., </w:t>
      </w:r>
      <w:r w:rsidR="008F2B51" w:rsidRPr="008F2B51">
        <w:rPr>
          <w:lang w:val="da-DK"/>
        </w:rPr>
        <w:t>der bliver stk. 7, 1. pkt., ændres ”stk. 3 og 4” til: ”stk. 4 og 5”.</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8</w:t>
      </w:r>
      <w:r w:rsidR="008F2B51" w:rsidRPr="008F2B51">
        <w:rPr>
          <w:b/>
          <w:lang w:val="da-DK"/>
        </w:rPr>
        <w:t>.</w:t>
      </w:r>
      <w:r w:rsidR="008F2B51" w:rsidRPr="008F2B51">
        <w:rPr>
          <w:lang w:val="da-DK"/>
        </w:rPr>
        <w:t xml:space="preserve"> I </w:t>
      </w:r>
      <w:r w:rsidR="008F2B51" w:rsidRPr="008F2B51">
        <w:rPr>
          <w:i/>
          <w:lang w:val="da-DK"/>
        </w:rPr>
        <w:t>§ 13, stk. 6, 4. pkt.,</w:t>
      </w:r>
      <w:r w:rsidR="008F2B51" w:rsidRPr="008F2B51">
        <w:rPr>
          <w:lang w:val="da-DK"/>
        </w:rPr>
        <w:t xml:space="preserve"> der bliver stk. 7, 4. pkt., ændres ”stk. 3 og 4” til: ”stk. 4 og 5”, og ”stk. 2, 1. pkt.”</w:t>
      </w:r>
      <w:r w:rsidR="00B76953">
        <w:rPr>
          <w:lang w:val="da-DK"/>
        </w:rPr>
        <w:t xml:space="preserve"> ændres </w:t>
      </w:r>
      <w:r w:rsidR="008F2B51" w:rsidRPr="008F2B51">
        <w:rPr>
          <w:lang w:val="da-DK"/>
        </w:rPr>
        <w:t>til: ”stk. 3, 1. pkt.”</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9.</w:t>
      </w:r>
      <w:r w:rsidR="008F2B51" w:rsidRPr="008F2B51">
        <w:rPr>
          <w:b/>
          <w:lang w:val="da-DK"/>
        </w:rPr>
        <w:t xml:space="preserve"> </w:t>
      </w:r>
      <w:r w:rsidR="008F2B51" w:rsidRPr="008F2B51">
        <w:rPr>
          <w:lang w:val="da-DK"/>
        </w:rPr>
        <w:t xml:space="preserve">I </w:t>
      </w:r>
      <w:r w:rsidR="008F2B51" w:rsidRPr="008F2B51">
        <w:rPr>
          <w:i/>
          <w:lang w:val="da-DK"/>
        </w:rPr>
        <w:t xml:space="preserve">§ 13, stk. 7, 1. pkt., </w:t>
      </w:r>
      <w:r w:rsidR="008F2B51" w:rsidRPr="008F2B51">
        <w:rPr>
          <w:lang w:val="da-DK"/>
        </w:rPr>
        <w:t xml:space="preserve">der bliver stk. 8, 1. pkt., ændres ”stk. 3, 5 og 6” til: ”stk. 4, 6 og 7”, og ”stk. 3, 1. pkt.,” </w:t>
      </w:r>
      <w:r w:rsidR="00B76953">
        <w:rPr>
          <w:lang w:val="da-DK"/>
        </w:rPr>
        <w:t xml:space="preserve">ændres </w:t>
      </w:r>
      <w:r w:rsidR="008F2B51" w:rsidRPr="008F2B51">
        <w:rPr>
          <w:lang w:val="da-DK"/>
        </w:rPr>
        <w:t>til: ”stk. 4, 1. pkt.”</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10</w:t>
      </w:r>
      <w:r w:rsidR="008F2B51" w:rsidRPr="008F2B51">
        <w:rPr>
          <w:b/>
          <w:lang w:val="da-DK"/>
        </w:rPr>
        <w:t>.</w:t>
      </w:r>
      <w:r w:rsidR="008F2B51" w:rsidRPr="008F2B51">
        <w:rPr>
          <w:lang w:val="da-DK"/>
        </w:rPr>
        <w:t xml:space="preserve"> I </w:t>
      </w:r>
      <w:r w:rsidR="008F2B51" w:rsidRPr="008F2B51">
        <w:rPr>
          <w:i/>
          <w:lang w:val="da-DK"/>
        </w:rPr>
        <w:t xml:space="preserve">§ 13, stk. 7, 4. pkt., </w:t>
      </w:r>
      <w:r w:rsidR="008F2B51" w:rsidRPr="008F2B51">
        <w:rPr>
          <w:lang w:val="da-DK"/>
        </w:rPr>
        <w:t>der bliver til stk. 8, 4. pkt.,</w:t>
      </w:r>
      <w:r w:rsidR="00B76953">
        <w:rPr>
          <w:lang w:val="da-DK"/>
        </w:rPr>
        <w:t xml:space="preserve"> ændres ”stk. 3, 5 og 6” til: ”</w:t>
      </w:r>
      <w:r w:rsidR="008F2B51" w:rsidRPr="008F2B51">
        <w:rPr>
          <w:lang w:val="da-DK"/>
        </w:rPr>
        <w:t>stk. 4, 6 og 7”.</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11</w:t>
      </w:r>
      <w:r w:rsidR="008F2B51" w:rsidRPr="008F2B51">
        <w:rPr>
          <w:b/>
          <w:lang w:val="da-DK"/>
        </w:rPr>
        <w:t xml:space="preserve">. </w:t>
      </w:r>
      <w:r w:rsidR="008F2B51" w:rsidRPr="008F2B51">
        <w:rPr>
          <w:lang w:val="da-DK"/>
        </w:rPr>
        <w:t xml:space="preserve">I </w:t>
      </w:r>
      <w:r w:rsidR="008F2B51" w:rsidRPr="008F2B51">
        <w:rPr>
          <w:i/>
          <w:lang w:val="da-DK"/>
        </w:rPr>
        <w:t xml:space="preserve">§ 13, stk. 8, 1. pkt., </w:t>
      </w:r>
      <w:r w:rsidR="008F2B51" w:rsidRPr="008F2B51">
        <w:rPr>
          <w:lang w:val="da-DK"/>
        </w:rPr>
        <w:t>der bliver stk. 9, 1. pkt., ændres ”stk. 2, 1. pkt.” til: ”stk. 3</w:t>
      </w:r>
      <w:r w:rsidR="00B76953">
        <w:rPr>
          <w:lang w:val="da-DK"/>
        </w:rPr>
        <w:t>,</w:t>
      </w:r>
      <w:r w:rsidR="008F2B51" w:rsidRPr="008F2B51">
        <w:rPr>
          <w:lang w:val="da-DK"/>
        </w:rPr>
        <w:t xml:space="preserve"> 1. pkt.”, og ”stk. 3” ændres til: ”stk. 4”.</w:t>
      </w:r>
    </w:p>
    <w:p w:rsidR="008F2B51" w:rsidRPr="008F2B51" w:rsidRDefault="008F2B51" w:rsidP="008F2B51">
      <w:pPr>
        <w:spacing w:line="288" w:lineRule="auto"/>
        <w:rPr>
          <w:lang w:val="da-DK"/>
        </w:rPr>
      </w:pPr>
    </w:p>
    <w:p w:rsidR="008F2B51" w:rsidRPr="008F2B51" w:rsidRDefault="004424F8" w:rsidP="008F2B51">
      <w:pPr>
        <w:spacing w:line="288" w:lineRule="auto"/>
        <w:rPr>
          <w:lang w:val="da-DK"/>
        </w:rPr>
      </w:pPr>
      <w:r>
        <w:rPr>
          <w:b/>
          <w:lang w:val="da-DK"/>
        </w:rPr>
        <w:t>12</w:t>
      </w:r>
      <w:r w:rsidR="008F2B51" w:rsidRPr="008F2B51">
        <w:rPr>
          <w:b/>
          <w:lang w:val="da-DK"/>
        </w:rPr>
        <w:t xml:space="preserve">. </w:t>
      </w:r>
      <w:r w:rsidR="008F2B51" w:rsidRPr="008F2B51">
        <w:rPr>
          <w:lang w:val="da-DK"/>
        </w:rPr>
        <w:t xml:space="preserve">I </w:t>
      </w:r>
      <w:r w:rsidR="008F2B51" w:rsidRPr="008F2B51">
        <w:rPr>
          <w:i/>
          <w:lang w:val="da-DK"/>
        </w:rPr>
        <w:t>§ 13, stk. 9,</w:t>
      </w:r>
      <w:r w:rsidR="008F2B51" w:rsidRPr="008F2B51">
        <w:rPr>
          <w:lang w:val="da-DK"/>
        </w:rPr>
        <w:t xml:space="preserve"> der bliver stk. 10, ændres ”stk. 3-8” til: ”stk. 4-9”.</w:t>
      </w:r>
    </w:p>
    <w:p w:rsidR="008F2B51" w:rsidRPr="008F2B51" w:rsidRDefault="008F2B51" w:rsidP="008F2B51">
      <w:pPr>
        <w:spacing w:line="288" w:lineRule="auto"/>
        <w:rPr>
          <w:lang w:val="da-DK"/>
        </w:rPr>
      </w:pPr>
    </w:p>
    <w:p w:rsidR="008F2B51" w:rsidRPr="008F2B51" w:rsidRDefault="004424F8" w:rsidP="008F2B51">
      <w:pPr>
        <w:spacing w:line="288" w:lineRule="auto"/>
        <w:rPr>
          <w:i/>
          <w:lang w:val="da-DK"/>
        </w:rPr>
      </w:pPr>
      <w:r>
        <w:rPr>
          <w:b/>
          <w:lang w:val="da-DK"/>
        </w:rPr>
        <w:t>13</w:t>
      </w:r>
      <w:r w:rsidR="008F2B51" w:rsidRPr="008F2B51">
        <w:rPr>
          <w:b/>
          <w:lang w:val="da-DK"/>
        </w:rPr>
        <w:t xml:space="preserve">. </w:t>
      </w:r>
      <w:r w:rsidR="008F2B51" w:rsidRPr="008F2B51">
        <w:rPr>
          <w:lang w:val="da-DK"/>
        </w:rPr>
        <w:t xml:space="preserve">I </w:t>
      </w:r>
      <w:r w:rsidR="008F2B51" w:rsidRPr="008F2B51">
        <w:rPr>
          <w:i/>
          <w:lang w:val="da-DK"/>
        </w:rPr>
        <w:t xml:space="preserve">§ 13 F, stk. 8, </w:t>
      </w:r>
      <w:r w:rsidR="008F2B51" w:rsidRPr="008F2B51">
        <w:rPr>
          <w:lang w:val="da-DK"/>
        </w:rPr>
        <w:t>ændres ”§ 13, stk. 3-9” til: ”§ 13, stk. 4-10”.</w:t>
      </w:r>
    </w:p>
    <w:p w:rsidR="008F2B51" w:rsidRPr="008F2B51" w:rsidRDefault="008F2B51" w:rsidP="008F2B51">
      <w:pPr>
        <w:spacing w:line="288" w:lineRule="auto"/>
        <w:rPr>
          <w:b/>
          <w:bCs/>
          <w:lang w:val="da-DK"/>
        </w:rPr>
      </w:pPr>
    </w:p>
    <w:p w:rsidR="00373D00" w:rsidRPr="008F2B51" w:rsidRDefault="004424F8" w:rsidP="008F2B51">
      <w:pPr>
        <w:tabs>
          <w:tab w:val="left" w:pos="284"/>
        </w:tabs>
        <w:spacing w:line="288" w:lineRule="auto"/>
        <w:jc w:val="both"/>
        <w:rPr>
          <w:iCs/>
          <w:color w:val="000000"/>
          <w:sz w:val="28"/>
          <w:lang w:val="da-DK"/>
        </w:rPr>
      </w:pPr>
      <w:r>
        <w:rPr>
          <w:b/>
          <w:bCs/>
          <w:lang w:val="da-DK"/>
        </w:rPr>
        <w:t>14</w:t>
      </w:r>
      <w:r w:rsidR="008F2B51" w:rsidRPr="008F2B51">
        <w:rPr>
          <w:b/>
          <w:bCs/>
          <w:lang w:val="da-DK"/>
        </w:rPr>
        <w:t>.</w:t>
      </w:r>
      <w:r w:rsidR="008F2B51" w:rsidRPr="008F2B51">
        <w:rPr>
          <w:bCs/>
          <w:lang w:val="da-DK"/>
        </w:rPr>
        <w:t xml:space="preserve"> I</w:t>
      </w:r>
      <w:r w:rsidR="008F2B51" w:rsidRPr="008F2B51">
        <w:rPr>
          <w:bCs/>
          <w:i/>
          <w:lang w:val="da-DK"/>
        </w:rPr>
        <w:t xml:space="preserve"> § 17, stk. 3, 1. pkt., </w:t>
      </w:r>
      <w:r w:rsidR="008F2B51" w:rsidRPr="008F2B51">
        <w:rPr>
          <w:bCs/>
          <w:lang w:val="da-DK"/>
        </w:rPr>
        <w:t>indsættes efter ”§ 13, stk. 1, nr. 2,”: ”eller stk. 2,”.</w:t>
      </w:r>
    </w:p>
    <w:p w:rsidR="00373D00" w:rsidRDefault="00373D00" w:rsidP="0036355D">
      <w:pPr>
        <w:jc w:val="center"/>
        <w:rPr>
          <w:iCs/>
          <w:color w:val="000000"/>
          <w:sz w:val="28"/>
          <w:lang w:val="da-DK"/>
        </w:rPr>
      </w:pPr>
    </w:p>
    <w:p w:rsidR="00604DF1" w:rsidRDefault="00604DF1" w:rsidP="0036355D">
      <w:pPr>
        <w:jc w:val="center"/>
        <w:rPr>
          <w:iCs/>
          <w:color w:val="000000"/>
          <w:sz w:val="28"/>
          <w:lang w:val="da-DK"/>
        </w:rPr>
      </w:pPr>
    </w:p>
    <w:p w:rsidR="004424F8" w:rsidRDefault="004424F8" w:rsidP="0036355D">
      <w:pPr>
        <w:jc w:val="center"/>
        <w:rPr>
          <w:iCs/>
          <w:color w:val="000000"/>
          <w:sz w:val="28"/>
          <w:lang w:val="da-DK"/>
        </w:rPr>
      </w:pPr>
    </w:p>
    <w:p w:rsidR="004424F8" w:rsidRDefault="004424F8" w:rsidP="0036355D">
      <w:pPr>
        <w:jc w:val="center"/>
        <w:rPr>
          <w:iCs/>
          <w:color w:val="000000"/>
          <w:sz w:val="28"/>
          <w:lang w:val="da-DK"/>
        </w:rPr>
      </w:pPr>
    </w:p>
    <w:p w:rsidR="00604DF1" w:rsidRDefault="00604DF1" w:rsidP="0036355D">
      <w:pPr>
        <w:jc w:val="center"/>
        <w:rPr>
          <w:iCs/>
          <w:color w:val="000000"/>
          <w:sz w:val="28"/>
          <w:lang w:val="da-DK"/>
        </w:rPr>
      </w:pPr>
    </w:p>
    <w:p w:rsidR="008F2B51" w:rsidRPr="008F2B51" w:rsidRDefault="008F2B51" w:rsidP="008F2B51">
      <w:pPr>
        <w:tabs>
          <w:tab w:val="left" w:pos="360"/>
        </w:tabs>
        <w:spacing w:line="288" w:lineRule="auto"/>
        <w:rPr>
          <w:b/>
          <w:bCs/>
          <w:lang w:val="da-DK"/>
        </w:rPr>
      </w:pPr>
      <w:r>
        <w:rPr>
          <w:b/>
          <w:bCs/>
          <w:lang w:val="da-DK"/>
        </w:rPr>
        <w:lastRenderedPageBreak/>
        <w:tab/>
      </w:r>
      <w:r>
        <w:rPr>
          <w:b/>
          <w:bCs/>
          <w:lang w:val="da-DK"/>
        </w:rPr>
        <w:tab/>
      </w:r>
      <w:r>
        <w:rPr>
          <w:b/>
          <w:bCs/>
          <w:lang w:val="da-DK"/>
        </w:rPr>
        <w:tab/>
      </w:r>
      <w:r>
        <w:rPr>
          <w:b/>
          <w:bCs/>
          <w:lang w:val="da-DK"/>
        </w:rPr>
        <w:tab/>
      </w:r>
      <w:r>
        <w:rPr>
          <w:b/>
          <w:bCs/>
          <w:lang w:val="da-DK"/>
        </w:rPr>
        <w:tab/>
      </w:r>
      <w:r>
        <w:rPr>
          <w:b/>
          <w:bCs/>
          <w:lang w:val="da-DK"/>
        </w:rPr>
        <w:tab/>
      </w:r>
      <w:r w:rsidR="00604DF1">
        <w:rPr>
          <w:b/>
          <w:bCs/>
          <w:lang w:val="da-DK"/>
        </w:rPr>
        <w:tab/>
      </w:r>
      <w:r w:rsidRPr="008F2B51">
        <w:rPr>
          <w:b/>
          <w:bCs/>
          <w:lang w:val="da-DK"/>
        </w:rPr>
        <w:t xml:space="preserve">§ </w:t>
      </w:r>
      <w:r>
        <w:rPr>
          <w:b/>
          <w:bCs/>
          <w:lang w:val="da-DK"/>
        </w:rPr>
        <w:t>4</w:t>
      </w:r>
    </w:p>
    <w:p w:rsidR="008F2B51" w:rsidRPr="008F2B51" w:rsidRDefault="008F2B51" w:rsidP="008F2B51">
      <w:pPr>
        <w:tabs>
          <w:tab w:val="left" w:pos="360"/>
        </w:tabs>
        <w:spacing w:line="288" w:lineRule="auto"/>
        <w:rPr>
          <w:iCs/>
          <w:lang w:val="da-DK"/>
        </w:rPr>
      </w:pPr>
      <w:r w:rsidRPr="008F2B51">
        <w:rPr>
          <w:iCs/>
          <w:lang w:val="da-DK"/>
        </w:rPr>
        <w:tab/>
      </w:r>
    </w:p>
    <w:p w:rsidR="008F2B51" w:rsidRPr="008F2B51" w:rsidRDefault="008F2B51" w:rsidP="008F2B51">
      <w:pPr>
        <w:spacing w:line="288" w:lineRule="auto"/>
        <w:ind w:firstLine="720"/>
        <w:rPr>
          <w:lang w:val="da-DK"/>
        </w:rPr>
      </w:pPr>
      <w:r w:rsidRPr="008F2B51">
        <w:rPr>
          <w:lang w:val="da-DK"/>
        </w:rPr>
        <w:t>I skatteforvaltningsloven, jf. lovbekendtgørelse nr. 175 af 23. februar 2011, som ændret s</w:t>
      </w:r>
      <w:r w:rsidRPr="008F2B51">
        <w:rPr>
          <w:lang w:val="da-DK"/>
        </w:rPr>
        <w:t>e</w:t>
      </w:r>
      <w:r w:rsidRPr="008F2B51">
        <w:rPr>
          <w:lang w:val="da-DK"/>
        </w:rPr>
        <w:t>nest ved § 1 i lov nr. 649 af 12. juni 2013, foretages følgende ændring:</w:t>
      </w:r>
    </w:p>
    <w:p w:rsidR="008F2B51" w:rsidRPr="008F2B51" w:rsidRDefault="008F2B51" w:rsidP="008F2B51">
      <w:pPr>
        <w:spacing w:line="288" w:lineRule="auto"/>
        <w:rPr>
          <w:lang w:val="da-DK"/>
        </w:rPr>
      </w:pPr>
    </w:p>
    <w:p w:rsidR="008F2B51" w:rsidRDefault="008F2B51" w:rsidP="00693AF7">
      <w:pPr>
        <w:jc w:val="both"/>
        <w:rPr>
          <w:lang w:val="da-DK"/>
        </w:rPr>
      </w:pPr>
      <w:r w:rsidRPr="008F2B51">
        <w:rPr>
          <w:b/>
          <w:lang w:val="da-DK"/>
        </w:rPr>
        <w:t xml:space="preserve">1. </w:t>
      </w:r>
      <w:r w:rsidRPr="008F2B51">
        <w:rPr>
          <w:lang w:val="da-DK"/>
        </w:rPr>
        <w:t xml:space="preserve">I </w:t>
      </w:r>
      <w:r w:rsidRPr="008F2B51">
        <w:rPr>
          <w:i/>
          <w:lang w:val="da-DK"/>
        </w:rPr>
        <w:t xml:space="preserve">§ 26, stk. 4, 2. pkt., </w:t>
      </w:r>
      <w:r w:rsidRPr="008F2B51">
        <w:rPr>
          <w:lang w:val="da-DK"/>
        </w:rPr>
        <w:t>ændres ”selskabsskattelovens § 13, stk. 3-9” t</w:t>
      </w:r>
      <w:r w:rsidR="00693AF7">
        <w:rPr>
          <w:lang w:val="da-DK"/>
        </w:rPr>
        <w:t xml:space="preserve">il: ”selskabsskattelovens § 13, </w:t>
      </w:r>
      <w:r w:rsidRPr="008F2B51">
        <w:rPr>
          <w:lang w:val="da-DK"/>
        </w:rPr>
        <w:t>stk. 4-10”.</w:t>
      </w:r>
    </w:p>
    <w:p w:rsidR="00693AF7" w:rsidRDefault="00693AF7" w:rsidP="00693AF7">
      <w:pPr>
        <w:jc w:val="both"/>
        <w:rPr>
          <w:lang w:val="da-DK"/>
        </w:rPr>
      </w:pPr>
    </w:p>
    <w:p w:rsidR="00693AF7" w:rsidRPr="008F2B51" w:rsidRDefault="00693AF7" w:rsidP="00693AF7">
      <w:pPr>
        <w:jc w:val="both"/>
        <w:rPr>
          <w:iCs/>
          <w:color w:val="000000"/>
          <w:sz w:val="28"/>
          <w:lang w:val="da-DK"/>
        </w:rPr>
      </w:pPr>
    </w:p>
    <w:p w:rsidR="00693AF7" w:rsidRPr="00693AF7" w:rsidRDefault="00693AF7" w:rsidP="00693AF7">
      <w:pPr>
        <w:ind w:left="3600" w:firstLine="720"/>
        <w:rPr>
          <w:b/>
          <w:iCs/>
          <w:lang w:val="da-DK"/>
        </w:rPr>
      </w:pPr>
      <w:r>
        <w:rPr>
          <w:b/>
          <w:iCs/>
          <w:lang w:val="da-DK"/>
        </w:rPr>
        <w:t>§ 5</w:t>
      </w:r>
    </w:p>
    <w:p w:rsidR="00693AF7" w:rsidRPr="00693AF7" w:rsidRDefault="00693AF7" w:rsidP="00693AF7">
      <w:pPr>
        <w:rPr>
          <w:i/>
          <w:iCs/>
          <w:lang w:val="da-DK"/>
        </w:rPr>
      </w:pPr>
    </w:p>
    <w:p w:rsidR="00693AF7" w:rsidRPr="00693AF7" w:rsidRDefault="00693AF7" w:rsidP="00693AF7">
      <w:pPr>
        <w:rPr>
          <w:iCs/>
          <w:lang w:val="da-DK"/>
        </w:rPr>
      </w:pPr>
      <w:r w:rsidRPr="00693AF7">
        <w:rPr>
          <w:iCs/>
          <w:lang w:val="da-DK"/>
        </w:rPr>
        <w:t>Loven træder i kraft den 1. januar 2015</w:t>
      </w:r>
      <w:r>
        <w:rPr>
          <w:iCs/>
          <w:lang w:val="da-DK"/>
        </w:rPr>
        <w:t xml:space="preserve"> og har virkning for udbytter, der </w:t>
      </w:r>
      <w:r w:rsidR="009B01AB">
        <w:rPr>
          <w:iCs/>
          <w:lang w:val="da-DK"/>
        </w:rPr>
        <w:t xml:space="preserve">vedtages eller besluttes </w:t>
      </w:r>
      <w:r>
        <w:rPr>
          <w:iCs/>
          <w:lang w:val="da-DK"/>
        </w:rPr>
        <w:t>udlodde</w:t>
      </w:r>
      <w:r w:rsidR="009B01AB">
        <w:rPr>
          <w:iCs/>
          <w:lang w:val="da-DK"/>
        </w:rPr>
        <w:t>t</w:t>
      </w:r>
      <w:r>
        <w:rPr>
          <w:iCs/>
          <w:lang w:val="da-DK"/>
        </w:rPr>
        <w:t xml:space="preserve"> fra og med den 1. januar 2015.</w:t>
      </w:r>
    </w:p>
    <w:p w:rsidR="008F2B51" w:rsidRDefault="008F2B51" w:rsidP="0036355D">
      <w:pPr>
        <w:jc w:val="center"/>
        <w:rPr>
          <w:iCs/>
          <w:color w:val="000000"/>
          <w:sz w:val="28"/>
          <w:lang w:val="da-DK"/>
        </w:rPr>
      </w:pPr>
    </w:p>
    <w:p w:rsidR="00693AF7" w:rsidRDefault="00693AF7"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8F5099" w:rsidRDefault="008F5099" w:rsidP="0036355D">
      <w:pPr>
        <w:jc w:val="center"/>
        <w:rPr>
          <w:iCs/>
          <w:color w:val="000000"/>
          <w:sz w:val="28"/>
          <w:lang w:val="da-DK"/>
        </w:rPr>
      </w:pPr>
    </w:p>
    <w:p w:rsidR="004424F8" w:rsidRPr="00C12558" w:rsidRDefault="004424F8" w:rsidP="0036355D">
      <w:pPr>
        <w:jc w:val="center"/>
        <w:rPr>
          <w:iCs/>
          <w:color w:val="000000"/>
          <w:sz w:val="28"/>
          <w:lang w:val="da-DK"/>
        </w:rPr>
      </w:pPr>
    </w:p>
    <w:p w:rsidR="00601778" w:rsidRDefault="00601778" w:rsidP="00601778">
      <w:pPr>
        <w:rPr>
          <w:iCs/>
          <w:color w:val="000000"/>
          <w:sz w:val="28"/>
          <w:lang w:val="da-DK"/>
        </w:rPr>
      </w:pPr>
    </w:p>
    <w:p w:rsidR="0036355D" w:rsidRPr="009F1907" w:rsidRDefault="0036355D" w:rsidP="0036355D">
      <w:pPr>
        <w:jc w:val="center"/>
        <w:rPr>
          <w:i/>
          <w:iCs/>
          <w:color w:val="000000"/>
          <w:sz w:val="28"/>
          <w:lang w:val="da-DK"/>
        </w:rPr>
      </w:pPr>
      <w:r w:rsidRPr="009F1907">
        <w:rPr>
          <w:i/>
          <w:iCs/>
          <w:color w:val="000000"/>
          <w:sz w:val="28"/>
          <w:lang w:val="da-DK"/>
        </w:rPr>
        <w:lastRenderedPageBreak/>
        <w:t>Bemærkninger til lovforslaget</w:t>
      </w:r>
    </w:p>
    <w:p w:rsidR="0036355D" w:rsidRPr="009F1907" w:rsidRDefault="0036355D" w:rsidP="0036355D">
      <w:pPr>
        <w:pStyle w:val="Overskrift2"/>
        <w:spacing w:line="240" w:lineRule="auto"/>
        <w:jc w:val="center"/>
        <w:rPr>
          <w:rFonts w:ascii="Times New Roman" w:hAnsi="Times New Roman" w:cs="Times New Roman"/>
          <w:i/>
          <w:color w:val="000000"/>
          <w:sz w:val="24"/>
        </w:rPr>
      </w:pPr>
    </w:p>
    <w:p w:rsidR="0036355D" w:rsidRPr="009F1907" w:rsidRDefault="0036355D" w:rsidP="0036355D">
      <w:pPr>
        <w:pStyle w:val="Overskrift2"/>
        <w:spacing w:line="240" w:lineRule="auto"/>
        <w:jc w:val="center"/>
        <w:rPr>
          <w:rFonts w:ascii="Times New Roman" w:hAnsi="Times New Roman" w:cs="Times New Roman"/>
          <w:i/>
          <w:color w:val="000000"/>
          <w:sz w:val="24"/>
        </w:rPr>
      </w:pPr>
      <w:r w:rsidRPr="009F1907">
        <w:rPr>
          <w:rFonts w:ascii="Times New Roman" w:hAnsi="Times New Roman" w:cs="Times New Roman"/>
          <w:i/>
          <w:color w:val="000000"/>
          <w:sz w:val="24"/>
        </w:rPr>
        <w:t>Almindelige bemærkninger</w:t>
      </w:r>
      <w:bookmarkEnd w:id="0"/>
      <w:bookmarkEnd w:id="1"/>
      <w:bookmarkEnd w:id="2"/>
    </w:p>
    <w:p w:rsidR="0036355D" w:rsidRPr="009F1907" w:rsidRDefault="0036355D" w:rsidP="0036355D">
      <w:pPr>
        <w:jc w:val="center"/>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t>1. Indledning</w:t>
      </w:r>
    </w:p>
    <w:p w:rsidR="00D94545" w:rsidRPr="00C801ED" w:rsidRDefault="00D94545" w:rsidP="00D94545">
      <w:pPr>
        <w:spacing w:line="288" w:lineRule="auto"/>
        <w:jc w:val="both"/>
        <w:rPr>
          <w:iCs/>
          <w:color w:val="000000"/>
          <w:lang w:val="da-DK"/>
        </w:rPr>
      </w:pPr>
      <w:r w:rsidRPr="00C801ED">
        <w:rPr>
          <w:iCs/>
          <w:color w:val="000000"/>
          <w:lang w:val="da-DK"/>
        </w:rPr>
        <w:t>Regeringen (Socialdemokraterne og Radikale Venstre), Venstre, Dansk Folkeparti, Socialistisk Fo</w:t>
      </w:r>
      <w:r w:rsidRPr="00C801ED">
        <w:rPr>
          <w:iCs/>
          <w:color w:val="000000"/>
          <w:lang w:val="da-DK"/>
        </w:rPr>
        <w:t>l</w:t>
      </w:r>
      <w:r w:rsidRPr="00C801ED">
        <w:rPr>
          <w:iCs/>
          <w:color w:val="000000"/>
          <w:lang w:val="da-DK"/>
        </w:rPr>
        <w:t>keparti, Enhedslisten og Det Konservative Folkeparti har i juni 2014 indgået en aftale om en væks</w:t>
      </w:r>
      <w:r w:rsidRPr="00C801ED">
        <w:rPr>
          <w:iCs/>
          <w:color w:val="000000"/>
          <w:lang w:val="da-DK"/>
        </w:rPr>
        <w:t>t</w:t>
      </w:r>
      <w:r w:rsidRPr="00C801ED">
        <w:rPr>
          <w:iCs/>
          <w:color w:val="000000"/>
          <w:lang w:val="da-DK"/>
        </w:rPr>
        <w:t>pakke indeholdende en række initiativer rettet mod bedre regulering, styrket virksomhedsservice, forskning og uddannelse samt bedre erhvervsbeskatning m</w:t>
      </w:r>
      <w:r w:rsidR="008F5099">
        <w:rPr>
          <w:iCs/>
          <w:color w:val="000000"/>
          <w:lang w:val="da-DK"/>
        </w:rPr>
        <w:t>.</w:t>
      </w:r>
      <w:r w:rsidRPr="00C801ED">
        <w:rPr>
          <w:iCs/>
          <w:color w:val="000000"/>
          <w:lang w:val="da-DK"/>
        </w:rPr>
        <w:t>v.</w:t>
      </w:r>
    </w:p>
    <w:p w:rsidR="00D94545" w:rsidRPr="00C801ED" w:rsidRDefault="00D94545" w:rsidP="00D94545">
      <w:pPr>
        <w:spacing w:line="288" w:lineRule="auto"/>
        <w:jc w:val="both"/>
        <w:rPr>
          <w:iCs/>
          <w:color w:val="000000"/>
          <w:lang w:val="da-DK"/>
        </w:rPr>
      </w:pPr>
    </w:p>
    <w:p w:rsidR="00486E4B" w:rsidRPr="00486E4B" w:rsidRDefault="00486E4B" w:rsidP="00486E4B">
      <w:pPr>
        <w:spacing w:line="288" w:lineRule="auto"/>
        <w:jc w:val="both"/>
        <w:rPr>
          <w:iCs/>
          <w:color w:val="000000"/>
          <w:lang w:val="da-DK"/>
        </w:rPr>
      </w:pPr>
      <w:r>
        <w:rPr>
          <w:iCs/>
          <w:color w:val="000000"/>
          <w:lang w:val="da-DK"/>
        </w:rPr>
        <w:t xml:space="preserve">De enkelte dele af aftalen er indgået med tilslutning fra forskellige partier. </w:t>
      </w:r>
      <w:r w:rsidRPr="00486E4B">
        <w:rPr>
          <w:iCs/>
          <w:color w:val="000000"/>
          <w:lang w:val="da-DK"/>
        </w:rPr>
        <w:t>Dette lovforslag vedrører lempelse af udbyttebeskatningen. Regeringen, Venstre, Dansk Folkeparti og Det Konservative Fo</w:t>
      </w:r>
      <w:r w:rsidRPr="00486E4B">
        <w:rPr>
          <w:iCs/>
          <w:color w:val="000000"/>
          <w:lang w:val="da-DK"/>
        </w:rPr>
        <w:t>l</w:t>
      </w:r>
      <w:r w:rsidRPr="00486E4B">
        <w:rPr>
          <w:iCs/>
          <w:color w:val="000000"/>
          <w:lang w:val="da-DK"/>
        </w:rPr>
        <w:t xml:space="preserve">keparti </w:t>
      </w:r>
      <w:r w:rsidR="00D55264">
        <w:rPr>
          <w:iCs/>
          <w:color w:val="000000"/>
          <w:lang w:val="da-DK"/>
        </w:rPr>
        <w:t>er enige om at gennemføre dette i</w:t>
      </w:r>
      <w:r w:rsidRPr="00486E4B">
        <w:rPr>
          <w:iCs/>
          <w:color w:val="000000"/>
          <w:lang w:val="da-DK"/>
        </w:rPr>
        <w:t>nitiativ.</w:t>
      </w:r>
    </w:p>
    <w:p w:rsidR="00486E4B" w:rsidRDefault="00486E4B" w:rsidP="00D94545">
      <w:pPr>
        <w:spacing w:line="288" w:lineRule="auto"/>
        <w:jc w:val="both"/>
        <w:rPr>
          <w:iCs/>
          <w:color w:val="000000"/>
          <w:lang w:val="da-DK"/>
        </w:rPr>
      </w:pPr>
    </w:p>
    <w:p w:rsidR="0036355D" w:rsidRPr="009F1907" w:rsidRDefault="0036355D" w:rsidP="00B46523">
      <w:pPr>
        <w:spacing w:line="288" w:lineRule="auto"/>
        <w:jc w:val="both"/>
        <w:rPr>
          <w:i/>
          <w:iCs/>
          <w:color w:val="000000"/>
          <w:lang w:val="da-DK"/>
        </w:rPr>
      </w:pPr>
      <w:r w:rsidRPr="009F1907">
        <w:rPr>
          <w:i/>
          <w:iCs/>
          <w:color w:val="000000"/>
          <w:lang w:val="da-DK"/>
        </w:rPr>
        <w:t xml:space="preserve">2. Lovforslagets formål og baggrund </w:t>
      </w:r>
    </w:p>
    <w:p w:rsidR="008C445D" w:rsidRDefault="00D94545" w:rsidP="008C445D">
      <w:pPr>
        <w:spacing w:line="288" w:lineRule="auto"/>
        <w:jc w:val="both"/>
        <w:rPr>
          <w:rFonts w:ascii="Garamond" w:eastAsiaTheme="minorHAnsi" w:hAnsi="Garamond" w:cstheme="minorBidi"/>
          <w:sz w:val="22"/>
          <w:szCs w:val="18"/>
          <w:lang w:val="da-DK"/>
        </w:rPr>
      </w:pPr>
      <w:r w:rsidRPr="00693AF7">
        <w:rPr>
          <w:iCs/>
          <w:color w:val="000000"/>
          <w:lang w:val="da-DK"/>
        </w:rPr>
        <w:t xml:space="preserve">Det skal være lettere at tiltrække risikovillig kapital. Aftaleparterne bag </w:t>
      </w:r>
      <w:r w:rsidR="00256B71">
        <w:rPr>
          <w:iCs/>
          <w:color w:val="000000"/>
          <w:lang w:val="da-DK"/>
        </w:rPr>
        <w:t xml:space="preserve">denne del af </w:t>
      </w:r>
      <w:r w:rsidRPr="00693AF7">
        <w:rPr>
          <w:iCs/>
          <w:color w:val="000000"/>
          <w:lang w:val="da-DK"/>
        </w:rPr>
        <w:t>aftalen om Vækstpakke 2014 vil derfor lempe selskabers beskatning af udbytte fra unoterede porteføljeaktier. Hensigten med forslaget er at tilskynde til, at flere selskaber investerer i unoterede virksomheder.</w:t>
      </w:r>
      <w:r w:rsidR="008C445D" w:rsidRPr="008C445D">
        <w:rPr>
          <w:rFonts w:ascii="Garamond" w:eastAsiaTheme="minorHAnsi" w:hAnsi="Garamond" w:cstheme="minorBidi"/>
          <w:sz w:val="22"/>
          <w:szCs w:val="18"/>
          <w:lang w:val="da-DK"/>
        </w:rPr>
        <w:t xml:space="preserve"> </w:t>
      </w:r>
    </w:p>
    <w:p w:rsidR="008C445D" w:rsidRDefault="008C445D" w:rsidP="008C445D">
      <w:pPr>
        <w:spacing w:line="288" w:lineRule="auto"/>
        <w:jc w:val="both"/>
        <w:rPr>
          <w:rFonts w:ascii="Garamond" w:eastAsiaTheme="minorHAnsi" w:hAnsi="Garamond" w:cstheme="minorBidi"/>
          <w:sz w:val="22"/>
          <w:szCs w:val="18"/>
          <w:lang w:val="da-DK"/>
        </w:rPr>
      </w:pPr>
    </w:p>
    <w:p w:rsidR="008C445D" w:rsidRPr="008F2B51" w:rsidRDefault="00693AF7" w:rsidP="008C445D">
      <w:pPr>
        <w:spacing w:line="288" w:lineRule="auto"/>
        <w:jc w:val="both"/>
        <w:rPr>
          <w:iCs/>
          <w:color w:val="000000"/>
          <w:lang w:val="da-DK"/>
        </w:rPr>
      </w:pPr>
      <w:r w:rsidRPr="00693AF7">
        <w:rPr>
          <w:iCs/>
          <w:color w:val="000000"/>
          <w:lang w:val="da-DK"/>
        </w:rPr>
        <w:t>Det foreslås at gennemføre en målrettet lempelse af udbyttebeskatningen for danske selskabsakti</w:t>
      </w:r>
      <w:r w:rsidRPr="00693AF7">
        <w:rPr>
          <w:iCs/>
          <w:color w:val="000000"/>
          <w:lang w:val="da-DK"/>
        </w:rPr>
        <w:t>o</w:t>
      </w:r>
      <w:r w:rsidRPr="00693AF7">
        <w:rPr>
          <w:iCs/>
          <w:color w:val="000000"/>
          <w:lang w:val="da-DK"/>
        </w:rPr>
        <w:t>nærer. Lempelsen vil omfatte udbytte fra alle unoterede porteføljeaktier, som er omfattet af akti</w:t>
      </w:r>
      <w:r w:rsidRPr="00693AF7">
        <w:rPr>
          <w:iCs/>
          <w:color w:val="000000"/>
          <w:lang w:val="da-DK"/>
        </w:rPr>
        <w:t>e</w:t>
      </w:r>
      <w:r w:rsidRPr="00693AF7">
        <w:rPr>
          <w:iCs/>
          <w:color w:val="000000"/>
          <w:lang w:val="da-DK"/>
        </w:rPr>
        <w:t>avancebeskatningslovens § 4 C</w:t>
      </w:r>
      <w:r w:rsidR="00256B71">
        <w:rPr>
          <w:iCs/>
          <w:color w:val="000000"/>
          <w:lang w:val="da-DK"/>
        </w:rPr>
        <w:t>,</w:t>
      </w:r>
      <w:r w:rsidRPr="00693AF7">
        <w:rPr>
          <w:iCs/>
          <w:color w:val="000000"/>
          <w:lang w:val="da-DK"/>
        </w:rPr>
        <w:t xml:space="preserve"> og dermed kan afstås skattefrit. Lempelsen indebærer, at</w:t>
      </w:r>
      <w:r w:rsidR="008F5099">
        <w:rPr>
          <w:iCs/>
          <w:color w:val="000000"/>
          <w:lang w:val="da-DK"/>
        </w:rPr>
        <w:t xml:space="preserve"> alene</w:t>
      </w:r>
      <w:r w:rsidRPr="00693AF7">
        <w:rPr>
          <w:iCs/>
          <w:color w:val="000000"/>
          <w:lang w:val="da-DK"/>
        </w:rPr>
        <w:t xml:space="preserve"> 70 pct. af udbytterne medregnes </w:t>
      </w:r>
      <w:r w:rsidR="00815826">
        <w:rPr>
          <w:iCs/>
          <w:color w:val="000000"/>
          <w:lang w:val="da-DK"/>
        </w:rPr>
        <w:t>ved opgørelsen af</w:t>
      </w:r>
      <w:r w:rsidRPr="00693AF7">
        <w:rPr>
          <w:iCs/>
          <w:color w:val="000000"/>
          <w:lang w:val="da-DK"/>
        </w:rPr>
        <w:t xml:space="preserve"> danske selskabers skattepligtige indkomst i mo</w:t>
      </w:r>
      <w:r w:rsidRPr="00693AF7">
        <w:rPr>
          <w:iCs/>
          <w:color w:val="000000"/>
          <w:lang w:val="da-DK"/>
        </w:rPr>
        <w:t>d</w:t>
      </w:r>
      <w:r w:rsidRPr="00693AF7">
        <w:rPr>
          <w:iCs/>
          <w:color w:val="000000"/>
          <w:lang w:val="da-DK"/>
        </w:rPr>
        <w:t>sætning til gældende regler, hvor 100 pct. medregnes.</w:t>
      </w:r>
      <w:r w:rsidR="008C445D" w:rsidRPr="008C445D">
        <w:rPr>
          <w:iCs/>
          <w:color w:val="000000"/>
          <w:lang w:val="da-DK"/>
        </w:rPr>
        <w:t xml:space="preserve"> Dermed reduceres den reelle beskatning fra 24,5 pct. i 2014 til godt 16 pct. i 2015 og godt 15 pct. i 2016.</w:t>
      </w:r>
      <w:r w:rsidR="008C445D">
        <w:rPr>
          <w:iCs/>
          <w:color w:val="000000"/>
          <w:lang w:val="da-DK"/>
        </w:rPr>
        <w:t xml:space="preserve"> </w:t>
      </w:r>
      <w:r w:rsidR="008C445D" w:rsidRPr="008C445D">
        <w:rPr>
          <w:iCs/>
          <w:color w:val="000000"/>
          <w:lang w:val="da-DK"/>
        </w:rPr>
        <w:t>Lempelsen vil desuden sikre en lig</w:t>
      </w:r>
      <w:r w:rsidR="008C445D" w:rsidRPr="008C445D">
        <w:rPr>
          <w:iCs/>
          <w:color w:val="000000"/>
          <w:lang w:val="da-DK"/>
        </w:rPr>
        <w:t>e</w:t>
      </w:r>
      <w:r w:rsidR="008C445D" w:rsidRPr="008C445D">
        <w:rPr>
          <w:iCs/>
          <w:color w:val="000000"/>
          <w:lang w:val="da-DK"/>
        </w:rPr>
        <w:t>stilling af danske og udenlandske investorer.</w:t>
      </w:r>
    </w:p>
    <w:p w:rsidR="008F2B51" w:rsidRDefault="008F2B51" w:rsidP="00B46523">
      <w:pPr>
        <w:spacing w:line="288" w:lineRule="auto"/>
        <w:jc w:val="both"/>
        <w:rPr>
          <w:i/>
          <w:iCs/>
          <w:color w:val="000000"/>
          <w:lang w:val="da-DK"/>
        </w:rPr>
      </w:pPr>
    </w:p>
    <w:p w:rsidR="0036355D" w:rsidRPr="009F1907" w:rsidRDefault="0036355D" w:rsidP="00B46523">
      <w:pPr>
        <w:spacing w:line="288" w:lineRule="auto"/>
        <w:jc w:val="both"/>
        <w:rPr>
          <w:i/>
          <w:iCs/>
          <w:color w:val="000000"/>
          <w:lang w:val="da-DK"/>
        </w:rPr>
      </w:pPr>
      <w:r w:rsidRPr="009F1907">
        <w:rPr>
          <w:i/>
          <w:iCs/>
          <w:color w:val="000000"/>
          <w:lang w:val="da-DK"/>
        </w:rPr>
        <w:t>3. Gældende ret</w:t>
      </w:r>
    </w:p>
    <w:p w:rsidR="00693AF7" w:rsidRPr="00693AF7" w:rsidRDefault="00693AF7" w:rsidP="00B46523">
      <w:pPr>
        <w:spacing w:line="288" w:lineRule="auto"/>
        <w:jc w:val="both"/>
        <w:rPr>
          <w:iCs/>
          <w:color w:val="000000"/>
          <w:lang w:val="da-DK"/>
        </w:rPr>
      </w:pPr>
      <w:r w:rsidRPr="00693AF7">
        <w:rPr>
          <w:iCs/>
          <w:color w:val="000000"/>
          <w:lang w:val="da-DK"/>
        </w:rPr>
        <w:t xml:space="preserve">Før skattereformen i 2009 var selskaber </w:t>
      </w:r>
      <w:r w:rsidR="005E16E3">
        <w:rPr>
          <w:iCs/>
          <w:color w:val="000000"/>
          <w:lang w:val="da-DK"/>
        </w:rPr>
        <w:t xml:space="preserve">m.v. </w:t>
      </w:r>
      <w:r w:rsidRPr="00693AF7">
        <w:rPr>
          <w:iCs/>
          <w:color w:val="000000"/>
          <w:lang w:val="da-DK"/>
        </w:rPr>
        <w:t>skattepligtige af aktieavancer og havde fradrag for tab på aktier, der var ejet i mindre end 3 år. Avancer på aktier ejet i 3 år eller mere var derimod skatt</w:t>
      </w:r>
      <w:r w:rsidRPr="00693AF7">
        <w:rPr>
          <w:iCs/>
          <w:color w:val="000000"/>
          <w:lang w:val="da-DK"/>
        </w:rPr>
        <w:t>e</w:t>
      </w:r>
      <w:r w:rsidRPr="00693AF7">
        <w:rPr>
          <w:iCs/>
          <w:color w:val="000000"/>
          <w:lang w:val="da-DK"/>
        </w:rPr>
        <w:t>fri, og tab var ikke fradragsberettigede. Disse regler fandt anvendelse generelt og således også på avancer og tab på unoterede porteføljeaktier. Ved opgørelsen af den skattepligtige indkomst me</w:t>
      </w:r>
      <w:r w:rsidRPr="00693AF7">
        <w:rPr>
          <w:iCs/>
          <w:color w:val="000000"/>
          <w:lang w:val="da-DK"/>
        </w:rPr>
        <w:t>d</w:t>
      </w:r>
      <w:r w:rsidRPr="00693AF7">
        <w:rPr>
          <w:iCs/>
          <w:color w:val="000000"/>
          <w:lang w:val="da-DK"/>
        </w:rPr>
        <w:t>regnede selskaber 66 pct. af udbyttebeløbet på porteføljeaktier.</w:t>
      </w:r>
    </w:p>
    <w:p w:rsidR="00693AF7" w:rsidRPr="00693AF7" w:rsidRDefault="00693AF7" w:rsidP="00B46523">
      <w:pPr>
        <w:spacing w:line="288" w:lineRule="auto"/>
        <w:jc w:val="both"/>
        <w:rPr>
          <w:iCs/>
          <w:color w:val="000000"/>
          <w:lang w:val="da-DK"/>
        </w:rPr>
      </w:pPr>
    </w:p>
    <w:p w:rsidR="00693AF7" w:rsidRPr="00693AF7" w:rsidRDefault="00693AF7" w:rsidP="00B46523">
      <w:pPr>
        <w:spacing w:line="288" w:lineRule="auto"/>
        <w:jc w:val="both"/>
        <w:rPr>
          <w:iCs/>
          <w:color w:val="000000"/>
          <w:lang w:val="da-DK"/>
        </w:rPr>
      </w:pPr>
      <w:r w:rsidRPr="00693AF7">
        <w:rPr>
          <w:iCs/>
          <w:color w:val="000000"/>
          <w:lang w:val="da-DK"/>
        </w:rPr>
        <w:t>I forbindelse med Forårspakke 2.0 i 2009 blev beskatningen af porteføljeaktier strammet på to punkter som led i harmoniseringen af selskabers aktie- og udbyttebeskatning. Dels indførtes fuld skattepligt af udbytter og dels indførtes fuld skattepligt af avancer. Dette skete som led i finansi</w:t>
      </w:r>
      <w:r w:rsidRPr="00693AF7">
        <w:rPr>
          <w:iCs/>
          <w:color w:val="000000"/>
          <w:lang w:val="da-DK"/>
        </w:rPr>
        <w:t>e</w:t>
      </w:r>
      <w:r w:rsidRPr="00693AF7">
        <w:rPr>
          <w:iCs/>
          <w:color w:val="000000"/>
          <w:lang w:val="da-DK"/>
        </w:rPr>
        <w:t xml:space="preserve">ring af bl.a. en reduktion af marginalskatten på arbejdsindkomst (afskaffelse af mellemskatten og højere topskattegrænse). </w:t>
      </w:r>
    </w:p>
    <w:p w:rsidR="00693AF7" w:rsidRPr="00693AF7" w:rsidRDefault="00693AF7" w:rsidP="00B46523">
      <w:pPr>
        <w:spacing w:line="288" w:lineRule="auto"/>
        <w:jc w:val="both"/>
        <w:rPr>
          <w:iCs/>
          <w:color w:val="000000"/>
          <w:lang w:val="da-DK"/>
        </w:rPr>
      </w:pPr>
    </w:p>
    <w:p w:rsidR="00693AF7" w:rsidRPr="00693AF7" w:rsidRDefault="00693AF7" w:rsidP="00B46523">
      <w:pPr>
        <w:spacing w:line="288" w:lineRule="auto"/>
        <w:jc w:val="both"/>
        <w:rPr>
          <w:iCs/>
          <w:color w:val="000000"/>
          <w:lang w:val="da-DK"/>
        </w:rPr>
      </w:pPr>
      <w:r w:rsidRPr="00693AF7">
        <w:rPr>
          <w:iCs/>
          <w:color w:val="000000"/>
          <w:lang w:val="da-DK"/>
        </w:rPr>
        <w:lastRenderedPageBreak/>
        <w:t>Indfør</w:t>
      </w:r>
      <w:r w:rsidR="00B76953">
        <w:rPr>
          <w:iCs/>
          <w:color w:val="000000"/>
          <w:lang w:val="da-DK"/>
        </w:rPr>
        <w:t>el</w:t>
      </w:r>
      <w:r w:rsidRPr="00693AF7">
        <w:rPr>
          <w:iCs/>
          <w:color w:val="000000"/>
          <w:lang w:val="da-DK"/>
        </w:rPr>
        <w:t>se af fuld beskatning af avancer og udbytter fra unoterede porteføljeaktier blev efterfølge</w:t>
      </w:r>
      <w:r w:rsidRPr="00693AF7">
        <w:rPr>
          <w:iCs/>
          <w:color w:val="000000"/>
          <w:lang w:val="da-DK"/>
        </w:rPr>
        <w:t>n</w:t>
      </w:r>
      <w:r w:rsidRPr="00693AF7">
        <w:rPr>
          <w:iCs/>
          <w:color w:val="000000"/>
          <w:lang w:val="da-DK"/>
        </w:rPr>
        <w:t>de genstand for betydelig kritik for at skabe en barriere for kapitaltilførsel til mindre virksomheder (og blev omtalt som den såkaldte ”iværksætterskat”). ”Iværksætterskatten” blev som led i skatter</w:t>
      </w:r>
      <w:r w:rsidRPr="00693AF7">
        <w:rPr>
          <w:iCs/>
          <w:color w:val="000000"/>
          <w:lang w:val="da-DK"/>
        </w:rPr>
        <w:t>e</w:t>
      </w:r>
      <w:r w:rsidRPr="00693AF7">
        <w:rPr>
          <w:iCs/>
          <w:color w:val="000000"/>
          <w:lang w:val="da-DK"/>
        </w:rPr>
        <w:t xml:space="preserve">formen i 2012 fjernet i form af skattefritagelse af avancer af selskabers unoterede porteføljeaktier. </w:t>
      </w:r>
    </w:p>
    <w:p w:rsidR="00693AF7" w:rsidRPr="00693AF7" w:rsidRDefault="00693AF7" w:rsidP="00B46523">
      <w:pPr>
        <w:spacing w:line="288" w:lineRule="auto"/>
        <w:jc w:val="both"/>
        <w:rPr>
          <w:iCs/>
          <w:color w:val="000000"/>
          <w:lang w:val="da-DK"/>
        </w:rPr>
      </w:pPr>
    </w:p>
    <w:p w:rsidR="00693AF7" w:rsidRPr="00693AF7" w:rsidRDefault="00486E4B" w:rsidP="00B46523">
      <w:pPr>
        <w:spacing w:line="288" w:lineRule="auto"/>
        <w:jc w:val="both"/>
        <w:rPr>
          <w:iCs/>
          <w:color w:val="000000"/>
          <w:lang w:val="da-DK"/>
        </w:rPr>
      </w:pPr>
      <w:r>
        <w:rPr>
          <w:iCs/>
          <w:color w:val="000000"/>
          <w:lang w:val="da-DK"/>
        </w:rPr>
        <w:t>De g</w:t>
      </w:r>
      <w:r w:rsidR="00693AF7" w:rsidRPr="00693AF7">
        <w:rPr>
          <w:iCs/>
          <w:color w:val="000000"/>
          <w:lang w:val="da-DK"/>
        </w:rPr>
        <w:t xml:space="preserve">ældende regler for beskatning af selskabers unoterede porteføljeaktier </w:t>
      </w:r>
      <w:r w:rsidR="00B552AD">
        <w:rPr>
          <w:iCs/>
          <w:color w:val="000000"/>
          <w:lang w:val="da-DK"/>
        </w:rPr>
        <w:t>omfattet af aktieavanc</w:t>
      </w:r>
      <w:r w:rsidR="00B552AD">
        <w:rPr>
          <w:iCs/>
          <w:color w:val="000000"/>
          <w:lang w:val="da-DK"/>
        </w:rPr>
        <w:t>e</w:t>
      </w:r>
      <w:r w:rsidR="00B552AD">
        <w:rPr>
          <w:iCs/>
          <w:color w:val="000000"/>
          <w:lang w:val="da-DK"/>
        </w:rPr>
        <w:t xml:space="preserve">beskatningslovens § 4 C </w:t>
      </w:r>
      <w:r>
        <w:rPr>
          <w:iCs/>
          <w:color w:val="000000"/>
          <w:lang w:val="da-DK"/>
        </w:rPr>
        <w:t>indebærer</w:t>
      </w:r>
      <w:r w:rsidR="00693AF7" w:rsidRPr="00693AF7">
        <w:rPr>
          <w:iCs/>
          <w:color w:val="000000"/>
          <w:lang w:val="da-DK"/>
        </w:rPr>
        <w:t>, at avancer på unoterede porteføljeaktier er skattefri, og udbytter på unoterede porteføljeaktier er skattepligtige.</w:t>
      </w:r>
    </w:p>
    <w:p w:rsidR="00693AF7" w:rsidRPr="00693AF7" w:rsidRDefault="00693AF7" w:rsidP="00B46523">
      <w:pPr>
        <w:spacing w:line="288" w:lineRule="auto"/>
        <w:jc w:val="both"/>
        <w:rPr>
          <w:iCs/>
          <w:color w:val="000000"/>
          <w:lang w:val="da-DK"/>
        </w:rPr>
      </w:pPr>
    </w:p>
    <w:p w:rsidR="00693AF7" w:rsidRPr="00693AF7" w:rsidRDefault="00693AF7" w:rsidP="00B46523">
      <w:pPr>
        <w:spacing w:line="288" w:lineRule="auto"/>
        <w:jc w:val="both"/>
        <w:rPr>
          <w:iCs/>
          <w:color w:val="000000"/>
          <w:lang w:val="da-DK"/>
        </w:rPr>
      </w:pPr>
      <w:r w:rsidRPr="00693AF7">
        <w:rPr>
          <w:iCs/>
          <w:color w:val="000000"/>
          <w:lang w:val="da-DK"/>
        </w:rPr>
        <w:t>Danske selskaber, der er omfattet af selskabsskattelovens § 1, og udenlandske selskaber, der har et fast driftssted i Danmark, og hvor aktierne er tilknyttet det fast</w:t>
      </w:r>
      <w:r w:rsidR="00CE5E07">
        <w:rPr>
          <w:iCs/>
          <w:color w:val="000000"/>
          <w:lang w:val="da-DK"/>
        </w:rPr>
        <w:t>e</w:t>
      </w:r>
      <w:r w:rsidRPr="00693AF7">
        <w:rPr>
          <w:iCs/>
          <w:color w:val="000000"/>
          <w:lang w:val="da-DK"/>
        </w:rPr>
        <w:t xml:space="preserve"> driftssted, beskattes fuldt ud af u</w:t>
      </w:r>
      <w:r w:rsidRPr="00693AF7">
        <w:rPr>
          <w:iCs/>
          <w:color w:val="000000"/>
          <w:lang w:val="da-DK"/>
        </w:rPr>
        <w:t>d</w:t>
      </w:r>
      <w:r w:rsidRPr="00693AF7">
        <w:rPr>
          <w:iCs/>
          <w:color w:val="000000"/>
          <w:lang w:val="da-DK"/>
        </w:rPr>
        <w:t>bytter på unoterede porteføljeaktier. Dette medfører en beskatning med selskabsskattesatsen på 24,5 pct. for indkomståret 2014. Selskabsskattesatsen er nedsat til 23,5 pct. for indkomståret 2015 og 22 pct. for indkomståret 2016 og efterfølgende indkomstår. Fonde og foreninger omfattet af fondsb</w:t>
      </w:r>
      <w:r w:rsidRPr="00693AF7">
        <w:rPr>
          <w:iCs/>
          <w:color w:val="000000"/>
          <w:lang w:val="da-DK"/>
        </w:rPr>
        <w:t>e</w:t>
      </w:r>
      <w:r w:rsidRPr="00693AF7">
        <w:rPr>
          <w:iCs/>
          <w:color w:val="000000"/>
          <w:lang w:val="da-DK"/>
        </w:rPr>
        <w:t>skatningsloven beskattes på tilsvarende måde.</w:t>
      </w:r>
    </w:p>
    <w:p w:rsidR="00693AF7" w:rsidRPr="00693AF7" w:rsidRDefault="00693AF7" w:rsidP="00B46523">
      <w:pPr>
        <w:spacing w:line="288" w:lineRule="auto"/>
        <w:jc w:val="both"/>
        <w:rPr>
          <w:i/>
          <w:iCs/>
          <w:color w:val="000000"/>
          <w:lang w:val="da-DK"/>
        </w:rPr>
      </w:pPr>
    </w:p>
    <w:p w:rsidR="008F2B51" w:rsidRPr="00693AF7" w:rsidRDefault="00693AF7" w:rsidP="00B46523">
      <w:pPr>
        <w:spacing w:line="288" w:lineRule="auto"/>
        <w:jc w:val="both"/>
        <w:rPr>
          <w:iCs/>
          <w:color w:val="000000"/>
          <w:lang w:val="da-DK"/>
        </w:rPr>
      </w:pPr>
      <w:r w:rsidRPr="00693AF7">
        <w:rPr>
          <w:iCs/>
          <w:color w:val="000000"/>
          <w:lang w:val="da-DK"/>
        </w:rPr>
        <w:t>Kildebeskatningen af udenlandske selskaber, der beskattes af udbytter fra danske selskaber efter selskabsskattelovens § 2, stk. 1, litra c, er nedsat til 15 pct., når det udenlandske selskab ejer mindre end 10 pct. af aktiekapitalen i det danske selskab. Den nedsatte sats finder alene anvendelse, når der eksisterer en aftale om udveksling af skatteoplysninger mellem den fremmede stat, Grønland eller Færøerne, hvor selskabet er hjemmehørende, og Danmark.</w:t>
      </w:r>
    </w:p>
    <w:p w:rsidR="008F2B51" w:rsidRDefault="008F2B51" w:rsidP="00B46523">
      <w:pPr>
        <w:spacing w:line="288" w:lineRule="auto"/>
        <w:jc w:val="both"/>
        <w:rPr>
          <w:i/>
          <w:iCs/>
          <w:color w:val="000000"/>
          <w:lang w:val="da-DK"/>
        </w:rPr>
      </w:pPr>
    </w:p>
    <w:p w:rsidR="0036355D" w:rsidRPr="009F1907" w:rsidRDefault="0036355D" w:rsidP="00B46523">
      <w:pPr>
        <w:spacing w:line="288" w:lineRule="auto"/>
        <w:jc w:val="both"/>
        <w:rPr>
          <w:i/>
          <w:iCs/>
          <w:color w:val="000000"/>
          <w:lang w:val="da-DK"/>
        </w:rPr>
      </w:pPr>
      <w:r w:rsidRPr="009F1907">
        <w:rPr>
          <w:i/>
          <w:iCs/>
          <w:color w:val="000000"/>
          <w:lang w:val="da-DK"/>
        </w:rPr>
        <w:t>4. Lovforslaget</w:t>
      </w:r>
    </w:p>
    <w:p w:rsidR="00693AF7" w:rsidRPr="00693AF7" w:rsidRDefault="00693AF7" w:rsidP="00B46523">
      <w:pPr>
        <w:spacing w:line="288" w:lineRule="auto"/>
        <w:jc w:val="both"/>
        <w:rPr>
          <w:iCs/>
          <w:color w:val="000000"/>
          <w:lang w:val="da-DK"/>
        </w:rPr>
      </w:pPr>
      <w:r w:rsidRPr="00693AF7">
        <w:rPr>
          <w:iCs/>
          <w:color w:val="000000"/>
          <w:lang w:val="da-DK"/>
        </w:rPr>
        <w:t xml:space="preserve">Det foreslås, at danske selskaber og udenlandske selskabers faste driftssteder i Danmark alene skal medregne 70 pct. af udbytterne fra unoterede porteføljeaktier </w:t>
      </w:r>
      <w:r w:rsidR="00815826">
        <w:rPr>
          <w:iCs/>
          <w:color w:val="000000"/>
          <w:lang w:val="da-DK"/>
        </w:rPr>
        <w:t>ved opgørelse af</w:t>
      </w:r>
      <w:r w:rsidRPr="00693AF7">
        <w:rPr>
          <w:iCs/>
          <w:color w:val="000000"/>
          <w:lang w:val="da-DK"/>
        </w:rPr>
        <w:t xml:space="preserve"> den skattepligtige indkomst. </w:t>
      </w:r>
      <w:r w:rsidR="00BF6820">
        <w:rPr>
          <w:iCs/>
          <w:color w:val="000000"/>
          <w:lang w:val="da-DK"/>
        </w:rPr>
        <w:t>N</w:t>
      </w:r>
      <w:r w:rsidRPr="00693AF7">
        <w:rPr>
          <w:iCs/>
          <w:color w:val="000000"/>
          <w:lang w:val="da-DK"/>
        </w:rPr>
        <w:t xml:space="preserve">edsættelsen af beskatningen af udbytter fra unoterede porteføljeaktier </w:t>
      </w:r>
      <w:r w:rsidR="00BF6820">
        <w:rPr>
          <w:iCs/>
          <w:color w:val="000000"/>
          <w:lang w:val="da-DK"/>
        </w:rPr>
        <w:t xml:space="preserve">foreslås at </w:t>
      </w:r>
      <w:r w:rsidRPr="00693AF7">
        <w:rPr>
          <w:iCs/>
          <w:color w:val="000000"/>
          <w:lang w:val="da-DK"/>
        </w:rPr>
        <w:t>finde tilsvarende anvendelse på beskatningen af fonde og foreninger omfattet af fondsbeskatningsloven.</w:t>
      </w:r>
      <w:r w:rsidR="00FC4C55">
        <w:rPr>
          <w:iCs/>
          <w:color w:val="000000"/>
          <w:lang w:val="da-DK"/>
        </w:rPr>
        <w:t xml:space="preserve"> </w:t>
      </w:r>
      <w:r w:rsidRPr="00693AF7">
        <w:rPr>
          <w:iCs/>
          <w:color w:val="000000"/>
          <w:lang w:val="da-DK"/>
        </w:rPr>
        <w:t>Nedsættelsen af udbyttebeskatningen sikrer, at beskatningen af danske investorer (</w:t>
      </w:r>
      <w:r w:rsidR="002B07E1">
        <w:rPr>
          <w:iCs/>
          <w:color w:val="000000"/>
          <w:lang w:val="da-DK"/>
        </w:rPr>
        <w:t>stort set</w:t>
      </w:r>
      <w:r w:rsidRPr="00693AF7">
        <w:rPr>
          <w:iCs/>
          <w:color w:val="000000"/>
          <w:lang w:val="da-DK"/>
        </w:rPr>
        <w:t xml:space="preserve">) </w:t>
      </w:r>
      <w:r w:rsidR="002B07E1">
        <w:rPr>
          <w:iCs/>
          <w:color w:val="000000"/>
          <w:lang w:val="da-DK"/>
        </w:rPr>
        <w:t>svarer til</w:t>
      </w:r>
      <w:r w:rsidRPr="00693AF7">
        <w:rPr>
          <w:iCs/>
          <w:color w:val="000000"/>
          <w:lang w:val="da-DK"/>
        </w:rPr>
        <w:t xml:space="preserve"> den danske </w:t>
      </w:r>
      <w:r w:rsidR="002B07E1">
        <w:rPr>
          <w:iCs/>
          <w:color w:val="000000"/>
          <w:lang w:val="da-DK"/>
        </w:rPr>
        <w:t>kilde</w:t>
      </w:r>
      <w:r w:rsidRPr="00693AF7">
        <w:rPr>
          <w:iCs/>
          <w:color w:val="000000"/>
          <w:lang w:val="da-DK"/>
        </w:rPr>
        <w:t xml:space="preserve">beskatning </w:t>
      </w:r>
      <w:r w:rsidR="002B07E1">
        <w:rPr>
          <w:iCs/>
          <w:color w:val="000000"/>
          <w:lang w:val="da-DK"/>
        </w:rPr>
        <w:t>på</w:t>
      </w:r>
      <w:r w:rsidRPr="00693AF7">
        <w:rPr>
          <w:iCs/>
          <w:color w:val="000000"/>
          <w:lang w:val="da-DK"/>
        </w:rPr>
        <w:t xml:space="preserve"> udenlandske investorer</w:t>
      </w:r>
      <w:r w:rsidR="002B07E1">
        <w:rPr>
          <w:iCs/>
          <w:color w:val="000000"/>
          <w:lang w:val="da-DK"/>
        </w:rPr>
        <w:t>s udbytter fra</w:t>
      </w:r>
      <w:r w:rsidRPr="00693AF7">
        <w:rPr>
          <w:iCs/>
          <w:color w:val="000000"/>
          <w:lang w:val="da-DK"/>
        </w:rPr>
        <w:t xml:space="preserve"> danske unoterede portefølj</w:t>
      </w:r>
      <w:r w:rsidRPr="00693AF7">
        <w:rPr>
          <w:iCs/>
          <w:color w:val="000000"/>
          <w:lang w:val="da-DK"/>
        </w:rPr>
        <w:t>e</w:t>
      </w:r>
      <w:r w:rsidRPr="00693AF7">
        <w:rPr>
          <w:iCs/>
          <w:color w:val="000000"/>
          <w:lang w:val="da-DK"/>
        </w:rPr>
        <w:t xml:space="preserve">aktier. </w:t>
      </w:r>
    </w:p>
    <w:p w:rsidR="00693AF7" w:rsidRPr="00693AF7" w:rsidRDefault="00693AF7" w:rsidP="00693AF7">
      <w:pPr>
        <w:spacing w:line="288" w:lineRule="auto"/>
        <w:rPr>
          <w:iCs/>
          <w:color w:val="000000"/>
          <w:lang w:val="da-DK"/>
        </w:rPr>
      </w:pPr>
    </w:p>
    <w:p w:rsidR="00693AF7" w:rsidRPr="00693AF7" w:rsidRDefault="00693AF7" w:rsidP="00B46523">
      <w:pPr>
        <w:spacing w:line="288" w:lineRule="auto"/>
        <w:jc w:val="both"/>
        <w:rPr>
          <w:iCs/>
          <w:color w:val="000000"/>
          <w:lang w:val="da-DK"/>
        </w:rPr>
      </w:pPr>
      <w:r w:rsidRPr="00693AF7">
        <w:rPr>
          <w:iCs/>
          <w:color w:val="000000"/>
          <w:lang w:val="da-DK"/>
        </w:rPr>
        <w:t>Det foreslås, at de omfattede unoterede porteføljeaktier afgrænses på samme måde som i aktieava</w:t>
      </w:r>
      <w:r w:rsidRPr="00693AF7">
        <w:rPr>
          <w:iCs/>
          <w:color w:val="000000"/>
          <w:lang w:val="da-DK"/>
        </w:rPr>
        <w:t>n</w:t>
      </w:r>
      <w:r w:rsidRPr="00693AF7">
        <w:rPr>
          <w:iCs/>
          <w:color w:val="000000"/>
          <w:lang w:val="da-DK"/>
        </w:rPr>
        <w:t xml:space="preserve">cebeskatningslovens § 4 C, som indeholder definitionen af de porteføljeaktier, der er fritaget fra beskatning af avancer, og hvor tab ikke er fradragsberettigede. Definitionen omfatter aktier, der ikke er optaget til handel på et reguleret marked eller </w:t>
      </w:r>
      <w:r w:rsidR="000C14B3">
        <w:rPr>
          <w:iCs/>
          <w:color w:val="000000"/>
          <w:lang w:val="da-DK"/>
        </w:rPr>
        <w:t xml:space="preserve">en </w:t>
      </w:r>
      <w:r w:rsidRPr="00693AF7">
        <w:rPr>
          <w:iCs/>
          <w:color w:val="000000"/>
          <w:lang w:val="da-DK"/>
        </w:rPr>
        <w:t>multilateral handelsfacilitet, og som ejes af et selskab m</w:t>
      </w:r>
      <w:r w:rsidR="00815826">
        <w:rPr>
          <w:iCs/>
          <w:color w:val="000000"/>
          <w:lang w:val="da-DK"/>
        </w:rPr>
        <w:t>.</w:t>
      </w:r>
      <w:r w:rsidRPr="00693AF7">
        <w:rPr>
          <w:iCs/>
          <w:color w:val="000000"/>
          <w:lang w:val="da-DK"/>
        </w:rPr>
        <w:t>v., der ejer mindre end 10 pct. af aktiekapitalen i porteføljeselskabet. Porteføljeaktier ejet af livsforsikringsselskaber er dog ikke omfattet. Porteføljeselskabet skal være et aktie- eller anpartsselskab, som er skattepligtigt efter selskabsskattelovens § 1, stk. 1, nr. 1, eller et tilsvarende udenlandsk selskab. Aktier i selskaber, der besidder en stor beholdning af noterede aktier målt i forhold til egenkapitalen, er undtaget fra bestemmelsen.</w:t>
      </w:r>
    </w:p>
    <w:p w:rsidR="00693AF7" w:rsidRPr="00693AF7" w:rsidRDefault="00693AF7" w:rsidP="00B46523">
      <w:pPr>
        <w:spacing w:line="288" w:lineRule="auto"/>
        <w:jc w:val="both"/>
        <w:rPr>
          <w:iCs/>
          <w:color w:val="000000"/>
          <w:lang w:val="da-DK"/>
        </w:rPr>
      </w:pPr>
      <w:r w:rsidRPr="00693AF7">
        <w:rPr>
          <w:iCs/>
          <w:color w:val="000000"/>
          <w:lang w:val="da-DK"/>
        </w:rPr>
        <w:lastRenderedPageBreak/>
        <w:t>Konvertible obligationer og tegningsretter til konvertible obligationer er ikke omfattet af definiti</w:t>
      </w:r>
      <w:r w:rsidRPr="00693AF7">
        <w:rPr>
          <w:iCs/>
          <w:color w:val="000000"/>
          <w:lang w:val="da-DK"/>
        </w:rPr>
        <w:t>o</w:t>
      </w:r>
      <w:r w:rsidRPr="00693AF7">
        <w:rPr>
          <w:iCs/>
          <w:color w:val="000000"/>
          <w:lang w:val="da-DK"/>
        </w:rPr>
        <w:t xml:space="preserve">nen på porteføljeaktier omfattet af aktieavancebeskatningslovens § 4 C. Datterselskabsaktier og koncernselskabsaktier er også udtrykkeligt undtaget fra definitionen. </w:t>
      </w:r>
    </w:p>
    <w:p w:rsidR="00FC4C55" w:rsidRDefault="00FC4C55" w:rsidP="00FC4C55">
      <w:pPr>
        <w:spacing w:line="288" w:lineRule="auto"/>
        <w:jc w:val="both"/>
        <w:rPr>
          <w:iCs/>
          <w:color w:val="000000"/>
          <w:lang w:val="da-DK"/>
        </w:rPr>
      </w:pPr>
    </w:p>
    <w:p w:rsidR="00FC4C55" w:rsidRPr="00693AF7" w:rsidRDefault="00FC4C55" w:rsidP="00FC4C55">
      <w:pPr>
        <w:spacing w:line="288" w:lineRule="auto"/>
        <w:jc w:val="both"/>
        <w:rPr>
          <w:iCs/>
          <w:color w:val="000000"/>
          <w:lang w:val="da-DK"/>
        </w:rPr>
      </w:pPr>
      <w:r w:rsidRPr="00693AF7">
        <w:rPr>
          <w:iCs/>
          <w:color w:val="000000"/>
          <w:lang w:val="da-DK"/>
        </w:rPr>
        <w:t xml:space="preserve">Det foreslås, at nedsættelsen skal have virkning for udbytter, der </w:t>
      </w:r>
      <w:r w:rsidR="009B01AB">
        <w:rPr>
          <w:iCs/>
          <w:color w:val="000000"/>
          <w:lang w:val="da-DK"/>
        </w:rPr>
        <w:t xml:space="preserve">vedtages eller besluttes </w:t>
      </w:r>
      <w:r w:rsidRPr="00693AF7">
        <w:rPr>
          <w:iCs/>
          <w:color w:val="000000"/>
          <w:lang w:val="da-DK"/>
        </w:rPr>
        <w:t>udlodde</w:t>
      </w:r>
      <w:r w:rsidR="009B01AB">
        <w:rPr>
          <w:iCs/>
          <w:color w:val="000000"/>
          <w:lang w:val="da-DK"/>
        </w:rPr>
        <w:t>t</w:t>
      </w:r>
      <w:r w:rsidRPr="00693AF7">
        <w:rPr>
          <w:iCs/>
          <w:color w:val="000000"/>
          <w:lang w:val="da-DK"/>
        </w:rPr>
        <w:t xml:space="preserve"> den 1. januar 2015 eller senere. </w:t>
      </w:r>
    </w:p>
    <w:p w:rsidR="00693AF7" w:rsidRPr="00693AF7" w:rsidRDefault="00693AF7" w:rsidP="00B46523">
      <w:pPr>
        <w:spacing w:line="288" w:lineRule="auto"/>
        <w:jc w:val="both"/>
        <w:rPr>
          <w:iCs/>
          <w:color w:val="000000"/>
          <w:lang w:val="da-DK"/>
        </w:rPr>
      </w:pPr>
    </w:p>
    <w:p w:rsidR="0036355D" w:rsidRPr="009F1907" w:rsidRDefault="0036355D" w:rsidP="0036355D">
      <w:pPr>
        <w:spacing w:line="288" w:lineRule="auto"/>
        <w:rPr>
          <w:i/>
          <w:iCs/>
          <w:color w:val="000000"/>
          <w:spacing w:val="-5"/>
          <w:lang w:val="da-DK"/>
        </w:rPr>
      </w:pPr>
      <w:r w:rsidRPr="009F1907">
        <w:rPr>
          <w:i/>
          <w:iCs/>
          <w:color w:val="000000"/>
          <w:lang w:val="da-DK"/>
        </w:rPr>
        <w:t xml:space="preserve">5. </w:t>
      </w:r>
      <w:r w:rsidRPr="009F1907">
        <w:rPr>
          <w:i/>
          <w:iCs/>
          <w:color w:val="000000"/>
          <w:spacing w:val="-5"/>
          <w:lang w:val="da-DK"/>
        </w:rPr>
        <w:t xml:space="preserve">Økonomiske konsekvenser for det offentlige </w:t>
      </w:r>
    </w:p>
    <w:p w:rsidR="00B506CF" w:rsidRPr="00256B71" w:rsidRDefault="00B506CF" w:rsidP="00B506CF">
      <w:pPr>
        <w:spacing w:line="288" w:lineRule="auto"/>
        <w:jc w:val="both"/>
        <w:rPr>
          <w:iCs/>
          <w:color w:val="000000"/>
          <w:lang w:val="da-DK"/>
        </w:rPr>
      </w:pPr>
      <w:r w:rsidRPr="00256B71">
        <w:rPr>
          <w:iCs/>
          <w:color w:val="000000"/>
          <w:lang w:val="da-DK"/>
        </w:rPr>
        <w:t>Det kan med endog meget stor usikkerhed anslås, at det årlige selskabsskatteprovenu, som kan he</w:t>
      </w:r>
      <w:r w:rsidRPr="00256B71">
        <w:rPr>
          <w:iCs/>
          <w:color w:val="000000"/>
          <w:lang w:val="da-DK"/>
        </w:rPr>
        <w:t>n</w:t>
      </w:r>
      <w:r w:rsidRPr="00256B71">
        <w:rPr>
          <w:iCs/>
          <w:color w:val="000000"/>
          <w:lang w:val="da-DK"/>
        </w:rPr>
        <w:t>føres til beskatningen af selskabers beholdning af unoterede porteføljeaktier, andrager et beløb i størrelsesordenen 275 mio. kr. med en selskabsskattesats på 25 pct. Korrigeres der for nedsættelsen af selskabsskattesatsen</w:t>
      </w:r>
      <w:r>
        <w:rPr>
          <w:iCs/>
          <w:color w:val="000000"/>
          <w:lang w:val="da-DK"/>
        </w:rPr>
        <w:t>,</w:t>
      </w:r>
      <w:r w:rsidRPr="00256B71">
        <w:rPr>
          <w:iCs/>
          <w:color w:val="000000"/>
          <w:lang w:val="da-DK"/>
        </w:rPr>
        <w:t xml:space="preserve"> skønnes det for</w:t>
      </w:r>
      <w:r>
        <w:rPr>
          <w:iCs/>
          <w:color w:val="000000"/>
          <w:lang w:val="da-DK"/>
        </w:rPr>
        <w:t>e</w:t>
      </w:r>
      <w:r w:rsidRPr="00256B71">
        <w:rPr>
          <w:iCs/>
          <w:color w:val="000000"/>
          <w:lang w:val="da-DK"/>
        </w:rPr>
        <w:t xml:space="preserve">slåede nedslag på 30 pct. at indebære et umiddelbart </w:t>
      </w:r>
      <w:proofErr w:type="spellStart"/>
      <w:r w:rsidRPr="00256B71">
        <w:rPr>
          <w:iCs/>
          <w:color w:val="000000"/>
          <w:lang w:val="da-DK"/>
        </w:rPr>
        <w:t>mi</w:t>
      </w:r>
      <w:r w:rsidRPr="00256B71">
        <w:rPr>
          <w:iCs/>
          <w:color w:val="000000"/>
          <w:lang w:val="da-DK"/>
        </w:rPr>
        <w:t>n</w:t>
      </w:r>
      <w:r w:rsidRPr="00256B71">
        <w:rPr>
          <w:iCs/>
          <w:color w:val="000000"/>
          <w:lang w:val="da-DK"/>
        </w:rPr>
        <w:t>dreprovenu</w:t>
      </w:r>
      <w:proofErr w:type="spellEnd"/>
      <w:r w:rsidRPr="00256B71">
        <w:rPr>
          <w:iCs/>
          <w:color w:val="000000"/>
          <w:lang w:val="da-DK"/>
        </w:rPr>
        <w:t xml:space="preserve"> på ca. 75 mio. kr. årligt fra og med 2015, </w:t>
      </w:r>
      <w:r w:rsidRPr="00256B71">
        <w:rPr>
          <w:i/>
          <w:iCs/>
          <w:color w:val="000000"/>
          <w:lang w:val="da-DK"/>
        </w:rPr>
        <w:t>jf. tabel 1.</w:t>
      </w:r>
      <w:r>
        <w:rPr>
          <w:i/>
          <w:iCs/>
          <w:color w:val="000000"/>
          <w:lang w:val="da-DK"/>
        </w:rPr>
        <w:t xml:space="preserve">, </w:t>
      </w:r>
      <w:r w:rsidRPr="00EA60B4">
        <w:rPr>
          <w:iCs/>
          <w:color w:val="000000"/>
          <w:lang w:val="da-DK"/>
        </w:rPr>
        <w:t>hvor</w:t>
      </w:r>
      <w:r>
        <w:rPr>
          <w:iCs/>
          <w:color w:val="000000"/>
          <w:lang w:val="da-DK"/>
        </w:rPr>
        <w:t>a</w:t>
      </w:r>
      <w:r w:rsidRPr="00EA60B4">
        <w:rPr>
          <w:iCs/>
          <w:color w:val="000000"/>
          <w:lang w:val="da-DK"/>
        </w:rPr>
        <w:t>f</w:t>
      </w:r>
      <w:r>
        <w:rPr>
          <w:iCs/>
          <w:color w:val="000000"/>
          <w:lang w:val="da-DK"/>
        </w:rPr>
        <w:t xml:space="preserve"> ca. 10 mio. kr. årligt vedr</w:t>
      </w:r>
      <w:r>
        <w:rPr>
          <w:iCs/>
          <w:color w:val="000000"/>
          <w:lang w:val="da-DK"/>
        </w:rPr>
        <w:t>ø</w:t>
      </w:r>
      <w:r>
        <w:rPr>
          <w:iCs/>
          <w:color w:val="000000"/>
          <w:lang w:val="da-DK"/>
        </w:rPr>
        <w:t xml:space="preserve">rer kommunerne. </w:t>
      </w:r>
      <w:r w:rsidRPr="00256B71">
        <w:rPr>
          <w:iCs/>
          <w:color w:val="000000"/>
          <w:lang w:val="da-DK"/>
        </w:rPr>
        <w:t xml:space="preserve">Efter tilbageløb skønnes forslaget at medføre et </w:t>
      </w:r>
      <w:proofErr w:type="spellStart"/>
      <w:r w:rsidRPr="00256B71">
        <w:rPr>
          <w:iCs/>
          <w:color w:val="000000"/>
          <w:lang w:val="da-DK"/>
        </w:rPr>
        <w:t>mindreprovenu</w:t>
      </w:r>
      <w:proofErr w:type="spellEnd"/>
      <w:r w:rsidRPr="00256B71">
        <w:rPr>
          <w:iCs/>
          <w:color w:val="000000"/>
          <w:lang w:val="da-DK"/>
        </w:rPr>
        <w:t xml:space="preserve"> på ca. 50 mio. kr. årligt. </w:t>
      </w:r>
    </w:p>
    <w:p w:rsidR="00B506CF" w:rsidRPr="00256B71" w:rsidRDefault="00B506CF" w:rsidP="00B506CF">
      <w:pPr>
        <w:spacing w:line="288" w:lineRule="auto"/>
        <w:jc w:val="both"/>
        <w:rPr>
          <w:iCs/>
          <w:color w:val="000000"/>
          <w:lang w:val="da-DK"/>
        </w:rPr>
      </w:pPr>
    </w:p>
    <w:tbl>
      <w:tblPr>
        <w:tblW w:w="5000" w:type="pct"/>
        <w:tblBorders>
          <w:top w:val="single" w:sz="4" w:space="0" w:color="auto"/>
          <w:bottom w:val="single" w:sz="4" w:space="0" w:color="auto"/>
          <w:insideH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11"/>
        <w:gridCol w:w="691"/>
        <w:gridCol w:w="691"/>
        <w:gridCol w:w="691"/>
        <w:gridCol w:w="691"/>
        <w:gridCol w:w="691"/>
        <w:gridCol w:w="691"/>
        <w:gridCol w:w="1037"/>
      </w:tblGrid>
      <w:tr w:rsidR="00B506CF" w:rsidRPr="00F309C6" w:rsidTr="00D81BCB">
        <w:tc>
          <w:tcPr>
            <w:tcW w:w="9694" w:type="dxa"/>
            <w:gridSpan w:val="8"/>
            <w:tcBorders>
              <w:top w:val="single" w:sz="12" w:space="0" w:color="auto"/>
              <w:bottom w:val="single" w:sz="12" w:space="0" w:color="auto"/>
            </w:tcBorders>
            <w:shd w:val="clear" w:color="auto" w:fill="auto"/>
          </w:tcPr>
          <w:p w:rsidR="00B506CF" w:rsidRPr="00256B71" w:rsidRDefault="00B506CF" w:rsidP="00D81BCB">
            <w:pPr>
              <w:spacing w:line="288" w:lineRule="auto"/>
              <w:jc w:val="both"/>
              <w:rPr>
                <w:b/>
                <w:bCs/>
                <w:iCs/>
                <w:color w:val="000000"/>
                <w:lang w:val="da-DK"/>
              </w:rPr>
            </w:pPr>
            <w:r w:rsidRPr="00256B71">
              <w:rPr>
                <w:b/>
                <w:bCs/>
                <w:iCs/>
                <w:color w:val="000000"/>
                <w:lang w:val="da-DK"/>
              </w:rPr>
              <w:t xml:space="preserve">Tabel </w:t>
            </w:r>
            <w:r w:rsidRPr="00256B71">
              <w:rPr>
                <w:b/>
                <w:bCs/>
                <w:iCs/>
                <w:color w:val="000000"/>
                <w:lang w:val="da-DK"/>
              </w:rPr>
              <w:fldChar w:fldCharType="begin"/>
            </w:r>
            <w:r w:rsidRPr="00256B71">
              <w:rPr>
                <w:b/>
                <w:bCs/>
                <w:iCs/>
                <w:color w:val="000000"/>
                <w:lang w:val="da-DK"/>
              </w:rPr>
              <w:instrText xml:space="preserve"> SEQ Tabel \* ARABIC </w:instrText>
            </w:r>
            <w:r w:rsidRPr="00256B71">
              <w:rPr>
                <w:b/>
                <w:bCs/>
                <w:iCs/>
                <w:color w:val="000000"/>
                <w:lang w:val="da-DK"/>
              </w:rPr>
              <w:fldChar w:fldCharType="separate"/>
            </w:r>
            <w:r w:rsidR="00901793">
              <w:rPr>
                <w:b/>
                <w:bCs/>
                <w:iCs/>
                <w:noProof/>
                <w:color w:val="000000"/>
                <w:lang w:val="da-DK"/>
              </w:rPr>
              <w:t>1</w:t>
            </w:r>
            <w:r w:rsidRPr="00256B71">
              <w:rPr>
                <w:iCs/>
                <w:color w:val="000000"/>
                <w:lang w:val="da-DK"/>
              </w:rPr>
              <w:fldChar w:fldCharType="end"/>
            </w:r>
            <w:r w:rsidRPr="00256B71">
              <w:rPr>
                <w:b/>
                <w:bCs/>
                <w:iCs/>
                <w:color w:val="000000"/>
                <w:lang w:val="da-DK"/>
              </w:rPr>
              <w:t>. Provenuvirkning af et nedslag på 30 pct. i beskatningen af udbytte fra selska</w:t>
            </w:r>
            <w:r>
              <w:rPr>
                <w:b/>
                <w:bCs/>
                <w:iCs/>
                <w:color w:val="000000"/>
                <w:lang w:val="da-DK"/>
              </w:rPr>
              <w:t>bers unoterede porteføljeaktier</w:t>
            </w:r>
          </w:p>
        </w:tc>
      </w:tr>
      <w:tr w:rsidR="00B506CF" w:rsidRPr="00256B71" w:rsidTr="00D81BCB">
        <w:tc>
          <w:tcPr>
            <w:tcW w:w="4511" w:type="dxa"/>
            <w:tcBorders>
              <w:top w:val="single" w:sz="12" w:space="0" w:color="auto"/>
              <w:bottom w:val="single" w:sz="4" w:space="0" w:color="auto"/>
              <w:right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Mio. kr. (2014-niveau)</w:t>
            </w:r>
          </w:p>
        </w:tc>
        <w:tc>
          <w:tcPr>
            <w:tcW w:w="691" w:type="dxa"/>
            <w:tcBorders>
              <w:top w:val="single" w:sz="12" w:space="0" w:color="auto"/>
              <w:left w:val="single" w:sz="4" w:space="0" w:color="auto"/>
              <w:bottom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2015</w:t>
            </w:r>
          </w:p>
        </w:tc>
        <w:tc>
          <w:tcPr>
            <w:tcW w:w="691" w:type="dxa"/>
            <w:tcBorders>
              <w:top w:val="single" w:sz="12" w:space="0" w:color="auto"/>
              <w:bottom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2016</w:t>
            </w:r>
          </w:p>
        </w:tc>
        <w:tc>
          <w:tcPr>
            <w:tcW w:w="691" w:type="dxa"/>
            <w:tcBorders>
              <w:top w:val="single" w:sz="12" w:space="0" w:color="auto"/>
              <w:bottom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2017</w:t>
            </w:r>
          </w:p>
        </w:tc>
        <w:tc>
          <w:tcPr>
            <w:tcW w:w="691" w:type="dxa"/>
            <w:tcBorders>
              <w:top w:val="single" w:sz="12" w:space="0" w:color="auto"/>
              <w:bottom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2018</w:t>
            </w:r>
          </w:p>
        </w:tc>
        <w:tc>
          <w:tcPr>
            <w:tcW w:w="691" w:type="dxa"/>
            <w:tcBorders>
              <w:top w:val="single" w:sz="12" w:space="0" w:color="auto"/>
              <w:bottom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2019</w:t>
            </w:r>
          </w:p>
        </w:tc>
        <w:tc>
          <w:tcPr>
            <w:tcW w:w="691" w:type="dxa"/>
            <w:tcBorders>
              <w:top w:val="single" w:sz="12" w:space="0" w:color="auto"/>
              <w:bottom w:val="single" w:sz="4" w:space="0" w:color="auto"/>
              <w:right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2020</w:t>
            </w:r>
          </w:p>
        </w:tc>
        <w:tc>
          <w:tcPr>
            <w:tcW w:w="1037" w:type="dxa"/>
            <w:tcBorders>
              <w:top w:val="single" w:sz="12" w:space="0" w:color="auto"/>
              <w:left w:val="single" w:sz="4" w:space="0" w:color="auto"/>
              <w:bottom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Varig virkning</w:t>
            </w:r>
          </w:p>
        </w:tc>
      </w:tr>
      <w:tr w:rsidR="00B506CF" w:rsidRPr="00256B71" w:rsidTr="00D81BCB">
        <w:tc>
          <w:tcPr>
            <w:tcW w:w="4511" w:type="dxa"/>
            <w:tcBorders>
              <w:bottom w:val="nil"/>
              <w:right w:val="single" w:sz="4" w:space="0" w:color="auto"/>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Umiddelbar provenuvirkning</w:t>
            </w:r>
          </w:p>
        </w:tc>
        <w:tc>
          <w:tcPr>
            <w:tcW w:w="691" w:type="dxa"/>
            <w:tcBorders>
              <w:left w:val="single" w:sz="4" w:space="0" w:color="auto"/>
              <w:bottom w:val="nil"/>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c>
          <w:tcPr>
            <w:tcW w:w="691" w:type="dxa"/>
            <w:tcBorders>
              <w:bottom w:val="nil"/>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c>
          <w:tcPr>
            <w:tcW w:w="691" w:type="dxa"/>
            <w:tcBorders>
              <w:bottom w:val="nil"/>
              <w:right w:val="single" w:sz="4" w:space="0" w:color="auto"/>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c>
          <w:tcPr>
            <w:tcW w:w="1037" w:type="dxa"/>
            <w:tcBorders>
              <w:left w:val="single" w:sz="4" w:space="0" w:color="auto"/>
              <w:bottom w:val="nil"/>
            </w:tcBorders>
            <w:shd w:val="clear" w:color="auto" w:fill="auto"/>
            <w:vAlign w:val="bottom"/>
          </w:tcPr>
          <w:p w:rsidR="00B506CF" w:rsidRPr="00256B71" w:rsidRDefault="00B506CF" w:rsidP="00D81BCB">
            <w:pPr>
              <w:spacing w:line="288" w:lineRule="auto"/>
              <w:jc w:val="both"/>
              <w:rPr>
                <w:iCs/>
                <w:color w:val="000000"/>
                <w:lang w:val="da-DK"/>
              </w:rPr>
            </w:pPr>
            <w:r w:rsidRPr="00256B71">
              <w:rPr>
                <w:iCs/>
                <w:color w:val="000000"/>
                <w:lang w:val="da-DK"/>
              </w:rPr>
              <w:t>-75</w:t>
            </w:r>
          </w:p>
        </w:tc>
      </w:tr>
      <w:tr w:rsidR="00B506CF" w:rsidRPr="00256B71" w:rsidTr="00D81BCB">
        <w:tc>
          <w:tcPr>
            <w:tcW w:w="4511" w:type="dxa"/>
            <w:tcBorders>
              <w:top w:val="nil"/>
              <w:bottom w:val="nil"/>
              <w:right w:val="single" w:sz="4" w:space="0" w:color="auto"/>
            </w:tcBorders>
            <w:shd w:val="clear" w:color="auto" w:fill="auto"/>
            <w:vAlign w:val="center"/>
          </w:tcPr>
          <w:p w:rsidR="00B506CF" w:rsidRPr="00256B71" w:rsidRDefault="00B506CF" w:rsidP="00D81BCB">
            <w:pPr>
              <w:spacing w:line="288" w:lineRule="auto"/>
              <w:jc w:val="both"/>
              <w:rPr>
                <w:i/>
                <w:iCs/>
                <w:color w:val="000000"/>
                <w:lang w:val="da-DK"/>
              </w:rPr>
            </w:pPr>
            <w:r w:rsidRPr="00256B71">
              <w:rPr>
                <w:i/>
                <w:iCs/>
                <w:color w:val="000000"/>
                <w:lang w:val="da-DK"/>
              </w:rPr>
              <w:t xml:space="preserve">   - heraf virkning for kommunerne</w:t>
            </w:r>
          </w:p>
        </w:tc>
        <w:tc>
          <w:tcPr>
            <w:tcW w:w="691" w:type="dxa"/>
            <w:tcBorders>
              <w:top w:val="nil"/>
              <w:left w:val="single" w:sz="4" w:space="0" w:color="auto"/>
              <w:bottom w:val="nil"/>
            </w:tcBorders>
            <w:shd w:val="clear" w:color="auto" w:fill="auto"/>
            <w:vAlign w:val="bottom"/>
          </w:tcPr>
          <w:p w:rsidR="00B506CF" w:rsidRPr="00256B71" w:rsidRDefault="00B506CF" w:rsidP="00D81BCB">
            <w:pPr>
              <w:spacing w:line="288" w:lineRule="auto"/>
              <w:jc w:val="both"/>
              <w:rPr>
                <w:i/>
                <w:iCs/>
                <w:color w:val="000000"/>
                <w:lang w:val="da-DK"/>
              </w:rPr>
            </w:pPr>
            <w:r w:rsidRPr="00256B71">
              <w:rPr>
                <w:i/>
                <w:iCs/>
                <w:color w:val="000000"/>
                <w:lang w:val="da-DK"/>
              </w:rPr>
              <w:t>-10</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
                <w:iCs/>
                <w:color w:val="000000"/>
                <w:lang w:val="da-DK"/>
              </w:rPr>
            </w:pPr>
            <w:r w:rsidRPr="00256B71">
              <w:rPr>
                <w:i/>
                <w:iCs/>
                <w:color w:val="000000"/>
                <w:lang w:val="da-DK"/>
              </w:rPr>
              <w:t>-10</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
                <w:iCs/>
                <w:color w:val="000000"/>
                <w:lang w:val="da-DK"/>
              </w:rPr>
            </w:pPr>
            <w:r w:rsidRPr="00256B71">
              <w:rPr>
                <w:i/>
                <w:iCs/>
                <w:color w:val="000000"/>
                <w:lang w:val="da-DK"/>
              </w:rPr>
              <w:t>-10</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
                <w:iCs/>
                <w:color w:val="000000"/>
                <w:lang w:val="da-DK"/>
              </w:rPr>
            </w:pPr>
            <w:r w:rsidRPr="00256B71">
              <w:rPr>
                <w:i/>
                <w:iCs/>
                <w:color w:val="000000"/>
                <w:lang w:val="da-DK"/>
              </w:rPr>
              <w:t>-10</w:t>
            </w:r>
          </w:p>
        </w:tc>
        <w:tc>
          <w:tcPr>
            <w:tcW w:w="691" w:type="dxa"/>
            <w:tcBorders>
              <w:top w:val="nil"/>
              <w:bottom w:val="nil"/>
            </w:tcBorders>
            <w:shd w:val="clear" w:color="auto" w:fill="auto"/>
            <w:vAlign w:val="bottom"/>
          </w:tcPr>
          <w:p w:rsidR="00B506CF" w:rsidRPr="00256B71" w:rsidRDefault="00B506CF" w:rsidP="00D81BCB">
            <w:pPr>
              <w:spacing w:line="288" w:lineRule="auto"/>
              <w:jc w:val="both"/>
              <w:rPr>
                <w:i/>
                <w:iCs/>
                <w:color w:val="000000"/>
                <w:lang w:val="da-DK"/>
              </w:rPr>
            </w:pPr>
            <w:r w:rsidRPr="00256B71">
              <w:rPr>
                <w:i/>
                <w:iCs/>
                <w:color w:val="000000"/>
                <w:lang w:val="da-DK"/>
              </w:rPr>
              <w:t>-10</w:t>
            </w:r>
          </w:p>
        </w:tc>
        <w:tc>
          <w:tcPr>
            <w:tcW w:w="691" w:type="dxa"/>
            <w:tcBorders>
              <w:top w:val="nil"/>
              <w:bottom w:val="nil"/>
              <w:right w:val="single" w:sz="4" w:space="0" w:color="auto"/>
            </w:tcBorders>
            <w:shd w:val="clear" w:color="auto" w:fill="auto"/>
            <w:vAlign w:val="bottom"/>
          </w:tcPr>
          <w:p w:rsidR="00B506CF" w:rsidRPr="00256B71" w:rsidRDefault="00B506CF" w:rsidP="00D81BCB">
            <w:pPr>
              <w:spacing w:line="288" w:lineRule="auto"/>
              <w:jc w:val="both"/>
              <w:rPr>
                <w:i/>
                <w:iCs/>
                <w:color w:val="000000"/>
                <w:lang w:val="da-DK"/>
              </w:rPr>
            </w:pPr>
            <w:r w:rsidRPr="00256B71">
              <w:rPr>
                <w:i/>
                <w:iCs/>
                <w:color w:val="000000"/>
                <w:lang w:val="da-DK"/>
              </w:rPr>
              <w:t>-10</w:t>
            </w:r>
          </w:p>
        </w:tc>
        <w:tc>
          <w:tcPr>
            <w:tcW w:w="1037" w:type="dxa"/>
            <w:tcBorders>
              <w:top w:val="nil"/>
              <w:left w:val="single" w:sz="4" w:space="0" w:color="auto"/>
              <w:bottom w:val="nil"/>
            </w:tcBorders>
            <w:shd w:val="clear" w:color="auto" w:fill="auto"/>
            <w:vAlign w:val="bottom"/>
          </w:tcPr>
          <w:p w:rsidR="00B506CF" w:rsidRPr="00256B71" w:rsidRDefault="00B506CF" w:rsidP="00D81BCB">
            <w:pPr>
              <w:spacing w:line="288" w:lineRule="auto"/>
              <w:jc w:val="both"/>
              <w:rPr>
                <w:iCs/>
                <w:color w:val="000000"/>
                <w:lang w:val="da-DK"/>
              </w:rPr>
            </w:pPr>
          </w:p>
        </w:tc>
      </w:tr>
      <w:tr w:rsidR="00B506CF" w:rsidRPr="00256B71" w:rsidTr="00D81BCB">
        <w:tc>
          <w:tcPr>
            <w:tcW w:w="4511" w:type="dxa"/>
            <w:tcBorders>
              <w:top w:val="nil"/>
              <w:bottom w:val="nil"/>
              <w:right w:val="single" w:sz="4" w:space="0" w:color="auto"/>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Provenuvirkning efter tilbageløb</w:t>
            </w:r>
          </w:p>
        </w:tc>
        <w:tc>
          <w:tcPr>
            <w:tcW w:w="691" w:type="dxa"/>
            <w:tcBorders>
              <w:top w:val="nil"/>
              <w:left w:val="single" w:sz="4" w:space="0" w:color="auto"/>
              <w:bottom w:val="nil"/>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-50</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-50</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-50</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-50</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-50</w:t>
            </w:r>
          </w:p>
        </w:tc>
        <w:tc>
          <w:tcPr>
            <w:tcW w:w="691" w:type="dxa"/>
            <w:tcBorders>
              <w:top w:val="nil"/>
              <w:bottom w:val="nil"/>
              <w:right w:val="single" w:sz="4" w:space="0" w:color="auto"/>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-50</w:t>
            </w:r>
          </w:p>
        </w:tc>
        <w:tc>
          <w:tcPr>
            <w:tcW w:w="1037" w:type="dxa"/>
            <w:tcBorders>
              <w:top w:val="nil"/>
              <w:left w:val="single" w:sz="4" w:space="0" w:color="auto"/>
              <w:bottom w:val="nil"/>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50</w:t>
            </w:r>
          </w:p>
        </w:tc>
      </w:tr>
      <w:tr w:rsidR="00B506CF" w:rsidRPr="00256B71" w:rsidTr="00D81BCB">
        <w:tc>
          <w:tcPr>
            <w:tcW w:w="4511" w:type="dxa"/>
            <w:tcBorders>
              <w:top w:val="nil"/>
              <w:bottom w:val="single" w:sz="12" w:space="0" w:color="auto"/>
              <w:right w:val="single" w:sz="4" w:space="0" w:color="auto"/>
            </w:tcBorders>
            <w:shd w:val="clear" w:color="auto" w:fill="auto"/>
            <w:vAlign w:val="center"/>
          </w:tcPr>
          <w:p w:rsidR="00B506CF" w:rsidRPr="00256B71" w:rsidRDefault="00B506CF" w:rsidP="00D81BCB">
            <w:pPr>
              <w:spacing w:line="288" w:lineRule="auto"/>
              <w:jc w:val="both"/>
              <w:rPr>
                <w:iCs/>
                <w:color w:val="000000"/>
                <w:lang w:val="da-DK"/>
              </w:rPr>
            </w:pPr>
            <w:r w:rsidRPr="00256B71">
              <w:rPr>
                <w:iCs/>
                <w:color w:val="000000"/>
                <w:lang w:val="da-DK"/>
              </w:rPr>
              <w:t>Provenuvirkning efter tilbageløb og adfærd</w:t>
            </w:r>
          </w:p>
        </w:tc>
        <w:tc>
          <w:tcPr>
            <w:tcW w:w="691" w:type="dxa"/>
            <w:tcBorders>
              <w:top w:val="nil"/>
              <w:left w:val="single" w:sz="4" w:space="0" w:color="auto"/>
              <w:bottom w:val="single" w:sz="12" w:space="0" w:color="auto"/>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c>
          <w:tcPr>
            <w:tcW w:w="691" w:type="dxa"/>
            <w:tcBorders>
              <w:top w:val="nil"/>
              <w:bottom w:val="nil"/>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c>
          <w:tcPr>
            <w:tcW w:w="691" w:type="dxa"/>
            <w:tcBorders>
              <w:top w:val="nil"/>
              <w:bottom w:val="single" w:sz="12" w:space="0" w:color="auto"/>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c>
          <w:tcPr>
            <w:tcW w:w="691" w:type="dxa"/>
            <w:tcBorders>
              <w:top w:val="nil"/>
              <w:bottom w:val="single" w:sz="12" w:space="0" w:color="auto"/>
              <w:right w:val="single" w:sz="4" w:space="0" w:color="auto"/>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c>
          <w:tcPr>
            <w:tcW w:w="1037" w:type="dxa"/>
            <w:tcBorders>
              <w:top w:val="nil"/>
              <w:left w:val="single" w:sz="4" w:space="0" w:color="auto"/>
              <w:bottom w:val="single" w:sz="12" w:space="0" w:color="auto"/>
            </w:tcBorders>
            <w:shd w:val="clear" w:color="auto" w:fill="auto"/>
            <w:vAlign w:val="center"/>
          </w:tcPr>
          <w:p w:rsidR="00B506CF" w:rsidRPr="00256B71" w:rsidRDefault="00B506CF" w:rsidP="00D81BCB">
            <w:pPr>
              <w:spacing w:line="288" w:lineRule="auto"/>
              <w:jc w:val="both"/>
              <w:rPr>
                <w:iCs/>
                <w:color w:val="000000"/>
                <w:lang w:val="da-DK"/>
              </w:rPr>
            </w:pPr>
            <w:r>
              <w:rPr>
                <w:iCs/>
                <w:color w:val="000000"/>
                <w:lang w:val="da-DK"/>
              </w:rPr>
              <w:t>-</w:t>
            </w:r>
            <w:r w:rsidRPr="00256B71">
              <w:rPr>
                <w:iCs/>
                <w:color w:val="000000"/>
                <w:lang w:val="da-DK"/>
              </w:rPr>
              <w:t>45</w:t>
            </w:r>
          </w:p>
        </w:tc>
      </w:tr>
      <w:tr w:rsidR="00B506CF" w:rsidRPr="00F309C6" w:rsidTr="00D81BCB">
        <w:tc>
          <w:tcPr>
            <w:tcW w:w="9694" w:type="dxa"/>
            <w:gridSpan w:val="8"/>
            <w:tcBorders>
              <w:top w:val="single" w:sz="12" w:space="0" w:color="auto"/>
              <w:bottom w:val="nil"/>
            </w:tcBorders>
            <w:shd w:val="clear" w:color="auto" w:fill="auto"/>
            <w:vAlign w:val="center"/>
          </w:tcPr>
          <w:p w:rsidR="00B506CF" w:rsidRPr="00256B71" w:rsidRDefault="00B506CF" w:rsidP="00D81BCB">
            <w:pPr>
              <w:spacing w:line="288" w:lineRule="auto"/>
              <w:jc w:val="both"/>
              <w:rPr>
                <w:iCs/>
                <w:color w:val="000000"/>
                <w:lang w:val="da-DK"/>
              </w:rPr>
            </w:pPr>
            <w:proofErr w:type="spellStart"/>
            <w:r w:rsidRPr="00256B71">
              <w:rPr>
                <w:iCs/>
                <w:color w:val="000000"/>
                <w:lang w:val="da-DK"/>
              </w:rPr>
              <w:t>Anm</w:t>
            </w:r>
            <w:proofErr w:type="spellEnd"/>
            <w:r w:rsidRPr="00256B71">
              <w:rPr>
                <w:iCs/>
                <w:color w:val="000000"/>
                <w:lang w:val="da-DK"/>
              </w:rPr>
              <w:t>.: Der er forudsat en automatisk tilbageløbsprocent via øgede aktionærskatter m</w:t>
            </w:r>
            <w:r>
              <w:rPr>
                <w:iCs/>
                <w:color w:val="000000"/>
                <w:lang w:val="da-DK"/>
              </w:rPr>
              <w:t>.</w:t>
            </w:r>
            <w:r w:rsidRPr="00256B71">
              <w:rPr>
                <w:iCs/>
                <w:color w:val="000000"/>
                <w:lang w:val="da-DK"/>
              </w:rPr>
              <w:t>v. på ca. 35 pct.</w:t>
            </w:r>
          </w:p>
        </w:tc>
      </w:tr>
    </w:tbl>
    <w:p w:rsidR="00B506CF" w:rsidRPr="00256B71" w:rsidRDefault="00B506CF" w:rsidP="00B506CF">
      <w:pPr>
        <w:spacing w:line="288" w:lineRule="auto"/>
        <w:jc w:val="both"/>
        <w:rPr>
          <w:iCs/>
          <w:color w:val="000000"/>
          <w:lang w:val="da-DK"/>
        </w:rPr>
      </w:pPr>
    </w:p>
    <w:p w:rsidR="00B506CF" w:rsidRPr="00256B71" w:rsidRDefault="00B506CF" w:rsidP="00B506CF">
      <w:pPr>
        <w:spacing w:line="288" w:lineRule="auto"/>
        <w:jc w:val="both"/>
        <w:rPr>
          <w:iCs/>
          <w:color w:val="000000"/>
          <w:lang w:val="da-DK"/>
        </w:rPr>
      </w:pPr>
      <w:r w:rsidRPr="00256B71">
        <w:rPr>
          <w:iCs/>
          <w:color w:val="000000"/>
          <w:lang w:val="da-DK"/>
        </w:rPr>
        <w:t xml:space="preserve">Lempelsen af udbyttebeskatningen vil trække i retning af øgede investeringer som følge af lavere afkastkrav. De højere investeringer vil igen medføre øgede skatte- og afgiftsindtægter, hvilket skønnes at reducere </w:t>
      </w:r>
      <w:proofErr w:type="spellStart"/>
      <w:r w:rsidRPr="00256B71">
        <w:rPr>
          <w:iCs/>
          <w:color w:val="000000"/>
          <w:lang w:val="da-DK"/>
        </w:rPr>
        <w:t>mindreprovenuet</w:t>
      </w:r>
      <w:proofErr w:type="spellEnd"/>
      <w:r w:rsidRPr="00256B71">
        <w:rPr>
          <w:iCs/>
          <w:color w:val="000000"/>
          <w:lang w:val="da-DK"/>
        </w:rPr>
        <w:t xml:space="preserve"> til 45 mio. kr.</w:t>
      </w:r>
      <w:r>
        <w:rPr>
          <w:iCs/>
          <w:color w:val="000000"/>
          <w:lang w:val="da-DK"/>
        </w:rPr>
        <w:t xml:space="preserve"> efter tilbageløb og adfærd.</w:t>
      </w:r>
    </w:p>
    <w:p w:rsidR="00B506CF" w:rsidRPr="00256B71" w:rsidRDefault="00B506CF" w:rsidP="00B506CF">
      <w:pPr>
        <w:spacing w:line="288" w:lineRule="auto"/>
        <w:jc w:val="both"/>
        <w:rPr>
          <w:iCs/>
          <w:color w:val="000000"/>
          <w:lang w:val="da-DK"/>
        </w:rPr>
      </w:pPr>
    </w:p>
    <w:p w:rsidR="00B506CF" w:rsidRPr="00256B71" w:rsidRDefault="00B506CF" w:rsidP="00B506CF">
      <w:pPr>
        <w:spacing w:line="288" w:lineRule="auto"/>
        <w:jc w:val="both"/>
        <w:rPr>
          <w:iCs/>
          <w:color w:val="000000"/>
          <w:lang w:val="da-DK"/>
        </w:rPr>
      </w:pPr>
      <w:r w:rsidRPr="00256B71">
        <w:rPr>
          <w:iCs/>
          <w:color w:val="000000"/>
          <w:lang w:val="da-DK"/>
        </w:rPr>
        <w:t xml:space="preserve">Den varige provenuvirkning ved forslaget skønnes at udgøre et </w:t>
      </w:r>
      <w:proofErr w:type="spellStart"/>
      <w:r w:rsidRPr="00256B71">
        <w:rPr>
          <w:iCs/>
          <w:color w:val="000000"/>
          <w:lang w:val="da-DK"/>
        </w:rPr>
        <w:t>mindreprovenu</w:t>
      </w:r>
      <w:proofErr w:type="spellEnd"/>
      <w:r w:rsidRPr="00256B71">
        <w:rPr>
          <w:iCs/>
          <w:color w:val="000000"/>
          <w:lang w:val="da-DK"/>
        </w:rPr>
        <w:t xml:space="preserve"> på 45 mio. kr. årligt.</w:t>
      </w:r>
    </w:p>
    <w:p w:rsidR="00B506CF" w:rsidRPr="00256B71" w:rsidRDefault="00B506CF" w:rsidP="00B506CF">
      <w:pPr>
        <w:spacing w:line="288" w:lineRule="auto"/>
        <w:jc w:val="both"/>
        <w:rPr>
          <w:iCs/>
          <w:color w:val="000000"/>
          <w:lang w:val="da-DK"/>
        </w:rPr>
      </w:pPr>
    </w:p>
    <w:p w:rsidR="008F2B51" w:rsidRDefault="00B506CF" w:rsidP="00B506CF">
      <w:pPr>
        <w:spacing w:line="288" w:lineRule="auto"/>
        <w:jc w:val="both"/>
        <w:rPr>
          <w:iCs/>
          <w:color w:val="000000"/>
          <w:lang w:val="da-DK"/>
        </w:rPr>
      </w:pPr>
      <w:r w:rsidRPr="00256B71">
        <w:rPr>
          <w:iCs/>
          <w:color w:val="000000"/>
          <w:lang w:val="da-DK"/>
        </w:rPr>
        <w:t xml:space="preserve">For finansåret 2015 skønnes forslaget at medføre et </w:t>
      </w:r>
      <w:proofErr w:type="spellStart"/>
      <w:r w:rsidRPr="00256B71">
        <w:rPr>
          <w:iCs/>
          <w:color w:val="000000"/>
          <w:lang w:val="da-DK"/>
        </w:rPr>
        <w:t>mindreprovenu</w:t>
      </w:r>
      <w:proofErr w:type="spellEnd"/>
      <w:r w:rsidRPr="00256B71">
        <w:rPr>
          <w:iCs/>
          <w:color w:val="000000"/>
          <w:lang w:val="da-DK"/>
        </w:rPr>
        <w:t xml:space="preserve"> på ca. 75 mio. kr.</w:t>
      </w:r>
    </w:p>
    <w:p w:rsidR="00B506CF" w:rsidRDefault="00B506CF" w:rsidP="00B506CF">
      <w:pPr>
        <w:spacing w:line="288" w:lineRule="auto"/>
        <w:jc w:val="both"/>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t xml:space="preserve">6. Administrative konsekvenser for det offentlige </w:t>
      </w:r>
    </w:p>
    <w:p w:rsidR="008F2B51" w:rsidRDefault="00864113" w:rsidP="0036355D">
      <w:pPr>
        <w:spacing w:line="288" w:lineRule="auto"/>
        <w:jc w:val="both"/>
        <w:rPr>
          <w:iCs/>
          <w:color w:val="000000"/>
          <w:lang w:val="da-DK"/>
        </w:rPr>
      </w:pPr>
      <w:r>
        <w:rPr>
          <w:iCs/>
          <w:color w:val="000000"/>
          <w:lang w:val="da-DK"/>
        </w:rPr>
        <w:t>Lovforslaget ingen administrative konsekvenser for det offentlige.</w:t>
      </w:r>
    </w:p>
    <w:p w:rsidR="00B506CF" w:rsidRPr="004E4672" w:rsidRDefault="00B506CF" w:rsidP="0036355D">
      <w:pPr>
        <w:spacing w:line="288" w:lineRule="auto"/>
        <w:jc w:val="both"/>
        <w:rPr>
          <w:iCs/>
          <w:color w:val="000000"/>
          <w:lang w:val="da-DK"/>
        </w:rPr>
      </w:pPr>
    </w:p>
    <w:p w:rsidR="008F2B51" w:rsidRDefault="008F2B51" w:rsidP="0036355D">
      <w:pPr>
        <w:spacing w:line="288" w:lineRule="auto"/>
        <w:jc w:val="both"/>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lastRenderedPageBreak/>
        <w:t xml:space="preserve">7. Økonomiske konsekvenser for erhvervslivet </w:t>
      </w:r>
    </w:p>
    <w:p w:rsidR="008F2B51" w:rsidRPr="00256B71" w:rsidRDefault="00256B71" w:rsidP="0036355D">
      <w:pPr>
        <w:spacing w:line="288" w:lineRule="auto"/>
        <w:jc w:val="both"/>
        <w:rPr>
          <w:iCs/>
          <w:color w:val="000000"/>
          <w:lang w:val="da-DK"/>
        </w:rPr>
      </w:pPr>
      <w:r w:rsidRPr="00256B71">
        <w:rPr>
          <w:iCs/>
          <w:color w:val="000000"/>
          <w:lang w:val="da-DK"/>
        </w:rPr>
        <w:t>Den foreslåede lempelse af beskatningen af udbytter fra unoterede porteføljeaktier vil medføre en umiddelbar skattelettelse på 75 mio. kr. årligt. Lempelsen vil endvidere gøre det lettere for selsk</w:t>
      </w:r>
      <w:r w:rsidRPr="00256B71">
        <w:rPr>
          <w:iCs/>
          <w:color w:val="000000"/>
          <w:lang w:val="da-DK"/>
        </w:rPr>
        <w:t>a</w:t>
      </w:r>
      <w:r w:rsidRPr="00256B71">
        <w:rPr>
          <w:iCs/>
          <w:color w:val="000000"/>
          <w:lang w:val="da-DK"/>
        </w:rPr>
        <w:t xml:space="preserve">ber at skaffe risikovillig kapital </w:t>
      </w:r>
      <w:r w:rsidR="002B07E1">
        <w:rPr>
          <w:iCs/>
          <w:color w:val="000000"/>
          <w:lang w:val="da-DK"/>
        </w:rPr>
        <w:t>gennem</w:t>
      </w:r>
      <w:r w:rsidRPr="00256B71">
        <w:rPr>
          <w:iCs/>
          <w:color w:val="000000"/>
          <w:lang w:val="da-DK"/>
        </w:rPr>
        <w:t xml:space="preserve"> andre selskaber.</w:t>
      </w:r>
    </w:p>
    <w:p w:rsidR="008F2B51" w:rsidRDefault="008F2B51" w:rsidP="0036355D">
      <w:pPr>
        <w:spacing w:line="288" w:lineRule="auto"/>
        <w:jc w:val="both"/>
        <w:rPr>
          <w:i/>
          <w:iCs/>
          <w:color w:val="000000"/>
          <w:lang w:val="da-DK"/>
        </w:rPr>
      </w:pPr>
    </w:p>
    <w:p w:rsidR="0036355D" w:rsidRPr="009F1907" w:rsidRDefault="0036355D" w:rsidP="0036355D">
      <w:pPr>
        <w:spacing w:line="288" w:lineRule="auto"/>
        <w:jc w:val="both"/>
        <w:rPr>
          <w:color w:val="000000"/>
          <w:lang w:val="da-DK"/>
        </w:rPr>
      </w:pPr>
      <w:r w:rsidRPr="009F1907">
        <w:rPr>
          <w:i/>
          <w:iCs/>
          <w:color w:val="000000"/>
          <w:lang w:val="da-DK"/>
        </w:rPr>
        <w:t xml:space="preserve">8. Administrative konsekvenser for erhvervslivet </w:t>
      </w:r>
    </w:p>
    <w:p w:rsidR="007E510D" w:rsidRPr="00795253" w:rsidRDefault="007E510D" w:rsidP="007E510D">
      <w:pPr>
        <w:spacing w:line="288" w:lineRule="auto"/>
        <w:jc w:val="both"/>
        <w:rPr>
          <w:iCs/>
          <w:color w:val="000000"/>
          <w:lang w:val="da-DK"/>
        </w:rPr>
      </w:pPr>
      <w:r w:rsidRPr="00795253">
        <w:rPr>
          <w:iCs/>
          <w:color w:val="000000"/>
          <w:lang w:val="da-DK"/>
        </w:rPr>
        <w:t>Lovforslaget har ingen administrative konsekvenser for erhvervslivet.</w:t>
      </w:r>
    </w:p>
    <w:p w:rsidR="008F2B51" w:rsidRDefault="008F2B51" w:rsidP="0036355D">
      <w:pPr>
        <w:spacing w:line="288" w:lineRule="auto"/>
        <w:jc w:val="both"/>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t xml:space="preserve">9. Administrative konsekvenser for borgerne  </w:t>
      </w:r>
    </w:p>
    <w:p w:rsidR="007E510D" w:rsidRPr="00795253" w:rsidRDefault="007E510D" w:rsidP="007E510D">
      <w:pPr>
        <w:spacing w:line="288" w:lineRule="auto"/>
        <w:jc w:val="both"/>
        <w:rPr>
          <w:iCs/>
          <w:color w:val="000000"/>
          <w:lang w:val="da-DK"/>
        </w:rPr>
      </w:pPr>
      <w:r w:rsidRPr="00795253">
        <w:rPr>
          <w:lang w:val="da-DK"/>
        </w:rPr>
        <w:t>Lovforslaget har ingen administrative konsekvenser for borgerne.</w:t>
      </w:r>
    </w:p>
    <w:p w:rsidR="008F2B51" w:rsidRDefault="008F2B51" w:rsidP="0036355D">
      <w:pPr>
        <w:spacing w:line="288" w:lineRule="auto"/>
        <w:jc w:val="both"/>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t>10. Miljømæssige konsekvenser</w:t>
      </w:r>
    </w:p>
    <w:p w:rsidR="008F2B51" w:rsidRPr="004D0629" w:rsidRDefault="004D0629" w:rsidP="0036355D">
      <w:pPr>
        <w:spacing w:line="288" w:lineRule="auto"/>
        <w:jc w:val="both"/>
        <w:rPr>
          <w:iCs/>
          <w:color w:val="000000"/>
          <w:lang w:val="da-DK"/>
        </w:rPr>
      </w:pPr>
      <w:r w:rsidRPr="00795253">
        <w:rPr>
          <w:lang w:val="da-DK"/>
        </w:rPr>
        <w:t>Lovforslaget har ingen miljømæssige konsekvenser.</w:t>
      </w:r>
    </w:p>
    <w:p w:rsidR="008F2B51" w:rsidRDefault="008F2B51" w:rsidP="0036355D">
      <w:pPr>
        <w:spacing w:line="288" w:lineRule="auto"/>
        <w:jc w:val="both"/>
        <w:rPr>
          <w:i/>
          <w:iCs/>
          <w:color w:val="000000"/>
          <w:lang w:val="da-DK"/>
        </w:rPr>
      </w:pPr>
    </w:p>
    <w:p w:rsidR="0036355D" w:rsidRDefault="0036355D" w:rsidP="0036355D">
      <w:pPr>
        <w:spacing w:line="288" w:lineRule="auto"/>
        <w:jc w:val="both"/>
        <w:rPr>
          <w:i/>
          <w:iCs/>
          <w:color w:val="000000"/>
          <w:lang w:val="da-DK"/>
        </w:rPr>
      </w:pPr>
      <w:r w:rsidRPr="009F1907">
        <w:rPr>
          <w:i/>
          <w:iCs/>
          <w:color w:val="000000"/>
          <w:lang w:val="da-DK"/>
        </w:rPr>
        <w:t>11. Forholdet til EU-retten</w:t>
      </w:r>
    </w:p>
    <w:p w:rsidR="004D0629" w:rsidRPr="000F290C" w:rsidRDefault="004D0629" w:rsidP="004D0629">
      <w:pPr>
        <w:spacing w:line="288" w:lineRule="auto"/>
        <w:jc w:val="both"/>
        <w:rPr>
          <w:iCs/>
          <w:color w:val="000000"/>
          <w:lang w:val="da-DK"/>
        </w:rPr>
      </w:pPr>
      <w:r w:rsidRPr="000F290C">
        <w:rPr>
          <w:iCs/>
          <w:color w:val="000000"/>
          <w:lang w:val="da-DK"/>
        </w:rPr>
        <w:t>Lovforslaget indeholder ikke EU-retlige aspekter.</w:t>
      </w:r>
    </w:p>
    <w:p w:rsidR="008F2B51" w:rsidRDefault="008F2B51" w:rsidP="0036355D">
      <w:pPr>
        <w:spacing w:line="288" w:lineRule="auto"/>
        <w:jc w:val="both"/>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t xml:space="preserve">12. Hørte myndigheder og organisationer m.v.  </w:t>
      </w:r>
    </w:p>
    <w:p w:rsidR="008F2B51" w:rsidRPr="006A1428" w:rsidRDefault="006A1428" w:rsidP="0036355D">
      <w:pPr>
        <w:spacing w:line="288" w:lineRule="auto"/>
        <w:jc w:val="both"/>
        <w:rPr>
          <w:iCs/>
          <w:color w:val="000000"/>
          <w:lang w:val="da-DK"/>
        </w:rPr>
      </w:pPr>
      <w:r w:rsidRPr="006A1428">
        <w:rPr>
          <w:iCs/>
          <w:color w:val="000000"/>
          <w:lang w:val="da-DK"/>
        </w:rPr>
        <w:t>Advokatsamfundet, AE Rådet, ATP, Børsmæglerforeningen, CEPOS, Cevea, Danmarks Rederifo</w:t>
      </w:r>
      <w:r w:rsidRPr="006A1428">
        <w:rPr>
          <w:iCs/>
          <w:color w:val="000000"/>
          <w:lang w:val="da-DK"/>
        </w:rPr>
        <w:t>r</w:t>
      </w:r>
      <w:r w:rsidRPr="006A1428">
        <w:rPr>
          <w:iCs/>
          <w:color w:val="000000"/>
          <w:lang w:val="da-DK"/>
        </w:rPr>
        <w:t>ening, Danmarks Skibskreditfond, Dansk Aktionærforening, Dansk Byggeri, Dansk Ejendomsmæ</w:t>
      </w:r>
      <w:r w:rsidRPr="006A1428">
        <w:rPr>
          <w:iCs/>
          <w:color w:val="000000"/>
          <w:lang w:val="da-DK"/>
        </w:rPr>
        <w:t>g</w:t>
      </w:r>
      <w:r w:rsidRPr="006A1428">
        <w:rPr>
          <w:iCs/>
          <w:color w:val="000000"/>
          <w:lang w:val="da-DK"/>
        </w:rPr>
        <w:t>lerforening, Dansk Erhverv, Dansk Iværksætterforening, Danske Advokater, Den Danske Fond</w:t>
      </w:r>
      <w:r w:rsidRPr="006A1428">
        <w:rPr>
          <w:iCs/>
          <w:color w:val="000000"/>
          <w:lang w:val="da-DK"/>
        </w:rPr>
        <w:t>s</w:t>
      </w:r>
      <w:r w:rsidRPr="006A1428">
        <w:rPr>
          <w:iCs/>
          <w:color w:val="000000"/>
          <w:lang w:val="da-DK"/>
        </w:rPr>
        <w:t>mæglerforening, Den danske Skatteborgerforening, DI, DVCA, Ejendomsforeningen Danmark, Finansrådet,</w:t>
      </w:r>
      <w:r w:rsidR="00940037" w:rsidRPr="00940037">
        <w:rPr>
          <w:iCs/>
          <w:color w:val="000000"/>
          <w:lang w:val="da-DK"/>
        </w:rPr>
        <w:t xml:space="preserve"> </w:t>
      </w:r>
      <w:r w:rsidR="00940037" w:rsidRPr="006A1428">
        <w:rPr>
          <w:iCs/>
          <w:color w:val="000000"/>
          <w:lang w:val="da-DK"/>
        </w:rPr>
        <w:t>Forsikring &amp; Pension,</w:t>
      </w:r>
      <w:r w:rsidR="00940037">
        <w:rPr>
          <w:iCs/>
          <w:color w:val="000000"/>
          <w:lang w:val="da-DK"/>
        </w:rPr>
        <w:t xml:space="preserve"> </w:t>
      </w:r>
      <w:r w:rsidRPr="006A1428">
        <w:rPr>
          <w:iCs/>
          <w:color w:val="000000"/>
          <w:lang w:val="da-DK"/>
        </w:rPr>
        <w:t>FSR</w:t>
      </w:r>
      <w:r w:rsidR="00940037">
        <w:rPr>
          <w:iCs/>
          <w:color w:val="000000"/>
          <w:lang w:val="da-DK"/>
        </w:rPr>
        <w:t xml:space="preserve"> – danske revisorer</w:t>
      </w:r>
      <w:r w:rsidRPr="006A1428">
        <w:rPr>
          <w:iCs/>
          <w:color w:val="000000"/>
          <w:lang w:val="da-DK"/>
        </w:rPr>
        <w:t>, Håndværksrådet, InvesteringsFo</w:t>
      </w:r>
      <w:r w:rsidRPr="006A1428">
        <w:rPr>
          <w:iCs/>
          <w:color w:val="000000"/>
          <w:lang w:val="da-DK"/>
        </w:rPr>
        <w:t>r</w:t>
      </w:r>
      <w:r w:rsidRPr="006A1428">
        <w:rPr>
          <w:iCs/>
          <w:color w:val="000000"/>
          <w:lang w:val="da-DK"/>
        </w:rPr>
        <w:t xml:space="preserve">eningsRådet, KL, </w:t>
      </w:r>
      <w:r w:rsidR="00BF006F">
        <w:rPr>
          <w:iCs/>
          <w:color w:val="000000"/>
          <w:lang w:val="da-DK"/>
        </w:rPr>
        <w:t xml:space="preserve">Kraka, </w:t>
      </w:r>
      <w:r w:rsidRPr="006A1428">
        <w:rPr>
          <w:iCs/>
          <w:color w:val="000000"/>
          <w:lang w:val="da-DK"/>
        </w:rPr>
        <w:t>Landbrug &amp; Fødevarer, Lokale Pengeinstitutter, Nasdaq OMX Copenh</w:t>
      </w:r>
      <w:r w:rsidRPr="006A1428">
        <w:rPr>
          <w:iCs/>
          <w:color w:val="000000"/>
          <w:lang w:val="da-DK"/>
        </w:rPr>
        <w:t>a</w:t>
      </w:r>
      <w:r w:rsidRPr="006A1428">
        <w:rPr>
          <w:iCs/>
          <w:color w:val="000000"/>
          <w:lang w:val="da-DK"/>
        </w:rPr>
        <w:t>gen A/S, Nationalbanken, Realkreditforeningen, Realkreditrådet, SRF Skattefaglig Forening, V</w:t>
      </w:r>
      <w:r w:rsidRPr="006A1428">
        <w:rPr>
          <w:iCs/>
          <w:color w:val="000000"/>
          <w:lang w:val="da-DK"/>
        </w:rPr>
        <w:t>i</w:t>
      </w:r>
      <w:r w:rsidRPr="006A1428">
        <w:rPr>
          <w:iCs/>
          <w:color w:val="000000"/>
          <w:lang w:val="da-DK"/>
        </w:rPr>
        <w:t>dencentret for Landbrug.</w:t>
      </w:r>
    </w:p>
    <w:p w:rsidR="008F2B51" w:rsidRDefault="008F2B51" w:rsidP="0036355D">
      <w:pPr>
        <w:spacing w:line="288" w:lineRule="auto"/>
        <w:jc w:val="both"/>
        <w:rPr>
          <w:i/>
          <w:iCs/>
          <w:color w:val="000000"/>
          <w:lang w:val="da-DK"/>
        </w:rPr>
      </w:pPr>
    </w:p>
    <w:p w:rsidR="0036355D" w:rsidRPr="009F1907" w:rsidRDefault="0036355D" w:rsidP="0036355D">
      <w:pPr>
        <w:spacing w:line="288" w:lineRule="auto"/>
        <w:jc w:val="both"/>
        <w:rPr>
          <w:i/>
          <w:iCs/>
          <w:color w:val="000000"/>
          <w:lang w:val="da-DK"/>
        </w:rPr>
      </w:pPr>
      <w:r w:rsidRPr="009F1907">
        <w:rPr>
          <w:i/>
          <w:iCs/>
          <w:color w:val="000000"/>
          <w:lang w:val="da-DK"/>
        </w:rPr>
        <w:t xml:space="preserve">13. Sammenfattende skema </w:t>
      </w:r>
    </w:p>
    <w:p w:rsidR="00B506CF" w:rsidRPr="009F1907" w:rsidRDefault="00B506CF" w:rsidP="0036355D">
      <w:pPr>
        <w:ind w:right="1"/>
        <w:jc w:val="center"/>
        <w:rPr>
          <w:b/>
          <w:bCs/>
          <w:color w:val="000000"/>
          <w:lang w:val="da-DK"/>
        </w:rPr>
      </w:pPr>
    </w:p>
    <w:p w:rsidR="0036355D" w:rsidRPr="009F1907" w:rsidRDefault="0036355D" w:rsidP="0036355D">
      <w:pPr>
        <w:ind w:right="1"/>
        <w:jc w:val="center"/>
        <w:rPr>
          <w:b/>
          <w:bCs/>
          <w:color w:val="000000"/>
          <w:lang w:val="da-DK"/>
        </w:rPr>
      </w:pPr>
      <w:r w:rsidRPr="009F1907">
        <w:rPr>
          <w:b/>
          <w:bCs/>
          <w:color w:val="000000"/>
          <w:lang w:val="da-DK"/>
        </w:rPr>
        <w:t>Samlet vurdering af konsekvenser af lovforslaget</w:t>
      </w:r>
    </w:p>
    <w:p w:rsidR="0036355D" w:rsidRPr="009F1907" w:rsidRDefault="0036355D" w:rsidP="0036355D">
      <w:pPr>
        <w:ind w:right="1"/>
        <w:jc w:val="center"/>
        <w:rPr>
          <w:b/>
          <w:bCs/>
          <w:color w:val="000000"/>
          <w:lang w:val="da-DK"/>
        </w:rPr>
      </w:pP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2"/>
        <w:gridCol w:w="3449"/>
        <w:gridCol w:w="3313"/>
      </w:tblGrid>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tcPr>
          <w:p w:rsidR="0036355D" w:rsidRPr="009F1907" w:rsidRDefault="0036355D" w:rsidP="004D2147">
            <w:pPr>
              <w:widowControl w:val="0"/>
              <w:autoSpaceDE w:val="0"/>
              <w:autoSpaceDN w:val="0"/>
              <w:adjustRightInd w:val="0"/>
              <w:rPr>
                <w:color w:val="000000"/>
                <w:lang w:val="da-DK"/>
              </w:rPr>
            </w:pPr>
          </w:p>
        </w:tc>
        <w:tc>
          <w:tcPr>
            <w:tcW w:w="1750"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Positive konsekvenser/ mindre udgifter  </w:t>
            </w:r>
          </w:p>
        </w:tc>
        <w:tc>
          <w:tcPr>
            <w:tcW w:w="1681"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Negative konsekve</w:t>
            </w:r>
            <w:r w:rsidRPr="009F1907">
              <w:rPr>
                <w:color w:val="000000"/>
                <w:lang w:val="da-DK"/>
              </w:rPr>
              <w:t>n</w:t>
            </w:r>
            <w:r w:rsidRPr="009F1907">
              <w:rPr>
                <w:color w:val="000000"/>
                <w:lang w:val="da-DK"/>
              </w:rPr>
              <w:t>ser/merudgifter</w:t>
            </w:r>
          </w:p>
        </w:tc>
      </w:tr>
      <w:tr w:rsidR="0036355D" w:rsidRPr="00F309C6"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Økonomiske konsekvenser for det offentlige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36355D" w:rsidP="004D2147">
            <w:pPr>
              <w:pStyle w:val="Sidefod"/>
              <w:tabs>
                <w:tab w:val="left" w:pos="1304"/>
              </w:tabs>
              <w:rPr>
                <w:color w:val="000000"/>
                <w:sz w:val="24"/>
              </w:rPr>
            </w:pPr>
          </w:p>
        </w:tc>
        <w:tc>
          <w:tcPr>
            <w:tcW w:w="1681" w:type="pct"/>
            <w:tcBorders>
              <w:top w:val="single" w:sz="4" w:space="0" w:color="auto"/>
              <w:left w:val="single" w:sz="4" w:space="0" w:color="auto"/>
              <w:bottom w:val="single" w:sz="4" w:space="0" w:color="auto"/>
              <w:right w:val="single" w:sz="4" w:space="0" w:color="auto"/>
            </w:tcBorders>
          </w:tcPr>
          <w:p w:rsidR="0036355D" w:rsidRPr="00256B71" w:rsidRDefault="00256B71" w:rsidP="00256B71">
            <w:pPr>
              <w:widowControl w:val="0"/>
              <w:autoSpaceDE w:val="0"/>
              <w:autoSpaceDN w:val="0"/>
              <w:adjustRightInd w:val="0"/>
              <w:jc w:val="both"/>
              <w:rPr>
                <w:color w:val="000000"/>
                <w:lang w:val="da-DK"/>
              </w:rPr>
            </w:pPr>
            <w:r w:rsidRPr="00256B71">
              <w:rPr>
                <w:color w:val="000000"/>
                <w:lang w:val="da-DK"/>
              </w:rPr>
              <w:t>Forslaget medfører et umiddel</w:t>
            </w:r>
            <w:r w:rsidRPr="00256B71">
              <w:rPr>
                <w:color w:val="000000"/>
                <w:lang w:val="da-DK"/>
              </w:rPr>
              <w:softHyphen/>
              <w:t xml:space="preserve">bart </w:t>
            </w:r>
            <w:proofErr w:type="spellStart"/>
            <w:r w:rsidRPr="00256B71">
              <w:rPr>
                <w:color w:val="000000"/>
                <w:lang w:val="da-DK"/>
              </w:rPr>
              <w:t>mindreprovenu</w:t>
            </w:r>
            <w:proofErr w:type="spellEnd"/>
            <w:r w:rsidRPr="00256B71">
              <w:rPr>
                <w:color w:val="000000"/>
                <w:lang w:val="da-DK"/>
              </w:rPr>
              <w:t xml:space="preserve"> på ca. 75 mio. kr. og ca. 45 mio. kr. årligt ef</w:t>
            </w:r>
            <w:r w:rsidR="00514631">
              <w:rPr>
                <w:color w:val="000000"/>
                <w:lang w:val="da-DK"/>
              </w:rPr>
              <w:t>ter tilbageløb og adfærd fra og med</w:t>
            </w:r>
            <w:r w:rsidRPr="00256B71">
              <w:rPr>
                <w:color w:val="000000"/>
                <w:lang w:val="da-DK"/>
              </w:rPr>
              <w:t xml:space="preserve"> 2015. Af det umiddel</w:t>
            </w:r>
            <w:r w:rsidRPr="00256B71">
              <w:rPr>
                <w:color w:val="000000"/>
                <w:lang w:val="da-DK"/>
              </w:rPr>
              <w:softHyphen/>
              <w:t xml:space="preserve">bare </w:t>
            </w:r>
            <w:proofErr w:type="spellStart"/>
            <w:r w:rsidRPr="00256B71">
              <w:rPr>
                <w:color w:val="000000"/>
                <w:lang w:val="da-DK"/>
              </w:rPr>
              <w:t>mindreprovenu</w:t>
            </w:r>
            <w:proofErr w:type="spellEnd"/>
            <w:r w:rsidRPr="00256B71">
              <w:rPr>
                <w:color w:val="000000"/>
                <w:lang w:val="da-DK"/>
              </w:rPr>
              <w:t xml:space="preserve"> vil ca. 10 mio. kr. årligt vedrøre komm</w:t>
            </w:r>
            <w:r w:rsidRPr="00256B71">
              <w:rPr>
                <w:color w:val="000000"/>
                <w:lang w:val="da-DK"/>
              </w:rPr>
              <w:t>u</w:t>
            </w:r>
            <w:r w:rsidRPr="00256B71">
              <w:rPr>
                <w:color w:val="000000"/>
                <w:lang w:val="da-DK"/>
              </w:rPr>
              <w:t>nerne.</w:t>
            </w:r>
          </w:p>
        </w:tc>
      </w:tr>
      <w:tr w:rsidR="0036355D" w:rsidRPr="004E4672"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w:t>
            </w:r>
            <w:r w:rsidRPr="009F1907">
              <w:rPr>
                <w:color w:val="000000"/>
                <w:lang w:val="da-DK"/>
              </w:rPr>
              <w:lastRenderedPageBreak/>
              <w:t>for det offentlige</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864113" w:rsidP="004D2147">
            <w:pPr>
              <w:widowControl w:val="0"/>
              <w:autoSpaceDE w:val="0"/>
              <w:autoSpaceDN w:val="0"/>
              <w:adjustRightInd w:val="0"/>
              <w:rPr>
                <w:color w:val="000000"/>
                <w:lang w:val="da-DK"/>
              </w:rPr>
            </w:pPr>
            <w:r>
              <w:rPr>
                <w:color w:val="000000"/>
                <w:lang w:val="da-DK"/>
              </w:rPr>
              <w:lastRenderedPageBreak/>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864113" w:rsidP="004D2147">
            <w:pPr>
              <w:rPr>
                <w:color w:val="000000"/>
                <w:lang w:val="da-DK"/>
              </w:rPr>
            </w:pPr>
            <w:r>
              <w:rPr>
                <w:color w:val="000000"/>
                <w:lang w:val="da-DK"/>
              </w:rPr>
              <w:t>Ingen</w:t>
            </w:r>
          </w:p>
        </w:tc>
      </w:tr>
      <w:tr w:rsidR="0036355D" w:rsidRPr="00F309C6"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lastRenderedPageBreak/>
              <w:t>Økonomiske konsekvenser for erhvervslivet</w:t>
            </w:r>
          </w:p>
        </w:tc>
        <w:tc>
          <w:tcPr>
            <w:tcW w:w="1750" w:type="pct"/>
            <w:tcBorders>
              <w:top w:val="single" w:sz="4" w:space="0" w:color="auto"/>
              <w:left w:val="single" w:sz="4" w:space="0" w:color="auto"/>
              <w:bottom w:val="single" w:sz="4" w:space="0" w:color="auto"/>
              <w:right w:val="single" w:sz="4" w:space="0" w:color="auto"/>
            </w:tcBorders>
          </w:tcPr>
          <w:p w:rsidR="0036355D" w:rsidRPr="00256B71" w:rsidRDefault="00256B71" w:rsidP="00256B71">
            <w:pPr>
              <w:widowControl w:val="0"/>
              <w:autoSpaceDE w:val="0"/>
              <w:autoSpaceDN w:val="0"/>
              <w:adjustRightInd w:val="0"/>
              <w:jc w:val="both"/>
              <w:rPr>
                <w:color w:val="000000"/>
                <w:lang w:val="da-DK"/>
              </w:rPr>
            </w:pPr>
            <w:r w:rsidRPr="00256B71">
              <w:rPr>
                <w:iCs/>
                <w:color w:val="000000"/>
                <w:lang w:val="da-DK"/>
              </w:rPr>
              <w:t>Lempelsen af skatten på udbytter fra unoterede porteføljeaktier vil medføre en umiddelbar skatte</w:t>
            </w:r>
            <w:r w:rsidR="00815826">
              <w:rPr>
                <w:iCs/>
                <w:color w:val="000000"/>
                <w:lang w:val="da-DK"/>
              </w:rPr>
              <w:softHyphen/>
              <w:t>lettelse på 75 mio. kr. årligt</w:t>
            </w:r>
            <w:r w:rsidR="00BF6820">
              <w:rPr>
                <w:iCs/>
                <w:color w:val="000000"/>
                <w:lang w:val="da-DK"/>
              </w:rPr>
              <w:t>,</w:t>
            </w:r>
            <w:r w:rsidRPr="00256B71">
              <w:rPr>
                <w:iCs/>
                <w:color w:val="000000"/>
                <w:lang w:val="da-DK"/>
              </w:rPr>
              <w:t xml:space="preserve"> og vil gøre det lettere for selskaber at skaffe risikovillig kapital fra andre selskaber.</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36355D" w:rsidP="004D2147">
            <w:pPr>
              <w:widowControl w:val="0"/>
              <w:autoSpaceDE w:val="0"/>
              <w:autoSpaceDN w:val="0"/>
              <w:adjustRightInd w:val="0"/>
              <w:rPr>
                <w:color w:val="000000"/>
                <w:lang w:val="da-DK"/>
              </w:rPr>
            </w:pPr>
          </w:p>
        </w:tc>
      </w:tr>
      <w:tr w:rsidR="0036355D" w:rsidRPr="00FE40BF"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for erhvervslivet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1E4866"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1E4866" w:rsidP="004D2147">
            <w:pPr>
              <w:widowControl w:val="0"/>
              <w:autoSpaceDE w:val="0"/>
              <w:autoSpaceDN w:val="0"/>
              <w:adjustRightInd w:val="0"/>
              <w:rPr>
                <w:color w:val="000000"/>
                <w:lang w:val="da-DK"/>
              </w:rPr>
            </w:pPr>
            <w:r>
              <w:rPr>
                <w:color w:val="000000"/>
                <w:lang w:val="da-DK"/>
              </w:rPr>
              <w:t>Ingen</w:t>
            </w:r>
          </w:p>
        </w:tc>
      </w:tr>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Administrative konsekvenser for borgerne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1E4866"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1E4866" w:rsidP="001E4866">
            <w:pPr>
              <w:widowControl w:val="0"/>
              <w:autoSpaceDE w:val="0"/>
              <w:autoSpaceDN w:val="0"/>
              <w:adjustRightInd w:val="0"/>
              <w:rPr>
                <w:color w:val="000000"/>
                <w:lang w:val="da-DK"/>
              </w:rPr>
            </w:pPr>
            <w:r>
              <w:rPr>
                <w:color w:val="000000"/>
                <w:lang w:val="da-DK"/>
              </w:rPr>
              <w:t>Ingen</w:t>
            </w:r>
          </w:p>
        </w:tc>
      </w:tr>
      <w:tr w:rsidR="0036355D" w:rsidRPr="00CE31F8" w:rsidTr="004D2147">
        <w:trPr>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Miljømæssige konsekvenser </w:t>
            </w:r>
          </w:p>
        </w:tc>
        <w:tc>
          <w:tcPr>
            <w:tcW w:w="1750" w:type="pct"/>
            <w:tcBorders>
              <w:top w:val="single" w:sz="4" w:space="0" w:color="auto"/>
              <w:left w:val="single" w:sz="4" w:space="0" w:color="auto"/>
              <w:bottom w:val="single" w:sz="4" w:space="0" w:color="auto"/>
              <w:right w:val="single" w:sz="4" w:space="0" w:color="auto"/>
            </w:tcBorders>
          </w:tcPr>
          <w:p w:rsidR="0036355D" w:rsidRPr="009F1907" w:rsidRDefault="001E4866" w:rsidP="004D2147">
            <w:pPr>
              <w:widowControl w:val="0"/>
              <w:autoSpaceDE w:val="0"/>
              <w:autoSpaceDN w:val="0"/>
              <w:adjustRightInd w:val="0"/>
              <w:rPr>
                <w:color w:val="000000"/>
                <w:lang w:val="da-DK"/>
              </w:rPr>
            </w:pPr>
            <w:r>
              <w:rPr>
                <w:color w:val="000000"/>
                <w:lang w:val="da-DK"/>
              </w:rPr>
              <w:t>Ingen</w:t>
            </w:r>
          </w:p>
        </w:tc>
        <w:tc>
          <w:tcPr>
            <w:tcW w:w="1681" w:type="pct"/>
            <w:tcBorders>
              <w:top w:val="single" w:sz="4" w:space="0" w:color="auto"/>
              <w:left w:val="single" w:sz="4" w:space="0" w:color="auto"/>
              <w:bottom w:val="single" w:sz="4" w:space="0" w:color="auto"/>
              <w:right w:val="single" w:sz="4" w:space="0" w:color="auto"/>
            </w:tcBorders>
          </w:tcPr>
          <w:p w:rsidR="0036355D" w:rsidRPr="009F1907" w:rsidRDefault="001E4866" w:rsidP="001E4866">
            <w:pPr>
              <w:widowControl w:val="0"/>
              <w:autoSpaceDE w:val="0"/>
              <w:autoSpaceDN w:val="0"/>
              <w:adjustRightInd w:val="0"/>
              <w:rPr>
                <w:color w:val="000000"/>
                <w:lang w:val="da-DK"/>
              </w:rPr>
            </w:pPr>
            <w:r>
              <w:rPr>
                <w:color w:val="000000"/>
                <w:lang w:val="da-DK"/>
              </w:rPr>
              <w:t>Ingen</w:t>
            </w:r>
          </w:p>
        </w:tc>
      </w:tr>
      <w:tr w:rsidR="0036355D" w:rsidRPr="00F309C6" w:rsidTr="004D2147">
        <w:trPr>
          <w:cantSplit/>
          <w:jc w:val="right"/>
        </w:trPr>
        <w:tc>
          <w:tcPr>
            <w:tcW w:w="1569" w:type="pct"/>
            <w:tcBorders>
              <w:top w:val="single" w:sz="4" w:space="0" w:color="auto"/>
              <w:left w:val="single" w:sz="4" w:space="0" w:color="auto"/>
              <w:bottom w:val="single" w:sz="4" w:space="0" w:color="auto"/>
              <w:right w:val="single" w:sz="4" w:space="0" w:color="auto"/>
            </w:tcBorders>
            <w:hideMark/>
          </w:tcPr>
          <w:p w:rsidR="0036355D" w:rsidRPr="009F1907" w:rsidRDefault="0036355D" w:rsidP="004D2147">
            <w:pPr>
              <w:widowControl w:val="0"/>
              <w:autoSpaceDE w:val="0"/>
              <w:autoSpaceDN w:val="0"/>
              <w:adjustRightInd w:val="0"/>
              <w:rPr>
                <w:color w:val="000000"/>
                <w:lang w:val="da-DK"/>
              </w:rPr>
            </w:pPr>
            <w:r w:rsidRPr="009F1907">
              <w:rPr>
                <w:color w:val="000000"/>
                <w:lang w:val="da-DK"/>
              </w:rPr>
              <w:t xml:space="preserve">Forholdet til EU-retten </w:t>
            </w:r>
          </w:p>
        </w:tc>
        <w:tc>
          <w:tcPr>
            <w:tcW w:w="3431" w:type="pct"/>
            <w:gridSpan w:val="2"/>
            <w:tcBorders>
              <w:top w:val="single" w:sz="4" w:space="0" w:color="auto"/>
              <w:left w:val="single" w:sz="4" w:space="0" w:color="auto"/>
              <w:bottom w:val="single" w:sz="4" w:space="0" w:color="auto"/>
              <w:right w:val="single" w:sz="4" w:space="0" w:color="auto"/>
            </w:tcBorders>
          </w:tcPr>
          <w:p w:rsidR="0036355D" w:rsidRPr="009F1907" w:rsidRDefault="001E4866" w:rsidP="00E404AC">
            <w:pPr>
              <w:widowControl w:val="0"/>
              <w:autoSpaceDE w:val="0"/>
              <w:autoSpaceDN w:val="0"/>
              <w:adjustRightInd w:val="0"/>
              <w:jc w:val="both"/>
              <w:rPr>
                <w:color w:val="000000"/>
                <w:lang w:val="da-DK"/>
              </w:rPr>
            </w:pPr>
            <w:r w:rsidRPr="001E4866">
              <w:rPr>
                <w:iCs/>
                <w:color w:val="000000"/>
                <w:lang w:val="da-DK"/>
              </w:rPr>
              <w:t>Lovforslaget indeholder ikke EU-retlige aspekter.</w:t>
            </w:r>
          </w:p>
        </w:tc>
      </w:tr>
    </w:tbl>
    <w:p w:rsidR="0036355D" w:rsidRPr="009F1907" w:rsidRDefault="0036355D" w:rsidP="0036355D">
      <w:pPr>
        <w:ind w:right="1"/>
        <w:rPr>
          <w:color w:val="000000"/>
          <w:lang w:val="da-DK"/>
        </w:rPr>
      </w:pPr>
    </w:p>
    <w:p w:rsidR="00C12558" w:rsidRPr="00C12558" w:rsidRDefault="00C12558" w:rsidP="00C12558">
      <w:pPr>
        <w:rPr>
          <w:lang w:val="da-DK"/>
        </w:rPr>
      </w:pPr>
    </w:p>
    <w:p w:rsidR="0036355D" w:rsidRDefault="0036355D" w:rsidP="0036355D">
      <w:pPr>
        <w:ind w:right="1"/>
        <w:rPr>
          <w:i/>
          <w:color w:val="000000"/>
          <w:lang w:val="da-DK"/>
        </w:rPr>
      </w:pPr>
    </w:p>
    <w:p w:rsidR="00AC53A8" w:rsidRPr="00601778" w:rsidRDefault="00AC53A8" w:rsidP="0036355D">
      <w:pPr>
        <w:ind w:right="1"/>
        <w:rPr>
          <w:i/>
          <w:color w:val="000000"/>
          <w:lang w:val="da-DK"/>
        </w:rPr>
      </w:pPr>
    </w:p>
    <w:p w:rsidR="0036355D" w:rsidRPr="009F1907" w:rsidRDefault="0036355D" w:rsidP="0036355D">
      <w:pPr>
        <w:ind w:right="1"/>
        <w:rPr>
          <w:b/>
          <w:color w:val="000000"/>
          <w:lang w:val="da-DK"/>
        </w:rPr>
      </w:pPr>
    </w:p>
    <w:p w:rsidR="0036355D" w:rsidRPr="009F1907" w:rsidRDefault="0036355D" w:rsidP="0036355D">
      <w:pPr>
        <w:jc w:val="center"/>
        <w:rPr>
          <w:i/>
          <w:iCs/>
          <w:color w:val="000000"/>
          <w:lang w:val="da-DK"/>
        </w:rPr>
      </w:pPr>
      <w:r w:rsidRPr="009F1907">
        <w:rPr>
          <w:i/>
          <w:iCs/>
          <w:color w:val="000000"/>
          <w:lang w:val="da-DK"/>
        </w:rPr>
        <w:t>Bemærkninger til lovforslagets enkelte bestemmelser</w:t>
      </w:r>
    </w:p>
    <w:p w:rsidR="0036355D" w:rsidRPr="009F1907" w:rsidRDefault="0036355D" w:rsidP="0036355D">
      <w:pPr>
        <w:rPr>
          <w:color w:val="000000"/>
          <w:lang w:val="da-DK"/>
        </w:rPr>
      </w:pPr>
    </w:p>
    <w:p w:rsidR="0036355D" w:rsidRPr="009F1907" w:rsidRDefault="0036355D" w:rsidP="0036355D">
      <w:pPr>
        <w:rPr>
          <w:color w:val="000000"/>
          <w:lang w:val="da-DK"/>
        </w:rPr>
      </w:pPr>
    </w:p>
    <w:p w:rsidR="0036355D" w:rsidRPr="009F1907" w:rsidRDefault="0036355D" w:rsidP="0036355D">
      <w:pPr>
        <w:jc w:val="center"/>
        <w:rPr>
          <w:i/>
          <w:iCs/>
          <w:color w:val="000000"/>
          <w:lang w:val="da-DK"/>
        </w:rPr>
      </w:pPr>
      <w:r w:rsidRPr="009F1907">
        <w:rPr>
          <w:i/>
          <w:iCs/>
          <w:color w:val="000000"/>
          <w:lang w:val="da-DK"/>
        </w:rPr>
        <w:t>Til § 1</w:t>
      </w:r>
    </w:p>
    <w:p w:rsidR="00604DF1" w:rsidRDefault="00604DF1" w:rsidP="0036355D">
      <w:pPr>
        <w:spacing w:line="288" w:lineRule="auto"/>
        <w:rPr>
          <w:color w:val="000000"/>
          <w:lang w:val="da-DK"/>
        </w:rPr>
      </w:pPr>
    </w:p>
    <w:p w:rsidR="0036355D" w:rsidRPr="009F1907" w:rsidRDefault="0036355D" w:rsidP="0036355D">
      <w:pPr>
        <w:spacing w:line="288" w:lineRule="auto"/>
        <w:rPr>
          <w:color w:val="000000"/>
          <w:lang w:val="da-DK"/>
        </w:rPr>
      </w:pPr>
      <w:r w:rsidRPr="009F1907">
        <w:rPr>
          <w:color w:val="000000"/>
          <w:lang w:val="da-DK"/>
        </w:rPr>
        <w:t>Til nr. 1</w:t>
      </w:r>
    </w:p>
    <w:p w:rsidR="004109D4" w:rsidRDefault="004109D4" w:rsidP="004109D4">
      <w:pPr>
        <w:spacing w:line="288" w:lineRule="auto"/>
        <w:jc w:val="both"/>
        <w:rPr>
          <w:color w:val="000000"/>
          <w:lang w:val="da-DK"/>
        </w:rPr>
      </w:pPr>
      <w:r w:rsidRPr="004109D4">
        <w:rPr>
          <w:color w:val="000000"/>
          <w:lang w:val="da-DK"/>
        </w:rPr>
        <w:t>Ved at justere fondsbeskatningslovens § 10 foreslås det, at nedsættelsen af beskatningen af udbytter på unoterede porteføljeaktier omfattet af aktieavancebeskatningslovens § 4 C finder tilsvarende anvendelse for udbytter, der modtages af fonde og foreninger, der er omfattet af fondsbeskatning</w:t>
      </w:r>
      <w:r w:rsidRPr="004109D4">
        <w:rPr>
          <w:color w:val="000000"/>
          <w:lang w:val="da-DK"/>
        </w:rPr>
        <w:t>s</w:t>
      </w:r>
      <w:r w:rsidRPr="004109D4">
        <w:rPr>
          <w:color w:val="000000"/>
          <w:lang w:val="da-DK"/>
        </w:rPr>
        <w:t xml:space="preserve">loven. </w:t>
      </w:r>
    </w:p>
    <w:p w:rsidR="004D0629" w:rsidRPr="004109D4" w:rsidRDefault="004D0629" w:rsidP="004109D4">
      <w:pPr>
        <w:spacing w:line="288" w:lineRule="auto"/>
        <w:jc w:val="both"/>
        <w:rPr>
          <w:color w:val="000000"/>
          <w:lang w:val="da-DK"/>
        </w:rPr>
      </w:pPr>
    </w:p>
    <w:p w:rsidR="00373D00" w:rsidRPr="00373D00" w:rsidRDefault="004109D4" w:rsidP="004109D4">
      <w:pPr>
        <w:spacing w:line="288" w:lineRule="auto"/>
        <w:jc w:val="both"/>
        <w:rPr>
          <w:color w:val="000000"/>
          <w:lang w:val="da-DK"/>
        </w:rPr>
      </w:pPr>
      <w:r w:rsidRPr="004109D4">
        <w:rPr>
          <w:color w:val="000000"/>
          <w:lang w:val="da-DK"/>
        </w:rPr>
        <w:t xml:space="preserve">Det følger af fondsbeskatningslovens § 6, at indtægter, som i henhold til fondsbeskatningslovens § 3, stk. 2, (om det skattefrie bundfradrag) og § 10 (om skattefrie udbytter) ikke skal medregnes </w:t>
      </w:r>
      <w:r w:rsidR="00815826">
        <w:rPr>
          <w:color w:val="000000"/>
          <w:lang w:val="da-DK"/>
        </w:rPr>
        <w:t xml:space="preserve">ved opgørelsen af </w:t>
      </w:r>
      <w:r w:rsidRPr="004109D4">
        <w:rPr>
          <w:color w:val="000000"/>
          <w:lang w:val="da-DK"/>
        </w:rPr>
        <w:t>den skattepligtige indkomst, i størst muligt omfang</w:t>
      </w:r>
      <w:r w:rsidR="00256B71">
        <w:rPr>
          <w:color w:val="000000"/>
          <w:lang w:val="da-DK"/>
        </w:rPr>
        <w:t xml:space="preserve"> anses</w:t>
      </w:r>
      <w:r w:rsidRPr="004109D4">
        <w:rPr>
          <w:color w:val="000000"/>
          <w:lang w:val="da-DK"/>
        </w:rPr>
        <w:t xml:space="preserve"> for medgået til uddelinger og hensættelser, forinden nogen del af den skattepligtige indkomst anses for medgået hertil. Der kan med andre ord kun foretages fradrag for uddelinger og hensættelser, i det omfang de pågældende uddelinger og hensættelser overstiger bundfradraget og skattefri udbytter. Den skattefrie del af u</w:t>
      </w:r>
      <w:r w:rsidRPr="004109D4">
        <w:rPr>
          <w:color w:val="000000"/>
          <w:lang w:val="da-DK"/>
        </w:rPr>
        <w:t>d</w:t>
      </w:r>
      <w:r w:rsidRPr="004109D4">
        <w:rPr>
          <w:color w:val="000000"/>
          <w:lang w:val="da-DK"/>
        </w:rPr>
        <w:t xml:space="preserve">byttet på unoterede porteføljeaktier (30 pct. af udbyttet) medregnes ikke </w:t>
      </w:r>
      <w:r w:rsidR="00815826">
        <w:rPr>
          <w:color w:val="000000"/>
          <w:lang w:val="da-DK"/>
        </w:rPr>
        <w:t>ved opgørelsen af</w:t>
      </w:r>
      <w:r w:rsidRPr="004109D4">
        <w:rPr>
          <w:color w:val="000000"/>
          <w:lang w:val="da-DK"/>
        </w:rPr>
        <w:t xml:space="preserve"> den ska</w:t>
      </w:r>
      <w:r w:rsidRPr="004109D4">
        <w:rPr>
          <w:color w:val="000000"/>
          <w:lang w:val="da-DK"/>
        </w:rPr>
        <w:t>t</w:t>
      </w:r>
      <w:r w:rsidRPr="004109D4">
        <w:rPr>
          <w:color w:val="000000"/>
          <w:lang w:val="da-DK"/>
        </w:rPr>
        <w:t>tepligtige indkomst</w:t>
      </w:r>
      <w:r w:rsidR="00BF6820">
        <w:rPr>
          <w:color w:val="000000"/>
          <w:lang w:val="da-DK"/>
        </w:rPr>
        <w:t>,</w:t>
      </w:r>
      <w:r w:rsidRPr="004109D4">
        <w:rPr>
          <w:color w:val="000000"/>
          <w:lang w:val="da-DK"/>
        </w:rPr>
        <w:t xml:space="preserve"> og er således omfattet som en skattefri indtægt af denne prioriteringsregel.</w:t>
      </w:r>
    </w:p>
    <w:p w:rsidR="00373D00" w:rsidRPr="00373D00" w:rsidRDefault="00373D00" w:rsidP="0036355D">
      <w:pPr>
        <w:spacing w:line="288" w:lineRule="auto"/>
        <w:jc w:val="both"/>
        <w:rPr>
          <w:color w:val="000000"/>
          <w:lang w:val="da-DK"/>
        </w:rPr>
      </w:pPr>
    </w:p>
    <w:p w:rsidR="0036355D" w:rsidRPr="009F1907" w:rsidRDefault="0036355D" w:rsidP="0036355D">
      <w:pPr>
        <w:spacing w:line="288" w:lineRule="auto"/>
        <w:jc w:val="both"/>
        <w:rPr>
          <w:color w:val="000000"/>
          <w:lang w:val="da-DK"/>
        </w:rPr>
      </w:pPr>
    </w:p>
    <w:p w:rsidR="0036355D" w:rsidRPr="009F1907" w:rsidRDefault="0036355D" w:rsidP="0036355D">
      <w:pPr>
        <w:spacing w:line="288" w:lineRule="auto"/>
        <w:jc w:val="center"/>
        <w:rPr>
          <w:i/>
          <w:iCs/>
          <w:color w:val="000000"/>
          <w:lang w:val="da-DK"/>
        </w:rPr>
      </w:pPr>
      <w:r w:rsidRPr="009F1907">
        <w:rPr>
          <w:i/>
          <w:iCs/>
          <w:color w:val="000000"/>
          <w:lang w:val="da-DK"/>
        </w:rPr>
        <w:t>Til § 2</w:t>
      </w:r>
    </w:p>
    <w:p w:rsidR="0036355D" w:rsidRPr="009F1907" w:rsidRDefault="0036355D" w:rsidP="0036355D">
      <w:pPr>
        <w:spacing w:line="288" w:lineRule="auto"/>
        <w:rPr>
          <w:b/>
          <w:bCs/>
          <w:color w:val="000000"/>
          <w:lang w:val="da-DK"/>
        </w:rPr>
      </w:pPr>
    </w:p>
    <w:p w:rsidR="00373D00" w:rsidRPr="009F1907" w:rsidRDefault="00373D00" w:rsidP="00373D00">
      <w:pPr>
        <w:spacing w:line="288" w:lineRule="auto"/>
        <w:rPr>
          <w:color w:val="000000"/>
          <w:lang w:val="da-DK"/>
        </w:rPr>
      </w:pPr>
      <w:r w:rsidRPr="009F1907">
        <w:rPr>
          <w:color w:val="000000"/>
          <w:lang w:val="da-DK"/>
        </w:rPr>
        <w:t>Til nr. 1</w:t>
      </w:r>
    </w:p>
    <w:p w:rsidR="00373D00" w:rsidRPr="004109D4" w:rsidRDefault="004109D4" w:rsidP="00373D00">
      <w:pPr>
        <w:spacing w:line="288" w:lineRule="auto"/>
        <w:jc w:val="both"/>
        <w:rPr>
          <w:color w:val="000000"/>
          <w:lang w:val="da-DK"/>
        </w:rPr>
      </w:pPr>
      <w:r w:rsidRPr="004109D4">
        <w:rPr>
          <w:bCs/>
          <w:color w:val="000000"/>
          <w:lang w:val="da-DK"/>
        </w:rPr>
        <w:lastRenderedPageBreak/>
        <w:t>Der er tale om en konsekvensændring som følge af indsættelsen af et nyt stk</w:t>
      </w:r>
      <w:r w:rsidR="00815826">
        <w:rPr>
          <w:bCs/>
          <w:color w:val="000000"/>
          <w:lang w:val="da-DK"/>
        </w:rPr>
        <w:t xml:space="preserve">. </w:t>
      </w:r>
      <w:r w:rsidRPr="004109D4">
        <w:rPr>
          <w:bCs/>
          <w:color w:val="000000"/>
          <w:lang w:val="da-DK"/>
        </w:rPr>
        <w:t>2 i selskabsskattel</w:t>
      </w:r>
      <w:r w:rsidRPr="004109D4">
        <w:rPr>
          <w:bCs/>
          <w:color w:val="000000"/>
          <w:lang w:val="da-DK"/>
        </w:rPr>
        <w:t>o</w:t>
      </w:r>
      <w:r w:rsidRPr="004109D4">
        <w:rPr>
          <w:bCs/>
          <w:color w:val="000000"/>
          <w:lang w:val="da-DK"/>
        </w:rPr>
        <w:t>vens § 13</w:t>
      </w:r>
      <w:r w:rsidR="0058373D">
        <w:rPr>
          <w:bCs/>
          <w:color w:val="000000"/>
          <w:lang w:val="da-DK"/>
        </w:rPr>
        <w:t>, jf. lovforslagets § 3, nr</w:t>
      </w:r>
      <w:r w:rsidRPr="004109D4">
        <w:rPr>
          <w:bCs/>
          <w:color w:val="000000"/>
          <w:lang w:val="da-DK"/>
        </w:rPr>
        <w:t>.</w:t>
      </w:r>
      <w:r w:rsidR="0058373D">
        <w:rPr>
          <w:bCs/>
          <w:color w:val="000000"/>
          <w:lang w:val="da-DK"/>
        </w:rPr>
        <w:t xml:space="preserve"> 1.</w:t>
      </w:r>
    </w:p>
    <w:p w:rsidR="00373D00" w:rsidRDefault="00373D00" w:rsidP="00373D00">
      <w:pPr>
        <w:spacing w:line="288" w:lineRule="auto"/>
        <w:jc w:val="both"/>
        <w:rPr>
          <w:color w:val="000000"/>
          <w:lang w:val="da-DK"/>
        </w:rPr>
      </w:pPr>
    </w:p>
    <w:p w:rsidR="004109D4" w:rsidRPr="004109D4" w:rsidRDefault="004109D4" w:rsidP="00B46523">
      <w:pPr>
        <w:spacing w:line="288" w:lineRule="auto"/>
        <w:ind w:left="4320"/>
        <w:rPr>
          <w:i/>
          <w:iCs/>
          <w:color w:val="000000"/>
          <w:lang w:val="da-DK"/>
        </w:rPr>
      </w:pPr>
      <w:r w:rsidRPr="004109D4">
        <w:rPr>
          <w:i/>
          <w:iCs/>
          <w:color w:val="000000"/>
          <w:lang w:val="da-DK"/>
        </w:rPr>
        <w:t>Til § 3</w:t>
      </w:r>
    </w:p>
    <w:p w:rsidR="004E4672" w:rsidRDefault="004E4672" w:rsidP="004109D4">
      <w:pPr>
        <w:spacing w:line="288" w:lineRule="auto"/>
        <w:jc w:val="both"/>
        <w:rPr>
          <w:iCs/>
          <w:color w:val="000000"/>
          <w:lang w:val="da-DK"/>
        </w:rPr>
      </w:pPr>
    </w:p>
    <w:p w:rsidR="004109D4" w:rsidRPr="004109D4" w:rsidRDefault="004109D4" w:rsidP="004109D4">
      <w:pPr>
        <w:spacing w:line="288" w:lineRule="auto"/>
        <w:jc w:val="both"/>
        <w:rPr>
          <w:iCs/>
          <w:color w:val="000000"/>
          <w:lang w:val="da-DK"/>
        </w:rPr>
      </w:pPr>
      <w:r w:rsidRPr="004109D4">
        <w:rPr>
          <w:iCs/>
          <w:color w:val="000000"/>
          <w:lang w:val="da-DK"/>
        </w:rPr>
        <w:t>Til nr. 1</w:t>
      </w:r>
    </w:p>
    <w:p w:rsidR="004109D4" w:rsidRPr="004109D4" w:rsidRDefault="004109D4" w:rsidP="004109D4">
      <w:pPr>
        <w:spacing w:line="288" w:lineRule="auto"/>
        <w:jc w:val="both"/>
        <w:rPr>
          <w:iCs/>
          <w:color w:val="000000"/>
          <w:lang w:val="da-DK"/>
        </w:rPr>
      </w:pPr>
      <w:r w:rsidRPr="004109D4">
        <w:rPr>
          <w:iCs/>
          <w:color w:val="000000"/>
          <w:lang w:val="da-DK"/>
        </w:rPr>
        <w:t xml:space="preserve">Det foreslås, at danske selskaber og udenlandske selskabers faste driftssteder i Danmark alene skal medregne 70 pct. af udbytterne </w:t>
      </w:r>
      <w:r w:rsidR="00815826">
        <w:rPr>
          <w:iCs/>
          <w:color w:val="000000"/>
          <w:lang w:val="da-DK"/>
        </w:rPr>
        <w:t>fra unoterede porteføljeaktier ved opgørelsen af</w:t>
      </w:r>
      <w:r w:rsidRPr="004109D4">
        <w:rPr>
          <w:iCs/>
          <w:color w:val="000000"/>
          <w:lang w:val="da-DK"/>
        </w:rPr>
        <w:t xml:space="preserve"> den skattepligtige indkomst. Dette medfører, at den reelle skattesats på disse udbyttebeskatninger bliver 16,45 pct. i 2015 (70 pct. af selskabsskattesatsen på 23,5 pct.) og 15,4 pct. i 2016 og efterfølgende indkomstår (70 pct. af selskabsskattesatsen på 22 pct.).</w:t>
      </w:r>
    </w:p>
    <w:p w:rsidR="004109D4" w:rsidRPr="004109D4" w:rsidRDefault="004109D4" w:rsidP="004109D4">
      <w:pPr>
        <w:spacing w:line="288" w:lineRule="auto"/>
        <w:jc w:val="both"/>
        <w:rPr>
          <w:iCs/>
          <w:color w:val="000000"/>
          <w:lang w:val="da-DK"/>
        </w:rPr>
      </w:pPr>
    </w:p>
    <w:p w:rsidR="004109D4" w:rsidRPr="004109D4" w:rsidRDefault="004109D4" w:rsidP="004109D4">
      <w:pPr>
        <w:spacing w:line="288" w:lineRule="auto"/>
        <w:jc w:val="both"/>
        <w:rPr>
          <w:color w:val="000000"/>
          <w:lang w:val="da-DK"/>
        </w:rPr>
      </w:pPr>
      <w:r w:rsidRPr="004109D4">
        <w:rPr>
          <w:color w:val="000000"/>
          <w:lang w:val="da-DK"/>
        </w:rPr>
        <w:t>Afgrænsningen af de omfattede unoterede porteføljeaktier foreslås foretaget på samme måde som i aktieavancebeskatningslovens § 4 C, som indeholder definitionen af de porteføljeaktier, der er frit</w:t>
      </w:r>
      <w:r w:rsidRPr="004109D4">
        <w:rPr>
          <w:color w:val="000000"/>
          <w:lang w:val="da-DK"/>
        </w:rPr>
        <w:t>a</w:t>
      </w:r>
      <w:r w:rsidRPr="004109D4">
        <w:rPr>
          <w:color w:val="000000"/>
          <w:lang w:val="da-DK"/>
        </w:rPr>
        <w:t>get fra beskatning af avancer, og hvor tab ikke er fradragsberettigede. Det er efter denne definition en betingelse, at aktierne ikke er optaget til handel på et reguleret marked eller en multilateral ha</w:t>
      </w:r>
      <w:r w:rsidRPr="004109D4">
        <w:rPr>
          <w:color w:val="000000"/>
          <w:lang w:val="da-DK"/>
        </w:rPr>
        <w:t>n</w:t>
      </w:r>
      <w:r w:rsidRPr="004109D4">
        <w:rPr>
          <w:color w:val="000000"/>
          <w:lang w:val="da-DK"/>
        </w:rPr>
        <w:t>delsfacilitet. De skal desuden ejes af et selskab m</w:t>
      </w:r>
      <w:r w:rsidR="0058373D">
        <w:rPr>
          <w:color w:val="000000"/>
          <w:lang w:val="da-DK"/>
        </w:rPr>
        <w:t>.</w:t>
      </w:r>
      <w:r w:rsidRPr="004109D4">
        <w:rPr>
          <w:color w:val="000000"/>
          <w:lang w:val="da-DK"/>
        </w:rPr>
        <w:t>v., der ejer mindre end 10 pct. af aktiekapitalen i porteføljeselskabet. Livsforsikringsselskabers besiddelser af porteføljeaktier er ikke omfattet af d</w:t>
      </w:r>
      <w:r w:rsidRPr="004109D4">
        <w:rPr>
          <w:color w:val="000000"/>
          <w:lang w:val="da-DK"/>
        </w:rPr>
        <w:t>e</w:t>
      </w:r>
      <w:r w:rsidRPr="004109D4">
        <w:rPr>
          <w:color w:val="000000"/>
          <w:lang w:val="da-DK"/>
        </w:rPr>
        <w:t xml:space="preserve">finitionen. </w:t>
      </w:r>
    </w:p>
    <w:p w:rsidR="004109D4" w:rsidRPr="004109D4" w:rsidRDefault="004109D4" w:rsidP="004109D4">
      <w:pPr>
        <w:spacing w:line="288" w:lineRule="auto"/>
        <w:jc w:val="both"/>
        <w:rPr>
          <w:color w:val="000000"/>
          <w:lang w:val="da-DK"/>
        </w:rPr>
      </w:pPr>
    </w:p>
    <w:p w:rsidR="004109D4" w:rsidRPr="004109D4" w:rsidRDefault="004109D4" w:rsidP="004109D4">
      <w:pPr>
        <w:spacing w:line="288" w:lineRule="auto"/>
        <w:jc w:val="both"/>
        <w:rPr>
          <w:color w:val="000000"/>
          <w:lang w:val="da-DK"/>
        </w:rPr>
      </w:pPr>
      <w:r w:rsidRPr="004109D4">
        <w:rPr>
          <w:color w:val="000000"/>
          <w:lang w:val="da-DK"/>
        </w:rPr>
        <w:t>Det fremgår endvidere af aktieavancebeskatningslovens § 4 C, at porteføljeselskabet skal være et aktie- eller anpartsselskab, som er skattepligtigt efter selskabsskattelovens § 1, stk. 1, nr. 1, eller et tilsvarende udenlandsk selskab. Den tidligere 66 pct. regel i sels</w:t>
      </w:r>
      <w:r w:rsidR="00256B71">
        <w:rPr>
          <w:color w:val="000000"/>
          <w:lang w:val="da-DK"/>
        </w:rPr>
        <w:t>kabsskattelovens § 13 indeholdt</w:t>
      </w:r>
      <w:r w:rsidRPr="004109D4">
        <w:rPr>
          <w:color w:val="000000"/>
          <w:lang w:val="da-DK"/>
        </w:rPr>
        <w:t xml:space="preserve"> en specifik undtagelse for udbytter fra udloddende investeringsforeninger, der før den 1. januar 2013 har truffet beslutning om beskatning efter ligningslovens § 16 C, stk. 13, jf. lovbekendtgørelse nr. 1017 af 28. oktober 2011. Nedsættelsen af udbyttebeskatningen omfatter ikke udbytter fra sådanne investeringsforeninger, da der ikke er tale om aktie- eller anpartsselskaber.</w:t>
      </w:r>
    </w:p>
    <w:p w:rsidR="004109D4" w:rsidRPr="004109D4" w:rsidRDefault="004109D4" w:rsidP="004109D4">
      <w:pPr>
        <w:spacing w:line="288" w:lineRule="auto"/>
        <w:jc w:val="both"/>
        <w:rPr>
          <w:color w:val="000000"/>
          <w:lang w:val="da-DK"/>
        </w:rPr>
      </w:pPr>
    </w:p>
    <w:p w:rsidR="004109D4" w:rsidRPr="004109D4" w:rsidRDefault="004109D4" w:rsidP="004109D4">
      <w:pPr>
        <w:spacing w:line="288" w:lineRule="auto"/>
        <w:jc w:val="both"/>
        <w:rPr>
          <w:color w:val="000000"/>
          <w:lang w:val="da-DK"/>
        </w:rPr>
      </w:pPr>
      <w:r w:rsidRPr="004109D4">
        <w:rPr>
          <w:color w:val="000000"/>
          <w:lang w:val="da-DK"/>
        </w:rPr>
        <w:t xml:space="preserve">I bestemmelsen er der indsat en </w:t>
      </w:r>
      <w:proofErr w:type="spellStart"/>
      <w:r w:rsidRPr="004109D4">
        <w:rPr>
          <w:color w:val="000000"/>
          <w:lang w:val="da-DK"/>
        </w:rPr>
        <w:t>værnsregel</w:t>
      </w:r>
      <w:proofErr w:type="spellEnd"/>
      <w:r w:rsidRPr="004109D4">
        <w:rPr>
          <w:color w:val="000000"/>
          <w:lang w:val="da-DK"/>
        </w:rPr>
        <w:t>, således at aktier i selskaber, der besidder en stor b</w:t>
      </w:r>
      <w:r w:rsidRPr="004109D4">
        <w:rPr>
          <w:color w:val="000000"/>
          <w:lang w:val="da-DK"/>
        </w:rPr>
        <w:t>e</w:t>
      </w:r>
      <w:r w:rsidRPr="004109D4">
        <w:rPr>
          <w:color w:val="000000"/>
          <w:lang w:val="da-DK"/>
        </w:rPr>
        <w:t>holdning af noterede aktier målt i forhold til egenkapitalen, ikke er omfattet af definitionen på po</w:t>
      </w:r>
      <w:r w:rsidRPr="004109D4">
        <w:rPr>
          <w:color w:val="000000"/>
          <w:lang w:val="da-DK"/>
        </w:rPr>
        <w:t>r</w:t>
      </w:r>
      <w:r w:rsidRPr="004109D4">
        <w:rPr>
          <w:color w:val="000000"/>
          <w:lang w:val="da-DK"/>
        </w:rPr>
        <w:t>teføljeaktier. Konvertible obligationer og tegningsretter til konvertible obligationer samt datterse</w:t>
      </w:r>
      <w:r w:rsidRPr="004109D4">
        <w:rPr>
          <w:color w:val="000000"/>
          <w:lang w:val="da-DK"/>
        </w:rPr>
        <w:t>l</w:t>
      </w:r>
      <w:r w:rsidRPr="004109D4">
        <w:rPr>
          <w:color w:val="000000"/>
          <w:lang w:val="da-DK"/>
        </w:rPr>
        <w:t>skabsaktier og koncernselskabsaktier er heller ikke omfattet af definitionen på porteføljeaktier o</w:t>
      </w:r>
      <w:r w:rsidRPr="004109D4">
        <w:rPr>
          <w:color w:val="000000"/>
          <w:lang w:val="da-DK"/>
        </w:rPr>
        <w:t>m</w:t>
      </w:r>
      <w:r w:rsidRPr="004109D4">
        <w:rPr>
          <w:color w:val="000000"/>
          <w:lang w:val="da-DK"/>
        </w:rPr>
        <w:t xml:space="preserve">fattet af aktieavancebeskatningslovens § 4 C. </w:t>
      </w:r>
    </w:p>
    <w:p w:rsidR="004109D4" w:rsidRPr="004109D4" w:rsidRDefault="004109D4" w:rsidP="004109D4">
      <w:pPr>
        <w:spacing w:line="288" w:lineRule="auto"/>
        <w:jc w:val="both"/>
        <w:rPr>
          <w:color w:val="000000"/>
          <w:lang w:val="da-DK"/>
        </w:rPr>
      </w:pPr>
    </w:p>
    <w:p w:rsidR="004109D4" w:rsidRPr="004109D4" w:rsidRDefault="004109D4" w:rsidP="004109D4">
      <w:pPr>
        <w:spacing w:line="288" w:lineRule="auto"/>
        <w:jc w:val="both"/>
        <w:rPr>
          <w:color w:val="000000"/>
          <w:lang w:val="da-DK"/>
        </w:rPr>
      </w:pPr>
      <w:r w:rsidRPr="004109D4">
        <w:rPr>
          <w:color w:val="000000"/>
          <w:lang w:val="da-DK"/>
        </w:rPr>
        <w:t>Det foreslås, at nedsættelsen af udbyttebeskatningen ligeledes ikke finder anvendelse, hvis aktierne i det udbyttegivende selskab er næringsaktier omfattet af aktieavancebeskatningslovens § 17 eller investeringsselskabsaktier omfattet af aktieavancebeskatningslovens § 19. Dette svarer til afgræn</w:t>
      </w:r>
      <w:r w:rsidRPr="004109D4">
        <w:rPr>
          <w:color w:val="000000"/>
          <w:lang w:val="da-DK"/>
        </w:rPr>
        <w:t>s</w:t>
      </w:r>
      <w:r w:rsidRPr="004109D4">
        <w:rPr>
          <w:color w:val="000000"/>
          <w:lang w:val="da-DK"/>
        </w:rPr>
        <w:t xml:space="preserve">ningen for skattefriheden for avancer på porteføljeaktier, som ikke finder anvendelse, hvis der er tale om næringsaktier og aktier i investeringsselskaber. </w:t>
      </w:r>
    </w:p>
    <w:p w:rsidR="004109D4" w:rsidRPr="004109D4" w:rsidRDefault="004109D4" w:rsidP="004109D4">
      <w:pPr>
        <w:spacing w:line="288" w:lineRule="auto"/>
        <w:jc w:val="both"/>
        <w:rPr>
          <w:color w:val="000000"/>
          <w:lang w:val="da-DK"/>
        </w:rPr>
      </w:pPr>
    </w:p>
    <w:p w:rsidR="004109D4" w:rsidRPr="004109D4" w:rsidRDefault="004109D4" w:rsidP="008120F3">
      <w:pPr>
        <w:spacing w:line="288" w:lineRule="auto"/>
        <w:jc w:val="both"/>
        <w:rPr>
          <w:iCs/>
          <w:color w:val="000000"/>
          <w:lang w:val="da-DK"/>
        </w:rPr>
      </w:pPr>
      <w:r w:rsidRPr="004109D4">
        <w:rPr>
          <w:color w:val="000000"/>
          <w:lang w:val="da-DK"/>
        </w:rPr>
        <w:lastRenderedPageBreak/>
        <w:t>Endelig foreslås det, at nedsættelsen af udbyttebeskatningen ikke finder anvendelse, hvis det udby</w:t>
      </w:r>
      <w:r w:rsidRPr="004109D4">
        <w:rPr>
          <w:color w:val="000000"/>
          <w:lang w:val="da-DK"/>
        </w:rPr>
        <w:t>t</w:t>
      </w:r>
      <w:r w:rsidRPr="004109D4">
        <w:rPr>
          <w:color w:val="000000"/>
          <w:lang w:val="da-DK"/>
        </w:rPr>
        <w:t>tegivende selskab har fradrag for udbytteudlodningen. Herved undgås</w:t>
      </w:r>
      <w:r w:rsidR="00BF6820">
        <w:rPr>
          <w:color w:val="000000"/>
          <w:lang w:val="da-DK"/>
        </w:rPr>
        <w:t xml:space="preserve"> bl.a.</w:t>
      </w:r>
      <w:r w:rsidRPr="004109D4">
        <w:rPr>
          <w:color w:val="000000"/>
          <w:lang w:val="da-DK"/>
        </w:rPr>
        <w:t>, at der opstår en asy</w:t>
      </w:r>
      <w:r w:rsidRPr="004109D4">
        <w:rPr>
          <w:color w:val="000000"/>
          <w:lang w:val="da-DK"/>
        </w:rPr>
        <w:t>m</w:t>
      </w:r>
      <w:r w:rsidRPr="004109D4">
        <w:rPr>
          <w:color w:val="000000"/>
          <w:lang w:val="da-DK"/>
        </w:rPr>
        <w:t xml:space="preserve">metri mellem den skattemæssige behandling i porteføljeselskabet (ingen beskatning af indkomsten) og investorselskabet (delvist skattefritaget), f.eks. som følge af, at det land, hvor porteføljeselskabet er hjemmehørende, anser betalingen for at være en rentebetaling. </w:t>
      </w:r>
      <w:r w:rsidR="008120F3" w:rsidRPr="00AF44CA">
        <w:rPr>
          <w:color w:val="000000"/>
          <w:lang w:val="da-DK"/>
        </w:rPr>
        <w:t xml:space="preserve">For at sikre, at dette ikke omgås, foreslås det, at nedsættelsen af udbyttebeskatningen heller ikke </w:t>
      </w:r>
      <w:r w:rsidR="00B97A8D" w:rsidRPr="00AF44CA">
        <w:rPr>
          <w:color w:val="000000"/>
          <w:lang w:val="da-DK"/>
        </w:rPr>
        <w:t>finder anvendelse</w:t>
      </w:r>
      <w:r w:rsidR="008120F3" w:rsidRPr="00AF44CA">
        <w:rPr>
          <w:color w:val="000000"/>
          <w:lang w:val="da-DK"/>
        </w:rPr>
        <w:t xml:space="preserve">, i det omfang et datterselskab på et lavere </w:t>
      </w:r>
      <w:proofErr w:type="spellStart"/>
      <w:r w:rsidR="008120F3" w:rsidRPr="00AF44CA">
        <w:rPr>
          <w:color w:val="000000"/>
          <w:lang w:val="da-DK"/>
        </w:rPr>
        <w:t>ejerniveau</w:t>
      </w:r>
      <w:proofErr w:type="spellEnd"/>
      <w:r w:rsidR="008120F3" w:rsidRPr="00AF44CA">
        <w:rPr>
          <w:color w:val="000000"/>
          <w:lang w:val="da-DK"/>
        </w:rPr>
        <w:t xml:space="preserve"> har haft fradrag for udbytteudlodningen</w:t>
      </w:r>
      <w:r w:rsidR="00B97A8D" w:rsidRPr="00AF44CA">
        <w:rPr>
          <w:color w:val="000000"/>
          <w:lang w:val="da-DK"/>
        </w:rPr>
        <w:t>, jf. selskabsskattel</w:t>
      </w:r>
      <w:r w:rsidR="00B97A8D" w:rsidRPr="00AF44CA">
        <w:rPr>
          <w:color w:val="000000"/>
          <w:lang w:val="da-DK"/>
        </w:rPr>
        <w:t>o</w:t>
      </w:r>
      <w:r w:rsidR="00B97A8D" w:rsidRPr="00AF44CA">
        <w:rPr>
          <w:color w:val="000000"/>
          <w:lang w:val="da-DK"/>
        </w:rPr>
        <w:t xml:space="preserve">vens § 13, </w:t>
      </w:r>
      <w:r w:rsidR="00AF44CA">
        <w:rPr>
          <w:color w:val="000000"/>
          <w:lang w:val="da-DK"/>
        </w:rPr>
        <w:t>s</w:t>
      </w:r>
      <w:r w:rsidR="00B97A8D" w:rsidRPr="00AF44CA">
        <w:rPr>
          <w:color w:val="000000"/>
          <w:lang w:val="da-DK"/>
        </w:rPr>
        <w:t>tk. 1, nr. 2, 4. pkt.</w:t>
      </w:r>
      <w:r w:rsidR="008120F3" w:rsidRPr="00AF44CA">
        <w:rPr>
          <w:color w:val="000000"/>
          <w:lang w:val="da-DK"/>
        </w:rPr>
        <w:t xml:space="preserve"> Udbyttebeskatningen vil dog skulle nedsættes, hvis en udenlandsk kildebeskatning på et mellemliggende </w:t>
      </w:r>
      <w:proofErr w:type="spellStart"/>
      <w:r w:rsidR="008120F3" w:rsidRPr="00AF44CA">
        <w:rPr>
          <w:color w:val="000000"/>
          <w:lang w:val="da-DK"/>
        </w:rPr>
        <w:t>ejerniveau</w:t>
      </w:r>
      <w:proofErr w:type="spellEnd"/>
      <w:r w:rsidR="008120F3" w:rsidRPr="00AF44CA">
        <w:rPr>
          <w:color w:val="000000"/>
          <w:lang w:val="da-DK"/>
        </w:rPr>
        <w:t xml:space="preserve"> har skullet frafaldes eller nedsættes efter moder-/datterselskabsdirektivet</w:t>
      </w:r>
      <w:r w:rsidR="00B97A8D" w:rsidRPr="00AF44CA">
        <w:rPr>
          <w:color w:val="000000"/>
          <w:lang w:val="da-DK"/>
        </w:rPr>
        <w:t xml:space="preserve">. </w:t>
      </w:r>
    </w:p>
    <w:p w:rsidR="004109D4" w:rsidRPr="004109D4" w:rsidRDefault="004109D4" w:rsidP="004109D4">
      <w:pPr>
        <w:spacing w:line="288" w:lineRule="auto"/>
        <w:jc w:val="both"/>
        <w:rPr>
          <w:i/>
          <w:iCs/>
          <w:color w:val="000000"/>
          <w:lang w:val="da-DK"/>
        </w:rPr>
      </w:pPr>
    </w:p>
    <w:p w:rsidR="004109D4" w:rsidRPr="004109D4" w:rsidRDefault="004424F8" w:rsidP="004109D4">
      <w:pPr>
        <w:spacing w:line="288" w:lineRule="auto"/>
        <w:jc w:val="both"/>
        <w:rPr>
          <w:iCs/>
          <w:color w:val="000000"/>
          <w:lang w:val="da-DK"/>
        </w:rPr>
      </w:pPr>
      <w:r>
        <w:rPr>
          <w:iCs/>
          <w:color w:val="000000"/>
          <w:lang w:val="da-DK"/>
        </w:rPr>
        <w:t>Til nr. 2-14</w:t>
      </w:r>
    </w:p>
    <w:p w:rsidR="00373D00" w:rsidRDefault="004109D4" w:rsidP="004109D4">
      <w:pPr>
        <w:spacing w:line="288" w:lineRule="auto"/>
        <w:jc w:val="both"/>
        <w:rPr>
          <w:color w:val="000000"/>
          <w:lang w:val="da-DK"/>
        </w:rPr>
      </w:pPr>
      <w:r w:rsidRPr="004109D4">
        <w:rPr>
          <w:bCs/>
          <w:color w:val="000000"/>
          <w:lang w:val="da-DK"/>
        </w:rPr>
        <w:t>Der er tale om konsekvensændring</w:t>
      </w:r>
      <w:r w:rsidR="0058373D">
        <w:rPr>
          <w:bCs/>
          <w:color w:val="000000"/>
          <w:lang w:val="da-DK"/>
        </w:rPr>
        <w:t>er</w:t>
      </w:r>
      <w:r w:rsidRPr="004109D4">
        <w:rPr>
          <w:bCs/>
          <w:color w:val="000000"/>
          <w:lang w:val="da-DK"/>
        </w:rPr>
        <w:t xml:space="preserve"> som følge af indsættelsen af et nyt stk</w:t>
      </w:r>
      <w:r w:rsidR="0058373D">
        <w:rPr>
          <w:bCs/>
          <w:color w:val="000000"/>
          <w:lang w:val="da-DK"/>
        </w:rPr>
        <w:t>.</w:t>
      </w:r>
      <w:r w:rsidRPr="004109D4">
        <w:rPr>
          <w:bCs/>
          <w:color w:val="000000"/>
          <w:lang w:val="da-DK"/>
        </w:rPr>
        <w:t xml:space="preserve"> 2 i selskabsskattelovens § 13</w:t>
      </w:r>
      <w:r w:rsidR="0058373D">
        <w:rPr>
          <w:bCs/>
          <w:color w:val="000000"/>
          <w:lang w:val="da-DK"/>
        </w:rPr>
        <w:t>, jf. lovforslagets § 3, nr. 1</w:t>
      </w:r>
      <w:r w:rsidRPr="004109D4">
        <w:rPr>
          <w:bCs/>
          <w:color w:val="000000"/>
          <w:lang w:val="da-DK"/>
        </w:rPr>
        <w:t>.</w:t>
      </w:r>
    </w:p>
    <w:p w:rsidR="004109D4" w:rsidRDefault="004109D4" w:rsidP="004109D4">
      <w:pPr>
        <w:spacing w:line="288" w:lineRule="auto"/>
        <w:jc w:val="center"/>
        <w:rPr>
          <w:i/>
          <w:iCs/>
          <w:color w:val="000000"/>
          <w:lang w:val="da-DK"/>
        </w:rPr>
      </w:pPr>
    </w:p>
    <w:p w:rsidR="004109D4" w:rsidRPr="004109D4" w:rsidRDefault="004109D4" w:rsidP="004109D4">
      <w:pPr>
        <w:spacing w:line="288" w:lineRule="auto"/>
        <w:jc w:val="center"/>
        <w:rPr>
          <w:i/>
          <w:iCs/>
          <w:color w:val="000000"/>
          <w:lang w:val="da-DK"/>
        </w:rPr>
      </w:pPr>
      <w:r w:rsidRPr="004109D4">
        <w:rPr>
          <w:i/>
          <w:iCs/>
          <w:color w:val="000000"/>
          <w:lang w:val="da-DK"/>
        </w:rPr>
        <w:t>Til § 4</w:t>
      </w:r>
    </w:p>
    <w:p w:rsidR="004109D4" w:rsidRDefault="004109D4" w:rsidP="004109D4">
      <w:pPr>
        <w:spacing w:line="288" w:lineRule="auto"/>
        <w:jc w:val="both"/>
        <w:rPr>
          <w:bCs/>
          <w:color w:val="000000"/>
          <w:lang w:val="da-DK"/>
        </w:rPr>
      </w:pPr>
    </w:p>
    <w:p w:rsidR="004109D4" w:rsidRPr="004109D4" w:rsidRDefault="004109D4" w:rsidP="004109D4">
      <w:pPr>
        <w:spacing w:line="288" w:lineRule="auto"/>
        <w:jc w:val="both"/>
        <w:rPr>
          <w:bCs/>
          <w:color w:val="000000"/>
          <w:lang w:val="da-DK"/>
        </w:rPr>
      </w:pPr>
      <w:r w:rsidRPr="004109D4">
        <w:rPr>
          <w:bCs/>
          <w:color w:val="000000"/>
          <w:lang w:val="da-DK"/>
        </w:rPr>
        <w:t>Til nr. 1</w:t>
      </w:r>
    </w:p>
    <w:p w:rsidR="00373D00" w:rsidRPr="00373D00" w:rsidRDefault="004109D4" w:rsidP="004109D4">
      <w:pPr>
        <w:spacing w:line="288" w:lineRule="auto"/>
        <w:jc w:val="both"/>
        <w:rPr>
          <w:color w:val="000000"/>
          <w:lang w:val="da-DK"/>
        </w:rPr>
      </w:pPr>
      <w:r w:rsidRPr="004109D4">
        <w:rPr>
          <w:bCs/>
          <w:color w:val="000000"/>
          <w:lang w:val="da-DK"/>
        </w:rPr>
        <w:t>Der er tale om en konsekvensændring som følge af indsættelsen af et nyt stk</w:t>
      </w:r>
      <w:r w:rsidR="0058373D">
        <w:rPr>
          <w:bCs/>
          <w:color w:val="000000"/>
          <w:lang w:val="da-DK"/>
        </w:rPr>
        <w:t>.</w:t>
      </w:r>
      <w:r w:rsidRPr="004109D4">
        <w:rPr>
          <w:bCs/>
          <w:color w:val="000000"/>
          <w:lang w:val="da-DK"/>
        </w:rPr>
        <w:t xml:space="preserve"> 2 i selskabsskattel</w:t>
      </w:r>
      <w:r w:rsidRPr="004109D4">
        <w:rPr>
          <w:bCs/>
          <w:color w:val="000000"/>
          <w:lang w:val="da-DK"/>
        </w:rPr>
        <w:t>o</w:t>
      </w:r>
      <w:r w:rsidRPr="004109D4">
        <w:rPr>
          <w:bCs/>
          <w:color w:val="000000"/>
          <w:lang w:val="da-DK"/>
        </w:rPr>
        <w:t>vens § 13</w:t>
      </w:r>
      <w:r w:rsidR="0058373D">
        <w:rPr>
          <w:bCs/>
          <w:color w:val="000000"/>
          <w:lang w:val="da-DK"/>
        </w:rPr>
        <w:t>, jf. lovforslagets § 3, nr. 1</w:t>
      </w:r>
      <w:r w:rsidRPr="004109D4">
        <w:rPr>
          <w:bCs/>
          <w:color w:val="000000"/>
          <w:lang w:val="da-DK"/>
        </w:rPr>
        <w:t>.</w:t>
      </w:r>
    </w:p>
    <w:p w:rsidR="004109D4" w:rsidRDefault="004109D4" w:rsidP="00373D00">
      <w:pPr>
        <w:spacing w:line="288" w:lineRule="auto"/>
        <w:jc w:val="center"/>
        <w:rPr>
          <w:i/>
          <w:iCs/>
          <w:color w:val="000000"/>
          <w:lang w:val="da-DK"/>
        </w:rPr>
      </w:pPr>
    </w:p>
    <w:p w:rsidR="00373D00" w:rsidRPr="009F1907" w:rsidRDefault="00373D00" w:rsidP="00373D00">
      <w:pPr>
        <w:spacing w:line="288" w:lineRule="auto"/>
        <w:jc w:val="center"/>
        <w:rPr>
          <w:i/>
          <w:iCs/>
          <w:color w:val="000000"/>
          <w:lang w:val="da-DK"/>
        </w:rPr>
      </w:pPr>
      <w:r w:rsidRPr="009F1907">
        <w:rPr>
          <w:i/>
          <w:iCs/>
          <w:color w:val="000000"/>
          <w:lang w:val="da-DK"/>
        </w:rPr>
        <w:t>Til §</w:t>
      </w:r>
      <w:r w:rsidR="004109D4">
        <w:rPr>
          <w:i/>
          <w:iCs/>
          <w:color w:val="000000"/>
          <w:lang w:val="da-DK"/>
        </w:rPr>
        <w:t xml:space="preserve"> 5</w:t>
      </w:r>
    </w:p>
    <w:p w:rsidR="004109D4" w:rsidRDefault="004109D4" w:rsidP="00373D00">
      <w:pPr>
        <w:spacing w:line="288" w:lineRule="auto"/>
        <w:rPr>
          <w:b/>
          <w:bCs/>
          <w:color w:val="000000"/>
          <w:lang w:val="da-DK"/>
        </w:rPr>
      </w:pPr>
    </w:p>
    <w:p w:rsidR="0058373D" w:rsidRDefault="0058373D" w:rsidP="00B46523">
      <w:pPr>
        <w:spacing w:line="288" w:lineRule="auto"/>
        <w:jc w:val="both"/>
        <w:rPr>
          <w:iCs/>
          <w:lang w:val="da-DK"/>
        </w:rPr>
      </w:pPr>
    </w:p>
    <w:p w:rsidR="00B663A2" w:rsidRDefault="004109D4" w:rsidP="00B46523">
      <w:pPr>
        <w:spacing w:line="288" w:lineRule="auto"/>
        <w:jc w:val="both"/>
        <w:rPr>
          <w:color w:val="000000"/>
          <w:lang w:val="da-DK"/>
        </w:rPr>
      </w:pPr>
      <w:r>
        <w:rPr>
          <w:iCs/>
          <w:lang w:val="da-DK"/>
        </w:rPr>
        <w:t>Det foreslås, at l</w:t>
      </w:r>
      <w:r w:rsidRPr="00693AF7">
        <w:rPr>
          <w:iCs/>
          <w:lang w:val="da-DK"/>
        </w:rPr>
        <w:t>oven træder i kraft den 1. januar 2015</w:t>
      </w:r>
      <w:r>
        <w:rPr>
          <w:iCs/>
          <w:lang w:val="da-DK"/>
        </w:rPr>
        <w:t xml:space="preserve"> og har virkning for udbytter, der </w:t>
      </w:r>
      <w:r w:rsidR="009B01AB">
        <w:rPr>
          <w:iCs/>
          <w:lang w:val="da-DK"/>
        </w:rPr>
        <w:t xml:space="preserve">vedtages eller besluttes </w:t>
      </w:r>
      <w:r>
        <w:rPr>
          <w:iCs/>
          <w:lang w:val="da-DK"/>
        </w:rPr>
        <w:t>udlodde</w:t>
      </w:r>
      <w:r w:rsidR="009B01AB">
        <w:rPr>
          <w:iCs/>
          <w:lang w:val="da-DK"/>
        </w:rPr>
        <w:t>t</w:t>
      </w:r>
      <w:r>
        <w:rPr>
          <w:iCs/>
          <w:lang w:val="da-DK"/>
        </w:rPr>
        <w:t xml:space="preserve"> fra og med den 1. januar 2015.</w:t>
      </w: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C12558" w:rsidRDefault="00C12558" w:rsidP="0036355D">
      <w:pPr>
        <w:tabs>
          <w:tab w:val="left" w:pos="0"/>
          <w:tab w:val="left" w:pos="900"/>
        </w:tabs>
        <w:spacing w:line="288" w:lineRule="auto"/>
        <w:jc w:val="right"/>
        <w:rPr>
          <w:color w:val="000000"/>
          <w:lang w:val="da-DK"/>
        </w:rPr>
      </w:pPr>
    </w:p>
    <w:p w:rsidR="00601778" w:rsidRPr="00601778" w:rsidRDefault="00601778" w:rsidP="00601778">
      <w:pPr>
        <w:jc w:val="right"/>
        <w:rPr>
          <w:b/>
          <w:bCs/>
          <w:lang w:val="da-DK"/>
        </w:rPr>
      </w:pPr>
    </w:p>
    <w:p w:rsidR="00601778" w:rsidRPr="00C12558" w:rsidRDefault="00601778" w:rsidP="008F2B51">
      <w:pPr>
        <w:tabs>
          <w:tab w:val="left" w:pos="900"/>
          <w:tab w:val="left" w:pos="1080"/>
        </w:tabs>
        <w:rPr>
          <w:lang w:val="da-DK"/>
        </w:rPr>
      </w:pPr>
    </w:p>
    <w:p w:rsidR="00601778" w:rsidRPr="00C12558" w:rsidRDefault="00601778" w:rsidP="00601778">
      <w:pPr>
        <w:ind w:right="1"/>
        <w:rPr>
          <w:lang w:val="da-DK"/>
        </w:rPr>
      </w:pPr>
    </w:p>
    <w:p w:rsidR="00601778" w:rsidRPr="00601778" w:rsidRDefault="00601778" w:rsidP="00601778">
      <w:pPr>
        <w:ind w:right="1"/>
        <w:rPr>
          <w:lang w:val="da-DK"/>
        </w:rPr>
      </w:pPr>
      <w:r w:rsidRPr="00601778">
        <w:rPr>
          <w:b/>
          <w:bCs/>
          <w:lang w:val="da-DK"/>
        </w:rPr>
        <w:br w:type="page"/>
      </w:r>
      <w:r w:rsidRPr="00601778" w:rsidDel="00CF4AB4">
        <w:rPr>
          <w:b/>
          <w:bCs/>
          <w:lang w:val="da-DK"/>
        </w:rPr>
        <w:lastRenderedPageBreak/>
        <w:t xml:space="preserve"> </w:t>
      </w:r>
    </w:p>
    <w:p w:rsidR="00601778" w:rsidRPr="00601778" w:rsidRDefault="00601778" w:rsidP="00601778">
      <w:pPr>
        <w:ind w:right="1"/>
        <w:rPr>
          <w:b/>
          <w:lang w:val="da-DK"/>
        </w:rPr>
      </w:pP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Pr="00601778">
        <w:rPr>
          <w:lang w:val="da-DK"/>
        </w:rPr>
        <w:tab/>
      </w:r>
      <w:r w:rsidR="004109D4">
        <w:rPr>
          <w:b/>
          <w:lang w:val="da-DK"/>
        </w:rPr>
        <w:t>Bilag 1</w:t>
      </w:r>
    </w:p>
    <w:p w:rsidR="00601778" w:rsidRPr="00601778" w:rsidRDefault="00601778" w:rsidP="00601778">
      <w:pPr>
        <w:ind w:left="720" w:firstLine="720"/>
        <w:rPr>
          <w:b/>
          <w:bCs/>
          <w:lang w:val="da-DK"/>
        </w:rPr>
      </w:pPr>
    </w:p>
    <w:p w:rsidR="00601778" w:rsidRPr="00601778" w:rsidRDefault="00601778" w:rsidP="00601778">
      <w:pPr>
        <w:ind w:left="1440" w:firstLine="720"/>
        <w:rPr>
          <w:b/>
          <w:bCs/>
          <w:lang w:val="da-DK"/>
        </w:rPr>
      </w:pPr>
      <w:r w:rsidRPr="00601778">
        <w:rPr>
          <w:b/>
          <w:bCs/>
          <w:lang w:val="da-DK"/>
        </w:rPr>
        <w:t>Lovforslaget sammenholdt med gældende lov</w:t>
      </w:r>
    </w:p>
    <w:p w:rsidR="00373D00" w:rsidRDefault="00373D00" w:rsidP="004109D4">
      <w:pPr>
        <w:tabs>
          <w:tab w:val="left" w:pos="0"/>
          <w:tab w:val="left" w:pos="900"/>
        </w:tabs>
        <w:spacing w:line="288" w:lineRule="auto"/>
        <w:rPr>
          <w:color w:val="000000"/>
          <w:lang w:val="da-DK"/>
        </w:rPr>
      </w:pPr>
    </w:p>
    <w:tbl>
      <w:tblPr>
        <w:tblStyle w:val="Tabel-Gitter"/>
        <w:tblW w:w="0" w:type="auto"/>
        <w:tblLook w:val="04A0" w:firstRow="1" w:lastRow="0" w:firstColumn="1" w:lastColumn="0" w:noHBand="0" w:noVBand="1"/>
      </w:tblPr>
      <w:tblGrid>
        <w:gridCol w:w="4889"/>
        <w:gridCol w:w="4889"/>
      </w:tblGrid>
      <w:tr w:rsidR="004109D4" w:rsidRPr="00604DF1" w:rsidTr="004109D4">
        <w:tc>
          <w:tcPr>
            <w:tcW w:w="4889" w:type="dxa"/>
          </w:tcPr>
          <w:p w:rsidR="004109D4" w:rsidRPr="00604DF1" w:rsidRDefault="00604DF1" w:rsidP="004109D4">
            <w:pPr>
              <w:tabs>
                <w:tab w:val="left" w:pos="0"/>
                <w:tab w:val="left" w:pos="900"/>
              </w:tabs>
              <w:spacing w:line="288" w:lineRule="auto"/>
              <w:rPr>
                <w:i/>
                <w:color w:val="000000"/>
                <w:lang w:val="da-DK"/>
              </w:rPr>
            </w:pPr>
            <w:r>
              <w:rPr>
                <w:i/>
                <w:color w:val="000000"/>
                <w:lang w:val="da-DK"/>
              </w:rPr>
              <w:t>Gældende formulering</w:t>
            </w:r>
          </w:p>
        </w:tc>
        <w:tc>
          <w:tcPr>
            <w:tcW w:w="4889" w:type="dxa"/>
          </w:tcPr>
          <w:p w:rsidR="004109D4" w:rsidRPr="00604DF1" w:rsidRDefault="00604DF1" w:rsidP="004109D4">
            <w:pPr>
              <w:tabs>
                <w:tab w:val="left" w:pos="0"/>
                <w:tab w:val="left" w:pos="900"/>
              </w:tabs>
              <w:spacing w:line="288" w:lineRule="auto"/>
              <w:rPr>
                <w:i/>
                <w:color w:val="000000"/>
                <w:lang w:val="da-DK"/>
              </w:rPr>
            </w:pPr>
            <w:r>
              <w:rPr>
                <w:i/>
                <w:color w:val="000000"/>
                <w:lang w:val="da-DK"/>
              </w:rPr>
              <w:t>Lovforslaget</w:t>
            </w:r>
          </w:p>
        </w:tc>
      </w:tr>
      <w:tr w:rsidR="004109D4" w:rsidRPr="00F309C6" w:rsidTr="004109D4">
        <w:tc>
          <w:tcPr>
            <w:tcW w:w="4889" w:type="dxa"/>
          </w:tcPr>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604DF1" w:rsidRDefault="00604DF1" w:rsidP="00604DF1">
            <w:pPr>
              <w:tabs>
                <w:tab w:val="left" w:pos="0"/>
                <w:tab w:val="left" w:pos="900"/>
              </w:tabs>
              <w:spacing w:line="288" w:lineRule="auto"/>
              <w:rPr>
                <w:b/>
                <w:bCs/>
                <w:color w:val="000000"/>
                <w:lang w:val="da-DK"/>
              </w:rPr>
            </w:pPr>
          </w:p>
          <w:p w:rsidR="004109D4" w:rsidRDefault="00604DF1" w:rsidP="00604DF1">
            <w:pPr>
              <w:tabs>
                <w:tab w:val="left" w:pos="0"/>
                <w:tab w:val="left" w:pos="900"/>
              </w:tabs>
              <w:spacing w:line="288" w:lineRule="auto"/>
              <w:jc w:val="both"/>
              <w:rPr>
                <w:color w:val="000000"/>
                <w:lang w:val="da-DK"/>
              </w:rPr>
            </w:pPr>
            <w:r w:rsidRPr="00604DF1">
              <w:rPr>
                <w:b/>
                <w:bCs/>
                <w:color w:val="000000"/>
                <w:lang w:val="da-DK"/>
              </w:rPr>
              <w:t xml:space="preserve">§ 10. </w:t>
            </w:r>
            <w:r w:rsidRPr="00604DF1">
              <w:rPr>
                <w:color w:val="000000"/>
                <w:lang w:val="da-DK"/>
              </w:rPr>
              <w:t xml:space="preserve">Selskabsskattelovens § 13, stk. 1, nr. 2, </w:t>
            </w:r>
            <w:r>
              <w:rPr>
                <w:color w:val="000000"/>
                <w:lang w:val="da-DK"/>
              </w:rPr>
              <w:t>f</w:t>
            </w:r>
            <w:r w:rsidRPr="00604DF1">
              <w:rPr>
                <w:color w:val="000000"/>
                <w:lang w:val="da-DK"/>
              </w:rPr>
              <w:t>inder tilsvarende</w:t>
            </w:r>
            <w:r>
              <w:rPr>
                <w:color w:val="000000"/>
                <w:lang w:val="da-DK"/>
              </w:rPr>
              <w:t xml:space="preserve"> </w:t>
            </w:r>
            <w:r w:rsidRPr="00604DF1">
              <w:rPr>
                <w:color w:val="000000"/>
                <w:lang w:val="da-DK"/>
              </w:rPr>
              <w:t>anvendelse på fonde og fo</w:t>
            </w:r>
            <w:r w:rsidRPr="00604DF1">
              <w:rPr>
                <w:color w:val="000000"/>
                <w:lang w:val="da-DK"/>
              </w:rPr>
              <w:t>r</w:t>
            </w:r>
            <w:r w:rsidRPr="00604DF1">
              <w:rPr>
                <w:color w:val="000000"/>
                <w:lang w:val="da-DK"/>
              </w:rPr>
              <w:t>eninger omfattet af denne lov.</w:t>
            </w:r>
          </w:p>
        </w:tc>
        <w:tc>
          <w:tcPr>
            <w:tcW w:w="4889" w:type="dxa"/>
          </w:tcPr>
          <w:p w:rsidR="00604DF1" w:rsidRPr="008F2B51" w:rsidRDefault="00604DF1" w:rsidP="00604DF1">
            <w:pPr>
              <w:jc w:val="center"/>
              <w:rPr>
                <w:lang w:val="da-DK"/>
              </w:rPr>
            </w:pPr>
            <w:r w:rsidRPr="008F2B51">
              <w:rPr>
                <w:b/>
                <w:lang w:val="da-DK"/>
              </w:rPr>
              <w:t>§ 1</w:t>
            </w:r>
          </w:p>
          <w:p w:rsidR="00604DF1" w:rsidRPr="008F2B51" w:rsidRDefault="00604DF1" w:rsidP="00604DF1">
            <w:pPr>
              <w:jc w:val="center"/>
              <w:rPr>
                <w:lang w:val="da-DK"/>
              </w:rPr>
            </w:pPr>
          </w:p>
          <w:p w:rsidR="00604DF1" w:rsidRDefault="00F309C6" w:rsidP="00604DF1">
            <w:pPr>
              <w:spacing w:line="288" w:lineRule="auto"/>
              <w:jc w:val="both"/>
              <w:rPr>
                <w:lang w:val="da-DK"/>
              </w:rPr>
            </w:pPr>
            <w:r w:rsidRPr="008F2B51">
              <w:rPr>
                <w:lang w:val="da-DK"/>
              </w:rPr>
              <w:t xml:space="preserve">I fondsbeskatningsloven, jf. lovbekendtgørelse nr. </w:t>
            </w:r>
            <w:r>
              <w:rPr>
                <w:lang w:val="da-DK"/>
              </w:rPr>
              <w:t>934</w:t>
            </w:r>
            <w:r w:rsidRPr="008F2B51">
              <w:rPr>
                <w:lang w:val="da-DK"/>
              </w:rPr>
              <w:t xml:space="preserve"> af </w:t>
            </w:r>
            <w:r>
              <w:rPr>
                <w:lang w:val="da-DK"/>
              </w:rPr>
              <w:t>14</w:t>
            </w:r>
            <w:r w:rsidRPr="008F2B51">
              <w:rPr>
                <w:lang w:val="da-DK"/>
              </w:rPr>
              <w:t xml:space="preserve">. </w:t>
            </w:r>
            <w:r>
              <w:rPr>
                <w:lang w:val="da-DK"/>
              </w:rPr>
              <w:t>august 2014</w:t>
            </w:r>
            <w:r w:rsidRPr="008F2B51">
              <w:rPr>
                <w:lang w:val="da-DK"/>
              </w:rPr>
              <w:t>, foretages følge</w:t>
            </w:r>
            <w:r w:rsidRPr="008F2B51">
              <w:rPr>
                <w:lang w:val="da-DK"/>
              </w:rPr>
              <w:t>n</w:t>
            </w:r>
            <w:r w:rsidRPr="008F2B51">
              <w:rPr>
                <w:lang w:val="da-DK"/>
              </w:rPr>
              <w:t>de ændring:</w:t>
            </w:r>
          </w:p>
          <w:p w:rsidR="00F309C6" w:rsidRDefault="00F309C6" w:rsidP="00604DF1">
            <w:pPr>
              <w:spacing w:line="288" w:lineRule="auto"/>
              <w:jc w:val="both"/>
              <w:rPr>
                <w:lang w:val="da-DK"/>
              </w:rPr>
            </w:pPr>
          </w:p>
          <w:p w:rsidR="00F309C6" w:rsidRDefault="00F309C6" w:rsidP="00604DF1">
            <w:pPr>
              <w:spacing w:line="288" w:lineRule="auto"/>
              <w:jc w:val="both"/>
              <w:rPr>
                <w:lang w:val="da-DK"/>
              </w:rPr>
            </w:pPr>
          </w:p>
          <w:p w:rsidR="00F309C6" w:rsidRPr="008F2B51" w:rsidRDefault="00F309C6" w:rsidP="00604DF1">
            <w:pPr>
              <w:spacing w:line="288" w:lineRule="auto"/>
              <w:jc w:val="both"/>
              <w:rPr>
                <w:lang w:val="da-DK"/>
              </w:rPr>
            </w:pPr>
            <w:bookmarkStart w:id="3" w:name="_GoBack"/>
            <w:bookmarkEnd w:id="3"/>
          </w:p>
          <w:p w:rsidR="004109D4" w:rsidRDefault="00604DF1" w:rsidP="00604DF1">
            <w:pPr>
              <w:tabs>
                <w:tab w:val="left" w:pos="0"/>
                <w:tab w:val="left" w:pos="900"/>
              </w:tabs>
              <w:spacing w:line="288" w:lineRule="auto"/>
              <w:jc w:val="both"/>
              <w:rPr>
                <w:color w:val="000000"/>
                <w:lang w:val="da-DK"/>
              </w:rPr>
            </w:pPr>
            <w:r w:rsidRPr="008F2B51">
              <w:rPr>
                <w:b/>
                <w:lang w:val="da-DK"/>
              </w:rPr>
              <w:t xml:space="preserve">1. </w:t>
            </w:r>
            <w:r w:rsidRPr="008F2B51">
              <w:rPr>
                <w:lang w:val="da-DK"/>
              </w:rPr>
              <w:t xml:space="preserve">I </w:t>
            </w:r>
            <w:r w:rsidRPr="008F2B51">
              <w:rPr>
                <w:i/>
                <w:lang w:val="da-DK"/>
              </w:rPr>
              <w:t xml:space="preserve">§ 10 </w:t>
            </w:r>
            <w:r w:rsidRPr="008F2B51">
              <w:rPr>
                <w:bCs/>
                <w:lang w:val="da-DK"/>
              </w:rPr>
              <w:t>indsættes efter ”Selskabsskattelovens § 13, stk. 1, nr. 2,”: ”og stk. 2,”.</w:t>
            </w:r>
          </w:p>
        </w:tc>
      </w:tr>
      <w:tr w:rsidR="004109D4" w:rsidRPr="00F309C6" w:rsidTr="004109D4">
        <w:tc>
          <w:tcPr>
            <w:tcW w:w="4889" w:type="dxa"/>
          </w:tcPr>
          <w:p w:rsidR="000B0F04" w:rsidRDefault="000B0F04" w:rsidP="000B0F04">
            <w:pPr>
              <w:tabs>
                <w:tab w:val="left" w:pos="0"/>
                <w:tab w:val="left" w:pos="900"/>
              </w:tabs>
              <w:spacing w:line="288" w:lineRule="auto"/>
              <w:rPr>
                <w:b/>
                <w:bCs/>
                <w:color w:val="000000"/>
                <w:lang w:val="da-DK"/>
              </w:rPr>
            </w:pPr>
          </w:p>
          <w:p w:rsidR="000B0F04" w:rsidRDefault="000B0F04" w:rsidP="000B0F04">
            <w:pPr>
              <w:tabs>
                <w:tab w:val="left" w:pos="0"/>
                <w:tab w:val="left" w:pos="900"/>
              </w:tabs>
              <w:spacing w:line="288" w:lineRule="auto"/>
              <w:rPr>
                <w:b/>
                <w:bCs/>
                <w:color w:val="000000"/>
                <w:lang w:val="da-DK"/>
              </w:rPr>
            </w:pPr>
          </w:p>
          <w:p w:rsidR="000B0F04" w:rsidRDefault="000B0F04" w:rsidP="000B0F04">
            <w:pPr>
              <w:tabs>
                <w:tab w:val="left" w:pos="0"/>
                <w:tab w:val="left" w:pos="900"/>
              </w:tabs>
              <w:spacing w:line="288" w:lineRule="auto"/>
              <w:rPr>
                <w:b/>
                <w:bCs/>
                <w:color w:val="000000"/>
                <w:lang w:val="da-DK"/>
              </w:rPr>
            </w:pPr>
          </w:p>
          <w:p w:rsidR="000B0F04" w:rsidRDefault="000B0F04" w:rsidP="000B0F04">
            <w:pPr>
              <w:tabs>
                <w:tab w:val="left" w:pos="0"/>
                <w:tab w:val="left" w:pos="900"/>
              </w:tabs>
              <w:spacing w:line="288" w:lineRule="auto"/>
              <w:rPr>
                <w:b/>
                <w:bCs/>
                <w:color w:val="000000"/>
                <w:lang w:val="da-DK"/>
              </w:rPr>
            </w:pPr>
          </w:p>
          <w:p w:rsidR="000B0F04" w:rsidRDefault="000B0F04" w:rsidP="000B0F04">
            <w:pPr>
              <w:tabs>
                <w:tab w:val="left" w:pos="0"/>
                <w:tab w:val="left" w:pos="900"/>
              </w:tabs>
              <w:spacing w:line="288" w:lineRule="auto"/>
              <w:rPr>
                <w:b/>
                <w:bCs/>
                <w:color w:val="000000"/>
                <w:lang w:val="da-DK"/>
              </w:rPr>
            </w:pPr>
          </w:p>
          <w:p w:rsidR="000B0F04" w:rsidRDefault="000B0F04" w:rsidP="000B0F04">
            <w:pPr>
              <w:tabs>
                <w:tab w:val="left" w:pos="0"/>
                <w:tab w:val="left" w:pos="900"/>
              </w:tabs>
              <w:spacing w:line="288" w:lineRule="auto"/>
              <w:rPr>
                <w:b/>
                <w:bCs/>
                <w:color w:val="000000"/>
                <w:lang w:val="da-DK"/>
              </w:rPr>
            </w:pPr>
          </w:p>
          <w:p w:rsidR="000B0F04" w:rsidRDefault="000B0F04" w:rsidP="000B0F04">
            <w:pPr>
              <w:tabs>
                <w:tab w:val="left" w:pos="0"/>
                <w:tab w:val="left" w:pos="900"/>
              </w:tabs>
              <w:spacing w:line="288" w:lineRule="auto"/>
              <w:rPr>
                <w:b/>
                <w:bCs/>
                <w:color w:val="000000"/>
                <w:lang w:val="da-DK"/>
              </w:rPr>
            </w:pPr>
          </w:p>
          <w:p w:rsidR="000B0F04" w:rsidRPr="000B0F04" w:rsidRDefault="000B0F04" w:rsidP="000B0F04">
            <w:pPr>
              <w:tabs>
                <w:tab w:val="left" w:pos="0"/>
                <w:tab w:val="left" w:pos="900"/>
              </w:tabs>
              <w:spacing w:line="288" w:lineRule="auto"/>
              <w:jc w:val="both"/>
              <w:rPr>
                <w:color w:val="000000"/>
                <w:lang w:val="da-DK"/>
              </w:rPr>
            </w:pPr>
            <w:r w:rsidRPr="000B0F04">
              <w:rPr>
                <w:b/>
                <w:bCs/>
                <w:color w:val="000000"/>
                <w:lang w:val="da-DK"/>
              </w:rPr>
              <w:t xml:space="preserve">§ 31. </w:t>
            </w:r>
            <w:r w:rsidRPr="000B0F04">
              <w:rPr>
                <w:color w:val="000000"/>
                <w:lang w:val="da-DK"/>
              </w:rPr>
              <w:t>Skattepligtige omfattet af § 2, kan fradrage tab på kontrakter,</w:t>
            </w:r>
            <w:r>
              <w:rPr>
                <w:color w:val="000000"/>
                <w:lang w:val="da-DK"/>
              </w:rPr>
              <w:t xml:space="preserve"> </w:t>
            </w:r>
            <w:r w:rsidRPr="000B0F04">
              <w:rPr>
                <w:color w:val="000000"/>
                <w:lang w:val="da-DK"/>
              </w:rPr>
              <w:t>der indeholder ret eller pligt til at afstå aktier i det omfang, det angives</w:t>
            </w:r>
            <w:r>
              <w:rPr>
                <w:color w:val="000000"/>
                <w:lang w:val="da-DK"/>
              </w:rPr>
              <w:t xml:space="preserve"> </w:t>
            </w:r>
            <w:r w:rsidRPr="000B0F04">
              <w:rPr>
                <w:color w:val="000000"/>
                <w:lang w:val="da-DK"/>
              </w:rPr>
              <w:t>i stk. 2-4. 1. pkt. omfatter kun kontrakter, der ind</w:t>
            </w:r>
            <w:r w:rsidRPr="000B0F04">
              <w:rPr>
                <w:color w:val="000000"/>
                <w:lang w:val="da-DK"/>
              </w:rPr>
              <w:t>e</w:t>
            </w:r>
            <w:r w:rsidRPr="000B0F04">
              <w:rPr>
                <w:color w:val="000000"/>
                <w:lang w:val="da-DK"/>
              </w:rPr>
              <w:t>holder ret</w:t>
            </w:r>
            <w:r>
              <w:rPr>
                <w:color w:val="000000"/>
                <w:lang w:val="da-DK"/>
              </w:rPr>
              <w:t xml:space="preserve"> </w:t>
            </w:r>
            <w:r w:rsidRPr="000B0F04">
              <w:rPr>
                <w:color w:val="000000"/>
                <w:lang w:val="da-DK"/>
              </w:rPr>
              <w:t>eller pligt til at afstå aktier i selskaber, hvori den skattepligtige eller</w:t>
            </w:r>
            <w:r>
              <w:rPr>
                <w:color w:val="000000"/>
                <w:lang w:val="da-DK"/>
              </w:rPr>
              <w:t xml:space="preserve"> </w:t>
            </w:r>
            <w:r w:rsidRPr="000B0F04">
              <w:rPr>
                <w:color w:val="000000"/>
                <w:lang w:val="da-DK"/>
              </w:rPr>
              <w:t>koncernforbundne selskaber, jf. § 4, stk. 2, ejer aktier, der er o</w:t>
            </w:r>
            <w:r w:rsidRPr="000B0F04">
              <w:rPr>
                <w:color w:val="000000"/>
                <w:lang w:val="da-DK"/>
              </w:rPr>
              <w:t>m</w:t>
            </w:r>
            <w:r w:rsidRPr="000B0F04">
              <w:rPr>
                <w:color w:val="000000"/>
                <w:lang w:val="da-DK"/>
              </w:rPr>
              <w:t>fattet</w:t>
            </w:r>
            <w:r>
              <w:rPr>
                <w:color w:val="000000"/>
                <w:lang w:val="da-DK"/>
              </w:rPr>
              <w:t xml:space="preserve"> </w:t>
            </w:r>
            <w:r w:rsidRPr="000B0F04">
              <w:rPr>
                <w:color w:val="000000"/>
                <w:lang w:val="da-DK"/>
              </w:rPr>
              <w:t>af definitionerne i aktieavancebeska</w:t>
            </w:r>
            <w:r w:rsidRPr="000B0F04">
              <w:rPr>
                <w:color w:val="000000"/>
                <w:lang w:val="da-DK"/>
              </w:rPr>
              <w:t>t</w:t>
            </w:r>
            <w:r w:rsidRPr="000B0F04">
              <w:rPr>
                <w:color w:val="000000"/>
                <w:lang w:val="da-DK"/>
              </w:rPr>
              <w:t>ningslovens §§ 4 A-4 C,</w:t>
            </w:r>
            <w:r>
              <w:rPr>
                <w:color w:val="000000"/>
                <w:lang w:val="da-DK"/>
              </w:rPr>
              <w:t xml:space="preserve"> </w:t>
            </w:r>
            <w:r w:rsidRPr="000B0F04">
              <w:rPr>
                <w:color w:val="000000"/>
                <w:lang w:val="da-DK"/>
              </w:rPr>
              <w:t>og kontrakter, der i</w:t>
            </w:r>
            <w:r w:rsidRPr="000B0F04">
              <w:rPr>
                <w:color w:val="000000"/>
                <w:lang w:val="da-DK"/>
              </w:rPr>
              <w:t>n</w:t>
            </w:r>
            <w:r w:rsidRPr="000B0F04">
              <w:rPr>
                <w:color w:val="000000"/>
                <w:lang w:val="da-DK"/>
              </w:rPr>
              <w:t>deholder ret eller pligt til at afstå aktier i det</w:t>
            </w:r>
          </w:p>
          <w:p w:rsidR="004109D4" w:rsidRDefault="000B0F04" w:rsidP="000B0F04">
            <w:pPr>
              <w:tabs>
                <w:tab w:val="left" w:pos="0"/>
                <w:tab w:val="left" w:pos="900"/>
              </w:tabs>
              <w:spacing w:line="288" w:lineRule="auto"/>
              <w:jc w:val="both"/>
              <w:rPr>
                <w:color w:val="000000"/>
                <w:lang w:val="da-DK"/>
              </w:rPr>
            </w:pPr>
            <w:r w:rsidRPr="000B0F04">
              <w:rPr>
                <w:color w:val="000000"/>
                <w:lang w:val="da-DK"/>
              </w:rPr>
              <w:t>selskab, der er udsteder eller erhverver af ko</w:t>
            </w:r>
            <w:r w:rsidRPr="000B0F04">
              <w:rPr>
                <w:color w:val="000000"/>
                <w:lang w:val="da-DK"/>
              </w:rPr>
              <w:t>n</w:t>
            </w:r>
            <w:r w:rsidRPr="000B0F04">
              <w:rPr>
                <w:color w:val="000000"/>
                <w:lang w:val="da-DK"/>
              </w:rPr>
              <w:t>trakten. 1. pkt. gælder</w:t>
            </w:r>
            <w:r>
              <w:rPr>
                <w:color w:val="000000"/>
                <w:lang w:val="da-DK"/>
              </w:rPr>
              <w:t xml:space="preserve"> </w:t>
            </w:r>
            <w:r w:rsidRPr="000B0F04">
              <w:rPr>
                <w:color w:val="000000"/>
                <w:lang w:val="da-DK"/>
              </w:rPr>
              <w:t>dog ikke for kontrakter som nævnt i 2. pkt. vedrørende aktier, hvor</w:t>
            </w:r>
            <w:r>
              <w:rPr>
                <w:color w:val="000000"/>
                <w:lang w:val="da-DK"/>
              </w:rPr>
              <w:t xml:space="preserve"> </w:t>
            </w:r>
            <w:r w:rsidRPr="000B0F04">
              <w:rPr>
                <w:color w:val="000000"/>
                <w:lang w:val="da-DK"/>
              </w:rPr>
              <w:t>den skattepligtige skal opgøre gevinst og tab efter reglerne i aktieavancebeskatningslovens</w:t>
            </w:r>
            <w:r>
              <w:rPr>
                <w:color w:val="000000"/>
                <w:lang w:val="da-DK"/>
              </w:rPr>
              <w:t xml:space="preserve"> </w:t>
            </w:r>
            <w:r w:rsidRPr="000B0F04">
              <w:rPr>
                <w:color w:val="000000"/>
                <w:lang w:val="da-DK"/>
              </w:rPr>
              <w:t>§ 23, stk. 5. 1. pkt. gælder endvidere ikke</w:t>
            </w:r>
            <w:r>
              <w:rPr>
                <w:color w:val="000000"/>
                <w:lang w:val="da-DK"/>
              </w:rPr>
              <w:t xml:space="preserve"> </w:t>
            </w:r>
            <w:r w:rsidRPr="000B0F04">
              <w:rPr>
                <w:color w:val="000000"/>
                <w:lang w:val="da-DK"/>
              </w:rPr>
              <w:t>for livs-forsikringsselskaber omfattet af selskabsskatt</w:t>
            </w:r>
            <w:r w:rsidRPr="000B0F04">
              <w:rPr>
                <w:color w:val="000000"/>
                <w:lang w:val="da-DK"/>
              </w:rPr>
              <w:t>e</w:t>
            </w:r>
            <w:r w:rsidRPr="000B0F04">
              <w:rPr>
                <w:color w:val="000000"/>
                <w:lang w:val="da-DK"/>
              </w:rPr>
              <w:lastRenderedPageBreak/>
              <w:t>lovens § 13,</w:t>
            </w:r>
            <w:r>
              <w:rPr>
                <w:color w:val="000000"/>
                <w:lang w:val="da-DK"/>
              </w:rPr>
              <w:t xml:space="preserve"> </w:t>
            </w:r>
            <w:r w:rsidRPr="000B0F04">
              <w:rPr>
                <w:color w:val="000000"/>
                <w:lang w:val="da-DK"/>
              </w:rPr>
              <w:t>stk. 3-8.</w:t>
            </w:r>
          </w:p>
        </w:tc>
        <w:tc>
          <w:tcPr>
            <w:tcW w:w="4889" w:type="dxa"/>
          </w:tcPr>
          <w:p w:rsidR="00604DF1" w:rsidRPr="009F1907" w:rsidRDefault="00604DF1" w:rsidP="00604DF1">
            <w:pPr>
              <w:jc w:val="center"/>
              <w:rPr>
                <w:color w:val="000000"/>
                <w:lang w:val="da-DK"/>
              </w:rPr>
            </w:pPr>
            <w:r>
              <w:rPr>
                <w:b/>
                <w:color w:val="000000"/>
                <w:lang w:val="da-DK"/>
              </w:rPr>
              <w:lastRenderedPageBreak/>
              <w:t>§ 2</w:t>
            </w:r>
          </w:p>
          <w:p w:rsidR="00604DF1" w:rsidRPr="009F1907" w:rsidRDefault="00604DF1" w:rsidP="00604DF1">
            <w:pPr>
              <w:jc w:val="center"/>
              <w:rPr>
                <w:color w:val="000000"/>
                <w:lang w:val="da-DK"/>
              </w:rPr>
            </w:pPr>
          </w:p>
          <w:p w:rsidR="00604DF1" w:rsidRPr="008F2B51" w:rsidRDefault="00604DF1" w:rsidP="00604DF1">
            <w:pPr>
              <w:spacing w:line="288" w:lineRule="auto"/>
              <w:jc w:val="both"/>
              <w:rPr>
                <w:lang w:val="da-DK"/>
              </w:rPr>
            </w:pPr>
            <w:r w:rsidRPr="009F1907">
              <w:rPr>
                <w:rStyle w:val="Fodnotehenvisning"/>
                <w:rFonts w:eastAsia="Arial Unicode MS"/>
                <w:color w:val="000000"/>
                <w:lang w:val="da-DK"/>
              </w:rPr>
              <w:t>I</w:t>
            </w:r>
            <w:r w:rsidRPr="009F1907">
              <w:rPr>
                <w:color w:val="000000"/>
                <w:lang w:val="da-DK"/>
              </w:rPr>
              <w:t xml:space="preserve"> </w:t>
            </w:r>
            <w:r w:rsidRPr="008F2B51">
              <w:rPr>
                <w:lang w:val="da-DK"/>
              </w:rPr>
              <w:t>kursgevinstloven, jf. lovbekendtgørelse nr. 1113 af 18. september 2013, som ændret ved § 20 i lov nr. 268 af 25. marts 2014, foretages følgende ændring:</w:t>
            </w:r>
          </w:p>
          <w:p w:rsidR="00604DF1" w:rsidRPr="008F2B51" w:rsidRDefault="00604DF1" w:rsidP="00604DF1">
            <w:pPr>
              <w:spacing w:line="288" w:lineRule="auto"/>
              <w:jc w:val="both"/>
              <w:rPr>
                <w:lang w:val="da-DK"/>
              </w:rPr>
            </w:pPr>
          </w:p>
          <w:p w:rsidR="004109D4" w:rsidRDefault="00604DF1" w:rsidP="00604DF1">
            <w:pPr>
              <w:tabs>
                <w:tab w:val="left" w:pos="0"/>
                <w:tab w:val="left" w:pos="900"/>
              </w:tabs>
              <w:spacing w:line="288" w:lineRule="auto"/>
              <w:jc w:val="both"/>
              <w:rPr>
                <w:color w:val="000000"/>
                <w:lang w:val="da-DK"/>
              </w:rPr>
            </w:pPr>
            <w:r w:rsidRPr="008F2B51">
              <w:rPr>
                <w:b/>
                <w:lang w:val="da-DK"/>
              </w:rPr>
              <w:t xml:space="preserve">1. </w:t>
            </w:r>
            <w:r w:rsidRPr="008F2B51">
              <w:rPr>
                <w:lang w:val="da-DK"/>
              </w:rPr>
              <w:t xml:space="preserve">I </w:t>
            </w:r>
            <w:r w:rsidRPr="008F2B51">
              <w:rPr>
                <w:i/>
                <w:lang w:val="da-DK"/>
              </w:rPr>
              <w:t xml:space="preserve">§ 31, stk. 1, 4. pkt., </w:t>
            </w:r>
            <w:r w:rsidRPr="008F2B51">
              <w:rPr>
                <w:lang w:val="da-DK"/>
              </w:rPr>
              <w:t>ændres ”selskabsskatt</w:t>
            </w:r>
            <w:r w:rsidRPr="008F2B51">
              <w:rPr>
                <w:lang w:val="da-DK"/>
              </w:rPr>
              <w:t>e</w:t>
            </w:r>
            <w:r w:rsidRPr="008F2B51">
              <w:rPr>
                <w:lang w:val="da-DK"/>
              </w:rPr>
              <w:t>lovens § 13, stk. 3-8” til: ”selskabsskattelovens § 13, stk. 4-9”.</w:t>
            </w:r>
          </w:p>
        </w:tc>
      </w:tr>
      <w:tr w:rsidR="004109D4" w:rsidRPr="00F309C6" w:rsidTr="004109D4">
        <w:tc>
          <w:tcPr>
            <w:tcW w:w="4889" w:type="dxa"/>
          </w:tcPr>
          <w:p w:rsidR="006F7FE6" w:rsidRDefault="006F7FE6" w:rsidP="004109D4">
            <w:pPr>
              <w:tabs>
                <w:tab w:val="left" w:pos="0"/>
                <w:tab w:val="left" w:pos="900"/>
              </w:tabs>
              <w:spacing w:line="288" w:lineRule="auto"/>
              <w:rPr>
                <w:b/>
                <w:color w:val="000000"/>
                <w:lang w:val="da-DK"/>
              </w:rPr>
            </w:pPr>
          </w:p>
          <w:p w:rsidR="006F7FE6" w:rsidRDefault="006F7FE6" w:rsidP="004109D4">
            <w:pPr>
              <w:tabs>
                <w:tab w:val="left" w:pos="0"/>
                <w:tab w:val="left" w:pos="900"/>
              </w:tabs>
              <w:spacing w:line="288" w:lineRule="auto"/>
              <w:rPr>
                <w:b/>
                <w:color w:val="000000"/>
                <w:lang w:val="da-DK"/>
              </w:rPr>
            </w:pPr>
          </w:p>
          <w:p w:rsidR="006F7FE6" w:rsidRDefault="006F7FE6" w:rsidP="004109D4">
            <w:pPr>
              <w:tabs>
                <w:tab w:val="left" w:pos="0"/>
                <w:tab w:val="left" w:pos="900"/>
              </w:tabs>
              <w:spacing w:line="288" w:lineRule="auto"/>
              <w:rPr>
                <w:b/>
                <w:color w:val="000000"/>
                <w:lang w:val="da-DK"/>
              </w:rPr>
            </w:pPr>
          </w:p>
          <w:p w:rsidR="006F7FE6" w:rsidRDefault="006F7FE6" w:rsidP="004109D4">
            <w:pPr>
              <w:tabs>
                <w:tab w:val="left" w:pos="0"/>
                <w:tab w:val="left" w:pos="900"/>
              </w:tabs>
              <w:spacing w:line="288" w:lineRule="auto"/>
              <w:rPr>
                <w:b/>
                <w:color w:val="000000"/>
                <w:lang w:val="da-DK"/>
              </w:rPr>
            </w:pPr>
          </w:p>
          <w:p w:rsidR="006F7FE6" w:rsidRDefault="006F7FE6" w:rsidP="004109D4">
            <w:pPr>
              <w:tabs>
                <w:tab w:val="left" w:pos="0"/>
                <w:tab w:val="left" w:pos="900"/>
              </w:tabs>
              <w:spacing w:line="288" w:lineRule="auto"/>
              <w:rPr>
                <w:b/>
                <w:color w:val="000000"/>
                <w:lang w:val="da-DK"/>
              </w:rPr>
            </w:pPr>
          </w:p>
          <w:p w:rsidR="006F7FE6" w:rsidRDefault="006F7FE6" w:rsidP="004109D4">
            <w:pPr>
              <w:tabs>
                <w:tab w:val="left" w:pos="0"/>
                <w:tab w:val="left" w:pos="900"/>
              </w:tabs>
              <w:spacing w:line="288" w:lineRule="auto"/>
              <w:rPr>
                <w:b/>
                <w:color w:val="000000"/>
                <w:lang w:val="da-DK"/>
              </w:rPr>
            </w:pPr>
          </w:p>
          <w:p w:rsidR="003C6097" w:rsidRDefault="003C6097" w:rsidP="004109D4">
            <w:pPr>
              <w:tabs>
                <w:tab w:val="left" w:pos="0"/>
                <w:tab w:val="left" w:pos="900"/>
              </w:tabs>
              <w:spacing w:line="288" w:lineRule="auto"/>
              <w:rPr>
                <w:b/>
                <w:color w:val="000000"/>
                <w:lang w:val="da-DK"/>
              </w:rPr>
            </w:pPr>
          </w:p>
          <w:p w:rsidR="004109D4" w:rsidRDefault="000B0F04" w:rsidP="004109D4">
            <w:pPr>
              <w:tabs>
                <w:tab w:val="left" w:pos="0"/>
                <w:tab w:val="left" w:pos="900"/>
              </w:tabs>
              <w:spacing w:line="288" w:lineRule="auto"/>
              <w:rPr>
                <w:color w:val="000000"/>
                <w:lang w:val="da-DK"/>
              </w:rPr>
            </w:pPr>
            <w:r>
              <w:rPr>
                <w:b/>
                <w:color w:val="000000"/>
                <w:lang w:val="da-DK"/>
              </w:rPr>
              <w:t>§ 13. ---</w:t>
            </w:r>
          </w:p>
          <w:p w:rsidR="000B0F04" w:rsidRPr="000B0F04" w:rsidRDefault="000B0F04" w:rsidP="006F7FE6">
            <w:pPr>
              <w:tabs>
                <w:tab w:val="left" w:pos="0"/>
                <w:tab w:val="left" w:pos="900"/>
              </w:tabs>
              <w:spacing w:line="288" w:lineRule="auto"/>
              <w:jc w:val="both"/>
              <w:rPr>
                <w:color w:val="000000"/>
                <w:lang w:val="da-DK"/>
              </w:rPr>
            </w:pPr>
            <w:r w:rsidRPr="000B0F04">
              <w:rPr>
                <w:i/>
                <w:iCs/>
                <w:color w:val="000000"/>
                <w:lang w:val="da-DK"/>
              </w:rPr>
              <w:t xml:space="preserve">Stk. 2. </w:t>
            </w:r>
            <w:r w:rsidRPr="000B0F04">
              <w:rPr>
                <w:color w:val="000000"/>
                <w:lang w:val="da-DK"/>
              </w:rPr>
              <w:t>Forsikringsselskaber kan ved opgørelsen af den skattepligtige</w:t>
            </w:r>
            <w:r w:rsidR="006F7FE6">
              <w:rPr>
                <w:color w:val="000000"/>
                <w:lang w:val="da-DK"/>
              </w:rPr>
              <w:t xml:space="preserve"> </w:t>
            </w:r>
            <w:r w:rsidRPr="000B0F04">
              <w:rPr>
                <w:color w:val="000000"/>
                <w:lang w:val="da-DK"/>
              </w:rPr>
              <w:t>indkomst efter reglerne i stk. 3-9 eller § 13 F fradrage beløb, der</w:t>
            </w:r>
            <w:r w:rsidR="006F7FE6">
              <w:rPr>
                <w:color w:val="000000"/>
                <w:lang w:val="da-DK"/>
              </w:rPr>
              <w:t xml:space="preserve"> </w:t>
            </w:r>
            <w:r w:rsidRPr="000B0F04">
              <w:rPr>
                <w:color w:val="000000"/>
                <w:lang w:val="da-DK"/>
              </w:rPr>
              <w:t>er me</w:t>
            </w:r>
            <w:r w:rsidRPr="000B0F04">
              <w:rPr>
                <w:color w:val="000000"/>
                <w:lang w:val="da-DK"/>
              </w:rPr>
              <w:t>d</w:t>
            </w:r>
            <w:r w:rsidRPr="000B0F04">
              <w:rPr>
                <w:color w:val="000000"/>
                <w:lang w:val="da-DK"/>
              </w:rPr>
              <w:t>gået til skat efter pensionsafkastbeskatningsl</w:t>
            </w:r>
            <w:r w:rsidRPr="000B0F04">
              <w:rPr>
                <w:color w:val="000000"/>
                <w:lang w:val="da-DK"/>
              </w:rPr>
              <w:t>o</w:t>
            </w:r>
            <w:r w:rsidRPr="000B0F04">
              <w:rPr>
                <w:color w:val="000000"/>
                <w:lang w:val="da-DK"/>
              </w:rPr>
              <w:t>vens § 8, i det</w:t>
            </w:r>
            <w:r w:rsidR="006F7FE6">
              <w:rPr>
                <w:color w:val="000000"/>
                <w:lang w:val="da-DK"/>
              </w:rPr>
              <w:t xml:space="preserve"> </w:t>
            </w:r>
            <w:r w:rsidRPr="000B0F04">
              <w:rPr>
                <w:color w:val="000000"/>
                <w:lang w:val="da-DK"/>
              </w:rPr>
              <w:t>omfang indkomstårets skat efter pensionsafkastbeskatningslovens</w:t>
            </w:r>
            <w:r w:rsidR="006F7FE6">
              <w:rPr>
                <w:color w:val="000000"/>
                <w:lang w:val="da-DK"/>
              </w:rPr>
              <w:t xml:space="preserve"> </w:t>
            </w:r>
            <w:r w:rsidRPr="000B0F04">
              <w:rPr>
                <w:color w:val="000000"/>
                <w:lang w:val="da-DK"/>
              </w:rPr>
              <w:t>§ 8 har red</w:t>
            </w:r>
            <w:r w:rsidRPr="000B0F04">
              <w:rPr>
                <w:color w:val="000000"/>
                <w:lang w:val="da-DK"/>
              </w:rPr>
              <w:t>u</w:t>
            </w:r>
            <w:r w:rsidRPr="000B0F04">
              <w:rPr>
                <w:color w:val="000000"/>
                <w:lang w:val="da-DK"/>
              </w:rPr>
              <w:t>ceret indkomstårets hensættelser eller ydelser til de</w:t>
            </w:r>
            <w:r w:rsidR="006F7FE6">
              <w:rPr>
                <w:color w:val="000000"/>
                <w:lang w:val="da-DK"/>
              </w:rPr>
              <w:t xml:space="preserve"> </w:t>
            </w:r>
            <w:r w:rsidRPr="000B0F04">
              <w:rPr>
                <w:color w:val="000000"/>
                <w:lang w:val="da-DK"/>
              </w:rPr>
              <w:t>forsikrede vedrørende det indkomstår, der svarer til indkomståret</w:t>
            </w:r>
            <w:r w:rsidR="006F7FE6">
              <w:rPr>
                <w:color w:val="000000"/>
                <w:lang w:val="da-DK"/>
              </w:rPr>
              <w:t xml:space="preserve"> </w:t>
            </w:r>
            <w:r w:rsidRPr="000B0F04">
              <w:rPr>
                <w:color w:val="000000"/>
                <w:lang w:val="da-DK"/>
              </w:rPr>
              <w:t>efter denne lov, og beløb, der hensættes til dækning af forpligtelserne</w:t>
            </w:r>
            <w:r w:rsidR="006F7FE6">
              <w:rPr>
                <w:color w:val="000000"/>
                <w:lang w:val="da-DK"/>
              </w:rPr>
              <w:t xml:space="preserve"> </w:t>
            </w:r>
            <w:r w:rsidRPr="000B0F04">
              <w:rPr>
                <w:color w:val="000000"/>
                <w:lang w:val="da-DK"/>
              </w:rPr>
              <w:t>over for de forsikrede i form af forsikringsmæssige hensættelser</w:t>
            </w:r>
            <w:r w:rsidR="006F7FE6">
              <w:rPr>
                <w:color w:val="000000"/>
                <w:lang w:val="da-DK"/>
              </w:rPr>
              <w:t xml:space="preserve"> </w:t>
            </w:r>
            <w:r w:rsidRPr="000B0F04">
              <w:rPr>
                <w:color w:val="000000"/>
                <w:lang w:val="da-DK"/>
              </w:rPr>
              <w:t>og lovpligtige udjævningsreserver inden for kredit- og kautionsforsikring.</w:t>
            </w:r>
          </w:p>
          <w:p w:rsidR="000B0F04" w:rsidRPr="000B0F04" w:rsidRDefault="000B0F04" w:rsidP="006F7FE6">
            <w:pPr>
              <w:tabs>
                <w:tab w:val="left" w:pos="0"/>
                <w:tab w:val="left" w:pos="900"/>
              </w:tabs>
              <w:spacing w:line="288" w:lineRule="auto"/>
              <w:jc w:val="both"/>
              <w:rPr>
                <w:color w:val="000000"/>
                <w:lang w:val="da-DK"/>
              </w:rPr>
            </w:pPr>
            <w:r w:rsidRPr="000B0F04">
              <w:rPr>
                <w:i/>
                <w:iCs/>
                <w:color w:val="000000"/>
                <w:lang w:val="da-DK"/>
              </w:rPr>
              <w:t xml:space="preserve">Stk. 3. </w:t>
            </w:r>
            <w:r w:rsidRPr="000B0F04">
              <w:rPr>
                <w:color w:val="000000"/>
                <w:lang w:val="da-DK"/>
              </w:rPr>
              <w:t>Udbytter og aktie- o</w:t>
            </w:r>
            <w:r w:rsidR="006F7FE6">
              <w:rPr>
                <w:color w:val="000000"/>
                <w:lang w:val="da-DK"/>
              </w:rPr>
              <w:t xml:space="preserve">g ejendomsavancer, som ikke skal </w:t>
            </w:r>
            <w:r w:rsidRPr="000B0F04">
              <w:rPr>
                <w:color w:val="000000"/>
                <w:lang w:val="da-DK"/>
              </w:rPr>
              <w:t>medregnes til et forsikringsse</w:t>
            </w:r>
            <w:r w:rsidRPr="000B0F04">
              <w:rPr>
                <w:color w:val="000000"/>
                <w:lang w:val="da-DK"/>
              </w:rPr>
              <w:t>l</w:t>
            </w:r>
            <w:r w:rsidRPr="000B0F04">
              <w:rPr>
                <w:color w:val="000000"/>
                <w:lang w:val="da-DK"/>
              </w:rPr>
              <w:t>skabs eller til et dermed sambeskattet</w:t>
            </w:r>
            <w:r w:rsidR="006F7FE6">
              <w:rPr>
                <w:color w:val="000000"/>
                <w:lang w:val="da-DK"/>
              </w:rPr>
              <w:t xml:space="preserve"> </w:t>
            </w:r>
            <w:r w:rsidRPr="000B0F04">
              <w:rPr>
                <w:color w:val="000000"/>
                <w:lang w:val="da-DK"/>
              </w:rPr>
              <w:t>datterse</w:t>
            </w:r>
            <w:r w:rsidRPr="000B0F04">
              <w:rPr>
                <w:color w:val="000000"/>
                <w:lang w:val="da-DK"/>
              </w:rPr>
              <w:t>l</w:t>
            </w:r>
            <w:r w:rsidRPr="000B0F04">
              <w:rPr>
                <w:color w:val="000000"/>
                <w:lang w:val="da-DK"/>
              </w:rPr>
              <w:t>skabs skattepligtige indkomst, og derefter u</w:t>
            </w:r>
            <w:r w:rsidRPr="000B0F04">
              <w:rPr>
                <w:color w:val="000000"/>
                <w:lang w:val="da-DK"/>
              </w:rPr>
              <w:t>d</w:t>
            </w:r>
            <w:r w:rsidRPr="000B0F04">
              <w:rPr>
                <w:color w:val="000000"/>
                <w:lang w:val="da-DK"/>
              </w:rPr>
              <w:t>bytter, der er</w:t>
            </w:r>
            <w:r w:rsidR="006F7FE6">
              <w:rPr>
                <w:color w:val="000000"/>
                <w:lang w:val="da-DK"/>
              </w:rPr>
              <w:t xml:space="preserve"> </w:t>
            </w:r>
            <w:r w:rsidRPr="000B0F04">
              <w:rPr>
                <w:color w:val="000000"/>
                <w:lang w:val="da-DK"/>
              </w:rPr>
              <w:t>skattefritaget efter en dobbeltb</w:t>
            </w:r>
            <w:r w:rsidRPr="000B0F04">
              <w:rPr>
                <w:color w:val="000000"/>
                <w:lang w:val="da-DK"/>
              </w:rPr>
              <w:t>e</w:t>
            </w:r>
            <w:r w:rsidRPr="000B0F04">
              <w:rPr>
                <w:color w:val="000000"/>
                <w:lang w:val="da-DK"/>
              </w:rPr>
              <w:t>skatningsoverenskomst anses i</w:t>
            </w:r>
            <w:r w:rsidR="006F7FE6">
              <w:rPr>
                <w:color w:val="000000"/>
                <w:lang w:val="da-DK"/>
              </w:rPr>
              <w:t xml:space="preserve"> </w:t>
            </w:r>
            <w:r w:rsidRPr="000B0F04">
              <w:rPr>
                <w:color w:val="000000"/>
                <w:lang w:val="da-DK"/>
              </w:rPr>
              <w:t>størst muligt omfang for medgået til udbetalinger til de fo</w:t>
            </w:r>
            <w:r w:rsidRPr="000B0F04">
              <w:rPr>
                <w:color w:val="000000"/>
                <w:lang w:val="da-DK"/>
              </w:rPr>
              <w:t>r</w:t>
            </w:r>
            <w:r w:rsidRPr="000B0F04">
              <w:rPr>
                <w:color w:val="000000"/>
                <w:lang w:val="da-DK"/>
              </w:rPr>
              <w:t>sikrede,</w:t>
            </w:r>
            <w:r w:rsidR="006F7FE6">
              <w:rPr>
                <w:color w:val="000000"/>
                <w:lang w:val="da-DK"/>
              </w:rPr>
              <w:t xml:space="preserve"> </w:t>
            </w:r>
            <w:r w:rsidRPr="000B0F04">
              <w:rPr>
                <w:color w:val="000000"/>
                <w:lang w:val="da-DK"/>
              </w:rPr>
              <w:t>til de i stk. 2, 1. pkt., nævnte hensætte</w:t>
            </w:r>
            <w:r w:rsidRPr="000B0F04">
              <w:rPr>
                <w:color w:val="000000"/>
                <w:lang w:val="da-DK"/>
              </w:rPr>
              <w:t>l</w:t>
            </w:r>
            <w:r w:rsidRPr="000B0F04">
              <w:rPr>
                <w:color w:val="000000"/>
                <w:lang w:val="da-DK"/>
              </w:rPr>
              <w:t>ser og til skat efter pensionsafkastbeskatning</w:t>
            </w:r>
            <w:r w:rsidRPr="000B0F04">
              <w:rPr>
                <w:color w:val="000000"/>
                <w:lang w:val="da-DK"/>
              </w:rPr>
              <w:t>s</w:t>
            </w:r>
            <w:r w:rsidRPr="000B0F04">
              <w:rPr>
                <w:color w:val="000000"/>
                <w:lang w:val="da-DK"/>
              </w:rPr>
              <w:t>lovens</w:t>
            </w:r>
            <w:r w:rsidR="006F7FE6">
              <w:rPr>
                <w:color w:val="000000"/>
                <w:lang w:val="da-DK"/>
              </w:rPr>
              <w:t xml:space="preserve"> </w:t>
            </w:r>
            <w:r w:rsidRPr="000B0F04">
              <w:rPr>
                <w:color w:val="000000"/>
                <w:lang w:val="da-DK"/>
              </w:rPr>
              <w:t>§ 8, før disse beløb fragår i den skatt</w:t>
            </w:r>
            <w:r w:rsidRPr="000B0F04">
              <w:rPr>
                <w:color w:val="000000"/>
                <w:lang w:val="da-DK"/>
              </w:rPr>
              <w:t>e</w:t>
            </w:r>
            <w:r w:rsidRPr="000B0F04">
              <w:rPr>
                <w:color w:val="000000"/>
                <w:lang w:val="da-DK"/>
              </w:rPr>
              <w:t>pligtige</w:t>
            </w:r>
            <w:r w:rsidR="006F7FE6">
              <w:rPr>
                <w:color w:val="000000"/>
                <w:lang w:val="da-DK"/>
              </w:rPr>
              <w:t xml:space="preserve"> </w:t>
            </w:r>
            <w:r w:rsidRPr="000B0F04">
              <w:rPr>
                <w:color w:val="000000"/>
                <w:lang w:val="da-DK"/>
              </w:rPr>
              <w:t>indkomst. Udbytter og avancer vedr</w:t>
            </w:r>
            <w:r w:rsidRPr="000B0F04">
              <w:rPr>
                <w:color w:val="000000"/>
                <w:lang w:val="da-DK"/>
              </w:rPr>
              <w:t>ø</w:t>
            </w:r>
            <w:r w:rsidRPr="000B0F04">
              <w:rPr>
                <w:color w:val="000000"/>
                <w:lang w:val="da-DK"/>
              </w:rPr>
              <w:t>rende aktier i de af sambeskatningen</w:t>
            </w:r>
            <w:r w:rsidR="006F7FE6">
              <w:rPr>
                <w:color w:val="000000"/>
                <w:lang w:val="da-DK"/>
              </w:rPr>
              <w:t xml:space="preserve"> </w:t>
            </w:r>
            <w:r w:rsidRPr="000B0F04">
              <w:rPr>
                <w:color w:val="000000"/>
                <w:lang w:val="da-DK"/>
              </w:rPr>
              <w:t>omfattede datterselskaber og egne aktier medregnes</w:t>
            </w:r>
            <w:r w:rsidR="006F7FE6">
              <w:rPr>
                <w:color w:val="000000"/>
                <w:lang w:val="da-DK"/>
              </w:rPr>
              <w:t xml:space="preserve"> </w:t>
            </w:r>
            <w:r w:rsidRPr="000B0F04">
              <w:rPr>
                <w:color w:val="000000"/>
                <w:lang w:val="da-DK"/>
              </w:rPr>
              <w:t>ikke ved forsikringsselskabets, moderselskabets, o</w:t>
            </w:r>
            <w:r w:rsidRPr="000B0F04">
              <w:rPr>
                <w:color w:val="000000"/>
                <w:lang w:val="da-DK"/>
              </w:rPr>
              <w:t>p</w:t>
            </w:r>
            <w:r w:rsidRPr="000B0F04">
              <w:rPr>
                <w:color w:val="000000"/>
                <w:lang w:val="da-DK"/>
              </w:rPr>
              <w:t>gørelse af de</w:t>
            </w:r>
            <w:r w:rsidR="006F7FE6">
              <w:rPr>
                <w:color w:val="000000"/>
                <w:lang w:val="da-DK"/>
              </w:rPr>
              <w:t xml:space="preserve"> </w:t>
            </w:r>
            <w:r w:rsidRPr="000B0F04">
              <w:rPr>
                <w:color w:val="000000"/>
                <w:lang w:val="da-DK"/>
              </w:rPr>
              <w:t>nævnte udbytter og avancer. For det indkomstår, hvori aktier eller</w:t>
            </w:r>
            <w:r w:rsidR="006F7FE6">
              <w:rPr>
                <w:color w:val="000000"/>
                <w:lang w:val="da-DK"/>
              </w:rPr>
              <w:t xml:space="preserve"> </w:t>
            </w:r>
            <w:r w:rsidRPr="000B0F04">
              <w:rPr>
                <w:color w:val="000000"/>
                <w:lang w:val="da-DK"/>
              </w:rPr>
              <w:t>fast ejendom sælges, reduceres summen af udbytter og ava</w:t>
            </w:r>
            <w:r w:rsidRPr="000B0F04">
              <w:rPr>
                <w:color w:val="000000"/>
                <w:lang w:val="da-DK"/>
              </w:rPr>
              <w:t>n</w:t>
            </w:r>
            <w:r w:rsidRPr="000B0F04">
              <w:rPr>
                <w:color w:val="000000"/>
                <w:lang w:val="da-DK"/>
              </w:rPr>
              <w:t>cer</w:t>
            </w:r>
            <w:r w:rsidR="006F7FE6">
              <w:rPr>
                <w:color w:val="000000"/>
                <w:lang w:val="da-DK"/>
              </w:rPr>
              <w:t xml:space="preserve"> </w:t>
            </w:r>
            <w:r w:rsidRPr="000B0F04">
              <w:rPr>
                <w:color w:val="000000"/>
                <w:lang w:val="da-DK"/>
              </w:rPr>
              <w:t>som opgjort efter 1. og 2. pkt. med en ska</w:t>
            </w:r>
            <w:r w:rsidRPr="000B0F04">
              <w:rPr>
                <w:color w:val="000000"/>
                <w:lang w:val="da-DK"/>
              </w:rPr>
              <w:t>t</w:t>
            </w:r>
            <w:r w:rsidRPr="000B0F04">
              <w:rPr>
                <w:color w:val="000000"/>
                <w:lang w:val="da-DK"/>
              </w:rPr>
              <w:lastRenderedPageBreak/>
              <w:t>tepligtig fortjeneste ved</w:t>
            </w:r>
            <w:r w:rsidR="006F7FE6">
              <w:rPr>
                <w:color w:val="000000"/>
                <w:lang w:val="da-DK"/>
              </w:rPr>
              <w:t xml:space="preserve"> </w:t>
            </w:r>
            <w:r w:rsidRPr="000B0F04">
              <w:rPr>
                <w:color w:val="000000"/>
                <w:lang w:val="da-DK"/>
              </w:rPr>
              <w:t>salget. Summen af u</w:t>
            </w:r>
            <w:r w:rsidRPr="000B0F04">
              <w:rPr>
                <w:color w:val="000000"/>
                <w:lang w:val="da-DK"/>
              </w:rPr>
              <w:t>d</w:t>
            </w:r>
            <w:r w:rsidRPr="000B0F04">
              <w:rPr>
                <w:color w:val="000000"/>
                <w:lang w:val="da-DK"/>
              </w:rPr>
              <w:t>bytter og avancer som opgjort efter 1. og 2.</w:t>
            </w:r>
            <w:r w:rsidR="006F7FE6">
              <w:rPr>
                <w:color w:val="000000"/>
                <w:lang w:val="da-DK"/>
              </w:rPr>
              <w:t xml:space="preserve"> </w:t>
            </w:r>
            <w:r w:rsidRPr="000B0F04">
              <w:rPr>
                <w:color w:val="000000"/>
                <w:lang w:val="da-DK"/>
              </w:rPr>
              <w:t>pkt. tillægges et fradragsberettiget tab ved salg af aktier eller fast</w:t>
            </w:r>
            <w:r w:rsidR="006F7FE6">
              <w:rPr>
                <w:color w:val="000000"/>
                <w:lang w:val="da-DK"/>
              </w:rPr>
              <w:t xml:space="preserve"> </w:t>
            </w:r>
            <w:r w:rsidRPr="000B0F04">
              <w:rPr>
                <w:color w:val="000000"/>
                <w:lang w:val="da-DK"/>
              </w:rPr>
              <w:t>ejendom i det indkomstår, hvori tabet anvendes til modregning. Et</w:t>
            </w:r>
            <w:r w:rsidR="006F7FE6">
              <w:rPr>
                <w:color w:val="000000"/>
                <w:lang w:val="da-DK"/>
              </w:rPr>
              <w:t xml:space="preserve"> </w:t>
            </w:r>
            <w:r w:rsidRPr="000B0F04">
              <w:rPr>
                <w:color w:val="000000"/>
                <w:lang w:val="da-DK"/>
              </w:rPr>
              <w:t>selskabs uu</w:t>
            </w:r>
            <w:r w:rsidRPr="000B0F04">
              <w:rPr>
                <w:color w:val="000000"/>
                <w:lang w:val="da-DK"/>
              </w:rPr>
              <w:t>d</w:t>
            </w:r>
            <w:r w:rsidRPr="000B0F04">
              <w:rPr>
                <w:color w:val="000000"/>
                <w:lang w:val="da-DK"/>
              </w:rPr>
              <w:t>nyttede fradragsberettigede tab ved udgangen af det</w:t>
            </w:r>
            <w:r w:rsidR="006F7FE6">
              <w:rPr>
                <w:color w:val="000000"/>
                <w:lang w:val="da-DK"/>
              </w:rPr>
              <w:t xml:space="preserve"> </w:t>
            </w:r>
            <w:r w:rsidRPr="000B0F04">
              <w:rPr>
                <w:color w:val="000000"/>
                <w:lang w:val="da-DK"/>
              </w:rPr>
              <w:t>sidste indkomstår, hvori udbytter og avancer i det pågældende selskab</w:t>
            </w:r>
            <w:r w:rsidR="006F7FE6">
              <w:rPr>
                <w:color w:val="000000"/>
                <w:lang w:val="da-DK"/>
              </w:rPr>
              <w:t xml:space="preserve"> </w:t>
            </w:r>
            <w:r w:rsidRPr="000B0F04">
              <w:rPr>
                <w:color w:val="000000"/>
                <w:lang w:val="da-DK"/>
              </w:rPr>
              <w:t>kan reducere fradrag</w:t>
            </w:r>
            <w:r w:rsidRPr="000B0F04">
              <w:rPr>
                <w:color w:val="000000"/>
                <w:lang w:val="da-DK"/>
              </w:rPr>
              <w:t>s</w:t>
            </w:r>
            <w:r w:rsidRPr="000B0F04">
              <w:rPr>
                <w:color w:val="000000"/>
                <w:lang w:val="da-DK"/>
              </w:rPr>
              <w:t>retten i forsikringsselskabet, tillægges</w:t>
            </w:r>
            <w:r w:rsidR="006F7FE6">
              <w:rPr>
                <w:color w:val="000000"/>
                <w:lang w:val="da-DK"/>
              </w:rPr>
              <w:t xml:space="preserve"> </w:t>
            </w:r>
            <w:r w:rsidRPr="000B0F04">
              <w:rPr>
                <w:color w:val="000000"/>
                <w:lang w:val="da-DK"/>
              </w:rPr>
              <w:t>ved fo</w:t>
            </w:r>
            <w:r w:rsidRPr="000B0F04">
              <w:rPr>
                <w:color w:val="000000"/>
                <w:lang w:val="da-DK"/>
              </w:rPr>
              <w:t>r</w:t>
            </w:r>
            <w:r w:rsidRPr="000B0F04">
              <w:rPr>
                <w:color w:val="000000"/>
                <w:lang w:val="da-DK"/>
              </w:rPr>
              <w:t>sikringsselskabets opgørelse af summen af u</w:t>
            </w:r>
            <w:r w:rsidRPr="000B0F04">
              <w:rPr>
                <w:color w:val="000000"/>
                <w:lang w:val="da-DK"/>
              </w:rPr>
              <w:t>d</w:t>
            </w:r>
            <w:r w:rsidRPr="000B0F04">
              <w:rPr>
                <w:color w:val="000000"/>
                <w:lang w:val="da-DK"/>
              </w:rPr>
              <w:t>bytter og</w:t>
            </w:r>
            <w:r w:rsidR="006F7FE6">
              <w:rPr>
                <w:color w:val="000000"/>
                <w:lang w:val="da-DK"/>
              </w:rPr>
              <w:t xml:space="preserve"> </w:t>
            </w:r>
            <w:r w:rsidRPr="000B0F04">
              <w:rPr>
                <w:color w:val="000000"/>
                <w:lang w:val="da-DK"/>
              </w:rPr>
              <w:t>avancer efter 1. og 2. pkt. for det efte</w:t>
            </w:r>
            <w:r w:rsidRPr="000B0F04">
              <w:rPr>
                <w:color w:val="000000"/>
                <w:lang w:val="da-DK"/>
              </w:rPr>
              <w:t>r</w:t>
            </w:r>
            <w:r w:rsidRPr="000B0F04">
              <w:rPr>
                <w:color w:val="000000"/>
                <w:lang w:val="da-DK"/>
              </w:rPr>
              <w:t>følgende indkomstår. 4. og</w:t>
            </w:r>
            <w:r w:rsidR="006F7FE6">
              <w:rPr>
                <w:color w:val="000000"/>
                <w:lang w:val="da-DK"/>
              </w:rPr>
              <w:t xml:space="preserve"> </w:t>
            </w:r>
            <w:r w:rsidRPr="000B0F04">
              <w:rPr>
                <w:color w:val="000000"/>
                <w:lang w:val="da-DK"/>
              </w:rPr>
              <w:t>5. pkt. gælder dog kun, i det omfang tabet har påvirket summen af</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udbytter og avancer efter 1. og 2. pkt. i forsi</w:t>
            </w:r>
            <w:r w:rsidRPr="000B0F04">
              <w:rPr>
                <w:color w:val="000000"/>
                <w:lang w:val="da-DK"/>
              </w:rPr>
              <w:t>k</w:t>
            </w:r>
            <w:r w:rsidRPr="000B0F04">
              <w:rPr>
                <w:color w:val="000000"/>
                <w:lang w:val="da-DK"/>
              </w:rPr>
              <w:t>ringsselskabet i tidligere</w:t>
            </w:r>
            <w:r w:rsidR="006F7FE6">
              <w:rPr>
                <w:color w:val="000000"/>
                <w:lang w:val="da-DK"/>
              </w:rPr>
              <w:t xml:space="preserve"> </w:t>
            </w:r>
            <w:r w:rsidRPr="000B0F04">
              <w:rPr>
                <w:color w:val="000000"/>
                <w:lang w:val="da-DK"/>
              </w:rPr>
              <w:t>indkomstår. Hvis ikke samtlige aktier i et sambeskattet datterselskab</w:t>
            </w:r>
            <w:r w:rsidR="006F7FE6">
              <w:rPr>
                <w:color w:val="000000"/>
                <w:lang w:val="da-DK"/>
              </w:rPr>
              <w:t xml:space="preserve"> </w:t>
            </w:r>
            <w:r w:rsidRPr="000B0F04">
              <w:rPr>
                <w:color w:val="000000"/>
                <w:lang w:val="da-DK"/>
              </w:rPr>
              <w:t>ejes direkte eller indirekte af forsikringsselsk</w:t>
            </w:r>
            <w:r w:rsidRPr="000B0F04">
              <w:rPr>
                <w:color w:val="000000"/>
                <w:lang w:val="da-DK"/>
              </w:rPr>
              <w:t>a</w:t>
            </w:r>
            <w:r w:rsidRPr="000B0F04">
              <w:rPr>
                <w:color w:val="000000"/>
                <w:lang w:val="da-DK"/>
              </w:rPr>
              <w:t>bet, medregnes</w:t>
            </w:r>
            <w:r w:rsidR="006F7FE6">
              <w:rPr>
                <w:color w:val="000000"/>
                <w:lang w:val="da-DK"/>
              </w:rPr>
              <w:t xml:space="preserve"> </w:t>
            </w:r>
            <w:r w:rsidRPr="000B0F04">
              <w:rPr>
                <w:color w:val="000000"/>
                <w:lang w:val="da-DK"/>
              </w:rPr>
              <w:t>den del af de skattefri og le</w:t>
            </w:r>
            <w:r w:rsidRPr="000B0F04">
              <w:rPr>
                <w:color w:val="000000"/>
                <w:lang w:val="da-DK"/>
              </w:rPr>
              <w:t>m</w:t>
            </w:r>
            <w:r w:rsidRPr="000B0F04">
              <w:rPr>
                <w:color w:val="000000"/>
                <w:lang w:val="da-DK"/>
              </w:rPr>
              <w:t>pelsesberettigede udbytter og</w:t>
            </w:r>
            <w:r w:rsidR="006F7FE6">
              <w:rPr>
                <w:color w:val="000000"/>
                <w:lang w:val="da-DK"/>
              </w:rPr>
              <w:t xml:space="preserve"> </w:t>
            </w:r>
            <w:r w:rsidRPr="000B0F04">
              <w:rPr>
                <w:color w:val="000000"/>
                <w:lang w:val="da-DK"/>
              </w:rPr>
              <w:t>avancer i datte</w:t>
            </w:r>
            <w:r w:rsidRPr="000B0F04">
              <w:rPr>
                <w:color w:val="000000"/>
                <w:lang w:val="da-DK"/>
              </w:rPr>
              <w:t>r</w:t>
            </w:r>
            <w:r w:rsidRPr="000B0F04">
              <w:rPr>
                <w:color w:val="000000"/>
                <w:lang w:val="da-DK"/>
              </w:rPr>
              <w:t>selskabet, der svarer til forsikringsselskabets gennemsnitlige</w:t>
            </w:r>
            <w:r w:rsidR="006F7FE6">
              <w:rPr>
                <w:color w:val="000000"/>
                <w:lang w:val="da-DK"/>
              </w:rPr>
              <w:t xml:space="preserve"> </w:t>
            </w:r>
            <w:r w:rsidRPr="000B0F04">
              <w:rPr>
                <w:color w:val="000000"/>
                <w:lang w:val="da-DK"/>
              </w:rPr>
              <w:t>ejerandel af datterselskabets aktiekapital i indkomståret.</w:t>
            </w:r>
          </w:p>
          <w:p w:rsidR="000B0F04" w:rsidRPr="000B0F04" w:rsidRDefault="000B0F04" w:rsidP="006F7FE6">
            <w:pPr>
              <w:tabs>
                <w:tab w:val="left" w:pos="0"/>
                <w:tab w:val="left" w:pos="900"/>
              </w:tabs>
              <w:spacing w:line="288" w:lineRule="auto"/>
              <w:jc w:val="both"/>
              <w:rPr>
                <w:color w:val="000000"/>
                <w:lang w:val="da-DK"/>
              </w:rPr>
            </w:pPr>
            <w:r w:rsidRPr="000B0F04">
              <w:rPr>
                <w:i/>
                <w:iCs/>
                <w:color w:val="000000"/>
                <w:lang w:val="da-DK"/>
              </w:rPr>
              <w:t xml:space="preserve">Stk. 4. </w:t>
            </w:r>
            <w:r w:rsidRPr="000B0F04">
              <w:rPr>
                <w:color w:val="000000"/>
                <w:lang w:val="da-DK"/>
              </w:rPr>
              <w:t>For skadesforsikringsselskaber udgør reduktionen af</w:t>
            </w:r>
            <w:r w:rsidR="006F7FE6">
              <w:rPr>
                <w:color w:val="000000"/>
                <w:lang w:val="da-DK"/>
              </w:rPr>
              <w:t xml:space="preserve"> </w:t>
            </w:r>
            <w:r w:rsidRPr="000B0F04">
              <w:rPr>
                <w:color w:val="000000"/>
                <w:lang w:val="da-DK"/>
              </w:rPr>
              <w:t>fradragsretten efter stk. 3 dog højst den del af selskabets skattefri</w:t>
            </w:r>
            <w:r w:rsidR="006F7FE6">
              <w:rPr>
                <w:color w:val="000000"/>
                <w:lang w:val="da-DK"/>
              </w:rPr>
              <w:t xml:space="preserve"> </w:t>
            </w:r>
            <w:r w:rsidRPr="000B0F04">
              <w:rPr>
                <w:color w:val="000000"/>
                <w:lang w:val="da-DK"/>
              </w:rPr>
              <w:t>og lempe</w:t>
            </w:r>
            <w:r w:rsidRPr="000B0F04">
              <w:rPr>
                <w:color w:val="000000"/>
                <w:lang w:val="da-DK"/>
              </w:rPr>
              <w:t>l</w:t>
            </w:r>
            <w:r w:rsidRPr="000B0F04">
              <w:rPr>
                <w:color w:val="000000"/>
                <w:lang w:val="da-DK"/>
              </w:rPr>
              <w:t>sesberettigede udbytter og avancer m.m., der svarer til</w:t>
            </w:r>
            <w:r w:rsidR="006F7FE6">
              <w:rPr>
                <w:color w:val="000000"/>
                <w:lang w:val="da-DK"/>
              </w:rPr>
              <w:t xml:space="preserve"> </w:t>
            </w:r>
            <w:r w:rsidRPr="000B0F04">
              <w:rPr>
                <w:color w:val="000000"/>
                <w:lang w:val="da-DK"/>
              </w:rPr>
              <w:t>det beløb, hvormed selskabets udbet</w:t>
            </w:r>
            <w:r w:rsidRPr="000B0F04">
              <w:rPr>
                <w:color w:val="000000"/>
                <w:lang w:val="da-DK"/>
              </w:rPr>
              <w:t>a</w:t>
            </w:r>
            <w:r w:rsidRPr="000B0F04">
              <w:rPr>
                <w:color w:val="000000"/>
                <w:lang w:val="da-DK"/>
              </w:rPr>
              <w:t>linger til de forsikrede, de i</w:t>
            </w:r>
            <w:r w:rsidR="006F7FE6">
              <w:rPr>
                <w:color w:val="000000"/>
                <w:lang w:val="da-DK"/>
              </w:rPr>
              <w:t xml:space="preserve"> </w:t>
            </w:r>
            <w:r w:rsidRPr="000B0F04">
              <w:rPr>
                <w:color w:val="000000"/>
                <w:lang w:val="da-DK"/>
              </w:rPr>
              <w:t>stk. 2, 1. pkt., næv</w:t>
            </w:r>
            <w:r w:rsidRPr="000B0F04">
              <w:rPr>
                <w:color w:val="000000"/>
                <w:lang w:val="da-DK"/>
              </w:rPr>
              <w:t>n</w:t>
            </w:r>
            <w:r w:rsidRPr="000B0F04">
              <w:rPr>
                <w:color w:val="000000"/>
                <w:lang w:val="da-DK"/>
              </w:rPr>
              <w:t>te hensættelser og øvrige fradragsberettigede</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driftsomkostninger overstiger selskabets skatt</w:t>
            </w:r>
            <w:r w:rsidRPr="000B0F04">
              <w:rPr>
                <w:color w:val="000000"/>
                <w:lang w:val="da-DK"/>
              </w:rPr>
              <w:t>e</w:t>
            </w:r>
            <w:r w:rsidRPr="000B0F04">
              <w:rPr>
                <w:color w:val="000000"/>
                <w:lang w:val="da-DK"/>
              </w:rPr>
              <w:t>pligtige præmieindtægter</w:t>
            </w:r>
            <w:r w:rsidR="006F7FE6">
              <w:rPr>
                <w:color w:val="000000"/>
                <w:lang w:val="da-DK"/>
              </w:rPr>
              <w:t xml:space="preserve"> </w:t>
            </w:r>
            <w:r w:rsidRPr="000B0F04">
              <w:rPr>
                <w:color w:val="000000"/>
                <w:lang w:val="da-DK"/>
              </w:rPr>
              <w:t>med tillæg af 50 pct. af den forsikringstekniske rente for</w:t>
            </w:r>
            <w:r w:rsidR="006F7FE6">
              <w:rPr>
                <w:color w:val="000000"/>
                <w:lang w:val="da-DK"/>
              </w:rPr>
              <w:t xml:space="preserve"> </w:t>
            </w:r>
            <w:r w:rsidRPr="000B0F04">
              <w:rPr>
                <w:color w:val="000000"/>
                <w:lang w:val="da-DK"/>
              </w:rPr>
              <w:t>egen re</w:t>
            </w:r>
            <w:r w:rsidRPr="000B0F04">
              <w:rPr>
                <w:color w:val="000000"/>
                <w:lang w:val="da-DK"/>
              </w:rPr>
              <w:t>g</w:t>
            </w:r>
            <w:r w:rsidRPr="000B0F04">
              <w:rPr>
                <w:color w:val="000000"/>
                <w:lang w:val="da-DK"/>
              </w:rPr>
              <w:t>ning. Opgørelsen efter 1. pkt. sker ved, at se</w:t>
            </w:r>
            <w:r w:rsidRPr="000B0F04">
              <w:rPr>
                <w:color w:val="000000"/>
                <w:lang w:val="da-DK"/>
              </w:rPr>
              <w:t>l</w:t>
            </w:r>
            <w:r w:rsidRPr="000B0F04">
              <w:rPr>
                <w:color w:val="000000"/>
                <w:lang w:val="da-DK"/>
              </w:rPr>
              <w:t>skabet fra år</w:t>
            </w:r>
            <w:r w:rsidR="006F7FE6">
              <w:rPr>
                <w:color w:val="000000"/>
                <w:lang w:val="da-DK"/>
              </w:rPr>
              <w:t xml:space="preserve"> </w:t>
            </w:r>
            <w:r w:rsidRPr="000B0F04">
              <w:rPr>
                <w:color w:val="000000"/>
                <w:lang w:val="da-DK"/>
              </w:rPr>
              <w:t>til år fører en konto over selskabets samlede skattefri og lempelsesberettigede</w:t>
            </w:r>
            <w:r w:rsidR="006F7FE6">
              <w:rPr>
                <w:color w:val="000000"/>
                <w:lang w:val="da-DK"/>
              </w:rPr>
              <w:t xml:space="preserve"> </w:t>
            </w:r>
            <w:r w:rsidRPr="000B0F04">
              <w:rPr>
                <w:color w:val="000000"/>
                <w:lang w:val="da-DK"/>
              </w:rPr>
              <w:t>u</w:t>
            </w:r>
            <w:r w:rsidRPr="000B0F04">
              <w:rPr>
                <w:color w:val="000000"/>
                <w:lang w:val="da-DK"/>
              </w:rPr>
              <w:t>d</w:t>
            </w:r>
            <w:r w:rsidRPr="000B0F04">
              <w:rPr>
                <w:color w:val="000000"/>
                <w:lang w:val="da-DK"/>
              </w:rPr>
              <w:t>bytter samt skattefri avancer og modsvarende tab</w:t>
            </w:r>
            <w:r w:rsidR="006F7FE6">
              <w:rPr>
                <w:color w:val="000000"/>
                <w:lang w:val="da-DK"/>
              </w:rPr>
              <w:t xml:space="preserve"> </w:t>
            </w:r>
            <w:r w:rsidRPr="000B0F04">
              <w:rPr>
                <w:color w:val="000000"/>
                <w:lang w:val="da-DK"/>
              </w:rPr>
              <w:t>(finanskonto) og en konto over det beløb, hvormed selskabets udbetalinger</w:t>
            </w:r>
            <w:r w:rsidR="006F7FE6">
              <w:rPr>
                <w:color w:val="000000"/>
                <w:lang w:val="da-DK"/>
              </w:rPr>
              <w:t xml:space="preserve"> </w:t>
            </w:r>
            <w:r w:rsidRPr="000B0F04">
              <w:rPr>
                <w:color w:val="000000"/>
                <w:lang w:val="da-DK"/>
              </w:rPr>
              <w:t>til de forsikr</w:t>
            </w:r>
            <w:r w:rsidRPr="000B0F04">
              <w:rPr>
                <w:color w:val="000000"/>
                <w:lang w:val="da-DK"/>
              </w:rPr>
              <w:t>e</w:t>
            </w:r>
            <w:r w:rsidRPr="000B0F04">
              <w:rPr>
                <w:color w:val="000000"/>
                <w:lang w:val="da-DK"/>
              </w:rPr>
              <w:t>de, de i stk. 2, 1. pkt., nævnte hensættelser</w:t>
            </w:r>
            <w:r w:rsidR="006F7FE6">
              <w:rPr>
                <w:color w:val="000000"/>
                <w:lang w:val="da-DK"/>
              </w:rPr>
              <w:t xml:space="preserve"> </w:t>
            </w:r>
            <w:r w:rsidRPr="000B0F04">
              <w:rPr>
                <w:color w:val="000000"/>
                <w:lang w:val="da-DK"/>
              </w:rPr>
              <w:t xml:space="preserve">og øvrige fradragsberettigede driftsomkostninger </w:t>
            </w:r>
            <w:r w:rsidRPr="000B0F04">
              <w:rPr>
                <w:color w:val="000000"/>
                <w:lang w:val="da-DK"/>
              </w:rPr>
              <w:lastRenderedPageBreak/>
              <w:t>overstiger selskabets</w:t>
            </w:r>
            <w:r w:rsidR="006F7FE6">
              <w:rPr>
                <w:color w:val="000000"/>
                <w:lang w:val="da-DK"/>
              </w:rPr>
              <w:t xml:space="preserve"> </w:t>
            </w:r>
            <w:r w:rsidRPr="000B0F04">
              <w:rPr>
                <w:color w:val="000000"/>
                <w:lang w:val="da-DK"/>
              </w:rPr>
              <w:t>skattepligtige præmiein</w:t>
            </w:r>
            <w:r w:rsidRPr="000B0F04">
              <w:rPr>
                <w:color w:val="000000"/>
                <w:lang w:val="da-DK"/>
              </w:rPr>
              <w:t>d</w:t>
            </w:r>
            <w:r w:rsidRPr="000B0F04">
              <w:rPr>
                <w:color w:val="000000"/>
                <w:lang w:val="da-DK"/>
              </w:rPr>
              <w:t>tægter med tillæg af 50 pct. af den</w:t>
            </w:r>
            <w:r w:rsidR="006F7FE6">
              <w:rPr>
                <w:color w:val="000000"/>
                <w:lang w:val="da-DK"/>
              </w:rPr>
              <w:t xml:space="preserve"> </w:t>
            </w:r>
            <w:r w:rsidRPr="000B0F04">
              <w:rPr>
                <w:color w:val="000000"/>
                <w:lang w:val="da-DK"/>
              </w:rPr>
              <w:t>forsikring</w:t>
            </w:r>
            <w:r w:rsidRPr="000B0F04">
              <w:rPr>
                <w:color w:val="000000"/>
                <w:lang w:val="da-DK"/>
              </w:rPr>
              <w:t>s</w:t>
            </w:r>
            <w:r w:rsidRPr="000B0F04">
              <w:rPr>
                <w:color w:val="000000"/>
                <w:lang w:val="da-DK"/>
              </w:rPr>
              <w:t>tekniske rente for egen regning (driftskonto). Hvis saldoen</w:t>
            </w:r>
            <w:r w:rsidR="006F7FE6">
              <w:rPr>
                <w:color w:val="000000"/>
                <w:lang w:val="da-DK"/>
              </w:rPr>
              <w:t xml:space="preserve"> </w:t>
            </w:r>
            <w:r w:rsidRPr="000B0F04">
              <w:rPr>
                <w:color w:val="000000"/>
                <w:lang w:val="da-DK"/>
              </w:rPr>
              <w:t>på driftskontoen er positiv og der samtidig er en positiv saldo</w:t>
            </w:r>
            <w:r w:rsidR="006F7FE6">
              <w:rPr>
                <w:color w:val="000000"/>
                <w:lang w:val="da-DK"/>
              </w:rPr>
              <w:t xml:space="preserve"> </w:t>
            </w:r>
            <w:r w:rsidRPr="000B0F04">
              <w:rPr>
                <w:color w:val="000000"/>
                <w:lang w:val="da-DK"/>
              </w:rPr>
              <w:t>på finanskontoen, anvendes det mindste af de to beløb i 1. pkt.</w:t>
            </w:r>
            <w:r w:rsidR="006F7FE6">
              <w:rPr>
                <w:color w:val="000000"/>
                <w:lang w:val="da-DK"/>
              </w:rPr>
              <w:t xml:space="preserve"> </w:t>
            </w:r>
            <w:r w:rsidRPr="000B0F04">
              <w:rPr>
                <w:color w:val="000000"/>
                <w:lang w:val="da-DK"/>
              </w:rPr>
              <w:t>Saldoen på begge konti reduceres med det b</w:t>
            </w:r>
            <w:r w:rsidRPr="000B0F04">
              <w:rPr>
                <w:color w:val="000000"/>
                <w:lang w:val="da-DK"/>
              </w:rPr>
              <w:t>e</w:t>
            </w:r>
            <w:r w:rsidRPr="000B0F04">
              <w:rPr>
                <w:color w:val="000000"/>
                <w:lang w:val="da-DK"/>
              </w:rPr>
              <w:t>løb, der anvendes i</w:t>
            </w:r>
            <w:r w:rsidR="006F7FE6">
              <w:rPr>
                <w:color w:val="000000"/>
                <w:lang w:val="da-DK"/>
              </w:rPr>
              <w:t xml:space="preserve"> </w:t>
            </w:r>
            <w:r w:rsidRPr="000B0F04">
              <w:rPr>
                <w:color w:val="000000"/>
                <w:lang w:val="da-DK"/>
              </w:rPr>
              <w:t>1. pkt., hvorefter de rest</w:t>
            </w:r>
            <w:r w:rsidRPr="000B0F04">
              <w:rPr>
                <w:color w:val="000000"/>
                <w:lang w:val="da-DK"/>
              </w:rPr>
              <w:t>e</w:t>
            </w:r>
            <w:r w:rsidRPr="000B0F04">
              <w:rPr>
                <w:color w:val="000000"/>
                <w:lang w:val="da-DK"/>
              </w:rPr>
              <w:t>rende saldi overføres til det efterfølgende</w:t>
            </w:r>
            <w:r w:rsidR="006F7FE6">
              <w:rPr>
                <w:color w:val="000000"/>
                <w:lang w:val="da-DK"/>
              </w:rPr>
              <w:t xml:space="preserve"> </w:t>
            </w:r>
            <w:r w:rsidRPr="000B0F04">
              <w:rPr>
                <w:color w:val="000000"/>
                <w:lang w:val="da-DK"/>
              </w:rPr>
              <w:t>in</w:t>
            </w:r>
            <w:r w:rsidRPr="000B0F04">
              <w:rPr>
                <w:color w:val="000000"/>
                <w:lang w:val="da-DK"/>
              </w:rPr>
              <w:t>d</w:t>
            </w:r>
            <w:r w:rsidRPr="000B0F04">
              <w:rPr>
                <w:color w:val="000000"/>
                <w:lang w:val="da-DK"/>
              </w:rPr>
              <w:t>komstår.</w:t>
            </w:r>
          </w:p>
          <w:p w:rsidR="000B0F04" w:rsidRPr="000B0F04" w:rsidRDefault="000B0F04" w:rsidP="006F7FE6">
            <w:pPr>
              <w:tabs>
                <w:tab w:val="left" w:pos="0"/>
                <w:tab w:val="left" w:pos="900"/>
              </w:tabs>
              <w:spacing w:line="288" w:lineRule="auto"/>
              <w:jc w:val="both"/>
              <w:rPr>
                <w:color w:val="000000"/>
                <w:lang w:val="da-DK"/>
              </w:rPr>
            </w:pPr>
            <w:r w:rsidRPr="000B0F04">
              <w:rPr>
                <w:i/>
                <w:iCs/>
                <w:color w:val="000000"/>
                <w:lang w:val="da-DK"/>
              </w:rPr>
              <w:t xml:space="preserve">Stk. 5. </w:t>
            </w:r>
            <w:r w:rsidRPr="000B0F04">
              <w:rPr>
                <w:color w:val="000000"/>
                <w:lang w:val="da-DK"/>
              </w:rPr>
              <w:t>Hvis et forsikringsselskab er sambeska</w:t>
            </w:r>
            <w:r w:rsidRPr="000B0F04">
              <w:rPr>
                <w:color w:val="000000"/>
                <w:lang w:val="da-DK"/>
              </w:rPr>
              <w:t>t</w:t>
            </w:r>
            <w:r w:rsidRPr="000B0F04">
              <w:rPr>
                <w:color w:val="000000"/>
                <w:lang w:val="da-DK"/>
              </w:rPr>
              <w:t>tet med et andet</w:t>
            </w:r>
            <w:r w:rsidR="006F7FE6">
              <w:rPr>
                <w:color w:val="000000"/>
                <w:lang w:val="da-DK"/>
              </w:rPr>
              <w:t xml:space="preserve"> </w:t>
            </w:r>
            <w:r w:rsidRPr="000B0F04">
              <w:rPr>
                <w:color w:val="000000"/>
                <w:lang w:val="da-DK"/>
              </w:rPr>
              <w:t>forsikringsselskab, foretages en samlet opgørelse af skattefri og</w:t>
            </w:r>
            <w:r w:rsidR="006F7FE6">
              <w:rPr>
                <w:color w:val="000000"/>
                <w:lang w:val="da-DK"/>
              </w:rPr>
              <w:t xml:space="preserve"> </w:t>
            </w:r>
            <w:r w:rsidRPr="000B0F04">
              <w:rPr>
                <w:color w:val="000000"/>
                <w:lang w:val="da-DK"/>
              </w:rPr>
              <w:t>lempelsesbere</w:t>
            </w:r>
            <w:r w:rsidRPr="000B0F04">
              <w:rPr>
                <w:color w:val="000000"/>
                <w:lang w:val="da-DK"/>
              </w:rPr>
              <w:t>t</w:t>
            </w:r>
            <w:r w:rsidRPr="000B0F04">
              <w:rPr>
                <w:color w:val="000000"/>
                <w:lang w:val="da-DK"/>
              </w:rPr>
              <w:t>tigede udbytter og avancer m.m. efter stk. 3. Det</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opgjorte beløb fordeles forholdsmæssigt mellem forsikringsselskaberne,</w:t>
            </w:r>
            <w:r w:rsidR="006F7FE6">
              <w:rPr>
                <w:color w:val="000000"/>
                <w:lang w:val="da-DK"/>
              </w:rPr>
              <w:t xml:space="preserve"> </w:t>
            </w:r>
            <w:r w:rsidRPr="000B0F04">
              <w:rPr>
                <w:color w:val="000000"/>
                <w:lang w:val="da-DK"/>
              </w:rPr>
              <w:t>hvorefter der foretages fradragsbegrænsning efter stk. 3</w:t>
            </w:r>
            <w:r w:rsidR="006F7FE6">
              <w:rPr>
                <w:color w:val="000000"/>
                <w:lang w:val="da-DK"/>
              </w:rPr>
              <w:t xml:space="preserve"> </w:t>
            </w:r>
            <w:r w:rsidRPr="000B0F04">
              <w:rPr>
                <w:color w:val="000000"/>
                <w:lang w:val="da-DK"/>
              </w:rPr>
              <w:t>henholdsvis stk. 4. Der foretages hver sin samlede opgørelse efter</w:t>
            </w:r>
            <w:r w:rsidR="006F7FE6">
              <w:rPr>
                <w:color w:val="000000"/>
                <w:lang w:val="da-DK"/>
              </w:rPr>
              <w:t xml:space="preserve"> </w:t>
            </w:r>
            <w:r w:rsidRPr="000B0F04">
              <w:rPr>
                <w:color w:val="000000"/>
                <w:lang w:val="da-DK"/>
              </w:rPr>
              <w:t>1. og 2. pkt. for livsforsikringsselskaber og skadesforsikringsselskaber.</w:t>
            </w:r>
            <w:r w:rsidR="006F7FE6">
              <w:rPr>
                <w:color w:val="000000"/>
                <w:lang w:val="da-DK"/>
              </w:rPr>
              <w:t xml:space="preserve"> </w:t>
            </w:r>
            <w:r w:rsidRPr="000B0F04">
              <w:rPr>
                <w:color w:val="000000"/>
                <w:lang w:val="da-DK"/>
              </w:rPr>
              <w:t>Forsikringsselsk</w:t>
            </w:r>
            <w:r w:rsidRPr="000B0F04">
              <w:rPr>
                <w:color w:val="000000"/>
                <w:lang w:val="da-DK"/>
              </w:rPr>
              <w:t>a</w:t>
            </w:r>
            <w:r w:rsidRPr="000B0F04">
              <w:rPr>
                <w:color w:val="000000"/>
                <w:lang w:val="da-DK"/>
              </w:rPr>
              <w:t>ber, der ved den forholdsmæssige fordeling</w:t>
            </w:r>
            <w:r w:rsidR="006F7FE6">
              <w:rPr>
                <w:color w:val="000000"/>
                <w:lang w:val="da-DK"/>
              </w:rPr>
              <w:t xml:space="preserve"> </w:t>
            </w:r>
            <w:r w:rsidRPr="000B0F04">
              <w:rPr>
                <w:color w:val="000000"/>
                <w:lang w:val="da-DK"/>
              </w:rPr>
              <w:t>u</w:t>
            </w:r>
            <w:r w:rsidRPr="000B0F04">
              <w:rPr>
                <w:color w:val="000000"/>
                <w:lang w:val="da-DK"/>
              </w:rPr>
              <w:t>d</w:t>
            </w:r>
            <w:r w:rsidRPr="000B0F04">
              <w:rPr>
                <w:color w:val="000000"/>
                <w:lang w:val="da-DK"/>
              </w:rPr>
              <w:t>nytter et andet forsikringsselskabs tab, skal godtgøre sidstnævnte</w:t>
            </w:r>
            <w:r w:rsidR="006F7FE6">
              <w:rPr>
                <w:color w:val="000000"/>
                <w:lang w:val="da-DK"/>
              </w:rPr>
              <w:t xml:space="preserve"> </w:t>
            </w:r>
            <w:r w:rsidRPr="000B0F04">
              <w:rPr>
                <w:color w:val="000000"/>
                <w:lang w:val="da-DK"/>
              </w:rPr>
              <w:t>selskab den skattemæssige værdi af tabet. Godtgørelsen har ikke</w:t>
            </w:r>
            <w:r w:rsidR="006F7FE6">
              <w:rPr>
                <w:color w:val="000000"/>
                <w:lang w:val="da-DK"/>
              </w:rPr>
              <w:t xml:space="preserve"> </w:t>
            </w:r>
            <w:r w:rsidRPr="000B0F04">
              <w:rPr>
                <w:color w:val="000000"/>
                <w:lang w:val="da-DK"/>
              </w:rPr>
              <w:t>skatt</w:t>
            </w:r>
            <w:r w:rsidRPr="000B0F04">
              <w:rPr>
                <w:color w:val="000000"/>
                <w:lang w:val="da-DK"/>
              </w:rPr>
              <w:t>e</w:t>
            </w:r>
            <w:r w:rsidRPr="000B0F04">
              <w:rPr>
                <w:color w:val="000000"/>
                <w:lang w:val="da-DK"/>
              </w:rPr>
              <w:t>mæssige konsekvenser for selskaberne. Hvis et livsforsikringsselskab</w:t>
            </w:r>
            <w:r w:rsidR="006F7FE6">
              <w:rPr>
                <w:color w:val="000000"/>
                <w:lang w:val="da-DK"/>
              </w:rPr>
              <w:t xml:space="preserve"> </w:t>
            </w:r>
            <w:r w:rsidRPr="000B0F04">
              <w:rPr>
                <w:color w:val="000000"/>
                <w:lang w:val="da-DK"/>
              </w:rPr>
              <w:t>direkte eller indirekte ejer et skadesforsikringsselskab, som</w:t>
            </w:r>
            <w:r w:rsidR="006F7FE6">
              <w:rPr>
                <w:color w:val="000000"/>
                <w:lang w:val="da-DK"/>
              </w:rPr>
              <w:t xml:space="preserve"> </w:t>
            </w:r>
            <w:r w:rsidRPr="000B0F04">
              <w:rPr>
                <w:color w:val="000000"/>
                <w:lang w:val="da-DK"/>
              </w:rPr>
              <w:t>det er samb</w:t>
            </w:r>
            <w:r w:rsidRPr="000B0F04">
              <w:rPr>
                <w:color w:val="000000"/>
                <w:lang w:val="da-DK"/>
              </w:rPr>
              <w:t>e</w:t>
            </w:r>
            <w:r w:rsidRPr="000B0F04">
              <w:rPr>
                <w:color w:val="000000"/>
                <w:lang w:val="da-DK"/>
              </w:rPr>
              <w:t>skattet med, skal skattefri og lempelsesberett</w:t>
            </w:r>
            <w:r w:rsidRPr="000B0F04">
              <w:rPr>
                <w:color w:val="000000"/>
                <w:lang w:val="da-DK"/>
              </w:rPr>
              <w:t>i</w:t>
            </w:r>
            <w:r w:rsidRPr="000B0F04">
              <w:rPr>
                <w:color w:val="000000"/>
                <w:lang w:val="da-DK"/>
              </w:rPr>
              <w:t>gede</w:t>
            </w:r>
            <w:r w:rsidR="006F7FE6">
              <w:rPr>
                <w:color w:val="000000"/>
                <w:lang w:val="da-DK"/>
              </w:rPr>
              <w:t xml:space="preserve"> </w:t>
            </w:r>
            <w:r w:rsidRPr="000B0F04">
              <w:rPr>
                <w:color w:val="000000"/>
                <w:lang w:val="da-DK"/>
              </w:rPr>
              <w:t>udbytter og avancer m.m., der ikke vil bl</w:t>
            </w:r>
            <w:r w:rsidRPr="000B0F04">
              <w:rPr>
                <w:color w:val="000000"/>
                <w:lang w:val="da-DK"/>
              </w:rPr>
              <w:t>i</w:t>
            </w:r>
            <w:r w:rsidRPr="000B0F04">
              <w:rPr>
                <w:color w:val="000000"/>
                <w:lang w:val="da-DK"/>
              </w:rPr>
              <w:t>ve anset for medgået til</w:t>
            </w:r>
            <w:r w:rsidR="006F7FE6">
              <w:rPr>
                <w:color w:val="000000"/>
                <w:lang w:val="da-DK"/>
              </w:rPr>
              <w:t xml:space="preserve"> </w:t>
            </w:r>
            <w:r w:rsidRPr="000B0F04">
              <w:rPr>
                <w:color w:val="000000"/>
                <w:lang w:val="da-DK"/>
              </w:rPr>
              <w:t>skadesforsikringsse</w:t>
            </w:r>
            <w:r w:rsidRPr="000B0F04">
              <w:rPr>
                <w:color w:val="000000"/>
                <w:lang w:val="da-DK"/>
              </w:rPr>
              <w:t>l</w:t>
            </w:r>
            <w:r w:rsidRPr="000B0F04">
              <w:rPr>
                <w:color w:val="000000"/>
                <w:lang w:val="da-DK"/>
              </w:rPr>
              <w:t>skabets udbetalinger til de forsikrede og til de</w:t>
            </w:r>
            <w:r w:rsidR="006F7FE6">
              <w:rPr>
                <w:color w:val="000000"/>
                <w:lang w:val="da-DK"/>
              </w:rPr>
              <w:t xml:space="preserve"> </w:t>
            </w:r>
            <w:r w:rsidRPr="000B0F04">
              <w:rPr>
                <w:color w:val="000000"/>
                <w:lang w:val="da-DK"/>
              </w:rPr>
              <w:t>i stk. 2, 1. pkt., nævnte hensættelser og fradrag</w:t>
            </w:r>
            <w:r w:rsidRPr="000B0F04">
              <w:rPr>
                <w:color w:val="000000"/>
                <w:lang w:val="da-DK"/>
              </w:rPr>
              <w:t>s</w:t>
            </w:r>
            <w:r w:rsidRPr="000B0F04">
              <w:rPr>
                <w:color w:val="000000"/>
                <w:lang w:val="da-DK"/>
              </w:rPr>
              <w:t>berettigede</w:t>
            </w:r>
            <w:r w:rsidR="006F7FE6">
              <w:rPr>
                <w:color w:val="000000"/>
                <w:lang w:val="da-DK"/>
              </w:rPr>
              <w:t xml:space="preserve"> </w:t>
            </w:r>
            <w:r w:rsidRPr="000B0F04">
              <w:rPr>
                <w:color w:val="000000"/>
                <w:lang w:val="da-DK"/>
              </w:rPr>
              <w:t>driftsomkostninger, henføres til liv</w:t>
            </w:r>
            <w:r w:rsidRPr="000B0F04">
              <w:rPr>
                <w:color w:val="000000"/>
                <w:lang w:val="da-DK"/>
              </w:rPr>
              <w:t>s</w:t>
            </w:r>
            <w:r w:rsidRPr="000B0F04">
              <w:rPr>
                <w:color w:val="000000"/>
                <w:lang w:val="da-DK"/>
              </w:rPr>
              <w:t>forsikringsselskabet, moderselskabet,</w:t>
            </w:r>
            <w:r w:rsidR="006F7FE6">
              <w:rPr>
                <w:color w:val="000000"/>
                <w:lang w:val="da-DK"/>
              </w:rPr>
              <w:t xml:space="preserve"> </w:t>
            </w:r>
            <w:r w:rsidRPr="000B0F04">
              <w:rPr>
                <w:color w:val="000000"/>
                <w:lang w:val="da-DK"/>
              </w:rPr>
              <w:t>med he</w:t>
            </w:r>
            <w:r w:rsidRPr="000B0F04">
              <w:rPr>
                <w:color w:val="000000"/>
                <w:lang w:val="da-DK"/>
              </w:rPr>
              <w:t>n</w:t>
            </w:r>
            <w:r w:rsidRPr="000B0F04">
              <w:rPr>
                <w:color w:val="000000"/>
                <w:lang w:val="da-DK"/>
              </w:rPr>
              <w:t>blik på fradragsbegrænsning i dette selskab.</w:t>
            </w:r>
          </w:p>
          <w:p w:rsidR="000B0F04" w:rsidRPr="000B0F04" w:rsidRDefault="000B0F04" w:rsidP="006F7FE6">
            <w:pPr>
              <w:tabs>
                <w:tab w:val="left" w:pos="0"/>
                <w:tab w:val="left" w:pos="900"/>
              </w:tabs>
              <w:spacing w:line="288" w:lineRule="auto"/>
              <w:jc w:val="both"/>
              <w:rPr>
                <w:color w:val="000000"/>
                <w:lang w:val="da-DK"/>
              </w:rPr>
            </w:pPr>
            <w:r w:rsidRPr="000B0F04">
              <w:rPr>
                <w:i/>
                <w:iCs/>
                <w:color w:val="000000"/>
                <w:lang w:val="da-DK"/>
              </w:rPr>
              <w:t xml:space="preserve">Stk. 6. </w:t>
            </w:r>
            <w:r w:rsidRPr="000B0F04">
              <w:rPr>
                <w:color w:val="000000"/>
                <w:lang w:val="da-DK"/>
              </w:rPr>
              <w:t>Hvis et forsikringsselskab i hele in</w:t>
            </w:r>
            <w:r w:rsidRPr="000B0F04">
              <w:rPr>
                <w:color w:val="000000"/>
                <w:lang w:val="da-DK"/>
              </w:rPr>
              <w:t>d</w:t>
            </w:r>
            <w:r w:rsidRPr="000B0F04">
              <w:rPr>
                <w:color w:val="000000"/>
                <w:lang w:val="da-DK"/>
              </w:rPr>
              <w:t>komståret direkte eller</w:t>
            </w:r>
            <w:r w:rsidR="006F7FE6">
              <w:rPr>
                <w:color w:val="000000"/>
                <w:lang w:val="da-DK"/>
              </w:rPr>
              <w:t xml:space="preserve"> </w:t>
            </w:r>
            <w:r w:rsidRPr="000B0F04">
              <w:rPr>
                <w:color w:val="000000"/>
                <w:lang w:val="da-DK"/>
              </w:rPr>
              <w:t>indirekte ejer 25 pct. eller mere af et eller flere selskaber, der ikke</w:t>
            </w:r>
            <w:r w:rsidR="006F7FE6">
              <w:rPr>
                <w:color w:val="000000"/>
                <w:lang w:val="da-DK"/>
              </w:rPr>
              <w:t xml:space="preserve"> </w:t>
            </w:r>
            <w:r w:rsidRPr="000B0F04">
              <w:rPr>
                <w:color w:val="000000"/>
                <w:lang w:val="da-DK"/>
              </w:rPr>
              <w:t>er omfattet af sambeskatning, medregner forsi</w:t>
            </w:r>
            <w:r w:rsidRPr="000B0F04">
              <w:rPr>
                <w:color w:val="000000"/>
                <w:lang w:val="da-DK"/>
              </w:rPr>
              <w:t>k</w:t>
            </w:r>
            <w:r w:rsidRPr="000B0F04">
              <w:rPr>
                <w:color w:val="000000"/>
                <w:lang w:val="da-DK"/>
              </w:rPr>
              <w:t>ringsselskabet,</w:t>
            </w:r>
            <w:r w:rsidR="006F7FE6">
              <w:rPr>
                <w:color w:val="000000"/>
                <w:lang w:val="da-DK"/>
              </w:rPr>
              <w:t xml:space="preserve"> </w:t>
            </w:r>
            <w:r w:rsidRPr="000B0F04">
              <w:rPr>
                <w:color w:val="000000"/>
                <w:lang w:val="da-DK"/>
              </w:rPr>
              <w:t>moderselskabet, ved anvende</w:t>
            </w:r>
            <w:r w:rsidRPr="000B0F04">
              <w:rPr>
                <w:color w:val="000000"/>
                <w:lang w:val="da-DK"/>
              </w:rPr>
              <w:t>l</w:t>
            </w:r>
            <w:r w:rsidRPr="000B0F04">
              <w:rPr>
                <w:color w:val="000000"/>
                <w:lang w:val="da-DK"/>
              </w:rPr>
              <w:lastRenderedPageBreak/>
              <w:t>sen af reglerne i stk. 3 og 4 tillige</w:t>
            </w:r>
            <w:r w:rsidR="006F7FE6">
              <w:rPr>
                <w:color w:val="000000"/>
                <w:lang w:val="da-DK"/>
              </w:rPr>
              <w:t xml:space="preserve"> </w:t>
            </w:r>
            <w:r w:rsidRPr="000B0F04">
              <w:rPr>
                <w:color w:val="000000"/>
                <w:lang w:val="da-DK"/>
              </w:rPr>
              <w:t>skattefri og lempelsesberettigede udbytter og avancer i da</w:t>
            </w:r>
            <w:r w:rsidRPr="000B0F04">
              <w:rPr>
                <w:color w:val="000000"/>
                <w:lang w:val="da-DK"/>
              </w:rPr>
              <w:t>t</w:t>
            </w:r>
            <w:r w:rsidRPr="000B0F04">
              <w:rPr>
                <w:color w:val="000000"/>
                <w:lang w:val="da-DK"/>
              </w:rPr>
              <w:t>terselskaberne.</w:t>
            </w:r>
            <w:r w:rsidR="006F7FE6">
              <w:rPr>
                <w:color w:val="000000"/>
                <w:lang w:val="da-DK"/>
              </w:rPr>
              <w:t xml:space="preserve"> </w:t>
            </w:r>
            <w:r w:rsidRPr="000B0F04">
              <w:rPr>
                <w:color w:val="000000"/>
                <w:lang w:val="da-DK"/>
              </w:rPr>
              <w:t>Fra datterselskaberne medregnes den del af de skattefri og</w:t>
            </w:r>
            <w:r w:rsidR="006F7FE6">
              <w:rPr>
                <w:color w:val="000000"/>
                <w:lang w:val="da-DK"/>
              </w:rPr>
              <w:t xml:space="preserve"> </w:t>
            </w:r>
            <w:r w:rsidRPr="000B0F04">
              <w:rPr>
                <w:color w:val="000000"/>
                <w:lang w:val="da-DK"/>
              </w:rPr>
              <w:t>lempelsesberettigede udbytter og avancer, der svarer til moderselsk</w:t>
            </w:r>
            <w:r w:rsidRPr="000B0F04">
              <w:rPr>
                <w:color w:val="000000"/>
                <w:lang w:val="da-DK"/>
              </w:rPr>
              <w:t>a</w:t>
            </w:r>
            <w:r w:rsidRPr="000B0F04">
              <w:rPr>
                <w:color w:val="000000"/>
                <w:lang w:val="da-DK"/>
              </w:rPr>
              <w:t>bets</w:t>
            </w:r>
            <w:r w:rsidR="006F7FE6">
              <w:rPr>
                <w:color w:val="000000"/>
                <w:lang w:val="da-DK"/>
              </w:rPr>
              <w:t xml:space="preserve"> </w:t>
            </w:r>
            <w:r w:rsidRPr="000B0F04">
              <w:rPr>
                <w:color w:val="000000"/>
                <w:lang w:val="da-DK"/>
              </w:rPr>
              <w:t>gennemsnitligt ejede andel af datterselsk</w:t>
            </w:r>
            <w:r w:rsidRPr="000B0F04">
              <w:rPr>
                <w:color w:val="000000"/>
                <w:lang w:val="da-DK"/>
              </w:rPr>
              <w:t>a</w:t>
            </w:r>
            <w:r w:rsidRPr="000B0F04">
              <w:rPr>
                <w:color w:val="000000"/>
                <w:lang w:val="da-DK"/>
              </w:rPr>
              <w:t>bets aktiekapital</w:t>
            </w:r>
            <w:r w:rsidR="006F7FE6">
              <w:rPr>
                <w:color w:val="000000"/>
                <w:lang w:val="da-DK"/>
              </w:rPr>
              <w:t xml:space="preserve"> </w:t>
            </w:r>
            <w:r w:rsidRPr="000B0F04">
              <w:rPr>
                <w:color w:val="000000"/>
                <w:lang w:val="da-DK"/>
              </w:rPr>
              <w:t>i indkomståret. Udbytter og avancer vedrørende moderselskabets</w:t>
            </w:r>
            <w:r w:rsidR="006F7FE6">
              <w:rPr>
                <w:color w:val="000000"/>
                <w:lang w:val="da-DK"/>
              </w:rPr>
              <w:t xml:space="preserve"> </w:t>
            </w:r>
            <w:r w:rsidRPr="000B0F04">
              <w:rPr>
                <w:color w:val="000000"/>
                <w:lang w:val="da-DK"/>
              </w:rPr>
              <w:t>aktier i datterselskaberne medregnes ikke. I det omfang skattefri</w:t>
            </w:r>
            <w:r w:rsidR="006F7FE6">
              <w:rPr>
                <w:color w:val="000000"/>
                <w:lang w:val="da-DK"/>
              </w:rPr>
              <w:t xml:space="preserve"> </w:t>
            </w:r>
            <w:r w:rsidRPr="000B0F04">
              <w:rPr>
                <w:color w:val="000000"/>
                <w:lang w:val="da-DK"/>
              </w:rPr>
              <w:t>og lempelsesberettigede udbytter og avancer i datterselskaber, der</w:t>
            </w:r>
            <w:r w:rsidR="006F7FE6">
              <w:rPr>
                <w:color w:val="000000"/>
                <w:lang w:val="da-DK"/>
              </w:rPr>
              <w:t xml:space="preserve"> </w:t>
            </w:r>
            <w:r w:rsidRPr="000B0F04">
              <w:rPr>
                <w:color w:val="000000"/>
                <w:lang w:val="da-DK"/>
              </w:rPr>
              <w:t>er forsikringsse</w:t>
            </w:r>
            <w:r w:rsidRPr="000B0F04">
              <w:rPr>
                <w:color w:val="000000"/>
                <w:lang w:val="da-DK"/>
              </w:rPr>
              <w:t>l</w:t>
            </w:r>
            <w:r w:rsidRPr="000B0F04">
              <w:rPr>
                <w:color w:val="000000"/>
                <w:lang w:val="da-DK"/>
              </w:rPr>
              <w:t>skaber, efter stk. 3 og 4 er anset for medgået til</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udbetalinger til de forsikrede, til de i stk. 2, 1. pkt., nævnte hensættelser</w:t>
            </w:r>
            <w:r w:rsidR="006F7FE6">
              <w:rPr>
                <w:color w:val="000000"/>
                <w:lang w:val="da-DK"/>
              </w:rPr>
              <w:t xml:space="preserve"> </w:t>
            </w:r>
            <w:r w:rsidRPr="000B0F04">
              <w:rPr>
                <w:color w:val="000000"/>
                <w:lang w:val="da-DK"/>
              </w:rPr>
              <w:t>og til skat efter pens</w:t>
            </w:r>
            <w:r w:rsidRPr="000B0F04">
              <w:rPr>
                <w:color w:val="000000"/>
                <w:lang w:val="da-DK"/>
              </w:rPr>
              <w:t>i</w:t>
            </w:r>
            <w:r w:rsidRPr="000B0F04">
              <w:rPr>
                <w:color w:val="000000"/>
                <w:lang w:val="da-DK"/>
              </w:rPr>
              <w:t>onsafkastbeskatningslovens § 8 i disse</w:t>
            </w:r>
            <w:r w:rsidR="006F7FE6">
              <w:rPr>
                <w:color w:val="000000"/>
                <w:lang w:val="da-DK"/>
              </w:rPr>
              <w:t xml:space="preserve"> </w:t>
            </w:r>
            <w:r w:rsidRPr="000B0F04">
              <w:rPr>
                <w:color w:val="000000"/>
                <w:lang w:val="da-DK"/>
              </w:rPr>
              <w:t>selsk</w:t>
            </w:r>
            <w:r w:rsidRPr="000B0F04">
              <w:rPr>
                <w:color w:val="000000"/>
                <w:lang w:val="da-DK"/>
              </w:rPr>
              <w:t>a</w:t>
            </w:r>
            <w:r w:rsidRPr="000B0F04">
              <w:rPr>
                <w:color w:val="000000"/>
                <w:lang w:val="da-DK"/>
              </w:rPr>
              <w:t>ber, skal de ikke medregnes i moderselskabet efter 1. og 2.</w:t>
            </w:r>
            <w:r w:rsidR="006F7FE6">
              <w:rPr>
                <w:color w:val="000000"/>
                <w:lang w:val="da-DK"/>
              </w:rPr>
              <w:t xml:space="preserve"> </w:t>
            </w:r>
            <w:r w:rsidRPr="000B0F04">
              <w:rPr>
                <w:color w:val="000000"/>
                <w:lang w:val="da-DK"/>
              </w:rPr>
              <w:t>pkt. For faste driftssteder i udla</w:t>
            </w:r>
            <w:r w:rsidRPr="000B0F04">
              <w:rPr>
                <w:color w:val="000000"/>
                <w:lang w:val="da-DK"/>
              </w:rPr>
              <w:t>n</w:t>
            </w:r>
            <w:r w:rsidRPr="000B0F04">
              <w:rPr>
                <w:color w:val="000000"/>
                <w:lang w:val="da-DK"/>
              </w:rPr>
              <w:t>det, som driver forsikringsvirksomhed,</w:t>
            </w:r>
            <w:r w:rsidR="006F7FE6">
              <w:rPr>
                <w:color w:val="000000"/>
                <w:lang w:val="da-DK"/>
              </w:rPr>
              <w:t xml:space="preserve"> </w:t>
            </w:r>
            <w:r w:rsidRPr="000B0F04">
              <w:rPr>
                <w:color w:val="000000"/>
                <w:lang w:val="da-DK"/>
              </w:rPr>
              <w:t>og som ikke er omfattet af international sambeskatning, finder</w:t>
            </w:r>
            <w:r w:rsidR="006F7FE6">
              <w:rPr>
                <w:color w:val="000000"/>
                <w:lang w:val="da-DK"/>
              </w:rPr>
              <w:t xml:space="preserve"> </w:t>
            </w:r>
            <w:r w:rsidRPr="000B0F04">
              <w:rPr>
                <w:color w:val="000000"/>
                <w:lang w:val="da-DK"/>
              </w:rPr>
              <w:t>4. pkt. tilsvarende anvendelse.</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Stk. 7. Hvis summen af udbytter og avancer opgjort efter stk. 3, 5</w:t>
            </w:r>
            <w:r w:rsidR="006F7FE6">
              <w:rPr>
                <w:color w:val="000000"/>
                <w:lang w:val="da-DK"/>
              </w:rPr>
              <w:t xml:space="preserve"> </w:t>
            </w:r>
            <w:r w:rsidRPr="000B0F04">
              <w:rPr>
                <w:color w:val="000000"/>
                <w:lang w:val="da-DK"/>
              </w:rPr>
              <w:t>og 6 for et livsforsikring</w:t>
            </w:r>
            <w:r w:rsidRPr="000B0F04">
              <w:rPr>
                <w:color w:val="000000"/>
                <w:lang w:val="da-DK"/>
              </w:rPr>
              <w:t>s</w:t>
            </w:r>
            <w:r w:rsidRPr="000B0F04">
              <w:rPr>
                <w:color w:val="000000"/>
                <w:lang w:val="da-DK"/>
              </w:rPr>
              <w:t>selskab overstiger udbetalinger, hensættelser</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og skat efter pensionsafkastbeskatningslovens § 8 som nævnt</w:t>
            </w:r>
            <w:r w:rsidR="006F7FE6">
              <w:rPr>
                <w:color w:val="000000"/>
                <w:lang w:val="da-DK"/>
              </w:rPr>
              <w:t xml:space="preserve"> </w:t>
            </w:r>
            <w:r w:rsidRPr="000B0F04">
              <w:rPr>
                <w:color w:val="000000"/>
                <w:lang w:val="da-DK"/>
              </w:rPr>
              <w:t>i stk. 3, 1. pkt., medregnes det overskydende beløb til selskabets</w:t>
            </w:r>
            <w:r w:rsidR="006F7FE6">
              <w:rPr>
                <w:color w:val="000000"/>
                <w:lang w:val="da-DK"/>
              </w:rPr>
              <w:t xml:space="preserve"> </w:t>
            </w:r>
            <w:r w:rsidRPr="000B0F04">
              <w:rPr>
                <w:color w:val="000000"/>
                <w:lang w:val="da-DK"/>
              </w:rPr>
              <w:t>skattepligtige indkomst. Hvis summen er negativ for livsfo</w:t>
            </w:r>
            <w:r w:rsidRPr="000B0F04">
              <w:rPr>
                <w:color w:val="000000"/>
                <w:lang w:val="da-DK"/>
              </w:rPr>
              <w:t>r</w:t>
            </w:r>
            <w:r w:rsidRPr="000B0F04">
              <w:rPr>
                <w:color w:val="000000"/>
                <w:lang w:val="da-DK"/>
              </w:rPr>
              <w:t>sikringsselskabet,</w:t>
            </w:r>
            <w:r w:rsidR="006F7FE6">
              <w:rPr>
                <w:color w:val="000000"/>
                <w:lang w:val="da-DK"/>
              </w:rPr>
              <w:t xml:space="preserve"> </w:t>
            </w:r>
            <w:r w:rsidRPr="000B0F04">
              <w:rPr>
                <w:color w:val="000000"/>
                <w:lang w:val="da-DK"/>
              </w:rPr>
              <w:t>fradrages beløbet ved opg</w:t>
            </w:r>
            <w:r w:rsidRPr="000B0F04">
              <w:rPr>
                <w:color w:val="000000"/>
                <w:lang w:val="da-DK"/>
              </w:rPr>
              <w:t>ø</w:t>
            </w:r>
            <w:r w:rsidRPr="000B0F04">
              <w:rPr>
                <w:color w:val="000000"/>
                <w:lang w:val="da-DK"/>
              </w:rPr>
              <w:t>relse af selskabets skattepligtige</w:t>
            </w:r>
            <w:r w:rsidR="006F7FE6">
              <w:rPr>
                <w:color w:val="000000"/>
                <w:lang w:val="da-DK"/>
              </w:rPr>
              <w:t xml:space="preserve"> </w:t>
            </w:r>
            <w:r w:rsidRPr="000B0F04">
              <w:rPr>
                <w:color w:val="000000"/>
                <w:lang w:val="da-DK"/>
              </w:rPr>
              <w:t>indkomst. Fr</w:t>
            </w:r>
            <w:r w:rsidRPr="000B0F04">
              <w:rPr>
                <w:color w:val="000000"/>
                <w:lang w:val="da-DK"/>
              </w:rPr>
              <w:t>a</w:t>
            </w:r>
            <w:r w:rsidRPr="000B0F04">
              <w:rPr>
                <w:color w:val="000000"/>
                <w:lang w:val="da-DK"/>
              </w:rPr>
              <w:t>draget foretages før fremførsel af eventuelle</w:t>
            </w:r>
            <w:r w:rsidR="006F7FE6">
              <w:rPr>
                <w:color w:val="000000"/>
                <w:lang w:val="da-DK"/>
              </w:rPr>
              <w:t xml:space="preserve"> </w:t>
            </w:r>
            <w:r w:rsidRPr="000B0F04">
              <w:rPr>
                <w:color w:val="000000"/>
                <w:lang w:val="da-DK"/>
              </w:rPr>
              <w:t>uudnyttede underskud vedrørende tidligere in</w:t>
            </w:r>
            <w:r w:rsidRPr="000B0F04">
              <w:rPr>
                <w:color w:val="000000"/>
                <w:lang w:val="da-DK"/>
              </w:rPr>
              <w:t>d</w:t>
            </w:r>
            <w:r w:rsidRPr="000B0F04">
              <w:rPr>
                <w:color w:val="000000"/>
                <w:lang w:val="da-DK"/>
              </w:rPr>
              <w:t>komstår og kan ikke</w:t>
            </w:r>
            <w:r w:rsidR="006F7FE6">
              <w:rPr>
                <w:color w:val="000000"/>
                <w:lang w:val="da-DK"/>
              </w:rPr>
              <w:t xml:space="preserve"> </w:t>
            </w:r>
            <w:r w:rsidRPr="000B0F04">
              <w:rPr>
                <w:color w:val="000000"/>
                <w:lang w:val="da-DK"/>
              </w:rPr>
              <w:t>gøre selskabets skattepli</w:t>
            </w:r>
            <w:r w:rsidRPr="000B0F04">
              <w:rPr>
                <w:color w:val="000000"/>
                <w:lang w:val="da-DK"/>
              </w:rPr>
              <w:t>g</w:t>
            </w:r>
            <w:r w:rsidRPr="000B0F04">
              <w:rPr>
                <w:color w:val="000000"/>
                <w:lang w:val="da-DK"/>
              </w:rPr>
              <w:t>tige indkomst negativ. Et eventuelt resterende</w:t>
            </w:r>
            <w:r w:rsidR="006F7FE6">
              <w:rPr>
                <w:color w:val="000000"/>
                <w:lang w:val="da-DK"/>
              </w:rPr>
              <w:t xml:space="preserve"> </w:t>
            </w:r>
            <w:r w:rsidRPr="000B0F04">
              <w:rPr>
                <w:color w:val="000000"/>
                <w:lang w:val="da-DK"/>
              </w:rPr>
              <w:t>negativt sumbeløb fragår i udbytter og avancer som opgjort</w:t>
            </w:r>
            <w:r w:rsidR="006F7FE6">
              <w:rPr>
                <w:color w:val="000000"/>
                <w:lang w:val="da-DK"/>
              </w:rPr>
              <w:t xml:space="preserve"> </w:t>
            </w:r>
            <w:r w:rsidRPr="000B0F04">
              <w:rPr>
                <w:color w:val="000000"/>
                <w:lang w:val="da-DK"/>
              </w:rPr>
              <w:t>efter stk. 3, 5 og 6 for efterfølgende indkomstår. Ved undtagelse</w:t>
            </w:r>
            <w:r w:rsidR="006F7FE6">
              <w:rPr>
                <w:color w:val="000000"/>
                <w:lang w:val="da-DK"/>
              </w:rPr>
              <w:t xml:space="preserve"> </w:t>
            </w:r>
            <w:r w:rsidRPr="000B0F04">
              <w:rPr>
                <w:color w:val="000000"/>
                <w:lang w:val="da-DK"/>
              </w:rPr>
              <w:t>fra beskatning efter § 3 kan selskabet få udbetalt skatteværdien</w:t>
            </w:r>
            <w:r w:rsidR="006F7FE6">
              <w:rPr>
                <w:color w:val="000000"/>
                <w:lang w:val="da-DK"/>
              </w:rPr>
              <w:t xml:space="preserve"> </w:t>
            </w:r>
            <w:r w:rsidRPr="000B0F04">
              <w:rPr>
                <w:color w:val="000000"/>
                <w:lang w:val="da-DK"/>
              </w:rPr>
              <w:t>b</w:t>
            </w:r>
            <w:r w:rsidRPr="000B0F04">
              <w:rPr>
                <w:color w:val="000000"/>
                <w:lang w:val="da-DK"/>
              </w:rPr>
              <w:t>e</w:t>
            </w:r>
            <w:r w:rsidRPr="000B0F04">
              <w:rPr>
                <w:color w:val="000000"/>
                <w:lang w:val="da-DK"/>
              </w:rPr>
              <w:t>regnet med den i § 17, stk. 1, nævnte procent af et resterende</w:t>
            </w:r>
            <w:r w:rsidR="006F7FE6">
              <w:rPr>
                <w:color w:val="000000"/>
                <w:lang w:val="da-DK"/>
              </w:rPr>
              <w:t xml:space="preserve"> </w:t>
            </w:r>
            <w:r w:rsidRPr="000B0F04">
              <w:rPr>
                <w:color w:val="000000"/>
                <w:lang w:val="da-DK"/>
              </w:rPr>
              <w:t>negativt sumbeløb efter 4. pkt. vedrørende det sidste indkomstår,</w:t>
            </w:r>
            <w:r w:rsidR="006F7FE6">
              <w:rPr>
                <w:color w:val="000000"/>
                <w:lang w:val="da-DK"/>
              </w:rPr>
              <w:t xml:space="preserve"> </w:t>
            </w:r>
            <w:r w:rsidRPr="000B0F04">
              <w:rPr>
                <w:color w:val="000000"/>
                <w:lang w:val="da-DK"/>
              </w:rPr>
              <w:t>hvor selsk</w:t>
            </w:r>
            <w:r w:rsidRPr="000B0F04">
              <w:rPr>
                <w:color w:val="000000"/>
                <w:lang w:val="da-DK"/>
              </w:rPr>
              <w:t>a</w:t>
            </w:r>
            <w:r w:rsidRPr="000B0F04">
              <w:rPr>
                <w:color w:val="000000"/>
                <w:lang w:val="da-DK"/>
              </w:rPr>
              <w:lastRenderedPageBreak/>
              <w:t>bet er skattepligtigt. Det udbetalte beløb er ikke skattepligtigt.</w:t>
            </w:r>
            <w:r w:rsidR="006F7FE6">
              <w:rPr>
                <w:color w:val="000000"/>
                <w:lang w:val="da-DK"/>
              </w:rPr>
              <w:t xml:space="preserve"> </w:t>
            </w:r>
            <w:r w:rsidRPr="000B0F04">
              <w:rPr>
                <w:color w:val="000000"/>
                <w:lang w:val="da-DK"/>
              </w:rPr>
              <w:t>5. og 6. pkt. finder tilsvarende anvendelse på livsforsikringsselskaber</w:t>
            </w:r>
            <w:r w:rsidR="006F7FE6">
              <w:rPr>
                <w:color w:val="000000"/>
                <w:lang w:val="da-DK"/>
              </w:rPr>
              <w:t xml:space="preserve"> </w:t>
            </w:r>
            <w:r w:rsidRPr="000B0F04">
              <w:rPr>
                <w:color w:val="000000"/>
                <w:lang w:val="da-DK"/>
              </w:rPr>
              <w:t>for det indkomstår, hvor selskabet får taget livsforsi</w:t>
            </w:r>
            <w:r w:rsidRPr="000B0F04">
              <w:rPr>
                <w:color w:val="000000"/>
                <w:lang w:val="da-DK"/>
              </w:rPr>
              <w:t>k</w:t>
            </w:r>
            <w:r w:rsidRPr="000B0F04">
              <w:rPr>
                <w:color w:val="000000"/>
                <w:lang w:val="da-DK"/>
              </w:rPr>
              <w:t>ringsbestanden</w:t>
            </w:r>
            <w:r w:rsidR="006F7FE6">
              <w:rPr>
                <w:color w:val="000000"/>
                <w:lang w:val="da-DK"/>
              </w:rPr>
              <w:t xml:space="preserve"> </w:t>
            </w:r>
            <w:r w:rsidRPr="000B0F04">
              <w:rPr>
                <w:color w:val="000000"/>
                <w:lang w:val="da-DK"/>
              </w:rPr>
              <w:t>under administration efter §§ 253-258 i lov om</w:t>
            </w:r>
            <w:r w:rsidR="006F7FE6">
              <w:rPr>
                <w:color w:val="000000"/>
                <w:lang w:val="da-DK"/>
              </w:rPr>
              <w:t xml:space="preserve"> </w:t>
            </w:r>
            <w:r w:rsidRPr="000B0F04">
              <w:rPr>
                <w:color w:val="000000"/>
                <w:lang w:val="da-DK"/>
              </w:rPr>
              <w:t>finansiel virksomhed, idet et resterende negativt sumbeløb efter 4.</w:t>
            </w:r>
            <w:r w:rsidR="006F7FE6">
              <w:rPr>
                <w:color w:val="000000"/>
                <w:lang w:val="da-DK"/>
              </w:rPr>
              <w:t xml:space="preserve"> </w:t>
            </w:r>
            <w:r w:rsidRPr="000B0F04">
              <w:rPr>
                <w:color w:val="000000"/>
                <w:lang w:val="da-DK"/>
              </w:rPr>
              <w:t>pkt. dog tillægges uudnyttede fradragsberettigede tab, som har påvirket</w:t>
            </w:r>
            <w:r w:rsidR="006F7FE6">
              <w:rPr>
                <w:color w:val="000000"/>
                <w:lang w:val="da-DK"/>
              </w:rPr>
              <w:t xml:space="preserve"> </w:t>
            </w:r>
            <w:r w:rsidRPr="000B0F04">
              <w:rPr>
                <w:color w:val="000000"/>
                <w:lang w:val="da-DK"/>
              </w:rPr>
              <w:t>opgørelsen af sumbeløbet for det indkomstår, hvor aktier</w:t>
            </w:r>
            <w:r w:rsidR="006F7FE6">
              <w:rPr>
                <w:color w:val="000000"/>
                <w:lang w:val="da-DK"/>
              </w:rPr>
              <w:t xml:space="preserve"> </w:t>
            </w:r>
            <w:r w:rsidRPr="000B0F04">
              <w:rPr>
                <w:color w:val="000000"/>
                <w:lang w:val="da-DK"/>
              </w:rPr>
              <w:t>eller fast ejendom er solgt. Disse uudnyttede tab kan herefter ikke</w:t>
            </w:r>
            <w:r w:rsidR="006F7FE6">
              <w:rPr>
                <w:color w:val="000000"/>
                <w:lang w:val="da-DK"/>
              </w:rPr>
              <w:t xml:space="preserve"> </w:t>
            </w:r>
            <w:r w:rsidRPr="000B0F04">
              <w:rPr>
                <w:color w:val="000000"/>
                <w:lang w:val="da-DK"/>
              </w:rPr>
              <w:t>anvendes efter reglerne i aktieavancebeska</w:t>
            </w:r>
            <w:r w:rsidRPr="000B0F04">
              <w:rPr>
                <w:color w:val="000000"/>
                <w:lang w:val="da-DK"/>
              </w:rPr>
              <w:t>t</w:t>
            </w:r>
            <w:r w:rsidRPr="000B0F04">
              <w:rPr>
                <w:color w:val="000000"/>
                <w:lang w:val="da-DK"/>
              </w:rPr>
              <w:t>ningsloven eller ejendomsavancebeskatningsl</w:t>
            </w:r>
            <w:r w:rsidRPr="000B0F04">
              <w:rPr>
                <w:color w:val="000000"/>
                <w:lang w:val="da-DK"/>
              </w:rPr>
              <w:t>o</w:t>
            </w:r>
            <w:r w:rsidRPr="000B0F04">
              <w:rPr>
                <w:color w:val="000000"/>
                <w:lang w:val="da-DK"/>
              </w:rPr>
              <w:t>ven.</w:t>
            </w:r>
          </w:p>
          <w:p w:rsidR="000B0F04" w:rsidRPr="000B0F04" w:rsidRDefault="000B0F04" w:rsidP="006F7FE6">
            <w:pPr>
              <w:tabs>
                <w:tab w:val="left" w:pos="0"/>
                <w:tab w:val="left" w:pos="900"/>
              </w:tabs>
              <w:spacing w:line="288" w:lineRule="auto"/>
              <w:jc w:val="both"/>
              <w:rPr>
                <w:color w:val="000000"/>
                <w:lang w:val="da-DK"/>
              </w:rPr>
            </w:pPr>
            <w:r w:rsidRPr="000B0F04">
              <w:rPr>
                <w:color w:val="000000"/>
                <w:lang w:val="da-DK"/>
              </w:rPr>
              <w:t>Stk. 8. Aktie- og ejendomsavancer, som medgår til udbetalinger til</w:t>
            </w:r>
            <w:r w:rsidR="006F7FE6">
              <w:rPr>
                <w:color w:val="000000"/>
                <w:lang w:val="da-DK"/>
              </w:rPr>
              <w:t xml:space="preserve"> </w:t>
            </w:r>
            <w:r w:rsidRPr="000B0F04">
              <w:rPr>
                <w:color w:val="000000"/>
                <w:lang w:val="da-DK"/>
              </w:rPr>
              <w:t>de forsikrede, til hensættelser efter stk. 2, 1. pkt., og til skat efter</w:t>
            </w:r>
            <w:r w:rsidR="006F7FE6">
              <w:rPr>
                <w:color w:val="000000"/>
                <w:lang w:val="da-DK"/>
              </w:rPr>
              <w:t xml:space="preserve"> </w:t>
            </w:r>
            <w:r w:rsidRPr="000B0F04">
              <w:rPr>
                <w:color w:val="000000"/>
                <w:lang w:val="da-DK"/>
              </w:rPr>
              <w:t>pensionsa</w:t>
            </w:r>
            <w:r w:rsidRPr="000B0F04">
              <w:rPr>
                <w:color w:val="000000"/>
                <w:lang w:val="da-DK"/>
              </w:rPr>
              <w:t>f</w:t>
            </w:r>
            <w:r w:rsidRPr="000B0F04">
              <w:rPr>
                <w:color w:val="000000"/>
                <w:lang w:val="da-DK"/>
              </w:rPr>
              <w:t>kastbeskatningslovens § 8, og de i stk. 3 nævnte avancer</w:t>
            </w:r>
            <w:r w:rsidR="006F7FE6">
              <w:rPr>
                <w:color w:val="000000"/>
                <w:lang w:val="da-DK"/>
              </w:rPr>
              <w:t xml:space="preserve"> </w:t>
            </w:r>
            <w:r w:rsidRPr="000B0F04">
              <w:rPr>
                <w:color w:val="000000"/>
                <w:lang w:val="da-DK"/>
              </w:rPr>
              <w:t>opgøres som forskellen mellem værdien ved indkomstårets udløb</w:t>
            </w:r>
            <w:r w:rsidR="006F7FE6">
              <w:rPr>
                <w:color w:val="000000"/>
                <w:lang w:val="da-DK"/>
              </w:rPr>
              <w:t xml:space="preserve"> </w:t>
            </w:r>
            <w:r w:rsidRPr="000B0F04">
              <w:rPr>
                <w:color w:val="000000"/>
                <w:lang w:val="da-DK"/>
              </w:rPr>
              <w:t>og værdien ved in</w:t>
            </w:r>
            <w:r w:rsidRPr="000B0F04">
              <w:rPr>
                <w:color w:val="000000"/>
                <w:lang w:val="da-DK"/>
              </w:rPr>
              <w:t>d</w:t>
            </w:r>
            <w:r w:rsidRPr="000B0F04">
              <w:rPr>
                <w:color w:val="000000"/>
                <w:lang w:val="da-DK"/>
              </w:rPr>
              <w:t>komstårets begyndelse (lagerprincippet). Ved</w:t>
            </w:r>
            <w:r w:rsidR="006F7FE6">
              <w:rPr>
                <w:color w:val="000000"/>
                <w:lang w:val="da-DK"/>
              </w:rPr>
              <w:t xml:space="preserve"> </w:t>
            </w:r>
            <w:r w:rsidRPr="000B0F04">
              <w:rPr>
                <w:color w:val="000000"/>
                <w:lang w:val="da-DK"/>
              </w:rPr>
              <w:t>køb og salg i løbet af indkomståret indgår he</w:t>
            </w:r>
            <w:r w:rsidRPr="000B0F04">
              <w:rPr>
                <w:color w:val="000000"/>
                <w:lang w:val="da-DK"/>
              </w:rPr>
              <w:t>n</w:t>
            </w:r>
            <w:r w:rsidRPr="000B0F04">
              <w:rPr>
                <w:color w:val="000000"/>
                <w:lang w:val="da-DK"/>
              </w:rPr>
              <w:t>holdsvis anskaffelsessum</w:t>
            </w:r>
            <w:r w:rsidR="006F7FE6">
              <w:rPr>
                <w:color w:val="000000"/>
                <w:lang w:val="da-DK"/>
              </w:rPr>
              <w:t xml:space="preserve"> </w:t>
            </w:r>
            <w:r w:rsidRPr="000B0F04">
              <w:rPr>
                <w:color w:val="000000"/>
                <w:lang w:val="da-DK"/>
              </w:rPr>
              <w:t>og afståelsessum ved opgørelsen af aktie- og ejendomsavancer</w:t>
            </w:r>
            <w:r w:rsidR="006F7FE6">
              <w:rPr>
                <w:color w:val="000000"/>
                <w:lang w:val="da-DK"/>
              </w:rPr>
              <w:t xml:space="preserve"> </w:t>
            </w:r>
            <w:r w:rsidRPr="000B0F04">
              <w:rPr>
                <w:color w:val="000000"/>
                <w:lang w:val="da-DK"/>
              </w:rPr>
              <w:t>som nævnt i 1. pkt.</w:t>
            </w:r>
          </w:p>
          <w:p w:rsidR="000B0F04" w:rsidRDefault="000B0F04" w:rsidP="006F7FE6">
            <w:pPr>
              <w:tabs>
                <w:tab w:val="left" w:pos="0"/>
                <w:tab w:val="left" w:pos="900"/>
              </w:tabs>
              <w:spacing w:line="288" w:lineRule="auto"/>
              <w:jc w:val="both"/>
              <w:rPr>
                <w:color w:val="000000"/>
                <w:lang w:val="da-DK"/>
              </w:rPr>
            </w:pPr>
            <w:r w:rsidRPr="000B0F04">
              <w:rPr>
                <w:color w:val="000000"/>
                <w:lang w:val="da-DK"/>
              </w:rPr>
              <w:t>Stk. 9. Ved opgørelsen i henhold til stk. 3-8 behandles aktieavancer,</w:t>
            </w:r>
            <w:r w:rsidR="006F7FE6">
              <w:rPr>
                <w:color w:val="000000"/>
                <w:lang w:val="da-DK"/>
              </w:rPr>
              <w:t xml:space="preserve"> </w:t>
            </w:r>
            <w:r w:rsidRPr="000B0F04">
              <w:rPr>
                <w:color w:val="000000"/>
                <w:lang w:val="da-DK"/>
              </w:rPr>
              <w:t>der oppebæres gennem en kontoførende investeringsforening, ligeso</w:t>
            </w:r>
            <w:r w:rsidR="006F7FE6">
              <w:rPr>
                <w:color w:val="000000"/>
                <w:lang w:val="da-DK"/>
              </w:rPr>
              <w:t xml:space="preserve">m </w:t>
            </w:r>
            <w:r w:rsidRPr="000B0F04">
              <w:rPr>
                <w:color w:val="000000"/>
                <w:lang w:val="da-DK"/>
              </w:rPr>
              <w:t>aktieavancer, der oppebæres direkte.</w:t>
            </w:r>
          </w:p>
          <w:p w:rsidR="008944F4" w:rsidRDefault="008944F4" w:rsidP="006F7FE6">
            <w:pPr>
              <w:tabs>
                <w:tab w:val="left" w:pos="0"/>
                <w:tab w:val="left" w:pos="900"/>
              </w:tabs>
              <w:spacing w:line="288" w:lineRule="auto"/>
              <w:jc w:val="both"/>
              <w:rPr>
                <w:color w:val="000000"/>
                <w:lang w:val="da-DK"/>
              </w:rPr>
            </w:pPr>
          </w:p>
          <w:p w:rsidR="008944F4" w:rsidRPr="008944F4" w:rsidRDefault="008944F4" w:rsidP="006F7FE6">
            <w:pPr>
              <w:tabs>
                <w:tab w:val="left" w:pos="0"/>
                <w:tab w:val="left" w:pos="900"/>
              </w:tabs>
              <w:spacing w:line="288" w:lineRule="auto"/>
              <w:jc w:val="both"/>
              <w:rPr>
                <w:b/>
                <w:color w:val="000000"/>
                <w:lang w:val="da-DK"/>
              </w:rPr>
            </w:pPr>
            <w:r>
              <w:rPr>
                <w:b/>
                <w:color w:val="000000"/>
                <w:lang w:val="da-DK"/>
              </w:rPr>
              <w:t>§ 13 F. ---</w:t>
            </w:r>
          </w:p>
          <w:p w:rsidR="008944F4" w:rsidRDefault="008944F4" w:rsidP="008944F4">
            <w:pPr>
              <w:tabs>
                <w:tab w:val="left" w:pos="0"/>
                <w:tab w:val="left" w:pos="900"/>
              </w:tabs>
              <w:spacing w:line="288" w:lineRule="auto"/>
              <w:jc w:val="both"/>
              <w:rPr>
                <w:color w:val="000000"/>
                <w:lang w:val="da-DK"/>
              </w:rPr>
            </w:pPr>
            <w:r w:rsidRPr="008944F4">
              <w:rPr>
                <w:i/>
                <w:iCs/>
                <w:color w:val="000000"/>
                <w:lang w:val="da-DK"/>
              </w:rPr>
              <w:t xml:space="preserve">Stk. 8. </w:t>
            </w:r>
            <w:r w:rsidRPr="008944F4">
              <w:rPr>
                <w:color w:val="000000"/>
                <w:lang w:val="da-DK"/>
              </w:rPr>
              <w:t>Opg</w:t>
            </w:r>
            <w:r w:rsidRPr="008944F4">
              <w:rPr>
                <w:rFonts w:hint="eastAsia"/>
                <w:color w:val="000000"/>
                <w:lang w:val="da-DK"/>
              </w:rPr>
              <w:t>ø</w:t>
            </w:r>
            <w:r w:rsidRPr="008944F4">
              <w:rPr>
                <w:color w:val="000000"/>
                <w:lang w:val="da-DK"/>
              </w:rPr>
              <w:t>res det skattepligtige afkast af en andel i en juridisk</w:t>
            </w:r>
            <w:r>
              <w:rPr>
                <w:color w:val="000000"/>
                <w:lang w:val="da-DK"/>
              </w:rPr>
              <w:t xml:space="preserve"> </w:t>
            </w:r>
            <w:r w:rsidRPr="008944F4">
              <w:rPr>
                <w:color w:val="000000"/>
                <w:lang w:val="da-DK"/>
              </w:rPr>
              <w:t xml:space="preserve">person efter stk. 1, finder </w:t>
            </w:r>
            <w:r w:rsidRPr="008944F4">
              <w:rPr>
                <w:rFonts w:hint="eastAsia"/>
                <w:color w:val="000000"/>
                <w:lang w:val="da-DK"/>
              </w:rPr>
              <w:t>§</w:t>
            </w:r>
            <w:r w:rsidRPr="008944F4">
              <w:rPr>
                <w:color w:val="000000"/>
                <w:lang w:val="da-DK"/>
              </w:rPr>
              <w:t xml:space="preserve"> 13, stk. 3-9, ikke anvendelse.</w:t>
            </w:r>
          </w:p>
          <w:p w:rsidR="008944F4" w:rsidRDefault="008944F4" w:rsidP="008944F4">
            <w:pPr>
              <w:tabs>
                <w:tab w:val="left" w:pos="0"/>
                <w:tab w:val="left" w:pos="900"/>
              </w:tabs>
              <w:spacing w:line="288" w:lineRule="auto"/>
              <w:jc w:val="both"/>
              <w:rPr>
                <w:color w:val="000000"/>
                <w:lang w:val="da-DK"/>
              </w:rPr>
            </w:pPr>
          </w:p>
          <w:p w:rsidR="008944F4" w:rsidRDefault="008944F4" w:rsidP="008944F4">
            <w:pPr>
              <w:tabs>
                <w:tab w:val="left" w:pos="0"/>
                <w:tab w:val="left" w:pos="900"/>
              </w:tabs>
              <w:spacing w:line="288" w:lineRule="auto"/>
              <w:jc w:val="both"/>
              <w:rPr>
                <w:b/>
                <w:color w:val="000000"/>
                <w:lang w:val="da-DK"/>
              </w:rPr>
            </w:pPr>
            <w:r>
              <w:rPr>
                <w:b/>
                <w:color w:val="000000"/>
                <w:lang w:val="da-DK"/>
              </w:rPr>
              <w:t>§ 17. ---</w:t>
            </w:r>
          </w:p>
          <w:p w:rsidR="008944F4" w:rsidRPr="008944F4" w:rsidRDefault="008944F4" w:rsidP="008944F4">
            <w:pPr>
              <w:tabs>
                <w:tab w:val="left" w:pos="0"/>
                <w:tab w:val="left" w:pos="900"/>
              </w:tabs>
              <w:spacing w:line="288" w:lineRule="auto"/>
              <w:jc w:val="both"/>
              <w:rPr>
                <w:color w:val="000000"/>
                <w:lang w:val="da-DK"/>
              </w:rPr>
            </w:pPr>
            <w:r w:rsidRPr="008944F4">
              <w:rPr>
                <w:i/>
                <w:iCs/>
                <w:color w:val="000000"/>
                <w:lang w:val="da-DK"/>
              </w:rPr>
              <w:t xml:space="preserve">Stk. 3. </w:t>
            </w:r>
            <w:r w:rsidRPr="008944F4">
              <w:rPr>
                <w:color w:val="000000"/>
                <w:lang w:val="da-DK"/>
              </w:rPr>
              <w:t>S</w:t>
            </w:r>
            <w:r w:rsidRPr="008944F4">
              <w:rPr>
                <w:rFonts w:hint="eastAsia"/>
                <w:color w:val="000000"/>
                <w:lang w:val="da-DK"/>
              </w:rPr>
              <w:t>å</w:t>
            </w:r>
            <w:r w:rsidRPr="008944F4">
              <w:rPr>
                <w:color w:val="000000"/>
                <w:lang w:val="da-DK"/>
              </w:rPr>
              <w:t>fremt der i den skattepligtige indkomst indg</w:t>
            </w:r>
            <w:r w:rsidRPr="008944F4">
              <w:rPr>
                <w:rFonts w:hint="eastAsia"/>
                <w:color w:val="000000"/>
                <w:lang w:val="da-DK"/>
              </w:rPr>
              <w:t>å</w:t>
            </w:r>
            <w:r w:rsidRPr="008944F4">
              <w:rPr>
                <w:color w:val="000000"/>
                <w:lang w:val="da-DK"/>
              </w:rPr>
              <w:t>r udbytte</w:t>
            </w:r>
            <w:r>
              <w:rPr>
                <w:color w:val="000000"/>
                <w:lang w:val="da-DK"/>
              </w:rPr>
              <w:t xml:space="preserve"> </w:t>
            </w:r>
            <w:r w:rsidRPr="008944F4">
              <w:rPr>
                <w:color w:val="000000"/>
                <w:lang w:val="da-DK"/>
              </w:rPr>
              <w:t>fra selskaber, hvis aktier er o</w:t>
            </w:r>
            <w:r w:rsidRPr="008944F4">
              <w:rPr>
                <w:color w:val="000000"/>
                <w:lang w:val="da-DK"/>
              </w:rPr>
              <w:t>m</w:t>
            </w:r>
            <w:r w:rsidRPr="008944F4">
              <w:rPr>
                <w:color w:val="000000"/>
                <w:lang w:val="da-DK"/>
              </w:rPr>
              <w:t>fattet af aktieavancebeskatningslovens</w:t>
            </w:r>
            <w:r>
              <w:rPr>
                <w:color w:val="000000"/>
                <w:lang w:val="da-DK"/>
              </w:rPr>
              <w:t xml:space="preserve"> </w:t>
            </w:r>
            <w:r w:rsidRPr="008944F4">
              <w:rPr>
                <w:rFonts w:hint="eastAsia"/>
                <w:color w:val="000000"/>
                <w:lang w:val="da-DK"/>
              </w:rPr>
              <w:t>§</w:t>
            </w:r>
            <w:r w:rsidRPr="008944F4">
              <w:rPr>
                <w:color w:val="000000"/>
                <w:lang w:val="da-DK"/>
              </w:rPr>
              <w:t xml:space="preserve"> 19, og som er eller har v</w:t>
            </w:r>
            <w:r w:rsidRPr="008944F4">
              <w:rPr>
                <w:rFonts w:hint="eastAsia"/>
                <w:color w:val="000000"/>
                <w:lang w:val="da-DK"/>
              </w:rPr>
              <w:t>æ</w:t>
            </w:r>
            <w:r w:rsidRPr="008944F4">
              <w:rPr>
                <w:color w:val="000000"/>
                <w:lang w:val="da-DK"/>
              </w:rPr>
              <w:t>ret hjemmeh</w:t>
            </w:r>
            <w:r w:rsidRPr="008944F4">
              <w:rPr>
                <w:rFonts w:hint="eastAsia"/>
                <w:color w:val="000000"/>
                <w:lang w:val="da-DK"/>
              </w:rPr>
              <w:t>ø</w:t>
            </w:r>
            <w:r w:rsidRPr="008944F4">
              <w:rPr>
                <w:color w:val="000000"/>
                <w:lang w:val="da-DK"/>
              </w:rPr>
              <w:t>rende i udla</w:t>
            </w:r>
            <w:r w:rsidRPr="008944F4">
              <w:rPr>
                <w:color w:val="000000"/>
                <w:lang w:val="da-DK"/>
              </w:rPr>
              <w:t>n</w:t>
            </w:r>
            <w:r w:rsidRPr="008944F4">
              <w:rPr>
                <w:color w:val="000000"/>
                <w:lang w:val="da-DK"/>
              </w:rPr>
              <w:lastRenderedPageBreak/>
              <w:t>det, og</w:t>
            </w:r>
            <w:r>
              <w:rPr>
                <w:color w:val="000000"/>
                <w:lang w:val="da-DK"/>
              </w:rPr>
              <w:t xml:space="preserve"> </w:t>
            </w:r>
            <w:r w:rsidRPr="008944F4">
              <w:rPr>
                <w:color w:val="000000"/>
                <w:lang w:val="da-DK"/>
              </w:rPr>
              <w:t>udbyttet ikke er omfattet af skattefrit</w:t>
            </w:r>
            <w:r w:rsidRPr="008944F4">
              <w:rPr>
                <w:color w:val="000000"/>
                <w:lang w:val="da-DK"/>
              </w:rPr>
              <w:t>a</w:t>
            </w:r>
            <w:r w:rsidRPr="008944F4">
              <w:rPr>
                <w:color w:val="000000"/>
                <w:lang w:val="da-DK"/>
              </w:rPr>
              <w:t xml:space="preserve">gelsen i </w:t>
            </w:r>
            <w:r w:rsidRPr="008944F4">
              <w:rPr>
                <w:rFonts w:hint="eastAsia"/>
                <w:color w:val="000000"/>
                <w:lang w:val="da-DK"/>
              </w:rPr>
              <w:t>§</w:t>
            </w:r>
            <w:r w:rsidRPr="008944F4">
              <w:rPr>
                <w:color w:val="000000"/>
                <w:lang w:val="da-DK"/>
              </w:rPr>
              <w:t xml:space="preserve"> 13, stk. 1, nr. 2,</w:t>
            </w:r>
            <w:r>
              <w:rPr>
                <w:color w:val="000000"/>
                <w:lang w:val="da-DK"/>
              </w:rPr>
              <w:t xml:space="preserve"> </w:t>
            </w:r>
            <w:r w:rsidRPr="008944F4">
              <w:rPr>
                <w:color w:val="000000"/>
                <w:lang w:val="da-DK"/>
              </w:rPr>
              <w:t>eller af n</w:t>
            </w:r>
            <w:r w:rsidRPr="008944F4">
              <w:rPr>
                <w:rFonts w:hint="eastAsia"/>
                <w:color w:val="000000"/>
                <w:lang w:val="da-DK"/>
              </w:rPr>
              <w:t>æ</w:t>
            </w:r>
            <w:r w:rsidRPr="008944F4">
              <w:rPr>
                <w:color w:val="000000"/>
                <w:lang w:val="da-DK"/>
              </w:rPr>
              <w:t>rv</w:t>
            </w:r>
            <w:r w:rsidRPr="008944F4">
              <w:rPr>
                <w:rFonts w:hint="eastAsia"/>
                <w:color w:val="000000"/>
                <w:lang w:val="da-DK"/>
              </w:rPr>
              <w:t>æ</w:t>
            </w:r>
            <w:r w:rsidRPr="008944F4">
              <w:rPr>
                <w:color w:val="000000"/>
                <w:lang w:val="da-DK"/>
              </w:rPr>
              <w:t>rende paragrafs stk. 2, kan told- og skatteforvaltningen</w:t>
            </w:r>
            <w:r>
              <w:rPr>
                <w:color w:val="000000"/>
                <w:lang w:val="da-DK"/>
              </w:rPr>
              <w:t xml:space="preserve"> </w:t>
            </w:r>
            <w:r w:rsidRPr="008944F4">
              <w:rPr>
                <w:color w:val="000000"/>
                <w:lang w:val="da-DK"/>
              </w:rPr>
              <w:t>efter ans</w:t>
            </w:r>
            <w:r w:rsidRPr="008944F4">
              <w:rPr>
                <w:rFonts w:hint="eastAsia"/>
                <w:color w:val="000000"/>
                <w:lang w:val="da-DK"/>
              </w:rPr>
              <w:t>ø</w:t>
            </w:r>
            <w:r w:rsidRPr="008944F4">
              <w:rPr>
                <w:color w:val="000000"/>
                <w:lang w:val="da-DK"/>
              </w:rPr>
              <w:t>gning eftergive det udbyttemodtage</w:t>
            </w:r>
            <w:r w:rsidRPr="008944F4">
              <w:rPr>
                <w:color w:val="000000"/>
                <w:lang w:val="da-DK"/>
              </w:rPr>
              <w:t>n</w:t>
            </w:r>
            <w:r w:rsidRPr="008944F4">
              <w:rPr>
                <w:color w:val="000000"/>
                <w:lang w:val="da-DK"/>
              </w:rPr>
              <w:t>de selskab en</w:t>
            </w:r>
            <w:r>
              <w:rPr>
                <w:color w:val="000000"/>
                <w:lang w:val="da-DK"/>
              </w:rPr>
              <w:t xml:space="preserve"> </w:t>
            </w:r>
            <w:r w:rsidRPr="008944F4">
              <w:rPr>
                <w:color w:val="000000"/>
                <w:lang w:val="da-DK"/>
              </w:rPr>
              <w:t>del af skatten. Der kan dog ikke eftergives et st</w:t>
            </w:r>
            <w:r w:rsidRPr="008944F4">
              <w:rPr>
                <w:rFonts w:hint="eastAsia"/>
                <w:color w:val="000000"/>
                <w:lang w:val="da-DK"/>
              </w:rPr>
              <w:t>ø</w:t>
            </w:r>
            <w:r w:rsidRPr="008944F4">
              <w:rPr>
                <w:color w:val="000000"/>
                <w:lang w:val="da-DK"/>
              </w:rPr>
              <w:t>rre bel</w:t>
            </w:r>
            <w:r w:rsidRPr="008944F4">
              <w:rPr>
                <w:rFonts w:hint="eastAsia"/>
                <w:color w:val="000000"/>
                <w:lang w:val="da-DK"/>
              </w:rPr>
              <w:t>ø</w:t>
            </w:r>
            <w:r w:rsidRPr="008944F4">
              <w:rPr>
                <w:color w:val="000000"/>
                <w:lang w:val="da-DK"/>
              </w:rPr>
              <w:t>b end det,</w:t>
            </w:r>
            <w:r>
              <w:rPr>
                <w:color w:val="000000"/>
                <w:lang w:val="da-DK"/>
              </w:rPr>
              <w:t xml:space="preserve"> </w:t>
            </w:r>
            <w:r w:rsidRPr="008944F4">
              <w:rPr>
                <w:color w:val="000000"/>
                <w:lang w:val="da-DK"/>
              </w:rPr>
              <w:t>hvormed summen af det bel</w:t>
            </w:r>
            <w:r w:rsidRPr="008944F4">
              <w:rPr>
                <w:rFonts w:hint="eastAsia"/>
                <w:color w:val="000000"/>
                <w:lang w:val="da-DK"/>
              </w:rPr>
              <w:t>ø</w:t>
            </w:r>
            <w:r w:rsidRPr="008944F4">
              <w:rPr>
                <w:color w:val="000000"/>
                <w:lang w:val="da-DK"/>
              </w:rPr>
              <w:t>b, som det udbyttegivende selskab</w:t>
            </w:r>
            <w:r>
              <w:rPr>
                <w:color w:val="000000"/>
                <w:lang w:val="da-DK"/>
              </w:rPr>
              <w:t xml:space="preserve"> </w:t>
            </w:r>
            <w:r w:rsidRPr="008944F4">
              <w:rPr>
                <w:color w:val="000000"/>
                <w:lang w:val="da-DK"/>
              </w:rPr>
              <w:t>har udredet i skat af den del af indko</w:t>
            </w:r>
            <w:r w:rsidRPr="008944F4">
              <w:rPr>
                <w:color w:val="000000"/>
                <w:lang w:val="da-DK"/>
              </w:rPr>
              <w:t>m</w:t>
            </w:r>
            <w:r w:rsidRPr="008944F4">
              <w:rPr>
                <w:color w:val="000000"/>
                <w:lang w:val="da-DK"/>
              </w:rPr>
              <w:t>sten, der ligger til grund for</w:t>
            </w:r>
            <w:r>
              <w:rPr>
                <w:color w:val="000000"/>
                <w:lang w:val="da-DK"/>
              </w:rPr>
              <w:t xml:space="preserve"> </w:t>
            </w:r>
            <w:r w:rsidRPr="008944F4">
              <w:rPr>
                <w:color w:val="000000"/>
                <w:lang w:val="da-DK"/>
              </w:rPr>
              <w:t>udbyttet, og det bel</w:t>
            </w:r>
            <w:r w:rsidRPr="008944F4">
              <w:rPr>
                <w:rFonts w:hint="eastAsia"/>
                <w:color w:val="000000"/>
                <w:lang w:val="da-DK"/>
              </w:rPr>
              <w:t>ø</w:t>
            </w:r>
            <w:r w:rsidRPr="008944F4">
              <w:rPr>
                <w:color w:val="000000"/>
                <w:lang w:val="da-DK"/>
              </w:rPr>
              <w:t>b, som det udbyttemodtagende selskab har</w:t>
            </w:r>
          </w:p>
          <w:p w:rsidR="008944F4" w:rsidRPr="008944F4" w:rsidRDefault="008944F4" w:rsidP="008944F4">
            <w:pPr>
              <w:tabs>
                <w:tab w:val="left" w:pos="0"/>
                <w:tab w:val="left" w:pos="900"/>
              </w:tabs>
              <w:spacing w:line="288" w:lineRule="auto"/>
              <w:jc w:val="both"/>
              <w:rPr>
                <w:color w:val="000000"/>
                <w:lang w:val="da-DK"/>
              </w:rPr>
            </w:pPr>
            <w:r w:rsidRPr="008944F4">
              <w:rPr>
                <w:color w:val="000000"/>
                <w:lang w:val="da-DK"/>
              </w:rPr>
              <w:t>udredet i skat af den til udbyttet svarende del af indkomsten, overstiger</w:t>
            </w:r>
            <w:r>
              <w:rPr>
                <w:color w:val="000000"/>
                <w:lang w:val="da-DK"/>
              </w:rPr>
              <w:t xml:space="preserve"> </w:t>
            </w:r>
            <w:r w:rsidRPr="008944F4">
              <w:rPr>
                <w:color w:val="000000"/>
                <w:lang w:val="da-DK"/>
              </w:rPr>
              <w:t>summen af de bel</w:t>
            </w:r>
            <w:r w:rsidRPr="008944F4">
              <w:rPr>
                <w:rFonts w:hint="eastAsia"/>
                <w:color w:val="000000"/>
                <w:lang w:val="da-DK"/>
              </w:rPr>
              <w:t>ø</w:t>
            </w:r>
            <w:r w:rsidRPr="008944F4">
              <w:rPr>
                <w:color w:val="000000"/>
                <w:lang w:val="da-DK"/>
              </w:rPr>
              <w:t>b, der skulle have v</w:t>
            </w:r>
            <w:r w:rsidRPr="008944F4">
              <w:rPr>
                <w:rFonts w:hint="eastAsia"/>
                <w:color w:val="000000"/>
                <w:lang w:val="da-DK"/>
              </w:rPr>
              <w:t>æ</w:t>
            </w:r>
            <w:r w:rsidRPr="008944F4">
              <w:rPr>
                <w:color w:val="000000"/>
                <w:lang w:val="da-DK"/>
              </w:rPr>
              <w:t>ret udredet i skat af</w:t>
            </w:r>
            <w:r>
              <w:rPr>
                <w:color w:val="000000"/>
                <w:lang w:val="da-DK"/>
              </w:rPr>
              <w:t xml:space="preserve"> </w:t>
            </w:r>
            <w:r w:rsidRPr="008944F4">
              <w:rPr>
                <w:color w:val="000000"/>
                <w:lang w:val="da-DK"/>
              </w:rPr>
              <w:t>henholdsvis det udbyttegivende og det udbyttemodtagende selskab,</w:t>
            </w:r>
            <w:r>
              <w:rPr>
                <w:color w:val="000000"/>
                <w:lang w:val="da-DK"/>
              </w:rPr>
              <w:t xml:space="preserve"> </w:t>
            </w:r>
            <w:r w:rsidRPr="008944F4">
              <w:rPr>
                <w:color w:val="000000"/>
                <w:lang w:val="da-DK"/>
              </w:rPr>
              <w:t>s</w:t>
            </w:r>
            <w:r w:rsidRPr="008944F4">
              <w:rPr>
                <w:rFonts w:hint="eastAsia"/>
                <w:color w:val="000000"/>
                <w:lang w:val="da-DK"/>
              </w:rPr>
              <w:t>å</w:t>
            </w:r>
            <w:r w:rsidRPr="008944F4">
              <w:rPr>
                <w:color w:val="000000"/>
                <w:lang w:val="da-DK"/>
              </w:rPr>
              <w:t>fremt det udbyttegivende selskab skulle have v</w:t>
            </w:r>
            <w:r w:rsidRPr="008944F4">
              <w:rPr>
                <w:rFonts w:hint="eastAsia"/>
                <w:color w:val="000000"/>
                <w:lang w:val="da-DK"/>
              </w:rPr>
              <w:t>æ</w:t>
            </w:r>
            <w:r w:rsidRPr="008944F4">
              <w:rPr>
                <w:color w:val="000000"/>
                <w:lang w:val="da-DK"/>
              </w:rPr>
              <w:t>ret beskattet her</w:t>
            </w:r>
            <w:r>
              <w:rPr>
                <w:color w:val="000000"/>
                <w:lang w:val="da-DK"/>
              </w:rPr>
              <w:t xml:space="preserve"> </w:t>
            </w:r>
            <w:r w:rsidRPr="008944F4">
              <w:rPr>
                <w:color w:val="000000"/>
                <w:lang w:val="da-DK"/>
              </w:rPr>
              <w:t>i landet af den til grund for udbyttet liggende indkomst.</w:t>
            </w:r>
          </w:p>
        </w:tc>
        <w:tc>
          <w:tcPr>
            <w:tcW w:w="4889" w:type="dxa"/>
          </w:tcPr>
          <w:p w:rsidR="000B0F04" w:rsidRPr="009F1907" w:rsidRDefault="000B0F04" w:rsidP="000B0F04">
            <w:pPr>
              <w:jc w:val="center"/>
              <w:rPr>
                <w:b/>
                <w:iCs/>
                <w:color w:val="000000"/>
                <w:lang w:val="da-DK"/>
              </w:rPr>
            </w:pPr>
            <w:r w:rsidRPr="009F1907">
              <w:rPr>
                <w:b/>
                <w:iCs/>
                <w:color w:val="000000"/>
                <w:lang w:val="da-DK"/>
              </w:rPr>
              <w:lastRenderedPageBreak/>
              <w:t xml:space="preserve">§ </w:t>
            </w:r>
            <w:r>
              <w:rPr>
                <w:b/>
                <w:iCs/>
                <w:color w:val="000000"/>
                <w:lang w:val="da-DK"/>
              </w:rPr>
              <w:t>3</w:t>
            </w:r>
          </w:p>
          <w:p w:rsidR="000B0F04" w:rsidRPr="009F1907" w:rsidRDefault="000B0F04" w:rsidP="000B0F04">
            <w:pPr>
              <w:jc w:val="both"/>
              <w:rPr>
                <w:i/>
                <w:iCs/>
                <w:color w:val="000000"/>
                <w:lang w:val="da-DK"/>
              </w:rPr>
            </w:pPr>
          </w:p>
          <w:p w:rsidR="000B0F04" w:rsidRPr="000B0F04" w:rsidRDefault="000B0F04" w:rsidP="000B0F04">
            <w:pPr>
              <w:tabs>
                <w:tab w:val="left" w:pos="284"/>
              </w:tabs>
              <w:spacing w:line="288" w:lineRule="auto"/>
              <w:jc w:val="both"/>
              <w:rPr>
                <w:iCs/>
                <w:color w:val="000000"/>
                <w:sz w:val="28"/>
                <w:lang w:val="da-DK"/>
              </w:rPr>
            </w:pPr>
            <w:r w:rsidRPr="008F2B51">
              <w:rPr>
                <w:rStyle w:val="Fodnotehenvisning"/>
                <w:rFonts w:eastAsia="Arial Unicode MS"/>
                <w:lang w:val="da-DK"/>
              </w:rPr>
              <w:t>I</w:t>
            </w:r>
            <w:r w:rsidRPr="008F2B51">
              <w:rPr>
                <w:lang w:val="da-DK"/>
              </w:rPr>
              <w:t xml:space="preserve"> selskabsskatteloven, jf. lovbekendtgørelse nr. 1082 af 14. november 2012, som ændret senest ved § 2 i lov nr. 528 af 28. maj 2014, foretages følgende ændringer:</w:t>
            </w:r>
          </w:p>
          <w:p w:rsidR="000B0F04" w:rsidRPr="008F2B51" w:rsidRDefault="000B0F04" w:rsidP="000B0F04">
            <w:pPr>
              <w:spacing w:line="288" w:lineRule="auto"/>
              <w:jc w:val="both"/>
              <w:rPr>
                <w:lang w:val="da-DK"/>
              </w:rPr>
            </w:pPr>
          </w:p>
          <w:p w:rsidR="000B0F04" w:rsidRPr="008F2B51" w:rsidRDefault="000B0F04" w:rsidP="000B0F04">
            <w:pPr>
              <w:spacing w:line="288" w:lineRule="auto"/>
              <w:jc w:val="both"/>
              <w:rPr>
                <w:lang w:val="da-DK"/>
              </w:rPr>
            </w:pPr>
            <w:r w:rsidRPr="008F2B51">
              <w:rPr>
                <w:b/>
                <w:lang w:val="da-DK"/>
              </w:rPr>
              <w:t xml:space="preserve">1. </w:t>
            </w:r>
            <w:r w:rsidRPr="008F2B51">
              <w:rPr>
                <w:lang w:val="da-DK"/>
              </w:rPr>
              <w:t xml:space="preserve">I </w:t>
            </w:r>
            <w:r w:rsidRPr="008F2B51">
              <w:rPr>
                <w:i/>
                <w:lang w:val="da-DK"/>
              </w:rPr>
              <w:t xml:space="preserve">§ 13 </w:t>
            </w:r>
            <w:r w:rsidRPr="008F2B51">
              <w:rPr>
                <w:lang w:val="da-DK"/>
              </w:rPr>
              <w:t>indsættes efter stk. 1 som nyt stykke:</w:t>
            </w:r>
          </w:p>
          <w:p w:rsidR="000B0F04" w:rsidRPr="008F2B51" w:rsidRDefault="000B0F04" w:rsidP="000B0F04">
            <w:pPr>
              <w:spacing w:line="288" w:lineRule="auto"/>
              <w:jc w:val="both"/>
              <w:rPr>
                <w:lang w:val="da-DK"/>
              </w:rPr>
            </w:pPr>
            <w:r w:rsidRPr="008F2B51">
              <w:rPr>
                <w:i/>
                <w:lang w:val="da-DK"/>
              </w:rPr>
              <w:t>”Stk. 2.</w:t>
            </w:r>
            <w:r w:rsidRPr="008F2B51">
              <w:rPr>
                <w:lang w:val="da-DK"/>
              </w:rPr>
              <w:t xml:space="preserve"> Udbytter, der ikke er omfattet af stk. 1, og som modtages af selskaber m.v., der er ska</w:t>
            </w:r>
            <w:r w:rsidRPr="008F2B51">
              <w:rPr>
                <w:lang w:val="da-DK"/>
              </w:rPr>
              <w:t>t</w:t>
            </w:r>
            <w:r w:rsidRPr="008F2B51">
              <w:rPr>
                <w:lang w:val="da-DK"/>
              </w:rPr>
              <w:t>tepligtige efter § 1 eller § 2, stk. 1, litra a, på porteføljeaktier omfattet af aktieavancebeska</w:t>
            </w:r>
            <w:r w:rsidRPr="008F2B51">
              <w:rPr>
                <w:lang w:val="da-DK"/>
              </w:rPr>
              <w:t>t</w:t>
            </w:r>
            <w:r w:rsidRPr="008F2B51">
              <w:rPr>
                <w:lang w:val="da-DK"/>
              </w:rPr>
              <w:t>ningslovens § 4 C, medregnes ved opgørelsen af den skattepligtige indkomst med 70 pct. af u</w:t>
            </w:r>
            <w:r w:rsidRPr="008F2B51">
              <w:rPr>
                <w:lang w:val="da-DK"/>
              </w:rPr>
              <w:t>d</w:t>
            </w:r>
            <w:r w:rsidRPr="008F2B51">
              <w:rPr>
                <w:lang w:val="da-DK"/>
              </w:rPr>
              <w:t>byttebeløbet. 1. pkt. finder ikke anvendelse, hvis aktierne i det udbyttegivende selskab er omfattet af aktieavancebeskatningslovens §§ 17 eller 19. 1. pkt. finder ikke anvendelse, hvis det udbytt</w:t>
            </w:r>
            <w:r w:rsidRPr="008F2B51">
              <w:rPr>
                <w:lang w:val="da-DK"/>
              </w:rPr>
              <w:t>e</w:t>
            </w:r>
            <w:r w:rsidRPr="008F2B51">
              <w:rPr>
                <w:lang w:val="da-DK"/>
              </w:rPr>
              <w:t>givende selskab har fradrag for udbytteudlo</w:t>
            </w:r>
            <w:r w:rsidRPr="008F2B51">
              <w:rPr>
                <w:lang w:val="da-DK"/>
              </w:rPr>
              <w:t>d</w:t>
            </w:r>
            <w:r w:rsidRPr="008F2B51">
              <w:rPr>
                <w:lang w:val="da-DK"/>
              </w:rPr>
              <w:t>ningen.</w:t>
            </w:r>
            <w:r w:rsidR="00B552AD">
              <w:rPr>
                <w:lang w:val="da-DK"/>
              </w:rPr>
              <w:t xml:space="preserve"> Stk. 1, nr. 2, 4</w:t>
            </w:r>
            <w:r w:rsidR="000C14B3">
              <w:rPr>
                <w:lang w:val="da-DK"/>
              </w:rPr>
              <w:t>.</w:t>
            </w:r>
            <w:r w:rsidR="00B552AD">
              <w:rPr>
                <w:lang w:val="da-DK"/>
              </w:rPr>
              <w:t xml:space="preserve"> pkt.</w:t>
            </w:r>
            <w:r w:rsidR="00486E4B">
              <w:rPr>
                <w:lang w:val="da-DK"/>
              </w:rPr>
              <w:t>,</w:t>
            </w:r>
            <w:r w:rsidR="00B552AD">
              <w:rPr>
                <w:lang w:val="da-DK"/>
              </w:rPr>
              <w:t xml:space="preserve"> finder tilsvarende anvendelse.</w:t>
            </w:r>
            <w:r w:rsidRPr="008F2B51">
              <w:rPr>
                <w:lang w:val="da-DK"/>
              </w:rPr>
              <w:t>”</w:t>
            </w:r>
          </w:p>
          <w:p w:rsidR="000B0F04" w:rsidRPr="004424F8" w:rsidRDefault="000B0F04" w:rsidP="000B0F04">
            <w:pPr>
              <w:spacing w:line="288" w:lineRule="auto"/>
              <w:jc w:val="both"/>
              <w:rPr>
                <w:lang w:val="da-DK"/>
              </w:rPr>
            </w:pPr>
            <w:r w:rsidRPr="004424F8">
              <w:rPr>
                <w:lang w:val="da-DK"/>
              </w:rPr>
              <w:t>Stk. 2-9 bliver herefter stk. 3-10</w:t>
            </w:r>
          </w:p>
          <w:p w:rsidR="004424F8" w:rsidRPr="008F2B51" w:rsidRDefault="004424F8" w:rsidP="004424F8">
            <w:pPr>
              <w:spacing w:line="288" w:lineRule="auto"/>
              <w:rPr>
                <w:b/>
                <w:i/>
                <w:lang w:val="da-DK"/>
              </w:rPr>
            </w:pPr>
          </w:p>
          <w:p w:rsidR="004424F8" w:rsidRPr="008F2B51" w:rsidRDefault="004424F8" w:rsidP="004424F8">
            <w:pPr>
              <w:spacing w:line="288" w:lineRule="auto"/>
              <w:rPr>
                <w:lang w:val="da-DK"/>
              </w:rPr>
            </w:pPr>
            <w:r w:rsidRPr="008F2B51">
              <w:rPr>
                <w:b/>
                <w:lang w:val="da-DK"/>
              </w:rPr>
              <w:t xml:space="preserve">2. </w:t>
            </w:r>
            <w:r w:rsidRPr="008F2B51">
              <w:rPr>
                <w:lang w:val="da-DK"/>
              </w:rPr>
              <w:t xml:space="preserve">I </w:t>
            </w:r>
            <w:r w:rsidRPr="008F2B51">
              <w:rPr>
                <w:i/>
                <w:lang w:val="da-DK"/>
              </w:rPr>
              <w:t>§ 13, stk. 2, 1. pkt.,</w:t>
            </w:r>
            <w:r w:rsidRPr="008F2B51">
              <w:rPr>
                <w:lang w:val="da-DK"/>
              </w:rPr>
              <w:t xml:space="preserve"> der bliver stk. 3, 1. pkt., ændres ”stk. 3-9” til: ”stk. 4-10”.</w:t>
            </w:r>
          </w:p>
          <w:p w:rsidR="004424F8" w:rsidRPr="008F2B51" w:rsidRDefault="004424F8" w:rsidP="004424F8">
            <w:pPr>
              <w:spacing w:line="288" w:lineRule="auto"/>
              <w:rPr>
                <w:lang w:val="da-DK"/>
              </w:rPr>
            </w:pPr>
          </w:p>
          <w:p w:rsidR="004424F8" w:rsidRPr="008F2B51" w:rsidRDefault="004424F8" w:rsidP="004424F8">
            <w:pPr>
              <w:spacing w:line="288" w:lineRule="auto"/>
              <w:rPr>
                <w:lang w:val="da-DK"/>
              </w:rPr>
            </w:pPr>
            <w:r w:rsidRPr="008F2B51">
              <w:rPr>
                <w:b/>
                <w:lang w:val="da-DK"/>
              </w:rPr>
              <w:t xml:space="preserve">3. </w:t>
            </w:r>
            <w:r w:rsidRPr="008F2B51">
              <w:rPr>
                <w:lang w:val="da-DK"/>
              </w:rPr>
              <w:t xml:space="preserve">I </w:t>
            </w:r>
            <w:r w:rsidRPr="008F2B51">
              <w:rPr>
                <w:i/>
                <w:lang w:val="da-DK"/>
              </w:rPr>
              <w:t>§ 13, stk. 3, 1. pkt.,</w:t>
            </w:r>
            <w:r w:rsidRPr="008F2B51">
              <w:rPr>
                <w:lang w:val="da-DK"/>
              </w:rPr>
              <w:t xml:space="preserve"> der bliver stk. 4, 1. pkt.,</w:t>
            </w:r>
            <w:r>
              <w:rPr>
                <w:lang w:val="da-DK"/>
              </w:rPr>
              <w:t xml:space="preserve"> </w:t>
            </w:r>
            <w:r w:rsidRPr="008F2B51">
              <w:rPr>
                <w:i/>
                <w:lang w:val="da-DK"/>
              </w:rPr>
              <w:t>§ 13, stk. 4, 2. pkt.,</w:t>
            </w:r>
            <w:r w:rsidRPr="008F2B51">
              <w:rPr>
                <w:lang w:val="da-DK"/>
              </w:rPr>
              <w:t xml:space="preserve"> der bliver stk. 5, 2. pkt., </w:t>
            </w:r>
            <w:r>
              <w:rPr>
                <w:lang w:val="da-DK"/>
              </w:rPr>
              <w:t xml:space="preserve">og i </w:t>
            </w:r>
            <w:r w:rsidRPr="008F2B51">
              <w:rPr>
                <w:i/>
                <w:lang w:val="da-DK"/>
              </w:rPr>
              <w:t xml:space="preserve">§ 13, stk. 5, 6. pkt., </w:t>
            </w:r>
            <w:r w:rsidRPr="008F2B51">
              <w:rPr>
                <w:lang w:val="da-DK"/>
              </w:rPr>
              <w:t>der bliver stk. 6, 6. pkt., æ</w:t>
            </w:r>
            <w:r w:rsidRPr="008F2B51">
              <w:rPr>
                <w:lang w:val="da-DK"/>
              </w:rPr>
              <w:t>n</w:t>
            </w:r>
            <w:r w:rsidRPr="008F2B51">
              <w:rPr>
                <w:lang w:val="da-DK"/>
              </w:rPr>
              <w:t>dres ”stk. 2, 1. pkt.” til: ” stk. 3, 1. pkt.”</w:t>
            </w:r>
          </w:p>
          <w:p w:rsidR="004424F8" w:rsidRPr="008F2B51" w:rsidRDefault="004424F8" w:rsidP="004424F8">
            <w:pPr>
              <w:spacing w:line="288" w:lineRule="auto"/>
              <w:rPr>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Pr="008F2B51" w:rsidRDefault="004424F8" w:rsidP="004424F8">
            <w:pPr>
              <w:spacing w:line="288" w:lineRule="auto"/>
              <w:rPr>
                <w:lang w:val="da-DK"/>
              </w:rPr>
            </w:pPr>
            <w:r w:rsidRPr="008F2B51">
              <w:rPr>
                <w:b/>
                <w:lang w:val="da-DK"/>
              </w:rPr>
              <w:t xml:space="preserve">4. </w:t>
            </w:r>
            <w:r w:rsidRPr="008F2B51">
              <w:rPr>
                <w:lang w:val="da-DK"/>
              </w:rPr>
              <w:t xml:space="preserve">I </w:t>
            </w:r>
            <w:r w:rsidRPr="008F2B51">
              <w:rPr>
                <w:i/>
                <w:lang w:val="da-DK"/>
              </w:rPr>
              <w:t xml:space="preserve">§ 13, stk. 4, 1. pkt., </w:t>
            </w:r>
            <w:r w:rsidRPr="008F2B51">
              <w:rPr>
                <w:lang w:val="da-DK"/>
              </w:rPr>
              <w:t>der bliver stk. 5, 1. pkt., ændres ”stk. 3” til: ”stk. 4”, og ”stk. 2, 1. pkt.”</w:t>
            </w:r>
            <w:r>
              <w:rPr>
                <w:lang w:val="da-DK"/>
              </w:rPr>
              <w:t xml:space="preserve"> ændres</w:t>
            </w:r>
            <w:r w:rsidRPr="008F2B51">
              <w:rPr>
                <w:lang w:val="da-DK"/>
              </w:rPr>
              <w:t xml:space="preserve"> til: ” stk. 3, 1. pkt.”</w:t>
            </w:r>
          </w:p>
          <w:p w:rsidR="004424F8" w:rsidRPr="008F2B51" w:rsidRDefault="004424F8" w:rsidP="004424F8">
            <w:pPr>
              <w:spacing w:line="288" w:lineRule="auto"/>
              <w:rPr>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Pr="008F2B51" w:rsidRDefault="004424F8" w:rsidP="004424F8">
            <w:pPr>
              <w:spacing w:line="288" w:lineRule="auto"/>
              <w:rPr>
                <w:lang w:val="da-DK"/>
              </w:rPr>
            </w:pPr>
            <w:r w:rsidRPr="008F2B51">
              <w:rPr>
                <w:b/>
                <w:lang w:val="da-DK"/>
              </w:rPr>
              <w:t>5.</w:t>
            </w:r>
            <w:r w:rsidRPr="008F2B51">
              <w:rPr>
                <w:lang w:val="da-DK"/>
              </w:rPr>
              <w:t xml:space="preserve"> I </w:t>
            </w:r>
            <w:r w:rsidRPr="008F2B51">
              <w:rPr>
                <w:i/>
                <w:lang w:val="da-DK"/>
              </w:rPr>
              <w:t xml:space="preserve">§ 13, stk. 5, 1. pkt., </w:t>
            </w:r>
            <w:r w:rsidRPr="008F2B51">
              <w:rPr>
                <w:lang w:val="da-DK"/>
              </w:rPr>
              <w:t>der bliver stk. 6, 1. pkt., ændres ”stk. 3” til: ”stk. 4”.</w:t>
            </w:r>
          </w:p>
          <w:p w:rsidR="004424F8" w:rsidRDefault="004424F8" w:rsidP="004424F8">
            <w:pPr>
              <w:spacing w:line="288" w:lineRule="auto"/>
              <w:rPr>
                <w:b/>
                <w:lang w:val="da-DK"/>
              </w:rPr>
            </w:pPr>
          </w:p>
          <w:p w:rsidR="004424F8" w:rsidRPr="008F2B51" w:rsidRDefault="004424F8" w:rsidP="004424F8">
            <w:pPr>
              <w:spacing w:line="288" w:lineRule="auto"/>
              <w:rPr>
                <w:lang w:val="da-DK"/>
              </w:rPr>
            </w:pPr>
            <w:r>
              <w:rPr>
                <w:b/>
                <w:lang w:val="da-DK"/>
              </w:rPr>
              <w:t>6</w:t>
            </w:r>
            <w:r w:rsidRPr="008F2B51">
              <w:rPr>
                <w:b/>
                <w:lang w:val="da-DK"/>
              </w:rPr>
              <w:t>.</w:t>
            </w:r>
            <w:r w:rsidRPr="008F2B51">
              <w:rPr>
                <w:lang w:val="da-DK"/>
              </w:rPr>
              <w:t xml:space="preserve"> I </w:t>
            </w:r>
            <w:r w:rsidRPr="008F2B51">
              <w:rPr>
                <w:i/>
                <w:lang w:val="da-DK"/>
              </w:rPr>
              <w:t>§ 13, stk. 5, 2. pkt.</w:t>
            </w:r>
            <w:r w:rsidRPr="008F2B51">
              <w:rPr>
                <w:lang w:val="da-DK"/>
              </w:rPr>
              <w:t xml:space="preserve">, der bliver stk. 6, 2. pkt., ændres ”stk. 3” til: ”stk. 4” og ”stk. 4” </w:t>
            </w:r>
            <w:r>
              <w:rPr>
                <w:lang w:val="da-DK"/>
              </w:rPr>
              <w:t xml:space="preserve">ændres </w:t>
            </w:r>
            <w:r w:rsidRPr="008F2B51">
              <w:rPr>
                <w:lang w:val="da-DK"/>
              </w:rPr>
              <w:t>til: ”stk. 5”.</w:t>
            </w:r>
          </w:p>
          <w:p w:rsidR="004424F8" w:rsidRPr="008F2B51" w:rsidRDefault="004424F8" w:rsidP="004424F8">
            <w:pPr>
              <w:spacing w:line="288" w:lineRule="auto"/>
              <w:rPr>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lang w:val="da-DK"/>
              </w:rPr>
            </w:pPr>
            <w:r>
              <w:rPr>
                <w:b/>
                <w:lang w:val="da-DK"/>
              </w:rPr>
              <w:t>7</w:t>
            </w:r>
            <w:r w:rsidRPr="008F2B51">
              <w:rPr>
                <w:b/>
                <w:lang w:val="da-DK"/>
              </w:rPr>
              <w:t xml:space="preserve">. </w:t>
            </w:r>
            <w:r w:rsidRPr="008F2B51">
              <w:rPr>
                <w:lang w:val="da-DK"/>
              </w:rPr>
              <w:t xml:space="preserve">I </w:t>
            </w:r>
            <w:r w:rsidRPr="008F2B51">
              <w:rPr>
                <w:i/>
                <w:lang w:val="da-DK"/>
              </w:rPr>
              <w:t xml:space="preserve">§ 13, stk. 6, 1. pkt., </w:t>
            </w:r>
            <w:r w:rsidRPr="008F2B51">
              <w:rPr>
                <w:lang w:val="da-DK"/>
              </w:rPr>
              <w:t>der bliver stk. 7, 1. pkt., ændres ”</w:t>
            </w:r>
            <w:r>
              <w:rPr>
                <w:lang w:val="da-DK"/>
              </w:rPr>
              <w:t>stk. 3 og 4” til: ”stk. 4 og 5”.</w:t>
            </w:r>
          </w:p>
          <w:p w:rsidR="004424F8" w:rsidRPr="008F2B51" w:rsidRDefault="004424F8" w:rsidP="004424F8">
            <w:pPr>
              <w:spacing w:line="288" w:lineRule="auto"/>
              <w:rPr>
                <w:lang w:val="da-DK"/>
              </w:rPr>
            </w:pPr>
          </w:p>
          <w:p w:rsidR="004424F8" w:rsidRPr="008F2B51" w:rsidRDefault="004424F8" w:rsidP="004424F8">
            <w:pPr>
              <w:spacing w:line="288" w:lineRule="auto"/>
              <w:rPr>
                <w:lang w:val="da-DK"/>
              </w:rPr>
            </w:pPr>
            <w:r>
              <w:rPr>
                <w:b/>
                <w:lang w:val="da-DK"/>
              </w:rPr>
              <w:t>8</w:t>
            </w:r>
            <w:r w:rsidRPr="008F2B51">
              <w:rPr>
                <w:b/>
                <w:lang w:val="da-DK"/>
              </w:rPr>
              <w:t>.</w:t>
            </w:r>
            <w:r w:rsidRPr="008F2B51">
              <w:rPr>
                <w:lang w:val="da-DK"/>
              </w:rPr>
              <w:t xml:space="preserve"> I </w:t>
            </w:r>
            <w:r w:rsidRPr="008F2B51">
              <w:rPr>
                <w:i/>
                <w:lang w:val="da-DK"/>
              </w:rPr>
              <w:t>§ 13, stk. 6, 4. pkt.,</w:t>
            </w:r>
            <w:r w:rsidRPr="008F2B51">
              <w:rPr>
                <w:lang w:val="da-DK"/>
              </w:rPr>
              <w:t xml:space="preserve"> der bliver stk. 7, 4. pkt., ændres ”stk. 3 og 4” til: ”stk. 4 og 5”, og ”stk. 2, </w:t>
            </w:r>
            <w:r w:rsidRPr="008F2B51">
              <w:rPr>
                <w:lang w:val="da-DK"/>
              </w:rPr>
              <w:lastRenderedPageBreak/>
              <w:t>1. pkt.”</w:t>
            </w:r>
            <w:r>
              <w:rPr>
                <w:lang w:val="da-DK"/>
              </w:rPr>
              <w:t xml:space="preserve"> ændres </w:t>
            </w:r>
            <w:r w:rsidRPr="008F2B51">
              <w:rPr>
                <w:lang w:val="da-DK"/>
              </w:rPr>
              <w:t>til: ”stk. 3, 1. pkt.”</w:t>
            </w:r>
          </w:p>
          <w:p w:rsidR="004424F8" w:rsidRPr="008F2B51" w:rsidRDefault="004424F8" w:rsidP="004424F8">
            <w:pPr>
              <w:spacing w:line="288" w:lineRule="auto"/>
              <w:rPr>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Pr="008F2B51" w:rsidRDefault="004424F8" w:rsidP="004424F8">
            <w:pPr>
              <w:spacing w:line="288" w:lineRule="auto"/>
              <w:rPr>
                <w:lang w:val="da-DK"/>
              </w:rPr>
            </w:pPr>
            <w:r>
              <w:rPr>
                <w:b/>
                <w:lang w:val="da-DK"/>
              </w:rPr>
              <w:t>9.</w:t>
            </w:r>
            <w:r w:rsidRPr="008F2B51">
              <w:rPr>
                <w:b/>
                <w:lang w:val="da-DK"/>
              </w:rPr>
              <w:t xml:space="preserve"> </w:t>
            </w:r>
            <w:r w:rsidRPr="008F2B51">
              <w:rPr>
                <w:lang w:val="da-DK"/>
              </w:rPr>
              <w:t xml:space="preserve">I </w:t>
            </w:r>
            <w:r w:rsidRPr="008F2B51">
              <w:rPr>
                <w:i/>
                <w:lang w:val="da-DK"/>
              </w:rPr>
              <w:t xml:space="preserve">§ 13, stk. 7, 1. pkt., </w:t>
            </w:r>
            <w:r w:rsidRPr="008F2B51">
              <w:rPr>
                <w:lang w:val="da-DK"/>
              </w:rPr>
              <w:t xml:space="preserve">der bliver stk. 8, 1. pkt., ændres ”stk. 3, 5 og 6” til: ”stk. 4, 6 og 7”, og ”stk. 3, 1. pkt.,” </w:t>
            </w:r>
            <w:r>
              <w:rPr>
                <w:lang w:val="da-DK"/>
              </w:rPr>
              <w:t xml:space="preserve">ændres </w:t>
            </w:r>
            <w:r w:rsidRPr="008F2B51">
              <w:rPr>
                <w:lang w:val="da-DK"/>
              </w:rPr>
              <w:t>til: ”stk. 4, 1. pkt.”</w:t>
            </w:r>
          </w:p>
          <w:p w:rsidR="004424F8" w:rsidRPr="008F2B51" w:rsidRDefault="004424F8" w:rsidP="004424F8">
            <w:pPr>
              <w:spacing w:line="288" w:lineRule="auto"/>
              <w:rPr>
                <w:lang w:val="da-DK"/>
              </w:rPr>
            </w:pPr>
          </w:p>
          <w:p w:rsidR="004424F8" w:rsidRPr="008F2B51" w:rsidRDefault="004424F8" w:rsidP="004424F8">
            <w:pPr>
              <w:spacing w:line="288" w:lineRule="auto"/>
              <w:rPr>
                <w:lang w:val="da-DK"/>
              </w:rPr>
            </w:pPr>
            <w:r>
              <w:rPr>
                <w:b/>
                <w:lang w:val="da-DK"/>
              </w:rPr>
              <w:t>10</w:t>
            </w:r>
            <w:r w:rsidRPr="008F2B51">
              <w:rPr>
                <w:b/>
                <w:lang w:val="da-DK"/>
              </w:rPr>
              <w:t>.</w:t>
            </w:r>
            <w:r w:rsidRPr="008F2B51">
              <w:rPr>
                <w:lang w:val="da-DK"/>
              </w:rPr>
              <w:t xml:space="preserve"> I </w:t>
            </w:r>
            <w:r w:rsidRPr="008F2B51">
              <w:rPr>
                <w:i/>
                <w:lang w:val="da-DK"/>
              </w:rPr>
              <w:t xml:space="preserve">§ 13, stk. 7, 4. pkt., </w:t>
            </w:r>
            <w:r w:rsidRPr="008F2B51">
              <w:rPr>
                <w:lang w:val="da-DK"/>
              </w:rPr>
              <w:t>der bliver til stk. 8, 4. pkt.,</w:t>
            </w:r>
            <w:r>
              <w:rPr>
                <w:lang w:val="da-DK"/>
              </w:rPr>
              <w:t xml:space="preserve"> ændres ”stk. 3, 5 og 6” til: ”</w:t>
            </w:r>
            <w:r w:rsidRPr="008F2B51">
              <w:rPr>
                <w:lang w:val="da-DK"/>
              </w:rPr>
              <w:t>stk. 4, 6 og 7”.</w:t>
            </w:r>
          </w:p>
          <w:p w:rsidR="004424F8" w:rsidRPr="008F2B51" w:rsidRDefault="004424F8" w:rsidP="004424F8">
            <w:pPr>
              <w:spacing w:line="288" w:lineRule="auto"/>
              <w:rPr>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Pr="008F2B51" w:rsidRDefault="004424F8" w:rsidP="004424F8">
            <w:pPr>
              <w:spacing w:line="288" w:lineRule="auto"/>
              <w:rPr>
                <w:lang w:val="da-DK"/>
              </w:rPr>
            </w:pPr>
            <w:r>
              <w:rPr>
                <w:b/>
                <w:lang w:val="da-DK"/>
              </w:rPr>
              <w:t>11</w:t>
            </w:r>
            <w:r w:rsidRPr="008F2B51">
              <w:rPr>
                <w:b/>
                <w:lang w:val="da-DK"/>
              </w:rPr>
              <w:t xml:space="preserve">. </w:t>
            </w:r>
            <w:r w:rsidRPr="008F2B51">
              <w:rPr>
                <w:lang w:val="da-DK"/>
              </w:rPr>
              <w:t xml:space="preserve">I </w:t>
            </w:r>
            <w:r w:rsidRPr="008F2B51">
              <w:rPr>
                <w:i/>
                <w:lang w:val="da-DK"/>
              </w:rPr>
              <w:t xml:space="preserve">§ 13, stk. 8, 1. pkt., </w:t>
            </w:r>
            <w:r w:rsidRPr="008F2B51">
              <w:rPr>
                <w:lang w:val="da-DK"/>
              </w:rPr>
              <w:t>der bliver stk. 9, 1. pkt., ændres ”stk. 2, 1. pkt.” til: ”stk. 3</w:t>
            </w:r>
            <w:r>
              <w:rPr>
                <w:lang w:val="da-DK"/>
              </w:rPr>
              <w:t>,</w:t>
            </w:r>
            <w:r w:rsidRPr="008F2B51">
              <w:rPr>
                <w:lang w:val="da-DK"/>
              </w:rPr>
              <w:t xml:space="preserve"> 1. pkt.”, og ”stk. 3” ændres til: ”stk. 4”.</w:t>
            </w:r>
          </w:p>
          <w:p w:rsidR="004424F8" w:rsidRPr="008F2B51" w:rsidRDefault="004424F8" w:rsidP="004424F8">
            <w:pPr>
              <w:spacing w:line="288" w:lineRule="auto"/>
              <w:rPr>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Default="004424F8" w:rsidP="004424F8">
            <w:pPr>
              <w:spacing w:line="288" w:lineRule="auto"/>
              <w:rPr>
                <w:b/>
                <w:lang w:val="da-DK"/>
              </w:rPr>
            </w:pPr>
          </w:p>
          <w:p w:rsidR="004424F8" w:rsidRPr="008F2B51" w:rsidRDefault="004424F8" w:rsidP="004424F8">
            <w:pPr>
              <w:spacing w:line="288" w:lineRule="auto"/>
              <w:rPr>
                <w:lang w:val="da-DK"/>
              </w:rPr>
            </w:pPr>
            <w:r>
              <w:rPr>
                <w:b/>
                <w:lang w:val="da-DK"/>
              </w:rPr>
              <w:t>12</w:t>
            </w:r>
            <w:r w:rsidRPr="008F2B51">
              <w:rPr>
                <w:b/>
                <w:lang w:val="da-DK"/>
              </w:rPr>
              <w:t xml:space="preserve">. </w:t>
            </w:r>
            <w:r w:rsidRPr="008F2B51">
              <w:rPr>
                <w:lang w:val="da-DK"/>
              </w:rPr>
              <w:t xml:space="preserve">I </w:t>
            </w:r>
            <w:r w:rsidRPr="008F2B51">
              <w:rPr>
                <w:i/>
                <w:lang w:val="da-DK"/>
              </w:rPr>
              <w:t>§ 13, stk. 9,</w:t>
            </w:r>
            <w:r w:rsidRPr="008F2B51">
              <w:rPr>
                <w:lang w:val="da-DK"/>
              </w:rPr>
              <w:t xml:space="preserve"> der bliver stk. 10, ændres ”stk. 3-8” til: ”stk. 4-9”.</w:t>
            </w:r>
          </w:p>
          <w:p w:rsidR="004424F8" w:rsidRPr="008F2B51" w:rsidRDefault="004424F8" w:rsidP="004424F8">
            <w:pPr>
              <w:spacing w:line="288" w:lineRule="auto"/>
              <w:rPr>
                <w:lang w:val="da-DK"/>
              </w:rPr>
            </w:pPr>
          </w:p>
          <w:p w:rsidR="008944F4" w:rsidRDefault="008944F4" w:rsidP="004424F8">
            <w:pPr>
              <w:spacing w:line="288" w:lineRule="auto"/>
              <w:rPr>
                <w:b/>
                <w:lang w:val="da-DK"/>
              </w:rPr>
            </w:pPr>
          </w:p>
          <w:p w:rsidR="008944F4" w:rsidRDefault="008944F4" w:rsidP="004424F8">
            <w:pPr>
              <w:spacing w:line="288" w:lineRule="auto"/>
              <w:rPr>
                <w:b/>
                <w:lang w:val="da-DK"/>
              </w:rPr>
            </w:pPr>
          </w:p>
          <w:p w:rsidR="008944F4" w:rsidRDefault="008944F4" w:rsidP="004424F8">
            <w:pPr>
              <w:spacing w:line="288" w:lineRule="auto"/>
              <w:rPr>
                <w:b/>
                <w:lang w:val="da-DK"/>
              </w:rPr>
            </w:pPr>
          </w:p>
          <w:p w:rsidR="004424F8" w:rsidRPr="008F2B51" w:rsidRDefault="004424F8" w:rsidP="004424F8">
            <w:pPr>
              <w:spacing w:line="288" w:lineRule="auto"/>
              <w:rPr>
                <w:i/>
                <w:lang w:val="da-DK"/>
              </w:rPr>
            </w:pPr>
            <w:r>
              <w:rPr>
                <w:b/>
                <w:lang w:val="da-DK"/>
              </w:rPr>
              <w:t>13</w:t>
            </w:r>
            <w:r w:rsidRPr="008F2B51">
              <w:rPr>
                <w:b/>
                <w:lang w:val="da-DK"/>
              </w:rPr>
              <w:t xml:space="preserve">. </w:t>
            </w:r>
            <w:r w:rsidRPr="008F2B51">
              <w:rPr>
                <w:lang w:val="da-DK"/>
              </w:rPr>
              <w:t xml:space="preserve">I </w:t>
            </w:r>
            <w:r w:rsidRPr="008F2B51">
              <w:rPr>
                <w:i/>
                <w:lang w:val="da-DK"/>
              </w:rPr>
              <w:t xml:space="preserve">§ 13 F, stk. 8, </w:t>
            </w:r>
            <w:r w:rsidRPr="008F2B51">
              <w:rPr>
                <w:lang w:val="da-DK"/>
              </w:rPr>
              <w:t>ændres ”§ 13, stk. 3-9” til: ”§ 13, stk. 4-10”.</w:t>
            </w:r>
          </w:p>
          <w:p w:rsidR="004424F8" w:rsidRPr="008F2B51" w:rsidRDefault="004424F8" w:rsidP="004424F8">
            <w:pPr>
              <w:spacing w:line="288" w:lineRule="auto"/>
              <w:rPr>
                <w:b/>
                <w:bCs/>
                <w:lang w:val="da-DK"/>
              </w:rPr>
            </w:pPr>
          </w:p>
          <w:p w:rsidR="008944F4" w:rsidRDefault="008944F4" w:rsidP="004424F8">
            <w:pPr>
              <w:spacing w:line="288" w:lineRule="auto"/>
              <w:jc w:val="both"/>
              <w:rPr>
                <w:b/>
                <w:bCs/>
                <w:lang w:val="da-DK"/>
              </w:rPr>
            </w:pPr>
          </w:p>
          <w:p w:rsidR="008944F4" w:rsidRDefault="008944F4" w:rsidP="004424F8">
            <w:pPr>
              <w:spacing w:line="288" w:lineRule="auto"/>
              <w:jc w:val="both"/>
              <w:rPr>
                <w:b/>
                <w:bCs/>
                <w:lang w:val="da-DK"/>
              </w:rPr>
            </w:pPr>
          </w:p>
          <w:p w:rsidR="000B0F04" w:rsidRPr="008F2B51" w:rsidRDefault="004424F8" w:rsidP="004424F8">
            <w:pPr>
              <w:spacing w:line="288" w:lineRule="auto"/>
              <w:jc w:val="both"/>
              <w:rPr>
                <w:b/>
                <w:bCs/>
                <w:lang w:val="da-DK"/>
              </w:rPr>
            </w:pPr>
            <w:r>
              <w:rPr>
                <w:b/>
                <w:bCs/>
                <w:lang w:val="da-DK"/>
              </w:rPr>
              <w:t>14</w:t>
            </w:r>
            <w:r w:rsidRPr="008F2B51">
              <w:rPr>
                <w:b/>
                <w:bCs/>
                <w:lang w:val="da-DK"/>
              </w:rPr>
              <w:t>.</w:t>
            </w:r>
            <w:r w:rsidRPr="008F2B51">
              <w:rPr>
                <w:bCs/>
                <w:lang w:val="da-DK"/>
              </w:rPr>
              <w:t xml:space="preserve"> I</w:t>
            </w:r>
            <w:r w:rsidRPr="008F2B51">
              <w:rPr>
                <w:bCs/>
                <w:i/>
                <w:lang w:val="da-DK"/>
              </w:rPr>
              <w:t xml:space="preserve"> § 17, stk. 3, 1. pkt., </w:t>
            </w:r>
            <w:r w:rsidRPr="008F2B51">
              <w:rPr>
                <w:bCs/>
                <w:lang w:val="da-DK"/>
              </w:rPr>
              <w:t>indsættes efter ”§ 13, stk. 1, nr. 2,”: ”eller stk. 2,”.</w:t>
            </w:r>
          </w:p>
          <w:p w:rsidR="004109D4" w:rsidRDefault="004109D4" w:rsidP="000B0F04">
            <w:pPr>
              <w:tabs>
                <w:tab w:val="left" w:pos="0"/>
                <w:tab w:val="left" w:pos="900"/>
              </w:tabs>
              <w:spacing w:line="288" w:lineRule="auto"/>
              <w:jc w:val="both"/>
              <w:rPr>
                <w:color w:val="000000"/>
                <w:lang w:val="da-DK"/>
              </w:rPr>
            </w:pPr>
          </w:p>
        </w:tc>
      </w:tr>
      <w:tr w:rsidR="004109D4" w:rsidRPr="00F309C6" w:rsidTr="004109D4">
        <w:tc>
          <w:tcPr>
            <w:tcW w:w="4889" w:type="dxa"/>
          </w:tcPr>
          <w:p w:rsidR="00846877" w:rsidRDefault="00846877" w:rsidP="004109D4">
            <w:pPr>
              <w:tabs>
                <w:tab w:val="left" w:pos="0"/>
                <w:tab w:val="left" w:pos="900"/>
              </w:tabs>
              <w:spacing w:line="288" w:lineRule="auto"/>
              <w:rPr>
                <w:b/>
                <w:color w:val="000000"/>
                <w:lang w:val="da-DK"/>
              </w:rPr>
            </w:pPr>
          </w:p>
          <w:p w:rsidR="00846877" w:rsidRDefault="00846877" w:rsidP="004109D4">
            <w:pPr>
              <w:tabs>
                <w:tab w:val="left" w:pos="0"/>
                <w:tab w:val="left" w:pos="900"/>
              </w:tabs>
              <w:spacing w:line="288" w:lineRule="auto"/>
              <w:rPr>
                <w:b/>
                <w:color w:val="000000"/>
                <w:lang w:val="da-DK"/>
              </w:rPr>
            </w:pPr>
          </w:p>
          <w:p w:rsidR="00846877" w:rsidRDefault="00846877" w:rsidP="004109D4">
            <w:pPr>
              <w:tabs>
                <w:tab w:val="left" w:pos="0"/>
                <w:tab w:val="left" w:pos="900"/>
              </w:tabs>
              <w:spacing w:line="288" w:lineRule="auto"/>
              <w:rPr>
                <w:b/>
                <w:color w:val="000000"/>
                <w:lang w:val="da-DK"/>
              </w:rPr>
            </w:pPr>
          </w:p>
          <w:p w:rsidR="00846877" w:rsidRDefault="00846877" w:rsidP="004109D4">
            <w:pPr>
              <w:tabs>
                <w:tab w:val="left" w:pos="0"/>
                <w:tab w:val="left" w:pos="900"/>
              </w:tabs>
              <w:spacing w:line="288" w:lineRule="auto"/>
              <w:rPr>
                <w:b/>
                <w:color w:val="000000"/>
                <w:lang w:val="da-DK"/>
              </w:rPr>
            </w:pPr>
          </w:p>
          <w:p w:rsidR="00846877" w:rsidRDefault="00846877" w:rsidP="004109D4">
            <w:pPr>
              <w:tabs>
                <w:tab w:val="left" w:pos="0"/>
                <w:tab w:val="left" w:pos="900"/>
              </w:tabs>
              <w:spacing w:line="288" w:lineRule="auto"/>
              <w:rPr>
                <w:b/>
                <w:color w:val="000000"/>
                <w:lang w:val="da-DK"/>
              </w:rPr>
            </w:pPr>
          </w:p>
          <w:p w:rsidR="00846877" w:rsidRDefault="00846877" w:rsidP="004109D4">
            <w:pPr>
              <w:tabs>
                <w:tab w:val="left" w:pos="0"/>
                <w:tab w:val="left" w:pos="900"/>
              </w:tabs>
              <w:spacing w:line="288" w:lineRule="auto"/>
              <w:rPr>
                <w:b/>
                <w:color w:val="000000"/>
                <w:lang w:val="da-DK"/>
              </w:rPr>
            </w:pPr>
          </w:p>
          <w:p w:rsidR="00B46523" w:rsidRDefault="00B46523" w:rsidP="004109D4">
            <w:pPr>
              <w:tabs>
                <w:tab w:val="left" w:pos="0"/>
                <w:tab w:val="left" w:pos="900"/>
              </w:tabs>
              <w:spacing w:line="288" w:lineRule="auto"/>
              <w:rPr>
                <w:b/>
                <w:color w:val="000000"/>
                <w:lang w:val="da-DK"/>
              </w:rPr>
            </w:pPr>
          </w:p>
          <w:p w:rsidR="004109D4" w:rsidRPr="00846877" w:rsidRDefault="00846877" w:rsidP="004109D4">
            <w:pPr>
              <w:tabs>
                <w:tab w:val="left" w:pos="0"/>
                <w:tab w:val="left" w:pos="900"/>
              </w:tabs>
              <w:spacing w:line="288" w:lineRule="auto"/>
              <w:rPr>
                <w:b/>
                <w:color w:val="000000"/>
                <w:lang w:val="da-DK"/>
              </w:rPr>
            </w:pPr>
            <w:r>
              <w:rPr>
                <w:b/>
                <w:color w:val="000000"/>
                <w:lang w:val="da-DK"/>
              </w:rPr>
              <w:t>§ 26. ---</w:t>
            </w:r>
          </w:p>
          <w:p w:rsidR="00846877" w:rsidRPr="00846877" w:rsidRDefault="00846877" w:rsidP="00846877">
            <w:pPr>
              <w:tabs>
                <w:tab w:val="left" w:pos="0"/>
                <w:tab w:val="left" w:pos="900"/>
              </w:tabs>
              <w:spacing w:line="288" w:lineRule="auto"/>
              <w:rPr>
                <w:color w:val="000000"/>
                <w:lang w:val="da-DK"/>
              </w:rPr>
            </w:pPr>
            <w:r w:rsidRPr="00846877">
              <w:rPr>
                <w:i/>
                <w:iCs/>
                <w:color w:val="000000"/>
                <w:lang w:val="da-DK"/>
              </w:rPr>
              <w:t xml:space="preserve">Stk. 4. </w:t>
            </w:r>
            <w:r w:rsidRPr="00846877">
              <w:rPr>
                <w:color w:val="000000"/>
                <w:lang w:val="da-DK"/>
              </w:rPr>
              <w:t>En ansættelse kan ikke foretages eller</w:t>
            </w:r>
            <w:r>
              <w:rPr>
                <w:color w:val="000000"/>
                <w:lang w:val="da-DK"/>
              </w:rPr>
              <w:t xml:space="preserve"> </w:t>
            </w:r>
            <w:r w:rsidRPr="00846877">
              <w:rPr>
                <w:color w:val="000000"/>
                <w:lang w:val="da-DK"/>
              </w:rPr>
              <w:t>ændres efter stk. 1, i</w:t>
            </w:r>
            <w:r>
              <w:rPr>
                <w:color w:val="000000"/>
                <w:lang w:val="da-DK"/>
              </w:rPr>
              <w:t xml:space="preserve"> </w:t>
            </w:r>
            <w:r w:rsidRPr="00846877">
              <w:rPr>
                <w:color w:val="000000"/>
                <w:lang w:val="da-DK"/>
              </w:rPr>
              <w:t>det omfang ansættelsen</w:t>
            </w:r>
            <w:r>
              <w:rPr>
                <w:color w:val="000000"/>
                <w:lang w:val="da-DK"/>
              </w:rPr>
              <w:t xml:space="preserve"> </w:t>
            </w:r>
            <w:r w:rsidRPr="00846877">
              <w:rPr>
                <w:color w:val="000000"/>
                <w:lang w:val="da-DK"/>
              </w:rPr>
              <w:t>beror på en ændret bedømmelse af et</w:t>
            </w:r>
            <w:r>
              <w:rPr>
                <w:color w:val="000000"/>
                <w:lang w:val="da-DK"/>
              </w:rPr>
              <w:t xml:space="preserve"> </w:t>
            </w:r>
            <w:r w:rsidRPr="00846877">
              <w:rPr>
                <w:color w:val="000000"/>
                <w:lang w:val="da-DK"/>
              </w:rPr>
              <w:t>fremfø</w:t>
            </w:r>
            <w:r w:rsidRPr="00846877">
              <w:rPr>
                <w:color w:val="000000"/>
                <w:lang w:val="da-DK"/>
              </w:rPr>
              <w:t>r</w:t>
            </w:r>
            <w:r w:rsidRPr="00846877">
              <w:rPr>
                <w:color w:val="000000"/>
                <w:lang w:val="da-DK"/>
              </w:rPr>
              <w:t>selsberettiget underskud eller tab, der er selva</w:t>
            </w:r>
            <w:r w:rsidRPr="00846877">
              <w:rPr>
                <w:color w:val="000000"/>
                <w:lang w:val="da-DK"/>
              </w:rPr>
              <w:t>n</w:t>
            </w:r>
            <w:r w:rsidRPr="00846877">
              <w:rPr>
                <w:color w:val="000000"/>
                <w:lang w:val="da-DK"/>
              </w:rPr>
              <w:t>givet i et</w:t>
            </w:r>
            <w:r>
              <w:rPr>
                <w:color w:val="000000"/>
                <w:lang w:val="da-DK"/>
              </w:rPr>
              <w:t xml:space="preserve"> </w:t>
            </w:r>
            <w:r w:rsidRPr="00846877">
              <w:rPr>
                <w:color w:val="000000"/>
                <w:lang w:val="da-DK"/>
              </w:rPr>
              <w:t>indkomstår, der ligger uden for friste</w:t>
            </w:r>
            <w:r w:rsidRPr="00846877">
              <w:rPr>
                <w:color w:val="000000"/>
                <w:lang w:val="da-DK"/>
              </w:rPr>
              <w:t>r</w:t>
            </w:r>
            <w:r w:rsidRPr="00846877">
              <w:rPr>
                <w:color w:val="000000"/>
                <w:lang w:val="da-DK"/>
              </w:rPr>
              <w:t>ne efter denne bestemmelse.</w:t>
            </w:r>
            <w:r>
              <w:rPr>
                <w:color w:val="000000"/>
                <w:lang w:val="da-DK"/>
              </w:rPr>
              <w:t xml:space="preserve"> </w:t>
            </w:r>
            <w:r w:rsidRPr="00846877">
              <w:rPr>
                <w:color w:val="000000"/>
                <w:lang w:val="da-DK"/>
              </w:rPr>
              <w:t>Bestemmelsen i 1. pkt. finder tilsvarende anvendelse vedrørende</w:t>
            </w:r>
          </w:p>
          <w:p w:rsidR="003C6097" w:rsidRDefault="00846877" w:rsidP="00846877">
            <w:pPr>
              <w:tabs>
                <w:tab w:val="left" w:pos="0"/>
                <w:tab w:val="left" w:pos="900"/>
              </w:tabs>
              <w:spacing w:line="288" w:lineRule="auto"/>
              <w:rPr>
                <w:color w:val="000000"/>
                <w:lang w:val="da-DK"/>
              </w:rPr>
            </w:pPr>
            <w:r w:rsidRPr="00846877">
              <w:rPr>
                <w:color w:val="000000"/>
                <w:lang w:val="da-DK"/>
              </w:rPr>
              <w:t>opgørelserne efter selskabsskattelovens § 13,</w:t>
            </w:r>
            <w:r>
              <w:rPr>
                <w:color w:val="000000"/>
                <w:lang w:val="da-DK"/>
              </w:rPr>
              <w:t xml:space="preserve"> </w:t>
            </w:r>
            <w:r w:rsidRPr="00846877">
              <w:rPr>
                <w:color w:val="000000"/>
                <w:lang w:val="da-DK"/>
              </w:rPr>
              <w:t>stk. 3-9.</w:t>
            </w:r>
          </w:p>
        </w:tc>
        <w:tc>
          <w:tcPr>
            <w:tcW w:w="4889" w:type="dxa"/>
          </w:tcPr>
          <w:p w:rsidR="00846877" w:rsidRPr="008F2B51" w:rsidRDefault="00846877" w:rsidP="00846877">
            <w:pPr>
              <w:tabs>
                <w:tab w:val="left" w:pos="360"/>
              </w:tabs>
              <w:spacing w:line="288" w:lineRule="auto"/>
              <w:jc w:val="center"/>
              <w:rPr>
                <w:b/>
                <w:bCs/>
                <w:lang w:val="da-DK"/>
              </w:rPr>
            </w:pPr>
            <w:r w:rsidRPr="008F2B51">
              <w:rPr>
                <w:b/>
                <w:bCs/>
                <w:lang w:val="da-DK"/>
              </w:rPr>
              <w:t xml:space="preserve">§ </w:t>
            </w:r>
            <w:r>
              <w:rPr>
                <w:b/>
                <w:bCs/>
                <w:lang w:val="da-DK"/>
              </w:rPr>
              <w:t>4</w:t>
            </w:r>
          </w:p>
          <w:p w:rsidR="00846877" w:rsidRPr="008F2B51" w:rsidRDefault="00846877" w:rsidP="00846877">
            <w:pPr>
              <w:tabs>
                <w:tab w:val="left" w:pos="360"/>
              </w:tabs>
              <w:spacing w:line="288" w:lineRule="auto"/>
              <w:rPr>
                <w:iCs/>
                <w:lang w:val="da-DK"/>
              </w:rPr>
            </w:pPr>
            <w:r w:rsidRPr="008F2B51">
              <w:rPr>
                <w:iCs/>
                <w:lang w:val="da-DK"/>
              </w:rPr>
              <w:tab/>
            </w:r>
          </w:p>
          <w:p w:rsidR="00846877" w:rsidRPr="008F2B51" w:rsidRDefault="00846877" w:rsidP="00846877">
            <w:pPr>
              <w:spacing w:line="288" w:lineRule="auto"/>
              <w:jc w:val="both"/>
              <w:rPr>
                <w:lang w:val="da-DK"/>
              </w:rPr>
            </w:pPr>
            <w:r w:rsidRPr="008F2B51">
              <w:rPr>
                <w:lang w:val="da-DK"/>
              </w:rPr>
              <w:t>I skatteforvaltningsloven, jf. lovbekendtgørelse nr. 175 af 23. februar 2011, som ændret senest ved § 1 i lov nr. 649 af 12. juni 2013, foretages følgende ændring:</w:t>
            </w:r>
          </w:p>
          <w:p w:rsidR="00846877" w:rsidRPr="008F2B51" w:rsidRDefault="00846877" w:rsidP="00846877">
            <w:pPr>
              <w:spacing w:line="288" w:lineRule="auto"/>
              <w:jc w:val="both"/>
              <w:rPr>
                <w:lang w:val="da-DK"/>
              </w:rPr>
            </w:pPr>
          </w:p>
          <w:p w:rsidR="004109D4" w:rsidRDefault="00846877" w:rsidP="00846877">
            <w:pPr>
              <w:tabs>
                <w:tab w:val="left" w:pos="0"/>
                <w:tab w:val="left" w:pos="900"/>
              </w:tabs>
              <w:spacing w:line="288" w:lineRule="auto"/>
              <w:jc w:val="both"/>
              <w:rPr>
                <w:color w:val="000000"/>
                <w:lang w:val="da-DK"/>
              </w:rPr>
            </w:pPr>
            <w:r w:rsidRPr="008F2B51">
              <w:rPr>
                <w:b/>
                <w:lang w:val="da-DK"/>
              </w:rPr>
              <w:t xml:space="preserve">1. </w:t>
            </w:r>
            <w:r w:rsidRPr="008F2B51">
              <w:rPr>
                <w:lang w:val="da-DK"/>
              </w:rPr>
              <w:t xml:space="preserve">I </w:t>
            </w:r>
            <w:r w:rsidRPr="008F2B51">
              <w:rPr>
                <w:i/>
                <w:lang w:val="da-DK"/>
              </w:rPr>
              <w:t xml:space="preserve">§ 26, stk. 4, 2. pkt., </w:t>
            </w:r>
            <w:r w:rsidRPr="008F2B51">
              <w:rPr>
                <w:lang w:val="da-DK"/>
              </w:rPr>
              <w:t>ændres ”selskabsskatt</w:t>
            </w:r>
            <w:r w:rsidRPr="008F2B51">
              <w:rPr>
                <w:lang w:val="da-DK"/>
              </w:rPr>
              <w:t>e</w:t>
            </w:r>
            <w:r w:rsidRPr="008F2B51">
              <w:rPr>
                <w:lang w:val="da-DK"/>
              </w:rPr>
              <w:t>lovens § 13, stk. 3-9” t</w:t>
            </w:r>
            <w:r>
              <w:rPr>
                <w:lang w:val="da-DK"/>
              </w:rPr>
              <w:t xml:space="preserve">il: ”selskabsskattelovens § 13, </w:t>
            </w:r>
            <w:r w:rsidRPr="008F2B51">
              <w:rPr>
                <w:lang w:val="da-DK"/>
              </w:rPr>
              <w:t>stk. 4-10”.</w:t>
            </w:r>
          </w:p>
        </w:tc>
      </w:tr>
    </w:tbl>
    <w:p w:rsidR="004109D4" w:rsidRDefault="004109D4" w:rsidP="004109D4">
      <w:pPr>
        <w:tabs>
          <w:tab w:val="left" w:pos="0"/>
          <w:tab w:val="left" w:pos="900"/>
        </w:tabs>
        <w:spacing w:line="288" w:lineRule="auto"/>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73D00">
      <w:pPr>
        <w:tabs>
          <w:tab w:val="left" w:pos="0"/>
          <w:tab w:val="left" w:pos="900"/>
        </w:tabs>
        <w:spacing w:line="288" w:lineRule="auto"/>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73D00" w:rsidRDefault="00373D00" w:rsidP="0036355D">
      <w:pPr>
        <w:tabs>
          <w:tab w:val="left" w:pos="0"/>
          <w:tab w:val="left" w:pos="900"/>
        </w:tabs>
        <w:spacing w:line="288" w:lineRule="auto"/>
        <w:jc w:val="right"/>
        <w:rPr>
          <w:color w:val="000000"/>
          <w:lang w:val="da-DK"/>
        </w:rPr>
      </w:pPr>
    </w:p>
    <w:p w:rsidR="0036355D" w:rsidRPr="009F1907" w:rsidRDefault="0036355D" w:rsidP="0036355D">
      <w:pPr>
        <w:tabs>
          <w:tab w:val="left" w:pos="0"/>
          <w:tab w:val="left" w:pos="900"/>
        </w:tabs>
        <w:spacing w:line="288" w:lineRule="auto"/>
        <w:jc w:val="right"/>
        <w:rPr>
          <w:b/>
          <w:bCs/>
          <w:color w:val="000000"/>
          <w:lang w:val="da-DK"/>
        </w:rPr>
      </w:pPr>
      <w:r w:rsidRPr="009F1907">
        <w:rPr>
          <w:color w:val="000000"/>
          <w:lang w:val="da-DK"/>
        </w:rPr>
        <w:tab/>
      </w:r>
      <w:r w:rsidRPr="009F1907">
        <w:rPr>
          <w:color w:val="000000"/>
          <w:lang w:val="da-DK"/>
        </w:rPr>
        <w:tab/>
      </w:r>
      <w:r w:rsidRPr="009F1907">
        <w:rPr>
          <w:color w:val="000000"/>
          <w:lang w:val="da-DK"/>
        </w:rPr>
        <w:tab/>
      </w:r>
      <w:r w:rsidRPr="009F1907">
        <w:rPr>
          <w:color w:val="000000"/>
          <w:lang w:val="da-DK"/>
        </w:rPr>
        <w:tab/>
      </w:r>
    </w:p>
    <w:sectPr w:rsidR="0036355D" w:rsidRPr="009F1907" w:rsidSect="00621B84">
      <w:headerReference w:type="default" r:id="rId8"/>
      <w:pgSz w:w="11906" w:h="16838"/>
      <w:pgMar w:top="1701" w:right="1134" w:bottom="1701"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445D" w:rsidRDefault="008C445D" w:rsidP="00CD6DE5">
      <w:r>
        <w:separator/>
      </w:r>
    </w:p>
  </w:endnote>
  <w:endnote w:type="continuationSeparator" w:id="0">
    <w:p w:rsidR="008C445D" w:rsidRDefault="008C445D" w:rsidP="00CD6D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445D" w:rsidRDefault="008C445D" w:rsidP="00CD6DE5">
      <w:r>
        <w:separator/>
      </w:r>
    </w:p>
  </w:footnote>
  <w:footnote w:type="continuationSeparator" w:id="0">
    <w:p w:rsidR="008C445D" w:rsidRDefault="008C445D" w:rsidP="00CD6D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45D" w:rsidRDefault="008C445D">
    <w:pPr>
      <w:pStyle w:val="Sidehoved"/>
      <w:jc w:val="center"/>
    </w:pPr>
    <w:r>
      <w:fldChar w:fldCharType="begin"/>
    </w:r>
    <w:r>
      <w:instrText>PAGE   \* MERGEFORMAT</w:instrText>
    </w:r>
    <w:r>
      <w:fldChar w:fldCharType="separate"/>
    </w:r>
    <w:r w:rsidR="00F309C6" w:rsidRPr="00F309C6">
      <w:rPr>
        <w:noProof/>
        <w:lang w:val="da-DK"/>
      </w:rPr>
      <w:t>11</w:t>
    </w:r>
    <w:r>
      <w:fldChar w:fldCharType="end"/>
    </w:r>
  </w:p>
  <w:p w:rsidR="008C445D" w:rsidRDefault="008C445D">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autoHyphenation/>
  <w:hyphenationZone w:val="425"/>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E84"/>
    <w:rsid w:val="00002536"/>
    <w:rsid w:val="000268DF"/>
    <w:rsid w:val="00071C89"/>
    <w:rsid w:val="000B0F04"/>
    <w:rsid w:val="000C14B3"/>
    <w:rsid w:val="000D47F7"/>
    <w:rsid w:val="000E3C9A"/>
    <w:rsid w:val="000F37FB"/>
    <w:rsid w:val="001113B2"/>
    <w:rsid w:val="001128BE"/>
    <w:rsid w:val="001169AC"/>
    <w:rsid w:val="00132EAD"/>
    <w:rsid w:val="00136602"/>
    <w:rsid w:val="00155992"/>
    <w:rsid w:val="00180A15"/>
    <w:rsid w:val="001948BE"/>
    <w:rsid w:val="001A1E72"/>
    <w:rsid w:val="001A2DAA"/>
    <w:rsid w:val="001C5AB2"/>
    <w:rsid w:val="001D31C2"/>
    <w:rsid w:val="001E482D"/>
    <w:rsid w:val="001E4866"/>
    <w:rsid w:val="00215FA8"/>
    <w:rsid w:val="00256B71"/>
    <w:rsid w:val="00276BEC"/>
    <w:rsid w:val="00285614"/>
    <w:rsid w:val="002A64E2"/>
    <w:rsid w:val="002B07E1"/>
    <w:rsid w:val="002B1EA9"/>
    <w:rsid w:val="002B24BF"/>
    <w:rsid w:val="002C1DB3"/>
    <w:rsid w:val="002C2138"/>
    <w:rsid w:val="002D1237"/>
    <w:rsid w:val="002E7500"/>
    <w:rsid w:val="00345BD5"/>
    <w:rsid w:val="00354FCF"/>
    <w:rsid w:val="0036355D"/>
    <w:rsid w:val="00367779"/>
    <w:rsid w:val="00372151"/>
    <w:rsid w:val="00373D00"/>
    <w:rsid w:val="003760DC"/>
    <w:rsid w:val="003866B9"/>
    <w:rsid w:val="003B7FDB"/>
    <w:rsid w:val="003C2D99"/>
    <w:rsid w:val="003C6097"/>
    <w:rsid w:val="003C75F6"/>
    <w:rsid w:val="003F2684"/>
    <w:rsid w:val="004061F4"/>
    <w:rsid w:val="004109D4"/>
    <w:rsid w:val="00421554"/>
    <w:rsid w:val="004222F5"/>
    <w:rsid w:val="004424F8"/>
    <w:rsid w:val="004477F5"/>
    <w:rsid w:val="00486E4B"/>
    <w:rsid w:val="004A1454"/>
    <w:rsid w:val="004D0629"/>
    <w:rsid w:val="004D2147"/>
    <w:rsid w:val="004E4672"/>
    <w:rsid w:val="004E5C3C"/>
    <w:rsid w:val="0050110D"/>
    <w:rsid w:val="00503B02"/>
    <w:rsid w:val="00512DF2"/>
    <w:rsid w:val="00514631"/>
    <w:rsid w:val="00515C4D"/>
    <w:rsid w:val="00557D32"/>
    <w:rsid w:val="00576E93"/>
    <w:rsid w:val="0058373D"/>
    <w:rsid w:val="00591D84"/>
    <w:rsid w:val="005A5E17"/>
    <w:rsid w:val="005E16E3"/>
    <w:rsid w:val="005E6B2D"/>
    <w:rsid w:val="005F7A13"/>
    <w:rsid w:val="006002BB"/>
    <w:rsid w:val="00601778"/>
    <w:rsid w:val="00604DF1"/>
    <w:rsid w:val="00607980"/>
    <w:rsid w:val="00621B84"/>
    <w:rsid w:val="00633828"/>
    <w:rsid w:val="00641A90"/>
    <w:rsid w:val="0068755D"/>
    <w:rsid w:val="00693AF7"/>
    <w:rsid w:val="006A027B"/>
    <w:rsid w:val="006A1428"/>
    <w:rsid w:val="006A722A"/>
    <w:rsid w:val="006B24C6"/>
    <w:rsid w:val="006B31AB"/>
    <w:rsid w:val="006B5BDF"/>
    <w:rsid w:val="006B7DC6"/>
    <w:rsid w:val="006C4DE2"/>
    <w:rsid w:val="006D285F"/>
    <w:rsid w:val="006F03B1"/>
    <w:rsid w:val="006F303C"/>
    <w:rsid w:val="006F7FE6"/>
    <w:rsid w:val="0071267B"/>
    <w:rsid w:val="00713D6B"/>
    <w:rsid w:val="00722194"/>
    <w:rsid w:val="00732A9D"/>
    <w:rsid w:val="00772093"/>
    <w:rsid w:val="00773A07"/>
    <w:rsid w:val="00780CB7"/>
    <w:rsid w:val="007C348F"/>
    <w:rsid w:val="007E510D"/>
    <w:rsid w:val="007E5FC2"/>
    <w:rsid w:val="007F6CBE"/>
    <w:rsid w:val="008120F3"/>
    <w:rsid w:val="00815826"/>
    <w:rsid w:val="00831870"/>
    <w:rsid w:val="00846877"/>
    <w:rsid w:val="008471E9"/>
    <w:rsid w:val="0085319D"/>
    <w:rsid w:val="00861A3F"/>
    <w:rsid w:val="00864113"/>
    <w:rsid w:val="008944F4"/>
    <w:rsid w:val="008A3092"/>
    <w:rsid w:val="008C445D"/>
    <w:rsid w:val="008C4F30"/>
    <w:rsid w:val="008F21D6"/>
    <w:rsid w:val="008F2B51"/>
    <w:rsid w:val="008F5099"/>
    <w:rsid w:val="00901793"/>
    <w:rsid w:val="0091309C"/>
    <w:rsid w:val="009134E5"/>
    <w:rsid w:val="00925984"/>
    <w:rsid w:val="00930E84"/>
    <w:rsid w:val="0093469A"/>
    <w:rsid w:val="00940037"/>
    <w:rsid w:val="0094704A"/>
    <w:rsid w:val="00952D31"/>
    <w:rsid w:val="00965223"/>
    <w:rsid w:val="00980AD4"/>
    <w:rsid w:val="00983DAB"/>
    <w:rsid w:val="0099267F"/>
    <w:rsid w:val="00992EA8"/>
    <w:rsid w:val="009B01AB"/>
    <w:rsid w:val="009B640C"/>
    <w:rsid w:val="009F0B71"/>
    <w:rsid w:val="00A25859"/>
    <w:rsid w:val="00A3710A"/>
    <w:rsid w:val="00A37B31"/>
    <w:rsid w:val="00A47C3C"/>
    <w:rsid w:val="00A51395"/>
    <w:rsid w:val="00A85EE4"/>
    <w:rsid w:val="00AA0F2C"/>
    <w:rsid w:val="00AC53A8"/>
    <w:rsid w:val="00AD1F15"/>
    <w:rsid w:val="00AD6758"/>
    <w:rsid w:val="00AD75C5"/>
    <w:rsid w:val="00AF44CA"/>
    <w:rsid w:val="00AF4F03"/>
    <w:rsid w:val="00B00099"/>
    <w:rsid w:val="00B170A8"/>
    <w:rsid w:val="00B2199C"/>
    <w:rsid w:val="00B27CF2"/>
    <w:rsid w:val="00B46140"/>
    <w:rsid w:val="00B46523"/>
    <w:rsid w:val="00B479E4"/>
    <w:rsid w:val="00B506CF"/>
    <w:rsid w:val="00B53EEF"/>
    <w:rsid w:val="00B552AD"/>
    <w:rsid w:val="00B602F8"/>
    <w:rsid w:val="00B663A2"/>
    <w:rsid w:val="00B666D5"/>
    <w:rsid w:val="00B76953"/>
    <w:rsid w:val="00B8559E"/>
    <w:rsid w:val="00B97A8D"/>
    <w:rsid w:val="00BA2EDF"/>
    <w:rsid w:val="00BA4560"/>
    <w:rsid w:val="00BC61DF"/>
    <w:rsid w:val="00BE1A10"/>
    <w:rsid w:val="00BF006F"/>
    <w:rsid w:val="00BF6820"/>
    <w:rsid w:val="00BF7700"/>
    <w:rsid w:val="00C12558"/>
    <w:rsid w:val="00C32EAA"/>
    <w:rsid w:val="00C6155C"/>
    <w:rsid w:val="00C75C60"/>
    <w:rsid w:val="00CA39EC"/>
    <w:rsid w:val="00CA438E"/>
    <w:rsid w:val="00CC11AE"/>
    <w:rsid w:val="00CC1234"/>
    <w:rsid w:val="00CD6DE5"/>
    <w:rsid w:val="00CE0FF3"/>
    <w:rsid w:val="00CE31F8"/>
    <w:rsid w:val="00CE5E07"/>
    <w:rsid w:val="00CF0A85"/>
    <w:rsid w:val="00CF51C6"/>
    <w:rsid w:val="00CF7A0C"/>
    <w:rsid w:val="00D0289E"/>
    <w:rsid w:val="00D257CF"/>
    <w:rsid w:val="00D55264"/>
    <w:rsid w:val="00D6204C"/>
    <w:rsid w:val="00D63A44"/>
    <w:rsid w:val="00D7712A"/>
    <w:rsid w:val="00D81BCB"/>
    <w:rsid w:val="00D81D6B"/>
    <w:rsid w:val="00D941FC"/>
    <w:rsid w:val="00D94545"/>
    <w:rsid w:val="00DA2A11"/>
    <w:rsid w:val="00DA2B86"/>
    <w:rsid w:val="00DA6219"/>
    <w:rsid w:val="00DD263B"/>
    <w:rsid w:val="00DD6BB4"/>
    <w:rsid w:val="00DD6E9F"/>
    <w:rsid w:val="00DD776D"/>
    <w:rsid w:val="00DE30E0"/>
    <w:rsid w:val="00E02996"/>
    <w:rsid w:val="00E15E7E"/>
    <w:rsid w:val="00E2064C"/>
    <w:rsid w:val="00E260F0"/>
    <w:rsid w:val="00E30C98"/>
    <w:rsid w:val="00E337E7"/>
    <w:rsid w:val="00E404AC"/>
    <w:rsid w:val="00E447CA"/>
    <w:rsid w:val="00E64731"/>
    <w:rsid w:val="00E649D3"/>
    <w:rsid w:val="00EA1B0A"/>
    <w:rsid w:val="00ED5993"/>
    <w:rsid w:val="00EE3051"/>
    <w:rsid w:val="00EF78DF"/>
    <w:rsid w:val="00F00B09"/>
    <w:rsid w:val="00F01F42"/>
    <w:rsid w:val="00F14F2D"/>
    <w:rsid w:val="00F165A3"/>
    <w:rsid w:val="00F16EAC"/>
    <w:rsid w:val="00F24413"/>
    <w:rsid w:val="00F309C6"/>
    <w:rsid w:val="00F567C4"/>
    <w:rsid w:val="00F815C6"/>
    <w:rsid w:val="00F827AF"/>
    <w:rsid w:val="00FA596F"/>
    <w:rsid w:val="00FB180D"/>
    <w:rsid w:val="00FC4C55"/>
    <w:rsid w:val="00FD700F"/>
    <w:rsid w:val="00FE3914"/>
    <w:rsid w:val="00FE40BF"/>
    <w:rsid w:val="00FE7D55"/>
    <w:rsid w:val="00FF420B"/>
    <w:rsid w:val="00FF7A88"/>
  </w:rsids>
  <m:mathPr>
    <m:mathFont m:val="Cambria Math"/>
    <m:brkBin m:val="before"/>
    <m:brkBinSub m:val="--"/>
    <m:smallFrac m:val="0"/>
    <m:dispDef/>
    <m:lMargin m:val="0"/>
    <m:rMargin m:val="0"/>
    <m:defJc m:val="centerGroup"/>
    <m:wrapIndent m:val="1440"/>
    <m:intLim m:val="subSup"/>
    <m:naryLim m:val="undOvr"/>
  </m:mathPr>
  <w:themeFontLang w:val="da-DK"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paragraph" w:styleId="Overskrift2">
    <w:name w:val="heading 2"/>
    <w:basedOn w:val="Normal"/>
    <w:next w:val="Normal"/>
    <w:link w:val="Overskrift2Tegn"/>
    <w:semiHidden/>
    <w:unhideWhenUsed/>
    <w:qFormat/>
    <w:rsid w:val="000268DF"/>
    <w:pPr>
      <w:keepNext/>
      <w:tabs>
        <w:tab w:val="left" w:pos="-850"/>
        <w:tab w:val="left" w:pos="0"/>
        <w:tab w:val="left" w:pos="850"/>
        <w:tab w:val="left" w:pos="1701"/>
        <w:tab w:val="left" w:pos="2552"/>
        <w:tab w:val="left" w:pos="3403"/>
        <w:tab w:val="left" w:pos="4254"/>
        <w:tab w:val="left" w:pos="5104"/>
        <w:tab w:val="left" w:pos="5955"/>
        <w:tab w:val="left" w:pos="6806"/>
        <w:tab w:val="left" w:pos="7657"/>
        <w:tab w:val="left" w:pos="8508"/>
        <w:tab w:val="left" w:pos="9358"/>
        <w:tab w:val="left" w:pos="10209"/>
        <w:tab w:val="left" w:pos="11060"/>
        <w:tab w:val="left" w:pos="11911"/>
        <w:tab w:val="left" w:pos="12762"/>
        <w:tab w:val="left" w:pos="13612"/>
        <w:tab w:val="left" w:pos="14463"/>
      </w:tabs>
      <w:spacing w:line="287" w:lineRule="atLeast"/>
      <w:jc w:val="both"/>
      <w:outlineLvl w:val="1"/>
    </w:pPr>
    <w:rPr>
      <w:rFonts w:ascii="Arial" w:eastAsia="Arial Unicode MS" w:hAnsi="Arial" w:cs="Arial"/>
      <w:sz w:val="30"/>
      <w:lang w:val="da-DK"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2Tegn">
    <w:name w:val="Overskrift 2 Tegn"/>
    <w:link w:val="Overskrift2"/>
    <w:semiHidden/>
    <w:rsid w:val="000268DF"/>
    <w:rPr>
      <w:rFonts w:ascii="Arial" w:eastAsia="Arial Unicode MS" w:hAnsi="Arial" w:cs="Arial"/>
      <w:sz w:val="30"/>
      <w:szCs w:val="24"/>
    </w:rPr>
  </w:style>
  <w:style w:type="character" w:styleId="Hyperlink">
    <w:name w:val="Hyperlink"/>
    <w:semiHidden/>
    <w:unhideWhenUsed/>
    <w:rsid w:val="000268DF"/>
    <w:rPr>
      <w:color w:val="0000FF"/>
      <w:u w:val="single"/>
    </w:rPr>
  </w:style>
  <w:style w:type="paragraph" w:styleId="Fodnotetekst">
    <w:name w:val="footnote text"/>
    <w:basedOn w:val="Normal"/>
    <w:link w:val="FodnotetekstTegn"/>
    <w:unhideWhenUsed/>
    <w:rsid w:val="000268DF"/>
    <w:pPr>
      <w:widowControl w:val="0"/>
      <w:autoSpaceDE w:val="0"/>
      <w:autoSpaceDN w:val="0"/>
      <w:adjustRightInd w:val="0"/>
    </w:pPr>
    <w:rPr>
      <w:sz w:val="20"/>
      <w:szCs w:val="20"/>
      <w:lang w:val="da-DK" w:eastAsia="da-DK"/>
    </w:rPr>
  </w:style>
  <w:style w:type="character" w:customStyle="1" w:styleId="FodnotetekstTegn">
    <w:name w:val="Fodnotetekst Tegn"/>
    <w:basedOn w:val="Standardskrifttypeiafsnit"/>
    <w:link w:val="Fodnotetekst"/>
    <w:rsid w:val="000268DF"/>
  </w:style>
  <w:style w:type="paragraph" w:styleId="Sidefod">
    <w:name w:val="footer"/>
    <w:basedOn w:val="Normal"/>
    <w:link w:val="SidefodTegn"/>
    <w:unhideWhenUsed/>
    <w:rsid w:val="000268DF"/>
    <w:pPr>
      <w:widowControl w:val="0"/>
      <w:tabs>
        <w:tab w:val="center" w:pos="4819"/>
        <w:tab w:val="right" w:pos="9638"/>
      </w:tabs>
      <w:autoSpaceDE w:val="0"/>
      <w:autoSpaceDN w:val="0"/>
      <w:adjustRightInd w:val="0"/>
    </w:pPr>
    <w:rPr>
      <w:sz w:val="20"/>
      <w:lang w:val="da-DK" w:eastAsia="da-DK"/>
    </w:rPr>
  </w:style>
  <w:style w:type="character" w:customStyle="1" w:styleId="SidefodTegn">
    <w:name w:val="Sidefod Tegn"/>
    <w:link w:val="Sidefod"/>
    <w:rsid w:val="000268DF"/>
    <w:rPr>
      <w:szCs w:val="24"/>
    </w:rPr>
  </w:style>
  <w:style w:type="character" w:styleId="Fodnotehenvisning">
    <w:name w:val="footnote reference"/>
    <w:semiHidden/>
    <w:unhideWhenUsed/>
    <w:rsid w:val="000268DF"/>
  </w:style>
  <w:style w:type="paragraph" w:styleId="Markeringsbobletekst">
    <w:name w:val="Balloon Text"/>
    <w:basedOn w:val="Normal"/>
    <w:link w:val="MarkeringsbobletekstTegn"/>
    <w:uiPriority w:val="99"/>
    <w:semiHidden/>
    <w:unhideWhenUsed/>
    <w:rsid w:val="00DE30E0"/>
    <w:rPr>
      <w:rFonts w:ascii="Tahoma" w:hAnsi="Tahoma" w:cs="Tahoma"/>
      <w:sz w:val="16"/>
      <w:szCs w:val="16"/>
    </w:rPr>
  </w:style>
  <w:style w:type="character" w:customStyle="1" w:styleId="MarkeringsbobletekstTegn">
    <w:name w:val="Markeringsbobletekst Tegn"/>
    <w:link w:val="Markeringsbobletekst"/>
    <w:uiPriority w:val="99"/>
    <w:semiHidden/>
    <w:rsid w:val="00DE30E0"/>
    <w:rPr>
      <w:rFonts w:ascii="Tahoma" w:hAnsi="Tahoma" w:cs="Tahoma"/>
      <w:sz w:val="16"/>
      <w:szCs w:val="16"/>
      <w:lang w:val="en-GB" w:eastAsia="en-US"/>
    </w:rPr>
  </w:style>
  <w:style w:type="paragraph" w:styleId="Sidehoved">
    <w:name w:val="header"/>
    <w:basedOn w:val="Normal"/>
    <w:link w:val="SidehovedTegn"/>
    <w:uiPriority w:val="99"/>
    <w:unhideWhenUsed/>
    <w:rsid w:val="00F165A3"/>
    <w:pPr>
      <w:tabs>
        <w:tab w:val="center" w:pos="4819"/>
        <w:tab w:val="right" w:pos="9638"/>
      </w:tabs>
    </w:pPr>
  </w:style>
  <w:style w:type="character" w:customStyle="1" w:styleId="SidehovedTegn">
    <w:name w:val="Sidehoved Tegn"/>
    <w:link w:val="Sidehoved"/>
    <w:uiPriority w:val="99"/>
    <w:rsid w:val="00F165A3"/>
    <w:rPr>
      <w:sz w:val="24"/>
      <w:szCs w:val="24"/>
      <w:lang w:val="en-GB" w:eastAsia="en-US"/>
    </w:rPr>
  </w:style>
  <w:style w:type="paragraph" w:customStyle="1" w:styleId="Modtageradresseibrevhoved">
    <w:name w:val="Modtageradresse i brevhoved"/>
    <w:basedOn w:val="Brdtekst"/>
    <w:rsid w:val="00CC11AE"/>
    <w:pPr>
      <w:spacing w:after="0" w:line="240" w:lineRule="atLeast"/>
    </w:pPr>
    <w:rPr>
      <w:rFonts w:ascii="Garamond" w:hAnsi="Garamond"/>
      <w:kern w:val="18"/>
      <w:sz w:val="20"/>
      <w:szCs w:val="20"/>
      <w:lang w:val="da-DK" w:eastAsia="da-DK"/>
    </w:rPr>
  </w:style>
  <w:style w:type="paragraph" w:styleId="Brdtekst">
    <w:name w:val="Body Text"/>
    <w:basedOn w:val="Normal"/>
    <w:link w:val="BrdtekstTegn"/>
    <w:uiPriority w:val="99"/>
    <w:semiHidden/>
    <w:unhideWhenUsed/>
    <w:rsid w:val="00CC11AE"/>
    <w:pPr>
      <w:spacing w:after="120"/>
    </w:pPr>
  </w:style>
  <w:style w:type="character" w:customStyle="1" w:styleId="BrdtekstTegn">
    <w:name w:val="Brødtekst Tegn"/>
    <w:link w:val="Brdtekst"/>
    <w:uiPriority w:val="99"/>
    <w:semiHidden/>
    <w:rsid w:val="00CC11AE"/>
    <w:rPr>
      <w:sz w:val="24"/>
      <w:szCs w:val="24"/>
      <w:lang w:val="en-GB" w:eastAsia="en-US"/>
    </w:rPr>
  </w:style>
  <w:style w:type="paragraph" w:customStyle="1" w:styleId="Default">
    <w:name w:val="Default"/>
    <w:rsid w:val="00E649D3"/>
    <w:pPr>
      <w:autoSpaceDE w:val="0"/>
      <w:autoSpaceDN w:val="0"/>
      <w:adjustRightInd w:val="0"/>
    </w:pPr>
    <w:rPr>
      <w:color w:val="000000"/>
      <w:sz w:val="24"/>
      <w:szCs w:val="24"/>
    </w:rPr>
  </w:style>
  <w:style w:type="table" w:styleId="Tabel-Gitter">
    <w:name w:val="Table Grid"/>
    <w:basedOn w:val="Tabel-Normal"/>
    <w:uiPriority w:val="59"/>
    <w:rsid w:val="004109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a-DK" w:eastAsia="da-D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71599">
      <w:bodyDiv w:val="1"/>
      <w:marLeft w:val="0"/>
      <w:marRight w:val="0"/>
      <w:marTop w:val="0"/>
      <w:marBottom w:val="0"/>
      <w:divBdr>
        <w:top w:val="none" w:sz="0" w:space="0" w:color="auto"/>
        <w:left w:val="none" w:sz="0" w:space="0" w:color="auto"/>
        <w:bottom w:val="none" w:sz="0" w:space="0" w:color="auto"/>
        <w:right w:val="none" w:sz="0" w:space="0" w:color="auto"/>
      </w:divBdr>
    </w:div>
    <w:div w:id="614293093">
      <w:bodyDiv w:val="1"/>
      <w:marLeft w:val="0"/>
      <w:marRight w:val="0"/>
      <w:marTop w:val="0"/>
      <w:marBottom w:val="0"/>
      <w:divBdr>
        <w:top w:val="none" w:sz="0" w:space="0" w:color="auto"/>
        <w:left w:val="none" w:sz="0" w:space="0" w:color="auto"/>
        <w:bottom w:val="none" w:sz="0" w:space="0" w:color="auto"/>
        <w:right w:val="none" w:sz="0" w:space="0" w:color="auto"/>
      </w:divBdr>
    </w:div>
    <w:div w:id="681706259">
      <w:bodyDiv w:val="1"/>
      <w:marLeft w:val="0"/>
      <w:marRight w:val="0"/>
      <w:marTop w:val="0"/>
      <w:marBottom w:val="0"/>
      <w:divBdr>
        <w:top w:val="none" w:sz="0" w:space="0" w:color="auto"/>
        <w:left w:val="none" w:sz="0" w:space="0" w:color="auto"/>
        <w:bottom w:val="none" w:sz="0" w:space="0" w:color="auto"/>
        <w:right w:val="none" w:sz="0" w:space="0" w:color="auto"/>
      </w:divBdr>
    </w:div>
    <w:div w:id="703792500">
      <w:bodyDiv w:val="1"/>
      <w:marLeft w:val="45"/>
      <w:marRight w:val="45"/>
      <w:marTop w:val="0"/>
      <w:marBottom w:val="0"/>
      <w:divBdr>
        <w:top w:val="none" w:sz="0" w:space="0" w:color="auto"/>
        <w:left w:val="none" w:sz="0" w:space="0" w:color="auto"/>
        <w:bottom w:val="none" w:sz="0" w:space="0" w:color="auto"/>
        <w:right w:val="none" w:sz="0" w:space="0" w:color="auto"/>
      </w:divBdr>
    </w:div>
    <w:div w:id="1427113897">
      <w:bodyDiv w:val="1"/>
      <w:marLeft w:val="0"/>
      <w:marRight w:val="0"/>
      <w:marTop w:val="0"/>
      <w:marBottom w:val="0"/>
      <w:divBdr>
        <w:top w:val="none" w:sz="0" w:space="0" w:color="auto"/>
        <w:left w:val="none" w:sz="0" w:space="0" w:color="auto"/>
        <w:bottom w:val="none" w:sz="0" w:space="0" w:color="auto"/>
        <w:right w:val="none" w:sz="0" w:space="0" w:color="auto"/>
      </w:divBdr>
    </w:div>
    <w:div w:id="1500610104">
      <w:bodyDiv w:val="1"/>
      <w:marLeft w:val="0"/>
      <w:marRight w:val="0"/>
      <w:marTop w:val="0"/>
      <w:marBottom w:val="0"/>
      <w:divBdr>
        <w:top w:val="none" w:sz="0" w:space="0" w:color="auto"/>
        <w:left w:val="none" w:sz="0" w:space="0" w:color="auto"/>
        <w:bottom w:val="none" w:sz="0" w:space="0" w:color="auto"/>
        <w:right w:val="none" w:sz="0" w:space="0" w:color="auto"/>
      </w:divBdr>
    </w:div>
    <w:div w:id="1842501355">
      <w:bodyDiv w:val="1"/>
      <w:marLeft w:val="0"/>
      <w:marRight w:val="0"/>
      <w:marTop w:val="0"/>
      <w:marBottom w:val="0"/>
      <w:divBdr>
        <w:top w:val="none" w:sz="0" w:space="0" w:color="auto"/>
        <w:left w:val="none" w:sz="0" w:space="0" w:color="auto"/>
        <w:bottom w:val="none" w:sz="0" w:space="0" w:color="auto"/>
        <w:right w:val="none" w:sz="0" w:space="0" w:color="auto"/>
      </w:divBdr>
    </w:div>
    <w:div w:id="213412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C8DA6-E1EE-41BF-9248-96EB96943B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18</Pages>
  <Words>4952</Words>
  <Characters>28543</Characters>
  <Application>Microsoft Office Word</Application>
  <DocSecurity>0</DocSecurity>
  <Lines>237</Lines>
  <Paragraphs>66</Paragraphs>
  <ScaleCrop>false</ScaleCrop>
  <HeadingPairs>
    <vt:vector size="2" baseType="variant">
      <vt:variant>
        <vt:lpstr>Titel</vt:lpstr>
      </vt:variant>
      <vt:variant>
        <vt:i4>1</vt:i4>
      </vt:variant>
    </vt:vector>
  </HeadingPairs>
  <TitlesOfParts>
    <vt:vector size="1" baseType="lpstr">
      <vt:lpstr/>
    </vt:vector>
  </TitlesOfParts>
  <Company>Skatteministeriet</Company>
  <LinksUpToDate>false</LinksUpToDate>
  <CharactersWithSpaces>33429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Jakob Ulrik Wassard Schou</cp:lastModifiedBy>
  <cp:revision>35</cp:revision>
  <cp:lastPrinted>2014-08-22T12:07:00Z</cp:lastPrinted>
  <dcterms:created xsi:type="dcterms:W3CDTF">2014-08-12T10:14:00Z</dcterms:created>
  <dcterms:modified xsi:type="dcterms:W3CDTF">2014-09-03T07:07:00Z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ath">
    <vt:lpwstr>C:\Users\w11527\AppData\Local\Temp\Scanjour\Captia\SJ20140903070619412 [DOK57111606].DOCX</vt:lpwstr>
  </property>
  <property fmtid="{D5CDD505-2E9C-101B-9397-08002B2CF9AE}" pid="3" name="title">
    <vt:lpwstr>Lovforslag om lempelse af udbyttebeskatningen (DOK57111606)</vt:lpwstr>
  </property>
  <property fmtid="{D5CDD505-2E9C-101B-9397-08002B2CF9AE}" pid="4" name="command">
    <vt:lpwstr/>
  </property>
</Properties>
</file>