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7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44"/>
      </w:tblGrid>
      <w:tr w:rsidR="00D65E69" w:rsidRPr="00DF49D6" w14:paraId="4406C8ED" w14:textId="77777777" w:rsidTr="009E1D9E">
        <w:trPr>
          <w:cantSplit/>
          <w:trHeight w:val="3159"/>
        </w:trPr>
        <w:tc>
          <w:tcPr>
            <w:tcW w:w="7144" w:type="dxa"/>
          </w:tcPr>
          <w:p w14:paraId="2E578B52" w14:textId="77777777" w:rsidR="00D65E69" w:rsidRPr="00DF49D6" w:rsidRDefault="009A7DE3" w:rsidP="009E1D9E">
            <w:pPr>
              <w:rPr>
                <w:rFonts w:cs="Arial"/>
                <w:szCs w:val="22"/>
              </w:rPr>
            </w:pPr>
            <w:r>
              <w:t>Til høringsparterne</w:t>
            </w:r>
            <w:r w:rsidR="00D65E69" w:rsidRPr="00DF49D6">
              <w:rPr>
                <w:rFonts w:cs="Arial"/>
                <w:szCs w:val="22"/>
              </w:rPr>
              <w:t xml:space="preserve">  </w:t>
            </w:r>
          </w:p>
          <w:p w14:paraId="6F888567" w14:textId="77777777" w:rsidR="00D65E69" w:rsidRPr="00DF49D6" w:rsidRDefault="00D65E69" w:rsidP="009E1D9E">
            <w:pPr>
              <w:rPr>
                <w:rFonts w:cs="Arial"/>
                <w:szCs w:val="22"/>
              </w:rPr>
            </w:pPr>
            <w:r w:rsidRPr="00DF49D6">
              <w:rPr>
                <w:rFonts w:cs="Arial"/>
                <w:szCs w:val="22"/>
              </w:rPr>
              <w:t xml:space="preserve">  </w:t>
            </w:r>
          </w:p>
          <w:p w14:paraId="6372BE98" w14:textId="77777777" w:rsidR="0077532B" w:rsidRPr="00DF49D6" w:rsidRDefault="0077532B" w:rsidP="008D1674">
            <w:pPr>
              <w:tabs>
                <w:tab w:val="left" w:pos="6511"/>
              </w:tabs>
              <w:rPr>
                <w:rFonts w:cs="Arial"/>
                <w:szCs w:val="22"/>
              </w:rPr>
            </w:pPr>
          </w:p>
        </w:tc>
      </w:tr>
    </w:tbl>
    <w:p w14:paraId="535701AA" w14:textId="77777777" w:rsidR="00A85ECD" w:rsidRPr="00DF49D6" w:rsidRDefault="00DF49D6" w:rsidP="00944EE8">
      <w:pPr>
        <w:pStyle w:val="DocumentHeading"/>
      </w:pPr>
      <w:r>
        <w:t>Høring over udkast til forslag til lov om ændring af miljøbeskyttelsesloven og vandforsyningsloven (målrettet indsats for beskyttelse af boringsnære beskyttelsesområder</w:t>
      </w:r>
      <w:r w:rsidR="00E175FF">
        <w:t xml:space="preserve"> og præcisering af forholdet til 25 meters beskyttelseszonen omkring vandboringer</w:t>
      </w:r>
      <w:r>
        <w:t>)</w:t>
      </w:r>
    </w:p>
    <w:p w14:paraId="4BE7C13B" w14:textId="77777777" w:rsidR="004830C6" w:rsidRPr="00DF49D6" w:rsidRDefault="004830C6" w:rsidP="00FE7E77">
      <w:bookmarkStart w:id="0" w:name="_GoBack"/>
      <w:bookmarkEnd w:id="0"/>
    </w:p>
    <w:p w14:paraId="14ECD28C" w14:textId="3BBAEA5E" w:rsidR="00FE7E77" w:rsidRDefault="00DF49D6" w:rsidP="00FE7E77">
      <w:r>
        <w:t>Miljøministeriet sender hermed ovennævnte udkast til lovforslag i offentlig høring fra den</w:t>
      </w:r>
      <w:r w:rsidR="00D62ABB">
        <w:t xml:space="preserve"> </w:t>
      </w:r>
      <w:r w:rsidR="001F0AED">
        <w:t>20</w:t>
      </w:r>
      <w:r w:rsidR="00D62ABB">
        <w:t>. november 2023</w:t>
      </w:r>
      <w:r>
        <w:t xml:space="preserve"> til den </w:t>
      </w:r>
      <w:r w:rsidR="001F0AED">
        <w:t>18</w:t>
      </w:r>
      <w:r w:rsidR="00D62ABB">
        <w:t>. december 2023</w:t>
      </w:r>
      <w:r>
        <w:t xml:space="preserve"> via Høringsportalen</w:t>
      </w:r>
      <w:r w:rsidR="006A2BA8">
        <w:t>.</w:t>
      </w:r>
    </w:p>
    <w:p w14:paraId="69F3C39A" w14:textId="77777777" w:rsidR="00DF49D6" w:rsidRDefault="00DF49D6" w:rsidP="00FE7E77"/>
    <w:p w14:paraId="47A3CE86" w14:textId="43B8FF65" w:rsidR="00DF49D6" w:rsidRDefault="00DF49D6" w:rsidP="00FE7E77">
      <w:r>
        <w:t>Deru</w:t>
      </w:r>
      <w:r w:rsidR="00DA473F">
        <w:t xml:space="preserve">dover er link til Høringsportalen og </w:t>
      </w:r>
      <w:r w:rsidR="008A1F63">
        <w:t xml:space="preserve">høringsmaterialet </w:t>
      </w:r>
      <w:r w:rsidR="00DA473F">
        <w:t>sendt til de organisationer, myndigheder m.v., der er anført på vedlagte høringsliste.</w:t>
      </w:r>
    </w:p>
    <w:p w14:paraId="7236D3E0" w14:textId="77777777" w:rsidR="00DA473F" w:rsidRDefault="00DA473F" w:rsidP="00FE7E77"/>
    <w:p w14:paraId="3C6B397A" w14:textId="77777777" w:rsidR="00DA473F" w:rsidRDefault="00DA473F" w:rsidP="00FE7E77">
      <w:r>
        <w:t>Miljøministeriet gør opmærksom på, at der ved afgivelse af høringssvar samtykkes til offentliggørelse af høringssvaret, herunder afsenders navn og adresse. Kopi af høringssvar oversendes til Folketingets Miljø- og Fødevareudvalg.</w:t>
      </w:r>
    </w:p>
    <w:p w14:paraId="7888D5F5" w14:textId="77777777" w:rsidR="00DA473F" w:rsidRDefault="00DA473F" w:rsidP="00FE7E77"/>
    <w:p w14:paraId="348513A3" w14:textId="0CBDEBEC" w:rsidR="009A7DE3" w:rsidRDefault="009A7DE3" w:rsidP="00FE7E77">
      <w:r>
        <w:t>Der tages forbehold for lovtekniske ændringer af det vedlagte udkast til lovforslag</w:t>
      </w:r>
      <w:r w:rsidR="003F2F0F">
        <w:t>.</w:t>
      </w:r>
    </w:p>
    <w:p w14:paraId="6D10730E" w14:textId="2B1AD460" w:rsidR="006A2BA8" w:rsidRDefault="006A2BA8" w:rsidP="00FE7E77"/>
    <w:p w14:paraId="3F523D1E" w14:textId="48AA7344" w:rsidR="006A2BA8" w:rsidRDefault="006A2BA8" w:rsidP="00FE7E77">
      <w:r>
        <w:t xml:space="preserve">Miljøministeriet vil i øvrigt invitere interessenterne til et høringsmøde snarest muligt, hvor der vil </w:t>
      </w:r>
      <w:r w:rsidR="00465A64">
        <w:t>kunne blive stillet spørgsmål til lovforslaget. Information herom følger snarest muligt.</w:t>
      </w:r>
    </w:p>
    <w:p w14:paraId="704F22F6" w14:textId="77777777" w:rsidR="00DA473F" w:rsidRPr="00DF49D6" w:rsidRDefault="00DA473F" w:rsidP="00DA473F">
      <w:pPr>
        <w:pStyle w:val="Overskrift1"/>
      </w:pPr>
      <w:r>
        <w:t>Lovforslaget</w:t>
      </w:r>
    </w:p>
    <w:p w14:paraId="26FD33E6" w14:textId="77777777" w:rsidR="00DA473F" w:rsidRDefault="00DA473F" w:rsidP="00FE7E77">
      <w:pPr>
        <w:rPr>
          <w:szCs w:val="22"/>
        </w:rPr>
      </w:pPr>
      <w:r>
        <w:rPr>
          <w:szCs w:val="22"/>
        </w:rPr>
        <w:t>Lovforslaget indeholder forslag til ændring af miljøbeskyttelsesloven og vandforsyningsloven</w:t>
      </w:r>
      <w:r w:rsidR="009A7DE3">
        <w:rPr>
          <w:szCs w:val="22"/>
        </w:rPr>
        <w:t xml:space="preserve"> og er en udmøntning af regeringens akutplan for beskyttelse af drikkevandet.</w:t>
      </w:r>
    </w:p>
    <w:p w14:paraId="5ABCD432" w14:textId="77777777" w:rsidR="00907258" w:rsidRDefault="00907258" w:rsidP="00FE7E77">
      <w:pPr>
        <w:rPr>
          <w:szCs w:val="22"/>
        </w:rPr>
      </w:pPr>
    </w:p>
    <w:p w14:paraId="4CD0DB4C" w14:textId="17C08BC4" w:rsidR="00E175FF" w:rsidRDefault="00907258" w:rsidP="00FE7E77">
      <w:pPr>
        <w:rPr>
          <w:szCs w:val="22"/>
        </w:rPr>
      </w:pPr>
      <w:r>
        <w:rPr>
          <w:szCs w:val="22"/>
        </w:rPr>
        <w:t xml:space="preserve">Formålet med lovforslaget er at styrke beskyttelsen af drikkevandet ved fremover at forpligte kommunerne til at sikre beskyttelsen af de boringsnære beskyttelsesområder (BNBO), hvor der ifølge en kommunal vurdering er en risiko for forurening </w:t>
      </w:r>
      <w:r w:rsidR="00655B20">
        <w:rPr>
          <w:szCs w:val="22"/>
        </w:rPr>
        <w:t>ved erhvervsmæssig</w:t>
      </w:r>
      <w:r w:rsidR="00483C2A">
        <w:rPr>
          <w:szCs w:val="22"/>
        </w:rPr>
        <w:t xml:space="preserve"> </w:t>
      </w:r>
      <w:r>
        <w:rPr>
          <w:szCs w:val="22"/>
        </w:rPr>
        <w:t>anvendelse af pesticider i området</w:t>
      </w:r>
      <w:r w:rsidR="00655B20">
        <w:rPr>
          <w:szCs w:val="22"/>
        </w:rPr>
        <w:t>. I</w:t>
      </w:r>
      <w:r>
        <w:rPr>
          <w:szCs w:val="22"/>
        </w:rPr>
        <w:t xml:space="preserve"> dag er dette ikke et krav</w:t>
      </w:r>
      <w:r w:rsidR="00655B20">
        <w:rPr>
          <w:szCs w:val="22"/>
        </w:rPr>
        <w:t>,</w:t>
      </w:r>
      <w:r>
        <w:rPr>
          <w:szCs w:val="22"/>
        </w:rPr>
        <w:t xml:space="preserve"> men en mulighed</w:t>
      </w:r>
      <w:r w:rsidR="00914315">
        <w:rPr>
          <w:szCs w:val="22"/>
        </w:rPr>
        <w:t xml:space="preserve"> efter eksisterende regler i miljøbeskyttelseslovens §§ 24 og 26 a og vandforsyningslovens § 13 d</w:t>
      </w:r>
      <w:r>
        <w:rPr>
          <w:szCs w:val="22"/>
        </w:rPr>
        <w:t>.</w:t>
      </w:r>
    </w:p>
    <w:p w14:paraId="7405319B" w14:textId="77777777" w:rsidR="009A7DE3" w:rsidRDefault="009A7DE3" w:rsidP="00FE7E77">
      <w:pPr>
        <w:rPr>
          <w:szCs w:val="22"/>
        </w:rPr>
      </w:pPr>
    </w:p>
    <w:p w14:paraId="064D04D1" w14:textId="77777777" w:rsidR="00695CB2" w:rsidRPr="00695CB2" w:rsidRDefault="00695CB2" w:rsidP="00FE7E77">
      <w:pPr>
        <w:rPr>
          <w:szCs w:val="22"/>
          <w:u w:val="single"/>
        </w:rPr>
      </w:pPr>
      <w:r w:rsidRPr="00695CB2">
        <w:rPr>
          <w:szCs w:val="22"/>
          <w:u w:val="single"/>
        </w:rPr>
        <w:t>Kommunal pligt til at udstede påbud eller give forbud</w:t>
      </w:r>
    </w:p>
    <w:p w14:paraId="53BE82FE" w14:textId="0855AA4F" w:rsidR="009A7DE3" w:rsidRDefault="003F2F0F" w:rsidP="00FE7E77">
      <w:pPr>
        <w:rPr>
          <w:szCs w:val="22"/>
        </w:rPr>
      </w:pPr>
      <w:r>
        <w:rPr>
          <w:szCs w:val="22"/>
        </w:rPr>
        <w:t>I den foreslåede § 24 a, stk. 1</w:t>
      </w:r>
      <w:r w:rsidR="00655B20">
        <w:rPr>
          <w:szCs w:val="22"/>
        </w:rPr>
        <w:t>,</w:t>
      </w:r>
      <w:r>
        <w:rPr>
          <w:szCs w:val="22"/>
        </w:rPr>
        <w:t xml:space="preserve"> i miljøbeskyttelsesloven</w:t>
      </w:r>
      <w:r w:rsidR="009A7DE3">
        <w:rPr>
          <w:szCs w:val="22"/>
        </w:rPr>
        <w:t xml:space="preserve"> indsættes en pligt for kommunerne til at udstede påbud eller forbud mod erhvervsmæssig anvendelse af </w:t>
      </w:r>
      <w:r w:rsidR="009A7DE3">
        <w:rPr>
          <w:szCs w:val="22"/>
        </w:rPr>
        <w:lastRenderedPageBreak/>
        <w:t>p</w:t>
      </w:r>
      <w:r w:rsidR="00907258">
        <w:rPr>
          <w:szCs w:val="22"/>
        </w:rPr>
        <w:t>esticider</w:t>
      </w:r>
      <w:r w:rsidR="009A7DE3">
        <w:rPr>
          <w:szCs w:val="22"/>
        </w:rPr>
        <w:t xml:space="preserve"> inden for de </w:t>
      </w:r>
      <w:r w:rsidR="00C843E4">
        <w:rPr>
          <w:szCs w:val="22"/>
        </w:rPr>
        <w:t>BNBO</w:t>
      </w:r>
      <w:r w:rsidR="009A7DE3">
        <w:rPr>
          <w:szCs w:val="22"/>
        </w:rPr>
        <w:t>, hvis kommunen</w:t>
      </w:r>
      <w:r w:rsidR="00012210">
        <w:rPr>
          <w:szCs w:val="22"/>
        </w:rPr>
        <w:t xml:space="preserve"> som led i </w:t>
      </w:r>
      <w:r w:rsidR="00C24968">
        <w:rPr>
          <w:szCs w:val="22"/>
        </w:rPr>
        <w:t>en risiko</w:t>
      </w:r>
      <w:r w:rsidR="00012210">
        <w:rPr>
          <w:szCs w:val="22"/>
        </w:rPr>
        <w:t>vurdering</w:t>
      </w:r>
      <w:r w:rsidR="009A7DE3">
        <w:rPr>
          <w:szCs w:val="22"/>
        </w:rPr>
        <w:t xml:space="preserve"> </w:t>
      </w:r>
      <w:r w:rsidR="00C24968">
        <w:rPr>
          <w:szCs w:val="22"/>
        </w:rPr>
        <w:t>har fundet</w:t>
      </w:r>
      <w:r w:rsidR="009A7DE3">
        <w:rPr>
          <w:szCs w:val="22"/>
        </w:rPr>
        <w:t>, at der er et beskyttelsesbehov.</w:t>
      </w:r>
    </w:p>
    <w:p w14:paraId="4EB42589" w14:textId="77777777" w:rsidR="00C843E4" w:rsidRDefault="00C843E4" w:rsidP="00FE7E77">
      <w:pPr>
        <w:rPr>
          <w:szCs w:val="22"/>
        </w:rPr>
      </w:pPr>
    </w:p>
    <w:p w14:paraId="29288163" w14:textId="77362DF4" w:rsidR="00E42CA6" w:rsidRDefault="00C36339" w:rsidP="00FE7E77">
      <w:pPr>
        <w:rPr>
          <w:szCs w:val="22"/>
        </w:rPr>
      </w:pPr>
      <w:r>
        <w:rPr>
          <w:szCs w:val="22"/>
        </w:rPr>
        <w:t>Kommunerne har fra 1. januar 2019 til den 31. december 2022 været forpligtede til at gennemgå BNBO</w:t>
      </w:r>
      <w:r w:rsidR="00655B20">
        <w:rPr>
          <w:szCs w:val="22"/>
        </w:rPr>
        <w:t>,</w:t>
      </w:r>
      <w:r>
        <w:rPr>
          <w:szCs w:val="22"/>
        </w:rPr>
        <w:t xml:space="preserve"> med henblik på at vurdere behovet for indsatser til beskyttelse af nuværende og fremtidige drikkevandsinteresser mod fare for forurening fra erhvervsmæssig anvendelse af </w:t>
      </w:r>
      <w:r w:rsidR="00655B20">
        <w:rPr>
          <w:szCs w:val="22"/>
        </w:rPr>
        <w:t xml:space="preserve">pesticider </w:t>
      </w:r>
      <w:r>
        <w:rPr>
          <w:szCs w:val="22"/>
        </w:rPr>
        <w:t xml:space="preserve">efter reglerne i </w:t>
      </w:r>
      <w:r w:rsidR="00695CB2">
        <w:rPr>
          <w:szCs w:val="22"/>
        </w:rPr>
        <w:t>bekendtgørelse om vurdering af boringsnære beskyttelsesområder og indberetning</w:t>
      </w:r>
      <w:r w:rsidR="00E42CA6">
        <w:rPr>
          <w:szCs w:val="22"/>
        </w:rPr>
        <w:t xml:space="preserve"> (BNBO-bekendtgørelsen)</w:t>
      </w:r>
      <w:r w:rsidR="00695CB2">
        <w:rPr>
          <w:szCs w:val="22"/>
        </w:rPr>
        <w:t>.</w:t>
      </w:r>
      <w:r w:rsidR="00C24968">
        <w:rPr>
          <w:szCs w:val="22"/>
        </w:rPr>
        <w:t xml:space="preserve"> </w:t>
      </w:r>
    </w:p>
    <w:p w14:paraId="02A121AA" w14:textId="77777777" w:rsidR="00E42CA6" w:rsidRDefault="00E42CA6" w:rsidP="00FE7E77"/>
    <w:p w14:paraId="7010DBBF" w14:textId="11F86E03" w:rsidR="00C843E4" w:rsidRDefault="00C24968" w:rsidP="00FE7E77">
      <w:pPr>
        <w:rPr>
          <w:szCs w:val="22"/>
        </w:rPr>
      </w:pPr>
      <w:r>
        <w:t xml:space="preserve">Den seneste status </w:t>
      </w:r>
      <w:r w:rsidR="00655B20">
        <w:t xml:space="preserve">fra </w:t>
      </w:r>
      <w:r>
        <w:t>oktober 2023 viser</w:t>
      </w:r>
      <w:r w:rsidR="00655B20">
        <w:t>,</w:t>
      </w:r>
      <w:r>
        <w:t xml:space="preserve"> at der er gennemført indsatser i 315 BNBO og vurderet, at der er behov for indsatser i 2.717 BNBO, hvoraf der er tilbudt frivillige aftaler i 815 BNBO.</w:t>
      </w:r>
    </w:p>
    <w:p w14:paraId="51CB2C91" w14:textId="77777777" w:rsidR="00CD200F" w:rsidRDefault="00CD200F" w:rsidP="00FE7E77">
      <w:pPr>
        <w:rPr>
          <w:szCs w:val="22"/>
        </w:rPr>
      </w:pPr>
    </w:p>
    <w:p w14:paraId="7A798C04" w14:textId="39F55D6C" w:rsidR="00CD200F" w:rsidRDefault="00CD200F" w:rsidP="00FE7E77">
      <w:pPr>
        <w:rPr>
          <w:szCs w:val="22"/>
        </w:rPr>
      </w:pPr>
      <w:r>
        <w:rPr>
          <w:szCs w:val="22"/>
        </w:rPr>
        <w:t xml:space="preserve">BNBO-bekendtgørelsen vil blive genudstedt og forventes at træde i kraft samtidig med lovforslaget. Herved skal det sikres, at kommunerne løbende vurderer beskyttelsesbehovene i </w:t>
      </w:r>
      <w:r w:rsidR="0046488B">
        <w:rPr>
          <w:szCs w:val="22"/>
        </w:rPr>
        <w:t>de</w:t>
      </w:r>
      <w:r w:rsidR="00012210">
        <w:rPr>
          <w:szCs w:val="22"/>
        </w:rPr>
        <w:t xml:space="preserve"> BNBO, som </w:t>
      </w:r>
      <w:r w:rsidR="00E42CA6">
        <w:rPr>
          <w:szCs w:val="22"/>
        </w:rPr>
        <w:t>fremover udpeges pga. eksempelvis nye vandindvindinger</w:t>
      </w:r>
      <w:r w:rsidR="00012210">
        <w:rPr>
          <w:szCs w:val="22"/>
        </w:rPr>
        <w:t>, eller hvis der sker ændringer af betydning for beliggenheden</w:t>
      </w:r>
      <w:r w:rsidR="00DE7BE6">
        <w:rPr>
          <w:szCs w:val="22"/>
        </w:rPr>
        <w:t>, formen eller det arealmæssige</w:t>
      </w:r>
      <w:r w:rsidR="00012210">
        <w:rPr>
          <w:szCs w:val="22"/>
        </w:rPr>
        <w:t xml:space="preserve"> </w:t>
      </w:r>
      <w:r w:rsidR="00DE7BE6">
        <w:rPr>
          <w:szCs w:val="22"/>
        </w:rPr>
        <w:t>omfang af den</w:t>
      </w:r>
      <w:r w:rsidR="00012210">
        <w:rPr>
          <w:szCs w:val="22"/>
        </w:rPr>
        <w:t xml:space="preserve"> eksisterende BNBO.</w:t>
      </w:r>
      <w:r w:rsidR="00DE7BE6">
        <w:rPr>
          <w:szCs w:val="22"/>
        </w:rPr>
        <w:t xml:space="preserve"> Dette kan være tilfældet, hvis den tilladte vandindvindingsmængde øges eller sænkes, eller hvi</w:t>
      </w:r>
      <w:r w:rsidR="00C24968">
        <w:rPr>
          <w:szCs w:val="22"/>
        </w:rPr>
        <w:t xml:space="preserve">s BNBO genberegnes </w:t>
      </w:r>
      <w:r w:rsidR="00655B20">
        <w:rPr>
          <w:szCs w:val="22"/>
        </w:rPr>
        <w:t xml:space="preserve">på baggrund af </w:t>
      </w:r>
      <w:r w:rsidR="00C24968">
        <w:rPr>
          <w:szCs w:val="22"/>
        </w:rPr>
        <w:t>ny</w:t>
      </w:r>
      <w:r w:rsidR="00655B20">
        <w:rPr>
          <w:szCs w:val="22"/>
        </w:rPr>
        <w:t>e</w:t>
      </w:r>
      <w:r w:rsidR="00C24968">
        <w:rPr>
          <w:szCs w:val="22"/>
        </w:rPr>
        <w:t xml:space="preserve"> data.</w:t>
      </w:r>
    </w:p>
    <w:p w14:paraId="23FD7163" w14:textId="77777777" w:rsidR="00C843E4" w:rsidRDefault="00C843E4" w:rsidP="00FE7E77">
      <w:pPr>
        <w:rPr>
          <w:szCs w:val="22"/>
        </w:rPr>
      </w:pPr>
    </w:p>
    <w:p w14:paraId="4CF3A739" w14:textId="77777777" w:rsidR="003F2F0F" w:rsidRDefault="00C843E4" w:rsidP="00FE7E77">
      <w:pPr>
        <w:rPr>
          <w:szCs w:val="22"/>
        </w:rPr>
      </w:pPr>
      <w:r>
        <w:rPr>
          <w:szCs w:val="22"/>
        </w:rPr>
        <w:t>Påbud eller forbud</w:t>
      </w:r>
      <w:r w:rsidR="00826F36">
        <w:rPr>
          <w:szCs w:val="22"/>
        </w:rPr>
        <w:t xml:space="preserve"> efter den foreslåede § 24 a</w:t>
      </w:r>
      <w:r>
        <w:rPr>
          <w:szCs w:val="22"/>
        </w:rPr>
        <w:t xml:space="preserve"> vil skulle </w:t>
      </w:r>
      <w:r w:rsidR="00826F36">
        <w:rPr>
          <w:szCs w:val="22"/>
        </w:rPr>
        <w:t>udstedes</w:t>
      </w:r>
      <w:r>
        <w:rPr>
          <w:szCs w:val="22"/>
        </w:rPr>
        <w:t xml:space="preserve"> i de gældende BNBO, som de fremgår af </w:t>
      </w:r>
      <w:r w:rsidR="00DF489E">
        <w:rPr>
          <w:szCs w:val="22"/>
        </w:rPr>
        <w:t>bilag 5</w:t>
      </w:r>
      <w:r w:rsidR="00E3329E">
        <w:rPr>
          <w:szCs w:val="22"/>
        </w:rPr>
        <w:t xml:space="preserve"> i</w:t>
      </w:r>
      <w:r w:rsidR="00DF489E">
        <w:rPr>
          <w:szCs w:val="22"/>
        </w:rPr>
        <w:t xml:space="preserve"> </w:t>
      </w:r>
      <w:r>
        <w:rPr>
          <w:szCs w:val="22"/>
        </w:rPr>
        <w:t>bekendtgørelse om udpegning af drikkevandsressourcer</w:t>
      </w:r>
      <w:r w:rsidR="00DF489E">
        <w:rPr>
          <w:szCs w:val="22"/>
        </w:rPr>
        <w:t xml:space="preserve"> </w:t>
      </w:r>
      <w:r w:rsidR="00FB0A69">
        <w:rPr>
          <w:szCs w:val="22"/>
        </w:rPr>
        <w:t>(udpegningsbekendtgørelsen). Bekendtgørelsen udstedes en gang årligt på baggrund af data fra kommunerne</w:t>
      </w:r>
      <w:r w:rsidR="00C24968">
        <w:rPr>
          <w:szCs w:val="22"/>
        </w:rPr>
        <w:t>.</w:t>
      </w:r>
    </w:p>
    <w:p w14:paraId="3A6321C1" w14:textId="77777777" w:rsidR="00FB0A69" w:rsidRDefault="00FB0A69" w:rsidP="00695CB2"/>
    <w:p w14:paraId="0812C01C" w14:textId="77777777" w:rsidR="00695CB2" w:rsidRPr="00695CB2" w:rsidRDefault="00695CB2" w:rsidP="00695CB2">
      <w:pPr>
        <w:rPr>
          <w:u w:val="single"/>
        </w:rPr>
      </w:pPr>
      <w:r>
        <w:rPr>
          <w:u w:val="single"/>
        </w:rPr>
        <w:t>Undtagelser til forpligtelsen i § 24 a, stk. 1</w:t>
      </w:r>
    </w:p>
    <w:p w14:paraId="5260A13A" w14:textId="559E27FA" w:rsidR="00BC0270" w:rsidRDefault="003F2F0F" w:rsidP="00FE7E77">
      <w:pPr>
        <w:rPr>
          <w:szCs w:val="22"/>
        </w:rPr>
      </w:pPr>
      <w:r>
        <w:rPr>
          <w:szCs w:val="22"/>
        </w:rPr>
        <w:t>§ 24 a, stk. 2</w:t>
      </w:r>
      <w:r w:rsidR="00655B20">
        <w:rPr>
          <w:szCs w:val="22"/>
        </w:rPr>
        <w:t>,</w:t>
      </w:r>
      <w:r>
        <w:rPr>
          <w:szCs w:val="22"/>
        </w:rPr>
        <w:t xml:space="preserve"> oplister en række undtagelser til kravet i stk. 1</w:t>
      </w:r>
      <w:r w:rsidR="009E6962">
        <w:rPr>
          <w:szCs w:val="22"/>
        </w:rPr>
        <w:t>, hvorefter forpligtelsen til at udstede påbud eller forbud ikke gælder. Undtagelserne vedrører</w:t>
      </w:r>
      <w:r w:rsidR="00012210">
        <w:rPr>
          <w:szCs w:val="22"/>
        </w:rPr>
        <w:t xml:space="preserve"> samlet set</w:t>
      </w:r>
      <w:r w:rsidR="009E6962">
        <w:rPr>
          <w:szCs w:val="22"/>
        </w:rPr>
        <w:t xml:space="preserve"> situationer, hvor der allerede er iværksat beskyttelsesforanstaltninger, som yder en tilsvarende beskyttelse som </w:t>
      </w:r>
      <w:r w:rsidR="00BC0270">
        <w:rPr>
          <w:szCs w:val="22"/>
        </w:rPr>
        <w:t>efter stk. 1.</w:t>
      </w:r>
    </w:p>
    <w:p w14:paraId="60160A9B" w14:textId="77777777" w:rsidR="00E50EE6" w:rsidRDefault="00E50EE6" w:rsidP="00FE7E77">
      <w:pPr>
        <w:rPr>
          <w:szCs w:val="22"/>
        </w:rPr>
      </w:pPr>
    </w:p>
    <w:p w14:paraId="48A1C2A9" w14:textId="4556BAFE" w:rsidR="003F2F0F" w:rsidRDefault="00C24968" w:rsidP="00FE7E77">
      <w:pPr>
        <w:rPr>
          <w:szCs w:val="22"/>
        </w:rPr>
      </w:pPr>
      <w:r>
        <w:rPr>
          <w:szCs w:val="22"/>
        </w:rPr>
        <w:t>Undtagelserne indeholder</w:t>
      </w:r>
      <w:r w:rsidR="000970D8">
        <w:rPr>
          <w:szCs w:val="22"/>
        </w:rPr>
        <w:t xml:space="preserve"> 1)</w:t>
      </w:r>
      <w:r w:rsidR="00BC0270">
        <w:rPr>
          <w:szCs w:val="22"/>
        </w:rPr>
        <w:t xml:space="preserve"> påbud eller forbud </w:t>
      </w:r>
      <w:r w:rsidR="000970D8">
        <w:rPr>
          <w:szCs w:val="22"/>
        </w:rPr>
        <w:t xml:space="preserve">efter miljøbeskyttelseslovens § 24, 2) aftaler om dyrkningspraksis eller andre restriktioner i arealanvendelsen efter vandforsyningslovens § 13 d, 3) forbud eller andre foranstaltninger, som er nødvendige for at sikre nuværende eller fremtidige drikkevandsinteresser mod forurening med pesticider efter miljøbeskyttelseslovens § 26 a, eller 4) andre beskyttelsesforanstaltninger som udgør en tilsvarende beskyttelse som </w:t>
      </w:r>
      <w:r w:rsidR="0072185C">
        <w:rPr>
          <w:szCs w:val="22"/>
        </w:rPr>
        <w:t>efter</w:t>
      </w:r>
      <w:r w:rsidR="000970D8">
        <w:rPr>
          <w:szCs w:val="22"/>
        </w:rPr>
        <w:t xml:space="preserve"> stk. 1.</w:t>
      </w:r>
    </w:p>
    <w:p w14:paraId="00B5ABE2" w14:textId="77777777" w:rsidR="002A2007" w:rsidRDefault="002A2007" w:rsidP="00FE7E77">
      <w:pPr>
        <w:rPr>
          <w:szCs w:val="22"/>
        </w:rPr>
      </w:pPr>
    </w:p>
    <w:p w14:paraId="548FB273" w14:textId="2F707644" w:rsidR="002A2007" w:rsidRDefault="002A2007" w:rsidP="00FE7E77">
      <w:pPr>
        <w:rPr>
          <w:szCs w:val="22"/>
        </w:rPr>
      </w:pPr>
      <w:r>
        <w:rPr>
          <w:szCs w:val="22"/>
        </w:rPr>
        <w:t>Ved andre beskyttelsesforanstaltninger</w:t>
      </w:r>
      <w:r w:rsidR="00012210">
        <w:rPr>
          <w:szCs w:val="22"/>
        </w:rPr>
        <w:t xml:space="preserve"> efter</w:t>
      </w:r>
      <w:r w:rsidR="00E42CA6">
        <w:rPr>
          <w:szCs w:val="22"/>
        </w:rPr>
        <w:t xml:space="preserve"> den foreslåede</w:t>
      </w:r>
      <w:r w:rsidR="00012210">
        <w:rPr>
          <w:szCs w:val="22"/>
        </w:rPr>
        <w:t xml:space="preserve"> § 2</w:t>
      </w:r>
      <w:r w:rsidR="00E42CA6">
        <w:rPr>
          <w:szCs w:val="22"/>
        </w:rPr>
        <w:t>4</w:t>
      </w:r>
      <w:r w:rsidR="00012210">
        <w:rPr>
          <w:szCs w:val="22"/>
        </w:rPr>
        <w:t xml:space="preserve"> a, stk. 2, nr. 4)</w:t>
      </w:r>
      <w:r w:rsidR="00655B20">
        <w:rPr>
          <w:szCs w:val="22"/>
        </w:rPr>
        <w:t>,</w:t>
      </w:r>
      <w:r w:rsidR="00012210">
        <w:rPr>
          <w:szCs w:val="22"/>
        </w:rPr>
        <w:t xml:space="preserve"> </w:t>
      </w:r>
      <w:r>
        <w:rPr>
          <w:szCs w:val="22"/>
        </w:rPr>
        <w:t xml:space="preserve">skal bl.a. forstås de frivillige aftaler, som vandforsyninger og </w:t>
      </w:r>
      <w:r w:rsidR="00534A47">
        <w:rPr>
          <w:szCs w:val="22"/>
        </w:rPr>
        <w:t>grund</w:t>
      </w:r>
      <w:r>
        <w:rPr>
          <w:szCs w:val="22"/>
        </w:rPr>
        <w:t xml:space="preserve">ejere er </w:t>
      </w:r>
      <w:r w:rsidR="0072185C">
        <w:rPr>
          <w:szCs w:val="22"/>
        </w:rPr>
        <w:t xml:space="preserve">blevet opfordret til at indgå </w:t>
      </w:r>
      <w:r w:rsidR="00695CB2">
        <w:rPr>
          <w:szCs w:val="22"/>
        </w:rPr>
        <w:t xml:space="preserve">med </w:t>
      </w:r>
      <w:r w:rsidR="00E3329E">
        <w:rPr>
          <w:szCs w:val="22"/>
        </w:rPr>
        <w:t>bistand</w:t>
      </w:r>
      <w:r w:rsidR="0072185C">
        <w:rPr>
          <w:szCs w:val="22"/>
        </w:rPr>
        <w:t xml:space="preserve"> fra kommunerne som opfølgning på tillægsaftalen til pesticidstrategien fra 2017 til 2022</w:t>
      </w:r>
      <w:r w:rsidR="007029D1">
        <w:rPr>
          <w:szCs w:val="22"/>
        </w:rPr>
        <w:t xml:space="preserve"> og BNBO, der dyrkes økologisk</w:t>
      </w:r>
      <w:r w:rsidR="00345DFC">
        <w:rPr>
          <w:szCs w:val="22"/>
        </w:rPr>
        <w:t>, hvor der ikke anvendes pesticider godkendt til konventionelt brug</w:t>
      </w:r>
      <w:r w:rsidR="0072185C">
        <w:rPr>
          <w:szCs w:val="22"/>
        </w:rPr>
        <w:t xml:space="preserve">. </w:t>
      </w:r>
    </w:p>
    <w:p w14:paraId="27BDCC35" w14:textId="77777777" w:rsidR="0072185C" w:rsidRDefault="0072185C" w:rsidP="00FE7E77">
      <w:pPr>
        <w:rPr>
          <w:szCs w:val="22"/>
        </w:rPr>
      </w:pPr>
    </w:p>
    <w:p w14:paraId="374FD7CF" w14:textId="77777777" w:rsidR="00695CB2" w:rsidRPr="00695CB2" w:rsidRDefault="00695CB2" w:rsidP="00FE7E77">
      <w:pPr>
        <w:rPr>
          <w:szCs w:val="22"/>
          <w:u w:val="single"/>
        </w:rPr>
      </w:pPr>
      <w:r>
        <w:rPr>
          <w:szCs w:val="22"/>
          <w:u w:val="single"/>
        </w:rPr>
        <w:t xml:space="preserve">Aftaler om </w:t>
      </w:r>
      <w:r w:rsidR="00953293">
        <w:rPr>
          <w:szCs w:val="22"/>
          <w:u w:val="single"/>
        </w:rPr>
        <w:t>pesticidfri drift</w:t>
      </w:r>
      <w:r>
        <w:rPr>
          <w:szCs w:val="22"/>
          <w:u w:val="single"/>
        </w:rPr>
        <w:t xml:space="preserve"> inden påbud eller forbud </w:t>
      </w:r>
    </w:p>
    <w:p w14:paraId="1E05764A" w14:textId="77777777" w:rsidR="00EE531B" w:rsidRDefault="00012210" w:rsidP="00FE7E77">
      <w:pPr>
        <w:rPr>
          <w:szCs w:val="22"/>
        </w:rPr>
      </w:pPr>
      <w:r>
        <w:rPr>
          <w:szCs w:val="22"/>
        </w:rPr>
        <w:t xml:space="preserve">Før den kommunale pligt til at give påbud eller udstede forbud træder i kraft, </w:t>
      </w:r>
      <w:r w:rsidR="00E42CA6">
        <w:rPr>
          <w:szCs w:val="22"/>
        </w:rPr>
        <w:t xml:space="preserve">indsættes det i en ny foreslået § 13 f, at vandforsyningerne inden da forsøger at </w:t>
      </w:r>
      <w:r w:rsidR="00E42CA6">
        <w:rPr>
          <w:szCs w:val="22"/>
        </w:rPr>
        <w:lastRenderedPageBreak/>
        <w:t xml:space="preserve">indgå aftaler med grundejerne om dyrkningspraksis eller andre restriktioner i arealanvendelsen, som har til formål at beskytte drikkevandsressourcen i BNBO. </w:t>
      </w:r>
    </w:p>
    <w:p w14:paraId="22FF769C" w14:textId="3D75F37F" w:rsidR="00EE531B" w:rsidRDefault="00EE531B" w:rsidP="00FE7E77">
      <w:pPr>
        <w:rPr>
          <w:szCs w:val="22"/>
        </w:rPr>
      </w:pPr>
    </w:p>
    <w:p w14:paraId="710B2B25" w14:textId="658E786F" w:rsidR="00EE531B" w:rsidRDefault="00EE531B" w:rsidP="00FE7E77">
      <w:pPr>
        <w:rPr>
          <w:szCs w:val="22"/>
        </w:rPr>
      </w:pPr>
      <w:r>
        <w:rPr>
          <w:szCs w:val="22"/>
        </w:rPr>
        <w:t>Der vil også kunne indgås aftaler om andre forhold</w:t>
      </w:r>
      <w:r w:rsidR="00282190">
        <w:rPr>
          <w:szCs w:val="22"/>
        </w:rPr>
        <w:t>, heriblandt eksempelvis gødskningsforbud eller områder, der ligger uden for BNBO, men dette ligger dog uden for anvendelsesområdet af den foreslåede § 13 f.</w:t>
      </w:r>
    </w:p>
    <w:p w14:paraId="25AF19C9" w14:textId="77777777" w:rsidR="00282190" w:rsidRDefault="00282190" w:rsidP="00FE7E77">
      <w:pPr>
        <w:rPr>
          <w:szCs w:val="22"/>
        </w:rPr>
      </w:pPr>
    </w:p>
    <w:p w14:paraId="4F3F95B4" w14:textId="5297C222" w:rsidR="00B3434D" w:rsidRDefault="00E42CA6" w:rsidP="00FE7E77">
      <w:pPr>
        <w:rPr>
          <w:szCs w:val="22"/>
        </w:rPr>
      </w:pPr>
      <w:r>
        <w:rPr>
          <w:szCs w:val="22"/>
        </w:rPr>
        <w:t>Kommunen vil også kunne indgå aftaler efter stk. 1</w:t>
      </w:r>
      <w:r w:rsidR="00136986">
        <w:rPr>
          <w:szCs w:val="22"/>
        </w:rPr>
        <w:t xml:space="preserve"> med grundejeren, hvis vandforsyning og grundejer ikke lykkes med at indgå aftalen.</w:t>
      </w:r>
    </w:p>
    <w:p w14:paraId="6159BC82" w14:textId="4AA1A303" w:rsidR="00E42CA6" w:rsidRDefault="00E42CA6" w:rsidP="00FE7E77">
      <w:pPr>
        <w:rPr>
          <w:szCs w:val="22"/>
        </w:rPr>
      </w:pPr>
    </w:p>
    <w:p w14:paraId="5A2569A6" w14:textId="1E8802E3" w:rsidR="00282190" w:rsidRDefault="00E42CA6" w:rsidP="00FE7E77">
      <w:pPr>
        <w:rPr>
          <w:szCs w:val="22"/>
        </w:rPr>
      </w:pPr>
      <w:r>
        <w:rPr>
          <w:szCs w:val="22"/>
        </w:rPr>
        <w:t>Efter den foreslåede § 13 f, stk. 2</w:t>
      </w:r>
      <w:r w:rsidR="00534A47">
        <w:rPr>
          <w:szCs w:val="22"/>
        </w:rPr>
        <w:t>,</w:t>
      </w:r>
      <w:r>
        <w:rPr>
          <w:szCs w:val="22"/>
        </w:rPr>
        <w:t xml:space="preserve"> tinglyser vandforsyningen aftalen efter stk. 1 for grundejerens regning. </w:t>
      </w:r>
      <w:r w:rsidR="00136986">
        <w:rPr>
          <w:szCs w:val="22"/>
        </w:rPr>
        <w:t xml:space="preserve">Hvis det er kommunen, der indgår aftalen, skal kommunen sørge for, at aftalen bliver tinglyst. </w:t>
      </w:r>
      <w:r w:rsidR="00282190">
        <w:rPr>
          <w:szCs w:val="22"/>
        </w:rPr>
        <w:t>Herved tydeliggøres det over for andre, der eventuelt anvender pesticider inden for BNBO, at det ikke er tilladt at anvende pesticider. Aftalen knytter sig således til det pågældende område og ikke til den enkelte grundejer.</w:t>
      </w:r>
    </w:p>
    <w:p w14:paraId="1B346BEF" w14:textId="77777777" w:rsidR="00282190" w:rsidRDefault="00282190" w:rsidP="00FE7E77">
      <w:pPr>
        <w:rPr>
          <w:szCs w:val="22"/>
        </w:rPr>
      </w:pPr>
    </w:p>
    <w:p w14:paraId="35F7977C" w14:textId="62E377EF" w:rsidR="00E42CA6" w:rsidRDefault="00282190" w:rsidP="00FE7E77">
      <w:pPr>
        <w:rPr>
          <w:szCs w:val="22"/>
        </w:rPr>
      </w:pPr>
      <w:r>
        <w:rPr>
          <w:szCs w:val="22"/>
        </w:rPr>
        <w:t>Efter § 13 f, stk. 2</w:t>
      </w:r>
      <w:r w:rsidR="00534A47">
        <w:rPr>
          <w:szCs w:val="22"/>
        </w:rPr>
        <w:t>,</w:t>
      </w:r>
      <w:r>
        <w:rPr>
          <w:szCs w:val="22"/>
        </w:rPr>
        <w:t xml:space="preserve"> finder </w:t>
      </w:r>
      <w:r w:rsidR="00136986">
        <w:rPr>
          <w:szCs w:val="22"/>
        </w:rPr>
        <w:t>§ 119 i lov om offentlige veje anvendelse ved udbetaling af det aftalte beløb. Det indebærer, at det aftalte beløb skal udbetales uden unødigt ophold i forbindelse med, at aftalen indgås.</w:t>
      </w:r>
    </w:p>
    <w:p w14:paraId="555F0204" w14:textId="77777777" w:rsidR="00B3434D" w:rsidRDefault="00B3434D" w:rsidP="00FE7E77">
      <w:pPr>
        <w:rPr>
          <w:szCs w:val="22"/>
        </w:rPr>
      </w:pPr>
    </w:p>
    <w:p w14:paraId="38DD354F" w14:textId="77777777" w:rsidR="00E50EE6" w:rsidRPr="00695CB2" w:rsidRDefault="00012210" w:rsidP="00FE7E77">
      <w:pPr>
        <w:rPr>
          <w:szCs w:val="22"/>
          <w:u w:val="single"/>
        </w:rPr>
      </w:pPr>
      <w:r>
        <w:rPr>
          <w:szCs w:val="22"/>
          <w:u w:val="single"/>
        </w:rPr>
        <w:t>Bemyndigelsesbestemmelser</w:t>
      </w:r>
    </w:p>
    <w:p w14:paraId="1952FA15" w14:textId="1EE44696" w:rsidR="00B3434D" w:rsidRDefault="00B3434D" w:rsidP="00FE7E77">
      <w:pPr>
        <w:rPr>
          <w:szCs w:val="22"/>
        </w:rPr>
      </w:pPr>
      <w:r>
        <w:rPr>
          <w:szCs w:val="22"/>
        </w:rPr>
        <w:t xml:space="preserve">I § 24 a, stk. </w:t>
      </w:r>
      <w:r w:rsidR="00422A1C">
        <w:rPr>
          <w:szCs w:val="22"/>
        </w:rPr>
        <w:t>5</w:t>
      </w:r>
      <w:r w:rsidR="00655B20">
        <w:rPr>
          <w:szCs w:val="22"/>
        </w:rPr>
        <w:t>,</w:t>
      </w:r>
      <w:r>
        <w:rPr>
          <w:szCs w:val="22"/>
        </w:rPr>
        <w:t xml:space="preserve"> indsættes en bemyndigelsesbestemmelse, hvorefter miljøministeren vil kunne fastsætte regler om frister for at give påbud eller forbud og krav til indholdet af påbud eller forbud.</w:t>
      </w:r>
    </w:p>
    <w:p w14:paraId="1F50BE10" w14:textId="77777777" w:rsidR="00B3434D" w:rsidRDefault="00B3434D" w:rsidP="00FE7E77">
      <w:pPr>
        <w:rPr>
          <w:szCs w:val="22"/>
        </w:rPr>
      </w:pPr>
    </w:p>
    <w:p w14:paraId="77983BC2" w14:textId="4C89EE88" w:rsidR="00B3434D" w:rsidRDefault="00B3434D" w:rsidP="00FE7E77">
      <w:pPr>
        <w:rPr>
          <w:szCs w:val="22"/>
        </w:rPr>
      </w:pPr>
      <w:r>
        <w:rPr>
          <w:szCs w:val="22"/>
        </w:rPr>
        <w:t>Bemyndigelsen forventes at blive udmøntet i en bekendtgørelse om indholdskrav til og frister for</w:t>
      </w:r>
      <w:r w:rsidR="00792200">
        <w:rPr>
          <w:szCs w:val="22"/>
        </w:rPr>
        <w:t xml:space="preserve"> aftaler om pesticidfri drift og</w:t>
      </w:r>
      <w:r>
        <w:rPr>
          <w:szCs w:val="22"/>
        </w:rPr>
        <w:t xml:space="preserve"> påbud eller forbud om erhvervsmæssig anvendelse af pesticider i </w:t>
      </w:r>
      <w:r w:rsidR="00655B20">
        <w:rPr>
          <w:szCs w:val="22"/>
        </w:rPr>
        <w:t>BNBO</w:t>
      </w:r>
      <w:r>
        <w:rPr>
          <w:szCs w:val="22"/>
        </w:rPr>
        <w:t>.</w:t>
      </w:r>
    </w:p>
    <w:p w14:paraId="26397A6A" w14:textId="77777777" w:rsidR="00792200" w:rsidRDefault="00792200" w:rsidP="00FE7E77">
      <w:pPr>
        <w:rPr>
          <w:szCs w:val="22"/>
        </w:rPr>
      </w:pPr>
    </w:p>
    <w:p w14:paraId="0619EE95" w14:textId="207FEC7B" w:rsidR="00792200" w:rsidRDefault="00792200" w:rsidP="00FE7E77">
      <w:pPr>
        <w:rPr>
          <w:szCs w:val="22"/>
        </w:rPr>
      </w:pPr>
      <w:r>
        <w:rPr>
          <w:szCs w:val="22"/>
        </w:rPr>
        <w:t xml:space="preserve">Det forventes, at der i bekendtgørelsen bl.a. vil blive fastsat </w:t>
      </w:r>
      <w:r w:rsidR="0046488B">
        <w:rPr>
          <w:szCs w:val="22"/>
        </w:rPr>
        <w:t>nærmere regler om frist</w:t>
      </w:r>
      <w:r w:rsidR="00655B20">
        <w:rPr>
          <w:szCs w:val="22"/>
        </w:rPr>
        <w:t>er</w:t>
      </w:r>
      <w:r w:rsidR="0046488B">
        <w:rPr>
          <w:szCs w:val="22"/>
        </w:rPr>
        <w:t xml:space="preserve"> for hvornår, der skal være</w:t>
      </w:r>
      <w:r w:rsidR="009B4809">
        <w:rPr>
          <w:szCs w:val="22"/>
        </w:rPr>
        <w:t xml:space="preserve"> udstedt et påbud eller forbud</w:t>
      </w:r>
      <w:r w:rsidR="0046488B">
        <w:rPr>
          <w:szCs w:val="22"/>
        </w:rPr>
        <w:t xml:space="preserve">, efter </w:t>
      </w:r>
      <w:r w:rsidR="00BB401C">
        <w:rPr>
          <w:szCs w:val="22"/>
        </w:rPr>
        <w:t xml:space="preserve">risikovurderingen er foretaget. Der vil også blive fastsat regler om, at kommunen skal tage højde for </w:t>
      </w:r>
      <w:r w:rsidR="00C667B0">
        <w:rPr>
          <w:szCs w:val="22"/>
        </w:rPr>
        <w:t xml:space="preserve">afvikling af </w:t>
      </w:r>
      <w:r w:rsidR="00BB401C">
        <w:rPr>
          <w:szCs w:val="22"/>
        </w:rPr>
        <w:t>eksisterende markplaner</w:t>
      </w:r>
      <w:r w:rsidR="009B4809">
        <w:rPr>
          <w:szCs w:val="22"/>
        </w:rPr>
        <w:t xml:space="preserve"> i forhold til, hvornår der stilles krav om, at påbud eller forbud</w:t>
      </w:r>
      <w:r w:rsidR="00412E16">
        <w:rPr>
          <w:szCs w:val="22"/>
        </w:rPr>
        <w:t xml:space="preserve"> skal efterleves</w:t>
      </w:r>
      <w:r w:rsidR="00136986">
        <w:rPr>
          <w:szCs w:val="22"/>
        </w:rPr>
        <w:t xml:space="preserve"> af grundejeren.</w:t>
      </w:r>
    </w:p>
    <w:p w14:paraId="2BE274D7" w14:textId="77777777" w:rsidR="002731C2" w:rsidRDefault="002731C2" w:rsidP="00FE7E77">
      <w:pPr>
        <w:rPr>
          <w:szCs w:val="22"/>
        </w:rPr>
      </w:pPr>
    </w:p>
    <w:p w14:paraId="29A9241D" w14:textId="5866CB1A" w:rsidR="002731C2" w:rsidRDefault="002731C2" w:rsidP="00FE7E77">
      <w:pPr>
        <w:rPr>
          <w:szCs w:val="22"/>
        </w:rPr>
      </w:pPr>
      <w:r>
        <w:rPr>
          <w:szCs w:val="22"/>
        </w:rPr>
        <w:t xml:space="preserve">Ligeledes vil der blive indsat en bemyndigelse i den foreslåede § </w:t>
      </w:r>
      <w:r w:rsidR="00E175FF">
        <w:rPr>
          <w:szCs w:val="22"/>
        </w:rPr>
        <w:t xml:space="preserve">13 f, stk. </w:t>
      </w:r>
      <w:r w:rsidR="00136986">
        <w:rPr>
          <w:szCs w:val="22"/>
        </w:rPr>
        <w:t>3</w:t>
      </w:r>
      <w:r w:rsidR="00E175FF">
        <w:rPr>
          <w:szCs w:val="22"/>
        </w:rPr>
        <w:t>, som skal kunne fastsætte regler</w:t>
      </w:r>
      <w:r w:rsidR="00422A1C">
        <w:rPr>
          <w:szCs w:val="22"/>
        </w:rPr>
        <w:t xml:space="preserve"> om </w:t>
      </w:r>
      <w:r w:rsidR="00BB401C">
        <w:rPr>
          <w:szCs w:val="22"/>
        </w:rPr>
        <w:t>tidsfrister, vilkår og rammer for aftalen.</w:t>
      </w:r>
    </w:p>
    <w:p w14:paraId="58DB355D" w14:textId="77777777" w:rsidR="00695CB2" w:rsidRPr="00695CB2" w:rsidRDefault="00695CB2" w:rsidP="00FE7E77">
      <w:pPr>
        <w:rPr>
          <w:b/>
          <w:szCs w:val="22"/>
        </w:rPr>
      </w:pPr>
    </w:p>
    <w:p w14:paraId="6C9B1FE7" w14:textId="76ACC3AB" w:rsidR="00695CB2" w:rsidRPr="00695CB2" w:rsidRDefault="00695CB2" w:rsidP="00FE7E77">
      <w:pPr>
        <w:rPr>
          <w:szCs w:val="22"/>
          <w:u w:val="single"/>
        </w:rPr>
      </w:pPr>
      <w:r>
        <w:rPr>
          <w:szCs w:val="22"/>
          <w:u w:val="single"/>
        </w:rPr>
        <w:t>Erstatning for påbud eller forbud</w:t>
      </w:r>
      <w:r w:rsidR="00136986">
        <w:rPr>
          <w:szCs w:val="22"/>
          <w:u w:val="single"/>
        </w:rPr>
        <w:t xml:space="preserve"> og taksation</w:t>
      </w:r>
    </w:p>
    <w:p w14:paraId="1623C912" w14:textId="4667353C" w:rsidR="00915536" w:rsidRDefault="00136986" w:rsidP="00FE7E77">
      <w:pPr>
        <w:rPr>
          <w:szCs w:val="22"/>
        </w:rPr>
      </w:pPr>
      <w:r>
        <w:rPr>
          <w:szCs w:val="22"/>
        </w:rPr>
        <w:t>Der ind</w:t>
      </w:r>
      <w:r w:rsidR="004A0937">
        <w:rPr>
          <w:szCs w:val="22"/>
        </w:rPr>
        <w:t>sættes en erstatningsbestemmelse i miljøbeskyttelseslovens § 64 e, idet p</w:t>
      </w:r>
      <w:r w:rsidR="00915536">
        <w:rPr>
          <w:szCs w:val="22"/>
        </w:rPr>
        <w:t xml:space="preserve">åbud eller forbud efter § 24 a, stk. 1, skal modsvares af fuld erstatning til den pågældende </w:t>
      </w:r>
      <w:r w:rsidR="00BB401C">
        <w:rPr>
          <w:szCs w:val="22"/>
        </w:rPr>
        <w:t>grund</w:t>
      </w:r>
      <w:r w:rsidR="00915536">
        <w:rPr>
          <w:szCs w:val="22"/>
        </w:rPr>
        <w:t>ejer</w:t>
      </w:r>
      <w:r w:rsidR="00C24968">
        <w:rPr>
          <w:szCs w:val="22"/>
        </w:rPr>
        <w:t>,</w:t>
      </w:r>
      <w:r w:rsidR="004106B9">
        <w:rPr>
          <w:szCs w:val="22"/>
        </w:rPr>
        <w:t xml:space="preserve"> </w:t>
      </w:r>
      <w:r w:rsidR="004A0937">
        <w:rPr>
          <w:szCs w:val="22"/>
        </w:rPr>
        <w:t>der omfattes af kommunens påbud eller forbud</w:t>
      </w:r>
      <w:r w:rsidR="00E175FF">
        <w:rPr>
          <w:szCs w:val="22"/>
        </w:rPr>
        <w:t xml:space="preserve"> og som kan få et økonomisk tab som følge heraf</w:t>
      </w:r>
      <w:r w:rsidR="004A0937">
        <w:rPr>
          <w:szCs w:val="22"/>
        </w:rPr>
        <w:t xml:space="preserve">. </w:t>
      </w:r>
      <w:r w:rsidR="004E1CB0">
        <w:rPr>
          <w:szCs w:val="22"/>
        </w:rPr>
        <w:t>Af denne vil det fremgå, at erstatning for påbud eller forbud efter § 24 a</w:t>
      </w:r>
      <w:r w:rsidR="00953293">
        <w:rPr>
          <w:szCs w:val="22"/>
        </w:rPr>
        <w:t xml:space="preserve"> skal betales af de forbrugere af vandet, der har fordel af beskyttelsen. </w:t>
      </w:r>
    </w:p>
    <w:p w14:paraId="75E57D98" w14:textId="77777777" w:rsidR="00953293" w:rsidRDefault="00953293" w:rsidP="00FE7E77">
      <w:pPr>
        <w:rPr>
          <w:szCs w:val="22"/>
        </w:rPr>
      </w:pPr>
    </w:p>
    <w:p w14:paraId="00102A0E" w14:textId="2CBAA170" w:rsidR="00953293" w:rsidRDefault="00953293" w:rsidP="00FE7E77">
      <w:pPr>
        <w:rPr>
          <w:szCs w:val="22"/>
        </w:rPr>
      </w:pPr>
      <w:r>
        <w:rPr>
          <w:szCs w:val="22"/>
        </w:rPr>
        <w:t>Det betyder i praksis, at det er de forbrugere, der får vand fra den boring, hvori beskyttelsen gælder</w:t>
      </w:r>
      <w:r w:rsidR="00AC36C4">
        <w:rPr>
          <w:szCs w:val="22"/>
        </w:rPr>
        <w:t>,</w:t>
      </w:r>
      <w:r>
        <w:rPr>
          <w:szCs w:val="22"/>
        </w:rPr>
        <w:t xml:space="preserve"> der skal betale for erstatningen. Udgiften vil blive dækket ved en forhøjelse af vandtaksten</w:t>
      </w:r>
      <w:r w:rsidR="00AC36C4">
        <w:rPr>
          <w:szCs w:val="22"/>
        </w:rPr>
        <w:t xml:space="preserve"> eller det faste årlige bidrag.</w:t>
      </w:r>
    </w:p>
    <w:p w14:paraId="672D279C" w14:textId="4DF26CE9" w:rsidR="00EC65CB" w:rsidRDefault="00EC65CB" w:rsidP="00FE7E77">
      <w:pPr>
        <w:rPr>
          <w:szCs w:val="22"/>
        </w:rPr>
      </w:pPr>
    </w:p>
    <w:p w14:paraId="072A1C0D" w14:textId="0ED01F4E" w:rsidR="00953293" w:rsidRDefault="00D81AE6" w:rsidP="00FE7E77">
      <w:pPr>
        <w:rPr>
          <w:szCs w:val="22"/>
        </w:rPr>
      </w:pPr>
      <w:r>
        <w:t>Udgifterne til erstatning i forbindelse med påbud eller forbud mod erhvervsmæssig anvendelse af pesticider i BNBO forventes at resultere i en marginal gennemsnitlig stigning i vandtaksten. Private borgere ventes at få en gennemsnitlig takststigning på 3 øre per m</w:t>
      </w:r>
      <w:r w:rsidRPr="002F6EE9">
        <w:rPr>
          <w:vertAlign w:val="superscript"/>
        </w:rPr>
        <w:t>3</w:t>
      </w:r>
      <w:r>
        <w:t>, svarende til 2,5 kr. årligt. En gennemsnitlig landbrugsbedrift ventes en gennemsnitlig takststigning på ca. 2 øre per m</w:t>
      </w:r>
      <w:r w:rsidRPr="002F6EE9">
        <w:rPr>
          <w:vertAlign w:val="superscript"/>
        </w:rPr>
        <w:t>3</w:t>
      </w:r>
      <w:r>
        <w:t>, svarende til ca. 22 kr. årligt. En gennemsnitlig erhvervsdrivende ventes at få en takststigning på ca. 2 øre per m</w:t>
      </w:r>
      <w:r w:rsidRPr="002F6EE9">
        <w:rPr>
          <w:vertAlign w:val="superscript"/>
        </w:rPr>
        <w:t>3</w:t>
      </w:r>
      <w:r>
        <w:t>, svarende til ca. 11 kr. årligt.</w:t>
      </w:r>
    </w:p>
    <w:p w14:paraId="7B4E0CF0" w14:textId="77777777" w:rsidR="00D81AE6" w:rsidRDefault="00D81AE6" w:rsidP="00FE7E77">
      <w:pPr>
        <w:rPr>
          <w:szCs w:val="22"/>
        </w:rPr>
      </w:pPr>
    </w:p>
    <w:p w14:paraId="7582E4B4" w14:textId="6DA558D6" w:rsidR="00953293" w:rsidRDefault="00953293" w:rsidP="00FE7E77">
      <w:pPr>
        <w:rPr>
          <w:szCs w:val="22"/>
        </w:rPr>
      </w:pPr>
      <w:r>
        <w:rPr>
          <w:szCs w:val="22"/>
        </w:rPr>
        <w:t>Det er kommunen, der fastsætter erstatningsniveau</w:t>
      </w:r>
      <w:r w:rsidR="003D6951">
        <w:rPr>
          <w:szCs w:val="22"/>
        </w:rPr>
        <w:t>et</w:t>
      </w:r>
      <w:r>
        <w:rPr>
          <w:szCs w:val="22"/>
        </w:rPr>
        <w:t xml:space="preserve"> ud fra en samlet vurdering af det økonomiske tab, som den pågældende grundejer </w:t>
      </w:r>
      <w:r w:rsidR="004F26DC">
        <w:rPr>
          <w:szCs w:val="22"/>
        </w:rPr>
        <w:t xml:space="preserve">forventes at have. </w:t>
      </w:r>
      <w:r w:rsidR="00BB401C">
        <w:rPr>
          <w:szCs w:val="22"/>
        </w:rPr>
        <w:t>Fastsættelsen af erstatningens størrelse afgøre</w:t>
      </w:r>
      <w:r w:rsidR="00C667B0">
        <w:rPr>
          <w:szCs w:val="22"/>
        </w:rPr>
        <w:t>s af kommunen</w:t>
      </w:r>
      <w:r w:rsidR="00BB401C">
        <w:rPr>
          <w:szCs w:val="22"/>
        </w:rPr>
        <w:t xml:space="preserve"> og vil kunne påklages til taksationskommissionen af grundejer og vandforsyning.</w:t>
      </w:r>
    </w:p>
    <w:p w14:paraId="398CCDE9" w14:textId="77777777" w:rsidR="00B127FC" w:rsidRDefault="00B127FC" w:rsidP="00FE7E77">
      <w:pPr>
        <w:rPr>
          <w:szCs w:val="22"/>
        </w:rPr>
      </w:pPr>
    </w:p>
    <w:p w14:paraId="69C864F8" w14:textId="614DB01A" w:rsidR="00136986" w:rsidRDefault="00B127FC" w:rsidP="00FE7E77">
      <w:pPr>
        <w:rPr>
          <w:szCs w:val="22"/>
        </w:rPr>
      </w:pPr>
      <w:r>
        <w:rPr>
          <w:szCs w:val="22"/>
        </w:rPr>
        <w:t>Erstatningen skal</w:t>
      </w:r>
      <w:r w:rsidR="003D6951">
        <w:rPr>
          <w:szCs w:val="22"/>
        </w:rPr>
        <w:t>,</w:t>
      </w:r>
      <w:r>
        <w:rPr>
          <w:szCs w:val="22"/>
        </w:rPr>
        <w:t xml:space="preserve"> uanset om sagen </w:t>
      </w:r>
      <w:r w:rsidR="00BB401C">
        <w:rPr>
          <w:szCs w:val="22"/>
        </w:rPr>
        <w:t xml:space="preserve">påklages </w:t>
      </w:r>
      <w:r>
        <w:rPr>
          <w:szCs w:val="22"/>
        </w:rPr>
        <w:t>til taksationskommissionen</w:t>
      </w:r>
      <w:r w:rsidR="003D6951">
        <w:rPr>
          <w:szCs w:val="22"/>
        </w:rPr>
        <w:t>,</w:t>
      </w:r>
      <w:r>
        <w:rPr>
          <w:szCs w:val="22"/>
        </w:rPr>
        <w:t xml:space="preserve"> udbetales </w:t>
      </w:r>
      <w:r w:rsidR="00BB401C">
        <w:rPr>
          <w:szCs w:val="22"/>
        </w:rPr>
        <w:t xml:space="preserve">senest samtidigt med, at påbud eller forbud skal efterleves af grundejeren. Hvis der klages over erstatningens størrelse til taksationskommissionen, vil dette </w:t>
      </w:r>
      <w:r w:rsidR="009B4809">
        <w:rPr>
          <w:szCs w:val="22"/>
        </w:rPr>
        <w:t>således ikke have opsættende virkning.</w:t>
      </w:r>
    </w:p>
    <w:p w14:paraId="0950AB73" w14:textId="77777777" w:rsidR="00136986" w:rsidRDefault="00136986" w:rsidP="00FE7E77">
      <w:pPr>
        <w:rPr>
          <w:szCs w:val="22"/>
        </w:rPr>
      </w:pPr>
    </w:p>
    <w:p w14:paraId="69C44978" w14:textId="7C69BB32" w:rsidR="00B127FC" w:rsidRDefault="00914315" w:rsidP="00FE7E77">
      <w:pPr>
        <w:rPr>
          <w:szCs w:val="22"/>
        </w:rPr>
      </w:pPr>
      <w:r>
        <w:rPr>
          <w:szCs w:val="22"/>
        </w:rPr>
        <w:t xml:space="preserve">Hvis taksationskommissionen </w:t>
      </w:r>
      <w:r w:rsidR="00483C2A">
        <w:rPr>
          <w:szCs w:val="22"/>
        </w:rPr>
        <w:t xml:space="preserve">afsiger en kendelse </w:t>
      </w:r>
      <w:r>
        <w:rPr>
          <w:szCs w:val="22"/>
        </w:rPr>
        <w:t>om en erstatning, der enten er højere eller lavere end den erstatning, der er blevet udbetalt i forbindelse med påbud eller forbud</w:t>
      </w:r>
      <w:r w:rsidR="00483C2A">
        <w:rPr>
          <w:szCs w:val="22"/>
        </w:rPr>
        <w:t>,</w:t>
      </w:r>
      <w:r w:rsidR="00A62578">
        <w:rPr>
          <w:szCs w:val="22"/>
        </w:rPr>
        <w:t xml:space="preserve"> og denne afgørelse er endelig, vil dette få betydning for den erstatning, som grundejer har fået udbetalt. Efterreguleringen af </w:t>
      </w:r>
      <w:r w:rsidR="009D1D38">
        <w:rPr>
          <w:szCs w:val="22"/>
        </w:rPr>
        <w:t>erstatningsbeløbet vil ske enten ved tilbagesøgning eller efterbetaling til grundejeren.</w:t>
      </w:r>
    </w:p>
    <w:p w14:paraId="2A437B07" w14:textId="77777777" w:rsidR="004A0937" w:rsidRDefault="004A0937" w:rsidP="00FE7E77">
      <w:pPr>
        <w:rPr>
          <w:szCs w:val="22"/>
        </w:rPr>
      </w:pPr>
    </w:p>
    <w:p w14:paraId="79D38DBC" w14:textId="77777777" w:rsidR="00695CB2" w:rsidRPr="00695CB2" w:rsidRDefault="00695CB2" w:rsidP="00FE7E77">
      <w:pPr>
        <w:rPr>
          <w:szCs w:val="22"/>
          <w:u w:val="single"/>
        </w:rPr>
      </w:pPr>
      <w:r w:rsidRPr="00695CB2">
        <w:rPr>
          <w:szCs w:val="22"/>
          <w:u w:val="single"/>
        </w:rPr>
        <w:t>Klager over påbud eller forbud efter § 24 a</w:t>
      </w:r>
    </w:p>
    <w:p w14:paraId="43F16F77" w14:textId="0305E4C9" w:rsidR="004A0937" w:rsidRDefault="004A0937" w:rsidP="00FE7E77">
      <w:pPr>
        <w:rPr>
          <w:szCs w:val="22"/>
        </w:rPr>
      </w:pPr>
      <w:r>
        <w:rPr>
          <w:szCs w:val="22"/>
        </w:rPr>
        <w:t>Påbud eller forbud efter § 24 a vil kunne påklages til Miljø- og Fødevareklagenævnet efter gældende regler i miljøbeskyttelseslovens § 91.</w:t>
      </w:r>
    </w:p>
    <w:p w14:paraId="204DFFF9" w14:textId="77777777" w:rsidR="00695CB2" w:rsidRDefault="00695CB2" w:rsidP="00FE7E77">
      <w:pPr>
        <w:rPr>
          <w:szCs w:val="22"/>
        </w:rPr>
      </w:pPr>
    </w:p>
    <w:p w14:paraId="5C69E9BD" w14:textId="7F3F60A0" w:rsidR="00136986" w:rsidRDefault="004A0937" w:rsidP="00FE7E77">
      <w:pPr>
        <w:rPr>
          <w:szCs w:val="22"/>
        </w:rPr>
      </w:pPr>
      <w:r>
        <w:rPr>
          <w:szCs w:val="22"/>
        </w:rPr>
        <w:t>Der indsættes imidlertid et nyt stykke i miljøbeskyttelseslovens § 95, stk. 3, hvorefter klage</w:t>
      </w:r>
      <w:r w:rsidR="00AC36C4">
        <w:rPr>
          <w:szCs w:val="22"/>
        </w:rPr>
        <w:t>r</w:t>
      </w:r>
      <w:r>
        <w:rPr>
          <w:szCs w:val="22"/>
        </w:rPr>
        <w:t xml:space="preserve"> over afgørelser efter § 24 a som udgangspunkt</w:t>
      </w:r>
      <w:r w:rsidR="0084629D">
        <w:rPr>
          <w:szCs w:val="22"/>
        </w:rPr>
        <w:t xml:space="preserve"> ikke får opsættende virkning, medmindre Miljø- og Fødevareklagenævnet bestemmer andet.</w:t>
      </w:r>
      <w:r w:rsidR="00DF1A55">
        <w:rPr>
          <w:szCs w:val="22"/>
        </w:rPr>
        <w:t xml:space="preserve"> Det betyder, at </w:t>
      </w:r>
      <w:r w:rsidR="00EE531B">
        <w:rPr>
          <w:szCs w:val="22"/>
        </w:rPr>
        <w:t>tidspunktet for hvornår en grundejer skal efterleve et påbud eller forbud efter § 24 a ikke udskydes, indtil klagen er afgjort hos Miljø- og Fødevareklagenævnet.</w:t>
      </w:r>
    </w:p>
    <w:p w14:paraId="2D6AE5EE" w14:textId="77777777" w:rsidR="00136986" w:rsidRDefault="00136986" w:rsidP="00FE7E77">
      <w:pPr>
        <w:rPr>
          <w:szCs w:val="22"/>
        </w:rPr>
      </w:pPr>
    </w:p>
    <w:p w14:paraId="6B61C1D4" w14:textId="14C5F2D6" w:rsidR="004A0937" w:rsidRDefault="00DF1A55" w:rsidP="00FE7E77">
      <w:pPr>
        <w:rPr>
          <w:szCs w:val="22"/>
        </w:rPr>
      </w:pPr>
      <w:r>
        <w:rPr>
          <w:szCs w:val="22"/>
        </w:rPr>
        <w:t xml:space="preserve">Først hvis Miljø- og Fødevareklagenævnet kommer frem til, at et påbud eller forbud efter § 24 a ikke </w:t>
      </w:r>
      <w:r w:rsidR="00BB401C">
        <w:rPr>
          <w:szCs w:val="22"/>
        </w:rPr>
        <w:t xml:space="preserve">kan opretholdes, </w:t>
      </w:r>
      <w:r>
        <w:rPr>
          <w:szCs w:val="22"/>
        </w:rPr>
        <w:t>og afgørelsen herefter ikke længere er</w:t>
      </w:r>
      <w:r w:rsidR="000F5EB0">
        <w:rPr>
          <w:szCs w:val="22"/>
        </w:rPr>
        <w:t xml:space="preserve"> gældende, vil en grundejer igen kunne anvende pesticider inden for BNBO.</w:t>
      </w:r>
      <w:r w:rsidR="009B4809">
        <w:rPr>
          <w:szCs w:val="22"/>
        </w:rPr>
        <w:t xml:space="preserve"> </w:t>
      </w:r>
      <w:r w:rsidR="00373B86">
        <w:rPr>
          <w:szCs w:val="22"/>
        </w:rPr>
        <w:t>I de tilfælde</w:t>
      </w:r>
      <w:r w:rsidR="002F6EE9">
        <w:rPr>
          <w:szCs w:val="22"/>
        </w:rPr>
        <w:t>,</w:t>
      </w:r>
      <w:r w:rsidR="00373B86">
        <w:rPr>
          <w:szCs w:val="22"/>
        </w:rPr>
        <w:t xml:space="preserve"> hvor et påbud eller forbud ophæves, må vandforsyningen søge erstatningen tilbagebetalt efter dansk rets almindelige tilbagesøgningsregler, fratrukket det eventuelle tab som grundejeren måtte have lidt i den periode, hvor klagen er behandlet, og påbuddet eller forbuddet har været gældende.</w:t>
      </w:r>
    </w:p>
    <w:p w14:paraId="079BEB9E" w14:textId="03AAC247" w:rsidR="00EE531B" w:rsidRDefault="00EE531B" w:rsidP="00FE7E77">
      <w:pPr>
        <w:rPr>
          <w:szCs w:val="22"/>
        </w:rPr>
      </w:pPr>
    </w:p>
    <w:p w14:paraId="48EBC1E8" w14:textId="4A8FFEFC" w:rsidR="00EE531B" w:rsidRDefault="00EE531B" w:rsidP="00FE7E77">
      <w:pPr>
        <w:rPr>
          <w:szCs w:val="22"/>
        </w:rPr>
      </w:pPr>
      <w:r>
        <w:rPr>
          <w:szCs w:val="22"/>
        </w:rPr>
        <w:t xml:space="preserve">Ændringen om at klager over påbud eller forbud efter § 24 a ikke har opsættende virkning afviger fra udgangspunktet i miljøbeskyttelseslovens § 95, hvor det fremgår, at en klage har opsættende virkning for et påbud eller forbud, medmindre Miljø- og Fødevareklagenævnet bestemmer andet. Ændringen er begrundet i </w:t>
      </w:r>
      <w:r>
        <w:rPr>
          <w:szCs w:val="22"/>
        </w:rPr>
        <w:lastRenderedPageBreak/>
        <w:t>ønsket om at klager ikke skal udskyde den beskyttelse af drikkevandet som påbud eller forbud efter § 24 a medfører.</w:t>
      </w:r>
    </w:p>
    <w:p w14:paraId="62C1A0DD" w14:textId="766C808E" w:rsidR="00FE7061" w:rsidRDefault="00FE7061" w:rsidP="00FE7E77">
      <w:pPr>
        <w:rPr>
          <w:szCs w:val="22"/>
        </w:rPr>
      </w:pPr>
    </w:p>
    <w:p w14:paraId="3B8CBC10" w14:textId="77777777" w:rsidR="00D71FE7" w:rsidRDefault="00D71FE7" w:rsidP="00FE7E77">
      <w:pPr>
        <w:rPr>
          <w:szCs w:val="22"/>
        </w:rPr>
      </w:pPr>
    </w:p>
    <w:p w14:paraId="2F615FC2" w14:textId="17BB4190" w:rsidR="00FE7061" w:rsidRDefault="00FE7061" w:rsidP="00FE7E77">
      <w:pPr>
        <w:rPr>
          <w:szCs w:val="22"/>
          <w:u w:val="single"/>
        </w:rPr>
      </w:pPr>
      <w:r>
        <w:rPr>
          <w:szCs w:val="22"/>
          <w:u w:val="single"/>
        </w:rPr>
        <w:t>Ændring af § 21 b, stk. 2</w:t>
      </w:r>
      <w:r w:rsidR="00655B20">
        <w:rPr>
          <w:szCs w:val="22"/>
          <w:u w:val="single"/>
        </w:rPr>
        <w:t>,</w:t>
      </w:r>
      <w:r>
        <w:rPr>
          <w:szCs w:val="22"/>
          <w:u w:val="single"/>
        </w:rPr>
        <w:t xml:space="preserve"> i miljøbeskyttelsesloven</w:t>
      </w:r>
    </w:p>
    <w:p w14:paraId="412666AB" w14:textId="3D6AD6E2" w:rsidR="00FE7061" w:rsidRDefault="00FE7061" w:rsidP="00FE7E77">
      <w:pPr>
        <w:rPr>
          <w:szCs w:val="22"/>
        </w:rPr>
      </w:pPr>
      <w:r>
        <w:rPr>
          <w:szCs w:val="22"/>
        </w:rPr>
        <w:t>Endeligt foretages en ændring i § 21 b, stk. 2, således</w:t>
      </w:r>
      <w:r w:rsidR="00655B20">
        <w:rPr>
          <w:szCs w:val="22"/>
        </w:rPr>
        <w:t xml:space="preserve"> at</w:t>
      </w:r>
      <w:r>
        <w:rPr>
          <w:szCs w:val="22"/>
        </w:rPr>
        <w:t xml:space="preserve"> forbuddet mod anvendelse af pesticider inden for en radius på 25 m ikke længere gælder, hvis der træffes afgørelse om forbud mod anvendelse af pesticider efter den foreslåede §</w:t>
      </w:r>
      <w:r w:rsidR="002551C2">
        <w:rPr>
          <w:szCs w:val="22"/>
        </w:rPr>
        <w:t>§</w:t>
      </w:r>
      <w:r>
        <w:rPr>
          <w:szCs w:val="22"/>
        </w:rPr>
        <w:t xml:space="preserve"> 24 a eller den gældende 26 a.</w:t>
      </w:r>
      <w:r w:rsidR="001326FC">
        <w:rPr>
          <w:szCs w:val="22"/>
        </w:rPr>
        <w:t xml:space="preserve"> Ændringen vil også betyde, at grundejeren ikke længere vil kunne modtage den årlige godtgørelse som følger af § 64 c, idet vedkommende i stedet vil være omfattet af de erstatningsbestemmelser, der er tilknyttet </w:t>
      </w:r>
      <w:r w:rsidR="002551C2">
        <w:rPr>
          <w:szCs w:val="22"/>
        </w:rPr>
        <w:t>§</w:t>
      </w:r>
      <w:r w:rsidR="001326FC">
        <w:rPr>
          <w:szCs w:val="22"/>
        </w:rPr>
        <w:t>§ 24 a og 26 a, hhv. §</w:t>
      </w:r>
      <w:r w:rsidR="002551C2">
        <w:rPr>
          <w:szCs w:val="22"/>
        </w:rPr>
        <w:t>§</w:t>
      </w:r>
      <w:r w:rsidR="001326FC">
        <w:rPr>
          <w:szCs w:val="22"/>
        </w:rPr>
        <w:t xml:space="preserve"> 64 </w:t>
      </w:r>
      <w:r w:rsidR="00EC65CB">
        <w:rPr>
          <w:szCs w:val="22"/>
        </w:rPr>
        <w:t xml:space="preserve">e </w:t>
      </w:r>
      <w:r w:rsidR="001326FC">
        <w:rPr>
          <w:szCs w:val="22"/>
        </w:rPr>
        <w:t xml:space="preserve">og 64 </w:t>
      </w:r>
      <w:r w:rsidR="002551C2">
        <w:rPr>
          <w:szCs w:val="22"/>
        </w:rPr>
        <w:t>e</w:t>
      </w:r>
      <w:r w:rsidR="001D21F2">
        <w:rPr>
          <w:szCs w:val="22"/>
        </w:rPr>
        <w:t xml:space="preserve"> i miljøbeskyttelsesloven</w:t>
      </w:r>
      <w:r w:rsidR="001326FC">
        <w:rPr>
          <w:szCs w:val="22"/>
        </w:rPr>
        <w:t>.</w:t>
      </w:r>
    </w:p>
    <w:p w14:paraId="453313A5" w14:textId="5385765C" w:rsidR="001326FC" w:rsidRDefault="001326FC" w:rsidP="00FE7E77">
      <w:pPr>
        <w:rPr>
          <w:szCs w:val="22"/>
        </w:rPr>
      </w:pPr>
    </w:p>
    <w:p w14:paraId="421A83F5" w14:textId="41FC8AC8" w:rsidR="001326FC" w:rsidRDefault="001326FC" w:rsidP="00FE7E77">
      <w:pPr>
        <w:rPr>
          <w:szCs w:val="22"/>
        </w:rPr>
      </w:pPr>
      <w:r>
        <w:rPr>
          <w:szCs w:val="22"/>
        </w:rPr>
        <w:t>Tilføjelsen af § 24 a i § 21 b, stk. 2</w:t>
      </w:r>
      <w:r w:rsidR="002551C2">
        <w:rPr>
          <w:szCs w:val="22"/>
        </w:rPr>
        <w:t>,</w:t>
      </w:r>
      <w:r>
        <w:rPr>
          <w:szCs w:val="22"/>
        </w:rPr>
        <w:t xml:space="preserve"> er begrundet i at sikre sammenhæng med de øvrige beskyttelsesindsatser, der har til formål at beskytte drikkevandet og undgå, at typer forbud, som i deres anvendelsesområde og indhold er ens, gælder i samme område</w:t>
      </w:r>
      <w:r w:rsidR="001D21F2">
        <w:rPr>
          <w:szCs w:val="22"/>
        </w:rPr>
        <w:t>, og at der i øvrigt gives erstatning to gange.</w:t>
      </w:r>
    </w:p>
    <w:p w14:paraId="346B3F67" w14:textId="116C25D1" w:rsidR="001326FC" w:rsidRDefault="001326FC" w:rsidP="00FE7E77">
      <w:pPr>
        <w:rPr>
          <w:szCs w:val="22"/>
        </w:rPr>
      </w:pPr>
    </w:p>
    <w:p w14:paraId="7CF37CC4" w14:textId="10BCB1DD" w:rsidR="001326FC" w:rsidRPr="00FE7061" w:rsidRDefault="001326FC" w:rsidP="00FE7E77">
      <w:pPr>
        <w:rPr>
          <w:szCs w:val="22"/>
        </w:rPr>
      </w:pPr>
      <w:r>
        <w:rPr>
          <w:szCs w:val="22"/>
        </w:rPr>
        <w:t xml:space="preserve">Tilføjelsen af § 26 a i § 21 b, stk. 2, er begrundet i, at Miljøministeriet finder, </w:t>
      </w:r>
      <w:r w:rsidR="000C104A">
        <w:rPr>
          <w:szCs w:val="22"/>
        </w:rPr>
        <w:t>at afgørelser efter § 26 a inden for en radius af 25 meter fra boringen i praksis i forvejen fører til, at beskyttelsen efter § 21 b, stk. 1</w:t>
      </w:r>
      <w:r w:rsidR="002551C2">
        <w:rPr>
          <w:szCs w:val="22"/>
        </w:rPr>
        <w:t>,</w:t>
      </w:r>
      <w:r w:rsidR="000C104A">
        <w:rPr>
          <w:szCs w:val="22"/>
        </w:rPr>
        <w:t xml:space="preserve"> </w:t>
      </w:r>
      <w:r w:rsidR="00D65A37">
        <w:rPr>
          <w:szCs w:val="22"/>
        </w:rPr>
        <w:t>gør at en afgørelse efter § 26 a træder i stedet for beskyttelsen i stk. 1, hvis beskyttelsen er tilsvarende</w:t>
      </w:r>
      <w:r w:rsidR="000C104A">
        <w:rPr>
          <w:szCs w:val="22"/>
        </w:rPr>
        <w:t xml:space="preserve">. Formålet med at indsætte § 26 a er således at tydeliggøre dette i selve bestemmelsen og i øvrigt sikre sammenhæng med, hvad der allerede gælder </w:t>
      </w:r>
      <w:proofErr w:type="spellStart"/>
      <w:r w:rsidR="000C104A">
        <w:rPr>
          <w:szCs w:val="22"/>
        </w:rPr>
        <w:t>fsva</w:t>
      </w:r>
      <w:proofErr w:type="spellEnd"/>
      <w:r w:rsidR="000C104A">
        <w:rPr>
          <w:szCs w:val="22"/>
        </w:rPr>
        <w:t xml:space="preserve">. </w:t>
      </w:r>
      <w:r w:rsidR="001D21F2">
        <w:rPr>
          <w:szCs w:val="22"/>
        </w:rPr>
        <w:t xml:space="preserve">afgørelser efter § 24, og hvad der kommer til at gælde </w:t>
      </w:r>
      <w:proofErr w:type="spellStart"/>
      <w:r w:rsidR="001D21F2">
        <w:rPr>
          <w:szCs w:val="22"/>
        </w:rPr>
        <w:t>fsva</w:t>
      </w:r>
      <w:proofErr w:type="spellEnd"/>
      <w:r w:rsidR="001D21F2">
        <w:rPr>
          <w:szCs w:val="22"/>
        </w:rPr>
        <w:t>. den foreslåede § 24 a.</w:t>
      </w:r>
    </w:p>
    <w:p w14:paraId="15586251" w14:textId="77777777" w:rsidR="00E175FF" w:rsidRDefault="00E175FF" w:rsidP="00FE7E77">
      <w:pPr>
        <w:rPr>
          <w:szCs w:val="22"/>
        </w:rPr>
      </w:pPr>
    </w:p>
    <w:p w14:paraId="7AC06A4E" w14:textId="331ECD88" w:rsidR="009E6962" w:rsidRDefault="004E1CB0" w:rsidP="00FE7E77">
      <w:pPr>
        <w:rPr>
          <w:szCs w:val="22"/>
        </w:rPr>
      </w:pPr>
      <w:r>
        <w:rPr>
          <w:szCs w:val="22"/>
        </w:rPr>
        <w:t>Bekendtgørelse</w:t>
      </w:r>
      <w:r w:rsidR="00695CB2">
        <w:rPr>
          <w:szCs w:val="22"/>
        </w:rPr>
        <w:t xml:space="preserve">n der udmønter bemyndigelserne i de foreslåede § 24 a, stk. </w:t>
      </w:r>
      <w:r w:rsidR="00136986">
        <w:rPr>
          <w:szCs w:val="22"/>
        </w:rPr>
        <w:t>5</w:t>
      </w:r>
      <w:r w:rsidR="002551C2">
        <w:rPr>
          <w:szCs w:val="22"/>
        </w:rPr>
        <w:t>,</w:t>
      </w:r>
      <w:r w:rsidR="00695CB2">
        <w:rPr>
          <w:szCs w:val="22"/>
        </w:rPr>
        <w:t xml:space="preserve"> og § 13 f, stk. </w:t>
      </w:r>
      <w:r w:rsidR="00136986">
        <w:rPr>
          <w:szCs w:val="22"/>
        </w:rPr>
        <w:t>3</w:t>
      </w:r>
      <w:r w:rsidR="002551C2">
        <w:rPr>
          <w:szCs w:val="22"/>
        </w:rPr>
        <w:t xml:space="preserve">, </w:t>
      </w:r>
      <w:r w:rsidR="00792200">
        <w:rPr>
          <w:szCs w:val="22"/>
        </w:rPr>
        <w:t>vil komme i høring i løbet af foråret 2024</w:t>
      </w:r>
      <w:r w:rsidR="00ED48E3">
        <w:rPr>
          <w:szCs w:val="22"/>
        </w:rPr>
        <w:t xml:space="preserve"> med forventet ikrafttræden 1. juli 2024.</w:t>
      </w:r>
    </w:p>
    <w:p w14:paraId="42BB2AF8" w14:textId="7C26795A" w:rsidR="009E6962" w:rsidRDefault="009E6962" w:rsidP="00FE7E77">
      <w:pPr>
        <w:rPr>
          <w:szCs w:val="22"/>
        </w:rPr>
      </w:pPr>
    </w:p>
    <w:p w14:paraId="6B0A6409" w14:textId="4FA0B98E" w:rsidR="00282190" w:rsidRDefault="00282190" w:rsidP="00FE7E77">
      <w:pPr>
        <w:rPr>
          <w:szCs w:val="22"/>
        </w:rPr>
      </w:pPr>
      <w:r>
        <w:rPr>
          <w:szCs w:val="22"/>
        </w:rPr>
        <w:t>BNBO-vejledningen der bl.a. skal uddybe ovenstående regler vil blive opdateret i overensstemmelse med de nye regler.</w:t>
      </w:r>
    </w:p>
    <w:p w14:paraId="5EDC0280" w14:textId="77777777" w:rsidR="00282190" w:rsidRDefault="00282190" w:rsidP="00FE7E77">
      <w:pPr>
        <w:rPr>
          <w:szCs w:val="22"/>
        </w:rPr>
      </w:pPr>
    </w:p>
    <w:p w14:paraId="216C5705" w14:textId="21178669" w:rsidR="009E6962" w:rsidRDefault="00ED48E3" w:rsidP="00FE7E77">
      <w:pPr>
        <w:rPr>
          <w:szCs w:val="22"/>
        </w:rPr>
      </w:pPr>
      <w:r>
        <w:rPr>
          <w:szCs w:val="22"/>
        </w:rPr>
        <w:t xml:space="preserve">Ændringerne i vandforsyningsloven og miljøbeskyttelsesloven vil ligeledes træde i kraft d. 1. juli 2024. </w:t>
      </w:r>
    </w:p>
    <w:p w14:paraId="1E8C2065" w14:textId="00C389A7" w:rsidR="00D71FE7" w:rsidRDefault="00D71FE7" w:rsidP="00FE7E77">
      <w:pPr>
        <w:rPr>
          <w:szCs w:val="22"/>
        </w:rPr>
      </w:pPr>
    </w:p>
    <w:p w14:paraId="5142A29F" w14:textId="3B72211B" w:rsidR="00D71FE7" w:rsidRPr="00DF49D6" w:rsidRDefault="00D71FE7" w:rsidP="00FE7E77">
      <w:pPr>
        <w:rPr>
          <w:szCs w:val="22"/>
        </w:rPr>
      </w:pPr>
      <w:r>
        <w:rPr>
          <w:szCs w:val="22"/>
        </w:rPr>
        <w:t xml:space="preserve">Høringssvar bedes sendt til </w:t>
      </w:r>
      <w:hyperlink r:id="rId7" w:history="1">
        <w:r w:rsidRPr="009269ED">
          <w:rPr>
            <w:rStyle w:val="Hyperlink"/>
            <w:szCs w:val="22"/>
          </w:rPr>
          <w:t>mim@mim.dk</w:t>
        </w:r>
      </w:hyperlink>
      <w:r>
        <w:rPr>
          <w:szCs w:val="22"/>
        </w:rPr>
        <w:t xml:space="preserve"> med </w:t>
      </w:r>
      <w:hyperlink r:id="rId8" w:history="1">
        <w:r w:rsidRPr="009269ED">
          <w:rPr>
            <w:rStyle w:val="Hyperlink"/>
            <w:szCs w:val="22"/>
          </w:rPr>
          <w:t>simaj@mim.dk</w:t>
        </w:r>
      </w:hyperlink>
      <w:r>
        <w:rPr>
          <w:szCs w:val="22"/>
        </w:rPr>
        <w:t xml:space="preserve"> cc og angivelse af journalnummer 202</w:t>
      </w:r>
      <w:r w:rsidR="00534A47">
        <w:rPr>
          <w:szCs w:val="22"/>
        </w:rPr>
        <w:t>3-6520.</w:t>
      </w:r>
    </w:p>
    <w:p w14:paraId="5BE1BF7F" w14:textId="77777777" w:rsidR="00DA473F" w:rsidRPr="00DF49D6" w:rsidRDefault="00DA473F" w:rsidP="00EE0137">
      <w:pPr>
        <w:rPr>
          <w:szCs w:val="22"/>
        </w:rPr>
      </w:pPr>
    </w:p>
    <w:p w14:paraId="4FDE2FF3" w14:textId="01F544E3" w:rsidR="00EE0137" w:rsidRPr="00DF49D6" w:rsidRDefault="00DF49D6" w:rsidP="00EE0137">
      <w:pPr>
        <w:keepNext/>
        <w:keepLines/>
        <w:rPr>
          <w:szCs w:val="22"/>
        </w:rPr>
      </w:pPr>
      <w:bookmarkStart w:id="1" w:name="LAN_YoursSincerely"/>
      <w:r w:rsidRPr="00DF49D6">
        <w:rPr>
          <w:szCs w:val="22"/>
        </w:rPr>
        <w:t>Med venlig hilsen</w:t>
      </w:r>
      <w:bookmarkEnd w:id="1"/>
    </w:p>
    <w:p w14:paraId="19E26D39" w14:textId="77777777" w:rsidR="00EE0137" w:rsidRPr="00DF49D6" w:rsidRDefault="00EE0137" w:rsidP="00EE0137">
      <w:pPr>
        <w:keepNext/>
        <w:keepLines/>
        <w:tabs>
          <w:tab w:val="left" w:pos="4644"/>
        </w:tabs>
        <w:rPr>
          <w:szCs w:val="22"/>
        </w:rPr>
      </w:pPr>
    </w:p>
    <w:p w14:paraId="1E84E56C" w14:textId="77777777" w:rsidR="00EE0137" w:rsidRPr="00DF49D6" w:rsidRDefault="00DF49D6" w:rsidP="00EE0137">
      <w:pPr>
        <w:keepNext/>
        <w:keepLines/>
        <w:rPr>
          <w:szCs w:val="22"/>
        </w:rPr>
      </w:pPr>
      <w:bookmarkStart w:id="2" w:name="USR_Name"/>
      <w:bookmarkStart w:id="3" w:name="USR_Name_HIF"/>
      <w:r w:rsidRPr="00DF49D6">
        <w:rPr>
          <w:szCs w:val="22"/>
        </w:rPr>
        <w:t>Simon Jacobsen</w:t>
      </w:r>
      <w:bookmarkEnd w:id="2"/>
    </w:p>
    <w:p w14:paraId="6B621F2C" w14:textId="77777777" w:rsidR="00A77855" w:rsidRPr="00DF49D6" w:rsidRDefault="00DF49D6" w:rsidP="00EE0137">
      <w:pPr>
        <w:keepNext/>
        <w:keepLines/>
        <w:rPr>
          <w:szCs w:val="22"/>
        </w:rPr>
      </w:pPr>
      <w:bookmarkStart w:id="4" w:name="USR_Title"/>
      <w:bookmarkStart w:id="5" w:name="USR_Title_HIF"/>
      <w:bookmarkEnd w:id="3"/>
      <w:r w:rsidRPr="00DF49D6">
        <w:rPr>
          <w:szCs w:val="22"/>
        </w:rPr>
        <w:t>Fuldmægtig</w:t>
      </w:r>
      <w:bookmarkEnd w:id="4"/>
    </w:p>
    <w:p w14:paraId="2E52CB01" w14:textId="77777777" w:rsidR="00EE0137" w:rsidRPr="00DF49D6" w:rsidRDefault="00DF49D6" w:rsidP="00EE0137">
      <w:pPr>
        <w:keepNext/>
        <w:keepLines/>
        <w:rPr>
          <w:szCs w:val="22"/>
        </w:rPr>
      </w:pPr>
      <w:bookmarkStart w:id="6" w:name="USR_DirectPhone"/>
      <w:bookmarkStart w:id="7" w:name="USR_DirectPhone_HIF"/>
      <w:bookmarkEnd w:id="5"/>
      <w:r w:rsidRPr="00DF49D6">
        <w:rPr>
          <w:szCs w:val="22"/>
        </w:rPr>
        <w:t>+45 24 41 57 93</w:t>
      </w:r>
      <w:bookmarkEnd w:id="6"/>
    </w:p>
    <w:p w14:paraId="3942AE1F" w14:textId="77777777" w:rsidR="00EE0137" w:rsidRPr="00DF49D6" w:rsidRDefault="00DF49D6" w:rsidP="00EE0137">
      <w:pPr>
        <w:rPr>
          <w:szCs w:val="22"/>
        </w:rPr>
      </w:pPr>
      <w:bookmarkStart w:id="8" w:name="USR_Email"/>
      <w:bookmarkEnd w:id="7"/>
      <w:r w:rsidRPr="00DF49D6">
        <w:rPr>
          <w:szCs w:val="22"/>
        </w:rPr>
        <w:t>simaj@mim.dk</w:t>
      </w:r>
      <w:bookmarkEnd w:id="8"/>
    </w:p>
    <w:p w14:paraId="4E1E9D0C" w14:textId="77777777" w:rsidR="00EC1285" w:rsidRPr="00DF49D6" w:rsidRDefault="00EC1285" w:rsidP="001A4D56">
      <w:pPr>
        <w:rPr>
          <w:szCs w:val="22"/>
        </w:rPr>
      </w:pPr>
    </w:p>
    <w:sectPr w:rsidR="00EC1285" w:rsidRPr="00DF49D6" w:rsidSect="0048667B">
      <w:headerReference w:type="default" r:id="rId9"/>
      <w:footerReference w:type="even" r:id="rId10"/>
      <w:footerReference w:type="default" r:id="rId11"/>
      <w:headerReference w:type="first" r:id="rId12"/>
      <w:footerReference w:type="first" r:id="rId13"/>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89F80" w14:textId="77777777" w:rsidR="008922DD" w:rsidRDefault="008922DD">
      <w:r>
        <w:separator/>
      </w:r>
    </w:p>
  </w:endnote>
  <w:endnote w:type="continuationSeparator" w:id="0">
    <w:p w14:paraId="7176F79E" w14:textId="77777777" w:rsidR="008922DD" w:rsidRDefault="0089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1734E"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570C5">
      <w:rPr>
        <w:rStyle w:val="Sidetal"/>
        <w:noProof/>
      </w:rPr>
      <w:t>1</w:t>
    </w:r>
    <w:r>
      <w:rPr>
        <w:rStyle w:val="Sidetal"/>
      </w:rPr>
      <w:fldChar w:fldCharType="end"/>
    </w:r>
  </w:p>
  <w:p w14:paraId="05113767"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37D1" w14:textId="77777777"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BC56EA">
      <w:rPr>
        <w:rStyle w:val="Sidetal"/>
        <w:noProof/>
      </w:rPr>
      <w:t>2</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4A94" w14:textId="77777777" w:rsidR="00EE0137" w:rsidRPr="00DF49D6" w:rsidRDefault="00DF49D6" w:rsidP="00EE0137">
    <w:pPr>
      <w:pStyle w:val="Template-Address"/>
    </w:pPr>
    <w:bookmarkStart w:id="27" w:name="OFF_Institution"/>
    <w:bookmarkStart w:id="28" w:name="OFF_InstitutionHIF"/>
    <w:bookmarkStart w:id="29" w:name="XIF_MMFirstAddressLine"/>
    <w:r w:rsidRPr="00DF49D6">
      <w:t>Miljøministeriet</w:t>
    </w:r>
    <w:bookmarkEnd w:id="27"/>
    <w:r w:rsidR="00EE0137" w:rsidRPr="00DF49D6">
      <w:t xml:space="preserve"> </w:t>
    </w:r>
    <w:bookmarkEnd w:id="28"/>
    <w:r w:rsidR="00EE0137" w:rsidRPr="00DF49D6">
      <w:t xml:space="preserve">• </w:t>
    </w:r>
    <w:bookmarkStart w:id="30" w:name="OFF_AddressA"/>
    <w:bookmarkStart w:id="31" w:name="OFF_AddressAHIF"/>
    <w:r w:rsidRPr="00DF49D6">
      <w:t>Frederiksholms Kanal 26</w:t>
    </w:r>
    <w:bookmarkEnd w:id="30"/>
    <w:r w:rsidR="00EE0137" w:rsidRPr="00DF49D6">
      <w:t xml:space="preserve"> </w:t>
    </w:r>
    <w:bookmarkEnd w:id="31"/>
    <w:r w:rsidR="00EE0137" w:rsidRPr="00DF49D6">
      <w:rPr>
        <w:vanish/>
      </w:rPr>
      <w:t xml:space="preserve">• </w:t>
    </w:r>
    <w:bookmarkStart w:id="32" w:name="OFF_AddressB"/>
    <w:bookmarkStart w:id="33" w:name="OFF_AddressBHIF"/>
    <w:bookmarkEnd w:id="32"/>
    <w:r w:rsidR="00EE0137" w:rsidRPr="00DF49D6">
      <w:rPr>
        <w:vanish/>
      </w:rPr>
      <w:t xml:space="preserve"> </w:t>
    </w:r>
    <w:bookmarkEnd w:id="33"/>
    <w:r w:rsidR="00EE0137" w:rsidRPr="00DF49D6">
      <w:rPr>
        <w:vanish/>
      </w:rPr>
      <w:t xml:space="preserve">• </w:t>
    </w:r>
    <w:bookmarkStart w:id="34" w:name="OFF_AddressC"/>
    <w:bookmarkStart w:id="35" w:name="OFF_AddressCHIF"/>
    <w:bookmarkEnd w:id="34"/>
    <w:r w:rsidR="00EE0137" w:rsidRPr="00DF49D6">
      <w:rPr>
        <w:vanish/>
      </w:rPr>
      <w:t xml:space="preserve"> </w:t>
    </w:r>
    <w:bookmarkEnd w:id="35"/>
    <w:r w:rsidR="00EE0137" w:rsidRPr="00DF49D6">
      <w:t xml:space="preserve">• </w:t>
    </w:r>
    <w:bookmarkStart w:id="36" w:name="OFF_AddressD"/>
    <w:bookmarkStart w:id="37" w:name="OFF_AddressDHIF"/>
    <w:r w:rsidRPr="00DF49D6">
      <w:t>1220</w:t>
    </w:r>
    <w:bookmarkEnd w:id="36"/>
    <w:r w:rsidR="00EE0137" w:rsidRPr="00DF49D6">
      <w:t xml:space="preserve"> </w:t>
    </w:r>
    <w:bookmarkStart w:id="38" w:name="OFF_City"/>
    <w:r>
      <w:t>København K</w:t>
    </w:r>
    <w:bookmarkEnd w:id="38"/>
    <w:r w:rsidR="00EE0137" w:rsidRPr="00DF49D6">
      <w:t xml:space="preserve"> </w:t>
    </w:r>
    <w:bookmarkEnd w:id="37"/>
  </w:p>
  <w:p w14:paraId="1F5DB6BB" w14:textId="77777777" w:rsidR="00EE0137" w:rsidRPr="00956D3A" w:rsidRDefault="00DF49D6" w:rsidP="00EE0137">
    <w:pPr>
      <w:pStyle w:val="Template-Address"/>
    </w:pPr>
    <w:bookmarkStart w:id="39" w:name="LAN_Phone"/>
    <w:bookmarkStart w:id="40" w:name="OFF_PhoneHIF"/>
    <w:bookmarkStart w:id="41" w:name="XIF_MMSecondAddressLine"/>
    <w:bookmarkEnd w:id="29"/>
    <w:r w:rsidRPr="00DF49D6">
      <w:t>Tlf.</w:t>
    </w:r>
    <w:bookmarkEnd w:id="39"/>
    <w:r w:rsidR="00EE0137" w:rsidRPr="00DF49D6">
      <w:t xml:space="preserve"> </w:t>
    </w:r>
    <w:bookmarkStart w:id="42" w:name="OFF_Phone"/>
    <w:r w:rsidRPr="00DF49D6">
      <w:t>38 14 21 42</w:t>
    </w:r>
    <w:bookmarkEnd w:id="42"/>
    <w:r w:rsidR="00EE0137" w:rsidRPr="00DF49D6">
      <w:t xml:space="preserve"> </w:t>
    </w:r>
    <w:bookmarkEnd w:id="40"/>
    <w:r w:rsidR="00EE0137" w:rsidRPr="00DF49D6">
      <w:rPr>
        <w:vanish/>
      </w:rPr>
      <w:t xml:space="preserve">• </w:t>
    </w:r>
    <w:bookmarkStart w:id="43" w:name="LAN_Fax"/>
    <w:bookmarkStart w:id="44" w:name="OFF_FaxHIF"/>
    <w:r w:rsidRPr="00DF49D6">
      <w:rPr>
        <w:vanish/>
      </w:rPr>
      <w:t>Fax</w:t>
    </w:r>
    <w:bookmarkEnd w:id="43"/>
    <w:r w:rsidR="00EE0137" w:rsidRPr="00DF49D6">
      <w:rPr>
        <w:vanish/>
      </w:rPr>
      <w:t xml:space="preserve"> </w:t>
    </w:r>
    <w:bookmarkStart w:id="45" w:name="OFF_Fax"/>
    <w:bookmarkEnd w:id="45"/>
    <w:r w:rsidR="00EE0137" w:rsidRPr="00DF49D6">
      <w:rPr>
        <w:vanish/>
      </w:rPr>
      <w:t xml:space="preserve"> </w:t>
    </w:r>
    <w:bookmarkEnd w:id="44"/>
    <w:r w:rsidR="00EE0137" w:rsidRPr="00DF49D6">
      <w:t xml:space="preserve">• </w:t>
    </w:r>
    <w:bookmarkStart w:id="46" w:name="OFF_CVRHIF"/>
    <w:r w:rsidR="00EE0137" w:rsidRPr="00DF49D6">
      <w:t xml:space="preserve">CVR </w:t>
    </w:r>
    <w:bookmarkStart w:id="47" w:name="OFF_CVR"/>
    <w:r w:rsidRPr="00DF49D6">
      <w:t>12854358</w:t>
    </w:r>
    <w:bookmarkEnd w:id="47"/>
    <w:r w:rsidR="00EE0137" w:rsidRPr="00DF49D6">
      <w:t xml:space="preserve"> </w:t>
    </w:r>
    <w:bookmarkEnd w:id="46"/>
    <w:r w:rsidR="00EE0137" w:rsidRPr="00DF49D6">
      <w:t xml:space="preserve">• </w:t>
    </w:r>
    <w:bookmarkStart w:id="48" w:name="OFF_EANHIF"/>
    <w:r w:rsidR="00EE0137" w:rsidRPr="00DF49D6">
      <w:t xml:space="preserve">EAN </w:t>
    </w:r>
    <w:bookmarkStart w:id="49" w:name="OFF_EAN"/>
    <w:r w:rsidRPr="00DF49D6">
      <w:t>5798000862005</w:t>
    </w:r>
    <w:bookmarkEnd w:id="49"/>
    <w:r w:rsidR="00EE0137" w:rsidRPr="00DF49D6">
      <w:t xml:space="preserve"> </w:t>
    </w:r>
    <w:bookmarkEnd w:id="48"/>
    <w:r w:rsidR="00EE0137" w:rsidRPr="00DF49D6">
      <w:t xml:space="preserve">• </w:t>
    </w:r>
    <w:bookmarkStart w:id="50" w:name="OFF_Email"/>
    <w:bookmarkStart w:id="51" w:name="OFF_EmailHIF"/>
    <w:r w:rsidRPr="00DF49D6">
      <w:t>mim@mim.dk</w:t>
    </w:r>
    <w:bookmarkEnd w:id="50"/>
    <w:r w:rsidR="00EE0137" w:rsidRPr="00DF49D6">
      <w:t xml:space="preserve"> </w:t>
    </w:r>
    <w:bookmarkEnd w:id="51"/>
    <w:r w:rsidR="00EE0137" w:rsidRPr="00DF49D6">
      <w:t xml:space="preserve">• </w:t>
    </w:r>
    <w:bookmarkStart w:id="52" w:name="OFF_Web"/>
    <w:bookmarkStart w:id="53" w:name="OFF_WebHIF"/>
    <w:r w:rsidRPr="00DF49D6">
      <w:t>www.mim.dk</w:t>
    </w:r>
    <w:bookmarkEnd w:id="52"/>
    <w:r w:rsidR="00EE0137" w:rsidRPr="00DF49D6">
      <w:t xml:space="preserve"> </w:t>
    </w:r>
    <w:bookmarkEnd w:id="41"/>
    <w:bookmarkEnd w:id="53"/>
  </w:p>
  <w:p w14:paraId="6937E8CA" w14:textId="77777777" w:rsidR="0048667B" w:rsidRPr="00EE0137" w:rsidRDefault="0048667B" w:rsidP="00EE01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041EA" w14:textId="77777777" w:rsidR="008922DD" w:rsidRDefault="008922DD">
      <w:r>
        <w:separator/>
      </w:r>
    </w:p>
  </w:footnote>
  <w:footnote w:type="continuationSeparator" w:id="0">
    <w:p w14:paraId="70837E87" w14:textId="77777777" w:rsidR="008922DD" w:rsidRDefault="00892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703E" w14:textId="77777777" w:rsidR="000E717B" w:rsidRDefault="000E717B">
    <w:pPr>
      <w:pStyle w:val="Sidehoved"/>
    </w:pPr>
    <w:bookmarkStart w:id="9" w:name="BIT_PrimaryHeader"/>
  </w:p>
  <w:bookmarkEnd w:id="9"/>
  <w:p w14:paraId="1232E1B4" w14:textId="77777777"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F53F7" w14:textId="77777777" w:rsidR="00EE0137" w:rsidRPr="00E959A5" w:rsidRDefault="00DF49D6" w:rsidP="00EE0137">
    <w:bookmarkStart w:id="10" w:name="BIT_DocumentName"/>
    <w:bookmarkEnd w:id="10"/>
    <w:r>
      <w:rPr>
        <w:noProof/>
      </w:rPr>
      <w:drawing>
        <wp:anchor distT="0" distB="0" distL="114300" distR="114300" simplePos="0" relativeHeight="251660288" behindDoc="0" locked="1" layoutInCell="1" allowOverlap="1" wp14:anchorId="794227B1" wp14:editId="79F99806">
          <wp:simplePos x="0" y="0"/>
          <wp:positionH relativeFrom="rightMargin">
            <wp:align>right</wp:align>
          </wp:positionH>
          <wp:positionV relativeFrom="page">
            <wp:posOffset>431800</wp:posOffset>
          </wp:positionV>
          <wp:extent cx="2627626" cy="527050"/>
          <wp:effectExtent l="0" t="0" r="0" b="0"/>
          <wp:wrapNone/>
          <wp:docPr id="2" name="TopLogoFirst_bmkAr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26" cy="527050"/>
                  </a:xfrm>
                  <a:prstGeom prst="rect">
                    <a:avLst/>
                  </a:prstGeom>
                </pic:spPr>
              </pic:pic>
            </a:graphicData>
          </a:graphic>
          <wp14:sizeRelH relativeFrom="page">
            <wp14:pctWidth>0</wp14:pctWidth>
          </wp14:sizeRelH>
          <wp14:sizeRelV relativeFrom="page">
            <wp14:pctHeight>0</wp14:pctHeight>
          </wp14:sizeRelV>
        </wp:anchor>
      </w:drawing>
    </w:r>
    <w:r w:rsidR="00EE0137" w:rsidRPr="00E959A5">
      <w:rPr>
        <w:noProof/>
      </w:rPr>
      <mc:AlternateContent>
        <mc:Choice Requires="wps">
          <w:drawing>
            <wp:anchor distT="0" distB="0" distL="114300" distR="114300" simplePos="0" relativeHeight="251659264" behindDoc="0" locked="1" layoutInCell="1" allowOverlap="1" wp14:anchorId="774A1F94" wp14:editId="71AA6547">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E0137" w14:paraId="6F490CC3" w14:textId="77777777">
                            <w:trPr>
                              <w:cantSplit/>
                              <w:trHeight w:val="2778"/>
                            </w:trPr>
                            <w:tc>
                              <w:tcPr>
                                <w:tcW w:w="2755" w:type="dxa"/>
                                <w:tcMar>
                                  <w:top w:w="34" w:type="dxa"/>
                                  <w:left w:w="0" w:type="dxa"/>
                                  <w:bottom w:w="28" w:type="dxa"/>
                                  <w:right w:w="0" w:type="dxa"/>
                                </w:tcMar>
                              </w:tcPr>
                              <w:p w14:paraId="30FC4004" w14:textId="77777777" w:rsidR="00EE0137" w:rsidRPr="00DF49D6" w:rsidRDefault="00DF49D6">
                                <w:pPr>
                                  <w:pStyle w:val="Kolofontekst"/>
                                </w:pPr>
                                <w:bookmarkStart w:id="11" w:name="OFF_Department"/>
                                <w:bookmarkStart w:id="12" w:name="OFF_DepartmentHIF"/>
                                <w:r w:rsidRPr="00DF49D6">
                                  <w:t>Rent drikkevand og sikker kemi</w:t>
                                </w:r>
                                <w:bookmarkEnd w:id="11"/>
                              </w:p>
                              <w:p w14:paraId="5830B098" w14:textId="1FB7F93E" w:rsidR="00EE0137" w:rsidRPr="00DF49D6" w:rsidRDefault="00DF49D6">
                                <w:pPr>
                                  <w:pStyle w:val="Kolofontekst"/>
                                </w:pPr>
                                <w:bookmarkStart w:id="13" w:name="LAN_CaseNo"/>
                                <w:bookmarkStart w:id="14" w:name="dossier_f2casenumberHIF"/>
                                <w:bookmarkEnd w:id="12"/>
                                <w:r w:rsidRPr="00DF49D6">
                                  <w:t>J.nr.</w:t>
                                </w:r>
                                <w:bookmarkEnd w:id="13"/>
                                <w:r w:rsidR="00EE531B">
                                  <w:t xml:space="preserve"> 2023-6520</w:t>
                                </w:r>
                              </w:p>
                              <w:p w14:paraId="5EF39A92" w14:textId="77777777" w:rsidR="00EE0137" w:rsidRPr="00DF49D6" w:rsidRDefault="00DF49D6">
                                <w:pPr>
                                  <w:pStyle w:val="Kolofontekst"/>
                                </w:pPr>
                                <w:bookmarkStart w:id="15" w:name="LAN_Ref"/>
                                <w:bookmarkStart w:id="16" w:name="USR_InitialsHIF"/>
                                <w:bookmarkEnd w:id="14"/>
                                <w:r w:rsidRPr="00DF49D6">
                                  <w:t>Ref.</w:t>
                                </w:r>
                                <w:bookmarkEnd w:id="15"/>
                                <w:r w:rsidR="00EE0137" w:rsidRPr="00DF49D6">
                                  <w:t xml:space="preserve"> </w:t>
                                </w:r>
                                <w:bookmarkStart w:id="17" w:name="USR_Initials"/>
                                <w:r w:rsidRPr="00DF49D6">
                                  <w:t>SIMAJ</w:t>
                                </w:r>
                                <w:bookmarkEnd w:id="17"/>
                              </w:p>
                              <w:p w14:paraId="427DCDB2" w14:textId="3FCEEAEB" w:rsidR="00EE0137" w:rsidRDefault="00DF49D6" w:rsidP="00F351D6">
                                <w:pPr>
                                  <w:pStyle w:val="Kolofontekst"/>
                                </w:pPr>
                                <w:bookmarkStart w:id="18" w:name="FLD_DocumentDate"/>
                                <w:bookmarkEnd w:id="16"/>
                                <w:r>
                                  <w:t xml:space="preserve">Den </w:t>
                                </w:r>
                                <w:bookmarkEnd w:id="18"/>
                                <w:r w:rsidR="00465A64">
                                  <w:t>20. november 2023</w:t>
                                </w:r>
                              </w:p>
                            </w:tc>
                          </w:tr>
                        </w:tbl>
                        <w:p w14:paraId="607B92A5" w14:textId="77777777" w:rsidR="00EE0137" w:rsidRDefault="00EE0137" w:rsidP="00EE013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A1F94"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E0137" w14:paraId="6F490CC3" w14:textId="77777777">
                      <w:trPr>
                        <w:cantSplit/>
                        <w:trHeight w:val="2778"/>
                      </w:trPr>
                      <w:tc>
                        <w:tcPr>
                          <w:tcW w:w="2755" w:type="dxa"/>
                          <w:tcMar>
                            <w:top w:w="34" w:type="dxa"/>
                            <w:left w:w="0" w:type="dxa"/>
                            <w:bottom w:w="28" w:type="dxa"/>
                            <w:right w:w="0" w:type="dxa"/>
                          </w:tcMar>
                        </w:tcPr>
                        <w:p w14:paraId="30FC4004" w14:textId="77777777" w:rsidR="00EE0137" w:rsidRPr="00DF49D6" w:rsidRDefault="00DF49D6">
                          <w:pPr>
                            <w:pStyle w:val="Kolofontekst"/>
                          </w:pPr>
                          <w:bookmarkStart w:id="19" w:name="OFF_Department"/>
                          <w:bookmarkStart w:id="20" w:name="OFF_DepartmentHIF"/>
                          <w:r w:rsidRPr="00DF49D6">
                            <w:t>Rent drikkevand og sikker kemi</w:t>
                          </w:r>
                          <w:bookmarkEnd w:id="19"/>
                        </w:p>
                        <w:p w14:paraId="5830B098" w14:textId="1FB7F93E" w:rsidR="00EE0137" w:rsidRPr="00DF49D6" w:rsidRDefault="00DF49D6">
                          <w:pPr>
                            <w:pStyle w:val="Kolofontekst"/>
                          </w:pPr>
                          <w:bookmarkStart w:id="21" w:name="LAN_CaseNo"/>
                          <w:bookmarkStart w:id="22" w:name="dossier_f2casenumberHIF"/>
                          <w:bookmarkEnd w:id="20"/>
                          <w:r w:rsidRPr="00DF49D6">
                            <w:t>J.nr.</w:t>
                          </w:r>
                          <w:bookmarkEnd w:id="21"/>
                          <w:r w:rsidR="00EE531B">
                            <w:t xml:space="preserve"> 2023-6520</w:t>
                          </w:r>
                        </w:p>
                        <w:p w14:paraId="5EF39A92" w14:textId="77777777" w:rsidR="00EE0137" w:rsidRPr="00DF49D6" w:rsidRDefault="00DF49D6">
                          <w:pPr>
                            <w:pStyle w:val="Kolofontekst"/>
                          </w:pPr>
                          <w:bookmarkStart w:id="23" w:name="LAN_Ref"/>
                          <w:bookmarkStart w:id="24" w:name="USR_InitialsHIF"/>
                          <w:bookmarkEnd w:id="22"/>
                          <w:r w:rsidRPr="00DF49D6">
                            <w:t>Ref.</w:t>
                          </w:r>
                          <w:bookmarkEnd w:id="23"/>
                          <w:r w:rsidR="00EE0137" w:rsidRPr="00DF49D6">
                            <w:t xml:space="preserve"> </w:t>
                          </w:r>
                          <w:bookmarkStart w:id="25" w:name="USR_Initials"/>
                          <w:r w:rsidRPr="00DF49D6">
                            <w:t>SIMAJ</w:t>
                          </w:r>
                          <w:bookmarkEnd w:id="25"/>
                        </w:p>
                        <w:p w14:paraId="427DCDB2" w14:textId="3FCEEAEB" w:rsidR="00EE0137" w:rsidRDefault="00DF49D6" w:rsidP="00F351D6">
                          <w:pPr>
                            <w:pStyle w:val="Kolofontekst"/>
                          </w:pPr>
                          <w:bookmarkStart w:id="26" w:name="FLD_DocumentDate"/>
                          <w:bookmarkEnd w:id="24"/>
                          <w:r>
                            <w:t xml:space="preserve">Den </w:t>
                          </w:r>
                          <w:bookmarkEnd w:id="26"/>
                          <w:r w:rsidR="00465A64">
                            <w:t>20. november 2023</w:t>
                          </w:r>
                        </w:p>
                      </w:tc>
                    </w:tr>
                  </w:tbl>
                  <w:p w14:paraId="607B92A5" w14:textId="77777777" w:rsidR="00EE0137" w:rsidRDefault="00EE0137" w:rsidP="00EE0137"/>
                </w:txbxContent>
              </v:textbox>
              <w10:wrap anchorx="margin" anchory="page"/>
              <w10:anchorlock/>
            </v:shape>
          </w:pict>
        </mc:Fallback>
      </mc:AlternateContent>
    </w:r>
  </w:p>
  <w:p w14:paraId="17E50C11" w14:textId="77777777"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D6"/>
    <w:rsid w:val="00002EA0"/>
    <w:rsid w:val="00003636"/>
    <w:rsid w:val="00005FAA"/>
    <w:rsid w:val="00006DF6"/>
    <w:rsid w:val="00012210"/>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8332B"/>
    <w:rsid w:val="00091BD7"/>
    <w:rsid w:val="00096AA1"/>
    <w:rsid w:val="000970D8"/>
    <w:rsid w:val="000A1C92"/>
    <w:rsid w:val="000A26F5"/>
    <w:rsid w:val="000A7219"/>
    <w:rsid w:val="000B26E7"/>
    <w:rsid w:val="000B2E5E"/>
    <w:rsid w:val="000B5461"/>
    <w:rsid w:val="000C0294"/>
    <w:rsid w:val="000C0594"/>
    <w:rsid w:val="000C104A"/>
    <w:rsid w:val="000C13E6"/>
    <w:rsid w:val="000C2501"/>
    <w:rsid w:val="000C3D52"/>
    <w:rsid w:val="000C45B7"/>
    <w:rsid w:val="000C62D3"/>
    <w:rsid w:val="000D0F4C"/>
    <w:rsid w:val="000D1CF4"/>
    <w:rsid w:val="000D5A7B"/>
    <w:rsid w:val="000D5FBF"/>
    <w:rsid w:val="000D600E"/>
    <w:rsid w:val="000E179B"/>
    <w:rsid w:val="000E3992"/>
    <w:rsid w:val="000E717B"/>
    <w:rsid w:val="000F0B81"/>
    <w:rsid w:val="000F5EB0"/>
    <w:rsid w:val="00103018"/>
    <w:rsid w:val="00104CB1"/>
    <w:rsid w:val="001062D0"/>
    <w:rsid w:val="00114DE6"/>
    <w:rsid w:val="001210A9"/>
    <w:rsid w:val="001326FC"/>
    <w:rsid w:val="001354CC"/>
    <w:rsid w:val="00136986"/>
    <w:rsid w:val="00137876"/>
    <w:rsid w:val="0014150F"/>
    <w:rsid w:val="00144670"/>
    <w:rsid w:val="0014616C"/>
    <w:rsid w:val="00150899"/>
    <w:rsid w:val="00152CB8"/>
    <w:rsid w:val="00154300"/>
    <w:rsid w:val="00156908"/>
    <w:rsid w:val="00160721"/>
    <w:rsid w:val="00164BC1"/>
    <w:rsid w:val="001743E7"/>
    <w:rsid w:val="00177F64"/>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D21F2"/>
    <w:rsid w:val="001D67E8"/>
    <w:rsid w:val="001E38EF"/>
    <w:rsid w:val="001E63D8"/>
    <w:rsid w:val="001E7F16"/>
    <w:rsid w:val="001F0AED"/>
    <w:rsid w:val="001F3A47"/>
    <w:rsid w:val="001F763E"/>
    <w:rsid w:val="00200B86"/>
    <w:rsid w:val="0020134B"/>
    <w:rsid w:val="0020402C"/>
    <w:rsid w:val="002044E3"/>
    <w:rsid w:val="00204BF4"/>
    <w:rsid w:val="00211AC9"/>
    <w:rsid w:val="00212497"/>
    <w:rsid w:val="002239C6"/>
    <w:rsid w:val="00225534"/>
    <w:rsid w:val="00235C1F"/>
    <w:rsid w:val="002366E2"/>
    <w:rsid w:val="00254D78"/>
    <w:rsid w:val="002551C2"/>
    <w:rsid w:val="002629A8"/>
    <w:rsid w:val="002639DB"/>
    <w:rsid w:val="00264240"/>
    <w:rsid w:val="00265394"/>
    <w:rsid w:val="002654F9"/>
    <w:rsid w:val="00267F76"/>
    <w:rsid w:val="002731C2"/>
    <w:rsid w:val="0027546B"/>
    <w:rsid w:val="00282190"/>
    <w:rsid w:val="00283D52"/>
    <w:rsid w:val="00284176"/>
    <w:rsid w:val="00293240"/>
    <w:rsid w:val="002933E6"/>
    <w:rsid w:val="0029430C"/>
    <w:rsid w:val="0029629D"/>
    <w:rsid w:val="002A2007"/>
    <w:rsid w:val="002A29B1"/>
    <w:rsid w:val="002A7860"/>
    <w:rsid w:val="002C042D"/>
    <w:rsid w:val="002C0FAF"/>
    <w:rsid w:val="002C4595"/>
    <w:rsid w:val="002C4D00"/>
    <w:rsid w:val="002D00C9"/>
    <w:rsid w:val="002D03C2"/>
    <w:rsid w:val="002D268E"/>
    <w:rsid w:val="002D7F0F"/>
    <w:rsid w:val="002E40AA"/>
    <w:rsid w:val="002F6EE9"/>
    <w:rsid w:val="003001A2"/>
    <w:rsid w:val="003033ED"/>
    <w:rsid w:val="00310C3C"/>
    <w:rsid w:val="00313642"/>
    <w:rsid w:val="00315AC9"/>
    <w:rsid w:val="00320951"/>
    <w:rsid w:val="003209AA"/>
    <w:rsid w:val="00322BBE"/>
    <w:rsid w:val="00326ED5"/>
    <w:rsid w:val="00331970"/>
    <w:rsid w:val="00334562"/>
    <w:rsid w:val="00343A37"/>
    <w:rsid w:val="00345DFC"/>
    <w:rsid w:val="00345FA9"/>
    <w:rsid w:val="00350582"/>
    <w:rsid w:val="00353B4E"/>
    <w:rsid w:val="003558D9"/>
    <w:rsid w:val="00362EAC"/>
    <w:rsid w:val="00365BC4"/>
    <w:rsid w:val="00373B86"/>
    <w:rsid w:val="003763C0"/>
    <w:rsid w:val="003819FF"/>
    <w:rsid w:val="00385C06"/>
    <w:rsid w:val="00386D0C"/>
    <w:rsid w:val="00393A1E"/>
    <w:rsid w:val="003A3350"/>
    <w:rsid w:val="003A3369"/>
    <w:rsid w:val="003A44A9"/>
    <w:rsid w:val="003B6C74"/>
    <w:rsid w:val="003C67E6"/>
    <w:rsid w:val="003D3CB2"/>
    <w:rsid w:val="003D518E"/>
    <w:rsid w:val="003D6951"/>
    <w:rsid w:val="003E06B4"/>
    <w:rsid w:val="003E09D1"/>
    <w:rsid w:val="003E1377"/>
    <w:rsid w:val="003E3617"/>
    <w:rsid w:val="003F0D75"/>
    <w:rsid w:val="003F2F0F"/>
    <w:rsid w:val="0040506D"/>
    <w:rsid w:val="00406784"/>
    <w:rsid w:val="00406AF1"/>
    <w:rsid w:val="00407A11"/>
    <w:rsid w:val="00407C2F"/>
    <w:rsid w:val="004106B9"/>
    <w:rsid w:val="00412E16"/>
    <w:rsid w:val="0041385B"/>
    <w:rsid w:val="00414BA2"/>
    <w:rsid w:val="00415BC0"/>
    <w:rsid w:val="004208E6"/>
    <w:rsid w:val="00422A1C"/>
    <w:rsid w:val="004232F9"/>
    <w:rsid w:val="00433A1E"/>
    <w:rsid w:val="00436941"/>
    <w:rsid w:val="00440668"/>
    <w:rsid w:val="004421D7"/>
    <w:rsid w:val="00447B83"/>
    <w:rsid w:val="00450475"/>
    <w:rsid w:val="00454F05"/>
    <w:rsid w:val="00457882"/>
    <w:rsid w:val="00460B5A"/>
    <w:rsid w:val="0046488B"/>
    <w:rsid w:val="00465A64"/>
    <w:rsid w:val="0046600E"/>
    <w:rsid w:val="00467E79"/>
    <w:rsid w:val="00476722"/>
    <w:rsid w:val="00481233"/>
    <w:rsid w:val="00481EEB"/>
    <w:rsid w:val="004830C6"/>
    <w:rsid w:val="00483C2A"/>
    <w:rsid w:val="0048414C"/>
    <w:rsid w:val="0048667B"/>
    <w:rsid w:val="00486F50"/>
    <w:rsid w:val="00495993"/>
    <w:rsid w:val="004A0937"/>
    <w:rsid w:val="004A3AAA"/>
    <w:rsid w:val="004A4315"/>
    <w:rsid w:val="004B5995"/>
    <w:rsid w:val="004B5AC3"/>
    <w:rsid w:val="004B6A8B"/>
    <w:rsid w:val="004B79D7"/>
    <w:rsid w:val="004C0742"/>
    <w:rsid w:val="004C237E"/>
    <w:rsid w:val="004C491E"/>
    <w:rsid w:val="004C63FE"/>
    <w:rsid w:val="004D23C9"/>
    <w:rsid w:val="004D6645"/>
    <w:rsid w:val="004E0047"/>
    <w:rsid w:val="004E1CB0"/>
    <w:rsid w:val="004E33EF"/>
    <w:rsid w:val="004E562B"/>
    <w:rsid w:val="004E642A"/>
    <w:rsid w:val="004E7C82"/>
    <w:rsid w:val="004F26DC"/>
    <w:rsid w:val="004F7C92"/>
    <w:rsid w:val="005009DC"/>
    <w:rsid w:val="00500EFC"/>
    <w:rsid w:val="00501E2E"/>
    <w:rsid w:val="0051781E"/>
    <w:rsid w:val="00520971"/>
    <w:rsid w:val="005267CB"/>
    <w:rsid w:val="00531869"/>
    <w:rsid w:val="00534A47"/>
    <w:rsid w:val="00535B7D"/>
    <w:rsid w:val="005543C3"/>
    <w:rsid w:val="00554FAA"/>
    <w:rsid w:val="005630B4"/>
    <w:rsid w:val="00563773"/>
    <w:rsid w:val="005650F2"/>
    <w:rsid w:val="005672CB"/>
    <w:rsid w:val="00576B90"/>
    <w:rsid w:val="005801B5"/>
    <w:rsid w:val="0058155D"/>
    <w:rsid w:val="00590A5B"/>
    <w:rsid w:val="00590C13"/>
    <w:rsid w:val="0059175F"/>
    <w:rsid w:val="00591997"/>
    <w:rsid w:val="0059560E"/>
    <w:rsid w:val="00596C25"/>
    <w:rsid w:val="005A01E1"/>
    <w:rsid w:val="005A0290"/>
    <w:rsid w:val="005A1F29"/>
    <w:rsid w:val="005A29CB"/>
    <w:rsid w:val="005A50B9"/>
    <w:rsid w:val="005B4809"/>
    <w:rsid w:val="005C25D4"/>
    <w:rsid w:val="005C51A1"/>
    <w:rsid w:val="005C658C"/>
    <w:rsid w:val="005D2B26"/>
    <w:rsid w:val="005D3CF2"/>
    <w:rsid w:val="005D543F"/>
    <w:rsid w:val="005D7152"/>
    <w:rsid w:val="005E352B"/>
    <w:rsid w:val="005E4484"/>
    <w:rsid w:val="005E77EF"/>
    <w:rsid w:val="005F172E"/>
    <w:rsid w:val="005F2BAE"/>
    <w:rsid w:val="005F61FB"/>
    <w:rsid w:val="00604476"/>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5B20"/>
    <w:rsid w:val="00656763"/>
    <w:rsid w:val="00656C96"/>
    <w:rsid w:val="006665A1"/>
    <w:rsid w:val="006706E8"/>
    <w:rsid w:val="0067771A"/>
    <w:rsid w:val="00684B85"/>
    <w:rsid w:val="0068783F"/>
    <w:rsid w:val="00695CB2"/>
    <w:rsid w:val="00696E85"/>
    <w:rsid w:val="006A18C5"/>
    <w:rsid w:val="006A2BA8"/>
    <w:rsid w:val="006D09A7"/>
    <w:rsid w:val="006E7F1D"/>
    <w:rsid w:val="006F3EB3"/>
    <w:rsid w:val="006F4DCD"/>
    <w:rsid w:val="006F7200"/>
    <w:rsid w:val="007029D1"/>
    <w:rsid w:val="00702FF2"/>
    <w:rsid w:val="00703B66"/>
    <w:rsid w:val="00705800"/>
    <w:rsid w:val="00705EAB"/>
    <w:rsid w:val="0072185C"/>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912B3"/>
    <w:rsid w:val="00792200"/>
    <w:rsid w:val="007940C9"/>
    <w:rsid w:val="00796312"/>
    <w:rsid w:val="007B1B23"/>
    <w:rsid w:val="007B21FA"/>
    <w:rsid w:val="007B2ADE"/>
    <w:rsid w:val="007B3940"/>
    <w:rsid w:val="007D492E"/>
    <w:rsid w:val="007E0747"/>
    <w:rsid w:val="007E0C49"/>
    <w:rsid w:val="007E1812"/>
    <w:rsid w:val="007E3A3B"/>
    <w:rsid w:val="007E51F2"/>
    <w:rsid w:val="007E5E97"/>
    <w:rsid w:val="007E7688"/>
    <w:rsid w:val="007F4A4B"/>
    <w:rsid w:val="007F770C"/>
    <w:rsid w:val="00802CB9"/>
    <w:rsid w:val="00807BA4"/>
    <w:rsid w:val="008117E2"/>
    <w:rsid w:val="00821133"/>
    <w:rsid w:val="00826F36"/>
    <w:rsid w:val="008324B0"/>
    <w:rsid w:val="00833A82"/>
    <w:rsid w:val="008407EC"/>
    <w:rsid w:val="0084333E"/>
    <w:rsid w:val="0084379B"/>
    <w:rsid w:val="00844CA9"/>
    <w:rsid w:val="0084629D"/>
    <w:rsid w:val="00847491"/>
    <w:rsid w:val="00850194"/>
    <w:rsid w:val="008559E9"/>
    <w:rsid w:val="00860D2C"/>
    <w:rsid w:val="00861CBA"/>
    <w:rsid w:val="00862219"/>
    <w:rsid w:val="00863B4C"/>
    <w:rsid w:val="00872AC0"/>
    <w:rsid w:val="00875531"/>
    <w:rsid w:val="00882741"/>
    <w:rsid w:val="008922DD"/>
    <w:rsid w:val="00892B13"/>
    <w:rsid w:val="0089659F"/>
    <w:rsid w:val="008A1C6B"/>
    <w:rsid w:val="008A1F63"/>
    <w:rsid w:val="008B1B83"/>
    <w:rsid w:val="008B3ADA"/>
    <w:rsid w:val="008C5F4A"/>
    <w:rsid w:val="008D1674"/>
    <w:rsid w:val="008D5DB0"/>
    <w:rsid w:val="008E3990"/>
    <w:rsid w:val="008F17E5"/>
    <w:rsid w:val="008F272E"/>
    <w:rsid w:val="008F6B2B"/>
    <w:rsid w:val="00905C37"/>
    <w:rsid w:val="00906916"/>
    <w:rsid w:val="00907258"/>
    <w:rsid w:val="00914315"/>
    <w:rsid w:val="00915536"/>
    <w:rsid w:val="0092514B"/>
    <w:rsid w:val="009264AA"/>
    <w:rsid w:val="00944EE8"/>
    <w:rsid w:val="009461F0"/>
    <w:rsid w:val="00947BAD"/>
    <w:rsid w:val="00953293"/>
    <w:rsid w:val="009601F5"/>
    <w:rsid w:val="00963E43"/>
    <w:rsid w:val="00970F21"/>
    <w:rsid w:val="00975F3B"/>
    <w:rsid w:val="0098382A"/>
    <w:rsid w:val="009943CD"/>
    <w:rsid w:val="00994E91"/>
    <w:rsid w:val="009A7DE3"/>
    <w:rsid w:val="009B4809"/>
    <w:rsid w:val="009C37F8"/>
    <w:rsid w:val="009C4C87"/>
    <w:rsid w:val="009C6BB2"/>
    <w:rsid w:val="009C7D9D"/>
    <w:rsid w:val="009D1D38"/>
    <w:rsid w:val="009D737F"/>
    <w:rsid w:val="009E27B6"/>
    <w:rsid w:val="009E46B7"/>
    <w:rsid w:val="009E6962"/>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2578"/>
    <w:rsid w:val="00A67D37"/>
    <w:rsid w:val="00A72DDE"/>
    <w:rsid w:val="00A77855"/>
    <w:rsid w:val="00A85ECD"/>
    <w:rsid w:val="00A921A0"/>
    <w:rsid w:val="00A923E2"/>
    <w:rsid w:val="00A964CE"/>
    <w:rsid w:val="00A96C60"/>
    <w:rsid w:val="00AA4437"/>
    <w:rsid w:val="00AB1A30"/>
    <w:rsid w:val="00AB363A"/>
    <w:rsid w:val="00AC35D6"/>
    <w:rsid w:val="00AC36C4"/>
    <w:rsid w:val="00AC552C"/>
    <w:rsid w:val="00AD678B"/>
    <w:rsid w:val="00AE41A1"/>
    <w:rsid w:val="00AE5A17"/>
    <w:rsid w:val="00AF5AF6"/>
    <w:rsid w:val="00B127FC"/>
    <w:rsid w:val="00B13BB6"/>
    <w:rsid w:val="00B2565D"/>
    <w:rsid w:val="00B30727"/>
    <w:rsid w:val="00B33A35"/>
    <w:rsid w:val="00B3434D"/>
    <w:rsid w:val="00B3497E"/>
    <w:rsid w:val="00B358B3"/>
    <w:rsid w:val="00B43354"/>
    <w:rsid w:val="00B441D7"/>
    <w:rsid w:val="00B54207"/>
    <w:rsid w:val="00B67959"/>
    <w:rsid w:val="00B67E21"/>
    <w:rsid w:val="00B734BB"/>
    <w:rsid w:val="00B77950"/>
    <w:rsid w:val="00B80700"/>
    <w:rsid w:val="00B81B85"/>
    <w:rsid w:val="00B86940"/>
    <w:rsid w:val="00B87347"/>
    <w:rsid w:val="00B90A33"/>
    <w:rsid w:val="00B912F1"/>
    <w:rsid w:val="00B91712"/>
    <w:rsid w:val="00B91D48"/>
    <w:rsid w:val="00B932C3"/>
    <w:rsid w:val="00BA7059"/>
    <w:rsid w:val="00BB401C"/>
    <w:rsid w:val="00BB40C8"/>
    <w:rsid w:val="00BB6985"/>
    <w:rsid w:val="00BC0270"/>
    <w:rsid w:val="00BC31CE"/>
    <w:rsid w:val="00BC56EA"/>
    <w:rsid w:val="00BC6602"/>
    <w:rsid w:val="00BD3DD0"/>
    <w:rsid w:val="00BD787B"/>
    <w:rsid w:val="00BE0CE4"/>
    <w:rsid w:val="00BE5BD7"/>
    <w:rsid w:val="00BE7D68"/>
    <w:rsid w:val="00BF101A"/>
    <w:rsid w:val="00C03ED1"/>
    <w:rsid w:val="00C1503E"/>
    <w:rsid w:val="00C16955"/>
    <w:rsid w:val="00C21584"/>
    <w:rsid w:val="00C2184A"/>
    <w:rsid w:val="00C22480"/>
    <w:rsid w:val="00C22C94"/>
    <w:rsid w:val="00C24968"/>
    <w:rsid w:val="00C26117"/>
    <w:rsid w:val="00C27048"/>
    <w:rsid w:val="00C3559B"/>
    <w:rsid w:val="00C36339"/>
    <w:rsid w:val="00C41BBD"/>
    <w:rsid w:val="00C44620"/>
    <w:rsid w:val="00C5070D"/>
    <w:rsid w:val="00C53CED"/>
    <w:rsid w:val="00C57362"/>
    <w:rsid w:val="00C57CA7"/>
    <w:rsid w:val="00C617FE"/>
    <w:rsid w:val="00C64F3D"/>
    <w:rsid w:val="00C667B0"/>
    <w:rsid w:val="00C7051E"/>
    <w:rsid w:val="00C70BEA"/>
    <w:rsid w:val="00C71B04"/>
    <w:rsid w:val="00C766CC"/>
    <w:rsid w:val="00C76B7D"/>
    <w:rsid w:val="00C82A12"/>
    <w:rsid w:val="00C8406C"/>
    <w:rsid w:val="00C843E4"/>
    <w:rsid w:val="00C87AAA"/>
    <w:rsid w:val="00C94E96"/>
    <w:rsid w:val="00CA543F"/>
    <w:rsid w:val="00CA6429"/>
    <w:rsid w:val="00CA6ADF"/>
    <w:rsid w:val="00CB5C14"/>
    <w:rsid w:val="00CC12A8"/>
    <w:rsid w:val="00CC3891"/>
    <w:rsid w:val="00CC6892"/>
    <w:rsid w:val="00CD200F"/>
    <w:rsid w:val="00CD31FE"/>
    <w:rsid w:val="00CD4F1D"/>
    <w:rsid w:val="00CE1EC6"/>
    <w:rsid w:val="00CE5201"/>
    <w:rsid w:val="00CF1627"/>
    <w:rsid w:val="00CF760D"/>
    <w:rsid w:val="00D008ED"/>
    <w:rsid w:val="00D01984"/>
    <w:rsid w:val="00D01EDA"/>
    <w:rsid w:val="00D16472"/>
    <w:rsid w:val="00D321C9"/>
    <w:rsid w:val="00D33ED1"/>
    <w:rsid w:val="00D353A2"/>
    <w:rsid w:val="00D37FC2"/>
    <w:rsid w:val="00D43DB0"/>
    <w:rsid w:val="00D570C5"/>
    <w:rsid w:val="00D62ABB"/>
    <w:rsid w:val="00D65A37"/>
    <w:rsid w:val="00D65E69"/>
    <w:rsid w:val="00D71FE7"/>
    <w:rsid w:val="00D81AE6"/>
    <w:rsid w:val="00D922CF"/>
    <w:rsid w:val="00D951B4"/>
    <w:rsid w:val="00DA32B3"/>
    <w:rsid w:val="00DA473F"/>
    <w:rsid w:val="00DA6734"/>
    <w:rsid w:val="00DB56B3"/>
    <w:rsid w:val="00DD12E2"/>
    <w:rsid w:val="00DE24BE"/>
    <w:rsid w:val="00DE5B21"/>
    <w:rsid w:val="00DE7479"/>
    <w:rsid w:val="00DE7BE6"/>
    <w:rsid w:val="00DF0CE6"/>
    <w:rsid w:val="00DF128B"/>
    <w:rsid w:val="00DF1A55"/>
    <w:rsid w:val="00DF2F94"/>
    <w:rsid w:val="00DF489E"/>
    <w:rsid w:val="00DF49D6"/>
    <w:rsid w:val="00E1113C"/>
    <w:rsid w:val="00E11688"/>
    <w:rsid w:val="00E175FF"/>
    <w:rsid w:val="00E219B7"/>
    <w:rsid w:val="00E26EAA"/>
    <w:rsid w:val="00E27CC3"/>
    <w:rsid w:val="00E30FCA"/>
    <w:rsid w:val="00E3329E"/>
    <w:rsid w:val="00E36F97"/>
    <w:rsid w:val="00E41285"/>
    <w:rsid w:val="00E42057"/>
    <w:rsid w:val="00E42CA6"/>
    <w:rsid w:val="00E44C4F"/>
    <w:rsid w:val="00E50EE6"/>
    <w:rsid w:val="00E62A56"/>
    <w:rsid w:val="00E62BEE"/>
    <w:rsid w:val="00E63075"/>
    <w:rsid w:val="00E644BF"/>
    <w:rsid w:val="00E73A40"/>
    <w:rsid w:val="00E806E3"/>
    <w:rsid w:val="00E81697"/>
    <w:rsid w:val="00E8528F"/>
    <w:rsid w:val="00E87D86"/>
    <w:rsid w:val="00E928D4"/>
    <w:rsid w:val="00E94852"/>
    <w:rsid w:val="00EA4D25"/>
    <w:rsid w:val="00EA576F"/>
    <w:rsid w:val="00EB0255"/>
    <w:rsid w:val="00EB3838"/>
    <w:rsid w:val="00EB4C77"/>
    <w:rsid w:val="00EB68CC"/>
    <w:rsid w:val="00EC1285"/>
    <w:rsid w:val="00EC2095"/>
    <w:rsid w:val="00EC5E51"/>
    <w:rsid w:val="00EC65CB"/>
    <w:rsid w:val="00EC76B0"/>
    <w:rsid w:val="00ED48AE"/>
    <w:rsid w:val="00ED48E3"/>
    <w:rsid w:val="00EE0137"/>
    <w:rsid w:val="00EE531B"/>
    <w:rsid w:val="00EE65A7"/>
    <w:rsid w:val="00EE7CCA"/>
    <w:rsid w:val="00EF48EC"/>
    <w:rsid w:val="00EF4C93"/>
    <w:rsid w:val="00EF58B4"/>
    <w:rsid w:val="00EF6016"/>
    <w:rsid w:val="00F03131"/>
    <w:rsid w:val="00F05E03"/>
    <w:rsid w:val="00F101A4"/>
    <w:rsid w:val="00F2061A"/>
    <w:rsid w:val="00F30057"/>
    <w:rsid w:val="00F34750"/>
    <w:rsid w:val="00F35DBF"/>
    <w:rsid w:val="00F46114"/>
    <w:rsid w:val="00F47B3A"/>
    <w:rsid w:val="00F602C8"/>
    <w:rsid w:val="00F62595"/>
    <w:rsid w:val="00F64CD9"/>
    <w:rsid w:val="00F67956"/>
    <w:rsid w:val="00F7168A"/>
    <w:rsid w:val="00F71C13"/>
    <w:rsid w:val="00F77228"/>
    <w:rsid w:val="00F90567"/>
    <w:rsid w:val="00F91352"/>
    <w:rsid w:val="00F922ED"/>
    <w:rsid w:val="00FB0A69"/>
    <w:rsid w:val="00FB7ADE"/>
    <w:rsid w:val="00FC164F"/>
    <w:rsid w:val="00FD2036"/>
    <w:rsid w:val="00FD388E"/>
    <w:rsid w:val="00FD3ED2"/>
    <w:rsid w:val="00FE45B3"/>
    <w:rsid w:val="00FE7061"/>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4AD9B"/>
  <w15:docId w15:val="{07132DDA-A307-4E9B-A62B-8C29A992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styleId="Ulstomtale">
    <w:name w:val="Unresolved Mention"/>
    <w:basedOn w:val="Standardskrifttypeiafsnit"/>
    <w:uiPriority w:val="99"/>
    <w:semiHidden/>
    <w:unhideWhenUsed/>
    <w:rsid w:val="00D71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aj@mim.d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m@mim.d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Koncernf&#230;lles\Brev.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Brev.dotx</Template>
  <TotalTime>1230</TotalTime>
  <Pages>5</Pages>
  <Words>1815</Words>
  <Characters>11072</Characters>
  <Application>Microsoft Office Word</Application>
  <DocSecurity>0</DocSecurity>
  <Lines>92</Lines>
  <Paragraphs>25</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Brev</vt:lpstr>
      <vt:lpstr>Brev</vt:lpstr>
      <vt:lpstr/>
    </vt:vector>
  </TitlesOfParts>
  <Company>Miljøministeriet</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Simon Mark Jacobsen</dc:creator>
  <cp:keywords/>
  <dc:description/>
  <cp:lastModifiedBy>Simon Mark Jacobsen</cp:lastModifiedBy>
  <cp:revision>35</cp:revision>
  <cp:lastPrinted>2005-05-20T12:11:00Z</cp:lastPrinted>
  <dcterms:created xsi:type="dcterms:W3CDTF">2023-09-19T07:26:00Z</dcterms:created>
  <dcterms:modified xsi:type="dcterms:W3CDTF">2023-11-20T13:46:00Z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Brev</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IntegrationInfoAdded">
    <vt:bool>true</vt:bool>
  </property>
  <property fmtid="{D5CDD505-2E9C-101B-9397-08002B2CF9AE}" pid="13" name="SD_DocumentLanguage">
    <vt:lpwstr>da-DK</vt:lpwstr>
  </property>
  <property fmtid="{D5CDD505-2E9C-101B-9397-08002B2CF9AE}" pid="14" name="sdDocumentDate">
    <vt:lpwstr>45188</vt:lpwstr>
  </property>
  <property fmtid="{D5CDD505-2E9C-101B-9397-08002B2CF9AE}" pid="15" name="sdDocumentDateFormat">
    <vt:lpwstr>da-DK:'Den' d. MMMM yyyy</vt:lpwstr>
  </property>
  <property fmtid="{D5CDD505-2E9C-101B-9397-08002B2CF9AE}" pid="16" name="SD_DocumentLanguageString">
    <vt:lpwstr>Dansk</vt:lpwstr>
  </property>
  <property fmtid="{D5CDD505-2E9C-101B-9397-08002B2CF9AE}" pid="17" name="SD_CtlText_Usersettings_Userprofile">
    <vt:lpwstr>Simon Jacobsen</vt:lpwstr>
  </property>
  <property fmtid="{D5CDD505-2E9C-101B-9397-08002B2CF9AE}" pid="18" name="SD_CtlText_Generelt_CaseNoF2">
    <vt:lpwstr>$dossier_f2casenumber$</vt:lpwstr>
  </property>
  <property fmtid="{D5CDD505-2E9C-101B-9397-08002B2CF9AE}" pid="19" name="SD_UserprofileName">
    <vt:lpwstr>Simon Jacobsen</vt:lpwstr>
  </property>
  <property fmtid="{D5CDD505-2E9C-101B-9397-08002B2CF9AE}" pid="20" name="SD_Office_OFF_ID">
    <vt:lpwstr>143</vt:lpwstr>
  </property>
  <property fmtid="{D5CDD505-2E9C-101B-9397-08002B2CF9AE}" pid="21" name="CurrentOfficeID">
    <vt:lpwstr>143</vt:lpwstr>
  </property>
  <property fmtid="{D5CDD505-2E9C-101B-9397-08002B2CF9AE}" pid="22" name="SD_Office_OFF_Organisation">
    <vt:lpwstr>MIM</vt:lpwstr>
  </property>
  <property fmtid="{D5CDD505-2E9C-101B-9397-08002B2CF9AE}" pid="23" name="SD_Office_OFF_ArtworkDefinition">
    <vt:lpwstr>MIM</vt:lpwstr>
  </property>
  <property fmtid="{D5CDD505-2E9C-101B-9397-08002B2CF9AE}" pid="24" name="SD_Office_OFF_LogoFileName">
    <vt:lpwstr>MIMDEP</vt:lpwstr>
  </property>
  <property fmtid="{D5CDD505-2E9C-101B-9397-08002B2CF9AE}" pid="25" name="SD_Office_OFF_Institution">
    <vt:lpwstr>Miljøministeriet</vt:lpwstr>
  </property>
  <property fmtid="{D5CDD505-2E9C-101B-9397-08002B2CF9AE}" pid="26" name="SD_Office_OFF_Institution_EN">
    <vt:lpwstr>Ministry of Environment</vt:lpwstr>
  </property>
  <property fmtid="{D5CDD505-2E9C-101B-9397-08002B2CF9AE}" pid="27" name="SD_Office_OFF_kontor">
    <vt:lpwstr>Rent drikkevand og sikker kemi</vt:lpwstr>
  </property>
  <property fmtid="{D5CDD505-2E9C-101B-9397-08002B2CF9AE}" pid="28" name="SD_Office_OFF_Department">
    <vt:lpwstr>Rent drikkevand og sikker kemi</vt:lpwstr>
  </property>
  <property fmtid="{D5CDD505-2E9C-101B-9397-08002B2CF9AE}" pid="29" name="SD_Office_OFF_Department_EN">
    <vt:lpwstr>Rent drikkevand og sikker kemi</vt:lpwstr>
  </property>
  <property fmtid="{D5CDD505-2E9C-101B-9397-08002B2CF9AE}" pid="30" name="SD_Office_OFF_Footertext">
    <vt:lpwstr/>
  </property>
  <property fmtid="{D5CDD505-2E9C-101B-9397-08002B2CF9AE}" pid="31" name="SD_Office_OFF_AddressA">
    <vt:lpwstr>Frederiksholms Kanal 26</vt:lpwstr>
  </property>
  <property fmtid="{D5CDD505-2E9C-101B-9397-08002B2CF9AE}" pid="32" name="SD_Office_OFF_AddressB">
    <vt:lpwstr/>
  </property>
  <property fmtid="{D5CDD505-2E9C-101B-9397-08002B2CF9AE}" pid="33" name="SD_Office_OFF_AddressC">
    <vt:lpwstr/>
  </property>
  <property fmtid="{D5CDD505-2E9C-101B-9397-08002B2CF9AE}" pid="34" name="SD_Office_OFF_AddressCollected">
    <vt:lpwstr>Frederiksholms Kanal 26</vt:lpwstr>
  </property>
  <property fmtid="{D5CDD505-2E9C-101B-9397-08002B2CF9AE}" pid="35" name="SD_Office_OFF_AddressD">
    <vt:lpwstr>1220</vt:lpwstr>
  </property>
  <property fmtid="{D5CDD505-2E9C-101B-9397-08002B2CF9AE}" pid="36" name="SD_Office_OFF_City">
    <vt:lpwstr>København K</vt:lpwstr>
  </property>
  <property fmtid="{D5CDD505-2E9C-101B-9397-08002B2CF9AE}" pid="37" name="SD_Office_OFF_City_EN">
    <vt:lpwstr>Copenhagen K Denmark</vt:lpwstr>
  </property>
  <property fmtid="{D5CDD505-2E9C-101B-9397-08002B2CF9AE}" pid="38" name="SD_Office_OFF_Phone">
    <vt:lpwstr>38 14 21 42</vt:lpwstr>
  </property>
  <property fmtid="{D5CDD505-2E9C-101B-9397-08002B2CF9AE}" pid="39" name="SD_Office_OFF_Phone_EN">
    <vt:lpwstr>+45 38 14 21 42</vt:lpwstr>
  </property>
  <property fmtid="{D5CDD505-2E9C-101B-9397-08002B2CF9AE}" pid="40" name="SD_Office_OFF_Fax">
    <vt:lpwstr/>
  </property>
  <property fmtid="{D5CDD505-2E9C-101B-9397-08002B2CF9AE}" pid="41" name="SD_Office_OFF_Fax_EN">
    <vt:lpwstr/>
  </property>
  <property fmtid="{D5CDD505-2E9C-101B-9397-08002B2CF9AE}" pid="42" name="SD_Office_OFF_Email">
    <vt:lpwstr>mim@mim.dk</vt:lpwstr>
  </property>
  <property fmtid="{D5CDD505-2E9C-101B-9397-08002B2CF9AE}" pid="43" name="SD_Office_OFF_Web">
    <vt:lpwstr>www.mim.dk</vt:lpwstr>
  </property>
  <property fmtid="{D5CDD505-2E9C-101B-9397-08002B2CF9AE}" pid="44" name="SD_Office_OFF_CVR">
    <vt:lpwstr>12854358</vt:lpwstr>
  </property>
  <property fmtid="{D5CDD505-2E9C-101B-9397-08002B2CF9AE}" pid="45" name="SD_Office_OFF_EAN">
    <vt:lpwstr>5798000862005</vt:lpwstr>
  </property>
  <property fmtid="{D5CDD505-2E9C-101B-9397-08002B2CF9AE}" pid="46" name="SD_Office_OFF_EAN_EN">
    <vt:lpwstr>5798000862005</vt:lpwstr>
  </property>
  <property fmtid="{D5CDD505-2E9C-101B-9397-08002B2CF9AE}" pid="47" name="SD_Office_OFF_ColorTheme">
    <vt:lpwstr>MFVM - Departementet_Koncern</vt:lpwstr>
  </property>
  <property fmtid="{D5CDD505-2E9C-101B-9397-08002B2CF9AE}" pid="48" name="LastCompletedArtworkDefinition">
    <vt:lpwstr>MIM</vt:lpwstr>
  </property>
  <property fmtid="{D5CDD505-2E9C-101B-9397-08002B2CF9AE}" pid="49" name="USR_Name">
    <vt:lpwstr>Simon Jacobsen</vt:lpwstr>
  </property>
  <property fmtid="{D5CDD505-2E9C-101B-9397-08002B2CF9AE}" pid="50" name="USR_Initials">
    <vt:lpwstr>SIMAJ</vt:lpwstr>
  </property>
  <property fmtid="{D5CDD505-2E9C-101B-9397-08002B2CF9AE}" pid="51" name="USR_Title">
    <vt:lpwstr>Fuldmægtig</vt:lpwstr>
  </property>
  <property fmtid="{D5CDD505-2E9C-101B-9397-08002B2CF9AE}" pid="52" name="USR_DirectPhone">
    <vt:lpwstr>+45 24 41 57 93</vt:lpwstr>
  </property>
  <property fmtid="{D5CDD505-2E9C-101B-9397-08002B2CF9AE}" pid="53" name="USR_Mobile">
    <vt:lpwstr>+45 24 41 57 93</vt:lpwstr>
  </property>
  <property fmtid="{D5CDD505-2E9C-101B-9397-08002B2CF9AE}" pid="54" name="USR_Email">
    <vt:lpwstr>simaj@mim.dk</vt:lpwstr>
  </property>
  <property fmtid="{D5CDD505-2E9C-101B-9397-08002B2CF9AE}" pid="55" name="DocumentInfoFinished">
    <vt:lpwstr>True</vt:lpwstr>
  </property>
</Properties>
</file>