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F8BA7" w14:textId="4A5BB05F" w:rsidR="00770419" w:rsidRPr="00770419" w:rsidRDefault="00770419" w:rsidP="00FD1A50">
      <w:pPr>
        <w:jc w:val="center"/>
        <w:rPr>
          <w:rFonts w:eastAsia="Calibri" w:cs="Times New Roman"/>
          <w:sz w:val="20"/>
          <w:szCs w:val="20"/>
        </w:rPr>
      </w:pPr>
      <w:r>
        <w:rPr>
          <w:rFonts w:eastAsia="Calibri" w:cs="Times New Roman"/>
          <w:sz w:val="20"/>
          <w:szCs w:val="20"/>
        </w:rPr>
        <w:t>Fremsat den 29. februar 2024 af miljøministeren (Magnus Heunicke)</w:t>
      </w:r>
    </w:p>
    <w:p w14:paraId="56DA54AB" w14:textId="77777777" w:rsidR="00770419" w:rsidRDefault="00770419" w:rsidP="00FD1A50">
      <w:pPr>
        <w:jc w:val="center"/>
        <w:rPr>
          <w:rFonts w:eastAsia="Calibri" w:cs="Times New Roman"/>
          <w:b/>
          <w:szCs w:val="24"/>
        </w:rPr>
      </w:pPr>
    </w:p>
    <w:p w14:paraId="04E6871E" w14:textId="65895D5C" w:rsidR="00FD1A50" w:rsidRDefault="00FD1A50" w:rsidP="00FD1A50">
      <w:pPr>
        <w:jc w:val="center"/>
        <w:rPr>
          <w:rFonts w:eastAsia="Calibri" w:cs="Times New Roman"/>
          <w:b/>
          <w:szCs w:val="24"/>
        </w:rPr>
      </w:pPr>
      <w:r>
        <w:rPr>
          <w:rFonts w:eastAsia="Calibri" w:cs="Times New Roman"/>
          <w:b/>
          <w:szCs w:val="24"/>
        </w:rPr>
        <w:t>Forslag</w:t>
      </w:r>
    </w:p>
    <w:p w14:paraId="1ADA4DDC" w14:textId="77777777" w:rsidR="00FD1A50" w:rsidRPr="00686734" w:rsidRDefault="00FD1A50" w:rsidP="00FD1A50">
      <w:pPr>
        <w:jc w:val="center"/>
        <w:rPr>
          <w:rFonts w:eastAsia="Calibri" w:cs="Times New Roman"/>
          <w:szCs w:val="24"/>
        </w:rPr>
      </w:pPr>
      <w:r w:rsidRPr="00686734">
        <w:rPr>
          <w:rFonts w:eastAsia="Calibri" w:cs="Times New Roman"/>
          <w:szCs w:val="24"/>
        </w:rPr>
        <w:t>til</w:t>
      </w:r>
    </w:p>
    <w:p w14:paraId="43E9C118" w14:textId="4619CF37" w:rsidR="00FD1A50" w:rsidRPr="00686734" w:rsidRDefault="00FD1A50" w:rsidP="00FD1A50">
      <w:pPr>
        <w:jc w:val="center"/>
        <w:rPr>
          <w:rFonts w:eastAsia="Calibri" w:cs="Times New Roman"/>
          <w:szCs w:val="24"/>
        </w:rPr>
      </w:pPr>
      <w:r w:rsidRPr="00686734">
        <w:rPr>
          <w:rFonts w:eastAsia="Calibri" w:cs="Times New Roman"/>
          <w:szCs w:val="24"/>
        </w:rPr>
        <w:t xml:space="preserve">Lov om ændring af lov </w:t>
      </w:r>
      <w:r w:rsidR="008F43A2">
        <w:rPr>
          <w:rFonts w:eastAsia="Calibri" w:cs="Times New Roman"/>
          <w:szCs w:val="24"/>
        </w:rPr>
        <w:t>om vandforsyning m.v.</w:t>
      </w:r>
      <w:r w:rsidR="003B6A56">
        <w:rPr>
          <w:rFonts w:eastAsia="Calibri" w:cs="Times New Roman"/>
          <w:szCs w:val="24"/>
        </w:rPr>
        <w:t xml:space="preserve"> og lov om miljøbeskyttelse</w:t>
      </w:r>
    </w:p>
    <w:p w14:paraId="79A19D31" w14:textId="3060FAE4" w:rsidR="00FD1A50" w:rsidRPr="003B0B97" w:rsidRDefault="00C932D7" w:rsidP="00C932D7">
      <w:pPr>
        <w:jc w:val="center"/>
        <w:rPr>
          <w:rFonts w:eastAsia="Calibri" w:cs="Times New Roman"/>
          <w:szCs w:val="24"/>
        </w:rPr>
      </w:pPr>
      <w:r>
        <w:rPr>
          <w:rFonts w:eastAsia="Calibri" w:cs="Times New Roman"/>
          <w:szCs w:val="24"/>
        </w:rPr>
        <w:t>(Målrettet indsats for boringsnære</w:t>
      </w:r>
      <w:r w:rsidR="007D5DFA">
        <w:rPr>
          <w:rFonts w:eastAsia="Calibri" w:cs="Times New Roman"/>
          <w:szCs w:val="24"/>
        </w:rPr>
        <w:t xml:space="preserve"> beskyttelsesområder og </w:t>
      </w:r>
      <w:r w:rsidR="004016A9">
        <w:rPr>
          <w:rFonts w:eastAsia="Calibri" w:cs="Times New Roman"/>
          <w:szCs w:val="24"/>
        </w:rPr>
        <w:t>præcisering af forholdet til</w:t>
      </w:r>
      <w:r w:rsidR="007D5DFA">
        <w:rPr>
          <w:rFonts w:eastAsia="Calibri" w:cs="Times New Roman"/>
          <w:szCs w:val="24"/>
        </w:rPr>
        <w:t xml:space="preserve"> 25</w:t>
      </w:r>
      <w:r>
        <w:rPr>
          <w:rFonts w:eastAsia="Calibri" w:cs="Times New Roman"/>
          <w:szCs w:val="24"/>
        </w:rPr>
        <w:t xml:space="preserve"> </w:t>
      </w:r>
      <w:r w:rsidR="007D5DFA">
        <w:rPr>
          <w:rFonts w:eastAsia="Calibri" w:cs="Times New Roman"/>
          <w:szCs w:val="24"/>
        </w:rPr>
        <w:t>meters beskyttelseszone</w:t>
      </w:r>
      <w:r w:rsidR="004016A9">
        <w:rPr>
          <w:rFonts w:eastAsia="Calibri" w:cs="Times New Roman"/>
          <w:szCs w:val="24"/>
        </w:rPr>
        <w:t>n</w:t>
      </w:r>
      <w:r w:rsidR="007D5DFA">
        <w:rPr>
          <w:rFonts w:eastAsia="Calibri" w:cs="Times New Roman"/>
          <w:szCs w:val="24"/>
        </w:rPr>
        <w:t xml:space="preserve"> omkring vandboringe</w:t>
      </w:r>
      <w:r>
        <w:rPr>
          <w:rFonts w:eastAsia="Calibri" w:cs="Times New Roman"/>
          <w:szCs w:val="24"/>
        </w:rPr>
        <w:t>r</w:t>
      </w:r>
      <w:r w:rsidR="00FD1A50" w:rsidRPr="003B0B97">
        <w:rPr>
          <w:rFonts w:eastAsia="Calibri" w:cs="Times New Roman"/>
          <w:szCs w:val="24"/>
        </w:rPr>
        <w:t>)</w:t>
      </w:r>
    </w:p>
    <w:p w14:paraId="48185B15" w14:textId="77777777" w:rsidR="00FD1A50" w:rsidRPr="003B0B97" w:rsidRDefault="00FD1A50" w:rsidP="00FD1A50">
      <w:pPr>
        <w:jc w:val="center"/>
        <w:rPr>
          <w:rFonts w:eastAsia="Calibri" w:cs="Times New Roman"/>
          <w:szCs w:val="24"/>
        </w:rPr>
      </w:pPr>
    </w:p>
    <w:p w14:paraId="696B1F40" w14:textId="677C6683" w:rsidR="00FD1A50" w:rsidRDefault="00FD1A50" w:rsidP="00FD1A50">
      <w:pPr>
        <w:jc w:val="center"/>
        <w:rPr>
          <w:rFonts w:eastAsia="Calibri" w:cs="Times New Roman"/>
          <w:b/>
          <w:szCs w:val="24"/>
        </w:rPr>
      </w:pPr>
      <w:r w:rsidRPr="003B0B97">
        <w:rPr>
          <w:rFonts w:eastAsia="Calibri" w:cs="Times New Roman"/>
          <w:b/>
          <w:szCs w:val="24"/>
        </w:rPr>
        <w:t>§ 1</w:t>
      </w:r>
    </w:p>
    <w:p w14:paraId="2A759AE4" w14:textId="7CC3D47F" w:rsidR="003B6A56" w:rsidRDefault="003B6A56" w:rsidP="00FD1A50">
      <w:pPr>
        <w:jc w:val="center"/>
        <w:rPr>
          <w:rFonts w:eastAsia="Calibri" w:cs="Times New Roman"/>
          <w:b/>
          <w:szCs w:val="24"/>
        </w:rPr>
      </w:pPr>
    </w:p>
    <w:p w14:paraId="51BE884B" w14:textId="29C0A9FC" w:rsidR="003B6A56" w:rsidRDefault="003B6A56" w:rsidP="003B6A56">
      <w:pPr>
        <w:rPr>
          <w:rFonts w:eastAsia="Calibri" w:cs="Times New Roman"/>
          <w:szCs w:val="24"/>
        </w:rPr>
      </w:pPr>
      <w:r w:rsidRPr="003B0B97">
        <w:rPr>
          <w:rFonts w:eastAsia="Calibri" w:cs="Times New Roman"/>
          <w:szCs w:val="24"/>
        </w:rPr>
        <w:t>I lov</w:t>
      </w:r>
      <w:r>
        <w:rPr>
          <w:rFonts w:eastAsia="Calibri" w:cs="Times New Roman"/>
          <w:szCs w:val="24"/>
        </w:rPr>
        <w:t xml:space="preserve"> om vandforsyning m.v.</w:t>
      </w:r>
      <w:r w:rsidRPr="003B0B97">
        <w:rPr>
          <w:rFonts w:eastAsia="Calibri" w:cs="Times New Roman"/>
          <w:szCs w:val="24"/>
        </w:rPr>
        <w:t xml:space="preserve">, jf. lovbekendtgørelse nr. </w:t>
      </w:r>
      <w:r w:rsidR="00753CD7">
        <w:rPr>
          <w:rFonts w:eastAsia="Calibri" w:cs="Times New Roman"/>
          <w:szCs w:val="24"/>
        </w:rPr>
        <w:t>602 af 10. maj 2022</w:t>
      </w:r>
      <w:r w:rsidRPr="003B0B97">
        <w:rPr>
          <w:rFonts w:eastAsia="Calibri" w:cs="Times New Roman"/>
          <w:szCs w:val="24"/>
        </w:rPr>
        <w:t>,</w:t>
      </w:r>
      <w:r>
        <w:rPr>
          <w:rFonts w:eastAsia="Calibri" w:cs="Times New Roman"/>
          <w:szCs w:val="24"/>
        </w:rPr>
        <w:t xml:space="preserve"> </w:t>
      </w:r>
      <w:r w:rsidR="00033429">
        <w:rPr>
          <w:rFonts w:eastAsia="Calibri" w:cs="Times New Roman"/>
          <w:szCs w:val="24"/>
        </w:rPr>
        <w:t>med de</w:t>
      </w:r>
      <w:r w:rsidR="00CD16F5">
        <w:rPr>
          <w:rFonts w:eastAsia="Calibri" w:cs="Times New Roman"/>
          <w:szCs w:val="24"/>
        </w:rPr>
        <w:t>n</w:t>
      </w:r>
      <w:r w:rsidR="00033429">
        <w:rPr>
          <w:rFonts w:eastAsia="Calibri" w:cs="Times New Roman"/>
          <w:szCs w:val="24"/>
        </w:rPr>
        <w:t xml:space="preserve"> ændring, der følger</w:t>
      </w:r>
      <w:r w:rsidR="00CD16F5">
        <w:rPr>
          <w:rFonts w:eastAsia="Calibri" w:cs="Times New Roman"/>
          <w:szCs w:val="24"/>
        </w:rPr>
        <w:t xml:space="preserve"> af lov nr. 900 af 21. juni 2022</w:t>
      </w:r>
      <w:r w:rsidRPr="003B0B97">
        <w:rPr>
          <w:rFonts w:eastAsia="Calibri" w:cs="Times New Roman"/>
          <w:szCs w:val="24"/>
        </w:rPr>
        <w:t>, foretages følgende ændring</w:t>
      </w:r>
      <w:r>
        <w:rPr>
          <w:rFonts w:eastAsia="Calibri" w:cs="Times New Roman"/>
          <w:szCs w:val="24"/>
        </w:rPr>
        <w:t>er</w:t>
      </w:r>
      <w:r w:rsidRPr="003B0B97">
        <w:rPr>
          <w:rFonts w:eastAsia="Calibri" w:cs="Times New Roman"/>
          <w:szCs w:val="24"/>
        </w:rPr>
        <w:t>:</w:t>
      </w:r>
    </w:p>
    <w:p w14:paraId="6B9EC186" w14:textId="77777777" w:rsidR="00117AF0" w:rsidRDefault="00117AF0" w:rsidP="003B6A56">
      <w:pPr>
        <w:rPr>
          <w:rFonts w:eastAsia="Calibri" w:cs="Times New Roman"/>
          <w:szCs w:val="24"/>
        </w:rPr>
      </w:pPr>
    </w:p>
    <w:p w14:paraId="157F90C5" w14:textId="72DDBF8F" w:rsidR="003B6A56" w:rsidRDefault="00C94717" w:rsidP="003B6A56">
      <w:pPr>
        <w:rPr>
          <w:rFonts w:eastAsia="Calibri" w:cs="Times New Roman"/>
          <w:szCs w:val="24"/>
        </w:rPr>
      </w:pPr>
      <w:r>
        <w:rPr>
          <w:rFonts w:eastAsia="Calibri" w:cs="Times New Roman"/>
          <w:b/>
          <w:szCs w:val="24"/>
        </w:rPr>
        <w:t>1</w:t>
      </w:r>
      <w:r w:rsidR="003B6A56" w:rsidRPr="00232738">
        <w:rPr>
          <w:rFonts w:eastAsia="Calibri" w:cs="Times New Roman"/>
          <w:b/>
          <w:szCs w:val="24"/>
        </w:rPr>
        <w:t>.</w:t>
      </w:r>
      <w:r w:rsidR="003B6A56">
        <w:rPr>
          <w:rFonts w:eastAsia="Calibri" w:cs="Times New Roman"/>
          <w:szCs w:val="24"/>
        </w:rPr>
        <w:t xml:space="preserve"> Efter § 13 e indsættes:</w:t>
      </w:r>
    </w:p>
    <w:p w14:paraId="345931F7" w14:textId="481E5D3A" w:rsidR="0013262F" w:rsidRDefault="003B6A56" w:rsidP="0013262F">
      <w:pPr>
        <w:rPr>
          <w:rFonts w:cs="Times New Roman"/>
          <w:szCs w:val="24"/>
        </w:rPr>
      </w:pPr>
      <w:r w:rsidRPr="008F43A2">
        <w:rPr>
          <w:rFonts w:cs="Times New Roman"/>
          <w:szCs w:val="24"/>
        </w:rPr>
        <w:t>»</w:t>
      </w:r>
      <w:r w:rsidRPr="00144543">
        <w:rPr>
          <w:rFonts w:cs="Times New Roman"/>
          <w:b/>
          <w:szCs w:val="24"/>
        </w:rPr>
        <w:t>13 f.</w:t>
      </w:r>
      <w:r>
        <w:rPr>
          <w:rFonts w:cs="Times New Roman"/>
          <w:szCs w:val="24"/>
        </w:rPr>
        <w:t xml:space="preserve"> En  almen vandforsyning</w:t>
      </w:r>
      <w:r w:rsidR="00993FD1">
        <w:rPr>
          <w:rFonts w:cs="Times New Roman"/>
          <w:szCs w:val="24"/>
        </w:rPr>
        <w:t xml:space="preserve"> eller en kommunalbestyrelse</w:t>
      </w:r>
      <w:r>
        <w:rPr>
          <w:rFonts w:cs="Times New Roman"/>
          <w:szCs w:val="24"/>
        </w:rPr>
        <w:t xml:space="preserve"> kan for at beskytte et boringsnært beskyttelsesområde udpeget efter § 11 a, stk. 1, nr. 6, hvor kommunalbestyrelsen efter regler udstedt i medfør af § 13 e har vurderet et indsatsbehov til beskyttelse af drikkevandsinteresser mod fare for forurening fra erhvervsmæssig anvendelse af p</w:t>
      </w:r>
      <w:r w:rsidR="00C94717">
        <w:rPr>
          <w:rFonts w:cs="Times New Roman"/>
          <w:szCs w:val="24"/>
        </w:rPr>
        <w:t>esticider</w:t>
      </w:r>
      <w:r>
        <w:rPr>
          <w:rFonts w:cs="Times New Roman"/>
          <w:szCs w:val="24"/>
        </w:rPr>
        <w:t>, indgå aftale med ejeren af eller indehaveren af andre rettigheder over en ejendom om</w:t>
      </w:r>
      <w:r w:rsidR="00790FF8">
        <w:rPr>
          <w:rFonts w:cs="Times New Roman"/>
          <w:szCs w:val="24"/>
        </w:rPr>
        <w:t xml:space="preserve"> </w:t>
      </w:r>
      <w:r w:rsidR="00BF56C2">
        <w:rPr>
          <w:rFonts w:cs="Times New Roman"/>
          <w:szCs w:val="24"/>
        </w:rPr>
        <w:t>dyrkningspraksis</w:t>
      </w:r>
      <w:r w:rsidR="00EC011A">
        <w:rPr>
          <w:rFonts w:cs="Times New Roman"/>
          <w:szCs w:val="24"/>
        </w:rPr>
        <w:t xml:space="preserve"> </w:t>
      </w:r>
      <w:r w:rsidR="00860AF4">
        <w:rPr>
          <w:rFonts w:cs="Times New Roman"/>
          <w:szCs w:val="24"/>
        </w:rPr>
        <w:t xml:space="preserve">eller </w:t>
      </w:r>
      <w:r w:rsidR="00BF56C2">
        <w:rPr>
          <w:rFonts w:cs="Times New Roman"/>
          <w:szCs w:val="24"/>
        </w:rPr>
        <w:t>andre restriktioner i arealanvendelsen eller</w:t>
      </w:r>
      <w:r w:rsidR="00EC011A">
        <w:rPr>
          <w:rFonts w:cs="Times New Roman"/>
          <w:szCs w:val="24"/>
        </w:rPr>
        <w:t xml:space="preserve"> indgå aftale om salg af hele eller dele af ejendommen til kommunen eller den almene vandforsyning</w:t>
      </w:r>
      <w:r>
        <w:rPr>
          <w:rFonts w:cs="Times New Roman"/>
          <w:szCs w:val="24"/>
        </w:rPr>
        <w:t xml:space="preserve">. </w:t>
      </w:r>
      <w:r w:rsidR="00397E06">
        <w:rPr>
          <w:rFonts w:cs="Times New Roman"/>
          <w:szCs w:val="24"/>
        </w:rPr>
        <w:t xml:space="preserve">Indgår </w:t>
      </w:r>
      <w:r w:rsidR="00270F18">
        <w:rPr>
          <w:rFonts w:cs="Times New Roman"/>
          <w:szCs w:val="24"/>
        </w:rPr>
        <w:t xml:space="preserve">kommunalbestyrelsen aftalen, skal den almene vandforsyning høres over </w:t>
      </w:r>
      <w:r w:rsidR="00C61BAB">
        <w:rPr>
          <w:rFonts w:cs="Times New Roman"/>
          <w:szCs w:val="24"/>
        </w:rPr>
        <w:t>det beløb, der ifølge aftalen tilkommer ejeren af eller indehaveren af andre rettigheder over ejendommen.</w:t>
      </w:r>
      <w:r w:rsidR="00270F18">
        <w:rPr>
          <w:rFonts w:cs="Times New Roman"/>
          <w:szCs w:val="24"/>
        </w:rPr>
        <w:t xml:space="preserve"> </w:t>
      </w:r>
    </w:p>
    <w:p w14:paraId="2E6FD6E2" w14:textId="159B32B2" w:rsidR="003B6A56" w:rsidRPr="00CE1ECB" w:rsidRDefault="0013262F" w:rsidP="0013262F">
      <w:pPr>
        <w:rPr>
          <w:rFonts w:cs="Times New Roman"/>
          <w:szCs w:val="24"/>
        </w:rPr>
      </w:pPr>
      <w:r>
        <w:rPr>
          <w:rFonts w:cs="Times New Roman"/>
          <w:i/>
          <w:szCs w:val="24"/>
        </w:rPr>
        <w:t xml:space="preserve">   </w:t>
      </w:r>
      <w:r w:rsidR="003B6A56" w:rsidRPr="002F52FC">
        <w:rPr>
          <w:rFonts w:cs="Times New Roman"/>
          <w:i/>
          <w:szCs w:val="24"/>
        </w:rPr>
        <w:t xml:space="preserve">Stk. </w:t>
      </w:r>
      <w:r>
        <w:rPr>
          <w:rFonts w:cs="Times New Roman"/>
          <w:i/>
          <w:szCs w:val="24"/>
        </w:rPr>
        <w:t>2</w:t>
      </w:r>
      <w:r w:rsidR="003B6A56" w:rsidRPr="002F52FC">
        <w:rPr>
          <w:rFonts w:cs="Times New Roman"/>
          <w:i/>
          <w:szCs w:val="24"/>
        </w:rPr>
        <w:t>.</w:t>
      </w:r>
      <w:r w:rsidR="003B6A56" w:rsidRPr="009C6ABB">
        <w:rPr>
          <w:rFonts w:cs="Times New Roman"/>
          <w:szCs w:val="24"/>
        </w:rPr>
        <w:t xml:space="preserve"> </w:t>
      </w:r>
      <w:r w:rsidR="009F76AE">
        <w:t xml:space="preserve">Vandforsyningen </w:t>
      </w:r>
      <w:r w:rsidR="0025656A">
        <w:t xml:space="preserve">eller kommunalbestyrelsen </w:t>
      </w:r>
      <w:r w:rsidR="009F76AE">
        <w:t>tinglyser for grundejers regning aftalen efter stk. 1.</w:t>
      </w:r>
      <w:r w:rsidR="0025656A">
        <w:t xml:space="preserve"> Aftalen efter stk. 1 </w:t>
      </w:r>
      <w:r w:rsidR="00F33E8E">
        <w:t>kan tinglyses med prioritet forud for alle rettigheder i ejendommen</w:t>
      </w:r>
      <w:r w:rsidR="0025656A">
        <w:t>. § 119 i lov om offentlige veje finder anvendelse ved udbetaling</w:t>
      </w:r>
      <w:r w:rsidR="002E1CAB">
        <w:t>en</w:t>
      </w:r>
      <w:r w:rsidR="0025656A">
        <w:t xml:space="preserve"> af det aftalte beløb.</w:t>
      </w:r>
    </w:p>
    <w:p w14:paraId="139374BF" w14:textId="216CCBAF" w:rsidR="003B6A56" w:rsidRPr="00660FBF" w:rsidRDefault="003B6A56" w:rsidP="003B6A56">
      <w:pPr>
        <w:rPr>
          <w:rFonts w:cs="Times New Roman"/>
          <w:szCs w:val="24"/>
        </w:rPr>
      </w:pPr>
      <w:r>
        <w:rPr>
          <w:rFonts w:cs="Times New Roman"/>
          <w:szCs w:val="24"/>
        </w:rPr>
        <w:t xml:space="preserve">   </w:t>
      </w:r>
      <w:r>
        <w:rPr>
          <w:rFonts w:cs="Times New Roman"/>
          <w:i/>
          <w:szCs w:val="24"/>
        </w:rPr>
        <w:t xml:space="preserve">Stk. </w:t>
      </w:r>
      <w:r w:rsidR="0013262F">
        <w:rPr>
          <w:rFonts w:cs="Times New Roman"/>
          <w:i/>
          <w:szCs w:val="24"/>
        </w:rPr>
        <w:t>3</w:t>
      </w:r>
      <w:r>
        <w:rPr>
          <w:rFonts w:cs="Times New Roman"/>
          <w:i/>
          <w:szCs w:val="24"/>
        </w:rPr>
        <w:t>.</w:t>
      </w:r>
      <w:r w:rsidRPr="00E12CC1">
        <w:rPr>
          <w:rFonts w:cs="Times New Roman"/>
          <w:szCs w:val="24"/>
        </w:rPr>
        <w:t xml:space="preserve"> </w:t>
      </w:r>
      <w:r>
        <w:rPr>
          <w:rFonts w:cs="Times New Roman"/>
          <w:szCs w:val="24"/>
        </w:rPr>
        <w:t>Miljøministeren kan fastsætte regler om aftaleindgåelse efter stk. 1, herunder om tidsfrister</w:t>
      </w:r>
      <w:r w:rsidR="00775471">
        <w:rPr>
          <w:rFonts w:cs="Times New Roman"/>
          <w:szCs w:val="24"/>
        </w:rPr>
        <w:t>,</w:t>
      </w:r>
      <w:r>
        <w:rPr>
          <w:rFonts w:cs="Times New Roman"/>
          <w:szCs w:val="24"/>
        </w:rPr>
        <w:t xml:space="preserve"> vilkår</w:t>
      </w:r>
      <w:r w:rsidR="00775471">
        <w:rPr>
          <w:rFonts w:cs="Times New Roman"/>
          <w:szCs w:val="24"/>
        </w:rPr>
        <w:t xml:space="preserve"> og rammer for aftaleindgåelsen</w:t>
      </w:r>
      <w:r>
        <w:rPr>
          <w:rFonts w:cs="Times New Roman"/>
          <w:szCs w:val="24"/>
        </w:rPr>
        <w:t>.</w:t>
      </w:r>
      <w:r w:rsidRPr="00E1332F">
        <w:rPr>
          <w:rFonts w:eastAsia="Calibri" w:cs="Times New Roman"/>
          <w:szCs w:val="24"/>
        </w:rPr>
        <w:t>«</w:t>
      </w:r>
    </w:p>
    <w:p w14:paraId="7FBC0AC3" w14:textId="490FB0E7" w:rsidR="003B6A56" w:rsidRDefault="003B6A56" w:rsidP="00FD1A50">
      <w:pPr>
        <w:jc w:val="center"/>
        <w:rPr>
          <w:rFonts w:eastAsia="Calibri" w:cs="Times New Roman"/>
          <w:b/>
          <w:szCs w:val="24"/>
        </w:rPr>
      </w:pPr>
    </w:p>
    <w:p w14:paraId="70F12A2A" w14:textId="6197FEBD" w:rsidR="003B6A56" w:rsidRDefault="003B6A56" w:rsidP="00FD1A50">
      <w:pPr>
        <w:jc w:val="center"/>
        <w:rPr>
          <w:rFonts w:eastAsia="Calibri" w:cs="Times New Roman"/>
          <w:b/>
          <w:szCs w:val="24"/>
        </w:rPr>
      </w:pPr>
      <w:r>
        <w:rPr>
          <w:rFonts w:eastAsia="Calibri" w:cs="Times New Roman"/>
          <w:b/>
          <w:szCs w:val="24"/>
        </w:rPr>
        <w:t>§ 2</w:t>
      </w:r>
    </w:p>
    <w:p w14:paraId="1F1493C5" w14:textId="77777777" w:rsidR="00825A01" w:rsidRDefault="00825A01" w:rsidP="00FD1A50">
      <w:pPr>
        <w:jc w:val="center"/>
        <w:rPr>
          <w:rFonts w:eastAsia="Calibri" w:cs="Times New Roman"/>
          <w:b/>
          <w:szCs w:val="24"/>
        </w:rPr>
      </w:pPr>
    </w:p>
    <w:p w14:paraId="45B6289A" w14:textId="02E29235" w:rsidR="00FD1A50" w:rsidRDefault="00FD1A50" w:rsidP="00FD1A50">
      <w:pPr>
        <w:rPr>
          <w:rFonts w:eastAsia="Calibri" w:cs="Times New Roman"/>
          <w:szCs w:val="24"/>
        </w:rPr>
      </w:pPr>
      <w:r w:rsidRPr="003B0B97">
        <w:rPr>
          <w:rFonts w:eastAsia="Calibri" w:cs="Times New Roman"/>
          <w:szCs w:val="24"/>
        </w:rPr>
        <w:t>I lov</w:t>
      </w:r>
      <w:r>
        <w:rPr>
          <w:rFonts w:eastAsia="Calibri" w:cs="Times New Roman"/>
          <w:szCs w:val="24"/>
        </w:rPr>
        <w:t xml:space="preserve"> om </w:t>
      </w:r>
      <w:r w:rsidR="00A11DCB">
        <w:rPr>
          <w:rFonts w:eastAsia="Calibri" w:cs="Times New Roman"/>
          <w:szCs w:val="24"/>
        </w:rPr>
        <w:t>miljøbeskyttelse</w:t>
      </w:r>
      <w:r w:rsidRPr="003B0B97">
        <w:rPr>
          <w:rFonts w:eastAsia="Calibri" w:cs="Times New Roman"/>
          <w:szCs w:val="24"/>
        </w:rPr>
        <w:t xml:space="preserve">, jf. lovbekendtgørelse nr. </w:t>
      </w:r>
      <w:r w:rsidR="00A11DCB">
        <w:rPr>
          <w:rFonts w:eastAsia="Calibri" w:cs="Times New Roman"/>
          <w:szCs w:val="24"/>
        </w:rPr>
        <w:t>5</w:t>
      </w:r>
      <w:r>
        <w:rPr>
          <w:rFonts w:eastAsia="Calibri" w:cs="Times New Roman"/>
          <w:szCs w:val="24"/>
        </w:rPr>
        <w:t xml:space="preserve"> af </w:t>
      </w:r>
      <w:r w:rsidR="00D04FF6">
        <w:rPr>
          <w:rFonts w:eastAsia="Calibri" w:cs="Times New Roman"/>
          <w:szCs w:val="24"/>
        </w:rPr>
        <w:t>3. januar 2023</w:t>
      </w:r>
      <w:r w:rsidR="00753CD7">
        <w:rPr>
          <w:rFonts w:eastAsia="Calibri" w:cs="Times New Roman"/>
          <w:szCs w:val="24"/>
        </w:rPr>
        <w:t>,</w:t>
      </w:r>
      <w:r w:rsidR="00825A01">
        <w:rPr>
          <w:rFonts w:eastAsia="Calibri" w:cs="Times New Roman"/>
          <w:szCs w:val="24"/>
        </w:rPr>
        <w:t xml:space="preserve"> </w:t>
      </w:r>
      <w:r w:rsidR="00570BFC">
        <w:rPr>
          <w:rFonts w:eastAsia="Calibri" w:cs="Times New Roman"/>
          <w:szCs w:val="24"/>
        </w:rPr>
        <w:t xml:space="preserve">som </w:t>
      </w:r>
      <w:r w:rsidR="00825A01">
        <w:rPr>
          <w:rFonts w:eastAsia="Calibri" w:cs="Times New Roman"/>
          <w:szCs w:val="24"/>
        </w:rPr>
        <w:t xml:space="preserve">senest </w:t>
      </w:r>
      <w:r w:rsidR="00570BFC">
        <w:rPr>
          <w:rFonts w:eastAsia="Calibri" w:cs="Times New Roman"/>
          <w:szCs w:val="24"/>
        </w:rPr>
        <w:t>ændret ved lov nr. 475 af den 13. juni 2023</w:t>
      </w:r>
      <w:r>
        <w:rPr>
          <w:rFonts w:eastAsia="Calibri" w:cs="Times New Roman"/>
          <w:szCs w:val="24"/>
        </w:rPr>
        <w:t>,</w:t>
      </w:r>
      <w:r w:rsidRPr="003B0B97">
        <w:rPr>
          <w:rFonts w:eastAsia="Calibri" w:cs="Times New Roman"/>
          <w:szCs w:val="24"/>
        </w:rPr>
        <w:t xml:space="preserve"> foretages følgende ændring</w:t>
      </w:r>
      <w:r>
        <w:rPr>
          <w:rFonts w:eastAsia="Calibri" w:cs="Times New Roman"/>
          <w:szCs w:val="24"/>
        </w:rPr>
        <w:t>er</w:t>
      </w:r>
      <w:r w:rsidRPr="003B0B97">
        <w:rPr>
          <w:rFonts w:eastAsia="Calibri" w:cs="Times New Roman"/>
          <w:szCs w:val="24"/>
        </w:rPr>
        <w:t>:</w:t>
      </w:r>
    </w:p>
    <w:p w14:paraId="6C889F0D" w14:textId="639C86B5" w:rsidR="00E118D6" w:rsidRDefault="00E118D6" w:rsidP="00145007">
      <w:pPr>
        <w:rPr>
          <w:rFonts w:eastAsia="Calibri" w:cs="Times New Roman"/>
          <w:szCs w:val="24"/>
        </w:rPr>
      </w:pPr>
    </w:p>
    <w:p w14:paraId="4E9E8C8B" w14:textId="5009D072" w:rsidR="00117AF0" w:rsidRPr="00117AF0" w:rsidRDefault="00C94717" w:rsidP="00C94717">
      <w:pPr>
        <w:rPr>
          <w:rFonts w:eastAsia="Calibri" w:cs="Times New Roman"/>
          <w:szCs w:val="24"/>
        </w:rPr>
      </w:pPr>
      <w:r>
        <w:rPr>
          <w:rFonts w:eastAsia="Calibri" w:cs="Times New Roman"/>
          <w:b/>
          <w:szCs w:val="24"/>
        </w:rPr>
        <w:t>1</w:t>
      </w:r>
      <w:r w:rsidR="00117AF0">
        <w:rPr>
          <w:rFonts w:eastAsia="Calibri" w:cs="Times New Roman"/>
          <w:b/>
          <w:szCs w:val="24"/>
        </w:rPr>
        <w:t xml:space="preserve">. </w:t>
      </w:r>
      <w:r w:rsidR="00770419">
        <w:rPr>
          <w:rFonts w:eastAsia="Calibri" w:cs="Times New Roman"/>
          <w:szCs w:val="24"/>
        </w:rPr>
        <w:t xml:space="preserve">I </w:t>
      </w:r>
      <w:r w:rsidR="00770419" w:rsidRPr="008111AD">
        <w:rPr>
          <w:rFonts w:eastAsia="Calibri" w:cs="Times New Roman"/>
          <w:i/>
          <w:szCs w:val="24"/>
        </w:rPr>
        <w:t>§ 21 b, stk. 2</w:t>
      </w:r>
      <w:r w:rsidR="0041312E">
        <w:rPr>
          <w:rFonts w:eastAsia="Calibri" w:cs="Times New Roman"/>
          <w:i/>
          <w:szCs w:val="24"/>
        </w:rPr>
        <w:t>,</w:t>
      </w:r>
      <w:r w:rsidR="00770419">
        <w:rPr>
          <w:rFonts w:eastAsia="Calibri" w:cs="Times New Roman"/>
          <w:szCs w:val="24"/>
        </w:rPr>
        <w:t xml:space="preserve"> indsættes efter</w:t>
      </w:r>
      <w:r w:rsidR="00A30783" w:rsidRPr="00A30783">
        <w:rPr>
          <w:rFonts w:eastAsia="Calibri" w:cs="Times New Roman"/>
          <w:b/>
          <w:szCs w:val="24"/>
        </w:rPr>
        <w:t xml:space="preserve"> </w:t>
      </w:r>
      <w:r w:rsidR="00A30783" w:rsidRPr="00D1590B">
        <w:rPr>
          <w:rFonts w:eastAsia="Calibri" w:cs="Times New Roman"/>
          <w:szCs w:val="24"/>
        </w:rPr>
        <w:t>»</w:t>
      </w:r>
      <w:r w:rsidR="00770419">
        <w:rPr>
          <w:rFonts w:eastAsia="Calibri" w:cs="Times New Roman"/>
          <w:szCs w:val="24"/>
        </w:rPr>
        <w:t>§ 24, stk. 1,</w:t>
      </w:r>
      <w:r w:rsidR="00A30783" w:rsidRPr="001C7CA8">
        <w:rPr>
          <w:rFonts w:eastAsia="Calibri" w:cs="Times New Roman"/>
          <w:szCs w:val="24"/>
        </w:rPr>
        <w:t>«</w:t>
      </w:r>
      <w:r w:rsidR="00770419">
        <w:rPr>
          <w:rFonts w:eastAsia="Calibri" w:cs="Times New Roman"/>
          <w:szCs w:val="24"/>
        </w:rPr>
        <w:t xml:space="preserve">: </w:t>
      </w:r>
      <w:r w:rsidR="00C352DB" w:rsidRPr="00D1590B">
        <w:rPr>
          <w:rFonts w:eastAsia="Calibri" w:cs="Times New Roman"/>
          <w:szCs w:val="24"/>
        </w:rPr>
        <w:t>»</w:t>
      </w:r>
      <w:r w:rsidR="00770419">
        <w:rPr>
          <w:rFonts w:eastAsia="Calibri" w:cs="Times New Roman"/>
          <w:szCs w:val="24"/>
        </w:rPr>
        <w:t>§ 24 a, stk. 1, eller § 26 a, stk. 1,</w:t>
      </w:r>
      <w:r w:rsidR="00C352DB" w:rsidRPr="001C7CA8">
        <w:rPr>
          <w:rFonts w:eastAsia="Calibri" w:cs="Times New Roman"/>
          <w:szCs w:val="24"/>
        </w:rPr>
        <w:t>«</w:t>
      </w:r>
      <w:r w:rsidR="004016A9">
        <w:rPr>
          <w:rFonts w:eastAsia="Calibri" w:cs="Times New Roman"/>
          <w:szCs w:val="24"/>
        </w:rPr>
        <w:t>.</w:t>
      </w:r>
    </w:p>
    <w:p w14:paraId="35CCE931" w14:textId="77777777" w:rsidR="00145007" w:rsidRPr="003B0B97" w:rsidRDefault="00145007" w:rsidP="00FD1A50">
      <w:pPr>
        <w:rPr>
          <w:rFonts w:eastAsia="Calibri" w:cs="Times New Roman"/>
          <w:szCs w:val="24"/>
        </w:rPr>
      </w:pPr>
    </w:p>
    <w:p w14:paraId="7CA04A20" w14:textId="43AD220F" w:rsidR="00EA2E07" w:rsidRPr="00EA2E07" w:rsidRDefault="00C94717" w:rsidP="00FD1A50">
      <w:pPr>
        <w:rPr>
          <w:rFonts w:eastAsia="Calibri" w:cs="Times New Roman"/>
          <w:szCs w:val="24"/>
        </w:rPr>
      </w:pPr>
      <w:r>
        <w:rPr>
          <w:rFonts w:eastAsia="Calibri" w:cs="Times New Roman"/>
          <w:b/>
          <w:szCs w:val="24"/>
        </w:rPr>
        <w:t>2</w:t>
      </w:r>
      <w:r w:rsidR="00FD1A50" w:rsidRPr="003B0B97">
        <w:rPr>
          <w:rFonts w:eastAsia="Calibri" w:cs="Times New Roman"/>
          <w:b/>
          <w:szCs w:val="24"/>
        </w:rPr>
        <w:t>.</w:t>
      </w:r>
      <w:r w:rsidR="00FD1A50" w:rsidRPr="003B0B97">
        <w:rPr>
          <w:rFonts w:eastAsia="Calibri" w:cs="Times New Roman"/>
          <w:szCs w:val="24"/>
        </w:rPr>
        <w:t xml:space="preserve"> </w:t>
      </w:r>
      <w:r w:rsidR="008627C0">
        <w:rPr>
          <w:rFonts w:eastAsia="Calibri" w:cs="Times New Roman"/>
          <w:szCs w:val="24"/>
        </w:rPr>
        <w:t>Efter § 24 indsættes</w:t>
      </w:r>
      <w:r w:rsidR="00FD1A50" w:rsidRPr="003B0B97">
        <w:rPr>
          <w:rFonts w:eastAsia="Calibri" w:cs="Times New Roman"/>
          <w:szCs w:val="24"/>
        </w:rPr>
        <w:t>:</w:t>
      </w:r>
    </w:p>
    <w:p w14:paraId="56090EF3" w14:textId="77777777" w:rsidR="00EA2E07" w:rsidRDefault="00EA2E07" w:rsidP="00FD1A50">
      <w:pPr>
        <w:rPr>
          <w:rFonts w:eastAsia="Calibri" w:cs="Times New Roman"/>
          <w:szCs w:val="24"/>
        </w:rPr>
      </w:pPr>
    </w:p>
    <w:p w14:paraId="31FA2824" w14:textId="462A9C6F" w:rsidR="009E14DF" w:rsidRPr="003B0B97" w:rsidRDefault="009B6226" w:rsidP="00FD1A50">
      <w:pPr>
        <w:rPr>
          <w:rFonts w:cs="Times New Roman"/>
          <w:szCs w:val="24"/>
        </w:rPr>
      </w:pPr>
      <w:r w:rsidRPr="009B6226">
        <w:rPr>
          <w:rFonts w:eastAsia="Calibri" w:cs="Times New Roman"/>
          <w:b/>
          <w:szCs w:val="24"/>
        </w:rPr>
        <w:t>»</w:t>
      </w:r>
      <w:r w:rsidR="009E14DF" w:rsidRPr="009B6226">
        <w:rPr>
          <w:rFonts w:cs="Times New Roman"/>
          <w:b/>
          <w:szCs w:val="24"/>
        </w:rPr>
        <w:t>§ 24 a</w:t>
      </w:r>
      <w:r w:rsidR="009E14DF">
        <w:rPr>
          <w:rFonts w:cs="Times New Roman"/>
          <w:szCs w:val="24"/>
        </w:rPr>
        <w:t xml:space="preserve">. Når </w:t>
      </w:r>
      <w:r w:rsidR="00F50DD0">
        <w:rPr>
          <w:rFonts w:cs="Times New Roman"/>
          <w:szCs w:val="24"/>
        </w:rPr>
        <w:t xml:space="preserve">der ifølge </w:t>
      </w:r>
      <w:r w:rsidR="009E14DF">
        <w:rPr>
          <w:rFonts w:cs="Times New Roman"/>
          <w:szCs w:val="24"/>
        </w:rPr>
        <w:t xml:space="preserve">en risikovurdering </w:t>
      </w:r>
      <w:r w:rsidR="00DA3F42">
        <w:rPr>
          <w:rFonts w:cs="Times New Roman"/>
          <w:szCs w:val="24"/>
        </w:rPr>
        <w:t xml:space="preserve">foretaget </w:t>
      </w:r>
      <w:r w:rsidR="009E14DF">
        <w:rPr>
          <w:rFonts w:cs="Times New Roman"/>
          <w:szCs w:val="24"/>
        </w:rPr>
        <w:t>efter regler udstedt i medfør af § 13 e i lov om vandforsyning m</w:t>
      </w:r>
      <w:r w:rsidR="00AA5409">
        <w:rPr>
          <w:rFonts w:cs="Times New Roman"/>
          <w:szCs w:val="24"/>
        </w:rPr>
        <w:t>.</w:t>
      </w:r>
      <w:r w:rsidR="009E14DF">
        <w:rPr>
          <w:rFonts w:cs="Times New Roman"/>
          <w:szCs w:val="24"/>
        </w:rPr>
        <w:t>v.</w:t>
      </w:r>
      <w:r w:rsidR="00F50DD0">
        <w:rPr>
          <w:rFonts w:cs="Times New Roman"/>
          <w:szCs w:val="24"/>
        </w:rPr>
        <w:t xml:space="preserve"> er behov fo</w:t>
      </w:r>
      <w:r w:rsidR="00F50DD0" w:rsidRPr="00E57E73">
        <w:rPr>
          <w:rFonts w:cs="Times New Roman"/>
          <w:szCs w:val="24"/>
        </w:rPr>
        <w:t>r indsatser til beskyttelse af</w:t>
      </w:r>
      <w:r w:rsidR="004044E6">
        <w:rPr>
          <w:rFonts w:cs="Times New Roman"/>
          <w:szCs w:val="24"/>
        </w:rPr>
        <w:t xml:space="preserve"> </w:t>
      </w:r>
      <w:r w:rsidR="00F50DD0" w:rsidRPr="00E57E73">
        <w:rPr>
          <w:rFonts w:cs="Times New Roman"/>
          <w:szCs w:val="24"/>
        </w:rPr>
        <w:t>drikkevandsinteresser mod fare for forurening fra erhvervsmæssig anvendelse af p</w:t>
      </w:r>
      <w:r w:rsidR="00C94717">
        <w:rPr>
          <w:rFonts w:cs="Times New Roman"/>
          <w:szCs w:val="24"/>
        </w:rPr>
        <w:t>esticider</w:t>
      </w:r>
      <w:r w:rsidR="00F50DD0" w:rsidRPr="00E57E73">
        <w:rPr>
          <w:rFonts w:cs="Times New Roman"/>
          <w:szCs w:val="24"/>
        </w:rPr>
        <w:t xml:space="preserve"> i boringsnæ</w:t>
      </w:r>
      <w:r w:rsidR="00AC16E3" w:rsidRPr="00E57E73">
        <w:rPr>
          <w:rFonts w:cs="Times New Roman"/>
          <w:szCs w:val="24"/>
        </w:rPr>
        <w:t>re beskyttelsesområder udpeget efter</w:t>
      </w:r>
      <w:r w:rsidR="00F50DD0" w:rsidRPr="00E57E73">
        <w:rPr>
          <w:rFonts w:cs="Times New Roman"/>
          <w:szCs w:val="24"/>
        </w:rPr>
        <w:t xml:space="preserve"> regler udstedt i medfør af § 11 a, stk. 1, nr. 6</w:t>
      </w:r>
      <w:r w:rsidR="00160F11">
        <w:rPr>
          <w:rFonts w:cs="Times New Roman"/>
          <w:szCs w:val="24"/>
        </w:rPr>
        <w:t>,</w:t>
      </w:r>
      <w:r w:rsidR="009E14DF">
        <w:rPr>
          <w:rFonts w:cs="Times New Roman"/>
          <w:szCs w:val="24"/>
        </w:rPr>
        <w:t xml:space="preserve"> </w:t>
      </w:r>
      <w:r w:rsidR="00DA3F42">
        <w:rPr>
          <w:rFonts w:cs="Times New Roman"/>
          <w:szCs w:val="24"/>
        </w:rPr>
        <w:t>i lov om vandforsyning m</w:t>
      </w:r>
      <w:r w:rsidR="00AA5409">
        <w:rPr>
          <w:rFonts w:cs="Times New Roman"/>
          <w:szCs w:val="24"/>
        </w:rPr>
        <w:t>.</w:t>
      </w:r>
      <w:r w:rsidR="00DA3F42">
        <w:rPr>
          <w:rFonts w:cs="Times New Roman"/>
          <w:szCs w:val="24"/>
        </w:rPr>
        <w:t xml:space="preserve">v., </w:t>
      </w:r>
      <w:r w:rsidR="009E14DF">
        <w:rPr>
          <w:rFonts w:cs="Times New Roman"/>
          <w:szCs w:val="24"/>
        </w:rPr>
        <w:t>skal kommunalbestyrelsen, hvis der ikke kan opnås en aftale herom på rimelige vilkår</w:t>
      </w:r>
      <w:r w:rsidR="001C7CA8">
        <w:rPr>
          <w:rFonts w:cs="Times New Roman"/>
          <w:szCs w:val="24"/>
        </w:rPr>
        <w:t xml:space="preserve"> efter § 13 f i lov om vandforsyning m</w:t>
      </w:r>
      <w:r w:rsidR="00AA5409">
        <w:rPr>
          <w:rFonts w:cs="Times New Roman"/>
          <w:szCs w:val="24"/>
        </w:rPr>
        <w:t>.</w:t>
      </w:r>
      <w:r w:rsidR="001C7CA8">
        <w:rPr>
          <w:rFonts w:cs="Times New Roman"/>
          <w:szCs w:val="24"/>
        </w:rPr>
        <w:t>v.</w:t>
      </w:r>
      <w:r w:rsidR="004D2193">
        <w:rPr>
          <w:rFonts w:cs="Times New Roman"/>
          <w:szCs w:val="24"/>
        </w:rPr>
        <w:t>, mod fuldstændig erstatning</w:t>
      </w:r>
      <w:r>
        <w:rPr>
          <w:rFonts w:cs="Times New Roman"/>
          <w:szCs w:val="24"/>
        </w:rPr>
        <w:t xml:space="preserve">, give påbud eller nedlægge forbud mod </w:t>
      </w:r>
      <w:r w:rsidR="00E30E12">
        <w:rPr>
          <w:rFonts w:cs="Times New Roman"/>
          <w:szCs w:val="24"/>
        </w:rPr>
        <w:t xml:space="preserve">en ellers lovlig </w:t>
      </w:r>
      <w:r>
        <w:rPr>
          <w:rFonts w:cs="Times New Roman"/>
          <w:szCs w:val="24"/>
        </w:rPr>
        <w:t>erhvervsmæssig anvendelse af p</w:t>
      </w:r>
      <w:r w:rsidR="00C94717">
        <w:rPr>
          <w:rFonts w:cs="Times New Roman"/>
          <w:szCs w:val="24"/>
        </w:rPr>
        <w:t xml:space="preserve">esticider </w:t>
      </w:r>
      <w:r>
        <w:rPr>
          <w:rFonts w:cs="Times New Roman"/>
          <w:szCs w:val="24"/>
        </w:rPr>
        <w:t>inden for et boringsnært beskyttelsesområde</w:t>
      </w:r>
      <w:r w:rsidR="006403DD">
        <w:rPr>
          <w:rFonts w:cs="Times New Roman"/>
          <w:szCs w:val="24"/>
        </w:rPr>
        <w:t>, j</w:t>
      </w:r>
      <w:r w:rsidR="00DA3F42">
        <w:rPr>
          <w:rFonts w:cs="Times New Roman"/>
          <w:szCs w:val="24"/>
        </w:rPr>
        <w:t>f. dog stk. 2.</w:t>
      </w:r>
    </w:p>
    <w:p w14:paraId="39517092" w14:textId="46930707" w:rsidR="00656E66" w:rsidRDefault="006D3FCB" w:rsidP="00FD1A50">
      <w:pPr>
        <w:ind w:firstLine="284"/>
        <w:rPr>
          <w:rFonts w:eastAsia="Calibri" w:cs="Times New Roman"/>
          <w:sz w:val="26"/>
          <w:szCs w:val="24"/>
        </w:rPr>
      </w:pPr>
      <w:bookmarkStart w:id="0" w:name="_Hlk144886962"/>
      <w:r w:rsidRPr="00C560D6">
        <w:rPr>
          <w:rFonts w:eastAsia="Calibri" w:cs="Times New Roman"/>
          <w:i/>
          <w:szCs w:val="24"/>
        </w:rPr>
        <w:t>Stk. 2.</w:t>
      </w:r>
      <w:r w:rsidR="00B64081" w:rsidRPr="008627C0">
        <w:rPr>
          <w:rFonts w:eastAsia="Calibri" w:cs="Times New Roman"/>
          <w:szCs w:val="24"/>
        </w:rPr>
        <w:t xml:space="preserve"> Kravet i stk. 1 gælder ikke</w:t>
      </w:r>
      <w:r w:rsidR="00412005" w:rsidRPr="008627C0">
        <w:rPr>
          <w:rFonts w:eastAsia="Calibri" w:cs="Times New Roman"/>
          <w:szCs w:val="24"/>
        </w:rPr>
        <w:t>,</w:t>
      </w:r>
      <w:r w:rsidR="00656E66" w:rsidRPr="008627C0">
        <w:rPr>
          <w:rFonts w:eastAsia="Calibri" w:cs="Times New Roman"/>
          <w:szCs w:val="24"/>
        </w:rPr>
        <w:t xml:space="preserve"> hvis</w:t>
      </w:r>
      <w:r w:rsidR="00656E66">
        <w:rPr>
          <w:rFonts w:eastAsia="Calibri" w:cs="Times New Roman"/>
          <w:sz w:val="26"/>
          <w:szCs w:val="24"/>
        </w:rPr>
        <w:t>:</w:t>
      </w:r>
    </w:p>
    <w:p w14:paraId="1E86EC0B" w14:textId="7EC0F4F1" w:rsidR="008A6F52" w:rsidRPr="00770419" w:rsidRDefault="008A6F52" w:rsidP="008A6F52">
      <w:pPr>
        <w:pStyle w:val="Listeafsnit"/>
        <w:numPr>
          <w:ilvl w:val="0"/>
          <w:numId w:val="7"/>
        </w:numPr>
        <w:rPr>
          <w:rFonts w:ascii="Times New Roman" w:eastAsia="Calibri" w:hAnsi="Times New Roman" w:cs="Times New Roman"/>
          <w:sz w:val="24"/>
          <w:szCs w:val="24"/>
        </w:rPr>
      </w:pPr>
      <w:r>
        <w:rPr>
          <w:rFonts w:ascii="Times New Roman" w:eastAsia="Calibri" w:hAnsi="Times New Roman" w:cs="Times New Roman"/>
          <w:sz w:val="24"/>
          <w:szCs w:val="24"/>
        </w:rPr>
        <w:t>D</w:t>
      </w:r>
      <w:r w:rsidRPr="00180FCE">
        <w:rPr>
          <w:rFonts w:ascii="Times New Roman" w:eastAsia="Calibri" w:hAnsi="Times New Roman" w:cs="Times New Roman"/>
          <w:sz w:val="24"/>
          <w:szCs w:val="24"/>
        </w:rPr>
        <w:t>en almene vandforsyning</w:t>
      </w:r>
      <w:r>
        <w:rPr>
          <w:rFonts w:ascii="Times New Roman" w:eastAsia="Calibri" w:hAnsi="Times New Roman" w:cs="Times New Roman"/>
          <w:sz w:val="24"/>
          <w:szCs w:val="24"/>
        </w:rPr>
        <w:t xml:space="preserve"> eller kommunalbestyrelsen</w:t>
      </w:r>
      <w:r w:rsidRPr="00180FCE">
        <w:rPr>
          <w:rFonts w:ascii="Times New Roman" w:eastAsia="Calibri" w:hAnsi="Times New Roman" w:cs="Times New Roman"/>
          <w:sz w:val="24"/>
          <w:szCs w:val="24"/>
        </w:rPr>
        <w:t xml:space="preserve"> har indgået en</w:t>
      </w:r>
      <w:r>
        <w:rPr>
          <w:rFonts w:ascii="Times New Roman" w:eastAsia="Calibri" w:hAnsi="Times New Roman" w:cs="Times New Roman"/>
          <w:sz w:val="24"/>
          <w:szCs w:val="24"/>
        </w:rPr>
        <w:t xml:space="preserve"> tilsvarende</w:t>
      </w:r>
      <w:r w:rsidRPr="00180FCE">
        <w:rPr>
          <w:rFonts w:ascii="Times New Roman" w:eastAsia="Calibri" w:hAnsi="Times New Roman" w:cs="Times New Roman"/>
          <w:sz w:val="24"/>
          <w:szCs w:val="24"/>
        </w:rPr>
        <w:t xml:space="preserve"> aftale om </w:t>
      </w:r>
      <w:r>
        <w:rPr>
          <w:rFonts w:ascii="Times New Roman" w:eastAsia="Calibri" w:hAnsi="Times New Roman" w:cs="Times New Roman"/>
          <w:sz w:val="24"/>
          <w:szCs w:val="24"/>
        </w:rPr>
        <w:t xml:space="preserve">dyrkningspraksis eller andre </w:t>
      </w:r>
      <w:r w:rsidR="00B62532">
        <w:rPr>
          <w:rFonts w:ascii="Times New Roman" w:eastAsia="Calibri" w:hAnsi="Times New Roman" w:cs="Times New Roman"/>
          <w:sz w:val="24"/>
          <w:szCs w:val="24"/>
        </w:rPr>
        <w:t xml:space="preserve">tilsvarende </w:t>
      </w:r>
      <w:r>
        <w:rPr>
          <w:rFonts w:ascii="Times New Roman" w:eastAsia="Calibri" w:hAnsi="Times New Roman" w:cs="Times New Roman"/>
          <w:sz w:val="24"/>
          <w:szCs w:val="24"/>
        </w:rPr>
        <w:t>restriktioner i arealanvendelsen eller</w:t>
      </w:r>
      <w:r w:rsidRPr="00DB5504">
        <w:rPr>
          <w:rFonts w:ascii="Times New Roman" w:eastAsia="Calibri" w:hAnsi="Times New Roman" w:cs="Times New Roman"/>
          <w:sz w:val="24"/>
          <w:szCs w:val="24"/>
        </w:rPr>
        <w:t xml:space="preserve"> om salg af hele eller dele af ejendommen til kommunen e</w:t>
      </w:r>
      <w:r w:rsidRPr="00E12D07">
        <w:rPr>
          <w:rFonts w:ascii="Times New Roman" w:eastAsia="Calibri" w:hAnsi="Times New Roman" w:cs="Times New Roman"/>
          <w:sz w:val="24"/>
          <w:szCs w:val="24"/>
        </w:rPr>
        <w:t>ller den almene vandforsyning</w:t>
      </w:r>
      <w:r w:rsidRPr="00E06F5D">
        <w:rPr>
          <w:rFonts w:ascii="Times New Roman" w:eastAsia="Calibri" w:hAnsi="Times New Roman" w:cs="Times New Roman"/>
          <w:sz w:val="24"/>
          <w:szCs w:val="24"/>
        </w:rPr>
        <w:t xml:space="preserve"> i medfør af § 13 d i lov om vandforsyning m.v.</w:t>
      </w:r>
      <w:r w:rsidR="002E1CAB">
        <w:rPr>
          <w:rFonts w:ascii="Times New Roman" w:eastAsia="Calibri" w:hAnsi="Times New Roman" w:cs="Times New Roman"/>
          <w:sz w:val="24"/>
          <w:szCs w:val="24"/>
        </w:rPr>
        <w:t>,</w:t>
      </w:r>
      <w:r w:rsidRPr="00E06F5D">
        <w:rPr>
          <w:rFonts w:ascii="Times New Roman" w:eastAsia="Calibri" w:hAnsi="Times New Roman" w:cs="Times New Roman"/>
          <w:sz w:val="24"/>
          <w:szCs w:val="24"/>
        </w:rPr>
        <w:t xml:space="preserve"> </w:t>
      </w:r>
    </w:p>
    <w:p w14:paraId="6BDB0749" w14:textId="29BEE615" w:rsidR="008A6F52" w:rsidRPr="00770419" w:rsidRDefault="008A6F52" w:rsidP="008A6F52">
      <w:pPr>
        <w:pStyle w:val="Listeafsnit"/>
        <w:numPr>
          <w:ilvl w:val="0"/>
          <w:numId w:val="7"/>
        </w:numPr>
        <w:rPr>
          <w:rFonts w:ascii="Times New Roman" w:eastAsia="Calibri" w:hAnsi="Times New Roman" w:cs="Times New Roman"/>
          <w:sz w:val="24"/>
          <w:szCs w:val="24"/>
        </w:rPr>
      </w:pPr>
      <w:r w:rsidRPr="00770419">
        <w:rPr>
          <w:rFonts w:ascii="Times New Roman" w:hAnsi="Times New Roman" w:cs="Times New Roman"/>
          <w:color w:val="2F2F2B"/>
          <w:spacing w:val="2"/>
          <w:sz w:val="24"/>
          <w:szCs w:val="24"/>
        </w:rPr>
        <w:t>Kommunalbestyrelsen efter § 24, stk. 1, har givet et tilsvarende påbud eller nedlagt et tilsvarende forbud for at undgå fare for forurening af vandindvindingsanlæg til indvinding af grundvand</w:t>
      </w:r>
      <w:r w:rsidR="002E1CAB">
        <w:rPr>
          <w:rFonts w:ascii="Times New Roman" w:hAnsi="Times New Roman" w:cs="Times New Roman"/>
          <w:color w:val="2F2F2B"/>
          <w:spacing w:val="2"/>
          <w:sz w:val="24"/>
          <w:szCs w:val="24"/>
        </w:rPr>
        <w:t>,</w:t>
      </w:r>
    </w:p>
    <w:p w14:paraId="14717732" w14:textId="4078D94F" w:rsidR="00180FCE" w:rsidRPr="00E06F5D" w:rsidRDefault="00C932D7" w:rsidP="00180FCE">
      <w:pPr>
        <w:pStyle w:val="Listeafsnit"/>
        <w:numPr>
          <w:ilvl w:val="0"/>
          <w:numId w:val="7"/>
        </w:numPr>
        <w:rPr>
          <w:rFonts w:ascii="Times New Roman" w:eastAsia="Calibri" w:hAnsi="Times New Roman" w:cs="Times New Roman"/>
          <w:sz w:val="24"/>
          <w:szCs w:val="24"/>
        </w:rPr>
      </w:pPr>
      <w:r w:rsidRPr="00770419">
        <w:rPr>
          <w:rFonts w:ascii="Times New Roman" w:eastAsia="Calibri" w:hAnsi="Times New Roman" w:cs="Times New Roman"/>
          <w:sz w:val="24"/>
          <w:szCs w:val="24"/>
        </w:rPr>
        <w:t xml:space="preserve">Kommunalbestyrelsen efter § 26 a, stk. 1, har </w:t>
      </w:r>
      <w:r w:rsidRPr="00770419">
        <w:rPr>
          <w:rFonts w:ascii="Times New Roman" w:hAnsi="Times New Roman" w:cs="Times New Roman"/>
          <w:color w:val="2F2F2B"/>
          <w:spacing w:val="2"/>
          <w:sz w:val="24"/>
          <w:szCs w:val="24"/>
        </w:rPr>
        <w:t>pålagt ejeren af en ejendom i området tilsvarende rådighedsindskrænkninger eller andre foranstaltninger</w:t>
      </w:r>
      <w:r w:rsidR="00C94717">
        <w:rPr>
          <w:rFonts w:ascii="Times New Roman" w:hAnsi="Times New Roman" w:cs="Times New Roman"/>
          <w:color w:val="2F2F2B"/>
          <w:spacing w:val="2"/>
          <w:sz w:val="24"/>
          <w:szCs w:val="24"/>
        </w:rPr>
        <w:t>,</w:t>
      </w:r>
      <w:r w:rsidR="00FF5628">
        <w:rPr>
          <w:rFonts w:ascii="Times New Roman" w:eastAsia="Calibri" w:hAnsi="Times New Roman" w:cs="Times New Roman"/>
          <w:sz w:val="24"/>
          <w:szCs w:val="24"/>
        </w:rPr>
        <w:t xml:space="preserve"> eller</w:t>
      </w:r>
    </w:p>
    <w:p w14:paraId="76A82EDF" w14:textId="134BCC30" w:rsidR="00C5022D" w:rsidRPr="00180FCE" w:rsidRDefault="007D7EDF" w:rsidP="00D535E9">
      <w:pPr>
        <w:pStyle w:val="Listeafsnit"/>
        <w:numPr>
          <w:ilvl w:val="0"/>
          <w:numId w:val="7"/>
        </w:numPr>
        <w:spacing w:after="0"/>
        <w:rPr>
          <w:rFonts w:ascii="Times New Roman" w:eastAsia="Calibri" w:hAnsi="Times New Roman" w:cs="Times New Roman"/>
          <w:sz w:val="24"/>
          <w:szCs w:val="24"/>
        </w:rPr>
      </w:pPr>
      <w:r w:rsidRPr="00180FCE">
        <w:rPr>
          <w:rFonts w:ascii="Times New Roman" w:eastAsia="Calibri" w:hAnsi="Times New Roman" w:cs="Times New Roman"/>
          <w:sz w:val="24"/>
          <w:szCs w:val="24"/>
        </w:rPr>
        <w:t>Der er</w:t>
      </w:r>
      <w:r w:rsidR="00742B33" w:rsidRPr="00180FCE">
        <w:rPr>
          <w:rFonts w:ascii="Times New Roman" w:eastAsia="Calibri" w:hAnsi="Times New Roman" w:cs="Times New Roman"/>
          <w:sz w:val="24"/>
          <w:szCs w:val="24"/>
        </w:rPr>
        <w:t xml:space="preserve"> iværksat </w:t>
      </w:r>
      <w:r w:rsidR="009550F9" w:rsidRPr="00180FCE">
        <w:rPr>
          <w:rFonts w:ascii="Times New Roman" w:eastAsia="Calibri" w:hAnsi="Times New Roman" w:cs="Times New Roman"/>
          <w:sz w:val="24"/>
          <w:szCs w:val="24"/>
        </w:rPr>
        <w:t>andre</w:t>
      </w:r>
      <w:r w:rsidR="00B1463D">
        <w:rPr>
          <w:rFonts w:ascii="Times New Roman" w:eastAsia="Calibri" w:hAnsi="Times New Roman" w:cs="Times New Roman"/>
          <w:sz w:val="24"/>
          <w:szCs w:val="24"/>
        </w:rPr>
        <w:t xml:space="preserve"> tilsvarende beskyttelses</w:t>
      </w:r>
      <w:r w:rsidR="00AF3584">
        <w:rPr>
          <w:rFonts w:ascii="Times New Roman" w:eastAsia="Calibri" w:hAnsi="Times New Roman" w:cs="Times New Roman"/>
          <w:sz w:val="24"/>
          <w:szCs w:val="24"/>
        </w:rPr>
        <w:t xml:space="preserve">foranstaltninger </w:t>
      </w:r>
      <w:r w:rsidR="00742B33" w:rsidRPr="00180FCE">
        <w:rPr>
          <w:rFonts w:ascii="Times New Roman" w:eastAsia="Calibri" w:hAnsi="Times New Roman" w:cs="Times New Roman"/>
          <w:sz w:val="24"/>
          <w:szCs w:val="24"/>
        </w:rPr>
        <w:t>i det boringsnære beskyttelsesområde</w:t>
      </w:r>
      <w:r w:rsidR="00B96A45" w:rsidRPr="00180FCE">
        <w:rPr>
          <w:rFonts w:ascii="Times New Roman" w:eastAsia="Calibri" w:hAnsi="Times New Roman" w:cs="Times New Roman"/>
          <w:sz w:val="24"/>
          <w:szCs w:val="24"/>
        </w:rPr>
        <w:t>.</w:t>
      </w:r>
      <w:bookmarkEnd w:id="0"/>
    </w:p>
    <w:p w14:paraId="4C8F1B3D" w14:textId="463DAE4A" w:rsidR="0068701F" w:rsidRDefault="00B62983" w:rsidP="0068701F">
      <w:pPr>
        <w:ind w:firstLine="284"/>
        <w:rPr>
          <w:rFonts w:eastAsia="Calibri" w:cs="Times New Roman"/>
          <w:szCs w:val="24"/>
        </w:rPr>
      </w:pPr>
      <w:r>
        <w:rPr>
          <w:rFonts w:eastAsia="Calibri" w:cs="Times New Roman"/>
          <w:i/>
          <w:szCs w:val="24"/>
        </w:rPr>
        <w:t xml:space="preserve">Stk. </w:t>
      </w:r>
      <w:r w:rsidR="00A43B3A">
        <w:rPr>
          <w:rFonts w:eastAsia="Calibri" w:cs="Times New Roman"/>
          <w:i/>
          <w:szCs w:val="24"/>
        </w:rPr>
        <w:t>3</w:t>
      </w:r>
      <w:r>
        <w:rPr>
          <w:rFonts w:eastAsia="Calibri" w:cs="Times New Roman"/>
          <w:i/>
          <w:szCs w:val="24"/>
        </w:rPr>
        <w:t>.</w:t>
      </w:r>
      <w:r w:rsidR="00CE1ECB">
        <w:rPr>
          <w:rFonts w:eastAsia="Calibri" w:cs="Times New Roman"/>
          <w:i/>
          <w:szCs w:val="24"/>
        </w:rPr>
        <w:t xml:space="preserve"> </w:t>
      </w:r>
      <w:r w:rsidR="00CE1ECB">
        <w:rPr>
          <w:rFonts w:eastAsia="Calibri" w:cs="Times New Roman"/>
          <w:szCs w:val="24"/>
        </w:rPr>
        <w:t>Kommunalbestyrelsen tinglyser</w:t>
      </w:r>
      <w:r>
        <w:rPr>
          <w:rFonts w:eastAsia="Calibri" w:cs="Times New Roman"/>
          <w:szCs w:val="24"/>
        </w:rPr>
        <w:t xml:space="preserve"> for ejerens regning</w:t>
      </w:r>
      <w:r w:rsidR="00CE1ECB">
        <w:rPr>
          <w:rFonts w:eastAsia="Calibri" w:cs="Times New Roman"/>
          <w:szCs w:val="24"/>
        </w:rPr>
        <w:t xml:space="preserve"> et påbud eller forbud efter stk. 1</w:t>
      </w:r>
      <w:r w:rsidR="0041312E">
        <w:rPr>
          <w:rFonts w:eastAsia="Calibri" w:cs="Times New Roman"/>
          <w:szCs w:val="24"/>
        </w:rPr>
        <w:t>,</w:t>
      </w:r>
      <w:r w:rsidR="00CE1ECB">
        <w:rPr>
          <w:rFonts w:eastAsia="Calibri" w:cs="Times New Roman"/>
          <w:szCs w:val="24"/>
        </w:rPr>
        <w:t xml:space="preserve"> </w:t>
      </w:r>
      <w:r w:rsidR="00C5747E">
        <w:rPr>
          <w:rFonts w:eastAsia="Calibri" w:cs="Times New Roman"/>
          <w:szCs w:val="24"/>
        </w:rPr>
        <w:t>medmindre afgørelsen</w:t>
      </w:r>
      <w:r w:rsidR="00156831">
        <w:rPr>
          <w:rFonts w:eastAsia="Calibri" w:cs="Times New Roman"/>
          <w:szCs w:val="24"/>
        </w:rPr>
        <w:t xml:space="preserve"> om påbud eller forbud</w:t>
      </w:r>
      <w:r w:rsidR="00C5747E">
        <w:rPr>
          <w:rFonts w:eastAsia="Calibri" w:cs="Times New Roman"/>
          <w:szCs w:val="24"/>
        </w:rPr>
        <w:t xml:space="preserve"> udgør ekspropriation, hvorefter kommunalbestyrelsen betaler for tinglysningen</w:t>
      </w:r>
      <w:r w:rsidR="00CE1ECB">
        <w:rPr>
          <w:rFonts w:eastAsia="Calibri" w:cs="Times New Roman"/>
          <w:szCs w:val="24"/>
        </w:rPr>
        <w:t xml:space="preserve">. </w:t>
      </w:r>
      <w:r w:rsidR="00397E06">
        <w:rPr>
          <w:rFonts w:eastAsia="Calibri" w:cs="Times New Roman"/>
          <w:szCs w:val="24"/>
        </w:rPr>
        <w:t>Bortfalder</w:t>
      </w:r>
      <w:r w:rsidR="00CE1ECB">
        <w:rPr>
          <w:rFonts w:eastAsia="Calibri" w:cs="Times New Roman"/>
          <w:szCs w:val="24"/>
        </w:rPr>
        <w:t xml:space="preserve"> påbuddet eller forbuddet, skal kommunalbestyrelsen lade det aflyse fra tingbogen.</w:t>
      </w:r>
    </w:p>
    <w:p w14:paraId="220C9A3F" w14:textId="024FED1A" w:rsidR="0068701F" w:rsidRDefault="00B1463D" w:rsidP="0068701F">
      <w:pPr>
        <w:ind w:firstLine="284"/>
        <w:rPr>
          <w:rFonts w:eastAsia="Calibri" w:cs="Times New Roman"/>
          <w:szCs w:val="24"/>
        </w:rPr>
      </w:pPr>
      <w:r w:rsidRPr="0068701F">
        <w:rPr>
          <w:i/>
        </w:rPr>
        <w:t xml:space="preserve">Stk. </w:t>
      </w:r>
      <w:r w:rsidR="00A43B3A">
        <w:rPr>
          <w:i/>
        </w:rPr>
        <w:t>4</w:t>
      </w:r>
      <w:r w:rsidRPr="0068701F">
        <w:rPr>
          <w:i/>
        </w:rPr>
        <w:t>.</w:t>
      </w:r>
      <w:r w:rsidR="009C6ABB">
        <w:t xml:space="preserve"> </w:t>
      </w:r>
      <w:r w:rsidRPr="0068701F">
        <w:t xml:space="preserve">Ved kommunalbestyrelsens </w:t>
      </w:r>
      <w:r w:rsidR="00A1170F" w:rsidRPr="0068701F">
        <w:t xml:space="preserve">påbud eller forbud </w:t>
      </w:r>
      <w:r w:rsidRPr="0068701F">
        <w:t>efter stk. 1</w:t>
      </w:r>
      <w:r w:rsidR="00A851F7" w:rsidRPr="0068701F">
        <w:t>,</w:t>
      </w:r>
      <w:r w:rsidRPr="0068701F">
        <w:t xml:space="preserve"> skal de meddelte</w:t>
      </w:r>
      <w:r w:rsidRPr="00804BC4">
        <w:rPr>
          <w:rFonts w:eastAsia="Calibri" w:cs="Times New Roman"/>
          <w:szCs w:val="24"/>
        </w:rPr>
        <w:t xml:space="preserve"> </w:t>
      </w:r>
      <w:r w:rsidR="00E528D9" w:rsidRPr="00804BC4">
        <w:rPr>
          <w:rFonts w:eastAsia="Calibri" w:cs="Times New Roman"/>
          <w:szCs w:val="24"/>
        </w:rPr>
        <w:t xml:space="preserve">påbud eller forbud </w:t>
      </w:r>
      <w:r w:rsidRPr="00804BC4">
        <w:rPr>
          <w:rFonts w:eastAsia="Calibri" w:cs="Times New Roman"/>
          <w:szCs w:val="24"/>
        </w:rPr>
        <w:t>respekteres af indehaveren af enhver rettighed over ejendommen, medmindre andet bestemmes i det enkelte tilfælde.</w:t>
      </w:r>
    </w:p>
    <w:p w14:paraId="3C2EA7F2" w14:textId="50C9506F" w:rsidR="008E1D11" w:rsidRDefault="00F57754" w:rsidP="0068701F">
      <w:pPr>
        <w:ind w:firstLine="284"/>
        <w:rPr>
          <w:rFonts w:eastAsia="Calibri" w:cs="Times New Roman"/>
          <w:szCs w:val="24"/>
        </w:rPr>
      </w:pPr>
      <w:r w:rsidRPr="003C05BC">
        <w:rPr>
          <w:rFonts w:eastAsia="Calibri" w:cs="Times New Roman"/>
          <w:i/>
          <w:szCs w:val="24"/>
        </w:rPr>
        <w:t xml:space="preserve">Stk. </w:t>
      </w:r>
      <w:r w:rsidR="00502F65">
        <w:rPr>
          <w:rFonts w:eastAsia="Calibri" w:cs="Times New Roman"/>
          <w:i/>
          <w:szCs w:val="24"/>
        </w:rPr>
        <w:t>5</w:t>
      </w:r>
      <w:r w:rsidRPr="003C05BC">
        <w:rPr>
          <w:rFonts w:eastAsia="Calibri" w:cs="Times New Roman"/>
          <w:i/>
          <w:szCs w:val="24"/>
        </w:rPr>
        <w:t>.</w:t>
      </w:r>
      <w:r>
        <w:rPr>
          <w:rFonts w:eastAsia="Calibri" w:cs="Times New Roman"/>
          <w:szCs w:val="24"/>
        </w:rPr>
        <w:t xml:space="preserve"> </w:t>
      </w:r>
      <w:r w:rsidR="003C05BC">
        <w:rPr>
          <w:rFonts w:eastAsia="Calibri" w:cs="Times New Roman"/>
          <w:szCs w:val="24"/>
        </w:rPr>
        <w:t xml:space="preserve">Miljøministeren kan fastsætte </w:t>
      </w:r>
      <w:r w:rsidR="00160F11">
        <w:rPr>
          <w:rFonts w:eastAsia="Calibri" w:cs="Times New Roman"/>
          <w:szCs w:val="24"/>
        </w:rPr>
        <w:t>nærmere regler om indholdet af påbud eller forbud</w:t>
      </w:r>
      <w:r w:rsidR="00092323">
        <w:rPr>
          <w:rFonts w:eastAsia="Calibri" w:cs="Times New Roman"/>
          <w:szCs w:val="24"/>
        </w:rPr>
        <w:t xml:space="preserve"> og</w:t>
      </w:r>
      <w:r w:rsidR="00C94717">
        <w:rPr>
          <w:rFonts w:eastAsia="Calibri" w:cs="Times New Roman"/>
          <w:szCs w:val="24"/>
        </w:rPr>
        <w:t xml:space="preserve"> vilkår og</w:t>
      </w:r>
      <w:r w:rsidR="003C05BC">
        <w:rPr>
          <w:rFonts w:eastAsia="Calibri" w:cs="Times New Roman"/>
          <w:szCs w:val="24"/>
        </w:rPr>
        <w:t xml:space="preserve"> frister </w:t>
      </w:r>
      <w:r w:rsidR="006B2861">
        <w:rPr>
          <w:rFonts w:eastAsia="Calibri" w:cs="Times New Roman"/>
          <w:szCs w:val="24"/>
        </w:rPr>
        <w:t>for påbud eller forbud efter stk. 1</w:t>
      </w:r>
      <w:r w:rsidR="00BE36E3">
        <w:rPr>
          <w:rFonts w:eastAsia="Calibri" w:cs="Times New Roman"/>
          <w:szCs w:val="24"/>
        </w:rPr>
        <w:t>.</w:t>
      </w:r>
      <w:r w:rsidR="00BE36E3" w:rsidRPr="001C7CA8">
        <w:rPr>
          <w:rFonts w:eastAsia="Calibri" w:cs="Times New Roman"/>
          <w:szCs w:val="24"/>
        </w:rPr>
        <w:t>«</w:t>
      </w:r>
    </w:p>
    <w:p w14:paraId="1B33B2A7" w14:textId="671354DD" w:rsidR="009944FE" w:rsidRDefault="009944FE" w:rsidP="00134C37">
      <w:pPr>
        <w:rPr>
          <w:rFonts w:eastAsia="Calibri" w:cs="Times New Roman"/>
          <w:szCs w:val="24"/>
        </w:rPr>
      </w:pPr>
    </w:p>
    <w:p w14:paraId="2F57EBAF" w14:textId="77777777" w:rsidR="005601D1" w:rsidRDefault="005601D1" w:rsidP="005601D1">
      <w:pPr>
        <w:rPr>
          <w:rFonts w:eastAsia="Calibri" w:cs="Times New Roman"/>
          <w:szCs w:val="24"/>
        </w:rPr>
      </w:pPr>
      <w:r>
        <w:rPr>
          <w:rFonts w:eastAsia="Calibri" w:cs="Times New Roman"/>
          <w:b/>
          <w:szCs w:val="24"/>
        </w:rPr>
        <w:t>3</w:t>
      </w:r>
      <w:r w:rsidRPr="00232738">
        <w:rPr>
          <w:rFonts w:eastAsia="Calibri" w:cs="Times New Roman"/>
          <w:b/>
          <w:szCs w:val="24"/>
        </w:rPr>
        <w:t>.</w:t>
      </w:r>
      <w:r>
        <w:rPr>
          <w:rFonts w:eastAsia="Calibri" w:cs="Times New Roman"/>
          <w:b/>
          <w:szCs w:val="24"/>
        </w:rPr>
        <w:t xml:space="preserve"> </w:t>
      </w:r>
      <w:r>
        <w:rPr>
          <w:rFonts w:eastAsia="Calibri" w:cs="Times New Roman"/>
          <w:szCs w:val="24"/>
        </w:rPr>
        <w:t xml:space="preserve">I </w:t>
      </w:r>
      <w:r w:rsidRPr="00C352DB">
        <w:rPr>
          <w:rFonts w:eastAsia="Calibri" w:cs="Times New Roman"/>
          <w:i/>
          <w:szCs w:val="24"/>
        </w:rPr>
        <w:t>§ 61</w:t>
      </w:r>
      <w:r>
        <w:rPr>
          <w:rFonts w:eastAsia="Calibri" w:cs="Times New Roman"/>
          <w:szCs w:val="24"/>
        </w:rPr>
        <w:t xml:space="preserve"> indsættes efter stk. 2 som nyt stykke: </w:t>
      </w:r>
    </w:p>
    <w:p w14:paraId="0DC3AF3E" w14:textId="77777777" w:rsidR="005601D1" w:rsidRDefault="005601D1" w:rsidP="005601D1">
      <w:pPr>
        <w:rPr>
          <w:rFonts w:eastAsia="Calibri" w:cs="Times New Roman"/>
          <w:i/>
          <w:szCs w:val="24"/>
        </w:rPr>
      </w:pPr>
    </w:p>
    <w:p w14:paraId="5AF95B09" w14:textId="389D8352" w:rsidR="005601D1" w:rsidRPr="00354749" w:rsidRDefault="005601D1" w:rsidP="005601D1">
      <w:pPr>
        <w:rPr>
          <w:rFonts w:eastAsia="Calibri" w:cs="Times New Roman"/>
          <w:b/>
          <w:szCs w:val="24"/>
        </w:rPr>
      </w:pPr>
      <w:r w:rsidRPr="00354749">
        <w:rPr>
          <w:rFonts w:eastAsia="Calibri" w:cs="Times New Roman"/>
          <w:i/>
          <w:szCs w:val="24"/>
        </w:rPr>
        <w:t>»</w:t>
      </w:r>
      <w:r>
        <w:rPr>
          <w:rFonts w:eastAsia="Calibri" w:cs="Times New Roman"/>
          <w:i/>
          <w:szCs w:val="24"/>
        </w:rPr>
        <w:t xml:space="preserve">Stk. 3. </w:t>
      </w:r>
      <w:r>
        <w:rPr>
          <w:rFonts w:eastAsia="Calibri" w:cs="Times New Roman"/>
          <w:szCs w:val="24"/>
        </w:rPr>
        <w:t>For erstatningsfastsættelser efter § 24 a, finder § 64 e anvendelse.</w:t>
      </w:r>
      <w:r w:rsidRPr="00354749">
        <w:rPr>
          <w:rFonts w:eastAsia="Calibri" w:cs="Times New Roman"/>
          <w:szCs w:val="24"/>
        </w:rPr>
        <w:t>«</w:t>
      </w:r>
    </w:p>
    <w:p w14:paraId="4567C640" w14:textId="77777777" w:rsidR="00134C37" w:rsidRDefault="00134C37" w:rsidP="00134C37">
      <w:pPr>
        <w:rPr>
          <w:rFonts w:eastAsia="Calibri" w:cs="Times New Roman"/>
          <w:szCs w:val="24"/>
        </w:rPr>
      </w:pPr>
    </w:p>
    <w:p w14:paraId="15D1F4E1" w14:textId="43CC3C35" w:rsidR="005601D1" w:rsidRPr="005601D1" w:rsidRDefault="005601D1" w:rsidP="005601D1">
      <w:pPr>
        <w:rPr>
          <w:rFonts w:eastAsia="Calibri" w:cs="Times New Roman"/>
          <w:i/>
          <w:szCs w:val="24"/>
        </w:rPr>
      </w:pPr>
      <w:bookmarkStart w:id="1" w:name="_Hlk149229090"/>
      <w:r>
        <w:rPr>
          <w:rFonts w:eastAsia="Calibri" w:cs="Times New Roman"/>
          <w:b/>
          <w:szCs w:val="24"/>
        </w:rPr>
        <w:t xml:space="preserve">4. </w:t>
      </w:r>
      <w:r>
        <w:t>Efter</w:t>
      </w:r>
      <w:r w:rsidRPr="00770419">
        <w:rPr>
          <w:rFonts w:eastAsia="Calibri" w:cs="Times New Roman"/>
          <w:szCs w:val="24"/>
        </w:rPr>
        <w:t xml:space="preserve"> § 64 d indsættes:</w:t>
      </w:r>
    </w:p>
    <w:p w14:paraId="32AC0673" w14:textId="77777777" w:rsidR="005601D1" w:rsidRDefault="005601D1" w:rsidP="005601D1">
      <w:pPr>
        <w:rPr>
          <w:b/>
        </w:rPr>
      </w:pPr>
    </w:p>
    <w:p w14:paraId="4C3AB3BD" w14:textId="24131039" w:rsidR="0068701F" w:rsidRDefault="005601D1" w:rsidP="0068701F">
      <w:r w:rsidRPr="009B6226">
        <w:rPr>
          <w:rFonts w:eastAsia="Calibri" w:cs="Times New Roman"/>
          <w:b/>
          <w:szCs w:val="24"/>
        </w:rPr>
        <w:t>»</w:t>
      </w:r>
      <w:r w:rsidRPr="005B37FF">
        <w:rPr>
          <w:b/>
        </w:rPr>
        <w:t>§ 64 e.</w:t>
      </w:r>
      <w:r w:rsidRPr="00C13733">
        <w:t xml:space="preserve"> Erstatning efter § 24 a betales af de brugere af vandet, der har fordel af påbuddet eller forbuddet.</w:t>
      </w:r>
    </w:p>
    <w:p w14:paraId="4F14D469" w14:textId="77777777" w:rsidR="00D535E9" w:rsidRDefault="005601D1" w:rsidP="00D535E9">
      <w:pPr>
        <w:pStyle w:val="Opstilling-punkttegn"/>
        <w:numPr>
          <w:ilvl w:val="0"/>
          <w:numId w:val="0"/>
        </w:numPr>
        <w:ind w:left="360"/>
      </w:pPr>
      <w:r w:rsidRPr="00354749">
        <w:rPr>
          <w:i/>
        </w:rPr>
        <w:t xml:space="preserve">Stk. 2. </w:t>
      </w:r>
      <w:r w:rsidRPr="00C13733">
        <w:t>Ved påbud eller forbud efter § 24 a, træffer kommunalbestyrelsen</w:t>
      </w:r>
      <w:r w:rsidR="00D535E9">
        <w:t xml:space="preserve"> </w:t>
      </w:r>
    </w:p>
    <w:p w14:paraId="42F85A6B" w14:textId="77777777" w:rsidR="00D535E9" w:rsidRDefault="005601D1" w:rsidP="00D535E9">
      <w:pPr>
        <w:pStyle w:val="Opstilling-punkttegn"/>
        <w:numPr>
          <w:ilvl w:val="0"/>
          <w:numId w:val="0"/>
        </w:numPr>
        <w:ind w:left="360" w:hanging="360"/>
      </w:pPr>
      <w:r w:rsidRPr="00C13733">
        <w:t>samtidig afgørelse om erstatningens størrelse. Ved kommunalbestyrelsens</w:t>
      </w:r>
    </w:p>
    <w:p w14:paraId="2D02B4DA" w14:textId="75B89F30" w:rsidR="005601D1" w:rsidRPr="00C13733" w:rsidRDefault="005601D1" w:rsidP="00060107">
      <w:pPr>
        <w:pStyle w:val="Opstilling-punkttegn"/>
        <w:numPr>
          <w:ilvl w:val="0"/>
          <w:numId w:val="0"/>
        </w:numPr>
      </w:pPr>
      <w:r w:rsidRPr="00C13733">
        <w:t xml:space="preserve">behandling af sagen finder lov om offentlige veje </w:t>
      </w:r>
      <w:r w:rsidRPr="005B37FF">
        <w:t>§§</w:t>
      </w:r>
      <w:r w:rsidRPr="00C13733">
        <w:t xml:space="preserve"> 103</w:t>
      </w:r>
      <w:r w:rsidR="00CF7E49">
        <w:t xml:space="preserve">, </w:t>
      </w:r>
      <w:r w:rsidRPr="00C13733">
        <w:t>104</w:t>
      </w:r>
      <w:r w:rsidR="00753CD7">
        <w:t xml:space="preserve"> </w:t>
      </w:r>
      <w:r w:rsidR="00397E06">
        <w:t>og</w:t>
      </w:r>
      <w:r w:rsidR="00BA3088">
        <w:t xml:space="preserve"> </w:t>
      </w:r>
      <w:r w:rsidRPr="00C13733">
        <w:t xml:space="preserve">113, </w:t>
      </w:r>
      <w:r w:rsidR="00CF7E49">
        <w:t>§</w:t>
      </w:r>
      <w:r w:rsidR="00753CD7">
        <w:t xml:space="preserve"> </w:t>
      </w:r>
      <w:r w:rsidRPr="00C13733">
        <w:t>119,</w:t>
      </w:r>
      <w:r w:rsidR="00CF7E49">
        <w:t xml:space="preserve"> s</w:t>
      </w:r>
      <w:r w:rsidRPr="00C13733">
        <w:t>tk.</w:t>
      </w:r>
      <w:r w:rsidR="00CF7E49">
        <w:t xml:space="preserve"> </w:t>
      </w:r>
      <w:r w:rsidRPr="00C13733">
        <w:t>2-4</w:t>
      </w:r>
      <w:r w:rsidR="00CF7E49">
        <w:t xml:space="preserve">, </w:t>
      </w:r>
      <w:r w:rsidR="00397E06">
        <w:t xml:space="preserve">og </w:t>
      </w:r>
      <w:r w:rsidR="00CF7E49">
        <w:t>§§</w:t>
      </w:r>
      <w:r w:rsidRPr="00C13733">
        <w:t xml:space="preserve"> 120</w:t>
      </w:r>
      <w:r w:rsidR="00CF7E49">
        <w:t xml:space="preserve"> og </w:t>
      </w:r>
      <w:r w:rsidRPr="00C13733">
        <w:t>121 tilsvarende anvendelse.</w:t>
      </w:r>
    </w:p>
    <w:p w14:paraId="5BE0D7F3" w14:textId="629AB597" w:rsidR="005601D1" w:rsidRPr="00C13733" w:rsidRDefault="005601D1" w:rsidP="00D535E9">
      <w:pPr>
        <w:ind w:firstLine="284"/>
      </w:pPr>
      <w:r w:rsidRPr="000E00A8">
        <w:rPr>
          <w:i/>
        </w:rPr>
        <w:t>Stk. 3.</w:t>
      </w:r>
      <w:r w:rsidRPr="00C13733">
        <w:t xml:space="preserve"> Kommunalbestyrelsens afgørelse om erstatning kan indbringes af grundejeren og vandforsyningen for de taksationsmyndigheder, der fremgår af lov om offentlige veje §§ 105 og 106. Klagefristen er 4 uger efter, at afgørelsen er meddelt. For taksationsmyndighedernes behandling af sagen finder </w:t>
      </w:r>
      <w:r>
        <w:t>lov om offentlige veje</w:t>
      </w:r>
      <w:r w:rsidRPr="00C13733">
        <w:t xml:space="preserve"> §§ 103</w:t>
      </w:r>
      <w:r w:rsidR="00CF7E49">
        <w:t xml:space="preserve">, </w:t>
      </w:r>
      <w:r w:rsidRPr="00C13733">
        <w:t>104 og 107-122 tilsvarende anvendelse.</w:t>
      </w:r>
      <w:r w:rsidR="008F5555">
        <w:t xml:space="preserve"> </w:t>
      </w:r>
      <w:r w:rsidR="002E72F1">
        <w:t>Taksationsmyndighedernes udgifter ved sagens behandling</w:t>
      </w:r>
      <w:r w:rsidR="00F83ECE">
        <w:t>,</w:t>
      </w:r>
      <w:r w:rsidR="002E72F1">
        <w:t xml:space="preserve"> bortset fra vederlag til formænd og sekretærer</w:t>
      </w:r>
      <w:r w:rsidR="00F83ECE">
        <w:t>,</w:t>
      </w:r>
      <w:r w:rsidR="002E72F1">
        <w:t xml:space="preserve"> betales af vandforsyningen.</w:t>
      </w:r>
    </w:p>
    <w:p w14:paraId="5BC96D6D" w14:textId="50FD9122" w:rsidR="005601D1" w:rsidRPr="00C13733" w:rsidRDefault="005601D1" w:rsidP="00D535E9">
      <w:pPr>
        <w:ind w:firstLine="284"/>
      </w:pPr>
      <w:r w:rsidRPr="00354749">
        <w:rPr>
          <w:i/>
        </w:rPr>
        <w:t>Stk. 4.</w:t>
      </w:r>
      <w:r w:rsidRPr="00C13733">
        <w:t xml:space="preserve"> En klage over afgørelse om erstatningens størrelse har ikke opsættende virkning.</w:t>
      </w:r>
    </w:p>
    <w:p w14:paraId="0162D649" w14:textId="455DC7F8" w:rsidR="007028B9" w:rsidRDefault="005601D1" w:rsidP="00D535E9">
      <w:pPr>
        <w:ind w:firstLine="284"/>
      </w:pPr>
      <w:r w:rsidRPr="00354749">
        <w:rPr>
          <w:i/>
        </w:rPr>
        <w:t>Stk. 5.</w:t>
      </w:r>
      <w:r w:rsidRPr="00C13733">
        <w:t xml:space="preserve"> Erstatningen efter stk. 2 udbetales af vandforsyningen </w:t>
      </w:r>
      <w:r w:rsidR="008B017E">
        <w:t xml:space="preserve">senest på samme tidspunkt som </w:t>
      </w:r>
      <w:r w:rsidRPr="00C13733">
        <w:t xml:space="preserve">et påbud eller forbud efter § 24 a skal efterkommes. </w:t>
      </w:r>
      <w:r w:rsidR="008B017E">
        <w:t>Omgør</w:t>
      </w:r>
      <w:r w:rsidR="008B017E" w:rsidRPr="00C13733">
        <w:t xml:space="preserve"> </w:t>
      </w:r>
      <w:r w:rsidRPr="00C13733">
        <w:t>taksationsmyndighederne</w:t>
      </w:r>
      <w:r w:rsidR="008B017E">
        <w:t xml:space="preserve"> kommunalbestyrelsens</w:t>
      </w:r>
      <w:r w:rsidRPr="00C13733">
        <w:t xml:space="preserve"> afgørelse om erstatningens størrelse,</w:t>
      </w:r>
      <w:r w:rsidR="008B017E">
        <w:t xml:space="preserve"> jf. stk. 3,</w:t>
      </w:r>
      <w:r w:rsidRPr="00C13733">
        <w:t xml:space="preserve"> efterregulere</w:t>
      </w:r>
      <w:r>
        <w:t>r vandforsyningen</w:t>
      </w:r>
      <w:r w:rsidRPr="00C13733">
        <w:t xml:space="preserve"> </w:t>
      </w:r>
      <w:r>
        <w:t xml:space="preserve">uden unødigt ophold </w:t>
      </w:r>
      <w:r w:rsidRPr="00C13733">
        <w:t>det</w:t>
      </w:r>
      <w:r w:rsidR="008B017E">
        <w:t xml:space="preserve"> allerede</w:t>
      </w:r>
      <w:r w:rsidRPr="00C13733">
        <w:t xml:space="preserve"> </w:t>
      </w:r>
      <w:r>
        <w:t>udbetalte beløb.</w:t>
      </w:r>
    </w:p>
    <w:bookmarkEnd w:id="1"/>
    <w:p w14:paraId="1EF4FE33" w14:textId="77777777" w:rsidR="007028B9" w:rsidRDefault="007028B9" w:rsidP="000C6145">
      <w:pPr>
        <w:rPr>
          <w:rFonts w:eastAsia="Calibri" w:cs="Times New Roman"/>
          <w:szCs w:val="24"/>
        </w:rPr>
      </w:pPr>
    </w:p>
    <w:p w14:paraId="4B60DED8" w14:textId="43C7C61D" w:rsidR="00D77713" w:rsidRDefault="005601D1" w:rsidP="00E06F5D">
      <w:pPr>
        <w:rPr>
          <w:rFonts w:eastAsia="Calibri" w:cs="Times New Roman"/>
          <w:szCs w:val="24"/>
        </w:rPr>
      </w:pPr>
      <w:r>
        <w:rPr>
          <w:rFonts w:eastAsia="Calibri" w:cs="Times New Roman"/>
          <w:b/>
          <w:szCs w:val="24"/>
        </w:rPr>
        <w:t>5</w:t>
      </w:r>
      <w:r w:rsidR="00E06F5D" w:rsidRPr="00232738">
        <w:rPr>
          <w:rFonts w:eastAsia="Calibri" w:cs="Times New Roman"/>
          <w:b/>
          <w:szCs w:val="24"/>
        </w:rPr>
        <w:t>.</w:t>
      </w:r>
      <w:r w:rsidR="00E06F5D">
        <w:rPr>
          <w:rFonts w:eastAsia="Calibri" w:cs="Times New Roman"/>
          <w:szCs w:val="24"/>
        </w:rPr>
        <w:t xml:space="preserve"> I </w:t>
      </w:r>
      <w:r w:rsidR="00E06F5D">
        <w:rPr>
          <w:rFonts w:eastAsia="Calibri" w:cs="Times New Roman"/>
          <w:i/>
          <w:szCs w:val="24"/>
        </w:rPr>
        <w:t xml:space="preserve">§ 95 </w:t>
      </w:r>
      <w:r w:rsidR="00E06F5D">
        <w:rPr>
          <w:rFonts w:eastAsia="Calibri" w:cs="Times New Roman"/>
          <w:szCs w:val="24"/>
        </w:rPr>
        <w:t>indsættes efter stk. 2 som nyt stykke:</w:t>
      </w:r>
    </w:p>
    <w:p w14:paraId="150DB07B" w14:textId="4938203F" w:rsidR="00E06F5D" w:rsidRDefault="00E06F5D" w:rsidP="00E06F5D">
      <w:pPr>
        <w:rPr>
          <w:rFonts w:eastAsia="Calibri" w:cs="Times New Roman"/>
          <w:szCs w:val="24"/>
        </w:rPr>
      </w:pPr>
    </w:p>
    <w:p w14:paraId="0939E842" w14:textId="338CB3F9" w:rsidR="00E06F5D" w:rsidRDefault="00E06F5D" w:rsidP="00E06F5D">
      <w:pPr>
        <w:rPr>
          <w:rFonts w:eastAsia="Calibri" w:cs="Times New Roman"/>
          <w:szCs w:val="24"/>
        </w:rPr>
      </w:pPr>
      <w:r w:rsidRPr="00E1332F">
        <w:rPr>
          <w:rFonts w:eastAsia="Calibri" w:cs="Times New Roman"/>
          <w:b/>
          <w:szCs w:val="24"/>
        </w:rPr>
        <w:t>»</w:t>
      </w:r>
      <w:r>
        <w:rPr>
          <w:rFonts w:eastAsia="Calibri" w:cs="Times New Roman"/>
          <w:i/>
          <w:szCs w:val="24"/>
        </w:rPr>
        <w:t xml:space="preserve">Stk. 3. </w:t>
      </w:r>
      <w:r>
        <w:rPr>
          <w:rFonts w:eastAsia="Calibri" w:cs="Times New Roman"/>
          <w:szCs w:val="24"/>
        </w:rPr>
        <w:t xml:space="preserve">Klage over </w:t>
      </w:r>
      <w:r w:rsidR="00D84768">
        <w:rPr>
          <w:rFonts w:eastAsia="Calibri" w:cs="Times New Roman"/>
          <w:szCs w:val="24"/>
        </w:rPr>
        <w:t>påbud eller forbud</w:t>
      </w:r>
      <w:r>
        <w:rPr>
          <w:rFonts w:eastAsia="Calibri" w:cs="Times New Roman"/>
          <w:szCs w:val="24"/>
        </w:rPr>
        <w:t xml:space="preserve"> efter § 24 a har ikke opsættende virkning, medmindre Miljø- og Fødevareklagenævnet bestemmer andet.</w:t>
      </w:r>
      <w:r w:rsidRPr="00E1332F">
        <w:rPr>
          <w:rFonts w:eastAsia="Calibri" w:cs="Times New Roman"/>
          <w:szCs w:val="24"/>
        </w:rPr>
        <w:t>«</w:t>
      </w:r>
    </w:p>
    <w:p w14:paraId="21611159" w14:textId="23E348F1" w:rsidR="00E06F5D" w:rsidRDefault="00E06F5D" w:rsidP="00E06F5D">
      <w:pPr>
        <w:rPr>
          <w:rFonts w:eastAsia="Calibri" w:cs="Times New Roman"/>
          <w:szCs w:val="24"/>
        </w:rPr>
      </w:pPr>
    </w:p>
    <w:p w14:paraId="7D6FCA1D" w14:textId="1F9E476A" w:rsidR="00F61329" w:rsidRPr="00F61329" w:rsidRDefault="00E06F5D" w:rsidP="001C6AD4">
      <w:pPr>
        <w:rPr>
          <w:rFonts w:eastAsia="Calibri" w:cs="Times New Roman"/>
          <w:szCs w:val="24"/>
        </w:rPr>
      </w:pPr>
      <w:r>
        <w:rPr>
          <w:rFonts w:eastAsia="Calibri" w:cs="Times New Roman"/>
          <w:szCs w:val="24"/>
        </w:rPr>
        <w:t>Stk. 3 og 4 bliver herefter til stk. 4 og 5.</w:t>
      </w:r>
    </w:p>
    <w:p w14:paraId="0DC49F39" w14:textId="77777777" w:rsidR="00FD1A50" w:rsidRPr="003B0B97" w:rsidRDefault="00FD1A50" w:rsidP="00FD1A50">
      <w:pPr>
        <w:rPr>
          <w:rFonts w:eastAsia="Calibri" w:cs="Times New Roman"/>
          <w:b/>
          <w:szCs w:val="24"/>
        </w:rPr>
      </w:pPr>
    </w:p>
    <w:p w14:paraId="4B1D0EAB" w14:textId="77777777" w:rsidR="00FD1A50" w:rsidRPr="003B0B97" w:rsidRDefault="00FD1A50" w:rsidP="00FD1A50">
      <w:pPr>
        <w:jc w:val="center"/>
        <w:rPr>
          <w:rFonts w:eastAsia="Calibri" w:cs="Times New Roman"/>
          <w:b/>
          <w:szCs w:val="24"/>
        </w:rPr>
      </w:pPr>
      <w:r w:rsidRPr="003B0B97">
        <w:rPr>
          <w:rFonts w:eastAsia="Calibri" w:cs="Times New Roman"/>
          <w:b/>
          <w:szCs w:val="24"/>
        </w:rPr>
        <w:t>§ 3</w:t>
      </w:r>
    </w:p>
    <w:p w14:paraId="4A7DA72E" w14:textId="32A612FC" w:rsidR="00FD1A50" w:rsidRPr="003B0B97" w:rsidRDefault="00FD1A50" w:rsidP="002B7F85">
      <w:pPr>
        <w:rPr>
          <w:rFonts w:eastAsia="Calibri" w:cs="Times New Roman"/>
          <w:b/>
          <w:szCs w:val="24"/>
        </w:rPr>
      </w:pPr>
    </w:p>
    <w:p w14:paraId="518378AF" w14:textId="1811B865" w:rsidR="00FD1A50" w:rsidRDefault="00FD1A50" w:rsidP="00FD1A50">
      <w:pPr>
        <w:ind w:firstLine="284"/>
        <w:rPr>
          <w:rFonts w:eastAsia="Calibri" w:cs="Times New Roman"/>
          <w:szCs w:val="24"/>
        </w:rPr>
      </w:pPr>
      <w:r w:rsidRPr="003B0B97">
        <w:rPr>
          <w:rFonts w:eastAsia="Calibri" w:cs="Times New Roman"/>
          <w:szCs w:val="24"/>
        </w:rPr>
        <w:t>Loven træder i kraft den</w:t>
      </w:r>
      <w:r>
        <w:rPr>
          <w:rFonts w:eastAsia="Calibri" w:cs="Times New Roman"/>
          <w:szCs w:val="24"/>
        </w:rPr>
        <w:t xml:space="preserve"> </w:t>
      </w:r>
      <w:r w:rsidR="00991C20">
        <w:rPr>
          <w:rFonts w:eastAsia="Calibri" w:cs="Times New Roman"/>
          <w:szCs w:val="24"/>
        </w:rPr>
        <w:t>1. juli 2024.</w:t>
      </w:r>
    </w:p>
    <w:p w14:paraId="3BB9BDC5" w14:textId="77777777" w:rsidR="00FD1A50" w:rsidRDefault="00FD1A50" w:rsidP="00FD1A50">
      <w:pPr>
        <w:rPr>
          <w:rFonts w:eastAsia="Calibri" w:cs="Times New Roman"/>
          <w:szCs w:val="24"/>
        </w:rPr>
      </w:pPr>
    </w:p>
    <w:p w14:paraId="1033A1DD" w14:textId="77777777" w:rsidR="00FD1A50" w:rsidRDefault="00FD1A50" w:rsidP="00FD1A50">
      <w:pPr>
        <w:rPr>
          <w:rFonts w:eastAsia="Calibri" w:cs="Times New Roman"/>
          <w:i/>
          <w:szCs w:val="24"/>
        </w:rPr>
      </w:pPr>
    </w:p>
    <w:p w14:paraId="27D54206" w14:textId="77777777" w:rsidR="00FD1A50" w:rsidRDefault="00FD1A50" w:rsidP="00FD1A50">
      <w:pPr>
        <w:spacing w:after="240"/>
        <w:jc w:val="center"/>
        <w:rPr>
          <w:rFonts w:eastAsia="Calibri" w:cs="Times New Roman"/>
          <w:i/>
          <w:szCs w:val="24"/>
        </w:rPr>
        <w:sectPr w:rsidR="00FD1A50" w:rsidSect="00D712BA">
          <w:headerReference w:type="default" r:id="rId11"/>
          <w:footerReference w:type="default" r:id="rId12"/>
          <w:headerReference w:type="first" r:id="rId13"/>
          <w:pgSz w:w="11906" w:h="16838" w:code="9"/>
          <w:pgMar w:top="1418" w:right="3260" w:bottom="1134" w:left="1418" w:header="0" w:footer="709" w:gutter="0"/>
          <w:cols w:space="708"/>
          <w:titlePg/>
          <w:docGrid w:linePitch="360"/>
        </w:sectPr>
      </w:pPr>
    </w:p>
    <w:p w14:paraId="3B52B67F" w14:textId="77777777" w:rsidR="00FD1A50" w:rsidRPr="00D46850" w:rsidRDefault="00FD1A50" w:rsidP="00FD1A50">
      <w:pPr>
        <w:spacing w:after="240"/>
        <w:jc w:val="center"/>
        <w:rPr>
          <w:rFonts w:eastAsia="Calibri" w:cs="Times New Roman"/>
          <w:i/>
          <w:sz w:val="32"/>
          <w:szCs w:val="32"/>
        </w:rPr>
      </w:pPr>
      <w:r w:rsidRPr="00D46850">
        <w:rPr>
          <w:rFonts w:eastAsia="Calibri" w:cs="Times New Roman"/>
          <w:i/>
          <w:sz w:val="32"/>
          <w:szCs w:val="32"/>
        </w:rPr>
        <w:lastRenderedPageBreak/>
        <w:t>Bemærkninger til lovforslaget</w:t>
      </w:r>
    </w:p>
    <w:p w14:paraId="6F300990" w14:textId="55770EFD" w:rsidR="00FD1A50" w:rsidRDefault="00FD1A50" w:rsidP="00D46850">
      <w:pPr>
        <w:spacing w:after="240"/>
        <w:rPr>
          <w:rFonts w:eastAsia="Calibri" w:cs="Times New Roman"/>
          <w:i/>
          <w:szCs w:val="24"/>
        </w:rPr>
      </w:pPr>
      <w:r w:rsidRPr="003B0B97">
        <w:rPr>
          <w:rFonts w:eastAsia="Calibri" w:cs="Times New Roman"/>
          <w:i/>
          <w:szCs w:val="24"/>
        </w:rPr>
        <w:t>Almindelige bemærkninger</w:t>
      </w:r>
    </w:p>
    <w:p w14:paraId="28F58849" w14:textId="68592AA8" w:rsidR="002A6E20" w:rsidRPr="00D46850" w:rsidRDefault="00D46850" w:rsidP="00B23FF0">
      <w:pPr>
        <w:spacing w:after="240"/>
        <w:rPr>
          <w:rFonts w:eastAsia="Calibri" w:cs="Times New Roman"/>
          <w:i/>
          <w:szCs w:val="24"/>
        </w:rPr>
      </w:pPr>
      <w:r>
        <w:rPr>
          <w:rFonts w:eastAsia="Calibri" w:cs="Times New Roman"/>
          <w:i/>
          <w:szCs w:val="24"/>
        </w:rPr>
        <w:t>Indholdsfortegnelse</w:t>
      </w:r>
    </w:p>
    <w:p w14:paraId="6F5ACB0D" w14:textId="0D8FD2B9" w:rsidR="00B23FF0" w:rsidRPr="005B6786" w:rsidRDefault="002A6E20" w:rsidP="00B23FF0">
      <w:pPr>
        <w:spacing w:after="240"/>
        <w:rPr>
          <w:rFonts w:eastAsia="Calibri" w:cs="Times New Roman"/>
          <w:szCs w:val="24"/>
        </w:rPr>
      </w:pPr>
      <w:r w:rsidRPr="005B6786">
        <w:rPr>
          <w:rFonts w:eastAsia="Calibri" w:cs="Times New Roman"/>
          <w:szCs w:val="24"/>
        </w:rPr>
        <w:t>1. Indledning</w:t>
      </w:r>
    </w:p>
    <w:p w14:paraId="6193B136" w14:textId="6ED004E7" w:rsidR="002A6E20" w:rsidRPr="005B6786" w:rsidRDefault="002A6E20" w:rsidP="00851935">
      <w:pPr>
        <w:spacing w:after="240"/>
        <w:ind w:left="284"/>
        <w:rPr>
          <w:rFonts w:eastAsia="Calibri" w:cs="Times New Roman"/>
          <w:szCs w:val="24"/>
        </w:rPr>
      </w:pPr>
      <w:r w:rsidRPr="005B6786">
        <w:rPr>
          <w:rFonts w:eastAsia="Calibri" w:cs="Times New Roman"/>
          <w:szCs w:val="24"/>
        </w:rPr>
        <w:t>1.1. Formål</w:t>
      </w:r>
    </w:p>
    <w:p w14:paraId="3D59115F" w14:textId="3577EF11" w:rsidR="002A6E20" w:rsidRPr="005B6786" w:rsidRDefault="00E75CED" w:rsidP="00E75CED">
      <w:pPr>
        <w:spacing w:after="240"/>
        <w:rPr>
          <w:rFonts w:eastAsia="Calibri" w:cs="Times New Roman"/>
          <w:szCs w:val="24"/>
        </w:rPr>
      </w:pPr>
      <w:r>
        <w:rPr>
          <w:rFonts w:eastAsia="Calibri" w:cs="Times New Roman"/>
          <w:szCs w:val="24"/>
        </w:rPr>
        <w:t>2</w:t>
      </w:r>
      <w:r w:rsidR="000055C2" w:rsidRPr="005B6786">
        <w:rPr>
          <w:rFonts w:eastAsia="Calibri" w:cs="Times New Roman"/>
          <w:szCs w:val="24"/>
        </w:rPr>
        <w:t xml:space="preserve">. </w:t>
      </w:r>
      <w:r>
        <w:rPr>
          <w:rFonts w:eastAsia="Calibri" w:cs="Times New Roman"/>
          <w:szCs w:val="24"/>
        </w:rPr>
        <w:t>Lovforslagets b</w:t>
      </w:r>
      <w:r w:rsidR="000055C2" w:rsidRPr="005B6786">
        <w:rPr>
          <w:rFonts w:eastAsia="Calibri" w:cs="Times New Roman"/>
          <w:szCs w:val="24"/>
        </w:rPr>
        <w:t>aggrund</w:t>
      </w:r>
    </w:p>
    <w:p w14:paraId="377C540A" w14:textId="21C34AC0" w:rsidR="000055C2" w:rsidRPr="005B6786" w:rsidRDefault="00E75CED" w:rsidP="00851935">
      <w:pPr>
        <w:spacing w:after="240"/>
        <w:ind w:left="284"/>
        <w:rPr>
          <w:rFonts w:eastAsia="Calibri" w:cs="Times New Roman"/>
          <w:szCs w:val="24"/>
        </w:rPr>
      </w:pPr>
      <w:r>
        <w:rPr>
          <w:rFonts w:eastAsia="Calibri" w:cs="Times New Roman"/>
          <w:szCs w:val="24"/>
        </w:rPr>
        <w:t>2</w:t>
      </w:r>
      <w:r w:rsidR="000055C2" w:rsidRPr="005B6786">
        <w:rPr>
          <w:rFonts w:eastAsia="Calibri" w:cs="Times New Roman"/>
          <w:szCs w:val="24"/>
        </w:rPr>
        <w:t>.</w:t>
      </w:r>
      <w:r>
        <w:rPr>
          <w:rFonts w:eastAsia="Calibri" w:cs="Times New Roman"/>
          <w:szCs w:val="24"/>
        </w:rPr>
        <w:t>1</w:t>
      </w:r>
      <w:r w:rsidR="000055C2" w:rsidRPr="005B6786">
        <w:rPr>
          <w:rFonts w:eastAsia="Calibri" w:cs="Times New Roman"/>
          <w:szCs w:val="24"/>
        </w:rPr>
        <w:t>. Regeringsgrundlag: Ansvar for Danmark</w:t>
      </w:r>
    </w:p>
    <w:p w14:paraId="1F4D10AD" w14:textId="04D3BFCF" w:rsidR="000055C2" w:rsidRPr="005B6786" w:rsidRDefault="00E75CED" w:rsidP="00851935">
      <w:pPr>
        <w:spacing w:after="240"/>
        <w:ind w:left="284"/>
        <w:rPr>
          <w:rFonts w:eastAsia="Calibri" w:cs="Times New Roman"/>
          <w:szCs w:val="24"/>
        </w:rPr>
      </w:pPr>
      <w:r>
        <w:rPr>
          <w:rFonts w:eastAsia="Calibri" w:cs="Times New Roman"/>
          <w:szCs w:val="24"/>
        </w:rPr>
        <w:t>2</w:t>
      </w:r>
      <w:r w:rsidR="000055C2" w:rsidRPr="005B6786">
        <w:rPr>
          <w:rFonts w:eastAsia="Calibri" w:cs="Times New Roman"/>
          <w:szCs w:val="24"/>
        </w:rPr>
        <w:t xml:space="preserve">.2. </w:t>
      </w:r>
      <w:r w:rsidR="00AD6FED">
        <w:rPr>
          <w:rFonts w:eastAsia="Calibri" w:cs="Times New Roman"/>
          <w:szCs w:val="24"/>
        </w:rPr>
        <w:t>Indsatser under Tillægsaftale til Aftale om Pesticidstrategi 2017-2021</w:t>
      </w:r>
      <w:r w:rsidR="0034506F" w:rsidRPr="005B6786">
        <w:rPr>
          <w:rFonts w:eastAsia="Calibri" w:cs="Times New Roman"/>
          <w:szCs w:val="24"/>
        </w:rPr>
        <w:t xml:space="preserve"> </w:t>
      </w:r>
    </w:p>
    <w:p w14:paraId="1C0BAFBE" w14:textId="6E942388" w:rsidR="00B73DA3" w:rsidRPr="005B6786" w:rsidRDefault="00E75CED" w:rsidP="00B23FF0">
      <w:pPr>
        <w:spacing w:after="240"/>
        <w:rPr>
          <w:rFonts w:eastAsia="Calibri" w:cs="Times New Roman"/>
          <w:szCs w:val="24"/>
        </w:rPr>
      </w:pPr>
      <w:r>
        <w:rPr>
          <w:rFonts w:eastAsia="Calibri" w:cs="Times New Roman"/>
          <w:szCs w:val="24"/>
        </w:rPr>
        <w:t>3</w:t>
      </w:r>
      <w:r w:rsidR="00B73DA3" w:rsidRPr="005B6786">
        <w:rPr>
          <w:rFonts w:eastAsia="Calibri" w:cs="Times New Roman"/>
          <w:szCs w:val="24"/>
        </w:rPr>
        <w:t>. Lovforslagets hovedpunkter</w:t>
      </w:r>
    </w:p>
    <w:p w14:paraId="475B3A59" w14:textId="6391B5CE" w:rsidR="00B73DA3" w:rsidRPr="005B6786" w:rsidRDefault="00E75CED" w:rsidP="00C560D6">
      <w:pPr>
        <w:spacing w:after="240"/>
        <w:rPr>
          <w:rFonts w:eastAsia="Calibri" w:cs="Times New Roman"/>
          <w:szCs w:val="24"/>
        </w:rPr>
      </w:pPr>
      <w:r>
        <w:rPr>
          <w:rFonts w:eastAsia="Calibri" w:cs="Times New Roman"/>
          <w:szCs w:val="24"/>
        </w:rPr>
        <w:t>3</w:t>
      </w:r>
      <w:r w:rsidR="00B73DA3" w:rsidRPr="005B6786">
        <w:rPr>
          <w:rFonts w:eastAsia="Calibri" w:cs="Times New Roman"/>
          <w:szCs w:val="24"/>
        </w:rPr>
        <w:t xml:space="preserve">.1. </w:t>
      </w:r>
      <w:r w:rsidR="00622F8D">
        <w:rPr>
          <w:rFonts w:eastAsia="Calibri" w:cs="Times New Roman"/>
          <w:szCs w:val="24"/>
        </w:rPr>
        <w:t>Målrettet indsats</w:t>
      </w:r>
      <w:r w:rsidR="00B73DA3" w:rsidRPr="005B6786">
        <w:rPr>
          <w:rFonts w:eastAsia="Calibri" w:cs="Times New Roman"/>
          <w:szCs w:val="24"/>
        </w:rPr>
        <w:t xml:space="preserve"> for boringsnære beskyttelsesområder</w:t>
      </w:r>
    </w:p>
    <w:p w14:paraId="4211433A" w14:textId="44D91711" w:rsidR="00B73DA3" w:rsidRPr="005B6786" w:rsidRDefault="00E75CED" w:rsidP="00851935">
      <w:pPr>
        <w:spacing w:after="240"/>
        <w:ind w:left="284"/>
        <w:rPr>
          <w:rFonts w:eastAsia="Calibri" w:cs="Times New Roman"/>
          <w:szCs w:val="24"/>
        </w:rPr>
      </w:pPr>
      <w:r>
        <w:rPr>
          <w:rFonts w:eastAsia="Calibri" w:cs="Times New Roman"/>
          <w:szCs w:val="24"/>
        </w:rPr>
        <w:t>3</w:t>
      </w:r>
      <w:r w:rsidR="00B73DA3" w:rsidRPr="005B6786">
        <w:rPr>
          <w:rFonts w:eastAsia="Calibri" w:cs="Times New Roman"/>
          <w:szCs w:val="24"/>
        </w:rPr>
        <w:t>.1.1. Gældende ret</w:t>
      </w:r>
    </w:p>
    <w:p w14:paraId="59FD8CF7" w14:textId="2AB5A749" w:rsidR="00B73DA3" w:rsidRPr="005B6786" w:rsidRDefault="00E75CED" w:rsidP="00851935">
      <w:pPr>
        <w:spacing w:after="240"/>
        <w:ind w:left="284"/>
        <w:rPr>
          <w:rFonts w:eastAsia="Calibri" w:cs="Times New Roman"/>
          <w:szCs w:val="24"/>
        </w:rPr>
      </w:pPr>
      <w:r>
        <w:rPr>
          <w:rFonts w:eastAsia="Calibri" w:cs="Times New Roman"/>
          <w:szCs w:val="24"/>
        </w:rPr>
        <w:t>3</w:t>
      </w:r>
      <w:r w:rsidR="00B73DA3" w:rsidRPr="005B6786">
        <w:rPr>
          <w:rFonts w:eastAsia="Calibri" w:cs="Times New Roman"/>
          <w:szCs w:val="24"/>
        </w:rPr>
        <w:t xml:space="preserve">.1.1.1. </w:t>
      </w:r>
      <w:r w:rsidR="003160D9">
        <w:rPr>
          <w:rFonts w:eastAsia="Calibri" w:cs="Times New Roman"/>
          <w:szCs w:val="24"/>
        </w:rPr>
        <w:t>Vandforsyningsloven</w:t>
      </w:r>
    </w:p>
    <w:p w14:paraId="5C979CCE" w14:textId="15DF5E82" w:rsidR="00B73DA3" w:rsidRPr="005B6786" w:rsidRDefault="00E75CED" w:rsidP="00851935">
      <w:pPr>
        <w:spacing w:after="240"/>
        <w:ind w:left="284"/>
        <w:rPr>
          <w:rFonts w:eastAsia="Calibri" w:cs="Times New Roman"/>
          <w:szCs w:val="24"/>
        </w:rPr>
      </w:pPr>
      <w:r>
        <w:rPr>
          <w:rFonts w:eastAsia="Calibri" w:cs="Times New Roman"/>
          <w:szCs w:val="24"/>
        </w:rPr>
        <w:t>3</w:t>
      </w:r>
      <w:r w:rsidR="00B73DA3" w:rsidRPr="005B6786">
        <w:rPr>
          <w:rFonts w:eastAsia="Calibri" w:cs="Times New Roman"/>
          <w:szCs w:val="24"/>
        </w:rPr>
        <w:t>.1.1.2.</w:t>
      </w:r>
      <w:r w:rsidR="00AB2E72">
        <w:rPr>
          <w:rFonts w:eastAsia="Calibri" w:cs="Times New Roman"/>
          <w:szCs w:val="24"/>
        </w:rPr>
        <w:t xml:space="preserve"> Miljøbeskyttelsesloven</w:t>
      </w:r>
    </w:p>
    <w:p w14:paraId="6561D285" w14:textId="5E872203" w:rsidR="00B73DA3" w:rsidRPr="005B6786" w:rsidRDefault="00E75CED" w:rsidP="00851935">
      <w:pPr>
        <w:spacing w:after="240"/>
        <w:ind w:left="284"/>
        <w:rPr>
          <w:rFonts w:eastAsia="Calibri" w:cs="Times New Roman"/>
          <w:szCs w:val="24"/>
        </w:rPr>
      </w:pPr>
      <w:r>
        <w:rPr>
          <w:rFonts w:eastAsia="Calibri" w:cs="Times New Roman"/>
          <w:szCs w:val="24"/>
        </w:rPr>
        <w:t>3</w:t>
      </w:r>
      <w:r w:rsidR="00B73DA3" w:rsidRPr="005B6786">
        <w:rPr>
          <w:rFonts w:eastAsia="Calibri" w:cs="Times New Roman"/>
          <w:szCs w:val="24"/>
        </w:rPr>
        <w:t xml:space="preserve">.1.2. </w:t>
      </w:r>
      <w:r w:rsidR="005B6786" w:rsidRPr="005B6786">
        <w:rPr>
          <w:rFonts w:eastAsia="Calibri" w:cs="Times New Roman"/>
          <w:szCs w:val="24"/>
        </w:rPr>
        <w:t>Miljøministeriets overvejelser</w:t>
      </w:r>
      <w:r w:rsidR="003160D9">
        <w:rPr>
          <w:rFonts w:eastAsia="Calibri" w:cs="Times New Roman"/>
          <w:szCs w:val="24"/>
        </w:rPr>
        <w:t xml:space="preserve"> og den foreslåede ordning</w:t>
      </w:r>
    </w:p>
    <w:p w14:paraId="7BD9092C" w14:textId="41A23909" w:rsidR="005B6786" w:rsidRPr="005B6786" w:rsidRDefault="00E75CED" w:rsidP="00B23FF0">
      <w:pPr>
        <w:spacing w:after="240"/>
        <w:rPr>
          <w:rFonts w:eastAsia="Calibri" w:cs="Times New Roman"/>
          <w:szCs w:val="24"/>
        </w:rPr>
      </w:pPr>
      <w:r>
        <w:rPr>
          <w:rFonts w:eastAsia="Calibri" w:cs="Times New Roman"/>
          <w:szCs w:val="24"/>
        </w:rPr>
        <w:t>3</w:t>
      </w:r>
      <w:r w:rsidR="005B6786" w:rsidRPr="005B6786">
        <w:rPr>
          <w:rFonts w:eastAsia="Calibri" w:cs="Times New Roman"/>
          <w:szCs w:val="24"/>
        </w:rPr>
        <w:t xml:space="preserve">.2. Præcisering af </w:t>
      </w:r>
      <w:r w:rsidR="00A424A0">
        <w:rPr>
          <w:rFonts w:eastAsia="Calibri" w:cs="Times New Roman"/>
          <w:szCs w:val="24"/>
        </w:rPr>
        <w:t xml:space="preserve">forholdet til </w:t>
      </w:r>
      <w:r w:rsidR="005B6786" w:rsidRPr="005B6786">
        <w:rPr>
          <w:rFonts w:eastAsia="Calibri" w:cs="Times New Roman"/>
          <w:szCs w:val="24"/>
        </w:rPr>
        <w:t xml:space="preserve">beskyttelseszonen i en radius af 25 m fra </w:t>
      </w:r>
      <w:r w:rsidR="005B6786">
        <w:rPr>
          <w:rFonts w:eastAsia="Calibri" w:cs="Times New Roman"/>
          <w:szCs w:val="24"/>
        </w:rPr>
        <w:t xml:space="preserve">en </w:t>
      </w:r>
      <w:r w:rsidR="005B6786" w:rsidRPr="005B6786">
        <w:rPr>
          <w:rFonts w:eastAsia="Calibri" w:cs="Times New Roman"/>
          <w:szCs w:val="24"/>
        </w:rPr>
        <w:t>vandindvinding</w:t>
      </w:r>
    </w:p>
    <w:p w14:paraId="025CD30B" w14:textId="5DF1AF56" w:rsidR="005B6786" w:rsidRPr="005B6786" w:rsidRDefault="00E75CED" w:rsidP="00851935">
      <w:pPr>
        <w:spacing w:after="240"/>
        <w:ind w:left="284"/>
        <w:rPr>
          <w:rFonts w:eastAsia="Calibri" w:cs="Times New Roman"/>
          <w:szCs w:val="24"/>
        </w:rPr>
      </w:pPr>
      <w:r>
        <w:rPr>
          <w:rFonts w:eastAsia="Calibri" w:cs="Times New Roman"/>
          <w:szCs w:val="24"/>
        </w:rPr>
        <w:t>3</w:t>
      </w:r>
      <w:r w:rsidR="005B6786" w:rsidRPr="005B6786">
        <w:rPr>
          <w:rFonts w:eastAsia="Calibri" w:cs="Times New Roman"/>
          <w:szCs w:val="24"/>
        </w:rPr>
        <w:t>.2.1. Gældende ret</w:t>
      </w:r>
    </w:p>
    <w:p w14:paraId="26625E3A" w14:textId="61705873" w:rsidR="005B6786" w:rsidRPr="005B6786" w:rsidRDefault="00E75CED" w:rsidP="00851935">
      <w:pPr>
        <w:spacing w:after="240"/>
        <w:ind w:left="284"/>
        <w:rPr>
          <w:rFonts w:eastAsia="Calibri" w:cs="Times New Roman"/>
          <w:szCs w:val="24"/>
        </w:rPr>
      </w:pPr>
      <w:r>
        <w:rPr>
          <w:rFonts w:eastAsia="Calibri" w:cs="Times New Roman"/>
          <w:szCs w:val="24"/>
        </w:rPr>
        <w:t>3</w:t>
      </w:r>
      <w:r w:rsidR="005B6786" w:rsidRPr="005B6786">
        <w:rPr>
          <w:rFonts w:eastAsia="Calibri" w:cs="Times New Roman"/>
          <w:szCs w:val="24"/>
        </w:rPr>
        <w:t>.2.1.</w:t>
      </w:r>
      <w:r>
        <w:rPr>
          <w:rFonts w:eastAsia="Calibri" w:cs="Times New Roman"/>
          <w:szCs w:val="24"/>
        </w:rPr>
        <w:t>1.</w:t>
      </w:r>
      <w:r w:rsidR="005B6786" w:rsidRPr="005B6786">
        <w:rPr>
          <w:rFonts w:eastAsia="Calibri" w:cs="Times New Roman"/>
          <w:szCs w:val="24"/>
        </w:rPr>
        <w:t xml:space="preserve"> Miljøministeriets overvejelser</w:t>
      </w:r>
      <w:r w:rsidR="005B6786">
        <w:rPr>
          <w:rFonts w:eastAsia="Calibri" w:cs="Times New Roman"/>
          <w:szCs w:val="24"/>
        </w:rPr>
        <w:t xml:space="preserve"> og den foreslåede ordning</w:t>
      </w:r>
    </w:p>
    <w:p w14:paraId="672E3FC2" w14:textId="16E69225" w:rsidR="005B6786" w:rsidRDefault="00E75CED" w:rsidP="00B23FF0">
      <w:pPr>
        <w:spacing w:after="240"/>
        <w:rPr>
          <w:rFonts w:eastAsia="Calibri" w:cs="Times New Roman"/>
          <w:szCs w:val="24"/>
        </w:rPr>
      </w:pPr>
      <w:r>
        <w:rPr>
          <w:rFonts w:eastAsia="Calibri" w:cs="Times New Roman"/>
          <w:szCs w:val="24"/>
        </w:rPr>
        <w:t>3</w:t>
      </w:r>
      <w:r w:rsidR="005B6786" w:rsidRPr="005B6786">
        <w:rPr>
          <w:rFonts w:eastAsia="Calibri" w:cs="Times New Roman"/>
          <w:szCs w:val="24"/>
        </w:rPr>
        <w:t xml:space="preserve">.3. Erstatning ved </w:t>
      </w:r>
      <w:r w:rsidR="00397E06">
        <w:rPr>
          <w:rFonts w:eastAsia="Calibri" w:cs="Times New Roman"/>
          <w:szCs w:val="24"/>
        </w:rPr>
        <w:t>påbud eller forbud efter den foreslåede § 24 a</w:t>
      </w:r>
    </w:p>
    <w:p w14:paraId="152C9208" w14:textId="105C09B8" w:rsidR="005B6786" w:rsidRDefault="00E75CED" w:rsidP="00851935">
      <w:pPr>
        <w:spacing w:after="240"/>
        <w:ind w:left="284"/>
        <w:rPr>
          <w:rFonts w:eastAsia="Calibri" w:cs="Times New Roman"/>
          <w:szCs w:val="24"/>
        </w:rPr>
      </w:pPr>
      <w:r>
        <w:rPr>
          <w:rFonts w:eastAsia="Calibri" w:cs="Times New Roman"/>
          <w:szCs w:val="24"/>
        </w:rPr>
        <w:t>3</w:t>
      </w:r>
      <w:r w:rsidR="005B6786">
        <w:rPr>
          <w:rFonts w:eastAsia="Calibri" w:cs="Times New Roman"/>
          <w:szCs w:val="24"/>
        </w:rPr>
        <w:t>.3.1. Gældende ret</w:t>
      </w:r>
    </w:p>
    <w:p w14:paraId="2E46769E" w14:textId="3539638A" w:rsidR="005B6786" w:rsidRDefault="00E75CED" w:rsidP="00851935">
      <w:pPr>
        <w:spacing w:after="240"/>
        <w:ind w:left="284"/>
        <w:rPr>
          <w:rFonts w:eastAsia="Calibri" w:cs="Times New Roman"/>
          <w:szCs w:val="24"/>
        </w:rPr>
      </w:pPr>
      <w:r>
        <w:rPr>
          <w:rFonts w:eastAsia="Calibri" w:cs="Times New Roman"/>
          <w:szCs w:val="24"/>
        </w:rPr>
        <w:t>3</w:t>
      </w:r>
      <w:r w:rsidR="005B6786">
        <w:rPr>
          <w:rFonts w:eastAsia="Calibri" w:cs="Times New Roman"/>
          <w:szCs w:val="24"/>
        </w:rPr>
        <w:t>.3.1.1.</w:t>
      </w:r>
      <w:r w:rsidR="00AB2E72">
        <w:rPr>
          <w:rFonts w:eastAsia="Calibri" w:cs="Times New Roman"/>
          <w:szCs w:val="24"/>
        </w:rPr>
        <w:t xml:space="preserve"> Vandforsyningsloven</w:t>
      </w:r>
    </w:p>
    <w:p w14:paraId="724BEB49" w14:textId="75AC7574" w:rsidR="005B6786" w:rsidRDefault="00E75CED" w:rsidP="00851935">
      <w:pPr>
        <w:spacing w:after="240"/>
        <w:ind w:left="284"/>
        <w:rPr>
          <w:rFonts w:eastAsia="Calibri" w:cs="Times New Roman"/>
          <w:szCs w:val="24"/>
        </w:rPr>
      </w:pPr>
      <w:r>
        <w:rPr>
          <w:rFonts w:eastAsia="Calibri" w:cs="Times New Roman"/>
          <w:szCs w:val="24"/>
        </w:rPr>
        <w:t>3</w:t>
      </w:r>
      <w:r w:rsidR="005B6786">
        <w:rPr>
          <w:rFonts w:eastAsia="Calibri" w:cs="Times New Roman"/>
          <w:szCs w:val="24"/>
        </w:rPr>
        <w:t>.3.1.</w:t>
      </w:r>
      <w:r w:rsidR="00D46850">
        <w:rPr>
          <w:rFonts w:eastAsia="Calibri" w:cs="Times New Roman"/>
          <w:szCs w:val="24"/>
        </w:rPr>
        <w:t>2</w:t>
      </w:r>
      <w:r w:rsidR="005B6786">
        <w:rPr>
          <w:rFonts w:eastAsia="Calibri" w:cs="Times New Roman"/>
          <w:szCs w:val="24"/>
        </w:rPr>
        <w:t xml:space="preserve">. </w:t>
      </w:r>
      <w:r w:rsidR="00AB2E72">
        <w:rPr>
          <w:rFonts w:eastAsia="Calibri" w:cs="Times New Roman"/>
          <w:szCs w:val="24"/>
        </w:rPr>
        <w:t>Miljøbeskyttelsesloven</w:t>
      </w:r>
    </w:p>
    <w:p w14:paraId="558CF2CF" w14:textId="1507D7CD" w:rsidR="005B6786" w:rsidRPr="005B6786" w:rsidRDefault="00E75CED" w:rsidP="00851935">
      <w:pPr>
        <w:spacing w:after="240"/>
        <w:ind w:left="284"/>
        <w:rPr>
          <w:rFonts w:eastAsia="Calibri" w:cs="Times New Roman"/>
          <w:szCs w:val="24"/>
        </w:rPr>
      </w:pPr>
      <w:r>
        <w:rPr>
          <w:rFonts w:eastAsia="Calibri" w:cs="Times New Roman"/>
          <w:szCs w:val="24"/>
        </w:rPr>
        <w:lastRenderedPageBreak/>
        <w:t>3</w:t>
      </w:r>
      <w:r w:rsidR="005B6786">
        <w:rPr>
          <w:rFonts w:eastAsia="Calibri" w:cs="Times New Roman"/>
          <w:szCs w:val="24"/>
        </w:rPr>
        <w:t>.3.2. Miljøministeriets overvejelser og den foreslåede ordning</w:t>
      </w:r>
    </w:p>
    <w:p w14:paraId="1848CC8F" w14:textId="3BDC39E7" w:rsidR="004066CF" w:rsidRDefault="00E75CED" w:rsidP="00B23FF0">
      <w:pPr>
        <w:spacing w:after="240"/>
        <w:rPr>
          <w:rFonts w:eastAsia="Calibri" w:cs="Times New Roman"/>
          <w:szCs w:val="24"/>
        </w:rPr>
      </w:pPr>
      <w:r>
        <w:rPr>
          <w:rFonts w:eastAsia="Calibri" w:cs="Times New Roman"/>
          <w:szCs w:val="24"/>
        </w:rPr>
        <w:t>3</w:t>
      </w:r>
      <w:r w:rsidR="005B6786" w:rsidRPr="005B6786">
        <w:rPr>
          <w:rFonts w:eastAsia="Calibri" w:cs="Times New Roman"/>
          <w:szCs w:val="24"/>
        </w:rPr>
        <w:t>.4. Ingen opsættende virkning ved klage</w:t>
      </w:r>
    </w:p>
    <w:p w14:paraId="34198931" w14:textId="4DFBAD71" w:rsidR="00BD5B0C" w:rsidRDefault="00E75CED" w:rsidP="00851935">
      <w:pPr>
        <w:spacing w:after="240"/>
        <w:ind w:left="284"/>
        <w:rPr>
          <w:rFonts w:eastAsia="Calibri" w:cs="Times New Roman"/>
          <w:szCs w:val="24"/>
        </w:rPr>
      </w:pPr>
      <w:r>
        <w:rPr>
          <w:rFonts w:eastAsia="Calibri" w:cs="Times New Roman"/>
          <w:szCs w:val="24"/>
        </w:rPr>
        <w:t>3</w:t>
      </w:r>
      <w:r w:rsidR="00BD5B0C">
        <w:rPr>
          <w:rFonts w:eastAsia="Calibri" w:cs="Times New Roman"/>
          <w:szCs w:val="24"/>
        </w:rPr>
        <w:t>.4.1. Gældende ret</w:t>
      </w:r>
    </w:p>
    <w:p w14:paraId="277E875F" w14:textId="7F6E7DB1" w:rsidR="00BD5B0C" w:rsidRDefault="00E75CED" w:rsidP="00851935">
      <w:pPr>
        <w:spacing w:after="240"/>
        <w:ind w:left="284"/>
        <w:rPr>
          <w:rFonts w:eastAsia="Calibri" w:cs="Times New Roman"/>
          <w:szCs w:val="24"/>
        </w:rPr>
      </w:pPr>
      <w:r>
        <w:rPr>
          <w:rFonts w:eastAsia="Calibri" w:cs="Times New Roman"/>
          <w:szCs w:val="24"/>
        </w:rPr>
        <w:t>3</w:t>
      </w:r>
      <w:r w:rsidR="00BD5B0C">
        <w:rPr>
          <w:rFonts w:eastAsia="Calibri" w:cs="Times New Roman"/>
          <w:szCs w:val="24"/>
        </w:rPr>
        <w:t>.4.1.1. Miljøbeskyttelsesloven</w:t>
      </w:r>
    </w:p>
    <w:p w14:paraId="0A33BAFE" w14:textId="4ADF040C" w:rsidR="0055317F" w:rsidRDefault="00E75CED" w:rsidP="00A6395D">
      <w:pPr>
        <w:spacing w:after="240"/>
        <w:ind w:left="284"/>
        <w:rPr>
          <w:rFonts w:eastAsia="Calibri" w:cs="Times New Roman"/>
          <w:szCs w:val="24"/>
        </w:rPr>
      </w:pPr>
      <w:r>
        <w:rPr>
          <w:rFonts w:eastAsia="Calibri" w:cs="Times New Roman"/>
          <w:szCs w:val="24"/>
        </w:rPr>
        <w:t>3</w:t>
      </w:r>
      <w:r w:rsidR="00BD5B0C">
        <w:rPr>
          <w:rFonts w:eastAsia="Calibri" w:cs="Times New Roman"/>
          <w:szCs w:val="24"/>
        </w:rPr>
        <w:t>.4.2. Miljøministeriets overvejelser og den foreslåede ordning</w:t>
      </w:r>
    </w:p>
    <w:p w14:paraId="2C14671B" w14:textId="77777777" w:rsidR="00753CD7" w:rsidRDefault="00753CD7" w:rsidP="00753CD7">
      <w:pPr>
        <w:spacing w:after="240"/>
        <w:rPr>
          <w:rFonts w:eastAsia="Calibri" w:cs="Times New Roman"/>
          <w:szCs w:val="24"/>
        </w:rPr>
      </w:pPr>
      <w:r>
        <w:rPr>
          <w:rFonts w:eastAsia="Calibri" w:cs="Times New Roman"/>
          <w:szCs w:val="24"/>
        </w:rPr>
        <w:t>4. Økonomiske konsekvenser for det offentlige</w:t>
      </w:r>
    </w:p>
    <w:p w14:paraId="47ACD5CF" w14:textId="77777777" w:rsidR="00753CD7" w:rsidRDefault="00753CD7" w:rsidP="00753CD7">
      <w:pPr>
        <w:spacing w:after="240"/>
        <w:rPr>
          <w:rFonts w:eastAsia="Calibri" w:cs="Times New Roman"/>
          <w:szCs w:val="24"/>
        </w:rPr>
      </w:pPr>
      <w:r>
        <w:rPr>
          <w:rFonts w:eastAsia="Calibri" w:cs="Times New Roman"/>
          <w:szCs w:val="24"/>
        </w:rPr>
        <w:t>5. Økonomiske og administrative for erhvervslivet m.v.</w:t>
      </w:r>
    </w:p>
    <w:p w14:paraId="1A241FB1" w14:textId="77777777" w:rsidR="00753CD7" w:rsidRDefault="00753CD7" w:rsidP="00753CD7">
      <w:pPr>
        <w:spacing w:after="240"/>
        <w:rPr>
          <w:rFonts w:eastAsia="Calibri" w:cs="Times New Roman"/>
          <w:szCs w:val="24"/>
        </w:rPr>
      </w:pPr>
      <w:r>
        <w:rPr>
          <w:rFonts w:eastAsia="Calibri" w:cs="Times New Roman"/>
          <w:szCs w:val="24"/>
        </w:rPr>
        <w:t>6. Administrative konsekvenser for borgerne</w:t>
      </w:r>
    </w:p>
    <w:p w14:paraId="2C5125F5" w14:textId="77777777" w:rsidR="00753CD7" w:rsidRDefault="00753CD7" w:rsidP="00753CD7">
      <w:pPr>
        <w:spacing w:after="240"/>
        <w:rPr>
          <w:rFonts w:eastAsia="Calibri" w:cs="Times New Roman"/>
          <w:szCs w:val="24"/>
        </w:rPr>
      </w:pPr>
      <w:r>
        <w:rPr>
          <w:rFonts w:eastAsia="Calibri" w:cs="Times New Roman"/>
          <w:szCs w:val="24"/>
        </w:rPr>
        <w:t>7. Klimamæssige konsekvenser</w:t>
      </w:r>
    </w:p>
    <w:p w14:paraId="5441D5FD" w14:textId="77777777" w:rsidR="00753CD7" w:rsidRDefault="00753CD7" w:rsidP="00753CD7">
      <w:pPr>
        <w:spacing w:after="240"/>
        <w:rPr>
          <w:rFonts w:eastAsia="Calibri" w:cs="Times New Roman"/>
          <w:szCs w:val="24"/>
        </w:rPr>
      </w:pPr>
      <w:r>
        <w:rPr>
          <w:rFonts w:eastAsia="Calibri" w:cs="Times New Roman"/>
          <w:szCs w:val="24"/>
        </w:rPr>
        <w:t>8. Miljø- og naturmæssige konsekvenser</w:t>
      </w:r>
    </w:p>
    <w:p w14:paraId="4AF41A2B" w14:textId="77777777" w:rsidR="004C6626" w:rsidRDefault="00753CD7" w:rsidP="00753CD7">
      <w:pPr>
        <w:spacing w:after="240"/>
        <w:rPr>
          <w:rFonts w:eastAsia="Calibri" w:cs="Times New Roman"/>
          <w:szCs w:val="24"/>
        </w:rPr>
      </w:pPr>
      <w:r>
        <w:rPr>
          <w:rFonts w:eastAsia="Calibri" w:cs="Times New Roman"/>
          <w:szCs w:val="24"/>
        </w:rPr>
        <w:t>9.</w:t>
      </w:r>
      <w:r w:rsidR="004C6626">
        <w:rPr>
          <w:rFonts w:eastAsia="Calibri" w:cs="Times New Roman"/>
          <w:szCs w:val="24"/>
        </w:rPr>
        <w:t xml:space="preserve"> Forholdet til EU-retten</w:t>
      </w:r>
    </w:p>
    <w:p w14:paraId="574EDE8F" w14:textId="77777777" w:rsidR="004C6626" w:rsidRDefault="004C6626" w:rsidP="00753CD7">
      <w:pPr>
        <w:spacing w:after="240"/>
        <w:rPr>
          <w:rFonts w:eastAsia="Calibri" w:cs="Times New Roman"/>
          <w:szCs w:val="24"/>
        </w:rPr>
      </w:pPr>
      <w:r>
        <w:rPr>
          <w:rFonts w:eastAsia="Calibri" w:cs="Times New Roman"/>
          <w:szCs w:val="24"/>
        </w:rPr>
        <w:t>10. Hørte myndigheder og organisationer m.v.</w:t>
      </w:r>
    </w:p>
    <w:p w14:paraId="7D623F88" w14:textId="7422D88D" w:rsidR="004C6626" w:rsidRDefault="004C6626" w:rsidP="00753CD7">
      <w:pPr>
        <w:spacing w:after="240"/>
        <w:rPr>
          <w:rFonts w:eastAsia="Calibri" w:cs="Times New Roman"/>
          <w:szCs w:val="24"/>
        </w:rPr>
      </w:pPr>
      <w:r>
        <w:rPr>
          <w:rFonts w:eastAsia="Calibri" w:cs="Times New Roman"/>
          <w:szCs w:val="24"/>
        </w:rPr>
        <w:t>11. Sammenfattende skema</w:t>
      </w:r>
    </w:p>
    <w:p w14:paraId="68AB2A61" w14:textId="7E39759F" w:rsidR="00397E06" w:rsidRPr="005B6786" w:rsidRDefault="00397E06" w:rsidP="00753CD7">
      <w:pPr>
        <w:spacing w:after="240"/>
        <w:rPr>
          <w:rFonts w:eastAsia="Calibri" w:cs="Times New Roman"/>
          <w:szCs w:val="24"/>
        </w:rPr>
      </w:pPr>
    </w:p>
    <w:p w14:paraId="6414DAFE" w14:textId="6E7A1F66" w:rsidR="00875BF2" w:rsidRPr="00B31C40" w:rsidRDefault="00AB7207" w:rsidP="00AB7207">
      <w:pPr>
        <w:spacing w:after="240"/>
        <w:rPr>
          <w:rFonts w:eastAsia="Calibri" w:cs="Times New Roman"/>
          <w:i/>
          <w:szCs w:val="24"/>
        </w:rPr>
      </w:pPr>
      <w:r w:rsidRPr="00B31C40">
        <w:rPr>
          <w:rFonts w:eastAsia="Calibri" w:cs="Times New Roman"/>
          <w:i/>
          <w:szCs w:val="24"/>
        </w:rPr>
        <w:t xml:space="preserve">1. </w:t>
      </w:r>
      <w:r w:rsidR="00B23FF0" w:rsidRPr="00B31C40">
        <w:rPr>
          <w:rFonts w:eastAsia="Calibri" w:cs="Times New Roman"/>
          <w:i/>
          <w:szCs w:val="24"/>
        </w:rPr>
        <w:t>Indledning</w:t>
      </w:r>
    </w:p>
    <w:p w14:paraId="5498429E" w14:textId="77DA8B56" w:rsidR="00AB7207" w:rsidRPr="00092323" w:rsidRDefault="00875BF2" w:rsidP="00875BF2">
      <w:pPr>
        <w:spacing w:after="240"/>
        <w:rPr>
          <w:rFonts w:eastAsia="Calibri" w:cs="Times New Roman"/>
          <w:i/>
          <w:szCs w:val="24"/>
        </w:rPr>
      </w:pPr>
      <w:r w:rsidRPr="00092323">
        <w:rPr>
          <w:rFonts w:eastAsia="Calibri" w:cs="Times New Roman"/>
          <w:i/>
          <w:szCs w:val="24"/>
        </w:rPr>
        <w:t>1.</w:t>
      </w:r>
      <w:r w:rsidR="00AB7207" w:rsidRPr="00092323">
        <w:rPr>
          <w:rFonts w:eastAsia="Calibri" w:cs="Times New Roman"/>
          <w:i/>
          <w:szCs w:val="24"/>
        </w:rPr>
        <w:t>1</w:t>
      </w:r>
      <w:r w:rsidRPr="00092323">
        <w:rPr>
          <w:rFonts w:eastAsia="Calibri" w:cs="Times New Roman"/>
          <w:i/>
          <w:szCs w:val="24"/>
        </w:rPr>
        <w:t>. Formål</w:t>
      </w:r>
    </w:p>
    <w:p w14:paraId="55C53E26" w14:textId="56BA5B70" w:rsidR="004E51B9" w:rsidRDefault="004E51B9" w:rsidP="00875BF2">
      <w:pPr>
        <w:spacing w:after="240"/>
        <w:rPr>
          <w:rFonts w:eastAsia="Calibri" w:cs="Times New Roman"/>
          <w:szCs w:val="24"/>
        </w:rPr>
      </w:pPr>
      <w:r>
        <w:rPr>
          <w:rFonts w:eastAsia="Calibri" w:cs="Times New Roman"/>
          <w:szCs w:val="24"/>
        </w:rPr>
        <w:t xml:space="preserve">Danmark har noget af verdens bedste drikkevand. Dansk </w:t>
      </w:r>
      <w:r w:rsidR="006232BE">
        <w:rPr>
          <w:rFonts w:eastAsia="Calibri" w:cs="Times New Roman"/>
          <w:szCs w:val="24"/>
        </w:rPr>
        <w:t xml:space="preserve">drikkevandspolitik </w:t>
      </w:r>
      <w:r>
        <w:rPr>
          <w:rFonts w:eastAsia="Calibri" w:cs="Times New Roman"/>
          <w:szCs w:val="24"/>
        </w:rPr>
        <w:t>bygger</w:t>
      </w:r>
      <w:r w:rsidR="00DC3ADE">
        <w:rPr>
          <w:rFonts w:eastAsia="Calibri" w:cs="Times New Roman"/>
          <w:szCs w:val="24"/>
        </w:rPr>
        <w:t xml:space="preserve"> på at beskytte grundvandet mod forurening i stedet for at rense det</w:t>
      </w:r>
      <w:r w:rsidR="00322D75">
        <w:rPr>
          <w:rFonts w:eastAsia="Calibri" w:cs="Times New Roman"/>
          <w:szCs w:val="24"/>
        </w:rPr>
        <w:t xml:space="preserve"> med </w:t>
      </w:r>
      <w:r w:rsidR="00C23891">
        <w:rPr>
          <w:rFonts w:eastAsia="Calibri" w:cs="Times New Roman"/>
          <w:szCs w:val="24"/>
        </w:rPr>
        <w:t>d</w:t>
      </w:r>
      <w:r w:rsidR="00322D75">
        <w:rPr>
          <w:rFonts w:eastAsia="Calibri" w:cs="Times New Roman"/>
          <w:szCs w:val="24"/>
        </w:rPr>
        <w:t>et mål</w:t>
      </w:r>
      <w:r w:rsidR="00A6395D">
        <w:rPr>
          <w:rFonts w:eastAsia="Calibri" w:cs="Times New Roman"/>
          <w:szCs w:val="24"/>
        </w:rPr>
        <w:t>,</w:t>
      </w:r>
      <w:r w:rsidR="00322D75">
        <w:rPr>
          <w:rFonts w:eastAsia="Calibri" w:cs="Times New Roman"/>
          <w:szCs w:val="24"/>
        </w:rPr>
        <w:t xml:space="preserve"> at man</w:t>
      </w:r>
      <w:r w:rsidR="00322D75" w:rsidRPr="00322D75">
        <w:rPr>
          <w:rFonts w:eastAsia="Calibri" w:cs="Times New Roman"/>
          <w:szCs w:val="24"/>
        </w:rPr>
        <w:t xml:space="preserve"> </w:t>
      </w:r>
      <w:r w:rsidR="00322D75">
        <w:rPr>
          <w:rFonts w:eastAsia="Calibri" w:cs="Times New Roman"/>
          <w:szCs w:val="24"/>
        </w:rPr>
        <w:t>kan indvinde grundvand, der er så rent, at det kan bruges som drikkevand efter en simpel vandbehandling.</w:t>
      </w:r>
    </w:p>
    <w:p w14:paraId="56EEA007" w14:textId="2C6189B9" w:rsidR="00691829" w:rsidRDefault="00691829" w:rsidP="00875BF2">
      <w:pPr>
        <w:spacing w:after="240"/>
        <w:rPr>
          <w:rFonts w:eastAsia="Calibri" w:cs="Times New Roman"/>
          <w:szCs w:val="24"/>
        </w:rPr>
      </w:pPr>
      <w:r w:rsidRPr="00DB55BD">
        <w:t xml:space="preserve">I nærområdet omkring de boringer, hvor </w:t>
      </w:r>
      <w:r w:rsidR="00AE1599">
        <w:t>drikkevand hentes i Danmark</w:t>
      </w:r>
      <w:r w:rsidR="00E12CC1">
        <w:t xml:space="preserve">, </w:t>
      </w:r>
      <w:r w:rsidRPr="00DB55BD">
        <w:t>de såkaldte boringsnære beskyttelsesområder, herefter BNBO</w:t>
      </w:r>
      <w:r w:rsidR="00E12CC1">
        <w:t>,</w:t>
      </w:r>
      <w:r w:rsidRPr="00DB55BD">
        <w:t xml:space="preserve"> er der en </w:t>
      </w:r>
      <w:r w:rsidR="00505D82">
        <w:t>øget</w:t>
      </w:r>
      <w:r w:rsidRPr="00DB55BD">
        <w:t xml:space="preserve"> risiko for forurening med p</w:t>
      </w:r>
      <w:r w:rsidR="00A6395D">
        <w:t>esticider</w:t>
      </w:r>
      <w:r w:rsidR="0049054A">
        <w:t xml:space="preserve"> </w:t>
      </w:r>
      <w:r w:rsidR="00A55723">
        <w:t>på grund af</w:t>
      </w:r>
      <w:r w:rsidR="0049054A">
        <w:t xml:space="preserve"> ringe fortynding af en eventuel forurening og kort tid til at træffe forholdsregler, hvis der skulle ske forurening af grundvandet</w:t>
      </w:r>
      <w:r w:rsidR="00820102">
        <w:t>.</w:t>
      </w:r>
    </w:p>
    <w:p w14:paraId="1F3675F1" w14:textId="5E03285A" w:rsidR="006F7E06" w:rsidRDefault="002E3B60" w:rsidP="006F7E06">
      <w:pPr>
        <w:spacing w:after="240"/>
        <w:rPr>
          <w:rFonts w:eastAsia="Calibri" w:cs="Times New Roman"/>
          <w:szCs w:val="24"/>
        </w:rPr>
      </w:pPr>
      <w:r>
        <w:rPr>
          <w:rFonts w:eastAsia="Calibri" w:cs="Times New Roman"/>
          <w:szCs w:val="24"/>
        </w:rPr>
        <w:t xml:space="preserve">Lovforslaget har til formål at styrke den målrettede beskyttelse af </w:t>
      </w:r>
      <w:r w:rsidR="00322D75">
        <w:rPr>
          <w:rFonts w:eastAsia="Calibri" w:cs="Times New Roman"/>
          <w:szCs w:val="24"/>
        </w:rPr>
        <w:t>drikke</w:t>
      </w:r>
      <w:r>
        <w:rPr>
          <w:rFonts w:eastAsia="Calibri" w:cs="Times New Roman"/>
          <w:szCs w:val="24"/>
        </w:rPr>
        <w:t>vandet mod forurening med p</w:t>
      </w:r>
      <w:r w:rsidR="00A6395D">
        <w:rPr>
          <w:rFonts w:eastAsia="Calibri" w:cs="Times New Roman"/>
          <w:szCs w:val="24"/>
        </w:rPr>
        <w:t>esticider</w:t>
      </w:r>
      <w:r>
        <w:rPr>
          <w:rFonts w:eastAsia="Calibri" w:cs="Times New Roman"/>
          <w:szCs w:val="24"/>
        </w:rPr>
        <w:t xml:space="preserve"> i </w:t>
      </w:r>
      <w:r w:rsidR="00DD4620">
        <w:rPr>
          <w:rFonts w:eastAsia="Calibri" w:cs="Times New Roman"/>
          <w:szCs w:val="24"/>
        </w:rPr>
        <w:t>BNBO</w:t>
      </w:r>
      <w:r>
        <w:rPr>
          <w:rFonts w:eastAsia="Calibri" w:cs="Times New Roman"/>
          <w:szCs w:val="24"/>
        </w:rPr>
        <w:t xml:space="preserve"> </w:t>
      </w:r>
      <w:r w:rsidR="006F7E06">
        <w:rPr>
          <w:rFonts w:eastAsia="Calibri" w:cs="Times New Roman"/>
          <w:szCs w:val="24"/>
        </w:rPr>
        <w:t>og indeholder således e</w:t>
      </w:r>
      <w:r w:rsidR="005578A7">
        <w:rPr>
          <w:rFonts w:eastAsia="Calibri" w:cs="Times New Roman"/>
          <w:szCs w:val="24"/>
        </w:rPr>
        <w:t>n bestemmelse</w:t>
      </w:r>
      <w:r w:rsidR="00C376DB">
        <w:rPr>
          <w:rFonts w:eastAsia="Calibri" w:cs="Times New Roman"/>
          <w:szCs w:val="24"/>
        </w:rPr>
        <w:t xml:space="preserve"> om, at </w:t>
      </w:r>
      <w:r w:rsidR="006F7E06">
        <w:rPr>
          <w:rFonts w:eastAsia="Calibri" w:cs="Times New Roman"/>
          <w:szCs w:val="24"/>
        </w:rPr>
        <w:t>vandforsyningen</w:t>
      </w:r>
      <w:r w:rsidR="00A6395D">
        <w:rPr>
          <w:rFonts w:eastAsia="Calibri" w:cs="Times New Roman"/>
          <w:szCs w:val="24"/>
        </w:rPr>
        <w:t xml:space="preserve"> eller kommunen</w:t>
      </w:r>
      <w:r w:rsidR="006F7E06">
        <w:rPr>
          <w:rFonts w:eastAsia="Calibri" w:cs="Times New Roman"/>
          <w:szCs w:val="24"/>
        </w:rPr>
        <w:t xml:space="preserve"> og </w:t>
      </w:r>
      <w:r w:rsidR="009D4674">
        <w:rPr>
          <w:rFonts w:eastAsia="Calibri" w:cs="Times New Roman"/>
          <w:szCs w:val="24"/>
        </w:rPr>
        <w:t xml:space="preserve">grundejeren </w:t>
      </w:r>
      <w:r w:rsidR="005578A7">
        <w:rPr>
          <w:rFonts w:eastAsia="Calibri" w:cs="Times New Roman"/>
          <w:szCs w:val="24"/>
        </w:rPr>
        <w:t xml:space="preserve">forsøger at indgå aftaler </w:t>
      </w:r>
      <w:r w:rsidR="006F7E06">
        <w:rPr>
          <w:rFonts w:eastAsia="Calibri" w:cs="Times New Roman"/>
          <w:szCs w:val="24"/>
        </w:rPr>
        <w:t xml:space="preserve">om </w:t>
      </w:r>
      <w:r w:rsidR="00A6395D">
        <w:rPr>
          <w:rFonts w:eastAsia="Calibri" w:cs="Times New Roman"/>
          <w:szCs w:val="24"/>
        </w:rPr>
        <w:t xml:space="preserve">dyrkningsrestriktioner, køb og salg af hele eller </w:t>
      </w:r>
      <w:r w:rsidR="00A6395D">
        <w:rPr>
          <w:rFonts w:eastAsia="Calibri" w:cs="Times New Roman"/>
          <w:szCs w:val="24"/>
        </w:rPr>
        <w:lastRenderedPageBreak/>
        <w:t>dele af ejendommen eller aftale om stop for erhvervsmæssig anvendelse af pesticider</w:t>
      </w:r>
      <w:r w:rsidR="006F7E06">
        <w:rPr>
          <w:rFonts w:eastAsia="Calibri" w:cs="Times New Roman"/>
          <w:szCs w:val="24"/>
        </w:rPr>
        <w:t xml:space="preserve"> inden</w:t>
      </w:r>
      <w:r w:rsidR="00C376DB">
        <w:rPr>
          <w:rFonts w:eastAsia="Calibri" w:cs="Times New Roman"/>
          <w:szCs w:val="24"/>
        </w:rPr>
        <w:t xml:space="preserve"> </w:t>
      </w:r>
      <w:r w:rsidR="006F7E06">
        <w:rPr>
          <w:rFonts w:eastAsia="Calibri" w:cs="Times New Roman"/>
          <w:szCs w:val="24"/>
        </w:rPr>
        <w:t>for BNBO</w:t>
      </w:r>
      <w:r w:rsidR="006232BE">
        <w:rPr>
          <w:rFonts w:eastAsia="Calibri" w:cs="Times New Roman"/>
          <w:szCs w:val="24"/>
        </w:rPr>
        <w:t>, hvor kommunalbestyrelsen har vurderet, at en beskyttelsesindsats er nødvendig</w:t>
      </w:r>
      <w:r w:rsidR="006F7E06">
        <w:rPr>
          <w:rFonts w:eastAsia="Calibri" w:cs="Times New Roman"/>
          <w:szCs w:val="24"/>
        </w:rPr>
        <w:t>.</w:t>
      </w:r>
    </w:p>
    <w:p w14:paraId="059B1F1E" w14:textId="6FFB69E2" w:rsidR="00864C67" w:rsidRDefault="006F7E06" w:rsidP="00875BF2">
      <w:pPr>
        <w:spacing w:after="240"/>
        <w:rPr>
          <w:rFonts w:eastAsia="Calibri" w:cs="Times New Roman"/>
          <w:szCs w:val="24"/>
        </w:rPr>
      </w:pPr>
      <w:r>
        <w:rPr>
          <w:rFonts w:eastAsia="Calibri" w:cs="Times New Roman"/>
          <w:szCs w:val="24"/>
        </w:rPr>
        <w:t>Hvis ikke der kan opnås enighed om en aftale</w:t>
      </w:r>
      <w:r w:rsidR="006052DC">
        <w:rPr>
          <w:rFonts w:eastAsia="Calibri" w:cs="Times New Roman"/>
          <w:szCs w:val="24"/>
        </w:rPr>
        <w:t>,</w:t>
      </w:r>
      <w:r w:rsidR="00A6395D">
        <w:rPr>
          <w:rFonts w:eastAsia="Calibri" w:cs="Times New Roman"/>
          <w:szCs w:val="24"/>
        </w:rPr>
        <w:t xml:space="preserve"> og BNBO således ikke er beskyttet</w:t>
      </w:r>
      <w:r>
        <w:rPr>
          <w:rFonts w:eastAsia="Calibri" w:cs="Times New Roman"/>
          <w:szCs w:val="24"/>
        </w:rPr>
        <w:t>, vil</w:t>
      </w:r>
      <w:r w:rsidR="002E3B60">
        <w:rPr>
          <w:rFonts w:eastAsia="Calibri" w:cs="Times New Roman"/>
          <w:szCs w:val="24"/>
        </w:rPr>
        <w:t xml:space="preserve"> kommun</w:t>
      </w:r>
      <w:r>
        <w:rPr>
          <w:rFonts w:eastAsia="Calibri" w:cs="Times New Roman"/>
          <w:szCs w:val="24"/>
        </w:rPr>
        <w:t xml:space="preserve">albestyrelsen </w:t>
      </w:r>
      <w:r w:rsidR="00322D75">
        <w:rPr>
          <w:rFonts w:eastAsia="Calibri" w:cs="Times New Roman"/>
          <w:szCs w:val="24"/>
        </w:rPr>
        <w:t xml:space="preserve">i de tilfælde </w:t>
      </w:r>
      <w:r>
        <w:rPr>
          <w:rFonts w:eastAsia="Calibri" w:cs="Times New Roman"/>
          <w:szCs w:val="24"/>
        </w:rPr>
        <w:t>være forpligtet</w:t>
      </w:r>
      <w:r w:rsidR="002E3B60">
        <w:rPr>
          <w:rFonts w:eastAsia="Calibri" w:cs="Times New Roman"/>
          <w:szCs w:val="24"/>
        </w:rPr>
        <w:t xml:space="preserve"> til at udstede</w:t>
      </w:r>
      <w:r w:rsidR="00AF3584">
        <w:rPr>
          <w:rFonts w:eastAsia="Calibri" w:cs="Times New Roman"/>
          <w:szCs w:val="24"/>
        </w:rPr>
        <w:t xml:space="preserve"> et påbud eller</w:t>
      </w:r>
      <w:r w:rsidR="002E3B60">
        <w:rPr>
          <w:rFonts w:eastAsia="Calibri" w:cs="Times New Roman"/>
          <w:szCs w:val="24"/>
        </w:rPr>
        <w:t xml:space="preserve"> forbud mod erhvervsmæssig anvendelse af </w:t>
      </w:r>
      <w:r w:rsidR="00E9605D">
        <w:rPr>
          <w:rFonts w:eastAsia="Calibri" w:cs="Times New Roman"/>
          <w:szCs w:val="24"/>
        </w:rPr>
        <w:t xml:space="preserve">pesticider i form af </w:t>
      </w:r>
      <w:r w:rsidR="002E3B60">
        <w:rPr>
          <w:rFonts w:eastAsia="Calibri" w:cs="Times New Roman"/>
          <w:szCs w:val="24"/>
        </w:rPr>
        <w:t>p</w:t>
      </w:r>
      <w:r w:rsidR="00660FBF">
        <w:rPr>
          <w:rFonts w:eastAsia="Calibri" w:cs="Times New Roman"/>
          <w:szCs w:val="24"/>
        </w:rPr>
        <w:t>lantebeskyttelsesmidler</w:t>
      </w:r>
      <w:r w:rsidR="002E3B60">
        <w:rPr>
          <w:rFonts w:eastAsia="Calibri" w:cs="Times New Roman"/>
          <w:szCs w:val="24"/>
        </w:rPr>
        <w:t xml:space="preserve"> i </w:t>
      </w:r>
      <w:r w:rsidR="00DD4620">
        <w:rPr>
          <w:rFonts w:eastAsia="Calibri" w:cs="Times New Roman"/>
          <w:szCs w:val="24"/>
        </w:rPr>
        <w:t>BNBO</w:t>
      </w:r>
      <w:r w:rsidR="0093071E">
        <w:rPr>
          <w:rFonts w:eastAsia="Calibri" w:cs="Times New Roman"/>
          <w:szCs w:val="24"/>
        </w:rPr>
        <w:t>.</w:t>
      </w:r>
    </w:p>
    <w:p w14:paraId="771D6732" w14:textId="3311C01D" w:rsidR="00B31C40" w:rsidRDefault="005D7782" w:rsidP="00875BF2">
      <w:pPr>
        <w:spacing w:after="240"/>
        <w:rPr>
          <w:rFonts w:eastAsia="Calibri" w:cs="Times New Roman"/>
          <w:szCs w:val="24"/>
        </w:rPr>
      </w:pPr>
      <w:r>
        <w:rPr>
          <w:rFonts w:eastAsia="Calibri" w:cs="Times New Roman"/>
          <w:szCs w:val="24"/>
        </w:rPr>
        <w:t>Et</w:t>
      </w:r>
      <w:r w:rsidR="00640F86">
        <w:rPr>
          <w:rFonts w:eastAsia="Calibri" w:cs="Times New Roman"/>
          <w:szCs w:val="24"/>
        </w:rPr>
        <w:t xml:space="preserve"> </w:t>
      </w:r>
      <w:r w:rsidR="00A05791">
        <w:rPr>
          <w:rFonts w:eastAsia="Calibri" w:cs="Times New Roman"/>
          <w:szCs w:val="24"/>
        </w:rPr>
        <w:t xml:space="preserve">påbud eller </w:t>
      </w:r>
      <w:r w:rsidR="00640F86">
        <w:rPr>
          <w:rFonts w:eastAsia="Calibri" w:cs="Times New Roman"/>
          <w:szCs w:val="24"/>
        </w:rPr>
        <w:t>f</w:t>
      </w:r>
      <w:r w:rsidR="00487B92">
        <w:rPr>
          <w:rFonts w:eastAsia="Calibri" w:cs="Times New Roman"/>
          <w:szCs w:val="24"/>
        </w:rPr>
        <w:t xml:space="preserve">orbud </w:t>
      </w:r>
      <w:r w:rsidR="00640F86">
        <w:rPr>
          <w:rFonts w:eastAsia="Calibri" w:cs="Times New Roman"/>
          <w:szCs w:val="24"/>
        </w:rPr>
        <w:t>mod</w:t>
      </w:r>
      <w:r w:rsidR="00AC2C62">
        <w:rPr>
          <w:rFonts w:eastAsia="Calibri" w:cs="Times New Roman"/>
          <w:szCs w:val="24"/>
        </w:rPr>
        <w:t xml:space="preserve"> erhvervsmæssig anvendelse af </w:t>
      </w:r>
      <w:r w:rsidR="00E9605D">
        <w:rPr>
          <w:rFonts w:eastAsia="Calibri" w:cs="Times New Roman"/>
          <w:szCs w:val="24"/>
        </w:rPr>
        <w:t xml:space="preserve">pesticider </w:t>
      </w:r>
      <w:r w:rsidR="00640F86">
        <w:rPr>
          <w:rFonts w:eastAsia="Calibri" w:cs="Times New Roman"/>
          <w:szCs w:val="24"/>
        </w:rPr>
        <w:t>i BNBO vil</w:t>
      </w:r>
      <w:r w:rsidR="00B31C40">
        <w:rPr>
          <w:rFonts w:eastAsia="Calibri" w:cs="Times New Roman"/>
          <w:szCs w:val="24"/>
        </w:rPr>
        <w:t xml:space="preserve"> efter den foreslåede ordning</w:t>
      </w:r>
      <w:r w:rsidR="00640F86">
        <w:rPr>
          <w:rFonts w:eastAsia="Calibri" w:cs="Times New Roman"/>
          <w:szCs w:val="24"/>
        </w:rPr>
        <w:t xml:space="preserve"> </w:t>
      </w:r>
      <w:r w:rsidR="00FB029E">
        <w:rPr>
          <w:rFonts w:eastAsia="Calibri" w:cs="Times New Roman"/>
          <w:szCs w:val="24"/>
        </w:rPr>
        <w:t xml:space="preserve">skulle </w:t>
      </w:r>
      <w:r w:rsidR="00640F86">
        <w:rPr>
          <w:rFonts w:eastAsia="Calibri" w:cs="Times New Roman"/>
          <w:szCs w:val="24"/>
        </w:rPr>
        <w:t>modsvares af fuldstændig erstatning</w:t>
      </w:r>
      <w:r w:rsidR="00134C37">
        <w:rPr>
          <w:rFonts w:eastAsia="Calibri" w:cs="Times New Roman"/>
          <w:szCs w:val="24"/>
        </w:rPr>
        <w:t>.</w:t>
      </w:r>
    </w:p>
    <w:p w14:paraId="49C7A526" w14:textId="408B89BB" w:rsidR="00B65213" w:rsidRDefault="00B65213" w:rsidP="00B65213">
      <w:pPr>
        <w:spacing w:after="240"/>
        <w:rPr>
          <w:rFonts w:eastAsia="Calibri" w:cs="Times New Roman"/>
          <w:szCs w:val="24"/>
        </w:rPr>
      </w:pPr>
      <w:r>
        <w:rPr>
          <w:rFonts w:eastAsia="Calibri" w:cs="Times New Roman"/>
          <w:szCs w:val="24"/>
        </w:rPr>
        <w:t xml:space="preserve">Erstatningen fastsættes af kommunen overfor grundejeren og vandforsyningen. Grundejeren og vandforsyningen har mulighed for at indbringe kommunens afgørelse om erstatningsfastsættelsen til taksationsmyndighederne. Uanset om spørgsmålet om erstatningens størrelse behandles af taksationsmyndighederne, vil der ske en udbetaling til grundejer </w:t>
      </w:r>
      <w:r w:rsidR="00397E06">
        <w:rPr>
          <w:rFonts w:eastAsia="Calibri" w:cs="Times New Roman"/>
          <w:szCs w:val="24"/>
        </w:rPr>
        <w:t xml:space="preserve">senest </w:t>
      </w:r>
      <w:r w:rsidR="00B23FBE">
        <w:t>på samme tidspunkt som</w:t>
      </w:r>
      <w:r>
        <w:rPr>
          <w:rFonts w:eastAsia="Calibri" w:cs="Times New Roman"/>
          <w:szCs w:val="24"/>
        </w:rPr>
        <w:t xml:space="preserve"> et påbud eller forbud skal efterkommes af grundejer. </w:t>
      </w:r>
    </w:p>
    <w:p w14:paraId="4F40F9A2" w14:textId="0746C8C5" w:rsidR="00691195" w:rsidRDefault="00842D7D" w:rsidP="00875BF2">
      <w:pPr>
        <w:spacing w:after="240"/>
        <w:rPr>
          <w:rFonts w:eastAsia="Calibri" w:cs="Times New Roman"/>
          <w:szCs w:val="24"/>
        </w:rPr>
      </w:pPr>
      <w:r>
        <w:rPr>
          <w:rFonts w:eastAsia="Calibri" w:cs="Times New Roman"/>
          <w:szCs w:val="24"/>
        </w:rPr>
        <w:t xml:space="preserve">Af hensyn til </w:t>
      </w:r>
      <w:r w:rsidR="006232BE">
        <w:rPr>
          <w:rFonts w:eastAsia="Calibri" w:cs="Times New Roman"/>
          <w:szCs w:val="24"/>
        </w:rPr>
        <w:t xml:space="preserve">beskyttelsen af drikkevandet, </w:t>
      </w:r>
      <w:r>
        <w:rPr>
          <w:rFonts w:eastAsia="Calibri" w:cs="Times New Roman"/>
          <w:szCs w:val="24"/>
        </w:rPr>
        <w:t>vil</w:t>
      </w:r>
      <w:r w:rsidR="00691195">
        <w:rPr>
          <w:rFonts w:eastAsia="Calibri" w:cs="Times New Roman"/>
          <w:szCs w:val="24"/>
        </w:rPr>
        <w:t xml:space="preserve"> klager over </w:t>
      </w:r>
      <w:r w:rsidR="00C23891">
        <w:rPr>
          <w:rFonts w:eastAsia="Calibri" w:cs="Times New Roman"/>
          <w:szCs w:val="24"/>
        </w:rPr>
        <w:t xml:space="preserve">påbud eller </w:t>
      </w:r>
      <w:r w:rsidR="00691195">
        <w:rPr>
          <w:rFonts w:eastAsia="Calibri" w:cs="Times New Roman"/>
          <w:szCs w:val="24"/>
        </w:rPr>
        <w:t xml:space="preserve">forbud ikke </w:t>
      </w:r>
      <w:r>
        <w:rPr>
          <w:rFonts w:eastAsia="Calibri" w:cs="Times New Roman"/>
          <w:szCs w:val="24"/>
        </w:rPr>
        <w:t>tillægges</w:t>
      </w:r>
      <w:r w:rsidR="00691195">
        <w:rPr>
          <w:rFonts w:eastAsia="Calibri" w:cs="Times New Roman"/>
          <w:szCs w:val="24"/>
        </w:rPr>
        <w:t xml:space="preserve"> opsættende virkning</w:t>
      </w:r>
      <w:r w:rsidR="00C44165">
        <w:rPr>
          <w:rFonts w:eastAsia="Calibri" w:cs="Times New Roman"/>
          <w:szCs w:val="24"/>
        </w:rPr>
        <w:t xml:space="preserve">. </w:t>
      </w:r>
      <w:r w:rsidR="00B52BA3">
        <w:rPr>
          <w:rFonts w:eastAsia="Calibri" w:cs="Times New Roman"/>
          <w:szCs w:val="24"/>
        </w:rPr>
        <w:t>S</w:t>
      </w:r>
      <w:r w:rsidR="00691195">
        <w:rPr>
          <w:rFonts w:eastAsia="Calibri" w:cs="Times New Roman"/>
          <w:szCs w:val="24"/>
        </w:rPr>
        <w:t xml:space="preserve">åledes </w:t>
      </w:r>
      <w:r w:rsidR="001904C1">
        <w:rPr>
          <w:rFonts w:eastAsia="Calibri" w:cs="Times New Roman"/>
          <w:szCs w:val="24"/>
        </w:rPr>
        <w:t>vil</w:t>
      </w:r>
      <w:r w:rsidR="00691195">
        <w:rPr>
          <w:rFonts w:eastAsia="Calibri" w:cs="Times New Roman"/>
          <w:szCs w:val="24"/>
        </w:rPr>
        <w:t xml:space="preserve"> </w:t>
      </w:r>
      <w:r w:rsidR="001904C1">
        <w:rPr>
          <w:rFonts w:eastAsia="Calibri" w:cs="Times New Roman"/>
          <w:szCs w:val="24"/>
        </w:rPr>
        <w:t xml:space="preserve">påbuddet eller </w:t>
      </w:r>
      <w:r w:rsidR="00691195">
        <w:rPr>
          <w:rFonts w:eastAsia="Calibri" w:cs="Times New Roman"/>
          <w:szCs w:val="24"/>
        </w:rPr>
        <w:t>forbuddet opretholdes</w:t>
      </w:r>
      <w:r w:rsidR="006A3F7A">
        <w:rPr>
          <w:rFonts w:eastAsia="Calibri" w:cs="Times New Roman"/>
          <w:szCs w:val="24"/>
        </w:rPr>
        <w:t xml:space="preserve"> i tilfælde</w:t>
      </w:r>
      <w:r>
        <w:rPr>
          <w:rFonts w:eastAsia="Calibri" w:cs="Times New Roman"/>
          <w:szCs w:val="24"/>
        </w:rPr>
        <w:t xml:space="preserve"> af en klage</w:t>
      </w:r>
      <w:r w:rsidR="003153BB">
        <w:rPr>
          <w:rFonts w:eastAsia="Calibri" w:cs="Times New Roman"/>
          <w:szCs w:val="24"/>
        </w:rPr>
        <w:t xml:space="preserve"> til Miljø- og Fødevareklagenævnet</w:t>
      </w:r>
      <w:r w:rsidR="00C23891">
        <w:rPr>
          <w:rFonts w:eastAsia="Calibri" w:cs="Times New Roman"/>
          <w:szCs w:val="24"/>
        </w:rPr>
        <w:t>.</w:t>
      </w:r>
      <w:r w:rsidR="00E9605D">
        <w:rPr>
          <w:rFonts w:eastAsia="Calibri" w:cs="Times New Roman"/>
          <w:szCs w:val="24"/>
        </w:rPr>
        <w:t xml:space="preserve"> </w:t>
      </w:r>
      <w:r w:rsidR="008B3725">
        <w:rPr>
          <w:rFonts w:eastAsia="Calibri" w:cs="Times New Roman"/>
          <w:szCs w:val="24"/>
        </w:rPr>
        <w:t xml:space="preserve">Dette vil være en </w:t>
      </w:r>
      <w:r w:rsidR="00B32E83">
        <w:rPr>
          <w:rFonts w:eastAsia="Calibri" w:cs="Times New Roman"/>
          <w:szCs w:val="24"/>
        </w:rPr>
        <w:t>fravigelse af</w:t>
      </w:r>
      <w:r w:rsidR="008B3725">
        <w:rPr>
          <w:rFonts w:eastAsia="Calibri" w:cs="Times New Roman"/>
          <w:szCs w:val="24"/>
        </w:rPr>
        <w:t xml:space="preserve"> udgangspunktet i miljøbeskyttelsesloven, hvorefter klager over forbud eller påbud</w:t>
      </w:r>
      <w:r w:rsidR="00632F9C">
        <w:rPr>
          <w:rFonts w:eastAsia="Calibri" w:cs="Times New Roman"/>
          <w:szCs w:val="24"/>
        </w:rPr>
        <w:t xml:space="preserve"> </w:t>
      </w:r>
      <w:r>
        <w:rPr>
          <w:rFonts w:eastAsia="Calibri" w:cs="Times New Roman"/>
          <w:szCs w:val="24"/>
        </w:rPr>
        <w:t xml:space="preserve">som udgangspunkt </w:t>
      </w:r>
      <w:r w:rsidR="00632F9C">
        <w:rPr>
          <w:rFonts w:eastAsia="Calibri" w:cs="Times New Roman"/>
          <w:szCs w:val="24"/>
        </w:rPr>
        <w:t xml:space="preserve">har opsættende virkning, medmindre Miljø- og Fødevareklagenævnet </w:t>
      </w:r>
      <w:r w:rsidR="00067B0D">
        <w:rPr>
          <w:rFonts w:eastAsia="Calibri" w:cs="Times New Roman"/>
          <w:szCs w:val="24"/>
        </w:rPr>
        <w:t>bestemmer</w:t>
      </w:r>
      <w:r w:rsidR="00632F9C">
        <w:rPr>
          <w:rFonts w:eastAsia="Calibri" w:cs="Times New Roman"/>
          <w:szCs w:val="24"/>
        </w:rPr>
        <w:t xml:space="preserve"> andet.</w:t>
      </w:r>
      <w:r w:rsidR="00C44165">
        <w:rPr>
          <w:rFonts w:eastAsia="Calibri" w:cs="Times New Roman"/>
          <w:szCs w:val="24"/>
        </w:rPr>
        <w:t xml:space="preserve"> Ligeledes vil klager over erstatningsfastsættelsen ikke tillægges opsættende virkning. </w:t>
      </w:r>
    </w:p>
    <w:p w14:paraId="1552C0C1" w14:textId="2BC6FF44" w:rsidR="008D2B7B" w:rsidRDefault="00253210" w:rsidP="0093071E">
      <w:r>
        <w:t>L</w:t>
      </w:r>
      <w:r w:rsidR="0093071E" w:rsidRPr="0093071E">
        <w:t>ovforslaget</w:t>
      </w:r>
      <w:r>
        <w:t xml:space="preserve"> indeholder herudover</w:t>
      </w:r>
      <w:r w:rsidR="0093071E" w:rsidRPr="0093071E">
        <w:t xml:space="preserve"> en præcisering af </w:t>
      </w:r>
      <w:r w:rsidR="00842D7D">
        <w:t>forholdet til reglen</w:t>
      </w:r>
      <w:r w:rsidR="00156831">
        <w:t xml:space="preserve"> i miljøbeskyttelseslovens § 21 b</w:t>
      </w:r>
      <w:r w:rsidR="00842D7D">
        <w:t xml:space="preserve"> om en </w:t>
      </w:r>
      <w:r w:rsidR="0093071E" w:rsidRPr="0093071E">
        <w:t>25 meter</w:t>
      </w:r>
      <w:r w:rsidR="00842D7D">
        <w:t>s</w:t>
      </w:r>
      <w:r w:rsidR="0093071E" w:rsidRPr="0093071E">
        <w:t xml:space="preserve"> beskyttelseszone omkring boringer</w:t>
      </w:r>
      <w:r w:rsidR="00842D7D">
        <w:t>, der indvinder vand til almene vandforsyninger</w:t>
      </w:r>
      <w:r w:rsidR="000C13C9">
        <w:t xml:space="preserve">, således at </w:t>
      </w:r>
      <w:r w:rsidR="00842D7D">
        <w:t>konkrete forbud og påbud, der giver en tilsvarende beskyttelse, vil træde i stedet fo</w:t>
      </w:r>
      <w:r w:rsidR="00C376DB">
        <w:t>r den generelle beskyttelse, som den er formuleret efter § 21 b, stk. 1.</w:t>
      </w:r>
    </w:p>
    <w:p w14:paraId="250C52FB" w14:textId="77777777" w:rsidR="0093071E" w:rsidRPr="0093071E" w:rsidRDefault="0093071E" w:rsidP="00134C37"/>
    <w:p w14:paraId="6B175315" w14:textId="57998DC8" w:rsidR="00875BF2" w:rsidRPr="00487B92" w:rsidRDefault="00E75CED" w:rsidP="00875BF2">
      <w:pPr>
        <w:spacing w:after="240"/>
        <w:rPr>
          <w:rFonts w:eastAsia="Calibri" w:cs="Times New Roman"/>
          <w:i/>
          <w:szCs w:val="24"/>
        </w:rPr>
      </w:pPr>
      <w:r>
        <w:rPr>
          <w:rFonts w:eastAsia="Calibri" w:cs="Times New Roman"/>
          <w:i/>
          <w:szCs w:val="24"/>
        </w:rPr>
        <w:t>2</w:t>
      </w:r>
      <w:r w:rsidR="00875BF2" w:rsidRPr="00487B92">
        <w:rPr>
          <w:rFonts w:eastAsia="Calibri" w:cs="Times New Roman"/>
          <w:i/>
          <w:szCs w:val="24"/>
        </w:rPr>
        <w:t>.</w:t>
      </w:r>
      <w:r>
        <w:rPr>
          <w:rFonts w:eastAsia="Calibri" w:cs="Times New Roman"/>
          <w:i/>
          <w:szCs w:val="24"/>
        </w:rPr>
        <w:t xml:space="preserve"> Lovforslagets</w:t>
      </w:r>
      <w:r w:rsidR="00875BF2" w:rsidRPr="00487B92">
        <w:rPr>
          <w:rFonts w:eastAsia="Calibri" w:cs="Times New Roman"/>
          <w:i/>
          <w:szCs w:val="24"/>
        </w:rPr>
        <w:t xml:space="preserve"> </w:t>
      </w:r>
      <w:r>
        <w:rPr>
          <w:rFonts w:eastAsia="Calibri" w:cs="Times New Roman"/>
          <w:i/>
          <w:szCs w:val="24"/>
        </w:rPr>
        <w:t>b</w:t>
      </w:r>
      <w:r w:rsidR="00875BF2" w:rsidRPr="00487B92">
        <w:rPr>
          <w:rFonts w:eastAsia="Calibri" w:cs="Times New Roman"/>
          <w:i/>
          <w:szCs w:val="24"/>
        </w:rPr>
        <w:t>aggrund</w:t>
      </w:r>
    </w:p>
    <w:p w14:paraId="32CC4DCC" w14:textId="7EBA63C5" w:rsidR="00864F3D" w:rsidRDefault="00E75CED" w:rsidP="00B23FF0">
      <w:pPr>
        <w:spacing w:after="240"/>
        <w:rPr>
          <w:rFonts w:eastAsia="Calibri" w:cs="Times New Roman"/>
          <w:i/>
          <w:szCs w:val="24"/>
        </w:rPr>
      </w:pPr>
      <w:r>
        <w:rPr>
          <w:rFonts w:eastAsia="Calibri" w:cs="Times New Roman"/>
          <w:i/>
          <w:szCs w:val="24"/>
        </w:rPr>
        <w:t>2</w:t>
      </w:r>
      <w:r w:rsidR="00864F3D" w:rsidRPr="00487B92">
        <w:rPr>
          <w:rFonts w:eastAsia="Calibri" w:cs="Times New Roman"/>
          <w:i/>
          <w:szCs w:val="24"/>
        </w:rPr>
        <w:t>.</w:t>
      </w:r>
      <w:r>
        <w:rPr>
          <w:rFonts w:eastAsia="Calibri" w:cs="Times New Roman"/>
          <w:i/>
          <w:szCs w:val="24"/>
        </w:rPr>
        <w:t>1</w:t>
      </w:r>
      <w:r w:rsidR="00864F3D" w:rsidRPr="00487B92">
        <w:rPr>
          <w:rFonts w:eastAsia="Calibri" w:cs="Times New Roman"/>
          <w:i/>
          <w:szCs w:val="24"/>
        </w:rPr>
        <w:t>. Regeringsgrundlag</w:t>
      </w:r>
      <w:r w:rsidR="00397E06">
        <w:rPr>
          <w:rFonts w:eastAsia="Calibri" w:cs="Times New Roman"/>
          <w:i/>
          <w:szCs w:val="24"/>
        </w:rPr>
        <w:t>et</w:t>
      </w:r>
      <w:r w:rsidR="00487B92">
        <w:rPr>
          <w:rFonts w:eastAsia="Calibri" w:cs="Times New Roman"/>
          <w:i/>
          <w:szCs w:val="24"/>
        </w:rPr>
        <w:t>: Ansvar for Danmark</w:t>
      </w:r>
    </w:p>
    <w:p w14:paraId="2A2B2692" w14:textId="77C973DC" w:rsidR="00487B92" w:rsidRDefault="00AC2C62" w:rsidP="00B23FF0">
      <w:pPr>
        <w:spacing w:after="240"/>
        <w:rPr>
          <w:rFonts w:eastAsia="Calibri" w:cs="Times New Roman"/>
          <w:szCs w:val="24"/>
        </w:rPr>
      </w:pPr>
      <w:r>
        <w:rPr>
          <w:rFonts w:eastAsia="Calibri" w:cs="Times New Roman"/>
          <w:szCs w:val="24"/>
        </w:rPr>
        <w:t>Lovf</w:t>
      </w:r>
      <w:r w:rsidR="00487B92">
        <w:rPr>
          <w:rFonts w:eastAsia="Calibri" w:cs="Times New Roman"/>
          <w:szCs w:val="24"/>
        </w:rPr>
        <w:t xml:space="preserve">orslaget følger op </w:t>
      </w:r>
      <w:r w:rsidR="00812292">
        <w:rPr>
          <w:rFonts w:eastAsia="Calibri" w:cs="Times New Roman"/>
          <w:szCs w:val="24"/>
        </w:rPr>
        <w:t xml:space="preserve">på </w:t>
      </w:r>
      <w:r w:rsidR="00487B92">
        <w:rPr>
          <w:rFonts w:eastAsia="Calibri" w:cs="Times New Roman"/>
          <w:szCs w:val="24"/>
        </w:rPr>
        <w:t xml:space="preserve">regeringsgrundlaget </w:t>
      </w:r>
      <w:r w:rsidR="00487B92">
        <w:rPr>
          <w:rFonts w:eastAsia="Calibri" w:cs="Times New Roman"/>
          <w:i/>
          <w:szCs w:val="24"/>
        </w:rPr>
        <w:t xml:space="preserve">Ansvar for Danmark </w:t>
      </w:r>
      <w:r w:rsidR="00487B92">
        <w:rPr>
          <w:rFonts w:eastAsia="Calibri" w:cs="Times New Roman"/>
          <w:szCs w:val="24"/>
        </w:rPr>
        <w:t>fra december 2022</w:t>
      </w:r>
      <w:r w:rsidR="00812292">
        <w:rPr>
          <w:rFonts w:eastAsia="Calibri" w:cs="Times New Roman"/>
          <w:szCs w:val="24"/>
        </w:rPr>
        <w:t>, hvoraf det følger</w:t>
      </w:r>
      <w:r w:rsidR="00D25E51">
        <w:rPr>
          <w:rFonts w:eastAsia="Calibri" w:cs="Times New Roman"/>
          <w:szCs w:val="24"/>
        </w:rPr>
        <w:t>, at regeringen vil tage initiativ til en akutplan for at beskytte BNBO</w:t>
      </w:r>
      <w:r w:rsidR="00B62983">
        <w:rPr>
          <w:rFonts w:eastAsia="Calibri" w:cs="Times New Roman"/>
          <w:szCs w:val="24"/>
        </w:rPr>
        <w:t xml:space="preserve">. Det </w:t>
      </w:r>
      <w:r>
        <w:rPr>
          <w:rFonts w:eastAsia="Calibri" w:cs="Times New Roman"/>
          <w:szCs w:val="24"/>
        </w:rPr>
        <w:t>er regeringens opfattelse, at der ikke har været den ønskede fremdrift</w:t>
      </w:r>
      <w:r w:rsidR="00864C67">
        <w:rPr>
          <w:rFonts w:eastAsia="Calibri" w:cs="Times New Roman"/>
          <w:szCs w:val="24"/>
        </w:rPr>
        <w:t xml:space="preserve"> for så vidt angår beskyttelsesindsatserne i </w:t>
      </w:r>
      <w:r w:rsidR="00864C67">
        <w:rPr>
          <w:rFonts w:eastAsia="Calibri" w:cs="Times New Roman"/>
          <w:szCs w:val="24"/>
        </w:rPr>
        <w:lastRenderedPageBreak/>
        <w:t>BNBO</w:t>
      </w:r>
      <w:r>
        <w:rPr>
          <w:rFonts w:eastAsia="Calibri" w:cs="Times New Roman"/>
          <w:szCs w:val="24"/>
        </w:rPr>
        <w:t>, hvilket er nødvendigt for at komme i mål som aftalt</w:t>
      </w:r>
      <w:r w:rsidR="00270F18">
        <w:rPr>
          <w:rFonts w:eastAsia="Calibri" w:cs="Times New Roman"/>
          <w:szCs w:val="24"/>
        </w:rPr>
        <w:t xml:space="preserve"> i tillægsaftalen (2019-2022) til </w:t>
      </w:r>
      <w:r w:rsidR="00270F18" w:rsidRPr="00156831">
        <w:rPr>
          <w:rFonts w:eastAsia="Calibri" w:cs="Times New Roman"/>
          <w:i/>
          <w:szCs w:val="24"/>
        </w:rPr>
        <w:t>Aftale om Pesticidstrategi 2017-2021</w:t>
      </w:r>
      <w:r>
        <w:rPr>
          <w:rFonts w:eastAsia="Calibri" w:cs="Times New Roman"/>
          <w:szCs w:val="24"/>
        </w:rPr>
        <w:t>.</w:t>
      </w:r>
    </w:p>
    <w:p w14:paraId="19C921B3" w14:textId="6AA953E5" w:rsidR="00AD6FED" w:rsidRPr="00A146B5" w:rsidRDefault="00AD6FED" w:rsidP="00B23FF0">
      <w:pPr>
        <w:spacing w:after="240"/>
        <w:rPr>
          <w:rFonts w:eastAsia="Calibri" w:cs="Times New Roman"/>
          <w:i/>
          <w:szCs w:val="24"/>
        </w:rPr>
      </w:pPr>
      <w:r w:rsidRPr="00A146B5">
        <w:rPr>
          <w:rFonts w:eastAsia="Calibri" w:cs="Times New Roman"/>
          <w:i/>
          <w:szCs w:val="24"/>
        </w:rPr>
        <w:t>2.2. Indsats</w:t>
      </w:r>
      <w:r>
        <w:rPr>
          <w:rFonts w:eastAsia="Calibri" w:cs="Times New Roman"/>
          <w:i/>
          <w:szCs w:val="24"/>
        </w:rPr>
        <w:t>er</w:t>
      </w:r>
      <w:r w:rsidRPr="00A146B5">
        <w:rPr>
          <w:rFonts w:eastAsia="Calibri" w:cs="Times New Roman"/>
          <w:i/>
          <w:szCs w:val="24"/>
        </w:rPr>
        <w:t xml:space="preserve"> under </w:t>
      </w:r>
      <w:r w:rsidR="00EB2C58">
        <w:rPr>
          <w:rFonts w:eastAsia="Calibri" w:cs="Times New Roman"/>
          <w:i/>
          <w:szCs w:val="24"/>
        </w:rPr>
        <w:t>t</w:t>
      </w:r>
      <w:r w:rsidRPr="00A146B5">
        <w:rPr>
          <w:rFonts w:eastAsia="Calibri" w:cs="Times New Roman"/>
          <w:i/>
          <w:szCs w:val="24"/>
        </w:rPr>
        <w:t>illægsaftale til Aftale om Pesticidstrategi 2017-2021</w:t>
      </w:r>
    </w:p>
    <w:p w14:paraId="6078B699" w14:textId="61C33B5C" w:rsidR="00232974" w:rsidRDefault="00232974" w:rsidP="00B23FF0">
      <w:pPr>
        <w:spacing w:after="240"/>
        <w:rPr>
          <w:rFonts w:eastAsia="Calibri" w:cs="Times New Roman"/>
          <w:szCs w:val="24"/>
        </w:rPr>
      </w:pPr>
      <w:r>
        <w:rPr>
          <w:rFonts w:eastAsia="Calibri" w:cs="Times New Roman"/>
          <w:szCs w:val="24"/>
        </w:rPr>
        <w:t xml:space="preserve">I 2019 igangsatte daværende VLAK-regering og S, RV, SF og DF med tillægsaftale (2019-2022) til </w:t>
      </w:r>
      <w:r w:rsidRPr="00156831">
        <w:rPr>
          <w:rFonts w:eastAsia="Calibri" w:cs="Times New Roman"/>
          <w:szCs w:val="24"/>
        </w:rPr>
        <w:t>Aftale om Pesticidstrategi 2017-2021</w:t>
      </w:r>
      <w:r>
        <w:rPr>
          <w:rFonts w:eastAsia="Calibri" w:cs="Times New Roman"/>
          <w:i/>
          <w:szCs w:val="24"/>
        </w:rPr>
        <w:t xml:space="preserve"> </w:t>
      </w:r>
      <w:r>
        <w:rPr>
          <w:rFonts w:eastAsia="Calibri" w:cs="Times New Roman"/>
          <w:szCs w:val="24"/>
        </w:rPr>
        <w:t>en indsats for at nedbringe risikoen for forurening af BNBO.</w:t>
      </w:r>
    </w:p>
    <w:p w14:paraId="0B5FDD6A" w14:textId="590FCD7D" w:rsidR="00232974" w:rsidRDefault="00232974" w:rsidP="00B23FF0">
      <w:pPr>
        <w:spacing w:after="240"/>
        <w:rPr>
          <w:rFonts w:eastAsia="Calibri" w:cs="Times New Roman"/>
          <w:szCs w:val="24"/>
        </w:rPr>
      </w:pPr>
      <w:r>
        <w:rPr>
          <w:rFonts w:eastAsia="Calibri" w:cs="Times New Roman"/>
          <w:szCs w:val="24"/>
        </w:rPr>
        <w:t>Kommunerne blev pålagt frem til og med 2022 at risikovurdere alle BNBO</w:t>
      </w:r>
      <w:r w:rsidR="00847D01">
        <w:rPr>
          <w:rFonts w:eastAsia="Calibri" w:cs="Times New Roman"/>
          <w:szCs w:val="24"/>
        </w:rPr>
        <w:t xml:space="preserve"> på landbrugsjord og øvrige steder</w:t>
      </w:r>
      <w:r w:rsidR="00045F48">
        <w:rPr>
          <w:rFonts w:eastAsia="Calibri" w:cs="Times New Roman"/>
          <w:szCs w:val="24"/>
        </w:rPr>
        <w:t>,</w:t>
      </w:r>
      <w:r w:rsidR="00847D01">
        <w:rPr>
          <w:rFonts w:eastAsia="Calibri" w:cs="Times New Roman"/>
          <w:szCs w:val="24"/>
        </w:rPr>
        <w:t xml:space="preserve"> hvor der anvendes </w:t>
      </w:r>
      <w:r w:rsidR="00EB2C58">
        <w:rPr>
          <w:rFonts w:eastAsia="Calibri" w:cs="Times New Roman"/>
          <w:szCs w:val="24"/>
        </w:rPr>
        <w:t>pesticider</w:t>
      </w:r>
      <w:r w:rsidR="00847D01">
        <w:rPr>
          <w:rFonts w:eastAsia="Calibri" w:cs="Times New Roman"/>
          <w:szCs w:val="24"/>
        </w:rPr>
        <w:t xml:space="preserve"> til erhvervsmæssige formål</w:t>
      </w:r>
      <w:r w:rsidR="00453AD2">
        <w:rPr>
          <w:rFonts w:eastAsia="Calibri" w:cs="Times New Roman"/>
          <w:szCs w:val="24"/>
        </w:rPr>
        <w:t xml:space="preserve"> i forhold til</w:t>
      </w:r>
      <w:r>
        <w:rPr>
          <w:rFonts w:eastAsia="Calibri" w:cs="Times New Roman"/>
          <w:szCs w:val="24"/>
        </w:rPr>
        <w:t xml:space="preserve"> behovet for yderligere indsatser samt </w:t>
      </w:r>
      <w:r w:rsidR="00397E06">
        <w:rPr>
          <w:rFonts w:eastAsia="Calibri" w:cs="Times New Roman"/>
          <w:szCs w:val="24"/>
        </w:rPr>
        <w:t xml:space="preserve">at </w:t>
      </w:r>
      <w:r>
        <w:rPr>
          <w:rFonts w:eastAsia="Calibri" w:cs="Times New Roman"/>
          <w:szCs w:val="24"/>
        </w:rPr>
        <w:t>afsøge muligheden for at lave frivillige aftaler om stop</w:t>
      </w:r>
      <w:r w:rsidR="00045F48">
        <w:rPr>
          <w:rFonts w:eastAsia="Calibri" w:cs="Times New Roman"/>
          <w:szCs w:val="24"/>
        </w:rPr>
        <w:t xml:space="preserve"> for anvendelse af p</w:t>
      </w:r>
      <w:r w:rsidR="00EB2C58">
        <w:rPr>
          <w:rFonts w:eastAsia="Calibri" w:cs="Times New Roman"/>
          <w:szCs w:val="24"/>
        </w:rPr>
        <w:t>esticider</w:t>
      </w:r>
      <w:r>
        <w:rPr>
          <w:rFonts w:eastAsia="Calibri" w:cs="Times New Roman"/>
          <w:szCs w:val="24"/>
        </w:rPr>
        <w:t xml:space="preserve"> i samarbejde med </w:t>
      </w:r>
      <w:r w:rsidR="004A6988">
        <w:rPr>
          <w:rFonts w:eastAsia="Calibri" w:cs="Times New Roman"/>
          <w:szCs w:val="24"/>
        </w:rPr>
        <w:t xml:space="preserve">almene vandforsyninger </w:t>
      </w:r>
      <w:r>
        <w:rPr>
          <w:rFonts w:eastAsia="Calibri" w:cs="Times New Roman"/>
          <w:szCs w:val="24"/>
        </w:rPr>
        <w:t xml:space="preserve">og </w:t>
      </w:r>
      <w:r w:rsidR="004A6988">
        <w:rPr>
          <w:rFonts w:eastAsia="Calibri" w:cs="Times New Roman"/>
          <w:szCs w:val="24"/>
        </w:rPr>
        <w:t>grundejere</w:t>
      </w:r>
      <w:r>
        <w:rPr>
          <w:rFonts w:eastAsia="Calibri" w:cs="Times New Roman"/>
          <w:szCs w:val="24"/>
        </w:rPr>
        <w:t>.</w:t>
      </w:r>
      <w:r w:rsidR="009C6516" w:rsidRPr="009C6516">
        <w:rPr>
          <w:rFonts w:eastAsia="Calibri" w:cs="Times New Roman"/>
          <w:szCs w:val="24"/>
        </w:rPr>
        <w:t xml:space="preserve"> </w:t>
      </w:r>
      <w:r w:rsidR="009C6516">
        <w:rPr>
          <w:rFonts w:eastAsia="Calibri" w:cs="Times New Roman"/>
          <w:szCs w:val="24"/>
        </w:rPr>
        <w:t>I 202</w:t>
      </w:r>
      <w:r w:rsidR="00B62532">
        <w:rPr>
          <w:rFonts w:eastAsia="Calibri" w:cs="Times New Roman"/>
          <w:szCs w:val="24"/>
        </w:rPr>
        <w:t>3</w:t>
      </w:r>
      <w:r w:rsidR="009C6516">
        <w:rPr>
          <w:rFonts w:eastAsia="Calibri" w:cs="Times New Roman"/>
          <w:szCs w:val="24"/>
        </w:rPr>
        <w:t xml:space="preserve"> blev der udpeget 5.</w:t>
      </w:r>
      <w:r w:rsidR="00B62532">
        <w:rPr>
          <w:rFonts w:eastAsia="Calibri" w:cs="Times New Roman"/>
          <w:szCs w:val="24"/>
        </w:rPr>
        <w:t>539</w:t>
      </w:r>
      <w:r w:rsidR="009C6516">
        <w:rPr>
          <w:rFonts w:eastAsia="Calibri" w:cs="Times New Roman"/>
          <w:szCs w:val="24"/>
        </w:rPr>
        <w:t xml:space="preserve"> BNBO, der udgør et samlet areal på </w:t>
      </w:r>
      <w:r w:rsidR="00B62532">
        <w:rPr>
          <w:rFonts w:eastAsia="Calibri" w:cs="Times New Roman"/>
          <w:szCs w:val="24"/>
        </w:rPr>
        <w:t xml:space="preserve">ca. </w:t>
      </w:r>
      <w:r w:rsidR="009C6516">
        <w:rPr>
          <w:rFonts w:eastAsia="Calibri" w:cs="Times New Roman"/>
          <w:szCs w:val="24"/>
        </w:rPr>
        <w:t>20.</w:t>
      </w:r>
      <w:r w:rsidR="00B62532">
        <w:rPr>
          <w:rFonts w:eastAsia="Calibri" w:cs="Times New Roman"/>
          <w:szCs w:val="24"/>
        </w:rPr>
        <w:t>000</w:t>
      </w:r>
      <w:r w:rsidR="009C6516">
        <w:rPr>
          <w:rFonts w:eastAsia="Calibri" w:cs="Times New Roman"/>
          <w:szCs w:val="24"/>
        </w:rPr>
        <w:t xml:space="preserve"> ha. Heraf udgør markarealer </w:t>
      </w:r>
      <w:r w:rsidR="00B62532">
        <w:rPr>
          <w:rFonts w:eastAsia="Calibri" w:cs="Times New Roman"/>
          <w:szCs w:val="24"/>
        </w:rPr>
        <w:t>ca.</w:t>
      </w:r>
      <w:r w:rsidR="00097429">
        <w:rPr>
          <w:rFonts w:eastAsia="Calibri" w:cs="Times New Roman"/>
          <w:szCs w:val="24"/>
        </w:rPr>
        <w:t xml:space="preserve"> 40 pct. eller ca.</w:t>
      </w:r>
      <w:r w:rsidR="00B62532">
        <w:rPr>
          <w:rFonts w:eastAsia="Calibri" w:cs="Times New Roman"/>
          <w:szCs w:val="24"/>
        </w:rPr>
        <w:t xml:space="preserve"> </w:t>
      </w:r>
      <w:r w:rsidR="009C6516">
        <w:rPr>
          <w:rFonts w:eastAsia="Calibri" w:cs="Times New Roman"/>
          <w:szCs w:val="24"/>
        </w:rPr>
        <w:t>8.</w:t>
      </w:r>
      <w:r w:rsidR="00B62532">
        <w:rPr>
          <w:rFonts w:eastAsia="Calibri" w:cs="Times New Roman"/>
          <w:szCs w:val="24"/>
        </w:rPr>
        <w:t>500</w:t>
      </w:r>
      <w:r w:rsidR="009C6516">
        <w:rPr>
          <w:rFonts w:eastAsia="Calibri" w:cs="Times New Roman"/>
          <w:szCs w:val="24"/>
        </w:rPr>
        <w:t xml:space="preserve"> ha</w:t>
      </w:r>
      <w:r w:rsidR="00097429">
        <w:rPr>
          <w:rFonts w:eastAsia="Calibri" w:cs="Times New Roman"/>
          <w:szCs w:val="24"/>
        </w:rPr>
        <w:t>.</w:t>
      </w:r>
    </w:p>
    <w:p w14:paraId="035DBBE6" w14:textId="50CCFA97" w:rsidR="00B31C40" w:rsidRDefault="00C3089E" w:rsidP="00B23FF0">
      <w:pPr>
        <w:spacing w:after="240"/>
        <w:rPr>
          <w:rFonts w:eastAsia="Calibri" w:cs="Times New Roman"/>
          <w:szCs w:val="24"/>
        </w:rPr>
      </w:pPr>
      <w:r>
        <w:rPr>
          <w:rFonts w:eastAsia="Calibri" w:cs="Times New Roman"/>
          <w:szCs w:val="24"/>
        </w:rPr>
        <w:t>Evalueringen viser</w:t>
      </w:r>
      <w:r w:rsidR="009C6516">
        <w:rPr>
          <w:rFonts w:eastAsia="Calibri" w:cs="Times New Roman"/>
          <w:szCs w:val="24"/>
        </w:rPr>
        <w:t>,</w:t>
      </w:r>
      <w:r>
        <w:rPr>
          <w:rFonts w:eastAsia="Calibri" w:cs="Times New Roman"/>
          <w:szCs w:val="24"/>
        </w:rPr>
        <w:t xml:space="preserve"> med udgangspunkt i kommunernes lovpligtige indrapportering til Danmarks Arealinformation, at kommunerne har risikovurderet</w:t>
      </w:r>
      <w:r w:rsidR="009C6516">
        <w:rPr>
          <w:rFonts w:eastAsia="Calibri" w:cs="Times New Roman"/>
          <w:szCs w:val="24"/>
        </w:rPr>
        <w:t xml:space="preserve"> stort set</w:t>
      </w:r>
      <w:r>
        <w:rPr>
          <w:rFonts w:eastAsia="Calibri" w:cs="Times New Roman"/>
          <w:szCs w:val="24"/>
        </w:rPr>
        <w:t xml:space="preserve"> alle BNBO, og at der behov for beskyttelsesindsatser i god</w:t>
      </w:r>
      <w:r w:rsidR="009C6516">
        <w:rPr>
          <w:rFonts w:eastAsia="Calibri" w:cs="Times New Roman"/>
          <w:szCs w:val="24"/>
        </w:rPr>
        <w:t>t</w:t>
      </w:r>
      <w:r>
        <w:rPr>
          <w:rFonts w:eastAsia="Calibri" w:cs="Times New Roman"/>
          <w:szCs w:val="24"/>
        </w:rPr>
        <w:t xml:space="preserve"> halvdelen af BNBO. På markarealerne i BNBO er det cirka 8</w:t>
      </w:r>
      <w:r w:rsidR="00B62532">
        <w:rPr>
          <w:rFonts w:eastAsia="Calibri" w:cs="Times New Roman"/>
          <w:szCs w:val="24"/>
        </w:rPr>
        <w:t>0</w:t>
      </w:r>
      <w:r>
        <w:rPr>
          <w:rFonts w:eastAsia="Calibri" w:cs="Times New Roman"/>
          <w:szCs w:val="24"/>
        </w:rPr>
        <w:t xml:space="preserve"> </w:t>
      </w:r>
      <w:r w:rsidR="009C6516">
        <w:rPr>
          <w:rFonts w:eastAsia="Calibri" w:cs="Times New Roman"/>
          <w:szCs w:val="24"/>
        </w:rPr>
        <w:t>pct.</w:t>
      </w:r>
      <w:r>
        <w:rPr>
          <w:rFonts w:eastAsia="Calibri" w:cs="Times New Roman"/>
          <w:szCs w:val="24"/>
        </w:rPr>
        <w:t xml:space="preserve"> af arealerne,</w:t>
      </w:r>
      <w:r w:rsidR="009C6516">
        <w:rPr>
          <w:rFonts w:eastAsia="Calibri" w:cs="Times New Roman"/>
          <w:szCs w:val="24"/>
        </w:rPr>
        <w:t xml:space="preserve"> hvor</w:t>
      </w:r>
      <w:r>
        <w:rPr>
          <w:rFonts w:eastAsia="Calibri" w:cs="Times New Roman"/>
          <w:szCs w:val="24"/>
        </w:rPr>
        <w:t xml:space="preserve"> der </w:t>
      </w:r>
      <w:r w:rsidR="009C6516">
        <w:rPr>
          <w:rFonts w:eastAsia="Calibri" w:cs="Times New Roman"/>
          <w:szCs w:val="24"/>
        </w:rPr>
        <w:t>er</w:t>
      </w:r>
      <w:r>
        <w:rPr>
          <w:rFonts w:eastAsia="Calibri" w:cs="Times New Roman"/>
          <w:szCs w:val="24"/>
        </w:rPr>
        <w:t xml:space="preserve"> behov for en indsats.</w:t>
      </w:r>
    </w:p>
    <w:p w14:paraId="3FB9E176" w14:textId="3D2C3E77" w:rsidR="0055317F" w:rsidRDefault="0031150F" w:rsidP="00B23FF0">
      <w:pPr>
        <w:spacing w:after="240"/>
      </w:pPr>
      <w:r>
        <w:rPr>
          <w:rFonts w:eastAsia="Calibri" w:cs="Times New Roman"/>
          <w:szCs w:val="24"/>
        </w:rPr>
        <w:t>Der er omtrent 7.000 indvindingsboringer til almene vandforsyninger i Danmark. Ved almene vandforsyninger forstås den person eller juridiske enhed, der ejer et eller flere vandforsyningsanlæg, der forsyner eller har til formål at forsyne mindst 10 ejendomme hver. En almen</w:t>
      </w:r>
      <w:r w:rsidR="00325437">
        <w:rPr>
          <w:rFonts w:eastAsia="Calibri" w:cs="Times New Roman"/>
          <w:szCs w:val="24"/>
        </w:rPr>
        <w:t xml:space="preserve"> vandforsyning kan således være kommunalt såvel som privat ejet af enten en eller flere personer eller en juridisk enhed. BNBO omfatter arealmæssigt nærhedsområdet til en</w:t>
      </w:r>
      <w:r w:rsidR="006C1784">
        <w:rPr>
          <w:rFonts w:eastAsia="Calibri" w:cs="Times New Roman"/>
          <w:szCs w:val="24"/>
        </w:rPr>
        <w:t xml:space="preserve"> eller flere</w:t>
      </w:r>
      <w:r w:rsidR="00325437">
        <w:rPr>
          <w:rFonts w:eastAsia="Calibri" w:cs="Times New Roman"/>
          <w:szCs w:val="24"/>
        </w:rPr>
        <w:t xml:space="preserve"> almen</w:t>
      </w:r>
      <w:r w:rsidR="009C6516">
        <w:rPr>
          <w:rFonts w:eastAsia="Calibri" w:cs="Times New Roman"/>
          <w:szCs w:val="24"/>
        </w:rPr>
        <w:t>e</w:t>
      </w:r>
      <w:r w:rsidR="00325437">
        <w:rPr>
          <w:rFonts w:eastAsia="Calibri" w:cs="Times New Roman"/>
          <w:szCs w:val="24"/>
        </w:rPr>
        <w:t xml:space="preserve"> vandforsyning</w:t>
      </w:r>
      <w:r w:rsidR="006C1784">
        <w:rPr>
          <w:rFonts w:eastAsia="Calibri" w:cs="Times New Roman"/>
          <w:szCs w:val="24"/>
        </w:rPr>
        <w:t>sboringer</w:t>
      </w:r>
      <w:r w:rsidR="00325437">
        <w:rPr>
          <w:rFonts w:eastAsia="Calibri" w:cs="Times New Roman"/>
          <w:szCs w:val="24"/>
        </w:rPr>
        <w:t xml:space="preserve">. Inden for et BNBO </w:t>
      </w:r>
      <w:r w:rsidR="00097429">
        <w:rPr>
          <w:rFonts w:eastAsia="Calibri" w:cs="Times New Roman"/>
          <w:szCs w:val="24"/>
        </w:rPr>
        <w:t xml:space="preserve">er </w:t>
      </w:r>
      <w:r w:rsidR="00325437">
        <w:rPr>
          <w:rFonts w:eastAsia="Calibri" w:cs="Times New Roman"/>
          <w:szCs w:val="24"/>
        </w:rPr>
        <w:t xml:space="preserve">der særlige forhold, som gør det ekstra </w:t>
      </w:r>
      <w:r w:rsidR="00A203A2">
        <w:rPr>
          <w:rFonts w:eastAsia="Calibri" w:cs="Times New Roman"/>
          <w:szCs w:val="24"/>
        </w:rPr>
        <w:t>vigtigt at beskytte grundvandet mod forurening, idet der er kort tid til at træffe for</w:t>
      </w:r>
      <w:r w:rsidR="00270F18">
        <w:rPr>
          <w:rFonts w:eastAsia="Calibri" w:cs="Times New Roman"/>
          <w:szCs w:val="24"/>
        </w:rPr>
        <w:t>anstaltninger</w:t>
      </w:r>
      <w:r w:rsidR="00A203A2">
        <w:rPr>
          <w:rFonts w:eastAsia="Calibri" w:cs="Times New Roman"/>
          <w:szCs w:val="24"/>
        </w:rPr>
        <w:t>, hvis der skulle ske forurening af grundvandet</w:t>
      </w:r>
      <w:r w:rsidR="006C1784">
        <w:rPr>
          <w:rFonts w:eastAsia="Calibri" w:cs="Times New Roman"/>
          <w:szCs w:val="24"/>
        </w:rPr>
        <w:t xml:space="preserve"> grundet aktiviteter inden for BNBO</w:t>
      </w:r>
      <w:r w:rsidR="00A203A2">
        <w:rPr>
          <w:rFonts w:eastAsia="Calibri" w:cs="Times New Roman"/>
          <w:szCs w:val="24"/>
        </w:rPr>
        <w:t xml:space="preserve">. Samtidig sker der relativt ringe fortynding af en eventuel forurening i grundvandet inden for dette område. Tilsammen betyder dette, at der </w:t>
      </w:r>
      <w:r w:rsidR="00097429">
        <w:rPr>
          <w:rFonts w:eastAsia="Calibri" w:cs="Times New Roman"/>
          <w:szCs w:val="24"/>
        </w:rPr>
        <w:t>er</w:t>
      </w:r>
      <w:r w:rsidR="00A203A2">
        <w:rPr>
          <w:rFonts w:eastAsia="Calibri" w:cs="Times New Roman"/>
          <w:szCs w:val="24"/>
        </w:rPr>
        <w:t xml:space="preserve"> særlige behov for beskyttelse af nærområdet omkring en boring og særlig opmærksomhed på aktiviteter, der indebærer en risiko for forurening af grundvandet</w:t>
      </w:r>
      <w:r w:rsidR="0055317F">
        <w:t>.</w:t>
      </w:r>
    </w:p>
    <w:p w14:paraId="41E5938B" w14:textId="1F5A15B7" w:rsidR="00097429" w:rsidRPr="0008033B" w:rsidRDefault="00097429" w:rsidP="00B23FF0">
      <w:pPr>
        <w:spacing w:after="240"/>
      </w:pPr>
      <w:r w:rsidRPr="004707AB">
        <w:rPr>
          <w:rFonts w:eastAsia="Calibri" w:cs="Times New Roman"/>
          <w:szCs w:val="24"/>
        </w:rPr>
        <w:t xml:space="preserve">Det er dog ikke givet, at der altid vil ske en øget nedsivning af vand i </w:t>
      </w:r>
      <w:r>
        <w:rPr>
          <w:rFonts w:eastAsia="Calibri" w:cs="Times New Roman"/>
          <w:szCs w:val="24"/>
        </w:rPr>
        <w:t xml:space="preserve">BNBO </w:t>
      </w:r>
      <w:r w:rsidRPr="004707AB">
        <w:rPr>
          <w:rFonts w:eastAsia="Calibri" w:cs="Times New Roman"/>
          <w:szCs w:val="24"/>
        </w:rPr>
        <w:t>til grundvand</w:t>
      </w:r>
      <w:r>
        <w:rPr>
          <w:rFonts w:eastAsia="Calibri" w:cs="Times New Roman"/>
          <w:szCs w:val="24"/>
        </w:rPr>
        <w:t>et</w:t>
      </w:r>
      <w:r w:rsidRPr="004707AB">
        <w:rPr>
          <w:rFonts w:eastAsia="Calibri" w:cs="Times New Roman"/>
          <w:szCs w:val="24"/>
        </w:rPr>
        <w:t xml:space="preserve">. Det afhænger af de lokale geologiske og hydrologiske forhold. Derfor </w:t>
      </w:r>
      <w:r>
        <w:rPr>
          <w:rFonts w:eastAsia="Calibri" w:cs="Times New Roman"/>
          <w:szCs w:val="24"/>
        </w:rPr>
        <w:t>er kommunernes risikovurdering central</w:t>
      </w:r>
      <w:r w:rsidRPr="004707AB">
        <w:rPr>
          <w:rFonts w:eastAsia="Calibri" w:cs="Times New Roman"/>
          <w:szCs w:val="24"/>
        </w:rPr>
        <w:t xml:space="preserve">. I </w:t>
      </w:r>
      <w:r>
        <w:rPr>
          <w:rFonts w:eastAsia="Calibri" w:cs="Times New Roman"/>
          <w:szCs w:val="24"/>
        </w:rPr>
        <w:t>risikovurderingen</w:t>
      </w:r>
      <w:r w:rsidRPr="004707AB">
        <w:rPr>
          <w:rFonts w:eastAsia="Calibri" w:cs="Times New Roman"/>
          <w:szCs w:val="24"/>
        </w:rPr>
        <w:t xml:space="preserve"> kan bl.a. indgå vigtigheden af boringen, tykkelse af lerlag og sprækker i lerlag samt fund af </w:t>
      </w:r>
      <w:r>
        <w:rPr>
          <w:rFonts w:eastAsia="Calibri" w:cs="Times New Roman"/>
          <w:szCs w:val="24"/>
        </w:rPr>
        <w:t>pesticider</w:t>
      </w:r>
      <w:r w:rsidRPr="004707AB">
        <w:rPr>
          <w:rFonts w:eastAsia="Calibri" w:cs="Times New Roman"/>
          <w:szCs w:val="24"/>
        </w:rPr>
        <w:t>.</w:t>
      </w:r>
    </w:p>
    <w:p w14:paraId="5BC6EE6E" w14:textId="7AA964DE" w:rsidR="00575BB9" w:rsidRPr="000500FD" w:rsidRDefault="00E75CED" w:rsidP="00FD1A50">
      <w:pPr>
        <w:spacing w:after="240"/>
        <w:rPr>
          <w:rFonts w:eastAsia="Calibri" w:cs="Times New Roman"/>
          <w:i/>
          <w:szCs w:val="24"/>
        </w:rPr>
      </w:pPr>
      <w:r>
        <w:rPr>
          <w:rFonts w:eastAsia="Calibri" w:cs="Times New Roman"/>
          <w:i/>
          <w:szCs w:val="24"/>
        </w:rPr>
        <w:lastRenderedPageBreak/>
        <w:t>3</w:t>
      </w:r>
      <w:r w:rsidR="00FD1A50" w:rsidRPr="000500FD">
        <w:rPr>
          <w:rFonts w:eastAsia="Calibri" w:cs="Times New Roman"/>
          <w:i/>
          <w:szCs w:val="24"/>
        </w:rPr>
        <w:t>.</w:t>
      </w:r>
      <w:r w:rsidR="00FD1A50" w:rsidRPr="00E12CC1">
        <w:rPr>
          <w:rFonts w:eastAsia="Calibri" w:cs="Times New Roman"/>
          <w:szCs w:val="24"/>
        </w:rPr>
        <w:t xml:space="preserve"> </w:t>
      </w:r>
      <w:r w:rsidR="00FD1A50" w:rsidRPr="000500FD">
        <w:rPr>
          <w:rFonts w:eastAsia="Calibri" w:cs="Times New Roman"/>
          <w:i/>
          <w:szCs w:val="24"/>
        </w:rPr>
        <w:t>Lovforslagets hovedpunkter</w:t>
      </w:r>
    </w:p>
    <w:p w14:paraId="69C94A4B" w14:textId="050D9CCE" w:rsidR="006D51C4" w:rsidRPr="000500FD" w:rsidRDefault="00E75CED" w:rsidP="00FD1A50">
      <w:pPr>
        <w:spacing w:after="240"/>
        <w:rPr>
          <w:rFonts w:eastAsia="Calibri" w:cs="Times New Roman"/>
          <w:i/>
          <w:szCs w:val="24"/>
        </w:rPr>
      </w:pPr>
      <w:r>
        <w:rPr>
          <w:rFonts w:eastAsia="Calibri" w:cs="Times New Roman"/>
          <w:i/>
          <w:szCs w:val="24"/>
        </w:rPr>
        <w:t>3</w:t>
      </w:r>
      <w:r w:rsidR="00FD1A50" w:rsidRPr="000500FD">
        <w:rPr>
          <w:rFonts w:eastAsia="Calibri" w:cs="Times New Roman"/>
          <w:i/>
          <w:szCs w:val="24"/>
        </w:rPr>
        <w:t>.1.</w:t>
      </w:r>
      <w:r w:rsidR="006D51C4" w:rsidRPr="00E12CC1">
        <w:rPr>
          <w:rFonts w:eastAsia="Calibri" w:cs="Times New Roman"/>
          <w:szCs w:val="24"/>
        </w:rPr>
        <w:t xml:space="preserve"> </w:t>
      </w:r>
      <w:r w:rsidR="00847D01">
        <w:rPr>
          <w:rFonts w:eastAsia="Calibri" w:cs="Times New Roman"/>
          <w:i/>
          <w:szCs w:val="24"/>
        </w:rPr>
        <w:t>Målrettet indsats</w:t>
      </w:r>
      <w:r w:rsidR="00F412F5">
        <w:rPr>
          <w:rFonts w:eastAsia="Calibri" w:cs="Times New Roman"/>
          <w:i/>
          <w:szCs w:val="24"/>
        </w:rPr>
        <w:t xml:space="preserve"> for</w:t>
      </w:r>
      <w:r w:rsidR="006D51C4" w:rsidRPr="000500FD">
        <w:rPr>
          <w:rFonts w:eastAsia="Calibri" w:cs="Times New Roman"/>
          <w:i/>
          <w:szCs w:val="24"/>
        </w:rPr>
        <w:t xml:space="preserve"> boringsnære beskyttelsesområder</w:t>
      </w:r>
      <w:r w:rsidR="00FD1A50" w:rsidRPr="000500FD">
        <w:rPr>
          <w:rFonts w:eastAsia="Calibri" w:cs="Times New Roman"/>
          <w:i/>
          <w:szCs w:val="24"/>
        </w:rPr>
        <w:t xml:space="preserve"> </w:t>
      </w:r>
    </w:p>
    <w:p w14:paraId="5401EA2B" w14:textId="2AFB6029" w:rsidR="00FD1A50" w:rsidRPr="000500FD" w:rsidRDefault="00E75CED" w:rsidP="00FD1A50">
      <w:pPr>
        <w:spacing w:after="240"/>
        <w:rPr>
          <w:rFonts w:eastAsia="Calibri" w:cs="Times New Roman"/>
          <w:i/>
          <w:szCs w:val="24"/>
        </w:rPr>
      </w:pPr>
      <w:r>
        <w:rPr>
          <w:rFonts w:eastAsia="Calibri" w:cs="Times New Roman"/>
          <w:i/>
          <w:szCs w:val="24"/>
        </w:rPr>
        <w:t>3</w:t>
      </w:r>
      <w:r w:rsidR="00FD1A50" w:rsidRPr="000500FD">
        <w:rPr>
          <w:rFonts w:eastAsia="Calibri" w:cs="Times New Roman"/>
          <w:i/>
          <w:szCs w:val="24"/>
        </w:rPr>
        <w:t>.1.1.</w:t>
      </w:r>
      <w:r w:rsidR="00FD1A50" w:rsidRPr="00E12CC1">
        <w:rPr>
          <w:rFonts w:eastAsia="Calibri" w:cs="Times New Roman"/>
          <w:szCs w:val="24"/>
        </w:rPr>
        <w:t xml:space="preserve"> </w:t>
      </w:r>
      <w:r w:rsidR="00FD1A50" w:rsidRPr="000500FD">
        <w:rPr>
          <w:rFonts w:eastAsia="Calibri" w:cs="Times New Roman"/>
          <w:i/>
          <w:szCs w:val="24"/>
        </w:rPr>
        <w:t>Gældende ret</w:t>
      </w:r>
    </w:p>
    <w:p w14:paraId="227D7EC6" w14:textId="2F6556FC" w:rsidR="00875BF2" w:rsidRPr="000500FD" w:rsidRDefault="00E75CED" w:rsidP="00FD1A50">
      <w:pPr>
        <w:spacing w:after="240"/>
        <w:rPr>
          <w:rFonts w:eastAsia="Calibri" w:cs="Times New Roman"/>
          <w:i/>
          <w:szCs w:val="24"/>
        </w:rPr>
      </w:pPr>
      <w:r>
        <w:rPr>
          <w:rFonts w:eastAsia="Calibri" w:cs="Times New Roman"/>
          <w:i/>
          <w:szCs w:val="24"/>
        </w:rPr>
        <w:t>3</w:t>
      </w:r>
      <w:r w:rsidR="00776788" w:rsidRPr="000500FD">
        <w:rPr>
          <w:rFonts w:eastAsia="Calibri" w:cs="Times New Roman"/>
          <w:i/>
          <w:szCs w:val="24"/>
        </w:rPr>
        <w:t>.1.1.</w:t>
      </w:r>
      <w:r w:rsidR="00575BB9" w:rsidRPr="000500FD">
        <w:rPr>
          <w:rFonts w:eastAsia="Calibri" w:cs="Times New Roman"/>
          <w:i/>
          <w:szCs w:val="24"/>
        </w:rPr>
        <w:t>1</w:t>
      </w:r>
      <w:r w:rsidR="00776788" w:rsidRPr="000500FD">
        <w:rPr>
          <w:rFonts w:eastAsia="Calibri" w:cs="Times New Roman"/>
          <w:i/>
          <w:szCs w:val="24"/>
        </w:rPr>
        <w:t>.</w:t>
      </w:r>
      <w:r w:rsidR="00AB2E72" w:rsidRPr="00E12CC1">
        <w:rPr>
          <w:rFonts w:eastAsia="Calibri" w:cs="Times New Roman"/>
          <w:szCs w:val="24"/>
        </w:rPr>
        <w:t xml:space="preserve"> </w:t>
      </w:r>
      <w:r w:rsidR="00AB2E72">
        <w:rPr>
          <w:rFonts w:eastAsia="Calibri" w:cs="Times New Roman"/>
          <w:i/>
          <w:szCs w:val="24"/>
        </w:rPr>
        <w:t>Vandforsyningsloven</w:t>
      </w:r>
    </w:p>
    <w:p w14:paraId="51E6EBBE" w14:textId="34ED3C06" w:rsidR="003B6A56" w:rsidRDefault="003B6A56" w:rsidP="003B6A56">
      <w:pPr>
        <w:spacing w:after="240"/>
        <w:rPr>
          <w:rFonts w:eastAsia="Calibri" w:cs="Times New Roman"/>
          <w:szCs w:val="24"/>
        </w:rPr>
      </w:pPr>
      <w:r>
        <w:rPr>
          <w:rFonts w:eastAsia="Calibri" w:cs="Times New Roman"/>
          <w:szCs w:val="24"/>
        </w:rPr>
        <w:t>Vandforsyningsloven indeholder i §§ 11</w:t>
      </w:r>
      <w:r w:rsidR="00220315">
        <w:rPr>
          <w:rFonts w:eastAsia="Calibri" w:cs="Times New Roman"/>
          <w:szCs w:val="24"/>
        </w:rPr>
        <w:t>-</w:t>
      </w:r>
      <w:r>
        <w:rPr>
          <w:rFonts w:eastAsia="Calibri" w:cs="Times New Roman"/>
          <w:szCs w:val="24"/>
        </w:rPr>
        <w:t>11 c bestemmelser om kortlægning, udpegning</w:t>
      </w:r>
      <w:r w:rsidR="004A6988">
        <w:rPr>
          <w:rFonts w:eastAsia="Calibri" w:cs="Times New Roman"/>
          <w:szCs w:val="24"/>
        </w:rPr>
        <w:t xml:space="preserve"> og</w:t>
      </w:r>
      <w:r>
        <w:rPr>
          <w:rFonts w:eastAsia="Calibri" w:cs="Times New Roman"/>
          <w:szCs w:val="24"/>
        </w:rPr>
        <w:t xml:space="preserve"> offentlig annoncering vedrørende områder med drikkevandsressourcer.</w:t>
      </w:r>
    </w:p>
    <w:p w14:paraId="22EEC4E5" w14:textId="0C248667" w:rsidR="003B6A56" w:rsidRDefault="003B6A56" w:rsidP="003B6A56">
      <w:pPr>
        <w:spacing w:after="240"/>
        <w:rPr>
          <w:rFonts w:eastAsia="Calibri" w:cs="Times New Roman"/>
          <w:szCs w:val="24"/>
        </w:rPr>
      </w:pPr>
      <w:r>
        <w:rPr>
          <w:rFonts w:eastAsia="Calibri" w:cs="Times New Roman"/>
          <w:szCs w:val="24"/>
        </w:rPr>
        <w:t>Med hjemmel i vandforsyningslovens § 11 gennemfører Miljøministeriet den statslige grundvandskortlægning, herunder kortlægningen af de statsligt afgrænsede BNBO. Beregning af BNBO er en del af den samlede grundvandskortlægning.</w:t>
      </w:r>
    </w:p>
    <w:p w14:paraId="3D045C1C" w14:textId="28CD2387" w:rsidR="003B6A56" w:rsidRDefault="00270F18" w:rsidP="003B6A56">
      <w:pPr>
        <w:spacing w:after="240"/>
        <w:rPr>
          <w:rFonts w:eastAsia="Calibri" w:cs="Times New Roman"/>
          <w:szCs w:val="24"/>
        </w:rPr>
      </w:pPr>
      <w:r>
        <w:rPr>
          <w:rFonts w:eastAsia="Calibri" w:cs="Times New Roman"/>
          <w:szCs w:val="24"/>
        </w:rPr>
        <w:t>M</w:t>
      </w:r>
      <w:r w:rsidR="003B6A56">
        <w:rPr>
          <w:rFonts w:eastAsia="Calibri" w:cs="Times New Roman"/>
          <w:szCs w:val="24"/>
        </w:rPr>
        <w:t>iljøministeren</w:t>
      </w:r>
      <w:r>
        <w:rPr>
          <w:rFonts w:eastAsia="Calibri" w:cs="Times New Roman"/>
          <w:szCs w:val="24"/>
        </w:rPr>
        <w:t xml:space="preserve"> fastsætter</w:t>
      </w:r>
      <w:r w:rsidR="003B6A56">
        <w:rPr>
          <w:rFonts w:eastAsia="Calibri" w:cs="Times New Roman"/>
          <w:szCs w:val="24"/>
        </w:rPr>
        <w:t xml:space="preserve"> regler, hvorved der udpeges områder med drikkevandsressourcer</w:t>
      </w:r>
      <w:r>
        <w:rPr>
          <w:rFonts w:eastAsia="Calibri" w:cs="Times New Roman"/>
          <w:szCs w:val="24"/>
        </w:rPr>
        <w:t xml:space="preserve"> efter § 11 a, stk. 1, nr. 1-5</w:t>
      </w:r>
      <w:r w:rsidR="003B6A56">
        <w:rPr>
          <w:rFonts w:eastAsia="Calibri" w:cs="Times New Roman"/>
          <w:szCs w:val="24"/>
        </w:rPr>
        <w:t>. Udpegningerne udgør det juridiske grundlag for, hvor kommunerne skal udarbejde indsatsplaner efter vandforsyningslovens § 13, idet kommunerne inden for indsatsområdet skal vurdere behovet for at vedtage en særlig indsats over for en eventuel forurening af de grundvandsmagasiner, der udgør kommunernes drikkevandsressourcer.</w:t>
      </w:r>
    </w:p>
    <w:p w14:paraId="6B4E6C9F" w14:textId="2C9F1736" w:rsidR="003B6A56" w:rsidRDefault="003B6A56" w:rsidP="003B6A56">
      <w:pPr>
        <w:spacing w:after="240"/>
        <w:rPr>
          <w:rFonts w:eastAsia="Calibri" w:cs="Times New Roman"/>
          <w:szCs w:val="24"/>
        </w:rPr>
      </w:pPr>
      <w:r>
        <w:rPr>
          <w:rFonts w:eastAsia="Calibri" w:cs="Times New Roman"/>
          <w:szCs w:val="24"/>
        </w:rPr>
        <w:t>Miljøministeren fastsætter regler, hvorved der udpeges</w:t>
      </w:r>
      <w:r w:rsidR="00825A01">
        <w:rPr>
          <w:rFonts w:eastAsia="Calibri" w:cs="Times New Roman"/>
          <w:szCs w:val="24"/>
        </w:rPr>
        <w:t xml:space="preserve"> </w:t>
      </w:r>
      <w:r w:rsidR="00AC0749">
        <w:rPr>
          <w:rFonts w:eastAsia="Calibri" w:cs="Times New Roman"/>
          <w:szCs w:val="24"/>
        </w:rPr>
        <w:t>BNBO</w:t>
      </w:r>
      <w:r>
        <w:rPr>
          <w:rFonts w:eastAsia="Calibri" w:cs="Times New Roman"/>
          <w:szCs w:val="24"/>
        </w:rPr>
        <w:t>, der indvinder grundvand til almene vandforsyninger efter § 11 a, stk. 1, nr. 6. Vandforsyningslovens § 11 a, stk. 1, nr. 6</w:t>
      </w:r>
      <w:r w:rsidR="00000199">
        <w:rPr>
          <w:rFonts w:eastAsia="Calibri" w:cs="Times New Roman"/>
          <w:szCs w:val="24"/>
        </w:rPr>
        <w:t>,</w:t>
      </w:r>
      <w:r>
        <w:rPr>
          <w:rFonts w:eastAsia="Calibri" w:cs="Times New Roman"/>
          <w:szCs w:val="24"/>
        </w:rPr>
        <w:t xml:space="preserve"> er udmøntet i bekendtgørelse om udpegning af drikkevandsressourcer (herefter udpegningsbekendtgørelsen). Efter udpegningsbekendtgørelsens § 1, stk. 1, nr. 6, udpeges boringsnære beskyttelsesområder til boringer, der indvinder grundvand til almene vandforsyninger</w:t>
      </w:r>
      <w:r w:rsidR="00B81933">
        <w:rPr>
          <w:rFonts w:eastAsia="Calibri" w:cs="Times New Roman"/>
          <w:szCs w:val="24"/>
        </w:rPr>
        <w:t>.</w:t>
      </w:r>
      <w:r>
        <w:rPr>
          <w:rFonts w:eastAsia="Calibri" w:cs="Times New Roman"/>
          <w:szCs w:val="24"/>
        </w:rPr>
        <w:t xml:space="preserve"> </w:t>
      </w:r>
      <w:r w:rsidR="00B81933">
        <w:rPr>
          <w:rFonts w:eastAsia="Calibri" w:cs="Times New Roman"/>
          <w:szCs w:val="24"/>
        </w:rPr>
        <w:t>De udpegede boringsnære beskyttelsesområder fremgår af udpegningsbekendtgørelsens bilag 5.</w:t>
      </w:r>
    </w:p>
    <w:p w14:paraId="3AA9F06B" w14:textId="27FA58C5" w:rsidR="003B6A56" w:rsidRDefault="003B6A56" w:rsidP="003B6A56">
      <w:pPr>
        <w:spacing w:after="240"/>
        <w:rPr>
          <w:rFonts w:eastAsia="Calibri" w:cs="Times New Roman"/>
          <w:szCs w:val="24"/>
        </w:rPr>
      </w:pPr>
      <w:r>
        <w:rPr>
          <w:rFonts w:eastAsia="Calibri" w:cs="Times New Roman"/>
          <w:szCs w:val="24"/>
        </w:rPr>
        <w:t>De til enhver tid gældende områdeudpegninger fra udpegningsbekendtgørelsen offentliggøres på Danmarks Arealinformation</w:t>
      </w:r>
      <w:r w:rsidR="00B81933">
        <w:rPr>
          <w:rFonts w:eastAsia="Calibri" w:cs="Times New Roman"/>
          <w:szCs w:val="24"/>
        </w:rPr>
        <w:t>, Danmarks Miljøportal</w:t>
      </w:r>
      <w:r>
        <w:rPr>
          <w:rFonts w:eastAsia="Calibri" w:cs="Times New Roman"/>
          <w:szCs w:val="24"/>
        </w:rPr>
        <w:t xml:space="preserve"> og </w:t>
      </w:r>
      <w:proofErr w:type="spellStart"/>
      <w:r>
        <w:rPr>
          <w:rFonts w:eastAsia="Calibri" w:cs="Times New Roman"/>
          <w:szCs w:val="24"/>
        </w:rPr>
        <w:t>MiljøGIS</w:t>
      </w:r>
      <w:proofErr w:type="spellEnd"/>
      <w:r>
        <w:rPr>
          <w:rFonts w:eastAsia="Calibri" w:cs="Times New Roman"/>
          <w:szCs w:val="24"/>
        </w:rPr>
        <w:t xml:space="preserve"> – Grundvand.</w:t>
      </w:r>
    </w:p>
    <w:p w14:paraId="24791F00" w14:textId="44612C87" w:rsidR="003B6A56" w:rsidRDefault="003B6A56" w:rsidP="003B6A56">
      <w:pPr>
        <w:spacing w:after="240"/>
        <w:rPr>
          <w:rFonts w:eastAsia="Calibri" w:cs="Times New Roman"/>
          <w:szCs w:val="24"/>
        </w:rPr>
      </w:pPr>
      <w:r>
        <w:rPr>
          <w:rFonts w:eastAsia="Calibri" w:cs="Times New Roman"/>
          <w:szCs w:val="24"/>
        </w:rPr>
        <w:t>Udpegningsbekendtgørelsen opdateres</w:t>
      </w:r>
      <w:r w:rsidR="00B81933">
        <w:rPr>
          <w:rFonts w:eastAsia="Calibri" w:cs="Times New Roman"/>
          <w:szCs w:val="24"/>
        </w:rPr>
        <w:t xml:space="preserve"> ca. en gang</w:t>
      </w:r>
      <w:r>
        <w:rPr>
          <w:rFonts w:eastAsia="Calibri" w:cs="Times New Roman"/>
          <w:szCs w:val="24"/>
        </w:rPr>
        <w:t xml:space="preserve"> årligt i overensstemmelse med</w:t>
      </w:r>
      <w:r w:rsidR="00B81933">
        <w:rPr>
          <w:rFonts w:eastAsia="Calibri" w:cs="Times New Roman"/>
          <w:szCs w:val="24"/>
        </w:rPr>
        <w:t xml:space="preserve"> nyeste resultater fra grundvandskortlægningen og</w:t>
      </w:r>
      <w:r>
        <w:rPr>
          <w:rFonts w:eastAsia="Calibri" w:cs="Times New Roman"/>
          <w:szCs w:val="24"/>
        </w:rPr>
        <w:t xml:space="preserve"> nye afgrænsninger af de eksisterende områder eller genudpegninger af andre områder, heriblandt BNBO. Andre områder </w:t>
      </w:r>
      <w:r w:rsidR="00804BC4">
        <w:rPr>
          <w:rFonts w:eastAsia="Calibri" w:cs="Times New Roman"/>
          <w:szCs w:val="24"/>
        </w:rPr>
        <w:t xml:space="preserve">udpeget </w:t>
      </w:r>
      <w:r>
        <w:rPr>
          <w:rFonts w:eastAsia="Calibri" w:cs="Times New Roman"/>
          <w:szCs w:val="24"/>
        </w:rPr>
        <w:t>som drikkevandsressourcer som fremgår af udpegningsbekendtgørelsen</w:t>
      </w:r>
      <w:r w:rsidR="00B81933">
        <w:rPr>
          <w:rFonts w:eastAsia="Calibri" w:cs="Times New Roman"/>
          <w:szCs w:val="24"/>
        </w:rPr>
        <w:t xml:space="preserve"> er området med drikkevandsinteresser (OD), områder med særlige </w:t>
      </w:r>
      <w:r w:rsidR="00B81933">
        <w:rPr>
          <w:rFonts w:eastAsia="Calibri" w:cs="Times New Roman"/>
          <w:szCs w:val="24"/>
        </w:rPr>
        <w:lastRenderedPageBreak/>
        <w:t xml:space="preserve">drikkevandsinteresser (OSD), </w:t>
      </w:r>
      <w:proofErr w:type="spellStart"/>
      <w:r w:rsidR="00B81933">
        <w:rPr>
          <w:rFonts w:eastAsia="Calibri" w:cs="Times New Roman"/>
          <w:szCs w:val="24"/>
        </w:rPr>
        <w:t>indvindingsoplande</w:t>
      </w:r>
      <w:proofErr w:type="spellEnd"/>
      <w:r w:rsidR="00B81933">
        <w:rPr>
          <w:rFonts w:eastAsia="Calibri" w:cs="Times New Roman"/>
          <w:szCs w:val="24"/>
        </w:rPr>
        <w:t xml:space="preserve"> til almene vandforsyninger uden for OSD, følsomme indvindingsområder over for hhv. sprøjtemidler (SFI) og nitrat (NFI) og indsatsområder (IO)</w:t>
      </w:r>
      <w:r>
        <w:rPr>
          <w:rFonts w:eastAsia="Calibri" w:cs="Times New Roman"/>
          <w:szCs w:val="24"/>
        </w:rPr>
        <w:t>.</w:t>
      </w:r>
    </w:p>
    <w:p w14:paraId="55A70C94" w14:textId="40FE976A" w:rsidR="003B6A56" w:rsidRDefault="003B6A56" w:rsidP="003B6A56">
      <w:pPr>
        <w:spacing w:after="240"/>
        <w:rPr>
          <w:rFonts w:eastAsia="Calibri" w:cs="Times New Roman"/>
          <w:szCs w:val="24"/>
        </w:rPr>
      </w:pPr>
      <w:r>
        <w:rPr>
          <w:rFonts w:eastAsia="Calibri" w:cs="Times New Roman"/>
          <w:szCs w:val="24"/>
        </w:rPr>
        <w:t xml:space="preserve">Hvis der er væsentlige ændringer i indvindingsstrukturen, </w:t>
      </w:r>
      <w:r w:rsidR="00397E06">
        <w:rPr>
          <w:rFonts w:eastAsia="Calibri" w:cs="Times New Roman"/>
          <w:szCs w:val="24"/>
        </w:rPr>
        <w:t>h</w:t>
      </w:r>
      <w:r>
        <w:rPr>
          <w:rFonts w:eastAsia="Calibri" w:cs="Times New Roman"/>
          <w:szCs w:val="24"/>
        </w:rPr>
        <w:t>erunder ændret fordeling af indvinding mellem boringer, lukning af boringer eller etablering af nye boringer,</w:t>
      </w:r>
      <w:r w:rsidR="00B81933">
        <w:rPr>
          <w:rFonts w:eastAsia="Calibri" w:cs="Times New Roman"/>
          <w:szCs w:val="24"/>
        </w:rPr>
        <w:t xml:space="preserve"> vil Miljøstyrelsen påbegynde en ny grundvandskortlægning, </w:t>
      </w:r>
      <w:r w:rsidR="00397E06">
        <w:rPr>
          <w:rFonts w:eastAsia="Calibri" w:cs="Times New Roman"/>
          <w:szCs w:val="24"/>
        </w:rPr>
        <w:t>som</w:t>
      </w:r>
      <w:r w:rsidR="00B81933">
        <w:rPr>
          <w:rFonts w:eastAsia="Calibri" w:cs="Times New Roman"/>
          <w:szCs w:val="24"/>
        </w:rPr>
        <w:t xml:space="preserve"> kan resultere i en ny afgrænsning og udpeg</w:t>
      </w:r>
      <w:r w:rsidR="00B72E5B">
        <w:rPr>
          <w:rFonts w:eastAsia="Calibri" w:cs="Times New Roman"/>
          <w:szCs w:val="24"/>
        </w:rPr>
        <w:t>ning af BNBO</w:t>
      </w:r>
      <w:r>
        <w:rPr>
          <w:rFonts w:eastAsia="Calibri" w:cs="Times New Roman"/>
          <w:szCs w:val="24"/>
        </w:rPr>
        <w:t xml:space="preserve">. </w:t>
      </w:r>
      <w:r w:rsidR="00B72E5B">
        <w:rPr>
          <w:rFonts w:eastAsia="Calibri" w:cs="Times New Roman"/>
          <w:szCs w:val="24"/>
        </w:rPr>
        <w:t>For BNBO til sløjfede boringer vil disse udgå med førstkommende udpegningsbekendtgørelse, efter Miljøstyrelsen har fået kendskab til sløjfningen.</w:t>
      </w:r>
    </w:p>
    <w:p w14:paraId="049A71D8" w14:textId="77777777" w:rsidR="003B6A56" w:rsidRDefault="003B6A56" w:rsidP="003B6A56">
      <w:pPr>
        <w:spacing w:after="240"/>
        <w:rPr>
          <w:rFonts w:eastAsia="Calibri" w:cs="Times New Roman"/>
          <w:szCs w:val="24"/>
        </w:rPr>
      </w:pPr>
      <w:r>
        <w:rPr>
          <w:rFonts w:eastAsia="Calibri" w:cs="Times New Roman"/>
          <w:szCs w:val="24"/>
        </w:rPr>
        <w:t>Vandforsyningslovens § 11 c indeholder regler om offentlig annoncering af udkast til regler, hvorved der sker udpegninger efter bl.a. § 11 a, herunder en pligt til fastsættelse af en frist på mindst 8 uger for fremsættelse af indsigelser. Bestemmelsens stk. 2 fastsætter, at udkast til regler fastsat med hjemmel i § 11 a, stk. 1, skal ledsages af eventuelle miljørapporter udarbejdet efter reglerne i lov om miljøvurdering af planer og programmer.</w:t>
      </w:r>
    </w:p>
    <w:p w14:paraId="340E2A69" w14:textId="7044D72F" w:rsidR="003B6A56" w:rsidRDefault="003B6A56" w:rsidP="003B6A56">
      <w:pPr>
        <w:spacing w:after="240"/>
        <w:rPr>
          <w:rFonts w:eastAsia="Calibri" w:cs="Times New Roman"/>
          <w:szCs w:val="24"/>
        </w:rPr>
      </w:pPr>
      <w:r>
        <w:rPr>
          <w:rFonts w:eastAsia="Calibri" w:cs="Times New Roman"/>
          <w:szCs w:val="24"/>
        </w:rPr>
        <w:t>De statsligt udpegede BNBO foretage</w:t>
      </w:r>
      <w:r w:rsidR="00C37729">
        <w:rPr>
          <w:rFonts w:eastAsia="Calibri" w:cs="Times New Roman"/>
          <w:szCs w:val="24"/>
        </w:rPr>
        <w:t>s</w:t>
      </w:r>
      <w:r>
        <w:rPr>
          <w:rFonts w:eastAsia="Calibri" w:cs="Times New Roman"/>
          <w:szCs w:val="24"/>
        </w:rPr>
        <w:t xml:space="preserve"> efter retningslinjerne i Miljøstyrelsens</w:t>
      </w:r>
      <w:r w:rsidR="005A3B5B">
        <w:rPr>
          <w:rFonts w:eastAsia="Calibri" w:cs="Times New Roman"/>
          <w:szCs w:val="24"/>
        </w:rPr>
        <w:t xml:space="preserve"> vejledning om</w:t>
      </w:r>
      <w:r w:rsidR="00C37729">
        <w:rPr>
          <w:rFonts w:eastAsia="Calibri" w:cs="Times New Roman"/>
          <w:szCs w:val="24"/>
        </w:rPr>
        <w:t xml:space="preserve"> beregningsprocedure</w:t>
      </w:r>
      <w:r>
        <w:rPr>
          <w:rFonts w:eastAsia="Calibri" w:cs="Times New Roman"/>
          <w:szCs w:val="24"/>
        </w:rPr>
        <w:t xml:space="preserve"> om boringsnære beskyttelsesområder</w:t>
      </w:r>
      <w:r w:rsidR="00B72E5B">
        <w:rPr>
          <w:rFonts w:eastAsia="Calibri" w:cs="Times New Roman"/>
          <w:szCs w:val="24"/>
        </w:rPr>
        <w:t>, hvoraf den seneste version er fra 2020</w:t>
      </w:r>
      <w:r>
        <w:rPr>
          <w:rFonts w:eastAsia="Calibri" w:cs="Times New Roman"/>
          <w:szCs w:val="24"/>
        </w:rPr>
        <w:t>.</w:t>
      </w:r>
    </w:p>
    <w:p w14:paraId="309C9391" w14:textId="148AB258" w:rsidR="00BD1A57" w:rsidRDefault="00BD1A57" w:rsidP="003B6A56">
      <w:pPr>
        <w:spacing w:after="240"/>
        <w:rPr>
          <w:rFonts w:eastAsia="Calibri" w:cs="Times New Roman"/>
          <w:szCs w:val="24"/>
        </w:rPr>
      </w:pPr>
      <w:r>
        <w:rPr>
          <w:rFonts w:eastAsia="Calibri" w:cs="Times New Roman"/>
          <w:szCs w:val="24"/>
        </w:rPr>
        <w:t xml:space="preserve">Beregningen af den arealmæssige udstrækning af BNBO sker ud fra data om grundvandsmagasinets egenskaber og vandindvindingens størrelse. Det beregnede BNBO kan variere i udstrækning </w:t>
      </w:r>
      <w:r w:rsidR="00397E06">
        <w:rPr>
          <w:rFonts w:eastAsia="Calibri" w:cs="Times New Roman"/>
          <w:szCs w:val="24"/>
        </w:rPr>
        <w:t>alt</w:t>
      </w:r>
      <w:r>
        <w:rPr>
          <w:rFonts w:eastAsia="Calibri" w:cs="Times New Roman"/>
          <w:szCs w:val="24"/>
        </w:rPr>
        <w:t xml:space="preserve"> efter vandindvindingens størrelse samt naturgivne parametre, der beskriver grundvandsmagasinet, og den konkrete vurdering af BNBO skal afvejes efter geologiske, klimatiske og indvindingsmæssige forhold.</w:t>
      </w:r>
    </w:p>
    <w:p w14:paraId="1E7DC7CD" w14:textId="7C22C133" w:rsidR="003B6A56" w:rsidRDefault="003B6A56" w:rsidP="003B6A56">
      <w:pPr>
        <w:spacing w:after="240"/>
        <w:rPr>
          <w:rFonts w:eastAsia="Calibri" w:cs="Times New Roman"/>
          <w:szCs w:val="24"/>
        </w:rPr>
      </w:pPr>
      <w:r>
        <w:rPr>
          <w:rFonts w:eastAsia="Calibri" w:cs="Times New Roman"/>
          <w:szCs w:val="24"/>
        </w:rPr>
        <w:t xml:space="preserve">Vandforsyningsloven indeholder </w:t>
      </w:r>
      <w:r w:rsidR="00B63B43">
        <w:rPr>
          <w:rFonts w:eastAsia="Calibri" w:cs="Times New Roman"/>
          <w:szCs w:val="24"/>
        </w:rPr>
        <w:t>end</w:t>
      </w:r>
      <w:r>
        <w:rPr>
          <w:rFonts w:eastAsia="Calibri" w:cs="Times New Roman"/>
          <w:szCs w:val="24"/>
        </w:rPr>
        <w:t>videre § 13 e, hvoraf det følger, at miljøministeren kan fastsætte regler om, at kommunalbestyrelsen skal vurdere og indberette til Miljøministeriet om behovet for indsatser til beskyttelse af nuværende og fremtidige drikkevandsinteresser mod fare for forurening fra erhvervsmæssig anvendelse af pesticider udpeget i regler udstedt i medfør af § 11 a, stk. 1, nr. 6. Det følger videre, at miljøministeren kan fastsætte regler om, hvilke forhold der skal indgå i vurderingen, og hvilke oplysninger der skal indberettes, herunder oplysninger om beskyttelsesindsatser, som er iværksat eller planlagt.</w:t>
      </w:r>
    </w:p>
    <w:p w14:paraId="5A66CC27" w14:textId="5C5ACE8A" w:rsidR="003B6A56" w:rsidRDefault="003B6A56" w:rsidP="003B6A56">
      <w:pPr>
        <w:spacing w:after="240"/>
        <w:rPr>
          <w:rFonts w:eastAsia="Calibri" w:cs="Times New Roman"/>
          <w:szCs w:val="24"/>
        </w:rPr>
      </w:pPr>
      <w:r>
        <w:rPr>
          <w:rFonts w:eastAsia="Calibri" w:cs="Times New Roman"/>
          <w:szCs w:val="24"/>
        </w:rPr>
        <w:t>Bemyndigelsen i § 13 e er udmøntet i bekendtgørelse om vurdering af boringsnære beskyttelsesområder og indberetning (herefter BNBO-bekendtgørelsen)</w:t>
      </w:r>
      <w:r w:rsidR="002560F9">
        <w:rPr>
          <w:rFonts w:eastAsia="Calibri" w:cs="Times New Roman"/>
          <w:szCs w:val="24"/>
        </w:rPr>
        <w:t xml:space="preserve">. </w:t>
      </w:r>
      <w:r>
        <w:rPr>
          <w:rFonts w:eastAsia="Calibri" w:cs="Times New Roman"/>
          <w:szCs w:val="24"/>
        </w:rPr>
        <w:t xml:space="preserve">BNBO-bekendtgørelsen, der trådte i kraft den 1. januar </w:t>
      </w:r>
      <w:r>
        <w:rPr>
          <w:rFonts w:eastAsia="Calibri" w:cs="Times New Roman"/>
          <w:szCs w:val="24"/>
        </w:rPr>
        <w:lastRenderedPageBreak/>
        <w:t>2020 og automatisk blev ophævet den 31. december 2022</w:t>
      </w:r>
      <w:r w:rsidR="00B63B43">
        <w:rPr>
          <w:rFonts w:eastAsia="Calibri" w:cs="Times New Roman"/>
          <w:szCs w:val="24"/>
        </w:rPr>
        <w:t>,</w:t>
      </w:r>
      <w:r>
        <w:rPr>
          <w:rFonts w:eastAsia="Calibri" w:cs="Times New Roman"/>
          <w:szCs w:val="24"/>
        </w:rPr>
        <w:t xml:space="preserve"> fastsatte regler om kommunalbestyrelsens pligt til at vurdere BNBO og foretage digital indberetning herom til Miljøstyrelsen via Danmarks Arealinformation hvert år senest 1. oktober.</w:t>
      </w:r>
    </w:p>
    <w:p w14:paraId="34B2D55A" w14:textId="7D01F338" w:rsidR="003B6A56" w:rsidRDefault="003B6A56" w:rsidP="003B6A56">
      <w:pPr>
        <w:spacing w:after="240"/>
        <w:rPr>
          <w:rFonts w:eastAsia="Calibri" w:cs="Times New Roman"/>
          <w:szCs w:val="24"/>
        </w:rPr>
      </w:pPr>
      <w:r>
        <w:rPr>
          <w:rFonts w:eastAsia="Calibri" w:cs="Times New Roman"/>
          <w:szCs w:val="24"/>
        </w:rPr>
        <w:t xml:space="preserve">Fra 1. januar 2020 til og med 31. december 2022 har kommunerne været forpligtede til gennemgå de gældende </w:t>
      </w:r>
      <w:r w:rsidR="00EA3FF4">
        <w:rPr>
          <w:rFonts w:eastAsia="Calibri" w:cs="Times New Roman"/>
          <w:szCs w:val="24"/>
        </w:rPr>
        <w:t>BNBO</w:t>
      </w:r>
      <w:r>
        <w:rPr>
          <w:rFonts w:eastAsia="Calibri" w:cs="Times New Roman"/>
          <w:szCs w:val="24"/>
        </w:rPr>
        <w:t xml:space="preserve"> som de fremgår af udpegningsbekendtgørelsen med henblik på at vurdere behovet for indsatser til beskyttelse af nuværende og fremtidige drikkevandsinteresser mod fare fra forurening fra erhvervsmæssig anvendelse af pesticider efter § 2 i BNBO-bekendtgørelsen.</w:t>
      </w:r>
    </w:p>
    <w:p w14:paraId="3DA72FF0" w14:textId="50342AA5" w:rsidR="003B6A56" w:rsidRPr="003B6A56" w:rsidRDefault="003B6A56" w:rsidP="00FD1A50">
      <w:pPr>
        <w:spacing w:after="240"/>
        <w:rPr>
          <w:rFonts w:eastAsia="Calibri" w:cs="Times New Roman"/>
          <w:i/>
          <w:szCs w:val="24"/>
        </w:rPr>
      </w:pPr>
      <w:r>
        <w:rPr>
          <w:rFonts w:eastAsia="Calibri" w:cs="Times New Roman"/>
          <w:i/>
          <w:szCs w:val="24"/>
        </w:rPr>
        <w:t>3.1.1.2. Miljøbeskyttelsesloven</w:t>
      </w:r>
    </w:p>
    <w:p w14:paraId="3F765802" w14:textId="1C002801" w:rsidR="00033429" w:rsidRDefault="00626FE0" w:rsidP="00FD1A50">
      <w:pPr>
        <w:spacing w:after="240"/>
        <w:rPr>
          <w:rFonts w:eastAsia="Calibri" w:cs="Times New Roman"/>
          <w:szCs w:val="24"/>
        </w:rPr>
      </w:pPr>
      <w:r>
        <w:rPr>
          <w:rFonts w:eastAsia="Calibri" w:cs="Times New Roman"/>
          <w:szCs w:val="24"/>
        </w:rPr>
        <w:t>E</w:t>
      </w:r>
      <w:r w:rsidR="00156831">
        <w:rPr>
          <w:rFonts w:eastAsia="Calibri" w:cs="Times New Roman"/>
          <w:szCs w:val="24"/>
        </w:rPr>
        <w:t>fter § 33, nr. 1</w:t>
      </w:r>
      <w:r w:rsidR="00136F01">
        <w:rPr>
          <w:rFonts w:eastAsia="Calibri" w:cs="Times New Roman"/>
          <w:szCs w:val="24"/>
        </w:rPr>
        <w:t xml:space="preserve">, </w:t>
      </w:r>
      <w:r w:rsidR="00156831">
        <w:rPr>
          <w:rFonts w:eastAsia="Calibri" w:cs="Times New Roman"/>
          <w:szCs w:val="24"/>
        </w:rPr>
        <w:t>i lov om kemikalier, jf. lovbekendtgørelse nr. 244 af 17. februar 2022</w:t>
      </w:r>
      <w:r>
        <w:rPr>
          <w:rFonts w:eastAsia="Calibri" w:cs="Times New Roman"/>
          <w:szCs w:val="24"/>
        </w:rPr>
        <w:t xml:space="preserve"> forstås ved pesticider/bekæmpelsesmidler</w:t>
      </w:r>
      <w:r w:rsidR="00397E06">
        <w:rPr>
          <w:rFonts w:eastAsia="Calibri" w:cs="Times New Roman"/>
          <w:szCs w:val="24"/>
        </w:rPr>
        <w:t>,</w:t>
      </w:r>
      <w:r w:rsidR="00156831">
        <w:rPr>
          <w:rFonts w:eastAsia="Calibri" w:cs="Times New Roman"/>
          <w:szCs w:val="24"/>
        </w:rPr>
        <w:t xml:space="preserve"> plantebeskyttelsesmidler efter reglerne i Europa-Parlamentets og Rådets forordning (EF) nr. 1107/2009 af 21. oktober 2009 om markedsføring af plantebeskyttelsesmidler</w:t>
      </w:r>
      <w:r w:rsidR="00124A40">
        <w:rPr>
          <w:rFonts w:eastAsia="Calibri" w:cs="Times New Roman"/>
          <w:szCs w:val="24"/>
        </w:rPr>
        <w:t xml:space="preserve"> (plantebeskyttelsesmiddelforordningen)</w:t>
      </w:r>
      <w:r w:rsidR="00156831">
        <w:rPr>
          <w:rFonts w:eastAsia="Calibri" w:cs="Times New Roman"/>
          <w:szCs w:val="24"/>
        </w:rPr>
        <w:t xml:space="preserve"> og om ophævelse af Rådets direktiv</w:t>
      </w:r>
      <w:r>
        <w:rPr>
          <w:rFonts w:eastAsia="Calibri" w:cs="Times New Roman"/>
          <w:szCs w:val="24"/>
        </w:rPr>
        <w:t xml:space="preserve"> 79/117/EØF og 91/414/EØF. Pesticider og bekæmpelsesmidler er det samme</w:t>
      </w:r>
      <w:r w:rsidR="00124A40">
        <w:rPr>
          <w:rFonts w:eastAsia="Calibri" w:cs="Times New Roman"/>
          <w:szCs w:val="24"/>
        </w:rPr>
        <w:t xml:space="preserve">. </w:t>
      </w:r>
    </w:p>
    <w:p w14:paraId="70D8F266" w14:textId="488748D9" w:rsidR="00497C61" w:rsidRDefault="00124A40" w:rsidP="00FD1A50">
      <w:pPr>
        <w:spacing w:after="240"/>
        <w:rPr>
          <w:rFonts w:eastAsia="Calibri" w:cs="Times New Roman"/>
          <w:szCs w:val="24"/>
        </w:rPr>
      </w:pPr>
      <w:r>
        <w:rPr>
          <w:rFonts w:eastAsia="Calibri" w:cs="Times New Roman"/>
          <w:szCs w:val="24"/>
        </w:rPr>
        <w:t>E</w:t>
      </w:r>
      <w:r w:rsidR="00626FE0">
        <w:rPr>
          <w:rFonts w:eastAsia="Calibri" w:cs="Times New Roman"/>
          <w:szCs w:val="24"/>
        </w:rPr>
        <w:t>fter § 33, nr. 2 og 3</w:t>
      </w:r>
      <w:r w:rsidR="00136F01">
        <w:rPr>
          <w:rFonts w:eastAsia="Calibri" w:cs="Times New Roman"/>
          <w:szCs w:val="24"/>
        </w:rPr>
        <w:t>,</w:t>
      </w:r>
      <w:r w:rsidR="00626FE0">
        <w:rPr>
          <w:rFonts w:eastAsia="Calibri" w:cs="Times New Roman"/>
          <w:szCs w:val="24"/>
        </w:rPr>
        <w:t xml:space="preserve"> kan pesticider</w:t>
      </w:r>
      <w:r w:rsidR="00136F01">
        <w:rPr>
          <w:rFonts w:eastAsia="Calibri" w:cs="Times New Roman"/>
          <w:szCs w:val="24"/>
        </w:rPr>
        <w:t>/bekæmpelsesmidler</w:t>
      </w:r>
      <w:r w:rsidR="00626FE0">
        <w:rPr>
          <w:rFonts w:eastAsia="Calibri" w:cs="Times New Roman"/>
          <w:szCs w:val="24"/>
        </w:rPr>
        <w:t xml:space="preserve"> også være biocidmidler</w:t>
      </w:r>
      <w:r>
        <w:rPr>
          <w:rFonts w:eastAsia="Calibri" w:cs="Times New Roman"/>
          <w:szCs w:val="24"/>
        </w:rPr>
        <w:t xml:space="preserve"> omfattet af Europa-Parlamentets og Rådets forordning (EU) nr. 528/2012 af 22. maj 2012 om tilgængeliggørelse på markedet og anvendelse af biocidholdige produkter og biocidmidler omfattet af regler udstedt i medfør af § 35 i lov om kemikalier. </w:t>
      </w:r>
      <w:r w:rsidR="00136F01">
        <w:rPr>
          <w:rFonts w:eastAsia="Calibri" w:cs="Times New Roman"/>
          <w:szCs w:val="24"/>
        </w:rPr>
        <w:t>Biocider</w:t>
      </w:r>
      <w:r>
        <w:rPr>
          <w:rFonts w:eastAsia="Calibri" w:cs="Times New Roman"/>
          <w:szCs w:val="24"/>
        </w:rPr>
        <w:t xml:space="preserve"> </w:t>
      </w:r>
      <w:r w:rsidR="004C6626">
        <w:rPr>
          <w:rFonts w:eastAsia="Calibri" w:cs="Times New Roman"/>
          <w:szCs w:val="24"/>
        </w:rPr>
        <w:t>vil ikke være</w:t>
      </w:r>
      <w:r w:rsidR="00626FE0">
        <w:rPr>
          <w:rFonts w:eastAsia="Calibri" w:cs="Times New Roman"/>
          <w:szCs w:val="24"/>
        </w:rPr>
        <w:t xml:space="preserve"> omfattet af den foreslåede ordning. </w:t>
      </w:r>
    </w:p>
    <w:p w14:paraId="4A6A5B77" w14:textId="7A613AA7" w:rsidR="003D6FE1" w:rsidRDefault="003D6FE1" w:rsidP="00FD1A50">
      <w:pPr>
        <w:spacing w:after="240"/>
        <w:rPr>
          <w:rFonts w:eastAsia="Calibri" w:cs="Times New Roman"/>
          <w:szCs w:val="24"/>
        </w:rPr>
      </w:pPr>
      <w:r>
        <w:rPr>
          <w:rFonts w:eastAsia="Calibri" w:cs="Times New Roman"/>
          <w:szCs w:val="24"/>
        </w:rPr>
        <w:t>Miljøbeskyttelseslovens § 21 b etablerer en 25 meters beskyttelseszone omkring alle boringer, der indvinder grundvand til almene vandforsyninger. Inden for 25 meters beskyttelseszonen gælder et forbud mod anvendelse af</w:t>
      </w:r>
      <w:r w:rsidR="000F29DA">
        <w:rPr>
          <w:rFonts w:eastAsia="Calibri" w:cs="Times New Roman"/>
          <w:szCs w:val="24"/>
        </w:rPr>
        <w:t xml:space="preserve"> pesticider</w:t>
      </w:r>
      <w:r w:rsidR="00B72E5B">
        <w:rPr>
          <w:rFonts w:eastAsia="Calibri" w:cs="Times New Roman"/>
          <w:szCs w:val="24"/>
        </w:rPr>
        <w:t>, dyrkning og gødskning til erhvervsmæssige og offentlige formål</w:t>
      </w:r>
      <w:r>
        <w:rPr>
          <w:rFonts w:eastAsia="Calibri" w:cs="Times New Roman"/>
          <w:szCs w:val="24"/>
        </w:rPr>
        <w:t>.</w:t>
      </w:r>
      <w:r w:rsidR="00B63F30">
        <w:rPr>
          <w:rFonts w:eastAsia="Calibri" w:cs="Times New Roman"/>
          <w:szCs w:val="24"/>
        </w:rPr>
        <w:t xml:space="preserve"> </w:t>
      </w:r>
      <w:r w:rsidR="00C37729">
        <w:rPr>
          <w:rFonts w:eastAsia="Calibri" w:cs="Times New Roman"/>
          <w:szCs w:val="24"/>
        </w:rPr>
        <w:t>Da både form og størrelse af BNBO afhænger af de lokale</w:t>
      </w:r>
      <w:r w:rsidR="002560F9">
        <w:rPr>
          <w:rFonts w:eastAsia="Calibri" w:cs="Times New Roman"/>
          <w:szCs w:val="24"/>
        </w:rPr>
        <w:t>, herunder geologiske</w:t>
      </w:r>
      <w:r w:rsidR="00C37729">
        <w:rPr>
          <w:rFonts w:eastAsia="Calibri" w:cs="Times New Roman"/>
          <w:szCs w:val="24"/>
        </w:rPr>
        <w:t xml:space="preserve"> forhold</w:t>
      </w:r>
      <w:r w:rsidR="00171D74">
        <w:rPr>
          <w:rFonts w:eastAsia="Calibri" w:cs="Times New Roman"/>
          <w:szCs w:val="24"/>
        </w:rPr>
        <w:t xml:space="preserve">, </w:t>
      </w:r>
      <w:r w:rsidR="00C37729">
        <w:rPr>
          <w:rFonts w:eastAsia="Calibri" w:cs="Times New Roman"/>
          <w:szCs w:val="24"/>
        </w:rPr>
        <w:t xml:space="preserve">kan BNBO være </w:t>
      </w:r>
      <w:r w:rsidR="00171D74">
        <w:rPr>
          <w:rFonts w:eastAsia="Calibri" w:cs="Times New Roman"/>
          <w:szCs w:val="24"/>
        </w:rPr>
        <w:t>helt</w:t>
      </w:r>
      <w:r w:rsidR="00C37729">
        <w:rPr>
          <w:rFonts w:eastAsia="Calibri" w:cs="Times New Roman"/>
          <w:szCs w:val="24"/>
        </w:rPr>
        <w:t xml:space="preserve"> eller delvist dækket af 25 meter beskyttelseszonen. Ligeledes kan 25 meter beskyttelseszonen være</w:t>
      </w:r>
      <w:r w:rsidR="00171D74">
        <w:rPr>
          <w:rFonts w:eastAsia="Calibri" w:cs="Times New Roman"/>
          <w:szCs w:val="24"/>
        </w:rPr>
        <w:t xml:space="preserve"> helt eller delvist dækket af BNBO.</w:t>
      </w:r>
    </w:p>
    <w:p w14:paraId="44FC74B6" w14:textId="734B1136" w:rsidR="008D3C9D" w:rsidRDefault="008D3C9D" w:rsidP="008D3C9D">
      <w:pPr>
        <w:spacing w:after="240"/>
        <w:rPr>
          <w:rFonts w:eastAsia="Calibri" w:cs="Times New Roman"/>
          <w:szCs w:val="24"/>
        </w:rPr>
      </w:pPr>
      <w:r>
        <w:rPr>
          <w:rFonts w:eastAsia="Calibri" w:cs="Times New Roman"/>
          <w:szCs w:val="24"/>
        </w:rPr>
        <w:t>Efter miljøbeskyttelseslovens § 21 c, stk. 1, må der ikke</w:t>
      </w:r>
      <w:r w:rsidR="00F62AF8">
        <w:rPr>
          <w:rFonts w:eastAsia="Calibri" w:cs="Times New Roman"/>
          <w:szCs w:val="24"/>
        </w:rPr>
        <w:t xml:space="preserve"> inden for et boringsnært beskyttelsesområde, der er udpeget efter regler udstedt i medfør af § 11 a, stk. 1, nr. 6, i lov om vandforsyning, m</w:t>
      </w:r>
      <w:r w:rsidR="00AA5409">
        <w:rPr>
          <w:rFonts w:eastAsia="Calibri" w:cs="Times New Roman"/>
          <w:szCs w:val="24"/>
        </w:rPr>
        <w:t>.</w:t>
      </w:r>
      <w:r w:rsidR="00F62AF8">
        <w:rPr>
          <w:rFonts w:eastAsia="Calibri" w:cs="Times New Roman"/>
          <w:szCs w:val="24"/>
        </w:rPr>
        <w:t>v.,</w:t>
      </w:r>
      <w:r>
        <w:rPr>
          <w:rFonts w:eastAsia="Calibri" w:cs="Times New Roman"/>
          <w:szCs w:val="24"/>
        </w:rPr>
        <w:t xml:space="preserve"> til erhvervsmæssige og offentlige formål etableres nye vaskepladser eller ske opblanding af pesticider, påfyldning af </w:t>
      </w:r>
      <w:r w:rsidR="0067382E">
        <w:rPr>
          <w:rFonts w:eastAsia="Calibri" w:cs="Times New Roman"/>
          <w:szCs w:val="24"/>
        </w:rPr>
        <w:t xml:space="preserve">pesticider på pesticidsprøjter </w:t>
      </w:r>
      <w:r>
        <w:rPr>
          <w:rFonts w:eastAsia="Calibri" w:cs="Times New Roman"/>
          <w:szCs w:val="24"/>
        </w:rPr>
        <w:t xml:space="preserve">eller udvendig vask </w:t>
      </w:r>
      <w:r>
        <w:rPr>
          <w:rFonts w:eastAsia="Calibri" w:cs="Times New Roman"/>
          <w:szCs w:val="24"/>
        </w:rPr>
        <w:lastRenderedPageBreak/>
        <w:t xml:space="preserve">af </w:t>
      </w:r>
      <w:r w:rsidR="0067382E">
        <w:rPr>
          <w:rFonts w:eastAsia="Calibri" w:cs="Times New Roman"/>
          <w:szCs w:val="24"/>
        </w:rPr>
        <w:t>pesticid</w:t>
      </w:r>
      <w:r w:rsidR="00F62AF8">
        <w:rPr>
          <w:rFonts w:eastAsia="Calibri" w:cs="Times New Roman"/>
          <w:szCs w:val="24"/>
        </w:rPr>
        <w:t>sprøjter</w:t>
      </w:r>
      <w:r>
        <w:rPr>
          <w:rFonts w:eastAsia="Calibri" w:cs="Times New Roman"/>
          <w:szCs w:val="24"/>
        </w:rPr>
        <w:t>, traktorer og andet materiel, der har været anvendt til udbringning af</w:t>
      </w:r>
      <w:r w:rsidR="00F62AF8">
        <w:rPr>
          <w:rFonts w:eastAsia="Calibri" w:cs="Times New Roman"/>
          <w:szCs w:val="24"/>
        </w:rPr>
        <w:t xml:space="preserve"> pesticider</w:t>
      </w:r>
      <w:r>
        <w:rPr>
          <w:rFonts w:eastAsia="Calibri" w:cs="Times New Roman"/>
          <w:szCs w:val="24"/>
        </w:rPr>
        <w:t>.</w:t>
      </w:r>
    </w:p>
    <w:p w14:paraId="6B61FF7B" w14:textId="59ECC736" w:rsidR="00776788" w:rsidRDefault="00776788" w:rsidP="00FD1A50">
      <w:pPr>
        <w:spacing w:after="240"/>
        <w:rPr>
          <w:rFonts w:eastAsia="Calibri" w:cs="Times New Roman"/>
          <w:szCs w:val="24"/>
        </w:rPr>
      </w:pPr>
      <w:r>
        <w:rPr>
          <w:rFonts w:eastAsia="Calibri" w:cs="Times New Roman"/>
          <w:szCs w:val="24"/>
        </w:rPr>
        <w:t>I medfør af miljøbeskyttelseslovens § 24, stk. 1, kan kommunalbestyrelsen efter en konkret vurdering af forureningsfaren udstede påbud eller forbud, f.eks. om at anvendelsen af p</w:t>
      </w:r>
      <w:r w:rsidR="00F62AF8">
        <w:rPr>
          <w:rFonts w:eastAsia="Calibri" w:cs="Times New Roman"/>
          <w:szCs w:val="24"/>
        </w:rPr>
        <w:t>esticider</w:t>
      </w:r>
      <w:r>
        <w:rPr>
          <w:rFonts w:eastAsia="Calibri" w:cs="Times New Roman"/>
          <w:szCs w:val="24"/>
        </w:rPr>
        <w:t xml:space="preserve"> skal begrænses for at undgå fare for forurening af bestående eller fremtidige vandindvindingsanlæg.</w:t>
      </w:r>
    </w:p>
    <w:p w14:paraId="0432EAEC" w14:textId="36F95DBD" w:rsidR="00C24C3F" w:rsidRDefault="008C7741" w:rsidP="00FD1A50">
      <w:pPr>
        <w:spacing w:after="240"/>
        <w:rPr>
          <w:rFonts w:eastAsia="Calibri" w:cs="Times New Roman"/>
          <w:szCs w:val="24"/>
        </w:rPr>
      </w:pPr>
      <w:r>
        <w:rPr>
          <w:rFonts w:eastAsia="Calibri" w:cs="Times New Roman"/>
          <w:szCs w:val="24"/>
        </w:rPr>
        <w:t>Kommunalbestyrelsen kan f.eks. fastlægge såkaldte ”fredningsbælter”</w:t>
      </w:r>
      <w:r w:rsidR="007D43C8">
        <w:rPr>
          <w:rFonts w:eastAsia="Calibri" w:cs="Times New Roman"/>
          <w:szCs w:val="24"/>
        </w:rPr>
        <w:t xml:space="preserve"> på fremmed grund med forbud </w:t>
      </w:r>
      <w:r w:rsidR="00126A8D">
        <w:rPr>
          <w:rFonts w:eastAsia="Calibri" w:cs="Times New Roman"/>
          <w:szCs w:val="24"/>
        </w:rPr>
        <w:t>mod gødskning og anvendelse af p</w:t>
      </w:r>
      <w:r w:rsidR="00F62AF8">
        <w:rPr>
          <w:rFonts w:eastAsia="Calibri" w:cs="Times New Roman"/>
          <w:szCs w:val="24"/>
        </w:rPr>
        <w:t>esticider</w:t>
      </w:r>
      <w:r w:rsidR="00126A8D">
        <w:rPr>
          <w:rFonts w:eastAsia="Calibri" w:cs="Times New Roman"/>
          <w:szCs w:val="24"/>
        </w:rPr>
        <w:t xml:space="preserve"> m.v. omkring en vandindvindingsboring. Fredningsbælterne fastlægges typisk med</w:t>
      </w:r>
      <w:r w:rsidR="002560F9">
        <w:rPr>
          <w:rFonts w:eastAsia="Calibri" w:cs="Times New Roman"/>
          <w:szCs w:val="24"/>
        </w:rPr>
        <w:t xml:space="preserve"> en</w:t>
      </w:r>
      <w:r w:rsidR="00126A8D">
        <w:rPr>
          <w:rFonts w:eastAsia="Calibri" w:cs="Times New Roman"/>
          <w:szCs w:val="24"/>
        </w:rPr>
        <w:t xml:space="preserve"> radius på 10 meter.</w:t>
      </w:r>
    </w:p>
    <w:p w14:paraId="5D79A3BF" w14:textId="2013C9E6" w:rsidR="00CE6259" w:rsidRDefault="00CE6259" w:rsidP="00FD1A50">
      <w:pPr>
        <w:spacing w:after="240"/>
        <w:rPr>
          <w:rFonts w:eastAsia="Calibri" w:cs="Times New Roman"/>
          <w:szCs w:val="24"/>
        </w:rPr>
      </w:pPr>
      <w:r>
        <w:rPr>
          <w:rFonts w:eastAsia="Calibri" w:cs="Times New Roman"/>
          <w:szCs w:val="24"/>
        </w:rPr>
        <w:t xml:space="preserve">Kommunerne har </w:t>
      </w:r>
      <w:r w:rsidR="004A679E">
        <w:rPr>
          <w:rFonts w:eastAsia="Calibri" w:cs="Times New Roman"/>
          <w:szCs w:val="24"/>
        </w:rPr>
        <w:t xml:space="preserve">tidligere </w:t>
      </w:r>
      <w:r>
        <w:rPr>
          <w:rFonts w:eastAsia="Calibri" w:cs="Times New Roman"/>
          <w:szCs w:val="24"/>
        </w:rPr>
        <w:t>i nogle tilfælde endvidere afgrænset BNBO som en del af grundlaget for at vurdere, om der er behov for at give påbud eller nedlægge forbud med hjemmel i miljøbeskyttelseslovens § 24, stk. 1, idet BNBO som nærhedszone til vandforsyningen, er et sårbart område. Da der inden for dette område er relativt kort strømningstid til en indvindingsboring, kan det være vanskeligt at foretage afværgeforanstaltninger i t</w:t>
      </w:r>
      <w:r w:rsidR="00A11AF6">
        <w:rPr>
          <w:rFonts w:eastAsia="Calibri" w:cs="Times New Roman"/>
          <w:szCs w:val="24"/>
        </w:rPr>
        <w:t xml:space="preserve">ilfælde af en eventuel forurening, før denne når selve boringen. </w:t>
      </w:r>
    </w:p>
    <w:p w14:paraId="54F49ED2" w14:textId="72EF2805" w:rsidR="006430FC" w:rsidRDefault="001B6A23" w:rsidP="00FD1A50">
      <w:pPr>
        <w:spacing w:after="240"/>
        <w:rPr>
          <w:rFonts w:eastAsia="Calibri" w:cs="Times New Roman"/>
          <w:szCs w:val="24"/>
        </w:rPr>
      </w:pPr>
      <w:r>
        <w:rPr>
          <w:rFonts w:eastAsia="Calibri" w:cs="Times New Roman"/>
          <w:szCs w:val="24"/>
        </w:rPr>
        <w:t xml:space="preserve">Kommunalbestyrelsen kan endvidere efter en konkret vurdering </w:t>
      </w:r>
      <w:r w:rsidR="002560F9">
        <w:rPr>
          <w:rFonts w:eastAsia="Calibri" w:cs="Times New Roman"/>
          <w:szCs w:val="24"/>
        </w:rPr>
        <w:t xml:space="preserve">gennemføre tvungne </w:t>
      </w:r>
      <w:r w:rsidR="0000784D">
        <w:rPr>
          <w:rFonts w:eastAsia="Calibri" w:cs="Times New Roman"/>
          <w:szCs w:val="24"/>
        </w:rPr>
        <w:t>rådighedsindskrænkninger</w:t>
      </w:r>
      <w:r w:rsidR="002560F9">
        <w:rPr>
          <w:rFonts w:eastAsia="Calibri" w:cs="Times New Roman"/>
          <w:szCs w:val="24"/>
        </w:rPr>
        <w:t xml:space="preserve"> mod fuld</w:t>
      </w:r>
      <w:r w:rsidR="001667D7">
        <w:rPr>
          <w:rFonts w:eastAsia="Calibri" w:cs="Times New Roman"/>
          <w:szCs w:val="24"/>
        </w:rPr>
        <w:t>stændig</w:t>
      </w:r>
      <w:r w:rsidR="002560F9">
        <w:rPr>
          <w:rFonts w:eastAsia="Calibri" w:cs="Times New Roman"/>
          <w:szCs w:val="24"/>
        </w:rPr>
        <w:t xml:space="preserve"> erstatning</w:t>
      </w:r>
      <w:r w:rsidR="0000784D">
        <w:rPr>
          <w:rFonts w:eastAsia="Calibri" w:cs="Times New Roman"/>
          <w:szCs w:val="24"/>
        </w:rPr>
        <w:t xml:space="preserve"> i medfør af miljøbeskyttelseslovens § 26 a, stk. 1, hvis der ikke kan opnås en frivillig aftale på rimelige vilkår</w:t>
      </w:r>
      <w:r w:rsidR="00AB7207">
        <w:rPr>
          <w:rFonts w:eastAsia="Calibri" w:cs="Times New Roman"/>
          <w:szCs w:val="24"/>
        </w:rPr>
        <w:t xml:space="preserve">, forudsat at der er vedtaget en indsatsplan for området efter vandforsyningslovens relevante </w:t>
      </w:r>
      <w:r w:rsidR="00AF6A64">
        <w:rPr>
          <w:rFonts w:eastAsia="Calibri" w:cs="Times New Roman"/>
          <w:szCs w:val="24"/>
        </w:rPr>
        <w:t>bestemmelser herom, jf. vandforsyningslovens § 13, stk. 1</w:t>
      </w:r>
      <w:r w:rsidR="00136F01">
        <w:rPr>
          <w:rFonts w:eastAsia="Calibri" w:cs="Times New Roman"/>
          <w:szCs w:val="24"/>
        </w:rPr>
        <w:t>,</w:t>
      </w:r>
      <w:r w:rsidR="00AF6A64">
        <w:rPr>
          <w:rFonts w:eastAsia="Calibri" w:cs="Times New Roman"/>
          <w:szCs w:val="24"/>
        </w:rPr>
        <w:t xml:space="preserve"> og § 13 a, stk. 1.</w:t>
      </w:r>
      <w:r w:rsidR="003977C7">
        <w:rPr>
          <w:rFonts w:eastAsia="Calibri" w:cs="Times New Roman"/>
          <w:szCs w:val="24"/>
        </w:rPr>
        <w:t xml:space="preserve"> Et påbud om rådighedsindskrænkninger efter § 26 a vil således kunne anvendes til at forbyde erhvervsmæssig anvendelse af</w:t>
      </w:r>
      <w:r w:rsidR="00AB2E72">
        <w:rPr>
          <w:rFonts w:eastAsia="Calibri" w:cs="Times New Roman"/>
          <w:szCs w:val="24"/>
        </w:rPr>
        <w:t xml:space="preserve"> </w:t>
      </w:r>
      <w:r w:rsidR="00340533">
        <w:rPr>
          <w:rFonts w:eastAsia="Calibri" w:cs="Times New Roman"/>
          <w:szCs w:val="24"/>
        </w:rPr>
        <w:t xml:space="preserve">pesticider </w:t>
      </w:r>
      <w:r w:rsidR="003977C7">
        <w:rPr>
          <w:rFonts w:eastAsia="Calibri" w:cs="Times New Roman"/>
          <w:szCs w:val="24"/>
        </w:rPr>
        <w:t xml:space="preserve">inden for BNBO i det omfang, et BNBO er beliggende i et indsatsområde, og der foreligger en indsatsplan. </w:t>
      </w:r>
    </w:p>
    <w:p w14:paraId="472B8581" w14:textId="78FAF473" w:rsidR="00AC2C62" w:rsidRDefault="00CB5022" w:rsidP="00FD1A50">
      <w:pPr>
        <w:spacing w:after="240"/>
        <w:rPr>
          <w:rFonts w:eastAsia="Calibri" w:cs="Times New Roman"/>
          <w:szCs w:val="24"/>
        </w:rPr>
      </w:pPr>
      <w:r>
        <w:rPr>
          <w:rFonts w:eastAsia="Calibri" w:cs="Times New Roman"/>
          <w:szCs w:val="24"/>
        </w:rPr>
        <w:t>Det følger af § 26 a, stk. 2, at miljøministeren fastsætter nærmere regler for, i hvilke tilfælde og på hvilket dokumentationsgrundlag der kan meddeles pålæg efter stk. 1.</w:t>
      </w:r>
    </w:p>
    <w:p w14:paraId="32CB4A82" w14:textId="09027B6F" w:rsidR="00C55BAD" w:rsidRDefault="00C55BAD" w:rsidP="00FD1A50">
      <w:pPr>
        <w:spacing w:after="240"/>
        <w:rPr>
          <w:rFonts w:eastAsia="Calibri" w:cs="Times New Roman"/>
          <w:szCs w:val="24"/>
        </w:rPr>
      </w:pPr>
      <w:r>
        <w:rPr>
          <w:rFonts w:eastAsia="Calibri" w:cs="Times New Roman"/>
          <w:szCs w:val="24"/>
        </w:rPr>
        <w:t>Efter § 26 a, stk. 3</w:t>
      </w:r>
      <w:r w:rsidR="00136F01">
        <w:rPr>
          <w:rFonts w:eastAsia="Calibri" w:cs="Times New Roman"/>
          <w:szCs w:val="24"/>
        </w:rPr>
        <w:t>,</w:t>
      </w:r>
      <w:r>
        <w:rPr>
          <w:rFonts w:eastAsia="Calibri" w:cs="Times New Roman"/>
          <w:szCs w:val="24"/>
        </w:rPr>
        <w:t xml:space="preserve"> finder reglerne i §§ 99-102 i lov om offentlige veje tilsvarende anvendelse i forbindelse med gennemførelse af pålæg efter stk. 1, idet det dog er kommunalbestyrelsen, der udfører de opgaver, som er tillagt vejbestyrelsen i henhold til lov om offentlige veje</w:t>
      </w:r>
      <w:r w:rsidR="009F6C1B">
        <w:rPr>
          <w:rFonts w:eastAsia="Calibri" w:cs="Times New Roman"/>
          <w:szCs w:val="24"/>
        </w:rPr>
        <w:t>, som beskriver</w:t>
      </w:r>
      <w:r w:rsidR="005A3B5B">
        <w:rPr>
          <w:rFonts w:eastAsia="Calibri" w:cs="Times New Roman"/>
          <w:szCs w:val="24"/>
        </w:rPr>
        <w:t xml:space="preserve"> forberedelser og undersøgelser i § 99, ekspropriationens gennemførelse i §</w:t>
      </w:r>
      <w:r w:rsidR="003E3B51">
        <w:rPr>
          <w:rFonts w:eastAsia="Calibri" w:cs="Times New Roman"/>
          <w:szCs w:val="24"/>
        </w:rPr>
        <w:t>§</w:t>
      </w:r>
      <w:r w:rsidR="005A3B5B">
        <w:rPr>
          <w:rFonts w:eastAsia="Calibri" w:cs="Times New Roman"/>
          <w:szCs w:val="24"/>
        </w:rPr>
        <w:t xml:space="preserve"> 100 og 101 og ekspropriationsbeslutning i § 102</w:t>
      </w:r>
      <w:r w:rsidR="00DC4218">
        <w:rPr>
          <w:rFonts w:eastAsia="Calibri" w:cs="Times New Roman"/>
          <w:szCs w:val="24"/>
        </w:rPr>
        <w:t>.</w:t>
      </w:r>
    </w:p>
    <w:p w14:paraId="1A8269B2" w14:textId="63C49B16" w:rsidR="00786EEA" w:rsidRDefault="00786EEA" w:rsidP="00FD1A50">
      <w:pPr>
        <w:spacing w:after="240"/>
        <w:rPr>
          <w:rFonts w:eastAsia="Calibri" w:cs="Times New Roman"/>
          <w:szCs w:val="24"/>
        </w:rPr>
      </w:pPr>
      <w:r>
        <w:rPr>
          <w:rFonts w:eastAsia="Calibri" w:cs="Times New Roman"/>
          <w:szCs w:val="24"/>
        </w:rPr>
        <w:lastRenderedPageBreak/>
        <w:t>I medfør af § 26 a, stk. 4</w:t>
      </w:r>
      <w:r w:rsidR="00136F01">
        <w:rPr>
          <w:rFonts w:eastAsia="Calibri" w:cs="Times New Roman"/>
          <w:szCs w:val="24"/>
        </w:rPr>
        <w:t>,</w:t>
      </w:r>
      <w:r>
        <w:rPr>
          <w:rFonts w:eastAsia="Calibri" w:cs="Times New Roman"/>
          <w:szCs w:val="24"/>
        </w:rPr>
        <w:t xml:space="preserve"> skal kommunalbestyrelsens pålæg af rådighedsindskrænkninger eller andre foranstaltninger efter stk. 1 respekteres af indehaveren af enhver rettighed over ejendommen, medmindre andet bestemmes i det enkelte tilfælde.</w:t>
      </w:r>
    </w:p>
    <w:p w14:paraId="0C25A7BE" w14:textId="780A3329" w:rsidR="00F04742" w:rsidRDefault="00786EEA" w:rsidP="00FD1A50">
      <w:pPr>
        <w:spacing w:after="240"/>
        <w:rPr>
          <w:rFonts w:eastAsia="Calibri" w:cs="Times New Roman"/>
          <w:szCs w:val="24"/>
        </w:rPr>
      </w:pPr>
      <w:r>
        <w:rPr>
          <w:rFonts w:eastAsia="Calibri" w:cs="Times New Roman"/>
          <w:szCs w:val="24"/>
        </w:rPr>
        <w:t>Kommunalbestyrelsen kan for ejerens regning lade et pålæg tinglyse på ejendommen efter § 26 a, stk. 5. Hvis pålægget bortfalder, skal kommunalbestyrelsen lade pålægget aflyse fra tingbogen.</w:t>
      </w:r>
    </w:p>
    <w:p w14:paraId="6440914E" w14:textId="3F46198E" w:rsidR="005832EE" w:rsidRDefault="005832EE" w:rsidP="00FD1A50">
      <w:pPr>
        <w:spacing w:after="240"/>
        <w:rPr>
          <w:rFonts w:eastAsia="Calibri" w:cs="Times New Roman"/>
          <w:szCs w:val="24"/>
        </w:rPr>
      </w:pPr>
      <w:r>
        <w:rPr>
          <w:rFonts w:eastAsia="Calibri" w:cs="Times New Roman"/>
          <w:szCs w:val="24"/>
        </w:rPr>
        <w:t>I medfør af § 110, stk. 1, nr. 2</w:t>
      </w:r>
      <w:r w:rsidR="00136F01">
        <w:rPr>
          <w:rFonts w:eastAsia="Calibri" w:cs="Times New Roman"/>
          <w:szCs w:val="24"/>
        </w:rPr>
        <w:t>,</w:t>
      </w:r>
      <w:r>
        <w:rPr>
          <w:rFonts w:eastAsia="Calibri" w:cs="Times New Roman"/>
          <w:szCs w:val="24"/>
        </w:rPr>
        <w:t xml:space="preserve"> straffes med bøde den, der undlader at efterkomme forbud eller påbud efter loven, herunder påbud om at berigtige et ulovligt forhold eller pålæg efter § 26 a, medmindre højere straf er forskyldt efter den øvrige lovgivning.</w:t>
      </w:r>
    </w:p>
    <w:p w14:paraId="0F4BD9A2" w14:textId="4D301E6C" w:rsidR="00C833EC" w:rsidRPr="0011549A" w:rsidRDefault="00312B0C" w:rsidP="00FD1A50">
      <w:pPr>
        <w:spacing w:after="240"/>
        <w:rPr>
          <w:rFonts w:eastAsia="Calibri" w:cs="Times New Roman"/>
          <w:i/>
          <w:szCs w:val="24"/>
        </w:rPr>
      </w:pPr>
      <w:bookmarkStart w:id="2" w:name="_Hlk149394533"/>
      <w:r>
        <w:rPr>
          <w:rFonts w:eastAsia="Calibri" w:cs="Times New Roman"/>
          <w:i/>
          <w:szCs w:val="24"/>
        </w:rPr>
        <w:t>3</w:t>
      </w:r>
      <w:r w:rsidR="00FD1A50" w:rsidRPr="00355A20">
        <w:rPr>
          <w:rFonts w:eastAsia="Calibri" w:cs="Times New Roman"/>
          <w:i/>
          <w:szCs w:val="24"/>
        </w:rPr>
        <w:t xml:space="preserve">.1.2. </w:t>
      </w:r>
      <w:r w:rsidR="00B64B0E" w:rsidRPr="00355A20">
        <w:rPr>
          <w:rFonts w:eastAsia="Calibri" w:cs="Times New Roman"/>
          <w:i/>
          <w:szCs w:val="24"/>
        </w:rPr>
        <w:t>Miljø</w:t>
      </w:r>
      <w:r w:rsidR="00FD1A50" w:rsidRPr="00355A20">
        <w:rPr>
          <w:rFonts w:eastAsia="Calibri" w:cs="Times New Roman"/>
          <w:i/>
          <w:szCs w:val="24"/>
        </w:rPr>
        <w:t>ministeriets overvejelser</w:t>
      </w:r>
      <w:r w:rsidR="005B6786" w:rsidRPr="00355A20">
        <w:rPr>
          <w:rFonts w:eastAsia="Calibri" w:cs="Times New Roman"/>
          <w:i/>
          <w:szCs w:val="24"/>
        </w:rPr>
        <w:t xml:space="preserve"> og den foreslåede ordning</w:t>
      </w:r>
    </w:p>
    <w:bookmarkEnd w:id="2"/>
    <w:p w14:paraId="620BB689" w14:textId="73750CF7" w:rsidR="00207066" w:rsidRDefault="00DF334C" w:rsidP="00FD1A50">
      <w:pPr>
        <w:spacing w:after="240"/>
        <w:rPr>
          <w:rFonts w:eastAsia="Calibri" w:cs="Times New Roman"/>
          <w:szCs w:val="24"/>
        </w:rPr>
      </w:pPr>
      <w:r>
        <w:rPr>
          <w:rFonts w:eastAsia="Calibri" w:cs="Times New Roman"/>
          <w:szCs w:val="24"/>
        </w:rPr>
        <w:t xml:space="preserve">Med henblik på at gennemføre regeringens akutplan for beskyttelse af BNBO, som fremgår af regeringsgrundlaget </w:t>
      </w:r>
      <w:r>
        <w:rPr>
          <w:rFonts w:eastAsia="Calibri" w:cs="Times New Roman"/>
          <w:i/>
          <w:szCs w:val="24"/>
        </w:rPr>
        <w:t>Ansvar for Danmark</w:t>
      </w:r>
      <w:r w:rsidR="00397E06">
        <w:rPr>
          <w:rFonts w:eastAsia="Calibri" w:cs="Times New Roman"/>
          <w:i/>
          <w:szCs w:val="24"/>
        </w:rPr>
        <w:t>,</w:t>
      </w:r>
      <w:r>
        <w:rPr>
          <w:rFonts w:eastAsia="Calibri" w:cs="Times New Roman"/>
          <w:i/>
          <w:szCs w:val="24"/>
        </w:rPr>
        <w:t xml:space="preserve"> </w:t>
      </w:r>
      <w:r w:rsidR="0066289F">
        <w:rPr>
          <w:rFonts w:eastAsia="Calibri" w:cs="Times New Roman"/>
          <w:szCs w:val="24"/>
        </w:rPr>
        <w:t>foreslås der med forslaget til en ny § 24 a, at kommunalbestyrelsen skal</w:t>
      </w:r>
      <w:r w:rsidR="00A05791">
        <w:rPr>
          <w:rFonts w:eastAsia="Calibri" w:cs="Times New Roman"/>
          <w:szCs w:val="24"/>
        </w:rPr>
        <w:t xml:space="preserve"> meddele påbud eller forbud mod</w:t>
      </w:r>
      <w:r w:rsidR="00626FE0">
        <w:rPr>
          <w:rFonts w:eastAsia="Calibri" w:cs="Times New Roman"/>
          <w:szCs w:val="24"/>
        </w:rPr>
        <w:t xml:space="preserve"> en ellers lovlig</w:t>
      </w:r>
      <w:r w:rsidR="00A05791">
        <w:rPr>
          <w:rFonts w:eastAsia="Calibri" w:cs="Times New Roman"/>
          <w:szCs w:val="24"/>
        </w:rPr>
        <w:t xml:space="preserve"> erhvervsmæssig anvendelse af pesticider</w:t>
      </w:r>
      <w:r w:rsidR="0066289F">
        <w:rPr>
          <w:rFonts w:eastAsia="Calibri" w:cs="Times New Roman"/>
          <w:szCs w:val="24"/>
        </w:rPr>
        <w:t>, når der ifølge en risikovurdering foretaget efter regler udstedt i medfør af § 13 e i lov om vandforsyning m</w:t>
      </w:r>
      <w:r w:rsidR="00AA5409">
        <w:rPr>
          <w:rFonts w:eastAsia="Calibri" w:cs="Times New Roman"/>
          <w:szCs w:val="24"/>
        </w:rPr>
        <w:t>.</w:t>
      </w:r>
      <w:r w:rsidR="0066289F">
        <w:rPr>
          <w:rFonts w:eastAsia="Calibri" w:cs="Times New Roman"/>
          <w:szCs w:val="24"/>
        </w:rPr>
        <w:t>v., er behov for indsatser til beskyttelse af drikkevandsinteresser mod fare for forurening fra erhvervsmæssig anvendelse af p</w:t>
      </w:r>
      <w:r w:rsidR="00F62AF8">
        <w:rPr>
          <w:rFonts w:eastAsia="Calibri" w:cs="Times New Roman"/>
          <w:szCs w:val="24"/>
        </w:rPr>
        <w:t>esticider</w:t>
      </w:r>
      <w:r w:rsidR="0066289F">
        <w:rPr>
          <w:rFonts w:eastAsia="Calibri" w:cs="Times New Roman"/>
          <w:szCs w:val="24"/>
        </w:rPr>
        <w:t xml:space="preserve"> i </w:t>
      </w:r>
      <w:r w:rsidR="00626FE0">
        <w:rPr>
          <w:rFonts w:eastAsia="Calibri" w:cs="Times New Roman"/>
          <w:szCs w:val="24"/>
        </w:rPr>
        <w:t xml:space="preserve">BNBO </w:t>
      </w:r>
      <w:r w:rsidR="0066289F">
        <w:rPr>
          <w:rFonts w:eastAsia="Calibri" w:cs="Times New Roman"/>
          <w:szCs w:val="24"/>
        </w:rPr>
        <w:t>udpeget efter regler udstedt i medfør af § 11 a, stk. 1, nr. 6, i lov om vandforsyning m</w:t>
      </w:r>
      <w:r w:rsidR="00AA5409">
        <w:rPr>
          <w:rFonts w:eastAsia="Calibri" w:cs="Times New Roman"/>
          <w:szCs w:val="24"/>
        </w:rPr>
        <w:t>.</w:t>
      </w:r>
      <w:r w:rsidR="0066289F">
        <w:rPr>
          <w:rFonts w:eastAsia="Calibri" w:cs="Times New Roman"/>
          <w:szCs w:val="24"/>
        </w:rPr>
        <w:t xml:space="preserve">v., </w:t>
      </w:r>
      <w:r w:rsidR="00A05791">
        <w:rPr>
          <w:rFonts w:eastAsia="Calibri" w:cs="Times New Roman"/>
          <w:szCs w:val="24"/>
        </w:rPr>
        <w:t xml:space="preserve">og </w:t>
      </w:r>
      <w:r w:rsidR="0066289F">
        <w:rPr>
          <w:rFonts w:eastAsia="Calibri" w:cs="Times New Roman"/>
          <w:szCs w:val="24"/>
        </w:rPr>
        <w:t>hvis der ikke kan opnås en aftale herom på rimelige vilkår efter</w:t>
      </w:r>
      <w:r w:rsidR="00E8505E">
        <w:rPr>
          <w:rFonts w:eastAsia="Calibri" w:cs="Times New Roman"/>
          <w:szCs w:val="24"/>
        </w:rPr>
        <w:t xml:space="preserve"> den foreslåede</w:t>
      </w:r>
      <w:r w:rsidR="0066289F">
        <w:rPr>
          <w:rFonts w:eastAsia="Calibri" w:cs="Times New Roman"/>
          <w:szCs w:val="24"/>
        </w:rPr>
        <w:t xml:space="preserve"> § 13 </w:t>
      </w:r>
      <w:r w:rsidR="00E8505E">
        <w:rPr>
          <w:rFonts w:eastAsia="Calibri" w:cs="Times New Roman"/>
          <w:szCs w:val="24"/>
        </w:rPr>
        <w:t>f</w:t>
      </w:r>
      <w:r w:rsidR="0066289F">
        <w:rPr>
          <w:rFonts w:eastAsia="Calibri" w:cs="Times New Roman"/>
          <w:szCs w:val="24"/>
        </w:rPr>
        <w:t xml:space="preserve"> i lov om vandforsyning m</w:t>
      </w:r>
      <w:r w:rsidR="00AA5409">
        <w:rPr>
          <w:rFonts w:eastAsia="Calibri" w:cs="Times New Roman"/>
          <w:szCs w:val="24"/>
        </w:rPr>
        <w:t>.</w:t>
      </w:r>
      <w:r w:rsidR="0066289F">
        <w:rPr>
          <w:rFonts w:eastAsia="Calibri" w:cs="Times New Roman"/>
          <w:szCs w:val="24"/>
        </w:rPr>
        <w:t xml:space="preserve">v. </w:t>
      </w:r>
    </w:p>
    <w:p w14:paraId="470C383A" w14:textId="5D489076" w:rsidR="00D41DEC" w:rsidRDefault="00045F48" w:rsidP="00FD1A50">
      <w:pPr>
        <w:spacing w:after="240"/>
        <w:rPr>
          <w:rFonts w:eastAsia="Calibri" w:cs="Times New Roman"/>
          <w:szCs w:val="24"/>
        </w:rPr>
      </w:pPr>
      <w:r>
        <w:rPr>
          <w:rFonts w:eastAsia="Calibri" w:cs="Times New Roman"/>
          <w:szCs w:val="24"/>
        </w:rPr>
        <w:t>Kommunerne</w:t>
      </w:r>
      <w:r w:rsidR="00CF1A9B">
        <w:rPr>
          <w:rFonts w:eastAsia="Calibri" w:cs="Times New Roman"/>
          <w:szCs w:val="24"/>
        </w:rPr>
        <w:t xml:space="preserve">s </w:t>
      </w:r>
      <w:r w:rsidR="0040159A">
        <w:rPr>
          <w:rFonts w:eastAsia="Calibri" w:cs="Times New Roman"/>
          <w:szCs w:val="24"/>
        </w:rPr>
        <w:t xml:space="preserve">pligt til at </w:t>
      </w:r>
      <w:r w:rsidR="00CF1A9B">
        <w:rPr>
          <w:rFonts w:eastAsia="Calibri" w:cs="Times New Roman"/>
          <w:szCs w:val="24"/>
        </w:rPr>
        <w:t>vurder</w:t>
      </w:r>
      <w:r w:rsidR="0040159A">
        <w:rPr>
          <w:rFonts w:eastAsia="Calibri" w:cs="Times New Roman"/>
          <w:szCs w:val="24"/>
        </w:rPr>
        <w:t xml:space="preserve">e </w:t>
      </w:r>
      <w:r>
        <w:rPr>
          <w:rFonts w:eastAsia="Calibri" w:cs="Times New Roman"/>
          <w:szCs w:val="24"/>
        </w:rPr>
        <w:t>behovet for indsatser til beskyttelse af nuværende og fremtidige drikkevandsinteresser mod fare f</w:t>
      </w:r>
      <w:r w:rsidR="00A44381">
        <w:rPr>
          <w:rFonts w:eastAsia="Calibri" w:cs="Times New Roman"/>
          <w:szCs w:val="24"/>
        </w:rPr>
        <w:t>ra</w:t>
      </w:r>
      <w:r>
        <w:rPr>
          <w:rFonts w:eastAsia="Calibri" w:cs="Times New Roman"/>
          <w:szCs w:val="24"/>
        </w:rPr>
        <w:t xml:space="preserve"> </w:t>
      </w:r>
      <w:r w:rsidR="00A44381">
        <w:rPr>
          <w:rFonts w:eastAsia="Calibri" w:cs="Times New Roman"/>
          <w:szCs w:val="24"/>
        </w:rPr>
        <w:t xml:space="preserve">forurening fra </w:t>
      </w:r>
      <w:r>
        <w:rPr>
          <w:rFonts w:eastAsia="Calibri" w:cs="Times New Roman"/>
          <w:szCs w:val="24"/>
        </w:rPr>
        <w:t xml:space="preserve">erhvervsmæssig anvendelse af </w:t>
      </w:r>
      <w:r w:rsidR="00A44381">
        <w:rPr>
          <w:rFonts w:eastAsia="Calibri" w:cs="Times New Roman"/>
          <w:szCs w:val="24"/>
        </w:rPr>
        <w:t>pesticider</w:t>
      </w:r>
      <w:r>
        <w:rPr>
          <w:rFonts w:eastAsia="Calibri" w:cs="Times New Roman"/>
          <w:szCs w:val="24"/>
        </w:rPr>
        <w:t xml:space="preserve"> f</w:t>
      </w:r>
      <w:r w:rsidR="00D41DEC">
        <w:rPr>
          <w:rFonts w:eastAsia="Calibri" w:cs="Times New Roman"/>
          <w:szCs w:val="24"/>
        </w:rPr>
        <w:t>remgår</w:t>
      </w:r>
      <w:r>
        <w:rPr>
          <w:rFonts w:eastAsia="Calibri" w:cs="Times New Roman"/>
          <w:szCs w:val="24"/>
        </w:rPr>
        <w:t xml:space="preserve"> af § 2 i BNBO-bekendtgørelsen</w:t>
      </w:r>
      <w:r w:rsidR="0040159A">
        <w:rPr>
          <w:rFonts w:eastAsia="Calibri" w:cs="Times New Roman"/>
          <w:szCs w:val="24"/>
        </w:rPr>
        <w:t xml:space="preserve"> og</w:t>
      </w:r>
      <w:r>
        <w:rPr>
          <w:rFonts w:eastAsia="Calibri" w:cs="Times New Roman"/>
          <w:szCs w:val="24"/>
        </w:rPr>
        <w:t xml:space="preserve"> betegnes i det følgende </w:t>
      </w:r>
      <w:r w:rsidR="00CF1A9B">
        <w:rPr>
          <w:rFonts w:eastAsia="Calibri" w:cs="Times New Roman"/>
          <w:szCs w:val="24"/>
        </w:rPr>
        <w:t>risikovurderingen.</w:t>
      </w:r>
      <w:r w:rsidR="00D41DEC">
        <w:rPr>
          <w:rFonts w:eastAsia="Calibri" w:cs="Times New Roman"/>
          <w:szCs w:val="24"/>
        </w:rPr>
        <w:t xml:space="preserve"> </w:t>
      </w:r>
    </w:p>
    <w:p w14:paraId="688CA446" w14:textId="40A87B26" w:rsidR="00045F48" w:rsidRDefault="00D41DEC" w:rsidP="00FD1A50">
      <w:pPr>
        <w:spacing w:after="240"/>
        <w:rPr>
          <w:rFonts w:eastAsia="Calibri" w:cs="Times New Roman"/>
          <w:szCs w:val="24"/>
        </w:rPr>
      </w:pPr>
      <w:r>
        <w:rPr>
          <w:rFonts w:eastAsia="Calibri" w:cs="Times New Roman"/>
          <w:szCs w:val="24"/>
        </w:rPr>
        <w:t xml:space="preserve">Begreberne </w:t>
      </w:r>
      <w:r w:rsidR="0040159A">
        <w:rPr>
          <w:rFonts w:eastAsia="Calibri" w:cs="Times New Roman"/>
          <w:szCs w:val="24"/>
        </w:rPr>
        <w:t>”</w:t>
      </w:r>
      <w:r>
        <w:rPr>
          <w:rFonts w:eastAsia="Calibri" w:cs="Times New Roman"/>
          <w:szCs w:val="24"/>
        </w:rPr>
        <w:t>indsatsbehov</w:t>
      </w:r>
      <w:r w:rsidR="0040159A">
        <w:rPr>
          <w:rFonts w:eastAsia="Calibri" w:cs="Times New Roman"/>
          <w:szCs w:val="24"/>
        </w:rPr>
        <w:t>”</w:t>
      </w:r>
      <w:r>
        <w:rPr>
          <w:rFonts w:eastAsia="Calibri" w:cs="Times New Roman"/>
          <w:szCs w:val="24"/>
        </w:rPr>
        <w:t xml:space="preserve"> og </w:t>
      </w:r>
      <w:r w:rsidR="0040159A">
        <w:rPr>
          <w:rFonts w:eastAsia="Calibri" w:cs="Times New Roman"/>
          <w:szCs w:val="24"/>
        </w:rPr>
        <w:t>”</w:t>
      </w:r>
      <w:r>
        <w:rPr>
          <w:rFonts w:eastAsia="Calibri" w:cs="Times New Roman"/>
          <w:szCs w:val="24"/>
        </w:rPr>
        <w:t>risikovurdering</w:t>
      </w:r>
      <w:r w:rsidR="0040159A">
        <w:rPr>
          <w:rFonts w:eastAsia="Calibri" w:cs="Times New Roman"/>
          <w:szCs w:val="24"/>
        </w:rPr>
        <w:t>”</w:t>
      </w:r>
      <w:r>
        <w:rPr>
          <w:rFonts w:eastAsia="Calibri" w:cs="Times New Roman"/>
          <w:szCs w:val="24"/>
        </w:rPr>
        <w:t xml:space="preserve"> </w:t>
      </w:r>
      <w:r w:rsidR="007D0A88">
        <w:rPr>
          <w:rFonts w:eastAsia="Calibri" w:cs="Times New Roman"/>
          <w:szCs w:val="24"/>
        </w:rPr>
        <w:t>hænger derfor sammen</w:t>
      </w:r>
      <w:r>
        <w:rPr>
          <w:rFonts w:eastAsia="Calibri" w:cs="Times New Roman"/>
          <w:szCs w:val="24"/>
        </w:rPr>
        <w:t xml:space="preserve">, idet det lægges til grund, at kommunens </w:t>
      </w:r>
      <w:r w:rsidR="00A44381">
        <w:rPr>
          <w:rFonts w:eastAsia="Calibri" w:cs="Times New Roman"/>
          <w:szCs w:val="24"/>
        </w:rPr>
        <w:t xml:space="preserve">vurdering af behovet for indsatser </w:t>
      </w:r>
      <w:r>
        <w:rPr>
          <w:rFonts w:eastAsia="Calibri" w:cs="Times New Roman"/>
          <w:szCs w:val="24"/>
        </w:rPr>
        <w:t xml:space="preserve">til beskyttelsen af drikkevandsinteresserne i BNBO vil udgøre en risikovurdering, som </w:t>
      </w:r>
      <w:r w:rsidR="00265925">
        <w:rPr>
          <w:rFonts w:eastAsia="Calibri" w:cs="Times New Roman"/>
          <w:szCs w:val="24"/>
        </w:rPr>
        <w:t xml:space="preserve">vil </w:t>
      </w:r>
      <w:r>
        <w:rPr>
          <w:rFonts w:eastAsia="Calibri" w:cs="Times New Roman"/>
          <w:szCs w:val="24"/>
        </w:rPr>
        <w:t>udløse en pligt til at beskytte området efter de foreslåede bestemmelser i § 13 f i vandforsyningsloven og § 24 a i miljøbeskyttelsesloven.</w:t>
      </w:r>
    </w:p>
    <w:p w14:paraId="1206FBB3" w14:textId="4C7D683A" w:rsidR="0066289F" w:rsidRDefault="0066289F" w:rsidP="00FD1A50">
      <w:pPr>
        <w:spacing w:after="240"/>
        <w:rPr>
          <w:rFonts w:eastAsia="Calibri" w:cs="Times New Roman"/>
          <w:szCs w:val="24"/>
        </w:rPr>
      </w:pPr>
      <w:r>
        <w:rPr>
          <w:rFonts w:eastAsia="Calibri" w:cs="Times New Roman"/>
          <w:szCs w:val="24"/>
        </w:rPr>
        <w:t xml:space="preserve">Miljøbeskyttelsesloven indeholder i dag ikke hjemmel til at forpligte kommunerne til at give påbud eller nedlægge forbud mod erhvervsmæssig </w:t>
      </w:r>
      <w:r>
        <w:rPr>
          <w:rFonts w:eastAsia="Calibri" w:cs="Times New Roman"/>
          <w:szCs w:val="24"/>
        </w:rPr>
        <w:lastRenderedPageBreak/>
        <w:t>anvendelse af p</w:t>
      </w:r>
      <w:r w:rsidR="007D0A88">
        <w:rPr>
          <w:rFonts w:eastAsia="Calibri" w:cs="Times New Roman"/>
          <w:szCs w:val="24"/>
        </w:rPr>
        <w:t>esticider</w:t>
      </w:r>
      <w:r>
        <w:rPr>
          <w:rFonts w:eastAsia="Calibri" w:cs="Times New Roman"/>
          <w:szCs w:val="24"/>
        </w:rPr>
        <w:t>, hvis kommunernes risikovurdering viser, at en beskyttelsesindsats er nødvendig.</w:t>
      </w:r>
    </w:p>
    <w:p w14:paraId="3B6B38FB" w14:textId="7574B743" w:rsidR="00A1170F" w:rsidRDefault="00A1170F" w:rsidP="00A1170F">
      <w:r>
        <w:t>Når der i den foreslåede ordning i § 24 a, stk. 1</w:t>
      </w:r>
      <w:r w:rsidR="00C102D0">
        <w:t>,</w:t>
      </w:r>
      <w:r>
        <w:t xml:space="preserve"> henvises til BNBO udpeget efter regler udstedt i medfør af § 11 a, stk. 1, nr. 6</w:t>
      </w:r>
      <w:r w:rsidR="00C102D0">
        <w:t>,</w:t>
      </w:r>
      <w:r>
        <w:t xml:space="preserve"> i lov om vandforsyning m</w:t>
      </w:r>
      <w:r w:rsidR="00AA5409">
        <w:t>.</w:t>
      </w:r>
      <w:r>
        <w:t>v., vil det således være en forudsætning, at påbud eller forbud kun</w:t>
      </w:r>
      <w:r w:rsidR="00E24E87">
        <w:t xml:space="preserve"> skal</w:t>
      </w:r>
      <w:r>
        <w:t xml:space="preserve"> iværksættes i </w:t>
      </w:r>
      <w:r w:rsidR="00DB42E8">
        <w:t xml:space="preserve">de </w:t>
      </w:r>
      <w:r>
        <w:t>BNBO</w:t>
      </w:r>
      <w:r w:rsidR="00265925">
        <w:t>,</w:t>
      </w:r>
      <w:r>
        <w:t xml:space="preserve"> der fremgår af bilag 5 til udpegningsbekendtgørelsen</w:t>
      </w:r>
      <w:r w:rsidR="00E8505E">
        <w:t xml:space="preserve">, </w:t>
      </w:r>
      <w:r w:rsidR="002560F9">
        <w:t>ligesom det er en forudsætning, at</w:t>
      </w:r>
      <w:r w:rsidR="00E8505E">
        <w:t xml:space="preserve"> kommunerne har vurderet, at der er et beskyttelsesbehov efter</w:t>
      </w:r>
      <w:r w:rsidR="00AB2E72">
        <w:t xml:space="preserve"> regler udstedt i medfør af</w:t>
      </w:r>
      <w:r w:rsidR="00E8505E">
        <w:t xml:space="preserve"> § 13 e i lov om vandforsyning m</w:t>
      </w:r>
      <w:r w:rsidR="00AA5409">
        <w:t>.</w:t>
      </w:r>
      <w:r w:rsidR="00E8505E">
        <w:t>v</w:t>
      </w:r>
      <w:r>
        <w:t>. Reglerne i udpegningsbekendtgørelsen er en udmøntning af § 11 a, stk. 1, nr. 6</w:t>
      </w:r>
      <w:r w:rsidR="00136F01">
        <w:t>,</w:t>
      </w:r>
      <w:r>
        <w:t xml:space="preserve"> i lov om vandforsyning m</w:t>
      </w:r>
      <w:r w:rsidR="00AA5409">
        <w:t>.</w:t>
      </w:r>
      <w:r>
        <w:t>v.</w:t>
      </w:r>
    </w:p>
    <w:p w14:paraId="183B8392" w14:textId="77777777" w:rsidR="00B63F30" w:rsidRDefault="00B63F30" w:rsidP="00A1170F"/>
    <w:p w14:paraId="2E414C95" w14:textId="7F4F3A51" w:rsidR="00A1170F" w:rsidRDefault="00A1170F" w:rsidP="00A1170F">
      <w:r>
        <w:t xml:space="preserve">BNBO afgrænses og udpeges ud fra konkret viden om </w:t>
      </w:r>
      <w:r w:rsidR="00BF7778">
        <w:t xml:space="preserve">bl.a. </w:t>
      </w:r>
      <w:r>
        <w:t>grundvandets strømningsretning, magasinets mægtighed og porøsitet, samt indvindingens størrelse. Ændrede forhold i eksempelvis mængden af vand der indvindes kan få betydning for</w:t>
      </w:r>
      <w:r w:rsidR="00BF7778">
        <w:t xml:space="preserve"> den geografiske udbredelse af BNBO</w:t>
      </w:r>
      <w:r>
        <w:t>, ligesom en BNBO ophører med at være en BNBO, hvis indvindingen hvorfra der indvindes vand nedlægges</w:t>
      </w:r>
      <w:r w:rsidR="00BF7778">
        <w:t>, eller hvis boringen ikke længere anvendes til almen vandforsyning</w:t>
      </w:r>
      <w:r>
        <w:t>. Ligeledes kan nye beregningsmetoder for, hvordan BNBO afgrænses og udpeges have betydning for størrelse</w:t>
      </w:r>
      <w:r w:rsidR="00AD71F9">
        <w:t>, form</w:t>
      </w:r>
      <w:r>
        <w:t xml:space="preserve"> og beliggenhed</w:t>
      </w:r>
      <w:r w:rsidR="00820102">
        <w:t xml:space="preserve"> af BNBO</w:t>
      </w:r>
      <w:r>
        <w:t>.</w:t>
      </w:r>
    </w:p>
    <w:p w14:paraId="77C80CAA" w14:textId="509ACC25" w:rsidR="00E24E87" w:rsidRDefault="00E24E87" w:rsidP="00A1170F"/>
    <w:p w14:paraId="5D9680FB" w14:textId="53DC7A75" w:rsidR="00E24E87" w:rsidRDefault="00674B83" w:rsidP="00A1170F">
      <w:r>
        <w:t xml:space="preserve">Når </w:t>
      </w:r>
      <w:r w:rsidR="00BF7778">
        <w:t>udpegningsbekendtgørelsen genudstedes, opdateres den med seneste ændringer i BNBO, der sker på baggrund af eksempelvis ændrede vandindvindingsmængder eller etablering eller sløjfning af boringer.</w:t>
      </w:r>
    </w:p>
    <w:p w14:paraId="4D011BA1" w14:textId="77777777" w:rsidR="002B2F36" w:rsidRDefault="002B2F36" w:rsidP="00A1170F"/>
    <w:p w14:paraId="29802EA3" w14:textId="53A0609E" w:rsidR="00BE4980" w:rsidRDefault="00A1170F" w:rsidP="00847D01">
      <w:r>
        <w:t>Der henvises til afsnit</w:t>
      </w:r>
      <w:r w:rsidR="00BE4980">
        <w:t xml:space="preserve"> nr. 2</w:t>
      </w:r>
      <w:r>
        <w:t xml:space="preserve"> i de s</w:t>
      </w:r>
      <w:r w:rsidR="00E8505E">
        <w:t>pecielle</w:t>
      </w:r>
      <w:r>
        <w:t xml:space="preserve"> bemærkninger til </w:t>
      </w:r>
      <w:r w:rsidR="00340533">
        <w:t xml:space="preserve">den foreslåede § 24 a, stk. </w:t>
      </w:r>
      <w:r w:rsidR="005A3B5B">
        <w:t>5, for</w:t>
      </w:r>
      <w:r>
        <w:t xml:space="preserve"> en uddybende fremstilling af, hvordan genberegninger og genudpegninger af BNBO forventes at skulle håndteres af kommunen</w:t>
      </w:r>
      <w:r w:rsidR="00E24E87">
        <w:t>, når der i forvejen er truffet afgørelse om påbud eller forbud</w:t>
      </w:r>
      <w:r>
        <w:t>.</w:t>
      </w:r>
    </w:p>
    <w:p w14:paraId="4BE33BAA" w14:textId="6774D27B" w:rsidR="00961D7C" w:rsidRDefault="00961D7C" w:rsidP="00847D01"/>
    <w:p w14:paraId="07BB9DD7" w14:textId="1A938089" w:rsidR="00961D7C" w:rsidRDefault="00961D7C" w:rsidP="00847D01">
      <w:r>
        <w:t>Med henblik på at sikre</w:t>
      </w:r>
      <w:r w:rsidR="00265925">
        <w:t>,</w:t>
      </w:r>
      <w:r>
        <w:t xml:space="preserve"> at BNBO</w:t>
      </w:r>
      <w:r w:rsidR="00AD71F9">
        <w:t>,</w:t>
      </w:r>
      <w:r>
        <w:t xml:space="preserve"> der endnu ikke er udpegede også risikovurderes, vil BNBO-bekendtgørelsen skulle genudstedes. Herved sikres det, at kommunen også forpligtes til at vurdere, om en beskyttelsesindsats er nødvendig</w:t>
      </w:r>
      <w:r w:rsidR="00E24E87">
        <w:t xml:space="preserve"> i de kommende BNBO</w:t>
      </w:r>
      <w:r w:rsidR="00AD71F9">
        <w:t>, eksempelvis når en ny vandindvinding etableres</w:t>
      </w:r>
      <w:r>
        <w:t>.</w:t>
      </w:r>
    </w:p>
    <w:p w14:paraId="79AF554C" w14:textId="56684D5A" w:rsidR="00E24E87" w:rsidRDefault="00E24E87" w:rsidP="00847D01"/>
    <w:p w14:paraId="7A6C6290" w14:textId="1013C126" w:rsidR="00E24E87" w:rsidRDefault="00E24E87" w:rsidP="00847D01">
      <w:r>
        <w:t>Kommunens pligt til at give påbud eller forbud i BNBO, hvor de har vurderet, at en beskyttelsesindsats er nødvendig vil kun omfatte</w:t>
      </w:r>
      <w:r w:rsidR="002560F9">
        <w:t xml:space="preserve"> en ellers </w:t>
      </w:r>
      <w:r w:rsidR="002560F9">
        <w:lastRenderedPageBreak/>
        <w:t>lovlig</w:t>
      </w:r>
      <w:r>
        <w:t xml:space="preserve"> erhvervsmæssig </w:t>
      </w:r>
      <w:r w:rsidR="00AF3584">
        <w:t xml:space="preserve">anvendelse </w:t>
      </w:r>
      <w:r>
        <w:t xml:space="preserve">af </w:t>
      </w:r>
      <w:r w:rsidR="00464FA5">
        <w:t>p</w:t>
      </w:r>
      <w:r w:rsidR="007D0A88">
        <w:t>esticider</w:t>
      </w:r>
      <w:r w:rsidR="00D83DBF">
        <w:t xml:space="preserve"> og hovedsageligt på landbrugsjord.</w:t>
      </w:r>
    </w:p>
    <w:p w14:paraId="2E3D6C35" w14:textId="056CF0EB" w:rsidR="00124A40" w:rsidRDefault="00124A40" w:rsidP="00847D01"/>
    <w:p w14:paraId="3F631BAC" w14:textId="57449EED" w:rsidR="00124A40" w:rsidRDefault="00124A40" w:rsidP="00847D01">
      <w:r>
        <w:t>Det vil kun være pesticider i form af plantebeskyttelsesmidler, som er omfattet af § 3</w:t>
      </w:r>
      <w:r w:rsidR="00F12181">
        <w:t>3</w:t>
      </w:r>
      <w:r>
        <w:t>, nr. 1</w:t>
      </w:r>
      <w:r w:rsidR="00136F01">
        <w:t>,</w:t>
      </w:r>
      <w:r>
        <w:t xml:space="preserve"> i lov om kemikalier, som omfattes af den foreslåede ordning i dette lovforslag. Begrebet pesticider anvendes også til at definere biocidmidler </w:t>
      </w:r>
      <w:r w:rsidR="001056CE">
        <w:t>omfattet af Europa-Parlamentets og Rådets forordning (EU)</w:t>
      </w:r>
      <w:r w:rsidR="00F12181">
        <w:t xml:space="preserve"> nr. 528/2012 af 22. maj 20212 om tilgængeliggørelse på markedet og anvendelse af biocidholdige produkter efter § 33, nr. 2</w:t>
      </w:r>
      <w:r w:rsidR="00136F01">
        <w:t>,</w:t>
      </w:r>
      <w:r w:rsidR="00F12181">
        <w:t xml:space="preserve"> </w:t>
      </w:r>
      <w:r w:rsidR="00A95931">
        <w:t xml:space="preserve">i lov om kemikalier </w:t>
      </w:r>
      <w:r w:rsidR="00F12181">
        <w:t>og biocidmidler omfattet af regler udstedt i medfør af § 35 efter § 33, nr. 3. Biocider og biocidmidler er ikke omfattet af den foreslåede ordning i dette lovforslag.</w:t>
      </w:r>
    </w:p>
    <w:p w14:paraId="4D33EC8B" w14:textId="77777777" w:rsidR="00847D01" w:rsidRPr="00847D01" w:rsidRDefault="00847D01" w:rsidP="00847D01"/>
    <w:p w14:paraId="76134485" w14:textId="35F4B077" w:rsidR="007D0A88" w:rsidRDefault="00FE7A64" w:rsidP="00FD1A50">
      <w:pPr>
        <w:spacing w:after="240"/>
        <w:rPr>
          <w:rFonts w:eastAsia="Calibri" w:cs="Times New Roman"/>
          <w:szCs w:val="24"/>
        </w:rPr>
      </w:pPr>
      <w:r>
        <w:rPr>
          <w:rFonts w:eastAsia="Calibri" w:cs="Times New Roman"/>
          <w:szCs w:val="24"/>
        </w:rPr>
        <w:t xml:space="preserve">For så vidt angår erhvervsmæssig anvendelse af </w:t>
      </w:r>
      <w:r w:rsidR="007D0A88">
        <w:rPr>
          <w:rFonts w:eastAsia="Calibri" w:cs="Times New Roman"/>
          <w:szCs w:val="24"/>
        </w:rPr>
        <w:t>pesticider</w:t>
      </w:r>
      <w:r>
        <w:rPr>
          <w:rFonts w:eastAsia="Calibri" w:cs="Times New Roman"/>
          <w:szCs w:val="24"/>
        </w:rPr>
        <w:t xml:space="preserve"> på øvrige arealer end landbrugsjord er der identificere</w:t>
      </w:r>
      <w:r w:rsidR="00BE4980">
        <w:rPr>
          <w:rFonts w:eastAsia="Calibri" w:cs="Times New Roman"/>
          <w:szCs w:val="24"/>
        </w:rPr>
        <w:t>t</w:t>
      </w:r>
      <w:r>
        <w:rPr>
          <w:rFonts w:eastAsia="Calibri" w:cs="Times New Roman"/>
          <w:szCs w:val="24"/>
        </w:rPr>
        <w:t xml:space="preserve"> golfbaner og væksthusgartnerier med arealer inden for BNBO. Herudover vurderes f.eks. et antal planteskoler og hoteller at have erhvervsmæssig anvendelse af </w:t>
      </w:r>
      <w:r w:rsidR="000A37F3">
        <w:rPr>
          <w:rFonts w:eastAsia="Calibri" w:cs="Times New Roman"/>
          <w:szCs w:val="24"/>
        </w:rPr>
        <w:t>p</w:t>
      </w:r>
      <w:r w:rsidR="007D0A88">
        <w:rPr>
          <w:rFonts w:eastAsia="Calibri" w:cs="Times New Roman"/>
          <w:szCs w:val="24"/>
        </w:rPr>
        <w:t>esticider</w:t>
      </w:r>
      <w:r w:rsidR="000A37F3">
        <w:rPr>
          <w:rFonts w:eastAsia="Calibri" w:cs="Times New Roman"/>
          <w:szCs w:val="24"/>
        </w:rPr>
        <w:t xml:space="preserve"> </w:t>
      </w:r>
      <w:r>
        <w:rPr>
          <w:rFonts w:eastAsia="Calibri" w:cs="Times New Roman"/>
          <w:szCs w:val="24"/>
        </w:rPr>
        <w:t xml:space="preserve">inden for et BNBO. </w:t>
      </w:r>
    </w:p>
    <w:p w14:paraId="0236D900" w14:textId="4D70AEEE" w:rsidR="00886863" w:rsidRDefault="00BE4980" w:rsidP="00FD1A50">
      <w:pPr>
        <w:spacing w:after="240"/>
        <w:rPr>
          <w:rFonts w:eastAsia="Calibri" w:cs="Times New Roman"/>
          <w:szCs w:val="24"/>
        </w:rPr>
      </w:pPr>
      <w:r>
        <w:rPr>
          <w:rFonts w:eastAsia="Calibri" w:cs="Times New Roman"/>
          <w:szCs w:val="24"/>
        </w:rPr>
        <w:t>Udpegningsbekendtgørelsen</w:t>
      </w:r>
      <w:r w:rsidR="00FE7A64">
        <w:rPr>
          <w:rFonts w:eastAsia="Calibri" w:cs="Times New Roman"/>
          <w:szCs w:val="24"/>
        </w:rPr>
        <w:t xml:space="preserve"> bliver løbende </w:t>
      </w:r>
      <w:r w:rsidR="00BF7778">
        <w:rPr>
          <w:rFonts w:eastAsia="Calibri" w:cs="Times New Roman"/>
          <w:szCs w:val="24"/>
        </w:rPr>
        <w:t>genudstedt</w:t>
      </w:r>
      <w:r w:rsidR="00FE7A64">
        <w:rPr>
          <w:rFonts w:eastAsia="Calibri" w:cs="Times New Roman"/>
          <w:szCs w:val="24"/>
        </w:rPr>
        <w:t xml:space="preserve">, blandt andet som følge af etablering af nye boringer og meddelelse </w:t>
      </w:r>
      <w:r w:rsidR="00AF3584">
        <w:rPr>
          <w:rFonts w:eastAsia="Calibri" w:cs="Times New Roman"/>
          <w:szCs w:val="24"/>
        </w:rPr>
        <w:t xml:space="preserve">om </w:t>
      </w:r>
      <w:r w:rsidR="00FE7A64">
        <w:rPr>
          <w:rFonts w:eastAsia="Calibri" w:cs="Times New Roman"/>
          <w:szCs w:val="24"/>
        </w:rPr>
        <w:t>indvindingstilladelser til eksisterende boringer. Dette vil betyde, at antallet af udpegede BNBO fremadrettet vil ændre sig</w:t>
      </w:r>
      <w:r w:rsidR="00961D7C">
        <w:rPr>
          <w:rFonts w:eastAsia="Calibri" w:cs="Times New Roman"/>
          <w:szCs w:val="24"/>
        </w:rPr>
        <w:t>, og det skal sikres, at også disse BNBO risikovurderes efter reglerne i § 13 e i lov om vandforsyning m</w:t>
      </w:r>
      <w:r w:rsidR="00AA5409">
        <w:rPr>
          <w:rFonts w:eastAsia="Calibri" w:cs="Times New Roman"/>
          <w:szCs w:val="24"/>
        </w:rPr>
        <w:t>.</w:t>
      </w:r>
      <w:r w:rsidR="00961D7C">
        <w:rPr>
          <w:rFonts w:eastAsia="Calibri" w:cs="Times New Roman"/>
          <w:szCs w:val="24"/>
        </w:rPr>
        <w:t>v.</w:t>
      </w:r>
    </w:p>
    <w:p w14:paraId="1AC82D01" w14:textId="6C5C43B3" w:rsidR="00720C4C" w:rsidRDefault="00D826F1" w:rsidP="00FD1A50">
      <w:pPr>
        <w:spacing w:after="240"/>
        <w:rPr>
          <w:rFonts w:eastAsia="Calibri" w:cs="Times New Roman"/>
          <w:szCs w:val="24"/>
        </w:rPr>
      </w:pPr>
      <w:r>
        <w:rPr>
          <w:rFonts w:eastAsia="Calibri" w:cs="Times New Roman"/>
          <w:szCs w:val="24"/>
        </w:rPr>
        <w:t>Miljøstyrelsen udstedte i juli 2019 en vejledning ”Vejledning om vurdering af indsatser rettet mod erhvervsmæssig brug af pesticider i boringsnære beskyttelsesområder (BNBO)</w:t>
      </w:r>
      <w:r w:rsidR="00FE7A64">
        <w:rPr>
          <w:rFonts w:eastAsia="Calibri" w:cs="Times New Roman"/>
          <w:szCs w:val="24"/>
        </w:rPr>
        <w:t xml:space="preserve">”, som indeholder en faglig vurdering i forhold til </w:t>
      </w:r>
      <w:r w:rsidR="007D0A88">
        <w:rPr>
          <w:rFonts w:eastAsia="Calibri" w:cs="Times New Roman"/>
          <w:szCs w:val="24"/>
        </w:rPr>
        <w:t xml:space="preserve">pesticider </w:t>
      </w:r>
      <w:r w:rsidR="00FE7A64">
        <w:rPr>
          <w:rFonts w:eastAsia="Calibri" w:cs="Times New Roman"/>
          <w:szCs w:val="24"/>
        </w:rPr>
        <w:t xml:space="preserve">i BNBO og gennemgår en række parametre, som er relevante at lade indgå i kommunernes risikovurdering. Disse inkluderer blandt andet arealanvendelse og forureningskilder, tykkelse af lerlag, fund af </w:t>
      </w:r>
      <w:r w:rsidR="00570BE0">
        <w:rPr>
          <w:rFonts w:eastAsia="Calibri" w:cs="Times New Roman"/>
          <w:szCs w:val="24"/>
        </w:rPr>
        <w:t>p</w:t>
      </w:r>
      <w:r w:rsidR="007D0A88">
        <w:rPr>
          <w:rFonts w:eastAsia="Calibri" w:cs="Times New Roman"/>
          <w:szCs w:val="24"/>
        </w:rPr>
        <w:t>esticider</w:t>
      </w:r>
      <w:r w:rsidR="00FE7A64">
        <w:rPr>
          <w:rFonts w:eastAsia="Calibri" w:cs="Times New Roman"/>
          <w:szCs w:val="24"/>
        </w:rPr>
        <w:t xml:space="preserve"> eller andre miljøfremmede stoffer, hvorvidt der er alternativer til nuværende indvinding, eksempler på indsatser samt forslag til hvorledes indsatser kan gennemføres i praksis. </w:t>
      </w:r>
    </w:p>
    <w:p w14:paraId="1A780DE3" w14:textId="77777777" w:rsidR="00E42263" w:rsidRDefault="00E42263" w:rsidP="00E42263">
      <w:pPr>
        <w:spacing w:after="240"/>
        <w:rPr>
          <w:rFonts w:eastAsia="Calibri" w:cs="Times New Roman"/>
          <w:szCs w:val="24"/>
        </w:rPr>
      </w:pPr>
      <w:r>
        <w:rPr>
          <w:rFonts w:eastAsia="Calibri" w:cs="Times New Roman"/>
          <w:szCs w:val="24"/>
        </w:rPr>
        <w:t>Vejledningen indeholder desuden eksempler på erstatningstakster og eksempler på opgørelse af markedsværdi samt forholdet til landbrugsstøtte. Herudover suppleres vejledningen af paradigmer for kommunernes vurdering samt beskyttelsesindsats og eksempler på erstatningstakster vedr. beskyttelsesindsatserne.</w:t>
      </w:r>
    </w:p>
    <w:p w14:paraId="6836D436" w14:textId="2FE42759" w:rsidR="00E42263" w:rsidRDefault="00E42263" w:rsidP="00FD1A50">
      <w:pPr>
        <w:spacing w:after="240"/>
        <w:rPr>
          <w:rFonts w:eastAsia="Calibri" w:cs="Times New Roman"/>
          <w:szCs w:val="24"/>
        </w:rPr>
      </w:pPr>
      <w:r>
        <w:rPr>
          <w:rFonts w:eastAsia="Calibri" w:cs="Times New Roman"/>
          <w:szCs w:val="24"/>
        </w:rPr>
        <w:lastRenderedPageBreak/>
        <w:t>Miljøstyrelsens vejledning forventes at blive opdateret i overensstemmelse med de foreslåede regler</w:t>
      </w:r>
      <w:r w:rsidR="00F12181">
        <w:rPr>
          <w:rFonts w:eastAsia="Calibri" w:cs="Times New Roman"/>
          <w:szCs w:val="24"/>
        </w:rPr>
        <w:t xml:space="preserve"> og </w:t>
      </w:r>
      <w:r w:rsidR="005C2340">
        <w:rPr>
          <w:rFonts w:eastAsia="Calibri" w:cs="Times New Roman"/>
          <w:szCs w:val="24"/>
        </w:rPr>
        <w:t xml:space="preserve">vil beskrive, hvordan de foreslåede regler </w:t>
      </w:r>
      <w:r w:rsidR="00C75CCA">
        <w:rPr>
          <w:rFonts w:eastAsia="Calibri" w:cs="Times New Roman"/>
          <w:szCs w:val="24"/>
        </w:rPr>
        <w:t>forventes at blive</w:t>
      </w:r>
      <w:r w:rsidR="005C2340">
        <w:rPr>
          <w:rFonts w:eastAsia="Calibri" w:cs="Times New Roman"/>
          <w:szCs w:val="24"/>
        </w:rPr>
        <w:t xml:space="preserve"> anvend</w:t>
      </w:r>
      <w:r w:rsidR="00C75CCA">
        <w:rPr>
          <w:rFonts w:eastAsia="Calibri" w:cs="Times New Roman"/>
          <w:szCs w:val="24"/>
        </w:rPr>
        <w:t>t i praksis</w:t>
      </w:r>
      <w:r w:rsidR="005C2340">
        <w:rPr>
          <w:rFonts w:eastAsia="Calibri" w:cs="Times New Roman"/>
          <w:szCs w:val="24"/>
        </w:rPr>
        <w:t xml:space="preserve">. </w:t>
      </w:r>
    </w:p>
    <w:p w14:paraId="3BA2E612" w14:textId="217AF70C" w:rsidR="00720C4C" w:rsidRDefault="00720C4C" w:rsidP="00FD1A50">
      <w:pPr>
        <w:spacing w:after="240"/>
        <w:rPr>
          <w:rFonts w:eastAsia="Calibri" w:cs="Times New Roman"/>
          <w:szCs w:val="24"/>
        </w:rPr>
      </w:pPr>
      <w:r>
        <w:rPr>
          <w:rFonts w:eastAsia="Calibri" w:cs="Times New Roman"/>
          <w:szCs w:val="24"/>
        </w:rPr>
        <w:t>Afhængig af blandt andet de nærmere geologiske forhold og indvindingsmængder, kan selv en begrænset risiko for forurening begrunde et behov for iværksættelse af en beskyttelsesindsats. En sådan vurdering vil efter omstændighederne kunne baseres på et mere overordnet skøn, da det ikke med sikkerhed i alle tilfælde vil være muligt at foretage detaljerede tekniske bere</w:t>
      </w:r>
      <w:r w:rsidR="00B63F30">
        <w:rPr>
          <w:rFonts w:eastAsia="Calibri" w:cs="Times New Roman"/>
          <w:szCs w:val="24"/>
        </w:rPr>
        <w:t>gn</w:t>
      </w:r>
      <w:r>
        <w:rPr>
          <w:rFonts w:eastAsia="Calibri" w:cs="Times New Roman"/>
          <w:szCs w:val="24"/>
        </w:rPr>
        <w:t>inger og undersøgelser.</w:t>
      </w:r>
    </w:p>
    <w:p w14:paraId="5A9CFA2F" w14:textId="7E91CDD3" w:rsidR="00961D7C" w:rsidRDefault="00E42263" w:rsidP="00FD1A50">
      <w:pPr>
        <w:spacing w:after="240"/>
        <w:rPr>
          <w:rFonts w:eastAsia="Calibri" w:cs="Times New Roman"/>
          <w:szCs w:val="24"/>
        </w:rPr>
      </w:pPr>
      <w:r>
        <w:rPr>
          <w:rFonts w:eastAsia="Calibri" w:cs="Times New Roman"/>
          <w:szCs w:val="24"/>
        </w:rPr>
        <w:t xml:space="preserve">De kommunale </w:t>
      </w:r>
      <w:r w:rsidR="00B63254">
        <w:rPr>
          <w:rFonts w:eastAsia="Calibri" w:cs="Times New Roman"/>
          <w:szCs w:val="24"/>
        </w:rPr>
        <w:t xml:space="preserve">påbud eller </w:t>
      </w:r>
      <w:r>
        <w:rPr>
          <w:rFonts w:eastAsia="Calibri" w:cs="Times New Roman"/>
          <w:szCs w:val="24"/>
        </w:rPr>
        <w:t>forbud efter den foreslåede § 24 a</w:t>
      </w:r>
      <w:r w:rsidR="0086419D">
        <w:rPr>
          <w:rFonts w:eastAsia="Calibri" w:cs="Times New Roman"/>
          <w:szCs w:val="24"/>
        </w:rPr>
        <w:t>,</w:t>
      </w:r>
      <w:r>
        <w:rPr>
          <w:rFonts w:eastAsia="Calibri" w:cs="Times New Roman"/>
          <w:szCs w:val="24"/>
        </w:rPr>
        <w:t xml:space="preserve"> der forventes </w:t>
      </w:r>
      <w:r w:rsidR="005C2340">
        <w:rPr>
          <w:rFonts w:eastAsia="Calibri" w:cs="Times New Roman"/>
          <w:szCs w:val="24"/>
        </w:rPr>
        <w:t xml:space="preserve">udstedt </w:t>
      </w:r>
      <w:r>
        <w:rPr>
          <w:rFonts w:eastAsia="Calibri" w:cs="Times New Roman"/>
          <w:szCs w:val="24"/>
        </w:rPr>
        <w:t>som de første</w:t>
      </w:r>
      <w:r w:rsidR="0086419D">
        <w:rPr>
          <w:rFonts w:eastAsia="Calibri" w:cs="Times New Roman"/>
          <w:szCs w:val="24"/>
        </w:rPr>
        <w:t>,</w:t>
      </w:r>
      <w:r>
        <w:rPr>
          <w:rFonts w:eastAsia="Calibri" w:cs="Times New Roman"/>
          <w:szCs w:val="24"/>
        </w:rPr>
        <w:t xml:space="preserve"> efter lovens ikrafttræden den 1. juli 2024</w:t>
      </w:r>
      <w:r w:rsidR="00A95931">
        <w:rPr>
          <w:rFonts w:eastAsia="Calibri" w:cs="Times New Roman"/>
          <w:szCs w:val="24"/>
        </w:rPr>
        <w:t>,</w:t>
      </w:r>
      <w:r>
        <w:rPr>
          <w:rFonts w:eastAsia="Calibri" w:cs="Times New Roman"/>
          <w:szCs w:val="24"/>
        </w:rPr>
        <w:t xml:space="preserve"> vil således</w:t>
      </w:r>
      <w:r w:rsidR="00C102D0">
        <w:rPr>
          <w:rFonts w:eastAsia="Calibri" w:cs="Times New Roman"/>
          <w:szCs w:val="24"/>
        </w:rPr>
        <w:t xml:space="preserve"> som udgangspunkt</w:t>
      </w:r>
      <w:r>
        <w:rPr>
          <w:rFonts w:eastAsia="Calibri" w:cs="Times New Roman"/>
          <w:szCs w:val="24"/>
        </w:rPr>
        <w:t xml:space="preserve"> basere sig på risikovurderinger, som allerede er foretaget med afsæt i forpligtelsen hertil i </w:t>
      </w:r>
      <w:r w:rsidR="00EC15B0">
        <w:rPr>
          <w:rFonts w:eastAsia="Calibri" w:cs="Times New Roman"/>
          <w:szCs w:val="24"/>
        </w:rPr>
        <w:t xml:space="preserve">den </w:t>
      </w:r>
      <w:r>
        <w:rPr>
          <w:rFonts w:eastAsia="Calibri" w:cs="Times New Roman"/>
          <w:szCs w:val="24"/>
        </w:rPr>
        <w:t xml:space="preserve">BNBO-bekendtgørelse, der var gældende fra </w:t>
      </w:r>
      <w:r w:rsidR="00406E6C">
        <w:rPr>
          <w:rFonts w:eastAsia="Calibri" w:cs="Times New Roman"/>
          <w:szCs w:val="24"/>
        </w:rPr>
        <w:t>1. januar 2020</w:t>
      </w:r>
      <w:r>
        <w:rPr>
          <w:rFonts w:eastAsia="Calibri" w:cs="Times New Roman"/>
          <w:szCs w:val="24"/>
        </w:rPr>
        <w:t xml:space="preserve"> til og med</w:t>
      </w:r>
      <w:r w:rsidR="00406E6C">
        <w:rPr>
          <w:rFonts w:eastAsia="Calibri" w:cs="Times New Roman"/>
          <w:szCs w:val="24"/>
        </w:rPr>
        <w:t xml:space="preserve"> </w:t>
      </w:r>
      <w:r w:rsidR="00BF7778">
        <w:rPr>
          <w:rFonts w:eastAsia="Calibri" w:cs="Times New Roman"/>
          <w:szCs w:val="24"/>
        </w:rPr>
        <w:t xml:space="preserve">31. </w:t>
      </w:r>
      <w:r w:rsidR="00406E6C">
        <w:rPr>
          <w:rFonts w:eastAsia="Calibri" w:cs="Times New Roman"/>
          <w:szCs w:val="24"/>
        </w:rPr>
        <w:t>december</w:t>
      </w:r>
      <w:r>
        <w:rPr>
          <w:rFonts w:eastAsia="Calibri" w:cs="Times New Roman"/>
          <w:szCs w:val="24"/>
        </w:rPr>
        <w:t xml:space="preserve"> 2022.</w:t>
      </w:r>
      <w:r w:rsidR="00FF06EF">
        <w:rPr>
          <w:rFonts w:eastAsia="Calibri" w:cs="Times New Roman"/>
          <w:szCs w:val="24"/>
        </w:rPr>
        <w:t xml:space="preserve"> For så vidt angår de BNBO, som kommunerne</w:t>
      </w:r>
      <w:r w:rsidR="00BA1F35">
        <w:rPr>
          <w:rFonts w:eastAsia="Calibri" w:cs="Times New Roman"/>
          <w:szCs w:val="24"/>
        </w:rPr>
        <w:t xml:space="preserve"> på eget initiativ</w:t>
      </w:r>
      <w:r w:rsidR="00FF06EF">
        <w:rPr>
          <w:rFonts w:eastAsia="Calibri" w:cs="Times New Roman"/>
          <w:szCs w:val="24"/>
        </w:rPr>
        <w:t xml:space="preserve"> har vurderet</w:t>
      </w:r>
      <w:r w:rsidR="00406E6C">
        <w:rPr>
          <w:rFonts w:eastAsia="Calibri" w:cs="Times New Roman"/>
          <w:szCs w:val="24"/>
        </w:rPr>
        <w:t xml:space="preserve"> eller kommer til at vurdere</w:t>
      </w:r>
      <w:r w:rsidR="00FF06EF">
        <w:rPr>
          <w:rFonts w:eastAsia="Calibri" w:cs="Times New Roman"/>
          <w:szCs w:val="24"/>
        </w:rPr>
        <w:t xml:space="preserve"> beskyttelsesbehovene i </w:t>
      </w:r>
      <w:r w:rsidR="008C757B">
        <w:rPr>
          <w:rFonts w:eastAsia="Calibri" w:cs="Times New Roman"/>
          <w:szCs w:val="24"/>
        </w:rPr>
        <w:t>fra den</w:t>
      </w:r>
      <w:r w:rsidR="00FF06EF">
        <w:rPr>
          <w:rFonts w:eastAsia="Calibri" w:cs="Times New Roman"/>
          <w:szCs w:val="24"/>
        </w:rPr>
        <w:t xml:space="preserve"> 1. januar 2023 </w:t>
      </w:r>
      <w:r w:rsidR="008C757B">
        <w:rPr>
          <w:rFonts w:eastAsia="Calibri" w:cs="Times New Roman"/>
          <w:szCs w:val="24"/>
        </w:rPr>
        <w:t>til</w:t>
      </w:r>
      <w:r w:rsidR="00FF06EF">
        <w:rPr>
          <w:rFonts w:eastAsia="Calibri" w:cs="Times New Roman"/>
          <w:szCs w:val="24"/>
        </w:rPr>
        <w:t xml:space="preserve"> den 30. juni 2024, hvor kommunerne ikke har været forpligtet til at vurdere og foretage indberetning herom, </w:t>
      </w:r>
      <w:r w:rsidR="00C75CCA">
        <w:rPr>
          <w:rFonts w:eastAsia="Calibri" w:cs="Times New Roman"/>
          <w:szCs w:val="24"/>
        </w:rPr>
        <w:t>forventes der at blive fastsat regler herom</w:t>
      </w:r>
      <w:r w:rsidR="00FF06EF">
        <w:rPr>
          <w:rFonts w:eastAsia="Calibri" w:cs="Times New Roman"/>
          <w:szCs w:val="24"/>
        </w:rPr>
        <w:t>.</w:t>
      </w:r>
      <w:r w:rsidR="0049054A">
        <w:rPr>
          <w:rFonts w:eastAsia="Calibri" w:cs="Times New Roman"/>
          <w:szCs w:val="24"/>
        </w:rPr>
        <w:t xml:space="preserve"> </w:t>
      </w:r>
      <w:r w:rsidR="00D826F1">
        <w:rPr>
          <w:rFonts w:eastAsia="Calibri" w:cs="Times New Roman"/>
          <w:szCs w:val="24"/>
        </w:rPr>
        <w:t>Det foreslås, at</w:t>
      </w:r>
      <w:r w:rsidR="00F40880">
        <w:rPr>
          <w:rFonts w:eastAsia="Calibri" w:cs="Times New Roman"/>
          <w:szCs w:val="24"/>
        </w:rPr>
        <w:t xml:space="preserve"> </w:t>
      </w:r>
      <w:r w:rsidR="00B63254">
        <w:rPr>
          <w:rFonts w:eastAsia="Calibri" w:cs="Times New Roman"/>
          <w:szCs w:val="24"/>
        </w:rPr>
        <w:t xml:space="preserve">før kommunen </w:t>
      </w:r>
      <w:r w:rsidR="007B6641">
        <w:rPr>
          <w:rFonts w:eastAsia="Calibri" w:cs="Times New Roman"/>
          <w:szCs w:val="24"/>
        </w:rPr>
        <w:t xml:space="preserve">udsteder </w:t>
      </w:r>
      <w:r w:rsidR="00B63254">
        <w:rPr>
          <w:rFonts w:eastAsia="Calibri" w:cs="Times New Roman"/>
          <w:szCs w:val="24"/>
        </w:rPr>
        <w:t xml:space="preserve">et påbud eller forbud efter </w:t>
      </w:r>
      <w:r w:rsidR="00C102D0">
        <w:rPr>
          <w:rFonts w:eastAsia="Calibri" w:cs="Times New Roman"/>
          <w:szCs w:val="24"/>
        </w:rPr>
        <w:t xml:space="preserve">den foreslåede </w:t>
      </w:r>
      <w:r w:rsidR="00B63254">
        <w:rPr>
          <w:rFonts w:eastAsia="Calibri" w:cs="Times New Roman"/>
          <w:szCs w:val="24"/>
        </w:rPr>
        <w:t xml:space="preserve">§ 24 a i miljøbeskyttelsesloven, </w:t>
      </w:r>
      <w:r w:rsidR="00C75CCA">
        <w:rPr>
          <w:rFonts w:eastAsia="Calibri" w:cs="Times New Roman"/>
          <w:szCs w:val="24"/>
        </w:rPr>
        <w:t xml:space="preserve">kan </w:t>
      </w:r>
      <w:r w:rsidR="00B63254">
        <w:rPr>
          <w:rFonts w:eastAsia="Calibri" w:cs="Times New Roman"/>
          <w:szCs w:val="24"/>
        </w:rPr>
        <w:t xml:space="preserve">vandforsyningerne </w:t>
      </w:r>
      <w:r w:rsidR="00C102D0">
        <w:rPr>
          <w:rFonts w:eastAsia="Calibri" w:cs="Times New Roman"/>
          <w:szCs w:val="24"/>
        </w:rPr>
        <w:t xml:space="preserve">eller kommunen </w:t>
      </w:r>
      <w:r w:rsidR="00C75CCA">
        <w:rPr>
          <w:rFonts w:eastAsia="Calibri" w:cs="Times New Roman"/>
          <w:szCs w:val="24"/>
        </w:rPr>
        <w:t>indgå aftaler</w:t>
      </w:r>
      <w:r w:rsidR="00F81E72">
        <w:rPr>
          <w:rFonts w:eastAsia="Calibri" w:cs="Times New Roman"/>
          <w:szCs w:val="24"/>
        </w:rPr>
        <w:t xml:space="preserve"> </w:t>
      </w:r>
      <w:r w:rsidR="00B63F30">
        <w:rPr>
          <w:rFonts w:eastAsia="Calibri" w:cs="Times New Roman"/>
          <w:szCs w:val="24"/>
        </w:rPr>
        <w:t xml:space="preserve">med den pågældende </w:t>
      </w:r>
      <w:r w:rsidR="00C102D0">
        <w:rPr>
          <w:rFonts w:eastAsia="Calibri" w:cs="Times New Roman"/>
          <w:szCs w:val="24"/>
        </w:rPr>
        <w:t>grund</w:t>
      </w:r>
      <w:r w:rsidR="00B63F30">
        <w:rPr>
          <w:rFonts w:eastAsia="Calibri" w:cs="Times New Roman"/>
          <w:szCs w:val="24"/>
        </w:rPr>
        <w:t>ejer</w:t>
      </w:r>
      <w:r w:rsidR="005B2C9A">
        <w:rPr>
          <w:rFonts w:eastAsia="Calibri" w:cs="Times New Roman"/>
          <w:szCs w:val="24"/>
        </w:rPr>
        <w:t xml:space="preserve"> om</w:t>
      </w:r>
      <w:r w:rsidR="00B63F30">
        <w:rPr>
          <w:rFonts w:eastAsia="Calibri" w:cs="Times New Roman"/>
          <w:szCs w:val="24"/>
        </w:rPr>
        <w:t xml:space="preserve"> </w:t>
      </w:r>
      <w:r w:rsidR="008C757B">
        <w:rPr>
          <w:rFonts w:eastAsia="Calibri" w:cs="Times New Roman"/>
          <w:szCs w:val="24"/>
        </w:rPr>
        <w:t>dyrkningspraksis, salg af hele eller dele af ejendommen eller stop for erhvervsmæssig anvendelse af pesticider</w:t>
      </w:r>
      <w:r w:rsidR="00F81E72">
        <w:rPr>
          <w:rFonts w:eastAsia="Calibri" w:cs="Times New Roman"/>
          <w:szCs w:val="24"/>
        </w:rPr>
        <w:t xml:space="preserve">. </w:t>
      </w:r>
      <w:r w:rsidR="004323D2">
        <w:rPr>
          <w:rFonts w:eastAsia="Calibri" w:cs="Times New Roman"/>
          <w:szCs w:val="24"/>
        </w:rPr>
        <w:t xml:space="preserve">Det foreslås, at miljøministeren bemyndiges til at fastsætte regler om frister for, hvornår kommunen skal have </w:t>
      </w:r>
      <w:r w:rsidR="007B6641">
        <w:rPr>
          <w:rFonts w:eastAsia="Calibri" w:cs="Times New Roman"/>
          <w:szCs w:val="24"/>
        </w:rPr>
        <w:t>udstedt</w:t>
      </w:r>
      <w:r w:rsidR="004323D2">
        <w:rPr>
          <w:rFonts w:eastAsia="Calibri" w:cs="Times New Roman"/>
          <w:szCs w:val="24"/>
        </w:rPr>
        <w:t xml:space="preserve"> et påbud eller et forbud, hvis ikke der kan opnås en aftale på rimelige vilkår. </w:t>
      </w:r>
      <w:r w:rsidR="007B6641">
        <w:rPr>
          <w:rFonts w:eastAsia="Calibri" w:cs="Times New Roman"/>
          <w:szCs w:val="24"/>
        </w:rPr>
        <w:t>Reglerne om</w:t>
      </w:r>
      <w:r w:rsidR="00E733B0">
        <w:rPr>
          <w:rFonts w:eastAsia="Calibri" w:cs="Times New Roman"/>
          <w:szCs w:val="24"/>
        </w:rPr>
        <w:t xml:space="preserve"> aftale</w:t>
      </w:r>
      <w:r w:rsidR="007B6641">
        <w:rPr>
          <w:rFonts w:eastAsia="Calibri" w:cs="Times New Roman"/>
          <w:szCs w:val="24"/>
        </w:rPr>
        <w:t>r</w:t>
      </w:r>
      <w:r w:rsidR="00E733B0">
        <w:rPr>
          <w:rFonts w:eastAsia="Calibri" w:cs="Times New Roman"/>
          <w:szCs w:val="24"/>
        </w:rPr>
        <w:t xml:space="preserve"> </w:t>
      </w:r>
      <w:r w:rsidR="00961D7C">
        <w:rPr>
          <w:rFonts w:eastAsia="Calibri" w:cs="Times New Roman"/>
          <w:szCs w:val="24"/>
        </w:rPr>
        <w:t xml:space="preserve">mellem vandforsyning og </w:t>
      </w:r>
      <w:r w:rsidR="00C102D0">
        <w:rPr>
          <w:rFonts w:eastAsia="Calibri" w:cs="Times New Roman"/>
          <w:szCs w:val="24"/>
        </w:rPr>
        <w:t>grund</w:t>
      </w:r>
      <w:r w:rsidR="00961D7C">
        <w:rPr>
          <w:rFonts w:eastAsia="Calibri" w:cs="Times New Roman"/>
          <w:szCs w:val="24"/>
        </w:rPr>
        <w:t>ejer foreslås indsat i § 13 f i vandforsyningsloven.</w:t>
      </w:r>
    </w:p>
    <w:p w14:paraId="0EEF10E9" w14:textId="2422D119" w:rsidR="00E07C6F" w:rsidRDefault="00E07C6F" w:rsidP="00FD1A50">
      <w:pPr>
        <w:spacing w:after="240"/>
        <w:rPr>
          <w:rFonts w:eastAsia="Calibri" w:cs="Times New Roman"/>
          <w:szCs w:val="24"/>
        </w:rPr>
      </w:pPr>
      <w:r>
        <w:rPr>
          <w:rFonts w:eastAsia="Calibri" w:cs="Times New Roman"/>
          <w:szCs w:val="24"/>
        </w:rPr>
        <w:t>§ 13 f</w:t>
      </w:r>
      <w:r w:rsidR="0055317F">
        <w:rPr>
          <w:rFonts w:eastAsia="Calibri" w:cs="Times New Roman"/>
          <w:szCs w:val="24"/>
        </w:rPr>
        <w:t xml:space="preserve"> vil i store træk komme</w:t>
      </w:r>
      <w:r>
        <w:rPr>
          <w:rFonts w:eastAsia="Calibri" w:cs="Times New Roman"/>
          <w:szCs w:val="24"/>
        </w:rPr>
        <w:t xml:space="preserve"> til at følge systematikken i den gældende § 13 d i vandforsyningsloven, der regulerer aftaler om </w:t>
      </w:r>
      <w:r w:rsidR="00E733B0">
        <w:rPr>
          <w:rFonts w:eastAsia="Calibri" w:cs="Times New Roman"/>
          <w:szCs w:val="24"/>
        </w:rPr>
        <w:t xml:space="preserve">bl.a. </w:t>
      </w:r>
      <w:r>
        <w:rPr>
          <w:rFonts w:eastAsia="Calibri" w:cs="Times New Roman"/>
          <w:szCs w:val="24"/>
        </w:rPr>
        <w:t xml:space="preserve">dyrkningspraksis for at gennemføre en indsatsplan. </w:t>
      </w:r>
    </w:p>
    <w:p w14:paraId="04B55A9B" w14:textId="1D7D3E8C" w:rsidR="00CF1A9B" w:rsidRDefault="007C7B16" w:rsidP="00FD1A50">
      <w:pPr>
        <w:spacing w:after="240"/>
        <w:rPr>
          <w:rFonts w:eastAsia="Calibri" w:cs="Times New Roman"/>
          <w:szCs w:val="24"/>
        </w:rPr>
      </w:pPr>
      <w:r>
        <w:rPr>
          <w:rFonts w:eastAsia="Calibri" w:cs="Times New Roman"/>
          <w:szCs w:val="24"/>
        </w:rPr>
        <w:t xml:space="preserve">Efter den foreslåede ordning vil det være vandforsyningen, der skal tilbyde </w:t>
      </w:r>
      <w:r w:rsidR="00C102D0">
        <w:rPr>
          <w:rFonts w:eastAsia="Calibri" w:cs="Times New Roman"/>
          <w:szCs w:val="24"/>
        </w:rPr>
        <w:t>grund</w:t>
      </w:r>
      <w:r>
        <w:rPr>
          <w:rFonts w:eastAsia="Calibri" w:cs="Times New Roman"/>
          <w:szCs w:val="24"/>
        </w:rPr>
        <w:t>ejer at indgå en aftale om d</w:t>
      </w:r>
      <w:r w:rsidR="00FB5889">
        <w:rPr>
          <w:rFonts w:eastAsia="Calibri" w:cs="Times New Roman"/>
          <w:szCs w:val="24"/>
        </w:rPr>
        <w:t>yrkningspraksis eller andre restriktioner i arealanvendelsen eller aftale om salg af hele eller dele af ejendommen til kommunen eller den almene vandforsyning</w:t>
      </w:r>
      <w:r w:rsidR="007B6641">
        <w:rPr>
          <w:rFonts w:eastAsia="Calibri" w:cs="Times New Roman"/>
          <w:szCs w:val="24"/>
        </w:rPr>
        <w:t>, der som minimum sikrer et stop for den erhvervsmæssige anvendelse af pesticider i det pågældende BNBO</w:t>
      </w:r>
      <w:r>
        <w:rPr>
          <w:rFonts w:eastAsia="Calibri" w:cs="Times New Roman"/>
          <w:szCs w:val="24"/>
        </w:rPr>
        <w:t>.</w:t>
      </w:r>
    </w:p>
    <w:p w14:paraId="070541AA" w14:textId="48B357FB" w:rsidR="00CF1A9B" w:rsidRDefault="00CF1A9B" w:rsidP="00FD1A50">
      <w:pPr>
        <w:spacing w:after="240"/>
        <w:rPr>
          <w:rFonts w:eastAsia="Calibri" w:cs="Times New Roman"/>
          <w:szCs w:val="24"/>
        </w:rPr>
      </w:pPr>
      <w:r>
        <w:rPr>
          <w:rFonts w:eastAsia="Calibri" w:cs="Times New Roman"/>
          <w:szCs w:val="24"/>
        </w:rPr>
        <w:t xml:space="preserve">I de tilfælde hvor vandforsyningen som en del af beskyttelsesindsatsen i den foreslåede § 13 f køber hele eller dele af ejendommen, vil opkøbet være omfattet af de almindelige regler om </w:t>
      </w:r>
      <w:r w:rsidR="000E2A96">
        <w:rPr>
          <w:rFonts w:eastAsia="Calibri" w:cs="Times New Roman"/>
          <w:szCs w:val="24"/>
        </w:rPr>
        <w:t xml:space="preserve">vandsektorens økonomiske rammer, </w:t>
      </w:r>
      <w:r w:rsidR="000E2A96">
        <w:rPr>
          <w:rFonts w:eastAsia="Calibri" w:cs="Times New Roman"/>
          <w:szCs w:val="24"/>
        </w:rPr>
        <w:lastRenderedPageBreak/>
        <w:t xml:space="preserve">heriblandt regler </w:t>
      </w:r>
      <w:r w:rsidR="00770C25">
        <w:rPr>
          <w:rFonts w:eastAsia="Calibri" w:cs="Times New Roman"/>
          <w:szCs w:val="24"/>
        </w:rPr>
        <w:t>om, at vandforsyningers udgifter til drikkevandsbeskyttende tiltag skal være omkostningseffektive</w:t>
      </w:r>
      <w:r w:rsidR="000E2A96">
        <w:rPr>
          <w:rFonts w:eastAsia="Calibri" w:cs="Times New Roman"/>
          <w:szCs w:val="24"/>
        </w:rPr>
        <w:t>.</w:t>
      </w:r>
      <w:r w:rsidR="008C757B">
        <w:rPr>
          <w:rFonts w:eastAsia="Calibri" w:cs="Times New Roman"/>
          <w:szCs w:val="24"/>
        </w:rPr>
        <w:t xml:space="preserve"> Herudover forudsættes det også, at opkøbet af ejendommen ikke fører til, at der efterfølgende anvendes pesticider til erhvervsmæssige formål på området</w:t>
      </w:r>
      <w:r w:rsidR="00914ABA">
        <w:rPr>
          <w:rFonts w:eastAsia="Calibri" w:cs="Times New Roman"/>
          <w:szCs w:val="24"/>
        </w:rPr>
        <w:t>.</w:t>
      </w:r>
    </w:p>
    <w:p w14:paraId="142E50ED" w14:textId="583D5E6E" w:rsidR="00770C25" w:rsidRDefault="007C7B16" w:rsidP="00FD1A50">
      <w:pPr>
        <w:spacing w:after="240"/>
        <w:rPr>
          <w:rFonts w:eastAsia="Calibri" w:cs="Times New Roman"/>
          <w:szCs w:val="24"/>
        </w:rPr>
      </w:pPr>
      <w:r>
        <w:rPr>
          <w:rFonts w:eastAsia="Calibri" w:cs="Times New Roman"/>
          <w:szCs w:val="24"/>
        </w:rPr>
        <w:t xml:space="preserve">Det foreslås, at kommunen </w:t>
      </w:r>
      <w:r w:rsidR="001D0BC7">
        <w:rPr>
          <w:rFonts w:eastAsia="Calibri" w:cs="Times New Roman"/>
          <w:szCs w:val="24"/>
        </w:rPr>
        <w:t>vil kunne tilbyde</w:t>
      </w:r>
      <w:r>
        <w:rPr>
          <w:rFonts w:eastAsia="Calibri" w:cs="Times New Roman"/>
          <w:szCs w:val="24"/>
        </w:rPr>
        <w:t xml:space="preserve"> en aftale </w:t>
      </w:r>
      <w:r w:rsidR="000A3FC2">
        <w:rPr>
          <w:rFonts w:eastAsia="Calibri" w:cs="Times New Roman"/>
          <w:szCs w:val="24"/>
        </w:rPr>
        <w:t xml:space="preserve">med </w:t>
      </w:r>
      <w:r w:rsidR="00C102D0">
        <w:rPr>
          <w:rFonts w:eastAsia="Calibri" w:cs="Times New Roman"/>
          <w:szCs w:val="24"/>
        </w:rPr>
        <w:t xml:space="preserve">grundejer </w:t>
      </w:r>
      <w:r>
        <w:rPr>
          <w:rFonts w:eastAsia="Calibri" w:cs="Times New Roman"/>
          <w:szCs w:val="24"/>
        </w:rPr>
        <w:t xml:space="preserve">i de tilfælde, </w:t>
      </w:r>
      <w:r w:rsidR="008C757B">
        <w:rPr>
          <w:rFonts w:eastAsia="Calibri" w:cs="Times New Roman"/>
          <w:szCs w:val="24"/>
        </w:rPr>
        <w:t xml:space="preserve">hvor en </w:t>
      </w:r>
      <w:r>
        <w:rPr>
          <w:rFonts w:eastAsia="Calibri" w:cs="Times New Roman"/>
          <w:szCs w:val="24"/>
        </w:rPr>
        <w:t>vandforsyning ikke har lykke</w:t>
      </w:r>
      <w:r w:rsidR="00571F7A">
        <w:rPr>
          <w:rFonts w:eastAsia="Calibri" w:cs="Times New Roman"/>
          <w:szCs w:val="24"/>
        </w:rPr>
        <w:t>des</w:t>
      </w:r>
      <w:r>
        <w:rPr>
          <w:rFonts w:eastAsia="Calibri" w:cs="Times New Roman"/>
          <w:szCs w:val="24"/>
        </w:rPr>
        <w:t xml:space="preserve"> med at indgå en aftale efter den foreslåede ordning.</w:t>
      </w:r>
    </w:p>
    <w:p w14:paraId="4D7185E5" w14:textId="4C51601B" w:rsidR="003037EF" w:rsidRDefault="007C7B16" w:rsidP="00FD1A50">
      <w:pPr>
        <w:spacing w:after="240"/>
        <w:rPr>
          <w:rFonts w:eastAsia="Calibri" w:cs="Times New Roman"/>
          <w:szCs w:val="24"/>
        </w:rPr>
      </w:pPr>
      <w:r>
        <w:rPr>
          <w:rFonts w:eastAsia="Calibri" w:cs="Times New Roman"/>
          <w:szCs w:val="24"/>
        </w:rPr>
        <w:t>Høringen af den almene vandforsyning efter den foreslåede § 13 f, stk. 1</w:t>
      </w:r>
      <w:r w:rsidR="00B63254">
        <w:rPr>
          <w:rFonts w:eastAsia="Calibri" w:cs="Times New Roman"/>
          <w:szCs w:val="24"/>
        </w:rPr>
        <w:t>,</w:t>
      </w:r>
      <w:r>
        <w:rPr>
          <w:rFonts w:eastAsia="Calibri" w:cs="Times New Roman"/>
          <w:szCs w:val="24"/>
        </w:rPr>
        <w:t xml:space="preserve"> 2. </w:t>
      </w:r>
      <w:r w:rsidR="00B63254">
        <w:rPr>
          <w:rFonts w:eastAsia="Calibri" w:cs="Times New Roman"/>
          <w:szCs w:val="24"/>
        </w:rPr>
        <w:t>pkt.</w:t>
      </w:r>
      <w:r w:rsidR="000A3FC2">
        <w:rPr>
          <w:rFonts w:eastAsia="Calibri" w:cs="Times New Roman"/>
          <w:szCs w:val="24"/>
        </w:rPr>
        <w:t>,</w:t>
      </w:r>
      <w:r w:rsidR="00B63254">
        <w:rPr>
          <w:rFonts w:eastAsia="Calibri" w:cs="Times New Roman"/>
          <w:szCs w:val="24"/>
        </w:rPr>
        <w:t xml:space="preserve"> </w:t>
      </w:r>
      <w:r>
        <w:rPr>
          <w:rFonts w:eastAsia="Calibri" w:cs="Times New Roman"/>
          <w:szCs w:val="24"/>
        </w:rPr>
        <w:t xml:space="preserve">gælder således kun i de tilfælde, hvor kommunen </w:t>
      </w:r>
      <w:r w:rsidR="00655D24">
        <w:rPr>
          <w:rFonts w:eastAsia="Calibri" w:cs="Times New Roman"/>
          <w:szCs w:val="24"/>
        </w:rPr>
        <w:t xml:space="preserve">indgår </w:t>
      </w:r>
      <w:r>
        <w:rPr>
          <w:rFonts w:eastAsia="Calibri" w:cs="Times New Roman"/>
          <w:szCs w:val="24"/>
        </w:rPr>
        <w:t xml:space="preserve">en aftale med </w:t>
      </w:r>
      <w:r w:rsidR="007D1A95">
        <w:rPr>
          <w:rFonts w:eastAsia="Calibri" w:cs="Times New Roman"/>
          <w:szCs w:val="24"/>
        </w:rPr>
        <w:t xml:space="preserve">grundejer </w:t>
      </w:r>
      <w:r w:rsidR="00B63254">
        <w:rPr>
          <w:rFonts w:eastAsia="Calibri" w:cs="Times New Roman"/>
          <w:szCs w:val="24"/>
        </w:rPr>
        <w:t>efter den foreslåede § 13 f, stk. 1, 1. pkt.</w:t>
      </w:r>
      <w:r w:rsidR="00A8081C">
        <w:rPr>
          <w:rFonts w:eastAsia="Calibri" w:cs="Times New Roman"/>
          <w:szCs w:val="24"/>
        </w:rPr>
        <w:t>,</w:t>
      </w:r>
      <w:r w:rsidR="00B63254">
        <w:rPr>
          <w:rFonts w:eastAsia="Calibri" w:cs="Times New Roman"/>
          <w:szCs w:val="24"/>
        </w:rPr>
        <w:t xml:space="preserve"> </w:t>
      </w:r>
      <w:r>
        <w:rPr>
          <w:rFonts w:eastAsia="Calibri" w:cs="Times New Roman"/>
          <w:szCs w:val="24"/>
        </w:rPr>
        <w:t>Det vil således fortsat være vandforsyningen, der afholder udgiften til</w:t>
      </w:r>
      <w:r w:rsidR="00237074">
        <w:rPr>
          <w:rFonts w:eastAsia="Calibri" w:cs="Times New Roman"/>
          <w:szCs w:val="24"/>
        </w:rPr>
        <w:t xml:space="preserve"> den aftale, der indgås mellem </w:t>
      </w:r>
      <w:r w:rsidR="000A3FC2">
        <w:rPr>
          <w:rFonts w:eastAsia="Calibri" w:cs="Times New Roman"/>
          <w:szCs w:val="24"/>
        </w:rPr>
        <w:t xml:space="preserve">kommunen </w:t>
      </w:r>
      <w:r w:rsidR="00237074">
        <w:rPr>
          <w:rFonts w:eastAsia="Calibri" w:cs="Times New Roman"/>
          <w:szCs w:val="24"/>
        </w:rPr>
        <w:t xml:space="preserve">og </w:t>
      </w:r>
      <w:r w:rsidR="006A6E12">
        <w:rPr>
          <w:rFonts w:eastAsia="Calibri" w:cs="Times New Roman"/>
          <w:szCs w:val="24"/>
        </w:rPr>
        <w:t>grund</w:t>
      </w:r>
      <w:r w:rsidR="00237074">
        <w:rPr>
          <w:rFonts w:eastAsia="Calibri" w:cs="Times New Roman"/>
          <w:szCs w:val="24"/>
        </w:rPr>
        <w:t>ejer, da vandforsyningen vil få fordel af aftalen som følge af</w:t>
      </w:r>
      <w:r w:rsidR="000A3FC2">
        <w:rPr>
          <w:rFonts w:eastAsia="Calibri" w:cs="Times New Roman"/>
          <w:szCs w:val="24"/>
        </w:rPr>
        <w:t>,</w:t>
      </w:r>
      <w:r w:rsidR="00237074">
        <w:rPr>
          <w:rFonts w:eastAsia="Calibri" w:cs="Times New Roman"/>
          <w:szCs w:val="24"/>
        </w:rPr>
        <w:t xml:space="preserve"> at </w:t>
      </w:r>
      <w:r w:rsidR="00200BAB">
        <w:rPr>
          <w:rFonts w:eastAsia="Calibri" w:cs="Times New Roman"/>
          <w:szCs w:val="24"/>
        </w:rPr>
        <w:t xml:space="preserve">drikkevandsressourcen i </w:t>
      </w:r>
      <w:r w:rsidR="00237074">
        <w:rPr>
          <w:rFonts w:eastAsia="Calibri" w:cs="Times New Roman"/>
          <w:szCs w:val="24"/>
        </w:rPr>
        <w:t xml:space="preserve">BNBO er blevet beskyttet. </w:t>
      </w:r>
    </w:p>
    <w:p w14:paraId="2EEAEDFB" w14:textId="0076BC32" w:rsidR="0049054A" w:rsidRDefault="0049054A" w:rsidP="00FD1A50">
      <w:pPr>
        <w:spacing w:after="240"/>
        <w:rPr>
          <w:rFonts w:eastAsia="Calibri" w:cs="Times New Roman"/>
          <w:szCs w:val="24"/>
        </w:rPr>
      </w:pPr>
      <w:r>
        <w:rPr>
          <w:rFonts w:eastAsia="Calibri" w:cs="Times New Roman"/>
          <w:szCs w:val="24"/>
        </w:rPr>
        <w:t>I stk. 2 foreslås det, at</w:t>
      </w:r>
      <w:r w:rsidR="009F76AE">
        <w:rPr>
          <w:rFonts w:eastAsia="Calibri" w:cs="Times New Roman"/>
          <w:szCs w:val="24"/>
        </w:rPr>
        <w:t xml:space="preserve"> </w:t>
      </w:r>
      <w:r w:rsidR="00BD7490">
        <w:rPr>
          <w:rFonts w:eastAsia="Calibri" w:cs="Times New Roman"/>
          <w:szCs w:val="24"/>
        </w:rPr>
        <w:t>vandforsyningen eller kommunalbestyrelsen for grundejerens regning tinglyser aftalen efter stk. 1, og at</w:t>
      </w:r>
      <w:r w:rsidR="00566C26">
        <w:rPr>
          <w:rFonts w:eastAsia="Calibri" w:cs="Times New Roman"/>
          <w:szCs w:val="24"/>
        </w:rPr>
        <w:t xml:space="preserve"> det indskrives, at</w:t>
      </w:r>
      <w:r w:rsidR="00BD7490">
        <w:rPr>
          <w:rFonts w:eastAsia="Calibri" w:cs="Times New Roman"/>
          <w:szCs w:val="24"/>
        </w:rPr>
        <w:t xml:space="preserve"> aftalen efter stk. 1 </w:t>
      </w:r>
      <w:r w:rsidR="00F33E8E">
        <w:rPr>
          <w:rFonts w:eastAsia="Calibri" w:cs="Times New Roman"/>
          <w:szCs w:val="24"/>
        </w:rPr>
        <w:t>kan tinglyses med prioritet forud for alle rettigheder i ejendommen</w:t>
      </w:r>
      <w:r w:rsidR="00BD7490">
        <w:rPr>
          <w:rFonts w:eastAsia="Calibri" w:cs="Times New Roman"/>
          <w:szCs w:val="24"/>
        </w:rPr>
        <w:t>. Det foreslås også, at § 119 i lov om offentlige veje finder anvendelse ved udbetalingen af det aftalte beløb.</w:t>
      </w:r>
    </w:p>
    <w:p w14:paraId="4C3B7119" w14:textId="0CA8A926" w:rsidR="0049054A" w:rsidRDefault="0049054A" w:rsidP="00FD1A50">
      <w:pPr>
        <w:spacing w:after="240"/>
        <w:rPr>
          <w:rFonts w:eastAsia="Calibri" w:cs="Times New Roman"/>
          <w:szCs w:val="24"/>
        </w:rPr>
      </w:pPr>
      <w:r>
        <w:rPr>
          <w:rFonts w:eastAsia="Calibri" w:cs="Times New Roman"/>
          <w:szCs w:val="24"/>
        </w:rPr>
        <w:t xml:space="preserve">I stk. </w:t>
      </w:r>
      <w:r w:rsidR="0013262F">
        <w:rPr>
          <w:rFonts w:eastAsia="Calibri" w:cs="Times New Roman"/>
          <w:szCs w:val="24"/>
        </w:rPr>
        <w:t>3</w:t>
      </w:r>
      <w:r>
        <w:rPr>
          <w:rFonts w:eastAsia="Calibri" w:cs="Times New Roman"/>
          <w:szCs w:val="24"/>
        </w:rPr>
        <w:t xml:space="preserve"> foreslås det, at </w:t>
      </w:r>
      <w:r w:rsidR="0013262F">
        <w:rPr>
          <w:rFonts w:eastAsia="Calibri" w:cs="Times New Roman"/>
          <w:szCs w:val="24"/>
        </w:rPr>
        <w:t>miljøministeren kan fastsætte regler om aftaleindgåelse efter stk. 1, herunder bl.a. om tidsfrister, vilkår og rammer for aftaleindgåelsen.</w:t>
      </w:r>
      <w:r w:rsidR="00E1281E">
        <w:rPr>
          <w:rFonts w:eastAsia="Calibri" w:cs="Times New Roman"/>
          <w:szCs w:val="24"/>
        </w:rPr>
        <w:t xml:space="preserve"> Bemyndigelsen vil kunne blive anvendt til bl.a. at fastsætte regler om, hva</w:t>
      </w:r>
      <w:r w:rsidR="00092BA8">
        <w:rPr>
          <w:rFonts w:eastAsia="Calibri" w:cs="Times New Roman"/>
          <w:szCs w:val="24"/>
        </w:rPr>
        <w:t>d der kan indgås aftaler om efter stk. 1 og vilkår for aftalen, heriblandt konsekvenser, hvis grundejeren ikke overholder aftalen.</w:t>
      </w:r>
    </w:p>
    <w:p w14:paraId="5182B29C" w14:textId="2809CD3C" w:rsidR="00D756B5" w:rsidRPr="00D756B5" w:rsidRDefault="00A44381" w:rsidP="00FD1A50">
      <w:pPr>
        <w:spacing w:after="240"/>
        <w:rPr>
          <w:rFonts w:eastAsia="Calibri" w:cs="Times New Roman"/>
          <w:szCs w:val="24"/>
        </w:rPr>
      </w:pPr>
      <w:r>
        <w:rPr>
          <w:rFonts w:eastAsia="Calibri" w:cs="Times New Roman"/>
          <w:szCs w:val="24"/>
        </w:rPr>
        <w:t xml:space="preserve">Hvis en vandforsyning eller kommune ikke er lykkedes med at indgå en aftale efter § 13 f, </w:t>
      </w:r>
      <w:r w:rsidR="00340533">
        <w:rPr>
          <w:rFonts w:eastAsia="Calibri" w:cs="Times New Roman"/>
          <w:szCs w:val="24"/>
        </w:rPr>
        <w:t>vil</w:t>
      </w:r>
      <w:r w:rsidR="00E8326F">
        <w:rPr>
          <w:rFonts w:eastAsia="Calibri" w:cs="Times New Roman"/>
          <w:szCs w:val="24"/>
        </w:rPr>
        <w:t xml:space="preserve"> </w:t>
      </w:r>
      <w:r>
        <w:rPr>
          <w:rFonts w:eastAsia="Calibri" w:cs="Times New Roman"/>
          <w:szCs w:val="24"/>
        </w:rPr>
        <w:t xml:space="preserve">kommunerne </w:t>
      </w:r>
      <w:r w:rsidR="00340533">
        <w:rPr>
          <w:rFonts w:eastAsia="Calibri" w:cs="Times New Roman"/>
          <w:szCs w:val="24"/>
        </w:rPr>
        <w:t>skulle</w:t>
      </w:r>
      <w:r>
        <w:rPr>
          <w:rFonts w:eastAsia="Calibri" w:cs="Times New Roman"/>
          <w:szCs w:val="24"/>
        </w:rPr>
        <w:t xml:space="preserve"> </w:t>
      </w:r>
      <w:r w:rsidR="007B6641">
        <w:rPr>
          <w:rFonts w:eastAsia="Calibri" w:cs="Times New Roman"/>
          <w:szCs w:val="24"/>
        </w:rPr>
        <w:t>udstede</w:t>
      </w:r>
      <w:r>
        <w:rPr>
          <w:rFonts w:eastAsia="Calibri" w:cs="Times New Roman"/>
          <w:szCs w:val="24"/>
        </w:rPr>
        <w:t xml:space="preserve"> påbud eller forbud efter den foreslåede § 24 a. </w:t>
      </w:r>
    </w:p>
    <w:p w14:paraId="3830AFB5" w14:textId="77777777" w:rsidR="00D756B5" w:rsidRPr="00D756B5" w:rsidRDefault="00D756B5" w:rsidP="00D756B5">
      <w:pPr>
        <w:spacing w:after="240"/>
      </w:pPr>
      <w:r w:rsidRPr="00D756B5">
        <w:t xml:space="preserve">Det er Miljøministeriets vurdering, at den foreslåede ordning vil kunne udgøre et indgreb i en rettighed, der er beskyttet af grundlovens § 73, for så vidt angår påbud eller forbud efter den foreslåede § 24 a i miljøbeskyttelsesloven om f.eks. at forbyde den erhvervsmæssige anvendelse af pesticider i et BNBO. </w:t>
      </w:r>
    </w:p>
    <w:p w14:paraId="3ED17BA9" w14:textId="77777777" w:rsidR="00D756B5" w:rsidRPr="00D756B5" w:rsidRDefault="00D756B5" w:rsidP="00D756B5">
      <w:pPr>
        <w:spacing w:after="240"/>
      </w:pPr>
      <w:r w:rsidRPr="00D756B5">
        <w:t xml:space="preserve">Det er endvidere Miljøministeriets vurdering, at påbud eller forbud efter den foreslåede § 24 a ikke i almindelighed vil udgøre ekspropriation (afståelse) efter grundlovens § 73. Der er herved navnlig lagt vægt på, at ordningen er begrundet i væsentlige hensyn til beskyttelsen af drikkevandsinteresserne. </w:t>
      </w:r>
    </w:p>
    <w:p w14:paraId="0581D21F" w14:textId="77777777" w:rsidR="00D756B5" w:rsidRPr="00D756B5" w:rsidRDefault="00D756B5" w:rsidP="00D756B5">
      <w:pPr>
        <w:spacing w:after="240"/>
      </w:pPr>
      <w:r w:rsidRPr="00D756B5">
        <w:lastRenderedPageBreak/>
        <w:t xml:space="preserve">Endvidere er der ved denne vurdering lagt vægt på, at der er tale om generel regulering overfor alle grundejere i de beskyttede områder, som vil ramme den enkelte grundejer med vekslende intensitet, og at et påbud eller forbud efter § 24 a i almindelighed vil have begrænset intensitet, idet et påbud eller forbud alene vil udstedes i den konkrete BNBO, der i almindelighed har en begrænset arealmæssig udstrækning. </w:t>
      </w:r>
    </w:p>
    <w:p w14:paraId="6066ACED" w14:textId="65D6AE31" w:rsidR="00D756B5" w:rsidRPr="00D756B5" w:rsidRDefault="00D756B5" w:rsidP="00D756B5">
      <w:pPr>
        <w:spacing w:after="240"/>
      </w:pPr>
      <w:r w:rsidRPr="00D756B5">
        <w:t>Der er desuden lagt vægt på, at et påbud eller forbud ikke indebærer en overførelse af ejendomsretten, men en begrænsning i rådigheden og kun vil angå den erhvervsmæssige anvendelse af pesticider, således at et påbud eller forbud ikke vil hindre en fortsættelse af anden lovlig anvendelse af arealerne. Samtidig lægges der op til, at et påbud eller forbud i alle tilfælde vil medføre fuld</w:t>
      </w:r>
      <w:r w:rsidR="001667D7">
        <w:t>stændig</w:t>
      </w:r>
      <w:r w:rsidRPr="00D756B5">
        <w:t xml:space="preserve"> erstatning, hvilket vil afbøde intensiteten af et påbud eller forbud yderligere, jf. nærmere nedenfor.</w:t>
      </w:r>
    </w:p>
    <w:p w14:paraId="5E04ECBE" w14:textId="77777777" w:rsidR="00D756B5" w:rsidRPr="00D756B5" w:rsidRDefault="00D756B5" w:rsidP="00D756B5">
      <w:pPr>
        <w:spacing w:after="240"/>
      </w:pPr>
      <w:r w:rsidRPr="00D756B5">
        <w:t xml:space="preserve">Det vurderes imidlertid, at det ikke på forhånd kan udelukkes, at afgørelser efter den foreslåede ordning kan ramme enkelte grundejere med en intensitet, så det kan få karakter af ekspropriation. Det må bero på en konkret vurdering, om der i de enkelte tilfælde foreligger ekspropriation. Hvis der foreligger ekspropriation, vil den pågældende grundejer have krav på fuldstændig erstatning i medfør af grundlovens § 73. Kan der ikke opnås enighed herom, må spørgsmålet i givet fald indbringes for domstolene. </w:t>
      </w:r>
    </w:p>
    <w:p w14:paraId="7DFB1D65" w14:textId="603E2BA7" w:rsidR="00D756B5" w:rsidRDefault="00D756B5" w:rsidP="00D756B5">
      <w:pPr>
        <w:spacing w:after="240"/>
      </w:pPr>
      <w:r>
        <w:t xml:space="preserve">Den foreslåede ordning i § 24 a medfører, at </w:t>
      </w:r>
      <w:r w:rsidRPr="001777B0">
        <w:t>der</w:t>
      </w:r>
      <w:r w:rsidR="00A95931">
        <w:t>,</w:t>
      </w:r>
      <w:r>
        <w:t xml:space="preserve"> uanset om et påbud eller forbud måtte have karakter af ekspropriation</w:t>
      </w:r>
      <w:r w:rsidR="00A95931">
        <w:t>,</w:t>
      </w:r>
      <w:r>
        <w:t xml:space="preserve"> </w:t>
      </w:r>
      <w:r w:rsidRPr="001777B0">
        <w:t xml:space="preserve">udbetales </w:t>
      </w:r>
      <w:r>
        <w:t xml:space="preserve">fuldstændig erstatning til grundejeren for det tab, som et påbud eller forbud vil medføre. </w:t>
      </w:r>
    </w:p>
    <w:p w14:paraId="18D91222" w14:textId="1B207B65" w:rsidR="005951D7" w:rsidRPr="00C019CC" w:rsidRDefault="005951D7" w:rsidP="005951D7">
      <w:pPr>
        <w:spacing w:after="240"/>
      </w:pPr>
      <w:bookmarkStart w:id="3" w:name="_Hlk149902313"/>
      <w:r>
        <w:t xml:space="preserve">Det forudsættes i øvrigt, at forvaltningslovens regler generelt </w:t>
      </w:r>
      <w:r w:rsidR="007D1A95">
        <w:t xml:space="preserve">gælder </w:t>
      </w:r>
      <w:r>
        <w:t xml:space="preserve">for afgørelser efter den foreslåede § 24 a. </w:t>
      </w:r>
    </w:p>
    <w:bookmarkEnd w:id="3"/>
    <w:p w14:paraId="5A9970F3" w14:textId="4C1D9B74" w:rsidR="005951D7" w:rsidRPr="00C21D3C" w:rsidRDefault="005951D7" w:rsidP="005951D7">
      <w:pPr>
        <w:spacing w:after="240"/>
        <w:rPr>
          <w:rFonts w:eastAsia="Calibri" w:cs="Times New Roman"/>
          <w:szCs w:val="24"/>
        </w:rPr>
      </w:pPr>
      <w:r>
        <w:rPr>
          <w:rFonts w:eastAsia="Calibri" w:cs="Times New Roman"/>
          <w:szCs w:val="24"/>
        </w:rPr>
        <w:t xml:space="preserve">Der henvises til </w:t>
      </w:r>
      <w:r w:rsidR="00E8326F">
        <w:rPr>
          <w:rFonts w:eastAsia="Calibri" w:cs="Times New Roman"/>
          <w:szCs w:val="24"/>
        </w:rPr>
        <w:t xml:space="preserve">de specielle bemærkninger til den foreslåede </w:t>
      </w:r>
      <w:r w:rsidR="00A95931">
        <w:rPr>
          <w:rFonts w:eastAsia="Calibri" w:cs="Times New Roman"/>
          <w:szCs w:val="24"/>
        </w:rPr>
        <w:t>§</w:t>
      </w:r>
      <w:r w:rsidR="00E8326F">
        <w:rPr>
          <w:rFonts w:eastAsia="Calibri" w:cs="Times New Roman"/>
          <w:szCs w:val="24"/>
        </w:rPr>
        <w:t>§ 24 a og 64 e, og til lovforslagets pkt. 3.3.2.</w:t>
      </w:r>
    </w:p>
    <w:p w14:paraId="4DAFBB79" w14:textId="75F7C392" w:rsidR="00F40880" w:rsidRDefault="00F40880" w:rsidP="00FD1A50">
      <w:pPr>
        <w:spacing w:after="240"/>
        <w:rPr>
          <w:rFonts w:eastAsia="Calibri" w:cs="Times New Roman"/>
          <w:szCs w:val="24"/>
        </w:rPr>
      </w:pPr>
      <w:r>
        <w:rPr>
          <w:rFonts w:eastAsia="Calibri" w:cs="Times New Roman"/>
          <w:szCs w:val="24"/>
        </w:rPr>
        <w:t>Det foreslås, at der i § 24 a, stk. 2</w:t>
      </w:r>
      <w:r w:rsidR="002E20E3">
        <w:rPr>
          <w:rFonts w:eastAsia="Calibri" w:cs="Times New Roman"/>
          <w:szCs w:val="24"/>
        </w:rPr>
        <w:t>,</w:t>
      </w:r>
      <w:r>
        <w:rPr>
          <w:rFonts w:eastAsia="Calibri" w:cs="Times New Roman"/>
          <w:szCs w:val="24"/>
        </w:rPr>
        <w:t xml:space="preserve"> indsættes en række undtagelser til stk. 1, hvorefter kravet i stk. 1 ikke</w:t>
      </w:r>
      <w:r w:rsidR="00E8326F">
        <w:rPr>
          <w:rFonts w:eastAsia="Calibri" w:cs="Times New Roman"/>
          <w:szCs w:val="24"/>
        </w:rPr>
        <w:t xml:space="preserve"> vil</w:t>
      </w:r>
      <w:r>
        <w:rPr>
          <w:rFonts w:eastAsia="Calibri" w:cs="Times New Roman"/>
          <w:szCs w:val="24"/>
        </w:rPr>
        <w:t xml:space="preserve"> gælde. Undtagelserne </w:t>
      </w:r>
      <w:r w:rsidR="001B32CC">
        <w:rPr>
          <w:rFonts w:eastAsia="Calibri" w:cs="Times New Roman"/>
          <w:szCs w:val="24"/>
        </w:rPr>
        <w:t>vil</w:t>
      </w:r>
      <w:r>
        <w:rPr>
          <w:rFonts w:eastAsia="Calibri" w:cs="Times New Roman"/>
          <w:szCs w:val="24"/>
        </w:rPr>
        <w:t xml:space="preserve"> omfatte situationer, hvor </w:t>
      </w:r>
      <w:r w:rsidR="004323D2">
        <w:rPr>
          <w:rFonts w:eastAsia="Calibri" w:cs="Times New Roman"/>
          <w:szCs w:val="24"/>
        </w:rPr>
        <w:t xml:space="preserve">kommunen </w:t>
      </w:r>
      <w:r w:rsidR="00BD73C1">
        <w:rPr>
          <w:rFonts w:eastAsia="Calibri" w:cs="Times New Roman"/>
          <w:szCs w:val="24"/>
        </w:rPr>
        <w:t xml:space="preserve">vurderer et beskyttelsesbehov </w:t>
      </w:r>
      <w:r w:rsidR="004323D2">
        <w:rPr>
          <w:rFonts w:eastAsia="Calibri" w:cs="Times New Roman"/>
          <w:szCs w:val="24"/>
        </w:rPr>
        <w:t xml:space="preserve">efter </w:t>
      </w:r>
      <w:r w:rsidR="00886863">
        <w:rPr>
          <w:rFonts w:eastAsia="Calibri" w:cs="Times New Roman"/>
          <w:szCs w:val="24"/>
        </w:rPr>
        <w:t>at have foretaget en vurdering i medfør af BNBO-bekendtgørelsen</w:t>
      </w:r>
      <w:r w:rsidR="00BD73C1">
        <w:rPr>
          <w:rFonts w:eastAsia="Calibri" w:cs="Times New Roman"/>
          <w:szCs w:val="24"/>
        </w:rPr>
        <w:t xml:space="preserve"> og</w:t>
      </w:r>
      <w:r w:rsidR="00886863">
        <w:rPr>
          <w:rFonts w:eastAsia="Calibri" w:cs="Times New Roman"/>
          <w:szCs w:val="24"/>
        </w:rPr>
        <w:t xml:space="preserve"> har iværksat beskyttelsesforanstaltninger, som beskytter BNBO på tilsvarende vis for så vidt angår </w:t>
      </w:r>
      <w:r w:rsidR="002A4BE8">
        <w:rPr>
          <w:rFonts w:eastAsia="Calibri" w:cs="Times New Roman"/>
          <w:szCs w:val="24"/>
        </w:rPr>
        <w:t xml:space="preserve">anvendelse af </w:t>
      </w:r>
      <w:r w:rsidR="00BE36E3">
        <w:rPr>
          <w:rFonts w:eastAsia="Calibri" w:cs="Times New Roman"/>
          <w:szCs w:val="24"/>
        </w:rPr>
        <w:t>pesticider</w:t>
      </w:r>
      <w:r w:rsidR="002A4BE8">
        <w:rPr>
          <w:rFonts w:eastAsia="Calibri" w:cs="Times New Roman"/>
          <w:szCs w:val="24"/>
        </w:rPr>
        <w:t xml:space="preserve">, </w:t>
      </w:r>
      <w:r w:rsidR="00886863">
        <w:rPr>
          <w:rFonts w:eastAsia="Calibri" w:cs="Times New Roman"/>
          <w:szCs w:val="24"/>
        </w:rPr>
        <w:t xml:space="preserve">og hvor beskyttelsen er </w:t>
      </w:r>
      <w:r w:rsidR="00140CD8">
        <w:rPr>
          <w:rFonts w:eastAsia="Calibri" w:cs="Times New Roman"/>
          <w:szCs w:val="24"/>
        </w:rPr>
        <w:t>trådt i kraft</w:t>
      </w:r>
      <w:r w:rsidR="00886863">
        <w:rPr>
          <w:rFonts w:eastAsia="Calibri" w:cs="Times New Roman"/>
          <w:szCs w:val="24"/>
        </w:rPr>
        <w:t xml:space="preserve">. Undtagelserne vil gælde påbud </w:t>
      </w:r>
      <w:r w:rsidR="006052DC">
        <w:rPr>
          <w:rFonts w:eastAsia="Calibri" w:cs="Times New Roman"/>
          <w:szCs w:val="24"/>
        </w:rPr>
        <w:t xml:space="preserve">eller forbud </w:t>
      </w:r>
      <w:r w:rsidR="00886863">
        <w:rPr>
          <w:rFonts w:eastAsia="Calibri" w:cs="Times New Roman"/>
          <w:szCs w:val="24"/>
        </w:rPr>
        <w:t xml:space="preserve">efter § 24, forbud eller andre rådighedsindskrænkninger efter § 26 a, </w:t>
      </w:r>
      <w:r w:rsidR="00E27409">
        <w:rPr>
          <w:rFonts w:eastAsia="Calibri" w:cs="Times New Roman"/>
          <w:szCs w:val="24"/>
        </w:rPr>
        <w:t>aftaler efter § 13 d i lov om vandforsyning m</w:t>
      </w:r>
      <w:r w:rsidR="00AA5409">
        <w:rPr>
          <w:rFonts w:eastAsia="Calibri" w:cs="Times New Roman"/>
          <w:szCs w:val="24"/>
        </w:rPr>
        <w:t>.</w:t>
      </w:r>
      <w:r w:rsidR="00E27409">
        <w:rPr>
          <w:rFonts w:eastAsia="Calibri" w:cs="Times New Roman"/>
          <w:szCs w:val="24"/>
        </w:rPr>
        <w:t xml:space="preserve">v. eller andre beskyttelsesforanstaltninger, som giver en </w:t>
      </w:r>
      <w:r w:rsidR="00E27409">
        <w:rPr>
          <w:rFonts w:eastAsia="Calibri" w:cs="Times New Roman"/>
          <w:szCs w:val="24"/>
        </w:rPr>
        <w:lastRenderedPageBreak/>
        <w:t xml:space="preserve">tilsvarende beskyttelse som i </w:t>
      </w:r>
      <w:r w:rsidR="00224CF1">
        <w:rPr>
          <w:rFonts w:eastAsia="Calibri" w:cs="Times New Roman"/>
          <w:szCs w:val="24"/>
        </w:rPr>
        <w:t xml:space="preserve">§ 24 a, </w:t>
      </w:r>
      <w:r w:rsidR="00E27409">
        <w:rPr>
          <w:rFonts w:eastAsia="Calibri" w:cs="Times New Roman"/>
          <w:szCs w:val="24"/>
        </w:rPr>
        <w:t>stk. 1</w:t>
      </w:r>
      <w:r w:rsidR="00224CF1">
        <w:rPr>
          <w:rFonts w:eastAsia="Calibri" w:cs="Times New Roman"/>
          <w:szCs w:val="24"/>
        </w:rPr>
        <w:t xml:space="preserve">, hvorefter der gives et påbud eller udstedes et forbud </w:t>
      </w:r>
      <w:r w:rsidR="00570BE0">
        <w:rPr>
          <w:rFonts w:eastAsia="Calibri" w:cs="Times New Roman"/>
          <w:szCs w:val="24"/>
        </w:rPr>
        <w:t>mod</w:t>
      </w:r>
      <w:r w:rsidR="00224CF1">
        <w:rPr>
          <w:rFonts w:eastAsia="Calibri" w:cs="Times New Roman"/>
          <w:szCs w:val="24"/>
        </w:rPr>
        <w:t xml:space="preserve"> erhvervsmæssig anvendelse af </w:t>
      </w:r>
      <w:r w:rsidR="00D66D87">
        <w:rPr>
          <w:rFonts w:eastAsia="Calibri" w:cs="Times New Roman"/>
          <w:szCs w:val="24"/>
        </w:rPr>
        <w:t xml:space="preserve">pesticider </w:t>
      </w:r>
      <w:r w:rsidR="00224CF1">
        <w:rPr>
          <w:rFonts w:eastAsia="Calibri" w:cs="Times New Roman"/>
          <w:szCs w:val="24"/>
        </w:rPr>
        <w:t>i BNBO</w:t>
      </w:r>
      <w:r w:rsidR="00E27409">
        <w:rPr>
          <w:rFonts w:eastAsia="Calibri" w:cs="Times New Roman"/>
          <w:szCs w:val="24"/>
        </w:rPr>
        <w:t>.</w:t>
      </w:r>
    </w:p>
    <w:p w14:paraId="134EA1FB" w14:textId="46F8FE37" w:rsidR="00961D7C" w:rsidRDefault="00A1170F" w:rsidP="00A1170F">
      <w:r>
        <w:t>Fælles for undtagelsesbestemmelserne i stk. 2 vil være, at beskyttelsesforanstaltningerne skal yde en tilsvarende beskyttelse som i stk. 1. Det undgås herved, at der iværksættes påbud eller forbud efter stk. 1 i områder, som allerede er beskyttet på tilsvarende vis</w:t>
      </w:r>
      <w:r w:rsidR="00BB6C78">
        <w:t>, f.eks. ved økologisk dyrkning</w:t>
      </w:r>
      <w:r>
        <w:t>, og at der således heller ikke ydes erstatning to gange for to indgreb som i deres indhold og anvendelsesområde er ens.</w:t>
      </w:r>
      <w:r w:rsidR="00F227A1">
        <w:t xml:space="preserve"> En grundejer vil således ikke kunne få erstatning to gange for en tilsvarende beskyttelsesindsats, som er iværksat i samme område.</w:t>
      </w:r>
    </w:p>
    <w:p w14:paraId="593D701A" w14:textId="77777777" w:rsidR="008A2792" w:rsidRDefault="008A2792" w:rsidP="00A1170F"/>
    <w:p w14:paraId="4E766292" w14:textId="221FFBE6" w:rsidR="00A1170F" w:rsidRDefault="00A1170F" w:rsidP="00A1170F">
      <w:r>
        <w:t xml:space="preserve">Det foreslås, at der i stk. </w:t>
      </w:r>
      <w:r w:rsidR="00327DD3">
        <w:t>3</w:t>
      </w:r>
      <w:r>
        <w:t xml:space="preserve"> indsættes et krav om, at kommunalbestyrelsen for ejerens regning</w:t>
      </w:r>
      <w:r w:rsidR="00E8326F">
        <w:t xml:space="preserve"> skal</w:t>
      </w:r>
      <w:r>
        <w:t xml:space="preserve"> tinglyse et</w:t>
      </w:r>
      <w:r w:rsidR="00D64A08">
        <w:t xml:space="preserve"> påbud eller</w:t>
      </w:r>
      <w:r>
        <w:t xml:space="preserve"> forbud efter stk. 1 i </w:t>
      </w:r>
      <w:r w:rsidR="00140CD8">
        <w:t>BNBO</w:t>
      </w:r>
      <w:r w:rsidR="00D64A08">
        <w:t>, medmindre et påbud eller forbud efter stk. 1 udgør ekspropriation</w:t>
      </w:r>
      <w:r w:rsidR="0008033B">
        <w:t>.</w:t>
      </w:r>
      <w:r w:rsidR="0055317F">
        <w:t xml:space="preserve"> </w:t>
      </w:r>
      <w:r>
        <w:t>Ved at indsætte et krav om, at kommunens forbud tinglyses</w:t>
      </w:r>
      <w:r w:rsidR="00082D9A">
        <w:t>,</w:t>
      </w:r>
      <w:r>
        <w:t xml:space="preserve"> vil det blive klart over for eventuelle købere eller forpagtere af det pågældende BNBO, at kommunen har udstedt et </w:t>
      </w:r>
      <w:r w:rsidR="0055317F">
        <w:t xml:space="preserve">forbud </w:t>
      </w:r>
      <w:r>
        <w:t xml:space="preserve">om, at vedkommende ikke til erhvervsmæssigt formål må anvende </w:t>
      </w:r>
      <w:r w:rsidR="00570BE0">
        <w:t>p</w:t>
      </w:r>
      <w:r w:rsidR="00D66D87">
        <w:t>esticider</w:t>
      </w:r>
      <w:r w:rsidR="00570BE0">
        <w:t xml:space="preserve"> </w:t>
      </w:r>
      <w:r w:rsidR="00963043">
        <w:t>i området</w:t>
      </w:r>
      <w:r w:rsidR="00D64A08">
        <w:t>, og at beskyttelsen derfor opretholdes i tilfælde af eksempelvis videresalg eller bortforpagtning. Undtagelsen</w:t>
      </w:r>
      <w:r w:rsidR="00082D9A">
        <w:t>, hvorefter</w:t>
      </w:r>
      <w:r w:rsidR="00D64A08">
        <w:t xml:space="preserve"> tinglysning ikke kan ske for grundejerens regning, hvis afgørelsen efter stk. 1 udgør ekspropriation</w:t>
      </w:r>
      <w:r w:rsidR="00082D9A">
        <w:t>,</w:t>
      </w:r>
      <w:r w:rsidR="00D64A08">
        <w:t xml:space="preserve"> er begrundet i, at vedkommende</w:t>
      </w:r>
      <w:r w:rsidR="0043531C">
        <w:t>,</w:t>
      </w:r>
      <w:r w:rsidR="00D64A08">
        <w:t xml:space="preserve"> der får sin ret eksproprieret</w:t>
      </w:r>
      <w:r w:rsidR="0043531C">
        <w:t>,</w:t>
      </w:r>
      <w:r w:rsidR="00D64A08">
        <w:t xml:space="preserve"> skal holdes skades</w:t>
      </w:r>
      <w:r w:rsidR="009342B4">
        <w:t>løs i forbindelse med ekspropriation</w:t>
      </w:r>
      <w:r w:rsidR="008837F9">
        <w:t>.</w:t>
      </w:r>
      <w:r w:rsidR="00FA78E9">
        <w:t xml:space="preserve"> </w:t>
      </w:r>
    </w:p>
    <w:p w14:paraId="5F161DF6" w14:textId="40EB286C" w:rsidR="00A1170F" w:rsidRDefault="00A1170F" w:rsidP="00A1170F"/>
    <w:p w14:paraId="693D6A85" w14:textId="05EA2E90" w:rsidR="00DF334C" w:rsidRDefault="00A1170F" w:rsidP="00A1170F">
      <w:r>
        <w:t xml:space="preserve">I stk. </w:t>
      </w:r>
      <w:r w:rsidR="00327DD3">
        <w:t>4</w:t>
      </w:r>
      <w:r>
        <w:t xml:space="preserve"> foreslås det, at det indsættes, at kommunalbestyrelsens påbud eller forbud skal respekteres af indehaveren af enhver rettighed over ejendommen, medmindre and</w:t>
      </w:r>
      <w:r w:rsidR="005C3C8A">
        <w:t>et</w:t>
      </w:r>
      <w:r>
        <w:t xml:space="preserve"> bestemmes i det enkelte tilfælde. </w:t>
      </w:r>
    </w:p>
    <w:p w14:paraId="28367D80" w14:textId="0B14C27B" w:rsidR="00A1170F" w:rsidRDefault="00A1170F" w:rsidP="00A1170F"/>
    <w:p w14:paraId="5A6D31A0" w14:textId="254608A3" w:rsidR="00A1170F" w:rsidRDefault="00A1170F" w:rsidP="00A1170F">
      <w:r>
        <w:t xml:space="preserve">Den foreslåede bemyndigelsesbestemmelse i stk. </w:t>
      </w:r>
      <w:r w:rsidR="00327DD3">
        <w:t>5</w:t>
      </w:r>
      <w:r w:rsidR="005C3C8A">
        <w:t>,</w:t>
      </w:r>
      <w:r>
        <w:t xml:space="preserve"> giver miljøministeren hjemmel til at fastsætte nærmere regler om indholdet af påbud eller forbud</w:t>
      </w:r>
      <w:r w:rsidR="005C3C8A">
        <w:t xml:space="preserve"> efter stk. 1, om</w:t>
      </w:r>
      <w:r>
        <w:t xml:space="preserve"> frister for påbud eller forbud efter stk. Bemyndigelsen forventes bl.a. at blive anvendt til at fastsætte nærmere</w:t>
      </w:r>
      <w:r w:rsidR="00D5462B">
        <w:t xml:space="preserve"> regler</w:t>
      </w:r>
      <w:r>
        <w:t xml:space="preserve"> om</w:t>
      </w:r>
      <w:r w:rsidR="005C3C8A">
        <w:t>,</w:t>
      </w:r>
      <w:r>
        <w:t xml:space="preserve"> </w:t>
      </w:r>
      <w:r w:rsidR="005C3C8A">
        <w:t>med</w:t>
      </w:r>
      <w:r>
        <w:t xml:space="preserve"> hvilken frist påbud eller forbud skal være givet fra hhv. risikovurderingen er foretaget</w:t>
      </w:r>
      <w:r w:rsidR="00C55A6C">
        <w:t>,</w:t>
      </w:r>
      <w:r>
        <w:t xml:space="preserve"> og aftalen er forsøgt indgået.</w:t>
      </w:r>
      <w:r w:rsidR="00C55A6C">
        <w:t xml:space="preserve"> </w:t>
      </w:r>
    </w:p>
    <w:p w14:paraId="108394BC" w14:textId="77777777" w:rsidR="00961D7C" w:rsidRDefault="00961D7C" w:rsidP="00A1170F"/>
    <w:p w14:paraId="51907D19" w14:textId="4419F115" w:rsidR="00E42263" w:rsidRDefault="00A1170F" w:rsidP="00E42263">
      <w:r>
        <w:t>Videre vil der bl.a. kunne fastsættes regler om indholdet af påbud eller forbud således</w:t>
      </w:r>
      <w:r w:rsidR="00A8081C">
        <w:t>,</w:t>
      </w:r>
      <w:r>
        <w:t xml:space="preserve"> at der eksempelvis tages højde for, at der inden for samme BNBO kan være forskellige forhold om bl.a. </w:t>
      </w:r>
      <w:r w:rsidR="00570BE0">
        <w:t>anvendelse af p</w:t>
      </w:r>
      <w:r w:rsidR="00D64A08">
        <w:t>esticider</w:t>
      </w:r>
      <w:r>
        <w:t xml:space="preserve"> og jordforhold, der kan danne grundlag for, </w:t>
      </w:r>
      <w:r w:rsidR="00D64A08">
        <w:t>hvorvidt et påbud eller forbud</w:t>
      </w:r>
      <w:r>
        <w:t xml:space="preserve"> er nødvendigt. Herved sikres det, at kommunerne ved afgørelse om påbud eller </w:t>
      </w:r>
      <w:r>
        <w:lastRenderedPageBreak/>
        <w:t xml:space="preserve">forbud konkret tager </w:t>
      </w:r>
      <w:r w:rsidR="00D64A08">
        <w:t>fagligt stilling til nødvendigheden af påbuddet eller forbuddet</w:t>
      </w:r>
      <w:r>
        <w:t>.</w:t>
      </w:r>
      <w:r w:rsidR="00C55A6C">
        <w:t xml:space="preserve"> Der henvises til de specielle bemærkninger</w:t>
      </w:r>
      <w:r w:rsidR="00D66D87">
        <w:t xml:space="preserve"> til den foreslåede § 24 a</w:t>
      </w:r>
      <w:r w:rsidR="00C55A6C">
        <w:t xml:space="preserve"> for en uddybning af, hvad </w:t>
      </w:r>
      <w:r w:rsidR="005C3C8A">
        <w:t xml:space="preserve">der efter </w:t>
      </w:r>
      <w:r w:rsidR="00C55A6C">
        <w:t>bemyndigelsesbestemmelsen bl.a. vil</w:t>
      </w:r>
      <w:r w:rsidR="004A082E">
        <w:t xml:space="preserve"> kunne</w:t>
      </w:r>
      <w:r w:rsidR="00C55A6C">
        <w:t xml:space="preserve"> fastsætte regler om.</w:t>
      </w:r>
    </w:p>
    <w:p w14:paraId="4632B9B1" w14:textId="77777777" w:rsidR="00E42263" w:rsidRPr="00E42263" w:rsidRDefault="00E42263" w:rsidP="00E42263"/>
    <w:p w14:paraId="7E3B1763" w14:textId="26E19FA9" w:rsidR="00581957" w:rsidRDefault="0065515C" w:rsidP="00FD1A50">
      <w:pPr>
        <w:spacing w:after="240"/>
        <w:rPr>
          <w:rFonts w:eastAsia="Calibri" w:cs="Times New Roman"/>
          <w:szCs w:val="24"/>
        </w:rPr>
      </w:pPr>
      <w:r>
        <w:rPr>
          <w:rFonts w:eastAsia="Calibri" w:cs="Times New Roman"/>
          <w:szCs w:val="24"/>
        </w:rPr>
        <w:t xml:space="preserve">Endeligt </w:t>
      </w:r>
      <w:r w:rsidR="00581957">
        <w:rPr>
          <w:rFonts w:eastAsia="Calibri" w:cs="Times New Roman"/>
          <w:szCs w:val="24"/>
        </w:rPr>
        <w:t xml:space="preserve">foreslås, at en </w:t>
      </w:r>
      <w:r w:rsidR="00D64A08">
        <w:rPr>
          <w:rFonts w:eastAsia="Calibri" w:cs="Times New Roman"/>
          <w:szCs w:val="24"/>
        </w:rPr>
        <w:t>grundejers</w:t>
      </w:r>
      <w:r w:rsidR="00D26C4F">
        <w:rPr>
          <w:rFonts w:eastAsia="Calibri" w:cs="Times New Roman"/>
          <w:szCs w:val="24"/>
        </w:rPr>
        <w:t xml:space="preserve"> eller andre brugere eller rettighedshaveres</w:t>
      </w:r>
      <w:r w:rsidR="00581957">
        <w:rPr>
          <w:rFonts w:eastAsia="Calibri" w:cs="Times New Roman"/>
          <w:szCs w:val="24"/>
        </w:rPr>
        <w:t xml:space="preserve"> manglende </w:t>
      </w:r>
      <w:proofErr w:type="spellStart"/>
      <w:r w:rsidR="00581957">
        <w:rPr>
          <w:rFonts w:eastAsia="Calibri" w:cs="Times New Roman"/>
          <w:szCs w:val="24"/>
        </w:rPr>
        <w:t>efterkommelse</w:t>
      </w:r>
      <w:proofErr w:type="spellEnd"/>
      <w:r w:rsidR="00581957">
        <w:rPr>
          <w:rFonts w:eastAsia="Calibri" w:cs="Times New Roman"/>
          <w:szCs w:val="24"/>
        </w:rPr>
        <w:t xml:space="preserve"> af et </w:t>
      </w:r>
      <w:r w:rsidR="00D64A08">
        <w:rPr>
          <w:rFonts w:eastAsia="Calibri" w:cs="Times New Roman"/>
          <w:szCs w:val="24"/>
        </w:rPr>
        <w:t>påbud eller forbud om erhvervsmæssig anvendelse af pesticider</w:t>
      </w:r>
      <w:r w:rsidR="00581957">
        <w:rPr>
          <w:rFonts w:eastAsia="Calibri" w:cs="Times New Roman"/>
          <w:szCs w:val="24"/>
        </w:rPr>
        <w:t xml:space="preserve"> i BNBO efter den foreslåede § 24 a </w:t>
      </w:r>
      <w:r w:rsidR="002F6BAF">
        <w:rPr>
          <w:rFonts w:eastAsia="Calibri" w:cs="Times New Roman"/>
          <w:szCs w:val="24"/>
        </w:rPr>
        <w:t>omfattes af de gældende regler i</w:t>
      </w:r>
      <w:r w:rsidR="00DE21D0">
        <w:rPr>
          <w:rFonts w:eastAsia="Calibri" w:cs="Times New Roman"/>
          <w:szCs w:val="24"/>
        </w:rPr>
        <w:t xml:space="preserve"> miljøbeskyttelseslovens</w:t>
      </w:r>
      <w:r w:rsidR="002F6BAF">
        <w:rPr>
          <w:rFonts w:eastAsia="Calibri" w:cs="Times New Roman"/>
          <w:szCs w:val="24"/>
        </w:rPr>
        <w:t xml:space="preserve"> § 110, stk. 1, nr. 2. Hvis en </w:t>
      </w:r>
      <w:r w:rsidR="003D157D">
        <w:rPr>
          <w:rFonts w:eastAsia="Calibri" w:cs="Times New Roman"/>
          <w:szCs w:val="24"/>
        </w:rPr>
        <w:t>grundejer</w:t>
      </w:r>
      <w:r w:rsidR="002F6BAF">
        <w:rPr>
          <w:rFonts w:eastAsia="Calibri" w:cs="Times New Roman"/>
          <w:szCs w:val="24"/>
        </w:rPr>
        <w:t xml:space="preserve"> undlader at indrette sig efter kommunalbestyrelsens afgørelse </w:t>
      </w:r>
      <w:r w:rsidR="003D157D">
        <w:rPr>
          <w:rFonts w:eastAsia="Calibri" w:cs="Times New Roman"/>
          <w:szCs w:val="24"/>
        </w:rPr>
        <w:t>e</w:t>
      </w:r>
      <w:r w:rsidR="002F6BAF">
        <w:rPr>
          <w:rFonts w:eastAsia="Calibri" w:cs="Times New Roman"/>
          <w:szCs w:val="24"/>
        </w:rPr>
        <w:t>fter § 24 a</w:t>
      </w:r>
      <w:r w:rsidR="006D7C61">
        <w:rPr>
          <w:rFonts w:eastAsia="Calibri" w:cs="Times New Roman"/>
          <w:szCs w:val="24"/>
        </w:rPr>
        <w:t xml:space="preserve"> og således fortsætter med</w:t>
      </w:r>
      <w:r w:rsidR="001D0BC7">
        <w:rPr>
          <w:rFonts w:eastAsia="Calibri" w:cs="Times New Roman"/>
          <w:szCs w:val="24"/>
        </w:rPr>
        <w:t xml:space="preserve"> </w:t>
      </w:r>
      <w:r w:rsidR="00A95931">
        <w:rPr>
          <w:rFonts w:eastAsia="Calibri" w:cs="Times New Roman"/>
          <w:szCs w:val="24"/>
        </w:rPr>
        <w:t xml:space="preserve">erhvervsmæssig anvendelse af pesticider i BNBO </w:t>
      </w:r>
      <w:r w:rsidR="001D0BC7">
        <w:rPr>
          <w:rFonts w:eastAsia="Calibri" w:cs="Times New Roman"/>
          <w:szCs w:val="24"/>
        </w:rPr>
        <w:t xml:space="preserve">i strid med </w:t>
      </w:r>
      <w:r w:rsidR="003D157D">
        <w:rPr>
          <w:rFonts w:eastAsia="Calibri" w:cs="Times New Roman"/>
          <w:szCs w:val="24"/>
        </w:rPr>
        <w:t>kommunens afgørelse</w:t>
      </w:r>
      <w:r w:rsidR="002F6BAF">
        <w:rPr>
          <w:rFonts w:eastAsia="Calibri" w:cs="Times New Roman"/>
          <w:szCs w:val="24"/>
        </w:rPr>
        <w:t xml:space="preserve">, vil </w:t>
      </w:r>
      <w:r w:rsidR="003D157D">
        <w:rPr>
          <w:rFonts w:eastAsia="Calibri" w:cs="Times New Roman"/>
          <w:szCs w:val="24"/>
        </w:rPr>
        <w:t>grundejeren</w:t>
      </w:r>
      <w:r w:rsidR="002F6BAF">
        <w:rPr>
          <w:rFonts w:eastAsia="Calibri" w:cs="Times New Roman"/>
          <w:szCs w:val="24"/>
        </w:rPr>
        <w:t xml:space="preserve"> kunne straffes med bøde efter de gældende regler i § 110, stk. 1, nr. 2. </w:t>
      </w:r>
    </w:p>
    <w:p w14:paraId="376947A3" w14:textId="351D3B60" w:rsidR="002F6BAF" w:rsidRDefault="002F6BAF" w:rsidP="00FD1A50">
      <w:pPr>
        <w:spacing w:after="240"/>
        <w:rPr>
          <w:rFonts w:eastAsia="Calibri" w:cs="Times New Roman"/>
          <w:szCs w:val="24"/>
        </w:rPr>
      </w:pPr>
      <w:r>
        <w:rPr>
          <w:rFonts w:eastAsia="Calibri" w:cs="Times New Roman"/>
          <w:szCs w:val="24"/>
        </w:rPr>
        <w:t xml:space="preserve">Det </w:t>
      </w:r>
      <w:r w:rsidR="00DE21D0">
        <w:rPr>
          <w:rFonts w:eastAsia="Calibri" w:cs="Times New Roman"/>
          <w:szCs w:val="24"/>
        </w:rPr>
        <w:t>vil derfor ikke blive nødvendigt at foretage ændringer i den eksister</w:t>
      </w:r>
      <w:r w:rsidR="0015082F">
        <w:rPr>
          <w:rFonts w:eastAsia="Calibri" w:cs="Times New Roman"/>
          <w:szCs w:val="24"/>
        </w:rPr>
        <w:t>e</w:t>
      </w:r>
      <w:r w:rsidR="00DE21D0">
        <w:rPr>
          <w:rFonts w:eastAsia="Calibri" w:cs="Times New Roman"/>
          <w:szCs w:val="24"/>
        </w:rPr>
        <w:t>nde § 110</w:t>
      </w:r>
      <w:r w:rsidR="0015082F">
        <w:rPr>
          <w:rFonts w:eastAsia="Calibri" w:cs="Times New Roman"/>
          <w:szCs w:val="24"/>
        </w:rPr>
        <w:t xml:space="preserve">, da det lægges til grund, at bestemmelsen omfatter de til enhver tid gældende påbud eller forbud i miljøbeskyttelseslovens </w:t>
      </w:r>
      <w:r w:rsidR="00D43246">
        <w:rPr>
          <w:rFonts w:eastAsia="Calibri" w:cs="Times New Roman"/>
          <w:szCs w:val="24"/>
        </w:rPr>
        <w:t xml:space="preserve">øvrige </w:t>
      </w:r>
      <w:r w:rsidR="0015082F">
        <w:rPr>
          <w:rFonts w:eastAsia="Calibri" w:cs="Times New Roman"/>
          <w:szCs w:val="24"/>
        </w:rPr>
        <w:t>bestemmelser</w:t>
      </w:r>
      <w:r w:rsidR="00D43246">
        <w:rPr>
          <w:rFonts w:eastAsia="Calibri" w:cs="Times New Roman"/>
          <w:szCs w:val="24"/>
        </w:rPr>
        <w:t>, heriblandt § 24 og den foreslåede § 24 a</w:t>
      </w:r>
      <w:r w:rsidR="0015082F">
        <w:rPr>
          <w:rFonts w:eastAsia="Calibri" w:cs="Times New Roman"/>
          <w:szCs w:val="24"/>
        </w:rPr>
        <w:t>.</w:t>
      </w:r>
    </w:p>
    <w:p w14:paraId="1C1DE602" w14:textId="470A9BA2" w:rsidR="006D51C4" w:rsidRPr="00A15CFD" w:rsidRDefault="00312B0C" w:rsidP="00FD1A50">
      <w:pPr>
        <w:spacing w:after="240"/>
        <w:rPr>
          <w:rFonts w:eastAsia="Calibri" w:cs="Times New Roman"/>
          <w:i/>
          <w:szCs w:val="24"/>
        </w:rPr>
      </w:pPr>
      <w:r>
        <w:rPr>
          <w:rFonts w:eastAsia="Calibri" w:cs="Times New Roman"/>
          <w:i/>
          <w:szCs w:val="24"/>
        </w:rPr>
        <w:t>3</w:t>
      </w:r>
      <w:r w:rsidR="006D51C4" w:rsidRPr="00A15CFD">
        <w:rPr>
          <w:rFonts w:eastAsia="Calibri" w:cs="Times New Roman"/>
          <w:i/>
          <w:szCs w:val="24"/>
        </w:rPr>
        <w:t>.2. Præcisering af 25 meter beskyttelseszonen omkring vandboringer</w:t>
      </w:r>
    </w:p>
    <w:p w14:paraId="38BF8826" w14:textId="3D517203" w:rsidR="008B7C88" w:rsidRDefault="00312B0C" w:rsidP="00FD1A50">
      <w:pPr>
        <w:spacing w:after="240"/>
        <w:rPr>
          <w:rFonts w:eastAsia="Calibri" w:cs="Times New Roman"/>
          <w:i/>
          <w:szCs w:val="24"/>
        </w:rPr>
      </w:pPr>
      <w:r>
        <w:rPr>
          <w:rFonts w:eastAsia="Calibri" w:cs="Times New Roman"/>
          <w:i/>
          <w:szCs w:val="24"/>
        </w:rPr>
        <w:t>3</w:t>
      </w:r>
      <w:r w:rsidR="008B7C88" w:rsidRPr="00E3027C">
        <w:rPr>
          <w:rFonts w:eastAsia="Calibri" w:cs="Times New Roman"/>
          <w:i/>
          <w:szCs w:val="24"/>
        </w:rPr>
        <w:t>.2.1. Gældende ret</w:t>
      </w:r>
    </w:p>
    <w:p w14:paraId="2B267D5A" w14:textId="3125B8C8" w:rsidR="00867323" w:rsidRDefault="00867323" w:rsidP="00867323">
      <w:pPr>
        <w:spacing w:after="240"/>
        <w:rPr>
          <w:rFonts w:eastAsia="Calibri" w:cs="Times New Roman"/>
          <w:szCs w:val="24"/>
        </w:rPr>
      </w:pPr>
      <w:r>
        <w:rPr>
          <w:rFonts w:eastAsia="Calibri" w:cs="Times New Roman"/>
          <w:szCs w:val="24"/>
        </w:rPr>
        <w:t>Miljøbeskyttelseslovens § 21 b, stk. 1, etablerer en 25 meters beskyttelseszone omkring alle boringer, der indvinder grundvand til almene vandforsyninger. Inden for</w:t>
      </w:r>
      <w:r w:rsidR="003D157D">
        <w:rPr>
          <w:rFonts w:eastAsia="Calibri" w:cs="Times New Roman"/>
          <w:szCs w:val="24"/>
        </w:rPr>
        <w:t xml:space="preserve"> en radius på</w:t>
      </w:r>
      <w:r>
        <w:rPr>
          <w:rFonts w:eastAsia="Calibri" w:cs="Times New Roman"/>
          <w:szCs w:val="24"/>
        </w:rPr>
        <w:t xml:space="preserve"> 25 mete</w:t>
      </w:r>
      <w:r w:rsidR="003D157D">
        <w:rPr>
          <w:rFonts w:eastAsia="Calibri" w:cs="Times New Roman"/>
          <w:szCs w:val="24"/>
        </w:rPr>
        <w:t>r fra en boring, der indvinder grundvand til almene vandforsyninger, må der ikke til erhvervsmæssige og offentlige formål anvendes pesticider eller ske dyrkning eller gødskning.</w:t>
      </w:r>
    </w:p>
    <w:p w14:paraId="4435AE0E" w14:textId="77777777" w:rsidR="006318E6" w:rsidRDefault="00867323" w:rsidP="00867323">
      <w:pPr>
        <w:spacing w:after="240"/>
        <w:rPr>
          <w:rFonts w:eastAsia="Calibri" w:cs="Times New Roman"/>
          <w:szCs w:val="24"/>
        </w:rPr>
      </w:pPr>
      <w:r>
        <w:rPr>
          <w:rFonts w:eastAsia="Calibri" w:cs="Times New Roman"/>
          <w:szCs w:val="24"/>
        </w:rPr>
        <w:t>Ifølge § 21 b, stk. 2, finder forbuddet i stk. 1 ikke anvendelse, såfremt kommunalbestyrelsen efter § 24, stk. 1, har udstedt et påbud eller nedlagt et forbud, som er gældende længere væk en 10 meter fra boringen, og som indebærer en tilsvarende rådighedsindskrænkning som efter § 21 b, stk. 1. Er der således nedlagt et konkret forbud mod anvendelse af p</w:t>
      </w:r>
      <w:r w:rsidR="003D157D">
        <w:rPr>
          <w:rFonts w:eastAsia="Calibri" w:cs="Times New Roman"/>
          <w:szCs w:val="24"/>
        </w:rPr>
        <w:t>esticider</w:t>
      </w:r>
      <w:r>
        <w:rPr>
          <w:rFonts w:eastAsia="Calibri" w:cs="Times New Roman"/>
          <w:szCs w:val="24"/>
        </w:rPr>
        <w:t xml:space="preserve"> omkring en boring, der indvinder grundvand til almene vandforsyninger, og forbuddet er gældende længere væk end 10 meter fra boringen, aktiveres den generelle beskyttelseszone på 25 meter i § 21 b, stk. 1, ikke. </w:t>
      </w:r>
    </w:p>
    <w:p w14:paraId="7EA3B989" w14:textId="7F10C905" w:rsidR="00867323" w:rsidRDefault="003D157D" w:rsidP="00867323">
      <w:pPr>
        <w:spacing w:after="240"/>
        <w:rPr>
          <w:rFonts w:eastAsia="Calibri" w:cs="Times New Roman"/>
          <w:szCs w:val="24"/>
        </w:rPr>
      </w:pPr>
      <w:r>
        <w:rPr>
          <w:rFonts w:eastAsia="Calibri" w:cs="Times New Roman"/>
          <w:szCs w:val="24"/>
        </w:rPr>
        <w:t xml:space="preserve">Efter den gældende § 64 c </w:t>
      </w:r>
      <w:r w:rsidR="006318E6">
        <w:rPr>
          <w:rFonts w:eastAsia="Calibri" w:cs="Times New Roman"/>
          <w:szCs w:val="24"/>
        </w:rPr>
        <w:t xml:space="preserve">udbetaler almene vandforsyninger en årlig godtgørelse på 429 kr. pr. boring til den grundejer, som omfattes af § 21 b. </w:t>
      </w:r>
    </w:p>
    <w:p w14:paraId="540CFF21" w14:textId="3DE50910" w:rsidR="00A15CFD" w:rsidRDefault="00312B0C" w:rsidP="00FD1A50">
      <w:pPr>
        <w:spacing w:after="240"/>
        <w:rPr>
          <w:rFonts w:eastAsia="Calibri" w:cs="Times New Roman"/>
          <w:i/>
          <w:szCs w:val="24"/>
        </w:rPr>
      </w:pPr>
      <w:r>
        <w:rPr>
          <w:rFonts w:eastAsia="Calibri" w:cs="Times New Roman"/>
          <w:i/>
          <w:szCs w:val="24"/>
        </w:rPr>
        <w:t>3</w:t>
      </w:r>
      <w:r w:rsidR="00A15CFD" w:rsidRPr="00E3027C">
        <w:rPr>
          <w:rFonts w:eastAsia="Calibri" w:cs="Times New Roman"/>
          <w:i/>
          <w:szCs w:val="24"/>
        </w:rPr>
        <w:t>.2.</w:t>
      </w:r>
      <w:r w:rsidR="00867323">
        <w:rPr>
          <w:rFonts w:eastAsia="Calibri" w:cs="Times New Roman"/>
          <w:i/>
          <w:szCs w:val="24"/>
        </w:rPr>
        <w:t>2</w:t>
      </w:r>
      <w:r w:rsidR="00A15CFD" w:rsidRPr="00E3027C">
        <w:rPr>
          <w:rFonts w:eastAsia="Calibri" w:cs="Times New Roman"/>
          <w:i/>
          <w:szCs w:val="24"/>
        </w:rPr>
        <w:t xml:space="preserve">. Miljøministeriets overvejelser og den foreslåede ordning </w:t>
      </w:r>
    </w:p>
    <w:p w14:paraId="23A68584" w14:textId="38B9E742" w:rsidR="00867323" w:rsidRDefault="00867323" w:rsidP="00867323">
      <w:pPr>
        <w:spacing w:after="240"/>
        <w:rPr>
          <w:rFonts w:eastAsia="Calibri" w:cs="Times New Roman"/>
          <w:szCs w:val="24"/>
        </w:rPr>
      </w:pPr>
      <w:r>
        <w:rPr>
          <w:rFonts w:eastAsia="Calibri" w:cs="Times New Roman"/>
          <w:szCs w:val="24"/>
        </w:rPr>
        <w:lastRenderedPageBreak/>
        <w:t xml:space="preserve">Ligesom det allerede følger af den gældende § 21 b, stk. 2, at forbuddet i stk. 1 ikke aktiveres, såfremt der efter den gældende § 24, stk. 1, allerede er pålagt en tilsvarende beskyttelse af området på en radius af mindst 10 meter fra en boring, der indvinder grundvand til almene vandforsyninger, er der efter Miljøministeriets vurdering behov for at etablere parallelitet i beskyttelsen, også når den er foretaget efter andre regler i miljøbeskyttelsesloven end efter den gældende § 24, stk. 1. Det foreslås derfor dels at tydeliggøre, at en tilsvarende beskyttelse, foretaget efter den gældende § 26 a, stk. 1, på tilsvarende måde træder forud for den generelle beskyttelse efter § 21 b, stk. 1. Dette svarer til gældende praksis. </w:t>
      </w:r>
    </w:p>
    <w:p w14:paraId="465CECA6" w14:textId="5C5327CF" w:rsidR="00867323" w:rsidRPr="00711526" w:rsidRDefault="00867323" w:rsidP="00867323">
      <w:pPr>
        <w:spacing w:after="240"/>
        <w:rPr>
          <w:rFonts w:eastAsia="Calibri" w:cs="Times New Roman"/>
          <w:szCs w:val="24"/>
        </w:rPr>
      </w:pPr>
      <w:r>
        <w:rPr>
          <w:rFonts w:eastAsia="Calibri" w:cs="Times New Roman"/>
          <w:szCs w:val="24"/>
        </w:rPr>
        <w:t xml:space="preserve">Herudover foreslås det, at tilsvarende beskyttelsestiltag efter den nye foreslåede § 24 a, stk. 1, på tilsvarende måde </w:t>
      </w:r>
      <w:r w:rsidR="003D157D">
        <w:rPr>
          <w:rFonts w:eastAsia="Calibri" w:cs="Times New Roman"/>
          <w:szCs w:val="24"/>
        </w:rPr>
        <w:t xml:space="preserve">vil erstatte </w:t>
      </w:r>
      <w:r>
        <w:rPr>
          <w:rFonts w:eastAsia="Calibri" w:cs="Times New Roman"/>
          <w:szCs w:val="24"/>
        </w:rPr>
        <w:t>den generelle beskyttelse i miljøbeskyttelseslovens § 21 b, stk. 1.</w:t>
      </w:r>
    </w:p>
    <w:p w14:paraId="2FE9A948" w14:textId="26DDCCAD" w:rsidR="004E51B9" w:rsidRDefault="004E51B9" w:rsidP="00FD1A50">
      <w:pPr>
        <w:spacing w:after="240"/>
        <w:rPr>
          <w:rFonts w:eastAsia="Calibri" w:cs="Times New Roman"/>
          <w:szCs w:val="24"/>
        </w:rPr>
      </w:pPr>
      <w:r>
        <w:rPr>
          <w:rFonts w:eastAsia="Calibri" w:cs="Times New Roman"/>
          <w:szCs w:val="24"/>
        </w:rPr>
        <w:t>Miljøbeskyttelseslovens § 64 c regulerer den godtgørelse, som ejere af grunde, hvorpå 25 meter beskyttelseszonen er beliggende modtager. Grundejere som i stedet får et påbud efter §</w:t>
      </w:r>
      <w:r w:rsidR="00A8081C">
        <w:rPr>
          <w:rFonts w:eastAsia="Calibri" w:cs="Times New Roman"/>
          <w:szCs w:val="24"/>
        </w:rPr>
        <w:t>§</w:t>
      </w:r>
      <w:r>
        <w:rPr>
          <w:rFonts w:eastAsia="Calibri" w:cs="Times New Roman"/>
          <w:szCs w:val="24"/>
        </w:rPr>
        <w:t xml:space="preserve"> 24</w:t>
      </w:r>
      <w:r w:rsidR="00931E97">
        <w:rPr>
          <w:rFonts w:eastAsia="Calibri" w:cs="Times New Roman"/>
          <w:szCs w:val="24"/>
        </w:rPr>
        <w:t>, 24 a</w:t>
      </w:r>
      <w:r>
        <w:rPr>
          <w:rFonts w:eastAsia="Calibri" w:cs="Times New Roman"/>
          <w:szCs w:val="24"/>
        </w:rPr>
        <w:t xml:space="preserve"> eller 26 a i samme område som 25 meter beskyttelseszonen vil imidlertid ikke være berettigede til godtgørelse efter § 64 c</w:t>
      </w:r>
      <w:r w:rsidR="0034506F">
        <w:rPr>
          <w:rFonts w:eastAsia="Calibri" w:cs="Times New Roman"/>
          <w:szCs w:val="24"/>
        </w:rPr>
        <w:t>, stk. 1</w:t>
      </w:r>
      <w:r w:rsidR="00E73118">
        <w:rPr>
          <w:rFonts w:eastAsia="Calibri" w:cs="Times New Roman"/>
          <w:szCs w:val="24"/>
        </w:rPr>
        <w:t xml:space="preserve">. </w:t>
      </w:r>
      <w:r w:rsidR="006318E6">
        <w:rPr>
          <w:rFonts w:eastAsia="Calibri" w:cs="Times New Roman"/>
          <w:szCs w:val="24"/>
        </w:rPr>
        <w:t>Det sikres herved, at en grundejer ikke er berettiget til erstatning efter to bestemmelser, da godtgørelsen i § 64 c ikke finder anvendelse, når området omfattes af en afgørelse efter §§ 24, 24 a eller 26 a.</w:t>
      </w:r>
    </w:p>
    <w:p w14:paraId="61C03E95" w14:textId="5BC314C2" w:rsidR="0034506F" w:rsidRDefault="0034506F" w:rsidP="00FD1A50">
      <w:pPr>
        <w:spacing w:after="240"/>
        <w:rPr>
          <w:rFonts w:eastAsia="Calibri" w:cs="Times New Roman"/>
          <w:szCs w:val="24"/>
        </w:rPr>
      </w:pPr>
      <w:r>
        <w:rPr>
          <w:rFonts w:eastAsia="Calibri" w:cs="Times New Roman"/>
          <w:szCs w:val="24"/>
        </w:rPr>
        <w:t>Ændringen af § 21 b, stk. 2</w:t>
      </w:r>
      <w:r w:rsidR="00F413BD">
        <w:rPr>
          <w:rFonts w:eastAsia="Calibri" w:cs="Times New Roman"/>
          <w:szCs w:val="24"/>
        </w:rPr>
        <w:t>,</w:t>
      </w:r>
      <w:r>
        <w:rPr>
          <w:rFonts w:eastAsia="Calibri" w:cs="Times New Roman"/>
          <w:szCs w:val="24"/>
        </w:rPr>
        <w:t xml:space="preserve"> vil ikke føre til</w:t>
      </w:r>
      <w:r w:rsidR="00B87905">
        <w:rPr>
          <w:rFonts w:eastAsia="Calibri" w:cs="Times New Roman"/>
          <w:szCs w:val="24"/>
        </w:rPr>
        <w:t xml:space="preserve"> </w:t>
      </w:r>
      <w:r>
        <w:rPr>
          <w:rFonts w:eastAsia="Calibri" w:cs="Times New Roman"/>
          <w:szCs w:val="24"/>
        </w:rPr>
        <w:t>ændringer i § 64 c, da der her ikke henvises til påbudsbestemmelserne i §§ 24 eller 26 a</w:t>
      </w:r>
      <w:r w:rsidR="00ED23DA">
        <w:rPr>
          <w:rFonts w:eastAsia="Calibri" w:cs="Times New Roman"/>
          <w:szCs w:val="24"/>
        </w:rPr>
        <w:t>, men det alene fremgår, at grundejere der i forbindelse med rådighedsindskrænkninger allerede har modtaget erstatning herfor ikke er berettiget til godtgørelse efter stk. 1.</w:t>
      </w:r>
    </w:p>
    <w:p w14:paraId="0E042334" w14:textId="7FD49AA2" w:rsidR="006D51C4" w:rsidRPr="004D7B0E" w:rsidRDefault="00312B0C" w:rsidP="00FD1A50">
      <w:pPr>
        <w:spacing w:after="240"/>
        <w:rPr>
          <w:rFonts w:eastAsia="Calibri" w:cs="Times New Roman"/>
          <w:i/>
          <w:szCs w:val="24"/>
        </w:rPr>
      </w:pPr>
      <w:r>
        <w:rPr>
          <w:rFonts w:eastAsia="Calibri" w:cs="Times New Roman"/>
          <w:i/>
          <w:szCs w:val="24"/>
        </w:rPr>
        <w:t>3</w:t>
      </w:r>
      <w:r w:rsidR="006D51C4" w:rsidRPr="004D7B0E">
        <w:rPr>
          <w:rFonts w:eastAsia="Calibri" w:cs="Times New Roman"/>
          <w:i/>
          <w:szCs w:val="24"/>
        </w:rPr>
        <w:t>.3. Erstatning</w:t>
      </w:r>
      <w:r w:rsidR="00D51281">
        <w:rPr>
          <w:rFonts w:eastAsia="Calibri" w:cs="Times New Roman"/>
          <w:i/>
          <w:szCs w:val="24"/>
        </w:rPr>
        <w:t xml:space="preserve"> ved påbud og forbud </w:t>
      </w:r>
      <w:r w:rsidR="00F36B97">
        <w:rPr>
          <w:rFonts w:eastAsia="Calibri" w:cs="Times New Roman"/>
          <w:i/>
          <w:szCs w:val="24"/>
        </w:rPr>
        <w:t>efter den foreslåede § 24 a</w:t>
      </w:r>
    </w:p>
    <w:p w14:paraId="50A96AA9" w14:textId="23D63766" w:rsidR="00360EE3" w:rsidRPr="004D7B0E" w:rsidRDefault="00312B0C" w:rsidP="00FD1A50">
      <w:pPr>
        <w:spacing w:after="240"/>
        <w:rPr>
          <w:rFonts w:eastAsia="Calibri" w:cs="Times New Roman"/>
          <w:i/>
          <w:szCs w:val="24"/>
        </w:rPr>
      </w:pPr>
      <w:r>
        <w:rPr>
          <w:rFonts w:eastAsia="Calibri" w:cs="Times New Roman"/>
          <w:i/>
          <w:szCs w:val="24"/>
        </w:rPr>
        <w:t>3</w:t>
      </w:r>
      <w:r w:rsidR="00360EE3" w:rsidRPr="004D7B0E">
        <w:rPr>
          <w:rFonts w:eastAsia="Calibri" w:cs="Times New Roman"/>
          <w:i/>
          <w:szCs w:val="24"/>
        </w:rPr>
        <w:t>.3.1. Gældende ret</w:t>
      </w:r>
    </w:p>
    <w:p w14:paraId="0FF071D7" w14:textId="26BF5A46" w:rsidR="00360EE3" w:rsidRDefault="00312B0C" w:rsidP="00FD1A50">
      <w:pPr>
        <w:spacing w:after="240"/>
        <w:rPr>
          <w:rFonts w:eastAsia="Calibri" w:cs="Times New Roman"/>
          <w:i/>
          <w:szCs w:val="24"/>
        </w:rPr>
      </w:pPr>
      <w:r>
        <w:rPr>
          <w:rFonts w:eastAsia="Calibri" w:cs="Times New Roman"/>
          <w:i/>
          <w:szCs w:val="24"/>
        </w:rPr>
        <w:t>3</w:t>
      </w:r>
      <w:r w:rsidR="00360EE3" w:rsidRPr="004D7B0E">
        <w:rPr>
          <w:rFonts w:eastAsia="Calibri" w:cs="Times New Roman"/>
          <w:i/>
          <w:szCs w:val="24"/>
        </w:rPr>
        <w:t>.3.1.1.</w:t>
      </w:r>
      <w:r w:rsidR="00B91B7D">
        <w:rPr>
          <w:rFonts w:eastAsia="Calibri" w:cs="Times New Roman"/>
          <w:i/>
          <w:szCs w:val="24"/>
        </w:rPr>
        <w:t xml:space="preserve"> Vandforsyningsloven</w:t>
      </w:r>
    </w:p>
    <w:p w14:paraId="65600C0B" w14:textId="0AC62DA2" w:rsidR="00B91B7D" w:rsidRDefault="003D5CF3" w:rsidP="00B91B7D">
      <w:pPr>
        <w:rPr>
          <w:rFonts w:eastAsia="Calibri" w:cs="Times New Roman"/>
          <w:szCs w:val="24"/>
        </w:rPr>
      </w:pPr>
      <w:r>
        <w:rPr>
          <w:rFonts w:eastAsia="Calibri" w:cs="Times New Roman"/>
          <w:szCs w:val="24"/>
        </w:rPr>
        <w:t xml:space="preserve">I vandforsyningslovens </w:t>
      </w:r>
      <w:r w:rsidR="00B91B7D">
        <w:rPr>
          <w:rFonts w:eastAsia="Calibri" w:cs="Times New Roman"/>
          <w:szCs w:val="24"/>
        </w:rPr>
        <w:t xml:space="preserve">§ 52 a, stk. 1, </w:t>
      </w:r>
      <w:r>
        <w:rPr>
          <w:rFonts w:eastAsia="Calibri" w:cs="Times New Roman"/>
          <w:szCs w:val="24"/>
        </w:rPr>
        <w:t>findes</w:t>
      </w:r>
      <w:r w:rsidR="00B91B7D">
        <w:rPr>
          <w:rFonts w:eastAsia="Calibri" w:cs="Times New Roman"/>
          <w:szCs w:val="24"/>
        </w:rPr>
        <w:t xml:space="preserve"> en udtømmende opregning af de udgifter, som en almen vandforsyning kan indregne i vandprisen under overholdelse af den indtægtsramme eller den regnskabsmæssige kontrolramme, som måtte være fastsat for forsyningen i medfør af </w:t>
      </w:r>
      <w:r w:rsidR="00A8081C">
        <w:rPr>
          <w:rFonts w:eastAsia="Calibri" w:cs="Times New Roman"/>
          <w:szCs w:val="24"/>
        </w:rPr>
        <w:t>§</w:t>
      </w:r>
      <w:r w:rsidR="00B91B7D">
        <w:rPr>
          <w:rFonts w:eastAsia="Calibri" w:cs="Times New Roman"/>
          <w:szCs w:val="24"/>
        </w:rPr>
        <w:t xml:space="preserve">§ 6 eller 6 a i lov om vandsektorens organisering og økonomiske forhold, jf. lovbekendtgørelse nr. 1693 af 16. august 2021. </w:t>
      </w:r>
    </w:p>
    <w:p w14:paraId="30BAF563" w14:textId="77777777" w:rsidR="00B91B7D" w:rsidRDefault="00B91B7D" w:rsidP="00B91B7D">
      <w:pPr>
        <w:rPr>
          <w:rFonts w:eastAsia="Calibri" w:cs="Times New Roman"/>
          <w:szCs w:val="24"/>
        </w:rPr>
      </w:pPr>
    </w:p>
    <w:p w14:paraId="2FFC96BD" w14:textId="5704173B" w:rsidR="00B91B7D" w:rsidRDefault="00B91B7D" w:rsidP="00CC1C85">
      <w:pPr>
        <w:rPr>
          <w:rFonts w:eastAsia="Calibri" w:cs="Times New Roman"/>
          <w:szCs w:val="24"/>
        </w:rPr>
      </w:pPr>
      <w:r>
        <w:rPr>
          <w:rFonts w:eastAsia="Calibri" w:cs="Times New Roman"/>
          <w:szCs w:val="24"/>
        </w:rPr>
        <w:lastRenderedPageBreak/>
        <w:t>Under de udgifter, der er</w:t>
      </w:r>
      <w:r w:rsidR="00E8326F">
        <w:rPr>
          <w:rFonts w:eastAsia="Calibri" w:cs="Times New Roman"/>
          <w:szCs w:val="24"/>
        </w:rPr>
        <w:t xml:space="preserve"> angivet</w:t>
      </w:r>
      <w:r>
        <w:rPr>
          <w:rFonts w:eastAsia="Calibri" w:cs="Times New Roman"/>
          <w:szCs w:val="24"/>
        </w:rPr>
        <w:t xml:space="preserve"> i § 52 a, </w:t>
      </w:r>
      <w:r w:rsidR="00255D58">
        <w:rPr>
          <w:rFonts w:eastAsia="Calibri" w:cs="Times New Roman"/>
          <w:szCs w:val="24"/>
        </w:rPr>
        <w:t xml:space="preserve">angives i § 52 a, </w:t>
      </w:r>
      <w:r>
        <w:rPr>
          <w:rFonts w:eastAsia="Calibri" w:cs="Times New Roman"/>
          <w:szCs w:val="24"/>
        </w:rPr>
        <w:t>stk. 1, nr. 10,</w:t>
      </w:r>
      <w:r w:rsidR="00255D58">
        <w:rPr>
          <w:rFonts w:eastAsia="Calibri" w:cs="Times New Roman"/>
          <w:szCs w:val="24"/>
        </w:rPr>
        <w:t xml:space="preserve"> </w:t>
      </w:r>
      <w:r>
        <w:rPr>
          <w:rFonts w:eastAsia="Calibri" w:cs="Times New Roman"/>
          <w:szCs w:val="24"/>
        </w:rPr>
        <w:t>udgifter til kortlægning, overvågning og beskyttelse af de vandressourcer, som anlægget indvinder fra eller i fremtiden kan forventes at indvinde fra, i det omfang en sådan supplerende overvågning og beskyttelse ud over den offentlige kortlægning, overvågning og beskyttelse er nødvendig eller hensigtsmæssig for vandforsyningsanlægget.</w:t>
      </w:r>
    </w:p>
    <w:p w14:paraId="4F7D8395" w14:textId="77777777" w:rsidR="00C55A6C" w:rsidRDefault="00C55A6C" w:rsidP="00CC1C85">
      <w:pPr>
        <w:rPr>
          <w:rFonts w:eastAsia="Calibri" w:cs="Times New Roman"/>
          <w:i/>
          <w:szCs w:val="24"/>
        </w:rPr>
      </w:pPr>
    </w:p>
    <w:p w14:paraId="5E7701B4" w14:textId="7871085E" w:rsidR="00B91B7D" w:rsidRPr="004D7B0E" w:rsidRDefault="00B91B7D" w:rsidP="00FD1A50">
      <w:pPr>
        <w:spacing w:after="240"/>
        <w:rPr>
          <w:rFonts w:eastAsia="Calibri" w:cs="Times New Roman"/>
          <w:i/>
          <w:szCs w:val="24"/>
        </w:rPr>
      </w:pPr>
      <w:r>
        <w:rPr>
          <w:rFonts w:eastAsia="Calibri" w:cs="Times New Roman"/>
          <w:i/>
          <w:szCs w:val="24"/>
        </w:rPr>
        <w:t>3.3.1.2. Miljøbeskyttelsesloven</w:t>
      </w:r>
    </w:p>
    <w:p w14:paraId="43A80839" w14:textId="3F941BE4" w:rsidR="00DB5504" w:rsidRDefault="00DB5504" w:rsidP="00DB5504">
      <w:pPr>
        <w:spacing w:after="240"/>
        <w:rPr>
          <w:rFonts w:eastAsia="Calibri" w:cs="Times New Roman"/>
          <w:szCs w:val="24"/>
        </w:rPr>
      </w:pPr>
      <w:r>
        <w:rPr>
          <w:rFonts w:eastAsia="Calibri" w:cs="Times New Roman"/>
          <w:szCs w:val="24"/>
        </w:rPr>
        <w:t xml:space="preserve">Miljøbeskyttelseslovens kapitel 8 om ekspropriation m.v. indeholder </w:t>
      </w:r>
      <w:r w:rsidR="00FA78E9">
        <w:rPr>
          <w:rFonts w:eastAsia="Calibri" w:cs="Times New Roman"/>
          <w:szCs w:val="24"/>
        </w:rPr>
        <w:t xml:space="preserve">bl.a. </w:t>
      </w:r>
      <w:r>
        <w:rPr>
          <w:rFonts w:eastAsia="Calibri" w:cs="Times New Roman"/>
          <w:szCs w:val="24"/>
        </w:rPr>
        <w:t>en række godtgørelses- og erstatningsordninger knyttet til bestemmelser i kapitel 3</w:t>
      </w:r>
      <w:r w:rsidR="009B790D">
        <w:rPr>
          <w:rFonts w:eastAsia="Calibri" w:cs="Times New Roman"/>
          <w:szCs w:val="24"/>
        </w:rPr>
        <w:t xml:space="preserve"> om beskyttelse af jord og grundvand</w:t>
      </w:r>
      <w:r>
        <w:rPr>
          <w:rFonts w:eastAsia="Calibri" w:cs="Times New Roman"/>
          <w:szCs w:val="24"/>
        </w:rPr>
        <w:t xml:space="preserve">. </w:t>
      </w:r>
    </w:p>
    <w:p w14:paraId="205049B3" w14:textId="222958F5" w:rsidR="00DB5504" w:rsidRDefault="00DB5504" w:rsidP="00DB5504">
      <w:pPr>
        <w:spacing w:after="240"/>
        <w:rPr>
          <w:rFonts w:eastAsia="Calibri" w:cs="Times New Roman"/>
          <w:szCs w:val="24"/>
        </w:rPr>
      </w:pPr>
      <w:r>
        <w:rPr>
          <w:rFonts w:eastAsia="Calibri" w:cs="Times New Roman"/>
          <w:szCs w:val="24"/>
        </w:rPr>
        <w:t>I forbindelse med den efter § 21 b, stk. 1, udlagte 25 meters beskyttelseszone omkring alle boringer, der indvinder grundvand til almene vandforsyninger, er det i § 64 c, stk. 1, fastlagt, at almene vandforsyninger udbetaler en årlig godtgørelse på 429 kr. pr. boring til den grundejer, som omfattes af forbuddet mod anvendelse af p</w:t>
      </w:r>
      <w:r w:rsidR="006318E6">
        <w:rPr>
          <w:rFonts w:eastAsia="Calibri" w:cs="Times New Roman"/>
          <w:szCs w:val="24"/>
        </w:rPr>
        <w:t>esticider</w:t>
      </w:r>
      <w:r>
        <w:rPr>
          <w:rFonts w:eastAsia="Calibri" w:cs="Times New Roman"/>
          <w:szCs w:val="24"/>
        </w:rPr>
        <w:t>, dyrkning og gødskning inden for 25 meters zonen. Godtgørelsen ud</w:t>
      </w:r>
      <w:r w:rsidR="007D1A95">
        <w:rPr>
          <w:rFonts w:eastAsia="Calibri" w:cs="Times New Roman"/>
          <w:szCs w:val="24"/>
        </w:rPr>
        <w:t>be</w:t>
      </w:r>
      <w:r>
        <w:rPr>
          <w:rFonts w:eastAsia="Calibri" w:cs="Times New Roman"/>
          <w:szCs w:val="24"/>
        </w:rPr>
        <w:t>tales i hovedreglen til ejere af grunde, hvorpå en boring er beliggende, jf. miljøbeskyttelseslovens § 64 c, stk. 1. Den grundejer, som er omfattet af § 21 b, og som i forbindelse med rådighedsindskrænkninger efter §</w:t>
      </w:r>
      <w:r w:rsidR="00A8081C">
        <w:rPr>
          <w:rFonts w:eastAsia="Calibri" w:cs="Times New Roman"/>
          <w:szCs w:val="24"/>
        </w:rPr>
        <w:t>§</w:t>
      </w:r>
      <w:r>
        <w:rPr>
          <w:rFonts w:eastAsia="Calibri" w:cs="Times New Roman"/>
          <w:szCs w:val="24"/>
        </w:rPr>
        <w:t xml:space="preserve"> 24 og 26 a allerede har modtaget erstatning, er ikke berettiget til en årlig godtgørelse efter § 64 c, stk. 1, jf. § 64 c, stk. 2.  </w:t>
      </w:r>
    </w:p>
    <w:p w14:paraId="06645E85" w14:textId="77777777" w:rsidR="00A80AED" w:rsidRDefault="00A80AED" w:rsidP="00A80AED">
      <w:pPr>
        <w:spacing w:after="240"/>
        <w:rPr>
          <w:rFonts w:eastAsia="Calibri" w:cs="Times New Roman"/>
          <w:szCs w:val="24"/>
        </w:rPr>
      </w:pPr>
      <w:r>
        <w:rPr>
          <w:rFonts w:eastAsia="Calibri" w:cs="Times New Roman"/>
          <w:szCs w:val="24"/>
        </w:rPr>
        <w:t xml:space="preserve">Efter miljøbeskyttelseslovens § 63 er der knyttet en erstatningsordning til kommunalbestyrelsens meddelelse af påbud eller forbud efter § 24, stk. 1, hvorefter der kan gives påbud eller nedlægges forbud for at undgå fare for forurening af bestående eller fremtidige vandindvindingsanlæg til indvinding af grundvand. Det følger således af § 63, at påbud eller forbud efter § 24, som vedrører lovligt bestående forhold, kun kan gives mod fuldstændig erstatning.  </w:t>
      </w:r>
    </w:p>
    <w:p w14:paraId="538ADA00" w14:textId="77777777" w:rsidR="00A80AED" w:rsidRDefault="00A80AED" w:rsidP="00A80AED">
      <w:pPr>
        <w:spacing w:after="240"/>
        <w:rPr>
          <w:rFonts w:eastAsia="Calibri" w:cs="Times New Roman"/>
          <w:szCs w:val="24"/>
        </w:rPr>
      </w:pPr>
      <w:r>
        <w:rPr>
          <w:rFonts w:eastAsia="Calibri" w:cs="Times New Roman"/>
          <w:szCs w:val="24"/>
        </w:rPr>
        <w:t xml:space="preserve">Det følger af § 64, at erstatningen efter § 63 betales af de brugere af vandet, der har fordel af påbuddet eller forbuddet. Det følger endvidere af bestemmelsen, at når kommunalbestyrelsen ikke allerede som følge heraf skal betale erstatningen, kan taksationsmyndighederne, hvis foranstaltningen skønnes at være af betydning for en større del af kommunens beboere, træffe bestemmelse om, at kommunen helt eller delvist skal betale erstatningen. </w:t>
      </w:r>
    </w:p>
    <w:p w14:paraId="10DA08FF" w14:textId="2746822D" w:rsidR="00A80AED" w:rsidRDefault="00A80AED" w:rsidP="00A80AED">
      <w:pPr>
        <w:spacing w:after="240"/>
        <w:rPr>
          <w:rFonts w:eastAsia="Calibri" w:cs="Times New Roman"/>
          <w:szCs w:val="24"/>
        </w:rPr>
      </w:pPr>
      <w:r>
        <w:rPr>
          <w:rFonts w:eastAsia="Calibri" w:cs="Times New Roman"/>
          <w:szCs w:val="24"/>
        </w:rPr>
        <w:t xml:space="preserve">Ligeledes er der tilknyttet en erstatningsordning til § 26 a, hvoraf det fremgår, at kommunalbestyrelsen, hvis der ikke kan opnås en aftale herom </w:t>
      </w:r>
      <w:r>
        <w:rPr>
          <w:rFonts w:eastAsia="Calibri" w:cs="Times New Roman"/>
          <w:szCs w:val="24"/>
        </w:rPr>
        <w:lastRenderedPageBreak/>
        <w:t>på rimelige vilkår, mod fuldstændig erstatning kan pålægge ejeren af en ejendom rådighedsindskrænkninger elle andre foranstaltninger, som er nødvendige for at sikre nuværende eller fremtidige drikkevandsinteresser mod forurening med nitrat elle</w:t>
      </w:r>
      <w:r w:rsidR="007D1A95">
        <w:rPr>
          <w:rFonts w:eastAsia="Calibri" w:cs="Times New Roman"/>
          <w:szCs w:val="24"/>
        </w:rPr>
        <w:t>r</w:t>
      </w:r>
      <w:r>
        <w:rPr>
          <w:rFonts w:eastAsia="Calibri" w:cs="Times New Roman"/>
          <w:szCs w:val="24"/>
        </w:rPr>
        <w:t xml:space="preserve"> pesticider. </w:t>
      </w:r>
    </w:p>
    <w:p w14:paraId="1797CDB2" w14:textId="38B6ED2A" w:rsidR="00A80AED" w:rsidRPr="00663F4A" w:rsidRDefault="00A80AED" w:rsidP="00A80AED">
      <w:pPr>
        <w:spacing w:after="240"/>
        <w:rPr>
          <w:rFonts w:eastAsia="Calibri" w:cs="Times New Roman"/>
          <w:szCs w:val="24"/>
        </w:rPr>
      </w:pPr>
      <w:r>
        <w:rPr>
          <w:rFonts w:eastAsia="Calibri" w:cs="Times New Roman"/>
          <w:szCs w:val="24"/>
        </w:rPr>
        <w:t>Det følger af § 64 a, at erstatning efter § 26 a betales af kommunalbestyrelsen, eller, hvis kommunalbestyrelsen har givet samtykke hertil, helt eller delvist af den eller de vandforsyninger, der har fordel af beslutningen. Såfremt der opstår tvist om fordelingen af erstatningsbetalingen, afgøres spørgsmålet af taksationsmyndighederne ligesom spørgsmålet om erstatningens størrelse, jf. § 61.</w:t>
      </w:r>
    </w:p>
    <w:p w14:paraId="35BADBD7" w14:textId="77777777" w:rsidR="00A80AED" w:rsidRDefault="00A80AED" w:rsidP="00A80AED">
      <w:pPr>
        <w:spacing w:after="240"/>
        <w:rPr>
          <w:rFonts w:eastAsia="Calibri" w:cs="Times New Roman"/>
          <w:szCs w:val="24"/>
        </w:rPr>
      </w:pPr>
      <w:r>
        <w:rPr>
          <w:rFonts w:eastAsia="Calibri" w:cs="Times New Roman"/>
          <w:szCs w:val="24"/>
        </w:rPr>
        <w:t xml:space="preserve">§ 61 indeholder </w:t>
      </w:r>
      <w:r w:rsidRPr="00937E6F">
        <w:rPr>
          <w:rFonts w:eastAsia="Calibri" w:cs="Times New Roman"/>
          <w:szCs w:val="24"/>
        </w:rPr>
        <w:t>miljøbeskyttelseslovens almindelige</w:t>
      </w:r>
      <w:r>
        <w:rPr>
          <w:rFonts w:eastAsia="Calibri" w:cs="Times New Roman"/>
          <w:szCs w:val="24"/>
        </w:rPr>
        <w:t xml:space="preserve"> regler om erstatningsfastsættelse og udbetaling og om taksationsmyndighedernes sagsbehandling. § 61 henviser til en række bestemmelser om erstatning ved ekspropriation i lov om offentlige veje, som efter miljøbeskyttelsesloven finder tilsvarende anvendelse for erstatning, uanset om der er tale om ekspropriation. </w:t>
      </w:r>
    </w:p>
    <w:p w14:paraId="5C908718" w14:textId="77777777" w:rsidR="00A80AED" w:rsidRDefault="00A80AED" w:rsidP="00A80AED">
      <w:pPr>
        <w:spacing w:after="240"/>
        <w:rPr>
          <w:rFonts w:eastAsia="Calibri" w:cs="Times New Roman"/>
          <w:szCs w:val="24"/>
        </w:rPr>
      </w:pPr>
      <w:r>
        <w:rPr>
          <w:rFonts w:eastAsia="Calibri" w:cs="Times New Roman"/>
          <w:szCs w:val="24"/>
        </w:rPr>
        <w:t xml:space="preserve">Det følger af § 61, stk. 1, at </w:t>
      </w:r>
      <w:r w:rsidRPr="001A3E84">
        <w:rPr>
          <w:rFonts w:eastAsia="Calibri" w:cs="Times New Roman"/>
          <w:szCs w:val="24"/>
        </w:rPr>
        <w:t xml:space="preserve">i mangel af mindelig overenskomst foretages </w:t>
      </w:r>
      <w:r>
        <w:rPr>
          <w:rFonts w:eastAsia="Calibri" w:cs="Times New Roman"/>
          <w:szCs w:val="24"/>
        </w:rPr>
        <w:t>e</w:t>
      </w:r>
      <w:r w:rsidRPr="001A3E84">
        <w:rPr>
          <w:rFonts w:eastAsia="Calibri" w:cs="Times New Roman"/>
          <w:szCs w:val="24"/>
        </w:rPr>
        <w:t xml:space="preserve">rstatningsfastsættelser efter </w:t>
      </w:r>
      <w:r>
        <w:rPr>
          <w:rFonts w:eastAsia="Calibri" w:cs="Times New Roman"/>
          <w:szCs w:val="24"/>
        </w:rPr>
        <w:t>miljøbeskyttelsesloven</w:t>
      </w:r>
      <w:r w:rsidRPr="001A3E84">
        <w:rPr>
          <w:rFonts w:eastAsia="Calibri" w:cs="Times New Roman"/>
          <w:szCs w:val="24"/>
        </w:rPr>
        <w:t xml:space="preserve"> af de taksationsmyndigheder, der er nævnt i §§ 105 og 106 i lov om offentlige veje</w:t>
      </w:r>
      <w:r>
        <w:rPr>
          <w:rFonts w:eastAsia="Calibri" w:cs="Times New Roman"/>
          <w:szCs w:val="24"/>
        </w:rPr>
        <w:t xml:space="preserve"> bestående af taksationskommissioner og overtaksationskommissioner.</w:t>
      </w:r>
    </w:p>
    <w:p w14:paraId="2F9B8234" w14:textId="77777777" w:rsidR="00A80AED" w:rsidRDefault="00A80AED" w:rsidP="00A80AED">
      <w:pPr>
        <w:spacing w:after="240"/>
        <w:rPr>
          <w:rFonts w:eastAsia="Calibri" w:cs="Times New Roman"/>
          <w:szCs w:val="24"/>
        </w:rPr>
      </w:pPr>
      <w:r>
        <w:rPr>
          <w:rFonts w:eastAsia="Calibri" w:cs="Times New Roman"/>
          <w:szCs w:val="24"/>
        </w:rPr>
        <w:t xml:space="preserve">En erstatningsfastsættelse vil således kunne ske ved forlig mellem kommunen og grundejeren eller ved, at en grundejer tiltræder et forslag om erstatningens størrelse fremsat af kommunalbestyrelsen. Kommunalbestyrelsen træffer ikke afgørelse om erstatningsfastsættelse, idet denne kompetence i mangel af enighed tilkommer taksationsmyndighederne. </w:t>
      </w:r>
    </w:p>
    <w:p w14:paraId="7BDEE099" w14:textId="77777777" w:rsidR="00A80AED" w:rsidRDefault="00A80AED" w:rsidP="00A80AED">
      <w:pPr>
        <w:spacing w:after="240"/>
        <w:rPr>
          <w:rFonts w:eastAsia="Calibri" w:cs="Times New Roman"/>
          <w:szCs w:val="24"/>
        </w:rPr>
      </w:pPr>
      <w:r>
        <w:rPr>
          <w:rFonts w:eastAsia="Calibri" w:cs="Times New Roman"/>
          <w:szCs w:val="24"/>
        </w:rPr>
        <w:t xml:space="preserve">Det fremgår af § 61, stk. 2, at </w:t>
      </w:r>
      <w:r w:rsidRPr="001A3E84">
        <w:rPr>
          <w:rFonts w:eastAsia="Calibri" w:cs="Times New Roman"/>
          <w:szCs w:val="24"/>
        </w:rPr>
        <w:t xml:space="preserve">bestemmelserne i lov om offentlige veje §§ 103, 104 og 107-122 </w:t>
      </w:r>
      <w:r>
        <w:rPr>
          <w:rFonts w:eastAsia="Calibri" w:cs="Times New Roman"/>
          <w:szCs w:val="24"/>
        </w:rPr>
        <w:t>o</w:t>
      </w:r>
      <w:r w:rsidRPr="001A3E84">
        <w:rPr>
          <w:rFonts w:eastAsia="Calibri" w:cs="Times New Roman"/>
          <w:szCs w:val="24"/>
        </w:rPr>
        <w:t>m sagens behandling for taksationsmyndighederne og om erstatningens fastsættelse</w:t>
      </w:r>
      <w:r>
        <w:rPr>
          <w:rFonts w:eastAsia="Calibri" w:cs="Times New Roman"/>
          <w:szCs w:val="24"/>
        </w:rPr>
        <w:t xml:space="preserve"> </w:t>
      </w:r>
      <w:r w:rsidRPr="001A3E84">
        <w:rPr>
          <w:rFonts w:eastAsia="Calibri" w:cs="Times New Roman"/>
          <w:szCs w:val="24"/>
        </w:rPr>
        <w:t>og udbetaling</w:t>
      </w:r>
      <w:r>
        <w:rPr>
          <w:rFonts w:eastAsia="Calibri" w:cs="Times New Roman"/>
          <w:szCs w:val="24"/>
        </w:rPr>
        <w:t>,</w:t>
      </w:r>
      <w:r w:rsidRPr="001A3E84">
        <w:rPr>
          <w:rFonts w:eastAsia="Calibri" w:cs="Times New Roman"/>
          <w:szCs w:val="24"/>
        </w:rPr>
        <w:t xml:space="preserve"> finder tilsvarende anvendelse</w:t>
      </w:r>
      <w:r>
        <w:rPr>
          <w:rFonts w:eastAsia="Calibri" w:cs="Times New Roman"/>
          <w:szCs w:val="24"/>
        </w:rPr>
        <w:t xml:space="preserve"> for erstatningsfastsættelser efter miljøbeskyttelsesloven. </w:t>
      </w:r>
    </w:p>
    <w:p w14:paraId="305B5A60" w14:textId="77777777" w:rsidR="00A80AED" w:rsidRDefault="00A80AED" w:rsidP="00A80AED">
      <w:pPr>
        <w:rPr>
          <w:rFonts w:eastAsia="Calibri" w:cs="Times New Roman"/>
          <w:szCs w:val="24"/>
        </w:rPr>
      </w:pPr>
      <w:r>
        <w:rPr>
          <w:rFonts w:eastAsia="Calibri" w:cs="Times New Roman"/>
          <w:szCs w:val="24"/>
        </w:rPr>
        <w:t xml:space="preserve">Efter § 103 i lov om offentlige veje fastsættes erstatningen efter de almindelige erstatningsregler med fradrag for eventuel værdiforøgelse. </w:t>
      </w:r>
    </w:p>
    <w:p w14:paraId="3BA6D40A" w14:textId="77777777" w:rsidR="00A80AED" w:rsidRDefault="00A80AED" w:rsidP="00A80AED">
      <w:pPr>
        <w:rPr>
          <w:rFonts w:eastAsia="Calibri" w:cs="Times New Roman"/>
          <w:szCs w:val="24"/>
        </w:rPr>
      </w:pPr>
    </w:p>
    <w:p w14:paraId="0A216232" w14:textId="77777777" w:rsidR="00A80AED" w:rsidRDefault="00A80AED" w:rsidP="00A80AED">
      <w:pPr>
        <w:rPr>
          <w:rFonts w:eastAsia="Calibri" w:cs="Times New Roman"/>
          <w:szCs w:val="24"/>
        </w:rPr>
      </w:pPr>
      <w:r>
        <w:rPr>
          <w:rFonts w:eastAsia="Calibri" w:cs="Times New Roman"/>
          <w:szCs w:val="24"/>
        </w:rPr>
        <w:t xml:space="preserve">Det følger af § 104 i lov om offentlige veje, at hvis der pålægges intensive rådighedsindskrænkninger kan såvel grundejeren som myndigheden over for taksationskommissionen kræve hele ejendommen afstået (den såkaldte ekstensionsret), såfremt betingelsen herfor er opfyldt. </w:t>
      </w:r>
    </w:p>
    <w:p w14:paraId="3DC0D47B" w14:textId="77777777" w:rsidR="00A80AED" w:rsidRDefault="00A80AED" w:rsidP="00A80AED">
      <w:pPr>
        <w:rPr>
          <w:rFonts w:eastAsia="Calibri" w:cs="Times New Roman"/>
          <w:szCs w:val="24"/>
        </w:rPr>
      </w:pPr>
    </w:p>
    <w:p w14:paraId="4ECFB7D0" w14:textId="3445694D" w:rsidR="006B6D7C" w:rsidRDefault="00A80AED" w:rsidP="00A80AED">
      <w:pPr>
        <w:rPr>
          <w:rFonts w:eastAsia="Calibri" w:cs="Times New Roman"/>
          <w:szCs w:val="24"/>
        </w:rPr>
      </w:pPr>
      <w:r>
        <w:rPr>
          <w:rFonts w:eastAsia="Calibri" w:cs="Times New Roman"/>
          <w:szCs w:val="24"/>
        </w:rPr>
        <w:t xml:space="preserve">§§ 107-111 i lov om offentlige veje fastsætter regler for </w:t>
      </w:r>
      <w:r w:rsidR="00362FC4">
        <w:rPr>
          <w:rFonts w:eastAsia="Calibri" w:cs="Times New Roman"/>
          <w:szCs w:val="24"/>
        </w:rPr>
        <w:t xml:space="preserve">bl.a. </w:t>
      </w:r>
      <w:r>
        <w:rPr>
          <w:rFonts w:eastAsia="Calibri" w:cs="Times New Roman"/>
          <w:szCs w:val="24"/>
        </w:rPr>
        <w:t xml:space="preserve">taksationsmyndighedernes organisering, mens lovens §§ 112-118 angår taksationsmyndighedernes behandling af sagen om erstatningens størrelse. Efter § 116 kan taksationskommissionens kendelser indbringes for overtaksationskommissionen. </w:t>
      </w:r>
    </w:p>
    <w:p w14:paraId="20B40AAA" w14:textId="3609EBA2" w:rsidR="006B6D7C" w:rsidRDefault="006B6D7C" w:rsidP="00A80AED">
      <w:pPr>
        <w:rPr>
          <w:rFonts w:eastAsia="Calibri" w:cs="Times New Roman"/>
          <w:szCs w:val="24"/>
        </w:rPr>
      </w:pPr>
    </w:p>
    <w:p w14:paraId="35A17175" w14:textId="244D3BC6" w:rsidR="006B6D7C" w:rsidRPr="00050B7B" w:rsidRDefault="006B6D7C" w:rsidP="00A80AED">
      <w:pPr>
        <w:rPr>
          <w:rFonts w:eastAsia="Calibri" w:cs="Times New Roman"/>
          <w:szCs w:val="24"/>
        </w:rPr>
      </w:pPr>
      <w:r>
        <w:rPr>
          <w:rFonts w:eastAsia="Calibri" w:cs="Times New Roman"/>
          <w:szCs w:val="24"/>
        </w:rPr>
        <w:t>I § 111, stk. 1,</w:t>
      </w:r>
      <w:r w:rsidR="00362FC4">
        <w:rPr>
          <w:rFonts w:eastAsia="Calibri" w:cs="Times New Roman"/>
          <w:szCs w:val="24"/>
        </w:rPr>
        <w:t xml:space="preserve"> i lov om offentlige veje</w:t>
      </w:r>
      <w:r>
        <w:rPr>
          <w:rFonts w:eastAsia="Calibri" w:cs="Times New Roman"/>
          <w:szCs w:val="24"/>
        </w:rPr>
        <w:t xml:space="preserve"> fremgår det, at taksations- og overtaksationskommissioner med transportministerens godkendelse </w:t>
      </w:r>
      <w:r w:rsidR="00362FC4">
        <w:rPr>
          <w:rFonts w:eastAsia="Calibri" w:cs="Times New Roman"/>
          <w:szCs w:val="24"/>
        </w:rPr>
        <w:t xml:space="preserve">kan </w:t>
      </w:r>
      <w:r>
        <w:rPr>
          <w:rFonts w:eastAsia="Calibri" w:cs="Times New Roman"/>
          <w:szCs w:val="24"/>
        </w:rPr>
        <w:t xml:space="preserve">antage sekretærbistand. Af § 111, stk. 2, fremgår det, at udgift til vederlag til formænd og sekretærer afholdes af staten, og andre udgifter ved kommissionernes </w:t>
      </w:r>
      <w:r w:rsidR="00031D73">
        <w:rPr>
          <w:rFonts w:eastAsia="Calibri" w:cs="Times New Roman"/>
          <w:szCs w:val="24"/>
        </w:rPr>
        <w:t>virksomhed afholdes af vedkommende vejmyndighed.</w:t>
      </w:r>
    </w:p>
    <w:p w14:paraId="205D53BD" w14:textId="77777777" w:rsidR="00A80AED" w:rsidRPr="00050B7B" w:rsidRDefault="00A80AED" w:rsidP="00A80AED">
      <w:pPr>
        <w:autoSpaceDE w:val="0"/>
        <w:autoSpaceDN w:val="0"/>
        <w:adjustRightInd w:val="0"/>
        <w:spacing w:line="240" w:lineRule="auto"/>
        <w:jc w:val="left"/>
        <w:rPr>
          <w:rFonts w:ascii="Times-Roman" w:hAnsi="Times-Roman" w:cs="Times-Roman"/>
          <w:sz w:val="20"/>
          <w:szCs w:val="20"/>
        </w:rPr>
      </w:pPr>
    </w:p>
    <w:p w14:paraId="37624DBB" w14:textId="77777777" w:rsidR="00A80AED" w:rsidRDefault="00A80AED" w:rsidP="00A80AED">
      <w:pPr>
        <w:rPr>
          <w:rFonts w:eastAsia="Calibri" w:cs="Times New Roman"/>
          <w:szCs w:val="24"/>
        </w:rPr>
      </w:pPr>
      <w:r>
        <w:rPr>
          <w:rFonts w:eastAsia="Calibri" w:cs="Times New Roman"/>
          <w:szCs w:val="24"/>
        </w:rPr>
        <w:t>§ 119 i lov om offentlige veje fastsætter regler for udbetalingen af erstatning, herunder udbetalingstidspunkt og forholdet til panthavere i ejendommen. Efter § 119, stk. 1, skal vejmyndigheden uden unødigt ophold udbetale erstatning til de berettigede. Kravet om udbetaling uden unødigt ophold bedømmes i forhold til det tidspunkt, hvor erstatningen er endeligt administrativt fastsat. En erstatning er endeligt fastsat, når der er indgået forlig, når et skriftligt erstatningsforslag er tiltrådt, eller når taksationskommissionen eller overtaksationskommissionen har afsagt kendelse om erstatningens størrelse.</w:t>
      </w:r>
    </w:p>
    <w:p w14:paraId="514CD121" w14:textId="77777777" w:rsidR="00A80AED" w:rsidRDefault="00A80AED" w:rsidP="00A80AED">
      <w:pPr>
        <w:rPr>
          <w:rFonts w:eastAsia="Calibri" w:cs="Times New Roman"/>
          <w:szCs w:val="24"/>
        </w:rPr>
      </w:pPr>
    </w:p>
    <w:p w14:paraId="0AFFC2CC" w14:textId="640AD4A1" w:rsidR="00A80AED" w:rsidRDefault="00A80AED" w:rsidP="00A80AED">
      <w:pPr>
        <w:rPr>
          <w:rFonts w:eastAsia="Calibri" w:cs="Times New Roman"/>
          <w:szCs w:val="24"/>
        </w:rPr>
      </w:pPr>
      <w:r>
        <w:rPr>
          <w:rFonts w:eastAsia="Calibri" w:cs="Times New Roman"/>
          <w:szCs w:val="24"/>
        </w:rPr>
        <w:t>På det statslige område kan ekspropriationskommissionen efter praksis udbetale forskud på en ekspropriationserstatning, når en sag indbringes for taksationsmyndighederne. Tilsvarende kan kommunerne ved ekspropriationer efter lov om offentlige veje vælge at udbetale en a conto erstatning</w:t>
      </w:r>
      <w:r w:rsidR="0075047A">
        <w:rPr>
          <w:rFonts w:eastAsia="Calibri" w:cs="Times New Roman"/>
          <w:szCs w:val="24"/>
        </w:rPr>
        <w:t>,</w:t>
      </w:r>
      <w:r>
        <w:rPr>
          <w:rFonts w:eastAsia="Calibri" w:cs="Times New Roman"/>
          <w:szCs w:val="24"/>
        </w:rPr>
        <w:t xml:space="preserve"> inden erstatningsfastsættelsen er afgjort af taksationsmyndighederne. </w:t>
      </w:r>
    </w:p>
    <w:p w14:paraId="10E0BD7E" w14:textId="77777777" w:rsidR="00A80AED" w:rsidRDefault="00A80AED" w:rsidP="00A80AED">
      <w:pPr>
        <w:rPr>
          <w:rFonts w:eastAsia="Calibri" w:cs="Times New Roman"/>
          <w:szCs w:val="24"/>
        </w:rPr>
      </w:pPr>
    </w:p>
    <w:p w14:paraId="18D232CA" w14:textId="77777777" w:rsidR="00A80AED" w:rsidRPr="00C85F34" w:rsidRDefault="00A80AED" w:rsidP="00A80AED">
      <w:pPr>
        <w:rPr>
          <w:rFonts w:eastAsia="Calibri" w:cs="Times New Roman"/>
          <w:szCs w:val="24"/>
        </w:rPr>
      </w:pPr>
      <w:r>
        <w:rPr>
          <w:rFonts w:eastAsia="Calibri" w:cs="Times New Roman"/>
          <w:szCs w:val="24"/>
        </w:rPr>
        <w:t xml:space="preserve">Efter § 120 i lov om offentlige veje forrentes erstatningsbeløbet som udgangspunkt fra datoen for ekspropriationsbeslutningen. </w:t>
      </w:r>
    </w:p>
    <w:p w14:paraId="4C07A2A0" w14:textId="77777777" w:rsidR="00867323" w:rsidRPr="00867323" w:rsidRDefault="00867323" w:rsidP="00867323">
      <w:pPr>
        <w:rPr>
          <w:rFonts w:eastAsia="Calibri" w:cs="Times New Roman"/>
          <w:szCs w:val="24"/>
        </w:rPr>
      </w:pPr>
    </w:p>
    <w:p w14:paraId="43BC1715" w14:textId="6C459EC1" w:rsidR="00FD1A50" w:rsidRDefault="00312B0C" w:rsidP="00FD1A50">
      <w:pPr>
        <w:spacing w:after="240"/>
        <w:rPr>
          <w:rFonts w:eastAsia="Calibri" w:cs="Times New Roman"/>
          <w:i/>
          <w:szCs w:val="24"/>
        </w:rPr>
      </w:pPr>
      <w:bookmarkStart w:id="4" w:name="_Hlk149402343"/>
      <w:r>
        <w:rPr>
          <w:rFonts w:eastAsia="Calibri" w:cs="Times New Roman"/>
          <w:i/>
          <w:szCs w:val="24"/>
        </w:rPr>
        <w:t>3</w:t>
      </w:r>
      <w:r w:rsidR="00FD1A50" w:rsidRPr="004D7B0E">
        <w:rPr>
          <w:rFonts w:eastAsia="Calibri" w:cs="Times New Roman"/>
          <w:i/>
          <w:szCs w:val="24"/>
        </w:rPr>
        <w:t>.</w:t>
      </w:r>
      <w:r w:rsidR="002171A8">
        <w:rPr>
          <w:rFonts w:eastAsia="Calibri" w:cs="Times New Roman"/>
          <w:i/>
          <w:szCs w:val="24"/>
        </w:rPr>
        <w:t>3</w:t>
      </w:r>
      <w:r w:rsidR="00FD1A50" w:rsidRPr="004D7B0E">
        <w:rPr>
          <w:rFonts w:eastAsia="Calibri" w:cs="Times New Roman"/>
          <w:i/>
          <w:szCs w:val="24"/>
        </w:rPr>
        <w:t>.</w:t>
      </w:r>
      <w:r w:rsidR="002171A8">
        <w:rPr>
          <w:rFonts w:eastAsia="Calibri" w:cs="Times New Roman"/>
          <w:i/>
          <w:szCs w:val="24"/>
        </w:rPr>
        <w:t>2</w:t>
      </w:r>
      <w:r w:rsidR="00FD1A50" w:rsidRPr="004D7B0E">
        <w:rPr>
          <w:rFonts w:eastAsia="Calibri" w:cs="Times New Roman"/>
          <w:i/>
          <w:szCs w:val="24"/>
        </w:rPr>
        <w:t xml:space="preserve">. </w:t>
      </w:r>
      <w:r w:rsidR="00AA575B" w:rsidRPr="004D7B0E">
        <w:rPr>
          <w:rFonts w:eastAsia="Calibri" w:cs="Times New Roman"/>
          <w:i/>
          <w:szCs w:val="24"/>
        </w:rPr>
        <w:t>Miljøministeriets overvejelser og d</w:t>
      </w:r>
      <w:r w:rsidR="00FD1A50" w:rsidRPr="004D7B0E">
        <w:rPr>
          <w:rFonts w:eastAsia="Calibri" w:cs="Times New Roman"/>
          <w:i/>
          <w:szCs w:val="24"/>
        </w:rPr>
        <w:t>en foreslåede ordning</w:t>
      </w:r>
    </w:p>
    <w:p w14:paraId="0187991C" w14:textId="1529F333" w:rsidR="00A80AED" w:rsidRDefault="00A80AED" w:rsidP="00A80AED">
      <w:pPr>
        <w:spacing w:after="240"/>
        <w:rPr>
          <w:rFonts w:eastAsia="Calibri" w:cs="Times New Roman"/>
          <w:szCs w:val="24"/>
        </w:rPr>
      </w:pPr>
      <w:r>
        <w:rPr>
          <w:rFonts w:eastAsia="Calibri" w:cs="Times New Roman"/>
          <w:szCs w:val="24"/>
        </w:rPr>
        <w:t>Det foreslås, at et påbud eller forbud efter § 24 a altid skal udløse fuldstændig erstatning til den grundejer, hvis ejendom omfattes af påbuddet eller forbuddet. Herved sikres en sammenhæng til de eksisterende bestemmelser i §§ 24 og 26 a, og at grundejeren får fuldstændig kompensation for det tab, som en afgørelse efter § 24 a kan medføre.</w:t>
      </w:r>
    </w:p>
    <w:p w14:paraId="4A09684B" w14:textId="7304EFE7" w:rsidR="00A80AED" w:rsidRDefault="00A80AED" w:rsidP="00A80AED">
      <w:pPr>
        <w:spacing w:after="240"/>
        <w:rPr>
          <w:rFonts w:eastAsia="Calibri" w:cs="Times New Roman"/>
          <w:szCs w:val="24"/>
        </w:rPr>
      </w:pPr>
      <w:r>
        <w:rPr>
          <w:rFonts w:eastAsia="Calibri" w:cs="Times New Roman"/>
          <w:szCs w:val="24"/>
        </w:rPr>
        <w:lastRenderedPageBreak/>
        <w:t>En sådan ordning findes at være den mest velegnede, da påbud eller forbud skal være nødvendig som følge af eksempelvis de geologiske forhold på stedet, som grundejeren ikke har indflydelse på</w:t>
      </w:r>
      <w:r w:rsidR="00EC15B0">
        <w:rPr>
          <w:rFonts w:eastAsia="Calibri" w:cs="Times New Roman"/>
          <w:szCs w:val="24"/>
        </w:rPr>
        <w:t>.</w:t>
      </w:r>
      <w:r>
        <w:rPr>
          <w:rFonts w:eastAsia="Calibri" w:cs="Times New Roman"/>
          <w:szCs w:val="24"/>
        </w:rPr>
        <w:t xml:space="preserve"> </w:t>
      </w:r>
    </w:p>
    <w:p w14:paraId="65F2DAA8" w14:textId="77777777" w:rsidR="00A80AED" w:rsidRDefault="00A80AED" w:rsidP="00A80AED">
      <w:pPr>
        <w:spacing w:after="240"/>
        <w:rPr>
          <w:rFonts w:eastAsia="Calibri" w:cs="Times New Roman"/>
          <w:szCs w:val="24"/>
        </w:rPr>
      </w:pPr>
      <w:r>
        <w:rPr>
          <w:rFonts w:eastAsia="Calibri" w:cs="Times New Roman"/>
          <w:szCs w:val="24"/>
        </w:rPr>
        <w:t xml:space="preserve">Løsningsmodellen svarer til den, der er valgt i forbindelse med miljøbeskyttelseslovens § 24, hvor det følger af § 63, at der skal gives fuldstændig erstatning i forbindelse med påbud og forbud vedrørende bestående lovlige forhold. Løsningsmodellen svarer endvidere til den, der er valgt i forbindelse med § 26 a, hvoraf det følger, at kommunalbestyrelsen mod fuldstændig erstatning kan pålægge ejeren af en ejendom rådighedsindskrænkninger eller andre foranstaltninger, som er nødvendige for at sikre nuværende eller fremtidige drikkevandsinteresser mod forurening med nitrat eller pesticider. </w:t>
      </w:r>
    </w:p>
    <w:p w14:paraId="30BB4ED3" w14:textId="5BA68A1F" w:rsidR="00A80AED" w:rsidRDefault="00A80AED" w:rsidP="00A80AED">
      <w:pPr>
        <w:spacing w:after="240"/>
        <w:rPr>
          <w:rFonts w:eastAsia="Calibri" w:cs="Times New Roman"/>
          <w:szCs w:val="24"/>
        </w:rPr>
      </w:pPr>
      <w:r>
        <w:rPr>
          <w:rFonts w:eastAsia="Calibri" w:cs="Times New Roman"/>
          <w:szCs w:val="24"/>
        </w:rPr>
        <w:t xml:space="preserve">Påbud eller forbud </w:t>
      </w:r>
      <w:r w:rsidR="00E8326F">
        <w:rPr>
          <w:rFonts w:eastAsia="Calibri" w:cs="Times New Roman"/>
          <w:szCs w:val="24"/>
        </w:rPr>
        <w:t xml:space="preserve">vil </w:t>
      </w:r>
      <w:r>
        <w:rPr>
          <w:rFonts w:eastAsia="Calibri" w:cs="Times New Roman"/>
          <w:szCs w:val="24"/>
        </w:rPr>
        <w:t>efter den foreslåede § 24 a og den tilhørende erstatning, kun</w:t>
      </w:r>
      <w:r w:rsidR="00E8326F">
        <w:rPr>
          <w:rFonts w:eastAsia="Calibri" w:cs="Times New Roman"/>
          <w:szCs w:val="24"/>
        </w:rPr>
        <w:t xml:space="preserve"> finde</w:t>
      </w:r>
      <w:r>
        <w:rPr>
          <w:rFonts w:eastAsia="Calibri" w:cs="Times New Roman"/>
          <w:szCs w:val="24"/>
        </w:rPr>
        <w:t xml:space="preserve"> anvendelse i forbindelse med indgreb i den lovlige erhvervsmæssig anvendelse af pesticider. Dette vil i forhold til spørgsmålet om erstatning være tilsvarende den gældende § 63 i miljøbeskyttelsesloven, hvoraf det fremgår, at forbud eller påbud efter den gældende § 24 vedrørende lovligt bestående forhold altid skal udløse fuldstændig erstatning. </w:t>
      </w:r>
    </w:p>
    <w:p w14:paraId="1CCBCECB" w14:textId="77777777" w:rsidR="00A80AED" w:rsidRDefault="00A80AED" w:rsidP="00A80AED">
      <w:pPr>
        <w:spacing w:after="240"/>
        <w:rPr>
          <w:rFonts w:eastAsia="Calibri" w:cs="Times New Roman"/>
          <w:szCs w:val="24"/>
        </w:rPr>
      </w:pPr>
      <w:r>
        <w:rPr>
          <w:rFonts w:eastAsia="Calibri" w:cs="Times New Roman"/>
          <w:szCs w:val="24"/>
        </w:rPr>
        <w:t xml:space="preserve">Den grundejer, som er omfattet af § 21 b, og som i forbindelse med et påbud eller forbud efter den foreslåede § 24 a allerede har modtaget erstatning, er ikke berettiget til en årlig godtgørelse efter § 64 c, stk. 1, jf. § 64 c, stk. 2.  </w:t>
      </w:r>
    </w:p>
    <w:p w14:paraId="51C908ED" w14:textId="5CB524C5" w:rsidR="00A80AED" w:rsidRDefault="00A80AED" w:rsidP="00A80AED">
      <w:pPr>
        <w:spacing w:after="240"/>
        <w:rPr>
          <w:rFonts w:eastAsia="Calibri" w:cs="Times New Roman"/>
          <w:szCs w:val="24"/>
        </w:rPr>
      </w:pPr>
      <w:r>
        <w:rPr>
          <w:rFonts w:eastAsia="Calibri" w:cs="Times New Roman"/>
          <w:szCs w:val="24"/>
        </w:rPr>
        <w:t xml:space="preserve">Det foreslås, at der tilføjes en ny bestemmelse i miljøbeskyttelseslovens § 61, stk. 3, hvorefter det er den foreslåede § 64 e, der </w:t>
      </w:r>
      <w:r w:rsidR="002F2556">
        <w:rPr>
          <w:rFonts w:eastAsia="Calibri" w:cs="Times New Roman"/>
          <w:szCs w:val="24"/>
        </w:rPr>
        <w:t xml:space="preserve">vil </w:t>
      </w:r>
      <w:r>
        <w:rPr>
          <w:rFonts w:eastAsia="Calibri" w:cs="Times New Roman"/>
          <w:szCs w:val="24"/>
        </w:rPr>
        <w:t>finde anvendelse i forbindelse med erstatning ved påbud eller forbud efter den foreslåede § 24 a.</w:t>
      </w:r>
    </w:p>
    <w:p w14:paraId="28685B5E" w14:textId="2C508278" w:rsidR="00A80AED" w:rsidRDefault="00A80AED" w:rsidP="00A80AED">
      <w:pPr>
        <w:spacing w:after="240"/>
        <w:rPr>
          <w:rFonts w:eastAsia="Calibri" w:cs="Times New Roman"/>
          <w:szCs w:val="24"/>
        </w:rPr>
      </w:pPr>
      <w:r>
        <w:rPr>
          <w:rFonts w:eastAsia="Calibri" w:cs="Times New Roman"/>
          <w:szCs w:val="24"/>
        </w:rPr>
        <w:t xml:space="preserve">Forslaget indebærer, at miljøbeskyttelseslovens almindelige regler om erstatningens fastsættelse og udbetaling m.v., jf. § 61, ikke </w:t>
      </w:r>
      <w:r w:rsidR="002F2556">
        <w:rPr>
          <w:rFonts w:eastAsia="Calibri" w:cs="Times New Roman"/>
          <w:szCs w:val="24"/>
        </w:rPr>
        <w:t xml:space="preserve">vil </w:t>
      </w:r>
      <w:r>
        <w:rPr>
          <w:rFonts w:eastAsia="Calibri" w:cs="Times New Roman"/>
          <w:szCs w:val="24"/>
        </w:rPr>
        <w:t>finde</w:t>
      </w:r>
      <w:r w:rsidR="002F2556">
        <w:rPr>
          <w:rFonts w:eastAsia="Calibri" w:cs="Times New Roman"/>
          <w:szCs w:val="24"/>
        </w:rPr>
        <w:t xml:space="preserve"> </w:t>
      </w:r>
      <w:r>
        <w:rPr>
          <w:rFonts w:eastAsia="Calibri" w:cs="Times New Roman"/>
          <w:szCs w:val="24"/>
        </w:rPr>
        <w:t xml:space="preserve">anvendelse </w:t>
      </w:r>
      <w:r w:rsidR="002F2556">
        <w:rPr>
          <w:rFonts w:eastAsia="Calibri" w:cs="Times New Roman"/>
          <w:szCs w:val="24"/>
        </w:rPr>
        <w:t>for</w:t>
      </w:r>
      <w:r>
        <w:rPr>
          <w:rFonts w:eastAsia="Calibri" w:cs="Times New Roman"/>
          <w:szCs w:val="24"/>
        </w:rPr>
        <w:t xml:space="preserve"> erstatninger, der gives på baggrund af afgørelser efter den foreslåede § 24 a.</w:t>
      </w:r>
    </w:p>
    <w:p w14:paraId="4685F4DF" w14:textId="27A9F476" w:rsidR="00A80AED" w:rsidRDefault="00A80AED" w:rsidP="00A80AED">
      <w:pPr>
        <w:spacing w:after="240"/>
        <w:rPr>
          <w:rFonts w:eastAsia="Calibri" w:cs="Times New Roman"/>
          <w:szCs w:val="24"/>
        </w:rPr>
      </w:pPr>
      <w:r>
        <w:rPr>
          <w:rFonts w:eastAsia="Calibri" w:cs="Times New Roman"/>
          <w:szCs w:val="24"/>
        </w:rPr>
        <w:t>Det foreslås, at der indsættes en ny § 64 e om erstatningsordningen for påbud eller forbud efter den foreslåede § 24 a.</w:t>
      </w:r>
    </w:p>
    <w:p w14:paraId="1C0FF30B" w14:textId="6DABDA49" w:rsidR="00A80AED" w:rsidRDefault="00A80AED" w:rsidP="00A80AED">
      <w:pPr>
        <w:spacing w:after="240"/>
        <w:rPr>
          <w:rFonts w:eastAsia="Calibri" w:cs="Times New Roman"/>
          <w:szCs w:val="24"/>
        </w:rPr>
      </w:pPr>
      <w:r>
        <w:rPr>
          <w:rFonts w:eastAsia="Calibri" w:cs="Times New Roman"/>
          <w:szCs w:val="24"/>
        </w:rPr>
        <w:t xml:space="preserve">Efter den foreslåede § 64 e </w:t>
      </w:r>
      <w:r w:rsidR="002F2556">
        <w:rPr>
          <w:rFonts w:eastAsia="Calibri" w:cs="Times New Roman"/>
          <w:szCs w:val="24"/>
        </w:rPr>
        <w:t xml:space="preserve">vil </w:t>
      </w:r>
      <w:r>
        <w:rPr>
          <w:rFonts w:eastAsia="Calibri" w:cs="Times New Roman"/>
          <w:szCs w:val="24"/>
        </w:rPr>
        <w:t xml:space="preserve">erstatning efter den foreslåede § 24 a </w:t>
      </w:r>
      <w:r w:rsidR="002F2556">
        <w:rPr>
          <w:rFonts w:eastAsia="Calibri" w:cs="Times New Roman"/>
          <w:szCs w:val="24"/>
        </w:rPr>
        <w:t xml:space="preserve">skulle betales </w:t>
      </w:r>
      <w:r>
        <w:rPr>
          <w:rFonts w:eastAsia="Calibri" w:cs="Times New Roman"/>
          <w:szCs w:val="24"/>
        </w:rPr>
        <w:t xml:space="preserve">af de brugere af vandet, der har fordel af påbuddet eller forbuddet. </w:t>
      </w:r>
      <w:r>
        <w:t xml:space="preserve">Forslaget indebærer, at den almene vandforsyning, der indvinder vand inden </w:t>
      </w:r>
      <w:r>
        <w:lastRenderedPageBreak/>
        <w:t xml:space="preserve">for det boringsnære beskyttelsesområde, hvor der er meddelt et påbud eller forbud, vil skulle afholde udgifterne til erstatningen og forestå udbetalingen. </w:t>
      </w:r>
    </w:p>
    <w:p w14:paraId="2AEBB348" w14:textId="33C7D4D4" w:rsidR="00A80AED" w:rsidRDefault="00A80AED" w:rsidP="00A80AED">
      <w:r w:rsidRPr="003C5764">
        <w:rPr>
          <w:bCs/>
          <w:iCs/>
        </w:rPr>
        <w:t>Omkostninger ved erstatningen vil på linje med den almene vandforsynings øvrige lovlige udgifter til beskyttelse af vandressourcerne kunne indregnes i vandprisen, jf. vandforsyningslovens § 52 a</w:t>
      </w:r>
      <w:r>
        <w:rPr>
          <w:bCs/>
          <w:iCs/>
        </w:rPr>
        <w:t xml:space="preserve">, </w:t>
      </w:r>
      <w:r w:rsidR="002D0DAD">
        <w:rPr>
          <w:bCs/>
          <w:iCs/>
        </w:rPr>
        <w:t xml:space="preserve">stk. 1, </w:t>
      </w:r>
      <w:r>
        <w:rPr>
          <w:bCs/>
          <w:iCs/>
        </w:rPr>
        <w:t>nr. 10</w:t>
      </w:r>
      <w:r>
        <w:t>. Da omkostningerne ved erstatningen vil kunne indregnes i vandpriserne efter de gældende regler i § 52 a, stk. 1, nr. 10,</w:t>
      </w:r>
      <w:r w:rsidRPr="003C5764">
        <w:t xml:space="preserve"> </w:t>
      </w:r>
      <w:r>
        <w:t xml:space="preserve">vil det således være de vandforbrugere, der får gavn af beskyttelsen ved et påbud eller forbud efter § 24 a, der i sidste ende vil finansiere omkostningerne ved en forhøjelse af vandtaksten eller det årlige faste bidrag. </w:t>
      </w:r>
    </w:p>
    <w:p w14:paraId="2F49932B" w14:textId="77777777" w:rsidR="00A80AED" w:rsidRPr="001C73B4" w:rsidRDefault="00A80AED" w:rsidP="00A80AED"/>
    <w:p w14:paraId="349FB36F" w14:textId="77777777" w:rsidR="00A80AED" w:rsidRDefault="00A80AED" w:rsidP="00A80AED">
      <w:pPr>
        <w:spacing w:after="240"/>
        <w:rPr>
          <w:rFonts w:eastAsia="Calibri" w:cs="Times New Roman"/>
          <w:szCs w:val="24"/>
        </w:rPr>
      </w:pPr>
      <w:r>
        <w:rPr>
          <w:rFonts w:eastAsia="Calibri" w:cs="Times New Roman"/>
          <w:szCs w:val="24"/>
        </w:rPr>
        <w:t xml:space="preserve">Forslaget indebærer videre, at kommunen ved påbud eller forbud efter den foreslåede § 24 a samtidig skal træffe afgørelse om erstatningens størrelse. Kommunen har efter de gældende regler alene kompetence til at fremsætte forslag til erstatningens størrelse som grundejeren kan acceptere eller afslå, idet en afgørelse om erstatningsfastsættelsen i mangel af mindelig overenskomst afgøres af taksationsmyndigheder, jf. miljøbeskyttelseslovens § 61. Med den foreslåede ordning vil kommunen således skulle træffe en afgørelse om erstatningsfastsættelsen overfor grundejeren og vandforsyningen som 1. instans, og afgørelsen vil kunne påklages til taksationskommissionen. </w:t>
      </w:r>
    </w:p>
    <w:p w14:paraId="6DB388DB" w14:textId="77777777" w:rsidR="00A80AED" w:rsidRDefault="00A80AED" w:rsidP="00A80AED">
      <w:pPr>
        <w:spacing w:after="240"/>
        <w:rPr>
          <w:rFonts w:eastAsia="Calibri" w:cs="Times New Roman"/>
          <w:szCs w:val="24"/>
        </w:rPr>
      </w:pPr>
      <w:r>
        <w:rPr>
          <w:rFonts w:eastAsia="Calibri" w:cs="Times New Roman"/>
          <w:szCs w:val="24"/>
        </w:rPr>
        <w:t xml:space="preserve">Det foreslås, at der for kommunens behandling af sagen gælder en række af de samme regler i lov om offentlige veje, som gælder ved erstatningens fastsættelse m.v. på resten af miljøbeskyttelseslovens område, jf. § 61, stk. 2. </w:t>
      </w:r>
    </w:p>
    <w:p w14:paraId="1B962A1A" w14:textId="3E14158E" w:rsidR="00A80AED" w:rsidRDefault="00A80AED" w:rsidP="00A80AED">
      <w:pPr>
        <w:spacing w:after="240"/>
        <w:rPr>
          <w:highlight w:val="yellow"/>
        </w:rPr>
      </w:pPr>
      <w:r>
        <w:rPr>
          <w:rFonts w:eastAsia="Calibri" w:cs="Times New Roman"/>
          <w:szCs w:val="24"/>
        </w:rPr>
        <w:t xml:space="preserve">Med forslaget fastsættes erstatningen således efter lov om offentlige veje § 103, hvoraf det følger, at erstatning fastsættes efter de almindelige erstatningsregler. Endvidere vil lov om offentlige veje § 104 om ekstensionsretten, § 113 om krav om erstatning fra andre end dem, der er berørt af afgørelsen, </w:t>
      </w:r>
      <w:r w:rsidRPr="00611156">
        <w:t>§ 119, stk. 2-4</w:t>
      </w:r>
      <w:r>
        <w:t>,</w:t>
      </w:r>
      <w:r w:rsidRPr="00611156">
        <w:t xml:space="preserve"> om panthavere, § 120 om forrentning</w:t>
      </w:r>
      <w:r>
        <w:t>, og § 121 om søgsmål, finde</w:t>
      </w:r>
      <w:r w:rsidRPr="00611156">
        <w:t xml:space="preserve"> tilsvarende</w:t>
      </w:r>
      <w:r>
        <w:t xml:space="preserve"> </w:t>
      </w:r>
      <w:r w:rsidRPr="00611156">
        <w:t>anvendelse.</w:t>
      </w:r>
    </w:p>
    <w:p w14:paraId="6AD9FAB0" w14:textId="238BB564" w:rsidR="00A80AED" w:rsidRDefault="00A80AED" w:rsidP="00A80AED">
      <w:pPr>
        <w:spacing w:after="240"/>
        <w:rPr>
          <w:rFonts w:eastAsia="Calibri" w:cs="Times New Roman"/>
          <w:szCs w:val="24"/>
        </w:rPr>
      </w:pPr>
      <w:r>
        <w:rPr>
          <w:rFonts w:eastAsia="Calibri" w:cs="Times New Roman"/>
          <w:szCs w:val="24"/>
        </w:rPr>
        <w:t>Det forudsættes i øvrigt, at kommunen ved afgørelsen om erstatningsfastsættelsen iagttager reglerne i forvaltningsloven.</w:t>
      </w:r>
    </w:p>
    <w:p w14:paraId="47732A92" w14:textId="41BA77C6" w:rsidR="00A80AED" w:rsidRPr="005B37FF" w:rsidRDefault="00A80AED" w:rsidP="00A80AED">
      <w:pPr>
        <w:spacing w:after="240"/>
        <w:rPr>
          <w:rFonts w:eastAsia="Calibri" w:cs="Times New Roman"/>
          <w:szCs w:val="24"/>
        </w:rPr>
      </w:pPr>
      <w:r>
        <w:rPr>
          <w:rFonts w:eastAsia="Calibri" w:cs="Times New Roman"/>
          <w:szCs w:val="24"/>
        </w:rPr>
        <w:t xml:space="preserve">Det foreslås videre, at kommunens afgørelse om erstatningsfastsættelsen kan påklages til taksationskommissionen af grundejeren og vandforsyningen. Da vandforsyningerne efter den foreslåede ordning skal afholde udgiften til erstatningen og foretage udbetalingen af erstatningen, findes det hensigtsmæssigt at vandforsyningen på linje med grundejeren får </w:t>
      </w:r>
      <w:r>
        <w:rPr>
          <w:rFonts w:eastAsia="Calibri" w:cs="Times New Roman"/>
          <w:szCs w:val="24"/>
        </w:rPr>
        <w:lastRenderedPageBreak/>
        <w:t xml:space="preserve">mulighed for at påklage kommunens erstatningsfastsættelse. </w:t>
      </w:r>
      <w:r>
        <w:t>Klagefristen er 4 uger efter, at afgørelsen er meddelt.</w:t>
      </w:r>
    </w:p>
    <w:p w14:paraId="28350DF7" w14:textId="3EC7EF12" w:rsidR="00A80AED" w:rsidRDefault="00A80AED" w:rsidP="00A80AED">
      <w:pPr>
        <w:spacing w:after="240"/>
      </w:pPr>
      <w:r>
        <w:t>For taksationsmyndighedernes behandling af sagen finder lov om offentlige veje §§ 103</w:t>
      </w:r>
      <w:r w:rsidR="002319C5">
        <w:t xml:space="preserve">, </w:t>
      </w:r>
      <w:r>
        <w:t>104 og 107-122 tilsvarende anvendelse. Dette svarer til ordningen i miljøbeskyttelseslovens § 61, stk. 2.</w:t>
      </w:r>
    </w:p>
    <w:p w14:paraId="166577ED" w14:textId="77777777" w:rsidR="00A80AED" w:rsidRDefault="00A80AED" w:rsidP="00A80AED">
      <w:pPr>
        <w:spacing w:after="240"/>
        <w:rPr>
          <w:rFonts w:eastAsia="Calibri" w:cs="Times New Roman"/>
          <w:szCs w:val="24"/>
        </w:rPr>
      </w:pPr>
      <w:r>
        <w:rPr>
          <w:rFonts w:eastAsia="Calibri" w:cs="Times New Roman"/>
          <w:szCs w:val="24"/>
        </w:rPr>
        <w:t xml:space="preserve">Det foreslås, at en klage over en afgørelse om erstatningens fastsættelse ikke tillægges opsættende virkning. Den foreslåede ordning hænger sammen med, at en klage over et påbud eller forbud efter den foreslåede § 24 a ikke får opsættende virkning, jf. den foreslåede § 95, stk. 3, ligesom ordningen hænger sammen med den foreslåede § 64 e, stk. 5, om udbetalingstidspunktet for erstatningen. En grundejer vil efter den foreslåede ordning modtage erstatning uanset, om en afgørelse efter den foreslåede § 24 a er indbragt for Miljø- og Fødevareklagenævnet, eller en afgørelse om erstatningens størrelse er indbragt for taksationsmyndighederne. </w:t>
      </w:r>
    </w:p>
    <w:p w14:paraId="4DB6859B" w14:textId="3ACDF06C" w:rsidR="00A80AED" w:rsidRDefault="00A80AED" w:rsidP="00A80AED">
      <w:r>
        <w:rPr>
          <w:rFonts w:eastAsia="Calibri" w:cs="Times New Roman"/>
          <w:szCs w:val="24"/>
        </w:rPr>
        <w:t>Det foreslås, at vandforsyningen skal udbetale den erstatning</w:t>
      </w:r>
      <w:r w:rsidR="00327DD3">
        <w:rPr>
          <w:rFonts w:eastAsia="Calibri" w:cs="Times New Roman"/>
          <w:szCs w:val="24"/>
        </w:rPr>
        <w:t>, som er fastsat af kommunen</w:t>
      </w:r>
      <w:r w:rsidR="00B23FBE">
        <w:rPr>
          <w:rFonts w:eastAsia="Calibri" w:cs="Times New Roman"/>
          <w:szCs w:val="24"/>
        </w:rPr>
        <w:t>,</w:t>
      </w:r>
      <w:r>
        <w:rPr>
          <w:rFonts w:eastAsia="Calibri" w:cs="Times New Roman"/>
          <w:szCs w:val="24"/>
        </w:rPr>
        <w:t xml:space="preserve"> </w:t>
      </w:r>
      <w:r w:rsidR="00B23FBE">
        <w:t>senest på samme tidspunkt som</w:t>
      </w:r>
      <w:r>
        <w:rPr>
          <w:rFonts w:eastAsia="Calibri" w:cs="Times New Roman"/>
          <w:szCs w:val="24"/>
        </w:rPr>
        <w:t xml:space="preserve"> et påbud eller forbud efter § 24 a skal efterkommes. Ordningen har sammenhæng med den foreslåede bemyndigelsesbestemmelse i § 24 a, stk. </w:t>
      </w:r>
      <w:r w:rsidR="009923BE">
        <w:rPr>
          <w:rFonts w:eastAsia="Calibri" w:cs="Times New Roman"/>
          <w:szCs w:val="24"/>
        </w:rPr>
        <w:t>5</w:t>
      </w:r>
      <w:r>
        <w:rPr>
          <w:rFonts w:eastAsia="Calibri" w:cs="Times New Roman"/>
          <w:szCs w:val="24"/>
        </w:rPr>
        <w:t>, hvorefter der kan fastsættes nærmere regler om bl.a. frister for påbud eller forbud, således at der tages højde for driften af arealet. Med ordningen sikres det, at grundejeren bliver kompenseret på samme tidspunkt</w:t>
      </w:r>
      <w:r w:rsidR="00B11E80">
        <w:rPr>
          <w:rFonts w:eastAsia="Calibri" w:cs="Times New Roman"/>
          <w:szCs w:val="24"/>
        </w:rPr>
        <w:t>,</w:t>
      </w:r>
      <w:r>
        <w:rPr>
          <w:rFonts w:eastAsia="Calibri" w:cs="Times New Roman"/>
          <w:szCs w:val="24"/>
        </w:rPr>
        <w:t xml:space="preserve"> som grundejeren skal efterkomme et påbud eller forbud, og ikke først når en erstatning er endeligt fastsat af taksationsmyndighederne. </w:t>
      </w:r>
    </w:p>
    <w:p w14:paraId="6E306239" w14:textId="37B73005" w:rsidR="00A80AED" w:rsidRDefault="00A80AED" w:rsidP="00A80AED">
      <w:pPr>
        <w:rPr>
          <w:rFonts w:eastAsia="Calibri" w:cs="Times New Roman"/>
          <w:szCs w:val="24"/>
        </w:rPr>
      </w:pPr>
    </w:p>
    <w:p w14:paraId="09B9F2E2" w14:textId="4F1633C1" w:rsidR="00FF521E" w:rsidRDefault="00FF521E" w:rsidP="00A80AED">
      <w:pPr>
        <w:rPr>
          <w:rFonts w:eastAsia="Calibri" w:cs="Times New Roman"/>
          <w:szCs w:val="24"/>
        </w:rPr>
      </w:pPr>
      <w:r>
        <w:rPr>
          <w:rFonts w:eastAsia="Calibri" w:cs="Times New Roman"/>
          <w:szCs w:val="24"/>
        </w:rPr>
        <w:t xml:space="preserve">Det foreslås, at </w:t>
      </w:r>
      <w:r w:rsidR="002E72F1">
        <w:rPr>
          <w:rFonts w:eastAsia="Calibri" w:cs="Times New Roman"/>
          <w:szCs w:val="24"/>
        </w:rPr>
        <w:t>taksationsmyndighedernes udgifter ved sagens behandling</w:t>
      </w:r>
      <w:r w:rsidR="00F83ECE">
        <w:rPr>
          <w:rFonts w:eastAsia="Calibri" w:cs="Times New Roman"/>
          <w:szCs w:val="24"/>
        </w:rPr>
        <w:t>,</w:t>
      </w:r>
      <w:r w:rsidR="002E72F1">
        <w:rPr>
          <w:rFonts w:eastAsia="Calibri" w:cs="Times New Roman"/>
          <w:szCs w:val="24"/>
        </w:rPr>
        <w:t xml:space="preserve"> bortset fra vederlag til formænd og sekretærer</w:t>
      </w:r>
      <w:r w:rsidR="00F83ECE">
        <w:rPr>
          <w:rFonts w:eastAsia="Calibri" w:cs="Times New Roman"/>
          <w:szCs w:val="24"/>
        </w:rPr>
        <w:t>,</w:t>
      </w:r>
      <w:r w:rsidR="002E72F1">
        <w:rPr>
          <w:rFonts w:eastAsia="Calibri" w:cs="Times New Roman"/>
          <w:szCs w:val="24"/>
        </w:rPr>
        <w:t xml:space="preserve"> betales af vandforsyningen. </w:t>
      </w:r>
    </w:p>
    <w:p w14:paraId="0CB681F4" w14:textId="50A413C7" w:rsidR="00FF521E" w:rsidRDefault="00FF521E" w:rsidP="00A80AED">
      <w:pPr>
        <w:rPr>
          <w:rFonts w:eastAsia="Calibri" w:cs="Times New Roman"/>
          <w:szCs w:val="24"/>
        </w:rPr>
      </w:pPr>
    </w:p>
    <w:p w14:paraId="719212E3" w14:textId="777DF5F9" w:rsidR="00FF521E" w:rsidRDefault="00FF521E" w:rsidP="00FF521E">
      <w:pPr>
        <w:spacing w:after="240"/>
        <w:rPr>
          <w:rFonts w:eastAsia="Calibri" w:cs="Times New Roman"/>
          <w:szCs w:val="24"/>
        </w:rPr>
      </w:pPr>
      <w:r>
        <w:rPr>
          <w:rFonts w:eastAsia="Calibri" w:cs="Times New Roman"/>
          <w:szCs w:val="24"/>
        </w:rPr>
        <w:t xml:space="preserve">Udgifter til </w:t>
      </w:r>
      <w:r w:rsidR="00503EC6">
        <w:rPr>
          <w:rFonts w:eastAsia="Calibri" w:cs="Times New Roman"/>
          <w:szCs w:val="24"/>
        </w:rPr>
        <w:t>taksationsmyndighedernes sagsbehandling</w:t>
      </w:r>
      <w:r>
        <w:rPr>
          <w:rFonts w:eastAsia="Calibri" w:cs="Times New Roman"/>
          <w:szCs w:val="24"/>
        </w:rPr>
        <w:t xml:space="preserve"> vil kunne afholdes af vandforsyningerne i det omfang, de betragtes som nødvendige eller hensigtsmæssige for vandforsyningen i medfør af § 52 a, stk. 1, nr. 10</w:t>
      </w:r>
      <w:r w:rsidR="00F83ECE">
        <w:rPr>
          <w:rFonts w:eastAsia="Calibri" w:cs="Times New Roman"/>
          <w:szCs w:val="24"/>
        </w:rPr>
        <w:t>,</w:t>
      </w:r>
      <w:r>
        <w:rPr>
          <w:rFonts w:eastAsia="Calibri" w:cs="Times New Roman"/>
          <w:szCs w:val="24"/>
        </w:rPr>
        <w:t xml:space="preserve"> i lov om vandforsyning, m.v.</w:t>
      </w:r>
    </w:p>
    <w:p w14:paraId="0BEB8D19" w14:textId="77777777" w:rsidR="00FF521E" w:rsidRDefault="00FF521E" w:rsidP="00FF521E">
      <w:pPr>
        <w:spacing w:after="240"/>
        <w:rPr>
          <w:rFonts w:eastAsia="Calibri" w:cs="Times New Roman"/>
          <w:szCs w:val="24"/>
        </w:rPr>
      </w:pPr>
      <w:r>
        <w:rPr>
          <w:rFonts w:eastAsia="Calibri" w:cs="Times New Roman"/>
          <w:szCs w:val="24"/>
        </w:rPr>
        <w:t>Undtaget herfor vil være udgifter der ikke relaterer sig til den konkrete sag, der er indbragt for taksationsmyndighederne, og således ikke betragtes som nødvendige.</w:t>
      </w:r>
    </w:p>
    <w:p w14:paraId="51351985" w14:textId="5B05F456" w:rsidR="00A80AED" w:rsidRDefault="00F33E8E" w:rsidP="00A80AED">
      <w:r>
        <w:rPr>
          <w:rFonts w:eastAsia="Calibri" w:cs="Times New Roman"/>
          <w:szCs w:val="24"/>
        </w:rPr>
        <w:t>Alle andre udgifter end de udgifter der er nødvendige for taksationsmyndighedernes sagsbehandling</w:t>
      </w:r>
      <w:r w:rsidR="00F83ECE">
        <w:rPr>
          <w:rFonts w:eastAsia="Calibri" w:cs="Times New Roman"/>
          <w:szCs w:val="24"/>
        </w:rPr>
        <w:t>,</w:t>
      </w:r>
      <w:r>
        <w:rPr>
          <w:rFonts w:eastAsia="Calibri" w:cs="Times New Roman"/>
          <w:szCs w:val="24"/>
        </w:rPr>
        <w:t xml:space="preserve"> </w:t>
      </w:r>
      <w:r w:rsidR="00363BFA">
        <w:rPr>
          <w:rFonts w:eastAsia="Calibri" w:cs="Times New Roman"/>
          <w:szCs w:val="24"/>
        </w:rPr>
        <w:t>og som ikke er vederlag til formænd og sekretærer</w:t>
      </w:r>
      <w:r w:rsidR="00F83ECE">
        <w:rPr>
          <w:rFonts w:eastAsia="Calibri" w:cs="Times New Roman"/>
          <w:szCs w:val="24"/>
        </w:rPr>
        <w:t>,</w:t>
      </w:r>
      <w:r w:rsidR="00363BFA">
        <w:rPr>
          <w:rFonts w:eastAsia="Calibri" w:cs="Times New Roman"/>
          <w:szCs w:val="24"/>
        </w:rPr>
        <w:t xml:space="preserve"> </w:t>
      </w:r>
      <w:r>
        <w:rPr>
          <w:rFonts w:eastAsia="Calibri" w:cs="Times New Roman"/>
          <w:szCs w:val="24"/>
        </w:rPr>
        <w:t xml:space="preserve">vil således fortsat være omfattet af § 111, stk. 2, 2. </w:t>
      </w:r>
      <w:r>
        <w:rPr>
          <w:rFonts w:eastAsia="Calibri" w:cs="Times New Roman"/>
          <w:szCs w:val="24"/>
        </w:rPr>
        <w:lastRenderedPageBreak/>
        <w:t>pkt.</w:t>
      </w:r>
      <w:r w:rsidR="00F83ECE">
        <w:rPr>
          <w:rFonts w:eastAsia="Calibri" w:cs="Times New Roman"/>
          <w:szCs w:val="24"/>
        </w:rPr>
        <w:t>,</w:t>
      </w:r>
      <w:r>
        <w:rPr>
          <w:rFonts w:eastAsia="Calibri" w:cs="Times New Roman"/>
          <w:szCs w:val="24"/>
        </w:rPr>
        <w:t xml:space="preserve"> i lov om offentlige veje, hvoraf det fremgår, at alle andre udgifter ved kommissionernes virksomhed afholdes af vedkommende vejmyndighed. </w:t>
      </w:r>
      <w:r w:rsidR="00363BFA">
        <w:rPr>
          <w:rFonts w:eastAsia="Calibri" w:cs="Times New Roman"/>
          <w:szCs w:val="24"/>
        </w:rPr>
        <w:t xml:space="preserve">I sager der behandles efter den foreslåede § 64 e vil </w:t>
      </w:r>
      <w:r w:rsidR="00546BDF">
        <w:rPr>
          <w:rFonts w:eastAsia="Calibri" w:cs="Times New Roman"/>
          <w:szCs w:val="24"/>
        </w:rPr>
        <w:t>vejmyndigheden være kommunen.</w:t>
      </w:r>
      <w:r w:rsidR="00E364F5">
        <w:rPr>
          <w:rFonts w:eastAsia="Calibri" w:cs="Times New Roman"/>
          <w:szCs w:val="24"/>
        </w:rPr>
        <w:t xml:space="preserve"> </w:t>
      </w:r>
      <w:r w:rsidR="00A80AED">
        <w:rPr>
          <w:rFonts w:eastAsia="Calibri" w:cs="Times New Roman"/>
          <w:szCs w:val="24"/>
        </w:rPr>
        <w:t>Taksationskommissionen</w:t>
      </w:r>
      <w:r w:rsidR="002D0DAD">
        <w:rPr>
          <w:rFonts w:eastAsia="Calibri" w:cs="Times New Roman"/>
          <w:szCs w:val="24"/>
        </w:rPr>
        <w:t>,</w:t>
      </w:r>
      <w:r w:rsidR="00A80AED">
        <w:rPr>
          <w:rFonts w:eastAsia="Calibri" w:cs="Times New Roman"/>
          <w:szCs w:val="24"/>
        </w:rPr>
        <w:t xml:space="preserve"> og i sidste ende overtaksationskommissionen, kan afsige kendelse om en erstatning, der kan være højere eller lavere end det beløb, som en grundejer allerede har fået udbetalt. </w:t>
      </w:r>
    </w:p>
    <w:p w14:paraId="7D20E40C" w14:textId="77777777" w:rsidR="00A80AED" w:rsidRPr="007F5679" w:rsidRDefault="00A80AED" w:rsidP="00A80AED"/>
    <w:p w14:paraId="71D98D4D" w14:textId="77777777" w:rsidR="00A80AED" w:rsidRDefault="00A80AED" w:rsidP="00A80AED">
      <w:pPr>
        <w:spacing w:after="240"/>
        <w:rPr>
          <w:rFonts w:eastAsia="Calibri" w:cs="Times New Roman"/>
          <w:szCs w:val="24"/>
        </w:rPr>
      </w:pPr>
      <w:r>
        <w:rPr>
          <w:rFonts w:eastAsia="Calibri" w:cs="Times New Roman"/>
          <w:szCs w:val="24"/>
        </w:rPr>
        <w:t>Vandforsyningen bør i forbindelse med udbetalingen af beløbet tage forbehold for muligheden for tilbagebetaling, jf. dansk rets almindelige regler for tilbagesøgning. Ligeledes bør der tages højde for, at der vil kunne blive tale om en efterbetaling til grundejeren.</w:t>
      </w:r>
    </w:p>
    <w:p w14:paraId="1D70C0BF" w14:textId="0B399E6E" w:rsidR="00B64B0E" w:rsidRPr="001C6AD4" w:rsidRDefault="00A80AED" w:rsidP="00B64B0E">
      <w:pPr>
        <w:spacing w:after="240"/>
        <w:rPr>
          <w:rFonts w:eastAsia="Calibri" w:cs="Times New Roman"/>
          <w:i/>
          <w:szCs w:val="24"/>
        </w:rPr>
      </w:pPr>
      <w:r>
        <w:rPr>
          <w:rFonts w:eastAsia="Calibri" w:cs="Times New Roman"/>
          <w:szCs w:val="24"/>
        </w:rPr>
        <w:t xml:space="preserve">Det foreslås, at hvis taksationsmyndighederne træffer afgørelse om en erstatning, der er højere eller lavere end det beløb, som en grundejer allerede har fået udbetalt, skal vandforsyningen uden unødigt ophold efterregulere erstatningen. Efterreguleringen sker ved enten tilbagesøgning eller efterbetaling til grundejeren. </w:t>
      </w:r>
      <w:bookmarkEnd w:id="4"/>
      <w:r w:rsidR="00312B0C">
        <w:rPr>
          <w:rFonts w:eastAsia="Calibri" w:cs="Times New Roman"/>
          <w:i/>
          <w:szCs w:val="24"/>
        </w:rPr>
        <w:t>3</w:t>
      </w:r>
      <w:r w:rsidR="00B64B0E" w:rsidRPr="001C6AD4">
        <w:rPr>
          <w:rFonts w:eastAsia="Calibri" w:cs="Times New Roman"/>
          <w:i/>
          <w:szCs w:val="24"/>
        </w:rPr>
        <w:t>.</w:t>
      </w:r>
      <w:r w:rsidR="00ED23DA" w:rsidRPr="001C6AD4">
        <w:rPr>
          <w:rFonts w:eastAsia="Calibri" w:cs="Times New Roman"/>
          <w:i/>
          <w:szCs w:val="24"/>
        </w:rPr>
        <w:t>4</w:t>
      </w:r>
      <w:r w:rsidR="00B64B0E" w:rsidRPr="001C6AD4">
        <w:rPr>
          <w:rFonts w:eastAsia="Calibri" w:cs="Times New Roman"/>
          <w:i/>
          <w:szCs w:val="24"/>
        </w:rPr>
        <w:t xml:space="preserve">. </w:t>
      </w:r>
      <w:r w:rsidR="001C6AD4" w:rsidRPr="001C6AD4">
        <w:rPr>
          <w:rFonts w:eastAsia="Calibri" w:cs="Times New Roman"/>
          <w:i/>
          <w:szCs w:val="24"/>
        </w:rPr>
        <w:t>Ingen opsættende virkning ved klage</w:t>
      </w:r>
    </w:p>
    <w:p w14:paraId="5B2D7369" w14:textId="58FFC6B3" w:rsidR="006E45A4" w:rsidRDefault="00312B0C" w:rsidP="00B64B0E">
      <w:pPr>
        <w:spacing w:after="240"/>
        <w:rPr>
          <w:rFonts w:eastAsia="Calibri" w:cs="Times New Roman"/>
          <w:b/>
          <w:szCs w:val="24"/>
        </w:rPr>
      </w:pPr>
      <w:r>
        <w:rPr>
          <w:rFonts w:eastAsia="Calibri" w:cs="Times New Roman"/>
          <w:i/>
          <w:szCs w:val="24"/>
        </w:rPr>
        <w:t>3</w:t>
      </w:r>
      <w:r w:rsidR="006E45A4" w:rsidRPr="00FF1BD9">
        <w:rPr>
          <w:rFonts w:eastAsia="Calibri" w:cs="Times New Roman"/>
          <w:i/>
          <w:szCs w:val="24"/>
        </w:rPr>
        <w:t>.</w:t>
      </w:r>
      <w:r w:rsidR="00ED23DA">
        <w:rPr>
          <w:rFonts w:eastAsia="Calibri" w:cs="Times New Roman"/>
          <w:i/>
          <w:szCs w:val="24"/>
        </w:rPr>
        <w:t>4</w:t>
      </w:r>
      <w:r w:rsidR="006E45A4" w:rsidRPr="00FF1BD9">
        <w:rPr>
          <w:rFonts w:eastAsia="Calibri" w:cs="Times New Roman"/>
          <w:i/>
          <w:szCs w:val="24"/>
        </w:rPr>
        <w:t>.1. Gældende ret</w:t>
      </w:r>
    </w:p>
    <w:p w14:paraId="3E0D513A" w14:textId="77777777" w:rsidR="001C6AD4" w:rsidRPr="00AD074F" w:rsidRDefault="001C6AD4" w:rsidP="001C6AD4">
      <w:pPr>
        <w:spacing w:after="240" w:line="276" w:lineRule="auto"/>
        <w:rPr>
          <w:rFonts w:eastAsia="Calibri" w:cs="Times New Roman"/>
          <w:szCs w:val="24"/>
        </w:rPr>
      </w:pPr>
      <w:r w:rsidRPr="00AD074F">
        <w:rPr>
          <w:rFonts w:eastAsia="Calibri" w:cs="Times New Roman"/>
          <w:szCs w:val="24"/>
        </w:rPr>
        <w:t xml:space="preserve">Miljøbeskyttelseslovens kapitel 10 og 11 indeholder en række administrative bestemmelser og bestemmelser om klageadgang til Miljø- og Fødevareklagenævnet.   </w:t>
      </w:r>
    </w:p>
    <w:p w14:paraId="1FF1E04F" w14:textId="77777777" w:rsidR="001C6AD4" w:rsidRDefault="001C6AD4" w:rsidP="001C6AD4">
      <w:pPr>
        <w:spacing w:after="240" w:line="276" w:lineRule="auto"/>
        <w:rPr>
          <w:rFonts w:eastAsia="Calibri" w:cs="Times New Roman"/>
          <w:szCs w:val="24"/>
        </w:rPr>
      </w:pPr>
      <w:r w:rsidRPr="00AD074F">
        <w:rPr>
          <w:rFonts w:eastAsia="Calibri" w:cs="Times New Roman"/>
          <w:szCs w:val="24"/>
        </w:rPr>
        <w:t>Det følger af § 78</w:t>
      </w:r>
      <w:r>
        <w:rPr>
          <w:rFonts w:eastAsia="Calibri" w:cs="Times New Roman"/>
          <w:szCs w:val="24"/>
        </w:rPr>
        <w:t xml:space="preserve">, stk. 1, 1. pkt., </w:t>
      </w:r>
      <w:r w:rsidRPr="00AD074F">
        <w:rPr>
          <w:rFonts w:eastAsia="Calibri" w:cs="Times New Roman"/>
          <w:szCs w:val="24"/>
        </w:rPr>
        <w:t xml:space="preserve">at et påbud eller forbud skal indeholde en frist for afgørelsens </w:t>
      </w:r>
      <w:proofErr w:type="spellStart"/>
      <w:r w:rsidRPr="00AD074F">
        <w:rPr>
          <w:rFonts w:eastAsia="Calibri" w:cs="Times New Roman"/>
          <w:szCs w:val="24"/>
        </w:rPr>
        <w:t>efterkommelse</w:t>
      </w:r>
      <w:proofErr w:type="spellEnd"/>
      <w:r w:rsidRPr="00AD074F">
        <w:rPr>
          <w:rFonts w:eastAsia="Calibri" w:cs="Times New Roman"/>
          <w:szCs w:val="24"/>
        </w:rPr>
        <w:t xml:space="preserve">. </w:t>
      </w:r>
      <w:r>
        <w:rPr>
          <w:rFonts w:eastAsia="Calibri" w:cs="Times New Roman"/>
          <w:szCs w:val="24"/>
        </w:rPr>
        <w:t>Det følger endvidere af bestemmelsens 2. pkt., at når der foreligger særlige forhold, kan det dog bestemmes, at påbud eller forbud skal efterkommes straks. Bestemmelsen gælder såvel førsteinstansen som klagemyndighedens afgørelser, jf. § 91, stk. 3.</w:t>
      </w:r>
    </w:p>
    <w:p w14:paraId="1D37000E" w14:textId="66004D29" w:rsidR="001C6AD4" w:rsidRDefault="001C6AD4" w:rsidP="001C6AD4">
      <w:pPr>
        <w:spacing w:after="240" w:line="276" w:lineRule="auto"/>
        <w:rPr>
          <w:rFonts w:eastAsia="Calibri" w:cs="Times New Roman"/>
          <w:szCs w:val="24"/>
        </w:rPr>
      </w:pPr>
      <w:r>
        <w:rPr>
          <w:rFonts w:eastAsia="Calibri" w:cs="Times New Roman"/>
          <w:szCs w:val="24"/>
        </w:rPr>
        <w:t>En afgørelse efter § 78, stk. 1</w:t>
      </w:r>
      <w:r w:rsidR="00F413BD">
        <w:rPr>
          <w:rFonts w:eastAsia="Calibri" w:cs="Times New Roman"/>
          <w:szCs w:val="24"/>
        </w:rPr>
        <w:t>,</w:t>
      </w:r>
      <w:r>
        <w:rPr>
          <w:rFonts w:eastAsia="Calibri" w:cs="Times New Roman"/>
          <w:szCs w:val="24"/>
        </w:rPr>
        <w:t xml:space="preserve"> om, at et påbud eller forbud skal efterkommes straks medfører, at påbuddet eller forbuddet skal efterkommes uanset </w:t>
      </w:r>
      <w:r w:rsidR="009974DB">
        <w:rPr>
          <w:rFonts w:eastAsia="Calibri" w:cs="Times New Roman"/>
          <w:szCs w:val="24"/>
        </w:rPr>
        <w:t>om der indgives en klage</w:t>
      </w:r>
      <w:r>
        <w:rPr>
          <w:rFonts w:eastAsia="Calibri" w:cs="Times New Roman"/>
          <w:szCs w:val="24"/>
        </w:rPr>
        <w:t xml:space="preserve">, medmindre Miljø- og Fødevareklagenævnet bestemmer andet, jf. § 95, stk. 2. </w:t>
      </w:r>
    </w:p>
    <w:p w14:paraId="6209EC41" w14:textId="77777777" w:rsidR="001C6AD4" w:rsidRDefault="001C6AD4" w:rsidP="001C6AD4">
      <w:pPr>
        <w:spacing w:after="240" w:line="276" w:lineRule="auto"/>
        <w:rPr>
          <w:rFonts w:cs="Times New Roman"/>
          <w:color w:val="2F2F2B"/>
          <w:spacing w:val="2"/>
          <w:szCs w:val="24"/>
        </w:rPr>
      </w:pPr>
      <w:r>
        <w:rPr>
          <w:rFonts w:cs="Times New Roman"/>
          <w:color w:val="2F2F2B"/>
          <w:spacing w:val="2"/>
          <w:szCs w:val="24"/>
        </w:rPr>
        <w:t xml:space="preserve">Det følger af § 78, stk. 2, at når særlige grunde taler for det, kan det bestemmes, at klager over påbud eller forbud ikke skal have opsættende virkning. Bestemmelsen tager sigte på 1. instansmyndighedens beslutning om, at klage over et påbud eller forbud meddelt af pågældende myndighed ikke skal tillægges opsættende virkning. </w:t>
      </w:r>
    </w:p>
    <w:p w14:paraId="31B96B48" w14:textId="304E4F8C" w:rsidR="001C6AD4" w:rsidRPr="00AD074F" w:rsidRDefault="00F8257A" w:rsidP="001C6AD4">
      <w:pPr>
        <w:spacing w:after="240" w:line="276" w:lineRule="auto"/>
        <w:rPr>
          <w:rFonts w:eastAsia="Calibri" w:cs="Times New Roman"/>
          <w:szCs w:val="24"/>
        </w:rPr>
      </w:pPr>
      <w:r>
        <w:rPr>
          <w:rFonts w:eastAsia="Calibri" w:cs="Times New Roman"/>
          <w:szCs w:val="24"/>
        </w:rPr>
        <w:t>S</w:t>
      </w:r>
      <w:r w:rsidR="001C6AD4" w:rsidRPr="00AD074F">
        <w:rPr>
          <w:rFonts w:eastAsia="Calibri" w:cs="Times New Roman"/>
          <w:szCs w:val="24"/>
        </w:rPr>
        <w:t>ærlige grunde</w:t>
      </w:r>
      <w:r>
        <w:rPr>
          <w:rFonts w:eastAsia="Calibri" w:cs="Times New Roman"/>
          <w:szCs w:val="24"/>
        </w:rPr>
        <w:t xml:space="preserve"> vil</w:t>
      </w:r>
      <w:r w:rsidR="001C6AD4" w:rsidRPr="00AD074F">
        <w:rPr>
          <w:rFonts w:eastAsia="Calibri" w:cs="Times New Roman"/>
          <w:szCs w:val="24"/>
        </w:rPr>
        <w:t xml:space="preserve"> kunne foreligge f.eks. </w:t>
      </w:r>
      <w:r>
        <w:rPr>
          <w:rFonts w:eastAsia="Calibri" w:cs="Times New Roman"/>
          <w:szCs w:val="24"/>
        </w:rPr>
        <w:t xml:space="preserve">hvis </w:t>
      </w:r>
      <w:r w:rsidR="001C6AD4" w:rsidRPr="00AD074F">
        <w:rPr>
          <w:rFonts w:eastAsia="Calibri" w:cs="Times New Roman"/>
          <w:szCs w:val="24"/>
        </w:rPr>
        <w:t>forurening giver anledning til akut sundhedsfare</w:t>
      </w:r>
      <w:r w:rsidR="001C6AD4">
        <w:rPr>
          <w:rFonts w:eastAsia="Calibri" w:cs="Times New Roman"/>
          <w:szCs w:val="24"/>
        </w:rPr>
        <w:t xml:space="preserve"> eller uoprettelige </w:t>
      </w:r>
      <w:proofErr w:type="spellStart"/>
      <w:r w:rsidR="001C6AD4">
        <w:rPr>
          <w:rFonts w:eastAsia="Calibri" w:cs="Times New Roman"/>
          <w:szCs w:val="24"/>
        </w:rPr>
        <w:t>miljøskader</w:t>
      </w:r>
      <w:proofErr w:type="spellEnd"/>
      <w:r w:rsidR="001C6AD4">
        <w:rPr>
          <w:rFonts w:eastAsia="Calibri" w:cs="Times New Roman"/>
          <w:szCs w:val="24"/>
        </w:rPr>
        <w:t xml:space="preserve">. Det antages endvidere, at reglen kan finde anvendelse uanset der ikke kan påvises en akut </w:t>
      </w:r>
      <w:r w:rsidR="001C6AD4">
        <w:rPr>
          <w:rFonts w:eastAsia="Calibri" w:cs="Times New Roman"/>
          <w:szCs w:val="24"/>
        </w:rPr>
        <w:lastRenderedPageBreak/>
        <w:t>sundhedsfare, såfremt de</w:t>
      </w:r>
      <w:r w:rsidR="0005100B">
        <w:rPr>
          <w:rFonts w:eastAsia="Calibri" w:cs="Times New Roman"/>
          <w:szCs w:val="24"/>
        </w:rPr>
        <w:t>r er frygt for</w:t>
      </w:r>
      <w:r w:rsidR="001C6AD4">
        <w:rPr>
          <w:rFonts w:eastAsia="Calibri" w:cs="Times New Roman"/>
          <w:szCs w:val="24"/>
        </w:rPr>
        <w:t xml:space="preserve"> at forurening først på lang sigt kan afhjælpes, hvis </w:t>
      </w:r>
      <w:proofErr w:type="spellStart"/>
      <w:r w:rsidR="001C6AD4">
        <w:rPr>
          <w:rFonts w:eastAsia="Calibri" w:cs="Times New Roman"/>
          <w:szCs w:val="24"/>
        </w:rPr>
        <w:t>efterkommelsen</w:t>
      </w:r>
      <w:proofErr w:type="spellEnd"/>
      <w:r w:rsidR="001C6AD4">
        <w:rPr>
          <w:rFonts w:eastAsia="Calibri" w:cs="Times New Roman"/>
          <w:szCs w:val="24"/>
        </w:rPr>
        <w:t xml:space="preserve"> skal afvente en klagesagsbehandling. </w:t>
      </w:r>
    </w:p>
    <w:p w14:paraId="315571B0" w14:textId="25027368" w:rsidR="001C6AD4" w:rsidRPr="00AD074F" w:rsidRDefault="001C6AD4" w:rsidP="001C6AD4">
      <w:pPr>
        <w:spacing w:after="240" w:line="276" w:lineRule="auto"/>
        <w:rPr>
          <w:rFonts w:eastAsia="Calibri" w:cs="Times New Roman"/>
          <w:szCs w:val="24"/>
        </w:rPr>
      </w:pPr>
      <w:r w:rsidRPr="00AD074F">
        <w:rPr>
          <w:rFonts w:eastAsia="Calibri" w:cs="Times New Roman"/>
          <w:szCs w:val="24"/>
        </w:rPr>
        <w:t xml:space="preserve">Efter § 91, </w:t>
      </w:r>
      <w:r>
        <w:rPr>
          <w:rFonts w:eastAsia="Calibri" w:cs="Times New Roman"/>
          <w:szCs w:val="24"/>
        </w:rPr>
        <w:t xml:space="preserve">stk. 1, </w:t>
      </w:r>
      <w:r w:rsidRPr="00AD074F">
        <w:rPr>
          <w:rFonts w:eastAsia="Calibri" w:cs="Times New Roman"/>
          <w:szCs w:val="24"/>
        </w:rPr>
        <w:t>kan kommunalbestyrelsens afgørelser og beslutninger efter loven eller regler, der fastsat med hjemmel i loven, påklages til Miljø- og Fødevareklagenævnet</w:t>
      </w:r>
      <w:r>
        <w:rPr>
          <w:rFonts w:eastAsia="Calibri" w:cs="Times New Roman"/>
          <w:szCs w:val="24"/>
        </w:rPr>
        <w:t xml:space="preserve">, medmindre andet fremgår af lovens bestemmelser. </w:t>
      </w:r>
    </w:p>
    <w:p w14:paraId="6CE81F52" w14:textId="6A122E14" w:rsidR="004D4C5C" w:rsidRDefault="001C6AD4" w:rsidP="00B64B0E">
      <w:pPr>
        <w:spacing w:after="240"/>
        <w:rPr>
          <w:rFonts w:eastAsia="Calibri" w:cs="Times New Roman"/>
          <w:szCs w:val="24"/>
        </w:rPr>
      </w:pPr>
      <w:r w:rsidRPr="00AD074F">
        <w:rPr>
          <w:rFonts w:eastAsia="Calibri" w:cs="Times New Roman"/>
          <w:szCs w:val="24"/>
        </w:rPr>
        <w:t xml:space="preserve">I medfør af miljøbeskyttelseslovens § 95 har en klage opsættende virkning for et påbud eller forbud, medmindre Miljø- og Fødevareklagenævnet bestemmer andet, jf. dog § 78. </w:t>
      </w:r>
    </w:p>
    <w:p w14:paraId="22EB7795" w14:textId="665865D2" w:rsidR="006E45A4" w:rsidRDefault="00FE0D22" w:rsidP="00B64B0E">
      <w:pPr>
        <w:spacing w:after="240"/>
        <w:rPr>
          <w:rFonts w:eastAsia="Calibri" w:cs="Times New Roman"/>
          <w:i/>
          <w:szCs w:val="24"/>
        </w:rPr>
      </w:pPr>
      <w:r>
        <w:rPr>
          <w:rFonts w:eastAsia="Calibri" w:cs="Times New Roman"/>
          <w:i/>
          <w:szCs w:val="24"/>
        </w:rPr>
        <w:t>3</w:t>
      </w:r>
      <w:r w:rsidR="006E45A4" w:rsidRPr="00FE0D22">
        <w:rPr>
          <w:rFonts w:eastAsia="Calibri" w:cs="Times New Roman"/>
          <w:i/>
          <w:szCs w:val="24"/>
        </w:rPr>
        <w:t>.</w:t>
      </w:r>
      <w:r>
        <w:rPr>
          <w:rFonts w:eastAsia="Calibri" w:cs="Times New Roman"/>
          <w:i/>
          <w:szCs w:val="24"/>
        </w:rPr>
        <w:t>4</w:t>
      </w:r>
      <w:r w:rsidR="006E45A4" w:rsidRPr="00FE0D22">
        <w:rPr>
          <w:rFonts w:eastAsia="Calibri" w:cs="Times New Roman"/>
          <w:i/>
          <w:szCs w:val="24"/>
        </w:rPr>
        <w:t>.2. Miljøministeriets overvejelser</w:t>
      </w:r>
      <w:r w:rsidR="008B6065" w:rsidRPr="00FE0D22">
        <w:rPr>
          <w:rFonts w:eastAsia="Calibri" w:cs="Times New Roman"/>
          <w:i/>
          <w:szCs w:val="24"/>
        </w:rPr>
        <w:t xml:space="preserve"> og den foreslåede ordning</w:t>
      </w:r>
    </w:p>
    <w:p w14:paraId="0B81785E" w14:textId="500DD50F" w:rsidR="001C6AD4" w:rsidRPr="002D09FA" w:rsidRDefault="001C6AD4" w:rsidP="001C6AD4">
      <w:pPr>
        <w:spacing w:after="240" w:line="276" w:lineRule="auto"/>
        <w:rPr>
          <w:rFonts w:eastAsia="Calibri" w:cs="Times New Roman"/>
          <w:szCs w:val="24"/>
        </w:rPr>
      </w:pPr>
      <w:r>
        <w:rPr>
          <w:rFonts w:eastAsia="Calibri" w:cs="Times New Roman"/>
          <w:szCs w:val="24"/>
        </w:rPr>
        <w:t xml:space="preserve">Det foreslås at indsætte en ny bestemmelse i miljøbeskyttelseslovens § 95, hvorefter </w:t>
      </w:r>
      <w:r w:rsidRPr="00AD074F">
        <w:rPr>
          <w:rFonts w:eastAsia="Calibri" w:cs="Times New Roman"/>
          <w:szCs w:val="24"/>
        </w:rPr>
        <w:t>en klage over et påbud eller forbud efter § 24 a ikke</w:t>
      </w:r>
      <w:r w:rsidR="002F2556">
        <w:rPr>
          <w:rFonts w:eastAsia="Calibri" w:cs="Times New Roman"/>
          <w:szCs w:val="24"/>
        </w:rPr>
        <w:t xml:space="preserve"> vil</w:t>
      </w:r>
      <w:r>
        <w:rPr>
          <w:rFonts w:eastAsia="Calibri" w:cs="Times New Roman"/>
          <w:szCs w:val="24"/>
        </w:rPr>
        <w:t xml:space="preserve"> have </w:t>
      </w:r>
      <w:r w:rsidRPr="00AD074F">
        <w:rPr>
          <w:rFonts w:eastAsia="Calibri" w:cs="Times New Roman"/>
          <w:szCs w:val="24"/>
        </w:rPr>
        <w:t xml:space="preserve">opsættende virkning, medmindre Miljø- og Fødevareklagenævnet bestemmer andet. </w:t>
      </w:r>
    </w:p>
    <w:p w14:paraId="00F3550A" w14:textId="5E2B48EB" w:rsidR="001C6AD4" w:rsidRPr="00A70E83" w:rsidRDefault="001C6AD4" w:rsidP="001C6AD4">
      <w:pPr>
        <w:spacing w:after="240" w:line="276" w:lineRule="auto"/>
        <w:rPr>
          <w:rFonts w:eastAsia="Calibri" w:cs="Times New Roman"/>
          <w:szCs w:val="24"/>
        </w:rPr>
      </w:pPr>
      <w:r w:rsidRPr="00AD074F">
        <w:rPr>
          <w:rFonts w:eastAsia="Calibri" w:cs="Times New Roman"/>
          <w:szCs w:val="24"/>
        </w:rPr>
        <w:t>Forslaget indebærer, at</w:t>
      </w:r>
      <w:r>
        <w:rPr>
          <w:rFonts w:eastAsia="Calibri" w:cs="Times New Roman"/>
          <w:szCs w:val="24"/>
        </w:rPr>
        <w:t xml:space="preserve"> et påbud eller forbud </w:t>
      </w:r>
      <w:r w:rsidR="002F2556">
        <w:rPr>
          <w:rFonts w:eastAsia="Calibri" w:cs="Times New Roman"/>
          <w:szCs w:val="24"/>
        </w:rPr>
        <w:t>skal</w:t>
      </w:r>
      <w:r>
        <w:rPr>
          <w:rFonts w:eastAsia="Calibri" w:cs="Times New Roman"/>
          <w:szCs w:val="24"/>
        </w:rPr>
        <w:t xml:space="preserve"> efterkommes af </w:t>
      </w:r>
      <w:r w:rsidR="00096598">
        <w:rPr>
          <w:rFonts w:eastAsia="Calibri" w:cs="Times New Roman"/>
          <w:szCs w:val="24"/>
        </w:rPr>
        <w:t>grundejeren</w:t>
      </w:r>
      <w:r>
        <w:rPr>
          <w:rFonts w:eastAsia="Calibri" w:cs="Times New Roman"/>
          <w:szCs w:val="24"/>
        </w:rPr>
        <w:t xml:space="preserve"> senest ved den frist, der er fastsat i forbindelse med meddelelsen af påbuddet eller forbuddet, u</w:t>
      </w:r>
      <w:r w:rsidRPr="00AD074F">
        <w:rPr>
          <w:rFonts w:eastAsia="Calibri" w:cs="Times New Roman"/>
          <w:szCs w:val="24"/>
        </w:rPr>
        <w:t>anset om beslutningen påklages til Miljø- og Fødevareklagenævnet</w:t>
      </w:r>
      <w:r>
        <w:rPr>
          <w:rFonts w:eastAsia="Calibri" w:cs="Times New Roman"/>
          <w:szCs w:val="24"/>
        </w:rPr>
        <w:t xml:space="preserve"> af</w:t>
      </w:r>
      <w:r w:rsidR="00096598">
        <w:rPr>
          <w:rFonts w:eastAsia="Calibri" w:cs="Times New Roman"/>
          <w:szCs w:val="24"/>
        </w:rPr>
        <w:t xml:space="preserve"> grunde</w:t>
      </w:r>
      <w:r w:rsidRPr="00A70E83">
        <w:rPr>
          <w:rFonts w:eastAsia="Calibri" w:cs="Times New Roman"/>
          <w:szCs w:val="24"/>
        </w:rPr>
        <w:t>jeren eller andre klageberettigede.</w:t>
      </w:r>
    </w:p>
    <w:p w14:paraId="12121E87" w14:textId="2484F658" w:rsidR="001C6AD4" w:rsidRDefault="001C6AD4" w:rsidP="001C6AD4">
      <w:pPr>
        <w:spacing w:line="276" w:lineRule="auto"/>
        <w:rPr>
          <w:rFonts w:cs="Times New Roman"/>
          <w:szCs w:val="24"/>
        </w:rPr>
      </w:pPr>
      <w:r>
        <w:rPr>
          <w:rFonts w:cs="Times New Roman"/>
          <w:szCs w:val="24"/>
        </w:rPr>
        <w:t>Der vil således være tale om en fravigelse fra udgangspunktet i miljøbeskyttelseslovens § 95, hvor klager over påbud eller forbud har opsættende virkning, medmindre Miljø- og Fødevareklagenævnet bestemmer andet.</w:t>
      </w:r>
    </w:p>
    <w:p w14:paraId="5C29D5DE" w14:textId="77777777" w:rsidR="001C6AD4" w:rsidRDefault="001C6AD4" w:rsidP="001C6AD4">
      <w:pPr>
        <w:spacing w:line="276" w:lineRule="auto"/>
        <w:rPr>
          <w:rFonts w:cs="Times New Roman"/>
          <w:szCs w:val="24"/>
        </w:rPr>
      </w:pPr>
    </w:p>
    <w:p w14:paraId="23742F81" w14:textId="55C5AC72" w:rsidR="00582A60" w:rsidRDefault="001C6AD4" w:rsidP="001C6AD4">
      <w:pPr>
        <w:spacing w:line="276" w:lineRule="auto"/>
        <w:rPr>
          <w:rFonts w:cs="Times New Roman"/>
          <w:szCs w:val="24"/>
        </w:rPr>
      </w:pPr>
      <w:r>
        <w:rPr>
          <w:rFonts w:cs="Times New Roman"/>
          <w:szCs w:val="24"/>
        </w:rPr>
        <w:t xml:space="preserve">Baggrunden for ordningen er, at der i </w:t>
      </w:r>
      <w:r w:rsidR="002D0DAD">
        <w:rPr>
          <w:rFonts w:cs="Times New Roman"/>
          <w:szCs w:val="24"/>
        </w:rPr>
        <w:t>BNBO</w:t>
      </w:r>
      <w:r>
        <w:rPr>
          <w:rFonts w:cs="Times New Roman"/>
          <w:szCs w:val="24"/>
        </w:rPr>
        <w:t xml:space="preserve">, hvor der meddeles påbud eller forbud efter § 24 a, allerede </w:t>
      </w:r>
      <w:r w:rsidR="00684722">
        <w:rPr>
          <w:rFonts w:cs="Times New Roman"/>
          <w:szCs w:val="24"/>
        </w:rPr>
        <w:t>er foretaget en risikovurdering</w:t>
      </w:r>
      <w:r w:rsidR="00582A60">
        <w:rPr>
          <w:rFonts w:cs="Times New Roman"/>
          <w:szCs w:val="24"/>
        </w:rPr>
        <w:t xml:space="preserve"> efter regler udstedt i medfør af § 13 e i lov om vandforsyning m</w:t>
      </w:r>
      <w:r w:rsidR="00AA5409">
        <w:rPr>
          <w:rFonts w:cs="Times New Roman"/>
          <w:szCs w:val="24"/>
        </w:rPr>
        <w:t>.</w:t>
      </w:r>
      <w:r w:rsidR="00582A60">
        <w:rPr>
          <w:rFonts w:cs="Times New Roman"/>
          <w:szCs w:val="24"/>
        </w:rPr>
        <w:t>v., hvorefter det er konstateret, at der er et behov fo</w:t>
      </w:r>
      <w:r w:rsidR="00582A60" w:rsidRPr="00E57E73">
        <w:rPr>
          <w:rFonts w:cs="Times New Roman"/>
          <w:szCs w:val="24"/>
        </w:rPr>
        <w:t>r indsatser til beskyttelse af</w:t>
      </w:r>
      <w:r w:rsidR="00582A60">
        <w:rPr>
          <w:rFonts w:cs="Times New Roman"/>
          <w:szCs w:val="24"/>
        </w:rPr>
        <w:t xml:space="preserve"> </w:t>
      </w:r>
      <w:r w:rsidR="00582A60" w:rsidRPr="00E57E73">
        <w:rPr>
          <w:rFonts w:cs="Times New Roman"/>
          <w:szCs w:val="24"/>
        </w:rPr>
        <w:t>drikkevandsinteresser mod fare for forurening fra erhvervsmæssig anvendelse af</w:t>
      </w:r>
      <w:r w:rsidR="00582A60">
        <w:rPr>
          <w:rFonts w:cs="Times New Roman"/>
          <w:szCs w:val="24"/>
        </w:rPr>
        <w:t xml:space="preserve"> </w:t>
      </w:r>
      <w:r w:rsidR="00AE14EB">
        <w:rPr>
          <w:rFonts w:cs="Times New Roman"/>
          <w:szCs w:val="24"/>
        </w:rPr>
        <w:t>pesticider</w:t>
      </w:r>
      <w:r w:rsidR="00D814B2">
        <w:rPr>
          <w:rFonts w:cs="Times New Roman"/>
          <w:szCs w:val="24"/>
        </w:rPr>
        <w:t>. Selvom der allerede er konstateret et beskyttelsesbehov, har dette dog ikke nødvendigvis medført, at der er truffet afgørelser om at begrænse eller stoppe anvendelsen af p</w:t>
      </w:r>
      <w:r w:rsidR="003E2D6A">
        <w:rPr>
          <w:rFonts w:cs="Times New Roman"/>
          <w:szCs w:val="24"/>
        </w:rPr>
        <w:t>esticider</w:t>
      </w:r>
      <w:r w:rsidR="00D814B2">
        <w:rPr>
          <w:rFonts w:cs="Times New Roman"/>
          <w:szCs w:val="24"/>
        </w:rPr>
        <w:t xml:space="preserve"> i de pågældende områder efter de gældende regler</w:t>
      </w:r>
      <w:r>
        <w:rPr>
          <w:rFonts w:cs="Times New Roman"/>
          <w:szCs w:val="24"/>
        </w:rPr>
        <w:t xml:space="preserve">. </w:t>
      </w:r>
    </w:p>
    <w:p w14:paraId="6590A200" w14:textId="77777777" w:rsidR="00582A60" w:rsidRDefault="00582A60" w:rsidP="001C6AD4">
      <w:pPr>
        <w:spacing w:line="276" w:lineRule="auto"/>
        <w:rPr>
          <w:rFonts w:cs="Times New Roman"/>
          <w:szCs w:val="24"/>
        </w:rPr>
      </w:pPr>
    </w:p>
    <w:p w14:paraId="4BFE8D29" w14:textId="1B75827C" w:rsidR="001C6AD4" w:rsidRDefault="00582A60" w:rsidP="001C6AD4">
      <w:pPr>
        <w:spacing w:line="276" w:lineRule="auto"/>
        <w:rPr>
          <w:rFonts w:cs="Times New Roman"/>
          <w:szCs w:val="24"/>
        </w:rPr>
      </w:pPr>
      <w:r>
        <w:rPr>
          <w:rFonts w:cs="Times New Roman"/>
          <w:szCs w:val="24"/>
        </w:rPr>
        <w:t>D</w:t>
      </w:r>
      <w:r w:rsidR="00D814B2">
        <w:rPr>
          <w:rFonts w:cs="Times New Roman"/>
          <w:szCs w:val="24"/>
        </w:rPr>
        <w:t xml:space="preserve">a det har været ønsket, at der hurtigst muligt opnås en beskyttelse af drikkevandet i </w:t>
      </w:r>
      <w:r w:rsidR="002D0DAD">
        <w:rPr>
          <w:rFonts w:cs="Times New Roman"/>
          <w:szCs w:val="24"/>
        </w:rPr>
        <w:t>BNBO</w:t>
      </w:r>
      <w:r w:rsidR="00D814B2">
        <w:rPr>
          <w:rFonts w:cs="Times New Roman"/>
          <w:szCs w:val="24"/>
        </w:rPr>
        <w:t>, er det Miljøministeriets vurdering, at det</w:t>
      </w:r>
      <w:r w:rsidR="00BB1E99">
        <w:rPr>
          <w:rFonts w:cs="Times New Roman"/>
          <w:szCs w:val="24"/>
        </w:rPr>
        <w:t xml:space="preserve"> er mest</w:t>
      </w:r>
      <w:r>
        <w:rPr>
          <w:rFonts w:cs="Times New Roman"/>
          <w:szCs w:val="24"/>
        </w:rPr>
        <w:t xml:space="preserve"> </w:t>
      </w:r>
      <w:r w:rsidR="001C6AD4">
        <w:rPr>
          <w:rFonts w:cs="Times New Roman"/>
          <w:szCs w:val="24"/>
        </w:rPr>
        <w:t xml:space="preserve">hensigtsmæssigt, hvis et påbud eller forbud </w:t>
      </w:r>
      <w:r w:rsidR="00BB1E99">
        <w:rPr>
          <w:rFonts w:cs="Times New Roman"/>
          <w:szCs w:val="24"/>
        </w:rPr>
        <w:t xml:space="preserve">ikke </w:t>
      </w:r>
      <w:r w:rsidR="001C6AD4">
        <w:rPr>
          <w:rFonts w:cs="Times New Roman"/>
          <w:szCs w:val="24"/>
        </w:rPr>
        <w:t xml:space="preserve">skal afvente en eventuel klagesagsbehandling, inden det effektueres. </w:t>
      </w:r>
    </w:p>
    <w:p w14:paraId="7F7A4870" w14:textId="77777777" w:rsidR="001C6AD4" w:rsidRDefault="001C6AD4" w:rsidP="001C6AD4">
      <w:pPr>
        <w:spacing w:line="276" w:lineRule="auto"/>
        <w:rPr>
          <w:rFonts w:cs="Times New Roman"/>
          <w:szCs w:val="24"/>
        </w:rPr>
      </w:pPr>
      <w:bookmarkStart w:id="5" w:name="_Hlk144881520"/>
    </w:p>
    <w:p w14:paraId="1139FC22" w14:textId="7AEDE514" w:rsidR="001C6AD4" w:rsidRDefault="001C6AD4" w:rsidP="001C6AD4">
      <w:pPr>
        <w:spacing w:line="276" w:lineRule="auto"/>
        <w:rPr>
          <w:rFonts w:cs="Times New Roman"/>
          <w:szCs w:val="24"/>
        </w:rPr>
      </w:pPr>
      <w:r>
        <w:rPr>
          <w:rFonts w:cs="Times New Roman"/>
          <w:szCs w:val="24"/>
        </w:rPr>
        <w:lastRenderedPageBreak/>
        <w:t xml:space="preserve">Da der efter den foreslåede § 24 a, stk. </w:t>
      </w:r>
      <w:r w:rsidR="009923BE">
        <w:rPr>
          <w:rFonts w:cs="Times New Roman"/>
          <w:szCs w:val="24"/>
        </w:rPr>
        <w:t>5</w:t>
      </w:r>
      <w:r>
        <w:rPr>
          <w:rFonts w:cs="Times New Roman"/>
          <w:szCs w:val="24"/>
        </w:rPr>
        <w:t xml:space="preserve">, skal fastsættes nærmere regler om frister for </w:t>
      </w:r>
      <w:proofErr w:type="spellStart"/>
      <w:r>
        <w:rPr>
          <w:rFonts w:cs="Times New Roman"/>
          <w:szCs w:val="24"/>
        </w:rPr>
        <w:t>efterkommelse</w:t>
      </w:r>
      <w:proofErr w:type="spellEnd"/>
      <w:r>
        <w:rPr>
          <w:rFonts w:cs="Times New Roman"/>
          <w:szCs w:val="24"/>
        </w:rPr>
        <w:t xml:space="preserve"> af påbud eller forbud, hvor der tages hensyn til </w:t>
      </w:r>
      <w:r w:rsidR="003E2D6A">
        <w:rPr>
          <w:rFonts w:cs="Times New Roman"/>
          <w:szCs w:val="24"/>
        </w:rPr>
        <w:t>grund</w:t>
      </w:r>
      <w:r>
        <w:rPr>
          <w:rFonts w:cs="Times New Roman"/>
          <w:szCs w:val="24"/>
        </w:rPr>
        <w:t>e</w:t>
      </w:r>
      <w:r w:rsidR="003E2D6A">
        <w:rPr>
          <w:rFonts w:cs="Times New Roman"/>
          <w:szCs w:val="24"/>
        </w:rPr>
        <w:t>je</w:t>
      </w:r>
      <w:r>
        <w:rPr>
          <w:rFonts w:cs="Times New Roman"/>
          <w:szCs w:val="24"/>
        </w:rPr>
        <w:t xml:space="preserve">rens drift af arealet, vil miljøbeskyttelseslovens § 78, stk. 1, om frister og om at det kan bestemmes, at et påbud eller forbud skal efterkommes straks, ikke få selvstændig betydning i relation til kommunalbestyrelsens afgørelser efter § 24 a. </w:t>
      </w:r>
    </w:p>
    <w:p w14:paraId="788A592C" w14:textId="77777777" w:rsidR="001C6AD4" w:rsidRDefault="001C6AD4" w:rsidP="001C6AD4">
      <w:pPr>
        <w:spacing w:line="276" w:lineRule="auto"/>
        <w:rPr>
          <w:rFonts w:cs="Times New Roman"/>
          <w:szCs w:val="24"/>
        </w:rPr>
      </w:pPr>
    </w:p>
    <w:p w14:paraId="6E8BEF5B" w14:textId="2C6D242E" w:rsidR="001C6AD4" w:rsidRDefault="001C6AD4" w:rsidP="001C6AD4">
      <w:pPr>
        <w:spacing w:line="276" w:lineRule="auto"/>
        <w:rPr>
          <w:rFonts w:cs="Times New Roman"/>
          <w:szCs w:val="24"/>
        </w:rPr>
      </w:pPr>
      <w:r>
        <w:rPr>
          <w:rFonts w:cs="Times New Roman"/>
          <w:szCs w:val="24"/>
        </w:rPr>
        <w:t>Da udgangspunktet efter den foreslåede ordning er, at en klage over afgørelser meddelt efter § 24 a ikke tillægges opsættende virkning, vil kommunalbestyrelsen ikke efter den gældende § 78, stk. 2, skulle tage selvstændigt stilling til, om der er særlige grunde</w:t>
      </w:r>
      <w:r w:rsidR="00077730">
        <w:rPr>
          <w:rFonts w:cs="Times New Roman"/>
          <w:szCs w:val="24"/>
        </w:rPr>
        <w:t>,</w:t>
      </w:r>
      <w:r>
        <w:rPr>
          <w:rFonts w:cs="Times New Roman"/>
          <w:szCs w:val="24"/>
        </w:rPr>
        <w:t xml:space="preserve"> der taler for, at en klage over et påbud eller forbud efter § 24 a skal tillægges opsættende virkning. </w:t>
      </w:r>
    </w:p>
    <w:p w14:paraId="096A785D" w14:textId="77777777" w:rsidR="001C6AD4" w:rsidRDefault="001C6AD4" w:rsidP="001C6AD4">
      <w:pPr>
        <w:spacing w:line="276" w:lineRule="auto"/>
        <w:rPr>
          <w:rFonts w:cs="Times New Roman"/>
          <w:szCs w:val="24"/>
        </w:rPr>
      </w:pPr>
    </w:p>
    <w:p w14:paraId="54983677" w14:textId="77777777" w:rsidR="001C6AD4" w:rsidRDefault="001C6AD4" w:rsidP="001C6AD4">
      <w:pPr>
        <w:spacing w:line="276" w:lineRule="auto"/>
        <w:rPr>
          <w:rFonts w:cs="Times New Roman"/>
          <w:szCs w:val="24"/>
        </w:rPr>
      </w:pPr>
      <w:r>
        <w:rPr>
          <w:rFonts w:cs="Times New Roman"/>
          <w:szCs w:val="24"/>
        </w:rPr>
        <w:t xml:space="preserve">Der vil med den foreslåede ordning være mulighed for, at Miljø- og Fødevareklagenævnet kan bestemme, at en klage over et påbud eller et forbud efter § 24 a skal have opsættende virkning. </w:t>
      </w:r>
    </w:p>
    <w:p w14:paraId="6E6E5349" w14:textId="77777777" w:rsidR="001C6AD4" w:rsidRDefault="001C6AD4" w:rsidP="001C6AD4">
      <w:pPr>
        <w:spacing w:line="276" w:lineRule="auto"/>
        <w:rPr>
          <w:rFonts w:cs="Times New Roman"/>
          <w:szCs w:val="24"/>
        </w:rPr>
      </w:pPr>
    </w:p>
    <w:p w14:paraId="345D0D9F" w14:textId="61C441BE" w:rsidR="00952A7D" w:rsidRDefault="001C6AD4" w:rsidP="001C6AD4">
      <w:pPr>
        <w:spacing w:line="276" w:lineRule="auto"/>
        <w:rPr>
          <w:rFonts w:cs="Times New Roman"/>
          <w:szCs w:val="24"/>
        </w:rPr>
      </w:pPr>
      <w:r w:rsidRPr="00556F0B">
        <w:rPr>
          <w:rFonts w:cs="Times New Roman"/>
          <w:szCs w:val="24"/>
        </w:rPr>
        <w:t>Det vil formentlig kun forekomme undtagelsesvist, f.eks. hvor en påklaget afgørelse lider af åbenbare mangler</w:t>
      </w:r>
      <w:r w:rsidR="00952A7D">
        <w:rPr>
          <w:rFonts w:cs="Times New Roman"/>
          <w:szCs w:val="24"/>
        </w:rPr>
        <w:t>,</w:t>
      </w:r>
      <w:r w:rsidRPr="00556F0B">
        <w:rPr>
          <w:rFonts w:cs="Times New Roman"/>
          <w:szCs w:val="24"/>
        </w:rPr>
        <w:t xml:space="preserve"> eller hvor der er særlige forhold</w:t>
      </w:r>
      <w:r w:rsidR="00E56FF6">
        <w:rPr>
          <w:rFonts w:cs="Times New Roman"/>
          <w:szCs w:val="24"/>
        </w:rPr>
        <w:t>,</w:t>
      </w:r>
      <w:r w:rsidRPr="00556F0B">
        <w:rPr>
          <w:rFonts w:cs="Times New Roman"/>
          <w:szCs w:val="24"/>
        </w:rPr>
        <w:t xml:space="preserve"> der bringer konkret tvivl om proportionaliteten i den påklagede afgørelse.  </w:t>
      </w:r>
    </w:p>
    <w:bookmarkEnd w:id="5"/>
    <w:p w14:paraId="67E32151" w14:textId="4886CDFE" w:rsidR="00285FEC" w:rsidRDefault="00285FEC" w:rsidP="00963043">
      <w:pPr>
        <w:spacing w:line="276" w:lineRule="auto"/>
        <w:rPr>
          <w:rFonts w:eastAsia="Calibri" w:cs="Times New Roman"/>
          <w:szCs w:val="24"/>
        </w:rPr>
      </w:pPr>
    </w:p>
    <w:p w14:paraId="0F8214DE" w14:textId="565B9607" w:rsidR="00285FEC" w:rsidRDefault="00312B0C" w:rsidP="00285FEC">
      <w:pPr>
        <w:spacing w:after="240"/>
        <w:rPr>
          <w:rFonts w:eastAsia="Calibri" w:cs="Times New Roman"/>
          <w:i/>
          <w:szCs w:val="24"/>
        </w:rPr>
      </w:pPr>
      <w:r>
        <w:rPr>
          <w:rFonts w:eastAsia="Calibri" w:cs="Times New Roman"/>
          <w:i/>
          <w:szCs w:val="24"/>
        </w:rPr>
        <w:t xml:space="preserve">4. </w:t>
      </w:r>
      <w:r w:rsidR="00285FEC">
        <w:rPr>
          <w:rFonts w:eastAsia="Calibri" w:cs="Times New Roman"/>
          <w:i/>
          <w:szCs w:val="24"/>
        </w:rPr>
        <w:t>Økonomiske konsekvenser for det offentlige</w:t>
      </w:r>
    </w:p>
    <w:p w14:paraId="3522FD62" w14:textId="3A07C3FE" w:rsidR="00740900" w:rsidRDefault="00285FEC" w:rsidP="00285FEC">
      <w:pPr>
        <w:spacing w:after="240"/>
        <w:rPr>
          <w:rFonts w:eastAsia="Calibri" w:cs="Times New Roman"/>
          <w:szCs w:val="24"/>
        </w:rPr>
      </w:pPr>
      <w:r w:rsidRPr="00F028E7">
        <w:rPr>
          <w:rFonts w:eastAsia="Calibri" w:cs="Times New Roman"/>
          <w:szCs w:val="24"/>
        </w:rPr>
        <w:t xml:space="preserve">Modellen ventes at medføre statsfinansielle omkostninger på </w:t>
      </w:r>
      <w:r w:rsidR="006C46F0">
        <w:rPr>
          <w:rFonts w:eastAsia="Calibri" w:cs="Times New Roman"/>
          <w:szCs w:val="24"/>
        </w:rPr>
        <w:t>op til</w:t>
      </w:r>
      <w:r w:rsidR="006C46F0" w:rsidRPr="00F028E7">
        <w:rPr>
          <w:rFonts w:eastAsia="Calibri" w:cs="Times New Roman"/>
          <w:szCs w:val="24"/>
        </w:rPr>
        <w:t xml:space="preserve"> </w:t>
      </w:r>
      <w:r w:rsidRPr="00F028E7">
        <w:rPr>
          <w:rFonts w:eastAsia="Calibri" w:cs="Times New Roman"/>
          <w:szCs w:val="24"/>
        </w:rPr>
        <w:t>3</w:t>
      </w:r>
      <w:r>
        <w:rPr>
          <w:rFonts w:eastAsia="Calibri" w:cs="Times New Roman"/>
          <w:szCs w:val="24"/>
        </w:rPr>
        <w:t>4</w:t>
      </w:r>
      <w:r w:rsidRPr="00F028E7">
        <w:rPr>
          <w:rFonts w:eastAsia="Calibri" w:cs="Times New Roman"/>
          <w:szCs w:val="24"/>
        </w:rPr>
        <w:t xml:space="preserve"> mio. kr.</w:t>
      </w:r>
      <w:r w:rsidR="00E864D4">
        <w:rPr>
          <w:rFonts w:eastAsia="Calibri" w:cs="Times New Roman"/>
          <w:szCs w:val="24"/>
        </w:rPr>
        <w:t xml:space="preserve"> </w:t>
      </w:r>
      <w:r w:rsidR="004C7692">
        <w:rPr>
          <w:rFonts w:eastAsia="Calibri" w:cs="Times New Roman"/>
          <w:szCs w:val="24"/>
        </w:rPr>
        <w:t>Det forventes</w:t>
      </w:r>
      <w:r w:rsidR="003E2D6A">
        <w:rPr>
          <w:rFonts w:eastAsia="Calibri" w:cs="Times New Roman"/>
          <w:szCs w:val="24"/>
        </w:rPr>
        <w:t>,</w:t>
      </w:r>
      <w:r w:rsidR="004C7692">
        <w:rPr>
          <w:rFonts w:eastAsia="Calibri" w:cs="Times New Roman"/>
          <w:szCs w:val="24"/>
        </w:rPr>
        <w:t xml:space="preserve"> at hovedparten af de tilbudte aftaler vil blive indgået</w:t>
      </w:r>
      <w:r w:rsidR="008D7B0E">
        <w:rPr>
          <w:rFonts w:eastAsia="Calibri" w:cs="Times New Roman"/>
          <w:szCs w:val="24"/>
        </w:rPr>
        <w:t>,</w:t>
      </w:r>
      <w:r w:rsidR="004C7692">
        <w:rPr>
          <w:rFonts w:eastAsia="Calibri" w:cs="Times New Roman"/>
          <w:szCs w:val="24"/>
        </w:rPr>
        <w:t xml:space="preserve"> inden lovforslaget træder i kraft.</w:t>
      </w:r>
      <w:r w:rsidR="003E2D6A">
        <w:rPr>
          <w:rFonts w:eastAsia="Calibri" w:cs="Times New Roman"/>
          <w:szCs w:val="24"/>
        </w:rPr>
        <w:t xml:space="preserve"> </w:t>
      </w:r>
    </w:p>
    <w:p w14:paraId="0C674678" w14:textId="7A33286F" w:rsidR="00285FEC" w:rsidRDefault="00740900" w:rsidP="00285FEC">
      <w:pPr>
        <w:spacing w:after="240"/>
        <w:rPr>
          <w:rFonts w:eastAsia="Calibri" w:cs="Times New Roman"/>
          <w:szCs w:val="24"/>
        </w:rPr>
      </w:pPr>
      <w:r>
        <w:rPr>
          <w:rFonts w:eastAsia="Calibri" w:cs="Times New Roman"/>
          <w:szCs w:val="24"/>
        </w:rPr>
        <w:t>Der forventes, at være udgifter til kommunernes</w:t>
      </w:r>
      <w:r w:rsidR="00285FEC">
        <w:rPr>
          <w:rFonts w:eastAsia="Calibri" w:cs="Times New Roman"/>
          <w:szCs w:val="24"/>
        </w:rPr>
        <w:t xml:space="preserve"> sagsbehandling </w:t>
      </w:r>
      <w:r>
        <w:rPr>
          <w:rFonts w:eastAsia="Calibri" w:cs="Times New Roman"/>
          <w:szCs w:val="24"/>
        </w:rPr>
        <w:t>ifm.</w:t>
      </w:r>
      <w:r w:rsidR="00285FEC">
        <w:rPr>
          <w:rFonts w:eastAsia="Calibri" w:cs="Times New Roman"/>
          <w:szCs w:val="24"/>
        </w:rPr>
        <w:t xml:space="preserve"> udarbejdelsen af kommunale påbud, vurdering af erstatninger og sagsbehandling ved evt. klagesager.</w:t>
      </w:r>
    </w:p>
    <w:p w14:paraId="758E4015" w14:textId="2B5041F4" w:rsidR="009B7C05" w:rsidRDefault="00285FEC" w:rsidP="00285FEC">
      <w:pPr>
        <w:spacing w:after="240"/>
        <w:rPr>
          <w:rFonts w:eastAsia="Calibri" w:cs="Times New Roman"/>
          <w:szCs w:val="24"/>
        </w:rPr>
      </w:pPr>
      <w:r w:rsidRPr="00F028E7">
        <w:rPr>
          <w:rFonts w:eastAsia="Calibri" w:cs="Times New Roman"/>
          <w:szCs w:val="24"/>
        </w:rPr>
        <w:t xml:space="preserve">Der lægges op til, at et kommunalt udstedt påbud skal kunne påklages til Miljø- og Fødevareklagenævnet. </w:t>
      </w:r>
      <w:r w:rsidR="009B7C05">
        <w:rPr>
          <w:rFonts w:eastAsia="Calibri" w:cs="Times New Roman"/>
          <w:szCs w:val="24"/>
        </w:rPr>
        <w:t xml:space="preserve">Dette kan evt. medføre en stigning i udgifter til klagenævnets sagsbehandling. </w:t>
      </w:r>
    </w:p>
    <w:p w14:paraId="1F3D4165" w14:textId="40FEF0A0" w:rsidR="00F929C5" w:rsidRDefault="00F929C5" w:rsidP="00F929C5">
      <w:bookmarkStart w:id="6" w:name="_Hlk150255763"/>
      <w:r>
        <w:t>Lovforslaget kan desuden have økonomiske konsekvenser for taksationsmyndighedernes behandling af evt. klager over kommunens erstatningsfastsættelse.</w:t>
      </w:r>
      <w:r w:rsidR="009B7C05">
        <w:t xml:space="preserve"> </w:t>
      </w:r>
    </w:p>
    <w:bookmarkEnd w:id="6"/>
    <w:p w14:paraId="2DA76018" w14:textId="77777777" w:rsidR="000017DF" w:rsidRPr="00F929C5" w:rsidRDefault="000017DF" w:rsidP="00F929C5"/>
    <w:p w14:paraId="381B76E9" w14:textId="5649D999" w:rsidR="00285FEC" w:rsidRDefault="00285FEC" w:rsidP="00285FEC">
      <w:pPr>
        <w:spacing w:after="240"/>
        <w:rPr>
          <w:rFonts w:eastAsia="Calibri" w:cs="Times New Roman"/>
          <w:szCs w:val="24"/>
        </w:rPr>
      </w:pPr>
      <w:r>
        <w:rPr>
          <w:rFonts w:eastAsia="Calibri" w:cs="Times New Roman"/>
          <w:szCs w:val="24"/>
        </w:rPr>
        <w:t>Der ventes et mindre</w:t>
      </w:r>
      <w:r w:rsidR="009373AD">
        <w:rPr>
          <w:rFonts w:eastAsia="Calibri" w:cs="Times New Roman"/>
          <w:szCs w:val="24"/>
        </w:rPr>
        <w:t xml:space="preserve"> </w:t>
      </w:r>
      <w:r>
        <w:rPr>
          <w:rFonts w:eastAsia="Calibri" w:cs="Times New Roman"/>
          <w:szCs w:val="24"/>
        </w:rPr>
        <w:t xml:space="preserve">provenu fra bekæmpelsesmiddelafgiften på ca. </w:t>
      </w:r>
      <w:r w:rsidRPr="008839B5">
        <w:rPr>
          <w:rFonts w:eastAsia="Calibri" w:cs="Times New Roman"/>
          <w:szCs w:val="24"/>
        </w:rPr>
        <w:t xml:space="preserve">1,7 mio. kr. årligt </w:t>
      </w:r>
      <w:r>
        <w:rPr>
          <w:rFonts w:eastAsia="Calibri" w:cs="Times New Roman"/>
          <w:szCs w:val="24"/>
        </w:rPr>
        <w:t>ved</w:t>
      </w:r>
      <w:r w:rsidRPr="008839B5">
        <w:rPr>
          <w:rFonts w:eastAsia="Calibri" w:cs="Times New Roman"/>
          <w:szCs w:val="24"/>
        </w:rPr>
        <w:t xml:space="preserve"> 100 pct. beskyttelse</w:t>
      </w:r>
      <w:r>
        <w:rPr>
          <w:rFonts w:eastAsia="Calibri" w:cs="Times New Roman"/>
          <w:szCs w:val="24"/>
        </w:rPr>
        <w:t xml:space="preserve"> af </w:t>
      </w:r>
      <w:r w:rsidR="001669D3">
        <w:rPr>
          <w:rFonts w:eastAsia="Calibri" w:cs="Times New Roman"/>
          <w:szCs w:val="24"/>
        </w:rPr>
        <w:t>BNBO</w:t>
      </w:r>
      <w:r w:rsidR="009B7C05">
        <w:rPr>
          <w:rFonts w:eastAsia="Calibri" w:cs="Times New Roman"/>
          <w:szCs w:val="24"/>
        </w:rPr>
        <w:t>.</w:t>
      </w:r>
    </w:p>
    <w:p w14:paraId="10ADA449" w14:textId="77777777" w:rsidR="00285FEC" w:rsidRDefault="00285FEC" w:rsidP="00285FEC">
      <w:pPr>
        <w:spacing w:after="240"/>
        <w:rPr>
          <w:rFonts w:eastAsia="Calibri" w:cs="Times New Roman"/>
          <w:i/>
          <w:szCs w:val="24"/>
        </w:rPr>
      </w:pPr>
      <w:r w:rsidRPr="00DE0B02">
        <w:rPr>
          <w:rFonts w:eastAsia="Calibri" w:cs="Times New Roman"/>
          <w:i/>
          <w:szCs w:val="24"/>
        </w:rPr>
        <w:t>Implementeringskonsekvenser</w:t>
      </w:r>
    </w:p>
    <w:p w14:paraId="70843D9D" w14:textId="2D51E4BA" w:rsidR="00285FEC" w:rsidRDefault="00285FEC" w:rsidP="00285FEC">
      <w:pPr>
        <w:spacing w:after="240"/>
        <w:rPr>
          <w:rFonts w:eastAsia="Calibri" w:cs="Times New Roman"/>
          <w:szCs w:val="24"/>
        </w:rPr>
      </w:pPr>
      <w:r>
        <w:rPr>
          <w:rFonts w:eastAsia="Calibri" w:cs="Times New Roman"/>
          <w:szCs w:val="24"/>
        </w:rPr>
        <w:lastRenderedPageBreak/>
        <w:t>Lovforslaget skønnes overordnet ikke at have negative implementeringskonsekvenser for det offentlige</w:t>
      </w:r>
      <w:r w:rsidR="008B6955">
        <w:rPr>
          <w:rFonts w:eastAsia="Calibri" w:cs="Times New Roman"/>
          <w:szCs w:val="24"/>
        </w:rPr>
        <w:t>,</w:t>
      </w:r>
      <w:r>
        <w:rPr>
          <w:rFonts w:eastAsia="Calibri" w:cs="Times New Roman"/>
          <w:szCs w:val="24"/>
        </w:rPr>
        <w:t xml:space="preserve"> da der ikke oprettes nye administrative enheder, indføres nye it-systemer eller i øvrigt ændres på arbejdsgangene i de berørte myndigheder. Indførelsen af en bestemmelse om at klage ikke har opsættende virkning, der </w:t>
      </w:r>
      <w:r w:rsidR="00E56FF6">
        <w:rPr>
          <w:rFonts w:eastAsia="Calibri" w:cs="Times New Roman"/>
          <w:szCs w:val="24"/>
        </w:rPr>
        <w:t>fraviger</w:t>
      </w:r>
      <w:r>
        <w:rPr>
          <w:rFonts w:eastAsia="Calibri" w:cs="Times New Roman"/>
          <w:szCs w:val="24"/>
        </w:rPr>
        <w:t xml:space="preserve"> den </w:t>
      </w:r>
      <w:r w:rsidR="00E56FF6">
        <w:rPr>
          <w:rFonts w:eastAsia="Calibri" w:cs="Times New Roman"/>
          <w:szCs w:val="24"/>
        </w:rPr>
        <w:t>sæd</w:t>
      </w:r>
      <w:r>
        <w:rPr>
          <w:rFonts w:eastAsia="Calibri" w:cs="Times New Roman"/>
          <w:szCs w:val="24"/>
        </w:rPr>
        <w:t xml:space="preserve">vanlige </w:t>
      </w:r>
      <w:r w:rsidR="00E56FF6">
        <w:rPr>
          <w:rFonts w:eastAsia="Calibri" w:cs="Times New Roman"/>
          <w:szCs w:val="24"/>
        </w:rPr>
        <w:t>ordning</w:t>
      </w:r>
      <w:r>
        <w:rPr>
          <w:rFonts w:eastAsia="Calibri" w:cs="Times New Roman"/>
          <w:szCs w:val="24"/>
        </w:rPr>
        <w:t xml:space="preserve"> for klager, ventes dog at have negative implementeringskonsekvenser for myndigheder og borgere. Dette gør sig gældende i situationer</w:t>
      </w:r>
      <w:r w:rsidR="008B6955">
        <w:rPr>
          <w:rFonts w:eastAsia="Calibri" w:cs="Times New Roman"/>
          <w:szCs w:val="24"/>
        </w:rPr>
        <w:t>,</w:t>
      </w:r>
      <w:r>
        <w:rPr>
          <w:rFonts w:eastAsia="Calibri" w:cs="Times New Roman"/>
          <w:szCs w:val="24"/>
        </w:rPr>
        <w:t xml:space="preserve"> hvor en </w:t>
      </w:r>
      <w:r w:rsidR="00E56FF6">
        <w:rPr>
          <w:rFonts w:eastAsia="Calibri" w:cs="Times New Roman"/>
          <w:szCs w:val="24"/>
        </w:rPr>
        <w:t>grundejer</w:t>
      </w:r>
      <w:r>
        <w:rPr>
          <w:rFonts w:eastAsia="Calibri" w:cs="Times New Roman"/>
          <w:szCs w:val="24"/>
        </w:rPr>
        <w:t xml:space="preserve"> måtte klage over et kommunalt påbud og skal efterleve påbuddet</w:t>
      </w:r>
      <w:r w:rsidR="008B6955">
        <w:rPr>
          <w:rFonts w:eastAsia="Calibri" w:cs="Times New Roman"/>
          <w:szCs w:val="24"/>
        </w:rPr>
        <w:t>,</w:t>
      </w:r>
      <w:r>
        <w:rPr>
          <w:rFonts w:eastAsia="Calibri" w:cs="Times New Roman"/>
          <w:szCs w:val="24"/>
        </w:rPr>
        <w:t xml:space="preserve"> imens klagesagen behandles og også i den periode er berettiget til en erstatning for sit e</w:t>
      </w:r>
      <w:r w:rsidR="009373AD">
        <w:rPr>
          <w:rFonts w:eastAsia="Calibri" w:cs="Times New Roman"/>
          <w:szCs w:val="24"/>
        </w:rPr>
        <w:t>ventuelle</w:t>
      </w:r>
      <w:r>
        <w:rPr>
          <w:rFonts w:eastAsia="Calibri" w:cs="Times New Roman"/>
          <w:szCs w:val="24"/>
        </w:rPr>
        <w:t xml:space="preserve"> </w:t>
      </w:r>
      <w:r w:rsidR="008B6955">
        <w:rPr>
          <w:rFonts w:eastAsia="Calibri" w:cs="Times New Roman"/>
          <w:szCs w:val="24"/>
        </w:rPr>
        <w:t xml:space="preserve">økonomiske tab </w:t>
      </w:r>
      <w:r>
        <w:rPr>
          <w:rFonts w:eastAsia="Calibri" w:cs="Times New Roman"/>
          <w:szCs w:val="24"/>
        </w:rPr>
        <w:t xml:space="preserve">herved. Såfremt </w:t>
      </w:r>
      <w:r w:rsidR="00BB1E99">
        <w:rPr>
          <w:rFonts w:eastAsia="Calibri" w:cs="Times New Roman"/>
          <w:szCs w:val="24"/>
        </w:rPr>
        <w:t xml:space="preserve">Miljø- og Fødevareklagenævnet </w:t>
      </w:r>
      <w:r>
        <w:rPr>
          <w:rFonts w:eastAsia="Calibri" w:cs="Times New Roman"/>
          <w:szCs w:val="24"/>
        </w:rPr>
        <w:t>ophæve</w:t>
      </w:r>
      <w:r w:rsidR="00BB1E99">
        <w:rPr>
          <w:rFonts w:eastAsia="Calibri" w:cs="Times New Roman"/>
          <w:szCs w:val="24"/>
        </w:rPr>
        <w:t>r et påbud eller</w:t>
      </w:r>
      <w:r>
        <w:rPr>
          <w:rFonts w:eastAsia="Calibri" w:cs="Times New Roman"/>
          <w:szCs w:val="24"/>
        </w:rPr>
        <w:t xml:space="preserve"> forbud</w:t>
      </w:r>
      <w:r w:rsidR="00BB1E99">
        <w:rPr>
          <w:rFonts w:eastAsia="Calibri" w:cs="Times New Roman"/>
          <w:szCs w:val="24"/>
        </w:rPr>
        <w:t xml:space="preserve">, må vandforsyningen </w:t>
      </w:r>
      <w:r w:rsidR="009373AD">
        <w:rPr>
          <w:rFonts w:eastAsia="Calibri" w:cs="Times New Roman"/>
          <w:szCs w:val="24"/>
        </w:rPr>
        <w:t>søge</w:t>
      </w:r>
      <w:r>
        <w:rPr>
          <w:rFonts w:eastAsia="Calibri" w:cs="Times New Roman"/>
          <w:szCs w:val="24"/>
        </w:rPr>
        <w:t xml:space="preserve"> erstatningen tilbagebetalt</w:t>
      </w:r>
      <w:r w:rsidR="00026269">
        <w:rPr>
          <w:rFonts w:eastAsia="Calibri" w:cs="Times New Roman"/>
          <w:szCs w:val="24"/>
        </w:rPr>
        <w:t xml:space="preserve"> efter dansk rets almindelige tilbagesøgningsregler</w:t>
      </w:r>
      <w:r>
        <w:rPr>
          <w:rFonts w:eastAsia="Calibri" w:cs="Times New Roman"/>
          <w:szCs w:val="24"/>
        </w:rPr>
        <w:t xml:space="preserve">, fratrukket det </w:t>
      </w:r>
      <w:r w:rsidR="00026269">
        <w:rPr>
          <w:rFonts w:eastAsia="Calibri" w:cs="Times New Roman"/>
          <w:szCs w:val="24"/>
        </w:rPr>
        <w:t xml:space="preserve">eventuelle </w:t>
      </w:r>
      <w:r>
        <w:rPr>
          <w:rFonts w:eastAsia="Calibri" w:cs="Times New Roman"/>
          <w:szCs w:val="24"/>
        </w:rPr>
        <w:t xml:space="preserve">tab som </w:t>
      </w:r>
      <w:r w:rsidR="00026269">
        <w:rPr>
          <w:rFonts w:eastAsia="Calibri" w:cs="Times New Roman"/>
          <w:szCs w:val="24"/>
        </w:rPr>
        <w:t>grund</w:t>
      </w:r>
      <w:r>
        <w:rPr>
          <w:rFonts w:eastAsia="Calibri" w:cs="Times New Roman"/>
          <w:szCs w:val="24"/>
        </w:rPr>
        <w:t>ejeren måtte have lidt i den periode</w:t>
      </w:r>
      <w:r w:rsidR="002A0673">
        <w:rPr>
          <w:rFonts w:eastAsia="Calibri" w:cs="Times New Roman"/>
          <w:szCs w:val="24"/>
        </w:rPr>
        <w:t>,</w:t>
      </w:r>
      <w:r>
        <w:rPr>
          <w:rFonts w:eastAsia="Calibri" w:cs="Times New Roman"/>
          <w:szCs w:val="24"/>
        </w:rPr>
        <w:t xml:space="preserve"> hvor klagen er behandlet. Denne proces</w:t>
      </w:r>
      <w:r w:rsidR="00077730">
        <w:rPr>
          <w:rFonts w:eastAsia="Calibri" w:cs="Times New Roman"/>
          <w:szCs w:val="24"/>
        </w:rPr>
        <w:t>,</w:t>
      </w:r>
      <w:r>
        <w:rPr>
          <w:rFonts w:eastAsia="Calibri" w:cs="Times New Roman"/>
          <w:szCs w:val="24"/>
        </w:rPr>
        <w:t xml:space="preserve"> hvor myndighed</w:t>
      </w:r>
      <w:r w:rsidR="00F72BB5">
        <w:rPr>
          <w:rFonts w:eastAsia="Calibri" w:cs="Times New Roman"/>
          <w:szCs w:val="24"/>
        </w:rPr>
        <w:t>en</w:t>
      </w:r>
      <w:r>
        <w:rPr>
          <w:rFonts w:eastAsia="Calibri" w:cs="Times New Roman"/>
          <w:szCs w:val="24"/>
        </w:rPr>
        <w:t xml:space="preserve"> skal forholde sig til ny praksis</w:t>
      </w:r>
      <w:r w:rsidR="00077730">
        <w:rPr>
          <w:rFonts w:eastAsia="Calibri" w:cs="Times New Roman"/>
          <w:szCs w:val="24"/>
        </w:rPr>
        <w:t>,</w:t>
      </w:r>
      <w:r>
        <w:rPr>
          <w:rFonts w:eastAsia="Calibri" w:cs="Times New Roman"/>
          <w:szCs w:val="24"/>
        </w:rPr>
        <w:t xml:space="preserve"> vurderes at udgøre en negativ implementeringskonsekvens.</w:t>
      </w:r>
      <w:r w:rsidR="00EB0C8C">
        <w:rPr>
          <w:rFonts w:eastAsia="Calibri" w:cs="Times New Roman"/>
          <w:szCs w:val="24"/>
        </w:rPr>
        <w:t xml:space="preserve"> Grundejere og vandforsyningers klageadgang til taksation</w:t>
      </w:r>
      <w:r w:rsidR="002E486C">
        <w:rPr>
          <w:rFonts w:eastAsia="Calibri" w:cs="Times New Roman"/>
          <w:szCs w:val="24"/>
        </w:rPr>
        <w:t>smyndighederne</w:t>
      </w:r>
      <w:r w:rsidR="00EB0C8C">
        <w:rPr>
          <w:rFonts w:eastAsia="Calibri" w:cs="Times New Roman"/>
          <w:szCs w:val="24"/>
        </w:rPr>
        <w:t xml:space="preserve"> over kommunens erstatningsfastsættelse vil medføre, at </w:t>
      </w:r>
      <w:r w:rsidR="002E486C">
        <w:rPr>
          <w:rFonts w:eastAsia="Calibri" w:cs="Times New Roman"/>
          <w:szCs w:val="24"/>
        </w:rPr>
        <w:t>taksationskommissionen bliver et klageorgan. Det vurderes ikke at have nogen betydning i forhold til taksations</w:t>
      </w:r>
      <w:r w:rsidR="00092BA8">
        <w:rPr>
          <w:rFonts w:eastAsia="Calibri" w:cs="Times New Roman"/>
          <w:szCs w:val="24"/>
        </w:rPr>
        <w:t>myndighedernes behandling af sagerne, da de</w:t>
      </w:r>
      <w:r w:rsidR="00AC3C31">
        <w:rPr>
          <w:rFonts w:eastAsia="Calibri" w:cs="Times New Roman"/>
          <w:szCs w:val="24"/>
        </w:rPr>
        <w:t>n</w:t>
      </w:r>
      <w:r w:rsidR="00092BA8">
        <w:rPr>
          <w:rFonts w:eastAsia="Calibri" w:cs="Times New Roman"/>
          <w:szCs w:val="24"/>
        </w:rPr>
        <w:t xml:space="preserve"> følger samme proces som efter de gældende regler. En eventuel efterregulering af erstatningsbeløbet som følge af, at taksationsmyndighederne afsiger kendelse om et andet beløb end kommunens beregning, vurderes at udgøre en negativ implementeringskonsekvens, da der er tale om ny proces for myndighed</w:t>
      </w:r>
      <w:r w:rsidR="00074877">
        <w:rPr>
          <w:rFonts w:eastAsia="Calibri" w:cs="Times New Roman"/>
          <w:szCs w:val="24"/>
        </w:rPr>
        <w:t>en</w:t>
      </w:r>
      <w:r w:rsidR="00092BA8">
        <w:rPr>
          <w:rFonts w:eastAsia="Calibri" w:cs="Times New Roman"/>
          <w:szCs w:val="24"/>
        </w:rPr>
        <w:t>.</w:t>
      </w:r>
    </w:p>
    <w:p w14:paraId="1C3C999D" w14:textId="15787D7F" w:rsidR="00285FEC" w:rsidRPr="00DE0B02" w:rsidRDefault="00285FEC" w:rsidP="00285FEC">
      <w:pPr>
        <w:spacing w:after="240"/>
        <w:rPr>
          <w:rFonts w:eastAsia="Calibri" w:cs="Times New Roman"/>
          <w:szCs w:val="24"/>
        </w:rPr>
      </w:pPr>
      <w:r>
        <w:rPr>
          <w:rFonts w:eastAsia="Calibri" w:cs="Times New Roman"/>
          <w:szCs w:val="24"/>
        </w:rPr>
        <w:t>Forslaget om at lade 25</w:t>
      </w:r>
      <w:r w:rsidR="007C62C8">
        <w:rPr>
          <w:rFonts w:eastAsia="Calibri" w:cs="Times New Roman"/>
          <w:szCs w:val="24"/>
        </w:rPr>
        <w:t xml:space="preserve"> </w:t>
      </w:r>
      <w:r>
        <w:rPr>
          <w:rFonts w:eastAsia="Calibri" w:cs="Times New Roman"/>
          <w:szCs w:val="24"/>
        </w:rPr>
        <w:t>meters zonen ophæve ved indførelsen af tilsvarende rådighedsindskrænkninger efter §§ 24 a og</w:t>
      </w:r>
      <w:r w:rsidR="008B6955">
        <w:rPr>
          <w:rFonts w:eastAsia="Calibri" w:cs="Times New Roman"/>
          <w:szCs w:val="24"/>
        </w:rPr>
        <w:t xml:space="preserve"> </w:t>
      </w:r>
      <w:r>
        <w:rPr>
          <w:rFonts w:eastAsia="Calibri" w:cs="Times New Roman"/>
          <w:szCs w:val="24"/>
        </w:rPr>
        <w:t>26 a vil bidrage til en lettere sagsbehandling hos kommuner og en mere overskuelig og let tilgængelig offentlig sektor for borgerne. Denne ændring skønnes at have positive implementeringskonsekvenser.</w:t>
      </w:r>
    </w:p>
    <w:p w14:paraId="5BDDCCF6" w14:textId="77777777" w:rsidR="00285FEC" w:rsidRPr="00A95BED" w:rsidRDefault="00285FEC" w:rsidP="00285FEC">
      <w:pPr>
        <w:spacing w:after="240"/>
        <w:rPr>
          <w:rFonts w:eastAsia="Calibri" w:cs="Times New Roman"/>
          <w:i/>
          <w:szCs w:val="24"/>
        </w:rPr>
      </w:pPr>
      <w:r w:rsidRPr="00A95BED">
        <w:rPr>
          <w:rFonts w:eastAsia="Calibri" w:cs="Times New Roman"/>
          <w:i/>
          <w:szCs w:val="24"/>
        </w:rPr>
        <w:t>5. Økonomiske og administrative konsekvenser for erhvervslivet m.v.</w:t>
      </w:r>
    </w:p>
    <w:p w14:paraId="670CEAA8" w14:textId="1675AEAC" w:rsidR="00285FEC" w:rsidRDefault="00285FEC" w:rsidP="00285FEC">
      <w:pPr>
        <w:spacing w:after="240"/>
        <w:rPr>
          <w:rFonts w:eastAsia="Calibri" w:cs="Times New Roman"/>
          <w:szCs w:val="24"/>
        </w:rPr>
      </w:pPr>
      <w:r>
        <w:rPr>
          <w:rFonts w:eastAsia="Calibri" w:cs="Times New Roman"/>
          <w:szCs w:val="24"/>
        </w:rPr>
        <w:t xml:space="preserve">Det vurderes at lovforslaget vil påvirke ca. 1.300 vandforsyninger og ca. 2.840 lodsejere. Det påvirkede areal skønnes at udgøre ca. 6.800 hektar landbrugsjord. Lovforslaget vil ikke have direkte økonomiske og administrative konsekvenser for landbruget og øvrige, der i erhvervsmæssigt medfør måtte anvende </w:t>
      </w:r>
      <w:r w:rsidR="006C46F0">
        <w:rPr>
          <w:rFonts w:eastAsia="Calibri" w:cs="Times New Roman"/>
          <w:szCs w:val="24"/>
        </w:rPr>
        <w:t>p</w:t>
      </w:r>
      <w:r w:rsidR="009923BE">
        <w:rPr>
          <w:rFonts w:eastAsia="Calibri" w:cs="Times New Roman"/>
          <w:szCs w:val="24"/>
        </w:rPr>
        <w:t>esticider</w:t>
      </w:r>
      <w:r w:rsidR="006C46F0">
        <w:rPr>
          <w:rFonts w:eastAsia="Calibri" w:cs="Times New Roman"/>
          <w:szCs w:val="24"/>
        </w:rPr>
        <w:t xml:space="preserve"> </w:t>
      </w:r>
      <w:r>
        <w:rPr>
          <w:rFonts w:eastAsia="Calibri" w:cs="Times New Roman"/>
          <w:szCs w:val="24"/>
        </w:rPr>
        <w:t xml:space="preserve">i </w:t>
      </w:r>
      <w:r w:rsidR="00EA3FF4">
        <w:rPr>
          <w:rFonts w:eastAsia="Calibri" w:cs="Times New Roman"/>
          <w:szCs w:val="24"/>
        </w:rPr>
        <w:t>BNBO</w:t>
      </w:r>
      <w:r>
        <w:rPr>
          <w:rFonts w:eastAsia="Calibri" w:cs="Times New Roman"/>
          <w:szCs w:val="24"/>
        </w:rPr>
        <w:t>. I kraft af lovforslaget vil de økonomiske konsekvenser som erhvervet måtte have blive modsvaret af fuldstændig erstatning, der afholdes af vandforsyningerne.</w:t>
      </w:r>
    </w:p>
    <w:p w14:paraId="0027A0CD" w14:textId="1A3521B1" w:rsidR="00AD6FED" w:rsidRPr="0097501A" w:rsidRDefault="00285FEC" w:rsidP="00285FEC">
      <w:pPr>
        <w:spacing w:after="240"/>
        <w:rPr>
          <w:rFonts w:eastAsia="Calibri" w:cs="Times New Roman"/>
          <w:szCs w:val="24"/>
        </w:rPr>
      </w:pPr>
      <w:r w:rsidRPr="0097501A">
        <w:rPr>
          <w:rFonts w:eastAsia="Calibri" w:cs="Times New Roman"/>
          <w:szCs w:val="24"/>
        </w:rPr>
        <w:lastRenderedPageBreak/>
        <w:t>For vandforsyningerne udregnes de økonomiske omkostninger forbundet med en beskyttelse af alle BNBO til i alt ca. 10,7 mio. kr. årligt. Denne udregning tager udgangspunkt i et notat udarbejdet af Københavns Universitet (IFRO) om mulige kompensationsniveauer ifm. omlægningen til sprøjtefri drift i BNBO.</w:t>
      </w:r>
      <w:r>
        <w:rPr>
          <w:rFonts w:eastAsia="Calibri" w:cs="Times New Roman"/>
          <w:szCs w:val="24"/>
        </w:rPr>
        <w:t xml:space="preserve"> Den gennemsnitlige sats for driftstabet ved omlægning til drift </w:t>
      </w:r>
      <w:r w:rsidR="00AD6FED">
        <w:rPr>
          <w:rFonts w:eastAsia="Calibri" w:cs="Times New Roman"/>
          <w:szCs w:val="24"/>
        </w:rPr>
        <w:t>uden</w:t>
      </w:r>
      <w:r w:rsidR="006C0088">
        <w:rPr>
          <w:rFonts w:eastAsia="Calibri" w:cs="Times New Roman"/>
          <w:szCs w:val="24"/>
        </w:rPr>
        <w:t xml:space="preserve"> erhvervsmæssig brug af</w:t>
      </w:r>
      <w:r w:rsidR="00AD6FED">
        <w:rPr>
          <w:rFonts w:eastAsia="Calibri" w:cs="Times New Roman"/>
          <w:szCs w:val="24"/>
        </w:rPr>
        <w:t xml:space="preserve"> p</w:t>
      </w:r>
      <w:r w:rsidR="003E2D6A">
        <w:rPr>
          <w:rFonts w:eastAsia="Calibri" w:cs="Times New Roman"/>
          <w:szCs w:val="24"/>
        </w:rPr>
        <w:t>esticider</w:t>
      </w:r>
      <w:r w:rsidR="00AD6FED">
        <w:rPr>
          <w:rFonts w:eastAsia="Calibri" w:cs="Times New Roman"/>
          <w:szCs w:val="24"/>
        </w:rPr>
        <w:t xml:space="preserve"> </w:t>
      </w:r>
      <w:r>
        <w:rPr>
          <w:rFonts w:eastAsia="Calibri" w:cs="Times New Roman"/>
          <w:szCs w:val="24"/>
        </w:rPr>
        <w:t>opgøres til 1.575 kr. per ha årligt.</w:t>
      </w:r>
    </w:p>
    <w:p w14:paraId="776BD33F" w14:textId="0362DE7D" w:rsidR="00285FEC" w:rsidRDefault="00285FEC" w:rsidP="00285FEC">
      <w:pPr>
        <w:spacing w:after="240"/>
        <w:rPr>
          <w:rFonts w:eastAsia="Calibri" w:cs="Times New Roman"/>
          <w:szCs w:val="24"/>
        </w:rPr>
      </w:pPr>
      <w:r w:rsidRPr="0097501A">
        <w:rPr>
          <w:rFonts w:eastAsia="Calibri" w:cs="Times New Roman"/>
          <w:szCs w:val="24"/>
        </w:rPr>
        <w:t>Udgifterne forventes at resultere i en marginal gennemsnitlig stigning i vandtaksten</w:t>
      </w:r>
      <w:r>
        <w:rPr>
          <w:rFonts w:eastAsia="Calibri" w:cs="Times New Roman"/>
          <w:szCs w:val="24"/>
        </w:rPr>
        <w:t>. Private borgere ventes at få en gennemsnitlig takststigning på c</w:t>
      </w:r>
      <w:r w:rsidRPr="0097501A">
        <w:rPr>
          <w:rFonts w:eastAsia="Calibri" w:cs="Times New Roman"/>
          <w:szCs w:val="24"/>
        </w:rPr>
        <w:t>a. 3 øre per m</w:t>
      </w:r>
      <w:r w:rsidRPr="00CC1C85">
        <w:rPr>
          <w:rFonts w:eastAsia="Calibri" w:cs="Times New Roman"/>
          <w:szCs w:val="24"/>
          <w:vertAlign w:val="superscript"/>
        </w:rPr>
        <w:t>3</w:t>
      </w:r>
      <w:r w:rsidRPr="0097501A">
        <w:rPr>
          <w:rFonts w:eastAsia="Calibri" w:cs="Times New Roman"/>
          <w:szCs w:val="24"/>
        </w:rPr>
        <w:t xml:space="preserve"> / 2,5 kr. årligt.</w:t>
      </w:r>
      <w:r>
        <w:rPr>
          <w:rFonts w:eastAsia="Calibri" w:cs="Times New Roman"/>
          <w:szCs w:val="24"/>
        </w:rPr>
        <w:t xml:space="preserve"> En gennemsnitlig landbrugsbedrift ventes en gennemsnitlig takststigning på c</w:t>
      </w:r>
      <w:r w:rsidRPr="0097501A">
        <w:rPr>
          <w:rFonts w:eastAsia="Calibri" w:cs="Times New Roman"/>
          <w:szCs w:val="24"/>
        </w:rPr>
        <w:t>a. 2 øre per m</w:t>
      </w:r>
      <w:r w:rsidRPr="00CC1C85">
        <w:rPr>
          <w:rFonts w:eastAsia="Calibri" w:cs="Times New Roman"/>
          <w:szCs w:val="24"/>
          <w:vertAlign w:val="superscript"/>
        </w:rPr>
        <w:t>3</w:t>
      </w:r>
      <w:r w:rsidRPr="0097501A">
        <w:rPr>
          <w:rFonts w:eastAsia="Calibri" w:cs="Times New Roman"/>
          <w:szCs w:val="24"/>
        </w:rPr>
        <w:t xml:space="preserve"> / 22 kr. årligt.</w:t>
      </w:r>
      <w:r>
        <w:rPr>
          <w:rFonts w:eastAsia="Calibri" w:cs="Times New Roman"/>
          <w:szCs w:val="24"/>
        </w:rPr>
        <w:t xml:space="preserve"> En gennemsnitlig erhvervsdrivende ventes at få en takststigning på ca. </w:t>
      </w:r>
      <w:r w:rsidRPr="0097501A">
        <w:rPr>
          <w:rFonts w:eastAsia="Calibri" w:cs="Times New Roman"/>
          <w:szCs w:val="24"/>
        </w:rPr>
        <w:t>2 øre per m</w:t>
      </w:r>
      <w:r w:rsidRPr="00CC1C85">
        <w:rPr>
          <w:rFonts w:eastAsia="Calibri" w:cs="Times New Roman"/>
          <w:szCs w:val="24"/>
          <w:vertAlign w:val="superscript"/>
        </w:rPr>
        <w:t>3</w:t>
      </w:r>
      <w:r w:rsidRPr="0097501A">
        <w:rPr>
          <w:rFonts w:eastAsia="Calibri" w:cs="Times New Roman"/>
          <w:szCs w:val="24"/>
        </w:rPr>
        <w:t xml:space="preserve"> / 11 kr. årligt.</w:t>
      </w:r>
    </w:p>
    <w:p w14:paraId="7E942233" w14:textId="77777777" w:rsidR="00285FEC" w:rsidRPr="008839B5" w:rsidRDefault="00285FEC" w:rsidP="00285FEC">
      <w:pPr>
        <w:spacing w:after="240"/>
        <w:rPr>
          <w:rFonts w:eastAsia="Calibri" w:cs="Times New Roman"/>
          <w:i/>
          <w:szCs w:val="24"/>
        </w:rPr>
      </w:pPr>
      <w:r w:rsidRPr="008839B5">
        <w:rPr>
          <w:rFonts w:eastAsia="Calibri" w:cs="Times New Roman"/>
          <w:i/>
          <w:szCs w:val="24"/>
        </w:rPr>
        <w:t>Øvre og nedre spænd for takststigningerne</w:t>
      </w:r>
    </w:p>
    <w:p w14:paraId="13F10AB9" w14:textId="77777777" w:rsidR="00285FEC" w:rsidRDefault="00285FEC" w:rsidP="00285FEC">
      <w:pPr>
        <w:spacing w:after="240"/>
        <w:rPr>
          <w:rFonts w:eastAsia="Calibri" w:cs="Times New Roman"/>
          <w:szCs w:val="24"/>
        </w:rPr>
      </w:pPr>
      <w:r w:rsidRPr="0097501A">
        <w:rPr>
          <w:rFonts w:eastAsia="Calibri" w:cs="Times New Roman"/>
          <w:szCs w:val="24"/>
        </w:rPr>
        <w:t>Ca. 1,5 pct. af vandforsyningerne v</w:t>
      </w:r>
      <w:r>
        <w:rPr>
          <w:rFonts w:eastAsia="Calibri" w:cs="Times New Roman"/>
          <w:szCs w:val="24"/>
        </w:rPr>
        <w:t>entes at få en takst</w:t>
      </w:r>
      <w:r w:rsidRPr="0097501A">
        <w:rPr>
          <w:rFonts w:eastAsia="Calibri" w:cs="Times New Roman"/>
          <w:szCs w:val="24"/>
        </w:rPr>
        <w:t>stigning på over 50 øre per m</w:t>
      </w:r>
      <w:r w:rsidRPr="00CC1C85">
        <w:rPr>
          <w:rFonts w:eastAsia="Calibri" w:cs="Times New Roman"/>
          <w:szCs w:val="24"/>
          <w:vertAlign w:val="superscript"/>
        </w:rPr>
        <w:t>3</w:t>
      </w:r>
      <w:r w:rsidRPr="0097501A">
        <w:rPr>
          <w:rFonts w:eastAsia="Calibri" w:cs="Times New Roman"/>
          <w:szCs w:val="24"/>
        </w:rPr>
        <w:t>, hvilket vil give en årlig prisstigning ca. 40 kr. om året for en gennemsnitlig husstand eller ca. 250 kr. for en gennemsnitlig erhvervsdrivende. Disse udgøres hovedsageligt af mindre vandværker på eksempelvis de små øer.</w:t>
      </w:r>
      <w:r>
        <w:rPr>
          <w:rFonts w:eastAsia="Calibri" w:cs="Times New Roman"/>
          <w:szCs w:val="24"/>
        </w:rPr>
        <w:t xml:space="preserve"> </w:t>
      </w:r>
      <w:r w:rsidRPr="0097501A">
        <w:rPr>
          <w:rFonts w:eastAsia="Calibri" w:cs="Times New Roman"/>
          <w:szCs w:val="24"/>
        </w:rPr>
        <w:t>Ca. 17 pct. af vandforsyningerne v</w:t>
      </w:r>
      <w:r>
        <w:rPr>
          <w:rFonts w:eastAsia="Calibri" w:cs="Times New Roman"/>
          <w:szCs w:val="24"/>
        </w:rPr>
        <w:t>entes at få</w:t>
      </w:r>
      <w:r w:rsidRPr="0097501A">
        <w:rPr>
          <w:rFonts w:eastAsia="Calibri" w:cs="Times New Roman"/>
          <w:szCs w:val="24"/>
        </w:rPr>
        <w:t xml:space="preserve"> en takststigning på under 1 øre per m</w:t>
      </w:r>
      <w:r w:rsidRPr="00CC1C85">
        <w:rPr>
          <w:rFonts w:eastAsia="Calibri" w:cs="Times New Roman"/>
          <w:szCs w:val="24"/>
          <w:vertAlign w:val="superscript"/>
        </w:rPr>
        <w:t>3</w:t>
      </w:r>
      <w:r>
        <w:rPr>
          <w:rFonts w:eastAsia="Calibri" w:cs="Times New Roman"/>
          <w:szCs w:val="24"/>
        </w:rPr>
        <w:t>.</w:t>
      </w:r>
    </w:p>
    <w:p w14:paraId="213508FE" w14:textId="3DA39176" w:rsidR="00285FEC" w:rsidRDefault="00285FEC" w:rsidP="00285FEC">
      <w:pPr>
        <w:spacing w:after="240"/>
        <w:rPr>
          <w:rFonts w:eastAsia="Calibri" w:cs="Times New Roman"/>
          <w:szCs w:val="24"/>
        </w:rPr>
      </w:pPr>
      <w:r w:rsidRPr="0097501A">
        <w:rPr>
          <w:rFonts w:eastAsia="Calibri" w:cs="Times New Roman"/>
          <w:szCs w:val="24"/>
        </w:rPr>
        <w:t xml:space="preserve">Den enkelte vandforsyning kan vælge at overvælte udgiften til kompensation på enten </w:t>
      </w:r>
      <w:r w:rsidR="002A0673">
        <w:rPr>
          <w:rFonts w:eastAsia="Calibri" w:cs="Times New Roman"/>
          <w:szCs w:val="24"/>
        </w:rPr>
        <w:t>kubikmeter</w:t>
      </w:r>
      <w:r w:rsidRPr="0097501A">
        <w:rPr>
          <w:rFonts w:eastAsia="Calibri" w:cs="Times New Roman"/>
          <w:szCs w:val="24"/>
        </w:rPr>
        <w:t>prisen eller det faste bidrag per forbruger eller en kombination heraf. Dette giver den enkelte vandforsyning mulighed for at fordele omkostningerne på den mest fordelagtige og fair måde for netop deres forbrugere</w:t>
      </w:r>
      <w:r>
        <w:rPr>
          <w:rFonts w:eastAsia="Calibri" w:cs="Times New Roman"/>
          <w:szCs w:val="24"/>
        </w:rPr>
        <w:t>.</w:t>
      </w:r>
    </w:p>
    <w:p w14:paraId="0AA6AB14" w14:textId="77777777" w:rsidR="00285FEC" w:rsidRPr="00E24E87" w:rsidRDefault="00285FEC" w:rsidP="00285FEC">
      <w:pPr>
        <w:spacing w:after="240"/>
        <w:rPr>
          <w:rFonts w:eastAsia="Calibri" w:cs="Times New Roman"/>
          <w:i/>
          <w:szCs w:val="24"/>
        </w:rPr>
      </w:pPr>
      <w:r w:rsidRPr="00E24E87">
        <w:rPr>
          <w:rFonts w:eastAsia="Calibri" w:cs="Times New Roman"/>
          <w:i/>
          <w:szCs w:val="24"/>
        </w:rPr>
        <w:t>6. Administrative konsekvenser for borgerne</w:t>
      </w:r>
    </w:p>
    <w:p w14:paraId="36FDD796" w14:textId="221A950F" w:rsidR="00285FEC" w:rsidRDefault="00285FEC" w:rsidP="00285FEC">
      <w:pPr>
        <w:spacing w:after="240"/>
        <w:rPr>
          <w:rFonts w:eastAsia="Calibri" w:cs="Times New Roman"/>
          <w:szCs w:val="24"/>
        </w:rPr>
      </w:pPr>
      <w:r>
        <w:rPr>
          <w:rFonts w:eastAsia="Calibri" w:cs="Times New Roman"/>
          <w:szCs w:val="24"/>
        </w:rPr>
        <w:t xml:space="preserve">Lovforslaget skønnes </w:t>
      </w:r>
      <w:r w:rsidR="00754405">
        <w:rPr>
          <w:rFonts w:eastAsia="Calibri" w:cs="Times New Roman"/>
          <w:szCs w:val="24"/>
        </w:rPr>
        <w:t>ikke at have væsentlige administrative konsekvenser for borgerne.</w:t>
      </w:r>
      <w:r>
        <w:rPr>
          <w:rFonts w:eastAsia="Calibri" w:cs="Times New Roman"/>
          <w:szCs w:val="24"/>
        </w:rPr>
        <w:t xml:space="preserve"> </w:t>
      </w:r>
    </w:p>
    <w:p w14:paraId="43446D9C" w14:textId="77777777" w:rsidR="00285FEC" w:rsidRPr="00E24E87" w:rsidRDefault="00285FEC" w:rsidP="00285FEC">
      <w:pPr>
        <w:spacing w:after="240"/>
        <w:rPr>
          <w:rFonts w:eastAsia="Calibri" w:cs="Times New Roman"/>
          <w:i/>
          <w:szCs w:val="24"/>
        </w:rPr>
      </w:pPr>
      <w:r w:rsidRPr="00E24E87">
        <w:rPr>
          <w:rFonts w:eastAsia="Calibri" w:cs="Times New Roman"/>
          <w:i/>
          <w:szCs w:val="24"/>
        </w:rPr>
        <w:t>7. Klimamæssige konsekvenser</w:t>
      </w:r>
    </w:p>
    <w:p w14:paraId="332DC487" w14:textId="77777777" w:rsidR="00285FEC" w:rsidRDefault="00285FEC" w:rsidP="00285FEC">
      <w:pPr>
        <w:spacing w:after="240"/>
        <w:rPr>
          <w:rFonts w:eastAsia="Calibri" w:cs="Times New Roman"/>
          <w:szCs w:val="24"/>
        </w:rPr>
      </w:pPr>
      <w:r>
        <w:rPr>
          <w:rFonts w:eastAsia="Calibri" w:cs="Times New Roman"/>
          <w:szCs w:val="24"/>
        </w:rPr>
        <w:t>Lovforslaget vurderes ikke at medføre negative klimamæssige konsekvenser.</w:t>
      </w:r>
    </w:p>
    <w:p w14:paraId="7DD93420" w14:textId="77777777" w:rsidR="00285FEC" w:rsidRPr="00E24E87" w:rsidRDefault="00285FEC" w:rsidP="00285FEC">
      <w:pPr>
        <w:spacing w:after="240"/>
        <w:rPr>
          <w:rFonts w:eastAsia="Calibri" w:cs="Times New Roman"/>
          <w:i/>
          <w:szCs w:val="24"/>
        </w:rPr>
      </w:pPr>
      <w:r w:rsidRPr="00E24E87">
        <w:rPr>
          <w:rFonts w:eastAsia="Calibri" w:cs="Times New Roman"/>
          <w:i/>
          <w:szCs w:val="24"/>
        </w:rPr>
        <w:t>8. Miljø- og naturmæssige konsekvenser</w:t>
      </w:r>
    </w:p>
    <w:p w14:paraId="10B19B9A" w14:textId="77777777" w:rsidR="00285FEC" w:rsidRDefault="00285FEC" w:rsidP="00285FEC">
      <w:pPr>
        <w:spacing w:after="240"/>
        <w:rPr>
          <w:rFonts w:eastAsia="Calibri" w:cs="Times New Roman"/>
          <w:szCs w:val="24"/>
        </w:rPr>
      </w:pPr>
      <w:r>
        <w:rPr>
          <w:rFonts w:eastAsia="Calibri" w:cs="Times New Roman"/>
          <w:szCs w:val="24"/>
        </w:rPr>
        <w:t xml:space="preserve">Lovforslaget vurderes ikke at medføre negative miljømæssige konsekvenser. </w:t>
      </w:r>
    </w:p>
    <w:p w14:paraId="08AB0CAF" w14:textId="6DFF1FC1" w:rsidR="00285FEC" w:rsidRPr="004707AB" w:rsidRDefault="00285FEC" w:rsidP="00285FEC">
      <w:pPr>
        <w:spacing w:after="240"/>
        <w:rPr>
          <w:rFonts w:eastAsia="Calibri" w:cs="Times New Roman"/>
          <w:szCs w:val="24"/>
        </w:rPr>
      </w:pPr>
      <w:r>
        <w:rPr>
          <w:rFonts w:eastAsia="Calibri" w:cs="Times New Roman"/>
          <w:szCs w:val="24"/>
        </w:rPr>
        <w:lastRenderedPageBreak/>
        <w:t xml:space="preserve">Lovforslaget har en række positive konsekvenser for miljøet og naturen. </w:t>
      </w:r>
      <w:r w:rsidRPr="004707AB">
        <w:rPr>
          <w:rFonts w:eastAsia="Calibri" w:cs="Times New Roman"/>
          <w:szCs w:val="24"/>
        </w:rPr>
        <w:t xml:space="preserve">Beskyttelsen af </w:t>
      </w:r>
      <w:r w:rsidR="00AD6FED">
        <w:rPr>
          <w:rFonts w:eastAsia="Calibri" w:cs="Times New Roman"/>
          <w:szCs w:val="24"/>
        </w:rPr>
        <w:t>BNBO</w:t>
      </w:r>
      <w:r w:rsidRPr="004707AB">
        <w:rPr>
          <w:rFonts w:eastAsia="Calibri" w:cs="Times New Roman"/>
          <w:szCs w:val="24"/>
        </w:rPr>
        <w:t xml:space="preserve"> indgår i den målrettede grundvandsbeskyttelse, som i dag varetages af kommunerne, vandforsyningerne og regionerne. Den målrettede grundvandsbeskyttelse skal beskytte sårbare områder, som den generelle regulering ikke tager højde for. For </w:t>
      </w:r>
      <w:r w:rsidR="00C3043E">
        <w:rPr>
          <w:rFonts w:eastAsia="Calibri" w:cs="Times New Roman"/>
          <w:szCs w:val="24"/>
        </w:rPr>
        <w:t xml:space="preserve">pesticider </w:t>
      </w:r>
      <w:r w:rsidRPr="004707AB">
        <w:rPr>
          <w:rFonts w:eastAsia="Calibri" w:cs="Times New Roman"/>
          <w:szCs w:val="24"/>
        </w:rPr>
        <w:t xml:space="preserve">kan dette være sårbare sandjorder eller </w:t>
      </w:r>
      <w:proofErr w:type="spellStart"/>
      <w:r w:rsidRPr="004707AB">
        <w:rPr>
          <w:rFonts w:eastAsia="Calibri" w:cs="Times New Roman"/>
          <w:szCs w:val="24"/>
        </w:rPr>
        <w:t>opsprækkede</w:t>
      </w:r>
      <w:proofErr w:type="spellEnd"/>
      <w:r w:rsidRPr="004707AB">
        <w:rPr>
          <w:rFonts w:eastAsia="Calibri" w:cs="Times New Roman"/>
          <w:szCs w:val="24"/>
        </w:rPr>
        <w:t xml:space="preserve"> lerjorder, der ikke kan tages højde for i</w:t>
      </w:r>
      <w:r w:rsidR="00C54255">
        <w:rPr>
          <w:rFonts w:eastAsia="Calibri" w:cs="Times New Roman"/>
          <w:szCs w:val="24"/>
        </w:rPr>
        <w:t xml:space="preserve"> </w:t>
      </w:r>
      <w:r w:rsidR="00C3043E">
        <w:rPr>
          <w:rFonts w:eastAsia="Calibri" w:cs="Times New Roman"/>
          <w:szCs w:val="24"/>
        </w:rPr>
        <w:t>pesticid</w:t>
      </w:r>
      <w:r w:rsidR="00C54255">
        <w:rPr>
          <w:rFonts w:eastAsia="Calibri" w:cs="Times New Roman"/>
          <w:szCs w:val="24"/>
        </w:rPr>
        <w:t>godkendelsesordningen</w:t>
      </w:r>
      <w:r w:rsidR="00C3043E">
        <w:rPr>
          <w:rFonts w:eastAsia="Calibri" w:cs="Times New Roman"/>
          <w:szCs w:val="24"/>
        </w:rPr>
        <w:t>.</w:t>
      </w:r>
      <w:r w:rsidRPr="004707AB">
        <w:rPr>
          <w:rFonts w:eastAsia="Calibri" w:cs="Times New Roman"/>
          <w:szCs w:val="24"/>
        </w:rPr>
        <w:t xml:space="preserve"> </w:t>
      </w:r>
    </w:p>
    <w:p w14:paraId="4A891DE2" w14:textId="5619A2A4" w:rsidR="00285FEC" w:rsidRPr="004707AB" w:rsidRDefault="00285FEC" w:rsidP="00285FEC">
      <w:pPr>
        <w:spacing w:after="240"/>
        <w:rPr>
          <w:rFonts w:eastAsia="Calibri" w:cs="Times New Roman"/>
          <w:szCs w:val="24"/>
        </w:rPr>
      </w:pPr>
      <w:r w:rsidRPr="004707AB">
        <w:rPr>
          <w:rFonts w:eastAsia="Calibri" w:cs="Times New Roman"/>
          <w:szCs w:val="24"/>
        </w:rPr>
        <w:t>Indvinding af grundvand sænker trykket i boringen, der indvindes fra, hvilket giver en sænkning af grundvandsspejlet lokalt. Ved en lokal sænkning af trykket i boringen kan vandpartikler strømme med øget hastighed mod boringen. Dette kan lokalt påvirke strømningsmønstret omkring boringen og derved medføre øget nedadgående grundvandsstrømning, dvs. der kan forekomme en øget nedsivning af vand fra overfladen omkring en boring.</w:t>
      </w:r>
    </w:p>
    <w:p w14:paraId="094C515B" w14:textId="77777777" w:rsidR="00285FEC" w:rsidRDefault="00285FEC" w:rsidP="00285FEC">
      <w:pPr>
        <w:spacing w:after="240"/>
        <w:rPr>
          <w:rFonts w:eastAsia="Calibri" w:cs="Times New Roman"/>
          <w:szCs w:val="24"/>
        </w:rPr>
      </w:pPr>
      <w:r w:rsidRPr="004707AB">
        <w:rPr>
          <w:rFonts w:eastAsia="Calibri" w:cs="Times New Roman"/>
          <w:szCs w:val="24"/>
        </w:rPr>
        <w:t>På grund af den korte transporttid kan der altså være en relativ</w:t>
      </w:r>
      <w:r>
        <w:rPr>
          <w:rFonts w:eastAsia="Calibri" w:cs="Times New Roman"/>
          <w:szCs w:val="24"/>
        </w:rPr>
        <w:t>t</w:t>
      </w:r>
      <w:r w:rsidRPr="004707AB">
        <w:rPr>
          <w:rFonts w:eastAsia="Calibri" w:cs="Times New Roman"/>
          <w:szCs w:val="24"/>
        </w:rPr>
        <w:t xml:space="preserve"> ringe fortynding af en eventuel forurening. Den korte transporttid gør også, at der er et meget kort tidsrum til at træffe forholdsregler i, hvis der skulle ske en forurening på området. En forureningshændelse i BNBO kan i værste tilfælde føre til, at grundvandet forurenes i et omfang, så indvindingen må ophøre, eller at der skal gennemføres meget bekostelige afværgeforanstaltninger.</w:t>
      </w:r>
      <w:r>
        <w:rPr>
          <w:rFonts w:eastAsia="Calibri" w:cs="Times New Roman"/>
          <w:szCs w:val="24"/>
        </w:rPr>
        <w:t xml:space="preserve"> Dette kan have negative konsekvenser for borgernes sundhed og miljøet og naturen. </w:t>
      </w:r>
      <w:r w:rsidRPr="004707AB">
        <w:rPr>
          <w:rFonts w:eastAsia="Calibri" w:cs="Times New Roman"/>
          <w:szCs w:val="24"/>
        </w:rPr>
        <w:t>Dette vil ydermere betyde, at den øvrige indsats i boringens indvindingsopland vil være spildt. Det er særlig kritisk i yderområder og på de små øer, hvor der kan være langt til alternative forsyninger, hvilket kan give meget store stigninger i vandtaksten for forbrugerne.</w:t>
      </w:r>
    </w:p>
    <w:p w14:paraId="4FD9B2E6" w14:textId="77777777" w:rsidR="00285FEC" w:rsidRDefault="00285FEC" w:rsidP="00285FEC">
      <w:pPr>
        <w:spacing w:after="240"/>
        <w:rPr>
          <w:rFonts w:eastAsia="Calibri" w:cs="Times New Roman"/>
          <w:szCs w:val="24"/>
        </w:rPr>
      </w:pPr>
      <w:r>
        <w:rPr>
          <w:rFonts w:eastAsia="Calibri" w:cs="Times New Roman"/>
          <w:szCs w:val="24"/>
        </w:rPr>
        <w:t xml:space="preserve">Lovforslaget vil styrke beskyttelsen af grundvandet til gavn for borgere, miljøet og naturen. </w:t>
      </w:r>
    </w:p>
    <w:p w14:paraId="2AF77357" w14:textId="477109B7" w:rsidR="00FD1A50" w:rsidRPr="00E24E87" w:rsidRDefault="00FD1A50" w:rsidP="00FD1A50">
      <w:pPr>
        <w:spacing w:after="240"/>
        <w:rPr>
          <w:rFonts w:eastAsia="Calibri" w:cs="Times New Roman"/>
          <w:i/>
          <w:szCs w:val="24"/>
        </w:rPr>
      </w:pPr>
      <w:r w:rsidRPr="00E24E87">
        <w:rPr>
          <w:rFonts w:eastAsia="Calibri" w:cs="Times New Roman"/>
          <w:i/>
          <w:szCs w:val="24"/>
        </w:rPr>
        <w:t>9. Forholdet til EU-retten</w:t>
      </w:r>
    </w:p>
    <w:p w14:paraId="26272353" w14:textId="77777777" w:rsidR="00E24E87" w:rsidRDefault="00E24E87" w:rsidP="00E24E87">
      <w:r>
        <w:t xml:space="preserve">Lovforslaget er i overensstemmelse med EU-retten. </w:t>
      </w:r>
    </w:p>
    <w:p w14:paraId="4682E98A" w14:textId="77777777" w:rsidR="00E24E87" w:rsidRDefault="00E24E87" w:rsidP="00E24E87"/>
    <w:p w14:paraId="27462A6D" w14:textId="6556F51C" w:rsidR="00E24E87" w:rsidRDefault="00E24E87" w:rsidP="00E24E87">
      <w:r>
        <w:t>Det foreslåede krav om, efter en konkret risikovurdering, at udstede et påbud eller nedlægge et forbud mod erhvervsmæssig anvendelse af</w:t>
      </w:r>
      <w:r w:rsidR="00553308">
        <w:t xml:space="preserve"> pesticider</w:t>
      </w:r>
      <w:r>
        <w:t xml:space="preserve"> inden for et BNBO, </w:t>
      </w:r>
      <w:r>
        <w:rPr>
          <w:rFonts w:eastAsia="Calibri" w:cs="Times New Roman"/>
          <w:szCs w:val="24"/>
        </w:rPr>
        <w:t xml:space="preserve">følger op på regeringsgrundlaget </w:t>
      </w:r>
      <w:r>
        <w:rPr>
          <w:rFonts w:eastAsia="Calibri" w:cs="Times New Roman"/>
          <w:i/>
          <w:szCs w:val="24"/>
        </w:rPr>
        <w:t xml:space="preserve">Ansvar for Danmark </w:t>
      </w:r>
      <w:r>
        <w:rPr>
          <w:rFonts w:eastAsia="Calibri" w:cs="Times New Roman"/>
          <w:szCs w:val="24"/>
        </w:rPr>
        <w:t>fra december 2022, hvoraf det følger, at regeringen vil tage initiativ til en akutplan for at beskytte BNBO</w:t>
      </w:r>
      <w:r>
        <w:t>. Den foreslåede regulering supplerer den eksisterende implementering af vandrammedirektivet og rammedirektivet</w:t>
      </w:r>
      <w:r w:rsidR="002A0673">
        <w:t xml:space="preserve"> for bæredygtig anvendelse af pesticider</w:t>
      </w:r>
      <w:r>
        <w:t xml:space="preserve">, der oprindelig fandt sted i </w:t>
      </w:r>
      <w:r>
        <w:lastRenderedPageBreak/>
        <w:t xml:space="preserve">henholdsvis 2003 og 2011. Den eksisterende implementering vurderes at være tilstrækkelig til at leve op til forpligtelserne i direktiverne. </w:t>
      </w:r>
    </w:p>
    <w:p w14:paraId="49D66287" w14:textId="77777777" w:rsidR="00E24E87" w:rsidRDefault="00E24E87" w:rsidP="00E24E87"/>
    <w:p w14:paraId="408EA118" w14:textId="06553015" w:rsidR="00E24E87" w:rsidRDefault="00E24E87" w:rsidP="00E24E87">
      <w:r>
        <w:t xml:space="preserve">Forslaget relaterer sig til artikel 11 i rammedirektivet </w:t>
      </w:r>
      <w:r w:rsidR="002A0673">
        <w:t xml:space="preserve">for bæredygtig anvendelse af pesticider </w:t>
      </w:r>
      <w:r>
        <w:t xml:space="preserve">(Europa-Parlamentets og Rådets direktiv 2009/128/EF). Ifølge artikel 11, som Danmark implementerede i forbindelse med direktivets ikrafttræden den 26. november 2011, skal medlemsstaterne sørge for, at der vedtages passende foranstaltninger til beskyttelse af vandmiljøet og drikkevandsforsyningerne mod </w:t>
      </w:r>
      <w:r w:rsidR="002A0673">
        <w:t>plantebeskyttelsesmidlers</w:t>
      </w:r>
      <w:r>
        <w:t xml:space="preserve"> virkninger. Foranstaltningerne skal støtte og være forenelige med de relevante bestemmelser i direktiv 2000/60/EF</w:t>
      </w:r>
      <w:r w:rsidR="00E05D27">
        <w:t xml:space="preserve"> af 23. oktober 2000 om fastlæggelse af en ramme for Fællesskabets vandpolitiske foranstaltninger</w:t>
      </w:r>
      <w:r>
        <w:t xml:space="preserve"> (vandrammedirektivet) og i forordning (EF) nr. 1107/2009</w:t>
      </w:r>
      <w:r w:rsidR="00AC0749">
        <w:t xml:space="preserve"> af 21. oktober 2009 om markedsføring af plantebeskyttelsesmidler og om ophævelse af Rådets direktiv 79/117/EØF og 91/414/EØF</w:t>
      </w:r>
      <w:r>
        <w:t xml:space="preserve"> (p</w:t>
      </w:r>
      <w:r w:rsidR="002A0673">
        <w:t>lantebeskyttelsesmiddel</w:t>
      </w:r>
      <w:r>
        <w:t xml:space="preserve">forordningen). </w:t>
      </w:r>
    </w:p>
    <w:p w14:paraId="3AC6FD92" w14:textId="77777777" w:rsidR="00E24E87" w:rsidRDefault="00E24E87" w:rsidP="00E24E87"/>
    <w:p w14:paraId="7EFA9A6F" w14:textId="303A8E6B" w:rsidR="00E24E87" w:rsidRDefault="00E24E87" w:rsidP="00E24E87">
      <w:r>
        <w:t xml:space="preserve">Det fremgår endvidere af artikel 11, at foranstaltningerne bl.a. omfatter anvendelse af begrænsende foranstaltninger, der mindsker risikoen for forurening uden for det sprøjtede område som følge af aerosolspredning, </w:t>
      </w:r>
      <w:proofErr w:type="spellStart"/>
      <w:r>
        <w:t>afdræning</w:t>
      </w:r>
      <w:proofErr w:type="spellEnd"/>
      <w:r>
        <w:t xml:space="preserve"> og afstrømning, herunder ved oprettelse af beskyttelseszoner for overfladevand og grundvand, der er udlagt til drikkevandsindvinding, hvor p</w:t>
      </w:r>
      <w:r w:rsidR="002A0673">
        <w:t>lantebeskyttelsesmidler</w:t>
      </w:r>
      <w:r>
        <w:t xml:space="preserve"> ikke må udbringes eller opbevares. </w:t>
      </w:r>
    </w:p>
    <w:p w14:paraId="6F0390B4" w14:textId="77777777" w:rsidR="00E24E87" w:rsidRDefault="00E24E87" w:rsidP="00E24E87"/>
    <w:p w14:paraId="568E9AAE" w14:textId="407812CC" w:rsidR="00E24E87" w:rsidRDefault="00E24E87" w:rsidP="00AD185E">
      <w:r>
        <w:t>Forslaget relaterer sig også til artikel 4 i vandrammedirektivet (Europa-Parlamentets og Rådets direktiv 2000/60/EF af 23. oktober 2000 om fastlæggelse af en ramme for Fællesskabets vandpolitiske foranstaltninger). Artikel 4, stk. 1, litra b, fastsætter overordnede miljømål for grundvand. Der er i artikel 4, stk. 1, litra b, (i), krav om, at medlemsstaterne skal forebygge eller begrænse udledning af forurenende stoffer til grundvand og forebygge forringelse af tilstanden af alle grundvandsforekomster. Medlemsstaterne skal ligeledes beskytte, forbedre og restaurere alle grundvandsforekomster med henblik på at opnå god grundvandstilstand, jf. 4, stk. 1, litra b</w:t>
      </w:r>
      <w:r w:rsidR="00FF5183">
        <w:t xml:space="preserve">, </w:t>
      </w:r>
      <w:r>
        <w:t>(ii). Derudover indeholder vandrammedirektivets artikel 4, stk. 1, litra b</w:t>
      </w:r>
      <w:r w:rsidR="00FF5183">
        <w:t xml:space="preserve">, </w:t>
      </w:r>
      <w:r>
        <w:t xml:space="preserve">(iii), en forpligtelse for medlemsstaterne til at iværksætte de nødvendige foranstaltninger med henblik på at vende enhver væsentlig og vedvarende opadgående tendens i koncentrationen af et hvilket som helst forurenende stof hidrørende fra menneskelig aktivitet med henblik på en progressiv reduktion af forureningen af grundvandet. Den danske implementering af vandrammedirektivet skete oprindeligt med vedtagelse af miljømålsloven i 2003 samt ændringer i planloven og naturbeskyttelsesloven. Endelig </w:t>
      </w:r>
      <w:r>
        <w:lastRenderedPageBreak/>
        <w:t xml:space="preserve">fastsætter vandrammedirektivets artikel 7, stk. 3, at medlemsstaterne skal sørge for den nødvendige beskyttelse af bl.a. grundvandsforekomsterne med henblik på at reducere omfanget af den rensning, der kræves til fremstilling af drikkevand, og at medlemsstaterne kan oprette beskyttelseszoner for forekomsterne. Dermed findes en sammenhæng til drikkevandsdirektivet (Europa-Parlamentets og Rådets direktiv (EU) 2020/2184 af 16. december 2020 om kvaliteten af drikkevand), som fastsætter kvalitetskrav (parameterværdier) for bl.a. pesticider. </w:t>
      </w:r>
    </w:p>
    <w:p w14:paraId="5975EB28" w14:textId="77777777" w:rsidR="00AD185E" w:rsidRPr="00AD185E" w:rsidRDefault="00AD185E" w:rsidP="00AD185E"/>
    <w:p w14:paraId="7210AB0B" w14:textId="7E0BF672" w:rsidR="00FD1A50" w:rsidRPr="00825A01" w:rsidRDefault="00FD1A50" w:rsidP="00FD1A50">
      <w:pPr>
        <w:spacing w:after="240"/>
        <w:rPr>
          <w:rFonts w:eastAsia="Calibri" w:cs="Times New Roman"/>
          <w:i/>
          <w:szCs w:val="24"/>
        </w:rPr>
      </w:pPr>
      <w:r w:rsidRPr="00E24E87">
        <w:rPr>
          <w:rFonts w:eastAsia="Calibri" w:cs="Times New Roman"/>
          <w:i/>
          <w:szCs w:val="24"/>
        </w:rPr>
        <w:t xml:space="preserve">10. Hørte </w:t>
      </w:r>
      <w:r w:rsidRPr="00825A01">
        <w:rPr>
          <w:rFonts w:eastAsia="Calibri" w:cs="Times New Roman"/>
          <w:i/>
          <w:szCs w:val="24"/>
        </w:rPr>
        <w:t>myndigheder og organisationer m.v.</w:t>
      </w:r>
    </w:p>
    <w:p w14:paraId="1C346150" w14:textId="35A76D84" w:rsidR="00674B83" w:rsidRDefault="00674B83" w:rsidP="00674B83">
      <w:pPr>
        <w:spacing w:line="360" w:lineRule="auto"/>
        <w:rPr>
          <w:rFonts w:cs="Times New Roman"/>
          <w:szCs w:val="24"/>
        </w:rPr>
      </w:pPr>
      <w:r w:rsidRPr="00825A01">
        <w:rPr>
          <w:rFonts w:cs="Times New Roman"/>
          <w:szCs w:val="24"/>
        </w:rPr>
        <w:t xml:space="preserve">Et udkast til lovforslag </w:t>
      </w:r>
      <w:r w:rsidR="00AC0749" w:rsidRPr="00825A01">
        <w:rPr>
          <w:rFonts w:cs="Times New Roman"/>
          <w:szCs w:val="24"/>
        </w:rPr>
        <w:t xml:space="preserve">er </w:t>
      </w:r>
      <w:r w:rsidRPr="00825A01">
        <w:rPr>
          <w:rFonts w:cs="Times New Roman"/>
          <w:szCs w:val="24"/>
        </w:rPr>
        <w:t xml:space="preserve">i perioden fra den </w:t>
      </w:r>
      <w:r w:rsidR="008627FA" w:rsidRPr="00825A01">
        <w:rPr>
          <w:rFonts w:cs="Times New Roman"/>
          <w:szCs w:val="24"/>
        </w:rPr>
        <w:t>1</w:t>
      </w:r>
      <w:r w:rsidR="00E05D27" w:rsidRPr="00825A01">
        <w:rPr>
          <w:rFonts w:cs="Times New Roman"/>
          <w:szCs w:val="24"/>
        </w:rPr>
        <w:t>7</w:t>
      </w:r>
      <w:r w:rsidR="008627FA" w:rsidRPr="00825A01">
        <w:rPr>
          <w:rFonts w:cs="Times New Roman"/>
          <w:szCs w:val="24"/>
        </w:rPr>
        <w:t>. november 2023</w:t>
      </w:r>
      <w:r w:rsidRPr="00825A01">
        <w:rPr>
          <w:rFonts w:cs="Times New Roman"/>
          <w:szCs w:val="24"/>
        </w:rPr>
        <w:t xml:space="preserve"> til den </w:t>
      </w:r>
      <w:r w:rsidR="008627FA" w:rsidRPr="00825A01">
        <w:rPr>
          <w:rFonts w:cs="Times New Roman"/>
          <w:szCs w:val="24"/>
        </w:rPr>
        <w:t>1</w:t>
      </w:r>
      <w:r w:rsidR="00E05D27" w:rsidRPr="00825A01">
        <w:rPr>
          <w:rFonts w:cs="Times New Roman"/>
          <w:szCs w:val="24"/>
        </w:rPr>
        <w:t>5</w:t>
      </w:r>
      <w:r w:rsidR="008627FA" w:rsidRPr="00825A01">
        <w:rPr>
          <w:rFonts w:cs="Times New Roman"/>
          <w:szCs w:val="24"/>
        </w:rPr>
        <w:t xml:space="preserve">. december </w:t>
      </w:r>
      <w:r w:rsidR="005D0B51" w:rsidRPr="00825A01">
        <w:rPr>
          <w:rFonts w:cs="Times New Roman"/>
          <w:szCs w:val="24"/>
        </w:rPr>
        <w:t xml:space="preserve">2023 </w:t>
      </w:r>
      <w:r w:rsidRPr="00825A01">
        <w:rPr>
          <w:rFonts w:cs="Times New Roman"/>
          <w:szCs w:val="24"/>
        </w:rPr>
        <w:t>sendt i høring hos følgende myndigheder og organisationer m.v.:</w:t>
      </w:r>
    </w:p>
    <w:p w14:paraId="3510C507" w14:textId="61B87F69" w:rsidR="00E24E87" w:rsidRDefault="00674B83" w:rsidP="00AD185E">
      <w:pPr>
        <w:spacing w:line="360" w:lineRule="auto"/>
        <w:rPr>
          <w:rFonts w:cs="Times New Roman"/>
          <w:szCs w:val="24"/>
        </w:rPr>
      </w:pPr>
      <w:r w:rsidRPr="00E67E8B">
        <w:rPr>
          <w:rFonts w:cs="Times New Roman"/>
          <w:szCs w:val="24"/>
        </w:rPr>
        <w:t>Beskæftigelsesministeriet</w:t>
      </w:r>
      <w:r>
        <w:rPr>
          <w:rFonts w:cs="Times New Roman"/>
          <w:szCs w:val="24"/>
        </w:rPr>
        <w:t xml:space="preserve">, Børne- og Undervisningsministeriet, </w:t>
      </w:r>
      <w:r w:rsidRPr="00E67E8B">
        <w:rPr>
          <w:rFonts w:cs="Times New Roman"/>
          <w:szCs w:val="24"/>
        </w:rPr>
        <w:t>Erhvervsministeriet</w:t>
      </w:r>
      <w:r>
        <w:rPr>
          <w:rFonts w:cs="Times New Roman"/>
          <w:szCs w:val="24"/>
        </w:rPr>
        <w:t xml:space="preserve">, </w:t>
      </w:r>
      <w:r w:rsidRPr="00E67E8B">
        <w:rPr>
          <w:rFonts w:cs="Times New Roman"/>
          <w:szCs w:val="24"/>
        </w:rPr>
        <w:t>Forsvarsministeriet</w:t>
      </w:r>
      <w:r>
        <w:rPr>
          <w:rFonts w:cs="Times New Roman"/>
          <w:szCs w:val="24"/>
        </w:rPr>
        <w:t xml:space="preserve">, Indenrigs- og Sundhedsministeriet, </w:t>
      </w:r>
      <w:r w:rsidRPr="00E67E8B">
        <w:rPr>
          <w:rFonts w:cs="Times New Roman"/>
          <w:szCs w:val="24"/>
        </w:rPr>
        <w:t>Justitsministeriet</w:t>
      </w:r>
      <w:r>
        <w:rPr>
          <w:rFonts w:cs="Times New Roman"/>
          <w:szCs w:val="24"/>
        </w:rPr>
        <w:t xml:space="preserve">, </w:t>
      </w:r>
      <w:r w:rsidRPr="00E67E8B">
        <w:rPr>
          <w:rFonts w:cs="Times New Roman"/>
          <w:szCs w:val="24"/>
        </w:rPr>
        <w:t>Kirkeministeriet</w:t>
      </w:r>
      <w:r>
        <w:rPr>
          <w:rFonts w:cs="Times New Roman"/>
          <w:szCs w:val="24"/>
        </w:rPr>
        <w:t xml:space="preserve">, </w:t>
      </w:r>
      <w:r w:rsidRPr="00E67E8B">
        <w:rPr>
          <w:rFonts w:cs="Times New Roman"/>
          <w:szCs w:val="24"/>
        </w:rPr>
        <w:t>Klima-, Energi- og Forsyningsministeriet</w:t>
      </w:r>
      <w:r>
        <w:rPr>
          <w:rFonts w:cs="Times New Roman"/>
          <w:szCs w:val="24"/>
        </w:rPr>
        <w:t xml:space="preserve">, </w:t>
      </w:r>
      <w:r w:rsidRPr="00E67E8B">
        <w:rPr>
          <w:rFonts w:cs="Times New Roman"/>
          <w:szCs w:val="24"/>
        </w:rPr>
        <w:t>Kulturministeriet</w:t>
      </w:r>
      <w:r>
        <w:rPr>
          <w:rFonts w:cs="Times New Roman"/>
          <w:szCs w:val="24"/>
        </w:rPr>
        <w:t xml:space="preserve">, </w:t>
      </w:r>
      <w:r w:rsidRPr="00E67E8B">
        <w:rPr>
          <w:rFonts w:cs="Times New Roman"/>
          <w:szCs w:val="24"/>
        </w:rPr>
        <w:t>Ministeriet for Fødevarer, Landbrug og Fiskeri</w:t>
      </w:r>
      <w:r>
        <w:rPr>
          <w:rFonts w:cs="Times New Roman"/>
          <w:szCs w:val="24"/>
        </w:rPr>
        <w:t xml:space="preserve">, </w:t>
      </w:r>
      <w:r w:rsidRPr="00E67E8B">
        <w:rPr>
          <w:rFonts w:cs="Times New Roman"/>
          <w:szCs w:val="24"/>
        </w:rPr>
        <w:t>Skatteministeriet</w:t>
      </w:r>
      <w:r>
        <w:rPr>
          <w:rFonts w:cs="Times New Roman"/>
          <w:szCs w:val="24"/>
        </w:rPr>
        <w:t xml:space="preserve">, </w:t>
      </w:r>
      <w:r w:rsidRPr="00E67E8B">
        <w:rPr>
          <w:rFonts w:cs="Times New Roman"/>
          <w:szCs w:val="24"/>
        </w:rPr>
        <w:t>Statsministeriet</w:t>
      </w:r>
      <w:r>
        <w:rPr>
          <w:rFonts w:cs="Times New Roman"/>
          <w:szCs w:val="24"/>
        </w:rPr>
        <w:t xml:space="preserve">, </w:t>
      </w:r>
      <w:r w:rsidRPr="00E67E8B">
        <w:rPr>
          <w:rFonts w:cs="Times New Roman"/>
          <w:szCs w:val="24"/>
        </w:rPr>
        <w:t>Transportministeriet</w:t>
      </w:r>
      <w:r>
        <w:rPr>
          <w:rFonts w:cs="Times New Roman"/>
          <w:szCs w:val="24"/>
        </w:rPr>
        <w:t xml:space="preserve">, </w:t>
      </w:r>
      <w:r w:rsidRPr="00E67E8B">
        <w:rPr>
          <w:rFonts w:cs="Times New Roman"/>
          <w:szCs w:val="24"/>
        </w:rPr>
        <w:t>Uddannelses- og Forskningsministeriet</w:t>
      </w:r>
      <w:r>
        <w:rPr>
          <w:rFonts w:cs="Times New Roman"/>
          <w:szCs w:val="24"/>
        </w:rPr>
        <w:t xml:space="preserve">, </w:t>
      </w:r>
      <w:r w:rsidRPr="00E67E8B">
        <w:rPr>
          <w:rFonts w:cs="Times New Roman"/>
          <w:szCs w:val="24"/>
        </w:rPr>
        <w:t>Udenrigsministeriet</w:t>
      </w:r>
      <w:r>
        <w:rPr>
          <w:rFonts w:cs="Times New Roman"/>
          <w:szCs w:val="24"/>
        </w:rPr>
        <w:t xml:space="preserve">, </w:t>
      </w:r>
      <w:r w:rsidRPr="00E67E8B">
        <w:rPr>
          <w:rFonts w:cs="Times New Roman"/>
          <w:szCs w:val="24"/>
        </w:rPr>
        <w:t>Udlændinge- og Integrationsministeriet</w:t>
      </w:r>
      <w:r>
        <w:rPr>
          <w:rFonts w:cs="Times New Roman"/>
          <w:szCs w:val="24"/>
        </w:rPr>
        <w:t xml:space="preserve">, </w:t>
      </w:r>
      <w:r w:rsidRPr="00E67E8B">
        <w:rPr>
          <w:rFonts w:cs="Times New Roman"/>
          <w:szCs w:val="24"/>
        </w:rPr>
        <w:t>DANAK</w:t>
      </w:r>
      <w:r>
        <w:rPr>
          <w:rFonts w:cs="Times New Roman"/>
          <w:szCs w:val="24"/>
        </w:rPr>
        <w:t xml:space="preserve">,  </w:t>
      </w:r>
      <w:r w:rsidRPr="00E67E8B">
        <w:rPr>
          <w:rFonts w:cs="Times New Roman"/>
          <w:szCs w:val="24"/>
        </w:rPr>
        <w:t>GEUS - Danmarks og Grønlands Geologiske Undersøgelser</w:t>
      </w:r>
      <w:r>
        <w:rPr>
          <w:rFonts w:cs="Times New Roman"/>
          <w:szCs w:val="24"/>
        </w:rPr>
        <w:t xml:space="preserve">, </w:t>
      </w:r>
      <w:r w:rsidRPr="00E67E8B">
        <w:rPr>
          <w:rFonts w:cs="Times New Roman"/>
          <w:szCs w:val="24"/>
        </w:rPr>
        <w:t>Danske Regioner</w:t>
      </w:r>
      <w:r>
        <w:rPr>
          <w:rFonts w:cs="Times New Roman"/>
          <w:szCs w:val="24"/>
        </w:rPr>
        <w:t xml:space="preserve">, </w:t>
      </w:r>
      <w:r w:rsidRPr="00E67E8B">
        <w:rPr>
          <w:rFonts w:cs="Times New Roman"/>
          <w:szCs w:val="24"/>
        </w:rPr>
        <w:t>Giftlinjen, Bispebjerg Hospital</w:t>
      </w:r>
      <w:r>
        <w:rPr>
          <w:rFonts w:cs="Times New Roman"/>
          <w:szCs w:val="24"/>
        </w:rPr>
        <w:t xml:space="preserve">, </w:t>
      </w:r>
      <w:r w:rsidRPr="00E67E8B">
        <w:rPr>
          <w:rFonts w:cs="Times New Roman"/>
          <w:szCs w:val="24"/>
        </w:rPr>
        <w:t>KL</w:t>
      </w:r>
      <w:r>
        <w:rPr>
          <w:rFonts w:cs="Times New Roman"/>
          <w:szCs w:val="24"/>
        </w:rPr>
        <w:t xml:space="preserve">, </w:t>
      </w:r>
      <w:r w:rsidRPr="00E67E8B">
        <w:rPr>
          <w:rFonts w:cs="Times New Roman"/>
          <w:szCs w:val="24"/>
        </w:rPr>
        <w:t>Albertslund Kommune</w:t>
      </w:r>
      <w:r>
        <w:rPr>
          <w:rFonts w:cs="Times New Roman"/>
          <w:szCs w:val="24"/>
        </w:rPr>
        <w:t xml:space="preserve">, </w:t>
      </w:r>
      <w:r w:rsidRPr="00E67E8B">
        <w:rPr>
          <w:rFonts w:cs="Times New Roman"/>
          <w:szCs w:val="24"/>
        </w:rPr>
        <w:t>Allerød Kommune</w:t>
      </w:r>
      <w:r>
        <w:rPr>
          <w:rFonts w:cs="Times New Roman"/>
          <w:szCs w:val="24"/>
        </w:rPr>
        <w:t xml:space="preserve">, </w:t>
      </w:r>
      <w:r w:rsidRPr="00E67E8B">
        <w:rPr>
          <w:rFonts w:cs="Times New Roman"/>
          <w:szCs w:val="24"/>
        </w:rPr>
        <w:t>Assens Kommune</w:t>
      </w:r>
      <w:r>
        <w:rPr>
          <w:rFonts w:cs="Times New Roman"/>
          <w:szCs w:val="24"/>
        </w:rPr>
        <w:t xml:space="preserve">, </w:t>
      </w:r>
      <w:r w:rsidRPr="00E67E8B">
        <w:rPr>
          <w:rFonts w:cs="Times New Roman"/>
          <w:szCs w:val="24"/>
        </w:rPr>
        <w:t>Ballerup Kommune</w:t>
      </w:r>
      <w:r>
        <w:rPr>
          <w:rFonts w:cs="Times New Roman"/>
          <w:szCs w:val="24"/>
        </w:rPr>
        <w:t xml:space="preserve">, </w:t>
      </w:r>
      <w:r w:rsidRPr="00E67E8B">
        <w:rPr>
          <w:rFonts w:cs="Times New Roman"/>
          <w:szCs w:val="24"/>
        </w:rPr>
        <w:t>Billund Kommune</w:t>
      </w:r>
      <w:r>
        <w:rPr>
          <w:rFonts w:cs="Times New Roman"/>
          <w:szCs w:val="24"/>
        </w:rPr>
        <w:t xml:space="preserve">, </w:t>
      </w:r>
      <w:r w:rsidRPr="00E67E8B">
        <w:rPr>
          <w:rFonts w:cs="Times New Roman"/>
          <w:szCs w:val="24"/>
        </w:rPr>
        <w:t>Bornholms Regionskommune</w:t>
      </w:r>
      <w:r>
        <w:rPr>
          <w:rFonts w:cs="Times New Roman"/>
          <w:szCs w:val="24"/>
        </w:rPr>
        <w:t xml:space="preserve">, </w:t>
      </w:r>
      <w:r w:rsidRPr="00E67E8B">
        <w:rPr>
          <w:rFonts w:cs="Times New Roman"/>
          <w:szCs w:val="24"/>
        </w:rPr>
        <w:t>Brøndby Kommune</w:t>
      </w:r>
      <w:r>
        <w:rPr>
          <w:rFonts w:cs="Times New Roman"/>
          <w:szCs w:val="24"/>
        </w:rPr>
        <w:t xml:space="preserve">, </w:t>
      </w:r>
      <w:r w:rsidRPr="00E67E8B">
        <w:rPr>
          <w:rFonts w:cs="Times New Roman"/>
          <w:szCs w:val="24"/>
        </w:rPr>
        <w:t>Brønderslev Kommune</w:t>
      </w:r>
      <w:r>
        <w:rPr>
          <w:rFonts w:cs="Times New Roman"/>
          <w:szCs w:val="24"/>
        </w:rPr>
        <w:t xml:space="preserve">, </w:t>
      </w:r>
      <w:r w:rsidRPr="00E67E8B">
        <w:rPr>
          <w:rFonts w:cs="Times New Roman"/>
          <w:szCs w:val="24"/>
        </w:rPr>
        <w:t>Dragør</w:t>
      </w:r>
      <w:r>
        <w:rPr>
          <w:rFonts w:cs="Times New Roman"/>
          <w:szCs w:val="24"/>
        </w:rPr>
        <w:t xml:space="preserve"> </w:t>
      </w:r>
      <w:r w:rsidRPr="00E67E8B">
        <w:rPr>
          <w:rFonts w:cs="Times New Roman"/>
          <w:szCs w:val="24"/>
        </w:rPr>
        <w:t xml:space="preserve"> Kommune</w:t>
      </w:r>
      <w:r>
        <w:rPr>
          <w:rFonts w:cs="Times New Roman"/>
          <w:szCs w:val="24"/>
        </w:rPr>
        <w:t xml:space="preserve">, </w:t>
      </w:r>
      <w:r w:rsidRPr="00E67E8B">
        <w:rPr>
          <w:rFonts w:cs="Times New Roman"/>
          <w:szCs w:val="24"/>
        </w:rPr>
        <w:t>Egedal Kommune</w:t>
      </w:r>
      <w:r>
        <w:rPr>
          <w:rFonts w:cs="Times New Roman"/>
          <w:szCs w:val="24"/>
        </w:rPr>
        <w:t xml:space="preserve">, </w:t>
      </w:r>
      <w:r w:rsidRPr="00E67E8B">
        <w:rPr>
          <w:rFonts w:cs="Times New Roman"/>
          <w:szCs w:val="24"/>
        </w:rPr>
        <w:t>Esbjerg Kommune</w:t>
      </w:r>
      <w:r>
        <w:rPr>
          <w:rFonts w:cs="Times New Roman"/>
          <w:szCs w:val="24"/>
        </w:rPr>
        <w:t xml:space="preserve">, </w:t>
      </w:r>
      <w:r w:rsidRPr="00E67E8B">
        <w:rPr>
          <w:rFonts w:cs="Times New Roman"/>
          <w:szCs w:val="24"/>
        </w:rPr>
        <w:t>Fanø Kommune</w:t>
      </w:r>
      <w:r>
        <w:rPr>
          <w:rFonts w:cs="Times New Roman"/>
          <w:szCs w:val="24"/>
        </w:rPr>
        <w:t xml:space="preserve">, </w:t>
      </w:r>
      <w:r w:rsidRPr="00E67E8B">
        <w:rPr>
          <w:rFonts w:cs="Times New Roman"/>
          <w:szCs w:val="24"/>
        </w:rPr>
        <w:t>Favrskov Kommune</w:t>
      </w:r>
      <w:r>
        <w:rPr>
          <w:rFonts w:cs="Times New Roman"/>
          <w:szCs w:val="24"/>
        </w:rPr>
        <w:t xml:space="preserve">, </w:t>
      </w:r>
      <w:r w:rsidRPr="00E67E8B">
        <w:rPr>
          <w:rFonts w:cs="Times New Roman"/>
          <w:szCs w:val="24"/>
        </w:rPr>
        <w:t>Faxe Kommune</w:t>
      </w:r>
      <w:r>
        <w:rPr>
          <w:rFonts w:cs="Times New Roman"/>
          <w:szCs w:val="24"/>
        </w:rPr>
        <w:t xml:space="preserve">, </w:t>
      </w:r>
      <w:r w:rsidRPr="00E67E8B">
        <w:rPr>
          <w:rFonts w:cs="Times New Roman"/>
          <w:szCs w:val="24"/>
        </w:rPr>
        <w:t>Fredensborg Kommune</w:t>
      </w:r>
      <w:r>
        <w:rPr>
          <w:rFonts w:cs="Times New Roman"/>
          <w:szCs w:val="24"/>
        </w:rPr>
        <w:t xml:space="preserve">, </w:t>
      </w:r>
      <w:r w:rsidRPr="00E67E8B">
        <w:rPr>
          <w:rFonts w:cs="Times New Roman"/>
          <w:szCs w:val="24"/>
        </w:rPr>
        <w:t>Fredericia Kommune</w:t>
      </w:r>
      <w:r>
        <w:rPr>
          <w:rFonts w:cs="Times New Roman"/>
          <w:szCs w:val="24"/>
        </w:rPr>
        <w:t xml:space="preserve">, </w:t>
      </w:r>
      <w:r w:rsidRPr="00E67E8B">
        <w:rPr>
          <w:rFonts w:cs="Times New Roman"/>
          <w:szCs w:val="24"/>
        </w:rPr>
        <w:t>Frederiksberg Kommune</w:t>
      </w:r>
      <w:r>
        <w:rPr>
          <w:rFonts w:cs="Times New Roman"/>
          <w:szCs w:val="24"/>
        </w:rPr>
        <w:t xml:space="preserve">, </w:t>
      </w:r>
      <w:r w:rsidRPr="00E67E8B">
        <w:rPr>
          <w:rFonts w:cs="Times New Roman"/>
          <w:szCs w:val="24"/>
        </w:rPr>
        <w:t>Frederikshavn Kommune</w:t>
      </w:r>
      <w:r>
        <w:rPr>
          <w:rFonts w:cs="Times New Roman"/>
          <w:szCs w:val="24"/>
        </w:rPr>
        <w:t xml:space="preserve">, </w:t>
      </w:r>
      <w:r w:rsidRPr="00E67E8B">
        <w:rPr>
          <w:rFonts w:cs="Times New Roman"/>
          <w:szCs w:val="24"/>
        </w:rPr>
        <w:t>Frederikssund Kommune</w:t>
      </w:r>
      <w:r>
        <w:rPr>
          <w:rFonts w:cs="Times New Roman"/>
          <w:szCs w:val="24"/>
        </w:rPr>
        <w:t xml:space="preserve">, </w:t>
      </w:r>
      <w:r w:rsidRPr="00E67E8B">
        <w:rPr>
          <w:rFonts w:cs="Times New Roman"/>
          <w:szCs w:val="24"/>
        </w:rPr>
        <w:t>Furesø Kommune</w:t>
      </w:r>
      <w:r>
        <w:rPr>
          <w:rFonts w:cs="Times New Roman"/>
          <w:szCs w:val="24"/>
        </w:rPr>
        <w:t xml:space="preserve">, </w:t>
      </w:r>
      <w:r w:rsidRPr="00E67E8B">
        <w:rPr>
          <w:rFonts w:cs="Times New Roman"/>
          <w:szCs w:val="24"/>
        </w:rPr>
        <w:t>Faaborg-Midtfyn Kommune</w:t>
      </w:r>
      <w:r>
        <w:rPr>
          <w:rFonts w:cs="Times New Roman"/>
          <w:szCs w:val="24"/>
        </w:rPr>
        <w:t xml:space="preserve">, </w:t>
      </w:r>
      <w:r w:rsidRPr="00E67E8B">
        <w:rPr>
          <w:rFonts w:cs="Times New Roman"/>
          <w:szCs w:val="24"/>
        </w:rPr>
        <w:t>Gentofte Kommune</w:t>
      </w:r>
      <w:r>
        <w:rPr>
          <w:rFonts w:cs="Times New Roman"/>
          <w:szCs w:val="24"/>
        </w:rPr>
        <w:t xml:space="preserve">, </w:t>
      </w:r>
      <w:r w:rsidRPr="00E67E8B">
        <w:rPr>
          <w:rFonts w:cs="Times New Roman"/>
          <w:szCs w:val="24"/>
        </w:rPr>
        <w:t>Gladsaxe Kommune</w:t>
      </w:r>
      <w:r>
        <w:rPr>
          <w:rFonts w:cs="Times New Roman"/>
          <w:szCs w:val="24"/>
        </w:rPr>
        <w:t xml:space="preserve">, </w:t>
      </w:r>
      <w:r w:rsidRPr="00E67E8B">
        <w:rPr>
          <w:rFonts w:cs="Times New Roman"/>
          <w:szCs w:val="24"/>
        </w:rPr>
        <w:t>Glostrup Kommun</w:t>
      </w:r>
      <w:r>
        <w:rPr>
          <w:rFonts w:cs="Times New Roman"/>
          <w:szCs w:val="24"/>
        </w:rPr>
        <w:t xml:space="preserve">e, </w:t>
      </w:r>
      <w:r w:rsidRPr="00E67E8B">
        <w:rPr>
          <w:rFonts w:cs="Times New Roman"/>
          <w:szCs w:val="24"/>
        </w:rPr>
        <w:t>Greve Kommune</w:t>
      </w:r>
      <w:r>
        <w:rPr>
          <w:rFonts w:cs="Times New Roman"/>
          <w:szCs w:val="24"/>
        </w:rPr>
        <w:t xml:space="preserve">, </w:t>
      </w:r>
      <w:r w:rsidRPr="00E67E8B">
        <w:rPr>
          <w:rFonts w:cs="Times New Roman"/>
          <w:szCs w:val="24"/>
        </w:rPr>
        <w:t>Gribskov Kommune</w:t>
      </w:r>
      <w:r>
        <w:rPr>
          <w:rFonts w:cs="Times New Roman"/>
          <w:szCs w:val="24"/>
        </w:rPr>
        <w:t xml:space="preserve">, </w:t>
      </w:r>
      <w:r w:rsidRPr="00E67E8B">
        <w:rPr>
          <w:rFonts w:cs="Times New Roman"/>
          <w:szCs w:val="24"/>
        </w:rPr>
        <w:t>Guldborgsund Kommune</w:t>
      </w:r>
      <w:r>
        <w:rPr>
          <w:rFonts w:cs="Times New Roman"/>
          <w:szCs w:val="24"/>
        </w:rPr>
        <w:t xml:space="preserve">, </w:t>
      </w:r>
      <w:r w:rsidRPr="00E67E8B">
        <w:rPr>
          <w:rFonts w:cs="Times New Roman"/>
          <w:szCs w:val="24"/>
        </w:rPr>
        <w:t>Haderslev Kommune</w:t>
      </w:r>
      <w:r>
        <w:rPr>
          <w:rFonts w:cs="Times New Roman"/>
          <w:szCs w:val="24"/>
        </w:rPr>
        <w:t xml:space="preserve">, </w:t>
      </w:r>
      <w:r w:rsidRPr="00E67E8B">
        <w:rPr>
          <w:rFonts w:cs="Times New Roman"/>
          <w:szCs w:val="24"/>
        </w:rPr>
        <w:t>Halsnæs Kommune</w:t>
      </w:r>
      <w:r>
        <w:rPr>
          <w:rFonts w:cs="Times New Roman"/>
          <w:szCs w:val="24"/>
        </w:rPr>
        <w:t xml:space="preserve">, </w:t>
      </w:r>
      <w:r w:rsidRPr="00E67E8B">
        <w:rPr>
          <w:rFonts w:cs="Times New Roman"/>
          <w:szCs w:val="24"/>
        </w:rPr>
        <w:t>Hedensted Kommune</w:t>
      </w:r>
      <w:r>
        <w:rPr>
          <w:rFonts w:cs="Times New Roman"/>
          <w:szCs w:val="24"/>
        </w:rPr>
        <w:t xml:space="preserve">, </w:t>
      </w:r>
      <w:r w:rsidRPr="00E67E8B">
        <w:rPr>
          <w:rFonts w:cs="Times New Roman"/>
          <w:szCs w:val="24"/>
        </w:rPr>
        <w:t>Helsingør Kommune</w:t>
      </w:r>
      <w:r>
        <w:rPr>
          <w:rFonts w:cs="Times New Roman"/>
          <w:szCs w:val="24"/>
        </w:rPr>
        <w:t xml:space="preserve">, </w:t>
      </w:r>
      <w:r w:rsidRPr="00E67E8B">
        <w:rPr>
          <w:rFonts w:cs="Times New Roman"/>
          <w:szCs w:val="24"/>
        </w:rPr>
        <w:t>Herlev Kommune</w:t>
      </w:r>
      <w:r>
        <w:rPr>
          <w:rFonts w:cs="Times New Roman"/>
          <w:szCs w:val="24"/>
        </w:rPr>
        <w:t xml:space="preserve">, </w:t>
      </w:r>
      <w:r w:rsidRPr="00E67E8B">
        <w:rPr>
          <w:rFonts w:cs="Times New Roman"/>
          <w:szCs w:val="24"/>
        </w:rPr>
        <w:t>Herning Kommune</w:t>
      </w:r>
      <w:r>
        <w:rPr>
          <w:rFonts w:cs="Times New Roman"/>
          <w:szCs w:val="24"/>
        </w:rPr>
        <w:t xml:space="preserve">, </w:t>
      </w:r>
      <w:r w:rsidRPr="00E67E8B">
        <w:rPr>
          <w:rFonts w:cs="Times New Roman"/>
          <w:szCs w:val="24"/>
        </w:rPr>
        <w:t>Hillerød Kommune</w:t>
      </w:r>
      <w:r>
        <w:rPr>
          <w:rFonts w:cs="Times New Roman"/>
          <w:szCs w:val="24"/>
        </w:rPr>
        <w:t xml:space="preserve">, </w:t>
      </w:r>
      <w:r w:rsidRPr="00E67E8B">
        <w:rPr>
          <w:rFonts w:cs="Times New Roman"/>
          <w:szCs w:val="24"/>
        </w:rPr>
        <w:t>Hjørring Kommune</w:t>
      </w:r>
      <w:r>
        <w:rPr>
          <w:rFonts w:cs="Times New Roman"/>
          <w:szCs w:val="24"/>
        </w:rPr>
        <w:t xml:space="preserve">, </w:t>
      </w:r>
      <w:r w:rsidRPr="00E67E8B">
        <w:rPr>
          <w:rFonts w:cs="Times New Roman"/>
          <w:szCs w:val="24"/>
        </w:rPr>
        <w:t>Holbæk Kommune</w:t>
      </w:r>
      <w:r>
        <w:rPr>
          <w:rFonts w:cs="Times New Roman"/>
          <w:szCs w:val="24"/>
        </w:rPr>
        <w:t xml:space="preserve">, </w:t>
      </w:r>
      <w:r w:rsidRPr="00E67E8B">
        <w:rPr>
          <w:rFonts w:cs="Times New Roman"/>
          <w:szCs w:val="24"/>
        </w:rPr>
        <w:t>Holstebro Kommune</w:t>
      </w:r>
      <w:r>
        <w:rPr>
          <w:rFonts w:cs="Times New Roman"/>
          <w:szCs w:val="24"/>
        </w:rPr>
        <w:t xml:space="preserve">, </w:t>
      </w:r>
      <w:r w:rsidRPr="00E67E8B">
        <w:rPr>
          <w:rFonts w:cs="Times New Roman"/>
          <w:szCs w:val="24"/>
        </w:rPr>
        <w:t>Horsens Kommune</w:t>
      </w:r>
      <w:r>
        <w:rPr>
          <w:rFonts w:cs="Times New Roman"/>
          <w:szCs w:val="24"/>
        </w:rPr>
        <w:t xml:space="preserve">, </w:t>
      </w:r>
      <w:r w:rsidRPr="00E67E8B">
        <w:rPr>
          <w:rFonts w:cs="Times New Roman"/>
          <w:szCs w:val="24"/>
        </w:rPr>
        <w:t>Hvidovre Kommune</w:t>
      </w:r>
      <w:r>
        <w:rPr>
          <w:rFonts w:cs="Times New Roman"/>
          <w:szCs w:val="24"/>
        </w:rPr>
        <w:t xml:space="preserve">, </w:t>
      </w:r>
      <w:r w:rsidRPr="00E67E8B">
        <w:rPr>
          <w:rFonts w:cs="Times New Roman"/>
          <w:szCs w:val="24"/>
        </w:rPr>
        <w:t xml:space="preserve"> Høje -Taastrup Kommune</w:t>
      </w:r>
      <w:r>
        <w:rPr>
          <w:rFonts w:cs="Times New Roman"/>
          <w:szCs w:val="24"/>
        </w:rPr>
        <w:t xml:space="preserve">, </w:t>
      </w:r>
      <w:r w:rsidRPr="00E67E8B">
        <w:rPr>
          <w:rFonts w:cs="Times New Roman"/>
          <w:szCs w:val="24"/>
        </w:rPr>
        <w:t>Hørsholm Kommune</w:t>
      </w:r>
      <w:r>
        <w:rPr>
          <w:rFonts w:cs="Times New Roman"/>
          <w:szCs w:val="24"/>
        </w:rPr>
        <w:t xml:space="preserve">, </w:t>
      </w:r>
      <w:r w:rsidRPr="00E67E8B">
        <w:rPr>
          <w:rFonts w:cs="Times New Roman"/>
          <w:szCs w:val="24"/>
        </w:rPr>
        <w:t>Ikast -Brande Kommune</w:t>
      </w:r>
      <w:r>
        <w:rPr>
          <w:rFonts w:cs="Times New Roman"/>
          <w:szCs w:val="24"/>
        </w:rPr>
        <w:t xml:space="preserve">, </w:t>
      </w:r>
      <w:r w:rsidRPr="00E67E8B">
        <w:rPr>
          <w:rFonts w:cs="Times New Roman"/>
          <w:szCs w:val="24"/>
        </w:rPr>
        <w:t xml:space="preserve">Ishøj </w:t>
      </w:r>
      <w:r w:rsidRPr="00E67E8B">
        <w:rPr>
          <w:rFonts w:cs="Times New Roman"/>
          <w:szCs w:val="24"/>
        </w:rPr>
        <w:lastRenderedPageBreak/>
        <w:t>Kommune</w:t>
      </w:r>
      <w:r>
        <w:rPr>
          <w:rFonts w:cs="Times New Roman"/>
          <w:szCs w:val="24"/>
        </w:rPr>
        <w:t xml:space="preserve">, </w:t>
      </w:r>
      <w:r w:rsidRPr="00E67E8B">
        <w:rPr>
          <w:rFonts w:cs="Times New Roman"/>
          <w:szCs w:val="24"/>
        </w:rPr>
        <w:t xml:space="preserve"> Jammerbugt Kommune</w:t>
      </w:r>
      <w:r>
        <w:rPr>
          <w:rFonts w:cs="Times New Roman"/>
          <w:szCs w:val="24"/>
        </w:rPr>
        <w:t xml:space="preserve">, </w:t>
      </w:r>
      <w:r w:rsidRPr="00E67E8B">
        <w:rPr>
          <w:rFonts w:cs="Times New Roman"/>
          <w:szCs w:val="24"/>
        </w:rPr>
        <w:t>Kalundborg Kommune</w:t>
      </w:r>
      <w:r>
        <w:rPr>
          <w:rFonts w:cs="Times New Roman"/>
          <w:szCs w:val="24"/>
        </w:rPr>
        <w:t xml:space="preserve">, </w:t>
      </w:r>
      <w:r w:rsidRPr="00E67E8B">
        <w:rPr>
          <w:rFonts w:cs="Times New Roman"/>
          <w:szCs w:val="24"/>
        </w:rPr>
        <w:t>Kerteminde Kommune</w:t>
      </w:r>
      <w:r>
        <w:rPr>
          <w:rFonts w:cs="Times New Roman"/>
          <w:szCs w:val="24"/>
        </w:rPr>
        <w:t xml:space="preserve">, </w:t>
      </w:r>
      <w:r w:rsidRPr="00E67E8B">
        <w:rPr>
          <w:rFonts w:cs="Times New Roman"/>
          <w:szCs w:val="24"/>
        </w:rPr>
        <w:t>Kolding Kommune</w:t>
      </w:r>
      <w:r>
        <w:rPr>
          <w:rFonts w:cs="Times New Roman"/>
          <w:szCs w:val="24"/>
        </w:rPr>
        <w:t xml:space="preserve">, </w:t>
      </w:r>
      <w:r w:rsidRPr="00E67E8B">
        <w:rPr>
          <w:rFonts w:cs="Times New Roman"/>
          <w:szCs w:val="24"/>
        </w:rPr>
        <w:t xml:space="preserve"> Københavns Kommune</w:t>
      </w:r>
      <w:r>
        <w:rPr>
          <w:rFonts w:cs="Times New Roman"/>
          <w:szCs w:val="24"/>
        </w:rPr>
        <w:t xml:space="preserve">, </w:t>
      </w:r>
      <w:r w:rsidRPr="00E67E8B">
        <w:rPr>
          <w:rFonts w:cs="Times New Roman"/>
          <w:szCs w:val="24"/>
        </w:rPr>
        <w:t>Køge Kommune</w:t>
      </w:r>
      <w:r>
        <w:rPr>
          <w:rFonts w:cs="Times New Roman"/>
          <w:szCs w:val="24"/>
        </w:rPr>
        <w:t>,</w:t>
      </w:r>
      <w:r w:rsidRPr="00051449">
        <w:t xml:space="preserve"> </w:t>
      </w:r>
      <w:r w:rsidRPr="00051449">
        <w:rPr>
          <w:rFonts w:cs="Times New Roman"/>
          <w:szCs w:val="24"/>
        </w:rPr>
        <w:t>Langeland Kommune,</w:t>
      </w:r>
      <w:r w:rsidRPr="00051449">
        <w:t xml:space="preserve"> </w:t>
      </w:r>
      <w:r w:rsidRPr="00051449">
        <w:rPr>
          <w:rFonts w:cs="Times New Roman"/>
          <w:szCs w:val="24"/>
        </w:rPr>
        <w:t>Lejre Kommune</w:t>
      </w:r>
      <w:r>
        <w:rPr>
          <w:rFonts w:cs="Times New Roman"/>
          <w:szCs w:val="24"/>
        </w:rPr>
        <w:t>,</w:t>
      </w:r>
      <w:r w:rsidRPr="00051449">
        <w:rPr>
          <w:rFonts w:cs="Times New Roman"/>
          <w:szCs w:val="24"/>
        </w:rPr>
        <w:t xml:space="preserve"> </w:t>
      </w:r>
      <w:r w:rsidRPr="00E67E8B">
        <w:rPr>
          <w:rFonts w:cs="Times New Roman"/>
          <w:szCs w:val="24"/>
        </w:rPr>
        <w:t>Lemvig Kommune</w:t>
      </w:r>
      <w:r>
        <w:rPr>
          <w:rFonts w:cs="Times New Roman"/>
          <w:szCs w:val="24"/>
        </w:rPr>
        <w:t>,</w:t>
      </w:r>
      <w:r w:rsidRPr="00051449">
        <w:rPr>
          <w:rFonts w:cs="Times New Roman"/>
          <w:szCs w:val="24"/>
        </w:rPr>
        <w:t xml:space="preserve"> Lolland Kommune</w:t>
      </w:r>
      <w:r>
        <w:rPr>
          <w:rFonts w:cs="Times New Roman"/>
          <w:szCs w:val="24"/>
        </w:rPr>
        <w:t>,</w:t>
      </w:r>
      <w:r w:rsidRPr="00051449">
        <w:t xml:space="preserve"> </w:t>
      </w:r>
      <w:r w:rsidRPr="00051449">
        <w:rPr>
          <w:rFonts w:cs="Times New Roman"/>
          <w:szCs w:val="24"/>
        </w:rPr>
        <w:t>Lyngby -Taarbæk Kommune</w:t>
      </w:r>
      <w:r>
        <w:rPr>
          <w:rFonts w:cs="Times New Roman"/>
          <w:szCs w:val="24"/>
        </w:rPr>
        <w:t xml:space="preserve">, </w:t>
      </w:r>
      <w:r w:rsidRPr="00E67E8B">
        <w:rPr>
          <w:rFonts w:cs="Times New Roman"/>
          <w:szCs w:val="24"/>
        </w:rPr>
        <w:t>Læsø Kommune</w:t>
      </w:r>
      <w:r>
        <w:rPr>
          <w:rFonts w:cs="Times New Roman"/>
          <w:szCs w:val="24"/>
        </w:rPr>
        <w:t xml:space="preserve">, </w:t>
      </w:r>
      <w:r w:rsidRPr="00E67E8B">
        <w:rPr>
          <w:rFonts w:cs="Times New Roman"/>
          <w:szCs w:val="24"/>
        </w:rPr>
        <w:t xml:space="preserve"> Mariagerfjord Kommune</w:t>
      </w:r>
      <w:r>
        <w:rPr>
          <w:rFonts w:cs="Times New Roman"/>
          <w:szCs w:val="24"/>
        </w:rPr>
        <w:t xml:space="preserve">, </w:t>
      </w:r>
      <w:r w:rsidRPr="00E67E8B">
        <w:rPr>
          <w:rFonts w:cs="Times New Roman"/>
          <w:szCs w:val="24"/>
        </w:rPr>
        <w:t>Middelfart Kommune</w:t>
      </w:r>
      <w:r>
        <w:rPr>
          <w:rFonts w:cs="Times New Roman"/>
          <w:szCs w:val="24"/>
        </w:rPr>
        <w:t xml:space="preserve">, </w:t>
      </w:r>
      <w:r w:rsidRPr="00E67E8B">
        <w:rPr>
          <w:rFonts w:cs="Times New Roman"/>
          <w:szCs w:val="24"/>
        </w:rPr>
        <w:t>Morsø Kommune</w:t>
      </w:r>
      <w:r>
        <w:rPr>
          <w:rFonts w:cs="Times New Roman"/>
          <w:szCs w:val="24"/>
        </w:rPr>
        <w:t xml:space="preserve">, </w:t>
      </w:r>
      <w:r w:rsidRPr="00E67E8B">
        <w:rPr>
          <w:rFonts w:cs="Times New Roman"/>
          <w:szCs w:val="24"/>
        </w:rPr>
        <w:t>Norddjurs Kommune</w:t>
      </w:r>
      <w:r>
        <w:rPr>
          <w:rFonts w:cs="Times New Roman"/>
          <w:szCs w:val="24"/>
        </w:rPr>
        <w:t xml:space="preserve">, </w:t>
      </w:r>
      <w:r w:rsidRPr="00E67E8B">
        <w:rPr>
          <w:rFonts w:cs="Times New Roman"/>
          <w:szCs w:val="24"/>
        </w:rPr>
        <w:t>Nordfyns Kommune</w:t>
      </w:r>
      <w:r>
        <w:rPr>
          <w:rFonts w:cs="Times New Roman"/>
          <w:szCs w:val="24"/>
        </w:rPr>
        <w:t xml:space="preserve">, </w:t>
      </w:r>
      <w:r w:rsidRPr="00E67E8B">
        <w:rPr>
          <w:rFonts w:cs="Times New Roman"/>
          <w:szCs w:val="24"/>
        </w:rPr>
        <w:t>Nyborg Kommune</w:t>
      </w:r>
      <w:r>
        <w:rPr>
          <w:rFonts w:cs="Times New Roman"/>
          <w:szCs w:val="24"/>
        </w:rPr>
        <w:t xml:space="preserve">, </w:t>
      </w:r>
      <w:r w:rsidRPr="00E67E8B">
        <w:rPr>
          <w:rFonts w:cs="Times New Roman"/>
          <w:szCs w:val="24"/>
        </w:rPr>
        <w:t>Næstved Kommune</w:t>
      </w:r>
      <w:r>
        <w:rPr>
          <w:rFonts w:cs="Times New Roman"/>
          <w:szCs w:val="24"/>
        </w:rPr>
        <w:t xml:space="preserve">, </w:t>
      </w:r>
      <w:r w:rsidRPr="00E67E8B">
        <w:rPr>
          <w:rFonts w:cs="Times New Roman"/>
          <w:szCs w:val="24"/>
        </w:rPr>
        <w:t>Odder Kommune</w:t>
      </w:r>
      <w:r>
        <w:rPr>
          <w:rFonts w:cs="Times New Roman"/>
          <w:szCs w:val="24"/>
        </w:rPr>
        <w:t xml:space="preserve">, </w:t>
      </w:r>
      <w:r w:rsidRPr="00E67E8B">
        <w:rPr>
          <w:rFonts w:cs="Times New Roman"/>
          <w:szCs w:val="24"/>
        </w:rPr>
        <w:t>Odense Kommune</w:t>
      </w:r>
      <w:r>
        <w:rPr>
          <w:rFonts w:cs="Times New Roman"/>
          <w:szCs w:val="24"/>
        </w:rPr>
        <w:t xml:space="preserve">, </w:t>
      </w:r>
      <w:r w:rsidRPr="00E67E8B">
        <w:rPr>
          <w:rFonts w:cs="Times New Roman"/>
          <w:szCs w:val="24"/>
        </w:rPr>
        <w:t>Odsherred Kommune</w:t>
      </w:r>
      <w:r>
        <w:rPr>
          <w:rFonts w:cs="Times New Roman"/>
          <w:szCs w:val="24"/>
        </w:rPr>
        <w:t xml:space="preserve">, </w:t>
      </w:r>
      <w:r w:rsidRPr="00E67E8B">
        <w:rPr>
          <w:rFonts w:cs="Times New Roman"/>
          <w:szCs w:val="24"/>
        </w:rPr>
        <w:t>Randers Kommune</w:t>
      </w:r>
      <w:r>
        <w:rPr>
          <w:rFonts w:cs="Times New Roman"/>
          <w:szCs w:val="24"/>
        </w:rPr>
        <w:t xml:space="preserve">, </w:t>
      </w:r>
      <w:r w:rsidRPr="00E67E8B">
        <w:rPr>
          <w:rFonts w:cs="Times New Roman"/>
          <w:szCs w:val="24"/>
        </w:rPr>
        <w:t>Rebild Kommune</w:t>
      </w:r>
      <w:r>
        <w:rPr>
          <w:rFonts w:cs="Times New Roman"/>
          <w:szCs w:val="24"/>
        </w:rPr>
        <w:t xml:space="preserve">, </w:t>
      </w:r>
      <w:r w:rsidRPr="00E67E8B">
        <w:rPr>
          <w:rFonts w:cs="Times New Roman"/>
          <w:szCs w:val="24"/>
        </w:rPr>
        <w:t>Ringkøbing-Skjern Kommune</w:t>
      </w:r>
      <w:r>
        <w:rPr>
          <w:rFonts w:cs="Times New Roman"/>
          <w:szCs w:val="24"/>
        </w:rPr>
        <w:t xml:space="preserve">, </w:t>
      </w:r>
      <w:r w:rsidRPr="00E67E8B">
        <w:rPr>
          <w:rFonts w:cs="Times New Roman"/>
          <w:szCs w:val="24"/>
        </w:rPr>
        <w:t>Ringsted Kommune</w:t>
      </w:r>
      <w:r>
        <w:rPr>
          <w:rFonts w:cs="Times New Roman"/>
          <w:szCs w:val="24"/>
        </w:rPr>
        <w:t xml:space="preserve">, </w:t>
      </w:r>
      <w:r w:rsidRPr="00E67E8B">
        <w:rPr>
          <w:rFonts w:cs="Times New Roman"/>
          <w:szCs w:val="24"/>
        </w:rPr>
        <w:t>Roskilde Kommune</w:t>
      </w:r>
      <w:r>
        <w:rPr>
          <w:rFonts w:cs="Times New Roman"/>
          <w:szCs w:val="24"/>
        </w:rPr>
        <w:t xml:space="preserve">, </w:t>
      </w:r>
      <w:r w:rsidRPr="00E67E8B">
        <w:rPr>
          <w:rFonts w:cs="Times New Roman"/>
          <w:szCs w:val="24"/>
        </w:rPr>
        <w:t>Rudersdal Kommune</w:t>
      </w:r>
      <w:r>
        <w:rPr>
          <w:rFonts w:cs="Times New Roman"/>
          <w:szCs w:val="24"/>
        </w:rPr>
        <w:t xml:space="preserve">, </w:t>
      </w:r>
      <w:r w:rsidRPr="00E67E8B">
        <w:rPr>
          <w:rFonts w:cs="Times New Roman"/>
          <w:szCs w:val="24"/>
        </w:rPr>
        <w:t>Rødovre Kommune</w:t>
      </w:r>
      <w:r>
        <w:rPr>
          <w:rFonts w:cs="Times New Roman"/>
          <w:szCs w:val="24"/>
        </w:rPr>
        <w:t xml:space="preserve">, </w:t>
      </w:r>
      <w:r w:rsidRPr="00E67E8B">
        <w:rPr>
          <w:rFonts w:cs="Times New Roman"/>
          <w:szCs w:val="24"/>
        </w:rPr>
        <w:t>Samsø Kommune</w:t>
      </w:r>
      <w:r>
        <w:rPr>
          <w:rFonts w:cs="Times New Roman"/>
          <w:szCs w:val="24"/>
        </w:rPr>
        <w:t xml:space="preserve">, </w:t>
      </w:r>
      <w:r w:rsidRPr="00E67E8B">
        <w:rPr>
          <w:rFonts w:cs="Times New Roman"/>
          <w:szCs w:val="24"/>
        </w:rPr>
        <w:t>Silkeborg Kommune</w:t>
      </w:r>
      <w:r>
        <w:rPr>
          <w:rFonts w:cs="Times New Roman"/>
          <w:szCs w:val="24"/>
        </w:rPr>
        <w:t xml:space="preserve">, </w:t>
      </w:r>
      <w:r w:rsidRPr="00E67E8B">
        <w:rPr>
          <w:rFonts w:cs="Times New Roman"/>
          <w:szCs w:val="24"/>
        </w:rPr>
        <w:t>Skanderborg Kommune</w:t>
      </w:r>
      <w:r>
        <w:rPr>
          <w:rFonts w:cs="Times New Roman"/>
          <w:szCs w:val="24"/>
        </w:rPr>
        <w:t xml:space="preserve">, </w:t>
      </w:r>
      <w:r w:rsidRPr="00E67E8B">
        <w:rPr>
          <w:rFonts w:cs="Times New Roman"/>
          <w:szCs w:val="24"/>
        </w:rPr>
        <w:t>Skive Kommune</w:t>
      </w:r>
      <w:r>
        <w:rPr>
          <w:rFonts w:cs="Times New Roman"/>
          <w:szCs w:val="24"/>
        </w:rPr>
        <w:t xml:space="preserve">, </w:t>
      </w:r>
      <w:r w:rsidRPr="00E67E8B">
        <w:rPr>
          <w:rFonts w:cs="Times New Roman"/>
          <w:szCs w:val="24"/>
        </w:rPr>
        <w:t>Slagelse Kommune</w:t>
      </w:r>
      <w:r>
        <w:rPr>
          <w:rFonts w:cs="Times New Roman"/>
          <w:szCs w:val="24"/>
        </w:rPr>
        <w:t xml:space="preserve">, </w:t>
      </w:r>
      <w:r w:rsidRPr="00E67E8B">
        <w:rPr>
          <w:rFonts w:cs="Times New Roman"/>
          <w:szCs w:val="24"/>
        </w:rPr>
        <w:t>Solrød Kommune</w:t>
      </w:r>
      <w:r>
        <w:rPr>
          <w:rFonts w:cs="Times New Roman"/>
          <w:szCs w:val="24"/>
        </w:rPr>
        <w:t xml:space="preserve">, </w:t>
      </w:r>
      <w:r w:rsidRPr="00E67E8B">
        <w:rPr>
          <w:rFonts w:cs="Times New Roman"/>
          <w:szCs w:val="24"/>
        </w:rPr>
        <w:t>Sorø Kommune</w:t>
      </w:r>
      <w:r>
        <w:rPr>
          <w:rFonts w:cs="Times New Roman"/>
          <w:szCs w:val="24"/>
        </w:rPr>
        <w:t xml:space="preserve">, </w:t>
      </w:r>
      <w:r w:rsidRPr="00E67E8B">
        <w:rPr>
          <w:rFonts w:cs="Times New Roman"/>
          <w:szCs w:val="24"/>
        </w:rPr>
        <w:t>Stevns Kommune</w:t>
      </w:r>
      <w:r>
        <w:rPr>
          <w:rFonts w:cs="Times New Roman"/>
          <w:szCs w:val="24"/>
        </w:rPr>
        <w:t xml:space="preserve">, </w:t>
      </w:r>
      <w:r w:rsidRPr="00E67E8B">
        <w:rPr>
          <w:rFonts w:cs="Times New Roman"/>
          <w:szCs w:val="24"/>
        </w:rPr>
        <w:t>Struer Kommune</w:t>
      </w:r>
      <w:r>
        <w:rPr>
          <w:rFonts w:cs="Times New Roman"/>
          <w:szCs w:val="24"/>
        </w:rPr>
        <w:t xml:space="preserve">, </w:t>
      </w:r>
      <w:r w:rsidRPr="00E67E8B">
        <w:rPr>
          <w:rFonts w:cs="Times New Roman"/>
          <w:szCs w:val="24"/>
        </w:rPr>
        <w:t>Svendborg Kommune</w:t>
      </w:r>
      <w:r>
        <w:rPr>
          <w:rFonts w:cs="Times New Roman"/>
          <w:szCs w:val="24"/>
        </w:rPr>
        <w:t xml:space="preserve">, </w:t>
      </w:r>
      <w:r w:rsidRPr="00E67E8B">
        <w:rPr>
          <w:rFonts w:cs="Times New Roman"/>
          <w:szCs w:val="24"/>
        </w:rPr>
        <w:t>Syddjurs Kommune</w:t>
      </w:r>
      <w:r>
        <w:rPr>
          <w:rFonts w:cs="Times New Roman"/>
          <w:szCs w:val="24"/>
        </w:rPr>
        <w:t xml:space="preserve">, </w:t>
      </w:r>
      <w:r w:rsidRPr="00E67E8B">
        <w:rPr>
          <w:rFonts w:cs="Times New Roman"/>
          <w:szCs w:val="24"/>
        </w:rPr>
        <w:t>Sønderborg Kommune</w:t>
      </w:r>
      <w:r>
        <w:rPr>
          <w:rFonts w:cs="Times New Roman"/>
          <w:szCs w:val="24"/>
        </w:rPr>
        <w:t>,</w:t>
      </w:r>
      <w:r w:rsidRPr="00305467">
        <w:t xml:space="preserve"> </w:t>
      </w:r>
      <w:r w:rsidRPr="00305467">
        <w:rPr>
          <w:rFonts w:cs="Times New Roman"/>
          <w:szCs w:val="24"/>
        </w:rPr>
        <w:t>Thisted Kommune, Tønder Kommune, Tårnby Kommune</w:t>
      </w:r>
      <w:r>
        <w:rPr>
          <w:rFonts w:cs="Times New Roman"/>
          <w:szCs w:val="24"/>
        </w:rPr>
        <w:t xml:space="preserve">, </w:t>
      </w:r>
      <w:r w:rsidRPr="00E67E8B">
        <w:rPr>
          <w:rFonts w:cs="Times New Roman"/>
          <w:szCs w:val="24"/>
        </w:rPr>
        <w:t>Vallensbæk Kommune</w:t>
      </w:r>
      <w:r>
        <w:rPr>
          <w:rFonts w:cs="Times New Roman"/>
          <w:szCs w:val="24"/>
        </w:rPr>
        <w:t xml:space="preserve">, </w:t>
      </w:r>
      <w:r w:rsidRPr="00E67E8B">
        <w:rPr>
          <w:rFonts w:cs="Times New Roman"/>
          <w:szCs w:val="24"/>
        </w:rPr>
        <w:t>Varde Kommune</w:t>
      </w:r>
      <w:r>
        <w:rPr>
          <w:rFonts w:cs="Times New Roman"/>
          <w:szCs w:val="24"/>
        </w:rPr>
        <w:t xml:space="preserve">, </w:t>
      </w:r>
      <w:r w:rsidRPr="00E67E8B">
        <w:rPr>
          <w:rFonts w:cs="Times New Roman"/>
          <w:szCs w:val="24"/>
        </w:rPr>
        <w:t xml:space="preserve"> Vejen Kommune</w:t>
      </w:r>
      <w:r>
        <w:rPr>
          <w:rFonts w:cs="Times New Roman"/>
          <w:szCs w:val="24"/>
        </w:rPr>
        <w:t xml:space="preserve">, </w:t>
      </w:r>
      <w:r w:rsidRPr="00E67E8B">
        <w:rPr>
          <w:rFonts w:cs="Times New Roman"/>
          <w:szCs w:val="24"/>
        </w:rPr>
        <w:t>Vejle Kommune</w:t>
      </w:r>
      <w:r>
        <w:rPr>
          <w:rFonts w:cs="Times New Roman"/>
          <w:szCs w:val="24"/>
        </w:rPr>
        <w:t xml:space="preserve">, </w:t>
      </w:r>
      <w:r w:rsidRPr="00E67E8B">
        <w:rPr>
          <w:rFonts w:cs="Times New Roman"/>
          <w:szCs w:val="24"/>
        </w:rPr>
        <w:t>Vesthimmerlands Kommune</w:t>
      </w:r>
      <w:r>
        <w:rPr>
          <w:rFonts w:cs="Times New Roman"/>
          <w:szCs w:val="24"/>
        </w:rPr>
        <w:t xml:space="preserve">, </w:t>
      </w:r>
      <w:r w:rsidRPr="00E67E8B">
        <w:rPr>
          <w:rFonts w:cs="Times New Roman"/>
          <w:szCs w:val="24"/>
        </w:rPr>
        <w:t>Viborg Kommune</w:t>
      </w:r>
      <w:r>
        <w:rPr>
          <w:rFonts w:cs="Times New Roman"/>
          <w:szCs w:val="24"/>
        </w:rPr>
        <w:t xml:space="preserve">, </w:t>
      </w:r>
      <w:r w:rsidRPr="00E67E8B">
        <w:rPr>
          <w:rFonts w:cs="Times New Roman"/>
          <w:szCs w:val="24"/>
        </w:rPr>
        <w:t>Vordingborg Kommune</w:t>
      </w:r>
      <w:r>
        <w:rPr>
          <w:rFonts w:cs="Times New Roman"/>
          <w:szCs w:val="24"/>
        </w:rPr>
        <w:t xml:space="preserve">, </w:t>
      </w:r>
      <w:r w:rsidRPr="00E67E8B">
        <w:rPr>
          <w:rFonts w:cs="Times New Roman"/>
          <w:szCs w:val="24"/>
        </w:rPr>
        <w:t>Ærø Kommune</w:t>
      </w:r>
      <w:r>
        <w:rPr>
          <w:rFonts w:cs="Times New Roman"/>
          <w:szCs w:val="24"/>
        </w:rPr>
        <w:t xml:space="preserve">, </w:t>
      </w:r>
      <w:r w:rsidRPr="00E67E8B">
        <w:rPr>
          <w:rFonts w:cs="Times New Roman"/>
          <w:szCs w:val="24"/>
        </w:rPr>
        <w:t>Aabenraa Kommune</w:t>
      </w:r>
      <w:r>
        <w:rPr>
          <w:rFonts w:cs="Times New Roman"/>
          <w:szCs w:val="24"/>
        </w:rPr>
        <w:t xml:space="preserve">, </w:t>
      </w:r>
      <w:r w:rsidRPr="00E67E8B">
        <w:rPr>
          <w:rFonts w:cs="Times New Roman"/>
          <w:szCs w:val="24"/>
        </w:rPr>
        <w:t>Aalborg Kommune</w:t>
      </w:r>
      <w:r>
        <w:rPr>
          <w:rFonts w:cs="Times New Roman"/>
          <w:szCs w:val="24"/>
        </w:rPr>
        <w:t xml:space="preserve">, </w:t>
      </w:r>
      <w:r w:rsidRPr="00E67E8B">
        <w:rPr>
          <w:rFonts w:cs="Times New Roman"/>
          <w:szCs w:val="24"/>
        </w:rPr>
        <w:t>Aarhus Kommune</w:t>
      </w:r>
      <w:r>
        <w:rPr>
          <w:rFonts w:cs="Times New Roman"/>
          <w:szCs w:val="24"/>
        </w:rPr>
        <w:t xml:space="preserve">, </w:t>
      </w:r>
      <w:r w:rsidRPr="00E67E8B">
        <w:rPr>
          <w:rFonts w:cs="Times New Roman"/>
          <w:szCs w:val="24"/>
        </w:rPr>
        <w:t>3F</w:t>
      </w:r>
      <w:r>
        <w:rPr>
          <w:rFonts w:cs="Times New Roman"/>
          <w:szCs w:val="24"/>
        </w:rPr>
        <w:t xml:space="preserve">, </w:t>
      </w:r>
      <w:r w:rsidRPr="00E67E8B">
        <w:rPr>
          <w:rFonts w:cs="Times New Roman"/>
          <w:szCs w:val="24"/>
        </w:rPr>
        <w:t xml:space="preserve"> Asfaltindustrien</w:t>
      </w:r>
      <w:r>
        <w:rPr>
          <w:rFonts w:cs="Times New Roman"/>
          <w:szCs w:val="24"/>
        </w:rPr>
        <w:t xml:space="preserve">, </w:t>
      </w:r>
      <w:r w:rsidRPr="00E67E8B">
        <w:rPr>
          <w:rFonts w:cs="Times New Roman"/>
          <w:szCs w:val="24"/>
        </w:rPr>
        <w:t>BAU Jord til Bord</w:t>
      </w:r>
      <w:r>
        <w:rPr>
          <w:rFonts w:cs="Times New Roman"/>
          <w:szCs w:val="24"/>
        </w:rPr>
        <w:t xml:space="preserve">, </w:t>
      </w:r>
      <w:r w:rsidRPr="00E67E8B">
        <w:rPr>
          <w:rFonts w:cs="Times New Roman"/>
          <w:szCs w:val="24"/>
        </w:rPr>
        <w:t>Benzinforhandlernes Fælles Repræsentation</w:t>
      </w:r>
      <w:r>
        <w:rPr>
          <w:rFonts w:cs="Times New Roman"/>
          <w:szCs w:val="24"/>
        </w:rPr>
        <w:t xml:space="preserve">, </w:t>
      </w:r>
      <w:r w:rsidRPr="00E67E8B">
        <w:rPr>
          <w:rFonts w:cs="Times New Roman"/>
          <w:szCs w:val="24"/>
        </w:rPr>
        <w:t>Biologforbundet</w:t>
      </w:r>
      <w:r>
        <w:rPr>
          <w:rFonts w:cs="Times New Roman"/>
          <w:szCs w:val="24"/>
        </w:rPr>
        <w:t xml:space="preserve">, </w:t>
      </w:r>
      <w:r w:rsidRPr="00E67E8B">
        <w:rPr>
          <w:rFonts w:cs="Times New Roman"/>
          <w:szCs w:val="24"/>
        </w:rPr>
        <w:t>Brancheforeningen for kommunal Skadedyrsbekæmpelse, c/o Mortalin</w:t>
      </w:r>
      <w:r>
        <w:rPr>
          <w:rFonts w:cs="Times New Roman"/>
          <w:szCs w:val="24"/>
        </w:rPr>
        <w:t xml:space="preserve">, </w:t>
      </w:r>
      <w:r w:rsidRPr="00E67E8B">
        <w:rPr>
          <w:rFonts w:cs="Times New Roman"/>
          <w:szCs w:val="24"/>
        </w:rPr>
        <w:t xml:space="preserve"> Bryggeriforeningen</w:t>
      </w:r>
      <w:r>
        <w:rPr>
          <w:rFonts w:cs="Times New Roman"/>
          <w:szCs w:val="24"/>
        </w:rPr>
        <w:t xml:space="preserve">, </w:t>
      </w:r>
      <w:r w:rsidRPr="00E67E8B">
        <w:rPr>
          <w:rFonts w:cs="Times New Roman"/>
          <w:szCs w:val="24"/>
        </w:rPr>
        <w:t>Byggesocietetet</w:t>
      </w:r>
      <w:r>
        <w:rPr>
          <w:rFonts w:cs="Times New Roman"/>
          <w:szCs w:val="24"/>
        </w:rPr>
        <w:t xml:space="preserve">, </w:t>
      </w:r>
      <w:r w:rsidRPr="00E67E8B">
        <w:rPr>
          <w:rFonts w:cs="Times New Roman"/>
          <w:szCs w:val="24"/>
        </w:rPr>
        <w:t>Bæredygtigt Landbrug</w:t>
      </w:r>
      <w:r>
        <w:rPr>
          <w:rFonts w:cs="Times New Roman"/>
          <w:szCs w:val="24"/>
        </w:rPr>
        <w:t xml:space="preserve">, </w:t>
      </w:r>
      <w:r w:rsidRPr="00E67E8B">
        <w:rPr>
          <w:rFonts w:cs="Times New Roman"/>
          <w:szCs w:val="24"/>
        </w:rPr>
        <w:t>Campingrådet</w:t>
      </w:r>
      <w:r>
        <w:rPr>
          <w:rFonts w:cs="Times New Roman"/>
          <w:szCs w:val="24"/>
        </w:rPr>
        <w:t xml:space="preserve">, </w:t>
      </w:r>
      <w:r w:rsidRPr="00E67E8B">
        <w:rPr>
          <w:rFonts w:cs="Times New Roman"/>
          <w:szCs w:val="24"/>
        </w:rPr>
        <w:t>Centralorganisationernes Fællesudvalg (CFU)</w:t>
      </w:r>
      <w:r>
        <w:rPr>
          <w:rFonts w:cs="Times New Roman"/>
          <w:szCs w:val="24"/>
        </w:rPr>
        <w:t xml:space="preserve">, </w:t>
      </w:r>
      <w:r w:rsidRPr="00E67E8B">
        <w:rPr>
          <w:rFonts w:cs="Times New Roman"/>
          <w:szCs w:val="24"/>
        </w:rPr>
        <w:t>CO-Industri</w:t>
      </w:r>
      <w:r>
        <w:rPr>
          <w:rFonts w:cs="Times New Roman"/>
          <w:szCs w:val="24"/>
        </w:rPr>
        <w:t xml:space="preserve">, </w:t>
      </w:r>
      <w:r w:rsidRPr="00E67E8B">
        <w:rPr>
          <w:rFonts w:cs="Times New Roman"/>
          <w:szCs w:val="24"/>
        </w:rPr>
        <w:t>DAKOFA</w:t>
      </w:r>
      <w:r>
        <w:rPr>
          <w:rFonts w:cs="Times New Roman"/>
          <w:szCs w:val="24"/>
        </w:rPr>
        <w:t xml:space="preserve">, </w:t>
      </w:r>
      <w:r w:rsidRPr="00E67E8B">
        <w:rPr>
          <w:rFonts w:cs="Times New Roman"/>
          <w:szCs w:val="24"/>
        </w:rPr>
        <w:t>DAKOFO</w:t>
      </w:r>
      <w:r>
        <w:rPr>
          <w:rFonts w:cs="Times New Roman"/>
          <w:szCs w:val="24"/>
        </w:rPr>
        <w:t xml:space="preserve">, </w:t>
      </w:r>
      <w:r w:rsidRPr="00E67E8B">
        <w:rPr>
          <w:rFonts w:cs="Times New Roman"/>
          <w:szCs w:val="24"/>
        </w:rPr>
        <w:t>Danmarks Apotekerforening</w:t>
      </w:r>
      <w:r>
        <w:rPr>
          <w:rFonts w:cs="Times New Roman"/>
          <w:szCs w:val="24"/>
        </w:rPr>
        <w:t xml:space="preserve">, </w:t>
      </w:r>
      <w:r w:rsidRPr="00E67E8B">
        <w:rPr>
          <w:rFonts w:cs="Times New Roman"/>
          <w:szCs w:val="24"/>
        </w:rPr>
        <w:t>Danmarks farve- og limindustri (DI)</w:t>
      </w:r>
      <w:r>
        <w:rPr>
          <w:rFonts w:cs="Times New Roman"/>
          <w:szCs w:val="24"/>
        </w:rPr>
        <w:t xml:space="preserve">, </w:t>
      </w:r>
      <w:r w:rsidRPr="00E67E8B">
        <w:rPr>
          <w:rFonts w:cs="Times New Roman"/>
          <w:szCs w:val="24"/>
        </w:rPr>
        <w:t>Danmarks Fiskeindustri- og Eksportforening</w:t>
      </w:r>
      <w:r>
        <w:rPr>
          <w:rFonts w:cs="Times New Roman"/>
          <w:szCs w:val="24"/>
        </w:rPr>
        <w:t xml:space="preserve">, </w:t>
      </w:r>
      <w:r w:rsidRPr="00E67E8B">
        <w:rPr>
          <w:rFonts w:cs="Times New Roman"/>
          <w:szCs w:val="24"/>
        </w:rPr>
        <w:t>Danmarks Fiskeriforening Producent Organisation</w:t>
      </w:r>
      <w:r>
        <w:rPr>
          <w:rFonts w:cs="Times New Roman"/>
          <w:szCs w:val="24"/>
        </w:rPr>
        <w:t xml:space="preserve">, </w:t>
      </w:r>
      <w:r w:rsidRPr="00E67E8B">
        <w:rPr>
          <w:rFonts w:cs="Times New Roman"/>
          <w:szCs w:val="24"/>
        </w:rPr>
        <w:t>Danmarks Idrætsforbund</w:t>
      </w:r>
      <w:r>
        <w:rPr>
          <w:rFonts w:cs="Times New Roman"/>
          <w:szCs w:val="24"/>
        </w:rPr>
        <w:t xml:space="preserve">, </w:t>
      </w:r>
      <w:r w:rsidRPr="00E67E8B">
        <w:rPr>
          <w:rFonts w:cs="Times New Roman"/>
          <w:szCs w:val="24"/>
        </w:rPr>
        <w:t>Danmarks Jægerforbund</w:t>
      </w:r>
      <w:r>
        <w:rPr>
          <w:rFonts w:cs="Times New Roman"/>
          <w:szCs w:val="24"/>
        </w:rPr>
        <w:t xml:space="preserve">, </w:t>
      </w:r>
      <w:r w:rsidRPr="00E67E8B">
        <w:rPr>
          <w:rFonts w:cs="Times New Roman"/>
          <w:szCs w:val="24"/>
        </w:rPr>
        <w:t>Danmarks Naturfredningsforening</w:t>
      </w:r>
      <w:r>
        <w:rPr>
          <w:rFonts w:cs="Times New Roman"/>
          <w:szCs w:val="24"/>
        </w:rPr>
        <w:t xml:space="preserve">, </w:t>
      </w:r>
      <w:r w:rsidRPr="00E67E8B">
        <w:rPr>
          <w:rFonts w:cs="Times New Roman"/>
          <w:szCs w:val="24"/>
        </w:rPr>
        <w:t>Danmarks Sportsfiskerforbund</w:t>
      </w:r>
      <w:r>
        <w:rPr>
          <w:rFonts w:cs="Times New Roman"/>
          <w:szCs w:val="24"/>
        </w:rPr>
        <w:t xml:space="preserve">, </w:t>
      </w:r>
      <w:r w:rsidRPr="00E67E8B">
        <w:rPr>
          <w:rFonts w:cs="Times New Roman"/>
          <w:szCs w:val="24"/>
        </w:rPr>
        <w:t>Dansk Akvakultur</w:t>
      </w:r>
      <w:r>
        <w:rPr>
          <w:rFonts w:cs="Times New Roman"/>
          <w:szCs w:val="24"/>
        </w:rPr>
        <w:t xml:space="preserve">, </w:t>
      </w:r>
      <w:r w:rsidRPr="00E67E8B">
        <w:rPr>
          <w:rFonts w:cs="Times New Roman"/>
          <w:szCs w:val="24"/>
        </w:rPr>
        <w:t>Dansk Amatørfiskerforening</w:t>
      </w:r>
      <w:r>
        <w:rPr>
          <w:rFonts w:cs="Times New Roman"/>
          <w:szCs w:val="24"/>
        </w:rPr>
        <w:t xml:space="preserve">, </w:t>
      </w:r>
      <w:r w:rsidRPr="00E67E8B">
        <w:rPr>
          <w:rFonts w:cs="Times New Roman"/>
          <w:szCs w:val="24"/>
        </w:rPr>
        <w:t>Dansk Arbejdsgiverforening</w:t>
      </w:r>
      <w:r>
        <w:rPr>
          <w:rFonts w:cs="Times New Roman"/>
          <w:szCs w:val="24"/>
        </w:rPr>
        <w:t xml:space="preserve">, </w:t>
      </w:r>
      <w:r w:rsidRPr="00E67E8B">
        <w:rPr>
          <w:rFonts w:cs="Times New Roman"/>
          <w:szCs w:val="24"/>
        </w:rPr>
        <w:t>Dansk Autogenbrug (DAG)</w:t>
      </w:r>
      <w:r>
        <w:rPr>
          <w:rFonts w:cs="Times New Roman"/>
          <w:szCs w:val="24"/>
        </w:rPr>
        <w:t xml:space="preserve">, </w:t>
      </w:r>
      <w:r w:rsidRPr="00E67E8B">
        <w:rPr>
          <w:rFonts w:cs="Times New Roman"/>
          <w:szCs w:val="24"/>
        </w:rPr>
        <w:t>Dansk Bilbrancheråd</w:t>
      </w:r>
      <w:r>
        <w:rPr>
          <w:rFonts w:cs="Times New Roman"/>
          <w:szCs w:val="24"/>
        </w:rPr>
        <w:t xml:space="preserve">, </w:t>
      </w:r>
      <w:r w:rsidRPr="00E67E8B">
        <w:rPr>
          <w:rFonts w:cs="Times New Roman"/>
          <w:szCs w:val="24"/>
        </w:rPr>
        <w:t>Dansk Botanisk Forening</w:t>
      </w:r>
      <w:r>
        <w:rPr>
          <w:rFonts w:cs="Times New Roman"/>
          <w:szCs w:val="24"/>
        </w:rPr>
        <w:t xml:space="preserve">, </w:t>
      </w:r>
      <w:r w:rsidRPr="00E67E8B">
        <w:rPr>
          <w:rFonts w:cs="Times New Roman"/>
          <w:szCs w:val="24"/>
        </w:rPr>
        <w:t>Dansk Byggeri</w:t>
      </w:r>
      <w:r>
        <w:rPr>
          <w:rFonts w:cs="Times New Roman"/>
          <w:szCs w:val="24"/>
        </w:rPr>
        <w:t xml:space="preserve">, </w:t>
      </w:r>
      <w:r w:rsidRPr="00E67E8B">
        <w:rPr>
          <w:rFonts w:cs="Times New Roman"/>
          <w:szCs w:val="24"/>
        </w:rPr>
        <w:t>Dansk Detail</w:t>
      </w:r>
      <w:r>
        <w:rPr>
          <w:rFonts w:cs="Times New Roman"/>
          <w:szCs w:val="24"/>
        </w:rPr>
        <w:t xml:space="preserve">, </w:t>
      </w:r>
      <w:r w:rsidRPr="00E67E8B">
        <w:rPr>
          <w:rFonts w:cs="Times New Roman"/>
          <w:szCs w:val="24"/>
        </w:rPr>
        <w:t>Dansk Erhverv</w:t>
      </w:r>
      <w:r>
        <w:rPr>
          <w:rFonts w:cs="Times New Roman"/>
          <w:szCs w:val="24"/>
        </w:rPr>
        <w:t xml:space="preserve">, </w:t>
      </w:r>
      <w:r w:rsidRPr="00E67E8B">
        <w:rPr>
          <w:rFonts w:cs="Times New Roman"/>
          <w:szCs w:val="24"/>
        </w:rPr>
        <w:t>Dansk Erhvervsfremme</w:t>
      </w:r>
      <w:r>
        <w:rPr>
          <w:rFonts w:cs="Times New Roman"/>
          <w:szCs w:val="24"/>
        </w:rPr>
        <w:t xml:space="preserve">, </w:t>
      </w:r>
      <w:r w:rsidRPr="00E67E8B">
        <w:rPr>
          <w:rFonts w:cs="Times New Roman"/>
          <w:szCs w:val="24"/>
        </w:rPr>
        <w:t>Dansk Fritidsfiskerforbund</w:t>
      </w:r>
      <w:r>
        <w:rPr>
          <w:rFonts w:cs="Times New Roman"/>
          <w:szCs w:val="24"/>
        </w:rPr>
        <w:t xml:space="preserve">, </w:t>
      </w:r>
      <w:r w:rsidRPr="00E67E8B">
        <w:rPr>
          <w:rFonts w:cs="Times New Roman"/>
          <w:szCs w:val="24"/>
        </w:rPr>
        <w:t>Dansk Gartneri</w:t>
      </w:r>
      <w:r>
        <w:rPr>
          <w:rFonts w:cs="Times New Roman"/>
          <w:szCs w:val="24"/>
        </w:rPr>
        <w:t xml:space="preserve">, </w:t>
      </w:r>
      <w:r w:rsidRPr="00E67E8B">
        <w:rPr>
          <w:rFonts w:cs="Times New Roman"/>
          <w:szCs w:val="24"/>
        </w:rPr>
        <w:t>Dansk Golf Union</w:t>
      </w:r>
      <w:r>
        <w:rPr>
          <w:rFonts w:cs="Times New Roman"/>
          <w:szCs w:val="24"/>
        </w:rPr>
        <w:t xml:space="preserve">, </w:t>
      </w:r>
      <w:r w:rsidRPr="00E67E8B">
        <w:rPr>
          <w:rFonts w:cs="Times New Roman"/>
          <w:szCs w:val="24"/>
        </w:rPr>
        <w:t>Dansk Journalistforbund</w:t>
      </w:r>
      <w:r>
        <w:rPr>
          <w:rFonts w:cs="Times New Roman"/>
          <w:szCs w:val="24"/>
        </w:rPr>
        <w:t xml:space="preserve">, </w:t>
      </w:r>
      <w:r w:rsidRPr="00E67E8B">
        <w:rPr>
          <w:rFonts w:cs="Times New Roman"/>
          <w:szCs w:val="24"/>
        </w:rPr>
        <w:t>Dansk Kano og Kajak Forbund</w:t>
      </w:r>
      <w:r>
        <w:rPr>
          <w:rFonts w:cs="Times New Roman"/>
          <w:szCs w:val="24"/>
        </w:rPr>
        <w:t xml:space="preserve">, </w:t>
      </w:r>
      <w:r w:rsidRPr="00E67E8B">
        <w:rPr>
          <w:rFonts w:cs="Times New Roman"/>
          <w:szCs w:val="24"/>
        </w:rPr>
        <w:t>Dansk Land- og Strandjagt</w:t>
      </w:r>
      <w:r>
        <w:rPr>
          <w:rFonts w:cs="Times New Roman"/>
          <w:szCs w:val="24"/>
        </w:rPr>
        <w:t xml:space="preserve">, </w:t>
      </w:r>
      <w:r w:rsidRPr="00E67E8B">
        <w:rPr>
          <w:rFonts w:cs="Times New Roman"/>
          <w:szCs w:val="24"/>
        </w:rPr>
        <w:t>Dansk Maskinhandlerforening</w:t>
      </w:r>
      <w:r>
        <w:rPr>
          <w:rFonts w:cs="Times New Roman"/>
          <w:szCs w:val="24"/>
        </w:rPr>
        <w:t xml:space="preserve">, </w:t>
      </w:r>
      <w:r w:rsidRPr="00E67E8B">
        <w:rPr>
          <w:rFonts w:cs="Times New Roman"/>
          <w:szCs w:val="24"/>
        </w:rPr>
        <w:t>Dansk Metal</w:t>
      </w:r>
      <w:r>
        <w:rPr>
          <w:rFonts w:cs="Times New Roman"/>
          <w:szCs w:val="24"/>
        </w:rPr>
        <w:t xml:space="preserve">, </w:t>
      </w:r>
      <w:r w:rsidRPr="00E67E8B">
        <w:rPr>
          <w:rFonts w:cs="Times New Roman"/>
          <w:szCs w:val="24"/>
        </w:rPr>
        <w:t>Dansk Ornitologisk Forening</w:t>
      </w:r>
      <w:r>
        <w:rPr>
          <w:rFonts w:cs="Times New Roman"/>
          <w:szCs w:val="24"/>
        </w:rPr>
        <w:t xml:space="preserve">, </w:t>
      </w:r>
      <w:r w:rsidRPr="00E67E8B">
        <w:rPr>
          <w:rFonts w:cs="Times New Roman"/>
          <w:szCs w:val="24"/>
        </w:rPr>
        <w:t>Dansk Pelsdyravlerforening</w:t>
      </w:r>
      <w:r>
        <w:rPr>
          <w:rFonts w:cs="Times New Roman"/>
          <w:szCs w:val="24"/>
        </w:rPr>
        <w:t xml:space="preserve">, </w:t>
      </w:r>
      <w:r w:rsidRPr="00E67E8B">
        <w:rPr>
          <w:rFonts w:cs="Times New Roman"/>
          <w:szCs w:val="24"/>
        </w:rPr>
        <w:t>Dansk Planteværn</w:t>
      </w:r>
      <w:r>
        <w:rPr>
          <w:rFonts w:cs="Times New Roman"/>
          <w:szCs w:val="24"/>
        </w:rPr>
        <w:t xml:space="preserve">, </w:t>
      </w:r>
      <w:r w:rsidRPr="00E67E8B">
        <w:rPr>
          <w:rFonts w:cs="Times New Roman"/>
          <w:szCs w:val="24"/>
        </w:rPr>
        <w:t>Dansk Sejlunion</w:t>
      </w:r>
      <w:r>
        <w:rPr>
          <w:rFonts w:cs="Times New Roman"/>
          <w:szCs w:val="24"/>
        </w:rPr>
        <w:t xml:space="preserve">, </w:t>
      </w:r>
      <w:r w:rsidRPr="00E67E8B">
        <w:rPr>
          <w:rFonts w:cs="Times New Roman"/>
          <w:szCs w:val="24"/>
        </w:rPr>
        <w:t>Dansk Skovforening</w:t>
      </w:r>
      <w:r>
        <w:rPr>
          <w:rFonts w:cs="Times New Roman"/>
          <w:szCs w:val="24"/>
        </w:rPr>
        <w:t xml:space="preserve">, </w:t>
      </w:r>
      <w:r w:rsidRPr="00E67E8B">
        <w:rPr>
          <w:rFonts w:cs="Times New Roman"/>
          <w:szCs w:val="24"/>
        </w:rPr>
        <w:t>Dansk Skytte Union</w:t>
      </w:r>
      <w:r>
        <w:rPr>
          <w:rFonts w:cs="Times New Roman"/>
          <w:szCs w:val="24"/>
        </w:rPr>
        <w:t xml:space="preserve">, </w:t>
      </w:r>
      <w:r w:rsidRPr="00E67E8B">
        <w:rPr>
          <w:rFonts w:cs="Times New Roman"/>
          <w:szCs w:val="24"/>
        </w:rPr>
        <w:t>Dansk Solvarmeforening</w:t>
      </w:r>
      <w:r>
        <w:rPr>
          <w:rFonts w:cs="Times New Roman"/>
          <w:szCs w:val="24"/>
        </w:rPr>
        <w:t xml:space="preserve">, </w:t>
      </w:r>
      <w:r w:rsidRPr="00E67E8B">
        <w:rPr>
          <w:rFonts w:cs="Times New Roman"/>
          <w:szCs w:val="24"/>
        </w:rPr>
        <w:t>Dansk Sportsdykker Forbund</w:t>
      </w:r>
      <w:r>
        <w:rPr>
          <w:rFonts w:cs="Times New Roman"/>
          <w:szCs w:val="24"/>
        </w:rPr>
        <w:t xml:space="preserve">, </w:t>
      </w:r>
      <w:r w:rsidRPr="00E67E8B">
        <w:rPr>
          <w:rFonts w:cs="Times New Roman"/>
          <w:szCs w:val="24"/>
        </w:rPr>
        <w:t xml:space="preserve">Dansk </w:t>
      </w:r>
      <w:proofErr w:type="spellStart"/>
      <w:r w:rsidRPr="00E67E8B">
        <w:rPr>
          <w:rFonts w:cs="Times New Roman"/>
          <w:szCs w:val="24"/>
        </w:rPr>
        <w:lastRenderedPageBreak/>
        <w:t>Textil</w:t>
      </w:r>
      <w:proofErr w:type="spellEnd"/>
      <w:r w:rsidRPr="00E67E8B">
        <w:rPr>
          <w:rFonts w:cs="Times New Roman"/>
          <w:szCs w:val="24"/>
        </w:rPr>
        <w:t xml:space="preserve"> &amp; Beklædning (DTB)</w:t>
      </w:r>
      <w:r>
        <w:rPr>
          <w:rFonts w:cs="Times New Roman"/>
          <w:szCs w:val="24"/>
        </w:rPr>
        <w:t xml:space="preserve">, </w:t>
      </w:r>
      <w:r w:rsidRPr="00E67E8B">
        <w:rPr>
          <w:rFonts w:cs="Times New Roman"/>
          <w:szCs w:val="24"/>
        </w:rPr>
        <w:t>Dansk Transport og Logistik (DTL)</w:t>
      </w:r>
      <w:r>
        <w:rPr>
          <w:rFonts w:cs="Times New Roman"/>
          <w:szCs w:val="24"/>
        </w:rPr>
        <w:t xml:space="preserve">, </w:t>
      </w:r>
      <w:r w:rsidRPr="00E67E8B">
        <w:rPr>
          <w:rFonts w:cs="Times New Roman"/>
          <w:szCs w:val="24"/>
        </w:rPr>
        <w:t xml:space="preserve">Dansk </w:t>
      </w:r>
      <w:proofErr w:type="spellStart"/>
      <w:r w:rsidRPr="00E67E8B">
        <w:rPr>
          <w:rFonts w:cs="Times New Roman"/>
          <w:szCs w:val="24"/>
        </w:rPr>
        <w:t>Vandrelaug</w:t>
      </w:r>
      <w:proofErr w:type="spellEnd"/>
      <w:r>
        <w:rPr>
          <w:rFonts w:cs="Times New Roman"/>
          <w:szCs w:val="24"/>
        </w:rPr>
        <w:t xml:space="preserve">, </w:t>
      </w:r>
      <w:r w:rsidRPr="00E67E8B">
        <w:rPr>
          <w:rFonts w:cs="Times New Roman"/>
          <w:szCs w:val="24"/>
        </w:rPr>
        <w:t>Danske Havne</w:t>
      </w:r>
      <w:r>
        <w:rPr>
          <w:rFonts w:cs="Times New Roman"/>
          <w:szCs w:val="24"/>
        </w:rPr>
        <w:t xml:space="preserve">, </w:t>
      </w:r>
      <w:r w:rsidRPr="00E67E8B">
        <w:rPr>
          <w:rFonts w:cs="Times New Roman"/>
          <w:szCs w:val="24"/>
        </w:rPr>
        <w:t>Danske Juletræer</w:t>
      </w:r>
      <w:r>
        <w:rPr>
          <w:rFonts w:cs="Times New Roman"/>
          <w:szCs w:val="24"/>
        </w:rPr>
        <w:t xml:space="preserve">, </w:t>
      </w:r>
      <w:r w:rsidRPr="00E67E8B">
        <w:rPr>
          <w:rFonts w:cs="Times New Roman"/>
          <w:szCs w:val="24"/>
        </w:rPr>
        <w:t>Danske Maritime</w:t>
      </w:r>
      <w:r>
        <w:rPr>
          <w:rFonts w:cs="Times New Roman"/>
          <w:szCs w:val="24"/>
        </w:rPr>
        <w:t xml:space="preserve">, </w:t>
      </w:r>
      <w:r w:rsidRPr="00E67E8B">
        <w:rPr>
          <w:rFonts w:cs="Times New Roman"/>
          <w:szCs w:val="24"/>
        </w:rPr>
        <w:t>Danske Maskinstationer og Entreprenører</w:t>
      </w:r>
      <w:r>
        <w:rPr>
          <w:rFonts w:cs="Times New Roman"/>
          <w:szCs w:val="24"/>
        </w:rPr>
        <w:t xml:space="preserve">, </w:t>
      </w:r>
      <w:r w:rsidRPr="00E67E8B">
        <w:rPr>
          <w:rFonts w:cs="Times New Roman"/>
          <w:szCs w:val="24"/>
        </w:rPr>
        <w:t>Danske Mejeriers Fællesorganisation</w:t>
      </w:r>
      <w:r>
        <w:rPr>
          <w:rFonts w:cs="Times New Roman"/>
          <w:szCs w:val="24"/>
        </w:rPr>
        <w:t xml:space="preserve">, </w:t>
      </w:r>
      <w:r w:rsidRPr="00E67E8B">
        <w:rPr>
          <w:rFonts w:cs="Times New Roman"/>
          <w:szCs w:val="24"/>
        </w:rPr>
        <w:t>Danske Svineproducenter</w:t>
      </w:r>
      <w:r>
        <w:rPr>
          <w:rFonts w:cs="Times New Roman"/>
          <w:szCs w:val="24"/>
        </w:rPr>
        <w:t xml:space="preserve">, </w:t>
      </w:r>
      <w:r w:rsidRPr="00E67E8B">
        <w:rPr>
          <w:rFonts w:cs="Times New Roman"/>
          <w:szCs w:val="24"/>
        </w:rPr>
        <w:t>Danske Vandværker</w:t>
      </w:r>
      <w:r>
        <w:rPr>
          <w:rFonts w:cs="Times New Roman"/>
          <w:szCs w:val="24"/>
        </w:rPr>
        <w:t xml:space="preserve">, </w:t>
      </w:r>
      <w:r w:rsidRPr="00E67E8B">
        <w:rPr>
          <w:rFonts w:cs="Times New Roman"/>
          <w:szCs w:val="24"/>
        </w:rPr>
        <w:t>DANVA</w:t>
      </w:r>
      <w:r>
        <w:rPr>
          <w:rFonts w:cs="Times New Roman"/>
          <w:szCs w:val="24"/>
        </w:rPr>
        <w:t xml:space="preserve">, </w:t>
      </w:r>
      <w:r w:rsidRPr="00E67E8B">
        <w:rPr>
          <w:rFonts w:cs="Times New Roman"/>
          <w:szCs w:val="24"/>
        </w:rPr>
        <w:t>DASU (Dansk Automobil Sports Union)</w:t>
      </w:r>
      <w:r>
        <w:rPr>
          <w:rFonts w:cs="Times New Roman"/>
          <w:szCs w:val="24"/>
        </w:rPr>
        <w:t xml:space="preserve">, </w:t>
      </w:r>
      <w:r w:rsidRPr="00E67E8B">
        <w:rPr>
          <w:rFonts w:cs="Times New Roman"/>
          <w:szCs w:val="24"/>
        </w:rPr>
        <w:t>De Danske Skytteforeninger</w:t>
      </w:r>
      <w:r>
        <w:rPr>
          <w:rFonts w:cs="Times New Roman"/>
          <w:szCs w:val="24"/>
        </w:rPr>
        <w:t xml:space="preserve">, </w:t>
      </w:r>
      <w:r w:rsidRPr="00E67E8B">
        <w:rPr>
          <w:rFonts w:cs="Times New Roman"/>
          <w:szCs w:val="24"/>
        </w:rPr>
        <w:t>De Samvirkende Købmænd</w:t>
      </w:r>
      <w:r>
        <w:rPr>
          <w:rFonts w:cs="Times New Roman"/>
          <w:szCs w:val="24"/>
        </w:rPr>
        <w:t xml:space="preserve">, </w:t>
      </w:r>
      <w:r w:rsidRPr="00E67E8B">
        <w:rPr>
          <w:rFonts w:cs="Times New Roman"/>
          <w:szCs w:val="24"/>
        </w:rPr>
        <w:t>De Økonomiske Råd</w:t>
      </w:r>
      <w:r>
        <w:rPr>
          <w:rFonts w:cs="Times New Roman"/>
          <w:szCs w:val="24"/>
        </w:rPr>
        <w:t xml:space="preserve">, </w:t>
      </w:r>
      <w:r w:rsidRPr="00E67E8B">
        <w:rPr>
          <w:rFonts w:cs="Times New Roman"/>
          <w:szCs w:val="24"/>
        </w:rPr>
        <w:t>Foreningen af Kommunale Beredskabschefer</w:t>
      </w:r>
      <w:r>
        <w:rPr>
          <w:rFonts w:cs="Times New Roman"/>
          <w:szCs w:val="24"/>
        </w:rPr>
        <w:t xml:space="preserve">, </w:t>
      </w:r>
      <w:r w:rsidRPr="00E67E8B">
        <w:rPr>
          <w:rFonts w:cs="Times New Roman"/>
          <w:szCs w:val="24"/>
        </w:rPr>
        <w:t>Genanvend Biomasse</w:t>
      </w:r>
      <w:r>
        <w:rPr>
          <w:rFonts w:cs="Times New Roman"/>
          <w:szCs w:val="24"/>
        </w:rPr>
        <w:t xml:space="preserve">, </w:t>
      </w:r>
      <w:r w:rsidRPr="00E67E8B">
        <w:rPr>
          <w:rFonts w:cs="Times New Roman"/>
          <w:szCs w:val="24"/>
        </w:rPr>
        <w:t>Greenpeace, Danmark</w:t>
      </w:r>
      <w:r>
        <w:rPr>
          <w:rFonts w:cs="Times New Roman"/>
          <w:szCs w:val="24"/>
        </w:rPr>
        <w:t xml:space="preserve">, </w:t>
      </w:r>
      <w:r w:rsidRPr="00E67E8B">
        <w:rPr>
          <w:rFonts w:cs="Times New Roman"/>
          <w:szCs w:val="24"/>
        </w:rPr>
        <w:t>ITD</w:t>
      </w:r>
      <w:r>
        <w:rPr>
          <w:rFonts w:cs="Times New Roman"/>
          <w:szCs w:val="24"/>
        </w:rPr>
        <w:t xml:space="preserve">, </w:t>
      </w:r>
      <w:proofErr w:type="spellStart"/>
      <w:r w:rsidRPr="00E67E8B">
        <w:rPr>
          <w:rFonts w:cs="Times New Roman"/>
          <w:szCs w:val="24"/>
        </w:rPr>
        <w:t>LandboUngdom</w:t>
      </w:r>
      <w:proofErr w:type="spellEnd"/>
      <w:r>
        <w:rPr>
          <w:rFonts w:cs="Times New Roman"/>
          <w:szCs w:val="24"/>
        </w:rPr>
        <w:t xml:space="preserve">, </w:t>
      </w:r>
      <w:r w:rsidRPr="00E67E8B">
        <w:rPr>
          <w:rFonts w:cs="Times New Roman"/>
          <w:szCs w:val="24"/>
        </w:rPr>
        <w:t>Landbrug &amp; Fødevarer</w:t>
      </w:r>
      <w:r>
        <w:rPr>
          <w:rFonts w:cs="Times New Roman"/>
          <w:szCs w:val="24"/>
        </w:rPr>
        <w:t xml:space="preserve">, </w:t>
      </w:r>
      <w:r w:rsidRPr="00E67E8B">
        <w:rPr>
          <w:rFonts w:cs="Times New Roman"/>
          <w:szCs w:val="24"/>
        </w:rPr>
        <w:t>Lif</w:t>
      </w:r>
      <w:r>
        <w:rPr>
          <w:rFonts w:cs="Times New Roman"/>
          <w:szCs w:val="24"/>
        </w:rPr>
        <w:t xml:space="preserve">, </w:t>
      </w:r>
      <w:r w:rsidRPr="00E67E8B">
        <w:rPr>
          <w:rFonts w:cs="Times New Roman"/>
          <w:szCs w:val="24"/>
        </w:rPr>
        <w:t>Marine Ingredients Denmark</w:t>
      </w:r>
      <w:r>
        <w:rPr>
          <w:rFonts w:cs="Times New Roman"/>
          <w:szCs w:val="24"/>
        </w:rPr>
        <w:t xml:space="preserve">, </w:t>
      </w:r>
      <w:r w:rsidRPr="00E67E8B">
        <w:rPr>
          <w:rFonts w:cs="Times New Roman"/>
          <w:szCs w:val="24"/>
        </w:rPr>
        <w:t>NOAH</w:t>
      </w:r>
      <w:r>
        <w:rPr>
          <w:rFonts w:cs="Times New Roman"/>
          <w:szCs w:val="24"/>
        </w:rPr>
        <w:t xml:space="preserve">, </w:t>
      </w:r>
      <w:r w:rsidRPr="00E67E8B">
        <w:rPr>
          <w:rFonts w:cs="Times New Roman"/>
          <w:szCs w:val="24"/>
        </w:rPr>
        <w:t>Oliebranchens fællesrepræsentation</w:t>
      </w:r>
      <w:r>
        <w:rPr>
          <w:rFonts w:cs="Times New Roman"/>
          <w:szCs w:val="24"/>
        </w:rPr>
        <w:t xml:space="preserve">, </w:t>
      </w:r>
      <w:r w:rsidRPr="00E67E8B">
        <w:rPr>
          <w:rFonts w:cs="Times New Roman"/>
          <w:szCs w:val="24"/>
        </w:rPr>
        <w:t>SEGES</w:t>
      </w:r>
      <w:r>
        <w:rPr>
          <w:rFonts w:cs="Times New Roman"/>
          <w:szCs w:val="24"/>
        </w:rPr>
        <w:t xml:space="preserve">, </w:t>
      </w:r>
      <w:r w:rsidRPr="00E67E8B">
        <w:rPr>
          <w:rFonts w:cs="Times New Roman"/>
          <w:szCs w:val="24"/>
        </w:rPr>
        <w:t>Søfartens Arbejdsmiljøråd</w:t>
      </w:r>
      <w:r>
        <w:rPr>
          <w:rFonts w:cs="Times New Roman"/>
          <w:szCs w:val="24"/>
        </w:rPr>
        <w:t xml:space="preserve">, </w:t>
      </w:r>
      <w:r w:rsidRPr="00E67E8B">
        <w:rPr>
          <w:rFonts w:cs="Times New Roman"/>
          <w:szCs w:val="24"/>
        </w:rPr>
        <w:t>Wind Denmark</w:t>
      </w:r>
      <w:r>
        <w:rPr>
          <w:rFonts w:cs="Times New Roman"/>
          <w:szCs w:val="24"/>
        </w:rPr>
        <w:t xml:space="preserve">, </w:t>
      </w:r>
      <w:r w:rsidRPr="00E67E8B">
        <w:rPr>
          <w:rFonts w:cs="Times New Roman"/>
          <w:szCs w:val="24"/>
        </w:rPr>
        <w:t>Økologisk Landsforening</w:t>
      </w:r>
      <w:r>
        <w:rPr>
          <w:rFonts w:cs="Times New Roman"/>
          <w:szCs w:val="24"/>
        </w:rPr>
        <w:t xml:space="preserve">, </w:t>
      </w:r>
      <w:r w:rsidRPr="00E67E8B">
        <w:rPr>
          <w:rFonts w:cs="Times New Roman"/>
          <w:szCs w:val="24"/>
        </w:rPr>
        <w:t>DTU</w:t>
      </w:r>
      <w:r>
        <w:rPr>
          <w:rFonts w:cs="Times New Roman"/>
          <w:szCs w:val="24"/>
        </w:rPr>
        <w:t xml:space="preserve">, </w:t>
      </w:r>
      <w:r w:rsidRPr="00E67E8B">
        <w:rPr>
          <w:rFonts w:cs="Times New Roman"/>
          <w:szCs w:val="24"/>
        </w:rPr>
        <w:t>DTU Aqua</w:t>
      </w:r>
      <w:r>
        <w:rPr>
          <w:rFonts w:cs="Times New Roman"/>
          <w:szCs w:val="24"/>
        </w:rPr>
        <w:t xml:space="preserve">, </w:t>
      </w:r>
      <w:r w:rsidRPr="00E67E8B">
        <w:rPr>
          <w:rFonts w:cs="Times New Roman"/>
          <w:szCs w:val="24"/>
        </w:rPr>
        <w:t>Københavns Universitet, Nationalt Center for Skov, Landskab og Planlægning</w:t>
      </w:r>
      <w:r>
        <w:rPr>
          <w:rFonts w:cs="Times New Roman"/>
          <w:szCs w:val="24"/>
        </w:rPr>
        <w:t xml:space="preserve">, </w:t>
      </w:r>
      <w:r w:rsidRPr="00E67E8B">
        <w:rPr>
          <w:rFonts w:cs="Times New Roman"/>
          <w:szCs w:val="24"/>
        </w:rPr>
        <w:t>Aalborg Universitet</w:t>
      </w:r>
      <w:r>
        <w:rPr>
          <w:rFonts w:cs="Times New Roman"/>
          <w:szCs w:val="24"/>
        </w:rPr>
        <w:t xml:space="preserve">, </w:t>
      </w:r>
      <w:r w:rsidRPr="00E67E8B">
        <w:rPr>
          <w:rFonts w:cs="Times New Roman"/>
          <w:szCs w:val="24"/>
        </w:rPr>
        <w:t>Aarhus Universitet</w:t>
      </w:r>
      <w:r>
        <w:rPr>
          <w:rFonts w:cs="Times New Roman"/>
          <w:szCs w:val="24"/>
        </w:rPr>
        <w:t xml:space="preserve">, </w:t>
      </w:r>
      <w:r w:rsidRPr="00E67E8B">
        <w:rPr>
          <w:rFonts w:cs="Times New Roman"/>
          <w:szCs w:val="24"/>
        </w:rPr>
        <w:t>Aarhus Universitet, DCA - Nationalt Center for Fødevarer og Jordbrug</w:t>
      </w:r>
      <w:r>
        <w:rPr>
          <w:rFonts w:cs="Times New Roman"/>
          <w:szCs w:val="24"/>
        </w:rPr>
        <w:t xml:space="preserve">, </w:t>
      </w:r>
      <w:r w:rsidRPr="00E67E8B">
        <w:rPr>
          <w:rFonts w:cs="Times New Roman"/>
          <w:szCs w:val="24"/>
        </w:rPr>
        <w:t>Aarhus Universitet, DCE - Nationalt Center for Miljø og Energi</w:t>
      </w:r>
      <w:r>
        <w:rPr>
          <w:rFonts w:cs="Times New Roman"/>
          <w:szCs w:val="24"/>
        </w:rPr>
        <w:t xml:space="preserve">, </w:t>
      </w:r>
      <w:r w:rsidRPr="00E67E8B">
        <w:rPr>
          <w:rFonts w:cs="Times New Roman"/>
          <w:szCs w:val="24"/>
        </w:rPr>
        <w:t>COOP Danmark A/S</w:t>
      </w:r>
      <w:r>
        <w:rPr>
          <w:rFonts w:cs="Times New Roman"/>
          <w:szCs w:val="24"/>
        </w:rPr>
        <w:t xml:space="preserve">, </w:t>
      </w:r>
      <w:r w:rsidRPr="00E67E8B">
        <w:rPr>
          <w:rFonts w:cs="Times New Roman"/>
          <w:szCs w:val="24"/>
        </w:rPr>
        <w:t>DELTA</w:t>
      </w:r>
      <w:r>
        <w:rPr>
          <w:rFonts w:cs="Times New Roman"/>
          <w:szCs w:val="24"/>
        </w:rPr>
        <w:t xml:space="preserve">, </w:t>
      </w:r>
      <w:r w:rsidRPr="00E67E8B">
        <w:rPr>
          <w:rFonts w:cs="Times New Roman"/>
          <w:szCs w:val="24"/>
        </w:rPr>
        <w:t>Mærsk Olie og Gas A/S</w:t>
      </w:r>
      <w:r>
        <w:rPr>
          <w:rFonts w:cs="Times New Roman"/>
          <w:szCs w:val="24"/>
        </w:rPr>
        <w:t xml:space="preserve">, </w:t>
      </w:r>
      <w:r w:rsidRPr="00E67E8B">
        <w:rPr>
          <w:rFonts w:cs="Times New Roman"/>
          <w:szCs w:val="24"/>
        </w:rPr>
        <w:t>DHI</w:t>
      </w:r>
      <w:r>
        <w:rPr>
          <w:rFonts w:cs="Times New Roman"/>
          <w:szCs w:val="24"/>
        </w:rPr>
        <w:t xml:space="preserve">, </w:t>
      </w:r>
      <w:r w:rsidRPr="00E67E8B">
        <w:rPr>
          <w:rFonts w:cs="Times New Roman"/>
          <w:szCs w:val="24"/>
        </w:rPr>
        <w:t>Dyrenes Beskyttelse</w:t>
      </w:r>
      <w:r>
        <w:rPr>
          <w:rFonts w:cs="Times New Roman"/>
          <w:szCs w:val="24"/>
        </w:rPr>
        <w:t xml:space="preserve">, </w:t>
      </w:r>
      <w:r w:rsidRPr="00E67E8B">
        <w:rPr>
          <w:rFonts w:cs="Times New Roman"/>
          <w:szCs w:val="24"/>
        </w:rPr>
        <w:t>Energinet.dk</w:t>
      </w:r>
      <w:r>
        <w:rPr>
          <w:rFonts w:cs="Times New Roman"/>
          <w:szCs w:val="24"/>
        </w:rPr>
        <w:t xml:space="preserve">, </w:t>
      </w:r>
      <w:r w:rsidRPr="00E67E8B">
        <w:rPr>
          <w:rFonts w:cs="Times New Roman"/>
          <w:szCs w:val="24"/>
        </w:rPr>
        <w:t>Foreningen af Byplanlæggere (FAB)</w:t>
      </w:r>
      <w:r>
        <w:rPr>
          <w:rFonts w:cs="Times New Roman"/>
          <w:szCs w:val="24"/>
        </w:rPr>
        <w:t xml:space="preserve">, </w:t>
      </w:r>
      <w:r w:rsidRPr="00E67E8B">
        <w:rPr>
          <w:rFonts w:cs="Times New Roman"/>
          <w:szCs w:val="24"/>
        </w:rPr>
        <w:t>Foreningen af Danske Biologer</w:t>
      </w:r>
      <w:r>
        <w:rPr>
          <w:rFonts w:cs="Times New Roman"/>
          <w:szCs w:val="24"/>
        </w:rPr>
        <w:t xml:space="preserve">, </w:t>
      </w:r>
      <w:r w:rsidRPr="00E67E8B">
        <w:rPr>
          <w:rFonts w:cs="Times New Roman"/>
          <w:szCs w:val="24"/>
        </w:rPr>
        <w:t>Foreningen af danske brøndborere</w:t>
      </w:r>
      <w:r>
        <w:rPr>
          <w:rFonts w:cs="Times New Roman"/>
          <w:szCs w:val="24"/>
        </w:rPr>
        <w:t xml:space="preserve">, </w:t>
      </w:r>
      <w:r w:rsidRPr="00E67E8B">
        <w:rPr>
          <w:rFonts w:cs="Times New Roman"/>
          <w:szCs w:val="24"/>
        </w:rPr>
        <w:t>Foreningen af Forlystelsesparker i Danmark</w:t>
      </w:r>
      <w:r>
        <w:rPr>
          <w:rFonts w:cs="Times New Roman"/>
          <w:szCs w:val="24"/>
        </w:rPr>
        <w:t xml:space="preserve">, </w:t>
      </w:r>
      <w:r w:rsidRPr="00E67E8B">
        <w:rPr>
          <w:rFonts w:cs="Times New Roman"/>
          <w:szCs w:val="24"/>
        </w:rPr>
        <w:t>Foreningen af Lystbådehavne i Danmark</w:t>
      </w:r>
      <w:r>
        <w:rPr>
          <w:rFonts w:cs="Times New Roman"/>
          <w:szCs w:val="24"/>
        </w:rPr>
        <w:t xml:space="preserve">, </w:t>
      </w:r>
      <w:r w:rsidRPr="00E67E8B">
        <w:rPr>
          <w:rFonts w:cs="Times New Roman"/>
          <w:szCs w:val="24"/>
        </w:rPr>
        <w:t>Foreningen af speciallæger (ex. Embedslægeforeningen)</w:t>
      </w:r>
      <w:r>
        <w:rPr>
          <w:rFonts w:cs="Times New Roman"/>
          <w:szCs w:val="24"/>
        </w:rPr>
        <w:t xml:space="preserve">, </w:t>
      </w:r>
      <w:r w:rsidRPr="00E67E8B">
        <w:rPr>
          <w:rFonts w:cs="Times New Roman"/>
          <w:szCs w:val="24"/>
        </w:rPr>
        <w:t>Foreningen for Biodynamisk Jordbrug</w:t>
      </w:r>
      <w:r>
        <w:rPr>
          <w:rFonts w:cs="Times New Roman"/>
          <w:szCs w:val="24"/>
        </w:rPr>
        <w:t xml:space="preserve">, </w:t>
      </w:r>
      <w:r w:rsidRPr="00E67E8B">
        <w:rPr>
          <w:rFonts w:cs="Times New Roman"/>
          <w:szCs w:val="24"/>
        </w:rPr>
        <w:t>Green Network</w:t>
      </w:r>
      <w:r>
        <w:rPr>
          <w:rFonts w:cs="Times New Roman"/>
          <w:szCs w:val="24"/>
        </w:rPr>
        <w:t xml:space="preserve">, </w:t>
      </w:r>
      <w:r w:rsidRPr="00E67E8B">
        <w:rPr>
          <w:rFonts w:cs="Times New Roman"/>
          <w:szCs w:val="24"/>
        </w:rPr>
        <w:t>Grænseregion Syd</w:t>
      </w:r>
      <w:r>
        <w:rPr>
          <w:rFonts w:cs="Times New Roman"/>
          <w:szCs w:val="24"/>
        </w:rPr>
        <w:t xml:space="preserve">, </w:t>
      </w:r>
      <w:r w:rsidRPr="00E67E8B">
        <w:rPr>
          <w:rFonts w:cs="Times New Roman"/>
          <w:szCs w:val="24"/>
        </w:rPr>
        <w:t>Grøn Hverdag</w:t>
      </w:r>
      <w:r>
        <w:rPr>
          <w:rFonts w:cs="Times New Roman"/>
          <w:szCs w:val="24"/>
        </w:rPr>
        <w:t xml:space="preserve">, </w:t>
      </w:r>
      <w:r w:rsidRPr="00E67E8B">
        <w:rPr>
          <w:rFonts w:cs="Times New Roman"/>
          <w:szCs w:val="24"/>
        </w:rPr>
        <w:t>GTS (Godkendt Teknologisk Service)</w:t>
      </w:r>
      <w:r>
        <w:rPr>
          <w:rFonts w:cs="Times New Roman"/>
          <w:szCs w:val="24"/>
        </w:rPr>
        <w:t xml:space="preserve">, </w:t>
      </w:r>
      <w:r w:rsidRPr="00E67E8B">
        <w:rPr>
          <w:rFonts w:cs="Times New Roman"/>
          <w:szCs w:val="24"/>
        </w:rPr>
        <w:t>HK-Kommunal Miljøudvalg</w:t>
      </w:r>
      <w:r>
        <w:rPr>
          <w:rFonts w:cs="Times New Roman"/>
          <w:szCs w:val="24"/>
        </w:rPr>
        <w:t xml:space="preserve">, </w:t>
      </w:r>
      <w:r w:rsidRPr="00E67E8B">
        <w:rPr>
          <w:rFonts w:cs="Times New Roman"/>
          <w:szCs w:val="24"/>
        </w:rPr>
        <w:t>Jordbrugets Bedriftssundhedstjeneste</w:t>
      </w:r>
      <w:r>
        <w:rPr>
          <w:rFonts w:cs="Times New Roman"/>
          <w:szCs w:val="24"/>
        </w:rPr>
        <w:t xml:space="preserve">, </w:t>
      </w:r>
      <w:r w:rsidRPr="00E67E8B">
        <w:rPr>
          <w:rFonts w:cs="Times New Roman"/>
          <w:szCs w:val="24"/>
        </w:rPr>
        <w:t>Kalk- &amp; Teglværksforeningen af 1893</w:t>
      </w:r>
      <w:r>
        <w:rPr>
          <w:rFonts w:cs="Times New Roman"/>
          <w:szCs w:val="24"/>
        </w:rPr>
        <w:t xml:space="preserve">, </w:t>
      </w:r>
      <w:r w:rsidRPr="00E67E8B">
        <w:rPr>
          <w:rFonts w:cs="Times New Roman"/>
          <w:szCs w:val="24"/>
        </w:rPr>
        <w:t>Kemi &amp; Life Science</w:t>
      </w:r>
      <w:r>
        <w:rPr>
          <w:rFonts w:cs="Times New Roman"/>
          <w:szCs w:val="24"/>
        </w:rPr>
        <w:t xml:space="preserve">, Kommunernes Landsforening, </w:t>
      </w:r>
      <w:r w:rsidRPr="00E67E8B">
        <w:rPr>
          <w:rFonts w:cs="Times New Roman"/>
          <w:szCs w:val="24"/>
        </w:rPr>
        <w:t>Kosmetik og hygiejnebranchen</w:t>
      </w:r>
      <w:r>
        <w:rPr>
          <w:rFonts w:cs="Times New Roman"/>
          <w:szCs w:val="24"/>
        </w:rPr>
        <w:t xml:space="preserve">, </w:t>
      </w:r>
      <w:r w:rsidRPr="00E67E8B">
        <w:rPr>
          <w:rFonts w:cs="Times New Roman"/>
          <w:szCs w:val="24"/>
        </w:rPr>
        <w:t>Kyst, Land &amp; Fjord</w:t>
      </w:r>
      <w:r>
        <w:rPr>
          <w:rFonts w:cs="Times New Roman"/>
          <w:szCs w:val="24"/>
        </w:rPr>
        <w:t xml:space="preserve">, </w:t>
      </w:r>
      <w:r w:rsidRPr="00E67E8B">
        <w:rPr>
          <w:rFonts w:cs="Times New Roman"/>
          <w:szCs w:val="24"/>
        </w:rPr>
        <w:t>Københavns Havn</w:t>
      </w:r>
      <w:r>
        <w:rPr>
          <w:rFonts w:cs="Times New Roman"/>
          <w:szCs w:val="24"/>
        </w:rPr>
        <w:t xml:space="preserve">, Landbrug &amp; Fødevarer, </w:t>
      </w:r>
      <w:r w:rsidRPr="00E67E8B">
        <w:rPr>
          <w:rFonts w:cs="Times New Roman"/>
          <w:szCs w:val="24"/>
        </w:rPr>
        <w:t>Landdistrikternes Fællesråd</w:t>
      </w:r>
      <w:r>
        <w:rPr>
          <w:rFonts w:cs="Times New Roman"/>
          <w:szCs w:val="24"/>
        </w:rPr>
        <w:t xml:space="preserve">, </w:t>
      </w:r>
      <w:r w:rsidRPr="00E67E8B">
        <w:rPr>
          <w:rFonts w:cs="Times New Roman"/>
          <w:szCs w:val="24"/>
        </w:rPr>
        <w:t>Landsforeningen af Danske Mælkeproducenter</w:t>
      </w:r>
      <w:r>
        <w:rPr>
          <w:rFonts w:cs="Times New Roman"/>
          <w:szCs w:val="24"/>
        </w:rPr>
        <w:t xml:space="preserve">, </w:t>
      </w:r>
      <w:r w:rsidRPr="00E67E8B">
        <w:rPr>
          <w:rFonts w:cs="Times New Roman"/>
          <w:szCs w:val="24"/>
        </w:rPr>
        <w:t>Landsforeningen af Landsbysamfund</w:t>
      </w:r>
      <w:r>
        <w:rPr>
          <w:rFonts w:cs="Times New Roman"/>
          <w:szCs w:val="24"/>
        </w:rPr>
        <w:t xml:space="preserve">, </w:t>
      </w:r>
      <w:r w:rsidRPr="00E67E8B">
        <w:rPr>
          <w:rFonts w:cs="Times New Roman"/>
          <w:szCs w:val="24"/>
        </w:rPr>
        <w:t>Landsforeningen for Dansk Fåreavl</w:t>
      </w:r>
      <w:r>
        <w:rPr>
          <w:rFonts w:cs="Times New Roman"/>
          <w:szCs w:val="24"/>
        </w:rPr>
        <w:t xml:space="preserve">, </w:t>
      </w:r>
      <w:r w:rsidRPr="00E67E8B">
        <w:rPr>
          <w:rFonts w:cs="Times New Roman"/>
          <w:szCs w:val="24"/>
        </w:rPr>
        <w:t xml:space="preserve"> Landsforeningen for Gylleramte</w:t>
      </w:r>
      <w:r>
        <w:rPr>
          <w:rFonts w:cs="Times New Roman"/>
          <w:szCs w:val="24"/>
        </w:rPr>
        <w:t xml:space="preserve">, </w:t>
      </w:r>
      <w:r w:rsidRPr="00E67E8B">
        <w:rPr>
          <w:rFonts w:cs="Times New Roman"/>
          <w:szCs w:val="24"/>
        </w:rPr>
        <w:t>Landsforeningen Levende Hav</w:t>
      </w:r>
      <w:r>
        <w:rPr>
          <w:rFonts w:cs="Times New Roman"/>
          <w:szCs w:val="24"/>
        </w:rPr>
        <w:t xml:space="preserve">, </w:t>
      </w:r>
      <w:r w:rsidRPr="00E67E8B">
        <w:rPr>
          <w:rFonts w:cs="Times New Roman"/>
          <w:szCs w:val="24"/>
        </w:rPr>
        <w:t>Landsforeningen Naboer til Kæmpevindmøller</w:t>
      </w:r>
      <w:r>
        <w:rPr>
          <w:rFonts w:cs="Times New Roman"/>
          <w:szCs w:val="24"/>
        </w:rPr>
        <w:t xml:space="preserve">, </w:t>
      </w:r>
      <w:r w:rsidRPr="00E67E8B">
        <w:rPr>
          <w:rFonts w:cs="Times New Roman"/>
          <w:szCs w:val="24"/>
        </w:rPr>
        <w:t>Landsforeningen Praktisk Økologi</w:t>
      </w:r>
      <w:r>
        <w:rPr>
          <w:rFonts w:cs="Times New Roman"/>
          <w:szCs w:val="24"/>
        </w:rPr>
        <w:t xml:space="preserve">, </w:t>
      </w:r>
      <w:r w:rsidRPr="00E67E8B">
        <w:rPr>
          <w:rFonts w:cs="Times New Roman"/>
          <w:szCs w:val="24"/>
        </w:rPr>
        <w:t>Landsorganisationen i Danmark (LO)</w:t>
      </w:r>
      <w:r>
        <w:rPr>
          <w:rFonts w:cs="Times New Roman"/>
          <w:szCs w:val="24"/>
        </w:rPr>
        <w:t xml:space="preserve">,  </w:t>
      </w:r>
      <w:r w:rsidRPr="00E67E8B">
        <w:rPr>
          <w:rFonts w:cs="Times New Roman"/>
          <w:szCs w:val="24"/>
        </w:rPr>
        <w:t>Matas A/S</w:t>
      </w:r>
      <w:r>
        <w:rPr>
          <w:rFonts w:cs="Times New Roman"/>
          <w:szCs w:val="24"/>
        </w:rPr>
        <w:t xml:space="preserve">, </w:t>
      </w:r>
      <w:r w:rsidRPr="00E67E8B">
        <w:rPr>
          <w:rFonts w:cs="Times New Roman"/>
          <w:szCs w:val="24"/>
        </w:rPr>
        <w:t>Natur og Ungdom</w:t>
      </w:r>
      <w:r>
        <w:rPr>
          <w:rFonts w:cs="Times New Roman"/>
          <w:szCs w:val="24"/>
        </w:rPr>
        <w:t xml:space="preserve">, </w:t>
      </w:r>
      <w:r w:rsidRPr="00E67E8B">
        <w:rPr>
          <w:rFonts w:cs="Times New Roman"/>
          <w:szCs w:val="24"/>
        </w:rPr>
        <w:t>Nordisk konservatorforbund</w:t>
      </w:r>
      <w:r>
        <w:rPr>
          <w:rFonts w:cs="Times New Roman"/>
          <w:szCs w:val="24"/>
        </w:rPr>
        <w:t xml:space="preserve">, </w:t>
      </w:r>
      <w:r w:rsidRPr="00E67E8B">
        <w:rPr>
          <w:rFonts w:cs="Times New Roman"/>
          <w:szCs w:val="24"/>
        </w:rPr>
        <w:t>Novo Nordisk</w:t>
      </w:r>
      <w:r>
        <w:rPr>
          <w:rFonts w:cs="Times New Roman"/>
          <w:szCs w:val="24"/>
        </w:rPr>
        <w:t xml:space="preserve">, </w:t>
      </w:r>
      <w:r w:rsidRPr="00E67E8B">
        <w:rPr>
          <w:rFonts w:cs="Times New Roman"/>
          <w:szCs w:val="24"/>
        </w:rPr>
        <w:t>Parcelhusejernes Landsorganisation</w:t>
      </w:r>
      <w:r>
        <w:rPr>
          <w:rFonts w:cs="Times New Roman"/>
          <w:szCs w:val="24"/>
        </w:rPr>
        <w:t xml:space="preserve">, </w:t>
      </w:r>
      <w:r w:rsidRPr="00E67E8B">
        <w:rPr>
          <w:rFonts w:cs="Times New Roman"/>
          <w:szCs w:val="24"/>
        </w:rPr>
        <w:t>Realkreditforeningen</w:t>
      </w:r>
      <w:r>
        <w:rPr>
          <w:rFonts w:cs="Times New Roman"/>
          <w:szCs w:val="24"/>
        </w:rPr>
        <w:t xml:space="preserve">, </w:t>
      </w:r>
      <w:r w:rsidRPr="00E67E8B">
        <w:rPr>
          <w:rFonts w:cs="Times New Roman"/>
          <w:szCs w:val="24"/>
        </w:rPr>
        <w:t>Rederiforeningen af 2010 og Danmarks Rederiforening</w:t>
      </w:r>
      <w:r>
        <w:rPr>
          <w:rFonts w:cs="Times New Roman"/>
          <w:szCs w:val="24"/>
        </w:rPr>
        <w:t xml:space="preserve">, </w:t>
      </w:r>
      <w:r w:rsidRPr="00E67E8B">
        <w:rPr>
          <w:rFonts w:cs="Times New Roman"/>
          <w:szCs w:val="24"/>
        </w:rPr>
        <w:t>Skovdyrkerne</w:t>
      </w:r>
      <w:r>
        <w:rPr>
          <w:rFonts w:cs="Times New Roman"/>
          <w:szCs w:val="24"/>
        </w:rPr>
        <w:t xml:space="preserve">, </w:t>
      </w:r>
      <w:r w:rsidRPr="00E67E8B">
        <w:rPr>
          <w:rFonts w:cs="Times New Roman"/>
          <w:szCs w:val="24"/>
        </w:rPr>
        <w:t>Spildevandsteknisk forening</w:t>
      </w:r>
      <w:r>
        <w:rPr>
          <w:rFonts w:cs="Times New Roman"/>
          <w:szCs w:val="24"/>
        </w:rPr>
        <w:t xml:space="preserve">, </w:t>
      </w:r>
      <w:r w:rsidRPr="00E67E8B">
        <w:rPr>
          <w:rFonts w:cs="Times New Roman"/>
          <w:szCs w:val="24"/>
        </w:rPr>
        <w:t>Træinfo</w:t>
      </w:r>
      <w:r>
        <w:rPr>
          <w:rFonts w:cs="Times New Roman"/>
          <w:szCs w:val="24"/>
        </w:rPr>
        <w:t xml:space="preserve">, </w:t>
      </w:r>
      <w:proofErr w:type="spellStart"/>
      <w:r w:rsidRPr="00E67E8B">
        <w:rPr>
          <w:rFonts w:cs="Times New Roman"/>
          <w:szCs w:val="24"/>
        </w:rPr>
        <w:t>Uniscrap</w:t>
      </w:r>
      <w:proofErr w:type="spellEnd"/>
      <w:r>
        <w:rPr>
          <w:rFonts w:cs="Times New Roman"/>
          <w:szCs w:val="24"/>
        </w:rPr>
        <w:t xml:space="preserve">, </w:t>
      </w:r>
      <w:r w:rsidRPr="00E67E8B">
        <w:rPr>
          <w:rFonts w:cs="Times New Roman"/>
          <w:szCs w:val="24"/>
        </w:rPr>
        <w:t>Ørsted</w:t>
      </w:r>
      <w:r>
        <w:rPr>
          <w:rFonts w:cs="Times New Roman"/>
          <w:szCs w:val="24"/>
        </w:rPr>
        <w:t>.</w:t>
      </w:r>
    </w:p>
    <w:p w14:paraId="7DFCC425" w14:textId="77777777" w:rsidR="00AD185E" w:rsidRPr="00AD185E" w:rsidRDefault="00AD185E" w:rsidP="00AD185E">
      <w:pPr>
        <w:spacing w:line="360" w:lineRule="auto"/>
        <w:rPr>
          <w:rFonts w:cs="Times New Roman"/>
          <w:szCs w:val="24"/>
        </w:rPr>
      </w:pPr>
    </w:p>
    <w:p w14:paraId="08668880" w14:textId="0438723A" w:rsidR="00FD1A50" w:rsidRPr="00C125ED" w:rsidRDefault="00FD1A50" w:rsidP="00C125ED">
      <w:pPr>
        <w:spacing w:after="240"/>
        <w:rPr>
          <w:rFonts w:eastAsia="Calibri" w:cs="Times New Roman"/>
          <w:i/>
          <w:szCs w:val="24"/>
        </w:rPr>
      </w:pPr>
      <w:r w:rsidRPr="00E24E87">
        <w:rPr>
          <w:rFonts w:eastAsia="Calibri" w:cs="Times New Roman"/>
          <w:i/>
          <w:szCs w:val="24"/>
        </w:rPr>
        <w:lastRenderedPageBreak/>
        <w:t>11. Sammenfattende skema</w:t>
      </w:r>
    </w:p>
    <w:p w14:paraId="608F5B35" w14:textId="77777777" w:rsidR="00FD1A50" w:rsidRPr="003B0B97" w:rsidRDefault="00FD1A50" w:rsidP="00FD1A50">
      <w:pPr>
        <w:pStyle w:val="Overskrift1"/>
        <w:rPr>
          <w:rFonts w:cs="Times New Roman"/>
          <w:bCs w:val="0"/>
          <w:iCs/>
          <w:sz w:val="24"/>
          <w:szCs w:val="24"/>
        </w:rPr>
      </w:pPr>
      <w:bookmarkStart w:id="7" w:name="_Toc243705914"/>
      <w:bookmarkStart w:id="8" w:name="_Toc329931208"/>
      <w:bookmarkStart w:id="9" w:name="_Toc329931319"/>
      <w:bookmarkStart w:id="10" w:name="_Toc442277394"/>
      <w:bookmarkStart w:id="11" w:name="_Toc442281312"/>
      <w:bookmarkStart w:id="12" w:name="_Toc442281342"/>
      <w:bookmarkStart w:id="13" w:name="_Toc442777852"/>
      <w:bookmarkStart w:id="14" w:name="_Toc442787249"/>
      <w:bookmarkStart w:id="15" w:name="_Toc442787541"/>
      <w:bookmarkStart w:id="16" w:name="_Toc442953247"/>
      <w:bookmarkStart w:id="17" w:name="_Toc443047631"/>
      <w:bookmarkStart w:id="18" w:name="_Toc444095991"/>
      <w:bookmarkStart w:id="19" w:name="_Toc444244517"/>
      <w:bookmarkStart w:id="20" w:name="_Toc498557232"/>
      <w:bookmarkStart w:id="21" w:name="_Toc498557302"/>
      <w:bookmarkStart w:id="22" w:name="_Toc498590036"/>
      <w:bookmarkStart w:id="23" w:name="_Toc498681519"/>
      <w:bookmarkStart w:id="24" w:name="_Toc499152791"/>
      <w:bookmarkStart w:id="25" w:name="_Toc499158750"/>
      <w:bookmarkStart w:id="26" w:name="_Toc499648623"/>
      <w:bookmarkStart w:id="27" w:name="_Toc499728116"/>
      <w:bookmarkStart w:id="28" w:name="_Toc499732964"/>
      <w:bookmarkStart w:id="29" w:name="_Toc499736995"/>
      <w:bookmarkStart w:id="30" w:name="_Toc499812935"/>
      <w:bookmarkStart w:id="31" w:name="_Toc499813738"/>
      <w:bookmarkStart w:id="32" w:name="_Toc500921485"/>
      <w:bookmarkStart w:id="33" w:name="_Toc500921511"/>
      <w:bookmarkStart w:id="34" w:name="_Toc500921622"/>
      <w:bookmarkStart w:id="35" w:name="_Toc501019232"/>
      <w:bookmarkStart w:id="36" w:name="_Toc504483877"/>
      <w:bookmarkStart w:id="37" w:name="_Toc505180555"/>
      <w:bookmarkStart w:id="38" w:name="_Toc505690208"/>
      <w:bookmarkStart w:id="39" w:name="_Toc505701761"/>
      <w:bookmarkStart w:id="40" w:name="_Toc505759553"/>
      <w:bookmarkStart w:id="41" w:name="_Toc505759570"/>
      <w:bookmarkStart w:id="42" w:name="_Toc505762663"/>
      <w:bookmarkStart w:id="43" w:name="_Toc505786003"/>
      <w:bookmarkStart w:id="44" w:name="_Toc506799588"/>
      <w:bookmarkStart w:id="45" w:name="_Toc506799605"/>
      <w:bookmarkStart w:id="46" w:name="_Toc506894564"/>
      <w:bookmarkStart w:id="47" w:name="_Toc507486301"/>
      <w:bookmarkStart w:id="48" w:name="_Toc515271236"/>
      <w:bookmarkStart w:id="49" w:name="_Toc515271559"/>
      <w:bookmarkStart w:id="50" w:name="_Toc515271587"/>
      <w:bookmarkStart w:id="51" w:name="_Toc515280495"/>
      <w:bookmarkStart w:id="52" w:name="_Toc515280646"/>
      <w:bookmarkStart w:id="53" w:name="_Toc515352798"/>
      <w:bookmarkStart w:id="54" w:name="_Toc515540871"/>
      <w:bookmarkStart w:id="55" w:name="_Toc515543711"/>
      <w:bookmarkStart w:id="56" w:name="_Toc515543896"/>
      <w:bookmarkStart w:id="57" w:name="_Toc515551697"/>
      <w:bookmarkStart w:id="58" w:name="_Toc515627639"/>
      <w:bookmarkStart w:id="59" w:name="_Toc516039949"/>
      <w:bookmarkStart w:id="60" w:name="_Toc516155372"/>
      <w:bookmarkStart w:id="61" w:name="_Toc516490273"/>
      <w:bookmarkStart w:id="62" w:name="_Toc518037955"/>
      <w:bookmarkStart w:id="63" w:name="_Toc524599607"/>
      <w:bookmarkStart w:id="64" w:name="_Toc526154940"/>
      <w:bookmarkStart w:id="65" w:name="_Toc526155486"/>
      <w:bookmarkStart w:id="66" w:name="_Toc526155559"/>
      <w:bookmarkStart w:id="67" w:name="_Toc526253996"/>
      <w:bookmarkStart w:id="68" w:name="_Toc526348421"/>
      <w:bookmarkStart w:id="69" w:name="_Toc526374612"/>
      <w:bookmarkStart w:id="70" w:name="_Toc526374628"/>
      <w:bookmarkStart w:id="71" w:name="_Toc526406491"/>
      <w:bookmarkStart w:id="72" w:name="_Toc526409517"/>
      <w:bookmarkStart w:id="73" w:name="_Toc526491416"/>
      <w:bookmarkStart w:id="74" w:name="_Toc526505528"/>
      <w:bookmarkStart w:id="75" w:name="_Toc526756620"/>
      <w:r>
        <w:rPr>
          <w:rFonts w:cs="Times New Roman"/>
          <w:bCs w:val="0"/>
          <w:iCs/>
          <w:sz w:val="24"/>
          <w:szCs w:val="24"/>
        </w:rPr>
        <w:t>11</w:t>
      </w:r>
      <w:r w:rsidRPr="003B0B97">
        <w:rPr>
          <w:rFonts w:cs="Times New Roman"/>
          <w:bCs w:val="0"/>
          <w:iCs/>
          <w:sz w:val="24"/>
          <w:szCs w:val="24"/>
        </w:rPr>
        <w:t>. Sammenfattende skema</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tbl>
      <w:tblPr>
        <w:tblW w:w="8930" w:type="dxa"/>
        <w:tblInd w:w="299" w:type="dxa"/>
        <w:tblCellMar>
          <w:top w:w="15" w:type="dxa"/>
          <w:left w:w="15" w:type="dxa"/>
          <w:bottom w:w="15" w:type="dxa"/>
          <w:right w:w="15" w:type="dxa"/>
        </w:tblCellMar>
        <w:tblLook w:val="04A0" w:firstRow="1" w:lastRow="0" w:firstColumn="1" w:lastColumn="0" w:noHBand="0" w:noVBand="1"/>
      </w:tblPr>
      <w:tblGrid>
        <w:gridCol w:w="2963"/>
        <w:gridCol w:w="3105"/>
        <w:gridCol w:w="2862"/>
      </w:tblGrid>
      <w:tr w:rsidR="00FD1A50" w:rsidRPr="00E93993" w14:paraId="3CD7A88A" w14:textId="77777777" w:rsidTr="00A0359E">
        <w:tc>
          <w:tcPr>
            <w:tcW w:w="1676" w:type="dxa"/>
            <w:tcBorders>
              <w:top w:val="single" w:sz="8" w:space="0" w:color="000000"/>
              <w:left w:val="single" w:sz="8" w:space="0" w:color="000000"/>
              <w:bottom w:val="single" w:sz="8" w:space="0" w:color="000000"/>
              <w:right w:val="single" w:sz="8" w:space="0" w:color="000000"/>
            </w:tcBorders>
            <w:hideMark/>
          </w:tcPr>
          <w:p w14:paraId="76AAEFBF" w14:textId="77777777" w:rsidR="00FD1A50" w:rsidRPr="00E93993" w:rsidRDefault="00FD1A50" w:rsidP="00A0359E">
            <w:pPr>
              <w:spacing w:after="240"/>
              <w:rPr>
                <w:rFonts w:eastAsia="Times New Roman"/>
                <w:color w:val="000000"/>
                <w:szCs w:val="24"/>
                <w:lang w:eastAsia="da-DK"/>
              </w:rPr>
            </w:pPr>
            <w:r w:rsidRPr="00E93993">
              <w:rPr>
                <w:rFonts w:eastAsia="Times New Roman"/>
                <w:color w:val="000000"/>
                <w:szCs w:val="24"/>
                <w:lang w:eastAsia="da-DK"/>
              </w:rPr>
              <w:t> </w:t>
            </w:r>
          </w:p>
        </w:tc>
        <w:tc>
          <w:tcPr>
            <w:tcW w:w="3685" w:type="dxa"/>
            <w:tcBorders>
              <w:top w:val="single" w:sz="8" w:space="0" w:color="000000"/>
              <w:left w:val="single" w:sz="8" w:space="0" w:color="000000"/>
              <w:bottom w:val="single" w:sz="8" w:space="0" w:color="000000"/>
              <w:right w:val="single" w:sz="8" w:space="0" w:color="000000"/>
            </w:tcBorders>
            <w:hideMark/>
          </w:tcPr>
          <w:p w14:paraId="16BC5705" w14:textId="77777777" w:rsidR="00FD1A50" w:rsidRPr="00E93993" w:rsidRDefault="00FD1A50" w:rsidP="00A0359E">
            <w:pPr>
              <w:spacing w:after="240"/>
              <w:jc w:val="center"/>
              <w:rPr>
                <w:rFonts w:eastAsia="Times New Roman"/>
                <w:color w:val="000000"/>
                <w:szCs w:val="24"/>
                <w:lang w:eastAsia="da-DK"/>
              </w:rPr>
            </w:pPr>
            <w:r w:rsidRPr="00E93993">
              <w:rPr>
                <w:rFonts w:eastAsia="Times New Roman"/>
                <w:color w:val="000000"/>
                <w:szCs w:val="24"/>
                <w:lang w:eastAsia="da-DK"/>
              </w:rPr>
              <w:t>Positive konsekvenser/</w:t>
            </w:r>
            <w:proofErr w:type="spellStart"/>
            <w:r w:rsidRPr="00E93993">
              <w:rPr>
                <w:rFonts w:eastAsia="Times New Roman"/>
                <w:color w:val="000000"/>
                <w:szCs w:val="24"/>
                <w:lang w:eastAsia="da-DK"/>
              </w:rPr>
              <w:t>mindreudgifter</w:t>
            </w:r>
            <w:proofErr w:type="spellEnd"/>
            <w:r>
              <w:rPr>
                <w:rFonts w:eastAsia="Times New Roman"/>
                <w:color w:val="000000"/>
                <w:szCs w:val="24"/>
                <w:lang w:eastAsia="da-DK"/>
              </w:rPr>
              <w:t xml:space="preserve"> </w:t>
            </w:r>
            <w:r w:rsidRPr="00E93993">
              <w:rPr>
                <w:rFonts w:eastAsia="Times New Roman"/>
                <w:color w:val="000000"/>
                <w:szCs w:val="24"/>
                <w:lang w:eastAsia="da-DK"/>
              </w:rPr>
              <w:t>(hvis ja, angiv omfang/Hvis nej, anfør »Ingen«)</w:t>
            </w:r>
          </w:p>
        </w:tc>
        <w:tc>
          <w:tcPr>
            <w:tcW w:w="3569" w:type="dxa"/>
            <w:tcBorders>
              <w:top w:val="single" w:sz="8" w:space="0" w:color="000000"/>
              <w:left w:val="single" w:sz="8" w:space="0" w:color="000000"/>
              <w:bottom w:val="single" w:sz="8" w:space="0" w:color="000000"/>
              <w:right w:val="single" w:sz="8" w:space="0" w:color="000000"/>
            </w:tcBorders>
            <w:hideMark/>
          </w:tcPr>
          <w:p w14:paraId="52630C31" w14:textId="77777777" w:rsidR="00FD1A50" w:rsidRPr="00E93993" w:rsidRDefault="00FD1A50" w:rsidP="00A0359E">
            <w:pPr>
              <w:spacing w:after="240"/>
              <w:jc w:val="center"/>
              <w:rPr>
                <w:rFonts w:ascii="Tahoma" w:eastAsia="Times New Roman" w:hAnsi="Tahoma" w:cs="Tahoma"/>
                <w:color w:val="000000"/>
                <w:szCs w:val="24"/>
                <w:lang w:eastAsia="da-DK"/>
              </w:rPr>
            </w:pPr>
            <w:r w:rsidRPr="00E93993">
              <w:rPr>
                <w:rFonts w:eastAsia="Times New Roman" w:cs="Times New Roman"/>
                <w:color w:val="000000"/>
                <w:szCs w:val="24"/>
                <w:lang w:eastAsia="da-DK"/>
              </w:rPr>
              <w:t>Negative konsekvenser/merudgifter</w:t>
            </w:r>
            <w:r>
              <w:rPr>
                <w:rFonts w:eastAsia="Times New Roman" w:cs="Times New Roman"/>
                <w:color w:val="000000"/>
                <w:szCs w:val="24"/>
                <w:lang w:eastAsia="da-DK"/>
              </w:rPr>
              <w:t xml:space="preserve"> </w:t>
            </w:r>
            <w:r w:rsidRPr="00E93993">
              <w:rPr>
                <w:rFonts w:eastAsia="Times New Roman"/>
                <w:color w:val="000000"/>
                <w:szCs w:val="24"/>
                <w:lang w:eastAsia="da-DK"/>
              </w:rPr>
              <w:t>(hvis ja, angiv omfang/Hvis nej, anfør »Ingen«)</w:t>
            </w:r>
          </w:p>
        </w:tc>
      </w:tr>
      <w:tr w:rsidR="00FD1A50" w:rsidRPr="00E93993" w14:paraId="3859F30F" w14:textId="77777777" w:rsidTr="00A0359E">
        <w:tc>
          <w:tcPr>
            <w:tcW w:w="1676" w:type="dxa"/>
            <w:tcBorders>
              <w:top w:val="single" w:sz="8" w:space="0" w:color="000000"/>
              <w:left w:val="single" w:sz="8" w:space="0" w:color="000000"/>
              <w:bottom w:val="single" w:sz="8" w:space="0" w:color="000000"/>
              <w:right w:val="single" w:sz="8" w:space="0" w:color="000000"/>
            </w:tcBorders>
            <w:hideMark/>
          </w:tcPr>
          <w:p w14:paraId="38698FD3" w14:textId="77777777" w:rsidR="00FD1A50" w:rsidRPr="00E93993" w:rsidRDefault="00FD1A50" w:rsidP="00A0359E">
            <w:pPr>
              <w:spacing w:after="240"/>
              <w:rPr>
                <w:rFonts w:eastAsia="Times New Roman"/>
                <w:color w:val="000000"/>
                <w:szCs w:val="24"/>
                <w:lang w:eastAsia="da-DK"/>
              </w:rPr>
            </w:pPr>
            <w:r w:rsidRPr="00E93993">
              <w:rPr>
                <w:rFonts w:eastAsia="Times New Roman"/>
                <w:color w:val="000000"/>
                <w:szCs w:val="24"/>
                <w:lang w:eastAsia="da-DK"/>
              </w:rPr>
              <w:t>Økonomiske konsekvenser for stat, kommuner og regioner</w:t>
            </w:r>
          </w:p>
        </w:tc>
        <w:tc>
          <w:tcPr>
            <w:tcW w:w="3685" w:type="dxa"/>
            <w:tcBorders>
              <w:top w:val="single" w:sz="8" w:space="0" w:color="000000"/>
              <w:left w:val="single" w:sz="8" w:space="0" w:color="000000"/>
              <w:bottom w:val="single" w:sz="8" w:space="0" w:color="000000"/>
              <w:right w:val="single" w:sz="8" w:space="0" w:color="000000"/>
            </w:tcBorders>
            <w:hideMark/>
          </w:tcPr>
          <w:p w14:paraId="44BF5563" w14:textId="6A9B2A8B" w:rsidR="00FD1A50" w:rsidRPr="00E93993" w:rsidRDefault="0029478B" w:rsidP="00A0359E">
            <w:pPr>
              <w:spacing w:after="240"/>
              <w:rPr>
                <w:rFonts w:eastAsia="Times New Roman"/>
                <w:color w:val="000000"/>
                <w:szCs w:val="24"/>
                <w:lang w:eastAsia="da-DK"/>
              </w:rPr>
            </w:pPr>
            <w:r>
              <w:rPr>
                <w:rFonts w:eastAsia="Times New Roman"/>
                <w:color w:val="000000"/>
                <w:szCs w:val="24"/>
                <w:lang w:eastAsia="da-DK"/>
              </w:rPr>
              <w:t>Ingen</w:t>
            </w:r>
          </w:p>
        </w:tc>
        <w:tc>
          <w:tcPr>
            <w:tcW w:w="3569" w:type="dxa"/>
            <w:tcBorders>
              <w:top w:val="single" w:sz="8" w:space="0" w:color="000000"/>
              <w:left w:val="single" w:sz="8" w:space="0" w:color="000000"/>
              <w:bottom w:val="single" w:sz="8" w:space="0" w:color="000000"/>
              <w:right w:val="single" w:sz="8" w:space="0" w:color="000000"/>
            </w:tcBorders>
            <w:hideMark/>
          </w:tcPr>
          <w:p w14:paraId="4F72307C" w14:textId="77777777" w:rsidR="0029478B" w:rsidRDefault="0029478B" w:rsidP="00A0359E">
            <w:pPr>
              <w:spacing w:after="240"/>
              <w:rPr>
                <w:rFonts w:eastAsia="Times New Roman"/>
                <w:color w:val="000000"/>
                <w:szCs w:val="24"/>
                <w:lang w:eastAsia="da-DK"/>
              </w:rPr>
            </w:pPr>
            <w:r>
              <w:rPr>
                <w:rFonts w:eastAsia="Times New Roman"/>
                <w:color w:val="000000"/>
                <w:szCs w:val="24"/>
                <w:lang w:eastAsia="da-DK"/>
              </w:rPr>
              <w:t>Stat:</w:t>
            </w:r>
          </w:p>
          <w:p w14:paraId="206400DA" w14:textId="0FC9D84B" w:rsidR="0029478B" w:rsidRDefault="0029478B" w:rsidP="00A0359E">
            <w:pPr>
              <w:spacing w:after="240"/>
              <w:rPr>
                <w:rFonts w:eastAsia="Times New Roman"/>
                <w:color w:val="000000"/>
                <w:szCs w:val="24"/>
                <w:lang w:eastAsia="da-DK"/>
              </w:rPr>
            </w:pPr>
            <w:r>
              <w:rPr>
                <w:rFonts w:eastAsia="Times New Roman"/>
                <w:color w:val="000000"/>
                <w:szCs w:val="24"/>
                <w:lang w:eastAsia="da-DK"/>
              </w:rPr>
              <w:t xml:space="preserve">Udgifter </w:t>
            </w:r>
            <w:r w:rsidR="00A7678E">
              <w:rPr>
                <w:rFonts w:eastAsia="Times New Roman"/>
                <w:color w:val="000000"/>
                <w:szCs w:val="24"/>
                <w:lang w:eastAsia="da-DK"/>
              </w:rPr>
              <w:t xml:space="preserve">forventes at udgøre </w:t>
            </w:r>
            <w:r w:rsidR="004A679E">
              <w:rPr>
                <w:rFonts w:eastAsia="Times New Roman"/>
                <w:color w:val="000000"/>
                <w:szCs w:val="24"/>
                <w:lang w:eastAsia="da-DK"/>
              </w:rPr>
              <w:t xml:space="preserve"> </w:t>
            </w:r>
            <w:r w:rsidR="0053303F">
              <w:rPr>
                <w:rFonts w:eastAsia="Times New Roman"/>
                <w:color w:val="000000"/>
                <w:szCs w:val="24"/>
                <w:lang w:eastAsia="da-DK"/>
              </w:rPr>
              <w:t xml:space="preserve"> </w:t>
            </w:r>
            <w:r>
              <w:rPr>
                <w:rFonts w:eastAsia="Times New Roman"/>
                <w:color w:val="000000"/>
                <w:szCs w:val="24"/>
                <w:lang w:eastAsia="da-DK"/>
              </w:rPr>
              <w:t>ca. 34 mio. kr. fordelt over 2024-2027.</w:t>
            </w:r>
          </w:p>
          <w:p w14:paraId="217DE498" w14:textId="64FDB9F2" w:rsidR="00FD1A50" w:rsidRDefault="0029478B" w:rsidP="00A0359E">
            <w:pPr>
              <w:spacing w:after="240"/>
              <w:rPr>
                <w:rFonts w:eastAsia="Times New Roman"/>
                <w:color w:val="000000"/>
                <w:szCs w:val="24"/>
                <w:lang w:eastAsia="da-DK"/>
              </w:rPr>
            </w:pPr>
            <w:r>
              <w:rPr>
                <w:rFonts w:eastAsia="Times New Roman"/>
                <w:color w:val="000000"/>
                <w:szCs w:val="24"/>
                <w:lang w:eastAsia="da-DK"/>
              </w:rPr>
              <w:t xml:space="preserve">Udgifter til behandling af evt. klagesager hos hhv. miljø- og fødevareklagenævnet og taksationsmyndighederne. Endnu ikke kvantificeret. </w:t>
            </w:r>
          </w:p>
          <w:p w14:paraId="22506D32" w14:textId="77777777" w:rsidR="0029478B" w:rsidRDefault="0029478B" w:rsidP="00A0359E">
            <w:pPr>
              <w:spacing w:after="240"/>
              <w:rPr>
                <w:rFonts w:eastAsia="Times New Roman"/>
                <w:color w:val="000000"/>
                <w:szCs w:val="24"/>
                <w:lang w:eastAsia="da-DK"/>
              </w:rPr>
            </w:pPr>
            <w:r>
              <w:rPr>
                <w:rFonts w:eastAsia="Times New Roman"/>
                <w:color w:val="000000"/>
                <w:szCs w:val="24"/>
                <w:lang w:eastAsia="da-DK"/>
              </w:rPr>
              <w:t>Kommuner:</w:t>
            </w:r>
          </w:p>
          <w:p w14:paraId="7B3B9898" w14:textId="58BDCA5F" w:rsidR="0029478B" w:rsidRPr="00E93993" w:rsidRDefault="0029478B" w:rsidP="00A0359E">
            <w:pPr>
              <w:spacing w:after="240"/>
              <w:rPr>
                <w:rFonts w:eastAsia="Times New Roman"/>
                <w:color w:val="000000"/>
                <w:szCs w:val="24"/>
                <w:lang w:eastAsia="da-DK"/>
              </w:rPr>
            </w:pPr>
            <w:r>
              <w:rPr>
                <w:rFonts w:eastAsia="Times New Roman"/>
                <w:color w:val="000000"/>
                <w:szCs w:val="24"/>
                <w:lang w:eastAsia="da-DK"/>
              </w:rPr>
              <w:t>Sagsbehandling af påbud, mv. Tilførsel af midler hertil ifm. DUT.</w:t>
            </w:r>
          </w:p>
        </w:tc>
      </w:tr>
      <w:tr w:rsidR="00FD1A50" w:rsidRPr="00E93993" w14:paraId="5C05DA22" w14:textId="77777777" w:rsidTr="00A0359E">
        <w:tc>
          <w:tcPr>
            <w:tcW w:w="1676" w:type="dxa"/>
            <w:tcBorders>
              <w:top w:val="single" w:sz="8" w:space="0" w:color="000000"/>
              <w:left w:val="single" w:sz="8" w:space="0" w:color="000000"/>
              <w:bottom w:val="single" w:sz="8" w:space="0" w:color="000000"/>
              <w:right w:val="single" w:sz="8" w:space="0" w:color="000000"/>
            </w:tcBorders>
            <w:hideMark/>
          </w:tcPr>
          <w:p w14:paraId="6DCE5964" w14:textId="77777777" w:rsidR="00FD1A50" w:rsidRPr="00E93993" w:rsidRDefault="00FD1A50" w:rsidP="00A0359E">
            <w:pPr>
              <w:spacing w:after="240"/>
              <w:rPr>
                <w:rFonts w:eastAsia="Times New Roman"/>
                <w:color w:val="000000"/>
                <w:szCs w:val="24"/>
                <w:lang w:eastAsia="da-DK"/>
              </w:rPr>
            </w:pPr>
            <w:r>
              <w:rPr>
                <w:rFonts w:eastAsia="Times New Roman"/>
                <w:color w:val="000000"/>
                <w:szCs w:val="24"/>
                <w:lang w:eastAsia="da-DK"/>
              </w:rPr>
              <w:t>Implementerings</w:t>
            </w:r>
            <w:r w:rsidRPr="00E93993">
              <w:rPr>
                <w:rFonts w:eastAsia="Times New Roman"/>
                <w:color w:val="000000"/>
                <w:szCs w:val="24"/>
                <w:lang w:eastAsia="da-DK"/>
              </w:rPr>
              <w:t>konsekvenser for stat, kommuner og regioner</w:t>
            </w:r>
          </w:p>
        </w:tc>
        <w:tc>
          <w:tcPr>
            <w:tcW w:w="3685" w:type="dxa"/>
            <w:tcBorders>
              <w:top w:val="single" w:sz="8" w:space="0" w:color="000000"/>
              <w:left w:val="single" w:sz="8" w:space="0" w:color="000000"/>
              <w:bottom w:val="single" w:sz="8" w:space="0" w:color="000000"/>
              <w:right w:val="single" w:sz="8" w:space="0" w:color="000000"/>
            </w:tcBorders>
            <w:hideMark/>
          </w:tcPr>
          <w:p w14:paraId="20485474" w14:textId="13FBB039" w:rsidR="00FD1A50" w:rsidRPr="00E93993" w:rsidRDefault="00C13194" w:rsidP="00A0359E">
            <w:pPr>
              <w:spacing w:after="240"/>
              <w:rPr>
                <w:rFonts w:eastAsia="Times New Roman"/>
                <w:color w:val="000000"/>
                <w:szCs w:val="24"/>
                <w:lang w:eastAsia="da-DK"/>
              </w:rPr>
            </w:pPr>
            <w:r>
              <w:rPr>
                <w:rFonts w:eastAsia="Times New Roman"/>
                <w:color w:val="000000"/>
                <w:szCs w:val="24"/>
                <w:lang w:eastAsia="da-DK"/>
              </w:rPr>
              <w:t>Ingen</w:t>
            </w:r>
          </w:p>
        </w:tc>
        <w:tc>
          <w:tcPr>
            <w:tcW w:w="3569" w:type="dxa"/>
            <w:tcBorders>
              <w:top w:val="single" w:sz="8" w:space="0" w:color="000000"/>
              <w:left w:val="single" w:sz="8" w:space="0" w:color="000000"/>
              <w:bottom w:val="single" w:sz="8" w:space="0" w:color="000000"/>
              <w:right w:val="single" w:sz="8" w:space="0" w:color="000000"/>
            </w:tcBorders>
            <w:hideMark/>
          </w:tcPr>
          <w:p w14:paraId="11DCBB30" w14:textId="4712842F" w:rsidR="0029478B" w:rsidRPr="00E93993" w:rsidRDefault="0029478B" w:rsidP="00825A01">
            <w:pPr>
              <w:spacing w:after="240"/>
              <w:rPr>
                <w:rFonts w:eastAsia="Times New Roman"/>
                <w:color w:val="000000"/>
                <w:szCs w:val="24"/>
                <w:lang w:eastAsia="da-DK"/>
              </w:rPr>
            </w:pPr>
            <w:r>
              <w:rPr>
                <w:rFonts w:eastAsia="Times New Roman"/>
                <w:color w:val="000000"/>
                <w:szCs w:val="24"/>
                <w:lang w:eastAsia="da-DK"/>
              </w:rPr>
              <w:t xml:space="preserve">Ny procedure for klagesager kan have negative konsekvenser for virksomheder (grundejere), da klager ikke tillægges opsættende virkning. </w:t>
            </w:r>
          </w:p>
        </w:tc>
      </w:tr>
      <w:tr w:rsidR="00FD1A50" w:rsidRPr="00E93993" w14:paraId="21BF4A5E" w14:textId="77777777" w:rsidTr="00A0359E">
        <w:tc>
          <w:tcPr>
            <w:tcW w:w="1676" w:type="dxa"/>
            <w:tcBorders>
              <w:top w:val="single" w:sz="8" w:space="0" w:color="000000"/>
              <w:left w:val="single" w:sz="8" w:space="0" w:color="000000"/>
              <w:bottom w:val="single" w:sz="8" w:space="0" w:color="000000"/>
              <w:right w:val="single" w:sz="8" w:space="0" w:color="000000"/>
            </w:tcBorders>
            <w:hideMark/>
          </w:tcPr>
          <w:p w14:paraId="678E1EF2" w14:textId="77777777" w:rsidR="00FD1A50" w:rsidRPr="00E93993" w:rsidRDefault="00FD1A50" w:rsidP="00A0359E">
            <w:pPr>
              <w:spacing w:after="240"/>
              <w:rPr>
                <w:rFonts w:eastAsia="Times New Roman"/>
                <w:color w:val="000000"/>
                <w:szCs w:val="24"/>
                <w:lang w:eastAsia="da-DK"/>
              </w:rPr>
            </w:pPr>
            <w:r w:rsidRPr="00E93993">
              <w:rPr>
                <w:rFonts w:eastAsia="Times New Roman"/>
                <w:color w:val="000000"/>
                <w:szCs w:val="24"/>
                <w:lang w:eastAsia="da-DK"/>
              </w:rPr>
              <w:t>Økonomiske konsekvenser for erhvervslivet</w:t>
            </w:r>
          </w:p>
        </w:tc>
        <w:tc>
          <w:tcPr>
            <w:tcW w:w="3685" w:type="dxa"/>
            <w:tcBorders>
              <w:top w:val="single" w:sz="8" w:space="0" w:color="000000"/>
              <w:left w:val="single" w:sz="8" w:space="0" w:color="000000"/>
              <w:bottom w:val="single" w:sz="8" w:space="0" w:color="000000"/>
              <w:right w:val="single" w:sz="8" w:space="0" w:color="000000"/>
            </w:tcBorders>
            <w:hideMark/>
          </w:tcPr>
          <w:p w14:paraId="52460686" w14:textId="74AA9207" w:rsidR="00FD1A50" w:rsidRPr="00E93993" w:rsidRDefault="00C13194" w:rsidP="00A0359E">
            <w:pPr>
              <w:spacing w:after="240"/>
              <w:rPr>
                <w:rFonts w:eastAsia="Times New Roman"/>
                <w:color w:val="000000"/>
                <w:szCs w:val="24"/>
                <w:lang w:eastAsia="da-DK"/>
              </w:rPr>
            </w:pPr>
            <w:r>
              <w:rPr>
                <w:rFonts w:eastAsia="Times New Roman"/>
                <w:color w:val="000000"/>
                <w:szCs w:val="24"/>
                <w:lang w:eastAsia="da-DK"/>
              </w:rPr>
              <w:t>Ingen</w:t>
            </w:r>
          </w:p>
        </w:tc>
        <w:tc>
          <w:tcPr>
            <w:tcW w:w="3569" w:type="dxa"/>
            <w:tcBorders>
              <w:top w:val="single" w:sz="8" w:space="0" w:color="000000"/>
              <w:left w:val="single" w:sz="8" w:space="0" w:color="000000"/>
              <w:bottom w:val="single" w:sz="8" w:space="0" w:color="000000"/>
              <w:right w:val="single" w:sz="8" w:space="0" w:color="000000"/>
            </w:tcBorders>
            <w:hideMark/>
          </w:tcPr>
          <w:p w14:paraId="63753000" w14:textId="474377B3" w:rsidR="007F648E" w:rsidRPr="00E93993" w:rsidRDefault="007F648E" w:rsidP="00A0359E">
            <w:pPr>
              <w:spacing w:after="240"/>
              <w:rPr>
                <w:rFonts w:eastAsia="Times New Roman"/>
                <w:color w:val="000000"/>
                <w:szCs w:val="24"/>
                <w:lang w:eastAsia="da-DK"/>
              </w:rPr>
            </w:pPr>
            <w:r>
              <w:rPr>
                <w:rFonts w:eastAsia="Times New Roman"/>
                <w:color w:val="000000"/>
                <w:szCs w:val="24"/>
                <w:lang w:eastAsia="da-DK"/>
              </w:rPr>
              <w:t>Udgifterne forventes at resultere i en marginal gennemsnitlig stigning i vandtaksten. En gennemsnitlig landbrugsbedrift ventes en gennemsnitlig takststigning på ca. 2 øre per m</w:t>
            </w:r>
            <w:r w:rsidRPr="004A679E">
              <w:rPr>
                <w:rFonts w:eastAsia="Times New Roman"/>
                <w:color w:val="000000"/>
                <w:szCs w:val="24"/>
                <w:vertAlign w:val="superscript"/>
                <w:lang w:eastAsia="da-DK"/>
              </w:rPr>
              <w:t>3</w:t>
            </w:r>
            <w:r>
              <w:rPr>
                <w:rFonts w:eastAsia="Times New Roman"/>
                <w:color w:val="000000"/>
                <w:szCs w:val="24"/>
                <w:lang w:eastAsia="da-DK"/>
              </w:rPr>
              <w:t>/22 kr. årligt</w:t>
            </w:r>
            <w:r w:rsidR="00825A01">
              <w:rPr>
                <w:rFonts w:eastAsia="Times New Roman"/>
                <w:color w:val="000000"/>
                <w:szCs w:val="24"/>
                <w:lang w:eastAsia="da-DK"/>
              </w:rPr>
              <w:t xml:space="preserve">. </w:t>
            </w:r>
            <w:r>
              <w:rPr>
                <w:rFonts w:eastAsia="Times New Roman"/>
                <w:color w:val="000000"/>
                <w:szCs w:val="24"/>
                <w:lang w:eastAsia="da-DK"/>
              </w:rPr>
              <w:t xml:space="preserve">En gennemsnitlig erhvervsdrivende ventes at få </w:t>
            </w:r>
            <w:r>
              <w:rPr>
                <w:rFonts w:eastAsia="Times New Roman"/>
                <w:color w:val="000000"/>
                <w:szCs w:val="24"/>
                <w:lang w:eastAsia="da-DK"/>
              </w:rPr>
              <w:lastRenderedPageBreak/>
              <w:t>en takststigning på ca. 2 øre per m</w:t>
            </w:r>
            <w:r w:rsidRPr="004A679E">
              <w:rPr>
                <w:rFonts w:eastAsia="Times New Roman"/>
                <w:color w:val="000000"/>
                <w:szCs w:val="24"/>
                <w:vertAlign w:val="superscript"/>
                <w:lang w:eastAsia="da-DK"/>
              </w:rPr>
              <w:t>3</w:t>
            </w:r>
            <w:r>
              <w:rPr>
                <w:rFonts w:eastAsia="Times New Roman"/>
                <w:color w:val="000000"/>
                <w:szCs w:val="24"/>
                <w:lang w:eastAsia="da-DK"/>
              </w:rPr>
              <w:t>/11 kr. årligt.</w:t>
            </w:r>
          </w:p>
        </w:tc>
      </w:tr>
      <w:tr w:rsidR="00FD1A50" w:rsidRPr="00E93993" w14:paraId="20FAFBCF" w14:textId="77777777" w:rsidTr="00A0359E">
        <w:tc>
          <w:tcPr>
            <w:tcW w:w="1676" w:type="dxa"/>
            <w:tcBorders>
              <w:top w:val="single" w:sz="8" w:space="0" w:color="000000"/>
              <w:left w:val="single" w:sz="8" w:space="0" w:color="000000"/>
              <w:bottom w:val="single" w:sz="8" w:space="0" w:color="000000"/>
              <w:right w:val="single" w:sz="8" w:space="0" w:color="000000"/>
            </w:tcBorders>
            <w:hideMark/>
          </w:tcPr>
          <w:p w14:paraId="4294ADDF" w14:textId="77777777" w:rsidR="00FD1A50" w:rsidRPr="00E93993" w:rsidRDefault="00FD1A50" w:rsidP="00A0359E">
            <w:pPr>
              <w:spacing w:after="240"/>
              <w:rPr>
                <w:rFonts w:eastAsia="Times New Roman"/>
                <w:color w:val="000000"/>
                <w:szCs w:val="24"/>
                <w:lang w:eastAsia="da-DK"/>
              </w:rPr>
            </w:pPr>
            <w:r w:rsidRPr="00E93993">
              <w:rPr>
                <w:rFonts w:eastAsia="Times New Roman"/>
                <w:color w:val="000000"/>
                <w:szCs w:val="24"/>
                <w:lang w:eastAsia="da-DK"/>
              </w:rPr>
              <w:lastRenderedPageBreak/>
              <w:t>Administrative konsekvenser for erhvervslivet</w:t>
            </w:r>
          </w:p>
        </w:tc>
        <w:tc>
          <w:tcPr>
            <w:tcW w:w="3685" w:type="dxa"/>
            <w:tcBorders>
              <w:top w:val="single" w:sz="8" w:space="0" w:color="000000"/>
              <w:left w:val="single" w:sz="8" w:space="0" w:color="000000"/>
              <w:bottom w:val="single" w:sz="8" w:space="0" w:color="000000"/>
              <w:right w:val="single" w:sz="8" w:space="0" w:color="000000"/>
            </w:tcBorders>
            <w:hideMark/>
          </w:tcPr>
          <w:p w14:paraId="5CDF26EA" w14:textId="19570994" w:rsidR="00FD1A50" w:rsidRPr="00E93993" w:rsidRDefault="00C13194" w:rsidP="00A0359E">
            <w:pPr>
              <w:spacing w:after="240"/>
              <w:rPr>
                <w:rFonts w:eastAsia="Times New Roman"/>
                <w:color w:val="000000"/>
                <w:szCs w:val="24"/>
                <w:lang w:eastAsia="da-DK"/>
              </w:rPr>
            </w:pPr>
            <w:r>
              <w:rPr>
                <w:rFonts w:eastAsia="Times New Roman"/>
                <w:color w:val="000000"/>
                <w:szCs w:val="24"/>
                <w:lang w:eastAsia="da-DK"/>
              </w:rPr>
              <w:t>Ingen</w:t>
            </w:r>
          </w:p>
        </w:tc>
        <w:tc>
          <w:tcPr>
            <w:tcW w:w="3569" w:type="dxa"/>
            <w:tcBorders>
              <w:top w:val="single" w:sz="8" w:space="0" w:color="000000"/>
              <w:left w:val="single" w:sz="8" w:space="0" w:color="000000"/>
              <w:bottom w:val="single" w:sz="8" w:space="0" w:color="000000"/>
              <w:right w:val="single" w:sz="8" w:space="0" w:color="000000"/>
            </w:tcBorders>
            <w:hideMark/>
          </w:tcPr>
          <w:p w14:paraId="77E4D637" w14:textId="1351D426" w:rsidR="007F648E" w:rsidRPr="00E93993" w:rsidRDefault="007F648E" w:rsidP="00A0359E">
            <w:pPr>
              <w:spacing w:after="240"/>
              <w:rPr>
                <w:rFonts w:eastAsia="Times New Roman"/>
                <w:color w:val="000000"/>
                <w:szCs w:val="24"/>
                <w:lang w:eastAsia="da-DK"/>
              </w:rPr>
            </w:pPr>
            <w:r>
              <w:rPr>
                <w:rFonts w:eastAsia="Times New Roman"/>
                <w:color w:val="000000"/>
                <w:szCs w:val="24"/>
                <w:lang w:eastAsia="da-DK"/>
              </w:rPr>
              <w:t>Ingen</w:t>
            </w:r>
          </w:p>
        </w:tc>
      </w:tr>
      <w:tr w:rsidR="00FD1A50" w:rsidRPr="00E93993" w14:paraId="738785B4" w14:textId="77777777" w:rsidTr="00A0359E">
        <w:tc>
          <w:tcPr>
            <w:tcW w:w="1676" w:type="dxa"/>
            <w:tcBorders>
              <w:top w:val="single" w:sz="8" w:space="0" w:color="000000"/>
              <w:left w:val="single" w:sz="8" w:space="0" w:color="000000"/>
              <w:bottom w:val="single" w:sz="8" w:space="0" w:color="000000"/>
              <w:right w:val="single" w:sz="8" w:space="0" w:color="000000"/>
            </w:tcBorders>
            <w:hideMark/>
          </w:tcPr>
          <w:p w14:paraId="579B098B" w14:textId="77777777" w:rsidR="00FD1A50" w:rsidRPr="00E93993" w:rsidRDefault="00FD1A50" w:rsidP="00A0359E">
            <w:pPr>
              <w:spacing w:after="240"/>
              <w:rPr>
                <w:rFonts w:eastAsia="Times New Roman"/>
                <w:color w:val="000000"/>
                <w:szCs w:val="24"/>
                <w:lang w:eastAsia="da-DK"/>
              </w:rPr>
            </w:pPr>
            <w:r w:rsidRPr="00E93993">
              <w:rPr>
                <w:rFonts w:eastAsia="Times New Roman"/>
                <w:color w:val="000000"/>
                <w:szCs w:val="24"/>
                <w:lang w:eastAsia="da-DK"/>
              </w:rPr>
              <w:t>Administrative konsekvenser for borgerne</w:t>
            </w:r>
          </w:p>
        </w:tc>
        <w:tc>
          <w:tcPr>
            <w:tcW w:w="3685" w:type="dxa"/>
            <w:tcBorders>
              <w:top w:val="single" w:sz="8" w:space="0" w:color="000000"/>
              <w:left w:val="single" w:sz="8" w:space="0" w:color="000000"/>
              <w:bottom w:val="single" w:sz="8" w:space="0" w:color="000000"/>
              <w:right w:val="single" w:sz="8" w:space="0" w:color="000000"/>
            </w:tcBorders>
            <w:hideMark/>
          </w:tcPr>
          <w:p w14:paraId="71C9EF10" w14:textId="3D8AAB9B" w:rsidR="00FD1A50" w:rsidRPr="00E93993" w:rsidRDefault="00C13194" w:rsidP="00A0359E">
            <w:pPr>
              <w:spacing w:after="240"/>
              <w:rPr>
                <w:rFonts w:eastAsia="Times New Roman"/>
                <w:color w:val="000000"/>
                <w:szCs w:val="24"/>
                <w:lang w:eastAsia="da-DK"/>
              </w:rPr>
            </w:pPr>
            <w:r>
              <w:rPr>
                <w:rFonts w:eastAsia="Times New Roman"/>
                <w:color w:val="000000"/>
                <w:szCs w:val="24"/>
                <w:lang w:eastAsia="da-DK"/>
              </w:rPr>
              <w:t>Ingen</w:t>
            </w:r>
          </w:p>
        </w:tc>
        <w:tc>
          <w:tcPr>
            <w:tcW w:w="3569" w:type="dxa"/>
            <w:tcBorders>
              <w:top w:val="single" w:sz="8" w:space="0" w:color="000000"/>
              <w:left w:val="single" w:sz="8" w:space="0" w:color="000000"/>
              <w:bottom w:val="single" w:sz="8" w:space="0" w:color="000000"/>
              <w:right w:val="single" w:sz="8" w:space="0" w:color="000000"/>
            </w:tcBorders>
            <w:hideMark/>
          </w:tcPr>
          <w:p w14:paraId="6AE52349" w14:textId="28F84536" w:rsidR="00FD1A50" w:rsidRPr="00E93993" w:rsidRDefault="00C13194" w:rsidP="00A0359E">
            <w:pPr>
              <w:spacing w:after="240"/>
              <w:rPr>
                <w:rFonts w:eastAsia="Times New Roman"/>
                <w:color w:val="000000"/>
                <w:szCs w:val="24"/>
                <w:lang w:eastAsia="da-DK"/>
              </w:rPr>
            </w:pPr>
            <w:r>
              <w:rPr>
                <w:rFonts w:eastAsia="Times New Roman"/>
                <w:color w:val="000000"/>
                <w:szCs w:val="24"/>
                <w:lang w:eastAsia="da-DK"/>
              </w:rPr>
              <w:t>Ingen</w:t>
            </w:r>
          </w:p>
        </w:tc>
      </w:tr>
      <w:tr w:rsidR="00FD1A50" w:rsidRPr="00E93993" w14:paraId="6284744D" w14:textId="77777777" w:rsidTr="00A0359E">
        <w:tc>
          <w:tcPr>
            <w:tcW w:w="1676" w:type="dxa"/>
            <w:tcBorders>
              <w:top w:val="single" w:sz="8" w:space="0" w:color="000000"/>
              <w:left w:val="single" w:sz="8" w:space="0" w:color="000000"/>
              <w:bottom w:val="single" w:sz="8" w:space="0" w:color="000000"/>
              <w:right w:val="single" w:sz="8" w:space="0" w:color="000000"/>
            </w:tcBorders>
          </w:tcPr>
          <w:p w14:paraId="312130AB" w14:textId="77777777" w:rsidR="00FD1A50" w:rsidRPr="00E93993" w:rsidRDefault="00FD1A50" w:rsidP="00A0359E">
            <w:pPr>
              <w:spacing w:after="240"/>
              <w:rPr>
                <w:rFonts w:eastAsia="Times New Roman"/>
                <w:color w:val="000000"/>
                <w:szCs w:val="24"/>
                <w:lang w:eastAsia="da-DK"/>
              </w:rPr>
            </w:pPr>
            <w:r>
              <w:rPr>
                <w:rFonts w:eastAsia="Times New Roman"/>
                <w:color w:val="000000"/>
                <w:szCs w:val="24"/>
                <w:lang w:eastAsia="da-DK"/>
              </w:rPr>
              <w:t>Klimamæssige konsekvenser</w:t>
            </w:r>
          </w:p>
        </w:tc>
        <w:tc>
          <w:tcPr>
            <w:tcW w:w="3685" w:type="dxa"/>
            <w:tcBorders>
              <w:top w:val="single" w:sz="8" w:space="0" w:color="000000"/>
              <w:left w:val="single" w:sz="8" w:space="0" w:color="000000"/>
              <w:bottom w:val="single" w:sz="8" w:space="0" w:color="000000"/>
              <w:right w:val="single" w:sz="8" w:space="0" w:color="000000"/>
            </w:tcBorders>
          </w:tcPr>
          <w:p w14:paraId="6154E7B6" w14:textId="2E45C86D" w:rsidR="00FD1A50" w:rsidRPr="00E93993" w:rsidRDefault="00C13194" w:rsidP="00A0359E">
            <w:pPr>
              <w:spacing w:after="240"/>
              <w:rPr>
                <w:rFonts w:eastAsia="Times New Roman"/>
                <w:color w:val="000000"/>
                <w:szCs w:val="24"/>
                <w:lang w:eastAsia="da-DK"/>
              </w:rPr>
            </w:pPr>
            <w:r>
              <w:rPr>
                <w:rFonts w:eastAsia="Times New Roman"/>
                <w:color w:val="000000"/>
                <w:szCs w:val="24"/>
                <w:lang w:eastAsia="da-DK"/>
              </w:rPr>
              <w:t>Ingen</w:t>
            </w:r>
          </w:p>
        </w:tc>
        <w:tc>
          <w:tcPr>
            <w:tcW w:w="3569" w:type="dxa"/>
            <w:tcBorders>
              <w:top w:val="single" w:sz="8" w:space="0" w:color="000000"/>
              <w:left w:val="single" w:sz="8" w:space="0" w:color="000000"/>
              <w:bottom w:val="single" w:sz="8" w:space="0" w:color="000000"/>
              <w:right w:val="single" w:sz="8" w:space="0" w:color="000000"/>
            </w:tcBorders>
          </w:tcPr>
          <w:p w14:paraId="114A17EC" w14:textId="23772F2C" w:rsidR="00FD1A50" w:rsidRPr="00E93993" w:rsidRDefault="00825A01" w:rsidP="00A0359E">
            <w:pPr>
              <w:spacing w:after="240"/>
              <w:rPr>
                <w:rFonts w:eastAsia="Times New Roman"/>
                <w:color w:val="000000"/>
                <w:szCs w:val="24"/>
                <w:lang w:eastAsia="da-DK"/>
              </w:rPr>
            </w:pPr>
            <w:r>
              <w:rPr>
                <w:rFonts w:eastAsia="Times New Roman"/>
                <w:color w:val="000000"/>
                <w:szCs w:val="24"/>
                <w:lang w:eastAsia="da-DK"/>
              </w:rPr>
              <w:t>Ingen</w:t>
            </w:r>
          </w:p>
        </w:tc>
      </w:tr>
      <w:tr w:rsidR="00FD1A50" w:rsidRPr="00E93993" w14:paraId="53953CA2" w14:textId="77777777" w:rsidTr="00825A01">
        <w:tc>
          <w:tcPr>
            <w:tcW w:w="1676" w:type="dxa"/>
            <w:tcBorders>
              <w:top w:val="single" w:sz="8" w:space="0" w:color="000000"/>
              <w:left w:val="single" w:sz="8" w:space="0" w:color="000000"/>
              <w:bottom w:val="single" w:sz="18" w:space="0" w:color="auto"/>
              <w:right w:val="single" w:sz="8" w:space="0" w:color="000000"/>
            </w:tcBorders>
            <w:shd w:val="clear" w:color="auto" w:fill="auto"/>
            <w:hideMark/>
          </w:tcPr>
          <w:p w14:paraId="0E6E9753" w14:textId="77777777" w:rsidR="00FD1A50" w:rsidRPr="00825A01" w:rsidRDefault="00FD1A50" w:rsidP="00A0359E">
            <w:pPr>
              <w:spacing w:after="240"/>
              <w:rPr>
                <w:rFonts w:eastAsia="Times New Roman"/>
                <w:color w:val="000000"/>
                <w:szCs w:val="24"/>
                <w:lang w:eastAsia="da-DK"/>
              </w:rPr>
            </w:pPr>
            <w:r w:rsidRPr="00825A01">
              <w:rPr>
                <w:rFonts w:eastAsia="Times New Roman"/>
                <w:color w:val="000000"/>
                <w:szCs w:val="24"/>
                <w:lang w:eastAsia="da-DK"/>
              </w:rPr>
              <w:t>Miljø- og naturmæssige konsekvenser</w:t>
            </w:r>
          </w:p>
        </w:tc>
        <w:tc>
          <w:tcPr>
            <w:tcW w:w="3685" w:type="dxa"/>
            <w:tcBorders>
              <w:top w:val="single" w:sz="8" w:space="0" w:color="000000"/>
              <w:left w:val="single" w:sz="8" w:space="0" w:color="000000"/>
              <w:bottom w:val="single" w:sz="18" w:space="0" w:color="auto"/>
              <w:right w:val="single" w:sz="8" w:space="0" w:color="000000"/>
            </w:tcBorders>
            <w:shd w:val="clear" w:color="auto" w:fill="auto"/>
            <w:hideMark/>
          </w:tcPr>
          <w:p w14:paraId="43B00D77" w14:textId="0D17DBB3" w:rsidR="005B17A4" w:rsidRPr="00825A01" w:rsidRDefault="00C13194" w:rsidP="00A0359E">
            <w:pPr>
              <w:spacing w:after="240"/>
              <w:rPr>
                <w:rFonts w:eastAsia="Times New Roman"/>
                <w:color w:val="000000"/>
                <w:szCs w:val="24"/>
                <w:lang w:eastAsia="da-DK"/>
              </w:rPr>
            </w:pPr>
            <w:r w:rsidRPr="00825A01">
              <w:rPr>
                <w:rFonts w:eastAsia="Times New Roman"/>
                <w:color w:val="000000"/>
                <w:szCs w:val="24"/>
                <w:lang w:eastAsia="da-DK"/>
              </w:rPr>
              <w:t>Lovforslaget vil styrke beskyttelsen af grundvandet til gavn for borgere, miljøet og naturen.</w:t>
            </w:r>
          </w:p>
        </w:tc>
        <w:tc>
          <w:tcPr>
            <w:tcW w:w="3569" w:type="dxa"/>
            <w:tcBorders>
              <w:top w:val="single" w:sz="8" w:space="0" w:color="000000"/>
              <w:left w:val="single" w:sz="8" w:space="0" w:color="000000"/>
              <w:bottom w:val="single" w:sz="18" w:space="0" w:color="auto"/>
              <w:right w:val="single" w:sz="8" w:space="0" w:color="000000"/>
            </w:tcBorders>
            <w:hideMark/>
          </w:tcPr>
          <w:p w14:paraId="54015E8D" w14:textId="4AF91522" w:rsidR="00FD1A50" w:rsidRPr="00E93993" w:rsidRDefault="00825A01" w:rsidP="00A0359E">
            <w:pPr>
              <w:spacing w:after="240"/>
              <w:rPr>
                <w:rFonts w:eastAsia="Times New Roman"/>
                <w:color w:val="000000"/>
                <w:szCs w:val="24"/>
                <w:lang w:eastAsia="da-DK"/>
              </w:rPr>
            </w:pPr>
            <w:r>
              <w:rPr>
                <w:rFonts w:eastAsia="Times New Roman"/>
                <w:color w:val="000000"/>
                <w:szCs w:val="24"/>
                <w:lang w:eastAsia="da-DK"/>
              </w:rPr>
              <w:t>Ingen</w:t>
            </w:r>
          </w:p>
        </w:tc>
      </w:tr>
      <w:tr w:rsidR="00FD1A50" w:rsidRPr="00E93993" w14:paraId="37CEAB88" w14:textId="77777777" w:rsidTr="00A0359E">
        <w:tc>
          <w:tcPr>
            <w:tcW w:w="1676" w:type="dxa"/>
            <w:tcBorders>
              <w:top w:val="single" w:sz="18" w:space="0" w:color="auto"/>
              <w:left w:val="single" w:sz="8" w:space="0" w:color="000000"/>
              <w:bottom w:val="single" w:sz="4" w:space="0" w:color="auto"/>
              <w:right w:val="single" w:sz="8" w:space="0" w:color="000000"/>
            </w:tcBorders>
            <w:hideMark/>
          </w:tcPr>
          <w:p w14:paraId="1F4404E5" w14:textId="77777777" w:rsidR="00FD1A50" w:rsidRPr="00E93993" w:rsidRDefault="00FD1A50" w:rsidP="00A0359E">
            <w:pPr>
              <w:spacing w:after="240"/>
              <w:rPr>
                <w:rFonts w:eastAsia="Times New Roman"/>
                <w:color w:val="000000"/>
                <w:szCs w:val="24"/>
                <w:lang w:eastAsia="da-DK"/>
              </w:rPr>
            </w:pPr>
            <w:r w:rsidRPr="00E93993">
              <w:rPr>
                <w:rFonts w:eastAsia="Times New Roman"/>
                <w:color w:val="000000"/>
                <w:szCs w:val="24"/>
                <w:lang w:eastAsia="da-DK"/>
              </w:rPr>
              <w:t>Forholdet til EU-retten</w:t>
            </w:r>
          </w:p>
        </w:tc>
        <w:tc>
          <w:tcPr>
            <w:tcW w:w="7254" w:type="dxa"/>
            <w:gridSpan w:val="2"/>
            <w:tcBorders>
              <w:top w:val="single" w:sz="18" w:space="0" w:color="auto"/>
              <w:left w:val="single" w:sz="8" w:space="0" w:color="000000"/>
              <w:bottom w:val="single" w:sz="4" w:space="0" w:color="auto"/>
              <w:right w:val="single" w:sz="8" w:space="0" w:color="000000"/>
            </w:tcBorders>
            <w:hideMark/>
          </w:tcPr>
          <w:p w14:paraId="0F7C8A34" w14:textId="4EC46F64" w:rsidR="00FD1A50" w:rsidRPr="00E93993" w:rsidRDefault="00C13194" w:rsidP="00A0359E">
            <w:pPr>
              <w:spacing w:after="240"/>
              <w:rPr>
                <w:szCs w:val="24"/>
              </w:rPr>
            </w:pPr>
            <w:r>
              <w:rPr>
                <w:szCs w:val="24"/>
              </w:rPr>
              <w:t>Lovforslaget er i overensstemmelse med EU-retten.</w:t>
            </w:r>
          </w:p>
        </w:tc>
      </w:tr>
      <w:tr w:rsidR="00FD1A50" w:rsidRPr="00E93993" w14:paraId="38E8676C" w14:textId="77777777" w:rsidTr="00A0359E">
        <w:tc>
          <w:tcPr>
            <w:tcW w:w="1676" w:type="dxa"/>
            <w:tcBorders>
              <w:top w:val="single" w:sz="4" w:space="0" w:color="auto"/>
              <w:left w:val="single" w:sz="8" w:space="0" w:color="000000"/>
              <w:bottom w:val="single" w:sz="8" w:space="0" w:color="000000"/>
              <w:right w:val="single" w:sz="8" w:space="0" w:color="000000"/>
            </w:tcBorders>
          </w:tcPr>
          <w:p w14:paraId="0E97548E" w14:textId="1C21AF65" w:rsidR="00FD1A50" w:rsidRPr="00E93993" w:rsidRDefault="00FD1A50" w:rsidP="00A0359E">
            <w:pPr>
              <w:spacing w:after="240"/>
              <w:rPr>
                <w:rFonts w:eastAsia="Times New Roman"/>
                <w:color w:val="000000"/>
                <w:szCs w:val="24"/>
                <w:lang w:eastAsia="da-DK"/>
              </w:rPr>
            </w:pPr>
            <w:r w:rsidRPr="00E93993">
              <w:rPr>
                <w:rFonts w:eastAsia="Times New Roman"/>
                <w:color w:val="000000"/>
                <w:szCs w:val="24"/>
                <w:lang w:eastAsia="da-DK"/>
              </w:rPr>
              <w:t>Er i strid med de</w:t>
            </w:r>
            <w:r w:rsidR="00CB3871">
              <w:rPr>
                <w:rFonts w:eastAsia="Times New Roman"/>
                <w:color w:val="000000"/>
                <w:szCs w:val="24"/>
                <w:lang w:eastAsia="da-DK"/>
              </w:rPr>
              <w:t xml:space="preserve"> fem</w:t>
            </w:r>
            <w:r w:rsidRPr="00E93993">
              <w:rPr>
                <w:rFonts w:eastAsia="Times New Roman"/>
                <w:color w:val="000000"/>
                <w:szCs w:val="24"/>
                <w:lang w:eastAsia="da-DK"/>
              </w:rPr>
              <w:t xml:space="preserve"> principper for implementering</w:t>
            </w:r>
            <w:r>
              <w:rPr>
                <w:rFonts w:eastAsia="Times New Roman"/>
                <w:color w:val="000000"/>
                <w:szCs w:val="24"/>
                <w:lang w:eastAsia="da-DK"/>
              </w:rPr>
              <w:t xml:space="preserve"> </w:t>
            </w:r>
            <w:r w:rsidRPr="00E93993">
              <w:rPr>
                <w:rFonts w:eastAsia="Times New Roman"/>
                <w:color w:val="000000"/>
                <w:szCs w:val="24"/>
                <w:lang w:eastAsia="da-DK"/>
              </w:rPr>
              <w:t>af erhvervsrettet EU-regulering/</w:t>
            </w:r>
            <w:r>
              <w:rPr>
                <w:rFonts w:eastAsia="Times New Roman"/>
                <w:color w:val="000000"/>
                <w:szCs w:val="24"/>
                <w:lang w:eastAsia="da-DK"/>
              </w:rPr>
              <w:t xml:space="preserve"> </w:t>
            </w:r>
            <w:r w:rsidRPr="00E93993">
              <w:rPr>
                <w:rFonts w:eastAsia="Times New Roman"/>
                <w:color w:val="000000"/>
                <w:szCs w:val="24"/>
                <w:lang w:eastAsia="da-DK"/>
              </w:rPr>
              <w:t>Går videre end minimumskrav i EU</w:t>
            </w:r>
            <w:r>
              <w:rPr>
                <w:rFonts w:eastAsia="Times New Roman"/>
                <w:color w:val="000000"/>
                <w:szCs w:val="24"/>
                <w:lang w:eastAsia="da-DK"/>
              </w:rPr>
              <w:t>-</w:t>
            </w:r>
            <w:r w:rsidRPr="00E93993">
              <w:rPr>
                <w:rFonts w:eastAsia="Times New Roman"/>
                <w:color w:val="000000"/>
                <w:szCs w:val="24"/>
                <w:lang w:eastAsia="da-DK"/>
              </w:rPr>
              <w:t>regulering</w:t>
            </w:r>
            <w:r>
              <w:rPr>
                <w:rFonts w:eastAsia="Times New Roman"/>
                <w:color w:val="000000"/>
                <w:szCs w:val="24"/>
                <w:lang w:eastAsia="da-DK"/>
              </w:rPr>
              <w:t xml:space="preserve"> </w:t>
            </w:r>
            <w:r w:rsidRPr="00E93993">
              <w:rPr>
                <w:rFonts w:eastAsia="Times New Roman"/>
                <w:color w:val="000000"/>
                <w:szCs w:val="24"/>
                <w:lang w:eastAsia="da-DK"/>
              </w:rPr>
              <w:t>(sæt X)</w:t>
            </w:r>
          </w:p>
        </w:tc>
        <w:tc>
          <w:tcPr>
            <w:tcW w:w="7254" w:type="dxa"/>
            <w:gridSpan w:val="2"/>
            <w:tcBorders>
              <w:top w:val="single" w:sz="4" w:space="0" w:color="auto"/>
              <w:left w:val="single" w:sz="8" w:space="0" w:color="000000"/>
              <w:bottom w:val="single" w:sz="8" w:space="0" w:color="000000"/>
              <w:right w:val="single" w:sz="8" w:space="0" w:color="000000"/>
            </w:tcBorders>
          </w:tcPr>
          <w:p w14:paraId="5E937E63" w14:textId="77777777" w:rsidR="00FD1A50" w:rsidRDefault="00FD1A50" w:rsidP="00A0359E">
            <w:pPr>
              <w:spacing w:after="240"/>
              <w:rPr>
                <w:szCs w:val="24"/>
              </w:rPr>
            </w:pPr>
          </w:p>
          <w:p w14:paraId="1B1B309E" w14:textId="77777777" w:rsidR="00FD1A50" w:rsidRDefault="00FD1A50" w:rsidP="00A0359E">
            <w:pPr>
              <w:spacing w:after="240"/>
              <w:rPr>
                <w:szCs w:val="24"/>
              </w:rPr>
            </w:pPr>
            <w:r>
              <w:rPr>
                <w:szCs w:val="24"/>
              </w:rPr>
              <w:t xml:space="preserve">                            Ja                                                     Nej</w:t>
            </w:r>
          </w:p>
          <w:p w14:paraId="5B647BA6" w14:textId="67FAA3B4" w:rsidR="00074877" w:rsidRPr="00E93993" w:rsidRDefault="00074877" w:rsidP="00A0359E">
            <w:pPr>
              <w:spacing w:after="240"/>
              <w:rPr>
                <w:szCs w:val="24"/>
              </w:rPr>
            </w:pPr>
            <w:r>
              <w:rPr>
                <w:szCs w:val="24"/>
              </w:rPr>
              <w:t xml:space="preserve">                                                                                     X</w:t>
            </w:r>
          </w:p>
        </w:tc>
      </w:tr>
    </w:tbl>
    <w:p w14:paraId="46D46516" w14:textId="77777777" w:rsidR="00FD1A50" w:rsidRPr="003B0B97" w:rsidRDefault="00FD1A50" w:rsidP="00FD1A50">
      <w:pPr>
        <w:spacing w:after="240"/>
        <w:rPr>
          <w:rFonts w:eastAsia="Calibri" w:cs="Times New Roman"/>
          <w:szCs w:val="24"/>
        </w:rPr>
      </w:pPr>
    </w:p>
    <w:p w14:paraId="5D36E870" w14:textId="77777777" w:rsidR="00FD1A50" w:rsidRDefault="00FD1A50" w:rsidP="00FD1A50">
      <w:pPr>
        <w:spacing w:after="240"/>
        <w:jc w:val="center"/>
        <w:rPr>
          <w:rFonts w:eastAsia="Calibri" w:cs="Times New Roman"/>
          <w:i/>
          <w:szCs w:val="24"/>
        </w:rPr>
        <w:sectPr w:rsidR="00FD1A50" w:rsidSect="00D712BA">
          <w:pgSz w:w="11906" w:h="16838" w:code="9"/>
          <w:pgMar w:top="1418" w:right="3260" w:bottom="1134" w:left="1418" w:header="0" w:footer="709" w:gutter="0"/>
          <w:cols w:space="708"/>
          <w:titlePg/>
          <w:docGrid w:linePitch="360"/>
        </w:sectPr>
      </w:pPr>
    </w:p>
    <w:p w14:paraId="1E7FFCA9" w14:textId="77777777" w:rsidR="00FD1A50" w:rsidRPr="0020125C" w:rsidRDefault="00FD1A50" w:rsidP="00FD1A50">
      <w:pPr>
        <w:spacing w:after="240"/>
        <w:jc w:val="center"/>
        <w:rPr>
          <w:rFonts w:eastAsia="Calibri" w:cs="Times New Roman"/>
          <w:i/>
          <w:szCs w:val="24"/>
        </w:rPr>
      </w:pPr>
      <w:r w:rsidRPr="0020125C">
        <w:rPr>
          <w:rFonts w:eastAsia="Calibri" w:cs="Times New Roman"/>
          <w:i/>
          <w:szCs w:val="24"/>
        </w:rPr>
        <w:lastRenderedPageBreak/>
        <w:t>Bemærkninger til lovforslagets enkelte bestemmelser</w:t>
      </w:r>
    </w:p>
    <w:p w14:paraId="2F0CAF6B" w14:textId="77777777" w:rsidR="00FD1A50" w:rsidRPr="005768D7" w:rsidRDefault="00FD1A50" w:rsidP="00FD1A50">
      <w:pPr>
        <w:spacing w:after="240"/>
        <w:jc w:val="center"/>
        <w:rPr>
          <w:rFonts w:eastAsia="Calibri" w:cs="Times New Roman"/>
          <w:i/>
          <w:szCs w:val="24"/>
        </w:rPr>
      </w:pPr>
      <w:r w:rsidRPr="005768D7">
        <w:rPr>
          <w:rFonts w:eastAsia="Calibri" w:cs="Times New Roman"/>
          <w:i/>
          <w:szCs w:val="24"/>
        </w:rPr>
        <w:t>Til § 1</w:t>
      </w:r>
    </w:p>
    <w:p w14:paraId="14B2756A" w14:textId="1D514DA7" w:rsidR="00FD1A50" w:rsidRDefault="00FD1A50" w:rsidP="00FD1A50">
      <w:pPr>
        <w:spacing w:after="240"/>
        <w:rPr>
          <w:rFonts w:eastAsia="Calibri" w:cs="Times New Roman"/>
          <w:szCs w:val="24"/>
        </w:rPr>
      </w:pPr>
      <w:r w:rsidRPr="005768D7">
        <w:rPr>
          <w:rFonts w:eastAsia="Calibri" w:cs="Times New Roman"/>
          <w:szCs w:val="24"/>
        </w:rPr>
        <w:t xml:space="preserve">Til </w:t>
      </w:r>
      <w:r>
        <w:rPr>
          <w:rFonts w:eastAsia="Calibri" w:cs="Times New Roman"/>
          <w:szCs w:val="24"/>
        </w:rPr>
        <w:t>nr. 1</w:t>
      </w:r>
    </w:p>
    <w:p w14:paraId="0FD87827" w14:textId="3260C367" w:rsidR="00122F40" w:rsidRDefault="00026269" w:rsidP="00122F40">
      <w:r>
        <w:t>Det følger af vandforsyningslovens</w:t>
      </w:r>
      <w:r w:rsidR="00122F40">
        <w:t xml:space="preserve"> § 13 d</w:t>
      </w:r>
      <w:r>
        <w:t>, at</w:t>
      </w:r>
      <w:r w:rsidR="00122F40">
        <w:t xml:space="preserve"> kommunalbestyrelsen eller en almen </w:t>
      </w:r>
      <w:r w:rsidR="00122F40" w:rsidRPr="00122F40">
        <w:t>vandforsyning</w:t>
      </w:r>
      <w:r w:rsidR="00122F40">
        <w:t xml:space="preserve"> for at gennemføre en indsat</w:t>
      </w:r>
      <w:r w:rsidR="00924F0C">
        <w:t>s</w:t>
      </w:r>
      <w:r w:rsidR="00122F40">
        <w:t xml:space="preserve">plan vedtaget efter </w:t>
      </w:r>
      <w:r w:rsidR="008F69F0">
        <w:t>§</w:t>
      </w:r>
      <w:r w:rsidR="00122F40">
        <w:t>§ 13 eller 13 a</w:t>
      </w:r>
      <w:r>
        <w:t>, kan</w:t>
      </w:r>
      <w:r w:rsidR="00122F40">
        <w:t xml:space="preserve"> indgå aftale med ejeren af eller indehaveren af andre rettigheder over ejendommen om dyrkningspraksis eller andre restriktioner i arealanvendelsen eller indgå aftale om salg af hele eller dele af ejendommen til kommunen eller den almene vandforsyning. </w:t>
      </w:r>
    </w:p>
    <w:p w14:paraId="6B25A2D7" w14:textId="77777777" w:rsidR="00754405" w:rsidRDefault="00754405" w:rsidP="00122F40"/>
    <w:p w14:paraId="7E8639AB" w14:textId="6A833BD3" w:rsidR="00122F40" w:rsidRDefault="00122F40" w:rsidP="00122F40">
      <w:r>
        <w:t>Den gældende § 13 d fungerer således i sammenhæng med kommunalbestyrelsens indgrebsmuligheder efter miljøbeskyttelsesloven § 26 a, stk. 1, hvorefter</w:t>
      </w:r>
      <w:r w:rsidRPr="00B2595A">
        <w:t xml:space="preserve"> ejeren af en ejendom i området</w:t>
      </w:r>
      <w:r>
        <w:t>, hvor der er vedtaget en indsatsplan, kan pålægges</w:t>
      </w:r>
      <w:r w:rsidRPr="00B2595A">
        <w:t xml:space="preserve"> de rådighedsindskrænkninger eller andre foranstaltninger, som er nødvendige for at sikre nuværende eller fremtidige drikkevandsinteresser mod forurening med nitrat eller </w:t>
      </w:r>
      <w:r>
        <w:t>p</w:t>
      </w:r>
      <w:r w:rsidR="00811606">
        <w:t>esticide</w:t>
      </w:r>
      <w:r w:rsidRPr="00B2595A">
        <w:t>r</w:t>
      </w:r>
      <w:r>
        <w:t>.</w:t>
      </w:r>
    </w:p>
    <w:p w14:paraId="7E5F5C97" w14:textId="77777777" w:rsidR="00122F40" w:rsidRDefault="00122F40" w:rsidP="00122F40"/>
    <w:p w14:paraId="2B6FF648" w14:textId="2FCB5B67" w:rsidR="00122F40" w:rsidRDefault="00122F40" w:rsidP="00122F40">
      <w:r>
        <w:t xml:space="preserve">På tilsvarende måde foreslås det at indsætte en </w:t>
      </w:r>
      <w:r w:rsidRPr="00FE6FD6">
        <w:rPr>
          <w:i/>
        </w:rPr>
        <w:t>§ 13 f</w:t>
      </w:r>
      <w:r w:rsidR="00FF5183">
        <w:rPr>
          <w:i/>
        </w:rPr>
        <w:t xml:space="preserve"> </w:t>
      </w:r>
      <w:r w:rsidR="00FF5183" w:rsidRPr="000C6056">
        <w:t>i vandforsyningsloven</w:t>
      </w:r>
      <w:r>
        <w:t>, der vil fungere i sammenhæng med den foreslåede § 24 a i miljøbeskyttelsesloven. Bestemmelsen vedrører aftaler om</w:t>
      </w:r>
      <w:r w:rsidR="001C0028">
        <w:t xml:space="preserve"> </w:t>
      </w:r>
      <w:r w:rsidR="00F97460">
        <w:t>dyrkningspraksis eller andre restriktioner i arealanvendelsen eller aftaler om salg af hele eller dele af ejendommen til kommunen eller den almene vandforsyning</w:t>
      </w:r>
      <w:r>
        <w:t>, som indgås for at følge op på den risikovurdering kommunalbestyrelsen har foretaget efter regler udstedt i medfør af vandforsyningslovens § 13 e i forhold til behovet for</w:t>
      </w:r>
      <w:r w:rsidR="00811606">
        <w:t xml:space="preserve"> beskyttelsesindsatser i BNBO</w:t>
      </w:r>
      <w:r>
        <w:t>.</w:t>
      </w:r>
    </w:p>
    <w:p w14:paraId="34956125" w14:textId="77777777" w:rsidR="00122F40" w:rsidRDefault="00122F40" w:rsidP="00122F40"/>
    <w:p w14:paraId="4A18CE82" w14:textId="1F911344" w:rsidR="00C40B62" w:rsidRDefault="00645249" w:rsidP="00122F40">
      <w:pPr>
        <w:rPr>
          <w:rFonts w:cs="Times New Roman"/>
          <w:szCs w:val="24"/>
        </w:rPr>
      </w:pPr>
      <w:r>
        <w:t xml:space="preserve">Efter det </w:t>
      </w:r>
      <w:r w:rsidR="00122F40">
        <w:t xml:space="preserve">foreslåede </w:t>
      </w:r>
      <w:r w:rsidR="00122F40" w:rsidRPr="00F413BD">
        <w:rPr>
          <w:i/>
        </w:rPr>
        <w:t>stk. 1</w:t>
      </w:r>
      <w:r w:rsidR="00122F40">
        <w:t xml:space="preserve"> </w:t>
      </w:r>
      <w:r w:rsidR="00122F40">
        <w:rPr>
          <w:rFonts w:cs="Times New Roman"/>
          <w:szCs w:val="24"/>
        </w:rPr>
        <w:t xml:space="preserve">kan </w:t>
      </w:r>
      <w:r w:rsidR="00754405">
        <w:rPr>
          <w:rFonts w:cs="Times New Roman"/>
          <w:szCs w:val="24"/>
        </w:rPr>
        <w:t xml:space="preserve">en almen vandforsyning eller </w:t>
      </w:r>
      <w:r w:rsidR="00122F40">
        <w:rPr>
          <w:rFonts w:cs="Times New Roman"/>
          <w:szCs w:val="24"/>
        </w:rPr>
        <w:t>kommunalbestyrelse</w:t>
      </w:r>
      <w:r w:rsidR="008F69F0">
        <w:rPr>
          <w:rFonts w:cs="Times New Roman"/>
          <w:szCs w:val="24"/>
        </w:rPr>
        <w:t>,</w:t>
      </w:r>
      <w:r w:rsidR="00122F40">
        <w:rPr>
          <w:rFonts w:cs="Times New Roman"/>
          <w:szCs w:val="24"/>
        </w:rPr>
        <w:t xml:space="preserve"> efter at kommunalbestyrelsen har vurderet et indsatsbehov efter regler udstedt i medfør af § 13 e</w:t>
      </w:r>
      <w:r w:rsidR="008F69F0">
        <w:rPr>
          <w:rFonts w:cs="Times New Roman"/>
          <w:szCs w:val="24"/>
        </w:rPr>
        <w:t>,</w:t>
      </w:r>
      <w:r w:rsidR="00122F40">
        <w:rPr>
          <w:rFonts w:cs="Times New Roman"/>
          <w:szCs w:val="24"/>
        </w:rPr>
        <w:t xml:space="preserve"> indgå</w:t>
      </w:r>
      <w:r w:rsidR="00754405">
        <w:rPr>
          <w:rFonts w:cs="Times New Roman"/>
          <w:szCs w:val="24"/>
        </w:rPr>
        <w:t xml:space="preserve"> </w:t>
      </w:r>
      <w:r w:rsidR="00122F40">
        <w:rPr>
          <w:rFonts w:cs="Times New Roman"/>
          <w:szCs w:val="24"/>
        </w:rPr>
        <w:t>aftale med ejeren af eller indehaveren af andre rettigheder over en ejendom om forbud mod erhvervsmæssig anvendelse af p</w:t>
      </w:r>
      <w:r w:rsidR="004A0751">
        <w:rPr>
          <w:rFonts w:cs="Times New Roman"/>
          <w:szCs w:val="24"/>
        </w:rPr>
        <w:t>esticider</w:t>
      </w:r>
      <w:r w:rsidR="00122F40">
        <w:rPr>
          <w:rFonts w:cs="Times New Roman"/>
          <w:szCs w:val="24"/>
        </w:rPr>
        <w:t xml:space="preserve"> inden</w:t>
      </w:r>
      <w:r w:rsidR="00754405">
        <w:rPr>
          <w:rFonts w:cs="Times New Roman"/>
          <w:szCs w:val="24"/>
        </w:rPr>
        <w:t xml:space="preserve"> </w:t>
      </w:r>
      <w:r w:rsidR="00122F40">
        <w:rPr>
          <w:rFonts w:cs="Times New Roman"/>
          <w:szCs w:val="24"/>
        </w:rPr>
        <w:t xml:space="preserve">for et boringsnært beskyttelsesområde udpeget efter § 11 a, stk. 1, nr. 6. </w:t>
      </w:r>
      <w:r w:rsidR="00F97460">
        <w:rPr>
          <w:rFonts w:cs="Times New Roman"/>
          <w:szCs w:val="24"/>
        </w:rPr>
        <w:t>En aftale mellem vandforsyning og grundejer efter § 13 f, stk. 1</w:t>
      </w:r>
      <w:r w:rsidR="00F413BD">
        <w:rPr>
          <w:rFonts w:cs="Times New Roman"/>
          <w:szCs w:val="24"/>
        </w:rPr>
        <w:t>,</w:t>
      </w:r>
      <w:r w:rsidR="00F97460">
        <w:rPr>
          <w:rFonts w:cs="Times New Roman"/>
          <w:szCs w:val="24"/>
        </w:rPr>
        <w:t xml:space="preserve"> </w:t>
      </w:r>
      <w:r w:rsidR="00CF3071">
        <w:rPr>
          <w:rFonts w:cs="Times New Roman"/>
          <w:szCs w:val="24"/>
        </w:rPr>
        <w:t>vil som minimum skulle indebære en aftale</w:t>
      </w:r>
      <w:r w:rsidR="00065754">
        <w:rPr>
          <w:rFonts w:cs="Times New Roman"/>
          <w:szCs w:val="24"/>
        </w:rPr>
        <w:t xml:space="preserve"> der sikrer, at der i BNBO ikke anvendes pesticider til erhvervsmæssigt brug. </w:t>
      </w:r>
    </w:p>
    <w:p w14:paraId="3D6A770E" w14:textId="38661DE4" w:rsidR="007C62C8" w:rsidRDefault="007C62C8" w:rsidP="00122F40">
      <w:pPr>
        <w:rPr>
          <w:rFonts w:cs="Times New Roman"/>
          <w:szCs w:val="24"/>
        </w:rPr>
      </w:pPr>
    </w:p>
    <w:p w14:paraId="40958A72" w14:textId="1B9CE1BC" w:rsidR="007C62C8" w:rsidRDefault="007C62C8" w:rsidP="00122F40">
      <w:pPr>
        <w:rPr>
          <w:rFonts w:cs="Times New Roman"/>
          <w:szCs w:val="24"/>
        </w:rPr>
      </w:pPr>
      <w:r>
        <w:rPr>
          <w:rFonts w:cs="Times New Roman"/>
          <w:szCs w:val="24"/>
        </w:rPr>
        <w:t xml:space="preserve">Aftalen vil </w:t>
      </w:r>
      <w:r w:rsidR="0036335C">
        <w:rPr>
          <w:rFonts w:cs="Times New Roman"/>
          <w:szCs w:val="24"/>
        </w:rPr>
        <w:t>kun kunne</w:t>
      </w:r>
      <w:r>
        <w:rPr>
          <w:rFonts w:cs="Times New Roman"/>
          <w:szCs w:val="24"/>
        </w:rPr>
        <w:t xml:space="preserve"> indgås i områder</w:t>
      </w:r>
      <w:r w:rsidR="00FF5183">
        <w:rPr>
          <w:rFonts w:cs="Times New Roman"/>
          <w:szCs w:val="24"/>
        </w:rPr>
        <w:t>,</w:t>
      </w:r>
      <w:r>
        <w:rPr>
          <w:rFonts w:cs="Times New Roman"/>
          <w:szCs w:val="24"/>
        </w:rPr>
        <w:t xml:space="preserve"> der er udpeget efter regler udstedt i medfør af</w:t>
      </w:r>
      <w:r w:rsidR="00645249">
        <w:rPr>
          <w:rFonts w:cs="Times New Roman"/>
          <w:szCs w:val="24"/>
        </w:rPr>
        <w:t xml:space="preserve"> vandforsyningslovens</w:t>
      </w:r>
      <w:r>
        <w:rPr>
          <w:rFonts w:cs="Times New Roman"/>
          <w:szCs w:val="24"/>
        </w:rPr>
        <w:t xml:space="preserve"> § 11 a, stk. 1, nr. 6</w:t>
      </w:r>
      <w:r w:rsidR="00645249">
        <w:rPr>
          <w:rFonts w:cs="Times New Roman"/>
          <w:szCs w:val="24"/>
        </w:rPr>
        <w:t>,</w:t>
      </w:r>
      <w:r w:rsidR="00F9224F">
        <w:rPr>
          <w:rFonts w:cs="Times New Roman"/>
          <w:szCs w:val="24"/>
        </w:rPr>
        <w:t xml:space="preserve"> og risikovurderet efter regler udstedt i medfør af § 13 e i vandforsyningsloven. Formålet hermed er at begrænse anvendelsesområdet for </w:t>
      </w:r>
      <w:r w:rsidR="0036335C">
        <w:rPr>
          <w:rFonts w:cs="Times New Roman"/>
          <w:szCs w:val="24"/>
        </w:rPr>
        <w:t>bestemmelsen, således at der kun indgås aftaler om beskyttelsesforanstaltninger i områder, hvor der ligger en konkret, eksisterende boring, og hvor en</w:t>
      </w:r>
      <w:r w:rsidR="00811606">
        <w:rPr>
          <w:rFonts w:cs="Times New Roman"/>
          <w:szCs w:val="24"/>
        </w:rPr>
        <w:t xml:space="preserve"> konkret</w:t>
      </w:r>
      <w:r w:rsidR="0036335C">
        <w:rPr>
          <w:rFonts w:cs="Times New Roman"/>
          <w:szCs w:val="24"/>
        </w:rPr>
        <w:t xml:space="preserve"> beskyttelsesindsats er nødvendig. Herved sikres det også, at der er en sammenhæng mellem udgifterne ti</w:t>
      </w:r>
      <w:r w:rsidR="000C6056">
        <w:rPr>
          <w:rFonts w:cs="Times New Roman"/>
          <w:szCs w:val="24"/>
        </w:rPr>
        <w:t>l det aftalte beløb</w:t>
      </w:r>
      <w:r w:rsidR="004F0484">
        <w:rPr>
          <w:rFonts w:cs="Times New Roman"/>
          <w:szCs w:val="24"/>
        </w:rPr>
        <w:t>, som afholdes af vandforsyningerne, og der hvor beskyttelsesindsatserne iværksættes.</w:t>
      </w:r>
    </w:p>
    <w:p w14:paraId="70191292" w14:textId="77777777" w:rsidR="00C40B62" w:rsidRDefault="00C40B62" w:rsidP="00122F40">
      <w:pPr>
        <w:rPr>
          <w:rFonts w:cs="Times New Roman"/>
          <w:szCs w:val="24"/>
        </w:rPr>
      </w:pPr>
    </w:p>
    <w:p w14:paraId="2BEBA4BE" w14:textId="040BD2E0" w:rsidR="00127721" w:rsidRDefault="00645249" w:rsidP="00122F40">
      <w:pPr>
        <w:rPr>
          <w:rFonts w:cs="Times New Roman"/>
          <w:szCs w:val="24"/>
        </w:rPr>
      </w:pPr>
      <w:r>
        <w:rPr>
          <w:rFonts w:cs="Times New Roman"/>
          <w:szCs w:val="24"/>
        </w:rPr>
        <w:t>A</w:t>
      </w:r>
      <w:r w:rsidR="00127721">
        <w:rPr>
          <w:rFonts w:cs="Times New Roman"/>
          <w:szCs w:val="24"/>
        </w:rPr>
        <w:t>ftalen mellem vandforsyning og grundejer efter § 13 f, stk. 1</w:t>
      </w:r>
      <w:r w:rsidR="00F413BD">
        <w:rPr>
          <w:rFonts w:cs="Times New Roman"/>
          <w:szCs w:val="24"/>
        </w:rPr>
        <w:t>,</w:t>
      </w:r>
      <w:r w:rsidR="00127721">
        <w:rPr>
          <w:rFonts w:cs="Times New Roman"/>
          <w:szCs w:val="24"/>
        </w:rPr>
        <w:t xml:space="preserve"> </w:t>
      </w:r>
      <w:r>
        <w:rPr>
          <w:rFonts w:cs="Times New Roman"/>
          <w:szCs w:val="24"/>
        </w:rPr>
        <w:t xml:space="preserve">skal </w:t>
      </w:r>
      <w:r w:rsidR="00127721">
        <w:rPr>
          <w:rFonts w:cs="Times New Roman"/>
          <w:szCs w:val="24"/>
        </w:rPr>
        <w:t>yde en tilstrækkelig beskyttelse af BNBO</w:t>
      </w:r>
      <w:r w:rsidR="00823EB6">
        <w:rPr>
          <w:rFonts w:cs="Times New Roman"/>
          <w:szCs w:val="24"/>
        </w:rPr>
        <w:t xml:space="preserve"> mod forurening af drikkevandet fra erhvervsmæssig anvendelse af p</w:t>
      </w:r>
      <w:r w:rsidR="003E2D6A">
        <w:rPr>
          <w:rFonts w:cs="Times New Roman"/>
          <w:szCs w:val="24"/>
        </w:rPr>
        <w:t>esticider</w:t>
      </w:r>
      <w:r w:rsidR="00C40B62">
        <w:rPr>
          <w:rFonts w:cs="Times New Roman"/>
          <w:szCs w:val="24"/>
        </w:rPr>
        <w:t>, således at en afgørelse efter § 24 a, stk. 1</w:t>
      </w:r>
      <w:r w:rsidR="00F413BD">
        <w:rPr>
          <w:rFonts w:cs="Times New Roman"/>
          <w:szCs w:val="24"/>
        </w:rPr>
        <w:t>,</w:t>
      </w:r>
      <w:r w:rsidR="00C40B62">
        <w:rPr>
          <w:rFonts w:cs="Times New Roman"/>
          <w:szCs w:val="24"/>
        </w:rPr>
        <w:t xml:space="preserve"> </w:t>
      </w:r>
      <w:r w:rsidR="00F9224F">
        <w:rPr>
          <w:rFonts w:cs="Times New Roman"/>
          <w:szCs w:val="24"/>
        </w:rPr>
        <w:t xml:space="preserve">ikke </w:t>
      </w:r>
      <w:r w:rsidR="002F2556">
        <w:rPr>
          <w:rFonts w:cs="Times New Roman"/>
          <w:szCs w:val="24"/>
        </w:rPr>
        <w:t>bliver</w:t>
      </w:r>
      <w:r w:rsidR="00F9224F">
        <w:rPr>
          <w:rFonts w:cs="Times New Roman"/>
          <w:szCs w:val="24"/>
        </w:rPr>
        <w:t xml:space="preserve"> nødvendig</w:t>
      </w:r>
      <w:r w:rsidR="00C40B62">
        <w:rPr>
          <w:rFonts w:cs="Times New Roman"/>
          <w:szCs w:val="24"/>
        </w:rPr>
        <w:t>.</w:t>
      </w:r>
      <w:r w:rsidR="000B6D89">
        <w:rPr>
          <w:rFonts w:cs="Times New Roman"/>
          <w:szCs w:val="24"/>
        </w:rPr>
        <w:t xml:space="preserve"> Dette kan eksempelvis </w:t>
      </w:r>
      <w:r>
        <w:rPr>
          <w:rFonts w:cs="Times New Roman"/>
          <w:szCs w:val="24"/>
        </w:rPr>
        <w:t xml:space="preserve">opnås </w:t>
      </w:r>
      <w:r w:rsidR="000B6D89">
        <w:rPr>
          <w:rFonts w:cs="Times New Roman"/>
          <w:szCs w:val="24"/>
        </w:rPr>
        <w:t>ved restriktioner i arealanvendelsen.</w:t>
      </w:r>
    </w:p>
    <w:p w14:paraId="69BCB1BE" w14:textId="4F4750BD" w:rsidR="00127721" w:rsidRDefault="00127721" w:rsidP="00122F40">
      <w:pPr>
        <w:rPr>
          <w:rFonts w:cs="Times New Roman"/>
          <w:szCs w:val="24"/>
        </w:rPr>
      </w:pPr>
    </w:p>
    <w:p w14:paraId="3E49E5FF" w14:textId="202E2F48" w:rsidR="00595048" w:rsidRDefault="009856CB" w:rsidP="00122F40">
      <w:pPr>
        <w:rPr>
          <w:rFonts w:cs="Times New Roman"/>
          <w:szCs w:val="24"/>
        </w:rPr>
      </w:pPr>
      <w:r>
        <w:rPr>
          <w:rFonts w:cs="Times New Roman"/>
          <w:szCs w:val="24"/>
        </w:rPr>
        <w:t>Alt efter de konkrete behov inden for BNBO, vil e</w:t>
      </w:r>
      <w:r w:rsidR="00823EB6">
        <w:rPr>
          <w:rFonts w:cs="Times New Roman"/>
          <w:szCs w:val="24"/>
        </w:rPr>
        <w:t>n aftale efter § 13 f, stk. 1, også kunne vedrøre aftale om</w:t>
      </w:r>
      <w:r w:rsidR="0080308C">
        <w:rPr>
          <w:rFonts w:cs="Times New Roman"/>
          <w:szCs w:val="24"/>
        </w:rPr>
        <w:t xml:space="preserve"> dyrkningspraksis, eksempelvis</w:t>
      </w:r>
      <w:r w:rsidR="00823EB6">
        <w:rPr>
          <w:rFonts w:cs="Times New Roman"/>
          <w:szCs w:val="24"/>
        </w:rPr>
        <w:t xml:space="preserve"> økologisk </w:t>
      </w:r>
      <w:r w:rsidR="0080308C">
        <w:rPr>
          <w:rFonts w:cs="Times New Roman"/>
          <w:szCs w:val="24"/>
        </w:rPr>
        <w:t>eller</w:t>
      </w:r>
      <w:r w:rsidR="00823EB6">
        <w:rPr>
          <w:rFonts w:cs="Times New Roman"/>
          <w:szCs w:val="24"/>
        </w:rPr>
        <w:t xml:space="preserve"> biodynamisk </w:t>
      </w:r>
      <w:r w:rsidR="00D67261">
        <w:rPr>
          <w:rFonts w:cs="Times New Roman"/>
          <w:szCs w:val="24"/>
        </w:rPr>
        <w:t xml:space="preserve">dyrkning eller skovrejsning, </w:t>
      </w:r>
      <w:r>
        <w:rPr>
          <w:rFonts w:cs="Times New Roman"/>
          <w:szCs w:val="24"/>
        </w:rPr>
        <w:t>hvor det herved forudsættes, at der ikke anvendes p</w:t>
      </w:r>
      <w:r w:rsidR="00811606">
        <w:rPr>
          <w:rFonts w:cs="Times New Roman"/>
          <w:szCs w:val="24"/>
        </w:rPr>
        <w:t>esticider</w:t>
      </w:r>
      <w:r>
        <w:rPr>
          <w:rFonts w:cs="Times New Roman"/>
          <w:szCs w:val="24"/>
        </w:rPr>
        <w:t xml:space="preserve"> godkendt til konventionel brug</w:t>
      </w:r>
      <w:r w:rsidR="00D67261">
        <w:rPr>
          <w:rFonts w:cs="Times New Roman"/>
          <w:szCs w:val="24"/>
        </w:rPr>
        <w:t xml:space="preserve">. </w:t>
      </w:r>
      <w:r w:rsidR="00811606">
        <w:rPr>
          <w:rFonts w:cs="Times New Roman"/>
          <w:szCs w:val="24"/>
        </w:rPr>
        <w:t>E</w:t>
      </w:r>
      <w:r w:rsidR="00C40B62">
        <w:rPr>
          <w:rFonts w:cs="Times New Roman"/>
          <w:szCs w:val="24"/>
        </w:rPr>
        <w:t>n grundejer</w:t>
      </w:r>
      <w:r w:rsidR="00FF0880">
        <w:rPr>
          <w:rFonts w:cs="Times New Roman"/>
          <w:szCs w:val="24"/>
        </w:rPr>
        <w:t>,</w:t>
      </w:r>
      <w:r w:rsidR="00437746">
        <w:rPr>
          <w:rFonts w:cs="Times New Roman"/>
          <w:szCs w:val="24"/>
        </w:rPr>
        <w:t xml:space="preserve"> der</w:t>
      </w:r>
      <w:r w:rsidR="009272B8">
        <w:rPr>
          <w:rFonts w:cs="Times New Roman"/>
          <w:szCs w:val="24"/>
        </w:rPr>
        <w:t xml:space="preserve"> i forvejen</w:t>
      </w:r>
      <w:r w:rsidR="00437746">
        <w:rPr>
          <w:rFonts w:cs="Times New Roman"/>
          <w:szCs w:val="24"/>
        </w:rPr>
        <w:t xml:space="preserve"> dyrker økologisk</w:t>
      </w:r>
      <w:r w:rsidR="00FF0880">
        <w:rPr>
          <w:rFonts w:cs="Times New Roman"/>
          <w:szCs w:val="24"/>
        </w:rPr>
        <w:t>,</w:t>
      </w:r>
      <w:r w:rsidR="00437746">
        <w:rPr>
          <w:rFonts w:cs="Times New Roman"/>
          <w:szCs w:val="24"/>
        </w:rPr>
        <w:t xml:space="preserve"> forventes</w:t>
      </w:r>
      <w:r w:rsidR="00811606">
        <w:rPr>
          <w:rFonts w:cs="Times New Roman"/>
          <w:szCs w:val="24"/>
        </w:rPr>
        <w:t xml:space="preserve"> ikke</w:t>
      </w:r>
      <w:r w:rsidR="00437746">
        <w:rPr>
          <w:rFonts w:cs="Times New Roman"/>
          <w:szCs w:val="24"/>
        </w:rPr>
        <w:t xml:space="preserve"> at have </w:t>
      </w:r>
      <w:r w:rsidR="006578FB">
        <w:rPr>
          <w:rFonts w:cs="Times New Roman"/>
          <w:szCs w:val="24"/>
        </w:rPr>
        <w:t>et</w:t>
      </w:r>
      <w:r w:rsidR="00437746">
        <w:rPr>
          <w:rFonts w:cs="Times New Roman"/>
          <w:szCs w:val="24"/>
        </w:rPr>
        <w:t xml:space="preserve"> økonomisk tab</w:t>
      </w:r>
      <w:r w:rsidR="00811606">
        <w:rPr>
          <w:rFonts w:cs="Times New Roman"/>
          <w:szCs w:val="24"/>
        </w:rPr>
        <w:t xml:space="preserve"> som følge af aftalen</w:t>
      </w:r>
      <w:r w:rsidR="00437746">
        <w:rPr>
          <w:rFonts w:cs="Times New Roman"/>
          <w:szCs w:val="24"/>
        </w:rPr>
        <w:t xml:space="preserve">, hvis vedkommende indgår en aftale </w:t>
      </w:r>
      <w:r w:rsidR="009272B8">
        <w:rPr>
          <w:rFonts w:cs="Times New Roman"/>
          <w:szCs w:val="24"/>
        </w:rPr>
        <w:t>med vandforsyningen om fortsat økologisk drift, og aftalen</w:t>
      </w:r>
      <w:r w:rsidR="00811606">
        <w:rPr>
          <w:rFonts w:cs="Times New Roman"/>
          <w:szCs w:val="24"/>
        </w:rPr>
        <w:t xml:space="preserve"> forventes</w:t>
      </w:r>
      <w:r w:rsidR="009272B8">
        <w:rPr>
          <w:rFonts w:cs="Times New Roman"/>
          <w:szCs w:val="24"/>
        </w:rPr>
        <w:t xml:space="preserve"> således heller ikke at udløse </w:t>
      </w:r>
      <w:r w:rsidR="007502E3">
        <w:rPr>
          <w:rFonts w:cs="Times New Roman"/>
          <w:szCs w:val="24"/>
        </w:rPr>
        <w:t>krav om kompensation</w:t>
      </w:r>
      <w:r w:rsidR="009272B8">
        <w:rPr>
          <w:rFonts w:cs="Times New Roman"/>
          <w:szCs w:val="24"/>
        </w:rPr>
        <w:t>.</w:t>
      </w:r>
      <w:r w:rsidR="00E44981">
        <w:rPr>
          <w:rFonts w:cs="Times New Roman"/>
          <w:szCs w:val="24"/>
        </w:rPr>
        <w:t xml:space="preserve"> Ved en aftale efter § 13 f om fortsat økologisk drift forventes det, at aftalen tinglyses på BNBO, så det sikres, at beskyttelsen også opretholdes i tilfælde af, at området med den pågældende BNBO videresælges eller på anden måde overdrages</w:t>
      </w:r>
      <w:r w:rsidR="0059476A">
        <w:rPr>
          <w:rFonts w:cs="Times New Roman"/>
          <w:szCs w:val="24"/>
        </w:rPr>
        <w:t xml:space="preserve"> til en anden grundejer</w:t>
      </w:r>
      <w:r w:rsidR="00E44981">
        <w:rPr>
          <w:rFonts w:cs="Times New Roman"/>
          <w:szCs w:val="24"/>
        </w:rPr>
        <w:t>.</w:t>
      </w:r>
    </w:p>
    <w:p w14:paraId="0813B7B1" w14:textId="777AB6F2" w:rsidR="00010C00" w:rsidRDefault="00010C00" w:rsidP="00122F40">
      <w:pPr>
        <w:rPr>
          <w:rFonts w:cs="Times New Roman"/>
          <w:szCs w:val="24"/>
        </w:rPr>
      </w:pPr>
    </w:p>
    <w:p w14:paraId="39C96437" w14:textId="5BF325C5" w:rsidR="00010C00" w:rsidRDefault="00645249" w:rsidP="00122F40">
      <w:pPr>
        <w:rPr>
          <w:rFonts w:cs="Times New Roman"/>
          <w:szCs w:val="24"/>
        </w:rPr>
      </w:pPr>
      <w:r>
        <w:rPr>
          <w:rFonts w:cs="Times New Roman"/>
          <w:szCs w:val="24"/>
        </w:rPr>
        <w:t>Ved en aftale indgået efter den foreslåede § 13 f, hvor grundejeren eller andre rettighedsindehavere kompenseres økonomisk, forudsætte</w:t>
      </w:r>
      <w:r w:rsidR="00065754">
        <w:rPr>
          <w:rFonts w:cs="Times New Roman"/>
          <w:szCs w:val="24"/>
        </w:rPr>
        <w:t>s det</w:t>
      </w:r>
      <w:r>
        <w:rPr>
          <w:rFonts w:cs="Times New Roman"/>
          <w:szCs w:val="24"/>
        </w:rPr>
        <w:t xml:space="preserve"> at indholdet af aftalen </w:t>
      </w:r>
      <w:r w:rsidR="00745B76">
        <w:rPr>
          <w:rFonts w:cs="Times New Roman"/>
          <w:szCs w:val="24"/>
        </w:rPr>
        <w:t xml:space="preserve">sikrer en beskyttelse af drikkevandet, og at den konkrete beskyttelse er til gavn for vandforbrugerne. Det følger af reglerne om vandsektorens økonomiske rammer, at vandforsyningerne kun kan afholde nødvendige udgifter til drikkevandsbeskyttende tiltag. </w:t>
      </w:r>
      <w:r w:rsidR="00E44981">
        <w:rPr>
          <w:rFonts w:cs="Times New Roman"/>
          <w:szCs w:val="24"/>
        </w:rPr>
        <w:t xml:space="preserve">Vandforsyningen vil ved aftaleindgåelsen derfor skulle påse, </w:t>
      </w:r>
      <w:r w:rsidR="007D0344">
        <w:rPr>
          <w:rFonts w:cs="Times New Roman"/>
          <w:szCs w:val="24"/>
        </w:rPr>
        <w:t>at aftalen kun omfatter tiltag, der har til formål</w:t>
      </w:r>
      <w:r w:rsidR="00E44981">
        <w:rPr>
          <w:rFonts w:cs="Times New Roman"/>
          <w:szCs w:val="24"/>
        </w:rPr>
        <w:t xml:space="preserve"> at beskytte drikkevandet, og som er i overensstemmelse med </w:t>
      </w:r>
      <w:r w:rsidR="00811606">
        <w:rPr>
          <w:rFonts w:cs="Times New Roman"/>
          <w:szCs w:val="24"/>
        </w:rPr>
        <w:t xml:space="preserve">der </w:t>
      </w:r>
      <w:r w:rsidR="00E44981">
        <w:rPr>
          <w:rFonts w:cs="Times New Roman"/>
          <w:szCs w:val="24"/>
        </w:rPr>
        <w:t>udgifter, der er nødvendige i medfør af § 52 a, stk. 1, nr. 10</w:t>
      </w:r>
      <w:r w:rsidR="002F2556">
        <w:rPr>
          <w:rFonts w:cs="Times New Roman"/>
          <w:szCs w:val="24"/>
        </w:rPr>
        <w:t xml:space="preserve">, </w:t>
      </w:r>
      <w:r w:rsidR="00E44981">
        <w:rPr>
          <w:rFonts w:cs="Times New Roman"/>
          <w:szCs w:val="24"/>
        </w:rPr>
        <w:t>i vandforsyningsloven.</w:t>
      </w:r>
      <w:r w:rsidR="00595048">
        <w:rPr>
          <w:rFonts w:cs="Times New Roman"/>
          <w:szCs w:val="24"/>
        </w:rPr>
        <w:t xml:space="preserve"> Vandforsyningens udgifter vil således ikke kunne øges, hvis grundejer ønsker at </w:t>
      </w:r>
      <w:r w:rsidR="00FF0880">
        <w:rPr>
          <w:rFonts w:cs="Times New Roman"/>
          <w:szCs w:val="24"/>
        </w:rPr>
        <w:t xml:space="preserve">få dækket omkostninger til at </w:t>
      </w:r>
      <w:r w:rsidR="00595048">
        <w:rPr>
          <w:rFonts w:cs="Times New Roman"/>
          <w:szCs w:val="24"/>
        </w:rPr>
        <w:t xml:space="preserve">rejse skov i </w:t>
      </w:r>
      <w:r w:rsidR="00595048">
        <w:rPr>
          <w:rFonts w:cs="Times New Roman"/>
          <w:szCs w:val="24"/>
        </w:rPr>
        <w:lastRenderedPageBreak/>
        <w:t xml:space="preserve">BNBO, men kan alene dække det økonomiske tab, som aftalen </w:t>
      </w:r>
      <w:r w:rsidR="00FF5183">
        <w:rPr>
          <w:rFonts w:cs="Times New Roman"/>
          <w:szCs w:val="24"/>
        </w:rPr>
        <w:t xml:space="preserve">for så vidt angår drikkevandsbeskyttelse </w:t>
      </w:r>
      <w:r w:rsidR="00595048">
        <w:rPr>
          <w:rFonts w:cs="Times New Roman"/>
          <w:szCs w:val="24"/>
        </w:rPr>
        <w:t>forventes at medføre. Eventuel skovrejsning vil</w:t>
      </w:r>
      <w:r w:rsidR="006578FB">
        <w:rPr>
          <w:rFonts w:cs="Times New Roman"/>
          <w:szCs w:val="24"/>
        </w:rPr>
        <w:t xml:space="preserve"> </w:t>
      </w:r>
      <w:r w:rsidR="00595048">
        <w:rPr>
          <w:rFonts w:cs="Times New Roman"/>
          <w:szCs w:val="24"/>
        </w:rPr>
        <w:t>således skulle dækkes af andre midler, som ligger uden for</w:t>
      </w:r>
      <w:r w:rsidR="00FF0880">
        <w:rPr>
          <w:rFonts w:cs="Times New Roman"/>
          <w:szCs w:val="24"/>
        </w:rPr>
        <w:t>,</w:t>
      </w:r>
      <w:r w:rsidR="00595048">
        <w:rPr>
          <w:rFonts w:cs="Times New Roman"/>
          <w:szCs w:val="24"/>
        </w:rPr>
        <w:t xml:space="preserve"> hvad vandforsyningerne forpligtes til at kompensere</w:t>
      </w:r>
      <w:r w:rsidR="00745B76">
        <w:rPr>
          <w:rFonts w:cs="Times New Roman"/>
          <w:szCs w:val="24"/>
        </w:rPr>
        <w:t>.</w:t>
      </w:r>
    </w:p>
    <w:p w14:paraId="4E198F5E" w14:textId="459DDC3E" w:rsidR="00D6137D" w:rsidRDefault="00D6137D" w:rsidP="00122F40">
      <w:pPr>
        <w:rPr>
          <w:rFonts w:cs="Times New Roman"/>
          <w:szCs w:val="24"/>
        </w:rPr>
      </w:pPr>
    </w:p>
    <w:p w14:paraId="54172138" w14:textId="19FCEBD5" w:rsidR="00D6137D" w:rsidRDefault="00D6137D" w:rsidP="00122F40">
      <w:pPr>
        <w:rPr>
          <w:rFonts w:cs="Times New Roman"/>
          <w:szCs w:val="24"/>
        </w:rPr>
      </w:pPr>
      <w:r>
        <w:rPr>
          <w:rFonts w:cs="Times New Roman"/>
          <w:szCs w:val="24"/>
        </w:rPr>
        <w:t>En aftale om dyrkningspraksis bør indeholde vilkår, der sikrer at kommunen eller vandforsyningen, alt efter hvem der er aftalepart, har mulighed for at kontrollere, at aftalen overholdes.</w:t>
      </w:r>
      <w:r w:rsidR="00684AB5">
        <w:rPr>
          <w:rFonts w:cs="Times New Roman"/>
          <w:szCs w:val="24"/>
        </w:rPr>
        <w:t xml:space="preserve"> Hvorvidt en grundejer misligholder en aftale efter § 13 f beror på aftalens ordlyd, som i sidste ende kan afgøres af domstol</w:t>
      </w:r>
      <w:r w:rsidR="00FF5183">
        <w:rPr>
          <w:rFonts w:cs="Times New Roman"/>
          <w:szCs w:val="24"/>
        </w:rPr>
        <w:t>ene</w:t>
      </w:r>
      <w:r w:rsidR="00684AB5">
        <w:rPr>
          <w:rFonts w:cs="Times New Roman"/>
          <w:szCs w:val="24"/>
        </w:rPr>
        <w:t>.</w:t>
      </w:r>
      <w:r w:rsidR="004F0484">
        <w:rPr>
          <w:rFonts w:cs="Times New Roman"/>
          <w:szCs w:val="24"/>
        </w:rPr>
        <w:t xml:space="preserve"> Der henvises til de specielle bemærkninger til</w:t>
      </w:r>
      <w:r w:rsidR="002F2556">
        <w:rPr>
          <w:rFonts w:cs="Times New Roman"/>
          <w:szCs w:val="24"/>
        </w:rPr>
        <w:t xml:space="preserve"> den foreslåede § 13 f, stk. 3, </w:t>
      </w:r>
      <w:r w:rsidR="004F0484">
        <w:rPr>
          <w:rFonts w:cs="Times New Roman"/>
          <w:szCs w:val="24"/>
        </w:rPr>
        <w:t>for en uddybende fremstilling af, hvad miljøministeren vil kunne fastsætte regler om</w:t>
      </w:r>
      <w:r w:rsidR="00FF0880">
        <w:rPr>
          <w:rFonts w:cs="Times New Roman"/>
          <w:szCs w:val="24"/>
        </w:rPr>
        <w:t>,</w:t>
      </w:r>
      <w:r w:rsidR="004F0484">
        <w:rPr>
          <w:rFonts w:cs="Times New Roman"/>
          <w:szCs w:val="24"/>
        </w:rPr>
        <w:t xml:space="preserve"> for så vidt angår indholdet af aftaler.</w:t>
      </w:r>
    </w:p>
    <w:p w14:paraId="43EC2774" w14:textId="655EBF68" w:rsidR="006B599F" w:rsidRDefault="006B599F" w:rsidP="00122F40">
      <w:pPr>
        <w:rPr>
          <w:rFonts w:cs="Times New Roman"/>
          <w:szCs w:val="24"/>
        </w:rPr>
      </w:pPr>
    </w:p>
    <w:p w14:paraId="7EE1F6F5" w14:textId="58716A79" w:rsidR="005038CE" w:rsidRDefault="005038CE" w:rsidP="00122F40">
      <w:pPr>
        <w:rPr>
          <w:rFonts w:cs="Times New Roman"/>
          <w:szCs w:val="24"/>
        </w:rPr>
      </w:pPr>
      <w:r>
        <w:rPr>
          <w:rFonts w:cs="Times New Roman"/>
          <w:szCs w:val="24"/>
        </w:rPr>
        <w:t xml:space="preserve">Den foreslåede § 13 f udelukker ikke, </w:t>
      </w:r>
      <w:r w:rsidR="00D661D5">
        <w:rPr>
          <w:rFonts w:cs="Times New Roman"/>
          <w:szCs w:val="24"/>
        </w:rPr>
        <w:t>at der i øvrigt kan indgås aftaler om forhold, der går ud over anvendelsesområdet for § 13 f</w:t>
      </w:r>
      <w:r w:rsidR="004A0751">
        <w:rPr>
          <w:rFonts w:cs="Times New Roman"/>
          <w:szCs w:val="24"/>
        </w:rPr>
        <w:t>, heriblandt eksempelvis andre drikkevandsbeskyttende tiltag som gødskningsrestriktioner. Dette vil blive uddybet i den opdaterede BNBO-vejledning.</w:t>
      </w:r>
    </w:p>
    <w:p w14:paraId="792EDB80" w14:textId="77777777" w:rsidR="0015520C" w:rsidRDefault="0015520C" w:rsidP="00122F40">
      <w:pPr>
        <w:rPr>
          <w:rFonts w:cs="Times New Roman"/>
          <w:szCs w:val="24"/>
        </w:rPr>
      </w:pPr>
    </w:p>
    <w:p w14:paraId="1BCA3FEB" w14:textId="31E31DD3" w:rsidR="00122F40" w:rsidRDefault="007D0344" w:rsidP="00122F40">
      <w:pPr>
        <w:rPr>
          <w:rFonts w:cs="Times New Roman"/>
          <w:szCs w:val="24"/>
        </w:rPr>
      </w:pPr>
      <w:r>
        <w:rPr>
          <w:rFonts w:cs="Times New Roman"/>
          <w:szCs w:val="24"/>
        </w:rPr>
        <w:t>I lighed med den gældende ordning i vandforsyningslovens § 13 d, vil der</w:t>
      </w:r>
      <w:r w:rsidR="00D6137D">
        <w:rPr>
          <w:rFonts w:cs="Times New Roman"/>
          <w:szCs w:val="24"/>
        </w:rPr>
        <w:t xml:space="preserve"> også kunne indgås aftaler om salg af hele eller dele af ejendommen til den almene vandforsyning</w:t>
      </w:r>
      <w:r w:rsidR="0090172A">
        <w:rPr>
          <w:rFonts w:cs="Times New Roman"/>
          <w:szCs w:val="24"/>
        </w:rPr>
        <w:t xml:space="preserve">, eller til kommunen, hvis denne indgår aftalen. Vandforsyningers opkøb af hele eller dele af ejendommen vil </w:t>
      </w:r>
      <w:r w:rsidR="00595048">
        <w:rPr>
          <w:rFonts w:cs="Times New Roman"/>
          <w:szCs w:val="24"/>
        </w:rPr>
        <w:t xml:space="preserve">ligeledes </w:t>
      </w:r>
      <w:r w:rsidR="0090172A">
        <w:rPr>
          <w:rFonts w:cs="Times New Roman"/>
          <w:szCs w:val="24"/>
        </w:rPr>
        <w:t>være omfattet af de eksisterende regler om vandselskabers økonomiske ramme</w:t>
      </w:r>
      <w:r w:rsidR="00E44981">
        <w:rPr>
          <w:rFonts w:cs="Times New Roman"/>
          <w:szCs w:val="24"/>
        </w:rPr>
        <w:t>r, hvilket bl.a. vil medføre, at vandforsyningerne ved opkøb af hele eller dele af ejendommen skal påse, at dette er den mest omkostningseffektive løsning i forhold til</w:t>
      </w:r>
      <w:r w:rsidR="0059476A">
        <w:rPr>
          <w:rFonts w:cs="Times New Roman"/>
          <w:szCs w:val="24"/>
        </w:rPr>
        <w:t>, hvad der er nødvendigt for at beskytte drikkevandsressourcen i BNBO.</w:t>
      </w:r>
    </w:p>
    <w:p w14:paraId="29B1263F" w14:textId="0C150C84" w:rsidR="008F5F8A" w:rsidRDefault="008F5F8A" w:rsidP="00122F40">
      <w:pPr>
        <w:rPr>
          <w:rFonts w:cs="Times New Roman"/>
          <w:szCs w:val="24"/>
        </w:rPr>
      </w:pPr>
    </w:p>
    <w:p w14:paraId="1E13F624" w14:textId="6B18EC9D" w:rsidR="0059476A" w:rsidRDefault="008F5F8A" w:rsidP="00122F40">
      <w:pPr>
        <w:rPr>
          <w:rFonts w:cs="Times New Roman"/>
          <w:szCs w:val="24"/>
        </w:rPr>
      </w:pPr>
      <w:r>
        <w:rPr>
          <w:rFonts w:cs="Times New Roman"/>
          <w:szCs w:val="24"/>
        </w:rPr>
        <w:t>Det foreslås, at</w:t>
      </w:r>
      <w:r w:rsidR="00B02464">
        <w:rPr>
          <w:rFonts w:cs="Times New Roman"/>
          <w:szCs w:val="24"/>
        </w:rPr>
        <w:t xml:space="preserve"> det</w:t>
      </w:r>
      <w:r>
        <w:rPr>
          <w:rFonts w:cs="Times New Roman"/>
          <w:szCs w:val="24"/>
        </w:rPr>
        <w:t xml:space="preserve"> skal være den almene vandforsyning, der forsøger at indgå aftale</w:t>
      </w:r>
      <w:r w:rsidR="00042F78">
        <w:rPr>
          <w:rFonts w:cs="Times New Roman"/>
          <w:szCs w:val="24"/>
        </w:rPr>
        <w:t xml:space="preserve"> med grundejeren</w:t>
      </w:r>
      <w:r>
        <w:rPr>
          <w:rFonts w:cs="Times New Roman"/>
          <w:szCs w:val="24"/>
        </w:rPr>
        <w:t>, og at</w:t>
      </w:r>
      <w:r w:rsidR="000E2A96">
        <w:rPr>
          <w:rFonts w:cs="Times New Roman"/>
          <w:szCs w:val="24"/>
        </w:rPr>
        <w:t xml:space="preserve"> kommunen kun</w:t>
      </w:r>
      <w:r w:rsidR="00EE7984">
        <w:rPr>
          <w:rFonts w:cs="Times New Roman"/>
          <w:szCs w:val="24"/>
        </w:rPr>
        <w:t xml:space="preserve"> </w:t>
      </w:r>
      <w:r w:rsidR="000E2A96">
        <w:rPr>
          <w:rFonts w:cs="Times New Roman"/>
          <w:szCs w:val="24"/>
        </w:rPr>
        <w:t>tilbyde</w:t>
      </w:r>
      <w:r w:rsidR="00432CA5">
        <w:rPr>
          <w:rFonts w:cs="Times New Roman"/>
          <w:szCs w:val="24"/>
        </w:rPr>
        <w:t>r</w:t>
      </w:r>
      <w:r w:rsidR="000E2A96">
        <w:rPr>
          <w:rFonts w:cs="Times New Roman"/>
          <w:szCs w:val="24"/>
        </w:rPr>
        <w:t xml:space="preserve"> en aftale med grundejeren, hvis det ikke har kunnet lade sig gøre for vandforsyningen at indgå aftalen</w:t>
      </w:r>
      <w:r>
        <w:rPr>
          <w:rFonts w:cs="Times New Roman"/>
          <w:szCs w:val="24"/>
        </w:rPr>
        <w:t>.</w:t>
      </w:r>
      <w:r w:rsidR="005B37DD">
        <w:rPr>
          <w:rFonts w:cs="Times New Roman"/>
          <w:szCs w:val="24"/>
        </w:rPr>
        <w:t xml:space="preserve"> Der kan også opstå andre tilfælde, hvor det kan </w:t>
      </w:r>
      <w:r w:rsidR="00B1368F">
        <w:rPr>
          <w:rFonts w:cs="Times New Roman"/>
          <w:szCs w:val="24"/>
        </w:rPr>
        <w:t>være</w:t>
      </w:r>
      <w:r w:rsidR="005B37DD">
        <w:rPr>
          <w:rFonts w:cs="Times New Roman"/>
          <w:szCs w:val="24"/>
        </w:rPr>
        <w:t xml:space="preserve"> aktuelt for kommunen at tilbyde </w:t>
      </w:r>
      <w:r w:rsidR="00B1368F">
        <w:rPr>
          <w:rFonts w:cs="Times New Roman"/>
          <w:szCs w:val="24"/>
        </w:rPr>
        <w:t xml:space="preserve">grundejeren </w:t>
      </w:r>
      <w:r w:rsidR="005B37DD">
        <w:rPr>
          <w:rFonts w:cs="Times New Roman"/>
          <w:szCs w:val="24"/>
        </w:rPr>
        <w:t>en aftale</w:t>
      </w:r>
      <w:r w:rsidR="006B599F">
        <w:rPr>
          <w:rFonts w:cs="Times New Roman"/>
          <w:szCs w:val="24"/>
        </w:rPr>
        <w:t xml:space="preserve"> i stedet for vandforsyningen</w:t>
      </w:r>
      <w:r w:rsidR="00F02DD1">
        <w:rPr>
          <w:rFonts w:cs="Times New Roman"/>
          <w:szCs w:val="24"/>
        </w:rPr>
        <w:t>, idet en grundejer kan sidde i bestyrelsen i et vandværk</w:t>
      </w:r>
      <w:r w:rsidR="005038CE">
        <w:rPr>
          <w:rFonts w:cs="Times New Roman"/>
          <w:szCs w:val="24"/>
        </w:rPr>
        <w:t xml:space="preserve">. Hvis kommunen i stedet indgår aftalen med </w:t>
      </w:r>
      <w:r w:rsidR="003037EF">
        <w:rPr>
          <w:rFonts w:cs="Times New Roman"/>
          <w:szCs w:val="24"/>
        </w:rPr>
        <w:t>grundejere</w:t>
      </w:r>
      <w:r w:rsidR="005038CE">
        <w:rPr>
          <w:rFonts w:cs="Times New Roman"/>
          <w:szCs w:val="24"/>
        </w:rPr>
        <w:t>n, forventes det, at eventuelle interessekonflikter undgås, idet en grundejer som samtidigt sidder i bestyrelsen i et vandværk ikke risikerer at skulle forhandle med sig selv.</w:t>
      </w:r>
    </w:p>
    <w:p w14:paraId="533E017B" w14:textId="77777777" w:rsidR="003B32F9" w:rsidRDefault="003B32F9" w:rsidP="00122F40">
      <w:pPr>
        <w:rPr>
          <w:rFonts w:cs="Times New Roman"/>
          <w:szCs w:val="24"/>
        </w:rPr>
      </w:pPr>
    </w:p>
    <w:p w14:paraId="1C2DDA2B" w14:textId="4F07E1C0" w:rsidR="00835E3C" w:rsidRDefault="00835E3C" w:rsidP="00835E3C">
      <w:pPr>
        <w:rPr>
          <w:rFonts w:cs="Times New Roman"/>
          <w:szCs w:val="24"/>
        </w:rPr>
      </w:pPr>
      <w:r>
        <w:rPr>
          <w:rFonts w:cs="Times New Roman"/>
          <w:szCs w:val="24"/>
        </w:rPr>
        <w:t xml:space="preserve">Hvis kommunalbestyrelsen indgår aftalen, </w:t>
      </w:r>
      <w:r w:rsidR="002F2556">
        <w:rPr>
          <w:rFonts w:cs="Times New Roman"/>
          <w:szCs w:val="24"/>
        </w:rPr>
        <w:t>vil</w:t>
      </w:r>
      <w:r>
        <w:rPr>
          <w:rFonts w:cs="Times New Roman"/>
          <w:szCs w:val="24"/>
        </w:rPr>
        <w:t xml:space="preserve"> den almene vandforsyning </w:t>
      </w:r>
      <w:r w:rsidR="002F2556">
        <w:rPr>
          <w:rFonts w:cs="Times New Roman"/>
          <w:szCs w:val="24"/>
        </w:rPr>
        <w:t xml:space="preserve">skulle </w:t>
      </w:r>
      <w:r>
        <w:rPr>
          <w:rFonts w:cs="Times New Roman"/>
          <w:szCs w:val="24"/>
        </w:rPr>
        <w:t xml:space="preserve">høres over det beløb, der ifølge aftalen tilkommer ejeren af eller </w:t>
      </w:r>
      <w:r>
        <w:rPr>
          <w:rFonts w:cs="Times New Roman"/>
          <w:szCs w:val="24"/>
        </w:rPr>
        <w:lastRenderedPageBreak/>
        <w:t>indehaveren af andre rettigheder over ejendommen. Høringen af vandforsyningen i tilfælde, hvor kommunen indgår aftalen er begrundet i, at det er forventningen, at vandforsyningen afholder udgiften til det beløb, der ifølge aftalen tilkommer ejeren eller indehaveren af andre rettigheder over ejendommen, hvis vedkommende har et økonomisk tab som følge af aftalen. Det er således i den pågældende vandforsynings interesse at blive inddraget i fastsættelsen af beløbet.</w:t>
      </w:r>
      <w:r w:rsidR="003B32F9">
        <w:rPr>
          <w:rFonts w:cs="Times New Roman"/>
          <w:szCs w:val="24"/>
        </w:rPr>
        <w:t xml:space="preserve"> </w:t>
      </w:r>
      <w:r>
        <w:rPr>
          <w:rFonts w:cs="Times New Roman"/>
          <w:szCs w:val="24"/>
        </w:rPr>
        <w:t>Det understreges, at vandforsyningerne kun vil kunne bekoste de udgifter, som er nødvendige af hensyn til drikkevandsbeskyttelsen. Øvrige tiltag som måtte indgå i aftalen, og som ikke sker som led i den konkrete drikkevandsbeskyttelse vil ikke kunne dækkes via vandforsyningernes forhøjelse af vandtaksterne.</w:t>
      </w:r>
    </w:p>
    <w:p w14:paraId="152A5479" w14:textId="51868AB5" w:rsidR="00166F41" w:rsidRDefault="00166F41" w:rsidP="00122F40"/>
    <w:p w14:paraId="027865C1" w14:textId="16F0081F" w:rsidR="005B37DD" w:rsidRDefault="00166F41" w:rsidP="00122F40">
      <w:r>
        <w:t>Selv i de tilfælde</w:t>
      </w:r>
      <w:r w:rsidR="00FF0880">
        <w:t>,</w:t>
      </w:r>
      <w:r>
        <w:t xml:space="preserve"> hvor vandforsyningen indgår aftalen med grundejeren efter den foreslåede § 13 f</w:t>
      </w:r>
      <w:r w:rsidR="00D45584">
        <w:t>, bør kommunen inddrages tidligt i processen, og det bør tilstræbes, at vandforsyninger og kommuner har dialog om beskyttelsesindsatserne</w:t>
      </w:r>
      <w:r w:rsidR="00DF3208">
        <w:t xml:space="preserve"> m.v</w:t>
      </w:r>
      <w:r w:rsidR="00D45584">
        <w:t>. En årsag hertil er bl.a., at kommunerne har kendskab til, i hvilke BNBO</w:t>
      </w:r>
      <w:r w:rsidR="003B32F9">
        <w:t>,</w:t>
      </w:r>
      <w:r w:rsidR="00D45584">
        <w:t xml:space="preserve"> der konkret er behov for indsatser, og at vandforsyningerne er afhængig af denne viden for at kunne påbegynde arbejdet med at tilbyde og indgå aftaler </w:t>
      </w:r>
      <w:r w:rsidR="00DF3208">
        <w:t xml:space="preserve">med </w:t>
      </w:r>
      <w:r w:rsidR="00D45584">
        <w:t>grundejerne.</w:t>
      </w:r>
    </w:p>
    <w:p w14:paraId="137F8E68" w14:textId="7BD63DF6" w:rsidR="004A0751" w:rsidRDefault="004A0751" w:rsidP="00122F40"/>
    <w:p w14:paraId="2C149431" w14:textId="0464058E" w:rsidR="0025656A" w:rsidRDefault="0025656A" w:rsidP="0025656A">
      <w:r>
        <w:t xml:space="preserve">Efter </w:t>
      </w:r>
      <w:r w:rsidRPr="0025656A">
        <w:rPr>
          <w:i/>
        </w:rPr>
        <w:t>stk. 2</w:t>
      </w:r>
      <w:r>
        <w:t xml:space="preserve"> foreslås det, at vandforsyningen eller kommunalbestyrelsen for grundejerens regning tinglyser aftalen efter stk. 1, og</w:t>
      </w:r>
      <w:r w:rsidR="00F33E8E">
        <w:t xml:space="preserve"> aftaler efter stk. 1 kan tinglyses med prioritet forud for alle rettigheder i ejendommen.</w:t>
      </w:r>
      <w:r>
        <w:t xml:space="preserve"> Det foreslås også, at § 119 i lov om offentlige veje finder anvendelse ved udbetalingen af det aftalte beløb.</w:t>
      </w:r>
    </w:p>
    <w:p w14:paraId="7BFDAFF7" w14:textId="4E5484F3" w:rsidR="00850D3E" w:rsidRDefault="00850D3E" w:rsidP="0025656A"/>
    <w:p w14:paraId="1B7D3F9D" w14:textId="15526168" w:rsidR="00850D3E" w:rsidRDefault="00850D3E" w:rsidP="0025656A">
      <w:r>
        <w:t>Kravet om at en aftale efter stk. 1 skal tinglyses for grundejerens regning er begrundet i at s</w:t>
      </w:r>
      <w:r w:rsidR="005F28A6">
        <w:t>ikre, at det er de samme regler om tinglysning</w:t>
      </w:r>
      <w:r w:rsidR="001B0A49">
        <w:t>,</w:t>
      </w:r>
      <w:r w:rsidR="005F28A6">
        <w:t xml:space="preserve"> som gælder </w:t>
      </w:r>
      <w:r>
        <w:t>efter den foreslåede § 24 a, hvor det ligeledes er et krav, at det tinglyses, at der ikke må anvendes pesticider inden for BNBO. Herved bliver det tydeligt over for eventuelle forpagtere, købere af jorden,</w:t>
      </w:r>
      <w:r w:rsidR="00A65907">
        <w:t xml:space="preserve"> </w:t>
      </w:r>
      <w:r>
        <w:t>e</w:t>
      </w:r>
      <w:r w:rsidR="001B0A49">
        <w:t>l</w:t>
      </w:r>
      <w:r>
        <w:t>.l</w:t>
      </w:r>
      <w:r w:rsidR="001B0A49">
        <w:t>ign</w:t>
      </w:r>
      <w:r>
        <w:t>.</w:t>
      </w:r>
      <w:r w:rsidR="001B0A49">
        <w:t>,</w:t>
      </w:r>
      <w:r>
        <w:t xml:space="preserve"> at der gælder en tinglyst aftale om, at der ikke må anvendes pesticider til erhvervsmæssig brug inden for den pågældende BNBO. Det understreges, at aftalen betragtes som gældende,</w:t>
      </w:r>
      <w:r w:rsidR="005F28A6">
        <w:t xml:space="preserve"> når den er indgået,</w:t>
      </w:r>
      <w:r>
        <w:t xml:space="preserve"> uanset om der sker tinglysning af aftalen eller ej.</w:t>
      </w:r>
    </w:p>
    <w:p w14:paraId="5507CE17" w14:textId="277A38E6" w:rsidR="00850D3E" w:rsidRDefault="00850D3E" w:rsidP="0025656A"/>
    <w:p w14:paraId="0F6AC10C" w14:textId="462BED5D" w:rsidR="00566C26" w:rsidRDefault="00850D3E" w:rsidP="0025656A">
      <w:r>
        <w:t xml:space="preserve">Det foreslås, at </w:t>
      </w:r>
      <w:r w:rsidR="00566C26">
        <w:t xml:space="preserve">det indskrives, at </w:t>
      </w:r>
      <w:r>
        <w:t xml:space="preserve">aftalen efter stk. 1 </w:t>
      </w:r>
      <w:r w:rsidR="00F33E8E">
        <w:t xml:space="preserve">kan tinglyses med prioritet forud for alle rettigheder i ejendommen. </w:t>
      </w:r>
    </w:p>
    <w:p w14:paraId="043A05A5" w14:textId="77777777" w:rsidR="00566C26" w:rsidRDefault="00566C26" w:rsidP="0025656A"/>
    <w:p w14:paraId="5FD7C04A" w14:textId="3823C95C" w:rsidR="0025656A" w:rsidRDefault="0025656A" w:rsidP="0025656A">
      <w:r>
        <w:t>Efter § 119, stk. 1</w:t>
      </w:r>
      <w:r w:rsidR="008F69F0">
        <w:t>,</w:t>
      </w:r>
      <w:r>
        <w:t xml:space="preserve"> i lov om offentlige veje skal vejmyndigheden uden unødigt ophold udbetale det aftalte beløb efter denne lov til de berettigede. </w:t>
      </w:r>
      <w:r>
        <w:lastRenderedPageBreak/>
        <w:t xml:space="preserve">Henvisningen til § 119 i den foreslåede stk. 2 indebærer, at vandforsyningen skal udbetale den kompensation, som grundejeren vil være berettiget til ved indgåelse af aftalen uden unødigt ophold. Det samme gør sig gældende, hvis det er kommunalbestyrelsen, der indgår aftalen med grundejeren efter stk. 1, hvorefter vandforsyningen fortsat vil skulle udbetale det aftalte beløb uden unødigt ophold. </w:t>
      </w:r>
    </w:p>
    <w:p w14:paraId="4FF0AB42" w14:textId="77777777" w:rsidR="00FA6C56" w:rsidRDefault="00FA6C56" w:rsidP="0025656A"/>
    <w:p w14:paraId="77FB17BD" w14:textId="135C3019" w:rsidR="004A0751" w:rsidRDefault="0025656A" w:rsidP="00122F40">
      <w:r>
        <w:t xml:space="preserve">Henvisningen til § 119 i den foreslåede stk. 2 indebærer ikke, at det aftalte beløb nødvendigvis betragtes som en erstatning, </w:t>
      </w:r>
      <w:r w:rsidR="00026295">
        <w:t xml:space="preserve">til trods for at det i § 119 betegnes som sådan, </w:t>
      </w:r>
      <w:r>
        <w:t xml:space="preserve">da </w:t>
      </w:r>
      <w:r w:rsidR="00026295">
        <w:t>grundejer og vandforsyning eller kommune kan aftale et beløb, som ikke nødvendigvis er tilsvarende et erstatningsbeløb.</w:t>
      </w:r>
    </w:p>
    <w:p w14:paraId="52ADFD75" w14:textId="3C996388" w:rsidR="00026295" w:rsidRDefault="00026295" w:rsidP="00122F40"/>
    <w:p w14:paraId="638C29C7" w14:textId="00448E3B" w:rsidR="00026295" w:rsidRDefault="00026295" w:rsidP="00122F40">
      <w:r>
        <w:t>En vandforsyning betragtes ikke som en vejmyndighed med henvisningen til § 119 i den foreslåede stk. 2, men reglerne i § 119 vil uanset hvad gælde for vandforsyningen, hvis de er aftalepart i aftalen med grundejeren efter den foreslåede stk. 1.</w:t>
      </w:r>
    </w:p>
    <w:p w14:paraId="4D1DD64E" w14:textId="3C6BB5E7" w:rsidR="0025656A" w:rsidRDefault="0025656A" w:rsidP="00122F40"/>
    <w:p w14:paraId="0B2E39CF" w14:textId="16DF7286" w:rsidR="0025656A" w:rsidRPr="004A0751" w:rsidRDefault="0025656A" w:rsidP="00122F40">
      <w:r>
        <w:t>De øvrige regler i § 119 vil ligeledes finde anvendelse for så vidt angår udbetaling af det aftalte beløb. Det indebærer, at vandforsyningen eller kommune skal undersøge, om der er panthavere eller andre rettighedshavere på ejendommen</w:t>
      </w:r>
      <w:r w:rsidR="00026295">
        <w:t xml:space="preserve"> efter § 119, stk. 2, og at panthavere og andre rettighedshavere, hvis ret er tinglyst, inden ekspropriationen er tinglyst, i prioritetsorden kan kræve erstatningen udbetalt efter § 119, stk. 3.</w:t>
      </w:r>
    </w:p>
    <w:p w14:paraId="2A2ED53B" w14:textId="77777777" w:rsidR="00122F40" w:rsidRDefault="00122F40" w:rsidP="00122F40"/>
    <w:p w14:paraId="61B7054F" w14:textId="499FDF9D" w:rsidR="00122F40" w:rsidRDefault="00122F40" w:rsidP="00122F40">
      <w:pPr>
        <w:rPr>
          <w:rFonts w:cs="Times New Roman"/>
          <w:szCs w:val="24"/>
        </w:rPr>
      </w:pPr>
      <w:r>
        <w:t xml:space="preserve">Med det foreslåede </w:t>
      </w:r>
      <w:r w:rsidRPr="00F079A1">
        <w:rPr>
          <w:i/>
        </w:rPr>
        <w:t xml:space="preserve">stk. </w:t>
      </w:r>
      <w:r w:rsidR="0025656A">
        <w:rPr>
          <w:i/>
        </w:rPr>
        <w:t>3</w:t>
      </w:r>
      <w:r>
        <w:t xml:space="preserve"> bemyndiges miljøministeren til at kunne </w:t>
      </w:r>
      <w:r>
        <w:rPr>
          <w:rFonts w:cs="Times New Roman"/>
          <w:szCs w:val="24"/>
        </w:rPr>
        <w:t>fastsætte regler om aftaleindgåelse efter stk. 1, herunder bl.a. om tidsfrister og vilkår. Det er således hensigten, at der</w:t>
      </w:r>
      <w:r w:rsidR="00D45584">
        <w:rPr>
          <w:rFonts w:cs="Times New Roman"/>
          <w:szCs w:val="24"/>
        </w:rPr>
        <w:t xml:space="preserve"> </w:t>
      </w:r>
      <w:r w:rsidR="00E27332">
        <w:rPr>
          <w:rFonts w:cs="Times New Roman"/>
          <w:szCs w:val="24"/>
        </w:rPr>
        <w:t>skal kunne</w:t>
      </w:r>
      <w:r w:rsidR="00D45584">
        <w:rPr>
          <w:rFonts w:cs="Times New Roman"/>
          <w:szCs w:val="24"/>
        </w:rPr>
        <w:t xml:space="preserve"> fastsættes en frist</w:t>
      </w:r>
      <w:r>
        <w:rPr>
          <w:rFonts w:cs="Times New Roman"/>
          <w:szCs w:val="24"/>
        </w:rPr>
        <w:t xml:space="preserve">, inden for hvilken der </w:t>
      </w:r>
      <w:r w:rsidR="001B0A49">
        <w:rPr>
          <w:rFonts w:cs="Times New Roman"/>
          <w:szCs w:val="24"/>
        </w:rPr>
        <w:t xml:space="preserve">kan </w:t>
      </w:r>
      <w:r>
        <w:rPr>
          <w:rFonts w:cs="Times New Roman"/>
          <w:szCs w:val="24"/>
        </w:rPr>
        <w:t>være</w:t>
      </w:r>
      <w:r w:rsidR="00E556FA">
        <w:rPr>
          <w:rFonts w:cs="Times New Roman"/>
          <w:szCs w:val="24"/>
        </w:rPr>
        <w:t xml:space="preserve"> forsøgt</w:t>
      </w:r>
      <w:r>
        <w:rPr>
          <w:rFonts w:cs="Times New Roman"/>
          <w:szCs w:val="24"/>
        </w:rPr>
        <w:t xml:space="preserve"> indgået en aftale om beskyttelse af e</w:t>
      </w:r>
      <w:r w:rsidR="00754405">
        <w:rPr>
          <w:rFonts w:cs="Times New Roman"/>
          <w:szCs w:val="24"/>
        </w:rPr>
        <w:t>t</w:t>
      </w:r>
      <w:r>
        <w:rPr>
          <w:rFonts w:cs="Times New Roman"/>
          <w:szCs w:val="24"/>
        </w:rPr>
        <w:t xml:space="preserve"> BNBO, der efter regler udstedt i medfør af § 13 e er vurderet </w:t>
      </w:r>
      <w:r w:rsidR="003A2D6A">
        <w:rPr>
          <w:rFonts w:cs="Times New Roman"/>
          <w:szCs w:val="24"/>
        </w:rPr>
        <w:t>til at skulle beskyttes</w:t>
      </w:r>
      <w:r>
        <w:rPr>
          <w:rFonts w:cs="Times New Roman"/>
          <w:szCs w:val="24"/>
        </w:rPr>
        <w:t>. Hv</w:t>
      </w:r>
      <w:r w:rsidR="005D0B51">
        <w:rPr>
          <w:rFonts w:cs="Times New Roman"/>
          <w:szCs w:val="24"/>
        </w:rPr>
        <w:t xml:space="preserve">is der ikke er indgået en aftale inden fristen, </w:t>
      </w:r>
      <w:r>
        <w:rPr>
          <w:rFonts w:cs="Times New Roman"/>
          <w:szCs w:val="24"/>
        </w:rPr>
        <w:t>vil kommunalbestyrelsen være forpligtet til at tage den for</w:t>
      </w:r>
      <w:r w:rsidR="00FF4669">
        <w:rPr>
          <w:rFonts w:cs="Times New Roman"/>
          <w:szCs w:val="24"/>
        </w:rPr>
        <w:t>e</w:t>
      </w:r>
      <w:r>
        <w:rPr>
          <w:rFonts w:cs="Times New Roman"/>
          <w:szCs w:val="24"/>
        </w:rPr>
        <w:t xml:space="preserve">slåede § 24 a i miljøbeskyttelsesloven i </w:t>
      </w:r>
      <w:r w:rsidR="00D6573A">
        <w:rPr>
          <w:rFonts w:cs="Times New Roman"/>
          <w:szCs w:val="24"/>
        </w:rPr>
        <w:t>brug</w:t>
      </w:r>
      <w:r>
        <w:rPr>
          <w:rFonts w:cs="Times New Roman"/>
          <w:szCs w:val="24"/>
        </w:rPr>
        <w:t xml:space="preserve"> og udstede et påbud eller nedlægge et forbud imod erhvervsmæssig anvendelse af p</w:t>
      </w:r>
      <w:r w:rsidR="00D45584">
        <w:rPr>
          <w:rFonts w:cs="Times New Roman"/>
          <w:szCs w:val="24"/>
        </w:rPr>
        <w:t>esticider</w:t>
      </w:r>
      <w:r>
        <w:rPr>
          <w:rFonts w:cs="Times New Roman"/>
          <w:szCs w:val="24"/>
        </w:rPr>
        <w:t xml:space="preserve"> inden for BNBO.</w:t>
      </w:r>
    </w:p>
    <w:p w14:paraId="45538F7A" w14:textId="77777777" w:rsidR="00122F40" w:rsidRDefault="00122F40" w:rsidP="00122F40">
      <w:pPr>
        <w:rPr>
          <w:rFonts w:cs="Times New Roman"/>
          <w:szCs w:val="24"/>
        </w:rPr>
      </w:pPr>
    </w:p>
    <w:p w14:paraId="31B404C0" w14:textId="7B5E6936" w:rsidR="00122F40" w:rsidRDefault="00122F40" w:rsidP="00122F40">
      <w:pPr>
        <w:rPr>
          <w:rFonts w:cs="Times New Roman"/>
          <w:szCs w:val="24"/>
        </w:rPr>
      </w:pPr>
      <w:r>
        <w:t xml:space="preserve">Der </w:t>
      </w:r>
      <w:r w:rsidR="00E27332">
        <w:t>vil</w:t>
      </w:r>
      <w:r>
        <w:t xml:space="preserve"> herudover </w:t>
      </w:r>
      <w:r w:rsidR="00E27332">
        <w:t xml:space="preserve">kunne </w:t>
      </w:r>
      <w:r>
        <w:t xml:space="preserve">fastsættes regler om, hvilke vilkår aftalen skal indeholde, herunder til sikring af, at myndigheden eller vandforsyningen har mulighed for at kontrollere, om aftalen overholdes. Der vil endvidere kunne udstedes regler om vilkår om sanktioner i tilfælde af, at aftalen overtrædes, i form af hel eller delvis tilbagebetaling af erstatningen eventuelt kombineret med en bod eller lignende, der vil afhænge af overtrædelsens grovhed, herunder hvor meget </w:t>
      </w:r>
      <w:r w:rsidR="00024E00">
        <w:t>grundejeren</w:t>
      </w:r>
      <w:r>
        <w:t xml:space="preserve"> har tjent på at overtræde aftalen.</w:t>
      </w:r>
    </w:p>
    <w:p w14:paraId="75AF158F" w14:textId="77777777" w:rsidR="00D6573A" w:rsidRDefault="00D6573A" w:rsidP="00FF4669">
      <w:pPr>
        <w:rPr>
          <w:i/>
        </w:rPr>
      </w:pPr>
    </w:p>
    <w:p w14:paraId="643D9B79" w14:textId="3977BB30" w:rsidR="00513D91" w:rsidRDefault="00513D91" w:rsidP="00513D91">
      <w:pPr>
        <w:jc w:val="center"/>
        <w:rPr>
          <w:i/>
        </w:rPr>
      </w:pPr>
      <w:r w:rsidRPr="00361BBF">
        <w:rPr>
          <w:i/>
        </w:rPr>
        <w:t>Til § 2</w:t>
      </w:r>
    </w:p>
    <w:p w14:paraId="2A825D88" w14:textId="77777777" w:rsidR="00513D91" w:rsidRDefault="00513D91" w:rsidP="00513D91"/>
    <w:p w14:paraId="74E062A5" w14:textId="2343486F" w:rsidR="00122F40" w:rsidRDefault="00513D91" w:rsidP="00513D91">
      <w:r>
        <w:t xml:space="preserve">Til nr. </w:t>
      </w:r>
      <w:r w:rsidR="00122F40">
        <w:t>1</w:t>
      </w:r>
    </w:p>
    <w:p w14:paraId="673E85E4" w14:textId="212E0863" w:rsidR="00FF4669" w:rsidRDefault="00FF4669" w:rsidP="00513D91"/>
    <w:p w14:paraId="16B6FF7F" w14:textId="59420AB7" w:rsidR="00A066DB" w:rsidRDefault="00A066DB" w:rsidP="00513D91">
      <w:r>
        <w:t>Ifølge § 21 b, stk. 1</w:t>
      </w:r>
      <w:r w:rsidR="00000199">
        <w:t>,</w:t>
      </w:r>
      <w:r>
        <w:t xml:space="preserve"> </w:t>
      </w:r>
      <w:r w:rsidR="00A4423B">
        <w:t xml:space="preserve">må anvendelse af </w:t>
      </w:r>
      <w:r w:rsidR="00D6573A">
        <w:t>pesticider,</w:t>
      </w:r>
      <w:r w:rsidR="00A4423B">
        <w:t xml:space="preserve"> dyrkning og gødskning til erhvervsmæssige </w:t>
      </w:r>
      <w:r w:rsidR="00D6573A">
        <w:t xml:space="preserve">og offentlige </w:t>
      </w:r>
      <w:r w:rsidR="00A4423B">
        <w:t xml:space="preserve">formål ikke foretages inden for en radius på 25 m fra en boring, der indvinder grundvand til almene vandforsyninger. </w:t>
      </w:r>
    </w:p>
    <w:p w14:paraId="6947EFCF" w14:textId="77777777" w:rsidR="00A066DB" w:rsidRDefault="00A066DB" w:rsidP="00513D91"/>
    <w:p w14:paraId="2BFAE872" w14:textId="4AE457C2" w:rsidR="00122F40" w:rsidRDefault="00122F40" w:rsidP="00122F40">
      <w:pPr>
        <w:rPr>
          <w:rFonts w:eastAsia="Calibri" w:cs="Times New Roman"/>
          <w:szCs w:val="24"/>
        </w:rPr>
      </w:pPr>
      <w:bookmarkStart w:id="76" w:name="_Hlk144896974"/>
      <w:r>
        <w:rPr>
          <w:rFonts w:eastAsia="Calibri" w:cs="Times New Roman"/>
          <w:szCs w:val="24"/>
        </w:rPr>
        <w:t>Ifølge den gældende § 21 b, stk. 2, finder forbuddet i stk. 1 ikke anvendelse, såfremt kommunalbestyrelsen efter § 24, stk. 1, har udstedt et påbud eller nedlagt et forbud, som er gældende længere væk en</w:t>
      </w:r>
      <w:r w:rsidR="00D6573A">
        <w:rPr>
          <w:rFonts w:eastAsia="Calibri" w:cs="Times New Roman"/>
          <w:szCs w:val="24"/>
        </w:rPr>
        <w:t>d</w:t>
      </w:r>
      <w:r>
        <w:rPr>
          <w:rFonts w:eastAsia="Calibri" w:cs="Times New Roman"/>
          <w:szCs w:val="24"/>
        </w:rPr>
        <w:t xml:space="preserve"> 10 meter fra boringen og som indebærer en tilsvarende rådighedsindskrænkning som efter § 21 b, stk. 1.</w:t>
      </w:r>
    </w:p>
    <w:p w14:paraId="53B42A11" w14:textId="77777777" w:rsidR="00122F40" w:rsidRDefault="00122F40" w:rsidP="00122F40"/>
    <w:p w14:paraId="15F40249" w14:textId="54175404" w:rsidR="00A4423B" w:rsidRDefault="00122F40" w:rsidP="00122F40">
      <w:r>
        <w:t xml:space="preserve">Med den foreslåede ændring af </w:t>
      </w:r>
      <w:r>
        <w:rPr>
          <w:i/>
        </w:rPr>
        <w:t>§ 21 b, stk. 2,</w:t>
      </w:r>
      <w:r>
        <w:t xml:space="preserve"> indsætte</w:t>
      </w:r>
      <w:r w:rsidR="00615D81">
        <w:t>s</w:t>
      </w:r>
      <w:r>
        <w:t xml:space="preserve"> tilsvarende en henvisning til påbud eller forbud foretaget efter den foreslåede § 24 a, stk. 1 og til den gældende § 26 a, stk. 1. Herved vil beskyttelseszonen på 25 meter omkring en boring, der indvinder grundvand til almene vandforsyninger efter § 21 b, stk. 1, kun blive aktiveret, såfremt der ikke findes tilsvarende rådighedsindskrænkninger på området allerede efter de indsatte bestemmelser. I tilfælde af tilsvarende rådighedsindskrænkninger efter den foreslåede § 24 a, stk. 1, eller den gældende § 26 a, stk. 1, som gælder længere væk en 10 meter fra boringen, vil den generelle 25 meters beskyttelseszone omkring boringen således vige for det individuelle påbud eller forbud. Den direkte henvisning til den allerede gældende bestemmelse i miljøbeskyttelseslovens § 26 a, stk. 1, fremstår som en præcisering af allerede gældende praksis. </w:t>
      </w:r>
      <w:bookmarkEnd w:id="76"/>
    </w:p>
    <w:p w14:paraId="0CE7B071" w14:textId="425ECEFC" w:rsidR="00A4423B" w:rsidRDefault="00A4423B" w:rsidP="00122F40"/>
    <w:p w14:paraId="4A3776AF" w14:textId="55A1FCC6" w:rsidR="00A4423B" w:rsidRDefault="00F45F7B" w:rsidP="00122F40">
      <w:r>
        <w:t>I tilfælde hvor en afgørelse efter den foreslåede § 24 a, stk. 1</w:t>
      </w:r>
      <w:r w:rsidR="00000199">
        <w:t>,</w:t>
      </w:r>
      <w:r>
        <w:t xml:space="preserve"> træder i stedet for forbuddet efter § 21 b, stk. 1, vil afgørelsen fortsat kun omhandle forbud mod erhvervsmæssig anvendelse af </w:t>
      </w:r>
      <w:r w:rsidR="00E31E21">
        <w:t>p</w:t>
      </w:r>
      <w:r w:rsidR="00680A53">
        <w:t>esticider</w:t>
      </w:r>
      <w:r w:rsidR="00E31E21">
        <w:t>, men ikke dyrkning og gødskning</w:t>
      </w:r>
      <w:r w:rsidR="00D6573A">
        <w:t>, da § 24 a ikke hjemler forbud mod dyrkning eller gødskning.</w:t>
      </w:r>
      <w:r w:rsidR="009942D3">
        <w:t xml:space="preserve"> Såfremt </w:t>
      </w:r>
      <w:r w:rsidR="0078287F">
        <w:t xml:space="preserve">kommunen vurderer, at </w:t>
      </w:r>
      <w:r w:rsidR="00464E25">
        <w:t xml:space="preserve">der kan være behov for supplerende beskyttelsesforanstaltninger for så vidt angår dyrkning og gødskning, vil kommunen kunne træffe afgørelse herom efter de </w:t>
      </w:r>
      <w:r w:rsidR="00680A53">
        <w:t>eksisterende påbudsregler i miljøbeskyttelsesloven</w:t>
      </w:r>
      <w:r w:rsidR="00464E25">
        <w:t>.</w:t>
      </w:r>
    </w:p>
    <w:p w14:paraId="15F8F430" w14:textId="6000230B" w:rsidR="00122F40" w:rsidRDefault="00122F40" w:rsidP="00513D91"/>
    <w:p w14:paraId="2D462107" w14:textId="77777777" w:rsidR="00FF4669" w:rsidRDefault="00FF4669" w:rsidP="00FF4669">
      <w:pPr>
        <w:spacing w:after="240"/>
        <w:rPr>
          <w:rFonts w:cs="Times New Roman"/>
          <w:szCs w:val="24"/>
        </w:rPr>
      </w:pPr>
      <w:r>
        <w:rPr>
          <w:rFonts w:cs="Times New Roman"/>
          <w:szCs w:val="24"/>
        </w:rPr>
        <w:t>Til nr. 2</w:t>
      </w:r>
    </w:p>
    <w:p w14:paraId="766DD691" w14:textId="2D006C9B" w:rsidR="00FF4669" w:rsidRPr="00A97FAE" w:rsidRDefault="00FF4669" w:rsidP="00FF4669">
      <w:pPr>
        <w:spacing w:after="240"/>
        <w:rPr>
          <w:rFonts w:cs="Times New Roman"/>
          <w:szCs w:val="24"/>
        </w:rPr>
      </w:pPr>
      <w:r>
        <w:rPr>
          <w:rFonts w:cs="Times New Roman"/>
          <w:szCs w:val="24"/>
        </w:rPr>
        <w:lastRenderedPageBreak/>
        <w:t>Efter gældende ret i miljøbeskyttelseslovens § 24 kan kommunalbestyrelsen efter en konkret vurdering af forureningsfaren udstede påbud eller forbud for at undgå fare for forurening, herunder med p</w:t>
      </w:r>
      <w:r w:rsidR="00D6573A">
        <w:rPr>
          <w:rFonts w:cs="Times New Roman"/>
          <w:szCs w:val="24"/>
        </w:rPr>
        <w:t>esticider</w:t>
      </w:r>
      <w:r>
        <w:rPr>
          <w:rFonts w:cs="Times New Roman"/>
          <w:szCs w:val="24"/>
        </w:rPr>
        <w:t>, af bestående eller fremtidige vandindvindingsanlæg.</w:t>
      </w:r>
    </w:p>
    <w:p w14:paraId="6ECD7CC6" w14:textId="1BB02C12" w:rsidR="00FF4669" w:rsidRDefault="00FF4669" w:rsidP="00FF4669">
      <w:r>
        <w:t>Kommunalbestyrelsen kan f.eks. fastlægge såkaldte ”fredningsbælter” på fremmed grund med forbud mod gødskning og anvendelse af p</w:t>
      </w:r>
      <w:r w:rsidR="00D93BEF">
        <w:t>lantebeskyttelsesmidler</w:t>
      </w:r>
      <w:r>
        <w:t xml:space="preserve"> m.v. omkring en vandindvindingsboring. Fredningsbælterne fastlægges typisk med en radius på 10 meter.</w:t>
      </w:r>
    </w:p>
    <w:p w14:paraId="5C389AC2" w14:textId="77777777" w:rsidR="00FF4669" w:rsidRDefault="00FF4669" w:rsidP="00FF4669"/>
    <w:p w14:paraId="0295F4CC" w14:textId="1D6FE1BE" w:rsidR="00FF4669" w:rsidRDefault="00FF4669" w:rsidP="00FF4669">
      <w:r>
        <w:t>Kommunalbestyrelsen kan endvidere efter en konkret vurdering udstede påbud om rådighedsindskrænkninger i medfør af miljøbeskyttelseslovens § 26 a, stk. 1, hvorefter kommunalbestyrelsen, hvis der ikke kan opnås en frivillig aftale på rimelige vilkår, kan gennemføre tvungne rådighedsindskrænkninger, forudsat at der er vedtaget en indsatsplan for området efter vandforsyningslovens relevante bestemmelser herom, jf. vandforsyningslovens § 13, stk. 1</w:t>
      </w:r>
      <w:r w:rsidR="008F69F0">
        <w:t>,</w:t>
      </w:r>
      <w:r>
        <w:t xml:space="preserve"> og § 13 a, stk. 1. Reglerne i §§ 99-102 i lov om offentlige veje finder anvendelse ved kommunalbestyrelsens behandling af sagen, jf. § 26 a, stk. 3. Kommunalbestyrelsen kan for ejerens regning lade et pålæg tinglyse på ejendommen. Hvis pålægget bortfalder, skal kommunalbestyrelsen lade pålægget aflyse fra tingbogen. </w:t>
      </w:r>
    </w:p>
    <w:p w14:paraId="4DDCF44D" w14:textId="77777777" w:rsidR="00FF4669" w:rsidRDefault="00FF4669" w:rsidP="00FF4669"/>
    <w:p w14:paraId="3094FEAD" w14:textId="1E04CA1E" w:rsidR="00FF4669" w:rsidRDefault="00FF4669" w:rsidP="00FF4669">
      <w:pPr>
        <w:spacing w:after="240"/>
        <w:rPr>
          <w:rFonts w:eastAsia="Calibri" w:cs="Times New Roman"/>
          <w:szCs w:val="24"/>
        </w:rPr>
      </w:pPr>
      <w:r>
        <w:rPr>
          <w:rFonts w:eastAsia="Calibri" w:cs="Times New Roman"/>
          <w:szCs w:val="24"/>
        </w:rPr>
        <w:t>Efter gældende ret skal der betales fuldstændig erstatning for påbud og forbud vedrørende lovligt bestående forhold efter miljøbeskyttelseslovens § 24, jf. lovens § 63. Der skal endvidere betales fuldstændig erstatning for rådighedsindskrænkninger efter miljøbeskyttelseslovens § 26 a.</w:t>
      </w:r>
    </w:p>
    <w:p w14:paraId="5EFAEF03" w14:textId="77777777" w:rsidR="00FF4669" w:rsidRDefault="00FF4669" w:rsidP="00FF4669">
      <w:pPr>
        <w:spacing w:after="240"/>
        <w:rPr>
          <w:rFonts w:eastAsia="Calibri" w:cs="Times New Roman"/>
          <w:szCs w:val="24"/>
        </w:rPr>
      </w:pPr>
      <w:r>
        <w:rPr>
          <w:rFonts w:eastAsia="Calibri" w:cs="Times New Roman"/>
          <w:szCs w:val="24"/>
        </w:rPr>
        <w:t>Erstatningen fastsættes i mangel af mindelig overenskomst af taksationsmyndighederne, jf. § 61 i miljøbeskyttelsesloven.</w:t>
      </w:r>
    </w:p>
    <w:p w14:paraId="5BB040D2" w14:textId="77777777" w:rsidR="00FF4669" w:rsidRDefault="00FF4669" w:rsidP="00FF4669">
      <w:r>
        <w:t>Den foreslåede bestemmelse i § 24 a er ny.</w:t>
      </w:r>
    </w:p>
    <w:p w14:paraId="13B3A65D" w14:textId="77777777" w:rsidR="00FF4669" w:rsidRDefault="00FF4669" w:rsidP="00FF4669"/>
    <w:p w14:paraId="6E01EABD" w14:textId="5E9D70AE" w:rsidR="00FF4669" w:rsidRDefault="00E27332" w:rsidP="00FF4669">
      <w:pPr>
        <w:jc w:val="left"/>
        <w:rPr>
          <w:rFonts w:cs="Times New Roman"/>
          <w:szCs w:val="24"/>
        </w:rPr>
      </w:pPr>
      <w:r>
        <w:t>Den</w:t>
      </w:r>
      <w:r w:rsidR="00FF4669">
        <w:t xml:space="preserve"> foreslåede </w:t>
      </w:r>
      <w:r w:rsidR="00FF4669">
        <w:rPr>
          <w:i/>
        </w:rPr>
        <w:t>§ 24 a, stk. 1,</w:t>
      </w:r>
      <w:r>
        <w:rPr>
          <w:i/>
        </w:rPr>
        <w:t xml:space="preserve"> </w:t>
      </w:r>
      <w:r>
        <w:t xml:space="preserve">medfører, at kommunalbestyrelsen, </w:t>
      </w:r>
      <w:r w:rsidR="00FF4669">
        <w:t>n</w:t>
      </w:r>
      <w:r w:rsidR="00FF4669">
        <w:rPr>
          <w:rFonts w:cs="Times New Roman"/>
          <w:szCs w:val="24"/>
        </w:rPr>
        <w:t>år der ifølge en risikovurdering foretaget efter regler udstedt i medfør af § 13 e i lov om vandforsyning m</w:t>
      </w:r>
      <w:r w:rsidR="00AA5409">
        <w:rPr>
          <w:rFonts w:cs="Times New Roman"/>
          <w:szCs w:val="24"/>
        </w:rPr>
        <w:t>.</w:t>
      </w:r>
      <w:r w:rsidR="00FF4669">
        <w:rPr>
          <w:rFonts w:cs="Times New Roman"/>
          <w:szCs w:val="24"/>
        </w:rPr>
        <w:t>v. er behov fo</w:t>
      </w:r>
      <w:r w:rsidR="00FF4669" w:rsidRPr="00E57E73">
        <w:rPr>
          <w:rFonts w:cs="Times New Roman"/>
          <w:szCs w:val="24"/>
        </w:rPr>
        <w:t>r indsatser til beskyttelse af</w:t>
      </w:r>
      <w:r w:rsidR="00FF4669">
        <w:rPr>
          <w:rFonts w:cs="Times New Roman"/>
          <w:szCs w:val="24"/>
        </w:rPr>
        <w:t xml:space="preserve"> </w:t>
      </w:r>
      <w:r w:rsidR="00FF4669" w:rsidRPr="00E57E73">
        <w:rPr>
          <w:rFonts w:cs="Times New Roman"/>
          <w:szCs w:val="24"/>
        </w:rPr>
        <w:t xml:space="preserve">drikkevandsinteresser mod fare for forurening fra erhvervsmæssig anvendelse af </w:t>
      </w:r>
      <w:r w:rsidR="00FF4669">
        <w:rPr>
          <w:rFonts w:cs="Times New Roman"/>
          <w:szCs w:val="24"/>
        </w:rPr>
        <w:t>p</w:t>
      </w:r>
      <w:r w:rsidR="00D6573A">
        <w:rPr>
          <w:rFonts w:cs="Times New Roman"/>
          <w:szCs w:val="24"/>
        </w:rPr>
        <w:t>esticider</w:t>
      </w:r>
      <w:r w:rsidR="00FF4669" w:rsidRPr="00E57E73">
        <w:rPr>
          <w:rFonts w:cs="Times New Roman"/>
          <w:szCs w:val="24"/>
        </w:rPr>
        <w:t xml:space="preserve"> i </w:t>
      </w:r>
      <w:r w:rsidR="00205010">
        <w:rPr>
          <w:rFonts w:cs="Times New Roman"/>
          <w:szCs w:val="24"/>
        </w:rPr>
        <w:t>BNBO</w:t>
      </w:r>
      <w:r w:rsidR="00FF4669" w:rsidRPr="00E57E73">
        <w:rPr>
          <w:rFonts w:cs="Times New Roman"/>
          <w:szCs w:val="24"/>
        </w:rPr>
        <w:t xml:space="preserve"> udpeget efter regler udstedt i medfør af § 11 a, stk. 1, nr. 6</w:t>
      </w:r>
      <w:r w:rsidR="00FF4669">
        <w:rPr>
          <w:rFonts w:cs="Times New Roman"/>
          <w:szCs w:val="24"/>
        </w:rPr>
        <w:t>, i lov om vandforsyning m</w:t>
      </w:r>
      <w:r w:rsidR="00AA5409">
        <w:rPr>
          <w:rFonts w:cs="Times New Roman"/>
          <w:szCs w:val="24"/>
        </w:rPr>
        <w:t>.</w:t>
      </w:r>
      <w:r w:rsidR="00FF4669">
        <w:rPr>
          <w:rFonts w:cs="Times New Roman"/>
          <w:szCs w:val="24"/>
        </w:rPr>
        <w:t>v., hvis der ikke kan opnås en aftale herom på rimelige vilkår efter den foreslåede § 13 f i lov om vandforsyning m</w:t>
      </w:r>
      <w:r w:rsidR="00AA5409">
        <w:rPr>
          <w:rFonts w:cs="Times New Roman"/>
          <w:szCs w:val="24"/>
        </w:rPr>
        <w:t>.</w:t>
      </w:r>
      <w:r w:rsidR="00FF4669">
        <w:rPr>
          <w:rFonts w:cs="Times New Roman"/>
          <w:szCs w:val="24"/>
        </w:rPr>
        <w:t>v., mod fuldstændig erstatning</w:t>
      </w:r>
      <w:r>
        <w:rPr>
          <w:rFonts w:cs="Times New Roman"/>
          <w:szCs w:val="24"/>
        </w:rPr>
        <w:t>, vil skulle</w:t>
      </w:r>
      <w:r w:rsidR="00FF4669">
        <w:rPr>
          <w:rFonts w:cs="Times New Roman"/>
          <w:szCs w:val="24"/>
        </w:rPr>
        <w:t xml:space="preserve"> </w:t>
      </w:r>
      <w:r w:rsidR="00D6573A">
        <w:rPr>
          <w:rFonts w:cs="Times New Roman"/>
          <w:szCs w:val="24"/>
        </w:rPr>
        <w:t>udstede et påbud eller</w:t>
      </w:r>
      <w:r w:rsidR="00FF4669">
        <w:rPr>
          <w:rFonts w:cs="Times New Roman"/>
          <w:szCs w:val="24"/>
        </w:rPr>
        <w:t xml:space="preserve"> forbud mod </w:t>
      </w:r>
      <w:r>
        <w:rPr>
          <w:rFonts w:cs="Times New Roman"/>
          <w:szCs w:val="24"/>
        </w:rPr>
        <w:t xml:space="preserve">en ellers lovlig </w:t>
      </w:r>
      <w:r w:rsidR="00FF4669">
        <w:rPr>
          <w:rFonts w:cs="Times New Roman"/>
          <w:szCs w:val="24"/>
        </w:rPr>
        <w:t>erhvervsmæssig anvendelse af p</w:t>
      </w:r>
      <w:r w:rsidR="00D6573A">
        <w:rPr>
          <w:rFonts w:cs="Times New Roman"/>
          <w:szCs w:val="24"/>
        </w:rPr>
        <w:t>esticider</w:t>
      </w:r>
      <w:r w:rsidR="00FF4669">
        <w:rPr>
          <w:rFonts w:cs="Times New Roman"/>
          <w:szCs w:val="24"/>
        </w:rPr>
        <w:t xml:space="preserve"> inden for et </w:t>
      </w:r>
      <w:r w:rsidR="00205010">
        <w:rPr>
          <w:rFonts w:cs="Times New Roman"/>
          <w:szCs w:val="24"/>
        </w:rPr>
        <w:t>BNBO</w:t>
      </w:r>
      <w:r w:rsidR="00FF4669">
        <w:rPr>
          <w:rFonts w:cs="Times New Roman"/>
          <w:szCs w:val="24"/>
        </w:rPr>
        <w:t>.</w:t>
      </w:r>
    </w:p>
    <w:p w14:paraId="5A975443" w14:textId="77777777" w:rsidR="00FF4669" w:rsidRDefault="00FF4669" w:rsidP="00FF4669">
      <w:pPr>
        <w:jc w:val="left"/>
        <w:rPr>
          <w:rFonts w:cs="Times New Roman"/>
          <w:szCs w:val="24"/>
        </w:rPr>
      </w:pPr>
    </w:p>
    <w:p w14:paraId="7A887510" w14:textId="56CA3515" w:rsidR="00FF4669" w:rsidRDefault="00FF4669" w:rsidP="00FF4669">
      <w:r>
        <w:t xml:space="preserve">Ved </w:t>
      </w:r>
      <w:r w:rsidR="00087AC7">
        <w:t>BNBO</w:t>
      </w:r>
      <w:r>
        <w:t xml:space="preserve"> forstås de </w:t>
      </w:r>
      <w:r w:rsidR="00087AC7">
        <w:t>BNBO</w:t>
      </w:r>
      <w:r>
        <w:t>, der indvinder grundvand til almene vandforsyninger (BNBO), som udpeges af miljøministeren efter regler fastsat i medfør af § 11 a, stk. 1, nr. 6, i lov om vandforsyning m</w:t>
      </w:r>
      <w:r w:rsidR="00AA5409">
        <w:t>.</w:t>
      </w:r>
      <w:r>
        <w:t>v. BNBO er et nærområde til en vandforsyning, hvor der er en kort strømningstid til vandindvindingsboringen og dermed kort tid til at træffe forholdsregler ved en eventuel forurening af grundvandet, samt inden for hvilket område, hvor der på grund af de geologiske forhold der sker en relativ</w:t>
      </w:r>
      <w:r w:rsidR="000B46DB">
        <w:t>t</w:t>
      </w:r>
      <w:r>
        <w:t xml:space="preserve"> ringe fortynding af en eventuel forurening. </w:t>
      </w:r>
    </w:p>
    <w:p w14:paraId="5FFFE823" w14:textId="77777777" w:rsidR="00FF4669" w:rsidRDefault="00FF4669" w:rsidP="00FF4669"/>
    <w:p w14:paraId="77797455" w14:textId="7FF2963D" w:rsidR="00FF4669" w:rsidRDefault="00FF4669" w:rsidP="00FF4669">
      <w:r>
        <w:t>Miljøministeren udpeger nye eller ændrede BNBO i bekendtgørelse om udpegning af drikkevandsressourcer, hver gang der foretages nye boringer til indvinding af drikkevand eller boringer nedlægges eller omlægges, og der herved ikke længere indvindes drikkevand. Ligeledes udstedes bekendtgørelsen, når BNBO genberegnes p</w:t>
      </w:r>
      <w:r w:rsidR="00A55723">
        <w:t xml:space="preserve">å grund af </w:t>
      </w:r>
      <w:r>
        <w:t xml:space="preserve">nye metoder til at beregne eksempelvis jordforhold og vandstrømning, hvilket kan have betydning </w:t>
      </w:r>
      <w:r w:rsidR="00024E00">
        <w:t xml:space="preserve">for </w:t>
      </w:r>
      <w:r>
        <w:t>behovet for beskyttelse og for udstrækningen og beliggenheden af BNBO.</w:t>
      </w:r>
    </w:p>
    <w:p w14:paraId="0970D71F" w14:textId="77777777" w:rsidR="00FF4669" w:rsidRDefault="00FF4669" w:rsidP="00FF4669"/>
    <w:p w14:paraId="5C576AE7" w14:textId="797F7B06" w:rsidR="00D6573A" w:rsidRDefault="00D6573A" w:rsidP="00FF4669">
      <w:r>
        <w:t xml:space="preserve">Ved pesticider </w:t>
      </w:r>
      <w:r w:rsidR="00B135E2">
        <w:t>forstås efter § 33, nr. 1</w:t>
      </w:r>
      <w:r w:rsidR="00DF3208">
        <w:t>,</w:t>
      </w:r>
      <w:r w:rsidR="00B135E2">
        <w:t xml:space="preserve"> i </w:t>
      </w:r>
      <w:r w:rsidR="00087AC7">
        <w:t xml:space="preserve">bekendtgørelse af </w:t>
      </w:r>
      <w:r w:rsidR="00B135E2">
        <w:t>lov nr. 6 af 4. januar 2023 om kemikalier</w:t>
      </w:r>
      <w:r w:rsidR="00DF3208">
        <w:t>,</w:t>
      </w:r>
      <w:r w:rsidR="00B135E2">
        <w:t xml:space="preserve"> plantebeskyttelsesmidler omfattet af Europa-Parlamentets og Rådets forordning (EF) nr. 1107/2009 af 21. oktober om markedsføring af plantebeskyttelsesmidler og om ophævelse af Rådets direktiv 79/117/EØF og 91/414/EØF. Der skelnes her ikke mellem pesticider godkendt til konventionel og økologisk brug, </w:t>
      </w:r>
      <w:r w:rsidR="000B6D89">
        <w:t>men fokus for, hvor beskyttelsesindsatserne er nødvendige at gennemføre vil være, hvor der anvendes pesticider godkendt til konventionelt brug.</w:t>
      </w:r>
    </w:p>
    <w:p w14:paraId="3AF61288" w14:textId="77777777" w:rsidR="00553300" w:rsidRDefault="00553300" w:rsidP="00FF4669"/>
    <w:p w14:paraId="5B7031D3" w14:textId="477C5AF9" w:rsidR="00FF4669" w:rsidRPr="004759CF" w:rsidRDefault="00FF4669" w:rsidP="00FF4669">
      <w:r>
        <w:t>Ved erhvervsmæssig anvendelse af p</w:t>
      </w:r>
      <w:r w:rsidR="000B6D89">
        <w:t>esticider</w:t>
      </w:r>
      <w:r>
        <w:t xml:space="preserve"> skal forstås anvendelsen af p</w:t>
      </w:r>
      <w:r w:rsidR="000B6D89">
        <w:t>esticider</w:t>
      </w:r>
      <w:r>
        <w:t xml:space="preserve"> i forbindelse med erhvervsmæssige aktiviteter, herunder sprøjteførere, teknikere, arbejdsgivere og selvstændige i både landbrugssektoren og andre sektorer. Det vil hovedsageligt omfatte traditionelle jordbrugere, dvs. erhvervsmæssig anvendelse af </w:t>
      </w:r>
      <w:r w:rsidR="000B6D89">
        <w:t>pesticider</w:t>
      </w:r>
      <w:r>
        <w:t xml:space="preserve"> tilknyttet konventionelt jordbrugsdrift (landbrug, skovbrug, gartneri, frugtavl, planteskoler, juletræsproduktion mv.)</w:t>
      </w:r>
      <w:r w:rsidR="00087AC7">
        <w:t>. G</w:t>
      </w:r>
      <w:r>
        <w:t>olfklubber, hoteller m</w:t>
      </w:r>
      <w:r w:rsidR="00AA5409">
        <w:t>.</w:t>
      </w:r>
      <w:r>
        <w:t>v. vil imidlertid også være omfattet, i det omfang de har et udpeget BNBO på deres ejendom.</w:t>
      </w:r>
    </w:p>
    <w:p w14:paraId="7A34402B" w14:textId="77777777" w:rsidR="00FF4669" w:rsidRDefault="00FF4669" w:rsidP="00FF4669">
      <w:pPr>
        <w:jc w:val="left"/>
        <w:rPr>
          <w:rFonts w:cs="Times New Roman"/>
          <w:szCs w:val="24"/>
        </w:rPr>
      </w:pPr>
    </w:p>
    <w:p w14:paraId="418EADA1" w14:textId="05CA0874" w:rsidR="00FF4669" w:rsidRDefault="00FF4669" w:rsidP="00FF4669">
      <w:pPr>
        <w:spacing w:after="240"/>
      </w:pPr>
      <w:r>
        <w:t>Med den foreslåede ordning, skal der være konstateret et konkret behov for beskyttelse af drikkevandsinteresserne mod fare for forurening fra erhvervsmæssig anvendelse af p</w:t>
      </w:r>
      <w:r w:rsidR="00B135E2">
        <w:t>esticider</w:t>
      </w:r>
      <w:r>
        <w:t xml:space="preserve"> i det </w:t>
      </w:r>
      <w:r w:rsidR="00087AC7">
        <w:t>BNBO</w:t>
      </w:r>
      <w:r>
        <w:t xml:space="preserve">, på baggrund af en </w:t>
      </w:r>
      <w:r>
        <w:lastRenderedPageBreak/>
        <w:t>risikovurdering foretaget efter regler udstedt i medfør af § 13 e i lov om vandforsyning m</w:t>
      </w:r>
      <w:r w:rsidR="00AA5409">
        <w:t>.</w:t>
      </w:r>
      <w:r>
        <w:t>v</w:t>
      </w:r>
      <w:r w:rsidR="00AA5409">
        <w:t>.</w:t>
      </w:r>
      <w:r>
        <w:t>, førend kommunen forpligtes til at beskytte området.</w:t>
      </w:r>
    </w:p>
    <w:p w14:paraId="542FA889" w14:textId="44F5C81F" w:rsidR="00FF4669" w:rsidRDefault="00FF4669" w:rsidP="00FF4669">
      <w:r>
        <w:t xml:space="preserve">Den almene vandforsyning eller kommunen skal inden da have forsøgt at indgå en aftale på rimelige vilkår med grundejeren over ejendommen om </w:t>
      </w:r>
      <w:r w:rsidR="00B135E2">
        <w:t>dyrkningspraksis, opkøb af ejendommen</w:t>
      </w:r>
      <w:r>
        <w:t>,</w:t>
      </w:r>
      <w:r w:rsidR="000B6D89">
        <w:t xml:space="preserve"> eller andre restriktioner i arealanvendelsen,</w:t>
      </w:r>
      <w:r>
        <w:t xml:space="preserve"> jf. den foreslåede § 13 f i vandforsyningsloven.  Der henvises </w:t>
      </w:r>
      <w:r w:rsidR="00E27332">
        <w:t xml:space="preserve">til de specielle bemærkninger til den foreslåede § 13 f og lovforslagets pkt. </w:t>
      </w:r>
      <w:r>
        <w:t>3.1.2</w:t>
      </w:r>
      <w:r w:rsidR="00E27332">
        <w:t>.</w:t>
      </w:r>
      <w:r>
        <w:t xml:space="preserve"> </w:t>
      </w:r>
    </w:p>
    <w:p w14:paraId="43616B42" w14:textId="77777777" w:rsidR="00FF4669" w:rsidRDefault="00FF4669" w:rsidP="00FF4669"/>
    <w:p w14:paraId="0B5C9481" w14:textId="32B30B8E" w:rsidR="00FF4669" w:rsidRDefault="00FF4669" w:rsidP="00FF4669">
      <w:r>
        <w:t xml:space="preserve">Det bemærkes, at der efter bestemmelsen alene vil kunne </w:t>
      </w:r>
      <w:r w:rsidR="00A339FA">
        <w:t xml:space="preserve">gives et </w:t>
      </w:r>
      <w:r w:rsidR="00F06BE2">
        <w:t xml:space="preserve">påbud eller </w:t>
      </w:r>
      <w:r>
        <w:t xml:space="preserve">forbud vedrørende </w:t>
      </w:r>
      <w:r w:rsidR="00F06BE2">
        <w:t xml:space="preserve">en ellers lovlig </w:t>
      </w:r>
      <w:r>
        <w:t>erhvervsmæssig anvendelse af p</w:t>
      </w:r>
      <w:r w:rsidR="000B6D89">
        <w:t>esticider</w:t>
      </w:r>
      <w:r>
        <w:t xml:space="preserve"> i BNBO. Beskyttelse af områder uden for BNBO, beskyttelse mod ikke-erhvervsmæssig anvendelse af p</w:t>
      </w:r>
      <w:r w:rsidR="002F6FF8">
        <w:t>esticider</w:t>
      </w:r>
      <w:r>
        <w:t>, eller beskyttelse mod andre kilder til forurening, vil forsat i samme omfang som tidligere kunne ske med udgangspunkt i de eksisterende bestemmelser i miljøbeskyttelseslovens §</w:t>
      </w:r>
      <w:r w:rsidR="00087AC7">
        <w:t>§</w:t>
      </w:r>
      <w:r>
        <w:t xml:space="preserve"> 24 og 26 a og vandforsyningslovens § 13 d.</w:t>
      </w:r>
    </w:p>
    <w:p w14:paraId="79B9BDF3" w14:textId="77777777" w:rsidR="00FF4669" w:rsidRDefault="00FF4669" w:rsidP="00FF4669"/>
    <w:p w14:paraId="63B64FBC" w14:textId="2C6697CB" w:rsidR="00130335" w:rsidRDefault="00FF4669" w:rsidP="00FF4669">
      <w:r>
        <w:t>Det bemærkes endvidere, at selvom den arealmæssige udstrækning af et BNBO vil kunne blive mindre, f.eks. fordi vandindvindingsmængden mindskes, eller der laves nye beregningsmodeller, vil en beskyttelse efter § 24 a betragtes som varig på det areal, hvor der er meddelt et påbud eller forbud. Begrundelsen herfor er, at der fortsat kan være et beskyttelsesbehov for så vidt angår det areal, som ved mindsket vandindvindingsmængde kommer til at ligge uden for BNBO. Den erstatning</w:t>
      </w:r>
      <w:r w:rsidR="00882658">
        <w:t>,</w:t>
      </w:r>
      <w:r>
        <w:t xml:space="preserve"> der er blevet udbetalt</w:t>
      </w:r>
      <w:r w:rsidR="00882658">
        <w:t>,</w:t>
      </w:r>
      <w:r>
        <w:t xml:space="preserve"> vil således heller ikke blive tilsvarende mindre, hvis et BNBO arealmæssigt bliver mindre p</w:t>
      </w:r>
      <w:r w:rsidR="00A55723">
        <w:t>å grund af</w:t>
      </w:r>
      <w:r>
        <w:t xml:space="preserve"> en mindsket mængde indvundet vand eller en ny beregningsmetode. I tilfælde hvor et BNBO bliver større </w:t>
      </w:r>
      <w:r w:rsidR="00DF3208">
        <w:t>på grund af</w:t>
      </w:r>
      <w:r>
        <w:t xml:space="preserve"> en øget vandindvindingsmængde, kan kommunalbestyrelsen blive forpligtet til at meddele påbud eller forbud efter den foreslåede § 24 a, hvis betingelserne herfor i øvrigt er opfyldt</w:t>
      </w:r>
      <w:r w:rsidR="00EE6A9C">
        <w:t xml:space="preserve"> for så vidt angår det nye område, der opstår som følge af, at </w:t>
      </w:r>
      <w:proofErr w:type="spellStart"/>
      <w:r w:rsidR="00EE6A9C">
        <w:t>BNBO’s</w:t>
      </w:r>
      <w:proofErr w:type="spellEnd"/>
      <w:r w:rsidR="00EE6A9C">
        <w:t xml:space="preserve"> arealmæssige omfang udvides</w:t>
      </w:r>
      <w:r>
        <w:t>.</w:t>
      </w:r>
    </w:p>
    <w:p w14:paraId="613D6038" w14:textId="14E242F7" w:rsidR="00130335" w:rsidRDefault="00130335" w:rsidP="00FF4669"/>
    <w:p w14:paraId="472FB0AE" w14:textId="426B2B9F" w:rsidR="004E2891" w:rsidRDefault="004E2891" w:rsidP="00FF4669">
      <w:r>
        <w:t>Visse kommuner afventer resultatet af genberegninger, som kan have betydning for beliggenhed, form og arealmæssige udstrækning af BNBO</w:t>
      </w:r>
      <w:r w:rsidR="0015520C">
        <w:t>. Forpligtelsen i § 24 a, stk. 1</w:t>
      </w:r>
      <w:r w:rsidR="00000199">
        <w:t>,</w:t>
      </w:r>
      <w:r w:rsidR="0015520C">
        <w:t xml:space="preserve"> vil gælde, uanset om BNBO er under genberegning, hvis BNBO fremgår af udpegningsbekendtgørelsen.</w:t>
      </w:r>
    </w:p>
    <w:p w14:paraId="2BB8EB41" w14:textId="77777777" w:rsidR="004E2891" w:rsidRDefault="004E2891" w:rsidP="00FF4669"/>
    <w:p w14:paraId="3ECD3898" w14:textId="6BCC172B" w:rsidR="00FF731F" w:rsidRDefault="00FF4669" w:rsidP="00FF4669">
      <w:r>
        <w:t xml:space="preserve">Der henvises til bemærkninger til den foreslåede § 24 a, stk. </w:t>
      </w:r>
      <w:r w:rsidR="00E9100E">
        <w:t>5</w:t>
      </w:r>
      <w:r w:rsidR="00000199">
        <w:t>,</w:t>
      </w:r>
      <w:r w:rsidR="004E2891">
        <w:t xml:space="preserve"> for en uddybning af, hvilke regler der forventes at blive fastsat i forbindelse med </w:t>
      </w:r>
      <w:r w:rsidR="004E2891">
        <w:lastRenderedPageBreak/>
        <w:t>genberegning af BNBO</w:t>
      </w:r>
      <w:r w:rsidR="0059476A">
        <w:t>, som har ført til ændringer i den pågældende BNBO, og som fremgår af udpegningsbekendtgørelsen</w:t>
      </w:r>
      <w:r>
        <w:t xml:space="preserve">. </w:t>
      </w:r>
    </w:p>
    <w:p w14:paraId="0FA1AFE8" w14:textId="77777777" w:rsidR="00D756B5" w:rsidRDefault="00D756B5" w:rsidP="00FF4669"/>
    <w:p w14:paraId="70F83113" w14:textId="77777777" w:rsidR="00D756B5" w:rsidRPr="00D756B5" w:rsidRDefault="00D756B5" w:rsidP="00D756B5">
      <w:pPr>
        <w:spacing w:after="240"/>
      </w:pPr>
      <w:r>
        <w:t>Det er Miljøministeriets vurdering, at den foreslåede ordning vil kunne ud</w:t>
      </w:r>
      <w:r w:rsidRPr="00D756B5">
        <w:t xml:space="preserve">gøre et indgreb i en rettighed, der er beskyttet af grundlovens § 73, for så vidt angår påbud eller forbud efter den foreslåede § 24 a i miljøbeskyttelsesloven om f.eks. at forbyde den erhvervsmæssige anvendelse af pesticider i et BNBO. </w:t>
      </w:r>
    </w:p>
    <w:p w14:paraId="7C7FACEB" w14:textId="77777777" w:rsidR="00D756B5" w:rsidRPr="00D756B5" w:rsidRDefault="00D756B5" w:rsidP="00D756B5">
      <w:pPr>
        <w:spacing w:after="240"/>
      </w:pPr>
      <w:r w:rsidRPr="00D756B5">
        <w:t xml:space="preserve">Det er endvidere Miljøministeriets vurdering, at påbud eller forbud efter den foreslåede § 24 a ikke i almindelighed vil udgøre ekspropriation (afståelse) efter grundlovens § 73. Der er herved navnlig lagt vægt på, at ordningen er begrundet i væsentlige hensyn til beskyttelsen af drikkevandsinteresserne. </w:t>
      </w:r>
    </w:p>
    <w:p w14:paraId="4919BFDD" w14:textId="77777777" w:rsidR="00D756B5" w:rsidRPr="00D756B5" w:rsidRDefault="00D756B5" w:rsidP="00D756B5">
      <w:pPr>
        <w:spacing w:after="240"/>
      </w:pPr>
      <w:r w:rsidRPr="00D756B5">
        <w:t xml:space="preserve">Endvidere er der ved denne vurdering lagt vægt på, at der er tale om generel regulering overfor alle grundejere i de beskyttede områder, som vil ramme den enkelte grundejer med vekslende intensitet, og at et påbud eller forbud efter § 24 a i almindelighed vil have begrænset intensitet, idet et påbud eller forbud alene vil udstedes i den konkrete BNBO, der i almindelighed har en begrænset arealmæssig udstrækning. </w:t>
      </w:r>
    </w:p>
    <w:p w14:paraId="7BE24AF0" w14:textId="77777777" w:rsidR="00D756B5" w:rsidRPr="00D756B5" w:rsidRDefault="00D756B5" w:rsidP="00D756B5">
      <w:pPr>
        <w:spacing w:after="240"/>
      </w:pPr>
      <w:r w:rsidRPr="00D756B5">
        <w:t>Der er desuden lagt vægt på, at et påbud eller forbud ikke indebærer en overførelse af ejendomsretten, men en begrænsning i rådigheden og kun vil angå den erhvervsmæssige anvendelse af pesticider, således at et påbud eller forbud ikke vil hindre en fortsættelse af anden lovlig anvendelse af arealerne. Samtidig lægges der op til, at et påbud eller forbud i alle tilfælde vil medføre fuld erstatning, hvilket vil afbøde intensiteten af et påbud eller forbud yderligere, jf. nærmere nedenfor.</w:t>
      </w:r>
    </w:p>
    <w:p w14:paraId="3361C83B" w14:textId="77777777" w:rsidR="00D756B5" w:rsidRPr="00D756B5" w:rsidRDefault="00D756B5" w:rsidP="00D756B5">
      <w:pPr>
        <w:spacing w:after="240"/>
      </w:pPr>
      <w:r w:rsidRPr="00D756B5">
        <w:t xml:space="preserve">Det vurderes imidlertid, at det ikke på forhånd kan udelukkes, at afgørelser efter den foreslåede ordning kan ramme enkelte grundejere med en intensitet, så det kan få karakter af ekspropriation. Det må bero på en konkret vurdering, om der i de enkelte tilfælde foreligger ekspropriation. Hvis der foreligger ekspropriation, vil den pågældende grundejer have krav på fuldstændig erstatning i medfør af grundlovens § 73. Kan der ikke opnås enighed herom, må spørgsmålet i givet fald indbringes for domstolene. </w:t>
      </w:r>
    </w:p>
    <w:p w14:paraId="64F0CA1C" w14:textId="590164E0" w:rsidR="00FF4669" w:rsidRDefault="00D756B5" w:rsidP="00D756B5">
      <w:pPr>
        <w:spacing w:after="240"/>
      </w:pPr>
      <w:r>
        <w:t xml:space="preserve">Den foreslåede ordning i § 24 a medfører, at </w:t>
      </w:r>
      <w:r w:rsidRPr="001777B0">
        <w:t>der</w:t>
      </w:r>
      <w:r w:rsidR="00087AC7">
        <w:t>,</w:t>
      </w:r>
      <w:r>
        <w:t xml:space="preserve"> uanset om et påbud eller forbud måtte have karakter af ekspropriation</w:t>
      </w:r>
      <w:r w:rsidR="00087AC7">
        <w:t>,</w:t>
      </w:r>
      <w:r>
        <w:t xml:space="preserve"> </w:t>
      </w:r>
      <w:r w:rsidRPr="001777B0">
        <w:t xml:space="preserve">udbetales </w:t>
      </w:r>
      <w:r>
        <w:t>fuldstændig erstat</w:t>
      </w:r>
      <w:r w:rsidR="00432CA5">
        <w:t>ning.</w:t>
      </w:r>
    </w:p>
    <w:p w14:paraId="347677EB" w14:textId="53C1C289" w:rsidR="00FF4669" w:rsidRDefault="00FF4669" w:rsidP="00FF4669">
      <w:pPr>
        <w:spacing w:after="240"/>
        <w:rPr>
          <w:rFonts w:eastAsia="Calibri" w:cs="Times New Roman"/>
          <w:szCs w:val="24"/>
        </w:rPr>
      </w:pPr>
      <w:r>
        <w:rPr>
          <w:rFonts w:eastAsia="Calibri" w:cs="Times New Roman"/>
          <w:szCs w:val="24"/>
        </w:rPr>
        <w:t>Ved fuldstændig erstatning forstås fuldstændig erstatning i grundlovens forstand.</w:t>
      </w:r>
    </w:p>
    <w:p w14:paraId="71FDA277" w14:textId="24E9E6E3" w:rsidR="00F06BE2" w:rsidRDefault="00FF4669" w:rsidP="000B2ABD">
      <w:pPr>
        <w:spacing w:after="240"/>
        <w:rPr>
          <w:rFonts w:eastAsia="Calibri" w:cs="Times New Roman"/>
          <w:szCs w:val="24"/>
        </w:rPr>
      </w:pPr>
      <w:r>
        <w:rPr>
          <w:rFonts w:eastAsia="Calibri" w:cs="Times New Roman"/>
          <w:szCs w:val="24"/>
        </w:rPr>
        <w:lastRenderedPageBreak/>
        <w:t>Hvis en afgørelse om et påbud eller forbud efter § 24 a påklages til Miljø- og Fødevareklagenævnet, og nævnet træffer afgørelse om at ophæve påbuddet/forbuddet, vil grundejeren kunne blive forpligtet til at tilbagebetale hele eller dele af erstatningen efter dansk rets almindelige regler om tilbagesøgning.</w:t>
      </w:r>
      <w:r w:rsidR="009A01DB">
        <w:rPr>
          <w:rFonts w:eastAsia="Calibri" w:cs="Times New Roman"/>
          <w:szCs w:val="24"/>
        </w:rPr>
        <w:t xml:space="preserve"> Tilsvarende gælder, såfremt en afgørelse om erstatningsfastsættelsen påklages til taksationsmyndighederne, som fastsætter en erstatning lavere end den</w:t>
      </w:r>
      <w:r w:rsidR="000B2ABD">
        <w:rPr>
          <w:rFonts w:eastAsia="Calibri" w:cs="Times New Roman"/>
          <w:szCs w:val="24"/>
        </w:rPr>
        <w:t>, der er fastsat af kommunen</w:t>
      </w:r>
      <w:r w:rsidR="009A01DB">
        <w:rPr>
          <w:rFonts w:eastAsia="Calibri" w:cs="Times New Roman"/>
          <w:szCs w:val="24"/>
        </w:rPr>
        <w:t xml:space="preserve">. </w:t>
      </w:r>
    </w:p>
    <w:p w14:paraId="41316ADC" w14:textId="6AD26DEF" w:rsidR="00FF4669" w:rsidRPr="00F06BE2" w:rsidRDefault="007744C1" w:rsidP="00F06BE2">
      <w:pPr>
        <w:spacing w:after="240"/>
        <w:rPr>
          <w:rFonts w:eastAsia="Calibri" w:cs="Times New Roman"/>
          <w:szCs w:val="24"/>
        </w:rPr>
      </w:pPr>
      <w:r>
        <w:rPr>
          <w:rFonts w:eastAsia="Calibri" w:cs="Times New Roman"/>
          <w:szCs w:val="24"/>
        </w:rPr>
        <w:t xml:space="preserve">Der henvises i øvrigt til </w:t>
      </w:r>
      <w:r w:rsidR="00F06BE2">
        <w:rPr>
          <w:rFonts w:eastAsia="Calibri" w:cs="Times New Roman"/>
          <w:szCs w:val="24"/>
        </w:rPr>
        <w:t xml:space="preserve">lovforslagets </w:t>
      </w:r>
      <w:r>
        <w:rPr>
          <w:rFonts w:eastAsia="Calibri" w:cs="Times New Roman"/>
          <w:szCs w:val="24"/>
        </w:rPr>
        <w:t>pkt. 3.3.2.</w:t>
      </w:r>
    </w:p>
    <w:p w14:paraId="1FDD4035" w14:textId="77777777" w:rsidR="00FF4669" w:rsidRDefault="00FF4669" w:rsidP="00FF4669">
      <w:r>
        <w:t xml:space="preserve">Med den foreslåede </w:t>
      </w:r>
      <w:r w:rsidRPr="00524DAD">
        <w:rPr>
          <w:i/>
        </w:rPr>
        <w:t>§ 24 a,</w:t>
      </w:r>
      <w:r>
        <w:t xml:space="preserve"> </w:t>
      </w:r>
      <w:r>
        <w:rPr>
          <w:i/>
        </w:rPr>
        <w:t xml:space="preserve">stk. 2, </w:t>
      </w:r>
      <w:r>
        <w:t xml:space="preserve">indsættes en række undtagelser til kravet om, at kommunalbestyrelsen skal meddele påbud eller forbud efter § 24 a, stk. 1. </w:t>
      </w:r>
    </w:p>
    <w:p w14:paraId="05F4F345" w14:textId="77777777" w:rsidR="00FF4669" w:rsidRDefault="00FF4669" w:rsidP="00FF4669"/>
    <w:p w14:paraId="21255285" w14:textId="0F865BE2" w:rsidR="00FF4669" w:rsidRDefault="007744C1" w:rsidP="00FF4669">
      <w:r>
        <w:t>Indsættelsen af s</w:t>
      </w:r>
      <w:r w:rsidR="00FF4669">
        <w:t xml:space="preserve">tk. 2 </w:t>
      </w:r>
      <w:r>
        <w:t>medfører</w:t>
      </w:r>
      <w:r w:rsidR="00FF4669">
        <w:t>, at der</w:t>
      </w:r>
      <w:r>
        <w:t xml:space="preserve"> ikke vil skulle</w:t>
      </w:r>
      <w:r w:rsidR="00FF4669">
        <w:t xml:space="preserve"> meddeles påbud eller forbud efter stk. 1 i BNBO, hvor der allerede eksisterer en tilsvarende beskyttelse. Ligeledes vil en grundejer ikke have krav på erstatning efter § 24 a, stk. 1, når arealet allerede er omfattet af en beskyttelse, idet det forudsættes, at grundejeren allerede er blevet kompenseret økonomisk i forbindelse med beskyttelsen. </w:t>
      </w:r>
    </w:p>
    <w:p w14:paraId="6A2D0052" w14:textId="5B72457F" w:rsidR="00E62550" w:rsidRDefault="00E62550" w:rsidP="00FF4669"/>
    <w:p w14:paraId="553259DD" w14:textId="763398C8" w:rsidR="00E62550" w:rsidRDefault="00E62550" w:rsidP="00E62550">
      <w:r>
        <w:t xml:space="preserve">Den foreslåede </w:t>
      </w:r>
      <w:r w:rsidRPr="00401C32">
        <w:rPr>
          <w:i/>
        </w:rPr>
        <w:t xml:space="preserve">nr. </w:t>
      </w:r>
      <w:r>
        <w:rPr>
          <w:i/>
        </w:rPr>
        <w:t>1</w:t>
      </w:r>
      <w:r w:rsidRPr="00401C32">
        <w:rPr>
          <w:i/>
        </w:rPr>
        <w:t xml:space="preserve"> </w:t>
      </w:r>
      <w:r>
        <w:t>indebærer, at</w:t>
      </w:r>
      <w:r w:rsidRPr="00061A24">
        <w:t xml:space="preserve"> </w:t>
      </w:r>
      <w:r>
        <w:t xml:space="preserve">kommunalbestyrelsen ikke efter § 24 a, stk. 1, skal meddele påbud eller forbud, hvis kommunalbestyrelsen allerede i medfør af § 13 d i vandforsyningsloven har indgået en tilsvarende aftale om dyrkningspraksis eller andre restriktioner i arealanvendelsen eller om salg af hele eller dele af ejendommen til kommunen eller den almene vandforsyning. </w:t>
      </w:r>
    </w:p>
    <w:p w14:paraId="07AE5166" w14:textId="77777777" w:rsidR="00E62550" w:rsidRDefault="00E62550" w:rsidP="00E62550"/>
    <w:p w14:paraId="45756EED" w14:textId="698AF106" w:rsidR="00E62550" w:rsidRDefault="00E62550" w:rsidP="00E62550">
      <w:r>
        <w:t>Ved en tilsvarende aftale skal forstås, at der allerede er indgået og stadig gælder en aftale vedrørende samme BNBO, der som minimum indebærer, at der ikke anvendes p</w:t>
      </w:r>
      <w:r w:rsidR="002F6FF8">
        <w:t xml:space="preserve">esticider </w:t>
      </w:r>
      <w:r>
        <w:t>på arealet. I tilfælde af at der er indgået en aftale efter § 13 d for en del af BNBO gælder udgangspunktet i § 24 a, stk. 1</w:t>
      </w:r>
      <w:r w:rsidR="00000199">
        <w:t>,</w:t>
      </w:r>
      <w:r>
        <w:t xml:space="preserve"> for så vidt angår den resterende del af BNBO, således at det område også vil skulle beskyttes.</w:t>
      </w:r>
    </w:p>
    <w:p w14:paraId="2FDB717D" w14:textId="77777777" w:rsidR="00FF4669" w:rsidRDefault="00FF4669" w:rsidP="00FF4669"/>
    <w:p w14:paraId="109D9298" w14:textId="1B5D9268" w:rsidR="00FF4669" w:rsidRDefault="00FF4669" w:rsidP="00FF4669">
      <w:r>
        <w:t xml:space="preserve">Den foreslåede </w:t>
      </w:r>
      <w:r w:rsidRPr="00CA4180">
        <w:rPr>
          <w:i/>
        </w:rPr>
        <w:t xml:space="preserve">nr. </w:t>
      </w:r>
      <w:r w:rsidR="00E62550">
        <w:rPr>
          <w:i/>
        </w:rPr>
        <w:t>2</w:t>
      </w:r>
      <w:r>
        <w:t xml:space="preserve"> indebærer, at kommunalbestyrelsen ikke efter § 24 a, stk. 1, skal meddele påbud eller forbud, hvis kommunalbestyrelsen allerede efter § 24, stk. 1</w:t>
      </w:r>
      <w:r w:rsidR="00000199">
        <w:t>,</w:t>
      </w:r>
      <w:r>
        <w:t xml:space="preserve"> i miljøbeskyttelsesloven har givet et tilsvarende påbud eller forbud for at undgå fare for forurening af bestående eller fremtidige vandindvindingsanlæg til indvinding af grundvand. </w:t>
      </w:r>
    </w:p>
    <w:p w14:paraId="080D7DF4" w14:textId="77777777" w:rsidR="00FF4669" w:rsidRDefault="00FF4669" w:rsidP="00FF4669"/>
    <w:p w14:paraId="1BFDB0D5" w14:textId="42AC559D" w:rsidR="00FF4669" w:rsidRDefault="00FF4669" w:rsidP="00FF4669">
      <w:r>
        <w:lastRenderedPageBreak/>
        <w:t xml:space="preserve">Ved et tilsvarende påbud eller forbud skal forstås, at der allerede er nedlagt og stadig gælder et påbud eller forbud mod som minimum anvendelse af </w:t>
      </w:r>
      <w:r w:rsidR="000B2ABD">
        <w:t>pesticider</w:t>
      </w:r>
      <w:r>
        <w:t xml:space="preserve"> inden for samme BNBO. Hvis et påbud eller forbud mod erhvervsmæssig anvendelse af </w:t>
      </w:r>
      <w:r w:rsidR="000B2ABD">
        <w:t xml:space="preserve">pesticider </w:t>
      </w:r>
      <w:r>
        <w:t xml:space="preserve">alene dækker en del af det BNBO, hvor der er vurderet et behov for en beskyttelsesindsats, skal kommunalbestyrelsen meddele påbud eller forbud efter § 24 a, stk. 1, for så vidt angår den resterende del. </w:t>
      </w:r>
    </w:p>
    <w:p w14:paraId="74240FB9" w14:textId="77777777" w:rsidR="00FF4669" w:rsidRDefault="00FF4669" w:rsidP="00FF4669"/>
    <w:p w14:paraId="267C32EE" w14:textId="77777777" w:rsidR="00FF4669" w:rsidRDefault="00FF4669" w:rsidP="00FF4669">
      <w:r>
        <w:t xml:space="preserve">Den foreslåede </w:t>
      </w:r>
      <w:r w:rsidRPr="00D5528B">
        <w:rPr>
          <w:i/>
        </w:rPr>
        <w:t>nr. 3</w:t>
      </w:r>
      <w:r>
        <w:t xml:space="preserve"> indebærer, at kommunalbestyrelsen ikke efter § 24 a, stk. 1, skal meddele påbud eller forbud, hvis kommunalbestyrelsen allerede efter § 26 a, stk. 1, i miljøbeskyttelsesloven har pålagt ejeren eller andre rettighedshaver af en ejendom tilsvarende rådighedsindskrænkning eller andre tilsvarende foranstaltninger.</w:t>
      </w:r>
    </w:p>
    <w:p w14:paraId="05BA9EB8" w14:textId="77777777" w:rsidR="00FF4669" w:rsidRDefault="00FF4669" w:rsidP="00FF4669"/>
    <w:p w14:paraId="6367AC8B" w14:textId="2C291FB5" w:rsidR="00FF4669" w:rsidRDefault="00FF4669" w:rsidP="00FF4669">
      <w:r>
        <w:t>Ved tilsvarende rådighedsindskrænkninger eller andre tilsvarende foranstaltninger skal forstås, at der allerede er meddelt et pålæg der stadig er gældende, inden for samme BNBO, om at der som minimum ikke må anvendes p</w:t>
      </w:r>
      <w:r w:rsidR="00E62550">
        <w:t>esticide</w:t>
      </w:r>
      <w:r>
        <w:t>r på det pågældende areal.</w:t>
      </w:r>
    </w:p>
    <w:p w14:paraId="1B533713" w14:textId="77777777" w:rsidR="00FF4669" w:rsidRDefault="00FF4669" w:rsidP="00FF4669"/>
    <w:p w14:paraId="6274A0ED" w14:textId="0378E332" w:rsidR="00FF4669" w:rsidRDefault="00FF4669" w:rsidP="00FF4669">
      <w:r>
        <w:t xml:space="preserve">Den foreslåede </w:t>
      </w:r>
      <w:r w:rsidRPr="00D5528B">
        <w:rPr>
          <w:i/>
        </w:rPr>
        <w:t>nr. 4</w:t>
      </w:r>
      <w:r>
        <w:t xml:space="preserve"> indebærer, at kommunalbestyrelsen ikke skal </w:t>
      </w:r>
      <w:r w:rsidR="002F6FF8">
        <w:t xml:space="preserve">udstede </w:t>
      </w:r>
      <w:r>
        <w:t>påbud eller forbud, hvis der er iværksat andre tilsvarende beskyttelsesindsatser i det boringsnære beskyttelsesområde.</w:t>
      </w:r>
    </w:p>
    <w:p w14:paraId="2F4E99D0" w14:textId="77777777" w:rsidR="00FF4669" w:rsidRDefault="00FF4669" w:rsidP="00FF4669"/>
    <w:p w14:paraId="756F81BF" w14:textId="2587D4E8" w:rsidR="00FF4669" w:rsidRDefault="00FF4669" w:rsidP="00FF4669">
      <w:r>
        <w:t xml:space="preserve">Ved andre tilsvarende beskyttelsesindsatser skal forstås beskyttelsesindsatser, der som minimum medfører, at der ikke anvendes </w:t>
      </w:r>
      <w:r w:rsidR="00E62550">
        <w:t xml:space="preserve">pesticider godkendt til konventionelt brug </w:t>
      </w:r>
      <w:r>
        <w:t>inden for det pågældende BNBO. Den foreslåede bestemmelse vil således efter omstændighederne kunne omfatte f.eks. tilfælde, hvor kommunalbestyrelsen har haft mulighed for at meddele påbud eller forbud efter § 24, stk. 1</w:t>
      </w:r>
      <w:r w:rsidR="00000199">
        <w:t>,</w:t>
      </w:r>
      <w:r>
        <w:t xml:space="preserve"> i miljøbeskyttelsesloven, men hvor der i stedet på </w:t>
      </w:r>
      <w:proofErr w:type="spellStart"/>
      <w:r>
        <w:t>ulovbestemt</w:t>
      </w:r>
      <w:proofErr w:type="spellEnd"/>
      <w:r>
        <w:t xml:space="preserve"> grundlag er indgået en aftale med grundejeren eller andre rettighedshavere over ejendommen om, at der ikke må anvendes </w:t>
      </w:r>
      <w:r w:rsidR="00F06BE2">
        <w:t xml:space="preserve">pesticider </w:t>
      </w:r>
      <w:r>
        <w:t>i BNBO.</w:t>
      </w:r>
    </w:p>
    <w:p w14:paraId="54CA1836" w14:textId="680FC541" w:rsidR="00402B83" w:rsidRDefault="00402B83" w:rsidP="00FF4669"/>
    <w:p w14:paraId="00AE4EB5" w14:textId="2D42F1F4" w:rsidR="0059476A" w:rsidRDefault="00402B83" w:rsidP="00FF4669">
      <w:r>
        <w:t xml:space="preserve">Andre tilsvarende beskyttelsesindsatser vil videre kunne være </w:t>
      </w:r>
      <w:r w:rsidR="00CA0EAC">
        <w:t>økologisk drift af området inden for BNBO</w:t>
      </w:r>
      <w:r w:rsidR="00F430FE">
        <w:t xml:space="preserve">, da </w:t>
      </w:r>
      <w:r w:rsidR="002B3A75">
        <w:t xml:space="preserve">økologisk dyrkning ikke, som udgangspunkt vurderes at udgøre en </w:t>
      </w:r>
      <w:r w:rsidR="00F430FE">
        <w:t>risiko for forurening af drikkevandet</w:t>
      </w:r>
      <w:r w:rsidR="002B3A75">
        <w:t>.</w:t>
      </w:r>
      <w:r w:rsidR="00CA0EAC">
        <w:t xml:space="preserve"> </w:t>
      </w:r>
      <w:r w:rsidR="00154EDA">
        <w:t xml:space="preserve">Kommunerne </w:t>
      </w:r>
      <w:r w:rsidR="00CE1B2A">
        <w:t>kan</w:t>
      </w:r>
      <w:r w:rsidR="00154EDA">
        <w:t xml:space="preserve"> som led i risikovurderingen </w:t>
      </w:r>
      <w:r w:rsidR="00F430FE">
        <w:t>vurdere, at økologisk dyrkning af</w:t>
      </w:r>
      <w:r w:rsidR="003811C1">
        <w:t xml:space="preserve"> et areal </w:t>
      </w:r>
      <w:r w:rsidR="00F430FE">
        <w:t>i BNBO vil</w:t>
      </w:r>
      <w:r w:rsidR="007744C1">
        <w:t xml:space="preserve"> udgøre</w:t>
      </w:r>
      <w:r w:rsidR="00F430FE">
        <w:t xml:space="preserve"> tilstrækkelig beskyttelse af BNBO, og det kan således være en undtagelse til kommunens forpligtelse til at udstede et forbud efter § 24 a, stk. 1. </w:t>
      </w:r>
      <w:r w:rsidR="0059476A">
        <w:t xml:space="preserve">Vandforsyning og grundejer vil i stedet kunne indgå en aftale om at opretholde den økologisk drift som en del af </w:t>
      </w:r>
      <w:r w:rsidR="0059476A">
        <w:lastRenderedPageBreak/>
        <w:t>aftalen efter den foreslåede § 13 f. Der henvises til afsnit 1 ovenfor i de specielle bemærkninger for en uddybning heraf.</w:t>
      </w:r>
    </w:p>
    <w:p w14:paraId="58161DAD" w14:textId="77777777" w:rsidR="0059476A" w:rsidRDefault="0059476A" w:rsidP="00FF4669"/>
    <w:p w14:paraId="400F2F32" w14:textId="2050BDBE" w:rsidR="00402B83" w:rsidRDefault="00F430FE" w:rsidP="00FF4669">
      <w:r>
        <w:t xml:space="preserve">Der kan være tilfælde, hvor </w:t>
      </w:r>
      <w:r w:rsidR="00882658">
        <w:t xml:space="preserve">en </w:t>
      </w:r>
      <w:r w:rsidR="00F06BE2">
        <w:t>grund</w:t>
      </w:r>
      <w:r>
        <w:t xml:space="preserve">ejer efterfølgende overgår fra at dyrke økologisk til at anvende konventionelle </w:t>
      </w:r>
      <w:r w:rsidR="007744C1">
        <w:t>pesticider</w:t>
      </w:r>
      <w:r>
        <w:t>.</w:t>
      </w:r>
      <w:r w:rsidR="00B17FE9">
        <w:t xml:space="preserve"> I </w:t>
      </w:r>
      <w:r w:rsidR="00CA3BB6">
        <w:t>det tilfælde</w:t>
      </w:r>
      <w:r w:rsidR="00B17FE9">
        <w:t xml:space="preserve"> </w:t>
      </w:r>
      <w:r w:rsidR="007744C1">
        <w:t xml:space="preserve">vil en </w:t>
      </w:r>
      <w:r w:rsidR="00B17FE9">
        <w:t xml:space="preserve">BNBO ikke </w:t>
      </w:r>
      <w:r w:rsidR="007744C1">
        <w:t xml:space="preserve">blive betragtet </w:t>
      </w:r>
      <w:r w:rsidR="00B17FE9">
        <w:t>som tilstrækkeligt beskyttet, hvis en risikovurdering fortsat tilsiger, at en beskyttelsesindsats er nødvendig.</w:t>
      </w:r>
      <w:r>
        <w:t xml:space="preserve"> Der henvises til de specielle bemærkninger til den foreslåede § 24 a, stk. </w:t>
      </w:r>
      <w:r w:rsidR="00E9100E">
        <w:t>5</w:t>
      </w:r>
      <w:r w:rsidR="00000199">
        <w:t>,</w:t>
      </w:r>
      <w:r w:rsidR="0052525E">
        <w:t xml:space="preserve"> for en uddybning af dette</w:t>
      </w:r>
      <w:r>
        <w:t>.</w:t>
      </w:r>
    </w:p>
    <w:p w14:paraId="1BF3DE59" w14:textId="77777777" w:rsidR="00FF4669" w:rsidRDefault="00FF4669" w:rsidP="00FF4669"/>
    <w:p w14:paraId="75A5B101" w14:textId="6888CDCF" w:rsidR="00FF4669" w:rsidRDefault="00FF4669" w:rsidP="00FF4669">
      <w:r>
        <w:t xml:space="preserve">Ved det foreslåede </w:t>
      </w:r>
      <w:r w:rsidRPr="00B523CA">
        <w:rPr>
          <w:i/>
        </w:rPr>
        <w:t>§ 24 a,</w:t>
      </w:r>
      <w:r>
        <w:t xml:space="preserve"> </w:t>
      </w:r>
      <w:r w:rsidRPr="00AB4C75">
        <w:rPr>
          <w:i/>
        </w:rPr>
        <w:t xml:space="preserve">stk. </w:t>
      </w:r>
      <w:r w:rsidR="00E9100E">
        <w:rPr>
          <w:i/>
        </w:rPr>
        <w:t>3</w:t>
      </w:r>
      <w:r>
        <w:t>,</w:t>
      </w:r>
      <w:r w:rsidR="00CA0EAC">
        <w:t xml:space="preserve"> tinglyser </w:t>
      </w:r>
      <w:r>
        <w:t>kommunalbestyrelsen for grundejerens regning forbud</w:t>
      </w:r>
      <w:r w:rsidR="00CA0EAC">
        <w:t>det</w:t>
      </w:r>
      <w:r>
        <w:t xml:space="preserve"> efter stk. 1</w:t>
      </w:r>
      <w:r w:rsidR="003A2D6A">
        <w:t xml:space="preserve">. </w:t>
      </w:r>
      <w:r>
        <w:t xml:space="preserve">Dette </w:t>
      </w:r>
      <w:r w:rsidR="00CA0EAC">
        <w:t>er en ændring af den gældende ordning i § 26 a, stk. 5</w:t>
      </w:r>
      <w:r w:rsidR="00000199">
        <w:t>,</w:t>
      </w:r>
      <w:r w:rsidR="00CA0EAC">
        <w:t xml:space="preserve"> i miljøbeskyttelsesloven, idet det bliver et krav for kommunen, at </w:t>
      </w:r>
      <w:r w:rsidR="007C5EE3">
        <w:t>påbud eller forbud bliver tinglyst efter § 24 a, stk. 3</w:t>
      </w:r>
      <w:r w:rsidR="00CA0EAC">
        <w:t xml:space="preserve">. </w:t>
      </w:r>
    </w:p>
    <w:p w14:paraId="708467CD" w14:textId="77777777" w:rsidR="00FF4669" w:rsidRDefault="00FF4669" w:rsidP="00FF4669"/>
    <w:p w14:paraId="50D1675D" w14:textId="374C7007" w:rsidR="00333E57" w:rsidRDefault="00FF4669" w:rsidP="00FF4669">
      <w:r>
        <w:t xml:space="preserve">Forslaget vil medføre, at </w:t>
      </w:r>
      <w:r w:rsidR="00F900F3">
        <w:t>det synliggøres over for andre rettighedshavere, herunder panthavere, forpagtere, m</w:t>
      </w:r>
      <w:r w:rsidR="00AA5409">
        <w:t>.</w:t>
      </w:r>
      <w:r w:rsidR="00F900F3">
        <w:t>v. eller eventuelle købere af ejendommen, at der gælder et påbud eller forbud om ikke til erhvervsmæssige formål at anvende pesticider inden for det pågældende BNBO</w:t>
      </w:r>
      <w:r>
        <w:t>. Det bemærkes, at et påbud eller forbud vil være gældende, uanset tinglysning.</w:t>
      </w:r>
    </w:p>
    <w:p w14:paraId="52AC60FF" w14:textId="77777777" w:rsidR="00333E57" w:rsidRDefault="00333E57" w:rsidP="00FF4669"/>
    <w:p w14:paraId="228F07CE" w14:textId="7D2FAACE" w:rsidR="00FF4669" w:rsidRDefault="00333E57" w:rsidP="00FF4669">
      <w:r>
        <w:t xml:space="preserve">I tilfælde hvor et påbud eller forbud efter § 24 a, stk. 1, udgør ekspropriation </w:t>
      </w:r>
      <w:r w:rsidR="00502C42">
        <w:t>kan</w:t>
      </w:r>
      <w:r>
        <w:t xml:space="preserve"> tinglysning ikke ske for grundejerens regning</w:t>
      </w:r>
      <w:r w:rsidR="00502C42">
        <w:t>, da det vurderes at være i strid med grundlovens § 73 om, at vedkommende</w:t>
      </w:r>
      <w:r w:rsidR="00882658">
        <w:t>,</w:t>
      </w:r>
      <w:r w:rsidR="00502C42">
        <w:t xml:space="preserve"> </w:t>
      </w:r>
      <w:r w:rsidR="00E56952">
        <w:t>der får sin ret eksproprieret</w:t>
      </w:r>
      <w:r w:rsidR="00882658">
        <w:t>,</w:t>
      </w:r>
      <w:r w:rsidR="00E56952">
        <w:t xml:space="preserve"> skal holdes skadesløs.</w:t>
      </w:r>
      <w:r w:rsidR="00502C42">
        <w:t xml:space="preserve"> </w:t>
      </w:r>
      <w:r w:rsidR="00E62550">
        <w:t xml:space="preserve">Da det er vurderingen, at der </w:t>
      </w:r>
      <w:r w:rsidR="00F06BE2">
        <w:t>som udgangspunkt ikke vil være tale om ekspropriation, vil det kun undtagelsesvist være kommunerne</w:t>
      </w:r>
      <w:r w:rsidR="00882658">
        <w:t>,</w:t>
      </w:r>
      <w:r w:rsidR="00F06BE2">
        <w:t xml:space="preserve"> der skal afholde </w:t>
      </w:r>
      <w:r w:rsidR="0025656A">
        <w:t>udgifter</w:t>
      </w:r>
      <w:r w:rsidR="00BC5455">
        <w:t xml:space="preserve"> til tinglysning af påbud eller forbud efter § 24 a, stk. 1.</w:t>
      </w:r>
      <w:r w:rsidR="00E62550">
        <w:t xml:space="preserve"> </w:t>
      </w:r>
    </w:p>
    <w:p w14:paraId="7CDB44ED" w14:textId="77777777" w:rsidR="00CA3BB6" w:rsidRDefault="00CA3BB6" w:rsidP="00FF4669"/>
    <w:p w14:paraId="6652493F" w14:textId="66B837CE" w:rsidR="00FF4669" w:rsidRPr="00A80477" w:rsidRDefault="00FF4669" w:rsidP="00FF4669">
      <w:r>
        <w:t xml:space="preserve">Med det foreslåede </w:t>
      </w:r>
      <w:r>
        <w:rPr>
          <w:i/>
        </w:rPr>
        <w:t>§ 24 a, s</w:t>
      </w:r>
      <w:r w:rsidRPr="00A81C22">
        <w:rPr>
          <w:i/>
        </w:rPr>
        <w:t xml:space="preserve">tk. </w:t>
      </w:r>
      <w:r w:rsidR="00E9100E">
        <w:rPr>
          <w:i/>
        </w:rPr>
        <w:t>4</w:t>
      </w:r>
      <w:r w:rsidR="00000199">
        <w:rPr>
          <w:i/>
        </w:rPr>
        <w:t>,</w:t>
      </w:r>
      <w:r>
        <w:rPr>
          <w:i/>
        </w:rPr>
        <w:t xml:space="preserve"> </w:t>
      </w:r>
      <w:r>
        <w:t>skal kommunalbestyrelsens påbud eller forbud efter stk. 1 respekteres af indehaveren af enhver rettighed over ejendommen, medmindre andet bestemmes i det enkelte tilfælde, hvilket svarer til den allerede gældende ordning i § 26 a, stk. 4</w:t>
      </w:r>
      <w:r w:rsidR="00000199">
        <w:t>,</w:t>
      </w:r>
      <w:r>
        <w:t xml:space="preserve"> i miljøbeskyttelsesloven. </w:t>
      </w:r>
    </w:p>
    <w:p w14:paraId="7DD0F470" w14:textId="77777777" w:rsidR="00FF4669" w:rsidRDefault="00FF4669" w:rsidP="00FF4669">
      <w:pPr>
        <w:rPr>
          <w:i/>
        </w:rPr>
      </w:pPr>
    </w:p>
    <w:p w14:paraId="543E64DF" w14:textId="230DDAA3" w:rsidR="00FF4669" w:rsidRDefault="00FF4669" w:rsidP="00FF4669">
      <w:r>
        <w:t xml:space="preserve">Med det foreslåede </w:t>
      </w:r>
      <w:r>
        <w:rPr>
          <w:i/>
        </w:rPr>
        <w:t xml:space="preserve">§ 24 a, stk. </w:t>
      </w:r>
      <w:r w:rsidR="00E9100E">
        <w:rPr>
          <w:i/>
        </w:rPr>
        <w:t>5</w:t>
      </w:r>
      <w:r>
        <w:rPr>
          <w:i/>
        </w:rPr>
        <w:t xml:space="preserve">, </w:t>
      </w:r>
      <w:r>
        <w:t>kan miljøministeren fastsætte nærmere regler om indholdet af</w:t>
      </w:r>
      <w:r w:rsidR="007744C1">
        <w:t>, vilkår</w:t>
      </w:r>
      <w:r>
        <w:t xml:space="preserve"> og frister for påbud eller forbud efter stk. 1. </w:t>
      </w:r>
    </w:p>
    <w:p w14:paraId="78B0A656" w14:textId="77777777" w:rsidR="00FF4669" w:rsidRDefault="00FF4669" w:rsidP="00FF4669"/>
    <w:p w14:paraId="2BEA1D97" w14:textId="3C0F2D5B" w:rsidR="00FF4669" w:rsidRDefault="00FF4669" w:rsidP="00FF4669">
      <w:r>
        <w:t>Det er hensigten, at miljøministeren med hjemmel i den foreslåede bestemmelse bl.a. vil kunne fastsætte regler om</w:t>
      </w:r>
      <w:r w:rsidR="00CA3BB6">
        <w:t>,</w:t>
      </w:r>
      <w:r>
        <w:t xml:space="preserve"> at der vil skulle meddeles </w:t>
      </w:r>
      <w:r>
        <w:lastRenderedPageBreak/>
        <w:t xml:space="preserve">yderligere påbud eller forbud, hvor et BNBO udvides på grund af genberegninger foretaget på grundlag af f.eks. en øget vandindvindingsmængde eller nye beregningsmetoder. Hvis et BNBO udvides, vil kommunalbestyrelsen efter den foreslåede bestemmelse i § 24 a, stk. 1, skulle meddele påbud eller forbud for så vidt angår de </w:t>
      </w:r>
      <w:proofErr w:type="spellStart"/>
      <w:r>
        <w:t>ny</w:t>
      </w:r>
      <w:r w:rsidR="00B0634C">
        <w:t>udpegede</w:t>
      </w:r>
      <w:proofErr w:type="spellEnd"/>
      <w:r w:rsidR="00B0634C">
        <w:t xml:space="preserve"> </w:t>
      </w:r>
      <w:r>
        <w:t xml:space="preserve">arealer, hvis risikovurderingen tilsiger, at en beskyttelsesindsats er nødvendig. </w:t>
      </w:r>
    </w:p>
    <w:p w14:paraId="4F7DF682" w14:textId="77777777" w:rsidR="00FF4669" w:rsidRPr="00AB4C75" w:rsidRDefault="00FF4669" w:rsidP="00FF4669"/>
    <w:p w14:paraId="2E66AC19" w14:textId="3D116010" w:rsidR="00FF4669" w:rsidRDefault="00FF4669" w:rsidP="00FF4669">
      <w:r>
        <w:t>Genberegninger af BNBO på grundlag af f.eks. øgede vandindvindingsmængder og nye beregningsmetoder, der fører til ændringer i beliggenheden, udstrækningen eller formen på BNBO, vil skulle fremgå af udpegningsbekendtgørelsen udstedt efter § 13 e i miljøbeskyttelsesloven.</w:t>
      </w:r>
    </w:p>
    <w:p w14:paraId="33E510E0" w14:textId="77777777" w:rsidR="00FF4669" w:rsidRDefault="00FF4669" w:rsidP="00FF4669"/>
    <w:p w14:paraId="4DF67B89" w14:textId="5CD3BF13" w:rsidR="00DE71BC" w:rsidRPr="00A82A3A" w:rsidRDefault="00FF4669" w:rsidP="00FF4669">
      <w:r>
        <w:t xml:space="preserve">Bemyndigelsen i den foreslåede stk. </w:t>
      </w:r>
      <w:r w:rsidR="00FD5F53">
        <w:t>5</w:t>
      </w:r>
      <w:r>
        <w:t xml:space="preserve"> vil endvidere kunne anvendes til at fastsætte regler om frister for </w:t>
      </w:r>
      <w:r w:rsidR="00AE7ECA">
        <w:t xml:space="preserve">kommunens </w:t>
      </w:r>
      <w:r w:rsidR="00E9100E">
        <w:t xml:space="preserve">udstedelse af </w:t>
      </w:r>
      <w:r>
        <w:t>påbud eller forbud efter stk. 1. Adgangen til at fastsætte regler herom vil f.eks. kunne</w:t>
      </w:r>
      <w:r w:rsidRPr="006F75B7">
        <w:t xml:space="preserve"> </w:t>
      </w:r>
      <w:r>
        <w:t xml:space="preserve">anvendes til at fastsætte en frist fra, på hvilket tidspunkt påbuddet eller forbuddet skal være givet, efter </w:t>
      </w:r>
      <w:r w:rsidRPr="00A82A3A">
        <w:t>risikovurderingen er foretaget.</w:t>
      </w:r>
      <w:r w:rsidR="002F0043" w:rsidRPr="00A82A3A">
        <w:t xml:space="preserve"> Det er forventningen, at </w:t>
      </w:r>
      <w:r w:rsidR="0015189D" w:rsidRPr="00A82A3A">
        <w:t xml:space="preserve">der vil blive fastsat regler om, at </w:t>
      </w:r>
      <w:r w:rsidR="002F0043" w:rsidRPr="00A82A3A">
        <w:t>vandforsyninger og kommuner vil have</w:t>
      </w:r>
      <w:r w:rsidR="00FD6EC5" w:rsidRPr="00A82A3A">
        <w:t xml:space="preserve"> op til</w:t>
      </w:r>
      <w:r w:rsidR="002F0043" w:rsidRPr="00A82A3A">
        <w:t xml:space="preserve"> seks måneder fra lovens ikrafttræden til at indgå aftaler om pesticidfri drift inden for de gældende BNBO</w:t>
      </w:r>
      <w:r w:rsidR="00DE71BC" w:rsidRPr="00A82A3A">
        <w:t>, som er risikovurderet senest den 31. december 2022, inden der skal være udstedt påbud eller forbud efter den forslåede § 24 a</w:t>
      </w:r>
      <w:r w:rsidR="002F0043" w:rsidRPr="00A82A3A">
        <w:t>.</w:t>
      </w:r>
      <w:r w:rsidR="00E12CC1" w:rsidRPr="00A82A3A">
        <w:t xml:space="preserve"> </w:t>
      </w:r>
    </w:p>
    <w:p w14:paraId="60059693" w14:textId="77777777" w:rsidR="00DE71BC" w:rsidRPr="00A82A3A" w:rsidRDefault="00DE71BC" w:rsidP="00FF4669"/>
    <w:p w14:paraId="4182E4EE" w14:textId="0D16ECF8" w:rsidR="00FD6EC5" w:rsidRPr="00A82A3A" w:rsidRDefault="00DE71BC" w:rsidP="00FF4669">
      <w:r w:rsidRPr="00A82A3A">
        <w:t>Det er herudover forventning</w:t>
      </w:r>
      <w:r w:rsidR="00793281" w:rsidRPr="00A82A3A">
        <w:t>en</w:t>
      </w:r>
      <w:r w:rsidRPr="00A82A3A">
        <w:t>, at der for BNBO, som udpeges og risikovurderes efter 1. januar 2023, vil blive fastsat regler om, at vandforsyninger og kommuner vil have op til seks måneder fra at et BNBO er risikovurderet til at indgå aftaler om pesticidfri drift, inden der skal være udstedt påbud eller forbud efter den foreslåede § 24 a.</w:t>
      </w:r>
    </w:p>
    <w:p w14:paraId="2A5DE014" w14:textId="77777777" w:rsidR="00FF4669" w:rsidRDefault="00FF4669" w:rsidP="00FF4669"/>
    <w:p w14:paraId="6E6A1955" w14:textId="42211999" w:rsidR="00FF4669" w:rsidRDefault="00FF4669" w:rsidP="00FF4669">
      <w:r>
        <w:t xml:space="preserve">Der vil også kunne fastsættes regler om forskellige påbud eller forbud inden for samme BNBO. Dette vil eksempelvis kunne blive tilfældet, hvor flere </w:t>
      </w:r>
      <w:r w:rsidR="00FD5F53">
        <w:t>grund</w:t>
      </w:r>
      <w:r>
        <w:t xml:space="preserve">ejere har arealer inden for samme BNBO, men hvor risikovurderingen er forskellig </w:t>
      </w:r>
      <w:r w:rsidR="00A55723">
        <w:t xml:space="preserve">på grund af </w:t>
      </w:r>
      <w:r>
        <w:t>realanvendelsen</w:t>
      </w:r>
      <w:r w:rsidR="00FD6EC5">
        <w:t xml:space="preserve"> f.eks.</w:t>
      </w:r>
      <w:r>
        <w:t xml:space="preserve"> økologisk dyrkning, e</w:t>
      </w:r>
      <w:r w:rsidR="00340533">
        <w:t>l.lign</w:t>
      </w:r>
      <w:r>
        <w:t xml:space="preserve">. En anden mulighed, hvor det kan blive relevant at skelne inden for samme BNBO, er hvor BNBO dækker så lille en del af </w:t>
      </w:r>
      <w:r w:rsidR="003811C1">
        <w:t>et areal</w:t>
      </w:r>
      <w:r>
        <w:t xml:space="preserve">, at det det ud fra en proportionalitetsbetragtning ikke giver mening at give et påbud eller forbud i det pågældende </w:t>
      </w:r>
      <w:r w:rsidR="003811C1">
        <w:t>areal.</w:t>
      </w:r>
    </w:p>
    <w:p w14:paraId="775AC950" w14:textId="77777777" w:rsidR="00FF4669" w:rsidRDefault="00FF4669" w:rsidP="00FF4669"/>
    <w:p w14:paraId="70E9F094" w14:textId="693D16F4" w:rsidR="00FF4669" w:rsidRDefault="00FF4669" w:rsidP="00FF4669">
      <w:r>
        <w:lastRenderedPageBreak/>
        <w:t xml:space="preserve">Der vil også kunne fastsættes regler om, at kommunalbestyrelsen forpligtes til at give påbud eller forbud i de BNBO, der kan være blevet risikovurderet fra den 1. januar 2023 til og med den 30. juni 2024, hvis kommunen har vurderet, at </w:t>
      </w:r>
      <w:r w:rsidR="00A775A7">
        <w:t xml:space="preserve">det pågældende </w:t>
      </w:r>
      <w:r>
        <w:t xml:space="preserve">BNBO </w:t>
      </w:r>
      <w:r w:rsidR="00A775A7">
        <w:t>bør</w:t>
      </w:r>
      <w:r>
        <w:t xml:space="preserve"> beskyttes</w:t>
      </w:r>
      <w:r w:rsidR="00A775A7">
        <w:t xml:space="preserve"> mod erhvervsmæssig anvendelse af p</w:t>
      </w:r>
      <w:r w:rsidR="00F02853">
        <w:t>esticider</w:t>
      </w:r>
      <w:r>
        <w:t>. Det bemærkes, at kommunerne i denne periode ikke har været forpligtet til at risikovurdere, da BNBO-bekendtgørelsen</w:t>
      </w:r>
      <w:r w:rsidR="00A775A7">
        <w:t>,</w:t>
      </w:r>
      <w:r>
        <w:t xml:space="preserve"> der har forpligtet kommunerne</w:t>
      </w:r>
      <w:r w:rsidR="003F0A16">
        <w:t xml:space="preserve"> til at vurdere beskyttelsesbehov og foretage indberetning herom</w:t>
      </w:r>
      <w:r>
        <w:t xml:space="preserve"> ikke har været gældende</w:t>
      </w:r>
      <w:r w:rsidR="000B7339">
        <w:t>, og eventuelle</w:t>
      </w:r>
      <w:r w:rsidR="00847687">
        <w:t xml:space="preserve"> risikovurderinger</w:t>
      </w:r>
      <w:r w:rsidR="003F0A16">
        <w:t xml:space="preserve"> og indberetninger</w:t>
      </w:r>
      <w:r w:rsidR="00847687">
        <w:t xml:space="preserve"> har været på frivillig basis</w:t>
      </w:r>
      <w:r>
        <w:t>.</w:t>
      </w:r>
    </w:p>
    <w:p w14:paraId="732948B2" w14:textId="77777777" w:rsidR="00E97972" w:rsidRDefault="00E97972" w:rsidP="00FF4669"/>
    <w:p w14:paraId="1D11CA04" w14:textId="7773B13E" w:rsidR="00FF4669" w:rsidRDefault="00FF4669" w:rsidP="00FF4669">
      <w:r>
        <w:t xml:space="preserve">Endvidere vil bestemmelsen kunne anvendes til at fastsætte nærmere regler om angivelsen af fristen for </w:t>
      </w:r>
      <w:r w:rsidR="007744C1">
        <w:t xml:space="preserve">hvornår et </w:t>
      </w:r>
      <w:r>
        <w:t>påbud eller forbud efter § 24 a, stk. 1</w:t>
      </w:r>
      <w:r w:rsidR="007744C1">
        <w:t>, skal efterkommes</w:t>
      </w:r>
      <w:r>
        <w:t>. Et påbud eller forbud forventes at skulle</w:t>
      </w:r>
      <w:r w:rsidR="00FD5F53">
        <w:t xml:space="preserve"> efterkommes af grundejer</w:t>
      </w:r>
      <w:r>
        <w:t xml:space="preserve">, således at grundejeren </w:t>
      </w:r>
      <w:r w:rsidR="00A775A7">
        <w:t>derved har</w:t>
      </w:r>
      <w:r>
        <w:t xml:space="preserve"> mulighed for at indrette driften af de berørte arealer i overensstemmelse med påbuddet eller forbuddet</w:t>
      </w:r>
      <w:r w:rsidR="00A775A7">
        <w:t xml:space="preserve"> ved eksempelvis at afvikle eksisterende markplaner</w:t>
      </w:r>
      <w:r>
        <w:t xml:space="preserve">. </w:t>
      </w:r>
      <w:r w:rsidR="00E97972">
        <w:t xml:space="preserve">Det er forventningen, at kommunen vil skulle tage højde for disse forhold ved fastlæggelsen af, hvornår påbuddet eller forbuddet skal </w:t>
      </w:r>
      <w:r w:rsidR="007744C1">
        <w:t>efterkommes.</w:t>
      </w:r>
    </w:p>
    <w:p w14:paraId="41767B84" w14:textId="796D439A" w:rsidR="002A6005" w:rsidRDefault="002A6005" w:rsidP="00FF4669"/>
    <w:p w14:paraId="6FC7642D" w14:textId="77A7B264" w:rsidR="002A6005" w:rsidRDefault="002A6005" w:rsidP="00FF4669">
      <w:r>
        <w:t xml:space="preserve">Bestemmelsen vil også kunne anvendes til at fastsætte regler om, at </w:t>
      </w:r>
      <w:r w:rsidR="00F356AA">
        <w:t>grund</w:t>
      </w:r>
      <w:r w:rsidR="000B7339">
        <w:t>ejer forpligtes til at orientere Miljøstyrelsen</w:t>
      </w:r>
      <w:r w:rsidR="00F02853">
        <w:t xml:space="preserve"> </w:t>
      </w:r>
      <w:r w:rsidR="000B7339">
        <w:t xml:space="preserve">om, at </w:t>
      </w:r>
      <w:r w:rsidR="00B02464">
        <w:t xml:space="preserve">vedkommende er overgået fra at anvende </w:t>
      </w:r>
      <w:r w:rsidR="00E97972">
        <w:t>pesticider</w:t>
      </w:r>
      <w:r w:rsidR="00B02464">
        <w:t xml:space="preserve"> godkendt til økologisk brug til konventionel drift. Herefter kan området indgå i risikovurderingen, således at kommunen vurderer, om BNBO skal beskyttes efter § 24 a, stk. 1, idet beskyttelsen ved at området dyrkes økologisk ikke længere vurderes at være til stede</w:t>
      </w:r>
      <w:r w:rsidR="00F356AA">
        <w:t>.</w:t>
      </w:r>
    </w:p>
    <w:p w14:paraId="4E7FC0D6" w14:textId="2B73CAA8" w:rsidR="00FF4669" w:rsidRDefault="00FF4669" w:rsidP="00FF4669"/>
    <w:p w14:paraId="14326BCC" w14:textId="666BC029" w:rsidR="00F900F3" w:rsidRDefault="00F900F3" w:rsidP="00FF4669">
      <w:r>
        <w:t>Til nr. 3</w:t>
      </w:r>
    </w:p>
    <w:p w14:paraId="66218D0F" w14:textId="01F0E794" w:rsidR="00054F24" w:rsidRDefault="00054F24" w:rsidP="00054F24"/>
    <w:p w14:paraId="302D6A1E" w14:textId="77777777" w:rsidR="00054F24" w:rsidRDefault="00054F24" w:rsidP="00054F24">
      <w:r>
        <w:t>Efter den gældende § 61, stk. 1, i miljøbeskyttelsesloven foretages erstatningsfastsættelser efter denne lov i mangel af mindelig overenskomst af de taksationsmyndigheder, der er nævnt i §§ 105 og 106 i lov om offentlige veje.</w:t>
      </w:r>
    </w:p>
    <w:p w14:paraId="594CC96E" w14:textId="77777777" w:rsidR="00054F24" w:rsidRDefault="00054F24" w:rsidP="00054F24"/>
    <w:p w14:paraId="71D85434" w14:textId="77777777" w:rsidR="00054F24" w:rsidRDefault="00054F24" w:rsidP="00054F24">
      <w:r>
        <w:t>Efter § 61, stk. 2, finder bestemmelserne i lov om offentlige veje §§ 103, 104 og 107-122 anvendelse om sagens behandling for taksationsmyndighederne og om erstatningens fastsættelse og udbetaling.</w:t>
      </w:r>
    </w:p>
    <w:p w14:paraId="13234787" w14:textId="77777777" w:rsidR="00054F24" w:rsidRDefault="00054F24" w:rsidP="00054F24"/>
    <w:p w14:paraId="4B7BCA9A" w14:textId="18F73D1E" w:rsidR="00054F24" w:rsidRDefault="00054F24" w:rsidP="00054F24">
      <w:r>
        <w:t xml:space="preserve">Det foreslås, at der indsættes en ny bestemmelse i miljøbeskyttelseslovens </w:t>
      </w:r>
      <w:r w:rsidRPr="00B55802">
        <w:rPr>
          <w:i/>
        </w:rPr>
        <w:t>§ 61</w:t>
      </w:r>
      <w:r w:rsidRPr="00B55802">
        <w:t>,</w:t>
      </w:r>
      <w:r w:rsidR="00F02853">
        <w:t xml:space="preserve"> </w:t>
      </w:r>
      <w:r w:rsidR="00F02853">
        <w:rPr>
          <w:i/>
        </w:rPr>
        <w:t>stk. 3,</w:t>
      </w:r>
      <w:r>
        <w:t xml:space="preserve"> hvorefter erstatningsfastsættelser efter den foreslåede § 24 a behandles efter den foreslåede § 64 e. </w:t>
      </w:r>
      <w:r w:rsidRPr="00B55802">
        <w:t xml:space="preserve"> </w:t>
      </w:r>
    </w:p>
    <w:p w14:paraId="67185780" w14:textId="77777777" w:rsidR="00054F24" w:rsidRDefault="00054F24" w:rsidP="00054F24"/>
    <w:p w14:paraId="2BE1B65F" w14:textId="075AA334" w:rsidR="00054F24" w:rsidRDefault="00054F24" w:rsidP="00054F24">
      <w:r>
        <w:t xml:space="preserve">Den foreslåede bestemmelse i </w:t>
      </w:r>
      <w:r w:rsidRPr="00F02853">
        <w:t>§ 61, stk. 3</w:t>
      </w:r>
      <w:r>
        <w:rPr>
          <w:i/>
        </w:rPr>
        <w:t>,</w:t>
      </w:r>
      <w:r>
        <w:t xml:space="preserve"> indebærer, at der ved erstatninger, der gives på baggrund af påbud eller forbud efter den foreslåede § 24 a, for erstatningsfastsættelsen, udbetaling, klage m.v.</w:t>
      </w:r>
      <w:r w:rsidR="00E545E5">
        <w:t>,</w:t>
      </w:r>
      <w:r>
        <w:t xml:space="preserve"> skal gælde den proces der fremgår af den foreslåede § 64 e.</w:t>
      </w:r>
    </w:p>
    <w:p w14:paraId="0D1E316F" w14:textId="77777777" w:rsidR="00054F24" w:rsidRDefault="00054F24" w:rsidP="00054F24"/>
    <w:p w14:paraId="5A5B1769" w14:textId="77777777" w:rsidR="00054F24" w:rsidRDefault="00054F24" w:rsidP="00054F24">
      <w:r>
        <w:t xml:space="preserve">Bestemmelsen medfører, at erstatninger efter den foreslåede § 24 a, ikke vil skulle behandles efter reglerne i § 61, stk. 1 og 2. </w:t>
      </w:r>
    </w:p>
    <w:p w14:paraId="739DF7CD" w14:textId="77777777" w:rsidR="00054F24" w:rsidRDefault="00054F24" w:rsidP="00054F24"/>
    <w:p w14:paraId="0E385974" w14:textId="77777777" w:rsidR="00054F24" w:rsidRDefault="00054F24" w:rsidP="00054F24">
      <w:r>
        <w:rPr>
          <w:rFonts w:cs="Times New Roman"/>
          <w:szCs w:val="24"/>
        </w:rPr>
        <w:t>Til nr. 4</w:t>
      </w:r>
    </w:p>
    <w:p w14:paraId="22CC72DC" w14:textId="77777777" w:rsidR="00054F24" w:rsidRDefault="00054F24" w:rsidP="00054F24"/>
    <w:p w14:paraId="185F32D9" w14:textId="3B33AB2D" w:rsidR="00054F24" w:rsidRDefault="00054F24" w:rsidP="00054F24">
      <w:r>
        <w:t xml:space="preserve">Efter gældende ret skal erstatningen i forbindelse med et påbud eller forbud efter § 24, jf. § 63, betales af de brugere af vandet, der har fordel af forbuddet eller påbuddet. Erstatning efter </w:t>
      </w:r>
      <w:r>
        <w:rPr>
          <w:rFonts w:eastAsia="Calibri" w:cs="Times New Roman"/>
          <w:szCs w:val="24"/>
        </w:rPr>
        <w:t>§ 26 a betales af kommunalbestyrelsen, eller, hvis kommunalbestyrelsen har givet samtykke hertil, helt eller delvist af den eller de vandforsyninger, der har fordel af beslutningen, jf. § 64 a.</w:t>
      </w:r>
    </w:p>
    <w:p w14:paraId="172E68E7" w14:textId="77777777" w:rsidR="00054F24" w:rsidRDefault="00054F24" w:rsidP="00054F24"/>
    <w:p w14:paraId="6A7B36FD" w14:textId="17817E58" w:rsidR="00054F24" w:rsidRDefault="00054F24" w:rsidP="00054F24">
      <w:pPr>
        <w:rPr>
          <w:rFonts w:eastAsia="Calibri" w:cs="Times New Roman"/>
          <w:szCs w:val="24"/>
        </w:rPr>
      </w:pPr>
      <w:r>
        <w:rPr>
          <w:rFonts w:eastAsia="Calibri" w:cs="Times New Roman"/>
          <w:szCs w:val="24"/>
        </w:rPr>
        <w:t xml:space="preserve">Det foreslås, at der indsættes en ny bestemmelse i miljøbeskyttelseslovens § 64 e om en erstatningsordning tilknyttet påbud eller forbud efter den foreslåede § 24 a.  </w:t>
      </w:r>
    </w:p>
    <w:p w14:paraId="13F97648" w14:textId="77777777" w:rsidR="00054F24" w:rsidRDefault="00054F24" w:rsidP="00054F24">
      <w:pPr>
        <w:rPr>
          <w:rFonts w:eastAsia="Calibri" w:cs="Times New Roman"/>
          <w:szCs w:val="24"/>
        </w:rPr>
      </w:pPr>
    </w:p>
    <w:p w14:paraId="643B70FC" w14:textId="483ABA69" w:rsidR="00054F24" w:rsidRDefault="00054F24" w:rsidP="00054F24">
      <w:pPr>
        <w:rPr>
          <w:rFonts w:eastAsia="Calibri" w:cs="Times New Roman"/>
          <w:szCs w:val="24"/>
        </w:rPr>
      </w:pPr>
      <w:r>
        <w:rPr>
          <w:rFonts w:eastAsia="Calibri" w:cs="Times New Roman"/>
          <w:szCs w:val="24"/>
        </w:rPr>
        <w:t xml:space="preserve">Den foreslåede bestemmelse i </w:t>
      </w:r>
      <w:r w:rsidRPr="00AC5B7D">
        <w:rPr>
          <w:rFonts w:eastAsia="Calibri" w:cs="Times New Roman"/>
          <w:szCs w:val="24"/>
        </w:rPr>
        <w:t xml:space="preserve">§ </w:t>
      </w:r>
      <w:r w:rsidRPr="006E6CF7">
        <w:rPr>
          <w:rFonts w:eastAsia="Calibri" w:cs="Times New Roman"/>
          <w:i/>
          <w:szCs w:val="24"/>
        </w:rPr>
        <w:t>64 e, stk. 1,</w:t>
      </w:r>
      <w:r w:rsidRPr="00AC5B7D">
        <w:rPr>
          <w:rFonts w:eastAsia="Calibri" w:cs="Times New Roman"/>
          <w:szCs w:val="24"/>
        </w:rPr>
        <w:t xml:space="preserve"> indebærer</w:t>
      </w:r>
      <w:r>
        <w:rPr>
          <w:rFonts w:eastAsia="Calibri" w:cs="Times New Roman"/>
          <w:szCs w:val="24"/>
        </w:rPr>
        <w:t xml:space="preserve">, at erstatningen betales af de brugere af vandet, som har fordel af den beskyttelse af drikkevandet, et påbud eller forbud efter den foreslåede § 24 a medfører. I praksis vil erstatningen skulle betales af den almene vandforsyning, der indvinder vand inden for det </w:t>
      </w:r>
      <w:r w:rsidR="00616504">
        <w:rPr>
          <w:rFonts w:eastAsia="Calibri" w:cs="Times New Roman"/>
          <w:szCs w:val="24"/>
        </w:rPr>
        <w:t>BNBO</w:t>
      </w:r>
      <w:r>
        <w:rPr>
          <w:rFonts w:eastAsia="Calibri" w:cs="Times New Roman"/>
          <w:szCs w:val="24"/>
        </w:rPr>
        <w:t>, hvor der er blevet meddelt et påbud eller forbud. Udgifterne til erstatningen vil kunne finansieres via en forhøjelse af vandtaksten</w:t>
      </w:r>
      <w:r w:rsidR="00F02853">
        <w:rPr>
          <w:rFonts w:eastAsia="Calibri" w:cs="Times New Roman"/>
          <w:szCs w:val="24"/>
        </w:rPr>
        <w:t xml:space="preserve"> eller det faste årlige bidrag</w:t>
      </w:r>
      <w:r>
        <w:rPr>
          <w:rFonts w:eastAsia="Calibri" w:cs="Times New Roman"/>
          <w:szCs w:val="24"/>
        </w:rPr>
        <w:t xml:space="preserve"> i overensstemmelse med de gældende regler i vandforsyningslovens § 52 a, stk. 1. </w:t>
      </w:r>
    </w:p>
    <w:p w14:paraId="576A62AA" w14:textId="77777777" w:rsidR="00054F24" w:rsidRDefault="00054F24" w:rsidP="00054F24">
      <w:pPr>
        <w:rPr>
          <w:rFonts w:eastAsia="Calibri" w:cs="Times New Roman"/>
          <w:szCs w:val="24"/>
        </w:rPr>
      </w:pPr>
      <w:r>
        <w:rPr>
          <w:rFonts w:eastAsia="Calibri" w:cs="Times New Roman"/>
          <w:szCs w:val="24"/>
        </w:rPr>
        <w:t xml:space="preserve"> </w:t>
      </w:r>
    </w:p>
    <w:p w14:paraId="2757FBE9" w14:textId="5B76C96C" w:rsidR="00054F24" w:rsidRDefault="00054F24" w:rsidP="00054F24">
      <w:pPr>
        <w:rPr>
          <w:rFonts w:eastAsia="Calibri" w:cs="Times New Roman"/>
          <w:szCs w:val="24"/>
        </w:rPr>
      </w:pPr>
      <w:r>
        <w:rPr>
          <w:rFonts w:eastAsia="Calibri" w:cs="Times New Roman"/>
          <w:szCs w:val="24"/>
        </w:rPr>
        <w:t xml:space="preserve">Den foreslåede </w:t>
      </w:r>
      <w:r>
        <w:rPr>
          <w:rFonts w:eastAsia="Calibri" w:cs="Times New Roman"/>
          <w:i/>
          <w:szCs w:val="24"/>
        </w:rPr>
        <w:t>§ 64</w:t>
      </w:r>
      <w:r w:rsidR="00F02853">
        <w:rPr>
          <w:rFonts w:eastAsia="Calibri" w:cs="Times New Roman"/>
          <w:i/>
          <w:szCs w:val="24"/>
        </w:rPr>
        <w:t xml:space="preserve"> e</w:t>
      </w:r>
      <w:r>
        <w:rPr>
          <w:rFonts w:eastAsia="Calibri" w:cs="Times New Roman"/>
          <w:i/>
          <w:szCs w:val="24"/>
        </w:rPr>
        <w:t xml:space="preserve">, stk. 2, </w:t>
      </w:r>
      <w:r>
        <w:rPr>
          <w:rFonts w:eastAsia="Calibri" w:cs="Times New Roman"/>
          <w:szCs w:val="24"/>
        </w:rPr>
        <w:t>indebærer, at det fremover vil være kommunen der træffer en afgørelse om erstatningens fastsættelse. Der vil således være tale om en ny ordning, idet kommunen i dag alene fremsætter et forslag til erstatningens størrelse over for grundejeren</w:t>
      </w:r>
      <w:r w:rsidR="00FD5F53">
        <w:rPr>
          <w:rFonts w:eastAsia="Calibri" w:cs="Times New Roman"/>
          <w:szCs w:val="24"/>
        </w:rPr>
        <w:t>,</w:t>
      </w:r>
      <w:r>
        <w:rPr>
          <w:rFonts w:eastAsia="Calibri" w:cs="Times New Roman"/>
          <w:szCs w:val="24"/>
        </w:rPr>
        <w:t xml:space="preserve"> og hvor taksationsmyndighederne afsiger kendelser om erstatningsfastsættelsen. Kommunens afgørelse om erstatningens størrelse vil skulle træffes samtidig med kommunens afgørelse om påbud eller forbud efter § 24 a. </w:t>
      </w:r>
    </w:p>
    <w:p w14:paraId="7567DF8D" w14:textId="77777777" w:rsidR="00054F24" w:rsidRDefault="00054F24" w:rsidP="00054F24">
      <w:pPr>
        <w:rPr>
          <w:rFonts w:eastAsia="Calibri" w:cs="Times New Roman"/>
          <w:szCs w:val="24"/>
        </w:rPr>
      </w:pPr>
    </w:p>
    <w:p w14:paraId="2CF8101F" w14:textId="77777777" w:rsidR="00054F24" w:rsidRDefault="00054F24" w:rsidP="00054F24">
      <w:pPr>
        <w:rPr>
          <w:rFonts w:eastAsia="Calibri" w:cs="Times New Roman"/>
          <w:szCs w:val="24"/>
        </w:rPr>
      </w:pPr>
      <w:r>
        <w:rPr>
          <w:rFonts w:eastAsia="Calibri" w:cs="Times New Roman"/>
          <w:szCs w:val="24"/>
        </w:rPr>
        <w:t xml:space="preserve">Den foreslåede bestemmelse indebærer endvidere, at en række af vejlovens bestemmelser om erstatningsfastsættelse, panthaverrettigheder, forrentning m.v., vil skulle finde tilsvarende anvendelse. </w:t>
      </w:r>
    </w:p>
    <w:p w14:paraId="438F3E51" w14:textId="77777777" w:rsidR="00054F24" w:rsidRDefault="00054F24" w:rsidP="00054F24">
      <w:pPr>
        <w:rPr>
          <w:rFonts w:eastAsia="Calibri" w:cs="Times New Roman"/>
          <w:szCs w:val="24"/>
        </w:rPr>
      </w:pPr>
    </w:p>
    <w:p w14:paraId="69568715" w14:textId="168D3951" w:rsidR="00054F24" w:rsidRDefault="00054F24" w:rsidP="00054F24">
      <w:pPr>
        <w:rPr>
          <w:rFonts w:eastAsia="Calibri" w:cs="Times New Roman"/>
          <w:szCs w:val="24"/>
        </w:rPr>
      </w:pPr>
      <w:r>
        <w:rPr>
          <w:rFonts w:eastAsia="Calibri" w:cs="Times New Roman"/>
          <w:szCs w:val="24"/>
        </w:rPr>
        <w:t xml:space="preserve">Den foreslåede </w:t>
      </w:r>
      <w:r>
        <w:rPr>
          <w:rFonts w:eastAsia="Calibri" w:cs="Times New Roman"/>
          <w:i/>
          <w:szCs w:val="24"/>
        </w:rPr>
        <w:t xml:space="preserve">§ 64 e, stk. 3, </w:t>
      </w:r>
      <w:r>
        <w:rPr>
          <w:rFonts w:eastAsia="Calibri" w:cs="Times New Roman"/>
          <w:szCs w:val="24"/>
        </w:rPr>
        <w:t>indebærer, at kommunens afgørelse om erstatning</w:t>
      </w:r>
      <w:r w:rsidR="007744C1">
        <w:rPr>
          <w:rFonts w:eastAsia="Calibri" w:cs="Times New Roman"/>
          <w:szCs w:val="24"/>
        </w:rPr>
        <w:t>ens størrelse</w:t>
      </w:r>
      <w:r>
        <w:rPr>
          <w:rFonts w:eastAsia="Calibri" w:cs="Times New Roman"/>
          <w:szCs w:val="24"/>
        </w:rPr>
        <w:t xml:space="preserve"> kan indbringes af grundejeren og vandforsyningen </w:t>
      </w:r>
      <w:r w:rsidR="00E545E5">
        <w:rPr>
          <w:rFonts w:eastAsia="Calibri" w:cs="Times New Roman"/>
          <w:szCs w:val="24"/>
        </w:rPr>
        <w:t>for</w:t>
      </w:r>
      <w:r>
        <w:rPr>
          <w:rFonts w:eastAsia="Calibri" w:cs="Times New Roman"/>
          <w:szCs w:val="24"/>
        </w:rPr>
        <w:t xml:space="preserve"> de taksationsmyndigheder, der fremgår af vejlovens §§ 105 og 106, med en klagefrist på 4 uger. </w:t>
      </w:r>
    </w:p>
    <w:p w14:paraId="378932C8" w14:textId="77777777" w:rsidR="00054F24" w:rsidRDefault="00054F24" w:rsidP="00054F24">
      <w:pPr>
        <w:rPr>
          <w:rFonts w:eastAsia="Calibri" w:cs="Times New Roman"/>
          <w:szCs w:val="24"/>
        </w:rPr>
      </w:pPr>
    </w:p>
    <w:p w14:paraId="256DE9B1" w14:textId="4219B30E" w:rsidR="00054F24" w:rsidRDefault="00054F24" w:rsidP="00054F24">
      <w:pPr>
        <w:rPr>
          <w:rFonts w:eastAsia="Calibri" w:cs="Times New Roman"/>
          <w:szCs w:val="24"/>
        </w:rPr>
      </w:pPr>
      <w:r>
        <w:rPr>
          <w:rFonts w:eastAsia="Calibri" w:cs="Times New Roman"/>
          <w:szCs w:val="24"/>
        </w:rPr>
        <w:t>Den foreslåede bestemmelse vil således tillægge både grundejeren som modtager af erstatningen og vandforsyningen</w:t>
      </w:r>
      <w:r w:rsidR="004B1997">
        <w:rPr>
          <w:rFonts w:eastAsia="Calibri" w:cs="Times New Roman"/>
          <w:szCs w:val="24"/>
        </w:rPr>
        <w:t>,</w:t>
      </w:r>
      <w:r>
        <w:rPr>
          <w:rFonts w:eastAsia="Calibri" w:cs="Times New Roman"/>
          <w:szCs w:val="24"/>
        </w:rPr>
        <w:t xml:space="preserve"> som betaler af erstatningen, klageadgang til taksationsmyndighederne i forhold til kommunens afgørelse. </w:t>
      </w:r>
    </w:p>
    <w:p w14:paraId="04AAE646" w14:textId="77777777" w:rsidR="00054F24" w:rsidRDefault="00054F24" w:rsidP="00054F24">
      <w:pPr>
        <w:rPr>
          <w:rFonts w:eastAsia="Calibri" w:cs="Times New Roman"/>
          <w:szCs w:val="24"/>
        </w:rPr>
      </w:pPr>
    </w:p>
    <w:p w14:paraId="2B50BD09" w14:textId="41FAE436" w:rsidR="00054F24" w:rsidRDefault="00054F24" w:rsidP="00054F24">
      <w:pPr>
        <w:rPr>
          <w:rFonts w:eastAsia="Calibri" w:cs="Times New Roman"/>
          <w:szCs w:val="24"/>
        </w:rPr>
      </w:pPr>
      <w:r>
        <w:rPr>
          <w:rFonts w:eastAsia="Calibri" w:cs="Times New Roman"/>
          <w:szCs w:val="24"/>
        </w:rPr>
        <w:t>Den foreslåede bestemmelse indebærer desuden, at taksationsmyndighedernes behandling af sagen vil skulle ske efter reglerne i vejlovens §§ 103</w:t>
      </w:r>
      <w:r w:rsidR="002319C5">
        <w:rPr>
          <w:rFonts w:eastAsia="Calibri" w:cs="Times New Roman"/>
          <w:szCs w:val="24"/>
        </w:rPr>
        <w:t xml:space="preserve">, </w:t>
      </w:r>
      <w:r>
        <w:rPr>
          <w:rFonts w:eastAsia="Calibri" w:cs="Times New Roman"/>
          <w:szCs w:val="24"/>
        </w:rPr>
        <w:t xml:space="preserve">104 og 107-122, hvilket er tilsvarende taksationsmyndighedernes behandling af andre sager om erstatningsfastsættelser efter miljøbeskyttelsesloven, jf. § 61. </w:t>
      </w:r>
    </w:p>
    <w:p w14:paraId="5111B7D2" w14:textId="4FBF6A42" w:rsidR="00362FC4" w:rsidRDefault="00362FC4" w:rsidP="00054F24">
      <w:pPr>
        <w:rPr>
          <w:rFonts w:eastAsia="Calibri" w:cs="Times New Roman"/>
          <w:szCs w:val="24"/>
        </w:rPr>
      </w:pPr>
    </w:p>
    <w:p w14:paraId="7D5C57DD" w14:textId="1AC46BDC" w:rsidR="00503EC6" w:rsidRDefault="00503EC6" w:rsidP="00054F24">
      <w:pPr>
        <w:rPr>
          <w:rFonts w:eastAsia="Calibri" w:cs="Times New Roman"/>
          <w:szCs w:val="24"/>
        </w:rPr>
      </w:pPr>
      <w:r>
        <w:rPr>
          <w:rFonts w:eastAsia="Calibri" w:cs="Times New Roman"/>
          <w:szCs w:val="24"/>
        </w:rPr>
        <w:t>Efter § 64 e, stk. 3, foreslås det videre, at taksationsmyndighedernes udgifter ved sagens behandling</w:t>
      </w:r>
      <w:r w:rsidR="00F83ECE">
        <w:rPr>
          <w:rFonts w:eastAsia="Calibri" w:cs="Times New Roman"/>
          <w:szCs w:val="24"/>
        </w:rPr>
        <w:t>,</w:t>
      </w:r>
      <w:r>
        <w:rPr>
          <w:rFonts w:eastAsia="Calibri" w:cs="Times New Roman"/>
          <w:szCs w:val="24"/>
        </w:rPr>
        <w:t xml:space="preserve"> bortset fra vederlag til formænd og sekretærer</w:t>
      </w:r>
      <w:r w:rsidR="00F83ECE">
        <w:rPr>
          <w:rFonts w:eastAsia="Calibri" w:cs="Times New Roman"/>
          <w:szCs w:val="24"/>
        </w:rPr>
        <w:t xml:space="preserve">, </w:t>
      </w:r>
      <w:r>
        <w:rPr>
          <w:rFonts w:eastAsia="Calibri" w:cs="Times New Roman"/>
          <w:szCs w:val="24"/>
        </w:rPr>
        <w:t>betales af vandforsyningen.</w:t>
      </w:r>
    </w:p>
    <w:p w14:paraId="27776721" w14:textId="2ABC3268" w:rsidR="00503EC6" w:rsidRDefault="00503EC6" w:rsidP="00054F24">
      <w:pPr>
        <w:rPr>
          <w:rFonts w:eastAsia="Calibri" w:cs="Times New Roman"/>
          <w:szCs w:val="24"/>
        </w:rPr>
      </w:pPr>
    </w:p>
    <w:p w14:paraId="10E69C52" w14:textId="7C6AA1B2" w:rsidR="00503EC6" w:rsidRDefault="00503EC6" w:rsidP="00054F24">
      <w:pPr>
        <w:rPr>
          <w:rFonts w:eastAsia="Calibri" w:cs="Times New Roman"/>
          <w:szCs w:val="24"/>
        </w:rPr>
      </w:pPr>
      <w:r>
        <w:rPr>
          <w:rFonts w:eastAsia="Calibri" w:cs="Times New Roman"/>
          <w:szCs w:val="24"/>
        </w:rPr>
        <w:t xml:space="preserve">Det vil være en forudsætning, at de konkrete udgifter i forbindelse med taksationsmyndighedernes behandling af den pågældende sag vil kunne betragtes som nødvendige for vandforsyningernes </w:t>
      </w:r>
      <w:r w:rsidR="00472654">
        <w:rPr>
          <w:rFonts w:eastAsia="Calibri" w:cs="Times New Roman"/>
          <w:szCs w:val="24"/>
        </w:rPr>
        <w:t>drift efter § 52 a, stk. 1, nr. 10</w:t>
      </w:r>
      <w:r w:rsidR="00F83ECE">
        <w:rPr>
          <w:rFonts w:eastAsia="Calibri" w:cs="Times New Roman"/>
          <w:szCs w:val="24"/>
        </w:rPr>
        <w:t>,</w:t>
      </w:r>
      <w:r w:rsidR="00472654">
        <w:rPr>
          <w:rFonts w:eastAsia="Calibri" w:cs="Times New Roman"/>
          <w:szCs w:val="24"/>
        </w:rPr>
        <w:t xml:space="preserve"> i lov om vandforsyning.</w:t>
      </w:r>
    </w:p>
    <w:p w14:paraId="29E0F025" w14:textId="35697523" w:rsidR="00472654" w:rsidRDefault="00472654" w:rsidP="00054F24">
      <w:pPr>
        <w:rPr>
          <w:rFonts w:eastAsia="Calibri" w:cs="Times New Roman"/>
          <w:szCs w:val="24"/>
        </w:rPr>
      </w:pPr>
    </w:p>
    <w:p w14:paraId="06399594" w14:textId="00F815E2" w:rsidR="00DA0040" w:rsidRDefault="00472654" w:rsidP="00054F24">
      <w:pPr>
        <w:rPr>
          <w:rFonts w:eastAsia="Calibri" w:cs="Times New Roman"/>
          <w:szCs w:val="24"/>
        </w:rPr>
      </w:pPr>
      <w:r>
        <w:rPr>
          <w:rFonts w:eastAsia="Calibri" w:cs="Times New Roman"/>
          <w:szCs w:val="24"/>
        </w:rPr>
        <w:t>Baggrunden for, at udgifter til vederlag til formænd og sekretærer ikke kan betales af vandforsyningerne er, at disse afholdes af staten i medfør af § 111, stk. 2, 1. punktum</w:t>
      </w:r>
      <w:r w:rsidR="00F83ECE">
        <w:rPr>
          <w:rFonts w:eastAsia="Calibri" w:cs="Times New Roman"/>
          <w:szCs w:val="24"/>
        </w:rPr>
        <w:t>,</w:t>
      </w:r>
      <w:r>
        <w:rPr>
          <w:rFonts w:eastAsia="Calibri" w:cs="Times New Roman"/>
          <w:szCs w:val="24"/>
        </w:rPr>
        <w:t xml:space="preserve"> i lov om offentlige veje</w:t>
      </w:r>
      <w:r w:rsidR="00DF437C">
        <w:rPr>
          <w:rFonts w:eastAsia="Calibri" w:cs="Times New Roman"/>
          <w:szCs w:val="24"/>
        </w:rPr>
        <w:t>, og at de i øvrigt ikke betragtes som nødvendige udgifter for vandforsyningernes drift.</w:t>
      </w:r>
    </w:p>
    <w:p w14:paraId="5370BF2F" w14:textId="77777777" w:rsidR="00054F24" w:rsidRDefault="00054F24" w:rsidP="00054F24">
      <w:pPr>
        <w:rPr>
          <w:rFonts w:eastAsia="Calibri" w:cs="Times New Roman"/>
          <w:szCs w:val="24"/>
        </w:rPr>
      </w:pPr>
    </w:p>
    <w:p w14:paraId="276361C4" w14:textId="77777777" w:rsidR="00054F24" w:rsidRDefault="00054F24" w:rsidP="00054F24">
      <w:pPr>
        <w:rPr>
          <w:rFonts w:eastAsia="Calibri" w:cs="Times New Roman"/>
          <w:szCs w:val="24"/>
        </w:rPr>
      </w:pPr>
      <w:r>
        <w:rPr>
          <w:rFonts w:eastAsia="Calibri" w:cs="Times New Roman"/>
          <w:szCs w:val="24"/>
        </w:rPr>
        <w:t xml:space="preserve">Den foreslåede </w:t>
      </w:r>
      <w:r w:rsidRPr="00B976EC">
        <w:rPr>
          <w:rFonts w:eastAsia="Calibri" w:cs="Times New Roman"/>
          <w:i/>
          <w:szCs w:val="24"/>
        </w:rPr>
        <w:t>§ 64 e, stk. 4,</w:t>
      </w:r>
      <w:r>
        <w:rPr>
          <w:rFonts w:eastAsia="Calibri" w:cs="Times New Roman"/>
          <w:i/>
          <w:szCs w:val="24"/>
        </w:rPr>
        <w:t xml:space="preserve"> </w:t>
      </w:r>
      <w:r>
        <w:rPr>
          <w:rFonts w:eastAsia="Calibri" w:cs="Times New Roman"/>
          <w:szCs w:val="24"/>
        </w:rPr>
        <w:t xml:space="preserve">indebærer, at en klage over erstatningens størrelse ikke har opsættende virkning. Den foreslåede bestemmelse har sammenhæng med den foreslåede </w:t>
      </w:r>
      <w:r w:rsidRPr="00F02853">
        <w:rPr>
          <w:rFonts w:eastAsia="Calibri" w:cs="Times New Roman"/>
          <w:szCs w:val="24"/>
        </w:rPr>
        <w:t>§ 95, stk. 3,</w:t>
      </w:r>
      <w:r>
        <w:rPr>
          <w:rFonts w:eastAsia="Calibri" w:cs="Times New Roman"/>
          <w:i/>
          <w:szCs w:val="24"/>
        </w:rPr>
        <w:t xml:space="preserve"> </w:t>
      </w:r>
      <w:r>
        <w:rPr>
          <w:rFonts w:eastAsia="Calibri" w:cs="Times New Roman"/>
          <w:szCs w:val="24"/>
        </w:rPr>
        <w:t xml:space="preserve">hvorefter en klage over et påbud eller et forbud efter den foreslåede § 24 a ikke har opsættende virkning. </w:t>
      </w:r>
    </w:p>
    <w:p w14:paraId="2AAA6110" w14:textId="77777777" w:rsidR="00054F24" w:rsidRDefault="00054F24" w:rsidP="00054F24">
      <w:pPr>
        <w:rPr>
          <w:rFonts w:eastAsia="Calibri" w:cs="Times New Roman"/>
          <w:szCs w:val="24"/>
        </w:rPr>
      </w:pPr>
    </w:p>
    <w:p w14:paraId="655A79E1" w14:textId="75DB7F60" w:rsidR="00054F24" w:rsidRDefault="00054F24" w:rsidP="00054F24">
      <w:pPr>
        <w:rPr>
          <w:rFonts w:eastAsia="Calibri" w:cs="Times New Roman"/>
          <w:szCs w:val="24"/>
        </w:rPr>
      </w:pPr>
      <w:r>
        <w:rPr>
          <w:rFonts w:eastAsia="Calibri" w:cs="Times New Roman"/>
          <w:szCs w:val="24"/>
        </w:rPr>
        <w:t>Den foreslåede § 64 e, stk. 4, har endvidere sammenhæng med den foreslåede</w:t>
      </w:r>
      <w:r w:rsidRPr="00E94264">
        <w:rPr>
          <w:rFonts w:eastAsia="Calibri" w:cs="Times New Roman"/>
          <w:i/>
          <w:szCs w:val="24"/>
        </w:rPr>
        <w:t xml:space="preserve"> § 64, s</w:t>
      </w:r>
      <w:r w:rsidR="00FD5F53">
        <w:rPr>
          <w:rFonts w:eastAsia="Calibri" w:cs="Times New Roman"/>
          <w:i/>
          <w:szCs w:val="24"/>
        </w:rPr>
        <w:t>tk</w:t>
      </w:r>
      <w:r w:rsidRPr="00E94264">
        <w:rPr>
          <w:rFonts w:eastAsia="Calibri" w:cs="Times New Roman"/>
          <w:i/>
          <w:szCs w:val="24"/>
        </w:rPr>
        <w:t xml:space="preserve">. 5, </w:t>
      </w:r>
      <w:r>
        <w:rPr>
          <w:rFonts w:eastAsia="Calibri" w:cs="Times New Roman"/>
          <w:szCs w:val="24"/>
        </w:rPr>
        <w:t xml:space="preserve">hvorefter erstatningen vil skulle udbetales af vandforsyningen </w:t>
      </w:r>
      <w:r w:rsidR="00B23FBE">
        <w:t>senest på samme tidspunkt som</w:t>
      </w:r>
      <w:r>
        <w:rPr>
          <w:rFonts w:eastAsia="Calibri" w:cs="Times New Roman"/>
          <w:szCs w:val="24"/>
        </w:rPr>
        <w:t xml:space="preserve"> et påbud eller forbud efter § 24 a skal efterkommes. Således vil erstatningen skulle udbetales allerede </w:t>
      </w:r>
      <w:r>
        <w:rPr>
          <w:rFonts w:eastAsia="Calibri" w:cs="Times New Roman"/>
          <w:szCs w:val="24"/>
        </w:rPr>
        <w:lastRenderedPageBreak/>
        <w:t xml:space="preserve">fra det tidspunkt, hvor grundejeren skal efterleve et påbud eller forbud, og grundejeren vil derfor ikke skulle afvente taksationsmyndighedernes behandling af spørgsmålet om erstatningens størrelse. </w:t>
      </w:r>
    </w:p>
    <w:p w14:paraId="5B028920" w14:textId="77777777" w:rsidR="00054F24" w:rsidRDefault="00054F24" w:rsidP="00054F24">
      <w:pPr>
        <w:rPr>
          <w:rFonts w:eastAsia="Calibri" w:cs="Times New Roman"/>
          <w:szCs w:val="24"/>
        </w:rPr>
      </w:pPr>
    </w:p>
    <w:p w14:paraId="0B53690B" w14:textId="4021837A" w:rsidR="00054F24" w:rsidRPr="00E94264" w:rsidRDefault="00054F24" w:rsidP="00054F24">
      <w:pPr>
        <w:rPr>
          <w:rFonts w:eastAsia="Calibri" w:cs="Times New Roman"/>
          <w:szCs w:val="24"/>
        </w:rPr>
      </w:pPr>
      <w:r>
        <w:rPr>
          <w:rFonts w:eastAsia="Calibri" w:cs="Times New Roman"/>
          <w:szCs w:val="24"/>
        </w:rPr>
        <w:t>Da taksationsmyndighederne ved kendelser vil kunne fastsætte en erstatning, der er højere eller lavere end den af kommunalbestyrelsen fastsatte erstatning, indebærer den foreslåede § 6</w:t>
      </w:r>
      <w:r w:rsidR="0013528C">
        <w:rPr>
          <w:rFonts w:eastAsia="Calibri" w:cs="Times New Roman"/>
          <w:szCs w:val="24"/>
        </w:rPr>
        <w:t>4</w:t>
      </w:r>
      <w:r>
        <w:rPr>
          <w:rFonts w:eastAsia="Calibri" w:cs="Times New Roman"/>
          <w:szCs w:val="24"/>
        </w:rPr>
        <w:t xml:space="preserve"> e, stk. 5, endvidere, at vandforsyningen uden unødigt ophold i disse tilfælde vil skulle efterregulere det allerede udbetalte beløb i opad- eller nedadgående retning. </w:t>
      </w:r>
    </w:p>
    <w:p w14:paraId="19F18B5D" w14:textId="77777777" w:rsidR="00054F24" w:rsidRDefault="00054F24" w:rsidP="00054F24"/>
    <w:p w14:paraId="056AEE60" w14:textId="5E709158" w:rsidR="00054F24" w:rsidRPr="00054F24" w:rsidRDefault="00054F24" w:rsidP="00FF4669">
      <w:pPr>
        <w:spacing w:after="240"/>
        <w:rPr>
          <w:rFonts w:eastAsia="Calibri" w:cs="Times New Roman"/>
          <w:szCs w:val="24"/>
        </w:rPr>
      </w:pPr>
      <w:r>
        <w:rPr>
          <w:rFonts w:eastAsia="Calibri" w:cs="Times New Roman"/>
          <w:szCs w:val="24"/>
        </w:rPr>
        <w:t>Der henvises i øvrigt til pkt. 3.3.2 i lovforslagets almindelige bemærkninger.</w:t>
      </w:r>
    </w:p>
    <w:p w14:paraId="3FE59317" w14:textId="19F00F44" w:rsidR="00054F24" w:rsidRDefault="00054F24" w:rsidP="00FF4669">
      <w:pPr>
        <w:spacing w:after="240"/>
        <w:rPr>
          <w:rFonts w:cs="Times New Roman"/>
          <w:szCs w:val="24"/>
        </w:rPr>
      </w:pPr>
      <w:r>
        <w:rPr>
          <w:rFonts w:cs="Times New Roman"/>
          <w:szCs w:val="24"/>
        </w:rPr>
        <w:t>Til nr. 5</w:t>
      </w:r>
    </w:p>
    <w:p w14:paraId="59516CD7" w14:textId="59BF1DC8" w:rsidR="00FF4669" w:rsidRDefault="00FF4669" w:rsidP="004B1997">
      <w:pPr>
        <w:rPr>
          <w:rFonts w:eastAsia="Calibri" w:cs="Times New Roman"/>
          <w:szCs w:val="24"/>
        </w:rPr>
      </w:pPr>
      <w:r w:rsidRPr="00556F0B">
        <w:rPr>
          <w:rFonts w:eastAsia="Calibri" w:cs="Times New Roman"/>
          <w:szCs w:val="24"/>
        </w:rPr>
        <w:t>Det følger af miljøbeskyttelseslovens § 95, at en klage over et påbud eller forbud har opsættende virkning, medmindre Miljø- og Fødevareklagenævnet bestemmer andet.</w:t>
      </w:r>
    </w:p>
    <w:p w14:paraId="13E6768C" w14:textId="77777777" w:rsidR="004B1997" w:rsidRPr="00556F0B" w:rsidRDefault="004B1997" w:rsidP="00FD6EC5">
      <w:pPr>
        <w:rPr>
          <w:rFonts w:eastAsia="Calibri" w:cs="Times New Roman"/>
          <w:szCs w:val="24"/>
        </w:rPr>
      </w:pPr>
    </w:p>
    <w:p w14:paraId="23C96CBE" w14:textId="329B1A6C" w:rsidR="00FF4669" w:rsidRDefault="00FF4669">
      <w:pPr>
        <w:rPr>
          <w:rFonts w:eastAsia="Calibri" w:cs="Times New Roman"/>
          <w:szCs w:val="24"/>
        </w:rPr>
      </w:pPr>
      <w:r w:rsidRPr="00556F0B">
        <w:rPr>
          <w:rFonts w:eastAsia="Calibri" w:cs="Times New Roman"/>
          <w:szCs w:val="24"/>
        </w:rPr>
        <w:t xml:space="preserve">Med den foreslåede § </w:t>
      </w:r>
      <w:r>
        <w:rPr>
          <w:rFonts w:eastAsia="Calibri" w:cs="Times New Roman"/>
          <w:szCs w:val="24"/>
        </w:rPr>
        <w:t>1</w:t>
      </w:r>
      <w:r w:rsidRPr="00556F0B">
        <w:rPr>
          <w:rFonts w:eastAsia="Calibri" w:cs="Times New Roman"/>
          <w:szCs w:val="24"/>
        </w:rPr>
        <w:t xml:space="preserve">, indsættes et nyt </w:t>
      </w:r>
      <w:r w:rsidRPr="00FD6EC5">
        <w:rPr>
          <w:rFonts w:eastAsia="Calibri" w:cs="Times New Roman"/>
          <w:szCs w:val="24"/>
        </w:rPr>
        <w:t>stk. 3</w:t>
      </w:r>
      <w:r w:rsidRPr="00556F0B">
        <w:rPr>
          <w:rFonts w:eastAsia="Calibri" w:cs="Times New Roman"/>
          <w:szCs w:val="24"/>
        </w:rPr>
        <w:t xml:space="preserve"> i miljøbeskyttelseslovens § 95, således at en klage over et påbud eller forbud meddelt efter den foreslåede § 24 a, ikke </w:t>
      </w:r>
      <w:r w:rsidR="00F06BE2">
        <w:rPr>
          <w:rFonts w:eastAsia="Calibri" w:cs="Times New Roman"/>
          <w:szCs w:val="24"/>
        </w:rPr>
        <w:t xml:space="preserve">vil have </w:t>
      </w:r>
      <w:r w:rsidRPr="00556F0B">
        <w:rPr>
          <w:rFonts w:eastAsia="Calibri" w:cs="Times New Roman"/>
          <w:szCs w:val="24"/>
        </w:rPr>
        <w:t xml:space="preserve">opsættende virkning, medmindre </w:t>
      </w:r>
      <w:r>
        <w:rPr>
          <w:rFonts w:eastAsia="Calibri" w:cs="Times New Roman"/>
          <w:szCs w:val="24"/>
        </w:rPr>
        <w:t>Miljø- og Fødevare</w:t>
      </w:r>
      <w:r w:rsidRPr="00556F0B">
        <w:rPr>
          <w:rFonts w:eastAsia="Calibri" w:cs="Times New Roman"/>
          <w:szCs w:val="24"/>
        </w:rPr>
        <w:t xml:space="preserve">klagenævnet bestemmer andet. </w:t>
      </w:r>
    </w:p>
    <w:p w14:paraId="03517C47" w14:textId="77777777" w:rsidR="00616504" w:rsidRPr="00556F0B" w:rsidRDefault="00616504" w:rsidP="00FD6EC5">
      <w:pPr>
        <w:rPr>
          <w:rFonts w:eastAsia="Calibri" w:cs="Times New Roman"/>
          <w:szCs w:val="24"/>
        </w:rPr>
      </w:pPr>
    </w:p>
    <w:p w14:paraId="015D7970" w14:textId="7C5646CD" w:rsidR="00FF4669" w:rsidRDefault="00FF4669" w:rsidP="004B1997">
      <w:pPr>
        <w:rPr>
          <w:rFonts w:eastAsia="Calibri" w:cs="Times New Roman"/>
          <w:szCs w:val="24"/>
        </w:rPr>
      </w:pPr>
      <w:r w:rsidRPr="00556F0B">
        <w:rPr>
          <w:rFonts w:eastAsia="Calibri" w:cs="Times New Roman"/>
          <w:szCs w:val="24"/>
        </w:rPr>
        <w:t>Den foreslåede ordning indebærer, at kommunalbestyrelsens påbud eller forbud efter § 24 a, ikke</w:t>
      </w:r>
      <w:r w:rsidR="00F06BE2">
        <w:rPr>
          <w:rFonts w:eastAsia="Calibri" w:cs="Times New Roman"/>
          <w:szCs w:val="24"/>
        </w:rPr>
        <w:t xml:space="preserve"> vil skulle</w:t>
      </w:r>
      <w:r w:rsidRPr="00556F0B">
        <w:rPr>
          <w:rFonts w:eastAsia="Calibri" w:cs="Times New Roman"/>
          <w:szCs w:val="24"/>
        </w:rPr>
        <w:t xml:space="preserve"> afvente en eventuel klagesagsbehandling, før det effektueres.</w:t>
      </w:r>
    </w:p>
    <w:p w14:paraId="14E71F7C" w14:textId="77777777" w:rsidR="004B1997" w:rsidRDefault="004B1997" w:rsidP="00FD6EC5">
      <w:pPr>
        <w:rPr>
          <w:rFonts w:eastAsia="Calibri" w:cs="Times New Roman"/>
          <w:szCs w:val="24"/>
        </w:rPr>
      </w:pPr>
    </w:p>
    <w:p w14:paraId="7A086AF1" w14:textId="09E9BB04" w:rsidR="00FF4669" w:rsidRPr="00FD6EC5" w:rsidRDefault="00FF4669" w:rsidP="00FD6EC5">
      <w:pPr>
        <w:rPr>
          <w:rFonts w:eastAsia="Calibri" w:cs="Times New Roman"/>
          <w:szCs w:val="24"/>
        </w:rPr>
      </w:pPr>
      <w:r w:rsidRPr="00FD6EC5">
        <w:rPr>
          <w:rFonts w:eastAsia="Calibri" w:cs="Times New Roman"/>
          <w:szCs w:val="24"/>
        </w:rPr>
        <w:t>Der vil således være tale om en fravigelse fra udgangspunktet i miljøbeskyttelseslovens § 95, hvor klager over påbud eller forbud har opsættende virkning, medmindre Miljø- og Fødevareklagenævnet bestemmer andet.</w:t>
      </w:r>
    </w:p>
    <w:p w14:paraId="2FFB94AB" w14:textId="77777777" w:rsidR="00FF4669" w:rsidRPr="00FD6EC5" w:rsidRDefault="00FF4669" w:rsidP="00FD6EC5">
      <w:pPr>
        <w:rPr>
          <w:rFonts w:eastAsia="Calibri" w:cs="Times New Roman"/>
          <w:szCs w:val="24"/>
        </w:rPr>
      </w:pPr>
    </w:p>
    <w:p w14:paraId="61831F8A" w14:textId="07D09ADD" w:rsidR="00FF4669" w:rsidRPr="00FD6EC5" w:rsidRDefault="00FF4669" w:rsidP="00FD6EC5">
      <w:pPr>
        <w:rPr>
          <w:rFonts w:eastAsia="Calibri" w:cs="Times New Roman"/>
          <w:szCs w:val="24"/>
        </w:rPr>
      </w:pPr>
      <w:r w:rsidRPr="00FD6EC5">
        <w:rPr>
          <w:rFonts w:eastAsia="Calibri" w:cs="Times New Roman"/>
          <w:szCs w:val="24"/>
        </w:rPr>
        <w:t xml:space="preserve">Baggrunden for ordningen er, at der i det </w:t>
      </w:r>
      <w:r w:rsidR="00616504">
        <w:rPr>
          <w:rFonts w:eastAsia="Calibri" w:cs="Times New Roman"/>
          <w:szCs w:val="24"/>
        </w:rPr>
        <w:t>BNBO</w:t>
      </w:r>
      <w:r w:rsidRPr="00FD6EC5">
        <w:rPr>
          <w:rFonts w:eastAsia="Calibri" w:cs="Times New Roman"/>
          <w:szCs w:val="24"/>
        </w:rPr>
        <w:t>, hvor der meddeles påbud eller forbud efter § 24 a, allerede er foretaget en risikovurdering efter regler udstedt i medfør af § 13 e i lov om vandforsyning m</w:t>
      </w:r>
      <w:r w:rsidR="00AA5409" w:rsidRPr="00FD6EC5">
        <w:rPr>
          <w:rFonts w:eastAsia="Calibri" w:cs="Times New Roman"/>
          <w:szCs w:val="24"/>
        </w:rPr>
        <w:t>.</w:t>
      </w:r>
      <w:r w:rsidRPr="00FD6EC5">
        <w:rPr>
          <w:rFonts w:eastAsia="Calibri" w:cs="Times New Roman"/>
          <w:szCs w:val="24"/>
        </w:rPr>
        <w:t>v., hvorefter det er konstateret, at der er et behov for indsatser til beskyttelse af drikkevandsinteresser mod fare for forurening fra erhvervsmæssig anvendelse </w:t>
      </w:r>
      <w:r w:rsidR="002F0043" w:rsidRPr="00FD6EC5">
        <w:rPr>
          <w:rFonts w:eastAsia="Calibri" w:cs="Times New Roman"/>
          <w:szCs w:val="24"/>
        </w:rPr>
        <w:t>af pesticider</w:t>
      </w:r>
      <w:r w:rsidRPr="00FD6EC5">
        <w:rPr>
          <w:rFonts w:eastAsia="Calibri" w:cs="Times New Roman"/>
          <w:szCs w:val="24"/>
        </w:rPr>
        <w:t>. Selvom der allerede er konstateret et beskyttelsesbehov, har dette dog ikke nødvendigvis medført, at der er truffet afgørelser om at begrænse eller stoppe anvendelsen af plantebeskyttelsesmidler i de pågældende områder efter de gældende regler.</w:t>
      </w:r>
    </w:p>
    <w:p w14:paraId="7E5DCC8B" w14:textId="77777777" w:rsidR="00FF4669" w:rsidRPr="00FD6EC5" w:rsidRDefault="00FF4669" w:rsidP="00FD6EC5">
      <w:pPr>
        <w:rPr>
          <w:rFonts w:eastAsia="Calibri" w:cs="Times New Roman"/>
          <w:szCs w:val="24"/>
        </w:rPr>
      </w:pPr>
    </w:p>
    <w:p w14:paraId="24E06F29" w14:textId="68D1C841" w:rsidR="00FF4669" w:rsidRPr="00FD6EC5" w:rsidRDefault="00FF4669" w:rsidP="00FD6EC5">
      <w:pPr>
        <w:rPr>
          <w:rFonts w:eastAsia="Calibri" w:cs="Times New Roman"/>
          <w:szCs w:val="24"/>
        </w:rPr>
      </w:pPr>
      <w:r w:rsidRPr="00FD6EC5">
        <w:rPr>
          <w:rFonts w:eastAsia="Calibri" w:cs="Times New Roman"/>
          <w:szCs w:val="24"/>
        </w:rPr>
        <w:lastRenderedPageBreak/>
        <w:t xml:space="preserve">Da det har været ønsket, at der hurtigst muligt opnås en beskyttelse af drikkevandet i de </w:t>
      </w:r>
      <w:r w:rsidR="00616504">
        <w:rPr>
          <w:rFonts w:eastAsia="Calibri" w:cs="Times New Roman"/>
          <w:szCs w:val="24"/>
        </w:rPr>
        <w:t>BNBO</w:t>
      </w:r>
      <w:r w:rsidR="00A775A7" w:rsidRPr="00FD6EC5">
        <w:rPr>
          <w:rFonts w:eastAsia="Calibri" w:cs="Times New Roman"/>
          <w:szCs w:val="24"/>
        </w:rPr>
        <w:t>, hvor kommunerne har vurderet at en beskyttelse er nødvendig</w:t>
      </w:r>
      <w:r w:rsidRPr="00FD6EC5">
        <w:rPr>
          <w:rFonts w:eastAsia="Calibri" w:cs="Times New Roman"/>
          <w:szCs w:val="24"/>
        </w:rPr>
        <w:t xml:space="preserve">, er det Miljøministeriets vurdering, at det ikke </w:t>
      </w:r>
      <w:r w:rsidR="00967934" w:rsidRPr="00FD6EC5">
        <w:rPr>
          <w:rFonts w:eastAsia="Calibri" w:cs="Times New Roman"/>
          <w:szCs w:val="24"/>
        </w:rPr>
        <w:t>vil være</w:t>
      </w:r>
      <w:r w:rsidRPr="00FD6EC5">
        <w:rPr>
          <w:rFonts w:eastAsia="Calibri" w:cs="Times New Roman"/>
          <w:szCs w:val="24"/>
        </w:rPr>
        <w:t xml:space="preserve"> hensigtsmæssigt, hvis et påbud eller forbud</w:t>
      </w:r>
      <w:r w:rsidR="00967934" w:rsidRPr="00FD6EC5">
        <w:rPr>
          <w:rFonts w:eastAsia="Calibri" w:cs="Times New Roman"/>
          <w:szCs w:val="24"/>
        </w:rPr>
        <w:t xml:space="preserve"> vil skulle</w:t>
      </w:r>
      <w:r w:rsidRPr="00FD6EC5">
        <w:rPr>
          <w:rFonts w:eastAsia="Calibri" w:cs="Times New Roman"/>
          <w:szCs w:val="24"/>
        </w:rPr>
        <w:t xml:space="preserve"> afvente en eventuel klagesagsbehandling, inden det effektueres. </w:t>
      </w:r>
    </w:p>
    <w:p w14:paraId="51152EAB" w14:textId="77777777" w:rsidR="00FF4669" w:rsidRPr="00FD6EC5" w:rsidRDefault="00FF4669" w:rsidP="00FD6EC5">
      <w:pPr>
        <w:rPr>
          <w:rFonts w:eastAsia="Calibri" w:cs="Times New Roman"/>
          <w:szCs w:val="24"/>
        </w:rPr>
      </w:pPr>
    </w:p>
    <w:p w14:paraId="34AC277F" w14:textId="3FC61A1A" w:rsidR="00FF4669" w:rsidRPr="00FD6EC5" w:rsidRDefault="00FF4669" w:rsidP="00FD6EC5">
      <w:pPr>
        <w:rPr>
          <w:rFonts w:eastAsia="Calibri" w:cs="Times New Roman"/>
          <w:szCs w:val="24"/>
        </w:rPr>
      </w:pPr>
      <w:r w:rsidRPr="00FD6EC5">
        <w:rPr>
          <w:rFonts w:eastAsia="Calibri" w:cs="Times New Roman"/>
          <w:szCs w:val="24"/>
        </w:rPr>
        <w:t xml:space="preserve">Da der efter den foreslåede § 24 a, stk. 4, </w:t>
      </w:r>
      <w:r w:rsidR="00967934" w:rsidRPr="00FD6EC5">
        <w:rPr>
          <w:rFonts w:eastAsia="Calibri" w:cs="Times New Roman"/>
          <w:szCs w:val="24"/>
        </w:rPr>
        <w:t xml:space="preserve">vil skulle </w:t>
      </w:r>
      <w:r w:rsidRPr="00FD6EC5">
        <w:rPr>
          <w:rFonts w:eastAsia="Calibri" w:cs="Times New Roman"/>
          <w:szCs w:val="24"/>
        </w:rPr>
        <w:t xml:space="preserve">fastsættes nærmere regler om frister for </w:t>
      </w:r>
      <w:proofErr w:type="spellStart"/>
      <w:r w:rsidRPr="00FD6EC5">
        <w:rPr>
          <w:rFonts w:eastAsia="Calibri" w:cs="Times New Roman"/>
          <w:szCs w:val="24"/>
        </w:rPr>
        <w:t>efterkommelse</w:t>
      </w:r>
      <w:proofErr w:type="spellEnd"/>
      <w:r w:rsidRPr="00FD6EC5">
        <w:rPr>
          <w:rFonts w:eastAsia="Calibri" w:cs="Times New Roman"/>
          <w:szCs w:val="24"/>
        </w:rPr>
        <w:t xml:space="preserve"> af påbud eller forbud, hvor der </w:t>
      </w:r>
      <w:r w:rsidR="00967934" w:rsidRPr="00FD6EC5">
        <w:rPr>
          <w:rFonts w:eastAsia="Calibri" w:cs="Times New Roman"/>
          <w:szCs w:val="24"/>
        </w:rPr>
        <w:t xml:space="preserve">vil skulle </w:t>
      </w:r>
      <w:r w:rsidRPr="00FD6EC5">
        <w:rPr>
          <w:rFonts w:eastAsia="Calibri" w:cs="Times New Roman"/>
          <w:szCs w:val="24"/>
        </w:rPr>
        <w:t xml:space="preserve">tages hensyn til grundejerens drift af arealet, vil miljøbeskyttelseslovens § 78, stk. 1, om frister og om at det kan bestemmes, at et påbud eller forbud skal efterkommes straks, ikke </w:t>
      </w:r>
      <w:r w:rsidR="00967934" w:rsidRPr="00FD6EC5">
        <w:rPr>
          <w:rFonts w:eastAsia="Calibri" w:cs="Times New Roman"/>
          <w:szCs w:val="24"/>
        </w:rPr>
        <w:t xml:space="preserve">komme til at </w:t>
      </w:r>
      <w:r w:rsidRPr="00FD6EC5">
        <w:rPr>
          <w:rFonts w:eastAsia="Calibri" w:cs="Times New Roman"/>
          <w:szCs w:val="24"/>
        </w:rPr>
        <w:t xml:space="preserve">få selvstændig betydning i relation til kommunalbestyrelsens afgørelser efter § 24 a. </w:t>
      </w:r>
    </w:p>
    <w:p w14:paraId="4B73F0A7" w14:textId="77777777" w:rsidR="00FF4669" w:rsidRPr="00FD6EC5" w:rsidRDefault="00FF4669" w:rsidP="00FD6EC5">
      <w:pPr>
        <w:rPr>
          <w:rFonts w:eastAsia="Calibri" w:cs="Times New Roman"/>
          <w:szCs w:val="24"/>
        </w:rPr>
      </w:pPr>
    </w:p>
    <w:p w14:paraId="39E41561" w14:textId="68407AA4" w:rsidR="00FF4669" w:rsidRPr="00FD6EC5" w:rsidRDefault="00FF4669" w:rsidP="00FD6EC5">
      <w:pPr>
        <w:rPr>
          <w:rFonts w:eastAsia="Calibri" w:cs="Times New Roman"/>
          <w:szCs w:val="24"/>
        </w:rPr>
      </w:pPr>
      <w:r w:rsidRPr="00FD6EC5">
        <w:rPr>
          <w:rFonts w:eastAsia="Calibri" w:cs="Times New Roman"/>
          <w:szCs w:val="24"/>
        </w:rPr>
        <w:t>Da udgangspunktet efter den foreslåede ordning er, at en klage over afgørelser meddelt efter § 24 a ikke</w:t>
      </w:r>
      <w:r w:rsidR="00967934" w:rsidRPr="00FD6EC5">
        <w:rPr>
          <w:rFonts w:eastAsia="Calibri" w:cs="Times New Roman"/>
          <w:szCs w:val="24"/>
        </w:rPr>
        <w:t xml:space="preserve"> vil skulle</w:t>
      </w:r>
      <w:r w:rsidRPr="00FD6EC5">
        <w:rPr>
          <w:rFonts w:eastAsia="Calibri" w:cs="Times New Roman"/>
          <w:szCs w:val="24"/>
        </w:rPr>
        <w:t xml:space="preserve"> tillægges opsættende virkning, vil kommunalbestyrelsen ikke efter den gældende § 78, stk. 2, skulle tage selvstændigt stilling til, om der er særlige grunde der taler for, at en klage over et påbud eller forbud efter § 24 a skal tillægges opsættende virkning. </w:t>
      </w:r>
    </w:p>
    <w:p w14:paraId="7E14F47D" w14:textId="77777777" w:rsidR="00FF4669" w:rsidRPr="00FD6EC5" w:rsidRDefault="00FF4669" w:rsidP="00FD6EC5">
      <w:pPr>
        <w:rPr>
          <w:rFonts w:eastAsia="Calibri" w:cs="Times New Roman"/>
          <w:szCs w:val="24"/>
        </w:rPr>
      </w:pPr>
    </w:p>
    <w:p w14:paraId="04F45FD7" w14:textId="6752B409" w:rsidR="00FF4669" w:rsidRPr="00FD6EC5" w:rsidRDefault="00FF4669" w:rsidP="00FD6EC5">
      <w:pPr>
        <w:rPr>
          <w:rFonts w:eastAsia="Calibri" w:cs="Times New Roman"/>
          <w:szCs w:val="24"/>
        </w:rPr>
      </w:pPr>
      <w:r w:rsidRPr="00FD6EC5">
        <w:rPr>
          <w:rFonts w:eastAsia="Calibri" w:cs="Times New Roman"/>
          <w:szCs w:val="24"/>
        </w:rPr>
        <w:t xml:space="preserve">Der vil med den foreslåede ordning være mulighed for, at Miljø- og Fødevareklagenævnet kan bestemme, at en klage over et påbud eller et forbud efter § 24 a </w:t>
      </w:r>
      <w:r w:rsidR="00967934" w:rsidRPr="00FD6EC5">
        <w:rPr>
          <w:rFonts w:eastAsia="Calibri" w:cs="Times New Roman"/>
          <w:szCs w:val="24"/>
        </w:rPr>
        <w:t>vil skulle</w:t>
      </w:r>
      <w:r w:rsidRPr="00FD6EC5">
        <w:rPr>
          <w:rFonts w:eastAsia="Calibri" w:cs="Times New Roman"/>
          <w:szCs w:val="24"/>
        </w:rPr>
        <w:t xml:space="preserve"> have opsættende virkning. </w:t>
      </w:r>
    </w:p>
    <w:p w14:paraId="2E0D7B78" w14:textId="77777777" w:rsidR="00FF4669" w:rsidRPr="00FD6EC5" w:rsidRDefault="00FF4669" w:rsidP="00FD6EC5">
      <w:pPr>
        <w:rPr>
          <w:rFonts w:eastAsia="Calibri" w:cs="Times New Roman"/>
          <w:szCs w:val="24"/>
        </w:rPr>
      </w:pPr>
    </w:p>
    <w:p w14:paraId="5646858E" w14:textId="01AF9904" w:rsidR="00FF4669" w:rsidRPr="00FD6EC5" w:rsidRDefault="00FF4669" w:rsidP="00FD6EC5">
      <w:pPr>
        <w:rPr>
          <w:rFonts w:eastAsia="Calibri" w:cs="Times New Roman"/>
          <w:szCs w:val="24"/>
        </w:rPr>
      </w:pPr>
      <w:r w:rsidRPr="00FD6EC5">
        <w:rPr>
          <w:rFonts w:eastAsia="Calibri" w:cs="Times New Roman"/>
          <w:szCs w:val="24"/>
        </w:rPr>
        <w:t>Det vil formentlig kun forekomme undtagelsesvist, f.eks. hvor en påklaget afgørelse lider af åbenbare mangler eller hvor der er særlige forhold</w:t>
      </w:r>
      <w:r w:rsidR="004B1997">
        <w:rPr>
          <w:rFonts w:eastAsia="Calibri" w:cs="Times New Roman"/>
          <w:szCs w:val="24"/>
        </w:rPr>
        <w:t>,</w:t>
      </w:r>
      <w:r w:rsidRPr="00FD6EC5">
        <w:rPr>
          <w:rFonts w:eastAsia="Calibri" w:cs="Times New Roman"/>
          <w:szCs w:val="24"/>
        </w:rPr>
        <w:t xml:space="preserve"> der bringer konkret tvivl om proportionaliteten i den påklagede afgørelse. </w:t>
      </w:r>
    </w:p>
    <w:p w14:paraId="6A7E860E" w14:textId="77777777" w:rsidR="00FF4669" w:rsidRPr="00FD6EC5" w:rsidRDefault="00FF4669" w:rsidP="00FD6EC5">
      <w:pPr>
        <w:rPr>
          <w:rFonts w:eastAsia="Calibri" w:cs="Times New Roman"/>
          <w:szCs w:val="24"/>
        </w:rPr>
      </w:pPr>
    </w:p>
    <w:p w14:paraId="12E9AF64" w14:textId="0ABC3934" w:rsidR="00FF4669" w:rsidRPr="00556F0B" w:rsidRDefault="00FF4669" w:rsidP="00FD6EC5">
      <w:pPr>
        <w:rPr>
          <w:rFonts w:eastAsia="Calibri" w:cs="Times New Roman"/>
          <w:szCs w:val="24"/>
        </w:rPr>
      </w:pPr>
      <w:r w:rsidRPr="00556F0B">
        <w:rPr>
          <w:rFonts w:eastAsia="Calibri" w:cs="Times New Roman"/>
          <w:szCs w:val="24"/>
        </w:rPr>
        <w:t>Efter indsættelsen af et nyt stk. 3 i § 95, bliver § 95, stk. 3 og 4</w:t>
      </w:r>
      <w:r w:rsidR="00616504">
        <w:rPr>
          <w:rFonts w:eastAsia="Calibri" w:cs="Times New Roman"/>
          <w:szCs w:val="24"/>
        </w:rPr>
        <w:t>,</w:t>
      </w:r>
      <w:r w:rsidRPr="00556F0B">
        <w:rPr>
          <w:rFonts w:eastAsia="Calibri" w:cs="Times New Roman"/>
          <w:szCs w:val="24"/>
        </w:rPr>
        <w:t xml:space="preserve"> som konsekvens heraf § 95, stk. 4 og 5. </w:t>
      </w:r>
    </w:p>
    <w:p w14:paraId="03277B69" w14:textId="77777777" w:rsidR="004B1997" w:rsidRDefault="004B1997" w:rsidP="004B1997">
      <w:pPr>
        <w:rPr>
          <w:rFonts w:eastAsia="Calibri" w:cs="Times New Roman"/>
          <w:szCs w:val="24"/>
        </w:rPr>
      </w:pPr>
    </w:p>
    <w:p w14:paraId="15B21882" w14:textId="488DCE13" w:rsidR="00154EDA" w:rsidRDefault="00FF4669" w:rsidP="00FD6EC5">
      <w:pPr>
        <w:rPr>
          <w:rFonts w:eastAsia="Calibri" w:cs="Times New Roman"/>
          <w:szCs w:val="24"/>
        </w:rPr>
      </w:pPr>
      <w:r>
        <w:rPr>
          <w:rFonts w:eastAsia="Calibri" w:cs="Times New Roman"/>
          <w:szCs w:val="24"/>
        </w:rPr>
        <w:t xml:space="preserve">Der henvises i øvrigt til pkt. 3.1.2. i lovforslagets almindelige bemærkninger. </w:t>
      </w:r>
    </w:p>
    <w:p w14:paraId="51BD7127" w14:textId="77777777" w:rsidR="00FF4669" w:rsidRDefault="00FF4669" w:rsidP="00513D91"/>
    <w:p w14:paraId="2C83AD1F" w14:textId="64C25400" w:rsidR="00FD1A50" w:rsidRPr="005768D7" w:rsidRDefault="00FD1A50" w:rsidP="00FD1A50">
      <w:pPr>
        <w:spacing w:after="240"/>
        <w:jc w:val="center"/>
        <w:rPr>
          <w:rFonts w:cs="Times New Roman"/>
          <w:i/>
          <w:szCs w:val="24"/>
        </w:rPr>
      </w:pPr>
      <w:r w:rsidRPr="005768D7">
        <w:rPr>
          <w:rFonts w:cs="Times New Roman"/>
          <w:i/>
          <w:szCs w:val="24"/>
        </w:rPr>
        <w:t xml:space="preserve">Til § </w:t>
      </w:r>
      <w:r w:rsidR="00FF5785">
        <w:rPr>
          <w:rFonts w:cs="Times New Roman"/>
          <w:i/>
          <w:szCs w:val="24"/>
        </w:rPr>
        <w:t>3</w:t>
      </w:r>
    </w:p>
    <w:p w14:paraId="529543A5" w14:textId="7DE61097" w:rsidR="00FD1A50" w:rsidRDefault="00FD1A50" w:rsidP="00FD1A50">
      <w:pPr>
        <w:spacing w:after="240"/>
        <w:rPr>
          <w:rFonts w:cs="Times New Roman"/>
          <w:szCs w:val="24"/>
        </w:rPr>
      </w:pPr>
      <w:r>
        <w:rPr>
          <w:rFonts w:cs="Times New Roman"/>
          <w:szCs w:val="24"/>
        </w:rPr>
        <w:t xml:space="preserve">Det foreslås, at loven skal træde i kraft den </w:t>
      </w:r>
      <w:r w:rsidR="00FF5785">
        <w:rPr>
          <w:rFonts w:cs="Times New Roman"/>
          <w:szCs w:val="24"/>
        </w:rPr>
        <w:t>1. juli 2024.</w:t>
      </w:r>
    </w:p>
    <w:p w14:paraId="5C7AF740" w14:textId="77777777" w:rsidR="007C5EE3" w:rsidRDefault="00CD3A3D" w:rsidP="00FD6EC5">
      <w:pPr>
        <w:pageBreakBefore/>
        <w:spacing w:after="240"/>
        <w:contextualSpacing/>
        <w:mirrorIndents/>
        <w:jc w:val="left"/>
      </w:pPr>
      <w:r>
        <w:lastRenderedPageBreak/>
        <w:t xml:space="preserve">Loven gælder ikke for Færøerne og Grønland. Dette svarer til det, der gælder for miljøbeskyttelsesloven i øvrigt, jf. miljøbeskyttelseslovens § 118, og for vandforsyningsloven, jf. § 90. </w:t>
      </w:r>
    </w:p>
    <w:p w14:paraId="32DEAE60" w14:textId="00B28A94" w:rsidR="00FD1A50" w:rsidRDefault="00FD1A50" w:rsidP="00825A01">
      <w:pPr>
        <w:pageBreakBefore/>
        <w:spacing w:after="240"/>
        <w:contextualSpacing/>
        <w:mirrorIndents/>
        <w:jc w:val="right"/>
        <w:rPr>
          <w:b/>
        </w:rPr>
      </w:pPr>
      <w:r w:rsidRPr="00EA2A90">
        <w:rPr>
          <w:b/>
        </w:rPr>
        <w:lastRenderedPageBreak/>
        <w:t>Bilag 1</w:t>
      </w:r>
    </w:p>
    <w:p w14:paraId="23D46A53" w14:textId="77777777" w:rsidR="00FD1A50" w:rsidRPr="00EA2A90" w:rsidRDefault="00FD1A50" w:rsidP="00FD1A50">
      <w:pPr>
        <w:spacing w:after="240"/>
        <w:contextualSpacing/>
        <w:mirrorIndents/>
      </w:pPr>
    </w:p>
    <w:p w14:paraId="26FFB6A3" w14:textId="77777777" w:rsidR="00FD1A50" w:rsidRPr="00EA2A90" w:rsidRDefault="00FD1A50" w:rsidP="00FD1A50">
      <w:pPr>
        <w:spacing w:after="240"/>
        <w:contextualSpacing/>
        <w:mirrorIndents/>
        <w:jc w:val="center"/>
        <w:rPr>
          <w:b/>
        </w:rPr>
      </w:pPr>
      <w:r w:rsidRPr="00EA2A90">
        <w:rPr>
          <w:b/>
        </w:rPr>
        <w:t>Lovforslaget sammenholdt med gældende lov</w:t>
      </w:r>
    </w:p>
    <w:p w14:paraId="3B0E65CE" w14:textId="77777777" w:rsidR="00FD1A50" w:rsidRDefault="00FD1A50" w:rsidP="00FD1A50">
      <w:pPr>
        <w:spacing w:after="240"/>
        <w:rPr>
          <w:rFonts w:cs="Times New Roman"/>
          <w:szCs w:val="24"/>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610"/>
        <w:gridCol w:w="4607"/>
      </w:tblGrid>
      <w:tr w:rsidR="00FD1A50" w:rsidRPr="003E4DDD" w14:paraId="4FED46E7" w14:textId="77777777" w:rsidTr="005F58A0">
        <w:tc>
          <w:tcPr>
            <w:tcW w:w="3610" w:type="dxa"/>
          </w:tcPr>
          <w:p w14:paraId="32645A77" w14:textId="77777777" w:rsidR="00FD1A50" w:rsidRPr="003E4DDD" w:rsidRDefault="00FD1A50" w:rsidP="00A0359E">
            <w:pPr>
              <w:spacing w:after="240"/>
              <w:contextualSpacing/>
              <w:mirrorIndents/>
              <w:jc w:val="center"/>
              <w:rPr>
                <w:rFonts w:cs="Times New Roman"/>
                <w:i/>
                <w:szCs w:val="24"/>
              </w:rPr>
            </w:pPr>
            <w:r w:rsidRPr="003E4DDD">
              <w:rPr>
                <w:rFonts w:cs="Times New Roman"/>
                <w:i/>
                <w:szCs w:val="24"/>
              </w:rPr>
              <w:t>Gældende formulering</w:t>
            </w:r>
          </w:p>
        </w:tc>
        <w:tc>
          <w:tcPr>
            <w:tcW w:w="4607" w:type="dxa"/>
          </w:tcPr>
          <w:p w14:paraId="4EEF5DC6" w14:textId="77777777" w:rsidR="00FD1A50" w:rsidRPr="003E4DDD" w:rsidRDefault="00FD1A50" w:rsidP="00A0359E">
            <w:pPr>
              <w:spacing w:after="240"/>
              <w:contextualSpacing/>
              <w:mirrorIndents/>
              <w:jc w:val="center"/>
              <w:rPr>
                <w:rFonts w:cs="Times New Roman"/>
                <w:i/>
                <w:szCs w:val="24"/>
              </w:rPr>
            </w:pPr>
            <w:r w:rsidRPr="003E4DDD">
              <w:rPr>
                <w:rFonts w:cs="Times New Roman"/>
                <w:i/>
                <w:szCs w:val="24"/>
              </w:rPr>
              <w:t>Lovforslaget</w:t>
            </w:r>
          </w:p>
        </w:tc>
      </w:tr>
      <w:tr w:rsidR="00FD1A50" w:rsidRPr="003E4DDD" w14:paraId="36D5F944" w14:textId="77777777" w:rsidTr="005F58A0">
        <w:tc>
          <w:tcPr>
            <w:tcW w:w="3610" w:type="dxa"/>
          </w:tcPr>
          <w:p w14:paraId="5CC5DAD1" w14:textId="77777777" w:rsidR="00FD1A50" w:rsidRPr="003E4DDD" w:rsidRDefault="00FD1A50" w:rsidP="00A0359E">
            <w:pPr>
              <w:spacing w:after="240"/>
              <w:contextualSpacing/>
              <w:mirrorIndents/>
              <w:jc w:val="center"/>
              <w:rPr>
                <w:rFonts w:cs="Times New Roman"/>
                <w:i/>
                <w:szCs w:val="24"/>
              </w:rPr>
            </w:pPr>
          </w:p>
        </w:tc>
        <w:tc>
          <w:tcPr>
            <w:tcW w:w="4607" w:type="dxa"/>
          </w:tcPr>
          <w:p w14:paraId="196BC829" w14:textId="7DC55590" w:rsidR="00FD1A50" w:rsidRDefault="00FD1A50" w:rsidP="00A0359E">
            <w:pPr>
              <w:spacing w:after="240"/>
              <w:contextualSpacing/>
              <w:mirrorIndents/>
              <w:jc w:val="center"/>
              <w:rPr>
                <w:rFonts w:cs="Times New Roman"/>
                <w:b/>
                <w:szCs w:val="24"/>
              </w:rPr>
            </w:pPr>
            <w:r w:rsidRPr="00463C8B">
              <w:rPr>
                <w:rFonts w:cs="Times New Roman"/>
                <w:b/>
                <w:szCs w:val="24"/>
              </w:rPr>
              <w:t>§ 1</w:t>
            </w:r>
          </w:p>
          <w:p w14:paraId="167070DF" w14:textId="77777777" w:rsidR="00A31E1B" w:rsidRPr="00463C8B" w:rsidRDefault="00A31E1B" w:rsidP="00A0359E">
            <w:pPr>
              <w:spacing w:after="240"/>
              <w:contextualSpacing/>
              <w:mirrorIndents/>
              <w:jc w:val="center"/>
              <w:rPr>
                <w:rFonts w:cs="Times New Roman"/>
                <w:b/>
                <w:szCs w:val="24"/>
              </w:rPr>
            </w:pPr>
          </w:p>
          <w:p w14:paraId="7EDB1C34" w14:textId="3A50F694" w:rsidR="00FD1A50" w:rsidRPr="00463C8B" w:rsidRDefault="00C337A7" w:rsidP="00A0359E">
            <w:pPr>
              <w:spacing w:after="240"/>
              <w:contextualSpacing/>
              <w:mirrorIndents/>
              <w:jc w:val="left"/>
              <w:rPr>
                <w:rFonts w:cs="Times New Roman"/>
                <w:szCs w:val="24"/>
              </w:rPr>
            </w:pPr>
            <w:r w:rsidRPr="003B0B97">
              <w:rPr>
                <w:rFonts w:eastAsia="Calibri" w:cs="Times New Roman"/>
                <w:szCs w:val="24"/>
              </w:rPr>
              <w:t>I lov</w:t>
            </w:r>
            <w:r>
              <w:rPr>
                <w:rFonts w:eastAsia="Calibri" w:cs="Times New Roman"/>
                <w:szCs w:val="24"/>
              </w:rPr>
              <w:t xml:space="preserve"> om vandforsyning m.v.</w:t>
            </w:r>
            <w:r w:rsidRPr="003B0B97">
              <w:rPr>
                <w:rFonts w:eastAsia="Calibri" w:cs="Times New Roman"/>
                <w:szCs w:val="24"/>
              </w:rPr>
              <w:t xml:space="preserve">, jf. lovbekendtgørelse nr. </w:t>
            </w:r>
            <w:r>
              <w:rPr>
                <w:rFonts w:eastAsia="Calibri" w:cs="Times New Roman"/>
                <w:szCs w:val="24"/>
              </w:rPr>
              <w:t>602 af 10. maj 2022</w:t>
            </w:r>
            <w:r w:rsidRPr="003B0B97">
              <w:rPr>
                <w:rFonts w:eastAsia="Calibri" w:cs="Times New Roman"/>
                <w:szCs w:val="24"/>
              </w:rPr>
              <w:t>,</w:t>
            </w:r>
            <w:r>
              <w:rPr>
                <w:rFonts w:eastAsia="Calibri" w:cs="Times New Roman"/>
                <w:szCs w:val="24"/>
              </w:rPr>
              <w:t xml:space="preserve"> med den ændring, der følger af lov nr. 900 af 21. juni 2022</w:t>
            </w:r>
            <w:r w:rsidRPr="003B0B97">
              <w:rPr>
                <w:rFonts w:eastAsia="Calibri" w:cs="Times New Roman"/>
                <w:szCs w:val="24"/>
              </w:rPr>
              <w:t>, foretages følgende ændring</w:t>
            </w:r>
            <w:r>
              <w:rPr>
                <w:rFonts w:eastAsia="Calibri" w:cs="Times New Roman"/>
                <w:szCs w:val="24"/>
              </w:rPr>
              <w:t>er:</w:t>
            </w:r>
          </w:p>
        </w:tc>
      </w:tr>
      <w:tr w:rsidR="005F58A0" w:rsidRPr="003E4DDD" w14:paraId="00CCEA84" w14:textId="77777777" w:rsidTr="005F58A0">
        <w:tc>
          <w:tcPr>
            <w:tcW w:w="3610" w:type="dxa"/>
          </w:tcPr>
          <w:p w14:paraId="49C881A4" w14:textId="5EA15C48" w:rsidR="005F58A0" w:rsidRPr="00F0590C" w:rsidRDefault="005F58A0" w:rsidP="005F58A0">
            <w:pPr>
              <w:spacing w:after="240"/>
              <w:contextualSpacing/>
              <w:mirrorIndents/>
              <w:rPr>
                <w:rFonts w:cs="Times New Roman"/>
                <w:szCs w:val="24"/>
              </w:rPr>
            </w:pPr>
          </w:p>
          <w:p w14:paraId="2C22458C" w14:textId="77777777" w:rsidR="005F58A0" w:rsidRPr="00D5686E" w:rsidRDefault="005F58A0" w:rsidP="005F58A0">
            <w:pPr>
              <w:spacing w:after="240"/>
              <w:contextualSpacing/>
              <w:mirrorIndents/>
              <w:rPr>
                <w:rFonts w:cs="Times New Roman"/>
                <w:szCs w:val="24"/>
              </w:rPr>
            </w:pPr>
          </w:p>
        </w:tc>
        <w:tc>
          <w:tcPr>
            <w:tcW w:w="4607" w:type="dxa"/>
          </w:tcPr>
          <w:p w14:paraId="6CB632FC" w14:textId="77777777" w:rsidR="005F58A0" w:rsidRDefault="005F58A0" w:rsidP="005F58A0">
            <w:pPr>
              <w:spacing w:after="240"/>
              <w:contextualSpacing/>
              <w:mirrorIndents/>
              <w:rPr>
                <w:rFonts w:cs="Times New Roman"/>
                <w:szCs w:val="24"/>
              </w:rPr>
            </w:pPr>
            <w:r w:rsidRPr="00827564">
              <w:rPr>
                <w:rFonts w:cs="Times New Roman"/>
                <w:b/>
                <w:szCs w:val="24"/>
              </w:rPr>
              <w:t>1.</w:t>
            </w:r>
            <w:r>
              <w:rPr>
                <w:rFonts w:cs="Times New Roman"/>
                <w:szCs w:val="24"/>
              </w:rPr>
              <w:t xml:space="preserve"> Efter </w:t>
            </w:r>
            <w:r w:rsidRPr="003F2710">
              <w:rPr>
                <w:rFonts w:cs="Times New Roman"/>
                <w:i/>
                <w:szCs w:val="24"/>
              </w:rPr>
              <w:t>§ 13 e</w:t>
            </w:r>
            <w:r>
              <w:rPr>
                <w:rFonts w:cs="Times New Roman"/>
                <w:szCs w:val="24"/>
              </w:rPr>
              <w:t xml:space="preserve"> indsættes:</w:t>
            </w:r>
          </w:p>
          <w:p w14:paraId="3F571B8C" w14:textId="77777777" w:rsidR="00A31E1B" w:rsidRDefault="005F58A0" w:rsidP="00A31E1B">
            <w:pPr>
              <w:rPr>
                <w:rFonts w:cs="Times New Roman"/>
                <w:szCs w:val="24"/>
              </w:rPr>
            </w:pPr>
            <w:r w:rsidRPr="00A84377">
              <w:t>»</w:t>
            </w:r>
            <w:r>
              <w:t xml:space="preserve">§ </w:t>
            </w:r>
            <w:r w:rsidRPr="00825A01">
              <w:t>13 f.</w:t>
            </w:r>
            <w:r>
              <w:rPr>
                <w:b/>
              </w:rPr>
              <w:t xml:space="preserve"> </w:t>
            </w:r>
            <w:r w:rsidR="00A31E1B">
              <w:rPr>
                <w:rFonts w:cs="Times New Roman"/>
                <w:szCs w:val="24"/>
              </w:rPr>
              <w:t xml:space="preserve">En  almen vandforsyning eller en kommunalbestyrelse kan for at beskytte et boringsnært beskyttelsesområde udpeget efter § 11 a, stk. 1, nr. 6, hvor kommunalbestyrelsen efter regler udstedt i medfør af § 13 e har vurderet et indsatsbehov til beskyttelse af drikkevandsinteresser mod fare for forurening fra erhvervsmæssig anvendelse af pesticider, indgå aftale med ejeren af eller indehaveren af andre rettigheder over en ejendom om dyrkningspraksis eller andre restriktioner i arealanvendelsen eller indgå aftale om salg af hele eller dele af ejendommen til kommunen eller den almene vandforsyning. Indgår kommunalbestyrelsen aftalen, skal den almene vandforsyning høres over det beløb, der ifølge aftalen tilkommer ejeren af eller indehaveren af andre rettigheder over ejendommen. </w:t>
            </w:r>
          </w:p>
          <w:p w14:paraId="0BC88E7F" w14:textId="365DBFB9" w:rsidR="00A31E1B" w:rsidRPr="00CE1ECB" w:rsidRDefault="00A31E1B" w:rsidP="00A31E1B">
            <w:pPr>
              <w:rPr>
                <w:rFonts w:cs="Times New Roman"/>
                <w:szCs w:val="24"/>
              </w:rPr>
            </w:pPr>
            <w:r>
              <w:rPr>
                <w:rFonts w:cs="Times New Roman"/>
                <w:i/>
                <w:szCs w:val="24"/>
              </w:rPr>
              <w:t xml:space="preserve">   </w:t>
            </w:r>
            <w:r w:rsidRPr="002F52FC">
              <w:rPr>
                <w:rFonts w:cs="Times New Roman"/>
                <w:i/>
                <w:szCs w:val="24"/>
              </w:rPr>
              <w:t xml:space="preserve">Stk. </w:t>
            </w:r>
            <w:r>
              <w:rPr>
                <w:rFonts w:cs="Times New Roman"/>
                <w:i/>
                <w:szCs w:val="24"/>
              </w:rPr>
              <w:t>2</w:t>
            </w:r>
            <w:r w:rsidRPr="002F52FC">
              <w:rPr>
                <w:rFonts w:cs="Times New Roman"/>
                <w:i/>
                <w:szCs w:val="24"/>
              </w:rPr>
              <w:t>.</w:t>
            </w:r>
            <w:r w:rsidRPr="009C6ABB">
              <w:rPr>
                <w:rFonts w:cs="Times New Roman"/>
                <w:szCs w:val="24"/>
              </w:rPr>
              <w:t xml:space="preserve"> </w:t>
            </w:r>
            <w:r>
              <w:t xml:space="preserve">Vandforsyningen eller kommunalbestyrelsen tinglyser for grundejers regning aftalen efter stk. 1. Aftalen efter stk. 1 </w:t>
            </w:r>
            <w:r w:rsidR="001A058A">
              <w:t>kan tinglyses med prioritet forud for alle rettigheder i ejendommen</w:t>
            </w:r>
            <w:bookmarkStart w:id="77" w:name="_GoBack"/>
            <w:bookmarkEnd w:id="77"/>
            <w:r>
              <w:t>. § 119 i lov om offentlige veje finder anvendelse ved udbetalingen af det aftalte beløb.</w:t>
            </w:r>
          </w:p>
          <w:p w14:paraId="6AA616FD" w14:textId="280F604D" w:rsidR="005F58A0" w:rsidRPr="00FA1704" w:rsidRDefault="00A31E1B" w:rsidP="00A31E1B">
            <w:pPr>
              <w:spacing w:after="240"/>
              <w:rPr>
                <w:rFonts w:eastAsia="Calibri" w:cs="Times New Roman"/>
                <w:szCs w:val="24"/>
              </w:rPr>
            </w:pPr>
            <w:r>
              <w:rPr>
                <w:rFonts w:cs="Times New Roman"/>
                <w:szCs w:val="24"/>
              </w:rPr>
              <w:lastRenderedPageBreak/>
              <w:t xml:space="preserve">   </w:t>
            </w:r>
            <w:r>
              <w:rPr>
                <w:rFonts w:cs="Times New Roman"/>
                <w:i/>
                <w:szCs w:val="24"/>
              </w:rPr>
              <w:t>Stk. 3.</w:t>
            </w:r>
            <w:r w:rsidRPr="00E12CC1">
              <w:rPr>
                <w:rFonts w:cs="Times New Roman"/>
                <w:szCs w:val="24"/>
              </w:rPr>
              <w:t xml:space="preserve"> </w:t>
            </w:r>
            <w:r>
              <w:rPr>
                <w:rFonts w:cs="Times New Roman"/>
                <w:szCs w:val="24"/>
              </w:rPr>
              <w:t>Miljøministeren kan fastsætte regler om aftaleindgåelse efter stk. 1, herunder om tidsfrister, vilkår og rammer for aftaleindgåelsen.</w:t>
            </w:r>
            <w:r w:rsidRPr="00E1332F">
              <w:rPr>
                <w:rFonts w:eastAsia="Calibri" w:cs="Times New Roman"/>
                <w:szCs w:val="24"/>
              </w:rPr>
              <w:t>«</w:t>
            </w:r>
          </w:p>
        </w:tc>
      </w:tr>
      <w:tr w:rsidR="005F58A0" w:rsidRPr="003E4DDD" w14:paraId="04F57E1F" w14:textId="77777777" w:rsidTr="005F58A0">
        <w:tc>
          <w:tcPr>
            <w:tcW w:w="3610" w:type="dxa"/>
          </w:tcPr>
          <w:p w14:paraId="504D6E11" w14:textId="77777777" w:rsidR="005F58A0" w:rsidRPr="00FA1704" w:rsidRDefault="005F58A0" w:rsidP="005F58A0">
            <w:pPr>
              <w:spacing w:after="240"/>
              <w:contextualSpacing/>
              <w:mirrorIndents/>
              <w:rPr>
                <w:rFonts w:cs="Times New Roman"/>
                <w:szCs w:val="24"/>
              </w:rPr>
            </w:pPr>
          </w:p>
        </w:tc>
        <w:tc>
          <w:tcPr>
            <w:tcW w:w="4607" w:type="dxa"/>
          </w:tcPr>
          <w:p w14:paraId="1B5BC089" w14:textId="77777777" w:rsidR="005F58A0" w:rsidRPr="009F15A0" w:rsidRDefault="005F58A0" w:rsidP="005F58A0">
            <w:pPr>
              <w:spacing w:after="240"/>
              <w:jc w:val="center"/>
              <w:rPr>
                <w:rFonts w:eastAsia="Calibri" w:cs="Times New Roman"/>
                <w:b/>
                <w:szCs w:val="24"/>
              </w:rPr>
            </w:pPr>
            <w:r w:rsidRPr="009F15A0">
              <w:rPr>
                <w:rFonts w:eastAsia="Calibri" w:cs="Times New Roman"/>
                <w:b/>
                <w:szCs w:val="24"/>
              </w:rPr>
              <w:t>§ 2</w:t>
            </w:r>
          </w:p>
          <w:p w14:paraId="45847125" w14:textId="29F603DD" w:rsidR="005F58A0" w:rsidRPr="00FA1704" w:rsidRDefault="005F58A0" w:rsidP="005F58A0">
            <w:pPr>
              <w:spacing w:after="240"/>
              <w:contextualSpacing/>
              <w:mirrorIndents/>
              <w:rPr>
                <w:rFonts w:cs="Times New Roman"/>
                <w:b/>
                <w:szCs w:val="24"/>
              </w:rPr>
            </w:pPr>
            <w:r w:rsidRPr="000D75F9">
              <w:rPr>
                <w:rFonts w:eastAsia="Calibri" w:cs="Times New Roman"/>
                <w:szCs w:val="24"/>
              </w:rPr>
              <w:t>I lov om miljøbeskytte</w:t>
            </w:r>
            <w:r>
              <w:rPr>
                <w:rFonts w:eastAsia="Calibri" w:cs="Times New Roman"/>
                <w:szCs w:val="24"/>
              </w:rPr>
              <w:t>lse, jf. lovbekendtgørelse nr. 5 af 3. januar 2023 som ændret bl.a. ved § 1 i lov nr. 745 af 13. juni 2023, foretages følgende ændringer</w:t>
            </w:r>
          </w:p>
        </w:tc>
      </w:tr>
      <w:tr w:rsidR="005F58A0" w:rsidRPr="003E4DDD" w14:paraId="4AB2370B" w14:textId="77777777" w:rsidTr="005F58A0">
        <w:trPr>
          <w:trHeight w:val="280"/>
        </w:trPr>
        <w:tc>
          <w:tcPr>
            <w:tcW w:w="3610" w:type="dxa"/>
          </w:tcPr>
          <w:p w14:paraId="299B8979" w14:textId="77777777" w:rsidR="005F58A0" w:rsidRDefault="005F58A0" w:rsidP="005F58A0">
            <w:pPr>
              <w:spacing w:after="240"/>
              <w:contextualSpacing/>
              <w:mirrorIndents/>
              <w:rPr>
                <w:rFonts w:cs="Times New Roman"/>
                <w:i/>
                <w:szCs w:val="24"/>
              </w:rPr>
            </w:pPr>
            <w:r>
              <w:rPr>
                <w:rFonts w:cs="Times New Roman"/>
                <w:i/>
                <w:szCs w:val="24"/>
              </w:rPr>
              <w:t>Stk. 1. ---</w:t>
            </w:r>
          </w:p>
          <w:p w14:paraId="58F43165" w14:textId="582990C4" w:rsidR="005F58A0" w:rsidRPr="005F58A0" w:rsidRDefault="005F58A0" w:rsidP="005F58A0">
            <w:pPr>
              <w:spacing w:after="240"/>
              <w:contextualSpacing/>
              <w:mirrorIndents/>
              <w:rPr>
                <w:rFonts w:cs="Times New Roman"/>
                <w:szCs w:val="24"/>
              </w:rPr>
            </w:pPr>
            <w:r>
              <w:rPr>
                <w:rFonts w:cs="Times New Roman"/>
                <w:i/>
                <w:szCs w:val="24"/>
              </w:rPr>
              <w:t xml:space="preserve">Stk. 2. </w:t>
            </w:r>
            <w:r>
              <w:rPr>
                <w:rFonts w:cs="Times New Roman"/>
                <w:szCs w:val="24"/>
              </w:rPr>
              <w:t>Stk. 1 finder ikke anvendelse, såfremt kommunalbestyrelsen efter § 24, stk. 1,</w:t>
            </w:r>
            <w:r w:rsidR="00ED26B5">
              <w:rPr>
                <w:rFonts w:cs="Times New Roman"/>
                <w:szCs w:val="24"/>
              </w:rPr>
              <w:t xml:space="preserve"> […]</w:t>
            </w:r>
            <w:r>
              <w:rPr>
                <w:rFonts w:cs="Times New Roman"/>
                <w:szCs w:val="24"/>
              </w:rPr>
              <w:t xml:space="preserve"> har udstedt et påbud eller nedlagt et forbud, som er gældende længere væk end 10 m fra boringen, og som indebærer en tilsvarende rådighedsindskrænkning som efter stk. 1.</w:t>
            </w:r>
          </w:p>
        </w:tc>
        <w:tc>
          <w:tcPr>
            <w:tcW w:w="4607" w:type="dxa"/>
          </w:tcPr>
          <w:p w14:paraId="2B17CA22" w14:textId="2709132A" w:rsidR="005F58A0" w:rsidRPr="00017280" w:rsidRDefault="005F58A0" w:rsidP="005F58A0">
            <w:pPr>
              <w:spacing w:after="240"/>
              <w:contextualSpacing/>
              <w:mirrorIndents/>
              <w:rPr>
                <w:rFonts w:cs="Times New Roman"/>
                <w:b/>
                <w:szCs w:val="24"/>
              </w:rPr>
            </w:pPr>
            <w:r>
              <w:rPr>
                <w:rFonts w:cs="Times New Roman"/>
                <w:b/>
                <w:szCs w:val="24"/>
              </w:rPr>
              <w:t xml:space="preserve">1. </w:t>
            </w:r>
            <w:r>
              <w:rPr>
                <w:rFonts w:eastAsia="Calibri" w:cs="Times New Roman"/>
                <w:szCs w:val="24"/>
              </w:rPr>
              <w:t xml:space="preserve">I </w:t>
            </w:r>
            <w:r w:rsidRPr="00ED5D79">
              <w:rPr>
                <w:rFonts w:eastAsia="Calibri" w:cs="Times New Roman"/>
                <w:i/>
                <w:szCs w:val="24"/>
              </w:rPr>
              <w:t>§ 21 b, stk. 2,</w:t>
            </w:r>
            <w:r>
              <w:rPr>
                <w:rFonts w:eastAsia="Calibri" w:cs="Times New Roman"/>
                <w:szCs w:val="24"/>
              </w:rPr>
              <w:t xml:space="preserve"> indsættes efter </w:t>
            </w:r>
            <w:r w:rsidRPr="00A84377">
              <w:t>»</w:t>
            </w:r>
            <w:r>
              <w:rPr>
                <w:rFonts w:eastAsia="Calibri" w:cs="Times New Roman"/>
                <w:szCs w:val="24"/>
              </w:rPr>
              <w:t>§ 24, stk. 1,</w:t>
            </w:r>
            <w:r>
              <w:t xml:space="preserve"> «</w:t>
            </w:r>
            <w:r>
              <w:rPr>
                <w:rFonts w:eastAsia="Calibri" w:cs="Times New Roman"/>
                <w:szCs w:val="24"/>
              </w:rPr>
              <w:t xml:space="preserve">: </w:t>
            </w:r>
            <w:r w:rsidRPr="00A84377">
              <w:t>»</w:t>
            </w:r>
            <w:r>
              <w:rPr>
                <w:rFonts w:eastAsia="Calibri" w:cs="Times New Roman"/>
                <w:szCs w:val="24"/>
              </w:rPr>
              <w:t>§ 24 a, stk. 1, eller § 26 a, stk. 1,</w:t>
            </w:r>
            <w:r>
              <w:t>«</w:t>
            </w:r>
          </w:p>
        </w:tc>
      </w:tr>
      <w:tr w:rsidR="005F58A0" w:rsidRPr="003E4DDD" w14:paraId="1E9214F3" w14:textId="77777777" w:rsidTr="005F58A0">
        <w:tc>
          <w:tcPr>
            <w:tcW w:w="3610" w:type="dxa"/>
          </w:tcPr>
          <w:p w14:paraId="31F67FC8" w14:textId="77777777" w:rsidR="005F58A0" w:rsidRDefault="005F58A0" w:rsidP="005F58A0">
            <w:pPr>
              <w:spacing w:after="240"/>
              <w:contextualSpacing/>
              <w:mirrorIndents/>
              <w:rPr>
                <w:rFonts w:cs="Times New Roman"/>
                <w:b/>
                <w:szCs w:val="24"/>
              </w:rPr>
            </w:pPr>
          </w:p>
        </w:tc>
        <w:tc>
          <w:tcPr>
            <w:tcW w:w="4607" w:type="dxa"/>
          </w:tcPr>
          <w:p w14:paraId="6CAE4937" w14:textId="77777777" w:rsidR="005F58A0" w:rsidRDefault="005F58A0" w:rsidP="005F58A0">
            <w:pPr>
              <w:spacing w:after="240"/>
              <w:contextualSpacing/>
              <w:mirrorIndents/>
              <w:rPr>
                <w:rFonts w:cs="Times New Roman"/>
                <w:szCs w:val="24"/>
              </w:rPr>
            </w:pPr>
            <w:r>
              <w:rPr>
                <w:rFonts w:cs="Times New Roman"/>
                <w:b/>
                <w:szCs w:val="24"/>
              </w:rPr>
              <w:t xml:space="preserve">2. </w:t>
            </w:r>
            <w:r>
              <w:rPr>
                <w:rFonts w:cs="Times New Roman"/>
                <w:szCs w:val="24"/>
              </w:rPr>
              <w:t xml:space="preserve">Efter </w:t>
            </w:r>
            <w:r w:rsidRPr="00ED5D79">
              <w:rPr>
                <w:rFonts w:cs="Times New Roman"/>
                <w:i/>
                <w:szCs w:val="24"/>
              </w:rPr>
              <w:t>§ 24</w:t>
            </w:r>
            <w:r>
              <w:rPr>
                <w:rFonts w:cs="Times New Roman"/>
                <w:szCs w:val="24"/>
              </w:rPr>
              <w:t xml:space="preserve"> indsættes: </w:t>
            </w:r>
          </w:p>
          <w:p w14:paraId="1D91312D" w14:textId="77777777" w:rsidR="00A31E1B" w:rsidRPr="003B0B97" w:rsidRDefault="005F58A0" w:rsidP="00A31E1B">
            <w:pPr>
              <w:rPr>
                <w:rFonts w:cs="Times New Roman"/>
                <w:szCs w:val="24"/>
              </w:rPr>
            </w:pPr>
            <w:r w:rsidRPr="002F6CBE">
              <w:rPr>
                <w:i/>
              </w:rPr>
              <w:t>»</w:t>
            </w:r>
            <w:r w:rsidRPr="002F6CBE">
              <w:rPr>
                <w:rFonts w:cs="Times New Roman"/>
                <w:i/>
                <w:szCs w:val="24"/>
              </w:rPr>
              <w:t>§ 24 a</w:t>
            </w:r>
            <w:r w:rsidRPr="002F6CBE">
              <w:rPr>
                <w:rFonts w:cs="Times New Roman"/>
                <w:b/>
                <w:i/>
                <w:szCs w:val="24"/>
              </w:rPr>
              <w:t>.</w:t>
            </w:r>
            <w:r w:rsidRPr="00F55B7A">
              <w:rPr>
                <w:rFonts w:cs="Times New Roman"/>
                <w:b/>
                <w:szCs w:val="24"/>
              </w:rPr>
              <w:t xml:space="preserve"> </w:t>
            </w:r>
            <w:r w:rsidR="00A31E1B">
              <w:rPr>
                <w:rFonts w:cs="Times New Roman"/>
                <w:szCs w:val="24"/>
              </w:rPr>
              <w:t>Når der ifølge en risikovurdering foretaget efter regler udstedt i medfør af § 13 e i lov om vandforsyning m.v. er behov fo</w:t>
            </w:r>
            <w:r w:rsidR="00A31E1B" w:rsidRPr="00E57E73">
              <w:rPr>
                <w:rFonts w:cs="Times New Roman"/>
                <w:szCs w:val="24"/>
              </w:rPr>
              <w:t>r indsatser til beskyttelse af</w:t>
            </w:r>
            <w:r w:rsidR="00A31E1B">
              <w:rPr>
                <w:rFonts w:cs="Times New Roman"/>
                <w:szCs w:val="24"/>
              </w:rPr>
              <w:t xml:space="preserve"> </w:t>
            </w:r>
            <w:r w:rsidR="00A31E1B" w:rsidRPr="00E57E73">
              <w:rPr>
                <w:rFonts w:cs="Times New Roman"/>
                <w:szCs w:val="24"/>
              </w:rPr>
              <w:t>drikkevandsinteresser mod fare for forurening fra erhvervsmæssig anvendelse af p</w:t>
            </w:r>
            <w:r w:rsidR="00A31E1B">
              <w:rPr>
                <w:rFonts w:cs="Times New Roman"/>
                <w:szCs w:val="24"/>
              </w:rPr>
              <w:t>esticider</w:t>
            </w:r>
            <w:r w:rsidR="00A31E1B" w:rsidRPr="00E57E73">
              <w:rPr>
                <w:rFonts w:cs="Times New Roman"/>
                <w:szCs w:val="24"/>
              </w:rPr>
              <w:t xml:space="preserve"> i boringsnære beskyttelsesområder udpeget efter regler udstedt i medfør af § 11 a, stk. 1, nr. 6</w:t>
            </w:r>
            <w:r w:rsidR="00A31E1B">
              <w:rPr>
                <w:rFonts w:cs="Times New Roman"/>
                <w:szCs w:val="24"/>
              </w:rPr>
              <w:t>, i lov om vandforsyning m.v., skal kommunalbestyrelsen, hvis der ikke kan opnås en aftale herom på rimelige vilkår efter § 13 f i lov om vandforsyning m.v., mod fuldstændig erstatning, give påbud eller nedlægge forbud mod en ellers lovlig erhvervsmæssig anvendelse af pesticider inden for et boringsnært beskyttelsesområde, jf. dog stk. 2.</w:t>
            </w:r>
          </w:p>
          <w:p w14:paraId="66184B42" w14:textId="77777777" w:rsidR="00A31E1B" w:rsidRDefault="00A31E1B" w:rsidP="00A31E1B">
            <w:pPr>
              <w:ind w:firstLine="284"/>
              <w:rPr>
                <w:rFonts w:eastAsia="Calibri" w:cs="Times New Roman"/>
                <w:sz w:val="26"/>
                <w:szCs w:val="24"/>
              </w:rPr>
            </w:pPr>
            <w:r w:rsidRPr="00C560D6">
              <w:rPr>
                <w:rFonts w:eastAsia="Calibri" w:cs="Times New Roman"/>
                <w:i/>
                <w:szCs w:val="24"/>
              </w:rPr>
              <w:t>Stk. 2.</w:t>
            </w:r>
            <w:r w:rsidRPr="008627C0">
              <w:rPr>
                <w:rFonts w:eastAsia="Calibri" w:cs="Times New Roman"/>
                <w:szCs w:val="24"/>
              </w:rPr>
              <w:t xml:space="preserve"> Kravet i stk. 1 gælder ikke, hvis</w:t>
            </w:r>
            <w:r>
              <w:rPr>
                <w:rFonts w:eastAsia="Calibri" w:cs="Times New Roman"/>
                <w:sz w:val="26"/>
                <w:szCs w:val="24"/>
              </w:rPr>
              <w:t>:</w:t>
            </w:r>
          </w:p>
          <w:p w14:paraId="4D0C20DB" w14:textId="77777777" w:rsidR="00A31E1B" w:rsidRPr="00770419" w:rsidRDefault="00A31E1B" w:rsidP="00A31E1B">
            <w:pPr>
              <w:pStyle w:val="Listeafsnit"/>
              <w:numPr>
                <w:ilvl w:val="0"/>
                <w:numId w:val="23"/>
              </w:num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D</w:t>
            </w:r>
            <w:r w:rsidRPr="00180FCE">
              <w:rPr>
                <w:rFonts w:ascii="Times New Roman" w:eastAsia="Calibri" w:hAnsi="Times New Roman" w:cs="Times New Roman"/>
                <w:sz w:val="24"/>
                <w:szCs w:val="24"/>
              </w:rPr>
              <w:t>en almene vandforsyning</w:t>
            </w:r>
            <w:r>
              <w:rPr>
                <w:rFonts w:ascii="Times New Roman" w:eastAsia="Calibri" w:hAnsi="Times New Roman" w:cs="Times New Roman"/>
                <w:sz w:val="24"/>
                <w:szCs w:val="24"/>
              </w:rPr>
              <w:t xml:space="preserve"> eller kommunalbestyrelsen</w:t>
            </w:r>
            <w:r w:rsidRPr="00180FCE">
              <w:rPr>
                <w:rFonts w:ascii="Times New Roman" w:eastAsia="Calibri" w:hAnsi="Times New Roman" w:cs="Times New Roman"/>
                <w:sz w:val="24"/>
                <w:szCs w:val="24"/>
              </w:rPr>
              <w:t xml:space="preserve"> har indgået en</w:t>
            </w:r>
            <w:r>
              <w:rPr>
                <w:rFonts w:ascii="Times New Roman" w:eastAsia="Calibri" w:hAnsi="Times New Roman" w:cs="Times New Roman"/>
                <w:sz w:val="24"/>
                <w:szCs w:val="24"/>
              </w:rPr>
              <w:t xml:space="preserve"> tilsvarende</w:t>
            </w:r>
            <w:r w:rsidRPr="00180FCE">
              <w:rPr>
                <w:rFonts w:ascii="Times New Roman" w:eastAsia="Calibri" w:hAnsi="Times New Roman" w:cs="Times New Roman"/>
                <w:sz w:val="24"/>
                <w:szCs w:val="24"/>
              </w:rPr>
              <w:t xml:space="preserve"> aftale om </w:t>
            </w:r>
            <w:r>
              <w:rPr>
                <w:rFonts w:ascii="Times New Roman" w:eastAsia="Calibri" w:hAnsi="Times New Roman" w:cs="Times New Roman"/>
                <w:sz w:val="24"/>
                <w:szCs w:val="24"/>
              </w:rPr>
              <w:t>dyrkningspraksis eller andre tilsvarende restriktioner i arealanvendelsen eller</w:t>
            </w:r>
            <w:r w:rsidRPr="00DB5504">
              <w:rPr>
                <w:rFonts w:ascii="Times New Roman" w:eastAsia="Calibri" w:hAnsi="Times New Roman" w:cs="Times New Roman"/>
                <w:sz w:val="24"/>
                <w:szCs w:val="24"/>
              </w:rPr>
              <w:t xml:space="preserve"> om salg af hele eller dele af ejendommen til kommunen e</w:t>
            </w:r>
            <w:r w:rsidRPr="00E12D07">
              <w:rPr>
                <w:rFonts w:ascii="Times New Roman" w:eastAsia="Calibri" w:hAnsi="Times New Roman" w:cs="Times New Roman"/>
                <w:sz w:val="24"/>
                <w:szCs w:val="24"/>
              </w:rPr>
              <w:t>ller den almene vandforsyning</w:t>
            </w:r>
            <w:r w:rsidRPr="00E06F5D">
              <w:rPr>
                <w:rFonts w:ascii="Times New Roman" w:eastAsia="Calibri" w:hAnsi="Times New Roman" w:cs="Times New Roman"/>
                <w:sz w:val="24"/>
                <w:szCs w:val="24"/>
              </w:rPr>
              <w:t xml:space="preserve"> i medfør af § 13 d i lov om vandforsyning m.v.</w:t>
            </w:r>
            <w:r>
              <w:rPr>
                <w:rFonts w:ascii="Times New Roman" w:eastAsia="Calibri" w:hAnsi="Times New Roman" w:cs="Times New Roman"/>
                <w:sz w:val="24"/>
                <w:szCs w:val="24"/>
              </w:rPr>
              <w:t>,</w:t>
            </w:r>
            <w:r w:rsidRPr="00E06F5D">
              <w:rPr>
                <w:rFonts w:ascii="Times New Roman" w:eastAsia="Calibri" w:hAnsi="Times New Roman" w:cs="Times New Roman"/>
                <w:sz w:val="24"/>
                <w:szCs w:val="24"/>
              </w:rPr>
              <w:t xml:space="preserve"> </w:t>
            </w:r>
          </w:p>
          <w:p w14:paraId="65555164" w14:textId="77777777" w:rsidR="00A31E1B" w:rsidRPr="00770419" w:rsidRDefault="00A31E1B" w:rsidP="00A31E1B">
            <w:pPr>
              <w:pStyle w:val="Listeafsnit"/>
              <w:numPr>
                <w:ilvl w:val="0"/>
                <w:numId w:val="23"/>
              </w:numPr>
              <w:rPr>
                <w:rFonts w:ascii="Times New Roman" w:eastAsia="Calibri" w:hAnsi="Times New Roman" w:cs="Times New Roman"/>
                <w:sz w:val="24"/>
                <w:szCs w:val="24"/>
              </w:rPr>
            </w:pPr>
            <w:r w:rsidRPr="00770419">
              <w:rPr>
                <w:rFonts w:ascii="Times New Roman" w:hAnsi="Times New Roman" w:cs="Times New Roman"/>
                <w:color w:val="2F2F2B"/>
                <w:spacing w:val="2"/>
                <w:sz w:val="24"/>
                <w:szCs w:val="24"/>
              </w:rPr>
              <w:t>Kommunalbestyrelsen efter § 24, stk. 1, har givet et tilsvarende påbud eller nedlagt et tilsvarende forbud for at undgå fare for forurening af vandindvindingsanlæg til indvinding af grundvand</w:t>
            </w:r>
            <w:r>
              <w:rPr>
                <w:rFonts w:ascii="Times New Roman" w:hAnsi="Times New Roman" w:cs="Times New Roman"/>
                <w:color w:val="2F2F2B"/>
                <w:spacing w:val="2"/>
                <w:sz w:val="24"/>
                <w:szCs w:val="24"/>
              </w:rPr>
              <w:t>,</w:t>
            </w:r>
          </w:p>
          <w:p w14:paraId="15204F62" w14:textId="77777777" w:rsidR="00A31E1B" w:rsidRPr="00E06F5D" w:rsidRDefault="00A31E1B" w:rsidP="00A31E1B">
            <w:pPr>
              <w:pStyle w:val="Listeafsnit"/>
              <w:numPr>
                <w:ilvl w:val="0"/>
                <w:numId w:val="23"/>
              </w:numPr>
              <w:rPr>
                <w:rFonts w:ascii="Times New Roman" w:eastAsia="Calibri" w:hAnsi="Times New Roman" w:cs="Times New Roman"/>
                <w:sz w:val="24"/>
                <w:szCs w:val="24"/>
              </w:rPr>
            </w:pPr>
            <w:r w:rsidRPr="00770419">
              <w:rPr>
                <w:rFonts w:ascii="Times New Roman" w:eastAsia="Calibri" w:hAnsi="Times New Roman" w:cs="Times New Roman"/>
                <w:sz w:val="24"/>
                <w:szCs w:val="24"/>
              </w:rPr>
              <w:t xml:space="preserve">Kommunalbestyrelsen efter § 26 a, stk. 1, har </w:t>
            </w:r>
            <w:r w:rsidRPr="00770419">
              <w:rPr>
                <w:rFonts w:ascii="Times New Roman" w:hAnsi="Times New Roman" w:cs="Times New Roman"/>
                <w:color w:val="2F2F2B"/>
                <w:spacing w:val="2"/>
                <w:sz w:val="24"/>
                <w:szCs w:val="24"/>
              </w:rPr>
              <w:t>pålagt ejeren af en ejendom i området tilsvarende rådighedsindskrænkninger eller andre foranstaltninger</w:t>
            </w:r>
            <w:r>
              <w:rPr>
                <w:rFonts w:ascii="Times New Roman" w:hAnsi="Times New Roman" w:cs="Times New Roman"/>
                <w:color w:val="2F2F2B"/>
                <w:spacing w:val="2"/>
                <w:sz w:val="24"/>
                <w:szCs w:val="24"/>
              </w:rPr>
              <w:t>,</w:t>
            </w:r>
            <w:r>
              <w:rPr>
                <w:rFonts w:ascii="Times New Roman" w:eastAsia="Calibri" w:hAnsi="Times New Roman" w:cs="Times New Roman"/>
                <w:sz w:val="24"/>
                <w:szCs w:val="24"/>
              </w:rPr>
              <w:t xml:space="preserve"> eller</w:t>
            </w:r>
          </w:p>
          <w:p w14:paraId="13922537" w14:textId="77777777" w:rsidR="00A31E1B" w:rsidRPr="00180FCE" w:rsidRDefault="00A31E1B" w:rsidP="00A31E1B">
            <w:pPr>
              <w:pStyle w:val="Listeafsnit"/>
              <w:numPr>
                <w:ilvl w:val="0"/>
                <w:numId w:val="23"/>
              </w:numPr>
              <w:spacing w:after="0"/>
              <w:rPr>
                <w:rFonts w:ascii="Times New Roman" w:eastAsia="Calibri" w:hAnsi="Times New Roman" w:cs="Times New Roman"/>
                <w:sz w:val="24"/>
                <w:szCs w:val="24"/>
              </w:rPr>
            </w:pPr>
            <w:r w:rsidRPr="00180FCE">
              <w:rPr>
                <w:rFonts w:ascii="Times New Roman" w:eastAsia="Calibri" w:hAnsi="Times New Roman" w:cs="Times New Roman"/>
                <w:sz w:val="24"/>
                <w:szCs w:val="24"/>
              </w:rPr>
              <w:t>Der er iværksat andre</w:t>
            </w:r>
            <w:r>
              <w:rPr>
                <w:rFonts w:ascii="Times New Roman" w:eastAsia="Calibri" w:hAnsi="Times New Roman" w:cs="Times New Roman"/>
                <w:sz w:val="24"/>
                <w:szCs w:val="24"/>
              </w:rPr>
              <w:t xml:space="preserve"> tilsvarende beskyttelsesforanstaltninger </w:t>
            </w:r>
            <w:r w:rsidRPr="00180FCE">
              <w:rPr>
                <w:rFonts w:ascii="Times New Roman" w:eastAsia="Calibri" w:hAnsi="Times New Roman" w:cs="Times New Roman"/>
                <w:sz w:val="24"/>
                <w:szCs w:val="24"/>
              </w:rPr>
              <w:t>i det boringsnære beskyttelsesområde.</w:t>
            </w:r>
          </w:p>
          <w:p w14:paraId="68AA74D0" w14:textId="77777777" w:rsidR="00A31E1B" w:rsidRDefault="00A31E1B" w:rsidP="00A31E1B">
            <w:pPr>
              <w:ind w:firstLine="284"/>
              <w:rPr>
                <w:rFonts w:eastAsia="Calibri" w:cs="Times New Roman"/>
                <w:szCs w:val="24"/>
              </w:rPr>
            </w:pPr>
            <w:r>
              <w:rPr>
                <w:rFonts w:eastAsia="Calibri" w:cs="Times New Roman"/>
                <w:i/>
                <w:szCs w:val="24"/>
              </w:rPr>
              <w:t xml:space="preserve">Stk. 3. </w:t>
            </w:r>
            <w:r>
              <w:rPr>
                <w:rFonts w:eastAsia="Calibri" w:cs="Times New Roman"/>
                <w:szCs w:val="24"/>
              </w:rPr>
              <w:t>Kommunalbestyrelsen tinglyser for ejerens regning et påbud eller forbud efter stk. 1, medmindre afgørelsen om påbud eller forbud udgør ekspropriation, hvorefter kommunalbestyrelsen betaler for tinglysningen. Bortfalder påbuddet eller forbuddet, skal kommunalbestyrelsen lade det aflyse fra tingbogen.</w:t>
            </w:r>
          </w:p>
          <w:p w14:paraId="6E50347D" w14:textId="77777777" w:rsidR="00A31E1B" w:rsidRDefault="00A31E1B" w:rsidP="00A31E1B">
            <w:pPr>
              <w:ind w:firstLine="284"/>
              <w:rPr>
                <w:rFonts w:eastAsia="Calibri" w:cs="Times New Roman"/>
                <w:szCs w:val="24"/>
              </w:rPr>
            </w:pPr>
            <w:r w:rsidRPr="0068701F">
              <w:rPr>
                <w:i/>
              </w:rPr>
              <w:t xml:space="preserve">Stk. </w:t>
            </w:r>
            <w:r>
              <w:rPr>
                <w:i/>
              </w:rPr>
              <w:t>4</w:t>
            </w:r>
            <w:r w:rsidRPr="0068701F">
              <w:rPr>
                <w:i/>
              </w:rPr>
              <w:t>.</w:t>
            </w:r>
            <w:r>
              <w:t xml:space="preserve"> </w:t>
            </w:r>
            <w:r w:rsidRPr="0068701F">
              <w:t>Ved kommunalbestyrelsens påbud eller forbud efter stk. 1, skal de meddelte</w:t>
            </w:r>
            <w:r w:rsidRPr="00804BC4">
              <w:rPr>
                <w:rFonts w:eastAsia="Calibri" w:cs="Times New Roman"/>
                <w:szCs w:val="24"/>
              </w:rPr>
              <w:t xml:space="preserve"> påbud eller forbud respekteres af indehaveren af enhver rettighed over ejendommen, medmindre andet bestemmes i det enkelte tilfælde.</w:t>
            </w:r>
          </w:p>
          <w:p w14:paraId="213237C4" w14:textId="24764179" w:rsidR="005F58A0" w:rsidRPr="005F58A0" w:rsidRDefault="00A31E1B" w:rsidP="00825A01">
            <w:pPr>
              <w:ind w:firstLine="284"/>
              <w:rPr>
                <w:rFonts w:cs="Times New Roman"/>
                <w:b/>
                <w:szCs w:val="24"/>
              </w:rPr>
            </w:pPr>
            <w:r w:rsidRPr="00825A01">
              <w:rPr>
                <w:i/>
              </w:rPr>
              <w:t>Stk</w:t>
            </w:r>
            <w:r w:rsidRPr="003C05BC">
              <w:rPr>
                <w:rFonts w:eastAsia="Calibri" w:cs="Times New Roman"/>
                <w:i/>
                <w:szCs w:val="24"/>
              </w:rPr>
              <w:t xml:space="preserve">. </w:t>
            </w:r>
            <w:r>
              <w:rPr>
                <w:rFonts w:eastAsia="Calibri" w:cs="Times New Roman"/>
                <w:i/>
                <w:szCs w:val="24"/>
              </w:rPr>
              <w:t>5</w:t>
            </w:r>
            <w:r w:rsidRPr="003C05BC">
              <w:rPr>
                <w:rFonts w:eastAsia="Calibri" w:cs="Times New Roman"/>
                <w:i/>
                <w:szCs w:val="24"/>
              </w:rPr>
              <w:t>.</w:t>
            </w:r>
            <w:r>
              <w:rPr>
                <w:rFonts w:eastAsia="Calibri" w:cs="Times New Roman"/>
                <w:szCs w:val="24"/>
              </w:rPr>
              <w:t xml:space="preserve"> Miljøministeren kan fastsætte nærmere regler om indholdet af påbud eller forbud og vilkår og frister for påbud eller forbud efter stk. 1.</w:t>
            </w:r>
            <w:r w:rsidR="00570BFC">
              <w:t>«</w:t>
            </w:r>
          </w:p>
        </w:tc>
      </w:tr>
      <w:tr w:rsidR="00C337A7" w:rsidRPr="003E4DDD" w14:paraId="01508108" w14:textId="77777777" w:rsidTr="005F58A0">
        <w:tc>
          <w:tcPr>
            <w:tcW w:w="3610" w:type="dxa"/>
          </w:tcPr>
          <w:p w14:paraId="5EFEFA79" w14:textId="77777777" w:rsidR="00C337A7" w:rsidRDefault="00570BFC" w:rsidP="005F58A0">
            <w:pPr>
              <w:spacing w:after="240"/>
              <w:contextualSpacing/>
              <w:mirrorIndents/>
              <w:rPr>
                <w:rFonts w:cs="Times New Roman"/>
                <w:szCs w:val="24"/>
              </w:rPr>
            </w:pPr>
            <w:r>
              <w:rPr>
                <w:rFonts w:cs="Times New Roman"/>
                <w:szCs w:val="24"/>
              </w:rPr>
              <w:lastRenderedPageBreak/>
              <w:t>§ 61.</w:t>
            </w:r>
          </w:p>
          <w:p w14:paraId="44E77C33" w14:textId="7A6BFBC1" w:rsidR="00570BFC" w:rsidRPr="00825A01" w:rsidRDefault="00570BFC" w:rsidP="005F58A0">
            <w:pPr>
              <w:spacing w:after="240"/>
              <w:contextualSpacing/>
              <w:mirrorIndents/>
              <w:rPr>
                <w:rFonts w:cs="Times New Roman"/>
                <w:szCs w:val="24"/>
              </w:rPr>
            </w:pPr>
            <w:r>
              <w:rPr>
                <w:rFonts w:cs="Times New Roman"/>
                <w:szCs w:val="24"/>
              </w:rPr>
              <w:lastRenderedPageBreak/>
              <w:t>Stk. 2. ---</w:t>
            </w:r>
          </w:p>
        </w:tc>
        <w:tc>
          <w:tcPr>
            <w:tcW w:w="4607" w:type="dxa"/>
          </w:tcPr>
          <w:p w14:paraId="793818BF" w14:textId="77777777" w:rsidR="00C337A7" w:rsidRDefault="00C337A7" w:rsidP="005F58A0">
            <w:pPr>
              <w:spacing w:after="240"/>
              <w:contextualSpacing/>
              <w:mirrorIndents/>
              <w:rPr>
                <w:rFonts w:cs="Times New Roman"/>
                <w:szCs w:val="24"/>
              </w:rPr>
            </w:pPr>
            <w:r>
              <w:rPr>
                <w:rFonts w:cs="Times New Roman"/>
                <w:b/>
                <w:szCs w:val="24"/>
              </w:rPr>
              <w:lastRenderedPageBreak/>
              <w:t xml:space="preserve">3. </w:t>
            </w:r>
            <w:r w:rsidR="00570BFC">
              <w:rPr>
                <w:rFonts w:cs="Times New Roman"/>
                <w:szCs w:val="24"/>
              </w:rPr>
              <w:t>I § 61 indsættes efter stk. 2 som nyt stykke:</w:t>
            </w:r>
          </w:p>
          <w:p w14:paraId="24267E79" w14:textId="77777777" w:rsidR="00570BFC" w:rsidRDefault="00570BFC" w:rsidP="005F58A0">
            <w:pPr>
              <w:spacing w:after="240"/>
              <w:contextualSpacing/>
              <w:mirrorIndents/>
              <w:rPr>
                <w:rFonts w:cs="Times New Roman"/>
                <w:szCs w:val="24"/>
              </w:rPr>
            </w:pPr>
          </w:p>
          <w:p w14:paraId="7F948F75" w14:textId="501F4667" w:rsidR="00570BFC" w:rsidRPr="00825A01" w:rsidRDefault="00570BFC" w:rsidP="005F58A0">
            <w:pPr>
              <w:spacing w:after="240"/>
              <w:contextualSpacing/>
              <w:mirrorIndents/>
              <w:rPr>
                <w:rFonts w:cs="Times New Roman"/>
                <w:szCs w:val="24"/>
              </w:rPr>
            </w:pPr>
            <w:r w:rsidRPr="002F6CBE">
              <w:rPr>
                <w:i/>
              </w:rPr>
              <w:t>»</w:t>
            </w:r>
            <w:r>
              <w:rPr>
                <w:rFonts w:cs="Times New Roman"/>
                <w:i/>
                <w:szCs w:val="24"/>
              </w:rPr>
              <w:t xml:space="preserve">Stk. 3. </w:t>
            </w:r>
            <w:r>
              <w:rPr>
                <w:rFonts w:cs="Times New Roman"/>
                <w:szCs w:val="24"/>
              </w:rPr>
              <w:t>For erstatningsfastsættelser efter § 24 a, finder § 64 e anvendelse.</w:t>
            </w:r>
            <w:r>
              <w:t>«</w:t>
            </w:r>
          </w:p>
        </w:tc>
      </w:tr>
      <w:tr w:rsidR="005F58A0" w:rsidRPr="003E4DDD" w14:paraId="31CB2488" w14:textId="77777777" w:rsidTr="005F58A0">
        <w:tc>
          <w:tcPr>
            <w:tcW w:w="3610" w:type="dxa"/>
          </w:tcPr>
          <w:p w14:paraId="653A7F29" w14:textId="0EAC4CB5" w:rsidR="005F58A0" w:rsidRPr="00F0590C" w:rsidRDefault="005F58A0" w:rsidP="005F58A0">
            <w:pPr>
              <w:spacing w:after="240"/>
              <w:jc w:val="left"/>
              <w:rPr>
                <w:rFonts w:eastAsia="Calibri" w:cs="Times New Roman"/>
                <w:szCs w:val="24"/>
              </w:rPr>
            </w:pPr>
          </w:p>
        </w:tc>
        <w:tc>
          <w:tcPr>
            <w:tcW w:w="4607" w:type="dxa"/>
          </w:tcPr>
          <w:p w14:paraId="2AAEB33D" w14:textId="68E366C4" w:rsidR="005F58A0" w:rsidRDefault="00C337A7" w:rsidP="005F58A0">
            <w:pPr>
              <w:spacing w:after="240"/>
              <w:contextualSpacing/>
              <w:mirrorIndents/>
              <w:rPr>
                <w:rFonts w:cs="Times New Roman"/>
                <w:szCs w:val="24"/>
              </w:rPr>
            </w:pPr>
            <w:r>
              <w:rPr>
                <w:rFonts w:cs="Times New Roman"/>
                <w:b/>
                <w:szCs w:val="24"/>
              </w:rPr>
              <w:t>4</w:t>
            </w:r>
            <w:r w:rsidR="005F58A0">
              <w:rPr>
                <w:rFonts w:cs="Times New Roman"/>
                <w:b/>
                <w:szCs w:val="24"/>
              </w:rPr>
              <w:t xml:space="preserve">. </w:t>
            </w:r>
            <w:r w:rsidR="005F58A0">
              <w:rPr>
                <w:rFonts w:cs="Times New Roman"/>
                <w:szCs w:val="24"/>
              </w:rPr>
              <w:t xml:space="preserve">Efter </w:t>
            </w:r>
            <w:r w:rsidR="005F58A0">
              <w:rPr>
                <w:rFonts w:cs="Times New Roman"/>
                <w:i/>
                <w:szCs w:val="24"/>
              </w:rPr>
              <w:t xml:space="preserve">§ 64 d </w:t>
            </w:r>
            <w:r w:rsidR="005F58A0">
              <w:rPr>
                <w:rFonts w:cs="Times New Roman"/>
                <w:szCs w:val="24"/>
              </w:rPr>
              <w:t>indsættes:</w:t>
            </w:r>
          </w:p>
          <w:p w14:paraId="3813B273" w14:textId="77777777" w:rsidR="00C337A7" w:rsidRDefault="005F58A0" w:rsidP="00C337A7">
            <w:r w:rsidRPr="002F6CBE">
              <w:rPr>
                <w:i/>
              </w:rPr>
              <w:t>»</w:t>
            </w:r>
            <w:r w:rsidRPr="005F58A0">
              <w:rPr>
                <w:rFonts w:cs="Times New Roman"/>
                <w:i/>
                <w:szCs w:val="24"/>
              </w:rPr>
              <w:t>§ 64 e</w:t>
            </w:r>
            <w:r>
              <w:rPr>
                <w:rFonts w:cs="Times New Roman"/>
                <w:i/>
                <w:szCs w:val="24"/>
              </w:rPr>
              <w:t>.</w:t>
            </w:r>
            <w:r w:rsidRPr="00C13733">
              <w:t xml:space="preserve"> </w:t>
            </w:r>
            <w:r w:rsidR="00C337A7" w:rsidRPr="00C13733">
              <w:t>Erstatning efter § 24 a betales af de brugere af vandet, der har fordel af påbuddet eller forbuddet.</w:t>
            </w:r>
          </w:p>
          <w:p w14:paraId="701CA020" w14:textId="284C32FE" w:rsidR="00C337A7" w:rsidRPr="00825A01" w:rsidRDefault="00C337A7" w:rsidP="00825A01">
            <w:pPr>
              <w:ind w:firstLine="284"/>
              <w:rPr>
                <w:rFonts w:eastAsia="Calibri" w:cs="Times New Roman"/>
                <w:szCs w:val="24"/>
              </w:rPr>
            </w:pPr>
            <w:r w:rsidRPr="00354749">
              <w:rPr>
                <w:i/>
              </w:rPr>
              <w:t xml:space="preserve">Stk. 2. </w:t>
            </w:r>
            <w:r w:rsidRPr="00C13733">
              <w:t xml:space="preserve">Ved påbud eller forbud efter § 24 a, </w:t>
            </w:r>
            <w:r w:rsidRPr="00825A01">
              <w:rPr>
                <w:rFonts w:eastAsia="Calibri" w:cs="Times New Roman"/>
                <w:szCs w:val="24"/>
              </w:rPr>
              <w:t>træffer kommunalbestyrelsen samtidig afgørelse om erstatningens størrelse. Ved kommunalbestyrelsens</w:t>
            </w:r>
            <w:r w:rsidR="00825A01">
              <w:rPr>
                <w:rFonts w:eastAsia="Calibri" w:cs="Times New Roman"/>
                <w:szCs w:val="24"/>
              </w:rPr>
              <w:t xml:space="preserve"> </w:t>
            </w:r>
            <w:r w:rsidRPr="00825A01">
              <w:rPr>
                <w:rFonts w:eastAsia="Calibri" w:cs="Times New Roman"/>
                <w:szCs w:val="24"/>
              </w:rPr>
              <w:t>behandling af sagen finder lov om offentlige veje §§ 103, 104 og 113, § 119, stk. 2-4, og §§ 120 og 121 tilsvarende anvendelse.</w:t>
            </w:r>
          </w:p>
          <w:p w14:paraId="1537EA7B" w14:textId="6AE39A74" w:rsidR="00C337A7" w:rsidRPr="00C13733" w:rsidRDefault="00C337A7" w:rsidP="00C337A7">
            <w:pPr>
              <w:ind w:firstLine="284"/>
            </w:pPr>
            <w:r w:rsidRPr="000E00A8">
              <w:rPr>
                <w:i/>
              </w:rPr>
              <w:t>Stk. 3.</w:t>
            </w:r>
            <w:r w:rsidRPr="00C13733">
              <w:t xml:space="preserve"> Kommunalbestyrelsens afgørelse om erstatning kan indbringes af grundejeren og vandforsyningen for de taksationsmyndigheder, der fremgår af lov om offentlige veje §§ 105 og 106. Klagefristen er 4 uger efter, at afgørelsen er meddelt. For taksationsmyndighedernes behandling af sagen finder </w:t>
            </w:r>
            <w:r>
              <w:t>lov om offentlige veje</w:t>
            </w:r>
            <w:r w:rsidRPr="00C13733">
              <w:t xml:space="preserve"> §§ 103</w:t>
            </w:r>
            <w:r>
              <w:t xml:space="preserve">, </w:t>
            </w:r>
            <w:r w:rsidRPr="00C13733">
              <w:t>104 og 107-122 tilsvarende anvendelse.</w:t>
            </w:r>
            <w:r w:rsidR="00F83ECE">
              <w:t xml:space="preserve"> Taksationsmyndighedernes udgifter ved sagens behandling, bortset fra vederlag til formænd og sekretærer, betales af vandforsyningen.</w:t>
            </w:r>
          </w:p>
          <w:p w14:paraId="1D2B3818" w14:textId="77777777" w:rsidR="00C337A7" w:rsidRPr="00C13733" w:rsidRDefault="00C337A7" w:rsidP="00C337A7">
            <w:pPr>
              <w:ind w:firstLine="284"/>
            </w:pPr>
            <w:r w:rsidRPr="00354749">
              <w:rPr>
                <w:i/>
              </w:rPr>
              <w:t>Stk. 4.</w:t>
            </w:r>
            <w:r w:rsidRPr="00C13733">
              <w:t xml:space="preserve"> En klage over afgørelse om erstatningens størrelse har ikke opsættende virkning.</w:t>
            </w:r>
          </w:p>
          <w:p w14:paraId="102D3807" w14:textId="245920C6" w:rsidR="005F58A0" w:rsidRPr="00780E55" w:rsidRDefault="00C337A7" w:rsidP="00825A01">
            <w:pPr>
              <w:ind w:firstLine="284"/>
              <w:rPr>
                <w:rFonts w:eastAsia="Calibri" w:cs="Times New Roman"/>
                <w:szCs w:val="24"/>
              </w:rPr>
            </w:pPr>
            <w:r w:rsidRPr="00354749">
              <w:rPr>
                <w:i/>
              </w:rPr>
              <w:t>Stk. 5.</w:t>
            </w:r>
            <w:r w:rsidRPr="00C13733">
              <w:t xml:space="preserve"> Erstatningen efter stk. 2 udbetales af vandforsyningen </w:t>
            </w:r>
            <w:r>
              <w:t xml:space="preserve">senest på samme tidspunkt som </w:t>
            </w:r>
            <w:r w:rsidRPr="00C13733">
              <w:t xml:space="preserve">et påbud eller forbud efter § 24 a skal efterkommes. </w:t>
            </w:r>
            <w:r>
              <w:t>Omgør</w:t>
            </w:r>
            <w:r w:rsidRPr="00C13733">
              <w:t xml:space="preserve"> taksationsmyndighederne</w:t>
            </w:r>
            <w:r>
              <w:t xml:space="preserve"> kommunalbestyrelsens</w:t>
            </w:r>
            <w:r w:rsidRPr="00C13733">
              <w:t xml:space="preserve"> afgørelse om erstatningens størrelse,</w:t>
            </w:r>
            <w:r>
              <w:t xml:space="preserve"> jf. stk. 3,</w:t>
            </w:r>
            <w:r w:rsidRPr="00C13733">
              <w:t xml:space="preserve"> efterregulere</w:t>
            </w:r>
            <w:r>
              <w:t>r vandforsyningen</w:t>
            </w:r>
            <w:r w:rsidRPr="00C13733">
              <w:t xml:space="preserve"> </w:t>
            </w:r>
            <w:r>
              <w:t xml:space="preserve">uden unødigt ophold </w:t>
            </w:r>
            <w:r w:rsidRPr="00C13733">
              <w:t>det</w:t>
            </w:r>
            <w:r>
              <w:t xml:space="preserve"> allerede</w:t>
            </w:r>
            <w:r w:rsidRPr="00C13733">
              <w:t xml:space="preserve"> </w:t>
            </w:r>
            <w:r>
              <w:t>udbetalte beløb.</w:t>
            </w:r>
            <w:r w:rsidR="00570BFC">
              <w:t>«</w:t>
            </w:r>
          </w:p>
        </w:tc>
      </w:tr>
      <w:tr w:rsidR="005F58A0" w:rsidRPr="003E4DDD" w14:paraId="28CFED90" w14:textId="77777777" w:rsidTr="005F58A0">
        <w:tc>
          <w:tcPr>
            <w:tcW w:w="3610" w:type="dxa"/>
          </w:tcPr>
          <w:p w14:paraId="29E980A0" w14:textId="16C18D00" w:rsidR="005F58A0" w:rsidRDefault="00ED26B5" w:rsidP="005F58A0">
            <w:pPr>
              <w:spacing w:after="240"/>
              <w:contextualSpacing/>
              <w:mirrorIndents/>
              <w:rPr>
                <w:rFonts w:cs="Times New Roman"/>
                <w:szCs w:val="24"/>
              </w:rPr>
            </w:pPr>
            <w:r>
              <w:rPr>
                <w:rFonts w:cs="Times New Roman"/>
                <w:szCs w:val="24"/>
              </w:rPr>
              <w:t>§ 95. ---</w:t>
            </w:r>
          </w:p>
          <w:p w14:paraId="48AF26DC" w14:textId="77777777" w:rsidR="00ED26B5" w:rsidRPr="00ED26B5" w:rsidRDefault="00ED26B5" w:rsidP="005F58A0">
            <w:pPr>
              <w:spacing w:after="240"/>
              <w:contextualSpacing/>
              <w:mirrorIndents/>
              <w:rPr>
                <w:rFonts w:cs="Times New Roman"/>
                <w:i/>
                <w:szCs w:val="24"/>
              </w:rPr>
            </w:pPr>
            <w:r w:rsidRPr="00ED26B5">
              <w:rPr>
                <w:rFonts w:cs="Times New Roman"/>
                <w:i/>
                <w:szCs w:val="24"/>
              </w:rPr>
              <w:t>Stk. 1. ---</w:t>
            </w:r>
          </w:p>
          <w:p w14:paraId="6A474FF5" w14:textId="4DA3916F" w:rsidR="00ED26B5" w:rsidRDefault="00ED26B5" w:rsidP="005F58A0">
            <w:pPr>
              <w:spacing w:after="240"/>
              <w:contextualSpacing/>
              <w:mirrorIndents/>
              <w:rPr>
                <w:rFonts w:cs="Times New Roman"/>
                <w:szCs w:val="24"/>
              </w:rPr>
            </w:pPr>
            <w:r>
              <w:rPr>
                <w:rFonts w:cs="Times New Roman"/>
                <w:i/>
                <w:szCs w:val="24"/>
              </w:rPr>
              <w:lastRenderedPageBreak/>
              <w:t xml:space="preserve">Stk. 2. </w:t>
            </w:r>
            <w:r>
              <w:rPr>
                <w:rFonts w:cs="Times New Roman"/>
                <w:szCs w:val="24"/>
              </w:rPr>
              <w:t>Når der efter § 78 er truffet afgørelse om, at et påbud eller forbud skal efterkommes straks, skal påbuddet eller forbuddet efterkommes, medmindre Miljø- og Fødevareklagenævnet bestemmer andet.</w:t>
            </w:r>
          </w:p>
          <w:p w14:paraId="170F2E30" w14:textId="54CFAA1C" w:rsidR="00ED26B5" w:rsidRDefault="00ED26B5" w:rsidP="005F58A0">
            <w:pPr>
              <w:spacing w:after="240"/>
              <w:contextualSpacing/>
              <w:mirrorIndents/>
              <w:rPr>
                <w:rFonts w:cs="Times New Roman"/>
                <w:szCs w:val="24"/>
              </w:rPr>
            </w:pPr>
            <w:r>
              <w:rPr>
                <w:rFonts w:cs="Times New Roman"/>
                <w:i/>
                <w:szCs w:val="24"/>
              </w:rPr>
              <w:t xml:space="preserve">Stk. 3. </w:t>
            </w:r>
            <w:r>
              <w:rPr>
                <w:rFonts w:cs="Times New Roman"/>
                <w:szCs w:val="24"/>
              </w:rPr>
              <w:t xml:space="preserve">Klage over vilkår om sikkerhedsstillelse truffet efter regler udstedt med hjemmel i § 39 b, stk. 2, har ikke opsættende virkning, medmindre Miljø- og </w:t>
            </w:r>
            <w:r w:rsidR="005C6CC7">
              <w:rPr>
                <w:rFonts w:cs="Times New Roman"/>
                <w:szCs w:val="24"/>
              </w:rPr>
              <w:t>Fødevareklagenævnet bestemmer andet.</w:t>
            </w:r>
          </w:p>
          <w:p w14:paraId="594553E4" w14:textId="0ADFCEF0" w:rsidR="00ED26B5" w:rsidRPr="00ED26B5" w:rsidRDefault="005C6CC7" w:rsidP="005F58A0">
            <w:pPr>
              <w:spacing w:after="240"/>
              <w:contextualSpacing/>
              <w:mirrorIndents/>
              <w:rPr>
                <w:rFonts w:cs="Times New Roman"/>
                <w:szCs w:val="24"/>
              </w:rPr>
            </w:pPr>
            <w:r>
              <w:rPr>
                <w:rFonts w:cs="Times New Roman"/>
                <w:i/>
                <w:szCs w:val="24"/>
              </w:rPr>
              <w:t xml:space="preserve">Stk. 4. </w:t>
            </w:r>
            <w:r>
              <w:rPr>
                <w:rFonts w:cs="Times New Roman"/>
                <w:szCs w:val="24"/>
              </w:rPr>
              <w:t>Klage over afgørelser efter § 70 a og § 70 b har opsættende virkning, medmindre Miljø- og Fødevareklagenævnet bestemmer andet.</w:t>
            </w:r>
          </w:p>
        </w:tc>
        <w:tc>
          <w:tcPr>
            <w:tcW w:w="4607" w:type="dxa"/>
          </w:tcPr>
          <w:p w14:paraId="61FFFDED" w14:textId="76EA4EAF" w:rsidR="00ED26B5" w:rsidRDefault="00C337A7" w:rsidP="00ED26B5">
            <w:pPr>
              <w:spacing w:after="240"/>
              <w:rPr>
                <w:rFonts w:eastAsia="Calibri" w:cs="Times New Roman"/>
                <w:szCs w:val="24"/>
              </w:rPr>
            </w:pPr>
            <w:r>
              <w:rPr>
                <w:rFonts w:eastAsia="Calibri" w:cs="Times New Roman"/>
                <w:b/>
                <w:szCs w:val="24"/>
              </w:rPr>
              <w:lastRenderedPageBreak/>
              <w:t>5</w:t>
            </w:r>
            <w:r w:rsidR="00ED26B5" w:rsidRPr="00ED26B5">
              <w:rPr>
                <w:rFonts w:eastAsia="Calibri" w:cs="Times New Roman"/>
                <w:b/>
                <w:szCs w:val="24"/>
              </w:rPr>
              <w:t>.</w:t>
            </w:r>
            <w:r w:rsidR="00ED26B5">
              <w:rPr>
                <w:rFonts w:eastAsia="Calibri" w:cs="Times New Roman"/>
                <w:szCs w:val="24"/>
              </w:rPr>
              <w:t xml:space="preserve"> I </w:t>
            </w:r>
            <w:r w:rsidR="00ED26B5" w:rsidRPr="00EC0804">
              <w:rPr>
                <w:rFonts w:eastAsia="Calibri" w:cs="Times New Roman"/>
                <w:i/>
                <w:szCs w:val="24"/>
              </w:rPr>
              <w:t>§ 95</w:t>
            </w:r>
            <w:r w:rsidR="00ED26B5">
              <w:rPr>
                <w:rFonts w:eastAsia="Calibri" w:cs="Times New Roman"/>
                <w:szCs w:val="24"/>
              </w:rPr>
              <w:t xml:space="preserve"> indsættes efter stk. 2 som nyt </w:t>
            </w:r>
            <w:r w:rsidR="00ED26B5" w:rsidRPr="00EC0804">
              <w:rPr>
                <w:rFonts w:eastAsia="Calibri" w:cs="Times New Roman"/>
                <w:i/>
                <w:szCs w:val="24"/>
              </w:rPr>
              <w:t>stk. 3</w:t>
            </w:r>
            <w:r w:rsidR="00ED26B5">
              <w:rPr>
                <w:rFonts w:eastAsia="Calibri" w:cs="Times New Roman"/>
                <w:szCs w:val="24"/>
              </w:rPr>
              <w:t>:</w:t>
            </w:r>
          </w:p>
          <w:p w14:paraId="34BD5B18" w14:textId="77777777" w:rsidR="00ED26B5" w:rsidRDefault="00ED26B5" w:rsidP="00ED26B5">
            <w:pPr>
              <w:spacing w:after="240"/>
            </w:pPr>
            <w:r w:rsidRPr="00A84377">
              <w:lastRenderedPageBreak/>
              <w:t>»</w:t>
            </w:r>
            <w:r w:rsidRPr="00ED5D79">
              <w:rPr>
                <w:rFonts w:eastAsia="Calibri" w:cs="Times New Roman"/>
                <w:i/>
                <w:szCs w:val="24"/>
              </w:rPr>
              <w:t>Stk. 3.</w:t>
            </w:r>
            <w:r>
              <w:rPr>
                <w:rFonts w:eastAsia="Calibri" w:cs="Times New Roman"/>
                <w:szCs w:val="24"/>
              </w:rPr>
              <w:t xml:space="preserve"> Klage over påbud eller forbud efter § 24 a har ikke opsættende virkning, medmindre Miljø- og Fødevareklagenævnet bestemmer andet.</w:t>
            </w:r>
            <w:r>
              <w:t>«</w:t>
            </w:r>
          </w:p>
          <w:p w14:paraId="53B02D8A" w14:textId="5F5C7412" w:rsidR="005F58A0" w:rsidRPr="00E60DCE" w:rsidRDefault="00ED26B5" w:rsidP="00ED26B5">
            <w:pPr>
              <w:spacing w:after="240"/>
              <w:contextualSpacing/>
              <w:mirrorIndents/>
              <w:rPr>
                <w:rFonts w:cs="Times New Roman"/>
                <w:szCs w:val="24"/>
              </w:rPr>
            </w:pPr>
            <w:r>
              <w:rPr>
                <w:rFonts w:eastAsia="Calibri" w:cs="Times New Roman"/>
                <w:szCs w:val="24"/>
              </w:rPr>
              <w:t>Stk. 3 og 4 bliver herefter til stk. 4 og 5.</w:t>
            </w:r>
          </w:p>
        </w:tc>
      </w:tr>
    </w:tbl>
    <w:p w14:paraId="2F7E245C" w14:textId="77777777" w:rsidR="00FD1A50" w:rsidRDefault="00FD1A50" w:rsidP="00C337A7">
      <w:pPr>
        <w:spacing w:after="240"/>
      </w:pPr>
    </w:p>
    <w:sectPr w:rsidR="00FD1A50" w:rsidSect="00D712BA">
      <w:headerReference w:type="default" r:id="rId14"/>
      <w:footerReference w:type="default" r:id="rId15"/>
      <w:headerReference w:type="first" r:id="rId16"/>
      <w:pgSz w:w="11906" w:h="16838" w:code="9"/>
      <w:pgMar w:top="1418" w:right="3260"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7D1DB" w14:textId="77777777" w:rsidR="00665592" w:rsidRDefault="00665592" w:rsidP="00D712BA">
      <w:pPr>
        <w:spacing w:line="240" w:lineRule="auto"/>
      </w:pPr>
      <w:r>
        <w:separator/>
      </w:r>
    </w:p>
  </w:endnote>
  <w:endnote w:type="continuationSeparator" w:id="0">
    <w:p w14:paraId="35228369" w14:textId="77777777" w:rsidR="00665592" w:rsidRDefault="00665592" w:rsidP="00D71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8444" w:tblpY="15724"/>
      <w:tblOverlap w:val="never"/>
      <w:tblW w:w="1418" w:type="dxa"/>
      <w:tblCellMar>
        <w:left w:w="0" w:type="dxa"/>
        <w:right w:w="0" w:type="dxa"/>
      </w:tblCellMar>
      <w:tblLook w:val="04A0" w:firstRow="1" w:lastRow="0" w:firstColumn="1" w:lastColumn="0" w:noHBand="0" w:noVBand="1"/>
    </w:tblPr>
    <w:tblGrid>
      <w:gridCol w:w="1418"/>
    </w:tblGrid>
    <w:tr w:rsidR="00E364F5" w14:paraId="4AF8AD19" w14:textId="77777777" w:rsidTr="007112C6">
      <w:trPr>
        <w:trHeight w:val="255"/>
      </w:trPr>
      <w:tc>
        <w:tcPr>
          <w:tcW w:w="1418" w:type="dxa"/>
          <w:hideMark/>
        </w:tcPr>
        <w:p w14:paraId="283D1919" w14:textId="633F5166" w:rsidR="00E364F5" w:rsidRPr="006A1B98" w:rsidRDefault="00E364F5">
          <w:pPr>
            <w:pStyle w:val="Sidefod"/>
            <w:rPr>
              <w:sz w:val="16"/>
              <w:szCs w:val="16"/>
            </w:rPr>
          </w:pPr>
          <w:r w:rsidRPr="006A1B98">
            <w:rPr>
              <w:rStyle w:val="Sidetal"/>
              <w:sz w:val="16"/>
              <w:szCs w:val="16"/>
            </w:rPr>
            <w:fldChar w:fldCharType="begin"/>
          </w:r>
          <w:r w:rsidRPr="006A1B98">
            <w:rPr>
              <w:rStyle w:val="Sidetal"/>
              <w:sz w:val="16"/>
              <w:szCs w:val="16"/>
            </w:rPr>
            <w:instrText xml:space="preserve"> PAGE </w:instrText>
          </w:r>
          <w:r w:rsidRPr="006A1B98">
            <w:rPr>
              <w:rStyle w:val="Sidetal"/>
              <w:sz w:val="16"/>
              <w:szCs w:val="16"/>
            </w:rPr>
            <w:fldChar w:fldCharType="separate"/>
          </w:r>
          <w:r>
            <w:rPr>
              <w:rStyle w:val="Sidetal"/>
              <w:noProof/>
              <w:sz w:val="16"/>
              <w:szCs w:val="16"/>
            </w:rPr>
            <w:t>16</w:t>
          </w:r>
          <w:r w:rsidRPr="006A1B98">
            <w:rPr>
              <w:rStyle w:val="Sidetal"/>
              <w:sz w:val="16"/>
              <w:szCs w:val="16"/>
            </w:rPr>
            <w:fldChar w:fldCharType="end"/>
          </w:r>
        </w:p>
      </w:tc>
    </w:tr>
  </w:tbl>
  <w:p w14:paraId="411569D4" w14:textId="77777777" w:rsidR="00E364F5" w:rsidRDefault="00E364F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8444" w:tblpY="15724"/>
      <w:tblOverlap w:val="never"/>
      <w:tblW w:w="1418" w:type="dxa"/>
      <w:tblCellMar>
        <w:left w:w="0" w:type="dxa"/>
        <w:right w:w="0" w:type="dxa"/>
      </w:tblCellMar>
      <w:tblLook w:val="04A0" w:firstRow="1" w:lastRow="0" w:firstColumn="1" w:lastColumn="0" w:noHBand="0" w:noVBand="1"/>
    </w:tblPr>
    <w:tblGrid>
      <w:gridCol w:w="1418"/>
    </w:tblGrid>
    <w:tr w:rsidR="00E364F5" w14:paraId="7F76B5C2" w14:textId="77777777" w:rsidTr="007112C6">
      <w:trPr>
        <w:trHeight w:val="255"/>
      </w:trPr>
      <w:tc>
        <w:tcPr>
          <w:tcW w:w="1418" w:type="dxa"/>
          <w:hideMark/>
        </w:tcPr>
        <w:p w14:paraId="6244AB91" w14:textId="7BDBB704" w:rsidR="00E364F5" w:rsidRPr="006A1B98" w:rsidRDefault="00E364F5">
          <w:pPr>
            <w:pStyle w:val="Sidefod"/>
            <w:rPr>
              <w:sz w:val="16"/>
              <w:szCs w:val="16"/>
            </w:rPr>
          </w:pPr>
          <w:r w:rsidRPr="006A1B98">
            <w:rPr>
              <w:rStyle w:val="Sidetal"/>
              <w:sz w:val="16"/>
              <w:szCs w:val="16"/>
            </w:rPr>
            <w:fldChar w:fldCharType="begin"/>
          </w:r>
          <w:r w:rsidRPr="006A1B98">
            <w:rPr>
              <w:rStyle w:val="Sidetal"/>
              <w:sz w:val="16"/>
              <w:szCs w:val="16"/>
            </w:rPr>
            <w:instrText xml:space="preserve"> PAGE </w:instrText>
          </w:r>
          <w:r w:rsidRPr="006A1B98">
            <w:rPr>
              <w:rStyle w:val="Sidetal"/>
              <w:sz w:val="16"/>
              <w:szCs w:val="16"/>
            </w:rPr>
            <w:fldChar w:fldCharType="separate"/>
          </w:r>
          <w:r>
            <w:rPr>
              <w:rStyle w:val="Sidetal"/>
              <w:noProof/>
              <w:sz w:val="16"/>
              <w:szCs w:val="16"/>
            </w:rPr>
            <w:t>48</w:t>
          </w:r>
          <w:r w:rsidRPr="006A1B98">
            <w:rPr>
              <w:rStyle w:val="Sidetal"/>
              <w:sz w:val="16"/>
              <w:szCs w:val="16"/>
            </w:rPr>
            <w:fldChar w:fldCharType="end"/>
          </w:r>
        </w:p>
      </w:tc>
    </w:tr>
  </w:tbl>
  <w:p w14:paraId="0827DCC0" w14:textId="77777777" w:rsidR="00E364F5" w:rsidRDefault="00E364F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01F8A" w14:textId="77777777" w:rsidR="00665592" w:rsidRDefault="00665592" w:rsidP="00D712BA">
      <w:pPr>
        <w:spacing w:line="240" w:lineRule="auto"/>
      </w:pPr>
      <w:r>
        <w:separator/>
      </w:r>
    </w:p>
  </w:footnote>
  <w:footnote w:type="continuationSeparator" w:id="0">
    <w:p w14:paraId="7B7D5CA4" w14:textId="77777777" w:rsidR="00665592" w:rsidRDefault="00665592" w:rsidP="00D71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9C9C6" w14:textId="77777777" w:rsidR="00E364F5" w:rsidRDefault="00E364F5">
    <w:pPr>
      <w:pStyle w:val="Sidehoved"/>
    </w:pPr>
  </w:p>
  <w:p w14:paraId="764E7483" w14:textId="77777777" w:rsidR="00E364F5" w:rsidRPr="004A7268" w:rsidRDefault="00E364F5" w:rsidP="004A7268">
    <w:pPr>
      <w:pStyle w:val="Sidehoved"/>
      <w:jc w:val="center"/>
      <w:rPr>
        <w:b/>
      </w:rPr>
    </w:pPr>
    <w:r w:rsidRPr="004A7268">
      <w:rPr>
        <w:b/>
      </w:rPr>
      <w:t>UDKAST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58EFA" w14:textId="77777777" w:rsidR="00E364F5" w:rsidRDefault="00E364F5">
    <w:pPr>
      <w:pStyle w:val="Sidehoved"/>
    </w:pPr>
  </w:p>
  <w:p w14:paraId="6DEAFF62" w14:textId="77777777" w:rsidR="00E364F5" w:rsidRPr="004A7268" w:rsidRDefault="00E364F5" w:rsidP="004A7268">
    <w:pPr>
      <w:pStyle w:val="Sidehoved"/>
      <w:jc w:val="center"/>
      <w:rPr>
        <w:b/>
      </w:rPr>
    </w:pPr>
    <w:r w:rsidRPr="004A7268">
      <w:rPr>
        <w:b/>
      </w:rPr>
      <w:t>UDKAST</w:t>
    </w:r>
  </w:p>
  <w:p w14:paraId="6B544863" w14:textId="77777777" w:rsidR="00E364F5" w:rsidRDefault="00E364F5">
    <w:pPr>
      <w:pStyle w:val="Sidehoved"/>
    </w:pPr>
  </w:p>
  <w:p w14:paraId="1B69EC7D" w14:textId="77777777" w:rsidR="00E364F5" w:rsidRDefault="00E364F5" w:rsidP="00B60A17">
    <w:pPr>
      <w:pStyle w:val="Sidehoved"/>
      <w:tabs>
        <w:tab w:val="clear" w:pos="4819"/>
        <w:tab w:val="clear" w:pos="9638"/>
        <w:tab w:val="left" w:pos="2070"/>
      </w:tabs>
    </w:pPr>
  </w:p>
  <w:p w14:paraId="49A227E3" w14:textId="77777777" w:rsidR="00E364F5" w:rsidRDefault="00E364F5">
    <w:pPr>
      <w:pStyle w:val="Sidehoved"/>
    </w:pPr>
  </w:p>
  <w:p w14:paraId="6CE11D4F" w14:textId="77777777" w:rsidR="00E364F5" w:rsidRDefault="00E364F5">
    <w:pPr>
      <w:pStyle w:val="Sidehoved"/>
    </w:pPr>
  </w:p>
  <w:p w14:paraId="132E447B" w14:textId="77777777" w:rsidR="00E364F5" w:rsidRDefault="00E364F5">
    <w:pPr>
      <w:pStyle w:val="Sidehoved"/>
    </w:pPr>
  </w:p>
  <w:p w14:paraId="7105E1FF" w14:textId="77777777" w:rsidR="00E364F5" w:rsidRDefault="00E364F5">
    <w:pPr>
      <w:pStyle w:val="Sidehoved"/>
    </w:pPr>
  </w:p>
  <w:p w14:paraId="09BBE023" w14:textId="77777777" w:rsidR="00E364F5" w:rsidRDefault="00E364F5" w:rsidP="00D712BA">
    <w:pPr>
      <w:pStyle w:val="Sidehoved"/>
      <w:spacing w:line="20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2D4A6" w14:textId="77777777" w:rsidR="00E364F5" w:rsidRDefault="00E364F5">
    <w:pPr>
      <w:pStyle w:val="Sidehoved"/>
    </w:pPr>
  </w:p>
  <w:p w14:paraId="1234E81B" w14:textId="77777777" w:rsidR="00E364F5" w:rsidRPr="004A7268" w:rsidRDefault="00E364F5" w:rsidP="004A7268">
    <w:pPr>
      <w:pStyle w:val="Sidehoved"/>
      <w:jc w:val="center"/>
      <w:rPr>
        <w:b/>
      </w:rPr>
    </w:pPr>
    <w:r w:rsidRPr="004A7268">
      <w:rPr>
        <w:b/>
      </w:rPr>
      <w:t>UDKAST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B4344" w14:textId="77777777" w:rsidR="00E364F5" w:rsidRDefault="00E364F5">
    <w:pPr>
      <w:pStyle w:val="Sidehoved"/>
    </w:pPr>
  </w:p>
  <w:p w14:paraId="4BD036AF" w14:textId="77777777" w:rsidR="00E364F5" w:rsidRPr="004A7268" w:rsidRDefault="00E364F5" w:rsidP="004A7268">
    <w:pPr>
      <w:pStyle w:val="Sidehoved"/>
      <w:jc w:val="center"/>
      <w:rPr>
        <w:b/>
      </w:rPr>
    </w:pPr>
    <w:r w:rsidRPr="004A7268">
      <w:rPr>
        <w:b/>
      </w:rPr>
      <w:t>UDKAST</w:t>
    </w:r>
  </w:p>
  <w:p w14:paraId="0DCEAD25" w14:textId="77777777" w:rsidR="00E364F5" w:rsidRDefault="00E364F5">
    <w:pPr>
      <w:pStyle w:val="Sidehoved"/>
    </w:pPr>
  </w:p>
  <w:p w14:paraId="4CD5288D" w14:textId="77777777" w:rsidR="00E364F5" w:rsidRDefault="00E364F5" w:rsidP="00B60A17">
    <w:pPr>
      <w:pStyle w:val="Sidehoved"/>
      <w:tabs>
        <w:tab w:val="clear" w:pos="4819"/>
        <w:tab w:val="clear" w:pos="9638"/>
        <w:tab w:val="left" w:pos="2070"/>
      </w:tabs>
    </w:pPr>
  </w:p>
  <w:p w14:paraId="28818756" w14:textId="77777777" w:rsidR="00E364F5" w:rsidRDefault="00E364F5">
    <w:pPr>
      <w:pStyle w:val="Sidehoved"/>
    </w:pPr>
  </w:p>
  <w:p w14:paraId="37CD39CA" w14:textId="77777777" w:rsidR="00E364F5" w:rsidRDefault="00E364F5">
    <w:pPr>
      <w:pStyle w:val="Sidehoved"/>
    </w:pPr>
  </w:p>
  <w:p w14:paraId="572EC755" w14:textId="77777777" w:rsidR="00E364F5" w:rsidRDefault="00E364F5">
    <w:pPr>
      <w:pStyle w:val="Sidehoved"/>
    </w:pPr>
  </w:p>
  <w:p w14:paraId="38A1F6A0" w14:textId="77777777" w:rsidR="00E364F5" w:rsidRDefault="00E364F5">
    <w:pPr>
      <w:pStyle w:val="Sidehoved"/>
    </w:pPr>
  </w:p>
  <w:p w14:paraId="387F1D6F" w14:textId="77777777" w:rsidR="00E364F5" w:rsidRDefault="00E364F5" w:rsidP="00D712BA">
    <w:pPr>
      <w:pStyle w:val="Sidehoved"/>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1C9CE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4957218"/>
    <w:multiLevelType w:val="hybridMultilevel"/>
    <w:tmpl w:val="936048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B204AD"/>
    <w:multiLevelType w:val="hybridMultilevel"/>
    <w:tmpl w:val="AE8003CC"/>
    <w:lvl w:ilvl="0" w:tplc="D9BC82EA">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17D158AC"/>
    <w:multiLevelType w:val="hybridMultilevel"/>
    <w:tmpl w:val="B358C962"/>
    <w:lvl w:ilvl="0" w:tplc="40DA5E44">
      <w:start w:val="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8110A31"/>
    <w:multiLevelType w:val="multilevel"/>
    <w:tmpl w:val="0EA062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CF46DF2"/>
    <w:multiLevelType w:val="hybridMultilevel"/>
    <w:tmpl w:val="BC7A1E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2E13E46"/>
    <w:multiLevelType w:val="hybridMultilevel"/>
    <w:tmpl w:val="24764C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BAD3AA8"/>
    <w:multiLevelType w:val="hybridMultilevel"/>
    <w:tmpl w:val="3D6A5CBC"/>
    <w:lvl w:ilvl="0" w:tplc="487E8588">
      <w:start w:val="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DF66DAF"/>
    <w:multiLevelType w:val="hybridMultilevel"/>
    <w:tmpl w:val="2B00198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8E37A1E"/>
    <w:multiLevelType w:val="hybridMultilevel"/>
    <w:tmpl w:val="D3201626"/>
    <w:lvl w:ilvl="0" w:tplc="D02EF970">
      <w:start w:val="1"/>
      <w:numFmt w:val="decimal"/>
      <w:lvlText w:val="%1)"/>
      <w:lvlJc w:val="left"/>
      <w:pPr>
        <w:ind w:left="644" w:hanging="360"/>
      </w:pPr>
      <w:rPr>
        <w:rFonts w:hint="default"/>
        <w:sz w:val="26"/>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0" w15:restartNumberingAfterBreak="0">
    <w:nsid w:val="4D7D699E"/>
    <w:multiLevelType w:val="hybridMultilevel"/>
    <w:tmpl w:val="2968CED4"/>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5F895B70"/>
    <w:multiLevelType w:val="hybridMultilevel"/>
    <w:tmpl w:val="187C90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25528A1"/>
    <w:multiLevelType w:val="hybridMultilevel"/>
    <w:tmpl w:val="BA028A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4EF6304"/>
    <w:multiLevelType w:val="hybridMultilevel"/>
    <w:tmpl w:val="619AC5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6005C5D"/>
    <w:multiLevelType w:val="multilevel"/>
    <w:tmpl w:val="3C8C2FE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C430ACC"/>
    <w:multiLevelType w:val="multilevel"/>
    <w:tmpl w:val="5DAAD0D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F101800"/>
    <w:multiLevelType w:val="hybridMultilevel"/>
    <w:tmpl w:val="468CE8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1760AF3"/>
    <w:multiLevelType w:val="hybridMultilevel"/>
    <w:tmpl w:val="D3201626"/>
    <w:lvl w:ilvl="0" w:tplc="D02EF970">
      <w:start w:val="1"/>
      <w:numFmt w:val="decimal"/>
      <w:lvlText w:val="%1)"/>
      <w:lvlJc w:val="left"/>
      <w:pPr>
        <w:ind w:left="644" w:hanging="360"/>
      </w:pPr>
      <w:rPr>
        <w:rFonts w:hint="default"/>
        <w:sz w:val="26"/>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8" w15:restartNumberingAfterBreak="0">
    <w:nsid w:val="747C03B7"/>
    <w:multiLevelType w:val="hybridMultilevel"/>
    <w:tmpl w:val="136A2F4A"/>
    <w:lvl w:ilvl="0" w:tplc="697E96F0">
      <w:start w:val="1"/>
      <w:numFmt w:val="decimal"/>
      <w:lvlText w:val="%1."/>
      <w:lvlJc w:val="left"/>
      <w:pPr>
        <w:ind w:left="720" w:hanging="360"/>
      </w:pPr>
      <w:rPr>
        <w:rFonts w:hint="default"/>
        <w:color w:val="0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9BC674D"/>
    <w:multiLevelType w:val="hybridMultilevel"/>
    <w:tmpl w:val="52BEBF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F924FD9"/>
    <w:multiLevelType w:val="hybridMultilevel"/>
    <w:tmpl w:val="3356C704"/>
    <w:lvl w:ilvl="0" w:tplc="8BD2985A">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FDA19CB"/>
    <w:multiLevelType w:val="hybridMultilevel"/>
    <w:tmpl w:val="F29254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FEF461A"/>
    <w:multiLevelType w:val="multilevel"/>
    <w:tmpl w:val="2244F532"/>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2"/>
  </w:num>
  <w:num w:numId="3">
    <w:abstractNumId w:val="10"/>
  </w:num>
  <w:num w:numId="4">
    <w:abstractNumId w:val="14"/>
  </w:num>
  <w:num w:numId="5">
    <w:abstractNumId w:val="22"/>
  </w:num>
  <w:num w:numId="6">
    <w:abstractNumId w:val="8"/>
  </w:num>
  <w:num w:numId="7">
    <w:abstractNumId w:val="17"/>
  </w:num>
  <w:num w:numId="8">
    <w:abstractNumId w:val="19"/>
  </w:num>
  <w:num w:numId="9">
    <w:abstractNumId w:val="16"/>
  </w:num>
  <w:num w:numId="10">
    <w:abstractNumId w:val="6"/>
  </w:num>
  <w:num w:numId="11">
    <w:abstractNumId w:val="13"/>
  </w:num>
  <w:num w:numId="12">
    <w:abstractNumId w:val="1"/>
  </w:num>
  <w:num w:numId="13">
    <w:abstractNumId w:val="11"/>
  </w:num>
  <w:num w:numId="14">
    <w:abstractNumId w:val="15"/>
  </w:num>
  <w:num w:numId="15">
    <w:abstractNumId w:val="12"/>
  </w:num>
  <w:num w:numId="16">
    <w:abstractNumId w:val="5"/>
  </w:num>
  <w:num w:numId="17">
    <w:abstractNumId w:val="7"/>
  </w:num>
  <w:num w:numId="18">
    <w:abstractNumId w:val="3"/>
  </w:num>
  <w:num w:numId="19">
    <w:abstractNumId w:val="18"/>
  </w:num>
  <w:num w:numId="20">
    <w:abstractNumId w:val="21"/>
  </w:num>
  <w:num w:numId="21">
    <w:abstractNumId w:val="20"/>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31D"/>
    <w:rsid w:val="00000199"/>
    <w:rsid w:val="000017DF"/>
    <w:rsid w:val="00001AD9"/>
    <w:rsid w:val="00001BC4"/>
    <w:rsid w:val="00003DAD"/>
    <w:rsid w:val="0000470D"/>
    <w:rsid w:val="0000520F"/>
    <w:rsid w:val="000055C2"/>
    <w:rsid w:val="0000784D"/>
    <w:rsid w:val="00010C00"/>
    <w:rsid w:val="00010F5A"/>
    <w:rsid w:val="000114F4"/>
    <w:rsid w:val="00011575"/>
    <w:rsid w:val="00014002"/>
    <w:rsid w:val="00014D43"/>
    <w:rsid w:val="00017256"/>
    <w:rsid w:val="00017296"/>
    <w:rsid w:val="00021F78"/>
    <w:rsid w:val="00024E00"/>
    <w:rsid w:val="00024F93"/>
    <w:rsid w:val="00026269"/>
    <w:rsid w:val="00026295"/>
    <w:rsid w:val="00026458"/>
    <w:rsid w:val="000264A1"/>
    <w:rsid w:val="00026C60"/>
    <w:rsid w:val="000313D4"/>
    <w:rsid w:val="00031D73"/>
    <w:rsid w:val="00032DCC"/>
    <w:rsid w:val="00033429"/>
    <w:rsid w:val="00033C70"/>
    <w:rsid w:val="0003431B"/>
    <w:rsid w:val="0003473E"/>
    <w:rsid w:val="00037565"/>
    <w:rsid w:val="000418F9"/>
    <w:rsid w:val="00042F78"/>
    <w:rsid w:val="00043BB5"/>
    <w:rsid w:val="000447C2"/>
    <w:rsid w:val="00045F48"/>
    <w:rsid w:val="0004609F"/>
    <w:rsid w:val="000500FD"/>
    <w:rsid w:val="0005100B"/>
    <w:rsid w:val="000523E2"/>
    <w:rsid w:val="00054F24"/>
    <w:rsid w:val="000563E0"/>
    <w:rsid w:val="000568EA"/>
    <w:rsid w:val="00057682"/>
    <w:rsid w:val="00057C85"/>
    <w:rsid w:val="00060107"/>
    <w:rsid w:val="00060A70"/>
    <w:rsid w:val="00061DE0"/>
    <w:rsid w:val="00065754"/>
    <w:rsid w:val="00066A0C"/>
    <w:rsid w:val="00067B0D"/>
    <w:rsid w:val="000708E9"/>
    <w:rsid w:val="00074877"/>
    <w:rsid w:val="00077730"/>
    <w:rsid w:val="00077B9E"/>
    <w:rsid w:val="0008033B"/>
    <w:rsid w:val="00082D9A"/>
    <w:rsid w:val="000834FD"/>
    <w:rsid w:val="00087AC7"/>
    <w:rsid w:val="00090343"/>
    <w:rsid w:val="00090627"/>
    <w:rsid w:val="000914D8"/>
    <w:rsid w:val="00092308"/>
    <w:rsid w:val="00092323"/>
    <w:rsid w:val="00092BA8"/>
    <w:rsid w:val="00096598"/>
    <w:rsid w:val="00096F50"/>
    <w:rsid w:val="000972E7"/>
    <w:rsid w:val="00097429"/>
    <w:rsid w:val="000A2ABD"/>
    <w:rsid w:val="000A2D49"/>
    <w:rsid w:val="000A37F3"/>
    <w:rsid w:val="000A3FC2"/>
    <w:rsid w:val="000A40ED"/>
    <w:rsid w:val="000A41D5"/>
    <w:rsid w:val="000A63D7"/>
    <w:rsid w:val="000A7234"/>
    <w:rsid w:val="000B057D"/>
    <w:rsid w:val="000B2ABD"/>
    <w:rsid w:val="000B3033"/>
    <w:rsid w:val="000B34E9"/>
    <w:rsid w:val="000B3A4C"/>
    <w:rsid w:val="000B46DB"/>
    <w:rsid w:val="000B50B2"/>
    <w:rsid w:val="000B5197"/>
    <w:rsid w:val="000B5607"/>
    <w:rsid w:val="000B6D89"/>
    <w:rsid w:val="000B7339"/>
    <w:rsid w:val="000C0A5E"/>
    <w:rsid w:val="000C13C9"/>
    <w:rsid w:val="000C1CD9"/>
    <w:rsid w:val="000C50E2"/>
    <w:rsid w:val="000C51C5"/>
    <w:rsid w:val="000C52E2"/>
    <w:rsid w:val="000C6056"/>
    <w:rsid w:val="000C6145"/>
    <w:rsid w:val="000C769A"/>
    <w:rsid w:val="000D1801"/>
    <w:rsid w:val="000D2606"/>
    <w:rsid w:val="000D351C"/>
    <w:rsid w:val="000D7874"/>
    <w:rsid w:val="000D7B93"/>
    <w:rsid w:val="000E072B"/>
    <w:rsid w:val="000E2A96"/>
    <w:rsid w:val="000E3052"/>
    <w:rsid w:val="000E31BE"/>
    <w:rsid w:val="000E5269"/>
    <w:rsid w:val="000E7CB9"/>
    <w:rsid w:val="000E7FEA"/>
    <w:rsid w:val="000F1048"/>
    <w:rsid w:val="000F29DA"/>
    <w:rsid w:val="000F3B01"/>
    <w:rsid w:val="000F50A8"/>
    <w:rsid w:val="000F5FF9"/>
    <w:rsid w:val="000F7003"/>
    <w:rsid w:val="000F7427"/>
    <w:rsid w:val="00100CC7"/>
    <w:rsid w:val="001037AA"/>
    <w:rsid w:val="001056CE"/>
    <w:rsid w:val="001067E7"/>
    <w:rsid w:val="00113840"/>
    <w:rsid w:val="00114E8B"/>
    <w:rsid w:val="0011549A"/>
    <w:rsid w:val="001158E4"/>
    <w:rsid w:val="001159A5"/>
    <w:rsid w:val="00117AF0"/>
    <w:rsid w:val="001220BA"/>
    <w:rsid w:val="00122F40"/>
    <w:rsid w:val="00124A40"/>
    <w:rsid w:val="001259A7"/>
    <w:rsid w:val="00125E6C"/>
    <w:rsid w:val="0012614E"/>
    <w:rsid w:val="00126A8D"/>
    <w:rsid w:val="00127721"/>
    <w:rsid w:val="00130335"/>
    <w:rsid w:val="0013089F"/>
    <w:rsid w:val="0013238A"/>
    <w:rsid w:val="0013262F"/>
    <w:rsid w:val="00132D31"/>
    <w:rsid w:val="0013449E"/>
    <w:rsid w:val="00134C37"/>
    <w:rsid w:val="0013528A"/>
    <w:rsid w:val="0013528C"/>
    <w:rsid w:val="00135C1C"/>
    <w:rsid w:val="00136184"/>
    <w:rsid w:val="001368A3"/>
    <w:rsid w:val="00136F01"/>
    <w:rsid w:val="00140CD8"/>
    <w:rsid w:val="00143ABE"/>
    <w:rsid w:val="00144543"/>
    <w:rsid w:val="00145007"/>
    <w:rsid w:val="00146EAA"/>
    <w:rsid w:val="0015082F"/>
    <w:rsid w:val="00150B87"/>
    <w:rsid w:val="001514D8"/>
    <w:rsid w:val="0015189D"/>
    <w:rsid w:val="001535DD"/>
    <w:rsid w:val="00154191"/>
    <w:rsid w:val="001543D8"/>
    <w:rsid w:val="001543E9"/>
    <w:rsid w:val="00154EDA"/>
    <w:rsid w:val="0015520C"/>
    <w:rsid w:val="001552C8"/>
    <w:rsid w:val="00156831"/>
    <w:rsid w:val="00160288"/>
    <w:rsid w:val="00160970"/>
    <w:rsid w:val="00160F11"/>
    <w:rsid w:val="00161950"/>
    <w:rsid w:val="00161984"/>
    <w:rsid w:val="00162BFC"/>
    <w:rsid w:val="001645F7"/>
    <w:rsid w:val="001667D7"/>
    <w:rsid w:val="001669D3"/>
    <w:rsid w:val="00166CA5"/>
    <w:rsid w:val="00166D68"/>
    <w:rsid w:val="00166F41"/>
    <w:rsid w:val="00167AC4"/>
    <w:rsid w:val="00171177"/>
    <w:rsid w:val="00171281"/>
    <w:rsid w:val="001718D5"/>
    <w:rsid w:val="00171D74"/>
    <w:rsid w:val="001741FA"/>
    <w:rsid w:val="001777B0"/>
    <w:rsid w:val="00177CA2"/>
    <w:rsid w:val="001804E0"/>
    <w:rsid w:val="00180FCE"/>
    <w:rsid w:val="00185FA0"/>
    <w:rsid w:val="0018772B"/>
    <w:rsid w:val="0018784D"/>
    <w:rsid w:val="00190231"/>
    <w:rsid w:val="001904C1"/>
    <w:rsid w:val="001934E1"/>
    <w:rsid w:val="00193AC1"/>
    <w:rsid w:val="00195DEF"/>
    <w:rsid w:val="00196388"/>
    <w:rsid w:val="00197AB9"/>
    <w:rsid w:val="001A058A"/>
    <w:rsid w:val="001A4611"/>
    <w:rsid w:val="001A466A"/>
    <w:rsid w:val="001A4E4C"/>
    <w:rsid w:val="001A5794"/>
    <w:rsid w:val="001A7900"/>
    <w:rsid w:val="001B01DC"/>
    <w:rsid w:val="001B0A49"/>
    <w:rsid w:val="001B2968"/>
    <w:rsid w:val="001B2D4A"/>
    <w:rsid w:val="001B32CC"/>
    <w:rsid w:val="001B3818"/>
    <w:rsid w:val="001B5628"/>
    <w:rsid w:val="001B5A56"/>
    <w:rsid w:val="001B6A23"/>
    <w:rsid w:val="001B71FE"/>
    <w:rsid w:val="001C0028"/>
    <w:rsid w:val="001C0C39"/>
    <w:rsid w:val="001C1FA1"/>
    <w:rsid w:val="001C2395"/>
    <w:rsid w:val="001C389A"/>
    <w:rsid w:val="001C46B3"/>
    <w:rsid w:val="001C490C"/>
    <w:rsid w:val="001C4CB8"/>
    <w:rsid w:val="001C4F22"/>
    <w:rsid w:val="001C6428"/>
    <w:rsid w:val="001C6729"/>
    <w:rsid w:val="001C6AD4"/>
    <w:rsid w:val="001C7C1C"/>
    <w:rsid w:val="001C7CA8"/>
    <w:rsid w:val="001D0BC7"/>
    <w:rsid w:val="001D1153"/>
    <w:rsid w:val="001D1AF2"/>
    <w:rsid w:val="001E2A96"/>
    <w:rsid w:val="001E361D"/>
    <w:rsid w:val="001E639D"/>
    <w:rsid w:val="001E6637"/>
    <w:rsid w:val="001F1BEB"/>
    <w:rsid w:val="001F4BBC"/>
    <w:rsid w:val="001F5692"/>
    <w:rsid w:val="00200BAB"/>
    <w:rsid w:val="00203606"/>
    <w:rsid w:val="0020388A"/>
    <w:rsid w:val="00203ADB"/>
    <w:rsid w:val="00204A44"/>
    <w:rsid w:val="00205010"/>
    <w:rsid w:val="0020569D"/>
    <w:rsid w:val="00207066"/>
    <w:rsid w:val="00207454"/>
    <w:rsid w:val="00207F56"/>
    <w:rsid w:val="00210121"/>
    <w:rsid w:val="0021029B"/>
    <w:rsid w:val="0021199E"/>
    <w:rsid w:val="00212D04"/>
    <w:rsid w:val="00213108"/>
    <w:rsid w:val="00213282"/>
    <w:rsid w:val="002137AF"/>
    <w:rsid w:val="00215D00"/>
    <w:rsid w:val="00215FB2"/>
    <w:rsid w:val="0021689A"/>
    <w:rsid w:val="002171A8"/>
    <w:rsid w:val="00217D27"/>
    <w:rsid w:val="00220315"/>
    <w:rsid w:val="00221FD1"/>
    <w:rsid w:val="002224B1"/>
    <w:rsid w:val="00222BDD"/>
    <w:rsid w:val="00222C60"/>
    <w:rsid w:val="00222C7E"/>
    <w:rsid w:val="002242AF"/>
    <w:rsid w:val="002242EC"/>
    <w:rsid w:val="00224688"/>
    <w:rsid w:val="0022479B"/>
    <w:rsid w:val="002249BF"/>
    <w:rsid w:val="00224B3D"/>
    <w:rsid w:val="00224CF1"/>
    <w:rsid w:val="00225AEA"/>
    <w:rsid w:val="00230FA3"/>
    <w:rsid w:val="002319C5"/>
    <w:rsid w:val="0023271E"/>
    <w:rsid w:val="00232738"/>
    <w:rsid w:val="00232974"/>
    <w:rsid w:val="002342C5"/>
    <w:rsid w:val="002359A7"/>
    <w:rsid w:val="00235A97"/>
    <w:rsid w:val="002360AE"/>
    <w:rsid w:val="00237074"/>
    <w:rsid w:val="00237119"/>
    <w:rsid w:val="00237C30"/>
    <w:rsid w:val="00240623"/>
    <w:rsid w:val="00241030"/>
    <w:rsid w:val="00241330"/>
    <w:rsid w:val="002413EF"/>
    <w:rsid w:val="00243DF0"/>
    <w:rsid w:val="00244D1A"/>
    <w:rsid w:val="00245C8C"/>
    <w:rsid w:val="00245E32"/>
    <w:rsid w:val="0024639C"/>
    <w:rsid w:val="0025017C"/>
    <w:rsid w:val="00252435"/>
    <w:rsid w:val="00253210"/>
    <w:rsid w:val="00254325"/>
    <w:rsid w:val="00254C13"/>
    <w:rsid w:val="00255D58"/>
    <w:rsid w:val="002560F9"/>
    <w:rsid w:val="0025656A"/>
    <w:rsid w:val="00256FFE"/>
    <w:rsid w:val="00257BE6"/>
    <w:rsid w:val="00261D17"/>
    <w:rsid w:val="00265925"/>
    <w:rsid w:val="00265CCA"/>
    <w:rsid w:val="00266975"/>
    <w:rsid w:val="0027019F"/>
    <w:rsid w:val="00270C43"/>
    <w:rsid w:val="00270F18"/>
    <w:rsid w:val="00271A7F"/>
    <w:rsid w:val="00271C8B"/>
    <w:rsid w:val="002740AA"/>
    <w:rsid w:val="00274CDD"/>
    <w:rsid w:val="00275208"/>
    <w:rsid w:val="002754D9"/>
    <w:rsid w:val="00275CD7"/>
    <w:rsid w:val="00277B9C"/>
    <w:rsid w:val="0028035F"/>
    <w:rsid w:val="002820FD"/>
    <w:rsid w:val="002828B9"/>
    <w:rsid w:val="0028319D"/>
    <w:rsid w:val="00285FEC"/>
    <w:rsid w:val="00286819"/>
    <w:rsid w:val="00291203"/>
    <w:rsid w:val="002936F5"/>
    <w:rsid w:val="0029478B"/>
    <w:rsid w:val="002979BC"/>
    <w:rsid w:val="00297E57"/>
    <w:rsid w:val="002A0673"/>
    <w:rsid w:val="002A4BE8"/>
    <w:rsid w:val="002A591A"/>
    <w:rsid w:val="002A6005"/>
    <w:rsid w:val="002A6373"/>
    <w:rsid w:val="002A6E20"/>
    <w:rsid w:val="002B21BA"/>
    <w:rsid w:val="002B2731"/>
    <w:rsid w:val="002B2F36"/>
    <w:rsid w:val="002B3A75"/>
    <w:rsid w:val="002B67B9"/>
    <w:rsid w:val="002B768A"/>
    <w:rsid w:val="002B7F85"/>
    <w:rsid w:val="002C067B"/>
    <w:rsid w:val="002C1214"/>
    <w:rsid w:val="002C1787"/>
    <w:rsid w:val="002C18FE"/>
    <w:rsid w:val="002C28CD"/>
    <w:rsid w:val="002C3AFB"/>
    <w:rsid w:val="002C77A2"/>
    <w:rsid w:val="002C79FB"/>
    <w:rsid w:val="002D038D"/>
    <w:rsid w:val="002D0DAD"/>
    <w:rsid w:val="002D1D35"/>
    <w:rsid w:val="002D2706"/>
    <w:rsid w:val="002D2E18"/>
    <w:rsid w:val="002D71AD"/>
    <w:rsid w:val="002E0ED8"/>
    <w:rsid w:val="002E1CAB"/>
    <w:rsid w:val="002E20E3"/>
    <w:rsid w:val="002E2B82"/>
    <w:rsid w:val="002E371B"/>
    <w:rsid w:val="002E3B60"/>
    <w:rsid w:val="002E3F0C"/>
    <w:rsid w:val="002E486C"/>
    <w:rsid w:val="002E631B"/>
    <w:rsid w:val="002E72F1"/>
    <w:rsid w:val="002F0043"/>
    <w:rsid w:val="002F0C2B"/>
    <w:rsid w:val="002F13BB"/>
    <w:rsid w:val="002F2556"/>
    <w:rsid w:val="002F42BC"/>
    <w:rsid w:val="002F52FC"/>
    <w:rsid w:val="002F5C07"/>
    <w:rsid w:val="002F642A"/>
    <w:rsid w:val="002F6BAF"/>
    <w:rsid w:val="002F6FF8"/>
    <w:rsid w:val="003037EF"/>
    <w:rsid w:val="00303E78"/>
    <w:rsid w:val="00304210"/>
    <w:rsid w:val="003043A3"/>
    <w:rsid w:val="0030627A"/>
    <w:rsid w:val="003064BD"/>
    <w:rsid w:val="00306AAB"/>
    <w:rsid w:val="0031150F"/>
    <w:rsid w:val="00312B0C"/>
    <w:rsid w:val="00312EC2"/>
    <w:rsid w:val="0031335F"/>
    <w:rsid w:val="003153BB"/>
    <w:rsid w:val="003160D9"/>
    <w:rsid w:val="00316459"/>
    <w:rsid w:val="003177D9"/>
    <w:rsid w:val="00322258"/>
    <w:rsid w:val="00322D75"/>
    <w:rsid w:val="0032303D"/>
    <w:rsid w:val="00325437"/>
    <w:rsid w:val="00327DD3"/>
    <w:rsid w:val="00330852"/>
    <w:rsid w:val="00331F17"/>
    <w:rsid w:val="0033232A"/>
    <w:rsid w:val="00333E57"/>
    <w:rsid w:val="00334967"/>
    <w:rsid w:val="003351DE"/>
    <w:rsid w:val="0033760E"/>
    <w:rsid w:val="00340533"/>
    <w:rsid w:val="00342407"/>
    <w:rsid w:val="0034506F"/>
    <w:rsid w:val="00351FA4"/>
    <w:rsid w:val="0035237E"/>
    <w:rsid w:val="003526CD"/>
    <w:rsid w:val="00353EA6"/>
    <w:rsid w:val="00354FB0"/>
    <w:rsid w:val="00355A20"/>
    <w:rsid w:val="00357D8E"/>
    <w:rsid w:val="00360EE3"/>
    <w:rsid w:val="003621B5"/>
    <w:rsid w:val="00362FC4"/>
    <w:rsid w:val="0036335C"/>
    <w:rsid w:val="00363BFA"/>
    <w:rsid w:val="00364231"/>
    <w:rsid w:val="00364BDA"/>
    <w:rsid w:val="0036538F"/>
    <w:rsid w:val="00365AD1"/>
    <w:rsid w:val="00366F9C"/>
    <w:rsid w:val="00370F58"/>
    <w:rsid w:val="003774E1"/>
    <w:rsid w:val="0038077C"/>
    <w:rsid w:val="003811C1"/>
    <w:rsid w:val="00382723"/>
    <w:rsid w:val="0038324B"/>
    <w:rsid w:val="00384818"/>
    <w:rsid w:val="00385541"/>
    <w:rsid w:val="00386C58"/>
    <w:rsid w:val="00390555"/>
    <w:rsid w:val="0039174B"/>
    <w:rsid w:val="00391E96"/>
    <w:rsid w:val="00394857"/>
    <w:rsid w:val="00395050"/>
    <w:rsid w:val="00397785"/>
    <w:rsid w:val="003977C7"/>
    <w:rsid w:val="00397B3C"/>
    <w:rsid w:val="00397E06"/>
    <w:rsid w:val="003A0475"/>
    <w:rsid w:val="003A13DF"/>
    <w:rsid w:val="003A14A8"/>
    <w:rsid w:val="003A26A8"/>
    <w:rsid w:val="003A2D6A"/>
    <w:rsid w:val="003A40BE"/>
    <w:rsid w:val="003A4F14"/>
    <w:rsid w:val="003A7A63"/>
    <w:rsid w:val="003B174B"/>
    <w:rsid w:val="003B2465"/>
    <w:rsid w:val="003B32F9"/>
    <w:rsid w:val="003B4D16"/>
    <w:rsid w:val="003B4EED"/>
    <w:rsid w:val="003B6074"/>
    <w:rsid w:val="003B62AF"/>
    <w:rsid w:val="003B6A56"/>
    <w:rsid w:val="003B6F2E"/>
    <w:rsid w:val="003B7655"/>
    <w:rsid w:val="003B7E29"/>
    <w:rsid w:val="003B7EF0"/>
    <w:rsid w:val="003C05BC"/>
    <w:rsid w:val="003C0C88"/>
    <w:rsid w:val="003C124D"/>
    <w:rsid w:val="003C226B"/>
    <w:rsid w:val="003C22E1"/>
    <w:rsid w:val="003C50CC"/>
    <w:rsid w:val="003C512E"/>
    <w:rsid w:val="003D0929"/>
    <w:rsid w:val="003D096A"/>
    <w:rsid w:val="003D0AD7"/>
    <w:rsid w:val="003D1236"/>
    <w:rsid w:val="003D157D"/>
    <w:rsid w:val="003D170E"/>
    <w:rsid w:val="003D2305"/>
    <w:rsid w:val="003D2D25"/>
    <w:rsid w:val="003D4A41"/>
    <w:rsid w:val="003D4F0A"/>
    <w:rsid w:val="003D5CF3"/>
    <w:rsid w:val="003D61B8"/>
    <w:rsid w:val="003D68DB"/>
    <w:rsid w:val="003D6FE1"/>
    <w:rsid w:val="003D75F4"/>
    <w:rsid w:val="003E03FA"/>
    <w:rsid w:val="003E1D3A"/>
    <w:rsid w:val="003E23A0"/>
    <w:rsid w:val="003E26CA"/>
    <w:rsid w:val="003E2D6A"/>
    <w:rsid w:val="003E3B51"/>
    <w:rsid w:val="003E6F1B"/>
    <w:rsid w:val="003F0A16"/>
    <w:rsid w:val="003F34FE"/>
    <w:rsid w:val="003F4B0E"/>
    <w:rsid w:val="00401204"/>
    <w:rsid w:val="0040159A"/>
    <w:rsid w:val="004016A9"/>
    <w:rsid w:val="00402061"/>
    <w:rsid w:val="00402B83"/>
    <w:rsid w:val="004044E6"/>
    <w:rsid w:val="00404BBB"/>
    <w:rsid w:val="004052A5"/>
    <w:rsid w:val="00405C65"/>
    <w:rsid w:val="004066CF"/>
    <w:rsid w:val="00406E6C"/>
    <w:rsid w:val="00410658"/>
    <w:rsid w:val="00410DC1"/>
    <w:rsid w:val="004113DE"/>
    <w:rsid w:val="004116D8"/>
    <w:rsid w:val="00412005"/>
    <w:rsid w:val="00412AB6"/>
    <w:rsid w:val="0041312E"/>
    <w:rsid w:val="00413648"/>
    <w:rsid w:val="00413C79"/>
    <w:rsid w:val="00420B15"/>
    <w:rsid w:val="0042198B"/>
    <w:rsid w:val="00422687"/>
    <w:rsid w:val="004230EA"/>
    <w:rsid w:val="0042476C"/>
    <w:rsid w:val="00424C09"/>
    <w:rsid w:val="00425FF0"/>
    <w:rsid w:val="00430421"/>
    <w:rsid w:val="00432015"/>
    <w:rsid w:val="004323D2"/>
    <w:rsid w:val="00432CA5"/>
    <w:rsid w:val="00433DF2"/>
    <w:rsid w:val="004343B7"/>
    <w:rsid w:val="00434EB9"/>
    <w:rsid w:val="00434F63"/>
    <w:rsid w:val="0043531C"/>
    <w:rsid w:val="00436071"/>
    <w:rsid w:val="00437746"/>
    <w:rsid w:val="00440C5E"/>
    <w:rsid w:val="00442970"/>
    <w:rsid w:val="0044343A"/>
    <w:rsid w:val="00443C7A"/>
    <w:rsid w:val="00445424"/>
    <w:rsid w:val="00447070"/>
    <w:rsid w:val="004474D5"/>
    <w:rsid w:val="00450BA6"/>
    <w:rsid w:val="0045397C"/>
    <w:rsid w:val="00453AD2"/>
    <w:rsid w:val="00454FFF"/>
    <w:rsid w:val="00456E86"/>
    <w:rsid w:val="00456EEB"/>
    <w:rsid w:val="00463CC7"/>
    <w:rsid w:val="00463FCC"/>
    <w:rsid w:val="00464E25"/>
    <w:rsid w:val="00464FA5"/>
    <w:rsid w:val="00466C79"/>
    <w:rsid w:val="00466CFB"/>
    <w:rsid w:val="00470F93"/>
    <w:rsid w:val="00471536"/>
    <w:rsid w:val="00472654"/>
    <w:rsid w:val="004733A3"/>
    <w:rsid w:val="00473A56"/>
    <w:rsid w:val="00473FA5"/>
    <w:rsid w:val="00474396"/>
    <w:rsid w:val="004759CF"/>
    <w:rsid w:val="00481818"/>
    <w:rsid w:val="00481B59"/>
    <w:rsid w:val="00483B85"/>
    <w:rsid w:val="004862E9"/>
    <w:rsid w:val="004866C7"/>
    <w:rsid w:val="004867EF"/>
    <w:rsid w:val="004874A6"/>
    <w:rsid w:val="004876C3"/>
    <w:rsid w:val="00487B92"/>
    <w:rsid w:val="0049037E"/>
    <w:rsid w:val="0049054A"/>
    <w:rsid w:val="004923A9"/>
    <w:rsid w:val="00492B10"/>
    <w:rsid w:val="00493E75"/>
    <w:rsid w:val="00493F06"/>
    <w:rsid w:val="00493F37"/>
    <w:rsid w:val="00496757"/>
    <w:rsid w:val="00497C61"/>
    <w:rsid w:val="004A060A"/>
    <w:rsid w:val="004A0751"/>
    <w:rsid w:val="004A082E"/>
    <w:rsid w:val="004A1E3F"/>
    <w:rsid w:val="004A20D9"/>
    <w:rsid w:val="004A281F"/>
    <w:rsid w:val="004A3C0E"/>
    <w:rsid w:val="004A51E8"/>
    <w:rsid w:val="004A54C3"/>
    <w:rsid w:val="004A679E"/>
    <w:rsid w:val="004A6988"/>
    <w:rsid w:val="004A704F"/>
    <w:rsid w:val="004A7268"/>
    <w:rsid w:val="004B0C7D"/>
    <w:rsid w:val="004B0FB4"/>
    <w:rsid w:val="004B1997"/>
    <w:rsid w:val="004B2293"/>
    <w:rsid w:val="004B2B00"/>
    <w:rsid w:val="004B309A"/>
    <w:rsid w:val="004B49F7"/>
    <w:rsid w:val="004C0C99"/>
    <w:rsid w:val="004C3F1A"/>
    <w:rsid w:val="004C6626"/>
    <w:rsid w:val="004C7692"/>
    <w:rsid w:val="004D03F3"/>
    <w:rsid w:val="004D1273"/>
    <w:rsid w:val="004D2193"/>
    <w:rsid w:val="004D220C"/>
    <w:rsid w:val="004D276C"/>
    <w:rsid w:val="004D2FF6"/>
    <w:rsid w:val="004D4C5C"/>
    <w:rsid w:val="004D53A4"/>
    <w:rsid w:val="004D57E1"/>
    <w:rsid w:val="004D6C37"/>
    <w:rsid w:val="004D7B0E"/>
    <w:rsid w:val="004E2891"/>
    <w:rsid w:val="004E399F"/>
    <w:rsid w:val="004E3D3D"/>
    <w:rsid w:val="004E3EAE"/>
    <w:rsid w:val="004E446B"/>
    <w:rsid w:val="004E467F"/>
    <w:rsid w:val="004E4F7A"/>
    <w:rsid w:val="004E51B9"/>
    <w:rsid w:val="004E5989"/>
    <w:rsid w:val="004E5F59"/>
    <w:rsid w:val="004E64DC"/>
    <w:rsid w:val="004F0049"/>
    <w:rsid w:val="004F0484"/>
    <w:rsid w:val="004F0753"/>
    <w:rsid w:val="004F1BB2"/>
    <w:rsid w:val="004F2912"/>
    <w:rsid w:val="004F2CE4"/>
    <w:rsid w:val="004F410A"/>
    <w:rsid w:val="004F4961"/>
    <w:rsid w:val="004F6199"/>
    <w:rsid w:val="005000BB"/>
    <w:rsid w:val="005006C6"/>
    <w:rsid w:val="00502C42"/>
    <w:rsid w:val="00502F65"/>
    <w:rsid w:val="005038CE"/>
    <w:rsid w:val="00503EC6"/>
    <w:rsid w:val="00505D82"/>
    <w:rsid w:val="0050698D"/>
    <w:rsid w:val="005077E0"/>
    <w:rsid w:val="00513D91"/>
    <w:rsid w:val="0051411E"/>
    <w:rsid w:val="00515BDD"/>
    <w:rsid w:val="00523136"/>
    <w:rsid w:val="00524406"/>
    <w:rsid w:val="005247E5"/>
    <w:rsid w:val="00524DAD"/>
    <w:rsid w:val="00524E23"/>
    <w:rsid w:val="0052525E"/>
    <w:rsid w:val="005271F2"/>
    <w:rsid w:val="005276FB"/>
    <w:rsid w:val="00530C93"/>
    <w:rsid w:val="0053303F"/>
    <w:rsid w:val="005344A8"/>
    <w:rsid w:val="00534E2B"/>
    <w:rsid w:val="00535849"/>
    <w:rsid w:val="00536B19"/>
    <w:rsid w:val="00537312"/>
    <w:rsid w:val="005445F4"/>
    <w:rsid w:val="00544D98"/>
    <w:rsid w:val="00546A34"/>
    <w:rsid w:val="00546BDF"/>
    <w:rsid w:val="0055054A"/>
    <w:rsid w:val="005512C2"/>
    <w:rsid w:val="00551F11"/>
    <w:rsid w:val="0055317F"/>
    <w:rsid w:val="00553300"/>
    <w:rsid w:val="00553308"/>
    <w:rsid w:val="00553AE3"/>
    <w:rsid w:val="005578A7"/>
    <w:rsid w:val="005601D1"/>
    <w:rsid w:val="00563E6E"/>
    <w:rsid w:val="00566C26"/>
    <w:rsid w:val="00570ADC"/>
    <w:rsid w:val="00570BE0"/>
    <w:rsid w:val="00570BFC"/>
    <w:rsid w:val="00571F7A"/>
    <w:rsid w:val="00572990"/>
    <w:rsid w:val="00575182"/>
    <w:rsid w:val="00575BB9"/>
    <w:rsid w:val="00576756"/>
    <w:rsid w:val="005768D7"/>
    <w:rsid w:val="00577DF5"/>
    <w:rsid w:val="00577F28"/>
    <w:rsid w:val="005806AA"/>
    <w:rsid w:val="00581957"/>
    <w:rsid w:val="00582A60"/>
    <w:rsid w:val="00583077"/>
    <w:rsid w:val="005832EE"/>
    <w:rsid w:val="00583874"/>
    <w:rsid w:val="005855ED"/>
    <w:rsid w:val="00585D8B"/>
    <w:rsid w:val="00586373"/>
    <w:rsid w:val="00590B77"/>
    <w:rsid w:val="005911C1"/>
    <w:rsid w:val="005931A1"/>
    <w:rsid w:val="00594149"/>
    <w:rsid w:val="0059476A"/>
    <w:rsid w:val="00594A23"/>
    <w:rsid w:val="00595048"/>
    <w:rsid w:val="005951D7"/>
    <w:rsid w:val="0059524D"/>
    <w:rsid w:val="00595559"/>
    <w:rsid w:val="00596835"/>
    <w:rsid w:val="00597ABC"/>
    <w:rsid w:val="005A0FAC"/>
    <w:rsid w:val="005A3B48"/>
    <w:rsid w:val="005A3B5B"/>
    <w:rsid w:val="005A44B8"/>
    <w:rsid w:val="005B17A4"/>
    <w:rsid w:val="005B22B5"/>
    <w:rsid w:val="005B2C9A"/>
    <w:rsid w:val="005B3322"/>
    <w:rsid w:val="005B37DD"/>
    <w:rsid w:val="005B408B"/>
    <w:rsid w:val="005B42E5"/>
    <w:rsid w:val="005B59BB"/>
    <w:rsid w:val="005B5DC7"/>
    <w:rsid w:val="005B6786"/>
    <w:rsid w:val="005C0579"/>
    <w:rsid w:val="005C2340"/>
    <w:rsid w:val="005C2E9C"/>
    <w:rsid w:val="005C3C8A"/>
    <w:rsid w:val="005C4993"/>
    <w:rsid w:val="005C4FA8"/>
    <w:rsid w:val="005C5D3E"/>
    <w:rsid w:val="005C6CC7"/>
    <w:rsid w:val="005C6CE2"/>
    <w:rsid w:val="005C7C80"/>
    <w:rsid w:val="005D035B"/>
    <w:rsid w:val="005D0B51"/>
    <w:rsid w:val="005D1138"/>
    <w:rsid w:val="005D3E3F"/>
    <w:rsid w:val="005D472B"/>
    <w:rsid w:val="005D5293"/>
    <w:rsid w:val="005D6A99"/>
    <w:rsid w:val="005D7178"/>
    <w:rsid w:val="005D71A2"/>
    <w:rsid w:val="005D7782"/>
    <w:rsid w:val="005E01CD"/>
    <w:rsid w:val="005E04AE"/>
    <w:rsid w:val="005E09D4"/>
    <w:rsid w:val="005E36B9"/>
    <w:rsid w:val="005F07FF"/>
    <w:rsid w:val="005F1325"/>
    <w:rsid w:val="005F28A6"/>
    <w:rsid w:val="005F35D5"/>
    <w:rsid w:val="005F58A0"/>
    <w:rsid w:val="005F6CB4"/>
    <w:rsid w:val="005F6D09"/>
    <w:rsid w:val="005F7EE1"/>
    <w:rsid w:val="00600541"/>
    <w:rsid w:val="0060499A"/>
    <w:rsid w:val="006052DC"/>
    <w:rsid w:val="006058B6"/>
    <w:rsid w:val="00605D51"/>
    <w:rsid w:val="00612718"/>
    <w:rsid w:val="00613898"/>
    <w:rsid w:val="00613950"/>
    <w:rsid w:val="00615D81"/>
    <w:rsid w:val="00616504"/>
    <w:rsid w:val="0062102D"/>
    <w:rsid w:val="00622F8D"/>
    <w:rsid w:val="006232BE"/>
    <w:rsid w:val="00623750"/>
    <w:rsid w:val="00623A0F"/>
    <w:rsid w:val="00624652"/>
    <w:rsid w:val="00624BF7"/>
    <w:rsid w:val="00626FE0"/>
    <w:rsid w:val="006318E6"/>
    <w:rsid w:val="00631FAB"/>
    <w:rsid w:val="00632F9C"/>
    <w:rsid w:val="006355B3"/>
    <w:rsid w:val="0063761E"/>
    <w:rsid w:val="006403DD"/>
    <w:rsid w:val="00640DA3"/>
    <w:rsid w:val="00640F86"/>
    <w:rsid w:val="00641846"/>
    <w:rsid w:val="006430FC"/>
    <w:rsid w:val="006434CD"/>
    <w:rsid w:val="00643F35"/>
    <w:rsid w:val="00644DA1"/>
    <w:rsid w:val="00645249"/>
    <w:rsid w:val="00645B7C"/>
    <w:rsid w:val="0064700A"/>
    <w:rsid w:val="006470CB"/>
    <w:rsid w:val="006502A8"/>
    <w:rsid w:val="006509DB"/>
    <w:rsid w:val="00651086"/>
    <w:rsid w:val="00653796"/>
    <w:rsid w:val="00653B18"/>
    <w:rsid w:val="0065515C"/>
    <w:rsid w:val="006553AE"/>
    <w:rsid w:val="00655D24"/>
    <w:rsid w:val="00656E66"/>
    <w:rsid w:val="006578CF"/>
    <w:rsid w:val="006578FB"/>
    <w:rsid w:val="00660FBF"/>
    <w:rsid w:val="0066180D"/>
    <w:rsid w:val="0066289F"/>
    <w:rsid w:val="00662E7B"/>
    <w:rsid w:val="00663562"/>
    <w:rsid w:val="00664101"/>
    <w:rsid w:val="00665006"/>
    <w:rsid w:val="00665592"/>
    <w:rsid w:val="00667355"/>
    <w:rsid w:val="0067271F"/>
    <w:rsid w:val="0067338D"/>
    <w:rsid w:val="0067382E"/>
    <w:rsid w:val="00674B83"/>
    <w:rsid w:val="00675751"/>
    <w:rsid w:val="006766DC"/>
    <w:rsid w:val="00677BB0"/>
    <w:rsid w:val="00680A53"/>
    <w:rsid w:val="00680E9E"/>
    <w:rsid w:val="00681413"/>
    <w:rsid w:val="00682987"/>
    <w:rsid w:val="00684722"/>
    <w:rsid w:val="00684AB5"/>
    <w:rsid w:val="00685FB7"/>
    <w:rsid w:val="0068659A"/>
    <w:rsid w:val="00686734"/>
    <w:rsid w:val="0068701F"/>
    <w:rsid w:val="00691195"/>
    <w:rsid w:val="00691829"/>
    <w:rsid w:val="00691B3E"/>
    <w:rsid w:val="00692387"/>
    <w:rsid w:val="0069268F"/>
    <w:rsid w:val="00693C11"/>
    <w:rsid w:val="00693EEC"/>
    <w:rsid w:val="00694AE7"/>
    <w:rsid w:val="0069592F"/>
    <w:rsid w:val="00697338"/>
    <w:rsid w:val="006A0C26"/>
    <w:rsid w:val="006A1B98"/>
    <w:rsid w:val="006A3B04"/>
    <w:rsid w:val="006A3F7A"/>
    <w:rsid w:val="006A5802"/>
    <w:rsid w:val="006A6E12"/>
    <w:rsid w:val="006B132B"/>
    <w:rsid w:val="006B20B8"/>
    <w:rsid w:val="006B2861"/>
    <w:rsid w:val="006B36FF"/>
    <w:rsid w:val="006B4959"/>
    <w:rsid w:val="006B599F"/>
    <w:rsid w:val="006B6177"/>
    <w:rsid w:val="006B6D7C"/>
    <w:rsid w:val="006C0088"/>
    <w:rsid w:val="006C14DA"/>
    <w:rsid w:val="006C1784"/>
    <w:rsid w:val="006C46F0"/>
    <w:rsid w:val="006C4DC2"/>
    <w:rsid w:val="006D1637"/>
    <w:rsid w:val="006D28AA"/>
    <w:rsid w:val="006D3FCB"/>
    <w:rsid w:val="006D51C4"/>
    <w:rsid w:val="006D6394"/>
    <w:rsid w:val="006D6527"/>
    <w:rsid w:val="006D74C0"/>
    <w:rsid w:val="006D7C61"/>
    <w:rsid w:val="006E0E62"/>
    <w:rsid w:val="006E1B1C"/>
    <w:rsid w:val="006E1BE4"/>
    <w:rsid w:val="006E293C"/>
    <w:rsid w:val="006E2D8D"/>
    <w:rsid w:val="006E3FE2"/>
    <w:rsid w:val="006E45A4"/>
    <w:rsid w:val="006E5CA8"/>
    <w:rsid w:val="006F0A28"/>
    <w:rsid w:val="006F15F4"/>
    <w:rsid w:val="006F75B7"/>
    <w:rsid w:val="006F7E06"/>
    <w:rsid w:val="0070061F"/>
    <w:rsid w:val="007028B9"/>
    <w:rsid w:val="00703441"/>
    <w:rsid w:val="007039C3"/>
    <w:rsid w:val="00704CCF"/>
    <w:rsid w:val="00705B4E"/>
    <w:rsid w:val="00707386"/>
    <w:rsid w:val="00707C13"/>
    <w:rsid w:val="007112C6"/>
    <w:rsid w:val="00711787"/>
    <w:rsid w:val="00713A67"/>
    <w:rsid w:val="00713B7C"/>
    <w:rsid w:val="007162AF"/>
    <w:rsid w:val="00716475"/>
    <w:rsid w:val="00716EF8"/>
    <w:rsid w:val="007202B8"/>
    <w:rsid w:val="00720979"/>
    <w:rsid w:val="00720AE1"/>
    <w:rsid w:val="00720C4C"/>
    <w:rsid w:val="00721C77"/>
    <w:rsid w:val="00722576"/>
    <w:rsid w:val="00722D49"/>
    <w:rsid w:val="00723912"/>
    <w:rsid w:val="00737D09"/>
    <w:rsid w:val="00740900"/>
    <w:rsid w:val="00741C41"/>
    <w:rsid w:val="00742B33"/>
    <w:rsid w:val="00745B76"/>
    <w:rsid w:val="00745EFD"/>
    <w:rsid w:val="007502E3"/>
    <w:rsid w:val="0075047A"/>
    <w:rsid w:val="0075081C"/>
    <w:rsid w:val="00751348"/>
    <w:rsid w:val="007519F7"/>
    <w:rsid w:val="0075248A"/>
    <w:rsid w:val="0075278F"/>
    <w:rsid w:val="00752F7F"/>
    <w:rsid w:val="00753867"/>
    <w:rsid w:val="00753CD7"/>
    <w:rsid w:val="00754405"/>
    <w:rsid w:val="007560C7"/>
    <w:rsid w:val="00757EA6"/>
    <w:rsid w:val="007619B2"/>
    <w:rsid w:val="007665EC"/>
    <w:rsid w:val="007670C6"/>
    <w:rsid w:val="007701E5"/>
    <w:rsid w:val="00770419"/>
    <w:rsid w:val="00770C25"/>
    <w:rsid w:val="0077334A"/>
    <w:rsid w:val="007744C1"/>
    <w:rsid w:val="00775471"/>
    <w:rsid w:val="0077617E"/>
    <w:rsid w:val="00776788"/>
    <w:rsid w:val="00776A3B"/>
    <w:rsid w:val="00781B63"/>
    <w:rsid w:val="0078287F"/>
    <w:rsid w:val="00782A8F"/>
    <w:rsid w:val="00782B8F"/>
    <w:rsid w:val="0078372C"/>
    <w:rsid w:val="00785FD2"/>
    <w:rsid w:val="00786EEA"/>
    <w:rsid w:val="00786F05"/>
    <w:rsid w:val="00787D82"/>
    <w:rsid w:val="00790FF8"/>
    <w:rsid w:val="007927DD"/>
    <w:rsid w:val="00792B09"/>
    <w:rsid w:val="00793281"/>
    <w:rsid w:val="00793705"/>
    <w:rsid w:val="00793F50"/>
    <w:rsid w:val="007949B4"/>
    <w:rsid w:val="00795301"/>
    <w:rsid w:val="0079595F"/>
    <w:rsid w:val="0079605E"/>
    <w:rsid w:val="007962A3"/>
    <w:rsid w:val="00796637"/>
    <w:rsid w:val="0079781F"/>
    <w:rsid w:val="007A32D1"/>
    <w:rsid w:val="007A3A12"/>
    <w:rsid w:val="007A433F"/>
    <w:rsid w:val="007A6EC3"/>
    <w:rsid w:val="007B13EB"/>
    <w:rsid w:val="007B1B35"/>
    <w:rsid w:val="007B2FDB"/>
    <w:rsid w:val="007B387F"/>
    <w:rsid w:val="007B497A"/>
    <w:rsid w:val="007B4DB7"/>
    <w:rsid w:val="007B5D58"/>
    <w:rsid w:val="007B6641"/>
    <w:rsid w:val="007B70A2"/>
    <w:rsid w:val="007B7AB4"/>
    <w:rsid w:val="007C27DC"/>
    <w:rsid w:val="007C5BC4"/>
    <w:rsid w:val="007C5EE3"/>
    <w:rsid w:val="007C62C8"/>
    <w:rsid w:val="007C788E"/>
    <w:rsid w:val="007C7B16"/>
    <w:rsid w:val="007D0344"/>
    <w:rsid w:val="007D0A30"/>
    <w:rsid w:val="007D0A88"/>
    <w:rsid w:val="007D13A5"/>
    <w:rsid w:val="007D1A95"/>
    <w:rsid w:val="007D2EA0"/>
    <w:rsid w:val="007D394C"/>
    <w:rsid w:val="007D3B76"/>
    <w:rsid w:val="007D43C8"/>
    <w:rsid w:val="007D452F"/>
    <w:rsid w:val="007D5B98"/>
    <w:rsid w:val="007D5DFA"/>
    <w:rsid w:val="007D7D56"/>
    <w:rsid w:val="007D7EDF"/>
    <w:rsid w:val="007E05ED"/>
    <w:rsid w:val="007E0C2B"/>
    <w:rsid w:val="007E0CE6"/>
    <w:rsid w:val="007E278B"/>
    <w:rsid w:val="007E42A5"/>
    <w:rsid w:val="007F0347"/>
    <w:rsid w:val="007F3462"/>
    <w:rsid w:val="007F3CDB"/>
    <w:rsid w:val="007F4283"/>
    <w:rsid w:val="007F50A3"/>
    <w:rsid w:val="007F531F"/>
    <w:rsid w:val="007F648E"/>
    <w:rsid w:val="0080308C"/>
    <w:rsid w:val="00804BC4"/>
    <w:rsid w:val="00806B25"/>
    <w:rsid w:val="00810C5E"/>
    <w:rsid w:val="008111AD"/>
    <w:rsid w:val="00811606"/>
    <w:rsid w:val="00812292"/>
    <w:rsid w:val="00814F06"/>
    <w:rsid w:val="008165C2"/>
    <w:rsid w:val="00816AB3"/>
    <w:rsid w:val="00820102"/>
    <w:rsid w:val="00820D41"/>
    <w:rsid w:val="00821416"/>
    <w:rsid w:val="00821E0B"/>
    <w:rsid w:val="00823449"/>
    <w:rsid w:val="00823EB6"/>
    <w:rsid w:val="00825A01"/>
    <w:rsid w:val="0082798D"/>
    <w:rsid w:val="00832E3D"/>
    <w:rsid w:val="00835E3C"/>
    <w:rsid w:val="00836270"/>
    <w:rsid w:val="00837EF7"/>
    <w:rsid w:val="008400A8"/>
    <w:rsid w:val="008417EB"/>
    <w:rsid w:val="00842D7D"/>
    <w:rsid w:val="00845A28"/>
    <w:rsid w:val="00846907"/>
    <w:rsid w:val="00847687"/>
    <w:rsid w:val="00847795"/>
    <w:rsid w:val="00847D01"/>
    <w:rsid w:val="00847DEF"/>
    <w:rsid w:val="00850D3E"/>
    <w:rsid w:val="00851935"/>
    <w:rsid w:val="00854621"/>
    <w:rsid w:val="008557AD"/>
    <w:rsid w:val="00855C61"/>
    <w:rsid w:val="008575B7"/>
    <w:rsid w:val="00860AF4"/>
    <w:rsid w:val="00861614"/>
    <w:rsid w:val="00861D82"/>
    <w:rsid w:val="008627C0"/>
    <w:rsid w:val="008627FA"/>
    <w:rsid w:val="0086326A"/>
    <w:rsid w:val="00863672"/>
    <w:rsid w:val="0086399C"/>
    <w:rsid w:val="0086419D"/>
    <w:rsid w:val="00864C67"/>
    <w:rsid w:val="00864F3D"/>
    <w:rsid w:val="00867323"/>
    <w:rsid w:val="0087323E"/>
    <w:rsid w:val="00875BF2"/>
    <w:rsid w:val="00875FC3"/>
    <w:rsid w:val="00877A00"/>
    <w:rsid w:val="00880756"/>
    <w:rsid w:val="00882658"/>
    <w:rsid w:val="00882E68"/>
    <w:rsid w:val="008837F9"/>
    <w:rsid w:val="00885BFA"/>
    <w:rsid w:val="00886017"/>
    <w:rsid w:val="00886863"/>
    <w:rsid w:val="00886C20"/>
    <w:rsid w:val="008872A0"/>
    <w:rsid w:val="00890091"/>
    <w:rsid w:val="00890C4D"/>
    <w:rsid w:val="00893A9E"/>
    <w:rsid w:val="00894780"/>
    <w:rsid w:val="00897C65"/>
    <w:rsid w:val="008A0F31"/>
    <w:rsid w:val="008A2792"/>
    <w:rsid w:val="008A3B4B"/>
    <w:rsid w:val="008A4594"/>
    <w:rsid w:val="008A6600"/>
    <w:rsid w:val="008A6E21"/>
    <w:rsid w:val="008A6F52"/>
    <w:rsid w:val="008A740E"/>
    <w:rsid w:val="008A7E2E"/>
    <w:rsid w:val="008B017E"/>
    <w:rsid w:val="008B16F5"/>
    <w:rsid w:val="008B1D63"/>
    <w:rsid w:val="008B28E3"/>
    <w:rsid w:val="008B3725"/>
    <w:rsid w:val="008B50B9"/>
    <w:rsid w:val="008B6065"/>
    <w:rsid w:val="008B6955"/>
    <w:rsid w:val="008B6A1C"/>
    <w:rsid w:val="008B7C88"/>
    <w:rsid w:val="008C2D22"/>
    <w:rsid w:val="008C3993"/>
    <w:rsid w:val="008C4586"/>
    <w:rsid w:val="008C4B2D"/>
    <w:rsid w:val="008C563A"/>
    <w:rsid w:val="008C5707"/>
    <w:rsid w:val="008C5F41"/>
    <w:rsid w:val="008C757B"/>
    <w:rsid w:val="008C7741"/>
    <w:rsid w:val="008D0716"/>
    <w:rsid w:val="008D2B7B"/>
    <w:rsid w:val="008D2B80"/>
    <w:rsid w:val="008D3C9D"/>
    <w:rsid w:val="008D3FA4"/>
    <w:rsid w:val="008D55AE"/>
    <w:rsid w:val="008D7B0E"/>
    <w:rsid w:val="008E1D11"/>
    <w:rsid w:val="008F43A2"/>
    <w:rsid w:val="008F481A"/>
    <w:rsid w:val="008F5555"/>
    <w:rsid w:val="008F5F8A"/>
    <w:rsid w:val="008F69F0"/>
    <w:rsid w:val="0090172A"/>
    <w:rsid w:val="00906F1C"/>
    <w:rsid w:val="00910D66"/>
    <w:rsid w:val="00911455"/>
    <w:rsid w:val="00911F64"/>
    <w:rsid w:val="0091301A"/>
    <w:rsid w:val="0091406E"/>
    <w:rsid w:val="00914ABA"/>
    <w:rsid w:val="009165B9"/>
    <w:rsid w:val="00916C92"/>
    <w:rsid w:val="00921C13"/>
    <w:rsid w:val="00924F0C"/>
    <w:rsid w:val="0092572D"/>
    <w:rsid w:val="009272B8"/>
    <w:rsid w:val="00927CB2"/>
    <w:rsid w:val="0093071E"/>
    <w:rsid w:val="00931E97"/>
    <w:rsid w:val="00931F78"/>
    <w:rsid w:val="00933558"/>
    <w:rsid w:val="009342B4"/>
    <w:rsid w:val="0093527F"/>
    <w:rsid w:val="009372ED"/>
    <w:rsid w:val="009373AD"/>
    <w:rsid w:val="00937FF5"/>
    <w:rsid w:val="00940F95"/>
    <w:rsid w:val="009424C0"/>
    <w:rsid w:val="00943A4B"/>
    <w:rsid w:val="00944DFF"/>
    <w:rsid w:val="00945D30"/>
    <w:rsid w:val="00947C45"/>
    <w:rsid w:val="00950012"/>
    <w:rsid w:val="009503C1"/>
    <w:rsid w:val="00951BB5"/>
    <w:rsid w:val="00952A7D"/>
    <w:rsid w:val="009550F9"/>
    <w:rsid w:val="00956251"/>
    <w:rsid w:val="00960A48"/>
    <w:rsid w:val="00961D7C"/>
    <w:rsid w:val="00962BDB"/>
    <w:rsid w:val="00963043"/>
    <w:rsid w:val="009651F3"/>
    <w:rsid w:val="00966324"/>
    <w:rsid w:val="00967934"/>
    <w:rsid w:val="0097256D"/>
    <w:rsid w:val="00973350"/>
    <w:rsid w:val="00973A22"/>
    <w:rsid w:val="009749D5"/>
    <w:rsid w:val="00976363"/>
    <w:rsid w:val="00976688"/>
    <w:rsid w:val="00977E3E"/>
    <w:rsid w:val="00977F6E"/>
    <w:rsid w:val="009808BE"/>
    <w:rsid w:val="00980F57"/>
    <w:rsid w:val="00982327"/>
    <w:rsid w:val="009831FD"/>
    <w:rsid w:val="009856CB"/>
    <w:rsid w:val="00986AB8"/>
    <w:rsid w:val="00990297"/>
    <w:rsid w:val="00991C20"/>
    <w:rsid w:val="009923BE"/>
    <w:rsid w:val="00993621"/>
    <w:rsid w:val="00993C0E"/>
    <w:rsid w:val="00993F0B"/>
    <w:rsid w:val="00993FD1"/>
    <w:rsid w:val="009942D3"/>
    <w:rsid w:val="009944FE"/>
    <w:rsid w:val="009945D5"/>
    <w:rsid w:val="00995438"/>
    <w:rsid w:val="0099637F"/>
    <w:rsid w:val="00996A53"/>
    <w:rsid w:val="00996BB9"/>
    <w:rsid w:val="00996F1B"/>
    <w:rsid w:val="009974DB"/>
    <w:rsid w:val="00997E5F"/>
    <w:rsid w:val="009A01DB"/>
    <w:rsid w:val="009A3C9D"/>
    <w:rsid w:val="009A3E12"/>
    <w:rsid w:val="009A691E"/>
    <w:rsid w:val="009A6989"/>
    <w:rsid w:val="009A77A8"/>
    <w:rsid w:val="009B187D"/>
    <w:rsid w:val="009B2744"/>
    <w:rsid w:val="009B2EDD"/>
    <w:rsid w:val="009B5629"/>
    <w:rsid w:val="009B6226"/>
    <w:rsid w:val="009B6D8A"/>
    <w:rsid w:val="009B790D"/>
    <w:rsid w:val="009B7C05"/>
    <w:rsid w:val="009C0F44"/>
    <w:rsid w:val="009C2997"/>
    <w:rsid w:val="009C2F9B"/>
    <w:rsid w:val="009C3F4D"/>
    <w:rsid w:val="009C471F"/>
    <w:rsid w:val="009C6516"/>
    <w:rsid w:val="009C6ABB"/>
    <w:rsid w:val="009D0F8A"/>
    <w:rsid w:val="009D4674"/>
    <w:rsid w:val="009D4F5C"/>
    <w:rsid w:val="009D5A82"/>
    <w:rsid w:val="009D7AA3"/>
    <w:rsid w:val="009E14DF"/>
    <w:rsid w:val="009E251A"/>
    <w:rsid w:val="009E28CC"/>
    <w:rsid w:val="009E34AA"/>
    <w:rsid w:val="009E38F7"/>
    <w:rsid w:val="009E5855"/>
    <w:rsid w:val="009F0AF1"/>
    <w:rsid w:val="009F386C"/>
    <w:rsid w:val="009F4694"/>
    <w:rsid w:val="009F5F4D"/>
    <w:rsid w:val="009F6C1B"/>
    <w:rsid w:val="009F76AE"/>
    <w:rsid w:val="009F7871"/>
    <w:rsid w:val="00A0359E"/>
    <w:rsid w:val="00A04596"/>
    <w:rsid w:val="00A04B2A"/>
    <w:rsid w:val="00A05791"/>
    <w:rsid w:val="00A06563"/>
    <w:rsid w:val="00A066DB"/>
    <w:rsid w:val="00A067E9"/>
    <w:rsid w:val="00A06D7F"/>
    <w:rsid w:val="00A10FC4"/>
    <w:rsid w:val="00A1170F"/>
    <w:rsid w:val="00A11AF6"/>
    <w:rsid w:val="00A11DCB"/>
    <w:rsid w:val="00A146B5"/>
    <w:rsid w:val="00A14CCA"/>
    <w:rsid w:val="00A150E8"/>
    <w:rsid w:val="00A15CFD"/>
    <w:rsid w:val="00A203A2"/>
    <w:rsid w:val="00A21A31"/>
    <w:rsid w:val="00A22247"/>
    <w:rsid w:val="00A233FC"/>
    <w:rsid w:val="00A25E81"/>
    <w:rsid w:val="00A273CC"/>
    <w:rsid w:val="00A30783"/>
    <w:rsid w:val="00A31E1B"/>
    <w:rsid w:val="00A339FA"/>
    <w:rsid w:val="00A34A81"/>
    <w:rsid w:val="00A36076"/>
    <w:rsid w:val="00A360F3"/>
    <w:rsid w:val="00A36A86"/>
    <w:rsid w:val="00A37289"/>
    <w:rsid w:val="00A41CF4"/>
    <w:rsid w:val="00A424A0"/>
    <w:rsid w:val="00A42A8C"/>
    <w:rsid w:val="00A43361"/>
    <w:rsid w:val="00A43B3A"/>
    <w:rsid w:val="00A43FB3"/>
    <w:rsid w:val="00A4423B"/>
    <w:rsid w:val="00A44381"/>
    <w:rsid w:val="00A44648"/>
    <w:rsid w:val="00A456AA"/>
    <w:rsid w:val="00A45735"/>
    <w:rsid w:val="00A4646B"/>
    <w:rsid w:val="00A476E1"/>
    <w:rsid w:val="00A50C12"/>
    <w:rsid w:val="00A52739"/>
    <w:rsid w:val="00A53BD7"/>
    <w:rsid w:val="00A55723"/>
    <w:rsid w:val="00A56226"/>
    <w:rsid w:val="00A56F8F"/>
    <w:rsid w:val="00A60367"/>
    <w:rsid w:val="00A60634"/>
    <w:rsid w:val="00A60C5A"/>
    <w:rsid w:val="00A61BCE"/>
    <w:rsid w:val="00A6395D"/>
    <w:rsid w:val="00A64B19"/>
    <w:rsid w:val="00A64DBF"/>
    <w:rsid w:val="00A65907"/>
    <w:rsid w:val="00A66B55"/>
    <w:rsid w:val="00A66EB0"/>
    <w:rsid w:val="00A72359"/>
    <w:rsid w:val="00A72F25"/>
    <w:rsid w:val="00A73023"/>
    <w:rsid w:val="00A7374D"/>
    <w:rsid w:val="00A73835"/>
    <w:rsid w:val="00A74517"/>
    <w:rsid w:val="00A748F6"/>
    <w:rsid w:val="00A74FD6"/>
    <w:rsid w:val="00A75F6C"/>
    <w:rsid w:val="00A7678E"/>
    <w:rsid w:val="00A775A7"/>
    <w:rsid w:val="00A80477"/>
    <w:rsid w:val="00A8081C"/>
    <w:rsid w:val="00A80AED"/>
    <w:rsid w:val="00A8181B"/>
    <w:rsid w:val="00A82149"/>
    <w:rsid w:val="00A82A3A"/>
    <w:rsid w:val="00A83C0B"/>
    <w:rsid w:val="00A846E0"/>
    <w:rsid w:val="00A851F7"/>
    <w:rsid w:val="00A85FC0"/>
    <w:rsid w:val="00A86687"/>
    <w:rsid w:val="00A90C60"/>
    <w:rsid w:val="00A92B80"/>
    <w:rsid w:val="00A93B15"/>
    <w:rsid w:val="00A94DF3"/>
    <w:rsid w:val="00A953D3"/>
    <w:rsid w:val="00A95931"/>
    <w:rsid w:val="00A95BED"/>
    <w:rsid w:val="00A95C86"/>
    <w:rsid w:val="00A97FAE"/>
    <w:rsid w:val="00AA127B"/>
    <w:rsid w:val="00AA1DC6"/>
    <w:rsid w:val="00AA1EBE"/>
    <w:rsid w:val="00AA412E"/>
    <w:rsid w:val="00AA418D"/>
    <w:rsid w:val="00AA5409"/>
    <w:rsid w:val="00AA575B"/>
    <w:rsid w:val="00AA7979"/>
    <w:rsid w:val="00AA79C4"/>
    <w:rsid w:val="00AB1F15"/>
    <w:rsid w:val="00AB22EE"/>
    <w:rsid w:val="00AB2367"/>
    <w:rsid w:val="00AB288F"/>
    <w:rsid w:val="00AB2E36"/>
    <w:rsid w:val="00AB2E72"/>
    <w:rsid w:val="00AB2E76"/>
    <w:rsid w:val="00AB2F6D"/>
    <w:rsid w:val="00AB36FF"/>
    <w:rsid w:val="00AB4C75"/>
    <w:rsid w:val="00AB7207"/>
    <w:rsid w:val="00AB73D8"/>
    <w:rsid w:val="00AC0148"/>
    <w:rsid w:val="00AC0749"/>
    <w:rsid w:val="00AC1180"/>
    <w:rsid w:val="00AC16E3"/>
    <w:rsid w:val="00AC2C62"/>
    <w:rsid w:val="00AC3C31"/>
    <w:rsid w:val="00AC479E"/>
    <w:rsid w:val="00AC5183"/>
    <w:rsid w:val="00AC534C"/>
    <w:rsid w:val="00AC5B7D"/>
    <w:rsid w:val="00AC5ED2"/>
    <w:rsid w:val="00AD0A2D"/>
    <w:rsid w:val="00AD0B99"/>
    <w:rsid w:val="00AD185E"/>
    <w:rsid w:val="00AD29A3"/>
    <w:rsid w:val="00AD597D"/>
    <w:rsid w:val="00AD6171"/>
    <w:rsid w:val="00AD68C6"/>
    <w:rsid w:val="00AD6FED"/>
    <w:rsid w:val="00AD71F9"/>
    <w:rsid w:val="00AE0B49"/>
    <w:rsid w:val="00AE14EB"/>
    <w:rsid w:val="00AE1599"/>
    <w:rsid w:val="00AE2BA0"/>
    <w:rsid w:val="00AE6E03"/>
    <w:rsid w:val="00AE79FC"/>
    <w:rsid w:val="00AE7ECA"/>
    <w:rsid w:val="00AF195A"/>
    <w:rsid w:val="00AF3235"/>
    <w:rsid w:val="00AF3584"/>
    <w:rsid w:val="00AF5CD1"/>
    <w:rsid w:val="00AF6027"/>
    <w:rsid w:val="00AF6A64"/>
    <w:rsid w:val="00AF6BA5"/>
    <w:rsid w:val="00AF7221"/>
    <w:rsid w:val="00B00E13"/>
    <w:rsid w:val="00B02464"/>
    <w:rsid w:val="00B02EA0"/>
    <w:rsid w:val="00B044B2"/>
    <w:rsid w:val="00B0634C"/>
    <w:rsid w:val="00B06856"/>
    <w:rsid w:val="00B06D5D"/>
    <w:rsid w:val="00B10194"/>
    <w:rsid w:val="00B1184C"/>
    <w:rsid w:val="00B118AA"/>
    <w:rsid w:val="00B11E80"/>
    <w:rsid w:val="00B135E2"/>
    <w:rsid w:val="00B1368F"/>
    <w:rsid w:val="00B13896"/>
    <w:rsid w:val="00B1463D"/>
    <w:rsid w:val="00B15B33"/>
    <w:rsid w:val="00B160C5"/>
    <w:rsid w:val="00B16DDB"/>
    <w:rsid w:val="00B17FE9"/>
    <w:rsid w:val="00B217C0"/>
    <w:rsid w:val="00B2367F"/>
    <w:rsid w:val="00B23FBE"/>
    <w:rsid w:val="00B23FF0"/>
    <w:rsid w:val="00B2539C"/>
    <w:rsid w:val="00B262A9"/>
    <w:rsid w:val="00B31C40"/>
    <w:rsid w:val="00B32E83"/>
    <w:rsid w:val="00B33B9B"/>
    <w:rsid w:val="00B35A36"/>
    <w:rsid w:val="00B35C54"/>
    <w:rsid w:val="00B36F18"/>
    <w:rsid w:val="00B3701E"/>
    <w:rsid w:val="00B370E8"/>
    <w:rsid w:val="00B37912"/>
    <w:rsid w:val="00B40BAB"/>
    <w:rsid w:val="00B4271A"/>
    <w:rsid w:val="00B43499"/>
    <w:rsid w:val="00B436A6"/>
    <w:rsid w:val="00B44F24"/>
    <w:rsid w:val="00B45B09"/>
    <w:rsid w:val="00B503FF"/>
    <w:rsid w:val="00B51723"/>
    <w:rsid w:val="00B52BA3"/>
    <w:rsid w:val="00B5365E"/>
    <w:rsid w:val="00B542CD"/>
    <w:rsid w:val="00B54302"/>
    <w:rsid w:val="00B60524"/>
    <w:rsid w:val="00B60A17"/>
    <w:rsid w:val="00B61D0D"/>
    <w:rsid w:val="00B62532"/>
    <w:rsid w:val="00B62983"/>
    <w:rsid w:val="00B63254"/>
    <w:rsid w:val="00B63B43"/>
    <w:rsid w:val="00B63DE7"/>
    <w:rsid w:val="00B63E02"/>
    <w:rsid w:val="00B63F30"/>
    <w:rsid w:val="00B64081"/>
    <w:rsid w:val="00B64A17"/>
    <w:rsid w:val="00B64B0E"/>
    <w:rsid w:val="00B65213"/>
    <w:rsid w:val="00B718A8"/>
    <w:rsid w:val="00B71C3F"/>
    <w:rsid w:val="00B725ED"/>
    <w:rsid w:val="00B72E5B"/>
    <w:rsid w:val="00B73DA3"/>
    <w:rsid w:val="00B74844"/>
    <w:rsid w:val="00B7671C"/>
    <w:rsid w:val="00B76CEF"/>
    <w:rsid w:val="00B778FA"/>
    <w:rsid w:val="00B80C45"/>
    <w:rsid w:val="00B81455"/>
    <w:rsid w:val="00B81853"/>
    <w:rsid w:val="00B81933"/>
    <w:rsid w:val="00B81FFF"/>
    <w:rsid w:val="00B85225"/>
    <w:rsid w:val="00B87905"/>
    <w:rsid w:val="00B91A49"/>
    <w:rsid w:val="00B91B7D"/>
    <w:rsid w:val="00B93BCA"/>
    <w:rsid w:val="00B94E3B"/>
    <w:rsid w:val="00B96381"/>
    <w:rsid w:val="00B96A45"/>
    <w:rsid w:val="00B97101"/>
    <w:rsid w:val="00BA1F35"/>
    <w:rsid w:val="00BA3088"/>
    <w:rsid w:val="00BA3C5A"/>
    <w:rsid w:val="00BA4A7C"/>
    <w:rsid w:val="00BB1E99"/>
    <w:rsid w:val="00BB267A"/>
    <w:rsid w:val="00BB2A34"/>
    <w:rsid w:val="00BB4C3B"/>
    <w:rsid w:val="00BB6C78"/>
    <w:rsid w:val="00BB7191"/>
    <w:rsid w:val="00BB765D"/>
    <w:rsid w:val="00BC1664"/>
    <w:rsid w:val="00BC1957"/>
    <w:rsid w:val="00BC292B"/>
    <w:rsid w:val="00BC37D2"/>
    <w:rsid w:val="00BC5455"/>
    <w:rsid w:val="00BD18E7"/>
    <w:rsid w:val="00BD1A57"/>
    <w:rsid w:val="00BD1E5B"/>
    <w:rsid w:val="00BD31F7"/>
    <w:rsid w:val="00BD3F38"/>
    <w:rsid w:val="00BD46A3"/>
    <w:rsid w:val="00BD4A03"/>
    <w:rsid w:val="00BD5B0C"/>
    <w:rsid w:val="00BD5B63"/>
    <w:rsid w:val="00BD73C1"/>
    <w:rsid w:val="00BD7490"/>
    <w:rsid w:val="00BE2A16"/>
    <w:rsid w:val="00BE36E3"/>
    <w:rsid w:val="00BE4761"/>
    <w:rsid w:val="00BE4980"/>
    <w:rsid w:val="00BE49AC"/>
    <w:rsid w:val="00BE5842"/>
    <w:rsid w:val="00BE7333"/>
    <w:rsid w:val="00BE75D3"/>
    <w:rsid w:val="00BE7A84"/>
    <w:rsid w:val="00BF1321"/>
    <w:rsid w:val="00BF17D6"/>
    <w:rsid w:val="00BF3147"/>
    <w:rsid w:val="00BF56C2"/>
    <w:rsid w:val="00BF5BCA"/>
    <w:rsid w:val="00BF67AC"/>
    <w:rsid w:val="00BF7778"/>
    <w:rsid w:val="00C00ABA"/>
    <w:rsid w:val="00C019F4"/>
    <w:rsid w:val="00C0390B"/>
    <w:rsid w:val="00C0621A"/>
    <w:rsid w:val="00C102D0"/>
    <w:rsid w:val="00C125ED"/>
    <w:rsid w:val="00C13194"/>
    <w:rsid w:val="00C1572F"/>
    <w:rsid w:val="00C17BEE"/>
    <w:rsid w:val="00C21D3C"/>
    <w:rsid w:val="00C22E70"/>
    <w:rsid w:val="00C2364E"/>
    <w:rsid w:val="00C23891"/>
    <w:rsid w:val="00C24908"/>
    <w:rsid w:val="00C24C3F"/>
    <w:rsid w:val="00C3043E"/>
    <w:rsid w:val="00C3089E"/>
    <w:rsid w:val="00C30FBE"/>
    <w:rsid w:val="00C337A7"/>
    <w:rsid w:val="00C352DB"/>
    <w:rsid w:val="00C36787"/>
    <w:rsid w:val="00C376DB"/>
    <w:rsid w:val="00C37729"/>
    <w:rsid w:val="00C40B62"/>
    <w:rsid w:val="00C41857"/>
    <w:rsid w:val="00C42329"/>
    <w:rsid w:val="00C4342C"/>
    <w:rsid w:val="00C43C83"/>
    <w:rsid w:val="00C44165"/>
    <w:rsid w:val="00C44233"/>
    <w:rsid w:val="00C4731D"/>
    <w:rsid w:val="00C5022D"/>
    <w:rsid w:val="00C520A2"/>
    <w:rsid w:val="00C54255"/>
    <w:rsid w:val="00C55A6C"/>
    <w:rsid w:val="00C55BAD"/>
    <w:rsid w:val="00C560D6"/>
    <w:rsid w:val="00C56D89"/>
    <w:rsid w:val="00C5747E"/>
    <w:rsid w:val="00C61BAB"/>
    <w:rsid w:val="00C61DC8"/>
    <w:rsid w:val="00C61FF7"/>
    <w:rsid w:val="00C62B7D"/>
    <w:rsid w:val="00C6387C"/>
    <w:rsid w:val="00C6576E"/>
    <w:rsid w:val="00C6739E"/>
    <w:rsid w:val="00C7165C"/>
    <w:rsid w:val="00C7193C"/>
    <w:rsid w:val="00C7214C"/>
    <w:rsid w:val="00C74894"/>
    <w:rsid w:val="00C75CCA"/>
    <w:rsid w:val="00C76C23"/>
    <w:rsid w:val="00C76D2F"/>
    <w:rsid w:val="00C776F6"/>
    <w:rsid w:val="00C77DAC"/>
    <w:rsid w:val="00C802A7"/>
    <w:rsid w:val="00C81391"/>
    <w:rsid w:val="00C81F26"/>
    <w:rsid w:val="00C83344"/>
    <w:rsid w:val="00C833EC"/>
    <w:rsid w:val="00C857B4"/>
    <w:rsid w:val="00C86EC5"/>
    <w:rsid w:val="00C87D52"/>
    <w:rsid w:val="00C9134A"/>
    <w:rsid w:val="00C92062"/>
    <w:rsid w:val="00C932D7"/>
    <w:rsid w:val="00C9412C"/>
    <w:rsid w:val="00C94717"/>
    <w:rsid w:val="00C967E1"/>
    <w:rsid w:val="00C96890"/>
    <w:rsid w:val="00C96CEA"/>
    <w:rsid w:val="00CA0EAC"/>
    <w:rsid w:val="00CA3BB6"/>
    <w:rsid w:val="00CA4EB5"/>
    <w:rsid w:val="00CA769C"/>
    <w:rsid w:val="00CB3871"/>
    <w:rsid w:val="00CB4B2A"/>
    <w:rsid w:val="00CB5022"/>
    <w:rsid w:val="00CB5A82"/>
    <w:rsid w:val="00CC0B3E"/>
    <w:rsid w:val="00CC1C85"/>
    <w:rsid w:val="00CC7431"/>
    <w:rsid w:val="00CD036C"/>
    <w:rsid w:val="00CD0590"/>
    <w:rsid w:val="00CD05D8"/>
    <w:rsid w:val="00CD16F5"/>
    <w:rsid w:val="00CD1916"/>
    <w:rsid w:val="00CD380D"/>
    <w:rsid w:val="00CD3A3D"/>
    <w:rsid w:val="00CD42EE"/>
    <w:rsid w:val="00CD4695"/>
    <w:rsid w:val="00CD4A2E"/>
    <w:rsid w:val="00CD700A"/>
    <w:rsid w:val="00CD7976"/>
    <w:rsid w:val="00CE1839"/>
    <w:rsid w:val="00CE1B2A"/>
    <w:rsid w:val="00CE1ECB"/>
    <w:rsid w:val="00CE5137"/>
    <w:rsid w:val="00CE59EE"/>
    <w:rsid w:val="00CE6259"/>
    <w:rsid w:val="00CE63C6"/>
    <w:rsid w:val="00CE6A1D"/>
    <w:rsid w:val="00CE7AB7"/>
    <w:rsid w:val="00CF0ACB"/>
    <w:rsid w:val="00CF0C33"/>
    <w:rsid w:val="00CF14C2"/>
    <w:rsid w:val="00CF1A9B"/>
    <w:rsid w:val="00CF3071"/>
    <w:rsid w:val="00CF4219"/>
    <w:rsid w:val="00CF7949"/>
    <w:rsid w:val="00CF7E49"/>
    <w:rsid w:val="00D017AA"/>
    <w:rsid w:val="00D033F1"/>
    <w:rsid w:val="00D037CD"/>
    <w:rsid w:val="00D04FF6"/>
    <w:rsid w:val="00D05651"/>
    <w:rsid w:val="00D110F6"/>
    <w:rsid w:val="00D119EB"/>
    <w:rsid w:val="00D1590B"/>
    <w:rsid w:val="00D2008A"/>
    <w:rsid w:val="00D20392"/>
    <w:rsid w:val="00D2058E"/>
    <w:rsid w:val="00D214A4"/>
    <w:rsid w:val="00D216A7"/>
    <w:rsid w:val="00D2530E"/>
    <w:rsid w:val="00D25E51"/>
    <w:rsid w:val="00D265AB"/>
    <w:rsid w:val="00D2678E"/>
    <w:rsid w:val="00D26C4F"/>
    <w:rsid w:val="00D30BE0"/>
    <w:rsid w:val="00D31E31"/>
    <w:rsid w:val="00D31F3A"/>
    <w:rsid w:val="00D32D88"/>
    <w:rsid w:val="00D36136"/>
    <w:rsid w:val="00D41338"/>
    <w:rsid w:val="00D41DEC"/>
    <w:rsid w:val="00D42DE9"/>
    <w:rsid w:val="00D43246"/>
    <w:rsid w:val="00D4348B"/>
    <w:rsid w:val="00D45314"/>
    <w:rsid w:val="00D45584"/>
    <w:rsid w:val="00D46850"/>
    <w:rsid w:val="00D50043"/>
    <w:rsid w:val="00D51281"/>
    <w:rsid w:val="00D51560"/>
    <w:rsid w:val="00D52260"/>
    <w:rsid w:val="00D535E9"/>
    <w:rsid w:val="00D5462B"/>
    <w:rsid w:val="00D57F00"/>
    <w:rsid w:val="00D6137D"/>
    <w:rsid w:val="00D62D55"/>
    <w:rsid w:val="00D64A08"/>
    <w:rsid w:val="00D6573A"/>
    <w:rsid w:val="00D661D5"/>
    <w:rsid w:val="00D66D87"/>
    <w:rsid w:val="00D67261"/>
    <w:rsid w:val="00D70D31"/>
    <w:rsid w:val="00D712BA"/>
    <w:rsid w:val="00D719C6"/>
    <w:rsid w:val="00D729FD"/>
    <w:rsid w:val="00D72DE0"/>
    <w:rsid w:val="00D74CF6"/>
    <w:rsid w:val="00D756B5"/>
    <w:rsid w:val="00D77713"/>
    <w:rsid w:val="00D814B2"/>
    <w:rsid w:val="00D8244E"/>
    <w:rsid w:val="00D826F1"/>
    <w:rsid w:val="00D83DBF"/>
    <w:rsid w:val="00D84768"/>
    <w:rsid w:val="00D84EA7"/>
    <w:rsid w:val="00D867F6"/>
    <w:rsid w:val="00D86A58"/>
    <w:rsid w:val="00D86AAF"/>
    <w:rsid w:val="00D918A2"/>
    <w:rsid w:val="00D91CB7"/>
    <w:rsid w:val="00D93BEF"/>
    <w:rsid w:val="00D95C28"/>
    <w:rsid w:val="00D969D0"/>
    <w:rsid w:val="00D977A1"/>
    <w:rsid w:val="00DA000A"/>
    <w:rsid w:val="00DA0040"/>
    <w:rsid w:val="00DA0DC9"/>
    <w:rsid w:val="00DA1065"/>
    <w:rsid w:val="00DA1824"/>
    <w:rsid w:val="00DA2B91"/>
    <w:rsid w:val="00DA371E"/>
    <w:rsid w:val="00DA3F42"/>
    <w:rsid w:val="00DA4785"/>
    <w:rsid w:val="00DA49D6"/>
    <w:rsid w:val="00DA6CC4"/>
    <w:rsid w:val="00DB12C6"/>
    <w:rsid w:val="00DB2E1A"/>
    <w:rsid w:val="00DB42E8"/>
    <w:rsid w:val="00DB5504"/>
    <w:rsid w:val="00DB5D9C"/>
    <w:rsid w:val="00DC18A1"/>
    <w:rsid w:val="00DC3917"/>
    <w:rsid w:val="00DC3ADE"/>
    <w:rsid w:val="00DC4218"/>
    <w:rsid w:val="00DC4E45"/>
    <w:rsid w:val="00DC4E5B"/>
    <w:rsid w:val="00DC6B88"/>
    <w:rsid w:val="00DC6FBA"/>
    <w:rsid w:val="00DD06AD"/>
    <w:rsid w:val="00DD1319"/>
    <w:rsid w:val="00DD1447"/>
    <w:rsid w:val="00DD1FD6"/>
    <w:rsid w:val="00DD20DA"/>
    <w:rsid w:val="00DD3B8E"/>
    <w:rsid w:val="00DD4620"/>
    <w:rsid w:val="00DD4F8B"/>
    <w:rsid w:val="00DD60FA"/>
    <w:rsid w:val="00DD7E20"/>
    <w:rsid w:val="00DE0B02"/>
    <w:rsid w:val="00DE21D0"/>
    <w:rsid w:val="00DE29D9"/>
    <w:rsid w:val="00DE2ADF"/>
    <w:rsid w:val="00DE385C"/>
    <w:rsid w:val="00DE61DE"/>
    <w:rsid w:val="00DE71BC"/>
    <w:rsid w:val="00DF1229"/>
    <w:rsid w:val="00DF22AB"/>
    <w:rsid w:val="00DF3208"/>
    <w:rsid w:val="00DF334C"/>
    <w:rsid w:val="00DF354A"/>
    <w:rsid w:val="00DF379B"/>
    <w:rsid w:val="00DF40EB"/>
    <w:rsid w:val="00DF4301"/>
    <w:rsid w:val="00DF437C"/>
    <w:rsid w:val="00DF7BC0"/>
    <w:rsid w:val="00E00CB8"/>
    <w:rsid w:val="00E01C2C"/>
    <w:rsid w:val="00E05255"/>
    <w:rsid w:val="00E05D27"/>
    <w:rsid w:val="00E06F5D"/>
    <w:rsid w:val="00E07C6F"/>
    <w:rsid w:val="00E10C0C"/>
    <w:rsid w:val="00E115C3"/>
    <w:rsid w:val="00E11843"/>
    <w:rsid w:val="00E118D6"/>
    <w:rsid w:val="00E11A03"/>
    <w:rsid w:val="00E126EB"/>
    <w:rsid w:val="00E1281E"/>
    <w:rsid w:val="00E12992"/>
    <w:rsid w:val="00E12CC1"/>
    <w:rsid w:val="00E12D07"/>
    <w:rsid w:val="00E13222"/>
    <w:rsid w:val="00E14960"/>
    <w:rsid w:val="00E15127"/>
    <w:rsid w:val="00E155F5"/>
    <w:rsid w:val="00E15CDE"/>
    <w:rsid w:val="00E1686B"/>
    <w:rsid w:val="00E17C83"/>
    <w:rsid w:val="00E20220"/>
    <w:rsid w:val="00E20ADB"/>
    <w:rsid w:val="00E22100"/>
    <w:rsid w:val="00E23B0B"/>
    <w:rsid w:val="00E23D75"/>
    <w:rsid w:val="00E24E87"/>
    <w:rsid w:val="00E264D6"/>
    <w:rsid w:val="00E26BF5"/>
    <w:rsid w:val="00E27332"/>
    <w:rsid w:val="00E27409"/>
    <w:rsid w:val="00E3027C"/>
    <w:rsid w:val="00E30E12"/>
    <w:rsid w:val="00E30E69"/>
    <w:rsid w:val="00E31E21"/>
    <w:rsid w:val="00E32317"/>
    <w:rsid w:val="00E33F50"/>
    <w:rsid w:val="00E364F5"/>
    <w:rsid w:val="00E401E8"/>
    <w:rsid w:val="00E4108C"/>
    <w:rsid w:val="00E4223B"/>
    <w:rsid w:val="00E42263"/>
    <w:rsid w:val="00E4269A"/>
    <w:rsid w:val="00E42F6F"/>
    <w:rsid w:val="00E44981"/>
    <w:rsid w:val="00E51884"/>
    <w:rsid w:val="00E528D9"/>
    <w:rsid w:val="00E545E5"/>
    <w:rsid w:val="00E556FA"/>
    <w:rsid w:val="00E565C5"/>
    <w:rsid w:val="00E56952"/>
    <w:rsid w:val="00E56FF6"/>
    <w:rsid w:val="00E57185"/>
    <w:rsid w:val="00E57E73"/>
    <w:rsid w:val="00E6079E"/>
    <w:rsid w:val="00E60DCE"/>
    <w:rsid w:val="00E61E0E"/>
    <w:rsid w:val="00E61F3C"/>
    <w:rsid w:val="00E6253C"/>
    <w:rsid w:val="00E62550"/>
    <w:rsid w:val="00E6629B"/>
    <w:rsid w:val="00E72333"/>
    <w:rsid w:val="00E73118"/>
    <w:rsid w:val="00E733B0"/>
    <w:rsid w:val="00E744A1"/>
    <w:rsid w:val="00E74E97"/>
    <w:rsid w:val="00E75493"/>
    <w:rsid w:val="00E75CED"/>
    <w:rsid w:val="00E75F6F"/>
    <w:rsid w:val="00E805BD"/>
    <w:rsid w:val="00E8326F"/>
    <w:rsid w:val="00E843F3"/>
    <w:rsid w:val="00E8505E"/>
    <w:rsid w:val="00E864D4"/>
    <w:rsid w:val="00E9100E"/>
    <w:rsid w:val="00E93993"/>
    <w:rsid w:val="00E93C8A"/>
    <w:rsid w:val="00E95771"/>
    <w:rsid w:val="00E9605D"/>
    <w:rsid w:val="00E976C0"/>
    <w:rsid w:val="00E97972"/>
    <w:rsid w:val="00EA074E"/>
    <w:rsid w:val="00EA283C"/>
    <w:rsid w:val="00EA2E07"/>
    <w:rsid w:val="00EA33E9"/>
    <w:rsid w:val="00EA3404"/>
    <w:rsid w:val="00EA3FF4"/>
    <w:rsid w:val="00EA6479"/>
    <w:rsid w:val="00EA7DDF"/>
    <w:rsid w:val="00EB0C8C"/>
    <w:rsid w:val="00EB25DA"/>
    <w:rsid w:val="00EB2C58"/>
    <w:rsid w:val="00EB2E81"/>
    <w:rsid w:val="00EB4CFF"/>
    <w:rsid w:val="00EB753E"/>
    <w:rsid w:val="00EC011A"/>
    <w:rsid w:val="00EC1075"/>
    <w:rsid w:val="00EC15B0"/>
    <w:rsid w:val="00EC2232"/>
    <w:rsid w:val="00EC278D"/>
    <w:rsid w:val="00EC333F"/>
    <w:rsid w:val="00EC642A"/>
    <w:rsid w:val="00ED02B6"/>
    <w:rsid w:val="00ED0A3E"/>
    <w:rsid w:val="00ED23DA"/>
    <w:rsid w:val="00ED26B5"/>
    <w:rsid w:val="00ED5647"/>
    <w:rsid w:val="00ED7350"/>
    <w:rsid w:val="00EE1AE4"/>
    <w:rsid w:val="00EE25C3"/>
    <w:rsid w:val="00EE2B5D"/>
    <w:rsid w:val="00EE3868"/>
    <w:rsid w:val="00EE67AB"/>
    <w:rsid w:val="00EE6A9C"/>
    <w:rsid w:val="00EE6DA7"/>
    <w:rsid w:val="00EE7984"/>
    <w:rsid w:val="00EF2882"/>
    <w:rsid w:val="00EF2A38"/>
    <w:rsid w:val="00EF3111"/>
    <w:rsid w:val="00EF6E61"/>
    <w:rsid w:val="00EF74DE"/>
    <w:rsid w:val="00EF7F15"/>
    <w:rsid w:val="00F02853"/>
    <w:rsid w:val="00F028E7"/>
    <w:rsid w:val="00F02DD1"/>
    <w:rsid w:val="00F035CB"/>
    <w:rsid w:val="00F0404E"/>
    <w:rsid w:val="00F04742"/>
    <w:rsid w:val="00F0531D"/>
    <w:rsid w:val="00F05329"/>
    <w:rsid w:val="00F0590C"/>
    <w:rsid w:val="00F06BE2"/>
    <w:rsid w:val="00F06F28"/>
    <w:rsid w:val="00F075BF"/>
    <w:rsid w:val="00F07D8C"/>
    <w:rsid w:val="00F11424"/>
    <w:rsid w:val="00F12181"/>
    <w:rsid w:val="00F13862"/>
    <w:rsid w:val="00F13AD0"/>
    <w:rsid w:val="00F13C7D"/>
    <w:rsid w:val="00F15134"/>
    <w:rsid w:val="00F1592E"/>
    <w:rsid w:val="00F16342"/>
    <w:rsid w:val="00F20D23"/>
    <w:rsid w:val="00F214F2"/>
    <w:rsid w:val="00F22260"/>
    <w:rsid w:val="00F225CB"/>
    <w:rsid w:val="00F227A1"/>
    <w:rsid w:val="00F2294A"/>
    <w:rsid w:val="00F231C7"/>
    <w:rsid w:val="00F30B60"/>
    <w:rsid w:val="00F3111A"/>
    <w:rsid w:val="00F32965"/>
    <w:rsid w:val="00F332A8"/>
    <w:rsid w:val="00F33E8E"/>
    <w:rsid w:val="00F356AA"/>
    <w:rsid w:val="00F3694E"/>
    <w:rsid w:val="00F36B97"/>
    <w:rsid w:val="00F376E5"/>
    <w:rsid w:val="00F37EE9"/>
    <w:rsid w:val="00F40880"/>
    <w:rsid w:val="00F412F5"/>
    <w:rsid w:val="00F413BD"/>
    <w:rsid w:val="00F4289C"/>
    <w:rsid w:val="00F430FE"/>
    <w:rsid w:val="00F438A7"/>
    <w:rsid w:val="00F444CE"/>
    <w:rsid w:val="00F45F7B"/>
    <w:rsid w:val="00F50DD0"/>
    <w:rsid w:val="00F5194E"/>
    <w:rsid w:val="00F51F28"/>
    <w:rsid w:val="00F53BD0"/>
    <w:rsid w:val="00F54256"/>
    <w:rsid w:val="00F5629C"/>
    <w:rsid w:val="00F57754"/>
    <w:rsid w:val="00F60B40"/>
    <w:rsid w:val="00F61329"/>
    <w:rsid w:val="00F61745"/>
    <w:rsid w:val="00F61D9C"/>
    <w:rsid w:val="00F62AF8"/>
    <w:rsid w:val="00F63DB4"/>
    <w:rsid w:val="00F651CA"/>
    <w:rsid w:val="00F6552A"/>
    <w:rsid w:val="00F65DD9"/>
    <w:rsid w:val="00F65E21"/>
    <w:rsid w:val="00F66414"/>
    <w:rsid w:val="00F700EF"/>
    <w:rsid w:val="00F7017E"/>
    <w:rsid w:val="00F70F0E"/>
    <w:rsid w:val="00F72BB5"/>
    <w:rsid w:val="00F73009"/>
    <w:rsid w:val="00F73BA2"/>
    <w:rsid w:val="00F73E65"/>
    <w:rsid w:val="00F74C84"/>
    <w:rsid w:val="00F74FA0"/>
    <w:rsid w:val="00F762BC"/>
    <w:rsid w:val="00F7686C"/>
    <w:rsid w:val="00F7730D"/>
    <w:rsid w:val="00F800BC"/>
    <w:rsid w:val="00F81222"/>
    <w:rsid w:val="00F81E72"/>
    <w:rsid w:val="00F8257A"/>
    <w:rsid w:val="00F825D4"/>
    <w:rsid w:val="00F83ECE"/>
    <w:rsid w:val="00F85476"/>
    <w:rsid w:val="00F855F1"/>
    <w:rsid w:val="00F86283"/>
    <w:rsid w:val="00F875B2"/>
    <w:rsid w:val="00F900F3"/>
    <w:rsid w:val="00F90EEB"/>
    <w:rsid w:val="00F9224F"/>
    <w:rsid w:val="00F929C5"/>
    <w:rsid w:val="00F96586"/>
    <w:rsid w:val="00F97460"/>
    <w:rsid w:val="00FA008B"/>
    <w:rsid w:val="00FA1704"/>
    <w:rsid w:val="00FA1E12"/>
    <w:rsid w:val="00FA1FDD"/>
    <w:rsid w:val="00FA2AAC"/>
    <w:rsid w:val="00FA3D0E"/>
    <w:rsid w:val="00FA5C21"/>
    <w:rsid w:val="00FA6C56"/>
    <w:rsid w:val="00FA78E9"/>
    <w:rsid w:val="00FA78F7"/>
    <w:rsid w:val="00FB029E"/>
    <w:rsid w:val="00FB1859"/>
    <w:rsid w:val="00FB2FFB"/>
    <w:rsid w:val="00FB4F15"/>
    <w:rsid w:val="00FB5889"/>
    <w:rsid w:val="00FC1F8F"/>
    <w:rsid w:val="00FC260B"/>
    <w:rsid w:val="00FC4C87"/>
    <w:rsid w:val="00FC7419"/>
    <w:rsid w:val="00FD12E5"/>
    <w:rsid w:val="00FD1A50"/>
    <w:rsid w:val="00FD1E90"/>
    <w:rsid w:val="00FD2250"/>
    <w:rsid w:val="00FD26C5"/>
    <w:rsid w:val="00FD5978"/>
    <w:rsid w:val="00FD5F53"/>
    <w:rsid w:val="00FD5FAF"/>
    <w:rsid w:val="00FD6EC5"/>
    <w:rsid w:val="00FE007F"/>
    <w:rsid w:val="00FE0D22"/>
    <w:rsid w:val="00FE1BC2"/>
    <w:rsid w:val="00FE24AF"/>
    <w:rsid w:val="00FE290C"/>
    <w:rsid w:val="00FE6F3A"/>
    <w:rsid w:val="00FE7A64"/>
    <w:rsid w:val="00FF0281"/>
    <w:rsid w:val="00FF06EF"/>
    <w:rsid w:val="00FF0880"/>
    <w:rsid w:val="00FF0CAC"/>
    <w:rsid w:val="00FF1BD9"/>
    <w:rsid w:val="00FF3CD7"/>
    <w:rsid w:val="00FF442F"/>
    <w:rsid w:val="00FF4669"/>
    <w:rsid w:val="00FF4E80"/>
    <w:rsid w:val="00FF4F51"/>
    <w:rsid w:val="00FF5183"/>
    <w:rsid w:val="00FF521E"/>
    <w:rsid w:val="00FF5628"/>
    <w:rsid w:val="00FF5785"/>
    <w:rsid w:val="00FF66D4"/>
    <w:rsid w:val="00FF73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40EBF"/>
  <w15:docId w15:val="{946048B8-9A9B-473E-8B70-860558C7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42A"/>
    <w:pPr>
      <w:spacing w:after="0" w:line="300" w:lineRule="auto"/>
      <w:jc w:val="both"/>
    </w:pPr>
    <w:rPr>
      <w:rFonts w:ascii="Times New Roman" w:hAnsi="Times New Roman"/>
      <w:sz w:val="24"/>
    </w:rPr>
  </w:style>
  <w:style w:type="paragraph" w:styleId="Overskrift1">
    <w:name w:val="heading 1"/>
    <w:basedOn w:val="Normal"/>
    <w:next w:val="Normal"/>
    <w:link w:val="Overskrift1Tegn"/>
    <w:uiPriority w:val="9"/>
    <w:qFormat/>
    <w:rsid w:val="00A06563"/>
    <w:pPr>
      <w:keepNext/>
      <w:keepLines/>
      <w:outlineLvl w:val="0"/>
    </w:pPr>
    <w:rPr>
      <w:rFonts w:eastAsiaTheme="majorEastAsia" w:cstheme="majorBidi"/>
      <w:b/>
      <w:bCs/>
      <w:sz w:val="28"/>
      <w:szCs w:val="28"/>
    </w:rPr>
  </w:style>
  <w:style w:type="paragraph" w:styleId="Overskrift2">
    <w:name w:val="heading 2"/>
    <w:basedOn w:val="Normal"/>
    <w:next w:val="Normal"/>
    <w:link w:val="Overskrift2Tegn"/>
    <w:uiPriority w:val="9"/>
    <w:semiHidden/>
    <w:unhideWhenUsed/>
    <w:qFormat/>
    <w:rsid w:val="00A06563"/>
    <w:pPr>
      <w:keepNext/>
      <w:keepLines/>
      <w:outlineLvl w:val="1"/>
    </w:pPr>
    <w:rPr>
      <w:rFonts w:eastAsiaTheme="majorEastAsia" w:cstheme="majorBidi"/>
      <w:b/>
      <w:bCs/>
      <w:sz w:val="28"/>
      <w:szCs w:val="26"/>
    </w:rPr>
  </w:style>
  <w:style w:type="paragraph" w:styleId="Overskrift3">
    <w:name w:val="heading 3"/>
    <w:basedOn w:val="Normal"/>
    <w:next w:val="Normal"/>
    <w:link w:val="Overskrift3Tegn"/>
    <w:uiPriority w:val="9"/>
    <w:semiHidden/>
    <w:unhideWhenUsed/>
    <w:qFormat/>
    <w:rsid w:val="00F0531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06563"/>
    <w:rPr>
      <w:rFonts w:ascii="Times New Roman" w:eastAsiaTheme="majorEastAsia" w:hAnsi="Times New Roman" w:cstheme="majorBidi"/>
      <w:b/>
      <w:bCs/>
      <w:sz w:val="28"/>
      <w:szCs w:val="28"/>
    </w:rPr>
  </w:style>
  <w:style w:type="character" w:customStyle="1" w:styleId="Overskrift2Tegn">
    <w:name w:val="Overskrift 2 Tegn"/>
    <w:basedOn w:val="Standardskrifttypeiafsnit"/>
    <w:link w:val="Overskrift2"/>
    <w:uiPriority w:val="9"/>
    <w:semiHidden/>
    <w:rsid w:val="00A06563"/>
    <w:rPr>
      <w:rFonts w:ascii="Times New Roman" w:eastAsiaTheme="majorEastAsia" w:hAnsi="Times New Roman" w:cstheme="majorBidi"/>
      <w:b/>
      <w:bCs/>
      <w:sz w:val="28"/>
      <w:szCs w:val="26"/>
    </w:rPr>
  </w:style>
  <w:style w:type="paragraph" w:styleId="Titel">
    <w:name w:val="Title"/>
    <w:basedOn w:val="Normal"/>
    <w:next w:val="Normal"/>
    <w:link w:val="TitelTegn"/>
    <w:uiPriority w:val="10"/>
    <w:qFormat/>
    <w:rsid w:val="00A10FC4"/>
    <w:pPr>
      <w:spacing w:before="240" w:after="60"/>
      <w:contextualSpacing/>
    </w:pPr>
    <w:rPr>
      <w:rFonts w:eastAsiaTheme="majorEastAsia" w:cstheme="majorBidi"/>
      <w:b/>
      <w:spacing w:val="5"/>
      <w:kern w:val="28"/>
      <w:sz w:val="32"/>
      <w:szCs w:val="52"/>
    </w:rPr>
  </w:style>
  <w:style w:type="character" w:customStyle="1" w:styleId="TitelTegn">
    <w:name w:val="Titel Tegn"/>
    <w:basedOn w:val="Standardskrifttypeiafsnit"/>
    <w:link w:val="Titel"/>
    <w:uiPriority w:val="10"/>
    <w:rsid w:val="00A10FC4"/>
    <w:rPr>
      <w:rFonts w:ascii="Times New Roman" w:eastAsiaTheme="majorEastAsia" w:hAnsi="Times New Roman" w:cstheme="majorBidi"/>
      <w:b/>
      <w:spacing w:val="5"/>
      <w:kern w:val="28"/>
      <w:sz w:val="32"/>
      <w:szCs w:val="52"/>
    </w:rPr>
  </w:style>
  <w:style w:type="paragraph" w:styleId="Undertitel">
    <w:name w:val="Subtitle"/>
    <w:basedOn w:val="Normal"/>
    <w:next w:val="Normal"/>
    <w:link w:val="UndertitelTegn"/>
    <w:uiPriority w:val="11"/>
    <w:qFormat/>
    <w:rsid w:val="00A10FC4"/>
    <w:pPr>
      <w:numPr>
        <w:ilvl w:val="1"/>
      </w:numPr>
      <w:spacing w:after="60"/>
      <w:outlineLvl w:val="1"/>
    </w:pPr>
    <w:rPr>
      <w:rFonts w:eastAsiaTheme="majorEastAsia" w:cstheme="majorBidi"/>
      <w:iCs/>
      <w:spacing w:val="15"/>
      <w:szCs w:val="24"/>
    </w:rPr>
  </w:style>
  <w:style w:type="character" w:customStyle="1" w:styleId="UndertitelTegn">
    <w:name w:val="Undertitel Tegn"/>
    <w:basedOn w:val="Standardskrifttypeiafsnit"/>
    <w:link w:val="Undertitel"/>
    <w:uiPriority w:val="11"/>
    <w:rsid w:val="00A10FC4"/>
    <w:rPr>
      <w:rFonts w:ascii="Times New Roman" w:eastAsiaTheme="majorEastAsia" w:hAnsi="Times New Roman" w:cstheme="majorBidi"/>
      <w:iCs/>
      <w:spacing w:val="15"/>
      <w:sz w:val="24"/>
      <w:szCs w:val="24"/>
    </w:rPr>
  </w:style>
  <w:style w:type="paragraph" w:styleId="Sidehoved">
    <w:name w:val="header"/>
    <w:basedOn w:val="Normal"/>
    <w:link w:val="SidehovedTegn"/>
    <w:uiPriority w:val="99"/>
    <w:unhideWhenUsed/>
    <w:rsid w:val="00D712B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712BA"/>
    <w:rPr>
      <w:rFonts w:ascii="Times New Roman" w:hAnsi="Times New Roman"/>
      <w:sz w:val="24"/>
    </w:rPr>
  </w:style>
  <w:style w:type="paragraph" w:styleId="Sidefod">
    <w:name w:val="footer"/>
    <w:basedOn w:val="Normal"/>
    <w:link w:val="SidefodTegn"/>
    <w:unhideWhenUsed/>
    <w:rsid w:val="00D712BA"/>
    <w:pPr>
      <w:tabs>
        <w:tab w:val="center" w:pos="4819"/>
        <w:tab w:val="right" w:pos="9638"/>
      </w:tabs>
      <w:spacing w:line="240" w:lineRule="auto"/>
    </w:pPr>
  </w:style>
  <w:style w:type="character" w:customStyle="1" w:styleId="SidefodTegn">
    <w:name w:val="Sidefod Tegn"/>
    <w:basedOn w:val="Standardskrifttypeiafsnit"/>
    <w:link w:val="Sidefod"/>
    <w:rsid w:val="00D712BA"/>
    <w:rPr>
      <w:rFonts w:ascii="Times New Roman" w:hAnsi="Times New Roman"/>
      <w:sz w:val="24"/>
    </w:rPr>
  </w:style>
  <w:style w:type="paragraph" w:styleId="Markeringsbobletekst">
    <w:name w:val="Balloon Text"/>
    <w:basedOn w:val="Normal"/>
    <w:link w:val="MarkeringsbobletekstTegn"/>
    <w:uiPriority w:val="99"/>
    <w:semiHidden/>
    <w:unhideWhenUsed/>
    <w:rsid w:val="00D712B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712BA"/>
    <w:rPr>
      <w:rFonts w:ascii="Tahoma" w:hAnsi="Tahoma" w:cs="Tahoma"/>
      <w:sz w:val="16"/>
      <w:szCs w:val="16"/>
    </w:rPr>
  </w:style>
  <w:style w:type="character" w:styleId="Sidetal">
    <w:name w:val="page number"/>
    <w:basedOn w:val="Standardskrifttypeiafsnit"/>
    <w:semiHidden/>
    <w:unhideWhenUsed/>
    <w:rsid w:val="005931A1"/>
  </w:style>
  <w:style w:type="paragraph" w:styleId="Citat">
    <w:name w:val="Quote"/>
    <w:basedOn w:val="Normal"/>
    <w:next w:val="Normal"/>
    <w:link w:val="CitatTegn"/>
    <w:uiPriority w:val="29"/>
    <w:qFormat/>
    <w:rsid w:val="00450BA6"/>
    <w:pPr>
      <w:ind w:left="567" w:right="567"/>
    </w:pPr>
    <w:rPr>
      <w:i/>
      <w:iCs/>
      <w:color w:val="000000" w:themeColor="text1"/>
    </w:rPr>
  </w:style>
  <w:style w:type="character" w:customStyle="1" w:styleId="CitatTegn">
    <w:name w:val="Citat Tegn"/>
    <w:basedOn w:val="Standardskrifttypeiafsnit"/>
    <w:link w:val="Citat"/>
    <w:uiPriority w:val="29"/>
    <w:rsid w:val="00450BA6"/>
    <w:rPr>
      <w:rFonts w:ascii="Times New Roman" w:hAnsi="Times New Roman"/>
      <w:i/>
      <w:iCs/>
      <w:color w:val="000000" w:themeColor="text1"/>
      <w:sz w:val="24"/>
    </w:rPr>
  </w:style>
  <w:style w:type="character" w:styleId="Hyperlink">
    <w:name w:val="Hyperlink"/>
    <w:basedOn w:val="Standardskrifttypeiafsnit"/>
    <w:uiPriority w:val="99"/>
    <w:unhideWhenUsed/>
    <w:rsid w:val="00092308"/>
    <w:rPr>
      <w:color w:val="0000FF" w:themeColor="hyperlink"/>
      <w:u w:val="single"/>
    </w:rPr>
  </w:style>
  <w:style w:type="table" w:customStyle="1" w:styleId="IndreTabel">
    <w:name w:val="IndreTabel"/>
    <w:basedOn w:val="Tabel-Normal"/>
    <w:uiPriority w:val="99"/>
    <w:rsid w:val="003B174B"/>
    <w:pPr>
      <w:spacing w:after="0" w:line="240" w:lineRule="auto"/>
    </w:pPr>
    <w:tblPr>
      <w:tblBorders>
        <w:top w:val="single" w:sz="8" w:space="0" w:color="E4E2D9"/>
        <w:bottom w:val="single" w:sz="8" w:space="0" w:color="E4E2D9"/>
        <w:insideH w:val="single" w:sz="8" w:space="0" w:color="E4E2D9"/>
      </w:tblBorders>
      <w:tblCellMar>
        <w:left w:w="0" w:type="dxa"/>
        <w:right w:w="0" w:type="dxa"/>
      </w:tblCellMar>
    </w:tblPr>
    <w:tcPr>
      <w:shd w:val="clear" w:color="auto" w:fill="auto"/>
      <w:vAlign w:val="center"/>
    </w:tcPr>
  </w:style>
  <w:style w:type="paragraph" w:customStyle="1" w:styleId="IndreTabelTekstVenstre">
    <w:name w:val="IndreTabelTekstVenstre"/>
    <w:basedOn w:val="Normal"/>
    <w:rsid w:val="003B174B"/>
    <w:pPr>
      <w:spacing w:line="150" w:lineRule="atLeast"/>
      <w:jc w:val="left"/>
    </w:pPr>
    <w:rPr>
      <w:sz w:val="14"/>
    </w:rPr>
  </w:style>
  <w:style w:type="paragraph" w:customStyle="1" w:styleId="IndreTabelTekstHjre">
    <w:name w:val="IndreTabelTekstHøjre"/>
    <w:basedOn w:val="IndreTabelTekstVenstre"/>
    <w:rsid w:val="003B174B"/>
    <w:pPr>
      <w:jc w:val="right"/>
    </w:pPr>
  </w:style>
  <w:style w:type="paragraph" w:customStyle="1" w:styleId="IndreTabelOverskriftHjre">
    <w:name w:val="IndreTabelOverskriftHøjre"/>
    <w:basedOn w:val="IndreTabelTekstHjre"/>
    <w:rsid w:val="003B174B"/>
    <w:rPr>
      <w:b/>
    </w:rPr>
  </w:style>
  <w:style w:type="paragraph" w:customStyle="1" w:styleId="IndreTabelOverskriftVenstre">
    <w:name w:val="IndreTabelOverskriftVenstre"/>
    <w:basedOn w:val="IndreTabelTekstVenstre"/>
    <w:rsid w:val="003B174B"/>
    <w:rPr>
      <w:i/>
    </w:rPr>
  </w:style>
  <w:style w:type="paragraph" w:customStyle="1" w:styleId="IndreTabelUnderoverskriftHjre">
    <w:name w:val="IndreTabelUnderoverskriftHøjre"/>
    <w:basedOn w:val="IndreTabelTekstHjre"/>
    <w:rsid w:val="003B174B"/>
    <w:rPr>
      <w:b/>
    </w:rPr>
  </w:style>
  <w:style w:type="paragraph" w:customStyle="1" w:styleId="IndreTabelUnderoverskriftVenstre">
    <w:name w:val="IndreTabelUnderoverskriftVenstre"/>
    <w:basedOn w:val="IndreTabelTekstVenstre"/>
    <w:rsid w:val="003B174B"/>
    <w:rPr>
      <w:b/>
    </w:rPr>
  </w:style>
  <w:style w:type="paragraph" w:customStyle="1" w:styleId="TabelKilde">
    <w:name w:val="TabelKilde"/>
    <w:basedOn w:val="Normal"/>
    <w:rsid w:val="003B174B"/>
    <w:pPr>
      <w:ind w:left="227" w:right="227"/>
    </w:pPr>
    <w:rPr>
      <w:color w:val="000000"/>
      <w:sz w:val="14"/>
    </w:rPr>
  </w:style>
  <w:style w:type="paragraph" w:customStyle="1" w:styleId="TabelOverskrift">
    <w:name w:val="TabelOverskrift"/>
    <w:basedOn w:val="Normal"/>
    <w:rsid w:val="003B174B"/>
    <w:pPr>
      <w:spacing w:after="210" w:line="210" w:lineRule="atLeast"/>
      <w:ind w:left="227" w:right="227"/>
    </w:pPr>
    <w:rPr>
      <w:b/>
      <w:color w:val="000000"/>
      <w:sz w:val="14"/>
    </w:rPr>
  </w:style>
  <w:style w:type="paragraph" w:customStyle="1" w:styleId="TabelTitel">
    <w:name w:val="TabelTitel"/>
    <w:basedOn w:val="Normal"/>
    <w:rsid w:val="003B174B"/>
    <w:pPr>
      <w:spacing w:before="170" w:line="230" w:lineRule="atLeast"/>
      <w:ind w:left="227" w:right="227"/>
    </w:pPr>
    <w:rPr>
      <w:b/>
      <w:color w:val="031D5C"/>
      <w:sz w:val="15"/>
    </w:rPr>
  </w:style>
  <w:style w:type="table" w:customStyle="1" w:styleId="YdreTabel">
    <w:name w:val="YdreTabel"/>
    <w:basedOn w:val="Tabel-Normal"/>
    <w:uiPriority w:val="99"/>
    <w:rsid w:val="003B174B"/>
    <w:pPr>
      <w:spacing w:after="0" w:line="240" w:lineRule="auto"/>
    </w:pPr>
    <w:rPr>
      <w:rFonts w:ascii="Times New Roman" w:hAnsi="Times New Roman"/>
      <w:sz w:val="14"/>
    </w:rPr>
    <w:tblPr>
      <w:tblStyleRowBandSize w:val="1"/>
      <w:tblBorders>
        <w:top w:val="single" w:sz="4" w:space="0" w:color="auto"/>
      </w:tblBorders>
      <w:tblCellMar>
        <w:left w:w="0" w:type="dxa"/>
        <w:right w:w="0" w:type="dxa"/>
      </w:tblCellMar>
    </w:tblPr>
    <w:tcPr>
      <w:shd w:val="clear" w:color="auto" w:fill="F9F8E0"/>
    </w:tcPr>
    <w:tblStylePr w:type="firstRow">
      <w:tblPr/>
      <w:tcPr>
        <w:shd w:val="clear" w:color="auto" w:fill="F9F8E0"/>
      </w:tcPr>
    </w:tblStylePr>
    <w:tblStylePr w:type="lastRow">
      <w:tblPr/>
      <w:tcPr>
        <w:tcBorders>
          <w:top w:val="nil"/>
          <w:left w:val="nil"/>
          <w:bottom w:val="nil"/>
          <w:right w:val="nil"/>
          <w:insideH w:val="nil"/>
          <w:insideV w:val="nil"/>
          <w:tl2br w:val="nil"/>
          <w:tr2bl w:val="nil"/>
        </w:tcBorders>
        <w:shd w:val="clear" w:color="auto" w:fill="F9F8E0"/>
      </w:tcPr>
    </w:tblStylePr>
    <w:tblStylePr w:type="band1Horz">
      <w:tblPr/>
      <w:tcPr>
        <w:shd w:val="clear" w:color="auto" w:fill="F9F8E0"/>
      </w:tcPr>
    </w:tblStylePr>
    <w:tblStylePr w:type="band2Horz">
      <w:tblPr/>
      <w:tcPr>
        <w:shd w:val="clear" w:color="auto" w:fill="F9F8E0"/>
      </w:tcPr>
    </w:tblStylePr>
  </w:style>
  <w:style w:type="character" w:styleId="Pladsholdertekst">
    <w:name w:val="Placeholder Text"/>
    <w:basedOn w:val="Standardskrifttypeiafsnit"/>
    <w:uiPriority w:val="99"/>
    <w:semiHidden/>
    <w:rsid w:val="00EA074E"/>
    <w:rPr>
      <w:color w:val="808080"/>
    </w:rPr>
  </w:style>
  <w:style w:type="character" w:customStyle="1" w:styleId="Overskrift3Tegn">
    <w:name w:val="Overskrift 3 Tegn"/>
    <w:basedOn w:val="Standardskrifttypeiafsnit"/>
    <w:link w:val="Overskrift3"/>
    <w:uiPriority w:val="9"/>
    <w:semiHidden/>
    <w:rsid w:val="00F0531D"/>
    <w:rPr>
      <w:rFonts w:asciiTheme="majorHAnsi" w:eastAsiaTheme="majorEastAsia" w:hAnsiTheme="majorHAnsi" w:cstheme="majorBidi"/>
      <w:color w:val="243F60" w:themeColor="accent1" w:themeShade="7F"/>
      <w:sz w:val="24"/>
      <w:szCs w:val="24"/>
    </w:rPr>
  </w:style>
  <w:style w:type="paragraph" w:styleId="Listeafsnit">
    <w:name w:val="List Paragraph"/>
    <w:basedOn w:val="Normal"/>
    <w:uiPriority w:val="34"/>
    <w:qFormat/>
    <w:rsid w:val="00F0531D"/>
    <w:pPr>
      <w:spacing w:after="200" w:line="276" w:lineRule="auto"/>
      <w:ind w:left="720"/>
      <w:contextualSpacing/>
      <w:jc w:val="left"/>
    </w:pPr>
    <w:rPr>
      <w:rFonts w:asciiTheme="minorHAnsi" w:hAnsiTheme="minorHAnsi"/>
      <w:sz w:val="22"/>
    </w:rPr>
  </w:style>
  <w:style w:type="paragraph" w:styleId="Indholdsfortegnelse1">
    <w:name w:val="toc 1"/>
    <w:basedOn w:val="Normal"/>
    <w:next w:val="Normal"/>
    <w:autoRedefine/>
    <w:uiPriority w:val="39"/>
    <w:unhideWhenUsed/>
    <w:rsid w:val="00F0531D"/>
    <w:pPr>
      <w:spacing w:after="100"/>
    </w:pPr>
  </w:style>
  <w:style w:type="paragraph" w:styleId="Indholdsfortegnelse2">
    <w:name w:val="toc 2"/>
    <w:basedOn w:val="Normal"/>
    <w:next w:val="Normal"/>
    <w:autoRedefine/>
    <w:uiPriority w:val="39"/>
    <w:unhideWhenUsed/>
    <w:rsid w:val="00F0531D"/>
    <w:pPr>
      <w:spacing w:after="100"/>
      <w:ind w:left="240"/>
    </w:pPr>
  </w:style>
  <w:style w:type="paragraph" w:styleId="Indholdsfortegnelse3">
    <w:name w:val="toc 3"/>
    <w:basedOn w:val="Normal"/>
    <w:next w:val="Normal"/>
    <w:autoRedefine/>
    <w:uiPriority w:val="39"/>
    <w:unhideWhenUsed/>
    <w:rsid w:val="00F0531D"/>
    <w:pPr>
      <w:spacing w:after="100"/>
      <w:ind w:left="480"/>
    </w:pPr>
  </w:style>
  <w:style w:type="character" w:customStyle="1" w:styleId="KommentartekstTegn">
    <w:name w:val="Kommentartekst Tegn"/>
    <w:basedOn w:val="Standardskrifttypeiafsnit"/>
    <w:link w:val="Kommentartekst"/>
    <w:uiPriority w:val="99"/>
    <w:rsid w:val="00F0531D"/>
    <w:rPr>
      <w:rFonts w:ascii="Times New Roman" w:hAnsi="Times New Roman"/>
      <w:sz w:val="20"/>
      <w:szCs w:val="20"/>
    </w:rPr>
  </w:style>
  <w:style w:type="paragraph" w:styleId="Kommentartekst">
    <w:name w:val="annotation text"/>
    <w:basedOn w:val="Normal"/>
    <w:link w:val="KommentartekstTegn"/>
    <w:uiPriority w:val="99"/>
    <w:unhideWhenUsed/>
    <w:rsid w:val="00F0531D"/>
    <w:pPr>
      <w:spacing w:line="240" w:lineRule="auto"/>
    </w:pPr>
    <w:rPr>
      <w:sz w:val="20"/>
      <w:szCs w:val="20"/>
    </w:rPr>
  </w:style>
  <w:style w:type="character" w:customStyle="1" w:styleId="KommentaremneTegn">
    <w:name w:val="Kommentaremne Tegn"/>
    <w:basedOn w:val="KommentartekstTegn"/>
    <w:link w:val="Kommentaremne"/>
    <w:uiPriority w:val="99"/>
    <w:semiHidden/>
    <w:rsid w:val="00F0531D"/>
    <w:rPr>
      <w:rFonts w:ascii="Times New Roman" w:hAnsi="Times New Roman"/>
      <w:b/>
      <w:bCs/>
      <w:sz w:val="20"/>
      <w:szCs w:val="20"/>
    </w:rPr>
  </w:style>
  <w:style w:type="paragraph" w:styleId="Kommentaremne">
    <w:name w:val="annotation subject"/>
    <w:basedOn w:val="Kommentartekst"/>
    <w:next w:val="Kommentartekst"/>
    <w:link w:val="KommentaremneTegn"/>
    <w:uiPriority w:val="99"/>
    <w:semiHidden/>
    <w:unhideWhenUsed/>
    <w:rsid w:val="00F0531D"/>
    <w:rPr>
      <w:b/>
      <w:bCs/>
    </w:rPr>
  </w:style>
  <w:style w:type="character" w:styleId="Kommentarhenvisning">
    <w:name w:val="annotation reference"/>
    <w:basedOn w:val="Standardskrifttypeiafsnit"/>
    <w:uiPriority w:val="99"/>
    <w:semiHidden/>
    <w:unhideWhenUsed/>
    <w:rsid w:val="00D265AB"/>
    <w:rPr>
      <w:sz w:val="16"/>
      <w:szCs w:val="16"/>
    </w:rPr>
  </w:style>
  <w:style w:type="paragraph" w:styleId="Fodnotetekst">
    <w:name w:val="footnote text"/>
    <w:basedOn w:val="Normal"/>
    <w:link w:val="FodnotetekstTegn"/>
    <w:uiPriority w:val="99"/>
    <w:semiHidden/>
    <w:unhideWhenUsed/>
    <w:rsid w:val="0091301A"/>
    <w:pPr>
      <w:spacing w:line="240" w:lineRule="auto"/>
    </w:pPr>
    <w:rPr>
      <w:sz w:val="20"/>
      <w:szCs w:val="20"/>
    </w:rPr>
  </w:style>
  <w:style w:type="character" w:customStyle="1" w:styleId="FodnotetekstTegn">
    <w:name w:val="Fodnotetekst Tegn"/>
    <w:basedOn w:val="Standardskrifttypeiafsnit"/>
    <w:link w:val="Fodnotetekst"/>
    <w:uiPriority w:val="99"/>
    <w:semiHidden/>
    <w:rsid w:val="0091301A"/>
    <w:rPr>
      <w:rFonts w:ascii="Times New Roman" w:hAnsi="Times New Roman"/>
      <w:sz w:val="20"/>
      <w:szCs w:val="20"/>
    </w:rPr>
  </w:style>
  <w:style w:type="character" w:styleId="Fodnotehenvisning">
    <w:name w:val="footnote reference"/>
    <w:basedOn w:val="Standardskrifttypeiafsnit"/>
    <w:uiPriority w:val="99"/>
    <w:semiHidden/>
    <w:unhideWhenUsed/>
    <w:rsid w:val="0091301A"/>
    <w:rPr>
      <w:vertAlign w:val="superscript"/>
    </w:rPr>
  </w:style>
  <w:style w:type="character" w:customStyle="1" w:styleId="Ulstomtale1">
    <w:name w:val="Uløst omtale1"/>
    <w:basedOn w:val="Standardskrifttypeiafsnit"/>
    <w:uiPriority w:val="99"/>
    <w:semiHidden/>
    <w:unhideWhenUsed/>
    <w:rsid w:val="00A203A2"/>
    <w:rPr>
      <w:color w:val="605E5C"/>
      <w:shd w:val="clear" w:color="auto" w:fill="E1DFDD"/>
    </w:rPr>
  </w:style>
  <w:style w:type="paragraph" w:styleId="Korrektur">
    <w:name w:val="Revision"/>
    <w:hidden/>
    <w:uiPriority w:val="99"/>
    <w:semiHidden/>
    <w:rsid w:val="002F5C07"/>
    <w:pPr>
      <w:spacing w:after="0" w:line="240" w:lineRule="auto"/>
    </w:pPr>
    <w:rPr>
      <w:rFonts w:ascii="Times New Roman" w:hAnsi="Times New Roman"/>
      <w:sz w:val="24"/>
    </w:rPr>
  </w:style>
  <w:style w:type="character" w:styleId="BesgtLink">
    <w:name w:val="FollowedHyperlink"/>
    <w:basedOn w:val="Standardskrifttypeiafsnit"/>
    <w:uiPriority w:val="99"/>
    <w:semiHidden/>
    <w:unhideWhenUsed/>
    <w:rsid w:val="00613898"/>
    <w:rPr>
      <w:color w:val="800080" w:themeColor="followedHyperlink"/>
      <w:u w:val="single"/>
    </w:rPr>
  </w:style>
  <w:style w:type="paragraph" w:customStyle="1" w:styleId="Default">
    <w:name w:val="Default"/>
    <w:rsid w:val="00F028E7"/>
    <w:pPr>
      <w:autoSpaceDE w:val="0"/>
      <w:autoSpaceDN w:val="0"/>
      <w:adjustRightInd w:val="0"/>
      <w:spacing w:after="0" w:line="240" w:lineRule="auto"/>
    </w:pPr>
    <w:rPr>
      <w:rFonts w:ascii="Georgia" w:hAnsi="Georgia" w:cs="Georgia"/>
      <w:color w:val="000000"/>
      <w:sz w:val="24"/>
      <w:szCs w:val="24"/>
    </w:rPr>
  </w:style>
  <w:style w:type="character" w:customStyle="1" w:styleId="stknr">
    <w:name w:val="stknr"/>
    <w:basedOn w:val="Standardskrifttypeiafsnit"/>
    <w:rsid w:val="00B1463D"/>
  </w:style>
  <w:style w:type="character" w:customStyle="1" w:styleId="inline">
    <w:name w:val="inline"/>
    <w:basedOn w:val="Standardskrifttypeiafsnit"/>
    <w:rsid w:val="00C21D3C"/>
  </w:style>
  <w:style w:type="character" w:styleId="Ulstomtale">
    <w:name w:val="Unresolved Mention"/>
    <w:basedOn w:val="Standardskrifttypeiafsnit"/>
    <w:uiPriority w:val="99"/>
    <w:semiHidden/>
    <w:unhideWhenUsed/>
    <w:rsid w:val="006232BE"/>
    <w:rPr>
      <w:color w:val="605E5C"/>
      <w:shd w:val="clear" w:color="auto" w:fill="E1DFDD"/>
    </w:rPr>
  </w:style>
  <w:style w:type="paragraph" w:customStyle="1" w:styleId="stk2">
    <w:name w:val="stk2"/>
    <w:basedOn w:val="Normal"/>
    <w:rsid w:val="008D0716"/>
    <w:pPr>
      <w:spacing w:before="100" w:beforeAutospacing="1" w:after="100" w:afterAutospacing="1" w:line="240" w:lineRule="auto"/>
      <w:jc w:val="left"/>
    </w:pPr>
    <w:rPr>
      <w:rFonts w:eastAsia="Times New Roman" w:cs="Times New Roman"/>
      <w:szCs w:val="24"/>
      <w:lang w:eastAsia="da-DK"/>
    </w:rPr>
  </w:style>
  <w:style w:type="character" w:customStyle="1" w:styleId="paragrafnr">
    <w:name w:val="paragrafnr"/>
    <w:basedOn w:val="Standardskrifttypeiafsnit"/>
    <w:rsid w:val="007C7B16"/>
  </w:style>
  <w:style w:type="paragraph" w:styleId="Opstilling-punkttegn">
    <w:name w:val="List Bullet"/>
    <w:basedOn w:val="Normal"/>
    <w:uiPriority w:val="99"/>
    <w:unhideWhenUsed/>
    <w:rsid w:val="00D535E9"/>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69518">
      <w:bodyDiv w:val="1"/>
      <w:marLeft w:val="0"/>
      <w:marRight w:val="0"/>
      <w:marTop w:val="0"/>
      <w:marBottom w:val="0"/>
      <w:divBdr>
        <w:top w:val="none" w:sz="0" w:space="0" w:color="auto"/>
        <w:left w:val="none" w:sz="0" w:space="0" w:color="auto"/>
        <w:bottom w:val="none" w:sz="0" w:space="0" w:color="auto"/>
        <w:right w:val="none" w:sz="0" w:space="0" w:color="auto"/>
      </w:divBdr>
    </w:div>
    <w:div w:id="410008643">
      <w:bodyDiv w:val="1"/>
      <w:marLeft w:val="0"/>
      <w:marRight w:val="0"/>
      <w:marTop w:val="0"/>
      <w:marBottom w:val="0"/>
      <w:divBdr>
        <w:top w:val="none" w:sz="0" w:space="0" w:color="auto"/>
        <w:left w:val="none" w:sz="0" w:space="0" w:color="auto"/>
        <w:bottom w:val="none" w:sz="0" w:space="0" w:color="auto"/>
        <w:right w:val="none" w:sz="0" w:space="0" w:color="auto"/>
      </w:divBdr>
    </w:div>
    <w:div w:id="444544271">
      <w:bodyDiv w:val="1"/>
      <w:marLeft w:val="0"/>
      <w:marRight w:val="0"/>
      <w:marTop w:val="0"/>
      <w:marBottom w:val="0"/>
      <w:divBdr>
        <w:top w:val="none" w:sz="0" w:space="0" w:color="auto"/>
        <w:left w:val="none" w:sz="0" w:space="0" w:color="auto"/>
        <w:bottom w:val="none" w:sz="0" w:space="0" w:color="auto"/>
        <w:right w:val="none" w:sz="0" w:space="0" w:color="auto"/>
      </w:divBdr>
      <w:divsChild>
        <w:div w:id="937711556">
          <w:marLeft w:val="0"/>
          <w:marRight w:val="0"/>
          <w:marTop w:val="0"/>
          <w:marBottom w:val="0"/>
          <w:divBdr>
            <w:top w:val="single" w:sz="2" w:space="0" w:color="auto"/>
            <w:left w:val="single" w:sz="2" w:space="0" w:color="auto"/>
            <w:bottom w:val="single" w:sz="2" w:space="0" w:color="auto"/>
            <w:right w:val="single" w:sz="2" w:space="0" w:color="auto"/>
          </w:divBdr>
        </w:div>
        <w:div w:id="171802125">
          <w:marLeft w:val="0"/>
          <w:marRight w:val="0"/>
          <w:marTop w:val="0"/>
          <w:marBottom w:val="0"/>
          <w:divBdr>
            <w:top w:val="single" w:sz="2" w:space="0" w:color="auto"/>
            <w:left w:val="single" w:sz="2" w:space="0" w:color="auto"/>
            <w:bottom w:val="single" w:sz="2" w:space="0" w:color="auto"/>
            <w:right w:val="single" w:sz="2" w:space="0" w:color="auto"/>
          </w:divBdr>
        </w:div>
        <w:div w:id="1725332792">
          <w:marLeft w:val="0"/>
          <w:marRight w:val="0"/>
          <w:marTop w:val="0"/>
          <w:marBottom w:val="0"/>
          <w:divBdr>
            <w:top w:val="single" w:sz="2" w:space="0" w:color="auto"/>
            <w:left w:val="single" w:sz="2" w:space="0" w:color="auto"/>
            <w:bottom w:val="single" w:sz="2" w:space="0" w:color="auto"/>
            <w:right w:val="single" w:sz="2" w:space="0" w:color="auto"/>
          </w:divBdr>
        </w:div>
        <w:div w:id="2004091007">
          <w:marLeft w:val="0"/>
          <w:marRight w:val="0"/>
          <w:marTop w:val="0"/>
          <w:marBottom w:val="0"/>
          <w:divBdr>
            <w:top w:val="single" w:sz="2" w:space="0" w:color="auto"/>
            <w:left w:val="single" w:sz="2" w:space="0" w:color="auto"/>
            <w:bottom w:val="single" w:sz="2" w:space="0" w:color="auto"/>
            <w:right w:val="single" w:sz="2" w:space="0" w:color="auto"/>
          </w:divBdr>
        </w:div>
      </w:divsChild>
    </w:div>
    <w:div w:id="606889625">
      <w:bodyDiv w:val="1"/>
      <w:marLeft w:val="0"/>
      <w:marRight w:val="0"/>
      <w:marTop w:val="0"/>
      <w:marBottom w:val="0"/>
      <w:divBdr>
        <w:top w:val="none" w:sz="0" w:space="0" w:color="auto"/>
        <w:left w:val="none" w:sz="0" w:space="0" w:color="auto"/>
        <w:bottom w:val="none" w:sz="0" w:space="0" w:color="auto"/>
        <w:right w:val="none" w:sz="0" w:space="0" w:color="auto"/>
      </w:divBdr>
    </w:div>
    <w:div w:id="679546333">
      <w:bodyDiv w:val="1"/>
      <w:marLeft w:val="0"/>
      <w:marRight w:val="0"/>
      <w:marTop w:val="0"/>
      <w:marBottom w:val="0"/>
      <w:divBdr>
        <w:top w:val="none" w:sz="0" w:space="0" w:color="auto"/>
        <w:left w:val="none" w:sz="0" w:space="0" w:color="auto"/>
        <w:bottom w:val="none" w:sz="0" w:space="0" w:color="auto"/>
        <w:right w:val="none" w:sz="0" w:space="0" w:color="auto"/>
      </w:divBdr>
    </w:div>
    <w:div w:id="794525015">
      <w:bodyDiv w:val="1"/>
      <w:marLeft w:val="0"/>
      <w:marRight w:val="0"/>
      <w:marTop w:val="0"/>
      <w:marBottom w:val="0"/>
      <w:divBdr>
        <w:top w:val="none" w:sz="0" w:space="0" w:color="auto"/>
        <w:left w:val="none" w:sz="0" w:space="0" w:color="auto"/>
        <w:bottom w:val="none" w:sz="0" w:space="0" w:color="auto"/>
        <w:right w:val="none" w:sz="0" w:space="0" w:color="auto"/>
      </w:divBdr>
    </w:div>
    <w:div w:id="833952995">
      <w:bodyDiv w:val="1"/>
      <w:marLeft w:val="0"/>
      <w:marRight w:val="0"/>
      <w:marTop w:val="0"/>
      <w:marBottom w:val="0"/>
      <w:divBdr>
        <w:top w:val="none" w:sz="0" w:space="0" w:color="auto"/>
        <w:left w:val="none" w:sz="0" w:space="0" w:color="auto"/>
        <w:bottom w:val="none" w:sz="0" w:space="0" w:color="auto"/>
        <w:right w:val="none" w:sz="0" w:space="0" w:color="auto"/>
      </w:divBdr>
    </w:div>
    <w:div w:id="1021736095">
      <w:bodyDiv w:val="1"/>
      <w:marLeft w:val="0"/>
      <w:marRight w:val="0"/>
      <w:marTop w:val="0"/>
      <w:marBottom w:val="0"/>
      <w:divBdr>
        <w:top w:val="none" w:sz="0" w:space="0" w:color="auto"/>
        <w:left w:val="none" w:sz="0" w:space="0" w:color="auto"/>
        <w:bottom w:val="none" w:sz="0" w:space="0" w:color="auto"/>
        <w:right w:val="none" w:sz="0" w:space="0" w:color="auto"/>
      </w:divBdr>
    </w:div>
    <w:div w:id="1073429832">
      <w:bodyDiv w:val="1"/>
      <w:marLeft w:val="0"/>
      <w:marRight w:val="0"/>
      <w:marTop w:val="0"/>
      <w:marBottom w:val="0"/>
      <w:divBdr>
        <w:top w:val="none" w:sz="0" w:space="0" w:color="auto"/>
        <w:left w:val="none" w:sz="0" w:space="0" w:color="auto"/>
        <w:bottom w:val="none" w:sz="0" w:space="0" w:color="auto"/>
        <w:right w:val="none" w:sz="0" w:space="0" w:color="auto"/>
      </w:divBdr>
    </w:div>
    <w:div w:id="1778135351">
      <w:bodyDiv w:val="1"/>
      <w:marLeft w:val="0"/>
      <w:marRight w:val="0"/>
      <w:marTop w:val="0"/>
      <w:marBottom w:val="0"/>
      <w:divBdr>
        <w:top w:val="none" w:sz="0" w:space="0" w:color="auto"/>
        <w:left w:val="none" w:sz="0" w:space="0" w:color="auto"/>
        <w:bottom w:val="none" w:sz="0" w:space="0" w:color="auto"/>
        <w:right w:val="none" w:sz="0" w:space="0" w:color="auto"/>
      </w:divBdr>
    </w:div>
    <w:div w:id="203515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6A747BF9E73D04AAFEA2ACAFE286AFB" ma:contentTypeVersion="1" ma:contentTypeDescription="Opret et nyt dokument." ma:contentTypeScope="" ma:versionID="82b8dd424f5eb00549340950ffab8add">
  <xsd:schema xmlns:xsd="http://www.w3.org/2001/XMLSchema" xmlns:xs="http://www.w3.org/2001/XMLSchema" xmlns:p="http://schemas.microsoft.com/office/2006/metadata/properties" xmlns:ns2="2c971ac5-6fe3-4233-bd1b-000ffc5d0f10" targetNamespace="http://schemas.microsoft.com/office/2006/metadata/properties" ma:root="true" ma:fieldsID="d5b61b11d7022a1dde2c9bb24524f7b6" ns2:_="">
    <xsd:import namespace="2c971ac5-6fe3-4233-bd1b-000ffc5d0f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71ac5-6fe3-4233-bd1b-000ffc5d0f10"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100FF-C9F8-490E-A088-ADCAAE2880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6E5A16-6ACD-4285-91D0-D1F533DBD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71ac5-6fe3-4233-bd1b-000ffc5d0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CC40C6-B207-4F3B-A1C7-9480157D719B}">
  <ds:schemaRefs>
    <ds:schemaRef ds:uri="http://schemas.microsoft.com/sharepoint/v3/contenttype/forms"/>
  </ds:schemaRefs>
</ds:datastoreItem>
</file>

<file path=customXml/itemProps4.xml><?xml version="1.0" encoding="utf-8"?>
<ds:datastoreItem xmlns:ds="http://schemas.openxmlformats.org/officeDocument/2006/customXml" ds:itemID="{8424191B-826D-4D0C-AA8A-E8D00D6E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16292</TotalTime>
  <Pages>63</Pages>
  <Words>18644</Words>
  <Characters>113734</Characters>
  <Application>Microsoft Office Word</Application>
  <DocSecurity>0</DocSecurity>
  <Lines>947</Lines>
  <Paragraphs>264</Paragraphs>
  <ScaleCrop>false</ScaleCrop>
  <HeadingPairs>
    <vt:vector size="2" baseType="variant">
      <vt:variant>
        <vt:lpstr>Titel</vt:lpstr>
      </vt:variant>
      <vt:variant>
        <vt:i4>1</vt:i4>
      </vt:variant>
    </vt:vector>
  </HeadingPairs>
  <TitlesOfParts>
    <vt:vector size="1" baseType="lpstr">
      <vt:lpstr>Skabelon for lovforslag - ændringslov</vt:lpstr>
    </vt:vector>
  </TitlesOfParts>
  <Company/>
  <LinksUpToDate>false</LinksUpToDate>
  <CharactersWithSpaces>132114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for lovforslag - ændringslov</dc:title>
  <dc:creator>Pernille Bjørnholk</dc:creator>
  <cp:lastModifiedBy>Simon Mark Jacobsen</cp:lastModifiedBy>
  <cp:revision>764</cp:revision>
  <cp:lastPrinted>2023-09-13T08:49:00Z</cp:lastPrinted>
  <dcterms:created xsi:type="dcterms:W3CDTF">2023-06-19T14:34:00Z</dcterms:created>
  <dcterms:modified xsi:type="dcterms:W3CDTF">2023-11-20T13:48:00Z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0x010100C6A747BF9E73D04AAFEA2ACAFE286AFB</vt:lpwstr>
  </property>
  <property fmtid="{D5CDD505-2E9C-101B-9397-08002B2CF9AE}" pid="3" name="ContentRemapped">
    <vt:lpwstr>true</vt:lpwstr>
  </property>
  <property fmtid="{D5CDD505-2E9C-101B-9397-08002B2CF9AE}" pid="4" name="sdDocumentDate">
    <vt:lpwstr>45099</vt:lpwstr>
  </property>
  <property fmtid="{D5CDD505-2E9C-101B-9397-08002B2CF9AE}" pid="5" name="SD_IntegrationInfoAdded">
    <vt:bool>true</vt:bool>
  </property>
</Properties>
</file>