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B" w:rsidRDefault="00BB4623" w:rsidP="002D58DB">
      <w:bookmarkStart w:id="0" w:name="_GoBack"/>
      <w:bookmarkEnd w:id="0"/>
      <w:r>
        <w:t>Til høringsparter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D58DB" w:rsidRPr="00A53C43" w:rsidTr="00640350">
        <w:tc>
          <w:tcPr>
            <w:tcW w:w="2235" w:type="dxa"/>
          </w:tcPr>
          <w:p w:rsidR="002D58DB" w:rsidRPr="00153EAF" w:rsidRDefault="002D58DB" w:rsidP="00640350">
            <w:pPr>
              <w:spacing w:line="220" w:lineRule="exact"/>
              <w:rPr>
                <w:b/>
                <w:sz w:val="16"/>
                <w:szCs w:val="16"/>
              </w:rPr>
            </w:pPr>
            <w:r w:rsidRPr="00153EAF">
              <w:rPr>
                <w:b/>
                <w:sz w:val="16"/>
                <w:szCs w:val="16"/>
              </w:rPr>
              <w:t>Kontor/afdeling</w:t>
            </w:r>
          </w:p>
          <w:p w:rsidR="002D58DB" w:rsidRPr="00153EAF" w:rsidRDefault="00E607FE" w:rsidP="00640350">
            <w:pPr>
              <w:spacing w:line="220" w:lineRule="exact"/>
              <w:rPr>
                <w:sz w:val="16"/>
                <w:szCs w:val="16"/>
              </w:rPr>
            </w:pPr>
            <w:r w:rsidRPr="00153EAF">
              <w:rPr>
                <w:sz w:val="16"/>
                <w:szCs w:val="16"/>
              </w:rPr>
              <w:t>Energikontor2</w:t>
            </w:r>
          </w:p>
          <w:p w:rsidR="002D58DB" w:rsidRPr="00153EAF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153EAF" w:rsidRDefault="002D58DB" w:rsidP="00F31BEE">
            <w:pPr>
              <w:tabs>
                <w:tab w:val="center" w:pos="1009"/>
              </w:tabs>
              <w:spacing w:line="220" w:lineRule="exact"/>
              <w:rPr>
                <w:b/>
                <w:sz w:val="16"/>
                <w:szCs w:val="16"/>
              </w:rPr>
            </w:pPr>
            <w:r w:rsidRPr="00153EAF">
              <w:rPr>
                <w:b/>
                <w:sz w:val="16"/>
                <w:szCs w:val="16"/>
              </w:rPr>
              <w:t>Dato</w:t>
            </w:r>
            <w:r w:rsidR="00F31BEE" w:rsidRPr="00153EAF">
              <w:rPr>
                <w:b/>
                <w:sz w:val="16"/>
                <w:szCs w:val="16"/>
              </w:rPr>
              <w:tab/>
            </w:r>
          </w:p>
          <w:p w:rsidR="002D58DB" w:rsidRPr="00153EAF" w:rsidRDefault="002D58DB" w:rsidP="00640350">
            <w:pPr>
              <w:spacing w:line="220" w:lineRule="exact"/>
              <w:rPr>
                <w:sz w:val="16"/>
                <w:szCs w:val="16"/>
              </w:rPr>
            </w:pPr>
            <w:r w:rsidRPr="00153EAF">
              <w:rPr>
                <w:sz w:val="16"/>
                <w:szCs w:val="16"/>
              </w:rPr>
              <w:fldChar w:fldCharType="begin"/>
            </w:r>
            <w:r w:rsidRPr="00153EAF">
              <w:rPr>
                <w:sz w:val="16"/>
                <w:szCs w:val="16"/>
              </w:rPr>
              <w:instrText xml:space="preserve"> CREATEDATE  \@ "d. MMMM yyyy"  \* MERGEFORMAT </w:instrText>
            </w:r>
            <w:r w:rsidRPr="00153EAF">
              <w:rPr>
                <w:sz w:val="16"/>
                <w:szCs w:val="16"/>
              </w:rPr>
              <w:fldChar w:fldCharType="separate"/>
            </w:r>
            <w:r w:rsidR="007705F8" w:rsidRPr="00153EAF">
              <w:rPr>
                <w:noProof/>
                <w:sz w:val="16"/>
                <w:szCs w:val="16"/>
              </w:rPr>
              <w:t>18</w:t>
            </w:r>
            <w:r w:rsidR="00F31BEE" w:rsidRPr="00153EAF">
              <w:rPr>
                <w:noProof/>
                <w:sz w:val="16"/>
                <w:szCs w:val="16"/>
              </w:rPr>
              <w:t xml:space="preserve">. </w:t>
            </w:r>
            <w:r w:rsidR="007705F8" w:rsidRPr="00153EAF">
              <w:rPr>
                <w:noProof/>
                <w:sz w:val="16"/>
                <w:szCs w:val="16"/>
              </w:rPr>
              <w:t>april</w:t>
            </w:r>
            <w:r w:rsidR="00F31BEE" w:rsidRPr="00153EAF">
              <w:rPr>
                <w:noProof/>
                <w:sz w:val="16"/>
                <w:szCs w:val="16"/>
              </w:rPr>
              <w:t xml:space="preserve"> 2017</w:t>
            </w:r>
            <w:r w:rsidRPr="00153EAF">
              <w:rPr>
                <w:sz w:val="16"/>
                <w:szCs w:val="16"/>
              </w:rPr>
              <w:fldChar w:fldCharType="end"/>
            </w:r>
          </w:p>
          <w:p w:rsidR="002D58DB" w:rsidRPr="00153EAF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153EAF" w:rsidRDefault="002D58DB" w:rsidP="00640350">
            <w:pPr>
              <w:spacing w:line="220" w:lineRule="exact"/>
              <w:rPr>
                <w:sz w:val="16"/>
                <w:szCs w:val="16"/>
              </w:rPr>
            </w:pPr>
            <w:r w:rsidRPr="00153EAF">
              <w:rPr>
                <w:sz w:val="16"/>
                <w:szCs w:val="16"/>
              </w:rPr>
              <w:t xml:space="preserve">J nr. </w:t>
            </w:r>
            <w:r w:rsidR="00E607FE" w:rsidRPr="00153EAF">
              <w:rPr>
                <w:sz w:val="16"/>
                <w:szCs w:val="16"/>
              </w:rPr>
              <w:t>2017-1037</w:t>
            </w:r>
          </w:p>
          <w:p w:rsidR="002D58DB" w:rsidRPr="00153EAF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0B026B" w:rsidRDefault="000B026B" w:rsidP="002D58DB">
      <w:pPr>
        <w:spacing w:after="700"/>
      </w:pPr>
    </w:p>
    <w:p w:rsidR="002D58DB" w:rsidRDefault="00BB4623" w:rsidP="002D58DB">
      <w:pPr>
        <w:rPr>
          <w:b/>
        </w:rPr>
      </w:pPr>
      <w:r>
        <w:rPr>
          <w:b/>
          <w:bCs/>
        </w:rPr>
        <w:t xml:space="preserve">Høring over udkast til bekendtgørelse om </w:t>
      </w:r>
      <w:r w:rsidR="00726138" w:rsidRPr="00726138">
        <w:rPr>
          <w:b/>
          <w:bCs/>
        </w:rPr>
        <w:t>tilskud til initiativer, der fremmer integration mellem forskellige forsyningssektorer (Smart energi bekendtgørelsen)</w:t>
      </w:r>
      <w:r>
        <w:rPr>
          <w:b/>
          <w:bCs/>
        </w:rPr>
        <w:t>.</w:t>
      </w:r>
      <w:r w:rsidR="002D58DB" w:rsidRPr="00347BCC">
        <w:rPr>
          <w:b/>
        </w:rPr>
        <w:t xml:space="preserve"> </w:t>
      </w:r>
    </w:p>
    <w:p w:rsidR="002D58DB" w:rsidRDefault="002D58DB" w:rsidP="002D58DB">
      <w:pPr>
        <w:rPr>
          <w:b/>
        </w:rPr>
      </w:pPr>
    </w:p>
    <w:p w:rsidR="0075623E" w:rsidRDefault="0075623E" w:rsidP="00BB4623"/>
    <w:p w:rsidR="00BB4623" w:rsidRDefault="007705F8" w:rsidP="007705F8">
      <w:r>
        <w:t xml:space="preserve">Energi-, Forsynings- og Klimaministeriet skal hermed anmode om eventuelle bemærkninger til vedlagte </w:t>
      </w:r>
      <w:r w:rsidR="00BB4623">
        <w:t xml:space="preserve">udkast til </w:t>
      </w:r>
      <w:r w:rsidR="00BB4623" w:rsidRPr="00572B0B">
        <w:t xml:space="preserve">bekendtgørelse </w:t>
      </w:r>
      <w:r w:rsidRPr="00572B0B">
        <w:t>om tilskud til initiativer, der fremmer integration mellem forskellige forsyningssektorer (Smart energi bekendtgørelsen)</w:t>
      </w:r>
      <w:r>
        <w:t xml:space="preserve">. </w:t>
      </w:r>
    </w:p>
    <w:p w:rsidR="00BB4623" w:rsidRDefault="00BB4623" w:rsidP="00BB4623"/>
    <w:p w:rsidR="006A0D48" w:rsidRPr="007B4E5B" w:rsidRDefault="0075623E" w:rsidP="007B4E5B">
      <w:r w:rsidRPr="007B4E5B">
        <w:t>Formålet med</w:t>
      </w:r>
      <w:r w:rsidR="00823D96" w:rsidRPr="007B4E5B">
        <w:t xml:space="preserve"> bekendtgørelsen er at udmønte regler om</w:t>
      </w:r>
      <w:r w:rsidRPr="007B4E5B">
        <w:t xml:space="preserve"> støtte </w:t>
      </w:r>
      <w:r w:rsidR="00823D96" w:rsidRPr="007B4E5B">
        <w:t xml:space="preserve">til at </w:t>
      </w:r>
      <w:r w:rsidRPr="007B4E5B">
        <w:t>fremme integration mellem</w:t>
      </w:r>
      <w:r w:rsidR="00786CE5" w:rsidRPr="007B4E5B">
        <w:t xml:space="preserve"> energisystemets forskellige </w:t>
      </w:r>
      <w:r w:rsidRPr="007B4E5B">
        <w:t>forsyningssektore</w:t>
      </w:r>
      <w:r w:rsidR="00786CE5" w:rsidRPr="007B4E5B">
        <w:t>r</w:t>
      </w:r>
      <w:r w:rsidR="006A0D48" w:rsidRPr="007B4E5B">
        <w:t xml:space="preserve"> med henblik på at forbedre udnyttelsen af de stigende mængder fluktuerende vedvarende energi.</w:t>
      </w:r>
    </w:p>
    <w:p w:rsidR="006A0D48" w:rsidRPr="007B4E5B" w:rsidRDefault="006A0D48" w:rsidP="007B4E5B"/>
    <w:p w:rsidR="00C15E1F" w:rsidRPr="00EA2D5F" w:rsidRDefault="00C15E1F" w:rsidP="007B4E5B">
      <w:r w:rsidRPr="007B4E5B">
        <w:t xml:space="preserve">Tilskudspuljen for smart energi udspringer af aftalen mellem den daværende SRSF-regering, Venstre, Dansk Folkeparti, Enhedslisten og Det Konservative Folkeparti om den danske energipolitik 2012-2020 af marts 2012. Forligsparterne besluttede den 22. december 2015, at der skal iværksættes et initiativ om Smart Energy og afsatte </w:t>
      </w:r>
      <w:r>
        <w:t xml:space="preserve">3 mio. </w:t>
      </w:r>
      <w:r w:rsidR="00F071E8">
        <w:t xml:space="preserve">kr. </w:t>
      </w:r>
      <w:r w:rsidRPr="007B4E5B">
        <w:t>årligt i 2016-2018</w:t>
      </w:r>
      <w:r>
        <w:t xml:space="preserve"> til en tilskudspulje for smart energi.</w:t>
      </w:r>
    </w:p>
    <w:p w:rsidR="00C15E1F" w:rsidRPr="007B4E5B" w:rsidRDefault="00C15E1F" w:rsidP="007B4E5B"/>
    <w:p w:rsidR="008056A1" w:rsidRPr="007B4E5B" w:rsidRDefault="008056A1" w:rsidP="007B4E5B">
      <w:r w:rsidRPr="007B4E5B">
        <w:t xml:space="preserve">Nedenfor redegøres for de væsentligste forhold til udkastet til bekendtgørelse. </w:t>
      </w:r>
    </w:p>
    <w:p w:rsidR="008056A1" w:rsidRPr="007B4E5B" w:rsidRDefault="008056A1" w:rsidP="007B4E5B"/>
    <w:p w:rsidR="008056A1" w:rsidRPr="00572B0B" w:rsidRDefault="008056A1" w:rsidP="007B4E5B">
      <w:pPr>
        <w:rPr>
          <w:b/>
        </w:rPr>
      </w:pPr>
      <w:r w:rsidRPr="00572B0B">
        <w:rPr>
          <w:b/>
        </w:rPr>
        <w:t>Generelt</w:t>
      </w:r>
    </w:p>
    <w:p w:rsidR="00C15E1F" w:rsidRPr="007B4E5B" w:rsidRDefault="00C15E1F" w:rsidP="007B4E5B">
      <w:r w:rsidRPr="007B4E5B">
        <w:t>Udkastet til b</w:t>
      </w:r>
      <w:r w:rsidR="007705F8" w:rsidRPr="007B4E5B">
        <w:t>ekendtgørelsen gør det muligt at</w:t>
      </w:r>
      <w:r w:rsidR="006A0D48" w:rsidRPr="007B4E5B">
        <w:t xml:space="preserve"> udmønte tilskudspuljen for smart energi</w:t>
      </w:r>
      <w:r w:rsidR="00EA2D5F" w:rsidRPr="007B4E5B">
        <w:t xml:space="preserve"> gennem indkaldelse af ansøgninger i 2017</w:t>
      </w:r>
      <w:r w:rsidR="00572B0B">
        <w:t>.</w:t>
      </w:r>
    </w:p>
    <w:p w:rsidR="00C15E1F" w:rsidRPr="007B4E5B" w:rsidRDefault="00C15E1F" w:rsidP="007B4E5B"/>
    <w:p w:rsidR="0075623E" w:rsidRPr="007B4E5B" w:rsidRDefault="00C15E1F" w:rsidP="007B4E5B">
      <w:r w:rsidRPr="007B4E5B">
        <w:t>Udkastet til b</w:t>
      </w:r>
      <w:r w:rsidR="00EA2D5F" w:rsidRPr="007B4E5B">
        <w:t>ekendtgørelsen stille</w:t>
      </w:r>
      <w:r w:rsidRPr="007B4E5B">
        <w:t>r</w:t>
      </w:r>
      <w:r w:rsidR="00EA2D5F" w:rsidRPr="007B4E5B">
        <w:t xml:space="preserve"> krav om</w:t>
      </w:r>
      <w:r w:rsidR="00145857" w:rsidRPr="007B4E5B">
        <w:t>,</w:t>
      </w:r>
      <w:r w:rsidR="00EA2D5F" w:rsidRPr="007B4E5B">
        <w:t xml:space="preserve"> at støttede projekter skal omfatte integration mellem to eller flere forsyningsarter.</w:t>
      </w:r>
      <w:r w:rsidR="002B3CE2" w:rsidRPr="007B4E5B">
        <w:t xml:space="preserve"> </w:t>
      </w:r>
      <w:r w:rsidR="00EA2D5F" w:rsidRPr="007B4E5B">
        <w:t xml:space="preserve"> </w:t>
      </w:r>
    </w:p>
    <w:p w:rsidR="0075623E" w:rsidRPr="007B4E5B" w:rsidRDefault="0075623E" w:rsidP="007B4E5B"/>
    <w:p w:rsidR="008056A1" w:rsidRPr="00572B0B" w:rsidRDefault="008056A1" w:rsidP="007B4E5B">
      <w:pPr>
        <w:rPr>
          <w:b/>
        </w:rPr>
      </w:pPr>
      <w:r w:rsidRPr="00572B0B">
        <w:rPr>
          <w:b/>
        </w:rPr>
        <w:t xml:space="preserve">De minimis </w:t>
      </w:r>
    </w:p>
    <w:p w:rsidR="008056A1" w:rsidRPr="007B4E5B" w:rsidRDefault="00C15E1F" w:rsidP="007B4E5B">
      <w:r w:rsidRPr="007B4E5B">
        <w:t xml:space="preserve">Udkastet til bekendtgørelse håndteres statsstøtteretligt gennem EU’s de minimis-forordning (EU) nr. 1407/2013 af 18.december 2013.  </w:t>
      </w:r>
    </w:p>
    <w:p w:rsidR="00C15E1F" w:rsidRPr="007B4E5B" w:rsidRDefault="00C15E1F" w:rsidP="007B4E5B"/>
    <w:p w:rsidR="00F26EF0" w:rsidRPr="007B4E5B" w:rsidRDefault="00F26EF0" w:rsidP="007B4E5B">
      <w:r w:rsidRPr="007B4E5B">
        <w:t xml:space="preserve">De minimis reglen går ud på, at mindre støttebeløb ikke skal anmeldes til Europa-Kommissionen. Til gengæld er der sat en beløbsgrænse for, hvor meget støtte en enkelt virksomhed kan modtage. </w:t>
      </w:r>
      <w:r w:rsidR="000F64D9" w:rsidRPr="007B4E5B">
        <w:t>Støtten må maksimalt udgøre 200.000 EUR pr. virksomhed over en periode på tre regnskabsår (</w:t>
      </w:r>
      <w:r w:rsidR="00572B0B">
        <w:t xml:space="preserve">der er fastsat </w:t>
      </w:r>
      <w:r w:rsidR="000F64D9" w:rsidRPr="007B4E5B">
        <w:t xml:space="preserve">andre tærskler i de minimis forordningerne for landbrug og for tjenesteydelser af særlig økonomisk </w:t>
      </w:r>
      <w:r w:rsidR="000F64D9" w:rsidRPr="007B4E5B">
        <w:lastRenderedPageBreak/>
        <w:t xml:space="preserve">interesse). </w:t>
      </w:r>
      <w:r w:rsidR="00F071E8">
        <w:t xml:space="preserve">Ansøgere </w:t>
      </w:r>
      <w:r w:rsidRPr="007B4E5B">
        <w:t>skal derfor være opmærksom</w:t>
      </w:r>
      <w:r w:rsidR="00F071E8">
        <w:t>me</w:t>
      </w:r>
      <w:r w:rsidRPr="007B4E5B">
        <w:t xml:space="preserve"> på, hvorvidt </w:t>
      </w:r>
      <w:r w:rsidR="00F071E8">
        <w:t>de</w:t>
      </w:r>
      <w:r w:rsidRPr="007B4E5B">
        <w:t xml:space="preserve"> har fået eller vil få støtte fra de minimis.</w:t>
      </w:r>
    </w:p>
    <w:p w:rsidR="00F26EF0" w:rsidRPr="007B4E5B" w:rsidRDefault="00F26EF0" w:rsidP="007B4E5B"/>
    <w:p w:rsidR="00D8599A" w:rsidRPr="007B4E5B" w:rsidRDefault="00D8599A" w:rsidP="007B4E5B">
      <w:r w:rsidRPr="007B4E5B">
        <w:t>En række sektorer er dog undtaget for de minimis reglen, fordi de har været præget af intens konkurrence og/eller overkapacitet.</w:t>
      </w:r>
      <w:r w:rsidR="00F26EF0" w:rsidRPr="007B4E5B">
        <w:t xml:space="preserve"> </w:t>
      </w:r>
      <w:r w:rsidR="00F071E8">
        <w:t xml:space="preserve">Ansøgere </w:t>
      </w:r>
      <w:r w:rsidR="00F26EF0" w:rsidRPr="007B4E5B">
        <w:t>skal derfor være opmærksom</w:t>
      </w:r>
      <w:r w:rsidR="00F071E8">
        <w:t>me</w:t>
      </w:r>
      <w:r w:rsidR="00F26EF0" w:rsidRPr="007B4E5B">
        <w:t xml:space="preserve"> på, at </w:t>
      </w:r>
      <w:r w:rsidR="00F071E8">
        <w:t xml:space="preserve">deres </w:t>
      </w:r>
      <w:r w:rsidR="00F26EF0" w:rsidRPr="007B4E5B">
        <w:t xml:space="preserve">branche kan være undtaget. </w:t>
      </w:r>
    </w:p>
    <w:p w:rsidR="00F26EF0" w:rsidRPr="007B4E5B" w:rsidRDefault="00F26EF0" w:rsidP="007B4E5B"/>
    <w:p w:rsidR="00F26EF0" w:rsidRDefault="00F071E8" w:rsidP="007B4E5B">
      <w:r>
        <w:t xml:space="preserve">Ansøgere </w:t>
      </w:r>
      <w:r w:rsidR="00F26EF0" w:rsidRPr="007B4E5B">
        <w:t>skal være opmærksom</w:t>
      </w:r>
      <w:r>
        <w:t>me</w:t>
      </w:r>
      <w:r w:rsidR="00F26EF0" w:rsidRPr="007B4E5B">
        <w:t xml:space="preserve"> på, at såfremt </w:t>
      </w:r>
      <w:r>
        <w:t xml:space="preserve">de </w:t>
      </w:r>
      <w:r w:rsidR="00F26EF0" w:rsidRPr="007B4E5B">
        <w:t>overtræder beløbsgrænser</w:t>
      </w:r>
      <w:r w:rsidR="00E56525">
        <w:t>-</w:t>
      </w:r>
      <w:r w:rsidR="00F26EF0" w:rsidRPr="007B4E5B">
        <w:t>ne, kan Europa-Kommissionen beslutte, at den for meget udbetalte støtte skal tilbagebetales.</w:t>
      </w:r>
    </w:p>
    <w:p w:rsidR="00572B0B" w:rsidRDefault="00572B0B" w:rsidP="007B4E5B"/>
    <w:p w:rsidR="0077309A" w:rsidRDefault="0077309A" w:rsidP="007B4E5B">
      <w:r>
        <w:t>Der gøres særskilt opmærksom på de minimis forordningens regler om kumulation og anden støtte, hvilket kan have en betydning for, hvorvidt der kan ydes støtte til projektet og/eller ansøgeren.</w:t>
      </w:r>
    </w:p>
    <w:p w:rsidR="0077309A" w:rsidRDefault="0077309A" w:rsidP="007B4E5B"/>
    <w:p w:rsidR="00A351A6" w:rsidRPr="004F0A5E" w:rsidRDefault="00A351A6" w:rsidP="007B4E5B">
      <w:pPr>
        <w:rPr>
          <w:b/>
        </w:rPr>
      </w:pPr>
      <w:r w:rsidRPr="004F0A5E">
        <w:rPr>
          <w:b/>
        </w:rPr>
        <w:t>Hvem kan ansøge?</w:t>
      </w:r>
    </w:p>
    <w:p w:rsidR="00A351A6" w:rsidRPr="007B4E5B" w:rsidRDefault="00A351A6" w:rsidP="007B4E5B">
      <w:r w:rsidRPr="007B4E5B">
        <w:t xml:space="preserve">Der er som sådan ikke begrænsninger i hvem, der kan ansøge. Virksomheder, borgere, konsortier m.v. kan ansøge om at komme i betragtning til puljen. </w:t>
      </w:r>
    </w:p>
    <w:p w:rsidR="00A351A6" w:rsidRPr="007B4E5B" w:rsidRDefault="00A351A6" w:rsidP="007B4E5B"/>
    <w:p w:rsidR="00A351A6" w:rsidRPr="007B4E5B" w:rsidRDefault="00A351A6" w:rsidP="007B4E5B">
      <w:r w:rsidRPr="007B4E5B">
        <w:t>Som anført ovenfor kan anvendelsen af de</w:t>
      </w:r>
      <w:r w:rsidR="00D06813" w:rsidRPr="007B4E5B">
        <w:t xml:space="preserve"> minimis</w:t>
      </w:r>
      <w:r w:rsidRPr="007B4E5B">
        <w:t xml:space="preserve"> have en betydning for</w:t>
      </w:r>
      <w:r w:rsidR="00C15E1F" w:rsidRPr="007B4E5B">
        <w:t>,</w:t>
      </w:r>
      <w:r w:rsidRPr="007B4E5B">
        <w:t xml:space="preserve"> hvem der kan komme i betragtning</w:t>
      </w:r>
      <w:r w:rsidR="00C15E1F" w:rsidRPr="007B4E5B">
        <w:t xml:space="preserve"> til puljen</w:t>
      </w:r>
      <w:r w:rsidRPr="007B4E5B">
        <w:t xml:space="preserve">. </w:t>
      </w:r>
    </w:p>
    <w:p w:rsidR="00A351A6" w:rsidRPr="007B4E5B" w:rsidRDefault="00A351A6" w:rsidP="007B4E5B"/>
    <w:p w:rsidR="008056A1" w:rsidRPr="004F0A5E" w:rsidRDefault="008056A1" w:rsidP="007B4E5B">
      <w:pPr>
        <w:rPr>
          <w:b/>
        </w:rPr>
      </w:pPr>
      <w:r w:rsidRPr="004F0A5E">
        <w:rPr>
          <w:b/>
        </w:rPr>
        <w:t xml:space="preserve">Hvilke oplysninger </w:t>
      </w:r>
      <w:r w:rsidR="00A351A6" w:rsidRPr="004F0A5E">
        <w:rPr>
          <w:b/>
        </w:rPr>
        <w:t>skal meds</w:t>
      </w:r>
      <w:r w:rsidR="00D06813" w:rsidRPr="004F0A5E">
        <w:rPr>
          <w:b/>
        </w:rPr>
        <w:t>endes?</w:t>
      </w:r>
    </w:p>
    <w:p w:rsidR="00D44CD9" w:rsidRPr="007B4E5B" w:rsidRDefault="00D44CD9" w:rsidP="007B4E5B">
      <w:r w:rsidRPr="007B4E5B">
        <w:t xml:space="preserve">Alle støttemodtagere skal oplyse om, de inden for de seneste år har modtaget eller modtager de minimis støtte og udfylde en de minimis erklæring herom. </w:t>
      </w:r>
    </w:p>
    <w:p w:rsidR="007D15F8" w:rsidRPr="007B4E5B" w:rsidRDefault="007D15F8" w:rsidP="007B4E5B"/>
    <w:p w:rsidR="00D44CD9" w:rsidRPr="007B4E5B" w:rsidRDefault="00F071E8" w:rsidP="007B4E5B">
      <w:r>
        <w:t>Ansøgere</w:t>
      </w:r>
      <w:r w:rsidR="007D15F8" w:rsidRPr="007B4E5B">
        <w:t xml:space="preserve"> skal være opmærksom</w:t>
      </w:r>
      <w:r w:rsidR="004F0A5E">
        <w:t>me</w:t>
      </w:r>
      <w:r w:rsidR="007D15F8" w:rsidRPr="007B4E5B">
        <w:t xml:space="preserve"> på, at Energi-, Forsynings- og Klimaministeriet kan indhente oplysninger til brug for vurdering af</w:t>
      </w:r>
      <w:r w:rsidR="0077309A">
        <w:t xml:space="preserve"> overholdelse af bestemmelserne om </w:t>
      </w:r>
      <w:r w:rsidR="007D15F8" w:rsidRPr="007B4E5B">
        <w:t>minimis støtte.</w:t>
      </w:r>
      <w:r w:rsidR="007D15F8" w:rsidRPr="007B4E5B">
        <w:cr/>
      </w:r>
    </w:p>
    <w:p w:rsidR="00A7495E" w:rsidRPr="004F0A5E" w:rsidRDefault="00A7495E" w:rsidP="007B4E5B">
      <w:pPr>
        <w:rPr>
          <w:b/>
        </w:rPr>
      </w:pPr>
      <w:r w:rsidRPr="004F0A5E">
        <w:rPr>
          <w:b/>
        </w:rPr>
        <w:t>Hvornår afholdes ansøgningsrunden?</w:t>
      </w:r>
    </w:p>
    <w:p w:rsidR="00C15E1F" w:rsidRPr="007B4E5B" w:rsidRDefault="00C15E1F" w:rsidP="007B4E5B">
      <w:r w:rsidRPr="007B4E5B">
        <w:t xml:space="preserve">Bekendtgørelsen påtænkes sat i kraft 1. juli 2017. Ansøgningsrunden påtænkes afholdt i perioden </w:t>
      </w:r>
      <w:r w:rsidR="00C511D3" w:rsidRPr="007B4E5B">
        <w:t>1. juli til 2</w:t>
      </w:r>
      <w:r w:rsidR="007E563E">
        <w:t>5</w:t>
      </w:r>
      <w:r w:rsidR="00C511D3" w:rsidRPr="007B4E5B">
        <w:t>. oktober</w:t>
      </w:r>
      <w:r w:rsidRPr="007B4E5B">
        <w:t xml:space="preserve"> 2017. </w:t>
      </w:r>
    </w:p>
    <w:p w:rsidR="00C15E1F" w:rsidRPr="007B4E5B" w:rsidRDefault="00C15E1F" w:rsidP="007B4E5B"/>
    <w:p w:rsidR="008056A1" w:rsidRPr="004F0A5E" w:rsidRDefault="00A351A6" w:rsidP="007B4E5B">
      <w:pPr>
        <w:rPr>
          <w:b/>
        </w:rPr>
      </w:pPr>
      <w:r w:rsidRPr="004F0A5E">
        <w:rPr>
          <w:b/>
        </w:rPr>
        <w:t xml:space="preserve">Hvordan vurderes </w:t>
      </w:r>
      <w:r w:rsidR="008056A1" w:rsidRPr="004F0A5E">
        <w:rPr>
          <w:b/>
        </w:rPr>
        <w:t>ansøgninger</w:t>
      </w:r>
      <w:r w:rsidRPr="004F0A5E">
        <w:rPr>
          <w:b/>
        </w:rPr>
        <w:t>ne?</w:t>
      </w:r>
    </w:p>
    <w:p w:rsidR="0089699C" w:rsidRDefault="008C3022" w:rsidP="007B4E5B">
      <w:r>
        <w:t>Energi-, Forsynings- og Klimaministeriet</w:t>
      </w:r>
      <w:r w:rsidR="00CE24D5">
        <w:t xml:space="preserve"> vil vurdere ansøgningerne efter en række kriterier, der alle fremgår af bekendtgørelsesteksten. Ministeriet vil </w:t>
      </w:r>
      <w:r w:rsidR="0077309A">
        <w:t xml:space="preserve">foretage en konkret vurdering </w:t>
      </w:r>
      <w:r w:rsidR="00CE24D5">
        <w:t xml:space="preserve">på baggrund af </w:t>
      </w:r>
      <w:r w:rsidR="0077309A">
        <w:t>et eller flere af de i udkastet til bekendtgørelsen anførte kriterier</w:t>
      </w:r>
      <w:r w:rsidR="00CE24D5">
        <w:t xml:space="preserve">. </w:t>
      </w:r>
      <w:r w:rsidR="008C3BD4">
        <w:t>En nærmere vægtning af kriterierne vil fremgå af ansøgningsmaterialet.</w:t>
      </w:r>
    </w:p>
    <w:p w:rsidR="0089699C" w:rsidRDefault="0089699C" w:rsidP="007B4E5B"/>
    <w:p w:rsidR="0089699C" w:rsidRDefault="008C3BD4" w:rsidP="0089699C">
      <w:r>
        <w:t>Det</w:t>
      </w:r>
      <w:r w:rsidRPr="008C3BD4">
        <w:t xml:space="preserve"> </w:t>
      </w:r>
      <w:r>
        <w:t>følger bl.a. a</w:t>
      </w:r>
      <w:r w:rsidR="0089699C">
        <w:t>f kriterierne, som ministeriet vil lægge til grund for sin vurdering, a</w:t>
      </w:r>
      <w:r w:rsidR="0089699C" w:rsidRPr="00B80692">
        <w:t>t projektet indeholder aktiviteter i større tværgående skala</w:t>
      </w:r>
      <w:r w:rsidR="0089699C">
        <w:t>, a</w:t>
      </w:r>
      <w:r w:rsidR="0089699C" w:rsidRPr="00B03E3B">
        <w:t xml:space="preserve">t projektet har sigte på et ”energisystem” perspektiv fx med fokus på kobling mellem produktion og forbrug </w:t>
      </w:r>
      <w:r w:rsidR="0089699C" w:rsidRPr="00B03E3B">
        <w:lastRenderedPageBreak/>
        <w:t>i forskellige sektorer</w:t>
      </w:r>
      <w:r w:rsidR="0089699C">
        <w:t>, a</w:t>
      </w:r>
      <w:r w:rsidR="0089699C" w:rsidRPr="00B03E3B">
        <w:t>t projektets valg af</w:t>
      </w:r>
      <w:r w:rsidR="0089699C">
        <w:t xml:space="preserve"> fx f</w:t>
      </w:r>
      <w:r w:rsidR="0089699C" w:rsidRPr="00B03E3B">
        <w:t>orretningsmodel</w:t>
      </w:r>
      <w:r w:rsidR="0089699C">
        <w:t xml:space="preserve"> er tæt på at være markedsmodent, og at </w:t>
      </w:r>
      <w:r w:rsidR="0089699C" w:rsidRPr="00B03E3B">
        <w:t>projektet er nytænkende.</w:t>
      </w:r>
    </w:p>
    <w:p w:rsidR="0089699C" w:rsidRDefault="0089699C" w:rsidP="0089699C"/>
    <w:p w:rsidR="0089699C" w:rsidRDefault="0089699C" w:rsidP="0089699C">
      <w:r>
        <w:t>Kriterierne skal sikre, at det er klart for ansøgere, hvad ministeriet efterspørger, samt at ministeriet kan yde tilskud i overensstemmelse med støtteordningens formål, der er at støtte</w:t>
      </w:r>
      <w:r w:rsidRPr="00B03E3B">
        <w:t xml:space="preserve"> initiativer til fremme af et smart energisystem</w:t>
      </w:r>
      <w:r>
        <w:t>.</w:t>
      </w:r>
    </w:p>
    <w:p w:rsidR="0089699C" w:rsidRDefault="0089699C" w:rsidP="0089699C"/>
    <w:p w:rsidR="00A351A6" w:rsidRPr="007B4E5B" w:rsidRDefault="00CE24D5" w:rsidP="007B4E5B">
      <w:r>
        <w:t xml:space="preserve">Det er ikke en forudsætning for tildeling af støtte, at alle fastlagte kriterier skal være opfyldt. </w:t>
      </w:r>
      <w:r w:rsidR="008C3022">
        <w:t xml:space="preserve"> </w:t>
      </w:r>
    </w:p>
    <w:p w:rsidR="004F0A5E" w:rsidRDefault="004F0A5E" w:rsidP="007B4E5B">
      <w:pPr>
        <w:rPr>
          <w:b/>
        </w:rPr>
      </w:pPr>
    </w:p>
    <w:p w:rsidR="00A351A6" w:rsidRPr="004F0A5E" w:rsidRDefault="00D06813" w:rsidP="007B4E5B">
      <w:pPr>
        <w:rPr>
          <w:b/>
        </w:rPr>
      </w:pPr>
      <w:r w:rsidRPr="004F0A5E">
        <w:rPr>
          <w:b/>
        </w:rPr>
        <w:t>Antal af ansøgningsrunder?</w:t>
      </w:r>
    </w:p>
    <w:p w:rsidR="00CF216E" w:rsidRPr="007B4E5B" w:rsidRDefault="00CF216E" w:rsidP="00CF216E">
      <w:r>
        <w:t>Der gøres opmærksom på, at b</w:t>
      </w:r>
      <w:r w:rsidR="00C15E1F" w:rsidRPr="007B4E5B">
        <w:t xml:space="preserve">ekendtgørelsen </w:t>
      </w:r>
      <w:r>
        <w:t xml:space="preserve">giver </w:t>
      </w:r>
      <w:r w:rsidR="00C15E1F" w:rsidRPr="007B4E5B">
        <w:t xml:space="preserve">mulighed </w:t>
      </w:r>
      <w:r w:rsidR="00C15E1F">
        <w:t>for at Energi-, Forsynings- og Klimaministeriet kan udmønte 2018-puljemidler i f</w:t>
      </w:r>
      <w:r>
        <w:t xml:space="preserve">orbindelse med </w:t>
      </w:r>
      <w:r w:rsidR="00C15E1F">
        <w:t xml:space="preserve">ansøgningsrunden i 2017. </w:t>
      </w:r>
      <w:r w:rsidR="0077309A">
        <w:t xml:space="preserve">Det er endnu ikke afklaret, hvorvidt der også vil komme en ansøgningsrunde i 2018. I givet fald vil der skulle udarbejdes en ny bekendtgørelse eller en ændringsbekendtgørelse. </w:t>
      </w:r>
    </w:p>
    <w:p w:rsidR="00C15E1F" w:rsidRPr="007B4E5B" w:rsidRDefault="00CF216E" w:rsidP="007B4E5B">
      <w:r>
        <w:t xml:space="preserve"> </w:t>
      </w:r>
    </w:p>
    <w:p w:rsidR="0077309A" w:rsidRPr="004F0A5E" w:rsidRDefault="00A7495E" w:rsidP="007B4E5B">
      <w:pPr>
        <w:rPr>
          <w:b/>
        </w:rPr>
      </w:pPr>
      <w:r w:rsidRPr="004F0A5E">
        <w:rPr>
          <w:b/>
        </w:rPr>
        <w:t>Erhvervsøkonomiske konsekvensvurderinger</w:t>
      </w:r>
    </w:p>
    <w:p w:rsidR="0075623E" w:rsidRPr="007B4E5B" w:rsidRDefault="0075623E" w:rsidP="007B4E5B">
      <w:r w:rsidRPr="007B4E5B">
        <w:t>Erhvervsstyrelsens Team Effektiv Regulering (TER) har modtaget udkastet i</w:t>
      </w:r>
    </w:p>
    <w:p w:rsidR="0075623E" w:rsidRPr="007B4E5B" w:rsidRDefault="0075623E" w:rsidP="007B4E5B">
      <w:r w:rsidRPr="007B4E5B">
        <w:t>præhøring. TER vurderer, at bekendtgørelsesudkastet medfører administrative</w:t>
      </w:r>
    </w:p>
    <w:p w:rsidR="0075623E" w:rsidRPr="007B4E5B" w:rsidRDefault="0075623E" w:rsidP="007B4E5B">
      <w:r w:rsidRPr="007B4E5B">
        <w:t>konsekvenser for erhvervslivet under 4 mio. kr. årligt. De bliver derfor ikke</w:t>
      </w:r>
    </w:p>
    <w:p w:rsidR="0075623E" w:rsidRDefault="0075623E" w:rsidP="007B4E5B">
      <w:r w:rsidRPr="007B4E5B">
        <w:t>kvantificeret yderligere.</w:t>
      </w:r>
    </w:p>
    <w:p w:rsidR="0077309A" w:rsidRPr="007B4E5B" w:rsidRDefault="0077309A" w:rsidP="007B4E5B"/>
    <w:p w:rsidR="0075623E" w:rsidRDefault="00D8599A" w:rsidP="00E23626">
      <w:pPr>
        <w:jc w:val="center"/>
      </w:pPr>
      <w:r>
        <w:t>*</w:t>
      </w:r>
    </w:p>
    <w:p w:rsidR="0077309A" w:rsidRDefault="0077309A" w:rsidP="00E23626">
      <w:pPr>
        <w:jc w:val="center"/>
      </w:pPr>
    </w:p>
    <w:p w:rsidR="000635B4" w:rsidRDefault="000635B4" w:rsidP="002D58DB">
      <w:r>
        <w:t xml:space="preserve">Energi-, Forsynings- og Klimaministeriet skal anmode om at modtage eventuelle bemærkninger til udkastet snarest muligt og senest </w:t>
      </w:r>
    </w:p>
    <w:p w:rsidR="000635B4" w:rsidRDefault="000635B4" w:rsidP="002D58DB"/>
    <w:p w:rsidR="000635B4" w:rsidRDefault="000635B4" w:rsidP="00E23626">
      <w:pPr>
        <w:jc w:val="center"/>
      </w:pPr>
      <w:r>
        <w:t xml:space="preserve">tirsdag den </w:t>
      </w:r>
      <w:r w:rsidRPr="007B4E5B">
        <w:t>16. maj</w:t>
      </w:r>
      <w:r>
        <w:t xml:space="preserve"> 2017</w:t>
      </w:r>
      <w:r w:rsidR="00A351A6">
        <w:t xml:space="preserve"> </w:t>
      </w:r>
      <w:r w:rsidR="00223BDF">
        <w:t xml:space="preserve">inden </w:t>
      </w:r>
      <w:r w:rsidR="00A351A6">
        <w:t xml:space="preserve">kl. </w:t>
      </w:r>
      <w:r w:rsidR="00E23626">
        <w:t>24</w:t>
      </w:r>
      <w:r w:rsidR="00A351A6">
        <w:t>.00</w:t>
      </w:r>
    </w:p>
    <w:p w:rsidR="000635B4" w:rsidRDefault="000635B4" w:rsidP="002D58DB"/>
    <w:p w:rsidR="000635B4" w:rsidRDefault="000635B4" w:rsidP="00823D96">
      <w:r>
        <w:t xml:space="preserve">Høringssvar bedes sendt til Energi-, Forsynings- og Klimaministeriet på e-mail </w:t>
      </w:r>
      <w:hyperlink r:id="rId9" w:history="1">
        <w:r w:rsidRPr="007B4E5B">
          <w:t>efkm@efkm.dk</w:t>
        </w:r>
      </w:hyperlink>
      <w:r>
        <w:t xml:space="preserve"> </w:t>
      </w:r>
      <w:r w:rsidR="00E23626">
        <w:t>med kopi til mvi@efkm.dk</w:t>
      </w:r>
      <w:r>
        <w:t xml:space="preserve">. </w:t>
      </w:r>
    </w:p>
    <w:p w:rsidR="000635B4" w:rsidRDefault="000635B4" w:rsidP="00823D96"/>
    <w:p w:rsidR="00823D96" w:rsidRDefault="000635B4" w:rsidP="00823D96">
      <w:r>
        <w:t>Eventuelle s</w:t>
      </w:r>
      <w:r w:rsidR="00823D96">
        <w:t xml:space="preserve">pørgsmål </w:t>
      </w:r>
      <w:r>
        <w:t xml:space="preserve">vedrørende udkastet til bekendtgørelse </w:t>
      </w:r>
      <w:r w:rsidR="00823D96">
        <w:t xml:space="preserve">høringen kan rettes </w:t>
      </w:r>
      <w:r w:rsidR="00823D96" w:rsidRPr="00786CE5">
        <w:t xml:space="preserve">til Mette Vingaard på telefon 50 87 48 93 eller e-mail </w:t>
      </w:r>
      <w:hyperlink r:id="rId10" w:history="1">
        <w:r w:rsidR="00823D96" w:rsidRPr="007B4E5B">
          <w:t>mvi@efkm.dk</w:t>
        </w:r>
      </w:hyperlink>
      <w:r w:rsidR="00823D96" w:rsidRPr="00786CE5">
        <w:t>.</w:t>
      </w:r>
    </w:p>
    <w:p w:rsidR="00823D96" w:rsidRDefault="00823D96" w:rsidP="002D58DB"/>
    <w:p w:rsidR="00823D96" w:rsidRDefault="00823D96" w:rsidP="002D58DB"/>
    <w:p w:rsidR="002D58DB" w:rsidRDefault="002D58DB" w:rsidP="002D58DB">
      <w:r>
        <w:t>Med venlig hilsen</w:t>
      </w:r>
    </w:p>
    <w:p w:rsidR="002D58DB" w:rsidRDefault="002D58DB" w:rsidP="002D58DB"/>
    <w:p w:rsidR="00D8599A" w:rsidRDefault="00D8599A" w:rsidP="002D58DB"/>
    <w:p w:rsidR="00A9284C" w:rsidRDefault="000635B4" w:rsidP="0030285E">
      <w:r>
        <w:t>Mette Vingaard</w:t>
      </w:r>
    </w:p>
    <w:sectPr w:rsidR="00A9284C" w:rsidSect="00EB73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E" w:rsidRDefault="001E1ECE" w:rsidP="008969C1">
      <w:pPr>
        <w:spacing w:line="240" w:lineRule="auto"/>
      </w:pPr>
      <w:r>
        <w:separator/>
      </w:r>
    </w:p>
  </w:endnote>
  <w:endnote w:type="continuationSeparator" w:id="0">
    <w:p w:rsidR="001E1ECE" w:rsidRDefault="001E1EC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CC173C">
      <w:rPr>
        <w:noProof/>
      </w:rPr>
      <w:t>3</w:t>
    </w:r>
    <w:r w:rsidRPr="00DE15CF">
      <w:fldChar w:fldCharType="end"/>
    </w:r>
    <w:r w:rsidRPr="00DE15CF">
      <w:t>/</w:t>
    </w:r>
    <w:fldSimple w:instr=" NUMPAGES ">
      <w:r w:rsidR="00CC173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047B" wp14:editId="0A93AEF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DA7419" w:rsidP="00F714AB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t>Energi-, Forsynings- og</w:t>
                          </w: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Klimaministeriet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Stormgade 2-6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1470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T: +45 3392 2800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E: efkm@efkm.dk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www.efkm.dk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DA7419" w:rsidP="00F714AB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714AB">
                      <w:rPr>
                        <w:b/>
                        <w:sz w:val="16"/>
                        <w:szCs w:val="16"/>
                      </w:rPr>
                      <w:t>Energi-, Forsynings- og</w:t>
                    </w:r>
                    <w:r w:rsidRPr="00F714AB">
                      <w:rPr>
                        <w:b/>
                        <w:sz w:val="16"/>
                        <w:szCs w:val="16"/>
                      </w:rPr>
                      <w:br/>
                      <w:t>Klimaministeriet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Stormgade 2-6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1470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T: +45 3392 2800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E: efkm@efkm.dk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www.efkm.dk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CC173C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CC173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E" w:rsidRDefault="001E1ECE" w:rsidP="008969C1">
      <w:pPr>
        <w:spacing w:line="240" w:lineRule="auto"/>
      </w:pPr>
      <w:r>
        <w:separator/>
      </w:r>
    </w:p>
  </w:footnote>
  <w:footnote w:type="continuationSeparator" w:id="0">
    <w:p w:rsidR="001E1ECE" w:rsidRDefault="001E1EC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0E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9A319EA" wp14:editId="3126065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969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ACF0E41" wp14:editId="14629FB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EEE"/>
    <w:multiLevelType w:val="hybridMultilevel"/>
    <w:tmpl w:val="5AB40F0C"/>
    <w:lvl w:ilvl="0" w:tplc="B8B2F4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002F0"/>
    <w:multiLevelType w:val="hybridMultilevel"/>
    <w:tmpl w:val="114E253C"/>
    <w:lvl w:ilvl="0" w:tplc="D8A00B2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60E6"/>
    <w:multiLevelType w:val="hybridMultilevel"/>
    <w:tmpl w:val="B32415C0"/>
    <w:lvl w:ilvl="0" w:tplc="8E8E5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5A38"/>
    <w:multiLevelType w:val="hybridMultilevel"/>
    <w:tmpl w:val="CE1A797A"/>
    <w:lvl w:ilvl="0" w:tplc="D8A00B2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215E"/>
    <w:multiLevelType w:val="hybridMultilevel"/>
    <w:tmpl w:val="9A10D536"/>
    <w:lvl w:ilvl="0" w:tplc="A6465E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246B"/>
    <w:multiLevelType w:val="hybridMultilevel"/>
    <w:tmpl w:val="C74416A0"/>
    <w:lvl w:ilvl="0" w:tplc="A6465E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E"/>
    <w:rsid w:val="00022817"/>
    <w:rsid w:val="00036061"/>
    <w:rsid w:val="000635B4"/>
    <w:rsid w:val="00065C74"/>
    <w:rsid w:val="00086163"/>
    <w:rsid w:val="000B026B"/>
    <w:rsid w:val="000F64D9"/>
    <w:rsid w:val="00140C61"/>
    <w:rsid w:val="00145857"/>
    <w:rsid w:val="00153EAF"/>
    <w:rsid w:val="001E1ECE"/>
    <w:rsid w:val="00223BDF"/>
    <w:rsid w:val="002611C9"/>
    <w:rsid w:val="0027768F"/>
    <w:rsid w:val="002861AB"/>
    <w:rsid w:val="002A0A44"/>
    <w:rsid w:val="002A3BFF"/>
    <w:rsid w:val="002B3CE2"/>
    <w:rsid w:val="002C0485"/>
    <w:rsid w:val="002D58DB"/>
    <w:rsid w:val="0030285E"/>
    <w:rsid w:val="0034007A"/>
    <w:rsid w:val="00343D51"/>
    <w:rsid w:val="00347BCC"/>
    <w:rsid w:val="00352DBE"/>
    <w:rsid w:val="00355634"/>
    <w:rsid w:val="0036002B"/>
    <w:rsid w:val="0036650F"/>
    <w:rsid w:val="003B31EC"/>
    <w:rsid w:val="003B5DBB"/>
    <w:rsid w:val="003E30EF"/>
    <w:rsid w:val="004129C4"/>
    <w:rsid w:val="004319FF"/>
    <w:rsid w:val="00455085"/>
    <w:rsid w:val="004704DA"/>
    <w:rsid w:val="004A2B2C"/>
    <w:rsid w:val="004D7609"/>
    <w:rsid w:val="004F0A5E"/>
    <w:rsid w:val="00527652"/>
    <w:rsid w:val="00533006"/>
    <w:rsid w:val="00560D21"/>
    <w:rsid w:val="00572B0B"/>
    <w:rsid w:val="0059190F"/>
    <w:rsid w:val="006202F5"/>
    <w:rsid w:val="006803EB"/>
    <w:rsid w:val="006A0D48"/>
    <w:rsid w:val="006D6210"/>
    <w:rsid w:val="006E691D"/>
    <w:rsid w:val="00726138"/>
    <w:rsid w:val="0075623E"/>
    <w:rsid w:val="007636C2"/>
    <w:rsid w:val="007705F8"/>
    <w:rsid w:val="0077309A"/>
    <w:rsid w:val="00786CE5"/>
    <w:rsid w:val="00791D57"/>
    <w:rsid w:val="007A142E"/>
    <w:rsid w:val="007A7FD0"/>
    <w:rsid w:val="007B4E5B"/>
    <w:rsid w:val="007D15F8"/>
    <w:rsid w:val="007D2603"/>
    <w:rsid w:val="007E563E"/>
    <w:rsid w:val="00800E2B"/>
    <w:rsid w:val="00802C9E"/>
    <w:rsid w:val="008056A1"/>
    <w:rsid w:val="008176EC"/>
    <w:rsid w:val="00823D96"/>
    <w:rsid w:val="008954C7"/>
    <w:rsid w:val="0089699C"/>
    <w:rsid w:val="008969C1"/>
    <w:rsid w:val="008C3022"/>
    <w:rsid w:val="008C3BD4"/>
    <w:rsid w:val="008E17FB"/>
    <w:rsid w:val="008F2666"/>
    <w:rsid w:val="00923F35"/>
    <w:rsid w:val="009579F6"/>
    <w:rsid w:val="00964682"/>
    <w:rsid w:val="0098368E"/>
    <w:rsid w:val="00A04870"/>
    <w:rsid w:val="00A30B98"/>
    <w:rsid w:val="00A351A6"/>
    <w:rsid w:val="00A46851"/>
    <w:rsid w:val="00A53C43"/>
    <w:rsid w:val="00A7495E"/>
    <w:rsid w:val="00A9284C"/>
    <w:rsid w:val="00AB4885"/>
    <w:rsid w:val="00AC60EA"/>
    <w:rsid w:val="00AC61DD"/>
    <w:rsid w:val="00B1566A"/>
    <w:rsid w:val="00B536E9"/>
    <w:rsid w:val="00B71959"/>
    <w:rsid w:val="00BA0FCB"/>
    <w:rsid w:val="00BB4623"/>
    <w:rsid w:val="00BD2772"/>
    <w:rsid w:val="00C15E1F"/>
    <w:rsid w:val="00C511D3"/>
    <w:rsid w:val="00C6313E"/>
    <w:rsid w:val="00C651CC"/>
    <w:rsid w:val="00CB3A7C"/>
    <w:rsid w:val="00CC173C"/>
    <w:rsid w:val="00CE24D5"/>
    <w:rsid w:val="00CF216E"/>
    <w:rsid w:val="00D06813"/>
    <w:rsid w:val="00D1257F"/>
    <w:rsid w:val="00D12E7B"/>
    <w:rsid w:val="00D21F5A"/>
    <w:rsid w:val="00D357CF"/>
    <w:rsid w:val="00D44CD9"/>
    <w:rsid w:val="00D83097"/>
    <w:rsid w:val="00D8599A"/>
    <w:rsid w:val="00D85AC3"/>
    <w:rsid w:val="00DA7419"/>
    <w:rsid w:val="00DD1186"/>
    <w:rsid w:val="00DE15CF"/>
    <w:rsid w:val="00E23626"/>
    <w:rsid w:val="00E323F5"/>
    <w:rsid w:val="00E452E8"/>
    <w:rsid w:val="00E56525"/>
    <w:rsid w:val="00E607FE"/>
    <w:rsid w:val="00E75498"/>
    <w:rsid w:val="00E76543"/>
    <w:rsid w:val="00EA2D5F"/>
    <w:rsid w:val="00EB7382"/>
    <w:rsid w:val="00ED066E"/>
    <w:rsid w:val="00F071E8"/>
    <w:rsid w:val="00F26EF0"/>
    <w:rsid w:val="00F31BEE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07F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1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BE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BE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BE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07F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1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BE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BE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B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vi@efk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fkm@efk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39A5-7040-4368-B334-B3A33D45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Vingaard</dc:creator>
  <cp:lastModifiedBy>Sanne Lund Sørensen</cp:lastModifiedBy>
  <cp:revision>2</cp:revision>
  <dcterms:created xsi:type="dcterms:W3CDTF">2017-04-18T13:34:00Z</dcterms:created>
  <dcterms:modified xsi:type="dcterms:W3CDTF">2017-04-18T13:34:00Z</dcterms:modified>
</cp:coreProperties>
</file>