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EEF" w:rsidRDefault="00173EEF">
      <w:pPr>
        <w:rPr>
          <w:sz w:val="24"/>
        </w:rPr>
      </w:pPr>
    </w:p>
    <w:p w:rsidR="00173EEF" w:rsidRDefault="00173EEF">
      <w:pPr>
        <w:rPr>
          <w:sz w:val="24"/>
        </w:rPr>
      </w:pPr>
    </w:p>
    <w:p w:rsidR="00173EEF" w:rsidRDefault="00173EEF">
      <w:pPr>
        <w:rPr>
          <w:sz w:val="24"/>
        </w:rPr>
      </w:pPr>
    </w:p>
    <w:p w:rsidR="00173EEF" w:rsidRDefault="00173EEF">
      <w:pPr>
        <w:rPr>
          <w:sz w:val="24"/>
        </w:rPr>
      </w:pPr>
    </w:p>
    <w:p w:rsidR="00173EEF" w:rsidRDefault="00173EEF">
      <w:pPr>
        <w:rPr>
          <w:sz w:val="24"/>
        </w:rPr>
      </w:pPr>
    </w:p>
    <w:p w:rsidR="00173EEF" w:rsidRDefault="00173EEF">
      <w:pPr>
        <w:rPr>
          <w:sz w:val="24"/>
        </w:rPr>
      </w:pPr>
    </w:p>
    <w:p w:rsidR="00173EEF" w:rsidRDefault="00173EEF">
      <w:pPr>
        <w:rPr>
          <w:sz w:val="24"/>
        </w:rPr>
      </w:pPr>
    </w:p>
    <w:p w:rsidR="00173EEF" w:rsidRDefault="00173EEF">
      <w:pPr>
        <w:spacing w:line="288" w:lineRule="auto"/>
        <w:ind w:left="1417"/>
        <w:jc w:val="both"/>
        <w:rPr>
          <w:sz w:val="24"/>
        </w:rPr>
      </w:pPr>
      <w:r>
        <w:rPr>
          <w:sz w:val="24"/>
        </w:rPr>
        <w:t>Til</w:t>
      </w:r>
    </w:p>
    <w:p w:rsidR="00173EEF" w:rsidRDefault="00A16AAD">
      <w:pPr>
        <w:spacing w:line="288" w:lineRule="auto"/>
        <w:ind w:left="1417"/>
        <w:jc w:val="both"/>
        <w:rPr>
          <w:sz w:val="24"/>
        </w:rPr>
      </w:pPr>
      <w:r>
        <w:rPr>
          <w:sz w:val="24"/>
        </w:rPr>
        <w:fldChar w:fldCharType="begin"/>
      </w:r>
      <w:r w:rsidR="00173EEF">
        <w:rPr>
          <w:sz w:val="24"/>
        </w:rPr>
        <w:instrText>ADVANCE \x119</w:instrText>
      </w:r>
      <w:r>
        <w:rPr>
          <w:sz w:val="24"/>
        </w:rPr>
        <w:fldChar w:fldCharType="end"/>
      </w:r>
      <w:r w:rsidR="00173EEF">
        <w:rPr>
          <w:sz w:val="24"/>
        </w:rPr>
        <w:t>Folketinget - Skatteudvalget</w:t>
      </w:r>
    </w:p>
    <w:p w:rsidR="00173EEF" w:rsidRDefault="00173EEF">
      <w:pPr>
        <w:spacing w:line="288" w:lineRule="auto"/>
        <w:ind w:left="1417"/>
        <w:jc w:val="both"/>
        <w:rPr>
          <w:sz w:val="24"/>
        </w:rPr>
      </w:pPr>
    </w:p>
    <w:p w:rsidR="00173EEF" w:rsidRDefault="00173EEF" w:rsidP="00796F36">
      <w:pPr>
        <w:spacing w:line="288" w:lineRule="auto"/>
        <w:ind w:left="1417"/>
        <w:rPr>
          <w:sz w:val="24"/>
        </w:rPr>
      </w:pPr>
      <w:r>
        <w:rPr>
          <w:sz w:val="24"/>
        </w:rPr>
        <w:t>Til udvalgets orientering vedlægges høringsskema samt de modtagne høringssvar vedrørende</w:t>
      </w:r>
      <w:r w:rsidR="007764F5">
        <w:rPr>
          <w:sz w:val="24"/>
        </w:rPr>
        <w:t xml:space="preserve"> L 192 – Forslag til lov om ændring af afskrivningsloven (Forhøjelse af afskri</w:t>
      </w:r>
      <w:r w:rsidR="007764F5">
        <w:rPr>
          <w:sz w:val="24"/>
        </w:rPr>
        <w:t>v</w:t>
      </w:r>
      <w:r w:rsidR="007764F5">
        <w:rPr>
          <w:sz w:val="24"/>
        </w:rPr>
        <w:t>ningsgrundlaget for investeringer i nye driftsmi</w:t>
      </w:r>
      <w:r w:rsidR="007764F5">
        <w:rPr>
          <w:sz w:val="24"/>
        </w:rPr>
        <w:t>d</w:t>
      </w:r>
      <w:r w:rsidR="007764F5">
        <w:rPr>
          <w:sz w:val="24"/>
        </w:rPr>
        <w:t>ler)</w:t>
      </w:r>
      <w:r>
        <w:rPr>
          <w:sz w:val="24"/>
        </w:rPr>
        <w:t xml:space="preserve">. </w:t>
      </w:r>
    </w:p>
    <w:p w:rsidR="00173EEF" w:rsidRDefault="00173EEF">
      <w:pPr>
        <w:spacing w:line="288" w:lineRule="auto"/>
        <w:ind w:left="1417"/>
        <w:jc w:val="both"/>
        <w:rPr>
          <w:sz w:val="24"/>
        </w:rPr>
      </w:pPr>
    </w:p>
    <w:p w:rsidR="00173EEF" w:rsidRDefault="00173EEF">
      <w:pPr>
        <w:spacing w:line="288" w:lineRule="auto"/>
        <w:ind w:left="1417"/>
        <w:jc w:val="both"/>
        <w:rPr>
          <w:sz w:val="24"/>
        </w:rPr>
      </w:pPr>
    </w:p>
    <w:p w:rsidR="00173EEF" w:rsidRDefault="00173EEF">
      <w:pPr>
        <w:spacing w:line="288" w:lineRule="auto"/>
        <w:ind w:left="1417"/>
        <w:jc w:val="both"/>
        <w:rPr>
          <w:sz w:val="24"/>
        </w:rPr>
      </w:pPr>
    </w:p>
    <w:p w:rsidR="00173EEF" w:rsidRDefault="00173EEF">
      <w:pPr>
        <w:spacing w:line="288" w:lineRule="auto"/>
        <w:ind w:left="1417"/>
        <w:jc w:val="both"/>
        <w:rPr>
          <w:sz w:val="24"/>
        </w:rPr>
      </w:pPr>
    </w:p>
    <w:p w:rsidR="00173EEF" w:rsidRDefault="00173EEF">
      <w:pPr>
        <w:spacing w:line="288" w:lineRule="auto"/>
        <w:ind w:left="1417"/>
        <w:jc w:val="both"/>
        <w:rPr>
          <w:sz w:val="24"/>
        </w:rPr>
      </w:pPr>
    </w:p>
    <w:p w:rsidR="00173EEF" w:rsidRDefault="009B3F1D">
      <w:pPr>
        <w:spacing w:line="288" w:lineRule="auto"/>
        <w:ind w:left="1417"/>
        <w:jc w:val="both"/>
        <w:rPr>
          <w:sz w:val="24"/>
        </w:rPr>
      </w:pPr>
      <w:r>
        <w:rPr>
          <w:sz w:val="24"/>
        </w:rPr>
        <w:t xml:space="preserve">Thor </w:t>
      </w:r>
      <w:proofErr w:type="spellStart"/>
      <w:r>
        <w:rPr>
          <w:sz w:val="24"/>
        </w:rPr>
        <w:t>Möger</w:t>
      </w:r>
      <w:proofErr w:type="spellEnd"/>
      <w:r>
        <w:rPr>
          <w:sz w:val="24"/>
        </w:rPr>
        <w:t xml:space="preserve"> Pedersen</w:t>
      </w:r>
    </w:p>
    <w:p w:rsidR="00173EEF" w:rsidRDefault="00173EEF" w:rsidP="00796F36">
      <w:pPr>
        <w:tabs>
          <w:tab w:val="left" w:pos="4680"/>
        </w:tabs>
        <w:spacing w:line="288" w:lineRule="auto"/>
        <w:ind w:left="1417"/>
        <w:jc w:val="both"/>
        <w:rPr>
          <w:sz w:val="24"/>
        </w:rPr>
      </w:pPr>
      <w:r>
        <w:rPr>
          <w:sz w:val="24"/>
        </w:rPr>
        <w:tab/>
        <w:t>/</w:t>
      </w:r>
      <w:bookmarkStart w:id="0" w:name="a2"/>
      <w:r w:rsidR="007764F5">
        <w:rPr>
          <w:sz w:val="24"/>
        </w:rPr>
        <w:t xml:space="preserve">Marianne </w:t>
      </w:r>
      <w:proofErr w:type="spellStart"/>
      <w:r w:rsidR="007764F5">
        <w:rPr>
          <w:sz w:val="24"/>
        </w:rPr>
        <w:t>Sigetty</w:t>
      </w:r>
      <w:bookmarkEnd w:id="0"/>
      <w:proofErr w:type="spellEnd"/>
    </w:p>
    <w:p w:rsidR="00173EEF" w:rsidRDefault="00173EEF">
      <w:pPr>
        <w:rPr>
          <w:sz w:val="24"/>
        </w:rPr>
      </w:pPr>
      <w:r>
        <w:rPr>
          <w:sz w:val="24"/>
        </w:rPr>
        <w:t xml:space="preserve">                         </w:t>
      </w:r>
    </w:p>
    <w:p w:rsidR="00173EEF" w:rsidRDefault="00173EEF">
      <w:pPr>
        <w:spacing w:line="288" w:lineRule="auto"/>
        <w:rPr>
          <w:sz w:val="24"/>
          <w:szCs w:val="16"/>
          <w:lang w:eastAsia="en-US"/>
        </w:rPr>
      </w:pPr>
      <w:r>
        <w:rPr>
          <w:b/>
          <w:bCs/>
          <w:sz w:val="24"/>
        </w:rPr>
        <w:t xml:space="preserve"> </w:t>
      </w:r>
    </w:p>
    <w:p w:rsidR="00173EEF" w:rsidRDefault="00173EEF">
      <w:pPr>
        <w:spacing w:line="288" w:lineRule="auto"/>
        <w:rPr>
          <w:sz w:val="24"/>
          <w:szCs w:val="16"/>
          <w:lang w:eastAsia="en-US"/>
        </w:rPr>
      </w:pPr>
    </w:p>
    <w:p w:rsidR="00173EEF" w:rsidRDefault="00173EEF">
      <w:pPr>
        <w:pStyle w:val="Sidehoved"/>
        <w:tabs>
          <w:tab w:val="clear" w:pos="4819"/>
          <w:tab w:val="clear" w:pos="9638"/>
        </w:tabs>
        <w:rPr>
          <w:sz w:val="24"/>
        </w:rPr>
      </w:pPr>
    </w:p>
    <w:p w:rsidR="00173EEF" w:rsidRDefault="00173EEF">
      <w:pPr>
        <w:rPr>
          <w:b/>
          <w:bCs/>
          <w:sz w:val="24"/>
        </w:rPr>
      </w:pPr>
    </w:p>
    <w:p w:rsidR="00173EEF" w:rsidRDefault="00173EEF">
      <w:pPr>
        <w:pStyle w:val="Brdtekst"/>
      </w:pPr>
      <w:r>
        <w:rPr>
          <w:sz w:val="24"/>
        </w:rPr>
        <w:br w:type="page"/>
      </w:r>
      <w:r>
        <w:lastRenderedPageBreak/>
        <w:t xml:space="preserve">Høringsskema indeholdende høringssvar og kommentarer hertil vedrørende </w:t>
      </w:r>
      <w:r w:rsidR="007764F5">
        <w:t>L 192 – Forslag til lov om ændring af afskrivningsloven (Forhøjelse af afskrivningsgrundlaget for investeringer i nye driftsmidler)</w:t>
      </w:r>
      <w:r w:rsidR="00A16AAD">
        <w:fldChar w:fldCharType="begin"/>
      </w:r>
      <w:r w:rsidR="00EA69AE">
        <w:instrText xml:space="preserve"> FILLIN "Indtast Lov-titel, afslut med tab, enter" \* MERGEFORMAT </w:instrText>
      </w:r>
      <w:r w:rsidR="00A16AAD">
        <w:fldChar w:fldCharType="end"/>
      </w:r>
      <w:r>
        <w:t>.</w:t>
      </w:r>
    </w:p>
    <w:tbl>
      <w:tblPr>
        <w:tblStyle w:val="Tabel-Gitter"/>
        <w:tblW w:w="9464" w:type="dxa"/>
        <w:tblLook w:val="04A0"/>
      </w:tblPr>
      <w:tblGrid>
        <w:gridCol w:w="2171"/>
        <w:gridCol w:w="3649"/>
        <w:gridCol w:w="3644"/>
      </w:tblGrid>
      <w:tr w:rsidR="006A25E4" w:rsidRPr="00DC0DDB" w:rsidTr="00D462E1">
        <w:trPr>
          <w:tblHeader/>
        </w:trPr>
        <w:tc>
          <w:tcPr>
            <w:tcW w:w="2171" w:type="dxa"/>
          </w:tcPr>
          <w:p w:rsidR="007152BE" w:rsidRPr="00DC0DDB" w:rsidRDefault="007152BE" w:rsidP="00007799">
            <w:pPr>
              <w:rPr>
                <w:rFonts w:ascii="Times New Roman" w:hAnsi="Times New Roman" w:cs="Times New Roman"/>
                <w:b/>
              </w:rPr>
            </w:pPr>
            <w:r w:rsidRPr="00DC0DDB">
              <w:rPr>
                <w:rFonts w:ascii="Times New Roman" w:hAnsi="Times New Roman" w:cs="Times New Roman"/>
                <w:b/>
              </w:rPr>
              <w:t>Organisation</w:t>
            </w:r>
          </w:p>
        </w:tc>
        <w:tc>
          <w:tcPr>
            <w:tcW w:w="3649" w:type="dxa"/>
          </w:tcPr>
          <w:p w:rsidR="007152BE" w:rsidRPr="00DC0DDB" w:rsidRDefault="007152BE" w:rsidP="00007799">
            <w:pPr>
              <w:rPr>
                <w:rFonts w:ascii="Times New Roman" w:hAnsi="Times New Roman" w:cs="Times New Roman"/>
                <w:b/>
              </w:rPr>
            </w:pPr>
            <w:r w:rsidRPr="00DC0DDB">
              <w:rPr>
                <w:rFonts w:ascii="Times New Roman" w:hAnsi="Times New Roman" w:cs="Times New Roman"/>
                <w:b/>
              </w:rPr>
              <w:t>Bemærkninger</w:t>
            </w:r>
          </w:p>
        </w:tc>
        <w:tc>
          <w:tcPr>
            <w:tcW w:w="3644" w:type="dxa"/>
          </w:tcPr>
          <w:p w:rsidR="007152BE" w:rsidRPr="00DC0DDB" w:rsidRDefault="007152BE" w:rsidP="00007799">
            <w:pPr>
              <w:rPr>
                <w:rFonts w:ascii="Times New Roman" w:hAnsi="Times New Roman" w:cs="Times New Roman"/>
                <w:b/>
              </w:rPr>
            </w:pPr>
            <w:r w:rsidRPr="00DC0DDB">
              <w:rPr>
                <w:rFonts w:ascii="Times New Roman" w:hAnsi="Times New Roman" w:cs="Times New Roman"/>
                <w:b/>
              </w:rPr>
              <w:t>Kommentar</w:t>
            </w:r>
          </w:p>
        </w:tc>
      </w:tr>
      <w:tr w:rsidR="007B2817" w:rsidRPr="00DC0DDB" w:rsidTr="00D462E1">
        <w:tc>
          <w:tcPr>
            <w:tcW w:w="2171" w:type="dxa"/>
          </w:tcPr>
          <w:p w:rsidR="007B2817" w:rsidRPr="007B2817" w:rsidRDefault="007B2817" w:rsidP="00007799">
            <w:pPr>
              <w:rPr>
                <w:rFonts w:ascii="Times New Roman" w:hAnsi="Times New Roman" w:cs="Times New Roman"/>
              </w:rPr>
            </w:pPr>
            <w:r w:rsidRPr="007B2817">
              <w:rPr>
                <w:rFonts w:ascii="Times New Roman" w:hAnsi="Times New Roman" w:cs="Times New Roman"/>
              </w:rPr>
              <w:t>Advokatrådet</w:t>
            </w:r>
          </w:p>
        </w:tc>
        <w:tc>
          <w:tcPr>
            <w:tcW w:w="3649" w:type="dxa"/>
          </w:tcPr>
          <w:p w:rsidR="00D0542F" w:rsidRDefault="006C21CE" w:rsidP="00D054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Til høringsfristen på 6 dage bemæ</w:t>
            </w: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ker Advokatrådet, at</w:t>
            </w:r>
            <w:r w:rsidR="00D0542F">
              <w:rPr>
                <w:rFonts w:ascii="Times New Roman" w:hAnsi="Times New Roman" w:cs="Times New Roman"/>
              </w:rPr>
              <w:t xml:space="preserve"> </w:t>
            </w:r>
            <w:r w:rsidR="00D0542F" w:rsidRPr="00D0542F">
              <w:rPr>
                <w:rFonts w:ascii="Times New Roman" w:hAnsi="Times New Roman" w:cs="Times New Roman"/>
              </w:rPr>
              <w:t>en sådan frist i realiteten udelukker en nærmere sti</w:t>
            </w:r>
            <w:r w:rsidR="00D0542F" w:rsidRPr="00D0542F">
              <w:rPr>
                <w:rFonts w:ascii="Times New Roman" w:hAnsi="Times New Roman" w:cs="Times New Roman"/>
              </w:rPr>
              <w:t>l</w:t>
            </w:r>
            <w:r w:rsidR="00D0542F" w:rsidRPr="00D0542F">
              <w:rPr>
                <w:rFonts w:ascii="Times New Roman" w:hAnsi="Times New Roman" w:cs="Times New Roman"/>
              </w:rPr>
              <w:t>lingtagen til de forslag, der er ind</w:t>
            </w:r>
            <w:r w:rsidR="00D0542F" w:rsidRPr="00D0542F">
              <w:rPr>
                <w:rFonts w:ascii="Times New Roman" w:hAnsi="Times New Roman" w:cs="Times New Roman"/>
              </w:rPr>
              <w:t>e</w:t>
            </w:r>
            <w:r w:rsidR="00D0542F" w:rsidRPr="00D0542F">
              <w:rPr>
                <w:rFonts w:ascii="Times New Roman" w:hAnsi="Times New Roman" w:cs="Times New Roman"/>
              </w:rPr>
              <w:t xml:space="preserve">holdt i høringsmaterialet. Det må på den baggrund påregnes, at en række myndigheder og organisationer reelt ikke har mulighed for at udfylde den funktion som høringspart, som det </w:t>
            </w:r>
            <w:proofErr w:type="spellStart"/>
            <w:r w:rsidR="00D0542F" w:rsidRPr="00D0542F">
              <w:rPr>
                <w:rFonts w:ascii="Times New Roman" w:hAnsi="Times New Roman" w:cs="Times New Roman"/>
              </w:rPr>
              <w:t>lovforberedende</w:t>
            </w:r>
            <w:proofErr w:type="spellEnd"/>
            <w:r w:rsidR="00D0542F" w:rsidRPr="00D0542F">
              <w:rPr>
                <w:rFonts w:ascii="Times New Roman" w:hAnsi="Times New Roman" w:cs="Times New Roman"/>
              </w:rPr>
              <w:t xml:space="preserve"> arbejde normalt trækker på som led i kvalitetssikri</w:t>
            </w:r>
            <w:r w:rsidR="00D0542F" w:rsidRPr="00D0542F">
              <w:rPr>
                <w:rFonts w:ascii="Times New Roman" w:hAnsi="Times New Roman" w:cs="Times New Roman"/>
              </w:rPr>
              <w:t>n</w:t>
            </w:r>
            <w:r w:rsidR="00D0542F" w:rsidRPr="00D0542F">
              <w:rPr>
                <w:rFonts w:ascii="Times New Roman" w:hAnsi="Times New Roman" w:cs="Times New Roman"/>
              </w:rPr>
              <w:t>gen af ny regulering og som led i en almindelig, demokratisk proces.</w:t>
            </w:r>
          </w:p>
          <w:p w:rsidR="00D0542F" w:rsidRPr="00D0542F" w:rsidRDefault="00D0542F" w:rsidP="00D0542F">
            <w:pPr>
              <w:spacing w:after="0"/>
              <w:rPr>
                <w:rFonts w:ascii="Times New Roman" w:hAnsi="Times New Roman" w:cs="Times New Roman"/>
              </w:rPr>
            </w:pPr>
            <w:r w:rsidRPr="00D0542F">
              <w:rPr>
                <w:rFonts w:ascii="Times New Roman" w:hAnsi="Times New Roman" w:cs="Times New Roman"/>
              </w:rPr>
              <w:t xml:space="preserve"> </w:t>
            </w:r>
          </w:p>
          <w:p w:rsidR="00D0542F" w:rsidRDefault="00D0542F" w:rsidP="00D0542F">
            <w:pPr>
              <w:spacing w:after="0"/>
              <w:rPr>
                <w:rFonts w:ascii="Times New Roman" w:hAnsi="Times New Roman" w:cs="Times New Roman"/>
              </w:rPr>
            </w:pPr>
            <w:r w:rsidRPr="00D0542F">
              <w:rPr>
                <w:rFonts w:ascii="Times New Roman" w:hAnsi="Times New Roman" w:cs="Times New Roman"/>
              </w:rPr>
              <w:t>Advokatrådet skal desuden henvise til, at regeringen i sit regering</w:t>
            </w:r>
            <w:r w:rsidRPr="00D0542F">
              <w:rPr>
                <w:rFonts w:ascii="Times New Roman" w:hAnsi="Times New Roman" w:cs="Times New Roman"/>
              </w:rPr>
              <w:t>s</w:t>
            </w:r>
            <w:r w:rsidRPr="00D0542F">
              <w:rPr>
                <w:rFonts w:ascii="Times New Roman" w:hAnsi="Times New Roman" w:cs="Times New Roman"/>
              </w:rPr>
              <w:t>grundlag under overskriften ”god r</w:t>
            </w:r>
            <w:r w:rsidRPr="00D0542F">
              <w:rPr>
                <w:rFonts w:ascii="Times New Roman" w:hAnsi="Times New Roman" w:cs="Times New Roman"/>
              </w:rPr>
              <w:t>e</w:t>
            </w:r>
            <w:r w:rsidRPr="00D0542F">
              <w:rPr>
                <w:rFonts w:ascii="Times New Roman" w:hAnsi="Times New Roman" w:cs="Times New Roman"/>
              </w:rPr>
              <w:t>geringsførelse” blandt andet har a</w:t>
            </w:r>
            <w:r w:rsidRPr="00D0542F">
              <w:rPr>
                <w:rFonts w:ascii="Times New Roman" w:hAnsi="Times New Roman" w:cs="Times New Roman"/>
              </w:rPr>
              <w:t>n</w:t>
            </w:r>
            <w:r w:rsidRPr="00D0542F">
              <w:rPr>
                <w:rFonts w:ascii="Times New Roman" w:hAnsi="Times New Roman" w:cs="Times New Roman"/>
              </w:rPr>
              <w:t>ført, at ” Regeringen vil i tæt sama</w:t>
            </w:r>
            <w:r w:rsidRPr="00D0542F">
              <w:rPr>
                <w:rFonts w:ascii="Times New Roman" w:hAnsi="Times New Roman" w:cs="Times New Roman"/>
              </w:rPr>
              <w:t>r</w:t>
            </w:r>
            <w:r w:rsidRPr="00D0542F">
              <w:rPr>
                <w:rFonts w:ascii="Times New Roman" w:hAnsi="Times New Roman" w:cs="Times New Roman"/>
              </w:rPr>
              <w:t xml:space="preserve">bejde med Folketinget sikre høj </w:t>
            </w:r>
            <w:proofErr w:type="spellStart"/>
            <w:r w:rsidRPr="00D0542F">
              <w:rPr>
                <w:rFonts w:ascii="Times New Roman" w:hAnsi="Times New Roman" w:cs="Times New Roman"/>
              </w:rPr>
              <w:t>lovkvalitet</w:t>
            </w:r>
            <w:proofErr w:type="spellEnd"/>
            <w:r w:rsidRPr="00D0542F">
              <w:rPr>
                <w:rFonts w:ascii="Times New Roman" w:hAnsi="Times New Roman" w:cs="Times New Roman"/>
              </w:rPr>
              <w:t xml:space="preserve"> gennem rimelige høring</w:t>
            </w:r>
            <w:r w:rsidRPr="00D0542F">
              <w:rPr>
                <w:rFonts w:ascii="Times New Roman" w:hAnsi="Times New Roman" w:cs="Times New Roman"/>
              </w:rPr>
              <w:t>s</w:t>
            </w:r>
            <w:r w:rsidRPr="00D0542F">
              <w:rPr>
                <w:rFonts w:ascii="Times New Roman" w:hAnsi="Times New Roman" w:cs="Times New Roman"/>
              </w:rPr>
              <w:t>frister, der sikrer, at organisationer og andre høringsparter har ordentlig tid til at gennemgå lovforslag og u</w:t>
            </w:r>
            <w:r w:rsidRPr="00D0542F">
              <w:rPr>
                <w:rFonts w:ascii="Times New Roman" w:hAnsi="Times New Roman" w:cs="Times New Roman"/>
              </w:rPr>
              <w:t>d</w:t>
            </w:r>
            <w:r w:rsidRPr="00D0542F">
              <w:rPr>
                <w:rFonts w:ascii="Times New Roman" w:hAnsi="Times New Roman" w:cs="Times New Roman"/>
              </w:rPr>
              <w:t>arbejde kommentarer. Samt at h</w:t>
            </w:r>
            <w:r w:rsidRPr="00D0542F">
              <w:rPr>
                <w:rFonts w:ascii="Times New Roman" w:hAnsi="Times New Roman" w:cs="Times New Roman"/>
              </w:rPr>
              <w:t>ø</w:t>
            </w:r>
            <w:r w:rsidRPr="00D0542F">
              <w:rPr>
                <w:rFonts w:ascii="Times New Roman" w:hAnsi="Times New Roman" w:cs="Times New Roman"/>
              </w:rPr>
              <w:t>ringssvar og et høringsnotat med m</w:t>
            </w:r>
            <w:r w:rsidRPr="00D0542F">
              <w:rPr>
                <w:rFonts w:ascii="Times New Roman" w:hAnsi="Times New Roman" w:cs="Times New Roman"/>
              </w:rPr>
              <w:t>i</w:t>
            </w:r>
            <w:r w:rsidRPr="00D0542F">
              <w:rPr>
                <w:rFonts w:ascii="Times New Roman" w:hAnsi="Times New Roman" w:cs="Times New Roman"/>
              </w:rPr>
              <w:t>nisteriets bemærkninger foreligger i god tid forud for førstebehandli</w:t>
            </w:r>
            <w:r w:rsidRPr="00D0542F">
              <w:rPr>
                <w:rFonts w:ascii="Times New Roman" w:hAnsi="Times New Roman" w:cs="Times New Roman"/>
              </w:rPr>
              <w:t>n</w:t>
            </w:r>
            <w:r w:rsidRPr="00D0542F">
              <w:rPr>
                <w:rFonts w:ascii="Times New Roman" w:hAnsi="Times New Roman" w:cs="Times New Roman"/>
              </w:rPr>
              <w:t xml:space="preserve">gen”. </w:t>
            </w:r>
          </w:p>
          <w:p w:rsidR="00D0542F" w:rsidRPr="00D0542F" w:rsidRDefault="00D0542F" w:rsidP="00D0542F">
            <w:pPr>
              <w:spacing w:after="0"/>
              <w:rPr>
                <w:rFonts w:ascii="Times New Roman" w:hAnsi="Times New Roman" w:cs="Times New Roman"/>
              </w:rPr>
            </w:pPr>
          </w:p>
          <w:p w:rsidR="006C21CE" w:rsidRDefault="00D0542F" w:rsidP="00D0542F">
            <w:pPr>
              <w:spacing w:after="0"/>
              <w:rPr>
                <w:rFonts w:ascii="Times New Roman" w:hAnsi="Times New Roman" w:cs="Times New Roman"/>
              </w:rPr>
            </w:pPr>
            <w:r w:rsidRPr="00D0542F">
              <w:rPr>
                <w:rFonts w:ascii="Times New Roman" w:hAnsi="Times New Roman" w:cs="Times New Roman"/>
              </w:rPr>
              <w:t>Advokatrådet finder det på den a</w:t>
            </w:r>
            <w:r w:rsidRPr="00D0542F">
              <w:rPr>
                <w:rFonts w:ascii="Times New Roman" w:hAnsi="Times New Roman" w:cs="Times New Roman"/>
              </w:rPr>
              <w:t>n</w:t>
            </w:r>
            <w:r w:rsidRPr="00D0542F">
              <w:rPr>
                <w:rFonts w:ascii="Times New Roman" w:hAnsi="Times New Roman" w:cs="Times New Roman"/>
              </w:rPr>
              <w:t>førte baggrund særdeles beklageligt, at man i denne sag har udsendt h</w:t>
            </w:r>
            <w:r w:rsidRPr="00D0542F">
              <w:rPr>
                <w:rFonts w:ascii="Times New Roman" w:hAnsi="Times New Roman" w:cs="Times New Roman"/>
              </w:rPr>
              <w:t>ø</w:t>
            </w:r>
            <w:r w:rsidRPr="00D0542F">
              <w:rPr>
                <w:rFonts w:ascii="Times New Roman" w:hAnsi="Times New Roman" w:cs="Times New Roman"/>
              </w:rPr>
              <w:t>ringsmaterialet med en så kort frist.</w:t>
            </w:r>
          </w:p>
          <w:p w:rsidR="00D0542F" w:rsidRDefault="00D0542F" w:rsidP="00D0542F">
            <w:pPr>
              <w:spacing w:after="0"/>
              <w:rPr>
                <w:rFonts w:ascii="Times New Roman" w:hAnsi="Times New Roman" w:cs="Times New Roman"/>
              </w:rPr>
            </w:pPr>
          </w:p>
          <w:p w:rsidR="007B2817" w:rsidRPr="007B2817" w:rsidRDefault="00D0542F" w:rsidP="00D05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Advokatrådet har foretaget en su</w:t>
            </w: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marisk gennemgang af det fremsen</w:t>
            </w:r>
            <w:r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te og har ikke umiddelbart in</w:t>
            </w:r>
            <w:r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holdsmæssige bemærkninger til h</w:t>
            </w:r>
            <w:r>
              <w:rPr>
                <w:rFonts w:ascii="Times New Roman" w:hAnsi="Times New Roman" w:cs="Times New Roman"/>
              </w:rPr>
              <w:t>ø</w:t>
            </w:r>
            <w:r>
              <w:rPr>
                <w:rFonts w:ascii="Times New Roman" w:hAnsi="Times New Roman" w:cs="Times New Roman"/>
              </w:rPr>
              <w:t>ringssagen.</w:t>
            </w:r>
          </w:p>
        </w:tc>
        <w:tc>
          <w:tcPr>
            <w:tcW w:w="3644" w:type="dxa"/>
          </w:tcPr>
          <w:p w:rsidR="007B2817" w:rsidRDefault="00D0542F" w:rsidP="004B21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Lovforslaget blev sendt i høring samtidig med fremsættelsen. Det har af tidsmæssige årsager grundet fo</w:t>
            </w: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slagets tilknytning til regeringens fremlæggelse af sin skattereform i</w:t>
            </w:r>
            <w:r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ke været muligt at sende forslaget i høring forud for fremsættelsen.</w:t>
            </w:r>
          </w:p>
          <w:p w:rsidR="00D0542F" w:rsidRDefault="00D0542F" w:rsidP="004B2196">
            <w:pPr>
              <w:spacing w:after="0"/>
              <w:rPr>
                <w:rFonts w:ascii="Times New Roman" w:hAnsi="Times New Roman" w:cs="Times New Roman"/>
              </w:rPr>
            </w:pPr>
          </w:p>
          <w:p w:rsidR="004B2196" w:rsidRDefault="000F25F6" w:rsidP="004B21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Høringsfristen er fastsat </w:t>
            </w:r>
            <w:r w:rsidR="00C91F32">
              <w:rPr>
                <w:rFonts w:ascii="Times New Roman" w:hAnsi="Times New Roman" w:cs="Times New Roman"/>
              </w:rPr>
              <w:t xml:space="preserve">på baggrund af en </w:t>
            </w:r>
            <w:proofErr w:type="gramStart"/>
            <w:r w:rsidR="00C91F32">
              <w:rPr>
                <w:rFonts w:ascii="Times New Roman" w:hAnsi="Times New Roman" w:cs="Times New Roman"/>
              </w:rPr>
              <w:t>tidspresset</w:t>
            </w:r>
            <w:proofErr w:type="gramEnd"/>
            <w:r w:rsidR="00C91F32">
              <w:rPr>
                <w:rFonts w:ascii="Times New Roman" w:hAnsi="Times New Roman" w:cs="Times New Roman"/>
              </w:rPr>
              <w:t xml:space="preserve"> proces</w:t>
            </w:r>
            <w:r w:rsidR="004B2196">
              <w:rPr>
                <w:rFonts w:ascii="Times New Roman" w:hAnsi="Times New Roman" w:cs="Times New Roman"/>
              </w:rPr>
              <w:t xml:space="preserve">, </w:t>
            </w:r>
            <w:r w:rsidR="004B2196" w:rsidRPr="004B2196">
              <w:rPr>
                <w:rFonts w:ascii="Times New Roman" w:hAnsi="Times New Roman" w:cs="Times New Roman"/>
              </w:rPr>
              <w:t>hvor det skal sikres, at Folketinget vedtager lovforslaget hurtigst muligt, da usi</w:t>
            </w:r>
            <w:r w:rsidR="004B2196" w:rsidRPr="004B2196">
              <w:rPr>
                <w:rFonts w:ascii="Times New Roman" w:hAnsi="Times New Roman" w:cs="Times New Roman"/>
              </w:rPr>
              <w:t>k</w:t>
            </w:r>
            <w:r w:rsidR="004B2196" w:rsidRPr="004B2196">
              <w:rPr>
                <w:rFonts w:ascii="Times New Roman" w:hAnsi="Times New Roman" w:cs="Times New Roman"/>
              </w:rPr>
              <w:t>kerhed om en eventuel vedtagelse vil indebære, at virksomhederne tilb</w:t>
            </w:r>
            <w:r w:rsidR="004B2196" w:rsidRPr="004B2196">
              <w:rPr>
                <w:rFonts w:ascii="Times New Roman" w:hAnsi="Times New Roman" w:cs="Times New Roman"/>
              </w:rPr>
              <w:t>a</w:t>
            </w:r>
            <w:r w:rsidR="004B2196" w:rsidRPr="004B2196">
              <w:rPr>
                <w:rFonts w:ascii="Times New Roman" w:hAnsi="Times New Roman" w:cs="Times New Roman"/>
              </w:rPr>
              <w:t>geholder eventuelle planlagte inv</w:t>
            </w:r>
            <w:r w:rsidR="004B2196" w:rsidRPr="004B2196">
              <w:rPr>
                <w:rFonts w:ascii="Times New Roman" w:hAnsi="Times New Roman" w:cs="Times New Roman"/>
              </w:rPr>
              <w:t>e</w:t>
            </w:r>
            <w:r w:rsidR="004B2196" w:rsidRPr="004B2196">
              <w:rPr>
                <w:rFonts w:ascii="Times New Roman" w:hAnsi="Times New Roman" w:cs="Times New Roman"/>
              </w:rPr>
              <w:t>steringer.</w:t>
            </w:r>
          </w:p>
          <w:p w:rsidR="004B2196" w:rsidRDefault="004B2196" w:rsidP="004B2196">
            <w:pPr>
              <w:spacing w:after="0"/>
              <w:rPr>
                <w:rFonts w:ascii="Times New Roman" w:hAnsi="Times New Roman" w:cs="Times New Roman"/>
              </w:rPr>
            </w:pPr>
          </w:p>
          <w:p w:rsidR="004B2196" w:rsidRDefault="004B2196" w:rsidP="004B21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Ved fastsættelsen af høringsfristen er der således sket en afvejning af en række modsatrettede hensyn, heru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der hensynet til høringsparterne, hensynet til at undergive høringssv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rene en seriøs overvejelse og ko</w:t>
            </w: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 xml:space="preserve">mentering i Skatteministeriet og hensynet til en ordentlig </w:t>
            </w:r>
            <w:proofErr w:type="spellStart"/>
            <w:r>
              <w:rPr>
                <w:rFonts w:ascii="Times New Roman" w:hAnsi="Times New Roman" w:cs="Times New Roman"/>
              </w:rPr>
              <w:t>lovproces</w:t>
            </w:r>
            <w:proofErr w:type="spellEnd"/>
            <w:r>
              <w:rPr>
                <w:rFonts w:ascii="Times New Roman" w:hAnsi="Times New Roman" w:cs="Times New Roman"/>
              </w:rPr>
              <w:t xml:space="preserve"> i Folketinget.</w:t>
            </w:r>
          </w:p>
          <w:p w:rsidR="004B2196" w:rsidRDefault="004B2196" w:rsidP="004B2196">
            <w:pPr>
              <w:spacing w:after="0"/>
              <w:rPr>
                <w:rFonts w:ascii="Times New Roman" w:hAnsi="Times New Roman" w:cs="Times New Roman"/>
              </w:rPr>
            </w:pPr>
          </w:p>
          <w:p w:rsidR="004B2196" w:rsidRDefault="004B2196" w:rsidP="004B21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 er derfor med stor tilfredshed og anerkendelse, at Skatteministeriet – selv under disse krævende vilkår – i høringsprocessen har modtaget højt kvalificerede input fra interesseo</w:t>
            </w: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ganisationer, faglige sammenslu</w:t>
            </w: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ninger og andre.</w:t>
            </w:r>
          </w:p>
          <w:p w:rsidR="00D0542F" w:rsidRPr="007B2817" w:rsidRDefault="00C91F32" w:rsidP="004B21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F25F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A25E4" w:rsidRPr="00DC0DDB" w:rsidTr="00D462E1">
        <w:tc>
          <w:tcPr>
            <w:tcW w:w="2171" w:type="dxa"/>
          </w:tcPr>
          <w:p w:rsidR="003873A9" w:rsidRPr="00B6665B" w:rsidRDefault="003873A9" w:rsidP="00007799">
            <w:pPr>
              <w:rPr>
                <w:rFonts w:ascii="Times New Roman" w:hAnsi="Times New Roman" w:cs="Times New Roman"/>
              </w:rPr>
            </w:pPr>
            <w:proofErr w:type="spellStart"/>
            <w:r w:rsidRPr="00B6665B">
              <w:rPr>
                <w:rFonts w:ascii="Times New Roman" w:hAnsi="Times New Roman" w:cs="Times New Roman"/>
              </w:rPr>
              <w:t>agroSkat</w:t>
            </w:r>
            <w:proofErr w:type="spellEnd"/>
          </w:p>
        </w:tc>
        <w:tc>
          <w:tcPr>
            <w:tcW w:w="3649" w:type="dxa"/>
          </w:tcPr>
          <w:p w:rsidR="003873A9" w:rsidRPr="00B6665B" w:rsidRDefault="00B6665B" w:rsidP="00A23FD0">
            <w:pPr>
              <w:rPr>
                <w:rFonts w:ascii="Times New Roman" w:hAnsi="Times New Roman" w:cs="Times New Roman"/>
              </w:rPr>
            </w:pPr>
            <w:r w:rsidRPr="00B6665B">
              <w:rPr>
                <w:rFonts w:ascii="Times New Roman" w:hAnsi="Times New Roman" w:cs="Times New Roman"/>
              </w:rPr>
              <w:t>Peger på behovet for at tilpasse fo</w:t>
            </w:r>
            <w:r w:rsidRPr="00B6665B">
              <w:rPr>
                <w:rFonts w:ascii="Times New Roman" w:hAnsi="Times New Roman" w:cs="Times New Roman"/>
              </w:rPr>
              <w:t>r</w:t>
            </w:r>
            <w:r w:rsidRPr="00B6665B">
              <w:rPr>
                <w:rFonts w:ascii="Times New Roman" w:hAnsi="Times New Roman" w:cs="Times New Roman"/>
              </w:rPr>
              <w:t>slaget til afskrivningslovens § 8</w:t>
            </w:r>
            <w:r w:rsidR="003016E4">
              <w:rPr>
                <w:rFonts w:ascii="Times New Roman" w:hAnsi="Times New Roman" w:cs="Times New Roman"/>
              </w:rPr>
              <w:t xml:space="preserve"> om</w:t>
            </w:r>
            <w:r w:rsidRPr="00B6665B">
              <w:rPr>
                <w:rFonts w:ascii="Times New Roman" w:hAnsi="Times New Roman" w:cs="Times New Roman"/>
              </w:rPr>
              <w:t xml:space="preserve"> negativ saldo og § 9 om</w:t>
            </w:r>
            <w:r>
              <w:rPr>
                <w:rFonts w:ascii="Times New Roman" w:hAnsi="Times New Roman" w:cs="Times New Roman"/>
              </w:rPr>
              <w:t xml:space="preserve"> opgørelse af fortjeneste/tab ved salg af virkso</w:t>
            </w: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heden. Finder, at saldoen efter den foreslåede § 5 D vedr. fabriksnye maskiner og saldoen efter den a</w:t>
            </w:r>
            <w:r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mindelige driftsmiddelsaldo</w:t>
            </w:r>
            <w:r w:rsidR="003016E4">
              <w:rPr>
                <w:rFonts w:ascii="Times New Roman" w:hAnsi="Times New Roman" w:cs="Times New Roman"/>
              </w:rPr>
              <w:t xml:space="preserve"> efter</w:t>
            </w:r>
            <w:r>
              <w:rPr>
                <w:rFonts w:ascii="Times New Roman" w:hAnsi="Times New Roman" w:cs="Times New Roman"/>
              </w:rPr>
              <w:t xml:space="preserve"> a</w:t>
            </w:r>
            <w:r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lastRenderedPageBreak/>
              <w:t>skrivningslovens § 5 bør behandles under et i forhold til</w:t>
            </w:r>
            <w:r w:rsidR="003016E4">
              <w:rPr>
                <w:rFonts w:ascii="Times New Roman" w:hAnsi="Times New Roman" w:cs="Times New Roman"/>
              </w:rPr>
              <w:t xml:space="preserve"> §§ 8 og 9. Fo</w:t>
            </w:r>
            <w:r w:rsidR="003016E4">
              <w:rPr>
                <w:rFonts w:ascii="Times New Roman" w:hAnsi="Times New Roman" w:cs="Times New Roman"/>
              </w:rPr>
              <w:t>r</w:t>
            </w:r>
            <w:r w:rsidR="003016E4">
              <w:rPr>
                <w:rFonts w:ascii="Times New Roman" w:hAnsi="Times New Roman" w:cs="Times New Roman"/>
              </w:rPr>
              <w:t>målet hermed er at sikre, at f.eks. en evt. positiv saldo efter § 5 D kan bruges til at udligne en evt. negativ saldo efter § 5</w:t>
            </w:r>
            <w:r w:rsidR="00A23FD0">
              <w:rPr>
                <w:rFonts w:ascii="Times New Roman" w:hAnsi="Times New Roman" w:cs="Times New Roman"/>
              </w:rPr>
              <w:t>.</w:t>
            </w:r>
            <w:r w:rsidR="00FF4520">
              <w:rPr>
                <w:rFonts w:ascii="Times New Roman" w:hAnsi="Times New Roman" w:cs="Times New Roman"/>
              </w:rPr>
              <w:t xml:space="preserve"> </w:t>
            </w:r>
            <w:r w:rsidR="000A665A">
              <w:rPr>
                <w:rFonts w:ascii="Times New Roman" w:hAnsi="Times New Roman" w:cs="Times New Roman"/>
              </w:rPr>
              <w:t>Finder i øvrigt, at opdelingen i to saldi må indebære, at der kan vælges forskellig afskri</w:t>
            </w:r>
            <w:r w:rsidR="000A665A">
              <w:rPr>
                <w:rFonts w:ascii="Times New Roman" w:hAnsi="Times New Roman" w:cs="Times New Roman"/>
              </w:rPr>
              <w:t>v</w:t>
            </w:r>
            <w:r w:rsidR="000A665A">
              <w:rPr>
                <w:rFonts w:ascii="Times New Roman" w:hAnsi="Times New Roman" w:cs="Times New Roman"/>
              </w:rPr>
              <w:t xml:space="preserve">ningsprocent for de to saldo.  </w:t>
            </w:r>
            <w:r w:rsidR="003016E4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B6665B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644" w:type="dxa"/>
          </w:tcPr>
          <w:p w:rsidR="000A665A" w:rsidRPr="00B6665B" w:rsidRDefault="000A665A" w:rsidP="00FF5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Problemstillingen vil blive overvejet</w:t>
            </w:r>
            <w:r w:rsidR="00A23FD0">
              <w:rPr>
                <w:rFonts w:ascii="Times New Roman" w:hAnsi="Times New Roman" w:cs="Times New Roman"/>
              </w:rPr>
              <w:t xml:space="preserve">. </w:t>
            </w:r>
            <w:r w:rsidR="00FF4520">
              <w:rPr>
                <w:rFonts w:ascii="Times New Roman" w:hAnsi="Times New Roman" w:cs="Times New Roman"/>
              </w:rPr>
              <w:t>Det er i øvrigt korrekt, at der efter L 192 som fremsat kan anvendes fo</w:t>
            </w:r>
            <w:r w:rsidR="00FF4520">
              <w:rPr>
                <w:rFonts w:ascii="Times New Roman" w:hAnsi="Times New Roman" w:cs="Times New Roman"/>
              </w:rPr>
              <w:t>r</w:t>
            </w:r>
            <w:r w:rsidR="00FF4520">
              <w:rPr>
                <w:rFonts w:ascii="Times New Roman" w:hAnsi="Times New Roman" w:cs="Times New Roman"/>
              </w:rPr>
              <w:t>skellig afskrivnings</w:t>
            </w:r>
            <w:r w:rsidR="00FF5FBF">
              <w:rPr>
                <w:rFonts w:ascii="Times New Roman" w:hAnsi="Times New Roman" w:cs="Times New Roman"/>
              </w:rPr>
              <w:t>procent</w:t>
            </w:r>
            <w:r w:rsidR="00FF4520">
              <w:rPr>
                <w:rFonts w:ascii="Times New Roman" w:hAnsi="Times New Roman" w:cs="Times New Roman"/>
              </w:rPr>
              <w:t xml:space="preserve"> for de to saldi i hhv. § 5 D og § 5, </w:t>
            </w:r>
            <w:r>
              <w:rPr>
                <w:rFonts w:ascii="Times New Roman" w:hAnsi="Times New Roman" w:cs="Times New Roman"/>
              </w:rPr>
              <w:t>men den årlige afskrivningsprocent kan for ingen af de to saldi overstige 25 pct.</w:t>
            </w:r>
          </w:p>
        </w:tc>
      </w:tr>
      <w:tr w:rsidR="006A25E4" w:rsidRPr="00DC0DDB" w:rsidTr="00D462E1">
        <w:tc>
          <w:tcPr>
            <w:tcW w:w="2171" w:type="dxa"/>
          </w:tcPr>
          <w:p w:rsidR="00B467A6" w:rsidRPr="0001454B" w:rsidRDefault="00B467A6" w:rsidP="00007799">
            <w:pPr>
              <w:rPr>
                <w:rFonts w:ascii="Times New Roman" w:hAnsi="Times New Roman" w:cs="Times New Roman"/>
              </w:rPr>
            </w:pPr>
            <w:r w:rsidRPr="0001454B">
              <w:rPr>
                <w:rFonts w:ascii="Times New Roman" w:hAnsi="Times New Roman" w:cs="Times New Roman"/>
              </w:rPr>
              <w:lastRenderedPageBreak/>
              <w:t>ATP</w:t>
            </w:r>
          </w:p>
        </w:tc>
        <w:tc>
          <w:tcPr>
            <w:tcW w:w="3649" w:type="dxa"/>
          </w:tcPr>
          <w:p w:rsidR="00B467A6" w:rsidRPr="0001454B" w:rsidRDefault="00B467A6" w:rsidP="00FC3628">
            <w:pPr>
              <w:rPr>
                <w:rFonts w:ascii="Times New Roman" w:hAnsi="Times New Roman" w:cs="Times New Roman"/>
              </w:rPr>
            </w:pPr>
            <w:r w:rsidRPr="0001454B">
              <w:rPr>
                <w:rFonts w:ascii="Times New Roman" w:hAnsi="Times New Roman" w:cs="Times New Roman"/>
              </w:rPr>
              <w:t>Ingen bemærkninger.</w:t>
            </w:r>
          </w:p>
        </w:tc>
        <w:tc>
          <w:tcPr>
            <w:tcW w:w="3644" w:type="dxa"/>
          </w:tcPr>
          <w:p w:rsidR="00B467A6" w:rsidRPr="0001454B" w:rsidRDefault="00B467A6" w:rsidP="00007799">
            <w:pPr>
              <w:rPr>
                <w:rFonts w:ascii="Times New Roman" w:hAnsi="Times New Roman" w:cs="Times New Roman"/>
              </w:rPr>
            </w:pPr>
          </w:p>
        </w:tc>
      </w:tr>
      <w:tr w:rsidR="006A25E4" w:rsidRPr="00DC0DDB" w:rsidTr="00D462E1">
        <w:tc>
          <w:tcPr>
            <w:tcW w:w="2171" w:type="dxa"/>
          </w:tcPr>
          <w:p w:rsidR="00BF1227" w:rsidRPr="00BF1227" w:rsidRDefault="00BF1227" w:rsidP="00007799">
            <w:pPr>
              <w:rPr>
                <w:rFonts w:ascii="Times New Roman" w:hAnsi="Times New Roman" w:cs="Times New Roman"/>
              </w:rPr>
            </w:pPr>
            <w:r w:rsidRPr="00BF1227">
              <w:rPr>
                <w:rFonts w:ascii="Times New Roman" w:hAnsi="Times New Roman" w:cs="Times New Roman"/>
              </w:rPr>
              <w:t>Danmarks Reder</w:t>
            </w:r>
            <w:r w:rsidRPr="00BF1227">
              <w:rPr>
                <w:rFonts w:ascii="Times New Roman" w:hAnsi="Times New Roman" w:cs="Times New Roman"/>
              </w:rPr>
              <w:t>i</w:t>
            </w:r>
            <w:r w:rsidRPr="00BF1227">
              <w:rPr>
                <w:rFonts w:ascii="Times New Roman" w:hAnsi="Times New Roman" w:cs="Times New Roman"/>
              </w:rPr>
              <w:t>forening</w:t>
            </w:r>
          </w:p>
        </w:tc>
        <w:tc>
          <w:tcPr>
            <w:tcW w:w="3649" w:type="dxa"/>
          </w:tcPr>
          <w:p w:rsidR="00BF1227" w:rsidRPr="00BF1227" w:rsidRDefault="00BF1227" w:rsidP="00BF1227">
            <w:pPr>
              <w:rPr>
                <w:rFonts w:ascii="Times New Roman" w:hAnsi="Times New Roman" w:cs="Times New Roman"/>
              </w:rPr>
            </w:pPr>
            <w:r w:rsidRPr="00BF1227">
              <w:rPr>
                <w:rFonts w:ascii="Times New Roman" w:hAnsi="Times New Roman" w:cs="Times New Roman"/>
              </w:rPr>
              <w:t>Ingen bemærkninger.</w:t>
            </w:r>
          </w:p>
        </w:tc>
        <w:tc>
          <w:tcPr>
            <w:tcW w:w="3644" w:type="dxa"/>
          </w:tcPr>
          <w:p w:rsidR="00BF1227" w:rsidRPr="00BF1227" w:rsidRDefault="00BF1227" w:rsidP="00007799">
            <w:pPr>
              <w:rPr>
                <w:rFonts w:ascii="Times New Roman" w:hAnsi="Times New Roman" w:cs="Times New Roman"/>
              </w:rPr>
            </w:pPr>
          </w:p>
        </w:tc>
      </w:tr>
      <w:tr w:rsidR="006A25E4" w:rsidRPr="00DC0DDB" w:rsidTr="00D462E1">
        <w:tc>
          <w:tcPr>
            <w:tcW w:w="2171" w:type="dxa"/>
          </w:tcPr>
          <w:p w:rsidR="00EF6CE1" w:rsidRPr="00EF6CE1" w:rsidRDefault="00EF6CE1" w:rsidP="00007799">
            <w:pPr>
              <w:rPr>
                <w:rFonts w:ascii="Times New Roman" w:hAnsi="Times New Roman" w:cs="Times New Roman"/>
              </w:rPr>
            </w:pPr>
            <w:r w:rsidRPr="00EF6CE1">
              <w:rPr>
                <w:rFonts w:ascii="Times New Roman" w:hAnsi="Times New Roman" w:cs="Times New Roman"/>
              </w:rPr>
              <w:t>Dansk Byggeri</w:t>
            </w:r>
          </w:p>
        </w:tc>
        <w:tc>
          <w:tcPr>
            <w:tcW w:w="3649" w:type="dxa"/>
          </w:tcPr>
          <w:p w:rsidR="00EF6CE1" w:rsidRPr="00EF6CE1" w:rsidRDefault="000852A0" w:rsidP="001E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Dansk Byggeri ser positivt på, at der gives et investeringsvindue, således at investeringer rykkes frem. Finder dog, at forslaget har en række uhe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sigtsmæssigheder i forhold til 1) n</w:t>
            </w:r>
            <w:r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>startede virksomheder, der kører med underskud, 2) øvrige virkso</w:t>
            </w: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 xml:space="preserve">heder med lav indtjening, der har svært ved at drage nytte af et øget afskrivningsgrundlag og 3) </w:t>
            </w:r>
            <w:r w:rsidR="00F23CB6">
              <w:rPr>
                <w:rFonts w:ascii="Times New Roman" w:hAnsi="Times New Roman" w:cs="Times New Roman"/>
              </w:rPr>
              <w:t xml:space="preserve">især </w:t>
            </w:r>
            <w:r>
              <w:rPr>
                <w:rFonts w:ascii="Times New Roman" w:hAnsi="Times New Roman" w:cs="Times New Roman"/>
              </w:rPr>
              <w:t>små og mellemstore virksomheder, som vil have meget begrænset glæde af forslaget. Dansk Byggeri foreslår i stedet en ordning</w:t>
            </w:r>
            <w:r w:rsidR="0003208C">
              <w:rPr>
                <w:rFonts w:ascii="Times New Roman" w:hAnsi="Times New Roman" w:cs="Times New Roman"/>
              </w:rPr>
              <w:t>, hvor regeringens forslag kun skal gælde for invest</w:t>
            </w:r>
            <w:r w:rsidR="0003208C">
              <w:rPr>
                <w:rFonts w:ascii="Times New Roman" w:hAnsi="Times New Roman" w:cs="Times New Roman"/>
              </w:rPr>
              <w:t>e</w:t>
            </w:r>
            <w:r w:rsidR="0003208C">
              <w:rPr>
                <w:rFonts w:ascii="Times New Roman" w:hAnsi="Times New Roman" w:cs="Times New Roman"/>
              </w:rPr>
              <w:t>ringer over 10 mio. kr., og hvor i</w:t>
            </w:r>
            <w:r w:rsidR="0003208C">
              <w:rPr>
                <w:rFonts w:ascii="Times New Roman" w:hAnsi="Times New Roman" w:cs="Times New Roman"/>
              </w:rPr>
              <w:t>n</w:t>
            </w:r>
            <w:r w:rsidR="0003208C">
              <w:rPr>
                <w:rFonts w:ascii="Times New Roman" w:hAnsi="Times New Roman" w:cs="Times New Roman"/>
              </w:rPr>
              <w:t>vesteringer på 10 mio. kr. eller de</w:t>
            </w:r>
            <w:r w:rsidR="0003208C">
              <w:rPr>
                <w:rFonts w:ascii="Times New Roman" w:hAnsi="Times New Roman" w:cs="Times New Roman"/>
              </w:rPr>
              <w:t>r</w:t>
            </w:r>
            <w:r w:rsidR="0003208C">
              <w:rPr>
                <w:rFonts w:ascii="Times New Roman" w:hAnsi="Times New Roman" w:cs="Times New Roman"/>
              </w:rPr>
              <w:t>under præmieres i form af forskell</w:t>
            </w:r>
            <w:r w:rsidR="0003208C">
              <w:rPr>
                <w:rFonts w:ascii="Times New Roman" w:hAnsi="Times New Roman" w:cs="Times New Roman"/>
              </w:rPr>
              <w:t>i</w:t>
            </w:r>
            <w:r w:rsidR="0003208C">
              <w:rPr>
                <w:rFonts w:ascii="Times New Roman" w:hAnsi="Times New Roman" w:cs="Times New Roman"/>
              </w:rPr>
              <w:t>ge kombinationer af 115 pct. af a</w:t>
            </w:r>
            <w:r w:rsidR="0003208C">
              <w:rPr>
                <w:rFonts w:ascii="Times New Roman" w:hAnsi="Times New Roman" w:cs="Times New Roman"/>
              </w:rPr>
              <w:t>n</w:t>
            </w:r>
            <w:r w:rsidR="0003208C">
              <w:rPr>
                <w:rFonts w:ascii="Times New Roman" w:hAnsi="Times New Roman" w:cs="Times New Roman"/>
              </w:rPr>
              <w:t xml:space="preserve">skaffelsessummen som hhv. </w:t>
            </w:r>
            <w:proofErr w:type="spellStart"/>
            <w:r w:rsidR="0003208C">
              <w:rPr>
                <w:rFonts w:ascii="Times New Roman" w:hAnsi="Times New Roman" w:cs="Times New Roman"/>
              </w:rPr>
              <w:t>straks-afskrivning</w:t>
            </w:r>
            <w:proofErr w:type="spellEnd"/>
            <w:r w:rsidR="0003208C">
              <w:rPr>
                <w:rFonts w:ascii="Times New Roman" w:hAnsi="Times New Roman" w:cs="Times New Roman"/>
              </w:rPr>
              <w:t xml:space="preserve"> og/eller skattekredit, yderligere gradueret efter</w:t>
            </w:r>
            <w:r w:rsidR="001E0479">
              <w:rPr>
                <w:rFonts w:ascii="Times New Roman" w:hAnsi="Times New Roman" w:cs="Times New Roman"/>
              </w:rPr>
              <w:t xml:space="preserve"> investeri</w:t>
            </w:r>
            <w:r w:rsidR="001E0479">
              <w:rPr>
                <w:rFonts w:ascii="Times New Roman" w:hAnsi="Times New Roman" w:cs="Times New Roman"/>
              </w:rPr>
              <w:t>n</w:t>
            </w:r>
            <w:r w:rsidR="001E0479">
              <w:rPr>
                <w:rFonts w:ascii="Times New Roman" w:hAnsi="Times New Roman" w:cs="Times New Roman"/>
              </w:rPr>
              <w:t>gens</w:t>
            </w:r>
            <w:r w:rsidR="0003208C">
              <w:rPr>
                <w:rFonts w:ascii="Times New Roman" w:hAnsi="Times New Roman" w:cs="Times New Roman"/>
              </w:rPr>
              <w:t xml:space="preserve"> karakter af produktionsudstyr hhv. innovation.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644" w:type="dxa"/>
          </w:tcPr>
          <w:p w:rsidR="00EF6CE1" w:rsidRPr="00EF6CE1" w:rsidRDefault="000F51F5" w:rsidP="009A2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Som en del af finanslovsaftalen for 2013 fik regeringen gennemført lov nr. </w:t>
            </w:r>
            <w:r w:rsidR="001E0479">
              <w:rPr>
                <w:rFonts w:ascii="Times New Roman" w:hAnsi="Times New Roman" w:cs="Times New Roman"/>
              </w:rPr>
              <w:t>1379 af 28. december 2011 om skattekreditter,</w:t>
            </w:r>
            <w:r w:rsidR="009A2D2D">
              <w:rPr>
                <w:rFonts w:ascii="Times New Roman" w:hAnsi="Times New Roman" w:cs="Times New Roman"/>
              </w:rPr>
              <w:t xml:space="preserve"> dvs.</w:t>
            </w:r>
            <w:r w:rsidR="001E0479">
              <w:rPr>
                <w:rFonts w:ascii="Times New Roman" w:hAnsi="Times New Roman" w:cs="Times New Roman"/>
              </w:rPr>
              <w:t xml:space="preserve"> udbetaling af skatteværdien af en virksomheds u</w:t>
            </w:r>
            <w:r w:rsidR="001E0479">
              <w:rPr>
                <w:rFonts w:ascii="Times New Roman" w:hAnsi="Times New Roman" w:cs="Times New Roman"/>
              </w:rPr>
              <w:t>n</w:t>
            </w:r>
            <w:r w:rsidR="001E0479">
              <w:rPr>
                <w:rFonts w:ascii="Times New Roman" w:hAnsi="Times New Roman" w:cs="Times New Roman"/>
              </w:rPr>
              <w:t xml:space="preserve">derskud som følge af forsknings- og udviklingsaktiviteter. </w:t>
            </w:r>
            <w:r w:rsidR="00F47C30">
              <w:rPr>
                <w:rFonts w:ascii="Times New Roman" w:hAnsi="Times New Roman" w:cs="Times New Roman"/>
              </w:rPr>
              <w:t xml:space="preserve">Denne ordning er til gavn for virksomheder med underskud. L 192 har </w:t>
            </w:r>
            <w:r w:rsidR="001A7E89">
              <w:rPr>
                <w:rFonts w:ascii="Times New Roman" w:hAnsi="Times New Roman" w:cs="Times New Roman"/>
              </w:rPr>
              <w:t>til formål</w:t>
            </w:r>
            <w:r w:rsidR="00F47C30">
              <w:rPr>
                <w:rFonts w:ascii="Times New Roman" w:hAnsi="Times New Roman" w:cs="Times New Roman"/>
              </w:rPr>
              <w:t xml:space="preserve"> at </w:t>
            </w:r>
            <w:r w:rsidR="001A7E89">
              <w:rPr>
                <w:rFonts w:ascii="Times New Roman" w:hAnsi="Times New Roman" w:cs="Times New Roman"/>
              </w:rPr>
              <w:t xml:space="preserve">åbne et investeringsvindue for her og nu at fremme private investeringer og sætte skub i økonomien, så der skabes nye arbejdspladser og jobs i Danmark. </w:t>
            </w:r>
            <w:r w:rsidR="00A74EF0">
              <w:rPr>
                <w:rFonts w:ascii="Times New Roman" w:hAnsi="Times New Roman" w:cs="Times New Roman"/>
              </w:rPr>
              <w:t>Regeringen finder, at dette mest målrettet gøres ved at forbedre afskrivningsmulighederne midlert</w:t>
            </w:r>
            <w:r w:rsidR="00A74EF0">
              <w:rPr>
                <w:rFonts w:ascii="Times New Roman" w:hAnsi="Times New Roman" w:cs="Times New Roman"/>
              </w:rPr>
              <w:t>i</w:t>
            </w:r>
            <w:r w:rsidR="00A74EF0">
              <w:rPr>
                <w:rFonts w:ascii="Times New Roman" w:hAnsi="Times New Roman" w:cs="Times New Roman"/>
              </w:rPr>
              <w:t>digt</w:t>
            </w:r>
            <w:r w:rsidR="009A2D2D">
              <w:rPr>
                <w:rFonts w:ascii="Times New Roman" w:hAnsi="Times New Roman" w:cs="Times New Roman"/>
              </w:rPr>
              <w:t xml:space="preserve"> som foreslået i L 192. D</w:t>
            </w:r>
            <w:r w:rsidR="00A74EF0">
              <w:rPr>
                <w:rFonts w:ascii="Times New Roman" w:hAnsi="Times New Roman" w:cs="Times New Roman"/>
              </w:rPr>
              <w:t>ette vil have størst effekt i forhold til vir</w:t>
            </w:r>
            <w:r w:rsidR="00A74EF0">
              <w:rPr>
                <w:rFonts w:ascii="Times New Roman" w:hAnsi="Times New Roman" w:cs="Times New Roman"/>
              </w:rPr>
              <w:t>k</w:t>
            </w:r>
            <w:r w:rsidR="00A74EF0">
              <w:rPr>
                <w:rFonts w:ascii="Times New Roman" w:hAnsi="Times New Roman" w:cs="Times New Roman"/>
              </w:rPr>
              <w:t>somheder, som p.t. har skattemæ</w:t>
            </w:r>
            <w:r w:rsidR="00A74EF0">
              <w:rPr>
                <w:rFonts w:ascii="Times New Roman" w:hAnsi="Times New Roman" w:cs="Times New Roman"/>
              </w:rPr>
              <w:t>s</w:t>
            </w:r>
            <w:r w:rsidR="00A74EF0">
              <w:rPr>
                <w:rFonts w:ascii="Times New Roman" w:hAnsi="Times New Roman" w:cs="Times New Roman"/>
              </w:rPr>
              <w:t>sigt overskud, og dette kan være små og mellemstore virksomheder</w:t>
            </w:r>
            <w:r w:rsidR="001004E1">
              <w:rPr>
                <w:rFonts w:ascii="Times New Roman" w:hAnsi="Times New Roman" w:cs="Times New Roman"/>
              </w:rPr>
              <w:t xml:space="preserve"> såvel</w:t>
            </w:r>
            <w:r w:rsidR="00A74EF0">
              <w:rPr>
                <w:rFonts w:ascii="Times New Roman" w:hAnsi="Times New Roman" w:cs="Times New Roman"/>
              </w:rPr>
              <w:t xml:space="preserve"> som store virksomheder. </w:t>
            </w:r>
            <w:r w:rsidR="001A7E89">
              <w:rPr>
                <w:rFonts w:ascii="Times New Roman" w:hAnsi="Times New Roman" w:cs="Times New Roman"/>
              </w:rPr>
              <w:t xml:space="preserve">   </w:t>
            </w:r>
            <w:r w:rsidR="001E047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A25E4" w:rsidRPr="00DC0DDB" w:rsidTr="00D462E1">
        <w:tc>
          <w:tcPr>
            <w:tcW w:w="2171" w:type="dxa"/>
          </w:tcPr>
          <w:p w:rsidR="007C14E5" w:rsidRPr="00D461F2" w:rsidRDefault="007C14E5" w:rsidP="00007799">
            <w:pPr>
              <w:rPr>
                <w:rFonts w:ascii="Times New Roman" w:hAnsi="Times New Roman" w:cs="Times New Roman"/>
              </w:rPr>
            </w:pPr>
            <w:r w:rsidRPr="00D461F2">
              <w:rPr>
                <w:rFonts w:ascii="Times New Roman" w:hAnsi="Times New Roman" w:cs="Times New Roman"/>
              </w:rPr>
              <w:t>Dansk Erhverv</w:t>
            </w:r>
          </w:p>
        </w:tc>
        <w:tc>
          <w:tcPr>
            <w:tcW w:w="3649" w:type="dxa"/>
          </w:tcPr>
          <w:p w:rsidR="004A0D77" w:rsidRDefault="007C14E5" w:rsidP="00E36248">
            <w:pPr>
              <w:spacing w:after="0"/>
              <w:rPr>
                <w:rFonts w:ascii="Times New Roman" w:hAnsi="Times New Roman" w:cs="Times New Roman"/>
              </w:rPr>
            </w:pPr>
            <w:r w:rsidRPr="00D461F2">
              <w:rPr>
                <w:rFonts w:ascii="Times New Roman" w:hAnsi="Times New Roman" w:cs="Times New Roman"/>
              </w:rPr>
              <w:t>Støtter in</w:t>
            </w:r>
            <w:r w:rsidR="00A331CC">
              <w:rPr>
                <w:rFonts w:ascii="Times New Roman" w:hAnsi="Times New Roman" w:cs="Times New Roman"/>
              </w:rPr>
              <w:t>i</w:t>
            </w:r>
            <w:r w:rsidRPr="00D461F2">
              <w:rPr>
                <w:rFonts w:ascii="Times New Roman" w:hAnsi="Times New Roman" w:cs="Times New Roman"/>
              </w:rPr>
              <w:t>tiativet omkring forhøjelse af afskrivningsgrundlaget for inv</w:t>
            </w:r>
            <w:r w:rsidRPr="00D461F2">
              <w:rPr>
                <w:rFonts w:ascii="Times New Roman" w:hAnsi="Times New Roman" w:cs="Times New Roman"/>
              </w:rPr>
              <w:t>e</w:t>
            </w:r>
            <w:r w:rsidRPr="00D461F2">
              <w:rPr>
                <w:rFonts w:ascii="Times New Roman" w:hAnsi="Times New Roman" w:cs="Times New Roman"/>
              </w:rPr>
              <w:t>steringer i driftsmidler</w:t>
            </w:r>
            <w:r w:rsidR="00D461F2">
              <w:rPr>
                <w:rFonts w:ascii="Times New Roman" w:hAnsi="Times New Roman" w:cs="Times New Roman"/>
              </w:rPr>
              <w:t>, men</w:t>
            </w:r>
            <w:r w:rsidR="00D461F2" w:rsidRPr="00D461F2">
              <w:rPr>
                <w:rFonts w:ascii="Times New Roman" w:hAnsi="Times New Roman" w:cs="Times New Roman"/>
              </w:rPr>
              <w:t xml:space="preserve"> finder, at</w:t>
            </w:r>
            <w:r w:rsidR="00D461F2">
              <w:rPr>
                <w:rFonts w:ascii="Times New Roman" w:hAnsi="Times New Roman" w:cs="Times New Roman"/>
              </w:rPr>
              <w:t xml:space="preserve"> der er behov for at udnytte de d</w:t>
            </w:r>
            <w:r w:rsidR="00D461F2">
              <w:rPr>
                <w:rFonts w:ascii="Times New Roman" w:hAnsi="Times New Roman" w:cs="Times New Roman"/>
              </w:rPr>
              <w:t>i</w:t>
            </w:r>
            <w:r w:rsidR="00D461F2">
              <w:rPr>
                <w:rFonts w:ascii="Times New Roman" w:hAnsi="Times New Roman" w:cs="Times New Roman"/>
              </w:rPr>
              <w:t>gitale ressourcer bedre. På den ba</w:t>
            </w:r>
            <w:r w:rsidR="00D461F2">
              <w:rPr>
                <w:rFonts w:ascii="Times New Roman" w:hAnsi="Times New Roman" w:cs="Times New Roman"/>
              </w:rPr>
              <w:t>g</w:t>
            </w:r>
            <w:r w:rsidR="00D461F2">
              <w:rPr>
                <w:rFonts w:ascii="Times New Roman" w:hAnsi="Times New Roman" w:cs="Times New Roman"/>
              </w:rPr>
              <w:t xml:space="preserve">grund foreslås en løsning, der </w:t>
            </w:r>
            <w:r w:rsidR="004A0D77">
              <w:rPr>
                <w:rFonts w:ascii="Times New Roman" w:hAnsi="Times New Roman" w:cs="Times New Roman"/>
              </w:rPr>
              <w:t>ru</w:t>
            </w:r>
            <w:r w:rsidR="004A0D77">
              <w:rPr>
                <w:rFonts w:ascii="Times New Roman" w:hAnsi="Times New Roman" w:cs="Times New Roman"/>
              </w:rPr>
              <w:t>m</w:t>
            </w:r>
            <w:r w:rsidR="004A0D77">
              <w:rPr>
                <w:rFonts w:ascii="Times New Roman" w:hAnsi="Times New Roman" w:cs="Times New Roman"/>
              </w:rPr>
              <w:t>mer indkøb af</w:t>
            </w:r>
            <w:r w:rsidR="00D461F2">
              <w:rPr>
                <w:rFonts w:ascii="Times New Roman" w:hAnsi="Times New Roman" w:cs="Times New Roman"/>
              </w:rPr>
              <w:t xml:space="preserve"> it-hardware</w:t>
            </w:r>
            <w:r w:rsidR="004A0D77">
              <w:rPr>
                <w:rFonts w:ascii="Times New Roman" w:hAnsi="Times New Roman" w:cs="Times New Roman"/>
              </w:rPr>
              <w:t>, it-rådgivning og it-uddannelse.</w:t>
            </w:r>
          </w:p>
          <w:p w:rsidR="004A0D77" w:rsidRDefault="004A0D77" w:rsidP="00E36248">
            <w:pPr>
              <w:spacing w:after="0"/>
              <w:rPr>
                <w:rFonts w:ascii="Times New Roman" w:hAnsi="Times New Roman" w:cs="Times New Roman"/>
              </w:rPr>
            </w:pPr>
          </w:p>
          <w:p w:rsidR="00D461F2" w:rsidRDefault="004A0D77" w:rsidP="00E362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E68F5" w:rsidRDefault="00D461F2" w:rsidP="00E362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 gerne have bekræftet, at vir</w:t>
            </w:r>
            <w:r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somhederne ifølge lovteksten og lo</w:t>
            </w: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 xml:space="preserve">forslagets specielle bemærkninger kan vælge mellem 115 </w:t>
            </w:r>
            <w:proofErr w:type="spellStart"/>
            <w:r>
              <w:rPr>
                <w:rFonts w:ascii="Times New Roman" w:hAnsi="Times New Roman" w:cs="Times New Roman"/>
              </w:rPr>
              <w:t>pct.sreglen</w:t>
            </w:r>
            <w:proofErr w:type="spellEnd"/>
            <w:r>
              <w:rPr>
                <w:rFonts w:ascii="Times New Roman" w:hAnsi="Times New Roman" w:cs="Times New Roman"/>
              </w:rPr>
              <w:t xml:space="preserve"> og de almindelige afskrivningsre</w:t>
            </w:r>
            <w:r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 xml:space="preserve">ler, og at 115 </w:t>
            </w:r>
            <w:proofErr w:type="spellStart"/>
            <w:r>
              <w:rPr>
                <w:rFonts w:ascii="Times New Roman" w:hAnsi="Times New Roman" w:cs="Times New Roman"/>
              </w:rPr>
              <w:t>pct.s</w:t>
            </w:r>
            <w:proofErr w:type="spellEnd"/>
            <w:r w:rsidR="005B11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muligheden sål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des også gives for investeringer i e</w:t>
            </w:r>
            <w:r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sempelvis software.</w:t>
            </w:r>
          </w:p>
          <w:p w:rsidR="006E68F5" w:rsidRDefault="006E68F5" w:rsidP="00E36248">
            <w:pPr>
              <w:spacing w:after="0"/>
              <w:rPr>
                <w:rFonts w:ascii="Times New Roman" w:hAnsi="Times New Roman" w:cs="Times New Roman"/>
              </w:rPr>
            </w:pPr>
          </w:p>
          <w:p w:rsidR="009C6782" w:rsidRDefault="009C6782" w:rsidP="00E36248">
            <w:pPr>
              <w:spacing w:after="0"/>
              <w:rPr>
                <w:rFonts w:ascii="Times New Roman" w:hAnsi="Times New Roman" w:cs="Times New Roman"/>
              </w:rPr>
            </w:pPr>
          </w:p>
          <w:p w:rsidR="00FA7F62" w:rsidRDefault="00FA7F62" w:rsidP="00E36248">
            <w:pPr>
              <w:spacing w:after="0"/>
              <w:rPr>
                <w:rFonts w:ascii="Times New Roman" w:hAnsi="Times New Roman" w:cs="Times New Roman"/>
              </w:rPr>
            </w:pPr>
          </w:p>
          <w:p w:rsidR="00FA7F62" w:rsidRDefault="00FA7F62" w:rsidP="00E36248">
            <w:pPr>
              <w:spacing w:after="0"/>
              <w:rPr>
                <w:rFonts w:ascii="Times New Roman" w:hAnsi="Times New Roman" w:cs="Times New Roman"/>
              </w:rPr>
            </w:pPr>
          </w:p>
          <w:p w:rsidR="00FA7F62" w:rsidRDefault="00FA7F62" w:rsidP="00E36248">
            <w:pPr>
              <w:spacing w:after="0"/>
              <w:rPr>
                <w:rFonts w:ascii="Times New Roman" w:hAnsi="Times New Roman" w:cs="Times New Roman"/>
              </w:rPr>
            </w:pPr>
          </w:p>
          <w:p w:rsidR="00FA7F62" w:rsidRDefault="00FA7F62" w:rsidP="00E36248">
            <w:pPr>
              <w:spacing w:after="0"/>
              <w:rPr>
                <w:rFonts w:ascii="Times New Roman" w:hAnsi="Times New Roman" w:cs="Times New Roman"/>
              </w:rPr>
            </w:pPr>
          </w:p>
          <w:p w:rsidR="00FA7F62" w:rsidRDefault="00FA7F62" w:rsidP="00E36248">
            <w:pPr>
              <w:spacing w:after="0"/>
              <w:rPr>
                <w:rFonts w:ascii="Times New Roman" w:hAnsi="Times New Roman" w:cs="Times New Roman"/>
              </w:rPr>
            </w:pPr>
          </w:p>
          <w:p w:rsidR="00FA7F62" w:rsidRDefault="00FA7F62" w:rsidP="00E36248">
            <w:pPr>
              <w:spacing w:after="0"/>
              <w:rPr>
                <w:rFonts w:ascii="Times New Roman" w:hAnsi="Times New Roman" w:cs="Times New Roman"/>
              </w:rPr>
            </w:pPr>
          </w:p>
          <w:p w:rsidR="006316EA" w:rsidRDefault="006316EA" w:rsidP="00E36248">
            <w:pPr>
              <w:spacing w:after="0"/>
              <w:rPr>
                <w:rFonts w:ascii="Times New Roman" w:hAnsi="Times New Roman" w:cs="Times New Roman"/>
              </w:rPr>
            </w:pPr>
          </w:p>
          <w:p w:rsidR="007C14E5" w:rsidRPr="00D461F2" w:rsidRDefault="006E68F5" w:rsidP="00A23FD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Anbefaler, at leasing af driftsaktiver gives samme gunstige </w:t>
            </w:r>
            <w:r w:rsidR="00E36248">
              <w:rPr>
                <w:rFonts w:ascii="Times New Roman" w:hAnsi="Times New Roman" w:cs="Times New Roman"/>
              </w:rPr>
              <w:t>skattemæssige stilling som køb af driftsmidler.</w:t>
            </w:r>
            <w:r w:rsidR="007C14E5" w:rsidRPr="00D461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44" w:type="dxa"/>
          </w:tcPr>
          <w:p w:rsidR="00FA7F62" w:rsidRDefault="006E68F5" w:rsidP="00E362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It-har</w:t>
            </w:r>
            <w:r w:rsidR="00E36248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 xml:space="preserve">ware er allerede </w:t>
            </w:r>
            <w:r w:rsidR="00A331CC">
              <w:rPr>
                <w:rFonts w:ascii="Times New Roman" w:hAnsi="Times New Roman" w:cs="Times New Roman"/>
              </w:rPr>
              <w:t>omfattet af</w:t>
            </w:r>
            <w:r>
              <w:rPr>
                <w:rFonts w:ascii="Times New Roman" w:hAnsi="Times New Roman" w:cs="Times New Roman"/>
              </w:rPr>
              <w:t xml:space="preserve"> L 192</w:t>
            </w:r>
            <w:r w:rsidR="00FA7F62">
              <w:rPr>
                <w:rFonts w:ascii="Times New Roman" w:hAnsi="Times New Roman" w:cs="Times New Roman"/>
              </w:rPr>
              <w:t xml:space="preserve">, idet </w:t>
            </w:r>
            <w:r>
              <w:rPr>
                <w:rFonts w:ascii="Times New Roman" w:hAnsi="Times New Roman" w:cs="Times New Roman"/>
              </w:rPr>
              <w:t xml:space="preserve">115 </w:t>
            </w:r>
            <w:proofErr w:type="spellStart"/>
            <w:r>
              <w:rPr>
                <w:rFonts w:ascii="Times New Roman" w:hAnsi="Times New Roman" w:cs="Times New Roman"/>
              </w:rPr>
              <w:t>pct.s</w:t>
            </w:r>
            <w:proofErr w:type="spellEnd"/>
            <w:r w:rsidR="00A331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muligheden</w:t>
            </w:r>
            <w:r w:rsidR="00FA7F62">
              <w:rPr>
                <w:rFonts w:ascii="Times New Roman" w:hAnsi="Times New Roman" w:cs="Times New Roman"/>
              </w:rPr>
              <w:t xml:space="preserve"> også</w:t>
            </w:r>
            <w:r>
              <w:rPr>
                <w:rFonts w:ascii="Times New Roman" w:hAnsi="Times New Roman" w:cs="Times New Roman"/>
              </w:rPr>
              <w:t xml:space="preserve"> kan vælges for investeringer i it-hardware</w:t>
            </w:r>
            <w:r w:rsidR="00FA7F62">
              <w:rPr>
                <w:rFonts w:ascii="Times New Roman" w:hAnsi="Times New Roman" w:cs="Times New Roman"/>
              </w:rPr>
              <w:t>, men almindelige drift</w:t>
            </w:r>
            <w:r w:rsidR="00FA7F62">
              <w:rPr>
                <w:rFonts w:ascii="Times New Roman" w:hAnsi="Times New Roman" w:cs="Times New Roman"/>
              </w:rPr>
              <w:t>s</w:t>
            </w:r>
            <w:r w:rsidR="00FA7F62">
              <w:rPr>
                <w:rFonts w:ascii="Times New Roman" w:hAnsi="Times New Roman" w:cs="Times New Roman"/>
              </w:rPr>
              <w:t xml:space="preserve">omkostninger er ikke omfattet af 115 </w:t>
            </w:r>
            <w:proofErr w:type="spellStart"/>
            <w:r w:rsidR="00FA7F62">
              <w:rPr>
                <w:rFonts w:ascii="Times New Roman" w:hAnsi="Times New Roman" w:cs="Times New Roman"/>
              </w:rPr>
              <w:t>pct.s</w:t>
            </w:r>
            <w:proofErr w:type="spellEnd"/>
            <w:r w:rsidR="00FA7F6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A7F62">
              <w:rPr>
                <w:rFonts w:ascii="Times New Roman" w:hAnsi="Times New Roman" w:cs="Times New Roman"/>
              </w:rPr>
              <w:t>muligheden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FA7F62" w:rsidRDefault="00FA7F62" w:rsidP="00E36248">
            <w:pPr>
              <w:spacing w:after="0"/>
              <w:rPr>
                <w:rFonts w:ascii="Times New Roman" w:hAnsi="Times New Roman" w:cs="Times New Roman"/>
              </w:rPr>
            </w:pPr>
          </w:p>
          <w:p w:rsidR="00FA7F62" w:rsidRDefault="00FA7F62" w:rsidP="00E36248">
            <w:pPr>
              <w:spacing w:after="0"/>
              <w:rPr>
                <w:rFonts w:ascii="Times New Roman" w:hAnsi="Times New Roman" w:cs="Times New Roman"/>
              </w:rPr>
            </w:pPr>
          </w:p>
          <w:p w:rsidR="00FA7F62" w:rsidRDefault="00FA7F62" w:rsidP="00E36248">
            <w:pPr>
              <w:spacing w:after="0"/>
              <w:rPr>
                <w:rFonts w:ascii="Times New Roman" w:hAnsi="Times New Roman" w:cs="Times New Roman"/>
              </w:rPr>
            </w:pPr>
          </w:p>
          <w:p w:rsidR="00FA7F62" w:rsidRDefault="00FA7F62" w:rsidP="00E36248">
            <w:pPr>
              <w:spacing w:after="0"/>
              <w:rPr>
                <w:rFonts w:ascii="Times New Roman" w:hAnsi="Times New Roman" w:cs="Times New Roman"/>
              </w:rPr>
            </w:pPr>
          </w:p>
          <w:p w:rsidR="00E36248" w:rsidRDefault="006E68F5" w:rsidP="00E362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 kan bekræftes, at virksomhede</w:t>
            </w: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 xml:space="preserve">ne </w:t>
            </w:r>
            <w:r w:rsidR="006316EA">
              <w:rPr>
                <w:rFonts w:ascii="Times New Roman" w:hAnsi="Times New Roman" w:cs="Times New Roman"/>
              </w:rPr>
              <w:t>ved anskaffelse af</w:t>
            </w:r>
            <w:r>
              <w:rPr>
                <w:rFonts w:ascii="Times New Roman" w:hAnsi="Times New Roman" w:cs="Times New Roman"/>
              </w:rPr>
              <w:t xml:space="preserve"> software kan vælge mellem afskrivning efter den almindelige afskrivningsmetode for driftsmidler efter afskrivningslovens § 5 og 115 </w:t>
            </w:r>
            <w:proofErr w:type="spellStart"/>
            <w:r>
              <w:rPr>
                <w:rFonts w:ascii="Times New Roman" w:hAnsi="Times New Roman" w:cs="Times New Roman"/>
              </w:rPr>
              <w:t>pct.s</w:t>
            </w:r>
            <w:proofErr w:type="spellEnd"/>
            <w:r w:rsidR="005B11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muligheden efter den foreslåede § 5 D. Software kan imidlertid også vælges </w:t>
            </w:r>
            <w:proofErr w:type="spellStart"/>
            <w:r>
              <w:rPr>
                <w:rFonts w:ascii="Times New Roman" w:hAnsi="Times New Roman" w:cs="Times New Roman"/>
              </w:rPr>
              <w:t>straksafskr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vet</w:t>
            </w:r>
            <w:proofErr w:type="spellEnd"/>
            <w:r>
              <w:rPr>
                <w:rFonts w:ascii="Times New Roman" w:hAnsi="Times New Roman" w:cs="Times New Roman"/>
              </w:rPr>
              <w:t xml:space="preserve"> efter afskrivningslovens § 6. Virksomhederne kan dog ikke både vælge afskrivning på</w:t>
            </w:r>
            <w:r w:rsidR="00FA7F62">
              <w:rPr>
                <w:rFonts w:ascii="Times New Roman" w:hAnsi="Times New Roman" w:cs="Times New Roman"/>
              </w:rPr>
              <w:t xml:space="preserve"> et</w:t>
            </w:r>
            <w:r>
              <w:rPr>
                <w:rFonts w:ascii="Times New Roman" w:hAnsi="Times New Roman" w:cs="Times New Roman"/>
              </w:rPr>
              <w:t xml:space="preserve"> 115 </w:t>
            </w:r>
            <w:proofErr w:type="spellStart"/>
            <w:r>
              <w:rPr>
                <w:rFonts w:ascii="Times New Roman" w:hAnsi="Times New Roman" w:cs="Times New Roman"/>
              </w:rPr>
              <w:t>pct.sgrundlag</w:t>
            </w:r>
            <w:proofErr w:type="spellEnd"/>
            <w:r>
              <w:rPr>
                <w:rFonts w:ascii="Times New Roman" w:hAnsi="Times New Roman" w:cs="Times New Roman"/>
              </w:rPr>
              <w:t xml:space="preserve"> efter § 5 D og </w:t>
            </w:r>
            <w:proofErr w:type="spellStart"/>
            <w:r>
              <w:rPr>
                <w:rFonts w:ascii="Times New Roman" w:hAnsi="Times New Roman" w:cs="Times New Roman"/>
              </w:rPr>
              <w:t>stra</w:t>
            </w:r>
            <w:r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safskrivning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efter § 6.</w:t>
            </w:r>
            <w:r w:rsidR="00FA7F62">
              <w:rPr>
                <w:rFonts w:ascii="Times New Roman" w:hAnsi="Times New Roman" w:cs="Times New Roman"/>
              </w:rPr>
              <w:t xml:space="preserve"> Det samme gør sig gældende for andre drift</w:t>
            </w:r>
            <w:r w:rsidR="00FA7F62">
              <w:rPr>
                <w:rFonts w:ascii="Times New Roman" w:hAnsi="Times New Roman" w:cs="Times New Roman"/>
              </w:rPr>
              <w:t>s</w:t>
            </w:r>
            <w:r w:rsidR="00FA7F62">
              <w:rPr>
                <w:rFonts w:ascii="Times New Roman" w:hAnsi="Times New Roman" w:cs="Times New Roman"/>
              </w:rPr>
              <w:t xml:space="preserve">midler, som i dag kan vælges </w:t>
            </w:r>
            <w:proofErr w:type="spellStart"/>
            <w:r w:rsidR="00FA7F62">
              <w:rPr>
                <w:rFonts w:ascii="Times New Roman" w:hAnsi="Times New Roman" w:cs="Times New Roman"/>
              </w:rPr>
              <w:t>stra</w:t>
            </w:r>
            <w:r w:rsidR="00FA7F62">
              <w:rPr>
                <w:rFonts w:ascii="Times New Roman" w:hAnsi="Times New Roman" w:cs="Times New Roman"/>
              </w:rPr>
              <w:t>k</w:t>
            </w:r>
            <w:r w:rsidR="00FA7F62">
              <w:rPr>
                <w:rFonts w:ascii="Times New Roman" w:hAnsi="Times New Roman" w:cs="Times New Roman"/>
              </w:rPr>
              <w:t>safskrevet</w:t>
            </w:r>
            <w:proofErr w:type="spellEnd"/>
            <w:r w:rsidR="00FA7F62">
              <w:rPr>
                <w:rFonts w:ascii="Times New Roman" w:hAnsi="Times New Roman" w:cs="Times New Roman"/>
              </w:rPr>
              <w:t xml:space="preserve"> efter § 6.</w:t>
            </w:r>
          </w:p>
          <w:p w:rsidR="00E36248" w:rsidRDefault="00E36248" w:rsidP="00E36248">
            <w:pPr>
              <w:spacing w:after="0"/>
              <w:rPr>
                <w:rFonts w:ascii="Times New Roman" w:hAnsi="Times New Roman" w:cs="Times New Roman"/>
              </w:rPr>
            </w:pPr>
          </w:p>
          <w:p w:rsidR="006E68F5" w:rsidRPr="00D461F2" w:rsidRDefault="00E36248" w:rsidP="00AE7D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 henvises til kommentaren til h</w:t>
            </w:r>
            <w:r>
              <w:rPr>
                <w:rFonts w:ascii="Times New Roman" w:hAnsi="Times New Roman" w:cs="Times New Roman"/>
              </w:rPr>
              <w:t>ø</w:t>
            </w:r>
            <w:r>
              <w:rPr>
                <w:rFonts w:ascii="Times New Roman" w:hAnsi="Times New Roman" w:cs="Times New Roman"/>
              </w:rPr>
              <w:t>ringssvaret fra Finans og Leasing.</w:t>
            </w:r>
            <w:r w:rsidR="006E68F5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6A25E4" w:rsidRPr="00DC0DDB" w:rsidTr="00D462E1">
        <w:tc>
          <w:tcPr>
            <w:tcW w:w="2171" w:type="dxa"/>
          </w:tcPr>
          <w:p w:rsidR="007152BE" w:rsidRPr="00DC0DDB" w:rsidRDefault="00007799" w:rsidP="00007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</w:t>
            </w:r>
          </w:p>
        </w:tc>
        <w:tc>
          <w:tcPr>
            <w:tcW w:w="3649" w:type="dxa"/>
          </w:tcPr>
          <w:p w:rsidR="007152BE" w:rsidRPr="00DC0DDB" w:rsidRDefault="00FC3628" w:rsidP="00FC3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Ingen </w:t>
            </w:r>
            <w:r w:rsidR="00007799">
              <w:rPr>
                <w:rFonts w:ascii="Times New Roman" w:hAnsi="Times New Roman" w:cs="Times New Roman"/>
              </w:rPr>
              <w:t>tekniske bemærkninger.</w:t>
            </w:r>
          </w:p>
        </w:tc>
        <w:tc>
          <w:tcPr>
            <w:tcW w:w="3644" w:type="dxa"/>
          </w:tcPr>
          <w:p w:rsidR="007152BE" w:rsidRPr="00DC0DDB" w:rsidRDefault="007152BE" w:rsidP="00007799">
            <w:pPr>
              <w:rPr>
                <w:rFonts w:ascii="Times New Roman" w:hAnsi="Times New Roman" w:cs="Times New Roman"/>
              </w:rPr>
            </w:pPr>
          </w:p>
        </w:tc>
      </w:tr>
      <w:tr w:rsidR="006A25E4" w:rsidRPr="00DC0DDB" w:rsidTr="00D462E1">
        <w:tc>
          <w:tcPr>
            <w:tcW w:w="2171" w:type="dxa"/>
          </w:tcPr>
          <w:p w:rsidR="00AE7D15" w:rsidRPr="00AE7D15" w:rsidRDefault="00AE7D15" w:rsidP="00007799">
            <w:pPr>
              <w:rPr>
                <w:rFonts w:ascii="Times New Roman" w:hAnsi="Times New Roman" w:cs="Times New Roman"/>
              </w:rPr>
            </w:pPr>
            <w:r w:rsidRPr="00AE7D15">
              <w:rPr>
                <w:rFonts w:ascii="Times New Roman" w:hAnsi="Times New Roman" w:cs="Times New Roman"/>
              </w:rPr>
              <w:t>Finans og Leasing</w:t>
            </w:r>
          </w:p>
        </w:tc>
        <w:tc>
          <w:tcPr>
            <w:tcW w:w="3649" w:type="dxa"/>
          </w:tcPr>
          <w:p w:rsidR="005360B4" w:rsidRDefault="008A6905" w:rsidP="00D437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Finder det vigtigt, at det set fra vir</w:t>
            </w:r>
            <w:r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somhedens side ikke er afgørende, om et driftsaktiv anskaffes via en f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nansieringsløsning (lån, kassekredit mv.), hvor virksomheden formelt set bliver ejer af aktivet</w:t>
            </w:r>
            <w:r w:rsidR="00FA7F6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frem for via leasing.</w:t>
            </w:r>
          </w:p>
          <w:p w:rsidR="005360B4" w:rsidRDefault="005360B4" w:rsidP="00D437DF">
            <w:pPr>
              <w:spacing w:after="0"/>
              <w:rPr>
                <w:rFonts w:ascii="Times New Roman" w:hAnsi="Times New Roman" w:cs="Times New Roman"/>
              </w:rPr>
            </w:pPr>
          </w:p>
          <w:p w:rsidR="00926F61" w:rsidRDefault="00926F61" w:rsidP="00D437DF">
            <w:pPr>
              <w:spacing w:after="0"/>
              <w:rPr>
                <w:rFonts w:ascii="Times New Roman" w:hAnsi="Times New Roman" w:cs="Times New Roman"/>
              </w:rPr>
            </w:pPr>
          </w:p>
          <w:p w:rsidR="00926F61" w:rsidRDefault="00926F61" w:rsidP="00D437DF">
            <w:pPr>
              <w:spacing w:after="0"/>
              <w:rPr>
                <w:rFonts w:ascii="Times New Roman" w:hAnsi="Times New Roman" w:cs="Times New Roman"/>
              </w:rPr>
            </w:pPr>
          </w:p>
          <w:p w:rsidR="00926F61" w:rsidRDefault="00926F61" w:rsidP="00D437DF">
            <w:pPr>
              <w:spacing w:after="0"/>
              <w:rPr>
                <w:rFonts w:ascii="Times New Roman" w:hAnsi="Times New Roman" w:cs="Times New Roman"/>
              </w:rPr>
            </w:pPr>
          </w:p>
          <w:p w:rsidR="00926F61" w:rsidRDefault="00926F61" w:rsidP="00D437DF">
            <w:pPr>
              <w:spacing w:after="0"/>
              <w:rPr>
                <w:rFonts w:ascii="Times New Roman" w:hAnsi="Times New Roman" w:cs="Times New Roman"/>
              </w:rPr>
            </w:pPr>
          </w:p>
          <w:p w:rsidR="00926F61" w:rsidRDefault="00926F61" w:rsidP="00D437DF">
            <w:pPr>
              <w:spacing w:after="0"/>
              <w:rPr>
                <w:rFonts w:ascii="Times New Roman" w:hAnsi="Times New Roman" w:cs="Times New Roman"/>
              </w:rPr>
            </w:pPr>
          </w:p>
          <w:p w:rsidR="00926F61" w:rsidRDefault="00926F61" w:rsidP="00D437DF">
            <w:pPr>
              <w:spacing w:after="0"/>
              <w:rPr>
                <w:rFonts w:ascii="Times New Roman" w:hAnsi="Times New Roman" w:cs="Times New Roman"/>
              </w:rPr>
            </w:pPr>
          </w:p>
          <w:p w:rsidR="00926F61" w:rsidRDefault="00926F61" w:rsidP="00D437DF">
            <w:pPr>
              <w:spacing w:after="0"/>
              <w:rPr>
                <w:rFonts w:ascii="Times New Roman" w:hAnsi="Times New Roman" w:cs="Times New Roman"/>
              </w:rPr>
            </w:pPr>
          </w:p>
          <w:p w:rsidR="00926F61" w:rsidRDefault="00926F61" w:rsidP="00D437DF">
            <w:pPr>
              <w:spacing w:after="0"/>
              <w:rPr>
                <w:rFonts w:ascii="Times New Roman" w:hAnsi="Times New Roman" w:cs="Times New Roman"/>
              </w:rPr>
            </w:pPr>
          </w:p>
          <w:p w:rsidR="00926F61" w:rsidRDefault="00926F61" w:rsidP="00D437DF">
            <w:pPr>
              <w:spacing w:after="0"/>
              <w:rPr>
                <w:rFonts w:ascii="Times New Roman" w:hAnsi="Times New Roman" w:cs="Times New Roman"/>
              </w:rPr>
            </w:pPr>
          </w:p>
          <w:p w:rsidR="00926F61" w:rsidRDefault="00926F61" w:rsidP="00D437DF">
            <w:pPr>
              <w:spacing w:after="0"/>
              <w:rPr>
                <w:rFonts w:ascii="Times New Roman" w:hAnsi="Times New Roman" w:cs="Times New Roman"/>
              </w:rPr>
            </w:pPr>
          </w:p>
          <w:p w:rsidR="00926F61" w:rsidRDefault="00926F61" w:rsidP="00D437DF">
            <w:pPr>
              <w:spacing w:after="0"/>
              <w:rPr>
                <w:rFonts w:ascii="Times New Roman" w:hAnsi="Times New Roman" w:cs="Times New Roman"/>
              </w:rPr>
            </w:pPr>
          </w:p>
          <w:p w:rsidR="00926F61" w:rsidRDefault="00926F61" w:rsidP="00D437DF">
            <w:pPr>
              <w:spacing w:after="0"/>
              <w:rPr>
                <w:rFonts w:ascii="Times New Roman" w:hAnsi="Times New Roman" w:cs="Times New Roman"/>
              </w:rPr>
            </w:pPr>
          </w:p>
          <w:p w:rsidR="00D437DF" w:rsidRDefault="005360B4" w:rsidP="00D437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Finder, at leasingselskaber, der i dag </w:t>
            </w:r>
            <w:r w:rsidR="005B111A">
              <w:rPr>
                <w:rFonts w:ascii="Times New Roman" w:hAnsi="Times New Roman" w:cs="Times New Roman"/>
              </w:rPr>
              <w:t xml:space="preserve">er omfattet af </w:t>
            </w:r>
            <w:r>
              <w:rPr>
                <w:rFonts w:ascii="Times New Roman" w:hAnsi="Times New Roman" w:cs="Times New Roman"/>
              </w:rPr>
              <w:t>afskrivningslovens § 5, stk. 4, også bør</w:t>
            </w:r>
            <w:r w:rsidR="00D437DF">
              <w:rPr>
                <w:rFonts w:ascii="Times New Roman" w:hAnsi="Times New Roman" w:cs="Times New Roman"/>
              </w:rPr>
              <w:t xml:space="preserve"> kunne </w:t>
            </w:r>
            <w:r>
              <w:rPr>
                <w:rFonts w:ascii="Times New Roman" w:hAnsi="Times New Roman" w:cs="Times New Roman"/>
              </w:rPr>
              <w:t>opnå den øgede afskrivningsret</w:t>
            </w:r>
            <w:r w:rsidR="005B111A">
              <w:rPr>
                <w:rFonts w:ascii="Times New Roman" w:hAnsi="Times New Roman" w:cs="Times New Roman"/>
              </w:rPr>
              <w:t>.</w:t>
            </w:r>
            <w:r w:rsidR="00EA40FA">
              <w:rPr>
                <w:rFonts w:ascii="Times New Roman" w:hAnsi="Times New Roman" w:cs="Times New Roman"/>
              </w:rPr>
              <w:t xml:space="preserve"> For at opnå dette kræves der en ændring af fo</w:t>
            </w:r>
            <w:r w:rsidR="00EA40FA">
              <w:rPr>
                <w:rFonts w:ascii="Times New Roman" w:hAnsi="Times New Roman" w:cs="Times New Roman"/>
              </w:rPr>
              <w:t>r</w:t>
            </w:r>
            <w:r w:rsidR="00EA40FA">
              <w:rPr>
                <w:rFonts w:ascii="Times New Roman" w:hAnsi="Times New Roman" w:cs="Times New Roman"/>
              </w:rPr>
              <w:t>muleringen af § 5 D, stk. 6.</w:t>
            </w:r>
            <w:r w:rsidR="00D437DF">
              <w:rPr>
                <w:rFonts w:ascii="Times New Roman" w:hAnsi="Times New Roman" w:cs="Times New Roman"/>
              </w:rPr>
              <w:t xml:space="preserve"> I modsat fald vil leasingselskaber, der i dag opererer under § 5, stk. 4, reelt være tvunget til at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437DF">
              <w:rPr>
                <w:rFonts w:ascii="Times New Roman" w:hAnsi="Times New Roman" w:cs="Times New Roman"/>
              </w:rPr>
              <w:t>søge om tilladelse efter § 5, stk. 6, hvilket vil påføre SKAT arbejde og leasingselskaberne adm</w:t>
            </w:r>
            <w:r w:rsidR="00D437DF">
              <w:rPr>
                <w:rFonts w:ascii="Times New Roman" w:hAnsi="Times New Roman" w:cs="Times New Roman"/>
              </w:rPr>
              <w:t>i</w:t>
            </w:r>
            <w:r w:rsidR="00D437DF">
              <w:rPr>
                <w:rFonts w:ascii="Times New Roman" w:hAnsi="Times New Roman" w:cs="Times New Roman"/>
              </w:rPr>
              <w:t>nistrative omkostninger.</w:t>
            </w:r>
          </w:p>
          <w:p w:rsidR="00D437DF" w:rsidRDefault="00D437DF" w:rsidP="00D437DF">
            <w:pPr>
              <w:spacing w:after="0"/>
              <w:rPr>
                <w:rFonts w:ascii="Times New Roman" w:hAnsi="Times New Roman" w:cs="Times New Roman"/>
              </w:rPr>
            </w:pPr>
          </w:p>
          <w:p w:rsidR="00BD7FB5" w:rsidRDefault="00D437DF" w:rsidP="00D437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Har forstået lovforslaget således, at virksomheden kan vælge ikke at </w:t>
            </w:r>
            <w:proofErr w:type="spellStart"/>
            <w:r>
              <w:rPr>
                <w:rFonts w:ascii="Times New Roman" w:hAnsi="Times New Roman" w:cs="Times New Roman"/>
              </w:rPr>
              <w:t>straksafskrive</w:t>
            </w:r>
            <w:proofErr w:type="spellEnd"/>
            <w:r>
              <w:rPr>
                <w:rFonts w:ascii="Times New Roman" w:hAnsi="Times New Roman" w:cs="Times New Roman"/>
              </w:rPr>
              <w:t xml:space="preserve"> på f.eks. it-software og dermed opnå det forøgede a</w:t>
            </w:r>
            <w:r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>skrivningsgrundlag efter lovforsl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get.</w:t>
            </w:r>
          </w:p>
          <w:p w:rsidR="00BD7FB5" w:rsidRDefault="00BD7FB5" w:rsidP="00D437DF">
            <w:pPr>
              <w:spacing w:after="0"/>
              <w:rPr>
                <w:rFonts w:ascii="Times New Roman" w:hAnsi="Times New Roman" w:cs="Times New Roman"/>
              </w:rPr>
            </w:pPr>
          </w:p>
          <w:p w:rsidR="00AE7D15" w:rsidRPr="00AE7D15" w:rsidRDefault="00BD7FB5" w:rsidP="00BD7F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 uforstående over for, hvorfor pe</w:t>
            </w: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sonbiler undtages fra lovforslaget.</w:t>
            </w:r>
            <w:r w:rsidR="008A6905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644" w:type="dxa"/>
          </w:tcPr>
          <w:p w:rsidR="00AE7D15" w:rsidRDefault="002329A0" w:rsidP="00EA40F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Efter L 192 kan der ikke opnås 115 </w:t>
            </w:r>
            <w:proofErr w:type="spellStart"/>
            <w:r>
              <w:rPr>
                <w:rFonts w:ascii="Times New Roman" w:hAnsi="Times New Roman" w:cs="Times New Roman"/>
              </w:rPr>
              <w:t>pct.s</w:t>
            </w:r>
            <w:proofErr w:type="spellEnd"/>
            <w:r>
              <w:rPr>
                <w:rFonts w:ascii="Times New Roman" w:hAnsi="Times New Roman" w:cs="Times New Roman"/>
              </w:rPr>
              <w:t xml:space="preserve"> fradrag for almindelige drift</w:t>
            </w: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udgifter til f.eks. leasing af driftsa</w:t>
            </w:r>
            <w:r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tiver, men leasingselskaber vil få mulighed for</w:t>
            </w:r>
            <w:r w:rsidR="00FA7F62">
              <w:rPr>
                <w:rFonts w:ascii="Times New Roman" w:hAnsi="Times New Roman" w:cs="Times New Roman"/>
              </w:rPr>
              <w:t xml:space="preserve"> at vælge et</w:t>
            </w:r>
            <w:r>
              <w:rPr>
                <w:rFonts w:ascii="Times New Roman" w:hAnsi="Times New Roman" w:cs="Times New Roman"/>
              </w:rPr>
              <w:t xml:space="preserve"> 115 </w:t>
            </w:r>
            <w:proofErr w:type="spellStart"/>
            <w:r>
              <w:rPr>
                <w:rFonts w:ascii="Times New Roman" w:hAnsi="Times New Roman" w:cs="Times New Roman"/>
              </w:rPr>
              <w:t>pct.s</w:t>
            </w:r>
            <w:proofErr w:type="spellEnd"/>
            <w:r>
              <w:rPr>
                <w:rFonts w:ascii="Times New Roman" w:hAnsi="Times New Roman" w:cs="Times New Roman"/>
              </w:rPr>
              <w:t xml:space="preserve"> afskrivningsgrundlag for deres u</w:t>
            </w:r>
            <w:r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gifter til køb af drifts</w:t>
            </w:r>
            <w:r w:rsidR="00FA7F62">
              <w:rPr>
                <w:rFonts w:ascii="Times New Roman" w:hAnsi="Times New Roman" w:cs="Times New Roman"/>
              </w:rPr>
              <w:t>midler på sa</w:t>
            </w:r>
            <w:r w:rsidR="00FA7F62">
              <w:rPr>
                <w:rFonts w:ascii="Times New Roman" w:hAnsi="Times New Roman" w:cs="Times New Roman"/>
              </w:rPr>
              <w:t>m</w:t>
            </w:r>
            <w:r w:rsidR="00FA7F62">
              <w:rPr>
                <w:rFonts w:ascii="Times New Roman" w:hAnsi="Times New Roman" w:cs="Times New Roman"/>
              </w:rPr>
              <w:t xml:space="preserve">me vilkår, som gælder i dag </w:t>
            </w:r>
            <w:r w:rsidR="00926F61">
              <w:rPr>
                <w:rFonts w:ascii="Times New Roman" w:hAnsi="Times New Roman" w:cs="Times New Roman"/>
              </w:rPr>
              <w:t xml:space="preserve">for at opnå 100 </w:t>
            </w:r>
            <w:proofErr w:type="spellStart"/>
            <w:r w:rsidR="00926F61">
              <w:rPr>
                <w:rFonts w:ascii="Times New Roman" w:hAnsi="Times New Roman" w:cs="Times New Roman"/>
              </w:rPr>
              <w:t>pct.s</w:t>
            </w:r>
            <w:proofErr w:type="spellEnd"/>
            <w:r w:rsidR="00926F6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26F61">
              <w:rPr>
                <w:rFonts w:ascii="Times New Roman" w:hAnsi="Times New Roman" w:cs="Times New Roman"/>
              </w:rPr>
              <w:t>afskrivningsgrundl</w:t>
            </w:r>
            <w:r w:rsidR="00926F61">
              <w:rPr>
                <w:rFonts w:ascii="Times New Roman" w:hAnsi="Times New Roman" w:cs="Times New Roman"/>
              </w:rPr>
              <w:t>a</w:t>
            </w:r>
            <w:r w:rsidR="00926F61">
              <w:rPr>
                <w:rFonts w:ascii="Times New Roman" w:hAnsi="Times New Roman" w:cs="Times New Roman"/>
              </w:rPr>
              <w:t>get</w:t>
            </w:r>
            <w:proofErr w:type="gramEnd"/>
            <w:r>
              <w:rPr>
                <w:rFonts w:ascii="Times New Roman" w:hAnsi="Times New Roman" w:cs="Times New Roman"/>
              </w:rPr>
              <w:t>, se nedenfor.</w:t>
            </w:r>
            <w:r w:rsidR="00926F61">
              <w:rPr>
                <w:rFonts w:ascii="Times New Roman" w:hAnsi="Times New Roman" w:cs="Times New Roman"/>
              </w:rPr>
              <w:t xml:space="preserve"> Men en virkso</w:t>
            </w:r>
            <w:r w:rsidR="00926F61">
              <w:rPr>
                <w:rFonts w:ascii="Times New Roman" w:hAnsi="Times New Roman" w:cs="Times New Roman"/>
              </w:rPr>
              <w:t>m</w:t>
            </w:r>
            <w:r w:rsidR="00926F61">
              <w:rPr>
                <w:rFonts w:ascii="Times New Roman" w:hAnsi="Times New Roman" w:cs="Times New Roman"/>
              </w:rPr>
              <w:t xml:space="preserve">hed, som leaser et driftsmiddel, kan som nævnt ikke få 115 </w:t>
            </w:r>
            <w:proofErr w:type="spellStart"/>
            <w:r w:rsidR="00926F61">
              <w:rPr>
                <w:rFonts w:ascii="Times New Roman" w:hAnsi="Times New Roman" w:cs="Times New Roman"/>
              </w:rPr>
              <w:t>pct.s</w:t>
            </w:r>
            <w:proofErr w:type="spellEnd"/>
            <w:r w:rsidR="00926F61">
              <w:rPr>
                <w:rFonts w:ascii="Times New Roman" w:hAnsi="Times New Roman" w:cs="Times New Roman"/>
              </w:rPr>
              <w:t xml:space="preserve"> fradrag for udgiften hertil. Hvis dette var ti</w:t>
            </w:r>
            <w:r w:rsidR="00926F61">
              <w:rPr>
                <w:rFonts w:ascii="Times New Roman" w:hAnsi="Times New Roman" w:cs="Times New Roman"/>
              </w:rPr>
              <w:t>l</w:t>
            </w:r>
            <w:r w:rsidR="00926F61">
              <w:rPr>
                <w:rFonts w:ascii="Times New Roman" w:hAnsi="Times New Roman" w:cs="Times New Roman"/>
              </w:rPr>
              <w:t>fældet, ville leasingtager og leasin</w:t>
            </w:r>
            <w:r w:rsidR="00926F61">
              <w:rPr>
                <w:rFonts w:ascii="Times New Roman" w:hAnsi="Times New Roman" w:cs="Times New Roman"/>
              </w:rPr>
              <w:t>g</w:t>
            </w:r>
            <w:r w:rsidR="00926F61">
              <w:rPr>
                <w:rFonts w:ascii="Times New Roman" w:hAnsi="Times New Roman" w:cs="Times New Roman"/>
              </w:rPr>
              <w:t>giver samlet set blive favoriseret i forhold til situationerne ved køb af driftsmidler, hvor det kun er køb</w:t>
            </w:r>
            <w:r w:rsidR="00926F61">
              <w:rPr>
                <w:rFonts w:ascii="Times New Roman" w:hAnsi="Times New Roman" w:cs="Times New Roman"/>
              </w:rPr>
              <w:t>e</w:t>
            </w:r>
            <w:r w:rsidR="00926F61">
              <w:rPr>
                <w:rFonts w:ascii="Times New Roman" w:hAnsi="Times New Roman" w:cs="Times New Roman"/>
              </w:rPr>
              <w:t xml:space="preserve">ren, der </w:t>
            </w:r>
            <w:r w:rsidR="006316EA">
              <w:rPr>
                <w:rFonts w:ascii="Times New Roman" w:hAnsi="Times New Roman" w:cs="Times New Roman"/>
              </w:rPr>
              <w:t>får</w:t>
            </w:r>
            <w:r w:rsidR="00926F61">
              <w:rPr>
                <w:rFonts w:ascii="Times New Roman" w:hAnsi="Times New Roman" w:cs="Times New Roman"/>
              </w:rPr>
              <w:t xml:space="preserve"> det forhøjede afskri</w:t>
            </w:r>
            <w:r w:rsidR="00926F61">
              <w:rPr>
                <w:rFonts w:ascii="Times New Roman" w:hAnsi="Times New Roman" w:cs="Times New Roman"/>
              </w:rPr>
              <w:t>v</w:t>
            </w:r>
            <w:r w:rsidR="00926F61">
              <w:rPr>
                <w:rFonts w:ascii="Times New Roman" w:hAnsi="Times New Roman" w:cs="Times New Roman"/>
              </w:rPr>
              <w:t xml:space="preserve">ningsgrundlag. </w:t>
            </w:r>
          </w:p>
          <w:p w:rsidR="00D437DF" w:rsidRDefault="00D437DF" w:rsidP="00EA40FA">
            <w:pPr>
              <w:spacing w:after="0"/>
              <w:rPr>
                <w:rFonts w:ascii="Times New Roman" w:hAnsi="Times New Roman" w:cs="Times New Roman"/>
              </w:rPr>
            </w:pPr>
          </w:p>
          <w:p w:rsidR="005E5193" w:rsidRDefault="005E5193" w:rsidP="00EA40F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Finans og Leasing har ret i, at der kræves en ændring af lovteksten for at opnå det resultat, som Finans og Leasing beskriver. Der vil blive sti</w:t>
            </w:r>
            <w:r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let ændringsforslag</w:t>
            </w:r>
            <w:r w:rsidR="009D72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herom til L 192 som fremsat</w:t>
            </w:r>
            <w:r w:rsidR="009D72C6">
              <w:rPr>
                <w:rFonts w:ascii="Times New Roman" w:hAnsi="Times New Roman" w:cs="Times New Roman"/>
              </w:rPr>
              <w:t xml:space="preserve">. Formålet hermed er, at leasingselskaber skal have adgang til 115 </w:t>
            </w:r>
            <w:proofErr w:type="spellStart"/>
            <w:r w:rsidR="009D72C6">
              <w:rPr>
                <w:rFonts w:ascii="Times New Roman" w:hAnsi="Times New Roman" w:cs="Times New Roman"/>
              </w:rPr>
              <w:t>pct.s</w:t>
            </w:r>
            <w:proofErr w:type="spellEnd"/>
            <w:r w:rsidR="009D72C6">
              <w:rPr>
                <w:rFonts w:ascii="Times New Roman" w:hAnsi="Times New Roman" w:cs="Times New Roman"/>
              </w:rPr>
              <w:t xml:space="preserve"> afskrivningsgrundlaget på samme vilkår, som gælder for disse selskaber i dag for at opnå 100 </w:t>
            </w:r>
            <w:proofErr w:type="spellStart"/>
            <w:r w:rsidR="009D72C6">
              <w:rPr>
                <w:rFonts w:ascii="Times New Roman" w:hAnsi="Times New Roman" w:cs="Times New Roman"/>
              </w:rPr>
              <w:t>pct.s</w:t>
            </w:r>
            <w:proofErr w:type="spellEnd"/>
            <w:r w:rsidR="009D72C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D72C6">
              <w:rPr>
                <w:rFonts w:ascii="Times New Roman" w:hAnsi="Times New Roman" w:cs="Times New Roman"/>
              </w:rPr>
              <w:t>afskrivningsgrundlaget</w:t>
            </w:r>
            <w:proofErr w:type="gramEnd"/>
            <w:r w:rsidR="009D72C6">
              <w:rPr>
                <w:rFonts w:ascii="Times New Roman" w:hAnsi="Times New Roman" w:cs="Times New Roman"/>
              </w:rPr>
              <w:t>.</w:t>
            </w:r>
          </w:p>
          <w:p w:rsidR="005E5193" w:rsidRDefault="005E5193" w:rsidP="00EA40FA">
            <w:pPr>
              <w:spacing w:after="0"/>
              <w:rPr>
                <w:rFonts w:ascii="Times New Roman" w:hAnsi="Times New Roman" w:cs="Times New Roman"/>
              </w:rPr>
            </w:pPr>
          </w:p>
          <w:p w:rsidR="005E5193" w:rsidRDefault="005E5193" w:rsidP="00EA40FA">
            <w:pPr>
              <w:spacing w:after="0"/>
              <w:rPr>
                <w:rFonts w:ascii="Times New Roman" w:hAnsi="Times New Roman" w:cs="Times New Roman"/>
              </w:rPr>
            </w:pPr>
          </w:p>
          <w:p w:rsidR="005E5193" w:rsidRDefault="001A7986" w:rsidP="00EA40F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Finans og Leasings forståelse af lo</w:t>
            </w: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 xml:space="preserve">forslaget er korrekt. </w:t>
            </w:r>
            <w:r w:rsidR="007F63AA">
              <w:rPr>
                <w:rFonts w:ascii="Times New Roman" w:hAnsi="Times New Roman" w:cs="Times New Roman"/>
              </w:rPr>
              <w:t>Der</w:t>
            </w:r>
            <w:r>
              <w:rPr>
                <w:rFonts w:ascii="Times New Roman" w:hAnsi="Times New Roman" w:cs="Times New Roman"/>
              </w:rPr>
              <w:t xml:space="preserve"> henvises til kommentare</w:t>
            </w:r>
            <w:r w:rsidR="007F63AA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n</w:t>
            </w:r>
            <w:r w:rsidR="007F63AA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til høringssvare</w:t>
            </w:r>
            <w:r w:rsidR="009C6782">
              <w:rPr>
                <w:rFonts w:ascii="Times New Roman" w:hAnsi="Times New Roman" w:cs="Times New Roman"/>
              </w:rPr>
              <w:t>ne</w:t>
            </w:r>
            <w:r>
              <w:rPr>
                <w:rFonts w:ascii="Times New Roman" w:hAnsi="Times New Roman" w:cs="Times New Roman"/>
              </w:rPr>
              <w:t xml:space="preserve"> fra</w:t>
            </w:r>
            <w:r w:rsidR="009C6782">
              <w:rPr>
                <w:rFonts w:ascii="Times New Roman" w:hAnsi="Times New Roman" w:cs="Times New Roman"/>
              </w:rPr>
              <w:t xml:space="preserve"> hhv. </w:t>
            </w:r>
            <w:proofErr w:type="spellStart"/>
            <w:r w:rsidR="009C6782">
              <w:rPr>
                <w:rFonts w:ascii="Times New Roman" w:hAnsi="Times New Roman" w:cs="Times New Roman"/>
              </w:rPr>
              <w:t>IT-Branchen</w:t>
            </w:r>
            <w:proofErr w:type="spellEnd"/>
            <w:r w:rsidR="009C6782">
              <w:rPr>
                <w:rFonts w:ascii="Times New Roman" w:hAnsi="Times New Roman" w:cs="Times New Roman"/>
              </w:rPr>
              <w:t xml:space="preserve"> og</w:t>
            </w:r>
            <w:r>
              <w:rPr>
                <w:rFonts w:ascii="Times New Roman" w:hAnsi="Times New Roman" w:cs="Times New Roman"/>
              </w:rPr>
              <w:t xml:space="preserve"> Dansk E</w:t>
            </w: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hverv.</w:t>
            </w:r>
          </w:p>
          <w:p w:rsidR="005E5193" w:rsidRDefault="005E5193" w:rsidP="00EA40FA">
            <w:pPr>
              <w:spacing w:after="0"/>
              <w:rPr>
                <w:rFonts w:ascii="Times New Roman" w:hAnsi="Times New Roman" w:cs="Times New Roman"/>
              </w:rPr>
            </w:pPr>
          </w:p>
          <w:p w:rsidR="007F63AA" w:rsidRDefault="007F63AA" w:rsidP="00BD7FB5">
            <w:pPr>
              <w:spacing w:after="0"/>
              <w:rPr>
                <w:rFonts w:ascii="Times New Roman" w:hAnsi="Times New Roman" w:cs="Times New Roman"/>
              </w:rPr>
            </w:pPr>
          </w:p>
          <w:p w:rsidR="00EA40FA" w:rsidRPr="00AE7D15" w:rsidRDefault="00BD7FB5" w:rsidP="007F63A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 er mest hensigtsmæssigt, at i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vesteringsvinduet anvendes til at i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vestere i driftsmidler, som bruges d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rekte i produktionen. Derfor er pe</w:t>
            </w: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sonbiler ikke omfattet, men</w:t>
            </w:r>
            <w:r w:rsidR="00FD3B15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f.eks. varebiler, lastbiler og traktorer er omfattet af ordningen.</w:t>
            </w:r>
          </w:p>
        </w:tc>
      </w:tr>
      <w:tr w:rsidR="006A25E4" w:rsidRPr="00DC0DDB" w:rsidTr="00D462E1">
        <w:tc>
          <w:tcPr>
            <w:tcW w:w="2171" w:type="dxa"/>
          </w:tcPr>
          <w:p w:rsidR="001235CC" w:rsidRPr="001235CC" w:rsidRDefault="001235CC" w:rsidP="00007799">
            <w:pPr>
              <w:rPr>
                <w:rFonts w:ascii="Times New Roman" w:hAnsi="Times New Roman" w:cs="Times New Roman"/>
              </w:rPr>
            </w:pPr>
            <w:r w:rsidRPr="001235CC">
              <w:rPr>
                <w:rFonts w:ascii="Times New Roman" w:hAnsi="Times New Roman" w:cs="Times New Roman"/>
              </w:rPr>
              <w:t>FSR – Danske Rev</w:t>
            </w:r>
            <w:r w:rsidRPr="001235CC">
              <w:rPr>
                <w:rFonts w:ascii="Times New Roman" w:hAnsi="Times New Roman" w:cs="Times New Roman"/>
              </w:rPr>
              <w:t>i</w:t>
            </w:r>
            <w:r w:rsidRPr="001235CC">
              <w:rPr>
                <w:rFonts w:ascii="Times New Roman" w:hAnsi="Times New Roman" w:cs="Times New Roman"/>
              </w:rPr>
              <w:t>sorer</w:t>
            </w:r>
          </w:p>
        </w:tc>
        <w:tc>
          <w:tcPr>
            <w:tcW w:w="3649" w:type="dxa"/>
          </w:tcPr>
          <w:p w:rsidR="001235CC" w:rsidRDefault="0083386E" w:rsidP="00D437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Stiller sig positiv til lovforslaget. Finder dog, at der vil opnås en større effekt, hvis der i stedet for at øge a</w:t>
            </w:r>
            <w:r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>skrivningsgrundlaget blev givet m</w:t>
            </w:r>
            <w:r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 xml:space="preserve">lighed for at fratrække de ekstra 15 pct. som </w:t>
            </w:r>
            <w:proofErr w:type="spellStart"/>
            <w:r>
              <w:rPr>
                <w:rFonts w:ascii="Times New Roman" w:hAnsi="Times New Roman" w:cs="Times New Roman"/>
              </w:rPr>
              <w:t>straksafskrivning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3386E" w:rsidRDefault="0083386E" w:rsidP="00D437DF">
            <w:pPr>
              <w:spacing w:after="0"/>
              <w:rPr>
                <w:rFonts w:ascii="Times New Roman" w:hAnsi="Times New Roman" w:cs="Times New Roman"/>
              </w:rPr>
            </w:pPr>
          </w:p>
          <w:p w:rsidR="0083386E" w:rsidRDefault="00851D9F" w:rsidP="00D437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 § 5 D, stk. 1: </w:t>
            </w:r>
            <w:r w:rsidR="0083386E">
              <w:rPr>
                <w:rFonts w:ascii="Times New Roman" w:hAnsi="Times New Roman" w:cs="Times New Roman"/>
              </w:rPr>
              <w:t>Det forekommer ikke klart, hvad der forstås ved f</w:t>
            </w:r>
            <w:r w:rsidR="0083386E">
              <w:rPr>
                <w:rFonts w:ascii="Times New Roman" w:hAnsi="Times New Roman" w:cs="Times New Roman"/>
              </w:rPr>
              <w:t>a</w:t>
            </w:r>
            <w:r w:rsidR="0083386E">
              <w:rPr>
                <w:rFonts w:ascii="Times New Roman" w:hAnsi="Times New Roman" w:cs="Times New Roman"/>
              </w:rPr>
              <w:t>briksnye driftsmidler, ligesom det i de fleste situationer vil være lige så relevant at give det ekstra fradrag til anskaffelse af brugte driftsmidler.</w:t>
            </w:r>
          </w:p>
          <w:p w:rsidR="0083386E" w:rsidRDefault="0083386E" w:rsidP="00D437DF">
            <w:pPr>
              <w:spacing w:after="0"/>
              <w:rPr>
                <w:rFonts w:ascii="Times New Roman" w:hAnsi="Times New Roman" w:cs="Times New Roman"/>
              </w:rPr>
            </w:pPr>
          </w:p>
          <w:p w:rsidR="00851D9F" w:rsidRDefault="00851D9F" w:rsidP="00D437DF">
            <w:pPr>
              <w:spacing w:after="0"/>
              <w:rPr>
                <w:rFonts w:ascii="Times New Roman" w:hAnsi="Times New Roman" w:cs="Times New Roman"/>
              </w:rPr>
            </w:pPr>
          </w:p>
          <w:p w:rsidR="00851D9F" w:rsidRDefault="00851D9F" w:rsidP="00D437DF">
            <w:pPr>
              <w:spacing w:after="0"/>
              <w:rPr>
                <w:rFonts w:ascii="Times New Roman" w:hAnsi="Times New Roman" w:cs="Times New Roman"/>
              </w:rPr>
            </w:pPr>
          </w:p>
          <w:p w:rsidR="00851D9F" w:rsidRDefault="00851D9F" w:rsidP="00D437DF">
            <w:pPr>
              <w:spacing w:after="0"/>
              <w:rPr>
                <w:rFonts w:ascii="Times New Roman" w:hAnsi="Times New Roman" w:cs="Times New Roman"/>
              </w:rPr>
            </w:pPr>
          </w:p>
          <w:p w:rsidR="00851D9F" w:rsidRDefault="00851D9F" w:rsidP="00D437DF">
            <w:pPr>
              <w:spacing w:after="0"/>
              <w:rPr>
                <w:rFonts w:ascii="Times New Roman" w:hAnsi="Times New Roman" w:cs="Times New Roman"/>
              </w:rPr>
            </w:pPr>
          </w:p>
          <w:p w:rsidR="00851D9F" w:rsidRDefault="00851D9F" w:rsidP="00D437DF">
            <w:pPr>
              <w:spacing w:after="0"/>
              <w:rPr>
                <w:rFonts w:ascii="Times New Roman" w:hAnsi="Times New Roman" w:cs="Times New Roman"/>
              </w:rPr>
            </w:pPr>
          </w:p>
          <w:p w:rsidR="00851D9F" w:rsidRDefault="00851D9F" w:rsidP="00D437DF">
            <w:pPr>
              <w:spacing w:after="0"/>
              <w:rPr>
                <w:rFonts w:ascii="Times New Roman" w:hAnsi="Times New Roman" w:cs="Times New Roman"/>
              </w:rPr>
            </w:pPr>
          </w:p>
          <w:p w:rsidR="00851D9F" w:rsidRDefault="00851D9F" w:rsidP="00D437DF">
            <w:pPr>
              <w:spacing w:after="0"/>
              <w:rPr>
                <w:rFonts w:ascii="Times New Roman" w:hAnsi="Times New Roman" w:cs="Times New Roman"/>
              </w:rPr>
            </w:pPr>
          </w:p>
          <w:p w:rsidR="00851D9F" w:rsidRDefault="00851D9F" w:rsidP="00D437DF">
            <w:pPr>
              <w:spacing w:after="0"/>
              <w:rPr>
                <w:rFonts w:ascii="Times New Roman" w:hAnsi="Times New Roman" w:cs="Times New Roman"/>
              </w:rPr>
            </w:pPr>
          </w:p>
          <w:p w:rsidR="00851D9F" w:rsidRDefault="00851D9F" w:rsidP="00D437DF">
            <w:pPr>
              <w:spacing w:after="0"/>
              <w:rPr>
                <w:rFonts w:ascii="Times New Roman" w:hAnsi="Times New Roman" w:cs="Times New Roman"/>
              </w:rPr>
            </w:pPr>
          </w:p>
          <w:p w:rsidR="00812DCD" w:rsidRPr="00812DCD" w:rsidRDefault="00851D9F" w:rsidP="00812D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 § 5 D, stk. 2: </w:t>
            </w:r>
            <w:r w:rsidR="00812DCD" w:rsidRPr="00812DCD">
              <w:rPr>
                <w:rFonts w:ascii="Times New Roman" w:hAnsi="Times New Roman" w:cs="Times New Roman"/>
              </w:rPr>
              <w:t>Som den foreslåede bestemmelse er formuleret</w:t>
            </w:r>
            <w:r w:rsidR="009255CD">
              <w:rPr>
                <w:rFonts w:ascii="Times New Roman" w:hAnsi="Times New Roman" w:cs="Times New Roman"/>
              </w:rPr>
              <w:t>,</w:t>
            </w:r>
            <w:r w:rsidR="00812DCD" w:rsidRPr="00812DCD">
              <w:rPr>
                <w:rFonts w:ascii="Times New Roman" w:hAnsi="Times New Roman" w:cs="Times New Roman"/>
              </w:rPr>
              <w:t xml:space="preserve"> kan</w:t>
            </w:r>
          </w:p>
          <w:p w:rsidR="00812DCD" w:rsidRPr="00812DCD" w:rsidRDefault="00812DCD" w:rsidP="00812DCD">
            <w:pPr>
              <w:spacing w:after="0"/>
              <w:rPr>
                <w:rFonts w:ascii="Times New Roman" w:hAnsi="Times New Roman" w:cs="Times New Roman"/>
              </w:rPr>
            </w:pPr>
            <w:r w:rsidRPr="00812DCD">
              <w:rPr>
                <w:rFonts w:ascii="Times New Roman" w:hAnsi="Times New Roman" w:cs="Times New Roman"/>
              </w:rPr>
              <w:t>der afskrives efter § 5</w:t>
            </w:r>
            <w:r w:rsidR="009255CD">
              <w:rPr>
                <w:rFonts w:ascii="Times New Roman" w:hAnsi="Times New Roman" w:cs="Times New Roman"/>
              </w:rPr>
              <w:t xml:space="preserve"> </w:t>
            </w:r>
            <w:r w:rsidRPr="00812DCD">
              <w:rPr>
                <w:rFonts w:ascii="Times New Roman" w:hAnsi="Times New Roman" w:cs="Times New Roman"/>
              </w:rPr>
              <w:t xml:space="preserve">D, hvis nye driftsmidler ikke vælges </w:t>
            </w:r>
            <w:proofErr w:type="spellStart"/>
            <w:r w:rsidRPr="00812DCD">
              <w:rPr>
                <w:rFonts w:ascii="Times New Roman" w:hAnsi="Times New Roman" w:cs="Times New Roman"/>
              </w:rPr>
              <w:t>straks</w:t>
            </w:r>
            <w:r w:rsidR="009255CD">
              <w:rPr>
                <w:rFonts w:ascii="Times New Roman" w:hAnsi="Times New Roman" w:cs="Times New Roman"/>
              </w:rPr>
              <w:t>-</w:t>
            </w:r>
            <w:r w:rsidRPr="00812DCD">
              <w:rPr>
                <w:rFonts w:ascii="Times New Roman" w:hAnsi="Times New Roman" w:cs="Times New Roman"/>
              </w:rPr>
              <w:t>afskrevet</w:t>
            </w:r>
            <w:proofErr w:type="spellEnd"/>
            <w:r w:rsidRPr="00812DCD">
              <w:rPr>
                <w:rFonts w:ascii="Times New Roman" w:hAnsi="Times New Roman" w:cs="Times New Roman"/>
              </w:rPr>
              <w:t>, men ifølge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2DCD">
              <w:rPr>
                <w:rFonts w:ascii="Times New Roman" w:hAnsi="Times New Roman" w:cs="Times New Roman"/>
              </w:rPr>
              <w:t xml:space="preserve">generelle bemærkninger omfattes driftsmidler, der </w:t>
            </w:r>
            <w:r w:rsidRPr="00812DCD">
              <w:rPr>
                <w:rFonts w:ascii="Times New Roman" w:hAnsi="Times New Roman" w:cs="Times New Roman"/>
                <w:b/>
                <w:bCs/>
              </w:rPr>
              <w:t xml:space="preserve">kan </w:t>
            </w:r>
            <w:proofErr w:type="spellStart"/>
            <w:r w:rsidRPr="00812DCD">
              <w:rPr>
                <w:rFonts w:ascii="Times New Roman" w:hAnsi="Times New Roman" w:cs="Times New Roman"/>
              </w:rPr>
              <w:t>straksafskrives</w:t>
            </w:r>
            <w:proofErr w:type="spellEnd"/>
            <w:r w:rsidR="009255CD">
              <w:rPr>
                <w:rFonts w:ascii="Times New Roman" w:hAnsi="Times New Roman" w:cs="Times New Roman"/>
              </w:rPr>
              <w:t>,</w:t>
            </w:r>
            <w:r w:rsidRPr="00812DCD">
              <w:rPr>
                <w:rFonts w:ascii="Times New Roman" w:hAnsi="Times New Roman" w:cs="Times New Roman"/>
              </w:rPr>
              <w:t xml:space="preserve"> ikke af fo</w:t>
            </w:r>
            <w:r w:rsidRPr="00812DCD">
              <w:rPr>
                <w:rFonts w:ascii="Times New Roman" w:hAnsi="Times New Roman" w:cs="Times New Roman"/>
              </w:rPr>
              <w:t>r</w:t>
            </w:r>
            <w:r w:rsidRPr="00812DCD">
              <w:rPr>
                <w:rFonts w:ascii="Times New Roman" w:hAnsi="Times New Roman" w:cs="Times New Roman"/>
              </w:rPr>
              <w:t>slaget.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B111A">
              <w:rPr>
                <w:rFonts w:ascii="Times New Roman" w:hAnsi="Times New Roman" w:cs="Times New Roman"/>
              </w:rPr>
              <w:t>M</w:t>
            </w:r>
            <w:r w:rsidRPr="00812DCD">
              <w:rPr>
                <w:rFonts w:ascii="Times New Roman" w:hAnsi="Times New Roman" w:cs="Times New Roman"/>
              </w:rPr>
              <w:t>nisteriet</w:t>
            </w:r>
            <w:proofErr w:type="spellEnd"/>
            <w:r w:rsidR="005B111A">
              <w:rPr>
                <w:rFonts w:ascii="Times New Roman" w:hAnsi="Times New Roman" w:cs="Times New Roman"/>
              </w:rPr>
              <w:t xml:space="preserve"> anmodes</w:t>
            </w:r>
            <w:r w:rsidRPr="00812DCD">
              <w:rPr>
                <w:rFonts w:ascii="Times New Roman" w:hAnsi="Times New Roman" w:cs="Times New Roman"/>
              </w:rPr>
              <w:t xml:space="preserve"> om at bekræfte, at lovforslagets ordlyd er</w:t>
            </w:r>
          </w:p>
          <w:p w:rsidR="00851D9F" w:rsidRDefault="00812DCD" w:rsidP="00812DCD">
            <w:pPr>
              <w:spacing w:after="0"/>
              <w:rPr>
                <w:rFonts w:ascii="Times New Roman" w:hAnsi="Times New Roman" w:cs="Times New Roman"/>
              </w:rPr>
            </w:pPr>
            <w:r w:rsidRPr="00812DCD">
              <w:rPr>
                <w:rFonts w:ascii="Times New Roman" w:hAnsi="Times New Roman" w:cs="Times New Roman"/>
              </w:rPr>
              <w:t xml:space="preserve">afgørende, og at der således kan ekstraafskrives, hvis der ikke vælges </w:t>
            </w:r>
            <w:proofErr w:type="spellStart"/>
            <w:r w:rsidRPr="00812DCD">
              <w:rPr>
                <w:rFonts w:ascii="Times New Roman" w:hAnsi="Times New Roman" w:cs="Times New Roman"/>
              </w:rPr>
              <w:t>straks</w:t>
            </w:r>
            <w:r w:rsidR="009255CD">
              <w:rPr>
                <w:rFonts w:ascii="Times New Roman" w:hAnsi="Times New Roman" w:cs="Times New Roman"/>
              </w:rPr>
              <w:t>afskrivning</w:t>
            </w:r>
            <w:proofErr w:type="spellEnd"/>
            <w:r w:rsidR="009D2A8A">
              <w:rPr>
                <w:rFonts w:ascii="Times New Roman" w:hAnsi="Times New Roman" w:cs="Times New Roman"/>
              </w:rPr>
              <w:t>.</w:t>
            </w:r>
          </w:p>
          <w:p w:rsidR="009D2A8A" w:rsidRDefault="009D2A8A" w:rsidP="00812DCD">
            <w:pPr>
              <w:spacing w:after="0"/>
              <w:rPr>
                <w:rFonts w:ascii="Times New Roman" w:hAnsi="Times New Roman" w:cs="Times New Roman"/>
              </w:rPr>
            </w:pPr>
          </w:p>
          <w:p w:rsidR="0083386E" w:rsidRPr="001235CC" w:rsidRDefault="009D2A8A" w:rsidP="001E462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 § 5</w:t>
            </w:r>
            <w:r w:rsidR="001E462C">
              <w:rPr>
                <w:rFonts w:ascii="Times New Roman" w:hAnsi="Times New Roman" w:cs="Times New Roman"/>
              </w:rPr>
              <w:t xml:space="preserve"> D</w:t>
            </w:r>
            <w:r>
              <w:rPr>
                <w:rFonts w:ascii="Times New Roman" w:hAnsi="Times New Roman" w:cs="Times New Roman"/>
              </w:rPr>
              <w:t xml:space="preserve">, stk. 3: </w:t>
            </w:r>
            <w:r w:rsidRPr="009D2A8A">
              <w:rPr>
                <w:rFonts w:ascii="Times New Roman" w:hAnsi="Times New Roman" w:cs="Times New Roman"/>
              </w:rPr>
              <w:t>Efter den foreslå</w:t>
            </w:r>
            <w:r w:rsidRPr="009D2A8A">
              <w:rPr>
                <w:rFonts w:ascii="Times New Roman" w:hAnsi="Times New Roman" w:cs="Times New Roman"/>
              </w:rPr>
              <w:t>e</w:t>
            </w:r>
            <w:r w:rsidRPr="009D2A8A">
              <w:rPr>
                <w:rFonts w:ascii="Times New Roman" w:hAnsi="Times New Roman" w:cs="Times New Roman"/>
              </w:rPr>
              <w:t>de stk. 3 finder den udvidede a</w:t>
            </w:r>
            <w:r w:rsidRPr="009D2A8A">
              <w:rPr>
                <w:rFonts w:ascii="Times New Roman" w:hAnsi="Times New Roman" w:cs="Times New Roman"/>
              </w:rPr>
              <w:t>f</w:t>
            </w:r>
            <w:r w:rsidRPr="009D2A8A">
              <w:rPr>
                <w:rFonts w:ascii="Times New Roman" w:hAnsi="Times New Roman" w:cs="Times New Roman"/>
              </w:rPr>
              <w:t>skrivningsret ikke anvendelse for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2A8A">
              <w:rPr>
                <w:rFonts w:ascii="Times New Roman" w:hAnsi="Times New Roman" w:cs="Times New Roman"/>
              </w:rPr>
              <w:t>udgifter til anskaffelse af personbiler og skibe. Ifølge de specielle b</w:t>
            </w:r>
            <w:r w:rsidRPr="009D2A8A">
              <w:rPr>
                <w:rFonts w:ascii="Times New Roman" w:hAnsi="Times New Roman" w:cs="Times New Roman"/>
              </w:rPr>
              <w:t>e</w:t>
            </w:r>
            <w:r w:rsidRPr="009D2A8A">
              <w:rPr>
                <w:rFonts w:ascii="Times New Roman" w:hAnsi="Times New Roman" w:cs="Times New Roman"/>
              </w:rPr>
              <w:t>mærkninger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2A8A">
              <w:rPr>
                <w:rFonts w:ascii="Times New Roman" w:hAnsi="Times New Roman" w:cs="Times New Roman"/>
              </w:rPr>
              <w:t>defineres en personbil som en bil, der er indrettet til befo</w:t>
            </w:r>
            <w:r w:rsidRPr="009D2A8A">
              <w:rPr>
                <w:rFonts w:ascii="Times New Roman" w:hAnsi="Times New Roman" w:cs="Times New Roman"/>
              </w:rPr>
              <w:t>r</w:t>
            </w:r>
            <w:r w:rsidRPr="009D2A8A">
              <w:rPr>
                <w:rFonts w:ascii="Times New Roman" w:hAnsi="Times New Roman" w:cs="Times New Roman"/>
              </w:rPr>
              <w:t>dring af højest 9 personer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2A8A">
              <w:rPr>
                <w:rFonts w:ascii="Times New Roman" w:hAnsi="Times New Roman" w:cs="Times New Roman"/>
              </w:rPr>
              <w:t>inklusiv</w:t>
            </w:r>
            <w:r>
              <w:rPr>
                <w:rFonts w:ascii="Times New Roman" w:hAnsi="Times New Roman" w:cs="Times New Roman"/>
              </w:rPr>
              <w:t>e</w:t>
            </w:r>
            <w:r w:rsidRPr="009D2A8A">
              <w:rPr>
                <w:rFonts w:ascii="Times New Roman" w:hAnsi="Times New Roman" w:cs="Times New Roman"/>
              </w:rPr>
              <w:t xml:space="preserve"> føreren. En varebil er derfor omfattet af reglerne. FSR antager</w:t>
            </w:r>
            <w:r w:rsidR="009255CD">
              <w:rPr>
                <w:rFonts w:ascii="Times New Roman" w:hAnsi="Times New Roman" w:cs="Times New Roman"/>
              </w:rPr>
              <w:t>,</w:t>
            </w:r>
            <w:r w:rsidRPr="009D2A8A">
              <w:rPr>
                <w:rFonts w:ascii="Times New Roman" w:hAnsi="Times New Roman" w:cs="Times New Roman"/>
              </w:rPr>
              <w:t xml:space="preserve"> at forske</w:t>
            </w:r>
            <w:r w:rsidRPr="009D2A8A">
              <w:rPr>
                <w:rFonts w:ascii="Times New Roman" w:hAnsi="Times New Roman" w:cs="Times New Roman"/>
              </w:rPr>
              <w:t>l</w:t>
            </w:r>
            <w:r w:rsidRPr="009D2A8A">
              <w:rPr>
                <w:rFonts w:ascii="Times New Roman" w:hAnsi="Times New Roman" w:cs="Times New Roman"/>
              </w:rPr>
              <w:t>len</w:t>
            </w:r>
            <w:r w:rsidR="001E462C">
              <w:rPr>
                <w:rFonts w:ascii="Times New Roman" w:hAnsi="Times New Roman" w:cs="Times New Roman"/>
              </w:rPr>
              <w:t xml:space="preserve"> </w:t>
            </w:r>
            <w:r w:rsidRPr="009D2A8A">
              <w:rPr>
                <w:rFonts w:ascii="Times New Roman" w:hAnsi="Times New Roman" w:cs="Times New Roman"/>
              </w:rPr>
              <w:t>mellem en varebil, der jo også kan befordre under 9 personer</w:t>
            </w:r>
            <w:r w:rsidR="009255CD">
              <w:rPr>
                <w:rFonts w:ascii="Times New Roman" w:hAnsi="Times New Roman" w:cs="Times New Roman"/>
              </w:rPr>
              <w:t>,</w:t>
            </w:r>
            <w:r w:rsidRPr="009D2A8A">
              <w:rPr>
                <w:rFonts w:ascii="Times New Roman" w:hAnsi="Times New Roman" w:cs="Times New Roman"/>
              </w:rPr>
              <w:t xml:space="preserve"> og en personbil, er</w:t>
            </w:r>
            <w:r w:rsidR="009255CD">
              <w:rPr>
                <w:rFonts w:ascii="Times New Roman" w:hAnsi="Times New Roman" w:cs="Times New Roman"/>
              </w:rPr>
              <w:t>,</w:t>
            </w:r>
            <w:r w:rsidRPr="009D2A8A">
              <w:rPr>
                <w:rFonts w:ascii="Times New Roman" w:hAnsi="Times New Roman" w:cs="Times New Roman"/>
              </w:rPr>
              <w:t xml:space="preserve"> at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2A8A">
              <w:rPr>
                <w:rFonts w:ascii="Times New Roman" w:hAnsi="Times New Roman" w:cs="Times New Roman"/>
              </w:rPr>
              <w:t>varebilen er udstyret med gule plader eller papegøjepl</w:t>
            </w:r>
            <w:r w:rsidRPr="009D2A8A">
              <w:rPr>
                <w:rFonts w:ascii="Times New Roman" w:hAnsi="Times New Roman" w:cs="Times New Roman"/>
              </w:rPr>
              <w:t>a</w:t>
            </w:r>
            <w:r w:rsidRPr="009D2A8A">
              <w:rPr>
                <w:rFonts w:ascii="Times New Roman" w:hAnsi="Times New Roman" w:cs="Times New Roman"/>
              </w:rPr>
              <w:t>der, samt at varebilen har 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2A8A">
              <w:rPr>
                <w:rFonts w:ascii="Times New Roman" w:hAnsi="Times New Roman" w:cs="Times New Roman"/>
              </w:rPr>
              <w:t>tota</w:t>
            </w:r>
            <w:r w:rsidRPr="009D2A8A">
              <w:rPr>
                <w:rFonts w:ascii="Times New Roman" w:hAnsi="Times New Roman" w:cs="Times New Roman"/>
              </w:rPr>
              <w:t>l</w:t>
            </w:r>
            <w:r w:rsidRPr="009D2A8A">
              <w:rPr>
                <w:rFonts w:ascii="Times New Roman" w:hAnsi="Times New Roman" w:cs="Times New Roman"/>
              </w:rPr>
              <w:t>vægt under 4 tons? Ministeriet bedes uddybe afgrænsningen nærmere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44" w:type="dxa"/>
          </w:tcPr>
          <w:p w:rsidR="0083386E" w:rsidRDefault="0083386E" w:rsidP="0083386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 henvises til kommentaren til h</w:t>
            </w:r>
            <w:r>
              <w:rPr>
                <w:rFonts w:ascii="Times New Roman" w:hAnsi="Times New Roman" w:cs="Times New Roman"/>
              </w:rPr>
              <w:t>ø</w:t>
            </w:r>
            <w:r>
              <w:rPr>
                <w:rFonts w:ascii="Times New Roman" w:hAnsi="Times New Roman" w:cs="Times New Roman"/>
              </w:rPr>
              <w:t>ringssvaret fra Dansk Byggeri med hensyn til baggrunden for valget af afskrivningsmodellen i L 192.</w:t>
            </w:r>
          </w:p>
          <w:p w:rsidR="0083386E" w:rsidRDefault="0083386E" w:rsidP="0083386E">
            <w:pPr>
              <w:spacing w:after="0"/>
              <w:rPr>
                <w:rFonts w:ascii="Times New Roman" w:hAnsi="Times New Roman" w:cs="Times New Roman"/>
              </w:rPr>
            </w:pPr>
          </w:p>
          <w:p w:rsidR="0083386E" w:rsidRDefault="0083386E" w:rsidP="0083386E">
            <w:pPr>
              <w:spacing w:after="0"/>
              <w:rPr>
                <w:rFonts w:ascii="Times New Roman" w:hAnsi="Times New Roman" w:cs="Times New Roman"/>
              </w:rPr>
            </w:pPr>
          </w:p>
          <w:p w:rsidR="0083386E" w:rsidRDefault="0083386E" w:rsidP="0083386E">
            <w:pPr>
              <w:spacing w:after="0"/>
              <w:rPr>
                <w:rFonts w:ascii="Times New Roman" w:hAnsi="Times New Roman" w:cs="Times New Roman"/>
              </w:rPr>
            </w:pPr>
          </w:p>
          <w:p w:rsidR="00851D9F" w:rsidRDefault="0083386E" w:rsidP="00851D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Brugte driftsmidler er holdt uden for </w:t>
            </w:r>
            <w:r w:rsidR="00851D9F">
              <w:rPr>
                <w:rFonts w:ascii="Times New Roman" w:hAnsi="Times New Roman" w:cs="Times New Roman"/>
              </w:rPr>
              <w:t xml:space="preserve">ordningen </w:t>
            </w:r>
            <w:r w:rsidR="007D62B0">
              <w:rPr>
                <w:rFonts w:ascii="Times New Roman" w:hAnsi="Times New Roman" w:cs="Times New Roman"/>
              </w:rPr>
              <w:t>som et værn mod</w:t>
            </w:r>
            <w:r w:rsidR="00851D9F">
              <w:rPr>
                <w:rFonts w:ascii="Times New Roman" w:hAnsi="Times New Roman" w:cs="Times New Roman"/>
              </w:rPr>
              <w:t xml:space="preserve"> misbrug </w:t>
            </w:r>
            <w:r w:rsidR="007D62B0">
              <w:rPr>
                <w:rFonts w:ascii="Times New Roman" w:hAnsi="Times New Roman" w:cs="Times New Roman"/>
              </w:rPr>
              <w:t xml:space="preserve">af </w:t>
            </w:r>
            <w:r w:rsidR="00851D9F">
              <w:rPr>
                <w:rFonts w:ascii="Times New Roman" w:hAnsi="Times New Roman" w:cs="Times New Roman"/>
              </w:rPr>
              <w:t>det forhøjede afskrivningsgrun</w:t>
            </w:r>
            <w:r w:rsidR="00851D9F">
              <w:rPr>
                <w:rFonts w:ascii="Times New Roman" w:hAnsi="Times New Roman" w:cs="Times New Roman"/>
              </w:rPr>
              <w:t>d</w:t>
            </w:r>
            <w:r w:rsidR="00851D9F">
              <w:rPr>
                <w:rFonts w:ascii="Times New Roman" w:hAnsi="Times New Roman" w:cs="Times New Roman"/>
              </w:rPr>
              <w:t>lag</w:t>
            </w:r>
            <w:r w:rsidR="007D62B0">
              <w:rPr>
                <w:rFonts w:ascii="Times New Roman" w:hAnsi="Times New Roman" w:cs="Times New Roman"/>
              </w:rPr>
              <w:t xml:space="preserve"> ved videresalg.  </w:t>
            </w:r>
            <w:r w:rsidR="00851D9F">
              <w:rPr>
                <w:rFonts w:ascii="Times New Roman" w:hAnsi="Times New Roman" w:cs="Times New Roman"/>
              </w:rPr>
              <w:t>Til illustration af, hvad der forstås ved fabriksny</w:t>
            </w:r>
            <w:r w:rsidR="009255CD">
              <w:rPr>
                <w:rFonts w:ascii="Times New Roman" w:hAnsi="Times New Roman" w:cs="Times New Roman"/>
              </w:rPr>
              <w:t>e driftsmidler</w:t>
            </w:r>
            <w:r w:rsidR="00851D9F">
              <w:rPr>
                <w:rFonts w:ascii="Times New Roman" w:hAnsi="Times New Roman" w:cs="Times New Roman"/>
              </w:rPr>
              <w:t xml:space="preserve"> kan nævnes et grænseti</w:t>
            </w:r>
            <w:r w:rsidR="00851D9F">
              <w:rPr>
                <w:rFonts w:ascii="Times New Roman" w:hAnsi="Times New Roman" w:cs="Times New Roman"/>
              </w:rPr>
              <w:t>l</w:t>
            </w:r>
            <w:r w:rsidR="00851D9F">
              <w:rPr>
                <w:rFonts w:ascii="Times New Roman" w:hAnsi="Times New Roman" w:cs="Times New Roman"/>
              </w:rPr>
              <w:t>fælde, hvor en virksomhed selv har produceret driftsmidlet og derpå a</w:t>
            </w:r>
            <w:r w:rsidR="00851D9F">
              <w:rPr>
                <w:rFonts w:ascii="Times New Roman" w:hAnsi="Times New Roman" w:cs="Times New Roman"/>
              </w:rPr>
              <w:t>n</w:t>
            </w:r>
            <w:r w:rsidR="00851D9F">
              <w:rPr>
                <w:rFonts w:ascii="Times New Roman" w:hAnsi="Times New Roman" w:cs="Times New Roman"/>
              </w:rPr>
              <w:t>vender det</w:t>
            </w:r>
            <w:r w:rsidR="00FF5FBF">
              <w:rPr>
                <w:rFonts w:ascii="Times New Roman" w:hAnsi="Times New Roman" w:cs="Times New Roman"/>
              </w:rPr>
              <w:t xml:space="preserve"> i</w:t>
            </w:r>
            <w:r w:rsidR="00851D9F">
              <w:rPr>
                <w:rFonts w:ascii="Times New Roman" w:hAnsi="Times New Roman" w:cs="Times New Roman"/>
              </w:rPr>
              <w:t xml:space="preserve"> egen produktion. Et s</w:t>
            </w:r>
            <w:r w:rsidR="00851D9F">
              <w:rPr>
                <w:rFonts w:ascii="Times New Roman" w:hAnsi="Times New Roman" w:cs="Times New Roman"/>
              </w:rPr>
              <w:t>å</w:t>
            </w:r>
            <w:r w:rsidR="00851D9F">
              <w:rPr>
                <w:rFonts w:ascii="Times New Roman" w:hAnsi="Times New Roman" w:cs="Times New Roman"/>
              </w:rPr>
              <w:t xml:space="preserve">dant driftsmiddel vil være omfattet af </w:t>
            </w:r>
            <w:r w:rsidR="009255CD">
              <w:rPr>
                <w:rFonts w:ascii="Times New Roman" w:hAnsi="Times New Roman" w:cs="Times New Roman"/>
              </w:rPr>
              <w:t xml:space="preserve">115 </w:t>
            </w:r>
            <w:proofErr w:type="spellStart"/>
            <w:r w:rsidR="009255CD">
              <w:rPr>
                <w:rFonts w:ascii="Times New Roman" w:hAnsi="Times New Roman" w:cs="Times New Roman"/>
              </w:rPr>
              <w:t>pct.s</w:t>
            </w:r>
            <w:proofErr w:type="spellEnd"/>
            <w:r w:rsidR="009255C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255CD">
              <w:rPr>
                <w:rFonts w:ascii="Times New Roman" w:hAnsi="Times New Roman" w:cs="Times New Roman"/>
              </w:rPr>
              <w:t>muligheden</w:t>
            </w:r>
            <w:proofErr w:type="gramEnd"/>
            <w:r w:rsidR="00851D9F">
              <w:rPr>
                <w:rFonts w:ascii="Times New Roman" w:hAnsi="Times New Roman" w:cs="Times New Roman"/>
              </w:rPr>
              <w:t>, men en eventuel senere køber af driftsmidlet vil ikke kunne op</w:t>
            </w:r>
            <w:r w:rsidR="009255CD">
              <w:rPr>
                <w:rFonts w:ascii="Times New Roman" w:hAnsi="Times New Roman" w:cs="Times New Roman"/>
              </w:rPr>
              <w:t>nå</w:t>
            </w:r>
            <w:r w:rsidR="00851D9F">
              <w:rPr>
                <w:rFonts w:ascii="Times New Roman" w:hAnsi="Times New Roman" w:cs="Times New Roman"/>
              </w:rPr>
              <w:t xml:space="preserve"> et 115 pct. a</w:t>
            </w:r>
            <w:r w:rsidR="00851D9F">
              <w:rPr>
                <w:rFonts w:ascii="Times New Roman" w:hAnsi="Times New Roman" w:cs="Times New Roman"/>
              </w:rPr>
              <w:t>f</w:t>
            </w:r>
            <w:r w:rsidR="00851D9F">
              <w:rPr>
                <w:rFonts w:ascii="Times New Roman" w:hAnsi="Times New Roman" w:cs="Times New Roman"/>
              </w:rPr>
              <w:t>skrivningsgrundlag på grundlag af dette driftsmiddel.</w:t>
            </w:r>
          </w:p>
          <w:p w:rsidR="00851D9F" w:rsidRDefault="00851D9F" w:rsidP="00851D9F">
            <w:pPr>
              <w:spacing w:after="0"/>
              <w:rPr>
                <w:rFonts w:ascii="Times New Roman" w:hAnsi="Times New Roman" w:cs="Times New Roman"/>
              </w:rPr>
            </w:pPr>
          </w:p>
          <w:p w:rsidR="00B6622C" w:rsidRDefault="009D2A8A" w:rsidP="009D2A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 kan bekræftes, at lovforslagets ordlyd er afgørende.</w:t>
            </w:r>
            <w:r w:rsidR="009255CD">
              <w:rPr>
                <w:rFonts w:ascii="Times New Roman" w:hAnsi="Times New Roman" w:cs="Times New Roman"/>
              </w:rPr>
              <w:t xml:space="preserve"> Der henvises til kommentarerne til høringssvarene fra hhv. </w:t>
            </w:r>
            <w:proofErr w:type="spellStart"/>
            <w:r w:rsidR="009255CD">
              <w:rPr>
                <w:rFonts w:ascii="Times New Roman" w:hAnsi="Times New Roman" w:cs="Times New Roman"/>
              </w:rPr>
              <w:t>IT-Branchen</w:t>
            </w:r>
            <w:proofErr w:type="spellEnd"/>
            <w:r w:rsidR="009255CD">
              <w:rPr>
                <w:rFonts w:ascii="Times New Roman" w:hAnsi="Times New Roman" w:cs="Times New Roman"/>
              </w:rPr>
              <w:t xml:space="preserve"> og Dansk E</w:t>
            </w:r>
            <w:r w:rsidR="009255CD">
              <w:rPr>
                <w:rFonts w:ascii="Times New Roman" w:hAnsi="Times New Roman" w:cs="Times New Roman"/>
              </w:rPr>
              <w:t>r</w:t>
            </w:r>
            <w:r w:rsidR="009255CD">
              <w:rPr>
                <w:rFonts w:ascii="Times New Roman" w:hAnsi="Times New Roman" w:cs="Times New Roman"/>
              </w:rPr>
              <w:t>hverv.</w:t>
            </w:r>
          </w:p>
          <w:p w:rsidR="00B6622C" w:rsidRDefault="00B6622C" w:rsidP="009D2A8A">
            <w:pPr>
              <w:spacing w:after="0"/>
              <w:rPr>
                <w:rFonts w:ascii="Times New Roman" w:hAnsi="Times New Roman" w:cs="Times New Roman"/>
              </w:rPr>
            </w:pPr>
          </w:p>
          <w:p w:rsidR="00B6622C" w:rsidRDefault="00B6622C" w:rsidP="009D2A8A">
            <w:pPr>
              <w:spacing w:after="0"/>
              <w:rPr>
                <w:rFonts w:ascii="Times New Roman" w:hAnsi="Times New Roman" w:cs="Times New Roman"/>
              </w:rPr>
            </w:pPr>
          </w:p>
          <w:p w:rsidR="00B6622C" w:rsidRDefault="00B6622C" w:rsidP="009D2A8A">
            <w:pPr>
              <w:spacing w:after="0"/>
              <w:rPr>
                <w:rFonts w:ascii="Times New Roman" w:hAnsi="Times New Roman" w:cs="Times New Roman"/>
              </w:rPr>
            </w:pPr>
          </w:p>
          <w:p w:rsidR="00B6622C" w:rsidRDefault="00B6622C" w:rsidP="009D2A8A">
            <w:pPr>
              <w:spacing w:after="0"/>
              <w:rPr>
                <w:rFonts w:ascii="Times New Roman" w:hAnsi="Times New Roman" w:cs="Times New Roman"/>
              </w:rPr>
            </w:pPr>
          </w:p>
          <w:p w:rsidR="00B6622C" w:rsidRDefault="00B6622C" w:rsidP="009D2A8A">
            <w:pPr>
              <w:spacing w:after="0"/>
              <w:rPr>
                <w:rFonts w:ascii="Times New Roman" w:hAnsi="Times New Roman" w:cs="Times New Roman"/>
              </w:rPr>
            </w:pPr>
          </w:p>
          <w:p w:rsidR="00B6622C" w:rsidRDefault="00B6622C" w:rsidP="009D2A8A">
            <w:pPr>
              <w:spacing w:after="0"/>
              <w:rPr>
                <w:rFonts w:ascii="Times New Roman" w:hAnsi="Times New Roman" w:cs="Times New Roman"/>
              </w:rPr>
            </w:pPr>
          </w:p>
          <w:p w:rsidR="00B6622C" w:rsidRDefault="00B6622C" w:rsidP="009D2A8A">
            <w:pPr>
              <w:spacing w:after="0"/>
              <w:rPr>
                <w:rFonts w:ascii="Times New Roman" w:hAnsi="Times New Roman" w:cs="Times New Roman"/>
              </w:rPr>
            </w:pPr>
          </w:p>
          <w:p w:rsidR="00B6622C" w:rsidRDefault="00B6622C" w:rsidP="009D2A8A">
            <w:pPr>
              <w:spacing w:after="0"/>
              <w:rPr>
                <w:rFonts w:ascii="Times New Roman" w:hAnsi="Times New Roman" w:cs="Times New Roman"/>
              </w:rPr>
            </w:pPr>
          </w:p>
          <w:p w:rsidR="001235CC" w:rsidRPr="001235CC" w:rsidRDefault="00814BF2" w:rsidP="007F2FD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Definitionen af personbiler er u</w:t>
            </w:r>
            <w:r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 xml:space="preserve">formet under inspiration af § 2, nr. 1, i lov nr. 372 af 2. juni </w:t>
            </w:r>
            <w:r w:rsidR="009255CD">
              <w:rPr>
                <w:rFonts w:ascii="Times New Roman" w:hAnsi="Times New Roman" w:cs="Times New Roman"/>
              </w:rPr>
              <w:t>1999</w:t>
            </w:r>
            <w:r>
              <w:rPr>
                <w:rFonts w:ascii="Times New Roman" w:hAnsi="Times New Roman" w:cs="Times New Roman"/>
              </w:rPr>
              <w:t xml:space="preserve"> om mi</w:t>
            </w:r>
            <w:r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jøbidrag og godtgørelse i forbindelse med ophugning og skrotning af biler. I denne lovs § 2, nr. 2, defineres v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rebiler som biler, der er indrettet til at benyttes til godsbefordring, og som har en tilladt totalvægt på ikke over 3500 kg. </w:t>
            </w:r>
            <w:r w:rsidR="00CB734E">
              <w:rPr>
                <w:rFonts w:ascii="Times New Roman" w:hAnsi="Times New Roman" w:cs="Times New Roman"/>
              </w:rPr>
              <w:t>Nævnte lovs d</w:t>
            </w:r>
            <w:r>
              <w:rPr>
                <w:rFonts w:ascii="Times New Roman" w:hAnsi="Times New Roman" w:cs="Times New Roman"/>
              </w:rPr>
              <w:t>efinit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oner af hhv. personbiler og varebiler vil være retningsgivende for a</w:t>
            </w:r>
            <w:r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 xml:space="preserve">grænsningen mellem personbiler og varebiler i </w:t>
            </w:r>
            <w:r w:rsidR="007F2FD0">
              <w:rPr>
                <w:rFonts w:ascii="Times New Roman" w:hAnsi="Times New Roman" w:cs="Times New Roman"/>
              </w:rPr>
              <w:t>relation til § 5 D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A25E4" w:rsidRPr="00DC0DDB" w:rsidTr="00D462E1">
        <w:tc>
          <w:tcPr>
            <w:tcW w:w="2171" w:type="dxa"/>
          </w:tcPr>
          <w:p w:rsidR="007152BE" w:rsidRPr="00DC0DDB" w:rsidRDefault="00007799" w:rsidP="000077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Forsikring &amp; Pens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3649" w:type="dxa"/>
          </w:tcPr>
          <w:p w:rsidR="007152BE" w:rsidRPr="00DC0DDB" w:rsidRDefault="00FC3628" w:rsidP="000077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Ingen bemærkninger.</w:t>
            </w:r>
          </w:p>
        </w:tc>
        <w:tc>
          <w:tcPr>
            <w:tcW w:w="3644" w:type="dxa"/>
          </w:tcPr>
          <w:p w:rsidR="007152BE" w:rsidRPr="00DC0DDB" w:rsidRDefault="007152BE" w:rsidP="000077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25E4" w:rsidRPr="00DC0DDB" w:rsidTr="00D462E1">
        <w:tc>
          <w:tcPr>
            <w:tcW w:w="2171" w:type="dxa"/>
          </w:tcPr>
          <w:p w:rsidR="00A52D7F" w:rsidRPr="00A52D7F" w:rsidRDefault="00A52D7F" w:rsidP="00007799">
            <w:pPr>
              <w:jc w:val="both"/>
              <w:rPr>
                <w:rFonts w:ascii="Times New Roman" w:hAnsi="Times New Roman" w:cs="Times New Roman"/>
              </w:rPr>
            </w:pPr>
            <w:r w:rsidRPr="00A52D7F">
              <w:rPr>
                <w:rFonts w:ascii="Times New Roman" w:hAnsi="Times New Roman" w:cs="Times New Roman"/>
              </w:rPr>
              <w:t>HK Handel</w:t>
            </w:r>
          </w:p>
        </w:tc>
        <w:tc>
          <w:tcPr>
            <w:tcW w:w="3649" w:type="dxa"/>
          </w:tcPr>
          <w:p w:rsidR="00A52D7F" w:rsidRDefault="006848AD" w:rsidP="00684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HK/Privat og HK Handel b</w:t>
            </w:r>
            <w:r w:rsidR="00A52D7F" w:rsidRPr="00A52D7F">
              <w:rPr>
                <w:rFonts w:ascii="Times New Roman" w:hAnsi="Times New Roman" w:cs="Times New Roman"/>
              </w:rPr>
              <w:t>akker op om regeringens intention om at sætte gang i væksten i den private sektor og derigennem skabe flere jobs til gavn for de ledige og for hele sa</w:t>
            </w:r>
            <w:r w:rsidR="00A52D7F" w:rsidRPr="00A52D7F">
              <w:rPr>
                <w:rFonts w:ascii="Times New Roman" w:hAnsi="Times New Roman" w:cs="Times New Roman"/>
              </w:rPr>
              <w:t>m</w:t>
            </w:r>
            <w:r w:rsidR="00A52D7F" w:rsidRPr="00A52D7F">
              <w:rPr>
                <w:rFonts w:ascii="Times New Roman" w:hAnsi="Times New Roman" w:cs="Times New Roman"/>
              </w:rPr>
              <w:t>fundet.</w:t>
            </w:r>
            <w:r w:rsidR="00A52D7F">
              <w:rPr>
                <w:rFonts w:ascii="Times New Roman" w:hAnsi="Times New Roman" w:cs="Times New Roman"/>
              </w:rPr>
              <w:t xml:space="preserve"> D</w:t>
            </w:r>
            <w:r w:rsidR="00A52D7F" w:rsidRPr="00A52D7F">
              <w:rPr>
                <w:rFonts w:ascii="Times New Roman" w:hAnsi="Times New Roman" w:cs="Times New Roman"/>
              </w:rPr>
              <w:t>er</w:t>
            </w:r>
            <w:r w:rsidR="00A52D7F">
              <w:rPr>
                <w:rFonts w:ascii="Times New Roman" w:hAnsi="Times New Roman" w:cs="Times New Roman"/>
              </w:rPr>
              <w:t xml:space="preserve"> er</w:t>
            </w:r>
            <w:r w:rsidR="00A52D7F" w:rsidRPr="00A52D7F">
              <w:rPr>
                <w:rFonts w:ascii="Times New Roman" w:hAnsi="Times New Roman" w:cs="Times New Roman"/>
              </w:rPr>
              <w:t xml:space="preserve"> dog grund til at være opmærksom på, at 2 ud af 3 priva</w:t>
            </w:r>
            <w:r w:rsidR="00A52D7F" w:rsidRPr="00A52D7F">
              <w:rPr>
                <w:rFonts w:ascii="Times New Roman" w:hAnsi="Times New Roman" w:cs="Times New Roman"/>
              </w:rPr>
              <w:t>t</w:t>
            </w:r>
            <w:r w:rsidR="00A52D7F" w:rsidRPr="00A52D7F">
              <w:rPr>
                <w:rFonts w:ascii="Times New Roman" w:hAnsi="Times New Roman" w:cs="Times New Roman"/>
              </w:rPr>
              <w:t>ansatte rent faktisk arbejder i se</w:t>
            </w:r>
            <w:r w:rsidR="00A52D7F" w:rsidRPr="00A52D7F">
              <w:rPr>
                <w:rFonts w:ascii="Times New Roman" w:hAnsi="Times New Roman" w:cs="Times New Roman"/>
              </w:rPr>
              <w:t>r</w:t>
            </w:r>
            <w:r w:rsidR="00A52D7F" w:rsidRPr="00A52D7F">
              <w:rPr>
                <w:rFonts w:ascii="Times New Roman" w:hAnsi="Times New Roman" w:cs="Times New Roman"/>
              </w:rPr>
              <w:t>viceerhvervene. Det betyder, at reg</w:t>
            </w:r>
            <w:r w:rsidR="00A52D7F" w:rsidRPr="00A52D7F">
              <w:rPr>
                <w:rFonts w:ascii="Times New Roman" w:hAnsi="Times New Roman" w:cs="Times New Roman"/>
              </w:rPr>
              <w:t>e</w:t>
            </w:r>
            <w:r w:rsidR="00A52D7F" w:rsidRPr="00A52D7F">
              <w:rPr>
                <w:rFonts w:ascii="Times New Roman" w:hAnsi="Times New Roman" w:cs="Times New Roman"/>
              </w:rPr>
              <w:t>ringens forslag alt andet lige kun kommer ca. 1/3 af det private a</w:t>
            </w:r>
            <w:r w:rsidR="00A52D7F" w:rsidRPr="00A52D7F">
              <w:rPr>
                <w:rFonts w:ascii="Times New Roman" w:hAnsi="Times New Roman" w:cs="Times New Roman"/>
              </w:rPr>
              <w:t>r</w:t>
            </w:r>
            <w:r w:rsidR="00A52D7F" w:rsidRPr="00A52D7F">
              <w:rPr>
                <w:rFonts w:ascii="Times New Roman" w:hAnsi="Times New Roman" w:cs="Times New Roman"/>
              </w:rPr>
              <w:t>bejdsmarked til gode.</w:t>
            </w:r>
            <w:r w:rsidR="00A52D7F">
              <w:rPr>
                <w:rFonts w:ascii="Times New Roman" w:hAnsi="Times New Roman" w:cs="Times New Roman"/>
              </w:rPr>
              <w:t xml:space="preserve"> Regeringen</w:t>
            </w:r>
            <w:r w:rsidR="00A52D7F" w:rsidRPr="00A52D7F">
              <w:rPr>
                <w:rFonts w:ascii="Times New Roman" w:hAnsi="Times New Roman" w:cs="Times New Roman"/>
              </w:rPr>
              <w:t xml:space="preserve"> opfordre</w:t>
            </w:r>
            <w:r w:rsidR="00A52D7F">
              <w:rPr>
                <w:rFonts w:ascii="Times New Roman" w:hAnsi="Times New Roman" w:cs="Times New Roman"/>
              </w:rPr>
              <w:t xml:space="preserve">s </w:t>
            </w:r>
            <w:r w:rsidR="00A52D7F" w:rsidRPr="00A52D7F">
              <w:rPr>
                <w:rFonts w:ascii="Times New Roman" w:hAnsi="Times New Roman" w:cs="Times New Roman"/>
              </w:rPr>
              <w:t>til at have en ambition om at skabe vækst i hele den private se</w:t>
            </w:r>
            <w:r w:rsidR="00A52D7F" w:rsidRPr="00A52D7F">
              <w:rPr>
                <w:rFonts w:ascii="Times New Roman" w:hAnsi="Times New Roman" w:cs="Times New Roman"/>
              </w:rPr>
              <w:t>k</w:t>
            </w:r>
            <w:r w:rsidR="00A52D7F" w:rsidRPr="00A52D7F">
              <w:rPr>
                <w:rFonts w:ascii="Times New Roman" w:hAnsi="Times New Roman" w:cs="Times New Roman"/>
              </w:rPr>
              <w:t>tor og ikke mindst i de store servic</w:t>
            </w:r>
            <w:r w:rsidR="00A52D7F" w:rsidRPr="00A52D7F">
              <w:rPr>
                <w:rFonts w:ascii="Times New Roman" w:hAnsi="Times New Roman" w:cs="Times New Roman"/>
              </w:rPr>
              <w:t>e</w:t>
            </w:r>
            <w:r w:rsidR="00A52D7F" w:rsidRPr="00A52D7F">
              <w:rPr>
                <w:rFonts w:ascii="Times New Roman" w:hAnsi="Times New Roman" w:cs="Times New Roman"/>
              </w:rPr>
              <w:t>erhverv. Derfor foreslå</w:t>
            </w:r>
            <w:r w:rsidR="00A52D7F">
              <w:rPr>
                <w:rFonts w:ascii="Times New Roman" w:hAnsi="Times New Roman" w:cs="Times New Roman"/>
              </w:rPr>
              <w:t xml:space="preserve">s, </w:t>
            </w:r>
            <w:r w:rsidR="00A52D7F" w:rsidRPr="00A52D7F">
              <w:rPr>
                <w:rFonts w:ascii="Times New Roman" w:hAnsi="Times New Roman" w:cs="Times New Roman"/>
              </w:rPr>
              <w:t>at forhøje</w:t>
            </w:r>
            <w:r w:rsidR="00A52D7F" w:rsidRPr="00A52D7F">
              <w:rPr>
                <w:rFonts w:ascii="Times New Roman" w:hAnsi="Times New Roman" w:cs="Times New Roman"/>
              </w:rPr>
              <w:t>l</w:t>
            </w:r>
            <w:r w:rsidR="00A52D7F" w:rsidRPr="00A52D7F">
              <w:rPr>
                <w:rFonts w:ascii="Times New Roman" w:hAnsi="Times New Roman" w:cs="Times New Roman"/>
              </w:rPr>
              <w:t>sen af afskrivningsgrundlaget udv</w:t>
            </w:r>
            <w:r w:rsidR="00A52D7F" w:rsidRPr="00A52D7F">
              <w:rPr>
                <w:rFonts w:ascii="Times New Roman" w:hAnsi="Times New Roman" w:cs="Times New Roman"/>
              </w:rPr>
              <w:t>i</w:t>
            </w:r>
            <w:r w:rsidR="00A52D7F" w:rsidRPr="00A52D7F">
              <w:rPr>
                <w:rFonts w:ascii="Times New Roman" w:hAnsi="Times New Roman" w:cs="Times New Roman"/>
              </w:rPr>
              <w:t xml:space="preserve">des til at omfatte </w:t>
            </w:r>
            <w:r w:rsidR="00831582">
              <w:rPr>
                <w:rFonts w:ascii="Times New Roman" w:hAnsi="Times New Roman" w:cs="Times New Roman"/>
              </w:rPr>
              <w:t>it</w:t>
            </w:r>
            <w:r w:rsidR="00A52D7F" w:rsidRPr="00A52D7F">
              <w:rPr>
                <w:rFonts w:ascii="Times New Roman" w:hAnsi="Times New Roman" w:cs="Times New Roman"/>
              </w:rPr>
              <w:t>-investeringer i software og ikke mindst i den eve</w:t>
            </w:r>
            <w:r w:rsidR="00A52D7F" w:rsidRPr="00A52D7F">
              <w:rPr>
                <w:rFonts w:ascii="Times New Roman" w:hAnsi="Times New Roman" w:cs="Times New Roman"/>
              </w:rPr>
              <w:t>n</w:t>
            </w:r>
            <w:r w:rsidR="00A52D7F" w:rsidRPr="00A52D7F">
              <w:rPr>
                <w:rFonts w:ascii="Times New Roman" w:hAnsi="Times New Roman" w:cs="Times New Roman"/>
              </w:rPr>
              <w:t>tuelt relevante opkvalificering af de pågældende medarbejdere.</w:t>
            </w:r>
          </w:p>
          <w:p w:rsidR="00A83561" w:rsidRPr="00A52D7F" w:rsidRDefault="00A83561" w:rsidP="00684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</w:tcPr>
          <w:p w:rsidR="00A52D7F" w:rsidRPr="00A52D7F" w:rsidRDefault="00831582" w:rsidP="00300B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 192 </w:t>
            </w:r>
            <w:r w:rsidR="00300BD0">
              <w:rPr>
                <w:rFonts w:ascii="Times New Roman" w:hAnsi="Times New Roman" w:cs="Times New Roman"/>
              </w:rPr>
              <w:t xml:space="preserve">giver også adgang til </w:t>
            </w:r>
            <w:r>
              <w:rPr>
                <w:rFonts w:ascii="Times New Roman" w:hAnsi="Times New Roman" w:cs="Times New Roman"/>
              </w:rPr>
              <w:t>forhøje</w:t>
            </w:r>
            <w:r w:rsidR="00300BD0">
              <w:rPr>
                <w:rFonts w:ascii="Times New Roman" w:hAnsi="Times New Roman" w:cs="Times New Roman"/>
              </w:rPr>
              <w:t>l</w:t>
            </w:r>
            <w:r w:rsidR="00300BD0">
              <w:rPr>
                <w:rFonts w:ascii="Times New Roman" w:hAnsi="Times New Roman" w:cs="Times New Roman"/>
              </w:rPr>
              <w:t xml:space="preserve">se af </w:t>
            </w:r>
            <w:r>
              <w:rPr>
                <w:rFonts w:ascii="Times New Roman" w:hAnsi="Times New Roman" w:cs="Times New Roman"/>
              </w:rPr>
              <w:t>afskrivningsgrundlaget for driftsaktiver og inventar i servicef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gene. F.eks. er it-hardware og it-software omfattet af forslaget</w:t>
            </w:r>
            <w:r w:rsidR="00300BD0">
              <w:rPr>
                <w:rFonts w:ascii="Times New Roman" w:hAnsi="Times New Roman" w:cs="Times New Roman"/>
              </w:rPr>
              <w:t>, men der kan ikke opnås forhøjet fr</w:t>
            </w:r>
            <w:r w:rsidR="00300BD0">
              <w:rPr>
                <w:rFonts w:ascii="Times New Roman" w:hAnsi="Times New Roman" w:cs="Times New Roman"/>
              </w:rPr>
              <w:t>a</w:t>
            </w:r>
            <w:r w:rsidR="00300BD0">
              <w:rPr>
                <w:rFonts w:ascii="Times New Roman" w:hAnsi="Times New Roman" w:cs="Times New Roman"/>
              </w:rPr>
              <w:t>dragsgrundlag for almindelige driftsudgifter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300BD0">
              <w:rPr>
                <w:rFonts w:ascii="Times New Roman" w:hAnsi="Times New Roman" w:cs="Times New Roman"/>
              </w:rPr>
              <w:t>Der</w:t>
            </w:r>
            <w:r>
              <w:rPr>
                <w:rFonts w:ascii="Times New Roman" w:hAnsi="Times New Roman" w:cs="Times New Roman"/>
              </w:rPr>
              <w:t xml:space="preserve"> henvises til ko</w:t>
            </w: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mentare</w:t>
            </w:r>
            <w:r w:rsidR="00300BD0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n</w:t>
            </w:r>
            <w:r w:rsidR="00300BD0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til høringssvare</w:t>
            </w:r>
            <w:r w:rsidR="00300BD0">
              <w:rPr>
                <w:rFonts w:ascii="Times New Roman" w:hAnsi="Times New Roman" w:cs="Times New Roman"/>
              </w:rPr>
              <w:t>ne</w:t>
            </w:r>
            <w:r>
              <w:rPr>
                <w:rFonts w:ascii="Times New Roman" w:hAnsi="Times New Roman" w:cs="Times New Roman"/>
              </w:rPr>
              <w:t xml:space="preserve"> fra Dansk Erhverv.</w:t>
            </w:r>
          </w:p>
        </w:tc>
      </w:tr>
      <w:tr w:rsidR="006A25E4" w:rsidRPr="00DC0DDB" w:rsidTr="00D462E1">
        <w:tc>
          <w:tcPr>
            <w:tcW w:w="2171" w:type="dxa"/>
          </w:tcPr>
          <w:p w:rsidR="00953B7B" w:rsidRPr="00953B7B" w:rsidRDefault="00953B7B" w:rsidP="00007799">
            <w:pPr>
              <w:jc w:val="both"/>
              <w:rPr>
                <w:rFonts w:ascii="Times New Roman" w:hAnsi="Times New Roman" w:cs="Times New Roman"/>
              </w:rPr>
            </w:pPr>
            <w:r w:rsidRPr="00953B7B">
              <w:rPr>
                <w:rFonts w:ascii="Times New Roman" w:hAnsi="Times New Roman" w:cs="Times New Roman"/>
              </w:rPr>
              <w:t>Håndværksrådet</w:t>
            </w:r>
          </w:p>
        </w:tc>
        <w:tc>
          <w:tcPr>
            <w:tcW w:w="3649" w:type="dxa"/>
          </w:tcPr>
          <w:p w:rsidR="00953B7B" w:rsidRDefault="001562C3" w:rsidP="001562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Bakker op om grundtanken i forsl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get</w:t>
            </w:r>
            <w:r w:rsidR="002E1D73">
              <w:rPr>
                <w:rFonts w:ascii="Times New Roman" w:hAnsi="Times New Roman" w:cs="Times New Roman"/>
              </w:rPr>
              <w:t>.</w:t>
            </w:r>
          </w:p>
          <w:p w:rsidR="001562C3" w:rsidRDefault="001562C3" w:rsidP="001562C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72842" w:rsidRDefault="000B6C04" w:rsidP="00A72842">
            <w:pPr>
              <w:spacing w:after="0"/>
              <w:rPr>
                <w:rFonts w:ascii="Times New Roman" w:hAnsi="Times New Roman" w:cs="Times New Roman"/>
              </w:rPr>
            </w:pPr>
            <w:r w:rsidRPr="00A72842">
              <w:rPr>
                <w:rFonts w:ascii="Times New Roman" w:hAnsi="Times New Roman" w:cs="Times New Roman"/>
              </w:rPr>
              <w:t>Ad § 1</w:t>
            </w:r>
            <w:r w:rsidR="00A72842" w:rsidRPr="00A72842">
              <w:rPr>
                <w:rFonts w:ascii="Times New Roman" w:hAnsi="Times New Roman" w:cs="Times New Roman"/>
              </w:rPr>
              <w:t xml:space="preserve">: </w:t>
            </w:r>
            <w:r w:rsidR="002E1D73">
              <w:rPr>
                <w:rFonts w:ascii="Times New Roman" w:hAnsi="Times New Roman" w:cs="Times New Roman"/>
              </w:rPr>
              <w:t>Håndværksrådet n</w:t>
            </w:r>
            <w:r w:rsidRPr="00A72842">
              <w:rPr>
                <w:rFonts w:ascii="Times New Roman" w:hAnsi="Times New Roman" w:cs="Times New Roman"/>
              </w:rPr>
              <w:t>oterer sig, at lovforslaget lægger op til et tid</w:t>
            </w:r>
            <w:r w:rsidRPr="00A72842">
              <w:rPr>
                <w:rFonts w:ascii="Times New Roman" w:hAnsi="Times New Roman" w:cs="Times New Roman"/>
              </w:rPr>
              <w:t>s</w:t>
            </w:r>
            <w:r w:rsidRPr="00A72842">
              <w:rPr>
                <w:rFonts w:ascii="Times New Roman" w:hAnsi="Times New Roman" w:cs="Times New Roman"/>
              </w:rPr>
              <w:t>begrænset investeringsvindue</w:t>
            </w:r>
            <w:r w:rsidR="003672F9">
              <w:rPr>
                <w:rFonts w:ascii="Times New Roman" w:hAnsi="Times New Roman" w:cs="Times New Roman"/>
              </w:rPr>
              <w:t xml:space="preserve">. </w:t>
            </w:r>
            <w:r w:rsidRPr="00A72842">
              <w:rPr>
                <w:rFonts w:ascii="Times New Roman" w:hAnsi="Times New Roman" w:cs="Times New Roman"/>
              </w:rPr>
              <w:t xml:space="preserve">Håndværksrådet </w:t>
            </w:r>
            <w:r w:rsidR="003672F9">
              <w:rPr>
                <w:rFonts w:ascii="Times New Roman" w:hAnsi="Times New Roman" w:cs="Times New Roman"/>
              </w:rPr>
              <w:t>finder</w:t>
            </w:r>
            <w:r w:rsidRPr="00A72842">
              <w:rPr>
                <w:rFonts w:ascii="Times New Roman" w:hAnsi="Times New Roman" w:cs="Times New Roman"/>
              </w:rPr>
              <w:t>, at de forbe</w:t>
            </w:r>
            <w:r w:rsidRPr="00A72842">
              <w:rPr>
                <w:rFonts w:ascii="Times New Roman" w:hAnsi="Times New Roman" w:cs="Times New Roman"/>
              </w:rPr>
              <w:t>d</w:t>
            </w:r>
            <w:r w:rsidRPr="00A72842">
              <w:rPr>
                <w:rFonts w:ascii="Times New Roman" w:hAnsi="Times New Roman" w:cs="Times New Roman"/>
              </w:rPr>
              <w:t>rede muligheder for afskrivning bør gøres permanente</w:t>
            </w:r>
            <w:r w:rsidR="003672F9">
              <w:rPr>
                <w:rFonts w:ascii="Times New Roman" w:hAnsi="Times New Roman" w:cs="Times New Roman"/>
              </w:rPr>
              <w:t>.</w:t>
            </w:r>
          </w:p>
          <w:p w:rsidR="000B6C04" w:rsidRPr="00A72842" w:rsidRDefault="000B6C04" w:rsidP="00A72842">
            <w:pPr>
              <w:spacing w:after="0"/>
              <w:rPr>
                <w:rFonts w:ascii="Times New Roman" w:hAnsi="Times New Roman" w:cs="Times New Roman"/>
              </w:rPr>
            </w:pPr>
            <w:r w:rsidRPr="00A72842">
              <w:rPr>
                <w:rFonts w:ascii="Times New Roman" w:hAnsi="Times New Roman" w:cs="Times New Roman"/>
              </w:rPr>
              <w:t xml:space="preserve"> </w:t>
            </w:r>
          </w:p>
          <w:p w:rsidR="00A72842" w:rsidRDefault="000B6C04" w:rsidP="00A72842">
            <w:pPr>
              <w:spacing w:after="0"/>
              <w:rPr>
                <w:rFonts w:ascii="Times New Roman" w:hAnsi="Times New Roman" w:cs="Times New Roman"/>
              </w:rPr>
            </w:pPr>
            <w:r w:rsidRPr="00A72842">
              <w:rPr>
                <w:rFonts w:ascii="Times New Roman" w:hAnsi="Times New Roman" w:cs="Times New Roman"/>
              </w:rPr>
              <w:t>De forbedrede afskrivningsvilkår er alene forbeholdt køb af fabriksnye driftsmidler. Baggrunden for dette er, at man ønsker at undgå misbrug ved koncerninterne overdragelser e</w:t>
            </w:r>
            <w:r w:rsidRPr="00A72842">
              <w:rPr>
                <w:rFonts w:ascii="Times New Roman" w:hAnsi="Times New Roman" w:cs="Times New Roman"/>
              </w:rPr>
              <w:t>l</w:t>
            </w:r>
            <w:r w:rsidRPr="00A72842">
              <w:rPr>
                <w:rFonts w:ascii="Times New Roman" w:hAnsi="Times New Roman" w:cs="Times New Roman"/>
              </w:rPr>
              <w:t>ler bytte. Da køb af brugte driftsmi</w:t>
            </w:r>
            <w:r w:rsidRPr="00A72842">
              <w:rPr>
                <w:rFonts w:ascii="Times New Roman" w:hAnsi="Times New Roman" w:cs="Times New Roman"/>
              </w:rPr>
              <w:t>d</w:t>
            </w:r>
            <w:r w:rsidRPr="00A72842">
              <w:rPr>
                <w:rFonts w:ascii="Times New Roman" w:hAnsi="Times New Roman" w:cs="Times New Roman"/>
              </w:rPr>
              <w:t>ler kan være en rigtig god invest</w:t>
            </w:r>
            <w:r w:rsidRPr="00A72842">
              <w:rPr>
                <w:rFonts w:ascii="Times New Roman" w:hAnsi="Times New Roman" w:cs="Times New Roman"/>
              </w:rPr>
              <w:t>e</w:t>
            </w:r>
            <w:r w:rsidRPr="00A72842">
              <w:rPr>
                <w:rFonts w:ascii="Times New Roman" w:hAnsi="Times New Roman" w:cs="Times New Roman"/>
              </w:rPr>
              <w:t>ring i forbedret produktivitet for en række virksomheder, foreslås det, at virksomheder, der ikke er koncer</w:t>
            </w:r>
            <w:r w:rsidRPr="00A72842">
              <w:rPr>
                <w:rFonts w:ascii="Times New Roman" w:hAnsi="Times New Roman" w:cs="Times New Roman"/>
              </w:rPr>
              <w:t>n</w:t>
            </w:r>
            <w:r w:rsidRPr="00A72842">
              <w:rPr>
                <w:rFonts w:ascii="Times New Roman" w:hAnsi="Times New Roman" w:cs="Times New Roman"/>
              </w:rPr>
              <w:t>forbundne, skal have mulighed for at anvende muligheden for at forhøje afskrivningsgrundlaget ved køb af brugte driftsmidler.</w:t>
            </w:r>
          </w:p>
          <w:p w:rsidR="000B6C04" w:rsidRPr="00A72842" w:rsidRDefault="000B6C04" w:rsidP="00A72842">
            <w:pPr>
              <w:spacing w:after="0"/>
              <w:rPr>
                <w:rFonts w:ascii="Times New Roman" w:hAnsi="Times New Roman" w:cs="Times New Roman"/>
              </w:rPr>
            </w:pPr>
            <w:r w:rsidRPr="00A72842">
              <w:rPr>
                <w:rFonts w:ascii="Times New Roman" w:hAnsi="Times New Roman" w:cs="Times New Roman"/>
              </w:rPr>
              <w:t xml:space="preserve"> </w:t>
            </w:r>
          </w:p>
          <w:p w:rsidR="001562C3" w:rsidRPr="00A72842" w:rsidRDefault="000B6C04" w:rsidP="00A72842">
            <w:pPr>
              <w:rPr>
                <w:rFonts w:ascii="Times New Roman" w:hAnsi="Times New Roman" w:cs="Times New Roman"/>
              </w:rPr>
            </w:pPr>
            <w:r w:rsidRPr="00A72842">
              <w:rPr>
                <w:rFonts w:ascii="Times New Roman" w:hAnsi="Times New Roman" w:cs="Times New Roman"/>
                <w:bCs/>
              </w:rPr>
              <w:t xml:space="preserve">Ad </w:t>
            </w:r>
            <w:r w:rsidR="00A72842" w:rsidRPr="00A72842">
              <w:rPr>
                <w:rFonts w:ascii="Times New Roman" w:hAnsi="Times New Roman" w:cs="Times New Roman"/>
                <w:bCs/>
              </w:rPr>
              <w:t xml:space="preserve">§ 2: </w:t>
            </w:r>
            <w:r w:rsidRPr="00A72842">
              <w:rPr>
                <w:rFonts w:ascii="Times New Roman" w:hAnsi="Times New Roman" w:cs="Times New Roman"/>
              </w:rPr>
              <w:t>Håndværksrådet konstaterer med stor tilfredshed, at loven får virkning fra og med 30. maj 2012. Det er vigtigt, at lovforslaget får virkning fra fremsættelsestidspun</w:t>
            </w:r>
            <w:r w:rsidRPr="00A72842">
              <w:rPr>
                <w:rFonts w:ascii="Times New Roman" w:hAnsi="Times New Roman" w:cs="Times New Roman"/>
              </w:rPr>
              <w:t>k</w:t>
            </w:r>
            <w:r w:rsidRPr="00A72842">
              <w:rPr>
                <w:rFonts w:ascii="Times New Roman" w:hAnsi="Times New Roman" w:cs="Times New Roman"/>
              </w:rPr>
              <w:t>tet, da usikkerhed om en eventuel vedtagelse ellers vil indebære, at virksomhederne tilbageholder eve</w:t>
            </w:r>
            <w:r w:rsidRPr="00A72842">
              <w:rPr>
                <w:rFonts w:ascii="Times New Roman" w:hAnsi="Times New Roman" w:cs="Times New Roman"/>
              </w:rPr>
              <w:t>n</w:t>
            </w:r>
            <w:r w:rsidRPr="00A72842">
              <w:rPr>
                <w:rFonts w:ascii="Times New Roman" w:hAnsi="Times New Roman" w:cs="Times New Roman"/>
              </w:rPr>
              <w:t>tuelle planlagte investeringer.</w:t>
            </w:r>
          </w:p>
        </w:tc>
        <w:tc>
          <w:tcPr>
            <w:tcW w:w="3644" w:type="dxa"/>
          </w:tcPr>
          <w:p w:rsidR="00953B7B" w:rsidRDefault="00953B7B" w:rsidP="00A72842">
            <w:pPr>
              <w:spacing w:after="0"/>
              <w:rPr>
                <w:rFonts w:ascii="Times New Roman" w:hAnsi="Times New Roman" w:cs="Times New Roman"/>
              </w:rPr>
            </w:pPr>
          </w:p>
          <w:p w:rsidR="00A72842" w:rsidRDefault="00A72842" w:rsidP="00A72842">
            <w:pPr>
              <w:spacing w:after="0"/>
              <w:rPr>
                <w:rFonts w:ascii="Times New Roman" w:hAnsi="Times New Roman" w:cs="Times New Roman"/>
              </w:rPr>
            </w:pPr>
          </w:p>
          <w:p w:rsidR="00A72842" w:rsidRDefault="00A72842" w:rsidP="00A72842">
            <w:pPr>
              <w:spacing w:after="0"/>
              <w:rPr>
                <w:rFonts w:ascii="Times New Roman" w:hAnsi="Times New Roman" w:cs="Times New Roman"/>
              </w:rPr>
            </w:pPr>
          </w:p>
          <w:p w:rsidR="00A72842" w:rsidRDefault="003672F9" w:rsidP="00A728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 primære f</w:t>
            </w:r>
            <w:r w:rsidR="00A72842">
              <w:rPr>
                <w:rFonts w:ascii="Times New Roman" w:hAnsi="Times New Roman" w:cs="Times New Roman"/>
              </w:rPr>
              <w:t>ormål med forslaget er her og nu at forbedre virksomhede</w:t>
            </w:r>
            <w:r w:rsidR="00A72842">
              <w:rPr>
                <w:rFonts w:ascii="Times New Roman" w:hAnsi="Times New Roman" w:cs="Times New Roman"/>
              </w:rPr>
              <w:t>r</w:t>
            </w:r>
            <w:r w:rsidR="00A72842">
              <w:rPr>
                <w:rFonts w:ascii="Times New Roman" w:hAnsi="Times New Roman" w:cs="Times New Roman"/>
              </w:rPr>
              <w:t>ne</w:t>
            </w:r>
            <w:r>
              <w:rPr>
                <w:rFonts w:ascii="Times New Roman" w:hAnsi="Times New Roman" w:cs="Times New Roman"/>
              </w:rPr>
              <w:t>s</w:t>
            </w:r>
            <w:r w:rsidR="00A72842">
              <w:rPr>
                <w:rFonts w:ascii="Times New Roman" w:hAnsi="Times New Roman" w:cs="Times New Roman"/>
              </w:rPr>
              <w:t xml:space="preserve"> afskrivningsgrundlag for inv</w:t>
            </w:r>
            <w:r w:rsidR="00A72842">
              <w:rPr>
                <w:rFonts w:ascii="Times New Roman" w:hAnsi="Times New Roman" w:cs="Times New Roman"/>
              </w:rPr>
              <w:t>e</w:t>
            </w:r>
            <w:r w:rsidR="00A72842">
              <w:rPr>
                <w:rFonts w:ascii="Times New Roman" w:hAnsi="Times New Roman" w:cs="Times New Roman"/>
              </w:rPr>
              <w:t>steringer i driftsmidler</w:t>
            </w:r>
            <w:r>
              <w:rPr>
                <w:rFonts w:ascii="Times New Roman" w:hAnsi="Times New Roman" w:cs="Times New Roman"/>
              </w:rPr>
              <w:t xml:space="preserve"> for</w:t>
            </w:r>
            <w:r w:rsidR="00A72842">
              <w:rPr>
                <w:rFonts w:ascii="Times New Roman" w:hAnsi="Times New Roman" w:cs="Times New Roman"/>
              </w:rPr>
              <w:t xml:space="preserve"> at øge b</w:t>
            </w:r>
            <w:r w:rsidR="00A72842">
              <w:rPr>
                <w:rFonts w:ascii="Times New Roman" w:hAnsi="Times New Roman" w:cs="Times New Roman"/>
              </w:rPr>
              <w:t>e</w:t>
            </w:r>
            <w:r w:rsidR="00A72842">
              <w:rPr>
                <w:rFonts w:ascii="Times New Roman" w:hAnsi="Times New Roman" w:cs="Times New Roman"/>
              </w:rPr>
              <w:t>skæftigelsen på kort sigt.</w:t>
            </w:r>
          </w:p>
          <w:p w:rsidR="00A72842" w:rsidRDefault="00A72842" w:rsidP="00A72842">
            <w:pPr>
              <w:spacing w:after="0"/>
              <w:rPr>
                <w:rFonts w:ascii="Times New Roman" w:hAnsi="Times New Roman" w:cs="Times New Roman"/>
              </w:rPr>
            </w:pPr>
          </w:p>
          <w:p w:rsidR="00A72842" w:rsidRDefault="00A72842" w:rsidP="00A72842">
            <w:pPr>
              <w:spacing w:after="0"/>
              <w:rPr>
                <w:rFonts w:ascii="Times New Roman" w:hAnsi="Times New Roman" w:cs="Times New Roman"/>
              </w:rPr>
            </w:pPr>
          </w:p>
          <w:p w:rsidR="00A72842" w:rsidRDefault="00A72842" w:rsidP="007719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ordning med forhøjet afskri</w:t>
            </w: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>ningsgrundlag ved overdragelse af brugte driftsmidler ville ikke alene kunne misbruges ved koncerninterne overdragelser, men også ved ove</w:t>
            </w: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 xml:space="preserve">dragelser mellem </w:t>
            </w:r>
            <w:r w:rsidR="00771948">
              <w:rPr>
                <w:rFonts w:ascii="Times New Roman" w:hAnsi="Times New Roman" w:cs="Times New Roman"/>
              </w:rPr>
              <w:t>parter i almind</w:t>
            </w:r>
            <w:r w:rsidR="00771948">
              <w:rPr>
                <w:rFonts w:ascii="Times New Roman" w:hAnsi="Times New Roman" w:cs="Times New Roman"/>
              </w:rPr>
              <w:t>e</w:t>
            </w:r>
            <w:r w:rsidR="00771948">
              <w:rPr>
                <w:rFonts w:ascii="Times New Roman" w:hAnsi="Times New Roman" w:cs="Times New Roman"/>
              </w:rPr>
              <w:t>lighed.</w:t>
            </w:r>
          </w:p>
          <w:p w:rsidR="002B5BEA" w:rsidRDefault="002B5BEA" w:rsidP="00771948">
            <w:pPr>
              <w:spacing w:after="0"/>
              <w:rPr>
                <w:rFonts w:ascii="Times New Roman" w:hAnsi="Times New Roman" w:cs="Times New Roman"/>
              </w:rPr>
            </w:pPr>
          </w:p>
          <w:p w:rsidR="002B5BEA" w:rsidRDefault="002B5BEA" w:rsidP="00771948">
            <w:pPr>
              <w:spacing w:after="0"/>
              <w:rPr>
                <w:rFonts w:ascii="Times New Roman" w:hAnsi="Times New Roman" w:cs="Times New Roman"/>
              </w:rPr>
            </w:pPr>
          </w:p>
          <w:p w:rsidR="002B5BEA" w:rsidRDefault="002B5BEA" w:rsidP="00771948">
            <w:pPr>
              <w:spacing w:after="0"/>
              <w:rPr>
                <w:rFonts w:ascii="Times New Roman" w:hAnsi="Times New Roman" w:cs="Times New Roman"/>
              </w:rPr>
            </w:pPr>
          </w:p>
          <w:p w:rsidR="002B5BEA" w:rsidRDefault="002B5BEA" w:rsidP="00771948">
            <w:pPr>
              <w:spacing w:after="0"/>
              <w:rPr>
                <w:rFonts w:ascii="Times New Roman" w:hAnsi="Times New Roman" w:cs="Times New Roman"/>
              </w:rPr>
            </w:pPr>
          </w:p>
          <w:p w:rsidR="002B5BEA" w:rsidRDefault="002B5BEA" w:rsidP="00771948">
            <w:pPr>
              <w:spacing w:after="0"/>
              <w:rPr>
                <w:rFonts w:ascii="Times New Roman" w:hAnsi="Times New Roman" w:cs="Times New Roman"/>
              </w:rPr>
            </w:pPr>
          </w:p>
          <w:p w:rsidR="002B5BEA" w:rsidRDefault="002B5BEA" w:rsidP="00771948">
            <w:pPr>
              <w:spacing w:after="0"/>
              <w:rPr>
                <w:rFonts w:ascii="Times New Roman" w:hAnsi="Times New Roman" w:cs="Times New Roman"/>
              </w:rPr>
            </w:pPr>
          </w:p>
          <w:p w:rsidR="002B5BEA" w:rsidRDefault="002B5BEA" w:rsidP="00771948">
            <w:pPr>
              <w:spacing w:after="0"/>
              <w:rPr>
                <w:rFonts w:ascii="Times New Roman" w:hAnsi="Times New Roman" w:cs="Times New Roman"/>
              </w:rPr>
            </w:pPr>
          </w:p>
          <w:p w:rsidR="002B5BEA" w:rsidRDefault="002B5BEA" w:rsidP="00771948">
            <w:pPr>
              <w:spacing w:after="0"/>
              <w:rPr>
                <w:rFonts w:ascii="Times New Roman" w:hAnsi="Times New Roman" w:cs="Times New Roman"/>
              </w:rPr>
            </w:pPr>
          </w:p>
          <w:p w:rsidR="002B5BEA" w:rsidRPr="00953B7B" w:rsidRDefault="002B5BEA" w:rsidP="007719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Regeringen er enig heri.</w:t>
            </w:r>
          </w:p>
        </w:tc>
      </w:tr>
      <w:tr w:rsidR="006A25E4" w:rsidRPr="00DC0DDB" w:rsidTr="00D462E1">
        <w:tc>
          <w:tcPr>
            <w:tcW w:w="2171" w:type="dxa"/>
          </w:tcPr>
          <w:p w:rsidR="00D62C47" w:rsidRPr="00D62C47" w:rsidRDefault="00D62C47" w:rsidP="00D62C4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62C47">
              <w:rPr>
                <w:rFonts w:ascii="Times New Roman" w:hAnsi="Times New Roman" w:cs="Times New Roman"/>
              </w:rPr>
              <w:t>IT-</w:t>
            </w:r>
            <w:r>
              <w:rPr>
                <w:rFonts w:ascii="Times New Roman" w:hAnsi="Times New Roman" w:cs="Times New Roman"/>
              </w:rPr>
              <w:t>B</w:t>
            </w:r>
            <w:r w:rsidRPr="00D62C47">
              <w:rPr>
                <w:rFonts w:ascii="Times New Roman" w:hAnsi="Times New Roman" w:cs="Times New Roman"/>
              </w:rPr>
              <w:t>ranchen</w:t>
            </w:r>
            <w:proofErr w:type="spellEnd"/>
          </w:p>
        </w:tc>
        <w:tc>
          <w:tcPr>
            <w:tcW w:w="3649" w:type="dxa"/>
          </w:tcPr>
          <w:p w:rsidR="00D62C47" w:rsidRDefault="00D62C47" w:rsidP="00273D13">
            <w:pPr>
              <w:spacing w:after="0"/>
              <w:rPr>
                <w:rFonts w:ascii="Times New Roman" w:hAnsi="Times New Roman" w:cs="Times New Roman"/>
              </w:rPr>
            </w:pPr>
            <w:r w:rsidRPr="005D59C3">
              <w:rPr>
                <w:rFonts w:ascii="Times New Roman" w:hAnsi="Times New Roman" w:cs="Times New Roman"/>
              </w:rPr>
              <w:t xml:space="preserve">Generelt ser </w:t>
            </w:r>
            <w:proofErr w:type="spellStart"/>
            <w:r w:rsidRPr="005D59C3">
              <w:rPr>
                <w:rFonts w:ascii="Times New Roman" w:hAnsi="Times New Roman" w:cs="Times New Roman"/>
              </w:rPr>
              <w:t>IT-Branchen</w:t>
            </w:r>
            <w:proofErr w:type="spellEnd"/>
            <w:r w:rsidRPr="005D59C3">
              <w:rPr>
                <w:rFonts w:ascii="Times New Roman" w:hAnsi="Times New Roman" w:cs="Times New Roman"/>
              </w:rPr>
              <w:t xml:space="preserve"> positivt på de nye afskrivningsmuligheder, der gerne skulle</w:t>
            </w:r>
            <w:r w:rsidR="005D59C3">
              <w:rPr>
                <w:rFonts w:ascii="Times New Roman" w:hAnsi="Times New Roman" w:cs="Times New Roman"/>
              </w:rPr>
              <w:t xml:space="preserve"> </w:t>
            </w:r>
            <w:r w:rsidRPr="005D59C3">
              <w:rPr>
                <w:rFonts w:ascii="Times New Roman" w:hAnsi="Times New Roman" w:cs="Times New Roman"/>
              </w:rPr>
              <w:t>styrke investeringsl</w:t>
            </w:r>
            <w:r w:rsidRPr="005D59C3">
              <w:rPr>
                <w:rFonts w:ascii="Times New Roman" w:hAnsi="Times New Roman" w:cs="Times New Roman"/>
              </w:rPr>
              <w:t>y</w:t>
            </w:r>
            <w:r w:rsidRPr="005D59C3">
              <w:rPr>
                <w:rFonts w:ascii="Times New Roman" w:hAnsi="Times New Roman" w:cs="Times New Roman"/>
              </w:rPr>
              <w:t>sten i erhvervslivet – ikke mindst når det gælder investeringer i it</w:t>
            </w:r>
            <w:r w:rsidR="005D59C3">
              <w:rPr>
                <w:rFonts w:ascii="Times New Roman" w:hAnsi="Times New Roman" w:cs="Times New Roman"/>
              </w:rPr>
              <w:t>-</w:t>
            </w:r>
            <w:r w:rsidRPr="005D59C3">
              <w:rPr>
                <w:rFonts w:ascii="Times New Roman" w:hAnsi="Times New Roman" w:cs="Times New Roman"/>
              </w:rPr>
              <w:t>driftsmidler.</w:t>
            </w:r>
            <w:r w:rsidR="005D59C3">
              <w:rPr>
                <w:rFonts w:ascii="Times New Roman" w:hAnsi="Times New Roman" w:cs="Times New Roman"/>
              </w:rPr>
              <w:t xml:space="preserve"> I</w:t>
            </w:r>
            <w:r w:rsidRPr="005D59C3">
              <w:rPr>
                <w:rFonts w:ascii="Times New Roman" w:hAnsi="Times New Roman" w:cs="Times New Roman"/>
              </w:rPr>
              <w:t>t kan øge produktivit</w:t>
            </w:r>
            <w:r w:rsidRPr="005D59C3">
              <w:rPr>
                <w:rFonts w:ascii="Times New Roman" w:hAnsi="Times New Roman" w:cs="Times New Roman"/>
              </w:rPr>
              <w:t>e</w:t>
            </w:r>
            <w:r w:rsidRPr="005D59C3">
              <w:rPr>
                <w:rFonts w:ascii="Times New Roman" w:hAnsi="Times New Roman" w:cs="Times New Roman"/>
              </w:rPr>
              <w:t>ten i erhvervslivet</w:t>
            </w:r>
            <w:r w:rsidR="00DE23FE">
              <w:rPr>
                <w:rFonts w:ascii="Times New Roman" w:hAnsi="Times New Roman" w:cs="Times New Roman"/>
              </w:rPr>
              <w:t>,</w:t>
            </w:r>
            <w:r w:rsidRPr="005D59C3">
              <w:rPr>
                <w:rFonts w:ascii="Times New Roman" w:hAnsi="Times New Roman" w:cs="Times New Roman"/>
              </w:rPr>
              <w:t xml:space="preserve"> og her er forbe</w:t>
            </w:r>
            <w:r w:rsidRPr="005D59C3">
              <w:rPr>
                <w:rFonts w:ascii="Times New Roman" w:hAnsi="Times New Roman" w:cs="Times New Roman"/>
              </w:rPr>
              <w:t>d</w:t>
            </w:r>
            <w:r w:rsidRPr="005D59C3">
              <w:rPr>
                <w:rFonts w:ascii="Times New Roman" w:hAnsi="Times New Roman" w:cs="Times New Roman"/>
              </w:rPr>
              <w:t>rede afskrivningsmuligheder for</w:t>
            </w:r>
            <w:r w:rsidR="005D59C3">
              <w:rPr>
                <w:rFonts w:ascii="Times New Roman" w:hAnsi="Times New Roman" w:cs="Times New Roman"/>
              </w:rPr>
              <w:t xml:space="preserve"> </w:t>
            </w:r>
            <w:r w:rsidRPr="005D59C3">
              <w:rPr>
                <w:rFonts w:ascii="Times New Roman" w:hAnsi="Times New Roman" w:cs="Times New Roman"/>
              </w:rPr>
              <w:t>b</w:t>
            </w:r>
            <w:r w:rsidRPr="005D59C3">
              <w:rPr>
                <w:rFonts w:ascii="Times New Roman" w:hAnsi="Times New Roman" w:cs="Times New Roman"/>
              </w:rPr>
              <w:t>å</w:t>
            </w:r>
            <w:r w:rsidRPr="005D59C3">
              <w:rPr>
                <w:rFonts w:ascii="Times New Roman" w:hAnsi="Times New Roman" w:cs="Times New Roman"/>
              </w:rPr>
              <w:t>de hardware og software</w:t>
            </w:r>
            <w:r w:rsidR="00DE23FE">
              <w:rPr>
                <w:rFonts w:ascii="Times New Roman" w:hAnsi="Times New Roman" w:cs="Times New Roman"/>
              </w:rPr>
              <w:t xml:space="preserve"> et</w:t>
            </w:r>
            <w:r w:rsidRPr="005D59C3">
              <w:rPr>
                <w:rFonts w:ascii="Times New Roman" w:hAnsi="Times New Roman" w:cs="Times New Roman"/>
              </w:rPr>
              <w:t xml:space="preserve"> centralt og væsentligt element.</w:t>
            </w:r>
          </w:p>
          <w:p w:rsidR="00273D13" w:rsidRPr="005D59C3" w:rsidRDefault="00273D13" w:rsidP="00273D13">
            <w:pPr>
              <w:spacing w:after="0"/>
              <w:rPr>
                <w:rFonts w:ascii="Times New Roman" w:hAnsi="Times New Roman" w:cs="Times New Roman"/>
              </w:rPr>
            </w:pPr>
          </w:p>
          <w:p w:rsidR="00D62C47" w:rsidRPr="00D62C47" w:rsidRDefault="00D62C47" w:rsidP="00D80853">
            <w:pPr>
              <w:spacing w:after="0"/>
              <w:rPr>
                <w:rFonts w:ascii="Times New Roman" w:hAnsi="Times New Roman" w:cs="Times New Roman"/>
              </w:rPr>
            </w:pPr>
            <w:r w:rsidRPr="005D59C3">
              <w:rPr>
                <w:rFonts w:ascii="Times New Roman" w:hAnsi="Times New Roman" w:cs="Times New Roman"/>
              </w:rPr>
              <w:t xml:space="preserve">Konkret </w:t>
            </w:r>
            <w:r w:rsidR="00706C41">
              <w:rPr>
                <w:rFonts w:ascii="Times New Roman" w:hAnsi="Times New Roman" w:cs="Times New Roman"/>
              </w:rPr>
              <w:t>i</w:t>
            </w:r>
            <w:r w:rsidRPr="005D59C3">
              <w:rPr>
                <w:rFonts w:ascii="Times New Roman" w:hAnsi="Times New Roman" w:cs="Times New Roman"/>
              </w:rPr>
              <w:t xml:space="preserve"> forhold til lovforslaget er de forbedrede afskrivningsmuligh</w:t>
            </w:r>
            <w:r w:rsidRPr="005D59C3">
              <w:rPr>
                <w:rFonts w:ascii="Times New Roman" w:hAnsi="Times New Roman" w:cs="Times New Roman"/>
              </w:rPr>
              <w:t>e</w:t>
            </w:r>
            <w:r w:rsidRPr="005D59C3">
              <w:rPr>
                <w:rFonts w:ascii="Times New Roman" w:hAnsi="Times New Roman" w:cs="Times New Roman"/>
              </w:rPr>
              <w:t>der for hardware</w:t>
            </w:r>
            <w:r w:rsidR="005D59C3">
              <w:rPr>
                <w:rFonts w:ascii="Times New Roman" w:hAnsi="Times New Roman" w:cs="Times New Roman"/>
              </w:rPr>
              <w:t xml:space="preserve"> </w:t>
            </w:r>
            <w:r w:rsidRPr="005D59C3">
              <w:rPr>
                <w:rFonts w:ascii="Times New Roman" w:hAnsi="Times New Roman" w:cs="Times New Roman"/>
              </w:rPr>
              <w:t>dækket af forsl</w:t>
            </w:r>
            <w:r w:rsidRPr="005D59C3">
              <w:rPr>
                <w:rFonts w:ascii="Times New Roman" w:hAnsi="Times New Roman" w:cs="Times New Roman"/>
              </w:rPr>
              <w:t>a</w:t>
            </w:r>
            <w:r w:rsidRPr="005D59C3">
              <w:rPr>
                <w:rFonts w:ascii="Times New Roman" w:hAnsi="Times New Roman" w:cs="Times New Roman"/>
              </w:rPr>
              <w:t>gets § 5</w:t>
            </w:r>
            <w:r w:rsidR="00273D13">
              <w:rPr>
                <w:rFonts w:ascii="Times New Roman" w:hAnsi="Times New Roman" w:cs="Times New Roman"/>
              </w:rPr>
              <w:t xml:space="preserve"> </w:t>
            </w:r>
            <w:r w:rsidRPr="005D59C3">
              <w:rPr>
                <w:rFonts w:ascii="Times New Roman" w:hAnsi="Times New Roman" w:cs="Times New Roman"/>
              </w:rPr>
              <w:t xml:space="preserve">D. I forhold til software vil </w:t>
            </w:r>
            <w:proofErr w:type="spellStart"/>
            <w:r w:rsidRPr="005D59C3">
              <w:rPr>
                <w:rFonts w:ascii="Times New Roman" w:hAnsi="Times New Roman" w:cs="Times New Roman"/>
              </w:rPr>
              <w:t>IT-Branchen</w:t>
            </w:r>
            <w:proofErr w:type="spellEnd"/>
            <w:r w:rsidRPr="005D59C3">
              <w:rPr>
                <w:rFonts w:ascii="Times New Roman" w:hAnsi="Times New Roman" w:cs="Times New Roman"/>
              </w:rPr>
              <w:t xml:space="preserve"> dog gerne henlede</w:t>
            </w:r>
            <w:r w:rsidR="005D59C3">
              <w:rPr>
                <w:rFonts w:ascii="Times New Roman" w:hAnsi="Times New Roman" w:cs="Times New Roman"/>
              </w:rPr>
              <w:t xml:space="preserve"> </w:t>
            </w:r>
            <w:r w:rsidRPr="005D59C3">
              <w:rPr>
                <w:rFonts w:ascii="Times New Roman" w:hAnsi="Times New Roman" w:cs="Times New Roman"/>
              </w:rPr>
              <w:t>o</w:t>
            </w:r>
            <w:r w:rsidRPr="005D59C3">
              <w:rPr>
                <w:rFonts w:ascii="Times New Roman" w:hAnsi="Times New Roman" w:cs="Times New Roman"/>
              </w:rPr>
              <w:t>p</w:t>
            </w:r>
            <w:r w:rsidRPr="005D59C3">
              <w:rPr>
                <w:rFonts w:ascii="Times New Roman" w:hAnsi="Times New Roman" w:cs="Times New Roman"/>
              </w:rPr>
              <w:t>mærksomheden på en uklarhed me</w:t>
            </w:r>
            <w:r w:rsidRPr="005D59C3">
              <w:rPr>
                <w:rFonts w:ascii="Times New Roman" w:hAnsi="Times New Roman" w:cs="Times New Roman"/>
              </w:rPr>
              <w:t>l</w:t>
            </w:r>
            <w:r w:rsidRPr="005D59C3">
              <w:rPr>
                <w:rFonts w:ascii="Times New Roman" w:hAnsi="Times New Roman" w:cs="Times New Roman"/>
              </w:rPr>
              <w:t>lem lovforslagets lovtekst og de a</w:t>
            </w:r>
            <w:r w:rsidRPr="005D59C3">
              <w:rPr>
                <w:rFonts w:ascii="Times New Roman" w:hAnsi="Times New Roman" w:cs="Times New Roman"/>
              </w:rPr>
              <w:t>l</w:t>
            </w:r>
            <w:r w:rsidRPr="005D59C3">
              <w:rPr>
                <w:rFonts w:ascii="Times New Roman" w:hAnsi="Times New Roman" w:cs="Times New Roman"/>
              </w:rPr>
              <w:t>mindelige bemærkninger.</w:t>
            </w:r>
            <w:r w:rsidR="005D59C3">
              <w:rPr>
                <w:rFonts w:ascii="Times New Roman" w:hAnsi="Times New Roman" w:cs="Times New Roman"/>
              </w:rPr>
              <w:t xml:space="preserve"> </w:t>
            </w:r>
            <w:r w:rsidRPr="005D59C3">
              <w:rPr>
                <w:rFonts w:ascii="Times New Roman" w:hAnsi="Times New Roman" w:cs="Times New Roman"/>
              </w:rPr>
              <w:t>Ifølge gældende ret kan virksomheder væ</w:t>
            </w:r>
            <w:r w:rsidRPr="005D59C3">
              <w:rPr>
                <w:rFonts w:ascii="Times New Roman" w:hAnsi="Times New Roman" w:cs="Times New Roman"/>
              </w:rPr>
              <w:t>l</w:t>
            </w:r>
            <w:r w:rsidRPr="005D59C3">
              <w:rPr>
                <w:rFonts w:ascii="Times New Roman" w:hAnsi="Times New Roman" w:cs="Times New Roman"/>
              </w:rPr>
              <w:t xml:space="preserve">ge at </w:t>
            </w:r>
            <w:proofErr w:type="spellStart"/>
            <w:r w:rsidRPr="005D59C3">
              <w:rPr>
                <w:rFonts w:ascii="Times New Roman" w:hAnsi="Times New Roman" w:cs="Times New Roman"/>
              </w:rPr>
              <w:t>straksafskrive</w:t>
            </w:r>
            <w:proofErr w:type="spellEnd"/>
            <w:r w:rsidRPr="005D59C3">
              <w:rPr>
                <w:rFonts w:ascii="Times New Roman" w:hAnsi="Times New Roman" w:cs="Times New Roman"/>
              </w:rPr>
              <w:t xml:space="preserve"> f.eks. </w:t>
            </w:r>
            <w:proofErr w:type="spellStart"/>
            <w:r w:rsidRPr="005D59C3">
              <w:rPr>
                <w:rFonts w:ascii="Times New Roman" w:hAnsi="Times New Roman" w:cs="Times New Roman"/>
              </w:rPr>
              <w:t>EDB-software</w:t>
            </w:r>
            <w:proofErr w:type="spellEnd"/>
            <w:r w:rsidRPr="005D59C3">
              <w:rPr>
                <w:rFonts w:ascii="Times New Roman" w:hAnsi="Times New Roman" w:cs="Times New Roman"/>
              </w:rPr>
              <w:t>, jf.</w:t>
            </w:r>
            <w:r w:rsidR="005D59C3">
              <w:rPr>
                <w:rFonts w:ascii="Times New Roman" w:hAnsi="Times New Roman" w:cs="Times New Roman"/>
              </w:rPr>
              <w:t xml:space="preserve"> </w:t>
            </w:r>
            <w:r w:rsidRPr="005D59C3">
              <w:rPr>
                <w:rFonts w:ascii="Times New Roman" w:hAnsi="Times New Roman" w:cs="Times New Roman"/>
              </w:rPr>
              <w:t>afskrivningslovens § 6. Da dette i dag er en valgmulighed i forhold til</w:t>
            </w:r>
            <w:r w:rsidR="00272D25">
              <w:rPr>
                <w:rFonts w:ascii="Times New Roman" w:hAnsi="Times New Roman" w:cs="Times New Roman"/>
              </w:rPr>
              <w:t xml:space="preserve"> afskrivningslovens</w:t>
            </w:r>
            <w:r w:rsidRPr="005D59C3">
              <w:rPr>
                <w:rFonts w:ascii="Times New Roman" w:hAnsi="Times New Roman" w:cs="Times New Roman"/>
              </w:rPr>
              <w:t xml:space="preserve"> § 5, bør man med samme konsekvens kunne vælge at følge bestemmelse</w:t>
            </w:r>
            <w:r w:rsidRPr="005D59C3">
              <w:rPr>
                <w:rFonts w:ascii="Times New Roman" w:hAnsi="Times New Roman" w:cs="Times New Roman"/>
              </w:rPr>
              <w:t>r</w:t>
            </w:r>
            <w:r w:rsidRPr="005D59C3">
              <w:rPr>
                <w:rFonts w:ascii="Times New Roman" w:hAnsi="Times New Roman" w:cs="Times New Roman"/>
              </w:rPr>
              <w:t>ne i §</w:t>
            </w:r>
            <w:r w:rsidR="005D59C3">
              <w:rPr>
                <w:rFonts w:ascii="Times New Roman" w:hAnsi="Times New Roman" w:cs="Times New Roman"/>
              </w:rPr>
              <w:t xml:space="preserve"> </w:t>
            </w:r>
            <w:r w:rsidRPr="005D59C3">
              <w:rPr>
                <w:rFonts w:ascii="Times New Roman" w:hAnsi="Times New Roman" w:cs="Times New Roman"/>
              </w:rPr>
              <w:t>5</w:t>
            </w:r>
            <w:r w:rsidR="00272D25">
              <w:rPr>
                <w:rFonts w:ascii="Times New Roman" w:hAnsi="Times New Roman" w:cs="Times New Roman"/>
              </w:rPr>
              <w:t xml:space="preserve"> </w:t>
            </w:r>
            <w:r w:rsidRPr="005D59C3">
              <w:rPr>
                <w:rFonts w:ascii="Times New Roman" w:hAnsi="Times New Roman" w:cs="Times New Roman"/>
              </w:rPr>
              <w:t>D og dermed opnå de</w:t>
            </w:r>
            <w:r w:rsidR="00D80853">
              <w:rPr>
                <w:rFonts w:ascii="Times New Roman" w:hAnsi="Times New Roman" w:cs="Times New Roman"/>
              </w:rPr>
              <w:t>t</w:t>
            </w:r>
            <w:r w:rsidRPr="005D59C3">
              <w:rPr>
                <w:rFonts w:ascii="Times New Roman" w:hAnsi="Times New Roman" w:cs="Times New Roman"/>
              </w:rPr>
              <w:t xml:space="preserve"> ekstra afskrivnings</w:t>
            </w:r>
            <w:r w:rsidR="00D80853">
              <w:rPr>
                <w:rFonts w:ascii="Times New Roman" w:hAnsi="Times New Roman" w:cs="Times New Roman"/>
              </w:rPr>
              <w:t>grundlag</w:t>
            </w:r>
            <w:r w:rsidRPr="005D59C3">
              <w:rPr>
                <w:rFonts w:ascii="Times New Roman" w:hAnsi="Times New Roman" w:cs="Times New Roman"/>
              </w:rPr>
              <w:t xml:space="preserve"> på 15 pct. for investeringer i software.</w:t>
            </w:r>
            <w:r w:rsidR="005D59C3">
              <w:rPr>
                <w:rFonts w:ascii="Times New Roman" w:hAnsi="Times New Roman" w:cs="Times New Roman"/>
              </w:rPr>
              <w:t xml:space="preserve"> </w:t>
            </w:r>
            <w:r w:rsidRPr="005D59C3">
              <w:rPr>
                <w:rFonts w:ascii="Times New Roman" w:hAnsi="Times New Roman" w:cs="Times New Roman"/>
              </w:rPr>
              <w:t>Lovforsl</w:t>
            </w:r>
            <w:r w:rsidRPr="005D59C3">
              <w:rPr>
                <w:rFonts w:ascii="Times New Roman" w:hAnsi="Times New Roman" w:cs="Times New Roman"/>
              </w:rPr>
              <w:t>a</w:t>
            </w:r>
            <w:r w:rsidRPr="005D59C3">
              <w:rPr>
                <w:rFonts w:ascii="Times New Roman" w:hAnsi="Times New Roman" w:cs="Times New Roman"/>
              </w:rPr>
              <w:t>gets almindelige bemærkninger nævner imidlertid: ’Investeringer, der kan</w:t>
            </w:r>
            <w:r w:rsidR="005D59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59C3">
              <w:rPr>
                <w:rFonts w:ascii="Times New Roman" w:hAnsi="Times New Roman" w:cs="Times New Roman"/>
              </w:rPr>
              <w:t>straksafskrives</w:t>
            </w:r>
            <w:proofErr w:type="spellEnd"/>
            <w:r w:rsidRPr="005D59C3">
              <w:rPr>
                <w:rFonts w:ascii="Times New Roman" w:hAnsi="Times New Roman" w:cs="Times New Roman"/>
              </w:rPr>
              <w:t xml:space="preserve"> efter gælde</w:t>
            </w:r>
            <w:r w:rsidRPr="005D59C3">
              <w:rPr>
                <w:rFonts w:ascii="Times New Roman" w:hAnsi="Times New Roman" w:cs="Times New Roman"/>
              </w:rPr>
              <w:t>n</w:t>
            </w:r>
            <w:r w:rsidRPr="005D59C3">
              <w:rPr>
                <w:rFonts w:ascii="Times New Roman" w:hAnsi="Times New Roman" w:cs="Times New Roman"/>
              </w:rPr>
              <w:t xml:space="preserve">de regler, f.eks. software, omfattes ikke af forslaget’. </w:t>
            </w:r>
            <w:proofErr w:type="spellStart"/>
            <w:r w:rsidRPr="005D59C3">
              <w:rPr>
                <w:rFonts w:ascii="Times New Roman" w:hAnsi="Times New Roman" w:cs="Times New Roman"/>
              </w:rPr>
              <w:t>IT</w:t>
            </w:r>
            <w:r w:rsidR="00272D25">
              <w:rPr>
                <w:rFonts w:ascii="Times New Roman" w:hAnsi="Times New Roman" w:cs="Times New Roman"/>
              </w:rPr>
              <w:t>-</w:t>
            </w:r>
            <w:r w:rsidRPr="005D59C3">
              <w:rPr>
                <w:rFonts w:ascii="Times New Roman" w:hAnsi="Times New Roman" w:cs="Times New Roman"/>
              </w:rPr>
              <w:t>Branchen</w:t>
            </w:r>
            <w:proofErr w:type="spellEnd"/>
            <w:r w:rsidR="005D59C3">
              <w:rPr>
                <w:rFonts w:ascii="Times New Roman" w:hAnsi="Times New Roman" w:cs="Times New Roman"/>
              </w:rPr>
              <w:t xml:space="preserve"> </w:t>
            </w:r>
            <w:r w:rsidRPr="005D59C3">
              <w:rPr>
                <w:rFonts w:ascii="Times New Roman" w:hAnsi="Times New Roman" w:cs="Times New Roman"/>
              </w:rPr>
              <w:t>m</w:t>
            </w:r>
            <w:r w:rsidRPr="005D59C3">
              <w:rPr>
                <w:rFonts w:ascii="Times New Roman" w:hAnsi="Times New Roman" w:cs="Times New Roman"/>
              </w:rPr>
              <w:t>e</w:t>
            </w:r>
            <w:r w:rsidRPr="005D59C3">
              <w:rPr>
                <w:rFonts w:ascii="Times New Roman" w:hAnsi="Times New Roman" w:cs="Times New Roman"/>
              </w:rPr>
              <w:t>ner, at lovteksten og de særlige b</w:t>
            </w:r>
            <w:r w:rsidRPr="005D59C3">
              <w:rPr>
                <w:rFonts w:ascii="Times New Roman" w:hAnsi="Times New Roman" w:cs="Times New Roman"/>
              </w:rPr>
              <w:t>e</w:t>
            </w:r>
            <w:r w:rsidRPr="005D59C3">
              <w:rPr>
                <w:rFonts w:ascii="Times New Roman" w:hAnsi="Times New Roman" w:cs="Times New Roman"/>
              </w:rPr>
              <w:t>mærkninger bør lægges til grund for</w:t>
            </w:r>
            <w:r w:rsidR="005D59C3">
              <w:rPr>
                <w:rFonts w:ascii="Times New Roman" w:hAnsi="Times New Roman" w:cs="Times New Roman"/>
              </w:rPr>
              <w:t xml:space="preserve"> </w:t>
            </w:r>
            <w:r w:rsidRPr="005D59C3">
              <w:rPr>
                <w:rFonts w:ascii="Times New Roman" w:hAnsi="Times New Roman" w:cs="Times New Roman"/>
              </w:rPr>
              <w:t>vurderingen, således at virksomh</w:t>
            </w:r>
            <w:r w:rsidRPr="005D59C3">
              <w:rPr>
                <w:rFonts w:ascii="Times New Roman" w:hAnsi="Times New Roman" w:cs="Times New Roman"/>
              </w:rPr>
              <w:t>e</w:t>
            </w:r>
            <w:r w:rsidRPr="005D59C3">
              <w:rPr>
                <w:rFonts w:ascii="Times New Roman" w:hAnsi="Times New Roman" w:cs="Times New Roman"/>
              </w:rPr>
              <w:t>der ligesom i dag vil kunne vælge at afskrive software</w:t>
            </w:r>
            <w:r w:rsidR="005D59C3">
              <w:rPr>
                <w:rFonts w:ascii="Times New Roman" w:hAnsi="Times New Roman" w:cs="Times New Roman"/>
              </w:rPr>
              <w:t xml:space="preserve"> </w:t>
            </w:r>
            <w:r w:rsidRPr="005D59C3">
              <w:rPr>
                <w:rFonts w:ascii="Times New Roman" w:hAnsi="Times New Roman" w:cs="Times New Roman"/>
              </w:rPr>
              <w:t>efter bestemme</w:t>
            </w:r>
            <w:r w:rsidRPr="005D59C3">
              <w:rPr>
                <w:rFonts w:ascii="Times New Roman" w:hAnsi="Times New Roman" w:cs="Times New Roman"/>
              </w:rPr>
              <w:t>l</w:t>
            </w:r>
            <w:r w:rsidRPr="005D59C3">
              <w:rPr>
                <w:rFonts w:ascii="Times New Roman" w:hAnsi="Times New Roman" w:cs="Times New Roman"/>
              </w:rPr>
              <w:t>serne i § 5, herunder det tilføjede § 5</w:t>
            </w:r>
            <w:r w:rsidR="003F196D">
              <w:rPr>
                <w:rFonts w:ascii="Times New Roman" w:hAnsi="Times New Roman" w:cs="Times New Roman"/>
              </w:rPr>
              <w:t xml:space="preserve"> </w:t>
            </w:r>
            <w:r w:rsidRPr="005D59C3">
              <w:rPr>
                <w:rFonts w:ascii="Times New Roman" w:hAnsi="Times New Roman" w:cs="Times New Roman"/>
              </w:rPr>
              <w:t>D, og dermed opnå de</w:t>
            </w:r>
            <w:r w:rsidR="00272D25">
              <w:rPr>
                <w:rFonts w:ascii="Times New Roman" w:hAnsi="Times New Roman" w:cs="Times New Roman"/>
              </w:rPr>
              <w:t>t</w:t>
            </w:r>
            <w:r w:rsidRPr="005D59C3">
              <w:rPr>
                <w:rFonts w:ascii="Times New Roman" w:hAnsi="Times New Roman" w:cs="Times New Roman"/>
              </w:rPr>
              <w:t xml:space="preserve"> ekstra</w:t>
            </w:r>
            <w:r w:rsidR="005D59C3">
              <w:rPr>
                <w:rFonts w:ascii="Times New Roman" w:hAnsi="Times New Roman" w:cs="Times New Roman"/>
              </w:rPr>
              <w:t xml:space="preserve"> </w:t>
            </w:r>
            <w:r w:rsidRPr="005D59C3">
              <w:rPr>
                <w:rFonts w:ascii="Times New Roman" w:hAnsi="Times New Roman" w:cs="Times New Roman"/>
              </w:rPr>
              <w:t>a</w:t>
            </w:r>
            <w:r w:rsidRPr="005D59C3">
              <w:rPr>
                <w:rFonts w:ascii="Times New Roman" w:hAnsi="Times New Roman" w:cs="Times New Roman"/>
              </w:rPr>
              <w:t>f</w:t>
            </w:r>
            <w:r w:rsidRPr="005D59C3">
              <w:rPr>
                <w:rFonts w:ascii="Times New Roman" w:hAnsi="Times New Roman" w:cs="Times New Roman"/>
              </w:rPr>
              <w:t>skrivnings</w:t>
            </w:r>
            <w:r w:rsidR="00272D25">
              <w:rPr>
                <w:rFonts w:ascii="Times New Roman" w:hAnsi="Times New Roman" w:cs="Times New Roman"/>
              </w:rPr>
              <w:t>grundlag</w:t>
            </w:r>
            <w:r w:rsidRPr="005D59C3">
              <w:rPr>
                <w:rFonts w:ascii="Times New Roman" w:hAnsi="Times New Roman" w:cs="Times New Roman"/>
              </w:rPr>
              <w:t xml:space="preserve"> på 15 pct.</w:t>
            </w:r>
          </w:p>
        </w:tc>
        <w:tc>
          <w:tcPr>
            <w:tcW w:w="3644" w:type="dxa"/>
          </w:tcPr>
          <w:p w:rsidR="00D62C47" w:rsidRDefault="00D62C47" w:rsidP="00273D1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D59C3" w:rsidRDefault="005D59C3" w:rsidP="00273D1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D59C3" w:rsidRDefault="005D59C3" w:rsidP="00273D1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D59C3" w:rsidRDefault="005D59C3" w:rsidP="00273D1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D59C3" w:rsidRDefault="005D59C3" w:rsidP="00273D1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D59C3" w:rsidRDefault="005D59C3" w:rsidP="00273D1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06C41" w:rsidRDefault="00706C41" w:rsidP="00273D1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73D13" w:rsidRDefault="00273D13" w:rsidP="00273D1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73D13" w:rsidRDefault="00273D13" w:rsidP="00273D1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73D13" w:rsidRDefault="00273D13" w:rsidP="00273D1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73D13" w:rsidRDefault="00273D13" w:rsidP="00273D1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D59C3" w:rsidRPr="00D62C47" w:rsidRDefault="005D59C3" w:rsidP="00D16D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Det er lovteksten, der vil blive lagt til grund med hensyn til software og andre driftsmidler, der i dag kan vælges </w:t>
            </w:r>
            <w:proofErr w:type="spellStart"/>
            <w:r>
              <w:rPr>
                <w:rFonts w:ascii="Times New Roman" w:hAnsi="Times New Roman" w:cs="Times New Roman"/>
              </w:rPr>
              <w:t>straksafskrevet</w:t>
            </w:r>
            <w:proofErr w:type="spellEnd"/>
            <w:r>
              <w:rPr>
                <w:rFonts w:ascii="Times New Roman" w:hAnsi="Times New Roman" w:cs="Times New Roman"/>
              </w:rPr>
              <w:t xml:space="preserve"> i stedet for saldoafskrevet efter den almindelige saldoafskrivningsmetode</w:t>
            </w:r>
            <w:r w:rsidR="00272D25">
              <w:rPr>
                <w:rFonts w:ascii="Times New Roman" w:hAnsi="Times New Roman" w:cs="Times New Roman"/>
              </w:rPr>
              <w:t xml:space="preserve"> for drift</w:t>
            </w:r>
            <w:r w:rsidR="00272D25">
              <w:rPr>
                <w:rFonts w:ascii="Times New Roman" w:hAnsi="Times New Roman" w:cs="Times New Roman"/>
              </w:rPr>
              <w:t>s</w:t>
            </w:r>
            <w:r w:rsidR="00272D25">
              <w:rPr>
                <w:rFonts w:ascii="Times New Roman" w:hAnsi="Times New Roman" w:cs="Times New Roman"/>
              </w:rPr>
              <w:t>midler</w:t>
            </w:r>
            <w:r>
              <w:rPr>
                <w:rFonts w:ascii="Times New Roman" w:hAnsi="Times New Roman" w:cs="Times New Roman"/>
              </w:rPr>
              <w:t>. Dermed kan det forhøjede afskrivningsgrundlag også vælges for</w:t>
            </w:r>
            <w:r w:rsidR="00D80853">
              <w:rPr>
                <w:rFonts w:ascii="Times New Roman" w:hAnsi="Times New Roman" w:cs="Times New Roman"/>
              </w:rPr>
              <w:t xml:space="preserve"> f.eks.</w:t>
            </w:r>
            <w:r>
              <w:rPr>
                <w:rFonts w:ascii="Times New Roman" w:hAnsi="Times New Roman" w:cs="Times New Roman"/>
              </w:rPr>
              <w:t xml:space="preserve"> software, men kun hvis de</w:t>
            </w:r>
            <w:r w:rsidR="00D16DD8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 xml:space="preserve"> ikke </w:t>
            </w:r>
            <w:proofErr w:type="spellStart"/>
            <w:r>
              <w:rPr>
                <w:rFonts w:ascii="Times New Roman" w:hAnsi="Times New Roman" w:cs="Times New Roman"/>
              </w:rPr>
              <w:t>straksafskrives</w:t>
            </w:r>
            <w:proofErr w:type="spellEnd"/>
            <w:r>
              <w:rPr>
                <w:rFonts w:ascii="Times New Roman" w:hAnsi="Times New Roman" w:cs="Times New Roman"/>
              </w:rPr>
              <w:t>. Der kan efter L 192 også vælges forhøjet afskri</w:t>
            </w: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>ningsgrundlag for hardware</w:t>
            </w:r>
            <w:r w:rsidR="00D80853">
              <w:rPr>
                <w:rFonts w:ascii="Times New Roman" w:hAnsi="Times New Roman" w:cs="Times New Roman"/>
              </w:rPr>
              <w:t>, der i dag behandles efter den almindelige saldoafskrivningsmetode for drift</w:t>
            </w:r>
            <w:r w:rsidR="00D80853">
              <w:rPr>
                <w:rFonts w:ascii="Times New Roman" w:hAnsi="Times New Roman" w:cs="Times New Roman"/>
              </w:rPr>
              <w:t>s</w:t>
            </w:r>
            <w:r w:rsidR="00D80853">
              <w:rPr>
                <w:rFonts w:ascii="Times New Roman" w:hAnsi="Times New Roman" w:cs="Times New Roman"/>
              </w:rPr>
              <w:t>midler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A25E4" w:rsidRPr="00DC0DDB" w:rsidTr="00D462E1">
        <w:tc>
          <w:tcPr>
            <w:tcW w:w="2171" w:type="dxa"/>
          </w:tcPr>
          <w:p w:rsidR="007152BE" w:rsidRPr="00DC0DDB" w:rsidRDefault="00FC3628" w:rsidP="000077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</w:t>
            </w:r>
          </w:p>
        </w:tc>
        <w:tc>
          <w:tcPr>
            <w:tcW w:w="3649" w:type="dxa"/>
          </w:tcPr>
          <w:p w:rsidR="007152BE" w:rsidRPr="00DC0DDB" w:rsidRDefault="00FC3628" w:rsidP="000077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Ingen bemærkninger.</w:t>
            </w:r>
          </w:p>
        </w:tc>
        <w:tc>
          <w:tcPr>
            <w:tcW w:w="3644" w:type="dxa"/>
          </w:tcPr>
          <w:p w:rsidR="007152BE" w:rsidRPr="00DC0DDB" w:rsidRDefault="007152BE" w:rsidP="000077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25E4" w:rsidRPr="00DC0DDB" w:rsidTr="00D462E1">
        <w:tc>
          <w:tcPr>
            <w:tcW w:w="2171" w:type="dxa"/>
          </w:tcPr>
          <w:p w:rsidR="007152BE" w:rsidRPr="00011BAD" w:rsidRDefault="00AE2031" w:rsidP="000077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Landbrug &amp; Fødev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rer</w:t>
            </w:r>
          </w:p>
        </w:tc>
        <w:tc>
          <w:tcPr>
            <w:tcW w:w="3649" w:type="dxa"/>
          </w:tcPr>
          <w:p w:rsidR="007152BE" w:rsidRPr="00011BAD" w:rsidRDefault="00835CE1" w:rsidP="00835C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Efter nogle overordnede betragtni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ger om skattereformen mv. henvises til høringssvaret fra </w:t>
            </w:r>
            <w:proofErr w:type="spellStart"/>
            <w:r>
              <w:rPr>
                <w:rFonts w:ascii="Times New Roman" w:hAnsi="Times New Roman" w:cs="Times New Roman"/>
              </w:rPr>
              <w:t>Videncentret</w:t>
            </w:r>
            <w:proofErr w:type="spellEnd"/>
            <w:r>
              <w:rPr>
                <w:rFonts w:ascii="Times New Roman" w:hAnsi="Times New Roman" w:cs="Times New Roman"/>
              </w:rPr>
              <w:t xml:space="preserve"> for Landbrug. </w:t>
            </w:r>
          </w:p>
        </w:tc>
        <w:tc>
          <w:tcPr>
            <w:tcW w:w="3644" w:type="dxa"/>
          </w:tcPr>
          <w:p w:rsidR="007152BE" w:rsidRPr="00DC0DDB" w:rsidRDefault="00835CE1" w:rsidP="000077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 henvises til kommentaren til h</w:t>
            </w:r>
            <w:r>
              <w:rPr>
                <w:rFonts w:ascii="Times New Roman" w:hAnsi="Times New Roman" w:cs="Times New Roman"/>
              </w:rPr>
              <w:t>ø</w:t>
            </w:r>
            <w:r>
              <w:rPr>
                <w:rFonts w:ascii="Times New Roman" w:hAnsi="Times New Roman" w:cs="Times New Roman"/>
              </w:rPr>
              <w:t xml:space="preserve">ringssvaret fra </w:t>
            </w:r>
            <w:proofErr w:type="spellStart"/>
            <w:r>
              <w:rPr>
                <w:rFonts w:ascii="Times New Roman" w:hAnsi="Times New Roman" w:cs="Times New Roman"/>
              </w:rPr>
              <w:t>Videncentret</w:t>
            </w:r>
            <w:proofErr w:type="spellEnd"/>
            <w:r>
              <w:rPr>
                <w:rFonts w:ascii="Times New Roman" w:hAnsi="Times New Roman" w:cs="Times New Roman"/>
              </w:rPr>
              <w:t xml:space="preserve"> for Landbrug.</w:t>
            </w:r>
          </w:p>
        </w:tc>
      </w:tr>
      <w:tr w:rsidR="006A25E4" w:rsidRPr="00DC0DDB" w:rsidTr="00D462E1">
        <w:tc>
          <w:tcPr>
            <w:tcW w:w="2171" w:type="dxa"/>
          </w:tcPr>
          <w:p w:rsidR="00FA2867" w:rsidRPr="00FA2867" w:rsidRDefault="00FA2867" w:rsidP="00007799">
            <w:pPr>
              <w:jc w:val="both"/>
              <w:rPr>
                <w:rFonts w:ascii="Times New Roman" w:hAnsi="Times New Roman" w:cs="Times New Roman"/>
              </w:rPr>
            </w:pPr>
            <w:r w:rsidRPr="00FA2867">
              <w:rPr>
                <w:rFonts w:ascii="Times New Roman" w:hAnsi="Times New Roman" w:cs="Times New Roman"/>
              </w:rPr>
              <w:t>Realkreditforeningen</w:t>
            </w:r>
          </w:p>
        </w:tc>
        <w:tc>
          <w:tcPr>
            <w:tcW w:w="3649" w:type="dxa"/>
          </w:tcPr>
          <w:p w:rsidR="00FA2867" w:rsidRPr="00FA2867" w:rsidRDefault="00FA2867" w:rsidP="00FA28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Ingen bemærkninger</w:t>
            </w:r>
          </w:p>
        </w:tc>
        <w:tc>
          <w:tcPr>
            <w:tcW w:w="3644" w:type="dxa"/>
          </w:tcPr>
          <w:p w:rsidR="00FA2867" w:rsidRPr="00FA2867" w:rsidRDefault="00FA2867" w:rsidP="000077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25E4" w:rsidRPr="00DC0DDB" w:rsidTr="00D462E1">
        <w:tc>
          <w:tcPr>
            <w:tcW w:w="2171" w:type="dxa"/>
          </w:tcPr>
          <w:p w:rsidR="008E4928" w:rsidRPr="008E4928" w:rsidRDefault="008E4928" w:rsidP="0000779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4928">
              <w:rPr>
                <w:rFonts w:ascii="Times New Roman" w:hAnsi="Times New Roman" w:cs="Times New Roman"/>
              </w:rPr>
              <w:t>Realkreditrådet</w:t>
            </w:r>
            <w:proofErr w:type="spellEnd"/>
          </w:p>
        </w:tc>
        <w:tc>
          <w:tcPr>
            <w:tcW w:w="3649" w:type="dxa"/>
          </w:tcPr>
          <w:p w:rsidR="008E4928" w:rsidRPr="008E4928" w:rsidRDefault="008E4928" w:rsidP="008E49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Pr="008E4928">
              <w:rPr>
                <w:rFonts w:ascii="Times New Roman" w:hAnsi="Times New Roman" w:cs="Times New Roman"/>
              </w:rPr>
              <w:t>ar noteret en enkelt uklarhed</w:t>
            </w:r>
            <w:r>
              <w:rPr>
                <w:rFonts w:ascii="Times New Roman" w:hAnsi="Times New Roman" w:cs="Times New Roman"/>
              </w:rPr>
              <w:t xml:space="preserve"> me</w:t>
            </w:r>
            <w:r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lem lovteksten og de almindelige bemærkninger med hensyn til b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handlingen af software og andre driftsmidler, som kan </w:t>
            </w:r>
            <w:proofErr w:type="spellStart"/>
            <w:r>
              <w:rPr>
                <w:rFonts w:ascii="Times New Roman" w:hAnsi="Times New Roman" w:cs="Times New Roman"/>
              </w:rPr>
              <w:t>straksafskrives</w:t>
            </w:r>
            <w:proofErr w:type="spellEnd"/>
            <w:r>
              <w:rPr>
                <w:rFonts w:ascii="Times New Roman" w:hAnsi="Times New Roman" w:cs="Times New Roman"/>
              </w:rPr>
              <w:t xml:space="preserve"> i dag.</w:t>
            </w:r>
          </w:p>
        </w:tc>
        <w:tc>
          <w:tcPr>
            <w:tcW w:w="3644" w:type="dxa"/>
          </w:tcPr>
          <w:p w:rsidR="008E4928" w:rsidRPr="008E4928" w:rsidRDefault="008E4928" w:rsidP="00BA38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 er lovteksten, der vil komme til at gælde</w:t>
            </w:r>
            <w:r w:rsidR="00BA3887">
              <w:rPr>
                <w:rFonts w:ascii="Times New Roman" w:hAnsi="Times New Roman" w:cs="Times New Roman"/>
              </w:rPr>
              <w:t xml:space="preserve">. Der henvises til </w:t>
            </w:r>
            <w:r>
              <w:rPr>
                <w:rFonts w:ascii="Times New Roman" w:hAnsi="Times New Roman" w:cs="Times New Roman"/>
              </w:rPr>
              <w:t>komme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tarerne til</w:t>
            </w:r>
            <w:r w:rsidR="00BA3887">
              <w:rPr>
                <w:rFonts w:ascii="Times New Roman" w:hAnsi="Times New Roman" w:cs="Times New Roman"/>
              </w:rPr>
              <w:t xml:space="preserve"> høringssvarene fra</w:t>
            </w:r>
            <w:r>
              <w:rPr>
                <w:rFonts w:ascii="Times New Roman" w:hAnsi="Times New Roman" w:cs="Times New Roman"/>
              </w:rPr>
              <w:t xml:space="preserve"> hhv. </w:t>
            </w:r>
            <w:proofErr w:type="spellStart"/>
            <w:r>
              <w:rPr>
                <w:rFonts w:ascii="Times New Roman" w:hAnsi="Times New Roman" w:cs="Times New Roman"/>
              </w:rPr>
              <w:t>IT-Branchen</w:t>
            </w:r>
            <w:proofErr w:type="spellEnd"/>
            <w:r>
              <w:rPr>
                <w:rFonts w:ascii="Times New Roman" w:hAnsi="Times New Roman" w:cs="Times New Roman"/>
              </w:rPr>
              <w:t xml:space="preserve"> og Dansk Erhverv.</w:t>
            </w:r>
          </w:p>
        </w:tc>
      </w:tr>
      <w:tr w:rsidR="006A25E4" w:rsidRPr="00DC0DDB" w:rsidTr="00D462E1">
        <w:tc>
          <w:tcPr>
            <w:tcW w:w="2171" w:type="dxa"/>
          </w:tcPr>
          <w:p w:rsidR="00BC64FB" w:rsidRPr="00BC64FB" w:rsidRDefault="00BC64FB" w:rsidP="00007799">
            <w:pPr>
              <w:jc w:val="both"/>
              <w:rPr>
                <w:rFonts w:ascii="Times New Roman" w:hAnsi="Times New Roman" w:cs="Times New Roman"/>
              </w:rPr>
            </w:pPr>
            <w:r w:rsidRPr="00BC64FB">
              <w:rPr>
                <w:rFonts w:ascii="Times New Roman" w:hAnsi="Times New Roman" w:cs="Times New Roman"/>
              </w:rPr>
              <w:t>SRF Skattefaglig</w:t>
            </w:r>
          </w:p>
        </w:tc>
        <w:tc>
          <w:tcPr>
            <w:tcW w:w="3649" w:type="dxa"/>
          </w:tcPr>
          <w:p w:rsidR="00BC64FB" w:rsidRPr="00BC64FB" w:rsidRDefault="0026636A" w:rsidP="00D462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Efterlyser</w:t>
            </w:r>
            <w:r w:rsidR="001E38B7">
              <w:rPr>
                <w:rFonts w:ascii="Times New Roman" w:hAnsi="Times New Roman" w:cs="Times New Roman"/>
              </w:rPr>
              <w:t xml:space="preserve"> bl.a.</w:t>
            </w:r>
            <w:r>
              <w:rPr>
                <w:rFonts w:ascii="Times New Roman" w:hAnsi="Times New Roman" w:cs="Times New Roman"/>
              </w:rPr>
              <w:t xml:space="preserve"> en nærmere definit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on </w:t>
            </w:r>
            <w:r w:rsidR="00D462E1">
              <w:rPr>
                <w:rFonts w:ascii="Times New Roman" w:hAnsi="Times New Roman" w:cs="Times New Roman"/>
              </w:rPr>
              <w:t>af</w:t>
            </w:r>
            <w:r>
              <w:rPr>
                <w:rFonts w:ascii="Times New Roman" w:hAnsi="Times New Roman" w:cs="Times New Roman"/>
              </w:rPr>
              <w:t>, hvad der forstås ved ”fabrik</w:t>
            </w: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ny”.</w:t>
            </w:r>
          </w:p>
        </w:tc>
        <w:tc>
          <w:tcPr>
            <w:tcW w:w="3644" w:type="dxa"/>
          </w:tcPr>
          <w:p w:rsidR="00BC64FB" w:rsidRPr="00BC64FB" w:rsidRDefault="0026636A" w:rsidP="000077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 henvises til kommentaren til h</w:t>
            </w:r>
            <w:r>
              <w:rPr>
                <w:rFonts w:ascii="Times New Roman" w:hAnsi="Times New Roman" w:cs="Times New Roman"/>
              </w:rPr>
              <w:t>ø</w:t>
            </w:r>
            <w:r>
              <w:rPr>
                <w:rFonts w:ascii="Times New Roman" w:hAnsi="Times New Roman" w:cs="Times New Roman"/>
              </w:rPr>
              <w:t>ringssvaret fra FSR.</w:t>
            </w:r>
          </w:p>
        </w:tc>
      </w:tr>
      <w:tr w:rsidR="006A25E4" w:rsidRPr="009C4D49" w:rsidTr="00D462E1">
        <w:tc>
          <w:tcPr>
            <w:tcW w:w="2171" w:type="dxa"/>
          </w:tcPr>
          <w:p w:rsidR="001E38B7" w:rsidRPr="009C4D49" w:rsidRDefault="009C4D49" w:rsidP="009C4D49">
            <w:pPr>
              <w:rPr>
                <w:rFonts w:ascii="Times New Roman" w:hAnsi="Times New Roman" w:cs="Times New Roman"/>
              </w:rPr>
            </w:pPr>
            <w:proofErr w:type="spellStart"/>
            <w:r w:rsidRPr="009C4D49">
              <w:rPr>
                <w:rFonts w:ascii="Times New Roman" w:hAnsi="Times New Roman" w:cs="Times New Roman"/>
              </w:rPr>
              <w:t>Videncentret</w:t>
            </w:r>
            <w:proofErr w:type="spellEnd"/>
            <w:r w:rsidRPr="009C4D49">
              <w:rPr>
                <w:rFonts w:ascii="Times New Roman" w:hAnsi="Times New Roman" w:cs="Times New Roman"/>
              </w:rPr>
              <w:t xml:space="preserve"> for Landbrug</w:t>
            </w:r>
          </w:p>
        </w:tc>
        <w:tc>
          <w:tcPr>
            <w:tcW w:w="3649" w:type="dxa"/>
          </w:tcPr>
          <w:p w:rsidR="00651438" w:rsidRDefault="00651438" w:rsidP="00196A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Mener, at det ikke fremgår af lovte</w:t>
            </w:r>
            <w:r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 xml:space="preserve">sten, at infrastrukturanlæg mv. ikke er omfattet af § 5 D om et forhøjet afskrivningsgrundlag. </w:t>
            </w:r>
          </w:p>
          <w:p w:rsidR="00651438" w:rsidRDefault="00651438" w:rsidP="00196A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651438" w:rsidRDefault="00651438" w:rsidP="00196A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651438" w:rsidRDefault="00651438" w:rsidP="00196A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E38B7" w:rsidRDefault="00702D6D" w:rsidP="00196A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 det</w:t>
            </w:r>
            <w:r w:rsidR="006317E3">
              <w:rPr>
                <w:rFonts w:ascii="Times New Roman" w:hAnsi="Times New Roman" w:cs="Times New Roman"/>
              </w:rPr>
              <w:t xml:space="preserve"> bekræftes, at etablerings- og iværksætterkontoordningernes regler</w:t>
            </w:r>
            <w:r w:rsidR="006A25E4">
              <w:rPr>
                <w:rFonts w:ascii="Times New Roman" w:hAnsi="Times New Roman" w:cs="Times New Roman"/>
              </w:rPr>
              <w:t xml:space="preserve"> </w:t>
            </w:r>
            <w:r w:rsidR="006317E3">
              <w:rPr>
                <w:rFonts w:ascii="Times New Roman" w:hAnsi="Times New Roman" w:cs="Times New Roman"/>
              </w:rPr>
              <w:t>kan anvendes i forbindelse med a</w:t>
            </w:r>
            <w:r w:rsidR="006317E3">
              <w:rPr>
                <w:rFonts w:ascii="Times New Roman" w:hAnsi="Times New Roman" w:cs="Times New Roman"/>
              </w:rPr>
              <w:t>n</w:t>
            </w:r>
            <w:r w:rsidR="006317E3">
              <w:rPr>
                <w:rFonts w:ascii="Times New Roman" w:hAnsi="Times New Roman" w:cs="Times New Roman"/>
              </w:rPr>
              <w:t>skaffelse af driftsmidler, der indgår i det forhøjede afskrivningsgrundlag efter § 5 D</w:t>
            </w:r>
            <w:r w:rsidR="006A25E4">
              <w:rPr>
                <w:rFonts w:ascii="Times New Roman" w:hAnsi="Times New Roman" w:cs="Times New Roman"/>
              </w:rPr>
              <w:t>?</w:t>
            </w:r>
          </w:p>
          <w:p w:rsidR="00196A82" w:rsidRDefault="00196A82" w:rsidP="00196A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96A82" w:rsidRDefault="003C0A0C" w:rsidP="00196A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Efterlyser en mere detaljeret a</w:t>
            </w:r>
            <w:r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>grænsning af ”fabriksnye”.</w:t>
            </w:r>
          </w:p>
          <w:p w:rsidR="003C0A0C" w:rsidRDefault="003C0A0C" w:rsidP="00196A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3C0A0C" w:rsidRDefault="003C0A0C" w:rsidP="003C0A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 ønskes afklaret, hvorvidt forbe</w:t>
            </w:r>
            <w:r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ringsudgifter</w:t>
            </w:r>
            <w:r w:rsidR="002C44CE">
              <w:rPr>
                <w:rFonts w:ascii="Times New Roman" w:hAnsi="Times New Roman" w:cs="Times New Roman"/>
              </w:rPr>
              <w:t>, reparationsudgifter og udbetalt forsikring/erstatning</w:t>
            </w:r>
            <w:r>
              <w:rPr>
                <w:rFonts w:ascii="Times New Roman" w:hAnsi="Times New Roman" w:cs="Times New Roman"/>
              </w:rPr>
              <w:t xml:space="preserve"> kan indgå på den særskilte saldo med 115 pct.</w:t>
            </w:r>
          </w:p>
          <w:p w:rsidR="003C0A0C" w:rsidRDefault="003C0A0C" w:rsidP="003C0A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2C44CE" w:rsidRDefault="003C0A0C" w:rsidP="003C0A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Finder det uklart, om </w:t>
            </w:r>
            <w:proofErr w:type="spellStart"/>
            <w:r>
              <w:rPr>
                <w:rFonts w:ascii="Times New Roman" w:hAnsi="Times New Roman" w:cs="Times New Roman"/>
              </w:rPr>
              <w:t>tabsreglen</w:t>
            </w:r>
            <w:proofErr w:type="spellEnd"/>
            <w:r>
              <w:rPr>
                <w:rFonts w:ascii="Times New Roman" w:hAnsi="Times New Roman" w:cs="Times New Roman"/>
              </w:rPr>
              <w:t xml:space="preserve"> i a</w:t>
            </w:r>
            <w:r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>skrivningslovens § 5 A gælder for driftsmidler, der vælges afskrevet e</w:t>
            </w:r>
            <w:r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>ter den foreslåede § 5 D.</w:t>
            </w:r>
          </w:p>
          <w:p w:rsidR="002C44CE" w:rsidRDefault="002C44CE" w:rsidP="003C0A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2C44CE" w:rsidRDefault="002C44CE" w:rsidP="003C0A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2C44CE" w:rsidRDefault="002C44CE" w:rsidP="003C0A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2C44CE" w:rsidRDefault="002C44CE" w:rsidP="003C0A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775034" w:rsidRDefault="002C44CE" w:rsidP="002C4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 bør ske afklaring af forholdet mellem den foreslåede § 5 D og de gældende §§ 8 og 9.</w:t>
            </w:r>
          </w:p>
          <w:p w:rsidR="00775034" w:rsidRDefault="00775034" w:rsidP="002C4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3C0A0C" w:rsidRPr="009C4D49" w:rsidRDefault="00775034" w:rsidP="002C4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Der spørges til behandlingen af </w:t>
            </w:r>
            <w:proofErr w:type="spellStart"/>
            <w:r>
              <w:rPr>
                <w:rFonts w:ascii="Times New Roman" w:hAnsi="Times New Roman" w:cs="Times New Roman"/>
              </w:rPr>
              <w:t>VE-anlæg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2C44CE">
              <w:rPr>
                <w:rFonts w:ascii="Times New Roman" w:hAnsi="Times New Roman" w:cs="Times New Roman"/>
              </w:rPr>
              <w:t xml:space="preserve"> </w:t>
            </w:r>
            <w:r w:rsidR="003C0A0C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644" w:type="dxa"/>
          </w:tcPr>
          <w:p w:rsidR="00651438" w:rsidRDefault="00651438" w:rsidP="002C44C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 fremgår klart af lovteksten i § 5 D, stk. 1, at infrastrukturanlæg mv. ikke er omfatt</w:t>
            </w:r>
            <w:r w:rsidR="006317E3">
              <w:rPr>
                <w:rFonts w:ascii="Times New Roman" w:hAnsi="Times New Roman" w:cs="Times New Roman"/>
              </w:rPr>
              <w:t xml:space="preserve">et. Efter bestemmelsen kan der vælges afskrivning </w:t>
            </w:r>
            <w:r>
              <w:rPr>
                <w:rFonts w:ascii="Times New Roman" w:hAnsi="Times New Roman" w:cs="Times New Roman"/>
              </w:rPr>
              <w:t>efter § 5 D ”i stedet for” efter § 5, som ikke omfatter infrastrukturanlæg mv.</w:t>
            </w:r>
          </w:p>
          <w:p w:rsidR="00651438" w:rsidRDefault="00651438" w:rsidP="002C44C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C0A0C" w:rsidRDefault="006317E3" w:rsidP="002C44C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Ja. Det kan bekræftes.</w:t>
            </w:r>
          </w:p>
          <w:p w:rsidR="003C0A0C" w:rsidRDefault="003C0A0C" w:rsidP="002C44C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317E3" w:rsidRDefault="006317E3" w:rsidP="002C44C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317E3" w:rsidRDefault="006317E3" w:rsidP="002C44C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317E3" w:rsidRDefault="006317E3" w:rsidP="002C44C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317E3" w:rsidRDefault="006317E3" w:rsidP="002C44C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317E3" w:rsidRDefault="006317E3" w:rsidP="002C44C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C0A0C" w:rsidRDefault="003C0A0C" w:rsidP="002C44C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 henvises til kommentaren til h</w:t>
            </w:r>
            <w:r>
              <w:rPr>
                <w:rFonts w:ascii="Times New Roman" w:hAnsi="Times New Roman" w:cs="Times New Roman"/>
              </w:rPr>
              <w:t>ø</w:t>
            </w:r>
            <w:r>
              <w:rPr>
                <w:rFonts w:ascii="Times New Roman" w:hAnsi="Times New Roman" w:cs="Times New Roman"/>
              </w:rPr>
              <w:t>ringssvaret fra FSR.</w:t>
            </w:r>
          </w:p>
          <w:p w:rsidR="003C0A0C" w:rsidRDefault="003C0A0C" w:rsidP="002C44C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C0A0C" w:rsidRDefault="002C44CE" w:rsidP="002C44C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 omtalte udgifter </w:t>
            </w:r>
            <w:r w:rsidR="003C0A0C">
              <w:rPr>
                <w:rFonts w:ascii="Times New Roman" w:hAnsi="Times New Roman" w:cs="Times New Roman"/>
              </w:rPr>
              <w:t>kan ikke indgå på den særskilte saldo med 115 pct., men skal indgå på den almindelige driftsmiddelsaldo.</w:t>
            </w:r>
          </w:p>
          <w:p w:rsidR="003C0A0C" w:rsidRDefault="003C0A0C" w:rsidP="002C44C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C44CE" w:rsidRDefault="002C44CE" w:rsidP="002C44C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E38B7" w:rsidRDefault="005F1C45" w:rsidP="002C44C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Der vil blive stillet ændringsforslag til L 192 som fremsat om indsættelse af en klar hjemmel til, at reglen om </w:t>
            </w:r>
            <w:proofErr w:type="spellStart"/>
            <w:r>
              <w:rPr>
                <w:rFonts w:ascii="Times New Roman" w:hAnsi="Times New Roman" w:cs="Times New Roman"/>
              </w:rPr>
              <w:t>tabsfradrag</w:t>
            </w:r>
            <w:proofErr w:type="spellEnd"/>
            <w:r>
              <w:rPr>
                <w:rFonts w:ascii="Times New Roman" w:hAnsi="Times New Roman" w:cs="Times New Roman"/>
              </w:rPr>
              <w:t xml:space="preserve"> i afskrivningslovens § 5 A også gælder for driftsmidler, der vælges afskrevet på et afskrivning</w:t>
            </w:r>
            <w:r>
              <w:rPr>
                <w:rFonts w:ascii="Times New Roman" w:hAnsi="Times New Roman" w:cs="Times New Roman"/>
              </w:rPr>
              <w:t>s</w:t>
            </w:r>
            <w:r w:rsidR="0040602D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>rundlag på 115 pct.</w:t>
            </w:r>
          </w:p>
          <w:p w:rsidR="002C44CE" w:rsidRDefault="002C44CE" w:rsidP="002C44C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C44CE" w:rsidRDefault="00C6370A" w:rsidP="00B25D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Problemstillingen vil blive overvejet.</w:t>
            </w:r>
          </w:p>
          <w:p w:rsidR="002C44CE" w:rsidRDefault="002C44CE" w:rsidP="00B25D9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25D99" w:rsidRDefault="00B25D99" w:rsidP="00B25D9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C6370A" w:rsidRDefault="00C6370A" w:rsidP="00B25D9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75034" w:rsidRPr="009C4D49" w:rsidRDefault="00775034" w:rsidP="00B81C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VE-anlæg</w:t>
            </w:r>
            <w:proofErr w:type="spellEnd"/>
            <w:r>
              <w:rPr>
                <w:rFonts w:ascii="Times New Roman" w:hAnsi="Times New Roman" w:cs="Times New Roman"/>
              </w:rPr>
              <w:t xml:space="preserve"> (vedvarende energianlæg</w:t>
            </w:r>
            <w:r w:rsidR="00CA028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er omfattet af ordningen med et fo</w:t>
            </w: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højet afskrivningsgrundlag i det o</w:t>
            </w: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fang</w:t>
            </w:r>
            <w:r w:rsidR="00CA028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de </w:t>
            </w:r>
            <w:r w:rsidR="003F196D">
              <w:rPr>
                <w:rFonts w:ascii="Times New Roman" w:hAnsi="Times New Roman" w:cs="Times New Roman"/>
              </w:rPr>
              <w:t>er afskrivningsberettigede</w:t>
            </w:r>
            <w:r>
              <w:rPr>
                <w:rFonts w:ascii="Times New Roman" w:hAnsi="Times New Roman" w:cs="Times New Roman"/>
              </w:rPr>
              <w:t xml:space="preserve"> efter afskrivningslovens § 5.</w:t>
            </w:r>
          </w:p>
        </w:tc>
      </w:tr>
    </w:tbl>
    <w:p w:rsidR="00173EEF" w:rsidRPr="008236F0" w:rsidRDefault="00173EEF">
      <w:pPr>
        <w:rPr>
          <w:b/>
          <w:sz w:val="24"/>
        </w:rPr>
      </w:pPr>
    </w:p>
    <w:p w:rsidR="00173EEF" w:rsidRDefault="00173EEF">
      <w:pPr>
        <w:rPr>
          <w:sz w:val="24"/>
        </w:rPr>
      </w:pPr>
    </w:p>
    <w:sectPr w:rsidR="00173EEF" w:rsidSect="00EC277C">
      <w:footerReference w:type="default" r:id="rId6"/>
      <w:headerReference w:type="first" r:id="rId7"/>
      <w:pgSz w:w="11906" w:h="16838" w:code="9"/>
      <w:pgMar w:top="1258" w:right="1826" w:bottom="1134" w:left="1247" w:header="180" w:footer="709" w:gutter="0"/>
      <w:paperSrc w:first="256" w:other="25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F32" w:rsidRDefault="00C91F32">
      <w:r>
        <w:separator/>
      </w:r>
    </w:p>
  </w:endnote>
  <w:endnote w:type="continuationSeparator" w:id="0">
    <w:p w:rsidR="00C91F32" w:rsidRDefault="00C91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F32" w:rsidRDefault="00C91F32">
    <w:pPr>
      <w:pStyle w:val="DepartementSidefod"/>
      <w:jc w:val="right"/>
    </w:pPr>
    <w:r>
      <w:t xml:space="preserve">Side </w:t>
    </w:r>
    <w:r w:rsidR="00A16AAD">
      <w:rPr>
        <w:rStyle w:val="Sidetal"/>
      </w:rPr>
      <w:fldChar w:fldCharType="begin"/>
    </w:r>
    <w:r>
      <w:rPr>
        <w:rStyle w:val="Sidetal"/>
      </w:rPr>
      <w:instrText xml:space="preserve"> PAGE </w:instrText>
    </w:r>
    <w:r w:rsidR="00A16AAD">
      <w:rPr>
        <w:rStyle w:val="Sidetal"/>
      </w:rPr>
      <w:fldChar w:fldCharType="separate"/>
    </w:r>
    <w:r w:rsidR="00682CB4">
      <w:rPr>
        <w:rStyle w:val="Sidetal"/>
        <w:noProof/>
      </w:rPr>
      <w:t>9</w:t>
    </w:r>
    <w:r w:rsidR="00A16AAD">
      <w:rPr>
        <w:rStyle w:val="Sidet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F32" w:rsidRDefault="00C91F32">
      <w:r>
        <w:separator/>
      </w:r>
    </w:p>
  </w:footnote>
  <w:footnote w:type="continuationSeparator" w:id="0">
    <w:p w:rsidR="00C91F32" w:rsidRDefault="00C91F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8699" w:tblpY="1"/>
      <w:tblOverlap w:val="never"/>
      <w:tblW w:w="2484" w:type="dxa"/>
      <w:tblInd w:w="805" w:type="dxa"/>
      <w:tblCellMar>
        <w:top w:w="2262" w:type="dxa"/>
      </w:tblCellMar>
      <w:tblLook w:val="01E0"/>
    </w:tblPr>
    <w:tblGrid>
      <w:gridCol w:w="2484"/>
    </w:tblGrid>
    <w:tr w:rsidR="00C91F32">
      <w:trPr>
        <w:trHeight w:val="12079"/>
      </w:trPr>
      <w:tc>
        <w:tcPr>
          <w:tcW w:w="2484" w:type="dxa"/>
        </w:tcPr>
        <w:p w:rsidR="00C91F32" w:rsidRDefault="00C91F32">
          <w:pPr>
            <w:pStyle w:val="Departementtekst"/>
            <w:ind w:right="-105"/>
            <w:rPr>
              <w:rFonts w:ascii="Arial" w:hAnsi="Arial" w:cs="Arial"/>
              <w:sz w:val="14"/>
              <w:lang w:val="en-GB"/>
            </w:rPr>
          </w:pPr>
          <w:r>
            <w:rPr>
              <w:rFonts w:ascii="Arial" w:hAnsi="Arial" w:cs="Arial"/>
              <w:sz w:val="14"/>
              <w:lang w:val="en-GB"/>
            </w:rPr>
            <w:t xml:space="preserve">   J.nr. </w:t>
          </w:r>
          <w:bookmarkStart w:id="1" w:name="sagsnr"/>
          <w:bookmarkEnd w:id="1"/>
          <w:r>
            <w:rPr>
              <w:rFonts w:ascii="Arial" w:hAnsi="Arial" w:cs="Arial"/>
              <w:sz w:val="14"/>
              <w:lang w:val="en-GB"/>
            </w:rPr>
            <w:t>2012-311-0083</w:t>
          </w:r>
        </w:p>
        <w:p w:rsidR="00C91F32" w:rsidRDefault="00C91F32">
          <w:pPr>
            <w:pStyle w:val="Departementtekst"/>
            <w:ind w:right="-105"/>
            <w:rPr>
              <w:rFonts w:ascii="Arial" w:hAnsi="Arial" w:cs="Arial"/>
              <w:bCs/>
              <w:sz w:val="14"/>
              <w:lang w:val="en-GB"/>
            </w:rPr>
          </w:pPr>
          <w:r>
            <w:rPr>
              <w:rFonts w:ascii="Arial" w:hAnsi="Arial" w:cs="Arial"/>
              <w:bCs/>
              <w:sz w:val="14"/>
              <w:lang w:val="en-GB"/>
            </w:rPr>
            <w:t xml:space="preserve">   </w:t>
          </w:r>
          <w:proofErr w:type="spellStart"/>
          <w:r>
            <w:rPr>
              <w:rFonts w:ascii="Arial" w:hAnsi="Arial" w:cs="Arial"/>
              <w:bCs/>
              <w:sz w:val="14"/>
              <w:lang w:val="en-GB"/>
            </w:rPr>
            <w:t>Dato</w:t>
          </w:r>
          <w:proofErr w:type="spellEnd"/>
          <w:r>
            <w:rPr>
              <w:rFonts w:ascii="Arial" w:hAnsi="Arial" w:cs="Arial"/>
              <w:bCs/>
              <w:sz w:val="14"/>
              <w:lang w:val="en-GB"/>
            </w:rPr>
            <w:t>:</w:t>
          </w:r>
          <w:r w:rsidR="00D403CC">
            <w:rPr>
              <w:rFonts w:ascii="Arial" w:hAnsi="Arial" w:cs="Arial"/>
              <w:bCs/>
              <w:sz w:val="14"/>
              <w:lang w:val="en-GB"/>
            </w:rPr>
            <w:t xml:space="preserve"> 6. </w:t>
          </w:r>
          <w:proofErr w:type="spellStart"/>
          <w:r w:rsidR="00D403CC">
            <w:rPr>
              <w:rFonts w:ascii="Arial" w:hAnsi="Arial" w:cs="Arial"/>
              <w:bCs/>
              <w:sz w:val="14"/>
              <w:lang w:val="en-GB"/>
            </w:rPr>
            <w:t>juni</w:t>
          </w:r>
          <w:proofErr w:type="spellEnd"/>
          <w:r w:rsidR="00D403CC">
            <w:rPr>
              <w:rFonts w:ascii="Arial" w:hAnsi="Arial" w:cs="Arial"/>
              <w:bCs/>
              <w:sz w:val="14"/>
              <w:lang w:val="en-GB"/>
            </w:rPr>
            <w:t xml:space="preserve"> 2012 </w:t>
          </w:r>
        </w:p>
        <w:p w:rsidR="00C91F32" w:rsidRDefault="00C91F32">
          <w:pPr>
            <w:pStyle w:val="Departementtekst"/>
            <w:tabs>
              <w:tab w:val="left" w:pos="720"/>
            </w:tabs>
            <w:ind w:left="540" w:right="-105"/>
            <w:rPr>
              <w:sz w:val="14"/>
              <w:lang w:val="en-GB"/>
            </w:rPr>
          </w:pPr>
        </w:p>
        <w:p w:rsidR="00C91F32" w:rsidRDefault="00C91F32">
          <w:pPr>
            <w:pStyle w:val="Departementtekst"/>
            <w:ind w:left="540" w:right="-105"/>
            <w:rPr>
              <w:sz w:val="14"/>
              <w:lang w:val="en-GB"/>
            </w:rPr>
          </w:pPr>
        </w:p>
        <w:p w:rsidR="00C91F32" w:rsidRDefault="00C91F32">
          <w:pPr>
            <w:pStyle w:val="Departementtekst"/>
            <w:ind w:left="540" w:right="-105"/>
            <w:rPr>
              <w:sz w:val="14"/>
              <w:lang w:val="en-GB"/>
            </w:rPr>
          </w:pPr>
        </w:p>
        <w:p w:rsidR="00C91F32" w:rsidRDefault="00C91F32">
          <w:pPr>
            <w:pStyle w:val="Departementtekst"/>
            <w:rPr>
              <w:lang w:val="en-GB"/>
            </w:rPr>
          </w:pPr>
        </w:p>
      </w:tc>
    </w:tr>
  </w:tbl>
  <w:p w:rsidR="00C91F32" w:rsidRDefault="00C91F32">
    <w:pPr>
      <w:pStyle w:val="Departementtekst"/>
      <w:ind w:right="-130"/>
      <w:jc w:val="right"/>
      <w:rPr>
        <w:lang w:val="fr-FR"/>
      </w:rPr>
    </w:pPr>
    <w:r>
      <w:rPr>
        <w:noProof/>
      </w:rPr>
      <w:drawing>
        <wp:inline distT="0" distB="0" distL="0" distR="0">
          <wp:extent cx="2857500" cy="838200"/>
          <wp:effectExtent l="19050" t="0" r="0" b="0"/>
          <wp:docPr id="1" name="Billede 1" descr="SK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1304"/>
  <w:autoHyphenation/>
  <w:hyphenationZone w:val="284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EEF"/>
    <w:rsid w:val="00007799"/>
    <w:rsid w:val="0001454B"/>
    <w:rsid w:val="0003208C"/>
    <w:rsid w:val="000354C3"/>
    <w:rsid w:val="0003575C"/>
    <w:rsid w:val="000820F7"/>
    <w:rsid w:val="000852A0"/>
    <w:rsid w:val="000A665A"/>
    <w:rsid w:val="000B6C04"/>
    <w:rsid w:val="000E7D53"/>
    <w:rsid w:val="000F25F6"/>
    <w:rsid w:val="000F51F5"/>
    <w:rsid w:val="000F62FC"/>
    <w:rsid w:val="001004E1"/>
    <w:rsid w:val="001235CC"/>
    <w:rsid w:val="001562C3"/>
    <w:rsid w:val="00173EEF"/>
    <w:rsid w:val="00194615"/>
    <w:rsid w:val="00196A82"/>
    <w:rsid w:val="001A7986"/>
    <w:rsid w:val="001A7E89"/>
    <w:rsid w:val="001B3E18"/>
    <w:rsid w:val="001E0479"/>
    <w:rsid w:val="001E38B7"/>
    <w:rsid w:val="001E462C"/>
    <w:rsid w:val="00217F5D"/>
    <w:rsid w:val="002329A0"/>
    <w:rsid w:val="002461A1"/>
    <w:rsid w:val="0026636A"/>
    <w:rsid w:val="00272D25"/>
    <w:rsid w:val="00273D13"/>
    <w:rsid w:val="002A1B69"/>
    <w:rsid w:val="002B5BEA"/>
    <w:rsid w:val="002B72BC"/>
    <w:rsid w:val="002C44CE"/>
    <w:rsid w:val="002E1D73"/>
    <w:rsid w:val="00300BD0"/>
    <w:rsid w:val="003016E4"/>
    <w:rsid w:val="00301C14"/>
    <w:rsid w:val="00333AA4"/>
    <w:rsid w:val="00350912"/>
    <w:rsid w:val="00351C3B"/>
    <w:rsid w:val="00357B3F"/>
    <w:rsid w:val="00360F6F"/>
    <w:rsid w:val="003610D8"/>
    <w:rsid w:val="003672F9"/>
    <w:rsid w:val="003873A9"/>
    <w:rsid w:val="003C0A0C"/>
    <w:rsid w:val="003F0E65"/>
    <w:rsid w:val="003F196D"/>
    <w:rsid w:val="0040602D"/>
    <w:rsid w:val="0044532F"/>
    <w:rsid w:val="00445508"/>
    <w:rsid w:val="00463FCF"/>
    <w:rsid w:val="00466D0F"/>
    <w:rsid w:val="004A0D77"/>
    <w:rsid w:val="004A124A"/>
    <w:rsid w:val="004B2196"/>
    <w:rsid w:val="00505D4C"/>
    <w:rsid w:val="005360B4"/>
    <w:rsid w:val="005930BD"/>
    <w:rsid w:val="005B111A"/>
    <w:rsid w:val="005D59C3"/>
    <w:rsid w:val="005E5193"/>
    <w:rsid w:val="005F1C45"/>
    <w:rsid w:val="00624DBD"/>
    <w:rsid w:val="006316EA"/>
    <w:rsid w:val="006317E3"/>
    <w:rsid w:val="00637055"/>
    <w:rsid w:val="00644F1A"/>
    <w:rsid w:val="00651438"/>
    <w:rsid w:val="00682CB4"/>
    <w:rsid w:val="006848AD"/>
    <w:rsid w:val="006A25E4"/>
    <w:rsid w:val="006B1F3B"/>
    <w:rsid w:val="006C21CE"/>
    <w:rsid w:val="006D5F71"/>
    <w:rsid w:val="006E68F5"/>
    <w:rsid w:val="00702D6D"/>
    <w:rsid w:val="00706C41"/>
    <w:rsid w:val="007152BE"/>
    <w:rsid w:val="00721009"/>
    <w:rsid w:val="007540AD"/>
    <w:rsid w:val="00771948"/>
    <w:rsid w:val="00775034"/>
    <w:rsid w:val="007764F5"/>
    <w:rsid w:val="00796F36"/>
    <w:rsid w:val="007A24C7"/>
    <w:rsid w:val="007B2817"/>
    <w:rsid w:val="007C14E5"/>
    <w:rsid w:val="007D62B0"/>
    <w:rsid w:val="007F2FD0"/>
    <w:rsid w:val="007F63AA"/>
    <w:rsid w:val="00812DCD"/>
    <w:rsid w:val="00814BF2"/>
    <w:rsid w:val="00822F25"/>
    <w:rsid w:val="008236F0"/>
    <w:rsid w:val="00831582"/>
    <w:rsid w:val="0083386E"/>
    <w:rsid w:val="00835CE1"/>
    <w:rsid w:val="00851D9F"/>
    <w:rsid w:val="008A6905"/>
    <w:rsid w:val="008B54E9"/>
    <w:rsid w:val="008E4928"/>
    <w:rsid w:val="008F2938"/>
    <w:rsid w:val="00901487"/>
    <w:rsid w:val="009017A3"/>
    <w:rsid w:val="00915B88"/>
    <w:rsid w:val="009255CD"/>
    <w:rsid w:val="00926F61"/>
    <w:rsid w:val="00952E23"/>
    <w:rsid w:val="00953B7B"/>
    <w:rsid w:val="0099491E"/>
    <w:rsid w:val="009A2D2D"/>
    <w:rsid w:val="009A3DB0"/>
    <w:rsid w:val="009A3E0B"/>
    <w:rsid w:val="009B3F1D"/>
    <w:rsid w:val="009C4D49"/>
    <w:rsid w:val="009C6782"/>
    <w:rsid w:val="009D2A8A"/>
    <w:rsid w:val="009D72C6"/>
    <w:rsid w:val="00A10064"/>
    <w:rsid w:val="00A16AAD"/>
    <w:rsid w:val="00A23FD0"/>
    <w:rsid w:val="00A331CC"/>
    <w:rsid w:val="00A33212"/>
    <w:rsid w:val="00A52D7F"/>
    <w:rsid w:val="00A72842"/>
    <w:rsid w:val="00A74EF0"/>
    <w:rsid w:val="00A83561"/>
    <w:rsid w:val="00AE2031"/>
    <w:rsid w:val="00AE7D15"/>
    <w:rsid w:val="00B13054"/>
    <w:rsid w:val="00B25D99"/>
    <w:rsid w:val="00B43938"/>
    <w:rsid w:val="00B467A6"/>
    <w:rsid w:val="00B6622C"/>
    <w:rsid w:val="00B6665B"/>
    <w:rsid w:val="00B7034E"/>
    <w:rsid w:val="00B81C21"/>
    <w:rsid w:val="00B944D7"/>
    <w:rsid w:val="00BA3887"/>
    <w:rsid w:val="00BC64FB"/>
    <w:rsid w:val="00BD7FB5"/>
    <w:rsid w:val="00BF1227"/>
    <w:rsid w:val="00C6370A"/>
    <w:rsid w:val="00C91F32"/>
    <w:rsid w:val="00CA028C"/>
    <w:rsid w:val="00CB734E"/>
    <w:rsid w:val="00D0542F"/>
    <w:rsid w:val="00D16DD8"/>
    <w:rsid w:val="00D403CC"/>
    <w:rsid w:val="00D437DF"/>
    <w:rsid w:val="00D461F2"/>
    <w:rsid w:val="00D462E1"/>
    <w:rsid w:val="00D62C47"/>
    <w:rsid w:val="00D80853"/>
    <w:rsid w:val="00DD7EA2"/>
    <w:rsid w:val="00DE23FE"/>
    <w:rsid w:val="00E36248"/>
    <w:rsid w:val="00E838A7"/>
    <w:rsid w:val="00EA40FA"/>
    <w:rsid w:val="00EA69AE"/>
    <w:rsid w:val="00EB0A25"/>
    <w:rsid w:val="00EC277C"/>
    <w:rsid w:val="00EF6CE1"/>
    <w:rsid w:val="00F23CB6"/>
    <w:rsid w:val="00F47C30"/>
    <w:rsid w:val="00F84B2F"/>
    <w:rsid w:val="00FA2867"/>
    <w:rsid w:val="00FA7F62"/>
    <w:rsid w:val="00FC3628"/>
    <w:rsid w:val="00FD3B15"/>
    <w:rsid w:val="00FF4520"/>
    <w:rsid w:val="00FF5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277C"/>
    <w:pPr>
      <w:spacing w:after="150"/>
    </w:pPr>
    <w:rPr>
      <w:sz w:val="23"/>
      <w:szCs w:val="24"/>
    </w:rPr>
  </w:style>
  <w:style w:type="paragraph" w:styleId="Overskrift1">
    <w:name w:val="heading 1"/>
    <w:basedOn w:val="Normal"/>
    <w:next w:val="Normal"/>
    <w:qFormat/>
    <w:rsid w:val="00EC277C"/>
    <w:pPr>
      <w:keepNext/>
      <w:spacing w:before="20" w:after="20"/>
      <w:outlineLvl w:val="0"/>
    </w:pPr>
    <w:rPr>
      <w:b/>
      <w:bCs/>
      <w:sz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EC277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EC277C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C277C"/>
  </w:style>
  <w:style w:type="paragraph" w:styleId="Markeringsbobletekst">
    <w:name w:val="Balloon Text"/>
    <w:basedOn w:val="Normal"/>
    <w:link w:val="MarkeringsbobletekstTegn"/>
    <w:rsid w:val="002B72BC"/>
    <w:pPr>
      <w:spacing w:after="0"/>
    </w:pPr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rsid w:val="00EC277C"/>
    <w:pPr>
      <w:spacing w:after="240" w:line="240" w:lineRule="atLeast"/>
    </w:pPr>
    <w:rPr>
      <w:spacing w:val="-5"/>
      <w:szCs w:val="20"/>
      <w:lang w:eastAsia="en-US"/>
    </w:rPr>
  </w:style>
  <w:style w:type="character" w:styleId="Hyperlink">
    <w:name w:val="Hyperlink"/>
    <w:basedOn w:val="Standardskrifttypeiafsnit"/>
    <w:rsid w:val="00EC277C"/>
    <w:rPr>
      <w:color w:val="0000FF"/>
      <w:u w:val="single"/>
    </w:rPr>
  </w:style>
  <w:style w:type="paragraph" w:customStyle="1" w:styleId="Adressat">
    <w:name w:val="Adressat"/>
    <w:rsid w:val="00EC277C"/>
    <w:pPr>
      <w:spacing w:after="150" w:line="180" w:lineRule="exact"/>
      <w:jc w:val="both"/>
    </w:pPr>
    <w:rPr>
      <w:sz w:val="23"/>
      <w:szCs w:val="24"/>
    </w:rPr>
  </w:style>
  <w:style w:type="paragraph" w:customStyle="1" w:styleId="Departementtekst">
    <w:name w:val="Departement tekst"/>
    <w:rsid w:val="00EC277C"/>
    <w:pPr>
      <w:spacing w:after="130"/>
    </w:pPr>
    <w:rPr>
      <w:rFonts w:ascii="Verdana" w:hAnsi="Verdana"/>
      <w:sz w:val="17"/>
      <w:szCs w:val="24"/>
    </w:rPr>
  </w:style>
  <w:style w:type="paragraph" w:customStyle="1" w:styleId="Vedrrendetitel">
    <w:name w:val="Vedrørende titel"/>
    <w:next w:val="Normal"/>
    <w:rsid w:val="00EC277C"/>
    <w:pPr>
      <w:spacing w:after="90"/>
    </w:pPr>
    <w:rPr>
      <w:rFonts w:ascii="Verdana" w:hAnsi="Verdana"/>
      <w:b/>
      <w:sz w:val="15"/>
      <w:szCs w:val="24"/>
    </w:rPr>
  </w:style>
  <w:style w:type="paragraph" w:customStyle="1" w:styleId="DepartementSidefod">
    <w:name w:val="Departement Sidefod"/>
    <w:rsid w:val="00EC277C"/>
    <w:pPr>
      <w:spacing w:after="170"/>
    </w:pPr>
    <w:rPr>
      <w:rFonts w:ascii="Verdana" w:hAnsi="Verdana"/>
      <w:sz w:val="13"/>
      <w:szCs w:val="13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B72BC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7152B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p\Skrivebord\tmp\Kopi%20af%20%5bCaptia%5d%20Brev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Kopi af [Captia] Brev.dot</Template>
  <TotalTime>645</TotalTime>
  <Pages>9</Pages>
  <Words>2748</Words>
  <Characters>16455</Characters>
  <Application>Microsoft Office Word</Application>
  <DocSecurity>0</DocSecurity>
  <Lines>747</Lines>
  <Paragraphs>120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</vt:lpstr>
    </vt:vector>
  </TitlesOfParts>
  <Company>Skatteministeriet</Company>
  <LinksUpToDate>false</LinksUpToDate>
  <CharactersWithSpaces>19083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Peter Bak</dc:creator>
  <cp:keywords/>
  <dc:description/>
  <cp:lastModifiedBy>Peter Bak</cp:lastModifiedBy>
  <cp:revision>142</cp:revision>
  <cp:lastPrinted>2012-06-06T12:49:00Z</cp:lastPrinted>
  <dcterms:created xsi:type="dcterms:W3CDTF">2012-06-01T14:36:00Z</dcterms:created>
  <dcterms:modified xsi:type="dcterms:W3CDTF">2012-06-06T12:51:00Z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">
    <vt:lpwstr>ds@skm.dk</vt:lpwstr>
  </property>
  <property fmtid="{D5CDD505-2E9C-101B-9397-08002B2CF9AE}" pid="3" name="dir">
    <vt:lpwstr>+45 33 92 44 62</vt:lpwstr>
  </property>
  <property fmtid="{D5CDD505-2E9C-101B-9397-08002B2CF9AE}" pid="4" name="mobil">
    <vt:lpwstr>+45 20 20 20 20</vt:lpwstr>
  </property>
  <property fmtid="{D5CDD505-2E9C-101B-9397-08002B2CF9AE}" pid="5" name="path">
    <vt:lpwstr>C:\Documents and Settings\w17741\Lokale indstillinger\Temporary Internet Files\Content.Outlook\3CJXXGUD\SJ20120601121034245.docx</vt:lpwstr>
  </property>
  <property fmtid="{D5CDD505-2E9C-101B-9397-08002B2CF9AE}" pid="6" name="title">
    <vt:lpwstr/>
  </property>
  <property fmtid="{D5CDD505-2E9C-101B-9397-08002B2CF9AE}" pid="7" name="command">
    <vt:lpwstr>&amp;file_key=25307</vt:lpwstr>
  </property>
  <property fmtid="{D5CDD505-2E9C-101B-9397-08002B2CF9AE}" pid="8" name="_AdHocReviewCycleID">
    <vt:i4>1404035920</vt:i4>
  </property>
  <property fmtid="{D5CDD505-2E9C-101B-9397-08002B2CF9AE}" pid="9" name="_NewReviewCycle">
    <vt:lpwstr/>
  </property>
  <property fmtid="{D5CDD505-2E9C-101B-9397-08002B2CF9AE}" pid="10" name="_EmailSubject">
    <vt:lpwstr>L 192 - Høringsskema og høringssvar til SAU </vt:lpwstr>
  </property>
  <property fmtid="{D5CDD505-2E9C-101B-9397-08002B2CF9AE}" pid="11" name="_AuthorEmail">
    <vt:lpwstr>Peter.Bak@skat.dk</vt:lpwstr>
  </property>
  <property fmtid="{D5CDD505-2E9C-101B-9397-08002B2CF9AE}" pid="12" name="_AuthorEmailDisplayName">
    <vt:lpwstr>Peter Bak</vt:lpwstr>
  </property>
</Properties>
</file>