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0" w:type="auto"/>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116"/>
        <w:gridCol w:w="1939"/>
      </w:tblGrid>
      <w:tr w:rsidR="005271D6" w:rsidRPr="005757DF" w14:paraId="2DABC8F5" w14:textId="77777777" w:rsidTr="003F319A">
        <w:trPr>
          <w:cantSplit/>
          <w:trHeight w:val="2600"/>
        </w:trPr>
        <w:tc>
          <w:tcPr>
            <w:tcW w:w="7116" w:type="dxa"/>
          </w:tcPr>
          <w:p w14:paraId="7F397CEF" w14:textId="77777777" w:rsidR="005271D6" w:rsidRPr="005757DF" w:rsidRDefault="005271D6" w:rsidP="00353FAA"/>
          <w:p w14:paraId="5B7AD78E" w14:textId="77777777" w:rsidR="005271D6" w:rsidRPr="005757DF" w:rsidRDefault="005271D6" w:rsidP="00353FAA"/>
          <w:p w14:paraId="12AC50CF" w14:textId="77777777" w:rsidR="00E46DA0" w:rsidRPr="005757DF" w:rsidRDefault="00E46DA0" w:rsidP="00E46DA0"/>
          <w:p w14:paraId="77A4D017" w14:textId="77777777" w:rsidR="007F73B3" w:rsidRPr="005757DF" w:rsidRDefault="007F73B3" w:rsidP="008C5D90"/>
        </w:tc>
        <w:tc>
          <w:tcPr>
            <w:tcW w:w="1939" w:type="dxa"/>
          </w:tcPr>
          <w:p w14:paraId="08CFF9B8" w14:textId="77777777" w:rsidR="005271D6" w:rsidRPr="005757DF" w:rsidRDefault="005271D6" w:rsidP="00557A69"/>
        </w:tc>
      </w:tr>
      <w:tr w:rsidR="00541D1B" w:rsidRPr="005757DF" w14:paraId="7B7F57CC" w14:textId="77777777" w:rsidTr="003F319A">
        <w:trPr>
          <w:cantSplit/>
        </w:trPr>
        <w:tc>
          <w:tcPr>
            <w:tcW w:w="7116" w:type="dxa"/>
          </w:tcPr>
          <w:p w14:paraId="3D33725C" w14:textId="0B7F5098" w:rsidR="00541D1B" w:rsidRPr="005757DF" w:rsidRDefault="00B07E79" w:rsidP="00712A99">
            <w:pPr>
              <w:pStyle w:val="DocumentHeading"/>
            </w:pPr>
            <w:r w:rsidRPr="00B07E79">
              <w:t>Høring om forslag til Kommissionens gennemførelsesforordninger om godkendelse, fornyelse, ikke-godkendelse, ikke-fornyelse eller administrativ forlængelse af aktivstoffer i plantebeskyttelsesmidler, jf. Europa-Parlamentets og Rådets forordning (EF) nr. 1107/2009 om markedsføring af plantebeskyttelsesmidler, og om ændringer af bilaget til Kommissionens gennemførelsesforordning (EU) nr. 540/2011</w:t>
            </w:r>
          </w:p>
        </w:tc>
        <w:tc>
          <w:tcPr>
            <w:tcW w:w="1939" w:type="dxa"/>
          </w:tcPr>
          <w:p w14:paraId="79B6F91A" w14:textId="77777777" w:rsidR="00541D1B" w:rsidRPr="005757DF" w:rsidRDefault="00541D1B" w:rsidP="00557A69"/>
        </w:tc>
      </w:tr>
    </w:tbl>
    <w:p w14:paraId="79371323" w14:textId="77777777" w:rsidR="0023604D" w:rsidRDefault="0023604D" w:rsidP="008C5D90"/>
    <w:p w14:paraId="7B8DC2FB" w14:textId="052EAA30" w:rsidR="006F7F16" w:rsidRDefault="008C5D90" w:rsidP="008C5D90">
      <w:r w:rsidRPr="008C5D90">
        <w:t>Kommissionen har sat</w:t>
      </w:r>
      <w:r>
        <w:t xml:space="preserve"> nedenstående</w:t>
      </w:r>
      <w:r w:rsidRPr="008C5D90">
        <w:t xml:space="preserve"> </w:t>
      </w:r>
      <w:r>
        <w:t xml:space="preserve">forslag </w:t>
      </w:r>
      <w:r w:rsidRPr="008C5D90">
        <w:t xml:space="preserve">på dagsordenen til </w:t>
      </w:r>
      <w:r w:rsidR="00B07E79">
        <w:t xml:space="preserve">afstemning </w:t>
      </w:r>
      <w:r w:rsidRPr="008C5D90">
        <w:t xml:space="preserve">i </w:t>
      </w:r>
      <w:r w:rsidR="00B07E79">
        <w:t>D</w:t>
      </w:r>
      <w:r w:rsidR="00B07E79" w:rsidRPr="00AB6AF7">
        <w:t xml:space="preserve">en </w:t>
      </w:r>
      <w:r w:rsidR="00B07E79">
        <w:t>S</w:t>
      </w:r>
      <w:r w:rsidR="00B07E79" w:rsidRPr="00AB6AF7">
        <w:t xml:space="preserve">tående </w:t>
      </w:r>
      <w:r w:rsidR="00B07E79">
        <w:t>K</w:t>
      </w:r>
      <w:r w:rsidR="00B07E79" w:rsidRPr="00AB6AF7">
        <w:t xml:space="preserve">omité for </w:t>
      </w:r>
      <w:r w:rsidR="00B07E79">
        <w:t>P</w:t>
      </w:r>
      <w:r w:rsidR="00B07E79" w:rsidRPr="00AB6AF7">
        <w:t xml:space="preserve">lanter, </w:t>
      </w:r>
      <w:r w:rsidR="00B07E79">
        <w:t>D</w:t>
      </w:r>
      <w:r w:rsidR="00B07E79" w:rsidRPr="00AB6AF7">
        <w:t xml:space="preserve">yr, </w:t>
      </w:r>
      <w:r w:rsidR="00B07E79">
        <w:t>F</w:t>
      </w:r>
      <w:r w:rsidR="00B07E79" w:rsidRPr="00AB6AF7">
        <w:t xml:space="preserve">ødevarer og </w:t>
      </w:r>
      <w:r w:rsidR="00B07E79">
        <w:t>F</w:t>
      </w:r>
      <w:r w:rsidR="00B07E79" w:rsidRPr="00AB6AF7">
        <w:t>oder</w:t>
      </w:r>
      <w:r w:rsidR="00B07E79">
        <w:t xml:space="preserve"> </w:t>
      </w:r>
      <w:r w:rsidR="00B07E79" w:rsidRPr="008C0C28">
        <w:t>(SCoPAFF</w:t>
      </w:r>
      <w:r w:rsidR="00B07E79">
        <w:t>)</w:t>
      </w:r>
      <w:r w:rsidR="00BB63E6">
        <w:t xml:space="preserve"> 12.-13. november 2026</w:t>
      </w:r>
      <w:r w:rsidR="00B07E79">
        <w:t xml:space="preserve">. </w:t>
      </w:r>
      <w:r>
        <w:t xml:space="preserve"> </w:t>
      </w:r>
    </w:p>
    <w:p w14:paraId="6770ECDA" w14:textId="77777777" w:rsidR="006F7F16" w:rsidRDefault="006F7F16" w:rsidP="008C5D90"/>
    <w:p w14:paraId="54286F4F" w14:textId="1A1D8472" w:rsidR="008C5D90" w:rsidRDefault="008C5D90" w:rsidP="008C5D90">
      <w:r>
        <w:t>Kommissionens forslag</w:t>
      </w:r>
      <w:r w:rsidR="00384BF4">
        <w:t xml:space="preserve"> om</w:t>
      </w:r>
      <w:r w:rsidR="00BB63E6">
        <w:t xml:space="preserve"> ikke godkendelse af benzobicyclon</w:t>
      </w:r>
      <w:r w:rsidR="00F561D3">
        <w:t xml:space="preserve"> og godkendelse af </w:t>
      </w:r>
      <w:r w:rsidR="00F561D3" w:rsidRPr="00F561D3">
        <w:rPr>
          <w:i/>
          <w:iCs/>
        </w:rPr>
        <w:t>trichoderma harzianum</w:t>
      </w:r>
      <w:r w:rsidR="00F561D3">
        <w:t xml:space="preserve"> T28 som lav-risiko aktivstof</w:t>
      </w:r>
      <w:r w:rsidRPr="00384BF4">
        <w:rPr>
          <w:color w:val="0070C0"/>
        </w:rPr>
        <w:t xml:space="preserve"> </w:t>
      </w:r>
      <w:r>
        <w:t xml:space="preserve">ligger inden for standardmandatet på </w:t>
      </w:r>
      <w:r w:rsidR="00B07E79">
        <w:t>plantebeskyttelsesmiddel</w:t>
      </w:r>
      <w:r>
        <w:t xml:space="preserve">området, og det følger deraf, at Danmark støtter forslagene. </w:t>
      </w:r>
      <w:r w:rsidR="00384BF4">
        <w:t xml:space="preserve">Kommissionens forslag om forlængelse af en række aktivstoffer ligger inden for standardmandatet og det følger deraf, at </w:t>
      </w:r>
      <w:r w:rsidR="00384BF4" w:rsidRPr="00BB63E6">
        <w:t>Danmark ikke støtter forslage</w:t>
      </w:r>
      <w:r w:rsidR="00BB63E6" w:rsidRPr="00BB63E6">
        <w:t>ne</w:t>
      </w:r>
      <w:r w:rsidR="00384BF4">
        <w:t>, da der for</w:t>
      </w:r>
      <w:r w:rsidR="00BB63E6">
        <w:t xml:space="preserve"> ziram, paraffinolier og triclopyr</w:t>
      </w:r>
      <w:r w:rsidR="00384BF4" w:rsidRPr="00384BF4">
        <w:rPr>
          <w:color w:val="0070C0"/>
        </w:rPr>
        <w:t xml:space="preserve"> </w:t>
      </w:r>
      <w:r w:rsidR="00384BF4">
        <w:t>er udgivet en EFSA-konklusion for mere end 6 måneder siden, og der er identificeret</w:t>
      </w:r>
      <w:r w:rsidR="001220C8">
        <w:t xml:space="preserve"> </w:t>
      </w:r>
      <w:r w:rsidR="001220C8" w:rsidRPr="001220C8">
        <w:t>kritisk</w:t>
      </w:r>
      <w:r w:rsidR="001220C8">
        <w:t>e</w:t>
      </w:r>
      <w:r w:rsidR="001220C8" w:rsidRPr="001220C8">
        <w:t xml:space="preserve"> område, der giver anledning til bekymring</w:t>
      </w:r>
      <w:r w:rsidR="00384BF4">
        <w:t xml:space="preserve">. </w:t>
      </w:r>
      <w:r>
        <w:t>Standardmandatet kan findes på Folketingets hjemmeside</w:t>
      </w:r>
      <w:r w:rsidR="006F7F16">
        <w:t>:</w:t>
      </w:r>
      <w:r>
        <w:t xml:space="preserve"> (</w:t>
      </w:r>
      <w:hyperlink r:id="rId7" w:history="1">
        <w:r w:rsidR="00003F4A" w:rsidRPr="00322738">
          <w:rPr>
            <w:rStyle w:val="Hyperlink"/>
          </w:rPr>
          <w:t>https://www.ft.dk/samling/20231/almdel/MOF/bilag/622/2899626.pdf</w:t>
        </w:r>
      </w:hyperlink>
      <w:r w:rsidR="00003F4A">
        <w:t xml:space="preserve"> </w:t>
      </w:r>
      <w:r>
        <w:t xml:space="preserve">). </w:t>
      </w:r>
    </w:p>
    <w:p w14:paraId="5E38DC4B" w14:textId="0912D4E7" w:rsidR="00F44CF6" w:rsidRPr="005371C2" w:rsidRDefault="008C5D90" w:rsidP="00F44CF6">
      <w:pPr>
        <w:pStyle w:val="Overskrift1"/>
        <w:rPr>
          <w:rFonts w:asciiTheme="minorHAnsi" w:hAnsiTheme="minorHAnsi"/>
          <w:color w:val="FF0000"/>
          <w:sz w:val="20"/>
          <w:szCs w:val="20"/>
          <w:lang w:val="en-US"/>
        </w:rPr>
      </w:pPr>
      <w:r w:rsidRPr="005371C2">
        <w:rPr>
          <w:rFonts w:asciiTheme="minorHAnsi" w:hAnsiTheme="minorHAnsi"/>
          <w:sz w:val="20"/>
          <w:szCs w:val="20"/>
          <w:lang w:val="en-US"/>
        </w:rPr>
        <w:t>Forslag</w:t>
      </w:r>
      <w:r w:rsidR="00BB63E6" w:rsidRPr="005371C2">
        <w:rPr>
          <w:rFonts w:asciiTheme="minorHAnsi" w:hAnsiTheme="minorHAnsi"/>
          <w:sz w:val="20"/>
          <w:szCs w:val="20"/>
          <w:lang w:val="en-US"/>
        </w:rPr>
        <w:t>:</w:t>
      </w:r>
    </w:p>
    <w:p w14:paraId="3BC47CD6" w14:textId="77777777" w:rsidR="00E56BF8" w:rsidRPr="005371C2" w:rsidRDefault="00E56BF8" w:rsidP="00003F4A">
      <w:pPr>
        <w:rPr>
          <w:rFonts w:asciiTheme="minorHAnsi" w:hAnsiTheme="minorHAnsi"/>
          <w:color w:val="0070C0"/>
          <w:lang w:val="en-US"/>
        </w:rPr>
      </w:pPr>
    </w:p>
    <w:p w14:paraId="519C1BE7" w14:textId="77777777" w:rsidR="00BB63E6" w:rsidRPr="00BB63E6" w:rsidRDefault="00BB63E6" w:rsidP="00BB63E6">
      <w:pPr>
        <w:rPr>
          <w:rFonts w:asciiTheme="minorHAnsi" w:hAnsiTheme="minorHAnsi"/>
          <w:lang w:val="en-US"/>
        </w:rPr>
      </w:pPr>
      <w:r w:rsidRPr="00BB63E6">
        <w:rPr>
          <w:rFonts w:asciiTheme="minorHAnsi" w:hAnsiTheme="minorHAnsi"/>
          <w:b/>
          <w:bCs/>
          <w:lang w:val="en-US"/>
        </w:rPr>
        <w:t xml:space="preserve">B.04 </w:t>
      </w:r>
      <w:r w:rsidRPr="00BB63E6">
        <w:rPr>
          <w:rFonts w:asciiTheme="minorHAnsi" w:hAnsiTheme="minorHAnsi"/>
          <w:lang w:val="en-US"/>
        </w:rPr>
        <w:t xml:space="preserve">Exchange of views and possible opinion of the Committee on a draft Commission Implementing Regulation (EU) amending Implementing Regulation (EU) No 540/2011 as regards the extension of the approval periods of the active substances as regards the extension of the approval periods of the active substances azadirachtin, bupirimate, dithianon, fluoxastrobin, fosthiazate, hexythiazox, isoxaben, lime sulphur, pendimethalin, pirimiphos-methyl, propamocarb, prosulfocarb, sodium 5-nitroguaiacolate, sodium o-nitrophenolate, sodium p-nitrophenolate, sulfuryl fluoride, tau-fluvalinate, tebufenozide, tebufenpyrad, triticonazole, and ziram </w:t>
      </w:r>
    </w:p>
    <w:p w14:paraId="6CE75CA2" w14:textId="77777777" w:rsidR="00BB63E6" w:rsidRPr="00BB63E6" w:rsidRDefault="00BB63E6" w:rsidP="00BB63E6">
      <w:pPr>
        <w:rPr>
          <w:rFonts w:asciiTheme="minorHAnsi" w:hAnsiTheme="minorHAnsi"/>
          <w:lang w:val="en-US"/>
        </w:rPr>
      </w:pPr>
      <w:r w:rsidRPr="00BB63E6">
        <w:rPr>
          <w:rFonts w:asciiTheme="minorHAnsi" w:hAnsiTheme="minorHAnsi"/>
          <w:lang w:val="en-US"/>
        </w:rPr>
        <w:t xml:space="preserve">(PLAN/2026/1819) </w:t>
      </w:r>
    </w:p>
    <w:p w14:paraId="02D9AC64" w14:textId="77777777" w:rsidR="00BB63E6" w:rsidRPr="00BB63E6" w:rsidRDefault="00BB63E6" w:rsidP="00BB63E6">
      <w:pPr>
        <w:rPr>
          <w:rFonts w:asciiTheme="minorHAnsi" w:hAnsiTheme="minorHAnsi"/>
          <w:lang w:val="en-US"/>
        </w:rPr>
      </w:pPr>
      <w:r w:rsidRPr="00BB63E6">
        <w:rPr>
          <w:rFonts w:asciiTheme="minorHAnsi" w:hAnsiTheme="minorHAnsi"/>
          <w:b/>
          <w:bCs/>
          <w:lang w:val="en-US"/>
        </w:rPr>
        <w:t xml:space="preserve">Legal Basis: </w:t>
      </w:r>
      <w:r w:rsidRPr="00BB63E6">
        <w:rPr>
          <w:rFonts w:asciiTheme="minorHAnsi" w:hAnsiTheme="minorHAnsi"/>
          <w:lang w:val="en-US"/>
        </w:rPr>
        <w:t xml:space="preserve">Regulation (EC) No 1107/2009 - Article 17(1) </w:t>
      </w:r>
    </w:p>
    <w:p w14:paraId="45C18CC8" w14:textId="73B71D6A" w:rsidR="00BB63E6" w:rsidRPr="005371C2" w:rsidRDefault="00BB63E6" w:rsidP="00BB63E6">
      <w:pPr>
        <w:rPr>
          <w:rFonts w:asciiTheme="minorHAnsi" w:hAnsiTheme="minorHAnsi"/>
          <w:lang w:val="en-US"/>
        </w:rPr>
      </w:pPr>
      <w:r w:rsidRPr="005371C2">
        <w:rPr>
          <w:rFonts w:asciiTheme="minorHAnsi" w:hAnsiTheme="minorHAnsi"/>
          <w:b/>
          <w:bCs/>
          <w:lang w:val="en-US"/>
        </w:rPr>
        <w:t xml:space="preserve">Procedure: </w:t>
      </w:r>
      <w:r w:rsidRPr="005371C2">
        <w:rPr>
          <w:rFonts w:asciiTheme="minorHAnsi" w:hAnsiTheme="minorHAnsi"/>
          <w:lang w:val="en-US"/>
        </w:rPr>
        <w:t>Examination procedure</w:t>
      </w:r>
    </w:p>
    <w:p w14:paraId="55F22B41" w14:textId="77777777" w:rsidR="00BB63E6" w:rsidRDefault="00BB63E6" w:rsidP="00003F4A">
      <w:pPr>
        <w:rPr>
          <w:rFonts w:asciiTheme="minorHAnsi" w:hAnsiTheme="minorHAnsi"/>
          <w:color w:val="0070C0"/>
          <w:lang w:val="en-US"/>
        </w:rPr>
      </w:pPr>
    </w:p>
    <w:p w14:paraId="15105B0B" w14:textId="77777777" w:rsidR="005371C2" w:rsidRDefault="005371C2" w:rsidP="00003F4A">
      <w:pPr>
        <w:rPr>
          <w:rFonts w:asciiTheme="minorHAnsi" w:hAnsiTheme="minorHAnsi"/>
          <w:color w:val="0070C0"/>
          <w:lang w:val="en-US"/>
        </w:rPr>
      </w:pPr>
    </w:p>
    <w:p w14:paraId="147A65A5" w14:textId="77777777" w:rsidR="005371C2" w:rsidRDefault="005371C2" w:rsidP="00003F4A">
      <w:pPr>
        <w:rPr>
          <w:rFonts w:asciiTheme="minorHAnsi" w:hAnsiTheme="minorHAnsi"/>
          <w:color w:val="0070C0"/>
          <w:lang w:val="en-US"/>
        </w:rPr>
      </w:pPr>
    </w:p>
    <w:p w14:paraId="55BB106F" w14:textId="77777777" w:rsidR="005371C2" w:rsidRDefault="005371C2" w:rsidP="00003F4A">
      <w:pPr>
        <w:rPr>
          <w:rFonts w:asciiTheme="minorHAnsi" w:hAnsiTheme="minorHAnsi"/>
          <w:color w:val="0070C0"/>
          <w:lang w:val="en-US"/>
        </w:rPr>
      </w:pPr>
    </w:p>
    <w:p w14:paraId="4F3EF894" w14:textId="77777777" w:rsidR="005371C2" w:rsidRDefault="005371C2" w:rsidP="00003F4A">
      <w:pPr>
        <w:rPr>
          <w:rFonts w:asciiTheme="minorHAnsi" w:hAnsiTheme="minorHAnsi"/>
          <w:color w:val="0070C0"/>
          <w:lang w:val="en-US"/>
        </w:rPr>
      </w:pPr>
    </w:p>
    <w:p w14:paraId="66ACD7C6" w14:textId="77777777" w:rsidR="005371C2" w:rsidRPr="005371C2" w:rsidRDefault="005371C2" w:rsidP="00003F4A">
      <w:pPr>
        <w:rPr>
          <w:rFonts w:asciiTheme="minorHAnsi" w:hAnsiTheme="minorHAnsi"/>
          <w:color w:val="0070C0"/>
          <w:lang w:val="en-US"/>
        </w:rPr>
      </w:pPr>
    </w:p>
    <w:p w14:paraId="78258A57" w14:textId="77777777" w:rsidR="00BB63E6" w:rsidRPr="00BB63E6" w:rsidRDefault="00BB63E6" w:rsidP="00BB63E6">
      <w:pPr>
        <w:rPr>
          <w:rFonts w:asciiTheme="minorHAnsi" w:hAnsiTheme="minorHAnsi"/>
          <w:lang w:val="en-US"/>
        </w:rPr>
      </w:pPr>
      <w:r w:rsidRPr="00BB63E6">
        <w:rPr>
          <w:rFonts w:asciiTheme="minorHAnsi" w:hAnsiTheme="minorHAnsi"/>
          <w:b/>
          <w:bCs/>
          <w:lang w:val="en-US"/>
        </w:rPr>
        <w:lastRenderedPageBreak/>
        <w:t xml:space="preserve">B.05 </w:t>
      </w:r>
      <w:r w:rsidRPr="00BB63E6">
        <w:rPr>
          <w:rFonts w:asciiTheme="minorHAnsi" w:hAnsiTheme="minorHAnsi"/>
          <w:lang w:val="en-US"/>
        </w:rPr>
        <w:t xml:space="preserve">Exchange of views and possible opinion of the Committee on a draft Commission Implementing Regulation (EU) amending Implementing Regulation (EU) No 540/2011 as regards the extension of the approval periods of the active substances as regards the extension of the approval periods of the active substances aluminium silicate, bifenox, bromuconazole, chlormequat, dicamba, etofenprox, fluroxypyr, napropamide, nicosulfuron, oxathiapiprolin, paraffin oils, propaquizafop, prothioconazole, quizalofop-P-tefuryl, quizalofop-P-ethyl, tetraconazole, thiencarbazone, tri-allate, triclopyr and valifenalate </w:t>
      </w:r>
    </w:p>
    <w:p w14:paraId="53392EF4" w14:textId="77777777" w:rsidR="00BB63E6" w:rsidRPr="00BB63E6" w:rsidRDefault="00BB63E6" w:rsidP="00BB63E6">
      <w:pPr>
        <w:rPr>
          <w:rFonts w:asciiTheme="minorHAnsi" w:hAnsiTheme="minorHAnsi"/>
          <w:lang w:val="en-US"/>
        </w:rPr>
      </w:pPr>
      <w:r w:rsidRPr="00BB63E6">
        <w:rPr>
          <w:rFonts w:asciiTheme="minorHAnsi" w:hAnsiTheme="minorHAnsi"/>
          <w:lang w:val="en-US"/>
        </w:rPr>
        <w:t xml:space="preserve">(PLAN/2026/2114) </w:t>
      </w:r>
    </w:p>
    <w:p w14:paraId="53CB3083" w14:textId="77777777" w:rsidR="00BB63E6" w:rsidRPr="00BB63E6" w:rsidRDefault="00BB63E6" w:rsidP="00BB63E6">
      <w:pPr>
        <w:rPr>
          <w:rFonts w:asciiTheme="minorHAnsi" w:hAnsiTheme="minorHAnsi"/>
          <w:lang w:val="en-US"/>
        </w:rPr>
      </w:pPr>
      <w:r w:rsidRPr="00BB63E6">
        <w:rPr>
          <w:rFonts w:asciiTheme="minorHAnsi" w:hAnsiTheme="minorHAnsi"/>
          <w:b/>
          <w:bCs/>
          <w:lang w:val="en-US"/>
        </w:rPr>
        <w:t xml:space="preserve">Legal Basis: </w:t>
      </w:r>
      <w:r w:rsidRPr="00BB63E6">
        <w:rPr>
          <w:rFonts w:asciiTheme="minorHAnsi" w:hAnsiTheme="minorHAnsi"/>
          <w:lang w:val="en-US"/>
        </w:rPr>
        <w:t xml:space="preserve">Regulation (EC) No 1107/2009 - Article 17(1) </w:t>
      </w:r>
    </w:p>
    <w:p w14:paraId="293AB3D0" w14:textId="351104AE" w:rsidR="00BB63E6" w:rsidRPr="005371C2" w:rsidRDefault="00BB63E6" w:rsidP="00BB63E6">
      <w:pPr>
        <w:rPr>
          <w:rFonts w:asciiTheme="minorHAnsi" w:hAnsiTheme="minorHAnsi"/>
          <w:lang w:val="en-US"/>
        </w:rPr>
      </w:pPr>
      <w:r w:rsidRPr="005371C2">
        <w:rPr>
          <w:rFonts w:asciiTheme="minorHAnsi" w:hAnsiTheme="minorHAnsi"/>
          <w:b/>
          <w:bCs/>
          <w:lang w:val="en-US"/>
        </w:rPr>
        <w:t xml:space="preserve">Procedure: </w:t>
      </w:r>
      <w:r w:rsidRPr="005371C2">
        <w:rPr>
          <w:rFonts w:asciiTheme="minorHAnsi" w:hAnsiTheme="minorHAnsi"/>
          <w:lang w:val="en-US"/>
        </w:rPr>
        <w:t>Examination procedure</w:t>
      </w:r>
    </w:p>
    <w:p w14:paraId="4A5066E0" w14:textId="77777777" w:rsidR="00BB63E6" w:rsidRPr="005371C2" w:rsidRDefault="00BB63E6" w:rsidP="00BB63E6">
      <w:pPr>
        <w:rPr>
          <w:rFonts w:asciiTheme="minorHAnsi" w:hAnsiTheme="minorHAnsi"/>
          <w:color w:val="0070C0"/>
          <w:lang w:val="en-US"/>
        </w:rPr>
      </w:pPr>
    </w:p>
    <w:p w14:paraId="103BB63B" w14:textId="77777777" w:rsidR="00BB63E6" w:rsidRPr="00BB63E6" w:rsidRDefault="00BB63E6" w:rsidP="00BB63E6">
      <w:pPr>
        <w:rPr>
          <w:rFonts w:asciiTheme="minorHAnsi" w:hAnsiTheme="minorHAnsi"/>
          <w:lang w:val="en-US"/>
        </w:rPr>
      </w:pPr>
      <w:r w:rsidRPr="00BB63E6">
        <w:rPr>
          <w:rFonts w:asciiTheme="minorHAnsi" w:hAnsiTheme="minorHAnsi"/>
          <w:b/>
          <w:bCs/>
          <w:lang w:val="en-US"/>
        </w:rPr>
        <w:t xml:space="preserve">B.06 </w:t>
      </w:r>
      <w:r w:rsidRPr="00BB63E6">
        <w:rPr>
          <w:rFonts w:asciiTheme="minorHAnsi" w:hAnsiTheme="minorHAnsi"/>
          <w:lang w:val="en-US"/>
        </w:rPr>
        <w:t xml:space="preserve">Exchange of views and possible opinion of the Committee on a draft Commission Implementing Regulation (EU) concerning the non-approval of the active substance benzobicyclon in accordance with Regulation (EC) No 1107/2009 of the European Parliament and of the Council (Draft Renewal Report PLAN/2025/2830 RR) </w:t>
      </w:r>
    </w:p>
    <w:p w14:paraId="5DCAB14D" w14:textId="77777777" w:rsidR="00BB63E6" w:rsidRPr="00BB63E6" w:rsidRDefault="00BB63E6" w:rsidP="00BB63E6">
      <w:pPr>
        <w:rPr>
          <w:rFonts w:asciiTheme="minorHAnsi" w:hAnsiTheme="minorHAnsi"/>
          <w:lang w:val="en-US"/>
        </w:rPr>
      </w:pPr>
      <w:r w:rsidRPr="00BB63E6">
        <w:rPr>
          <w:rFonts w:asciiTheme="minorHAnsi" w:hAnsiTheme="minorHAnsi"/>
          <w:lang w:val="en-US"/>
        </w:rPr>
        <w:t xml:space="preserve">(PLAN/2025/2830) </w:t>
      </w:r>
    </w:p>
    <w:p w14:paraId="4400B5D5" w14:textId="77777777" w:rsidR="00BB63E6" w:rsidRPr="00BB63E6" w:rsidRDefault="00BB63E6" w:rsidP="00BB63E6">
      <w:pPr>
        <w:rPr>
          <w:rFonts w:asciiTheme="minorHAnsi" w:hAnsiTheme="minorHAnsi"/>
          <w:lang w:val="en-US"/>
        </w:rPr>
      </w:pPr>
      <w:r w:rsidRPr="00BB63E6">
        <w:rPr>
          <w:rFonts w:asciiTheme="minorHAnsi" w:hAnsiTheme="minorHAnsi"/>
          <w:b/>
          <w:bCs/>
          <w:lang w:val="en-US"/>
        </w:rPr>
        <w:t xml:space="preserve">Legal Basis: </w:t>
      </w:r>
      <w:r w:rsidRPr="00BB63E6">
        <w:rPr>
          <w:rFonts w:asciiTheme="minorHAnsi" w:hAnsiTheme="minorHAnsi"/>
          <w:lang w:val="en-US"/>
        </w:rPr>
        <w:t xml:space="preserve">Regulation (EC) No 1107/2009 - Article 13(2) </w:t>
      </w:r>
    </w:p>
    <w:p w14:paraId="360319D1" w14:textId="6A4C8491" w:rsidR="00BB63E6" w:rsidRPr="005371C2" w:rsidRDefault="00BB63E6" w:rsidP="00BB63E6">
      <w:pPr>
        <w:rPr>
          <w:rFonts w:asciiTheme="minorHAnsi" w:hAnsiTheme="minorHAnsi"/>
          <w:lang w:val="en-US"/>
        </w:rPr>
      </w:pPr>
      <w:r w:rsidRPr="005371C2">
        <w:rPr>
          <w:rFonts w:asciiTheme="minorHAnsi" w:hAnsiTheme="minorHAnsi"/>
          <w:b/>
          <w:bCs/>
          <w:lang w:val="en-US"/>
        </w:rPr>
        <w:t xml:space="preserve">Procedure: </w:t>
      </w:r>
      <w:r w:rsidRPr="005371C2">
        <w:rPr>
          <w:rFonts w:asciiTheme="minorHAnsi" w:hAnsiTheme="minorHAnsi"/>
          <w:lang w:val="en-US"/>
        </w:rPr>
        <w:t>Examination procedure</w:t>
      </w:r>
    </w:p>
    <w:p w14:paraId="621989C3" w14:textId="77777777" w:rsidR="00BB63E6" w:rsidRPr="005371C2" w:rsidRDefault="00BB63E6" w:rsidP="00BB63E6">
      <w:pPr>
        <w:rPr>
          <w:rFonts w:asciiTheme="minorHAnsi" w:hAnsiTheme="minorHAnsi"/>
          <w:color w:val="0070C0"/>
          <w:lang w:val="en-US"/>
        </w:rPr>
      </w:pPr>
    </w:p>
    <w:p w14:paraId="0D3CD029" w14:textId="77777777" w:rsidR="00F561D3" w:rsidRPr="00F561D3" w:rsidRDefault="00F561D3" w:rsidP="00F561D3">
      <w:pPr>
        <w:rPr>
          <w:rFonts w:asciiTheme="minorHAnsi" w:hAnsiTheme="minorHAnsi"/>
          <w:lang w:val="en-US"/>
        </w:rPr>
      </w:pPr>
      <w:r w:rsidRPr="00F561D3">
        <w:rPr>
          <w:rFonts w:asciiTheme="minorHAnsi" w:hAnsiTheme="minorHAnsi"/>
          <w:b/>
          <w:bCs/>
          <w:lang w:val="en-US"/>
        </w:rPr>
        <w:t xml:space="preserve">B.07 </w:t>
      </w:r>
      <w:r w:rsidRPr="00F561D3">
        <w:rPr>
          <w:rFonts w:asciiTheme="minorHAnsi" w:hAnsiTheme="minorHAnsi"/>
          <w:lang w:val="en-US"/>
        </w:rPr>
        <w:t xml:space="preserve">Exchange of views and possible opinion of the Committee on a draft Commission Implementing Regulation (EU) approving the active substance </w:t>
      </w:r>
      <w:r w:rsidRPr="00F561D3">
        <w:rPr>
          <w:rFonts w:asciiTheme="minorHAnsi" w:hAnsiTheme="minorHAnsi"/>
          <w:i/>
          <w:iCs/>
          <w:lang w:val="en-US"/>
        </w:rPr>
        <w:t xml:space="preserve">Trichoderma harzianum </w:t>
      </w:r>
      <w:r w:rsidRPr="00F561D3">
        <w:rPr>
          <w:rFonts w:asciiTheme="minorHAnsi" w:hAnsiTheme="minorHAnsi"/>
          <w:lang w:val="en-US"/>
        </w:rPr>
        <w:t xml:space="preserve">T78 as a low-risk substance in accordance with Regulation (EC) No 1107/2009 of the European Parliament and of the Council and amending Commission Implementing Regulation (EU) No 540/2011 (Draft Review Report PLAN/2026/1810 RR) </w:t>
      </w:r>
    </w:p>
    <w:p w14:paraId="710A7FD2" w14:textId="77777777" w:rsidR="00F561D3" w:rsidRPr="00F561D3" w:rsidRDefault="00F561D3" w:rsidP="00F561D3">
      <w:pPr>
        <w:rPr>
          <w:rFonts w:asciiTheme="minorHAnsi" w:hAnsiTheme="minorHAnsi"/>
          <w:lang w:val="en-US"/>
        </w:rPr>
      </w:pPr>
      <w:r w:rsidRPr="00F561D3">
        <w:rPr>
          <w:rFonts w:asciiTheme="minorHAnsi" w:hAnsiTheme="minorHAnsi"/>
          <w:lang w:val="en-US"/>
        </w:rPr>
        <w:t xml:space="preserve">(PLAN/2026/1810) </w:t>
      </w:r>
    </w:p>
    <w:p w14:paraId="3AD68DB5" w14:textId="77777777" w:rsidR="00F561D3" w:rsidRPr="00F561D3" w:rsidRDefault="00F561D3" w:rsidP="00F561D3">
      <w:pPr>
        <w:rPr>
          <w:rFonts w:asciiTheme="minorHAnsi" w:hAnsiTheme="minorHAnsi"/>
          <w:lang w:val="en-US"/>
        </w:rPr>
      </w:pPr>
      <w:r w:rsidRPr="00F561D3">
        <w:rPr>
          <w:rFonts w:asciiTheme="minorHAnsi" w:hAnsiTheme="minorHAnsi"/>
          <w:b/>
          <w:bCs/>
          <w:lang w:val="en-US"/>
        </w:rPr>
        <w:t xml:space="preserve">Legal Basis: </w:t>
      </w:r>
      <w:r w:rsidRPr="00F561D3">
        <w:rPr>
          <w:rFonts w:asciiTheme="minorHAnsi" w:hAnsiTheme="minorHAnsi"/>
          <w:lang w:val="en-US"/>
        </w:rPr>
        <w:t xml:space="preserve">Regulation (EC) No 1107/2009 - Articles 13(2) and 22(1) </w:t>
      </w:r>
    </w:p>
    <w:p w14:paraId="2B900320" w14:textId="54071A51" w:rsidR="00F561D3" w:rsidRPr="00F561D3" w:rsidRDefault="00F561D3" w:rsidP="00F561D3">
      <w:pPr>
        <w:rPr>
          <w:rFonts w:asciiTheme="minorHAnsi" w:hAnsiTheme="minorHAnsi"/>
        </w:rPr>
      </w:pPr>
      <w:r w:rsidRPr="00F561D3">
        <w:rPr>
          <w:rFonts w:asciiTheme="minorHAnsi" w:hAnsiTheme="minorHAnsi"/>
          <w:b/>
          <w:bCs/>
        </w:rPr>
        <w:t xml:space="preserve">Procedure: </w:t>
      </w:r>
      <w:r w:rsidRPr="00F561D3">
        <w:rPr>
          <w:rFonts w:asciiTheme="minorHAnsi" w:hAnsiTheme="minorHAnsi"/>
        </w:rPr>
        <w:t>Examination procedure</w:t>
      </w:r>
    </w:p>
    <w:p w14:paraId="51FE7686" w14:textId="77777777" w:rsidR="00F561D3" w:rsidRPr="00E56BF8" w:rsidRDefault="00F561D3" w:rsidP="00BB63E6">
      <w:pPr>
        <w:rPr>
          <w:rFonts w:asciiTheme="minorHAnsi" w:hAnsiTheme="minorHAnsi"/>
          <w:color w:val="0070C0"/>
        </w:rPr>
      </w:pPr>
    </w:p>
    <w:p w14:paraId="5C07E5E3" w14:textId="17928920" w:rsidR="00003F4A" w:rsidRDefault="00003F4A" w:rsidP="00003F4A">
      <w:pPr>
        <w:rPr>
          <w:rStyle w:val="Hyperlink"/>
        </w:rPr>
      </w:pPr>
      <w:r>
        <w:t xml:space="preserve">Konklusioner på risikovurderingen fra den Europæiske Fødevaresikkerhedsautoritet (EFSA), som har dannet den faglige baggrund for Kommissionens forslag kan findes på </w:t>
      </w:r>
      <w:hyperlink r:id="rId8" w:history="1">
        <w:r w:rsidR="00B66739" w:rsidRPr="007F6245">
          <w:rPr>
            <w:rStyle w:val="Hyperlink"/>
          </w:rPr>
          <w:t>https://www.efsa.europa.eu/en/publications</w:t>
        </w:r>
      </w:hyperlink>
    </w:p>
    <w:p w14:paraId="2BC7F0CD" w14:textId="77777777" w:rsidR="00B66739" w:rsidRDefault="00B66739" w:rsidP="00003F4A"/>
    <w:p w14:paraId="61C43017" w14:textId="77777777" w:rsidR="00003F4A" w:rsidRDefault="00003F4A" w:rsidP="00003F4A"/>
    <w:p w14:paraId="2FBC9E12" w14:textId="398B78FC" w:rsidR="00BC1C77" w:rsidRPr="005757DF" w:rsidRDefault="00003F4A" w:rsidP="00003F4A">
      <w:r>
        <w:t xml:space="preserve">Bemærkninger kan sendes til </w:t>
      </w:r>
      <w:hyperlink r:id="rId9" w:history="1">
        <w:r w:rsidR="00B66739" w:rsidRPr="00775A0E">
          <w:rPr>
            <w:rStyle w:val="Hyperlink"/>
          </w:rPr>
          <w:t>pesticider@mst.dk</w:t>
        </w:r>
      </w:hyperlink>
      <w:r w:rsidR="00B66739">
        <w:rPr>
          <w:rStyle w:val="Hyperlink"/>
        </w:rPr>
        <w:t xml:space="preserve"> </w:t>
      </w:r>
      <w:r>
        <w:t>senest</w:t>
      </w:r>
      <w:r w:rsidR="00F561D3">
        <w:t xml:space="preserve"> </w:t>
      </w:r>
      <w:r w:rsidR="00B51D7C">
        <w:t>10</w:t>
      </w:r>
      <w:r w:rsidR="00F561D3">
        <w:t>. november 2026</w:t>
      </w:r>
      <w:r>
        <w:t xml:space="preserve">. </w:t>
      </w:r>
      <w:r w:rsidR="00B66739" w:rsidRPr="00775A0E">
        <w:t xml:space="preserve">Spørgsmål kan ligeledes rettes til </w:t>
      </w:r>
      <w:hyperlink r:id="rId10" w:history="1">
        <w:r w:rsidR="00B66739" w:rsidRPr="00775A0E">
          <w:rPr>
            <w:rStyle w:val="Hyperlink"/>
          </w:rPr>
          <w:t>pesticider@mst.dk</w:t>
        </w:r>
      </w:hyperlink>
      <w:r w:rsidR="00B66739" w:rsidRPr="00775A0E">
        <w:t>. Indsæt venligst J.nr. 202</w:t>
      </w:r>
      <w:r w:rsidR="00F561D3">
        <w:t>6</w:t>
      </w:r>
      <w:r w:rsidR="00B66739" w:rsidRPr="00775A0E">
        <w:t>-</w:t>
      </w:r>
      <w:r w:rsidR="00F561D3">
        <w:t>31263</w:t>
      </w:r>
      <w:r w:rsidR="00B66739" w:rsidRPr="00775A0E">
        <w:t xml:space="preserve"> i emnefeltet.</w:t>
      </w:r>
    </w:p>
    <w:sectPr w:rsidR="00BC1C77" w:rsidRPr="005757DF" w:rsidSect="007A04FE">
      <w:headerReference w:type="default" r:id="rId11"/>
      <w:footerReference w:type="even" r:id="rId12"/>
      <w:footerReference w:type="default" r:id="rId13"/>
      <w:headerReference w:type="first" r:id="rId14"/>
      <w:footerReference w:type="first" r:id="rId15"/>
      <w:pgSz w:w="11906" w:h="16838" w:code="9"/>
      <w:pgMar w:top="2041" w:right="1418"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A9DEB" w14:textId="77777777" w:rsidR="0058389B" w:rsidRDefault="0058389B">
      <w:r>
        <w:separator/>
      </w:r>
    </w:p>
  </w:endnote>
  <w:endnote w:type="continuationSeparator" w:id="0">
    <w:p w14:paraId="506A4996" w14:textId="77777777" w:rsidR="0058389B" w:rsidRDefault="0058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8606"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14:paraId="21EE7EF4"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9FAF7" w14:textId="77777777" w:rsidR="007A04FE" w:rsidRDefault="007A04FE" w:rsidP="00BC1C77">
    <w:pPr>
      <w:pStyle w:val="Sidefod"/>
      <w:ind w:right="0"/>
      <w:jc w:val="right"/>
    </w:pPr>
    <w:r>
      <w:rPr>
        <w:rStyle w:val="Sidetal"/>
      </w:rPr>
      <w:fldChar w:fldCharType="begin"/>
    </w:r>
    <w:r>
      <w:rPr>
        <w:rStyle w:val="Sidetal"/>
      </w:rPr>
      <w:instrText xml:space="preserve"> PAGE </w:instrText>
    </w:r>
    <w:r>
      <w:rPr>
        <w:rStyle w:val="Sidetal"/>
      </w:rPr>
      <w:fldChar w:fldCharType="separate"/>
    </w:r>
    <w:r w:rsidR="00BC1C77">
      <w:rPr>
        <w:rStyle w:val="Sidetal"/>
        <w:noProof/>
      </w:rPr>
      <w:t>2</w:t>
    </w:r>
    <w:r>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E2798" w14:textId="58DE3ACD" w:rsidR="004B68AD" w:rsidRPr="005757DF" w:rsidRDefault="005757DF" w:rsidP="004B68AD">
    <w:pPr>
      <w:pStyle w:val="Template-Address"/>
    </w:pPr>
    <w:bookmarkStart w:id="13" w:name="OFF_Institution"/>
    <w:bookmarkStart w:id="14" w:name="OFF_InstitutionHIF"/>
    <w:bookmarkStart w:id="15" w:name="XIF_MMFirstAddressLine"/>
    <w:r w:rsidRPr="005757DF">
      <w:t>Miljø</w:t>
    </w:r>
    <w:bookmarkEnd w:id="13"/>
    <w:r w:rsidR="00E56BF8">
      <w:t>styrelsen</w:t>
    </w:r>
    <w:r w:rsidR="004B68AD" w:rsidRPr="005757DF">
      <w:t xml:space="preserve"> </w:t>
    </w:r>
    <w:bookmarkEnd w:id="14"/>
    <w:r w:rsidR="004B68AD" w:rsidRPr="005757DF">
      <w:t xml:space="preserve">• </w:t>
    </w:r>
    <w:bookmarkStart w:id="16" w:name="OFF_AddressAHIF"/>
    <w:r w:rsidR="00E56BF8">
      <w:t>Lerchesgade 35</w:t>
    </w:r>
    <w:r w:rsidR="004B68AD" w:rsidRPr="005757DF">
      <w:t xml:space="preserve"> </w:t>
    </w:r>
    <w:bookmarkEnd w:id="16"/>
    <w:r w:rsidR="004B68AD" w:rsidRPr="005757DF">
      <w:rPr>
        <w:vanish/>
      </w:rPr>
      <w:t xml:space="preserve">• </w:t>
    </w:r>
    <w:bookmarkStart w:id="17" w:name="OFF_AddressB"/>
    <w:bookmarkStart w:id="18" w:name="OFF_AddressBHIF"/>
    <w:bookmarkEnd w:id="17"/>
    <w:r w:rsidR="004B68AD" w:rsidRPr="005757DF">
      <w:rPr>
        <w:vanish/>
      </w:rPr>
      <w:t xml:space="preserve"> </w:t>
    </w:r>
    <w:bookmarkEnd w:id="18"/>
    <w:r w:rsidR="004B68AD" w:rsidRPr="005757DF">
      <w:rPr>
        <w:vanish/>
      </w:rPr>
      <w:t xml:space="preserve">• </w:t>
    </w:r>
    <w:bookmarkStart w:id="19" w:name="OFF_AddressC"/>
    <w:bookmarkStart w:id="20" w:name="OFF_AddressCHIF"/>
    <w:bookmarkEnd w:id="19"/>
    <w:r w:rsidR="004B68AD" w:rsidRPr="005757DF">
      <w:rPr>
        <w:vanish/>
      </w:rPr>
      <w:t xml:space="preserve"> </w:t>
    </w:r>
    <w:bookmarkEnd w:id="20"/>
    <w:r w:rsidR="004B68AD" w:rsidRPr="005757DF">
      <w:t xml:space="preserve">• </w:t>
    </w:r>
    <w:bookmarkStart w:id="21" w:name="OFF_AddressDHIF"/>
    <w:r w:rsidR="00E56BF8">
      <w:t>5000</w:t>
    </w:r>
    <w:r w:rsidR="004B68AD" w:rsidRPr="005757DF">
      <w:t xml:space="preserve"> </w:t>
    </w:r>
    <w:r w:rsidR="00E56BF8">
      <w:t>Odense C</w:t>
    </w:r>
    <w:r w:rsidR="004B68AD" w:rsidRPr="005757DF">
      <w:t xml:space="preserve"> </w:t>
    </w:r>
    <w:bookmarkEnd w:id="21"/>
  </w:p>
  <w:p w14:paraId="19A1B8CE" w14:textId="20F08175" w:rsidR="004B68AD" w:rsidRPr="001220C8" w:rsidRDefault="005757DF" w:rsidP="004B68AD">
    <w:pPr>
      <w:pStyle w:val="Template-Address"/>
    </w:pPr>
    <w:bookmarkStart w:id="22" w:name="LAN_Phone"/>
    <w:bookmarkStart w:id="23" w:name="OFF_PhoneHIF"/>
    <w:bookmarkStart w:id="24" w:name="XIF_MMSecondAddressLine"/>
    <w:bookmarkEnd w:id="15"/>
    <w:r w:rsidRPr="001220C8">
      <w:t>Tlf.</w:t>
    </w:r>
    <w:bookmarkEnd w:id="22"/>
    <w:r w:rsidR="004B68AD" w:rsidRPr="001220C8">
      <w:t xml:space="preserve"> </w:t>
    </w:r>
    <w:bookmarkStart w:id="25" w:name="OFF_Phone"/>
    <w:r w:rsidR="00E56BF8" w:rsidRPr="001220C8">
      <w:t>72</w:t>
    </w:r>
    <w:r w:rsidRPr="001220C8">
      <w:t xml:space="preserve"> </w:t>
    </w:r>
    <w:r w:rsidR="00E56BF8" w:rsidRPr="001220C8">
      <w:t>54</w:t>
    </w:r>
    <w:r w:rsidRPr="001220C8">
      <w:t xml:space="preserve"> </w:t>
    </w:r>
    <w:r w:rsidR="00E56BF8" w:rsidRPr="001220C8">
      <w:t>50</w:t>
    </w:r>
    <w:r w:rsidRPr="001220C8">
      <w:t xml:space="preserve"> </w:t>
    </w:r>
    <w:bookmarkEnd w:id="25"/>
    <w:r w:rsidR="00E56BF8" w:rsidRPr="001220C8">
      <w:t>00</w:t>
    </w:r>
    <w:r w:rsidR="004B68AD" w:rsidRPr="001220C8">
      <w:t xml:space="preserve"> </w:t>
    </w:r>
    <w:bookmarkEnd w:id="23"/>
    <w:r w:rsidR="004B68AD" w:rsidRPr="001220C8">
      <w:rPr>
        <w:vanish/>
      </w:rPr>
      <w:t xml:space="preserve">• </w:t>
    </w:r>
    <w:bookmarkStart w:id="26" w:name="LAN_Fax"/>
    <w:bookmarkStart w:id="27" w:name="OFF_FaxHIF"/>
    <w:r w:rsidRPr="001220C8">
      <w:rPr>
        <w:vanish/>
      </w:rPr>
      <w:t>Fax</w:t>
    </w:r>
    <w:bookmarkEnd w:id="26"/>
    <w:r w:rsidR="004B68AD" w:rsidRPr="001220C8">
      <w:rPr>
        <w:vanish/>
      </w:rPr>
      <w:t xml:space="preserve"> </w:t>
    </w:r>
    <w:bookmarkStart w:id="28" w:name="OFF_Fax"/>
    <w:bookmarkEnd w:id="28"/>
    <w:r w:rsidR="004B68AD" w:rsidRPr="001220C8">
      <w:rPr>
        <w:vanish/>
      </w:rPr>
      <w:t xml:space="preserve"> </w:t>
    </w:r>
    <w:bookmarkEnd w:id="27"/>
    <w:r w:rsidR="004B68AD" w:rsidRPr="001220C8">
      <w:t xml:space="preserve">• </w:t>
    </w:r>
    <w:bookmarkStart w:id="29" w:name="OFF_CVRHIF"/>
    <w:r w:rsidR="004B68AD" w:rsidRPr="001220C8">
      <w:t xml:space="preserve">CVR </w:t>
    </w:r>
    <w:r w:rsidR="00E56BF8" w:rsidRPr="001220C8">
      <w:t>25798376</w:t>
    </w:r>
    <w:r w:rsidR="004B68AD" w:rsidRPr="001220C8">
      <w:t xml:space="preserve"> </w:t>
    </w:r>
    <w:bookmarkEnd w:id="29"/>
    <w:r w:rsidR="004B68AD" w:rsidRPr="001220C8">
      <w:t xml:space="preserve">• </w:t>
    </w:r>
    <w:bookmarkStart w:id="30" w:name="OFF_Email"/>
    <w:bookmarkStart w:id="31" w:name="OFF_EmailHIF"/>
    <w:r w:rsidRPr="001220C8">
      <w:t>m</w:t>
    </w:r>
    <w:r w:rsidR="00E56BF8" w:rsidRPr="001220C8">
      <w:t>st</w:t>
    </w:r>
    <w:r w:rsidRPr="001220C8">
      <w:t>@</w:t>
    </w:r>
    <w:r w:rsidR="00E56BF8" w:rsidRPr="001220C8">
      <w:t>mst</w:t>
    </w:r>
    <w:r w:rsidRPr="001220C8">
      <w:t>.dk</w:t>
    </w:r>
    <w:bookmarkEnd w:id="30"/>
    <w:r w:rsidR="004B68AD" w:rsidRPr="001220C8">
      <w:t xml:space="preserve"> </w:t>
    </w:r>
    <w:bookmarkEnd w:id="31"/>
    <w:r w:rsidR="004B68AD" w:rsidRPr="001220C8">
      <w:t xml:space="preserve">• </w:t>
    </w:r>
    <w:bookmarkStart w:id="32" w:name="OFF_Web"/>
    <w:bookmarkStart w:id="33" w:name="OFF_WebHIF"/>
    <w:r w:rsidRPr="001220C8">
      <w:t>www.</w:t>
    </w:r>
    <w:r w:rsidR="00E56BF8" w:rsidRPr="001220C8">
      <w:t>mst</w:t>
    </w:r>
    <w:r w:rsidRPr="001220C8">
      <w:t>.dk</w:t>
    </w:r>
    <w:bookmarkEnd w:id="32"/>
    <w:r w:rsidR="004B68AD" w:rsidRPr="001220C8">
      <w:t xml:space="preserve"> </w:t>
    </w:r>
    <w:bookmarkEnd w:id="24"/>
    <w:bookmarkEnd w:id="33"/>
  </w:p>
  <w:p w14:paraId="6C3B6E5B" w14:textId="77777777" w:rsidR="0048667B" w:rsidRPr="001220C8" w:rsidRDefault="0048667B" w:rsidP="004B68A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642C8" w14:textId="77777777" w:rsidR="0058389B" w:rsidRDefault="0058389B">
      <w:r>
        <w:separator/>
      </w:r>
    </w:p>
  </w:footnote>
  <w:footnote w:type="continuationSeparator" w:id="0">
    <w:p w14:paraId="07910572" w14:textId="77777777" w:rsidR="0058389B" w:rsidRDefault="00583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769E" w14:textId="77777777" w:rsidR="000E717B" w:rsidRDefault="000E717B">
    <w:pPr>
      <w:pStyle w:val="Sidehoved"/>
    </w:pPr>
  </w:p>
  <w:p w14:paraId="39D953EE"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A9560" w14:textId="29BF0541" w:rsidR="004B68AD" w:rsidRPr="00326292" w:rsidRDefault="004D02AF" w:rsidP="004B68AD">
    <w:bookmarkStart w:id="0" w:name="FLD_DocumentName"/>
    <w:r>
      <w:rPr>
        <w:noProof/>
      </w:rPr>
      <w:drawing>
        <wp:anchor distT="0" distB="0" distL="114300" distR="114300" simplePos="0" relativeHeight="251660288" behindDoc="0" locked="1" layoutInCell="1" allowOverlap="1" wp14:anchorId="20394C82" wp14:editId="2929B1F4">
          <wp:simplePos x="0" y="0"/>
          <wp:positionH relativeFrom="page">
            <wp:posOffset>5348605</wp:posOffset>
          </wp:positionH>
          <wp:positionV relativeFrom="topMargin">
            <wp:posOffset>414655</wp:posOffset>
          </wp:positionV>
          <wp:extent cx="1877060" cy="478790"/>
          <wp:effectExtent l="0" t="0" r="8890" b="0"/>
          <wp:wrapNone/>
          <wp:docPr id="100000"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TopLogoFirst_bmkAr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7060" cy="478790"/>
                  </a:xfrm>
                  <a:prstGeom prst="rect">
                    <a:avLst/>
                  </a:prstGeom>
                </pic:spPr>
              </pic:pic>
            </a:graphicData>
          </a:graphic>
          <wp14:sizeRelH relativeFrom="page">
            <wp14:pctWidth>0</wp14:pctWidth>
          </wp14:sizeRelH>
          <wp14:sizeRelV relativeFrom="page">
            <wp14:pctHeight>0</wp14:pctHeight>
          </wp14:sizeRelV>
        </wp:anchor>
      </w:drawing>
    </w:r>
    <w:r w:rsidR="004B68AD" w:rsidRPr="00326292">
      <w:rPr>
        <w:noProof/>
      </w:rPr>
      <mc:AlternateContent>
        <mc:Choice Requires="wps">
          <w:drawing>
            <wp:anchor distT="0" distB="0" distL="114300" distR="114300" simplePos="0" relativeHeight="251658240" behindDoc="0" locked="1" layoutInCell="1" allowOverlap="1" wp14:anchorId="4389D7F2" wp14:editId="22E79800">
              <wp:simplePos x="0" y="0"/>
              <wp:positionH relativeFrom="rightMargin">
                <wp:align>right</wp:align>
              </wp:positionH>
              <wp:positionV relativeFrom="page">
                <wp:posOffset>1263015</wp:posOffset>
              </wp:positionV>
              <wp:extent cx="2016000" cy="2361600"/>
              <wp:effectExtent l="0" t="0" r="3810" b="635"/>
              <wp:wrapNone/>
              <wp:docPr id="1" name="Kolofon"/>
              <wp:cNvGraphicFramePr/>
              <a:graphic xmlns:a="http://schemas.openxmlformats.org/drawingml/2006/main">
                <a:graphicData uri="http://schemas.microsoft.com/office/word/2010/wordprocessingShape">
                  <wps:wsp>
                    <wps:cNvSpPr txBox="1"/>
                    <wps:spPr>
                      <a:xfrm>
                        <a:off x="0" y="0"/>
                        <a:ext cx="2016000" cy="236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4B68AD" w14:paraId="37139826" w14:textId="77777777">
                            <w:trPr>
                              <w:cantSplit/>
                              <w:trHeight w:val="2778"/>
                            </w:trPr>
                            <w:tc>
                              <w:tcPr>
                                <w:tcW w:w="2755" w:type="dxa"/>
                                <w:tcMar>
                                  <w:top w:w="34" w:type="dxa"/>
                                  <w:left w:w="0" w:type="dxa"/>
                                  <w:bottom w:w="28" w:type="dxa"/>
                                  <w:right w:w="0" w:type="dxa"/>
                                </w:tcMar>
                              </w:tcPr>
                              <w:p w14:paraId="4C3379B5" w14:textId="61AE2B48" w:rsidR="004B68AD" w:rsidRPr="008C5D90" w:rsidRDefault="00384BF4">
                                <w:pPr>
                                  <w:pStyle w:val="Kolofontekst"/>
                                </w:pPr>
                                <w:bookmarkStart w:id="1" w:name="OFF_DepartmentHIF"/>
                                <w:r>
                                  <w:t>Bekæmpelsesmidler – Godkendelse og Vurdering</w:t>
                                </w:r>
                              </w:p>
                              <w:p w14:paraId="6DD0EA18" w14:textId="77BA0803" w:rsidR="004B68AD" w:rsidRPr="008C5D90" w:rsidRDefault="005757DF">
                                <w:pPr>
                                  <w:pStyle w:val="Kolofontekst"/>
                                </w:pPr>
                                <w:bookmarkStart w:id="2" w:name="LAN_CaseNo"/>
                                <w:bookmarkStart w:id="3" w:name="HIF_dossier_f2casenumber"/>
                                <w:bookmarkEnd w:id="1"/>
                                <w:r w:rsidRPr="008C5D90">
                                  <w:t>J.nr.</w:t>
                                </w:r>
                                <w:bookmarkEnd w:id="2"/>
                                <w:r w:rsidR="004B68AD" w:rsidRPr="008C5D90">
                                  <w:t xml:space="preserve"> </w:t>
                                </w:r>
                                <w:r w:rsidR="00BB63E6">
                                  <w:t>2026-31263</w:t>
                                </w:r>
                              </w:p>
                              <w:p w14:paraId="02B196A7" w14:textId="5C21536D" w:rsidR="004B68AD" w:rsidRPr="005757DF" w:rsidRDefault="005757DF">
                                <w:pPr>
                                  <w:pStyle w:val="Kolofontekst"/>
                                </w:pPr>
                                <w:bookmarkStart w:id="4" w:name="LAN_Ref"/>
                                <w:bookmarkStart w:id="5" w:name="USR_InitialsHIF"/>
                                <w:bookmarkEnd w:id="3"/>
                                <w:r w:rsidRPr="005757DF">
                                  <w:t>Ref.</w:t>
                                </w:r>
                                <w:bookmarkEnd w:id="4"/>
                                <w:r w:rsidR="004B68AD" w:rsidRPr="005757DF">
                                  <w:t xml:space="preserve"> </w:t>
                                </w:r>
                                <w:r w:rsidR="00BB63E6">
                                  <w:t>Nihjo</w:t>
                                </w:r>
                              </w:p>
                              <w:p w14:paraId="71ED48ED" w14:textId="60C65AB8" w:rsidR="004B68AD" w:rsidRDefault="005757DF" w:rsidP="00F351D6">
                                <w:pPr>
                                  <w:pStyle w:val="Kolofontekst"/>
                                </w:pPr>
                                <w:bookmarkStart w:id="6" w:name="FLD_DocumentDate"/>
                                <w:bookmarkEnd w:id="5"/>
                                <w:r>
                                  <w:t xml:space="preserve">Den </w:t>
                                </w:r>
                                <w:bookmarkEnd w:id="6"/>
                                <w:r w:rsidR="00B51D7C">
                                  <w:t>3</w:t>
                                </w:r>
                                <w:r w:rsidR="00F561D3">
                                  <w:t xml:space="preserve">. </w:t>
                                </w:r>
                                <w:r w:rsidR="00B51D7C">
                                  <w:t>november</w:t>
                                </w:r>
                                <w:r w:rsidR="00F561D3">
                                  <w:t xml:space="preserve"> 2026</w:t>
                                </w:r>
                              </w:p>
                            </w:tc>
                          </w:tr>
                        </w:tbl>
                        <w:p w14:paraId="05C0B184" w14:textId="77777777" w:rsidR="004B68AD" w:rsidRDefault="004B68AD" w:rsidP="004B68A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89D7F2" id="_x0000_t202" coordsize="21600,21600" o:spt="202" path="m,l,21600r21600,l21600,xe">
              <v:stroke joinstyle="miter"/>
              <v:path gradientshapeok="t" o:connecttype="rect"/>
            </v:shapetype>
            <v:shape id="Kolofon" o:spid="_x0000_s1026" type="#_x0000_t202" style="position:absolute;margin-left:107.55pt;margin-top:99.45pt;width:158.75pt;height:185.95pt;z-index:251658240;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4B68AD" w14:paraId="37139826" w14:textId="77777777">
                      <w:trPr>
                        <w:cantSplit/>
                        <w:trHeight w:val="2778"/>
                      </w:trPr>
                      <w:tc>
                        <w:tcPr>
                          <w:tcW w:w="2755" w:type="dxa"/>
                          <w:tcMar>
                            <w:top w:w="34" w:type="dxa"/>
                            <w:left w:w="0" w:type="dxa"/>
                            <w:bottom w:w="28" w:type="dxa"/>
                            <w:right w:w="0" w:type="dxa"/>
                          </w:tcMar>
                        </w:tcPr>
                        <w:p w14:paraId="4C3379B5" w14:textId="61AE2B48" w:rsidR="004B68AD" w:rsidRPr="008C5D90" w:rsidRDefault="00384BF4">
                          <w:pPr>
                            <w:pStyle w:val="Kolofontekst"/>
                          </w:pPr>
                          <w:bookmarkStart w:id="7" w:name="OFF_DepartmentHIF"/>
                          <w:r>
                            <w:t>Bekæmpelsesmidler – Godkendelse og Vurdering</w:t>
                          </w:r>
                        </w:p>
                        <w:p w14:paraId="6DD0EA18" w14:textId="77BA0803" w:rsidR="004B68AD" w:rsidRPr="008C5D90" w:rsidRDefault="005757DF">
                          <w:pPr>
                            <w:pStyle w:val="Kolofontekst"/>
                          </w:pPr>
                          <w:bookmarkStart w:id="8" w:name="LAN_CaseNo"/>
                          <w:bookmarkStart w:id="9" w:name="HIF_dossier_f2casenumber"/>
                          <w:bookmarkEnd w:id="7"/>
                          <w:r w:rsidRPr="008C5D90">
                            <w:t>J.nr.</w:t>
                          </w:r>
                          <w:bookmarkEnd w:id="8"/>
                          <w:r w:rsidR="004B68AD" w:rsidRPr="008C5D90">
                            <w:t xml:space="preserve"> </w:t>
                          </w:r>
                          <w:r w:rsidR="00BB63E6">
                            <w:t>2026-31263</w:t>
                          </w:r>
                        </w:p>
                        <w:p w14:paraId="02B196A7" w14:textId="5C21536D" w:rsidR="004B68AD" w:rsidRPr="005757DF" w:rsidRDefault="005757DF">
                          <w:pPr>
                            <w:pStyle w:val="Kolofontekst"/>
                          </w:pPr>
                          <w:bookmarkStart w:id="10" w:name="LAN_Ref"/>
                          <w:bookmarkStart w:id="11" w:name="USR_InitialsHIF"/>
                          <w:bookmarkEnd w:id="9"/>
                          <w:r w:rsidRPr="005757DF">
                            <w:t>Ref.</w:t>
                          </w:r>
                          <w:bookmarkEnd w:id="10"/>
                          <w:r w:rsidR="004B68AD" w:rsidRPr="005757DF">
                            <w:t xml:space="preserve"> </w:t>
                          </w:r>
                          <w:r w:rsidR="00BB63E6">
                            <w:t>Nihjo</w:t>
                          </w:r>
                        </w:p>
                        <w:p w14:paraId="71ED48ED" w14:textId="60C65AB8" w:rsidR="004B68AD" w:rsidRDefault="005757DF" w:rsidP="00F351D6">
                          <w:pPr>
                            <w:pStyle w:val="Kolofontekst"/>
                          </w:pPr>
                          <w:bookmarkStart w:id="12" w:name="FLD_DocumentDate"/>
                          <w:bookmarkEnd w:id="11"/>
                          <w:r>
                            <w:t xml:space="preserve">Den </w:t>
                          </w:r>
                          <w:bookmarkEnd w:id="12"/>
                          <w:r w:rsidR="00B51D7C">
                            <w:t>3</w:t>
                          </w:r>
                          <w:r w:rsidR="00F561D3">
                            <w:t xml:space="preserve">. </w:t>
                          </w:r>
                          <w:r w:rsidR="00B51D7C">
                            <w:t>november</w:t>
                          </w:r>
                          <w:r w:rsidR="00F561D3">
                            <w:t xml:space="preserve"> 2026</w:t>
                          </w:r>
                        </w:p>
                      </w:tc>
                    </w:tr>
                  </w:tbl>
                  <w:p w14:paraId="05C0B184" w14:textId="77777777" w:rsidR="004B68AD" w:rsidRDefault="004B68AD" w:rsidP="004B68AD"/>
                </w:txbxContent>
              </v:textbox>
              <w10:wrap anchorx="margin" anchory="page"/>
              <w10:anchorlock/>
            </v:shape>
          </w:pict>
        </mc:Fallback>
      </mc:AlternateContent>
    </w:r>
  </w:p>
  <w:bookmarkEnd w:id="0"/>
  <w:p w14:paraId="5D3163DB" w14:textId="11A5E26F" w:rsidR="00A51DBA" w:rsidRDefault="00A51DBA"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67808775">
    <w:abstractNumId w:val="10"/>
  </w:num>
  <w:num w:numId="2" w16cid:durableId="1246501842">
    <w:abstractNumId w:val="7"/>
  </w:num>
  <w:num w:numId="3" w16cid:durableId="1223633574">
    <w:abstractNumId w:val="6"/>
  </w:num>
  <w:num w:numId="4" w16cid:durableId="1512262215">
    <w:abstractNumId w:val="5"/>
  </w:num>
  <w:num w:numId="5" w16cid:durableId="1710493833">
    <w:abstractNumId w:val="4"/>
  </w:num>
  <w:num w:numId="6" w16cid:durableId="1086266694">
    <w:abstractNumId w:val="11"/>
  </w:num>
  <w:num w:numId="7" w16cid:durableId="1659769953">
    <w:abstractNumId w:val="3"/>
  </w:num>
  <w:num w:numId="8" w16cid:durableId="1880779668">
    <w:abstractNumId w:val="2"/>
  </w:num>
  <w:num w:numId="9" w16cid:durableId="585772892">
    <w:abstractNumId w:val="1"/>
  </w:num>
  <w:num w:numId="10" w16cid:durableId="1669177">
    <w:abstractNumId w:val="0"/>
  </w:num>
  <w:num w:numId="11" w16cid:durableId="1663238657">
    <w:abstractNumId w:val="9"/>
  </w:num>
  <w:num w:numId="12" w16cid:durableId="466170511">
    <w:abstractNumId w:val="13"/>
  </w:num>
  <w:num w:numId="13" w16cid:durableId="403841117">
    <w:abstractNumId w:val="12"/>
  </w:num>
  <w:num w:numId="14" w16cid:durableId="1440031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DF"/>
    <w:rsid w:val="00002EA0"/>
    <w:rsid w:val="00003636"/>
    <w:rsid w:val="00003F4A"/>
    <w:rsid w:val="00005FAA"/>
    <w:rsid w:val="0000714C"/>
    <w:rsid w:val="00010163"/>
    <w:rsid w:val="0001457C"/>
    <w:rsid w:val="0001528D"/>
    <w:rsid w:val="000166A0"/>
    <w:rsid w:val="00030051"/>
    <w:rsid w:val="00037E7E"/>
    <w:rsid w:val="00042704"/>
    <w:rsid w:val="000547CF"/>
    <w:rsid w:val="00060BC5"/>
    <w:rsid w:val="000647F2"/>
    <w:rsid w:val="00070BA1"/>
    <w:rsid w:val="00073466"/>
    <w:rsid w:val="00074F1A"/>
    <w:rsid w:val="000758FD"/>
    <w:rsid w:val="00082404"/>
    <w:rsid w:val="000825EC"/>
    <w:rsid w:val="00086B6B"/>
    <w:rsid w:val="00095388"/>
    <w:rsid w:val="00096AA1"/>
    <w:rsid w:val="00097E34"/>
    <w:rsid w:val="000A1C92"/>
    <w:rsid w:val="000A26F5"/>
    <w:rsid w:val="000A7219"/>
    <w:rsid w:val="000B26E7"/>
    <w:rsid w:val="000B2E5E"/>
    <w:rsid w:val="000B5461"/>
    <w:rsid w:val="000B5C70"/>
    <w:rsid w:val="000C0594"/>
    <w:rsid w:val="000C13E6"/>
    <w:rsid w:val="000C3D52"/>
    <w:rsid w:val="000C45B7"/>
    <w:rsid w:val="000C62D3"/>
    <w:rsid w:val="000D0F4C"/>
    <w:rsid w:val="000D1CF4"/>
    <w:rsid w:val="000D28C1"/>
    <w:rsid w:val="000D5FBF"/>
    <w:rsid w:val="000D600E"/>
    <w:rsid w:val="000E3992"/>
    <w:rsid w:val="000E4332"/>
    <w:rsid w:val="000E717B"/>
    <w:rsid w:val="000F0B81"/>
    <w:rsid w:val="001062D0"/>
    <w:rsid w:val="001100E3"/>
    <w:rsid w:val="00114DE6"/>
    <w:rsid w:val="001210A9"/>
    <w:rsid w:val="001220C8"/>
    <w:rsid w:val="00133780"/>
    <w:rsid w:val="001354CC"/>
    <w:rsid w:val="001366F6"/>
    <w:rsid w:val="0014150F"/>
    <w:rsid w:val="00144670"/>
    <w:rsid w:val="0014616C"/>
    <w:rsid w:val="00147799"/>
    <w:rsid w:val="00150899"/>
    <w:rsid w:val="00152CB8"/>
    <w:rsid w:val="00155417"/>
    <w:rsid w:val="00156908"/>
    <w:rsid w:val="00160721"/>
    <w:rsid w:val="001721AF"/>
    <w:rsid w:val="001743E7"/>
    <w:rsid w:val="001A0525"/>
    <w:rsid w:val="001A4CEE"/>
    <w:rsid w:val="001A4D56"/>
    <w:rsid w:val="001A58BF"/>
    <w:rsid w:val="001A6CB5"/>
    <w:rsid w:val="001A7E4B"/>
    <w:rsid w:val="001B3F10"/>
    <w:rsid w:val="001B72A9"/>
    <w:rsid w:val="001C2544"/>
    <w:rsid w:val="001C417D"/>
    <w:rsid w:val="001C4328"/>
    <w:rsid w:val="001C7630"/>
    <w:rsid w:val="001D1196"/>
    <w:rsid w:val="001D19D8"/>
    <w:rsid w:val="001E38EF"/>
    <w:rsid w:val="001E7F16"/>
    <w:rsid w:val="001F3A47"/>
    <w:rsid w:val="001F763E"/>
    <w:rsid w:val="00200B86"/>
    <w:rsid w:val="0020134B"/>
    <w:rsid w:val="0020402C"/>
    <w:rsid w:val="002044E3"/>
    <w:rsid w:val="00204BF4"/>
    <w:rsid w:val="00207F46"/>
    <w:rsid w:val="00211AC9"/>
    <w:rsid w:val="00212497"/>
    <w:rsid w:val="002239C6"/>
    <w:rsid w:val="00225534"/>
    <w:rsid w:val="00235C1F"/>
    <w:rsid w:val="0023604D"/>
    <w:rsid w:val="002366E2"/>
    <w:rsid w:val="002629A8"/>
    <w:rsid w:val="002639DB"/>
    <w:rsid w:val="00264240"/>
    <w:rsid w:val="002654F9"/>
    <w:rsid w:val="00267F76"/>
    <w:rsid w:val="00270746"/>
    <w:rsid w:val="0027546B"/>
    <w:rsid w:val="00283D52"/>
    <w:rsid w:val="00284176"/>
    <w:rsid w:val="00293240"/>
    <w:rsid w:val="002933E6"/>
    <w:rsid w:val="0029629D"/>
    <w:rsid w:val="002A29B1"/>
    <w:rsid w:val="002A7860"/>
    <w:rsid w:val="002C042D"/>
    <w:rsid w:val="002C265A"/>
    <w:rsid w:val="002C4595"/>
    <w:rsid w:val="002C4D00"/>
    <w:rsid w:val="002D00C9"/>
    <w:rsid w:val="002D268E"/>
    <w:rsid w:val="002D7F0F"/>
    <w:rsid w:val="003001A2"/>
    <w:rsid w:val="00310C3C"/>
    <w:rsid w:val="00313642"/>
    <w:rsid w:val="00315AC9"/>
    <w:rsid w:val="00320951"/>
    <w:rsid w:val="003209AA"/>
    <w:rsid w:val="00322BBE"/>
    <w:rsid w:val="00326ED5"/>
    <w:rsid w:val="00331970"/>
    <w:rsid w:val="00334562"/>
    <w:rsid w:val="00343A37"/>
    <w:rsid w:val="00345FA9"/>
    <w:rsid w:val="003465B4"/>
    <w:rsid w:val="00350582"/>
    <w:rsid w:val="00353FAA"/>
    <w:rsid w:val="003558D9"/>
    <w:rsid w:val="00362EAC"/>
    <w:rsid w:val="003636BF"/>
    <w:rsid w:val="00365BC4"/>
    <w:rsid w:val="00371176"/>
    <w:rsid w:val="003819FF"/>
    <w:rsid w:val="00384BF4"/>
    <w:rsid w:val="00385C06"/>
    <w:rsid w:val="003864CC"/>
    <w:rsid w:val="00386D0C"/>
    <w:rsid w:val="003966D8"/>
    <w:rsid w:val="00397271"/>
    <w:rsid w:val="003A3350"/>
    <w:rsid w:val="003A3369"/>
    <w:rsid w:val="003A44A9"/>
    <w:rsid w:val="003B18B7"/>
    <w:rsid w:val="003B19B2"/>
    <w:rsid w:val="003B6C74"/>
    <w:rsid w:val="003C67E6"/>
    <w:rsid w:val="003D3CB2"/>
    <w:rsid w:val="003D518E"/>
    <w:rsid w:val="003D5928"/>
    <w:rsid w:val="003D5BEE"/>
    <w:rsid w:val="003E06B4"/>
    <w:rsid w:val="003E09D1"/>
    <w:rsid w:val="003E1377"/>
    <w:rsid w:val="003E3617"/>
    <w:rsid w:val="003F0D75"/>
    <w:rsid w:val="003F319A"/>
    <w:rsid w:val="0040506D"/>
    <w:rsid w:val="00406784"/>
    <w:rsid w:val="00406AF1"/>
    <w:rsid w:val="00407C2F"/>
    <w:rsid w:val="0041385B"/>
    <w:rsid w:val="00415BC0"/>
    <w:rsid w:val="004208E6"/>
    <w:rsid w:val="004232F9"/>
    <w:rsid w:val="00433A1E"/>
    <w:rsid w:val="00440668"/>
    <w:rsid w:val="004421D7"/>
    <w:rsid w:val="00447B83"/>
    <w:rsid w:val="00450475"/>
    <w:rsid w:val="004561B3"/>
    <w:rsid w:val="00457882"/>
    <w:rsid w:val="00460B5A"/>
    <w:rsid w:val="0046600E"/>
    <w:rsid w:val="00467E79"/>
    <w:rsid w:val="00476722"/>
    <w:rsid w:val="00481EEB"/>
    <w:rsid w:val="0048414C"/>
    <w:rsid w:val="0048667B"/>
    <w:rsid w:val="004931D0"/>
    <w:rsid w:val="00495993"/>
    <w:rsid w:val="004A3AAA"/>
    <w:rsid w:val="004A4315"/>
    <w:rsid w:val="004B5995"/>
    <w:rsid w:val="004B5AC3"/>
    <w:rsid w:val="004B68AD"/>
    <w:rsid w:val="004B6A8B"/>
    <w:rsid w:val="004C0742"/>
    <w:rsid w:val="004C237E"/>
    <w:rsid w:val="004C491E"/>
    <w:rsid w:val="004C63FE"/>
    <w:rsid w:val="004D02AF"/>
    <w:rsid w:val="004D23C9"/>
    <w:rsid w:val="004D6645"/>
    <w:rsid w:val="004E33EF"/>
    <w:rsid w:val="004E562B"/>
    <w:rsid w:val="004E642A"/>
    <w:rsid w:val="004E7C82"/>
    <w:rsid w:val="004F7C92"/>
    <w:rsid w:val="005009DC"/>
    <w:rsid w:val="00500EFC"/>
    <w:rsid w:val="00501E2E"/>
    <w:rsid w:val="0051781E"/>
    <w:rsid w:val="00520971"/>
    <w:rsid w:val="005253F1"/>
    <w:rsid w:val="005267CB"/>
    <w:rsid w:val="005271D6"/>
    <w:rsid w:val="00531869"/>
    <w:rsid w:val="00535B7D"/>
    <w:rsid w:val="005371C2"/>
    <w:rsid w:val="00541D1B"/>
    <w:rsid w:val="00554FAA"/>
    <w:rsid w:val="005567EE"/>
    <w:rsid w:val="00557A69"/>
    <w:rsid w:val="005630B4"/>
    <w:rsid w:val="00563773"/>
    <w:rsid w:val="005650F2"/>
    <w:rsid w:val="005672CB"/>
    <w:rsid w:val="00567BA1"/>
    <w:rsid w:val="005757DF"/>
    <w:rsid w:val="00576B90"/>
    <w:rsid w:val="0058155D"/>
    <w:rsid w:val="0058389B"/>
    <w:rsid w:val="00590A5B"/>
    <w:rsid w:val="00590C13"/>
    <w:rsid w:val="0059119E"/>
    <w:rsid w:val="0059175F"/>
    <w:rsid w:val="00592074"/>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577"/>
    <w:rsid w:val="006F4DCD"/>
    <w:rsid w:val="006F7F16"/>
    <w:rsid w:val="00702FF2"/>
    <w:rsid w:val="00703B66"/>
    <w:rsid w:val="00705800"/>
    <w:rsid w:val="00705EAB"/>
    <w:rsid w:val="00712A99"/>
    <w:rsid w:val="00723455"/>
    <w:rsid w:val="00724762"/>
    <w:rsid w:val="00724D6D"/>
    <w:rsid w:val="0073474C"/>
    <w:rsid w:val="0073754C"/>
    <w:rsid w:val="0074716F"/>
    <w:rsid w:val="0074737F"/>
    <w:rsid w:val="00753673"/>
    <w:rsid w:val="007540BD"/>
    <w:rsid w:val="00762205"/>
    <w:rsid w:val="0076323D"/>
    <w:rsid w:val="00764201"/>
    <w:rsid w:val="007830BE"/>
    <w:rsid w:val="007940C9"/>
    <w:rsid w:val="00796312"/>
    <w:rsid w:val="007A04FE"/>
    <w:rsid w:val="007B1B23"/>
    <w:rsid w:val="007B21FA"/>
    <w:rsid w:val="007B2ADE"/>
    <w:rsid w:val="007B3940"/>
    <w:rsid w:val="007D492E"/>
    <w:rsid w:val="007D7129"/>
    <w:rsid w:val="007E0C49"/>
    <w:rsid w:val="007E3A3B"/>
    <w:rsid w:val="007E51F2"/>
    <w:rsid w:val="007E5E97"/>
    <w:rsid w:val="007E7688"/>
    <w:rsid w:val="007F2441"/>
    <w:rsid w:val="007F4A4B"/>
    <w:rsid w:val="007F73B3"/>
    <w:rsid w:val="007F770C"/>
    <w:rsid w:val="00802CB9"/>
    <w:rsid w:val="00807BA4"/>
    <w:rsid w:val="0081105F"/>
    <w:rsid w:val="00821133"/>
    <w:rsid w:val="008324B0"/>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A4864"/>
    <w:rsid w:val="008A6D27"/>
    <w:rsid w:val="008B1B83"/>
    <w:rsid w:val="008B3ADA"/>
    <w:rsid w:val="008C5D90"/>
    <w:rsid w:val="008C5F4A"/>
    <w:rsid w:val="008E3990"/>
    <w:rsid w:val="008F272E"/>
    <w:rsid w:val="008F5994"/>
    <w:rsid w:val="008F6B2B"/>
    <w:rsid w:val="00905C37"/>
    <w:rsid w:val="00906916"/>
    <w:rsid w:val="0092514B"/>
    <w:rsid w:val="009264AA"/>
    <w:rsid w:val="009354A9"/>
    <w:rsid w:val="00944EE8"/>
    <w:rsid w:val="009461F0"/>
    <w:rsid w:val="009601F5"/>
    <w:rsid w:val="00963E43"/>
    <w:rsid w:val="00970F21"/>
    <w:rsid w:val="00975F3B"/>
    <w:rsid w:val="0098382A"/>
    <w:rsid w:val="009943CD"/>
    <w:rsid w:val="00994E91"/>
    <w:rsid w:val="009C37F8"/>
    <w:rsid w:val="009C6BB2"/>
    <w:rsid w:val="009D6A42"/>
    <w:rsid w:val="009E27B6"/>
    <w:rsid w:val="009E7920"/>
    <w:rsid w:val="009F368F"/>
    <w:rsid w:val="009F4367"/>
    <w:rsid w:val="009F7033"/>
    <w:rsid w:val="00A03CE6"/>
    <w:rsid w:val="00A03E48"/>
    <w:rsid w:val="00A11F5A"/>
    <w:rsid w:val="00A158CB"/>
    <w:rsid w:val="00A34B40"/>
    <w:rsid w:val="00A36292"/>
    <w:rsid w:val="00A36D64"/>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E626F"/>
    <w:rsid w:val="00AF5AF6"/>
    <w:rsid w:val="00B07E79"/>
    <w:rsid w:val="00B13BB6"/>
    <w:rsid w:val="00B2565D"/>
    <w:rsid w:val="00B30727"/>
    <w:rsid w:val="00B358B3"/>
    <w:rsid w:val="00B441D7"/>
    <w:rsid w:val="00B51D7C"/>
    <w:rsid w:val="00B54207"/>
    <w:rsid w:val="00B66739"/>
    <w:rsid w:val="00B67E21"/>
    <w:rsid w:val="00B734BB"/>
    <w:rsid w:val="00B77950"/>
    <w:rsid w:val="00B80700"/>
    <w:rsid w:val="00B86940"/>
    <w:rsid w:val="00B87347"/>
    <w:rsid w:val="00B90A33"/>
    <w:rsid w:val="00B91712"/>
    <w:rsid w:val="00B91D48"/>
    <w:rsid w:val="00B932C3"/>
    <w:rsid w:val="00B9526E"/>
    <w:rsid w:val="00BA7059"/>
    <w:rsid w:val="00BA7C98"/>
    <w:rsid w:val="00BB40C8"/>
    <w:rsid w:val="00BB63E6"/>
    <w:rsid w:val="00BB6985"/>
    <w:rsid w:val="00BC1C77"/>
    <w:rsid w:val="00BC6602"/>
    <w:rsid w:val="00BD3A3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21E7"/>
    <w:rsid w:val="00C53CED"/>
    <w:rsid w:val="00C57362"/>
    <w:rsid w:val="00C57CA7"/>
    <w:rsid w:val="00C617FE"/>
    <w:rsid w:val="00C64F3D"/>
    <w:rsid w:val="00C7051E"/>
    <w:rsid w:val="00C70BEA"/>
    <w:rsid w:val="00C71B04"/>
    <w:rsid w:val="00C766CC"/>
    <w:rsid w:val="00C76B7D"/>
    <w:rsid w:val="00C8406C"/>
    <w:rsid w:val="00C87AAA"/>
    <w:rsid w:val="00CA543F"/>
    <w:rsid w:val="00CA6429"/>
    <w:rsid w:val="00CA6ADF"/>
    <w:rsid w:val="00CB5C14"/>
    <w:rsid w:val="00CC12A8"/>
    <w:rsid w:val="00CC6892"/>
    <w:rsid w:val="00CC77A5"/>
    <w:rsid w:val="00CD31FE"/>
    <w:rsid w:val="00CD4F1D"/>
    <w:rsid w:val="00CE1EC6"/>
    <w:rsid w:val="00CE5201"/>
    <w:rsid w:val="00CF1627"/>
    <w:rsid w:val="00CF2263"/>
    <w:rsid w:val="00CF760D"/>
    <w:rsid w:val="00D008ED"/>
    <w:rsid w:val="00D01984"/>
    <w:rsid w:val="00D01EDA"/>
    <w:rsid w:val="00D16472"/>
    <w:rsid w:val="00D321C9"/>
    <w:rsid w:val="00D37FC2"/>
    <w:rsid w:val="00D43DB0"/>
    <w:rsid w:val="00D570C5"/>
    <w:rsid w:val="00D922CF"/>
    <w:rsid w:val="00D951B4"/>
    <w:rsid w:val="00DA32B3"/>
    <w:rsid w:val="00DA6734"/>
    <w:rsid w:val="00DB56B3"/>
    <w:rsid w:val="00DE24BE"/>
    <w:rsid w:val="00DE5B21"/>
    <w:rsid w:val="00DE7479"/>
    <w:rsid w:val="00DF128B"/>
    <w:rsid w:val="00DF2F94"/>
    <w:rsid w:val="00E11688"/>
    <w:rsid w:val="00E26EAA"/>
    <w:rsid w:val="00E27CC3"/>
    <w:rsid w:val="00E30FCA"/>
    <w:rsid w:val="00E36F97"/>
    <w:rsid w:val="00E42057"/>
    <w:rsid w:val="00E44C4F"/>
    <w:rsid w:val="00E46DA0"/>
    <w:rsid w:val="00E56BF8"/>
    <w:rsid w:val="00E62BEE"/>
    <w:rsid w:val="00E63075"/>
    <w:rsid w:val="00E644BF"/>
    <w:rsid w:val="00E73A40"/>
    <w:rsid w:val="00E806E3"/>
    <w:rsid w:val="00E81697"/>
    <w:rsid w:val="00E83744"/>
    <w:rsid w:val="00E90535"/>
    <w:rsid w:val="00E928D4"/>
    <w:rsid w:val="00E94852"/>
    <w:rsid w:val="00EA4D25"/>
    <w:rsid w:val="00EA576F"/>
    <w:rsid w:val="00EB0255"/>
    <w:rsid w:val="00EB3838"/>
    <w:rsid w:val="00EB4C77"/>
    <w:rsid w:val="00EB68CC"/>
    <w:rsid w:val="00EC2095"/>
    <w:rsid w:val="00EC5E51"/>
    <w:rsid w:val="00EC76B0"/>
    <w:rsid w:val="00ED48AE"/>
    <w:rsid w:val="00EE167F"/>
    <w:rsid w:val="00EE65A7"/>
    <w:rsid w:val="00EF48EC"/>
    <w:rsid w:val="00EF6016"/>
    <w:rsid w:val="00F05E03"/>
    <w:rsid w:val="00F2061A"/>
    <w:rsid w:val="00F2414A"/>
    <w:rsid w:val="00F30057"/>
    <w:rsid w:val="00F31EFD"/>
    <w:rsid w:val="00F34750"/>
    <w:rsid w:val="00F44CF6"/>
    <w:rsid w:val="00F46114"/>
    <w:rsid w:val="00F47B3A"/>
    <w:rsid w:val="00F54BFA"/>
    <w:rsid w:val="00F561D3"/>
    <w:rsid w:val="00F602C8"/>
    <w:rsid w:val="00F62595"/>
    <w:rsid w:val="00F7168A"/>
    <w:rsid w:val="00F71C13"/>
    <w:rsid w:val="00F77228"/>
    <w:rsid w:val="00F90567"/>
    <w:rsid w:val="00F908EE"/>
    <w:rsid w:val="00F91352"/>
    <w:rsid w:val="00F922ED"/>
    <w:rsid w:val="00FB7ADE"/>
    <w:rsid w:val="00FC164F"/>
    <w:rsid w:val="00FD2036"/>
    <w:rsid w:val="00FE45B3"/>
    <w:rsid w:val="00FE7E77"/>
    <w:rsid w:val="00FF45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B18955F"/>
  <w15:docId w15:val="{C65218E0-1E89-41B6-A50C-774A78ED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133780"/>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133780"/>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59"/>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133780"/>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133780"/>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6F4577"/>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3" w:themeFillTint="33"/>
    </w:tcPr>
    <w:tblStylePr w:type="firstRow">
      <w:rPr>
        <w:b/>
        <w:bCs/>
      </w:rPr>
      <w:tblPr/>
      <w:tcPr>
        <w:shd w:val="clear" w:color="auto" w:fill="78DFFF" w:themeFill="accent3" w:themeFillTint="66"/>
      </w:tcPr>
    </w:tblStylePr>
    <w:tblStylePr w:type="lastRow">
      <w:rPr>
        <w:b/>
        <w:bCs/>
        <w:color w:val="000000" w:themeColor="text1"/>
      </w:rPr>
      <w:tblPr/>
      <w:tcPr>
        <w:shd w:val="clear" w:color="auto" w:fill="78DFFF" w:themeFill="accent3" w:themeFillTint="66"/>
      </w:tcPr>
    </w:tblStylePr>
    <w:tblStylePr w:type="firstCol">
      <w:rPr>
        <w:color w:val="FFFFFF" w:themeColor="background1"/>
      </w:rPr>
      <w:tblPr/>
      <w:tcPr>
        <w:shd w:val="clear" w:color="auto" w:fill="006381" w:themeFill="accent3" w:themeFillShade="BF"/>
      </w:tcPr>
    </w:tblStylePr>
    <w:tblStylePr w:type="lastCol">
      <w:rPr>
        <w:color w:val="FFFFFF" w:themeColor="background1"/>
      </w:rPr>
      <w:tblPr/>
      <w:tcPr>
        <w:shd w:val="clear" w:color="auto" w:fill="006381" w:themeFill="accent3" w:themeFillShade="BF"/>
      </w:tc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4" w:themeFillTint="33"/>
    </w:tcPr>
    <w:tblStylePr w:type="firstRow">
      <w:rPr>
        <w:b/>
        <w:bCs/>
      </w:rPr>
      <w:tblPr/>
      <w:tcPr>
        <w:shd w:val="clear" w:color="auto" w:fill="ABE4E9" w:themeFill="accent4" w:themeFillTint="66"/>
      </w:tcPr>
    </w:tblStylePr>
    <w:tblStylePr w:type="lastRow">
      <w:rPr>
        <w:b/>
        <w:bCs/>
        <w:color w:val="000000" w:themeColor="text1"/>
      </w:rPr>
      <w:tblPr/>
      <w:tcPr>
        <w:shd w:val="clear" w:color="auto" w:fill="ABE4E9" w:themeFill="accent4" w:themeFillTint="66"/>
      </w:tcPr>
    </w:tblStylePr>
    <w:tblStylePr w:type="firstCol">
      <w:rPr>
        <w:color w:val="FFFFFF" w:themeColor="background1"/>
      </w:rPr>
      <w:tblPr/>
      <w:tcPr>
        <w:shd w:val="clear" w:color="auto" w:fill="268A92" w:themeFill="accent4" w:themeFillShade="BF"/>
      </w:tcPr>
    </w:tblStylePr>
    <w:tblStylePr w:type="lastCol">
      <w:rPr>
        <w:color w:val="FFFFFF" w:themeColor="background1"/>
      </w:rPr>
      <w:tblPr/>
      <w:tcPr>
        <w:shd w:val="clear" w:color="auto" w:fill="268A92" w:themeFill="accent4" w:themeFillShade="BF"/>
      </w:tc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5" w:themeFillTint="33"/>
    </w:tcPr>
    <w:tblStylePr w:type="firstRow">
      <w:rPr>
        <w:b/>
        <w:bCs/>
      </w:rPr>
      <w:tblPr/>
      <w:tcPr>
        <w:shd w:val="clear" w:color="auto" w:fill="DFE6AC" w:themeFill="accent5" w:themeFillTint="66"/>
      </w:tcPr>
    </w:tblStylePr>
    <w:tblStylePr w:type="lastRow">
      <w:rPr>
        <w:b/>
        <w:bCs/>
        <w:color w:val="000000" w:themeColor="text1"/>
      </w:rPr>
      <w:tblPr/>
      <w:tcPr>
        <w:shd w:val="clear" w:color="auto" w:fill="DFE6AC" w:themeFill="accent5" w:themeFillTint="66"/>
      </w:tcPr>
    </w:tblStylePr>
    <w:tblStylePr w:type="firstCol">
      <w:rPr>
        <w:color w:val="FFFFFF" w:themeColor="background1"/>
      </w:rPr>
      <w:tblPr/>
      <w:tcPr>
        <w:shd w:val="clear" w:color="auto" w:fill="7F8C2A" w:themeFill="accent5" w:themeFillShade="BF"/>
      </w:tcPr>
    </w:tblStylePr>
    <w:tblStylePr w:type="lastCol">
      <w:rPr>
        <w:color w:val="FFFFFF" w:themeColor="background1"/>
      </w:rPr>
      <w:tblPr/>
      <w:tcPr>
        <w:shd w:val="clear" w:color="auto" w:fill="7F8C2A" w:themeFill="accent5" w:themeFillShade="BF"/>
      </w:tc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6" w:themeFillTint="33"/>
    </w:tcPr>
    <w:tblStylePr w:type="firstRow">
      <w:rPr>
        <w:b/>
        <w:bCs/>
      </w:rPr>
      <w:tblPr/>
      <w:tcPr>
        <w:shd w:val="clear" w:color="auto" w:fill="F8F0C4" w:themeFill="accent6" w:themeFillTint="66"/>
      </w:tcPr>
    </w:tblStylePr>
    <w:tblStylePr w:type="lastRow">
      <w:rPr>
        <w:b/>
        <w:bCs/>
        <w:color w:val="000000" w:themeColor="text1"/>
      </w:rPr>
      <w:tblPr/>
      <w:tcPr>
        <w:shd w:val="clear" w:color="auto" w:fill="F8F0C4" w:themeFill="accent6" w:themeFillTint="66"/>
      </w:tcPr>
    </w:tblStylePr>
    <w:tblStylePr w:type="firstCol">
      <w:rPr>
        <w:color w:val="FFFFFF" w:themeColor="background1"/>
      </w:rPr>
      <w:tblPr/>
      <w:tcPr>
        <w:shd w:val="clear" w:color="auto" w:fill="E6C71D" w:themeFill="accent6" w:themeFillShade="BF"/>
      </w:tcPr>
    </w:tblStylePr>
    <w:tblStylePr w:type="lastCol">
      <w:rPr>
        <w:color w:val="FFFFFF" w:themeColor="background1"/>
      </w:rPr>
      <w:tblPr/>
      <w:tcPr>
        <w:shd w:val="clear" w:color="auto" w:fill="E6C71D" w:themeFill="accent6" w:themeFillShade="BF"/>
      </w:tc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3" w:themeFillTint="19"/>
    </w:tcPr>
    <w:tblStylePr w:type="firstRow">
      <w:rPr>
        <w:b/>
        <w:bCs/>
        <w:color w:val="FFFFFF" w:themeColor="background1"/>
      </w:rPr>
      <w:tblPr/>
      <w:tcPr>
        <w:tcBorders>
          <w:bottom w:val="single" w:sz="12" w:space="0" w:color="FFFFFF" w:themeColor="background1"/>
        </w:tcBorders>
        <w:shd w:val="clear" w:color="auto" w:fill="28939C" w:themeFill="accent4" w:themeFillShade="CC"/>
      </w:tcPr>
    </w:tblStylePr>
    <w:tblStylePr w:type="lastRow">
      <w:rPr>
        <w:b/>
        <w:bCs/>
        <w:color w:val="28939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3" w:themeFillTint="3F"/>
      </w:tcPr>
    </w:tblStylePr>
    <w:tblStylePr w:type="band1Horz">
      <w:tblPr/>
      <w:tcPr>
        <w:shd w:val="clear" w:color="auto" w:fill="BBEFFF"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4" w:themeFillTint="19"/>
    </w:tcPr>
    <w:tblStylePr w:type="firstRow">
      <w:rPr>
        <w:b/>
        <w:bCs/>
        <w:color w:val="FFFFFF" w:themeColor="background1"/>
      </w:rPr>
      <w:tblPr/>
      <w:tcPr>
        <w:tcBorders>
          <w:bottom w:val="single" w:sz="12" w:space="0" w:color="FFFFFF" w:themeColor="background1"/>
        </w:tcBorders>
        <w:shd w:val="clear" w:color="auto" w:fill="006A8A" w:themeFill="accent3" w:themeFillShade="CC"/>
      </w:tcPr>
    </w:tblStylePr>
    <w:tblStylePr w:type="lastRow">
      <w:rPr>
        <w:b/>
        <w:bCs/>
        <w:color w:val="006A8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4" w:themeFillTint="3F"/>
      </w:tcPr>
    </w:tblStylePr>
    <w:tblStylePr w:type="band1Horz">
      <w:tblPr/>
      <w:tcPr>
        <w:shd w:val="clear" w:color="auto" w:fill="D5F1F4"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5" w:themeFillTint="19"/>
    </w:tcPr>
    <w:tblStylePr w:type="firstRow">
      <w:rPr>
        <w:b/>
        <w:bCs/>
        <w:color w:val="FFFFFF" w:themeColor="background1"/>
      </w:rPr>
      <w:tblPr/>
      <w:tcPr>
        <w:tcBorders>
          <w:bottom w:val="single" w:sz="12" w:space="0" w:color="FFFFFF" w:themeColor="background1"/>
        </w:tcBorders>
        <w:shd w:val="clear" w:color="auto" w:fill="E8CB2D" w:themeFill="accent6" w:themeFillShade="CC"/>
      </w:tcPr>
    </w:tblStylePr>
    <w:tblStylePr w:type="lastRow">
      <w:rPr>
        <w:b/>
        <w:bCs/>
        <w:color w:val="E8CB2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5" w:themeFillTint="3F"/>
      </w:tcPr>
    </w:tblStylePr>
    <w:tblStylePr w:type="band1Horz">
      <w:tblPr/>
      <w:tcPr>
        <w:shd w:val="clear" w:color="auto" w:fill="EFF2D5"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DFBF0" w:themeFill="accent6" w:themeFillTint="19"/>
    </w:tcPr>
    <w:tblStylePr w:type="firstRow">
      <w:rPr>
        <w:b/>
        <w:bCs/>
        <w:color w:val="FFFFFF" w:themeColor="background1"/>
      </w:rPr>
      <w:tblPr/>
      <w:tcPr>
        <w:tcBorders>
          <w:bottom w:val="single" w:sz="12" w:space="0" w:color="FFFFFF" w:themeColor="background1"/>
        </w:tcBorders>
        <w:shd w:val="clear" w:color="auto" w:fill="88962C" w:themeFill="accent5" w:themeFillShade="CC"/>
      </w:tcPr>
    </w:tblStylePr>
    <w:tblStylePr w:type="lastRow">
      <w:rPr>
        <w:b/>
        <w:bCs/>
        <w:color w:val="88962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6" w:themeFillTint="3F"/>
      </w:tcPr>
    </w:tblStylePr>
    <w:tblStylePr w:type="band1Horz">
      <w:tblPr/>
      <w:tcPr>
        <w:shd w:val="clear" w:color="auto" w:fill="FBF7E1"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4"/>
        <w:left w:val="single" w:sz="4" w:space="0" w:color="0085AD" w:themeColor="accent3"/>
        <w:bottom w:val="single" w:sz="4" w:space="0" w:color="0085AD" w:themeColor="accent3"/>
        <w:right w:val="single" w:sz="4" w:space="0" w:color="0085AD" w:themeColor="accent3"/>
        <w:insideH w:val="single" w:sz="4" w:space="0" w:color="FFFFFF" w:themeColor="background1"/>
        <w:insideV w:val="single" w:sz="4" w:space="0" w:color="FFFFFF" w:themeColor="background1"/>
      </w:tblBorders>
    </w:tblPr>
    <w:tcPr>
      <w:shd w:val="clear" w:color="auto" w:fill="DDF7FF" w:themeFill="accent3" w:themeFillTint="19"/>
    </w:tcPr>
    <w:tblStylePr w:type="firstRow">
      <w:rPr>
        <w:b/>
        <w:bCs/>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3" w:themeFillShade="99"/>
      </w:tcPr>
    </w:tblStylePr>
    <w:tblStylePr w:type="firstCol">
      <w:rPr>
        <w:color w:val="FFFFFF" w:themeColor="background1"/>
      </w:rPr>
      <w:tblPr/>
      <w:tcPr>
        <w:tcBorders>
          <w:top w:val="nil"/>
          <w:left w:val="nil"/>
          <w:bottom w:val="nil"/>
          <w:right w:val="nil"/>
          <w:insideH w:val="single" w:sz="4" w:space="0" w:color="004F67" w:themeColor="accent3" w:themeShade="99"/>
          <w:insideV w:val="nil"/>
        </w:tcBorders>
        <w:shd w:val="clear" w:color="auto" w:fill="004F6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3" w:themeFillShade="99"/>
      </w:tcPr>
    </w:tblStylePr>
    <w:tblStylePr w:type="band1Vert">
      <w:tblPr/>
      <w:tcPr>
        <w:shd w:val="clear" w:color="auto" w:fill="78DFFF" w:themeFill="accent3" w:themeFillTint="66"/>
      </w:tcPr>
    </w:tblStylePr>
    <w:tblStylePr w:type="band1Horz">
      <w:tblPr/>
      <w:tcPr>
        <w:shd w:val="clear" w:color="auto" w:fill="57D8FF"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3"/>
        <w:left w:val="single" w:sz="4" w:space="0" w:color="33B9C4" w:themeColor="accent4"/>
        <w:bottom w:val="single" w:sz="4" w:space="0" w:color="33B9C4" w:themeColor="accent4"/>
        <w:right w:val="single" w:sz="4" w:space="0" w:color="33B9C4" w:themeColor="accent4"/>
        <w:insideH w:val="single" w:sz="4" w:space="0" w:color="FFFFFF" w:themeColor="background1"/>
        <w:insideV w:val="single" w:sz="4" w:space="0" w:color="FFFFFF" w:themeColor="background1"/>
      </w:tblBorders>
    </w:tblPr>
    <w:tcPr>
      <w:shd w:val="clear" w:color="auto" w:fill="EAF8F9" w:themeFill="accent4" w:themeFillTint="19"/>
    </w:tcPr>
    <w:tblStylePr w:type="firstRow">
      <w:rPr>
        <w:b/>
        <w:bCs/>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4" w:themeFillShade="99"/>
      </w:tcPr>
    </w:tblStylePr>
    <w:tblStylePr w:type="firstCol">
      <w:rPr>
        <w:color w:val="FFFFFF" w:themeColor="background1"/>
      </w:rPr>
      <w:tblPr/>
      <w:tcPr>
        <w:tcBorders>
          <w:top w:val="nil"/>
          <w:left w:val="nil"/>
          <w:bottom w:val="nil"/>
          <w:right w:val="nil"/>
          <w:insideH w:val="single" w:sz="4" w:space="0" w:color="1E6E75" w:themeColor="accent4" w:themeShade="99"/>
          <w:insideV w:val="nil"/>
        </w:tcBorders>
        <w:shd w:val="clear" w:color="auto" w:fill="1E6E7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4" w:themeFillShade="99"/>
      </w:tcPr>
    </w:tblStylePr>
    <w:tblStylePr w:type="band1Vert">
      <w:tblPr/>
      <w:tcPr>
        <w:shd w:val="clear" w:color="auto" w:fill="ABE4E9" w:themeFill="accent4" w:themeFillTint="66"/>
      </w:tcPr>
    </w:tblStylePr>
    <w:tblStylePr w:type="band1Horz">
      <w:tblPr/>
      <w:tcPr>
        <w:shd w:val="clear" w:color="auto" w:fill="97DDE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EFDB6C" w:themeColor="accent6"/>
        <w:left w:val="single" w:sz="4" w:space="0" w:color="ABBC38" w:themeColor="accent5"/>
        <w:bottom w:val="single" w:sz="4" w:space="0" w:color="ABBC38" w:themeColor="accent5"/>
        <w:right w:val="single" w:sz="4" w:space="0" w:color="ABBC38" w:themeColor="accent5"/>
        <w:insideH w:val="single" w:sz="4" w:space="0" w:color="FFFFFF" w:themeColor="background1"/>
        <w:insideV w:val="single" w:sz="4" w:space="0" w:color="FFFFFF" w:themeColor="background1"/>
      </w:tblBorders>
    </w:tblPr>
    <w:tcPr>
      <w:shd w:val="clear" w:color="auto" w:fill="F7F9EA" w:themeFill="accent5" w:themeFillTint="19"/>
    </w:tcPr>
    <w:tblStylePr w:type="firstRow">
      <w:rPr>
        <w:b/>
        <w:bCs/>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5" w:themeFillShade="99"/>
      </w:tcPr>
    </w:tblStylePr>
    <w:tblStylePr w:type="firstCol">
      <w:rPr>
        <w:color w:val="FFFFFF" w:themeColor="background1"/>
      </w:rPr>
      <w:tblPr/>
      <w:tcPr>
        <w:tcBorders>
          <w:top w:val="nil"/>
          <w:left w:val="nil"/>
          <w:bottom w:val="nil"/>
          <w:right w:val="nil"/>
          <w:insideH w:val="single" w:sz="4" w:space="0" w:color="667021" w:themeColor="accent5" w:themeShade="99"/>
          <w:insideV w:val="nil"/>
        </w:tcBorders>
        <w:shd w:val="clear" w:color="auto" w:fill="66702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5" w:themeFillShade="99"/>
      </w:tcPr>
    </w:tblStylePr>
    <w:tblStylePr w:type="band1Vert">
      <w:tblPr/>
      <w:tcPr>
        <w:shd w:val="clear" w:color="auto" w:fill="DFE6AC" w:themeFill="accent5" w:themeFillTint="66"/>
      </w:tcPr>
    </w:tblStylePr>
    <w:tblStylePr w:type="band1Horz">
      <w:tblPr/>
      <w:tcPr>
        <w:shd w:val="clear" w:color="auto" w:fill="D7E098"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5"/>
        <w:left w:val="single" w:sz="4" w:space="0" w:color="EFDB6C" w:themeColor="accent6"/>
        <w:bottom w:val="single" w:sz="4" w:space="0" w:color="EFDB6C" w:themeColor="accent6"/>
        <w:right w:val="single" w:sz="4" w:space="0" w:color="EFDB6C" w:themeColor="accent6"/>
        <w:insideH w:val="single" w:sz="4" w:space="0" w:color="FFFFFF" w:themeColor="background1"/>
        <w:insideV w:val="single" w:sz="4" w:space="0" w:color="FFFFFF" w:themeColor="background1"/>
      </w:tblBorders>
    </w:tblPr>
    <w:tcPr>
      <w:shd w:val="clear" w:color="auto" w:fill="FDFBF0" w:themeFill="accent6" w:themeFillTint="19"/>
    </w:tcPr>
    <w:tblStylePr w:type="firstRow">
      <w:rPr>
        <w:b/>
        <w:bCs/>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6" w:themeFillShade="99"/>
      </w:tcPr>
    </w:tblStylePr>
    <w:tblStylePr w:type="firstCol">
      <w:rPr>
        <w:color w:val="FFFFFF" w:themeColor="background1"/>
      </w:rPr>
      <w:tblPr/>
      <w:tcPr>
        <w:tcBorders>
          <w:top w:val="nil"/>
          <w:left w:val="nil"/>
          <w:bottom w:val="nil"/>
          <w:right w:val="nil"/>
          <w:insideH w:val="single" w:sz="4" w:space="0" w:color="BBA114" w:themeColor="accent6" w:themeShade="99"/>
          <w:insideV w:val="nil"/>
        </w:tcBorders>
        <w:shd w:val="clear" w:color="auto" w:fill="BBA1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6" w:themeFillShade="99"/>
      </w:tcPr>
    </w:tblStylePr>
    <w:tblStylePr w:type="band1Vert">
      <w:tblPr/>
      <w:tcPr>
        <w:shd w:val="clear" w:color="auto" w:fill="F8F0C4" w:themeFill="accent6" w:themeFillTint="66"/>
      </w:tcPr>
    </w:tblStylePr>
    <w:tblStylePr w:type="band1Horz">
      <w:tblPr/>
      <w:tcPr>
        <w:shd w:val="clear" w:color="auto" w:fill="F7EDB5"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3" w:themeFillShade="BF"/>
      </w:tcPr>
    </w:tblStylePr>
    <w:tblStylePr w:type="band1Vert">
      <w:tblPr/>
      <w:tcPr>
        <w:tcBorders>
          <w:top w:val="nil"/>
          <w:left w:val="nil"/>
          <w:bottom w:val="nil"/>
          <w:right w:val="nil"/>
          <w:insideH w:val="nil"/>
          <w:insideV w:val="nil"/>
        </w:tcBorders>
        <w:shd w:val="clear" w:color="auto" w:fill="006381" w:themeFill="accent3" w:themeFillShade="BF"/>
      </w:tcPr>
    </w:tblStylePr>
    <w:tblStylePr w:type="band1Horz">
      <w:tblPr/>
      <w:tcPr>
        <w:tcBorders>
          <w:top w:val="nil"/>
          <w:left w:val="nil"/>
          <w:bottom w:val="nil"/>
          <w:right w:val="nil"/>
          <w:insideH w:val="nil"/>
          <w:insideV w:val="nil"/>
        </w:tcBorders>
        <w:shd w:val="clear" w:color="auto" w:fill="006381"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4" w:themeFillShade="BF"/>
      </w:tcPr>
    </w:tblStylePr>
    <w:tblStylePr w:type="band1Vert">
      <w:tblPr/>
      <w:tcPr>
        <w:tcBorders>
          <w:top w:val="nil"/>
          <w:left w:val="nil"/>
          <w:bottom w:val="nil"/>
          <w:right w:val="nil"/>
          <w:insideH w:val="nil"/>
          <w:insideV w:val="nil"/>
        </w:tcBorders>
        <w:shd w:val="clear" w:color="auto" w:fill="268A92" w:themeFill="accent4" w:themeFillShade="BF"/>
      </w:tcPr>
    </w:tblStylePr>
    <w:tblStylePr w:type="band1Horz">
      <w:tblPr/>
      <w:tcPr>
        <w:tcBorders>
          <w:top w:val="nil"/>
          <w:left w:val="nil"/>
          <w:bottom w:val="nil"/>
          <w:right w:val="nil"/>
          <w:insideH w:val="nil"/>
          <w:insideV w:val="nil"/>
        </w:tcBorders>
        <w:shd w:val="clear" w:color="auto" w:fill="268A92"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5" w:themeFillShade="BF"/>
      </w:tcPr>
    </w:tblStylePr>
    <w:tblStylePr w:type="band1Vert">
      <w:tblPr/>
      <w:tcPr>
        <w:tcBorders>
          <w:top w:val="nil"/>
          <w:left w:val="nil"/>
          <w:bottom w:val="nil"/>
          <w:right w:val="nil"/>
          <w:insideH w:val="nil"/>
          <w:insideV w:val="nil"/>
        </w:tcBorders>
        <w:shd w:val="clear" w:color="auto" w:fill="7F8C2A" w:themeFill="accent5" w:themeFillShade="BF"/>
      </w:tcPr>
    </w:tblStylePr>
    <w:tblStylePr w:type="band1Horz">
      <w:tblPr/>
      <w:tcPr>
        <w:tcBorders>
          <w:top w:val="nil"/>
          <w:left w:val="nil"/>
          <w:bottom w:val="nil"/>
          <w:right w:val="nil"/>
          <w:insideH w:val="nil"/>
          <w:insideV w:val="nil"/>
        </w:tcBorders>
        <w:shd w:val="clear" w:color="auto" w:fill="7F8C2A"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EFDB6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6" w:themeFillShade="BF"/>
      </w:tcPr>
    </w:tblStylePr>
    <w:tblStylePr w:type="band1Vert">
      <w:tblPr/>
      <w:tcPr>
        <w:tcBorders>
          <w:top w:val="nil"/>
          <w:left w:val="nil"/>
          <w:bottom w:val="nil"/>
          <w:right w:val="nil"/>
          <w:insideH w:val="nil"/>
          <w:insideV w:val="nil"/>
        </w:tcBorders>
        <w:shd w:val="clear" w:color="auto" w:fill="E6C71D" w:themeFill="accent6" w:themeFillShade="BF"/>
      </w:tcPr>
    </w:tblStylePr>
    <w:tblStylePr w:type="band1Horz">
      <w:tblPr/>
      <w:tcPr>
        <w:tcBorders>
          <w:top w:val="nil"/>
          <w:left w:val="nil"/>
          <w:bottom w:val="nil"/>
          <w:right w:val="nil"/>
          <w:insideH w:val="nil"/>
          <w:insideV w:val="nil"/>
        </w:tcBorders>
        <w:shd w:val="clear" w:color="auto" w:fill="E6C71D"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9"/>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18" w:space="0" w:color="0085AD" w:themeColor="accent3"/>
          <w:right w:val="single" w:sz="8" w:space="0" w:color="0085AD" w:themeColor="accent3"/>
          <w:insideH w:val="nil"/>
          <w:insideV w:val="single" w:sz="8" w:space="0" w:color="0085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insideH w:val="nil"/>
          <w:insideV w:val="single" w:sz="8" w:space="0" w:color="0085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shd w:val="clear" w:color="auto" w:fill="ABEBFF" w:themeFill="accent3" w:themeFillTint="3F"/>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shd w:val="clear" w:color="auto" w:fill="ABEBFF" w:themeFill="accent3" w:themeFillTint="3F"/>
      </w:tcPr>
    </w:tblStylePr>
    <w:tblStylePr w:type="band2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18" w:space="0" w:color="33B9C4" w:themeColor="accent4"/>
          <w:right w:val="single" w:sz="8" w:space="0" w:color="33B9C4" w:themeColor="accent4"/>
          <w:insideH w:val="nil"/>
          <w:insideV w:val="single" w:sz="8" w:space="0" w:color="33B9C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insideH w:val="nil"/>
          <w:insideV w:val="single" w:sz="8" w:space="0" w:color="33B9C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shd w:val="clear" w:color="auto" w:fill="CBEEF1" w:themeFill="accent4" w:themeFillTint="3F"/>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shd w:val="clear" w:color="auto" w:fill="CBEEF1" w:themeFill="accent4" w:themeFillTint="3F"/>
      </w:tcPr>
    </w:tblStylePr>
    <w:tblStylePr w:type="band2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18" w:space="0" w:color="ABBC38" w:themeColor="accent5"/>
          <w:right w:val="single" w:sz="8" w:space="0" w:color="ABBC38" w:themeColor="accent5"/>
          <w:insideH w:val="nil"/>
          <w:insideV w:val="single" w:sz="8" w:space="0" w:color="ABBC3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insideH w:val="nil"/>
          <w:insideV w:val="single" w:sz="8" w:space="0" w:color="ABBC3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shd w:val="clear" w:color="auto" w:fill="EBF0CC" w:themeFill="accent5" w:themeFillTint="3F"/>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shd w:val="clear" w:color="auto" w:fill="EBF0CC" w:themeFill="accent5" w:themeFillTint="3F"/>
      </w:tcPr>
    </w:tblStylePr>
    <w:tblStylePr w:type="band2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18" w:space="0" w:color="EFDB6C" w:themeColor="accent6"/>
          <w:right w:val="single" w:sz="8" w:space="0" w:color="EFDB6C" w:themeColor="accent6"/>
          <w:insideH w:val="nil"/>
          <w:insideV w:val="single" w:sz="8" w:space="0" w:color="EFDB6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insideH w:val="nil"/>
          <w:insideV w:val="single" w:sz="8" w:space="0" w:color="EFDB6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shd w:val="clear" w:color="auto" w:fill="FBF6DA" w:themeFill="accent6" w:themeFillTint="3F"/>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shd w:val="clear" w:color="auto" w:fill="FBF6DA" w:themeFill="accent6" w:themeFillTint="3F"/>
      </w:tcPr>
    </w:tblStylePr>
    <w:tblStylePr w:type="band2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pPr>
        <w:spacing w:before="0" w:after="0" w:line="240" w:lineRule="auto"/>
      </w:pPr>
      <w:rPr>
        <w:b/>
        <w:bCs/>
        <w:color w:val="FFFFFF" w:themeColor="background1"/>
      </w:rPr>
      <w:tblPr/>
      <w:tcPr>
        <w:shd w:val="clear" w:color="auto" w:fill="0085AD" w:themeFill="accent3"/>
      </w:tcPr>
    </w:tblStylePr>
    <w:tblStylePr w:type="lastRow">
      <w:pPr>
        <w:spacing w:before="0" w:after="0" w:line="240" w:lineRule="auto"/>
      </w:pPr>
      <w:rPr>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tcBorders>
      </w:tcPr>
    </w:tblStylePr>
    <w:tblStylePr w:type="firstCol">
      <w:rPr>
        <w:b/>
        <w:bCs/>
      </w:rPr>
    </w:tblStylePr>
    <w:tblStylePr w:type="lastCol">
      <w:rPr>
        <w:b/>
        <w:bCs/>
      </w:r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pPr>
        <w:spacing w:before="0" w:after="0" w:line="240" w:lineRule="auto"/>
      </w:pPr>
      <w:rPr>
        <w:b/>
        <w:bCs/>
        <w:color w:val="FFFFFF" w:themeColor="background1"/>
      </w:rPr>
      <w:tblPr/>
      <w:tcPr>
        <w:shd w:val="clear" w:color="auto" w:fill="33B9C4" w:themeFill="accent4"/>
      </w:tcPr>
    </w:tblStylePr>
    <w:tblStylePr w:type="lastRow">
      <w:pPr>
        <w:spacing w:before="0" w:after="0" w:line="240" w:lineRule="auto"/>
      </w:pPr>
      <w:rPr>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tcBorders>
      </w:tcPr>
    </w:tblStylePr>
    <w:tblStylePr w:type="firstCol">
      <w:rPr>
        <w:b/>
        <w:bCs/>
      </w:rPr>
    </w:tblStylePr>
    <w:tblStylePr w:type="lastCol">
      <w:rPr>
        <w:b/>
        <w:bCs/>
      </w:r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pPr>
        <w:spacing w:before="0" w:after="0" w:line="240" w:lineRule="auto"/>
      </w:pPr>
      <w:rPr>
        <w:b/>
        <w:bCs/>
        <w:color w:val="FFFFFF" w:themeColor="background1"/>
      </w:rPr>
      <w:tblPr/>
      <w:tcPr>
        <w:shd w:val="clear" w:color="auto" w:fill="ABBC38" w:themeFill="accent5"/>
      </w:tcPr>
    </w:tblStylePr>
    <w:tblStylePr w:type="lastRow">
      <w:pPr>
        <w:spacing w:before="0" w:after="0" w:line="240" w:lineRule="auto"/>
      </w:pPr>
      <w:rPr>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tcBorders>
      </w:tcPr>
    </w:tblStylePr>
    <w:tblStylePr w:type="firstCol">
      <w:rPr>
        <w:b/>
        <w:bCs/>
      </w:rPr>
    </w:tblStylePr>
    <w:tblStylePr w:type="lastCol">
      <w:rPr>
        <w:b/>
        <w:bCs/>
      </w:r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pPr>
        <w:spacing w:before="0" w:after="0" w:line="240" w:lineRule="auto"/>
      </w:pPr>
      <w:rPr>
        <w:b/>
        <w:bCs/>
        <w:color w:val="FFFFFF" w:themeColor="background1"/>
      </w:rPr>
      <w:tblPr/>
      <w:tcPr>
        <w:shd w:val="clear" w:color="auto" w:fill="EFDB6C" w:themeFill="accent6"/>
      </w:tcPr>
    </w:tblStylePr>
    <w:tblStylePr w:type="lastRow">
      <w:pPr>
        <w:spacing w:before="0" w:after="0" w:line="240" w:lineRule="auto"/>
      </w:pPr>
      <w:rPr>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tcBorders>
      </w:tcPr>
    </w:tblStylePr>
    <w:tblStylePr w:type="firstCol">
      <w:rPr>
        <w:b/>
        <w:bCs/>
      </w:rPr>
    </w:tblStylePr>
    <w:tblStylePr w:type="lastCol">
      <w:rPr>
        <w:b/>
        <w:bCs/>
      </w:r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006381" w:themeColor="accent3" w:themeShade="BF"/>
    </w:rPr>
    <w:tblPr>
      <w:tblStyleRowBandSize w:val="1"/>
      <w:tblStyleColBandSize w:val="1"/>
      <w:tblBorders>
        <w:top w:val="single" w:sz="8" w:space="0" w:color="0085AD" w:themeColor="accent3"/>
        <w:bottom w:val="single" w:sz="8" w:space="0" w:color="0085AD" w:themeColor="accent3"/>
      </w:tblBorders>
    </w:tblPr>
    <w:tblStylePr w:type="fir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la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left w:val="nil"/>
          <w:right w:val="nil"/>
          <w:insideH w:val="nil"/>
          <w:insideV w:val="nil"/>
        </w:tcBorders>
        <w:shd w:val="clear" w:color="auto" w:fill="ABEBFF"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268A92" w:themeColor="accent4" w:themeShade="BF"/>
    </w:rPr>
    <w:tblPr>
      <w:tblStyleRowBandSize w:val="1"/>
      <w:tblStyleColBandSize w:val="1"/>
      <w:tblBorders>
        <w:top w:val="single" w:sz="8" w:space="0" w:color="33B9C4" w:themeColor="accent4"/>
        <w:bottom w:val="single" w:sz="8" w:space="0" w:color="33B9C4" w:themeColor="accent4"/>
      </w:tblBorders>
    </w:tblPr>
    <w:tblStylePr w:type="fir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la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left w:val="nil"/>
          <w:right w:val="nil"/>
          <w:insideH w:val="nil"/>
          <w:insideV w:val="nil"/>
        </w:tcBorders>
        <w:shd w:val="clear" w:color="auto" w:fill="CBEEF1"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7F8C2A" w:themeColor="accent5" w:themeShade="BF"/>
    </w:rPr>
    <w:tblPr>
      <w:tblStyleRowBandSize w:val="1"/>
      <w:tblStyleColBandSize w:val="1"/>
      <w:tblBorders>
        <w:top w:val="single" w:sz="8" w:space="0" w:color="ABBC38" w:themeColor="accent5"/>
        <w:bottom w:val="single" w:sz="8" w:space="0" w:color="ABBC38" w:themeColor="accent5"/>
      </w:tblBorders>
    </w:tblPr>
    <w:tblStylePr w:type="fir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la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left w:val="nil"/>
          <w:right w:val="nil"/>
          <w:insideH w:val="nil"/>
          <w:insideV w:val="nil"/>
        </w:tcBorders>
        <w:shd w:val="clear" w:color="auto" w:fill="EBF0CC"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E6C71D" w:themeColor="accent6" w:themeShade="BF"/>
    </w:rPr>
    <w:tblPr>
      <w:tblStyleRowBandSize w:val="1"/>
      <w:tblStyleColBandSize w:val="1"/>
      <w:tblBorders>
        <w:top w:val="single" w:sz="8" w:space="0" w:color="EFDB6C" w:themeColor="accent6"/>
        <w:bottom w:val="single" w:sz="8" w:space="0" w:color="EFDB6C" w:themeColor="accent6"/>
      </w:tblBorders>
    </w:tblPr>
    <w:tblStylePr w:type="fir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la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left w:val="nil"/>
          <w:right w:val="nil"/>
          <w:insideH w:val="nil"/>
          <w:insideV w:val="nil"/>
        </w:tcBorders>
        <w:shd w:val="clear" w:color="auto" w:fill="FBF6DA"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insideV w:val="single" w:sz="8" w:space="0" w:color="02C4FF" w:themeColor="accent3" w:themeTint="BF"/>
      </w:tblBorders>
    </w:tblPr>
    <w:tcPr>
      <w:shd w:val="clear" w:color="auto" w:fill="ABEBFF" w:themeFill="accent3" w:themeFillTint="3F"/>
    </w:tcPr>
    <w:tblStylePr w:type="firstRow">
      <w:rPr>
        <w:b/>
        <w:bCs/>
      </w:rPr>
    </w:tblStylePr>
    <w:tblStylePr w:type="lastRow">
      <w:rPr>
        <w:b/>
        <w:bCs/>
      </w:rPr>
      <w:tblPr/>
      <w:tcPr>
        <w:tcBorders>
          <w:top w:val="single" w:sz="18" w:space="0" w:color="02C4FF" w:themeColor="accent3" w:themeTint="BF"/>
        </w:tcBorders>
      </w:tcPr>
    </w:tblStylePr>
    <w:tblStylePr w:type="firstCol">
      <w:rPr>
        <w:b/>
        <w:bCs/>
      </w:rPr>
    </w:tblStylePr>
    <w:tblStylePr w:type="lastCol">
      <w:rPr>
        <w:b/>
        <w:bCs/>
      </w:r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insideV w:val="single" w:sz="8" w:space="0" w:color="62CDD6" w:themeColor="accent4" w:themeTint="BF"/>
      </w:tblBorders>
    </w:tblPr>
    <w:tcPr>
      <w:shd w:val="clear" w:color="auto" w:fill="CBEEF1" w:themeFill="accent4" w:themeFillTint="3F"/>
    </w:tcPr>
    <w:tblStylePr w:type="firstRow">
      <w:rPr>
        <w:b/>
        <w:bCs/>
      </w:rPr>
    </w:tblStylePr>
    <w:tblStylePr w:type="lastRow">
      <w:rPr>
        <w:b/>
        <w:bCs/>
      </w:rPr>
      <w:tblPr/>
      <w:tcPr>
        <w:tcBorders>
          <w:top w:val="single" w:sz="18" w:space="0" w:color="62CDD6" w:themeColor="accent4" w:themeTint="BF"/>
        </w:tcBorders>
      </w:tcPr>
    </w:tblStylePr>
    <w:tblStylePr w:type="firstCol">
      <w:rPr>
        <w:b/>
        <w:bCs/>
      </w:rPr>
    </w:tblStylePr>
    <w:tblStylePr w:type="lastCol">
      <w:rPr>
        <w:b/>
        <w:bCs/>
      </w:r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insideV w:val="single" w:sz="8" w:space="0" w:color="C3D165" w:themeColor="accent5" w:themeTint="BF"/>
      </w:tblBorders>
    </w:tblPr>
    <w:tcPr>
      <w:shd w:val="clear" w:color="auto" w:fill="EBF0CC" w:themeFill="accent5" w:themeFillTint="3F"/>
    </w:tcPr>
    <w:tblStylePr w:type="firstRow">
      <w:rPr>
        <w:b/>
        <w:bCs/>
      </w:rPr>
    </w:tblStylePr>
    <w:tblStylePr w:type="lastRow">
      <w:rPr>
        <w:b/>
        <w:bCs/>
      </w:rPr>
      <w:tblPr/>
      <w:tcPr>
        <w:tcBorders>
          <w:top w:val="single" w:sz="18" w:space="0" w:color="C3D165" w:themeColor="accent5" w:themeTint="BF"/>
        </w:tcBorders>
      </w:tcPr>
    </w:tblStylePr>
    <w:tblStylePr w:type="firstCol">
      <w:rPr>
        <w:b/>
        <w:bCs/>
      </w:rPr>
    </w:tblStylePr>
    <w:tblStylePr w:type="lastCol">
      <w:rPr>
        <w:b/>
        <w:bCs/>
      </w:r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insideV w:val="single" w:sz="8" w:space="0" w:color="F3E390" w:themeColor="accent6" w:themeTint="BF"/>
      </w:tblBorders>
    </w:tblPr>
    <w:tcPr>
      <w:shd w:val="clear" w:color="auto" w:fill="FBF6DA" w:themeFill="accent6" w:themeFillTint="3F"/>
    </w:tcPr>
    <w:tblStylePr w:type="firstRow">
      <w:rPr>
        <w:b/>
        <w:bCs/>
      </w:rPr>
    </w:tblStylePr>
    <w:tblStylePr w:type="lastRow">
      <w:rPr>
        <w:b/>
        <w:bCs/>
      </w:rPr>
      <w:tblPr/>
      <w:tcPr>
        <w:tcBorders>
          <w:top w:val="single" w:sz="18" w:space="0" w:color="F3E390" w:themeColor="accent6" w:themeTint="BF"/>
        </w:tcBorders>
      </w:tcPr>
    </w:tblStylePr>
    <w:tblStylePr w:type="firstCol">
      <w:rPr>
        <w:b/>
        <w:bCs/>
      </w:rPr>
    </w:tblStylePr>
    <w:tblStylePr w:type="lastCol">
      <w:rPr>
        <w:b/>
        <w:bCs/>
      </w:r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cPr>
      <w:shd w:val="clear" w:color="auto" w:fill="ABEBFF" w:themeFill="accent3" w:themeFillTint="3F"/>
    </w:tcPr>
    <w:tblStylePr w:type="firstRow">
      <w:rPr>
        <w:b/>
        <w:bCs/>
        <w:color w:val="000000" w:themeColor="text1"/>
      </w:rPr>
      <w:tblPr/>
      <w:tcPr>
        <w:shd w:val="clear" w:color="auto" w:fill="DDF7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3" w:themeFillTint="33"/>
      </w:tcPr>
    </w:tblStylePr>
    <w:tblStylePr w:type="band1Vert">
      <w:tblPr/>
      <w:tcPr>
        <w:shd w:val="clear" w:color="auto" w:fill="57D8FF" w:themeFill="accent3" w:themeFillTint="7F"/>
      </w:tcPr>
    </w:tblStylePr>
    <w:tblStylePr w:type="band1Horz">
      <w:tblPr/>
      <w:tcPr>
        <w:tcBorders>
          <w:insideH w:val="single" w:sz="6" w:space="0" w:color="0085AD" w:themeColor="accent3"/>
          <w:insideV w:val="single" w:sz="6" w:space="0" w:color="0085AD" w:themeColor="accent3"/>
        </w:tcBorders>
        <w:shd w:val="clear" w:color="auto" w:fill="57D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cPr>
      <w:shd w:val="clear" w:color="auto" w:fill="CBEEF1" w:themeFill="accent4" w:themeFillTint="3F"/>
    </w:tcPr>
    <w:tblStylePr w:type="firstRow">
      <w:rPr>
        <w:b/>
        <w:bCs/>
        <w:color w:val="000000" w:themeColor="text1"/>
      </w:rPr>
      <w:tblPr/>
      <w:tcPr>
        <w:shd w:val="clear" w:color="auto" w:fill="EAF8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4" w:themeFillTint="33"/>
      </w:tcPr>
    </w:tblStylePr>
    <w:tblStylePr w:type="band1Vert">
      <w:tblPr/>
      <w:tcPr>
        <w:shd w:val="clear" w:color="auto" w:fill="97DDE4" w:themeFill="accent4" w:themeFillTint="7F"/>
      </w:tcPr>
    </w:tblStylePr>
    <w:tblStylePr w:type="band1Horz">
      <w:tblPr/>
      <w:tcPr>
        <w:tcBorders>
          <w:insideH w:val="single" w:sz="6" w:space="0" w:color="33B9C4" w:themeColor="accent4"/>
          <w:insideV w:val="single" w:sz="6" w:space="0" w:color="33B9C4" w:themeColor="accent4"/>
        </w:tcBorders>
        <w:shd w:val="clear" w:color="auto" w:fill="97DDE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cPr>
      <w:shd w:val="clear" w:color="auto" w:fill="EBF0CC" w:themeFill="accent5" w:themeFillTint="3F"/>
    </w:tcPr>
    <w:tblStylePr w:type="firstRow">
      <w:rPr>
        <w:b/>
        <w:bCs/>
        <w:color w:val="000000" w:themeColor="text1"/>
      </w:rPr>
      <w:tblPr/>
      <w:tcPr>
        <w:shd w:val="clear" w:color="auto" w:fill="F7F9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5" w:themeFillTint="33"/>
      </w:tcPr>
    </w:tblStylePr>
    <w:tblStylePr w:type="band1Vert">
      <w:tblPr/>
      <w:tcPr>
        <w:shd w:val="clear" w:color="auto" w:fill="D7E098" w:themeFill="accent5" w:themeFillTint="7F"/>
      </w:tcPr>
    </w:tblStylePr>
    <w:tblStylePr w:type="band1Horz">
      <w:tblPr/>
      <w:tcPr>
        <w:tcBorders>
          <w:insideH w:val="single" w:sz="6" w:space="0" w:color="ABBC38" w:themeColor="accent5"/>
          <w:insideV w:val="single" w:sz="6" w:space="0" w:color="ABBC38" w:themeColor="accent5"/>
        </w:tcBorders>
        <w:shd w:val="clear" w:color="auto" w:fill="D7E098"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cPr>
      <w:shd w:val="clear" w:color="auto" w:fill="FBF6DA" w:themeFill="accent6" w:themeFillTint="3F"/>
    </w:tcPr>
    <w:tblStylePr w:type="firstRow">
      <w:rPr>
        <w:b/>
        <w:bCs/>
        <w:color w:val="000000" w:themeColor="text1"/>
      </w:rPr>
      <w:tblPr/>
      <w:tcPr>
        <w:shd w:val="clear" w:color="auto" w:fill="FDFB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6" w:themeFillTint="33"/>
      </w:tcPr>
    </w:tblStylePr>
    <w:tblStylePr w:type="band1Vert">
      <w:tblPr/>
      <w:tcPr>
        <w:shd w:val="clear" w:color="auto" w:fill="F7EDB5" w:themeFill="accent6" w:themeFillTint="7F"/>
      </w:tcPr>
    </w:tblStylePr>
    <w:tblStylePr w:type="band1Horz">
      <w:tblPr/>
      <w:tcPr>
        <w:tcBorders>
          <w:insideH w:val="single" w:sz="6" w:space="0" w:color="EFDB6C" w:themeColor="accent6"/>
          <w:insideV w:val="single" w:sz="6" w:space="0" w:color="EFDB6C" w:themeColor="accent6"/>
        </w:tcBorders>
        <w:shd w:val="clear" w:color="auto" w:fill="F7EDB5"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1D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E1D2"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1D2"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3"/>
        <w:bottom w:val="single" w:sz="8" w:space="0" w:color="0085AD" w:themeColor="accent3"/>
      </w:tblBorders>
    </w:tblPr>
    <w:tblStylePr w:type="firstRow">
      <w:rPr>
        <w:rFonts w:asciiTheme="majorHAnsi" w:eastAsiaTheme="majorEastAsia" w:hAnsiTheme="majorHAnsi" w:cstheme="majorBidi"/>
      </w:rPr>
      <w:tblPr/>
      <w:tcPr>
        <w:tcBorders>
          <w:top w:val="nil"/>
          <w:bottom w:val="single" w:sz="8" w:space="0" w:color="0085AD" w:themeColor="accent3"/>
        </w:tcBorders>
      </w:tcPr>
    </w:tblStylePr>
    <w:tblStylePr w:type="lastRow">
      <w:rPr>
        <w:b/>
        <w:bCs/>
        <w:color w:val="BFE1D2" w:themeColor="text2"/>
      </w:rPr>
      <w:tblPr/>
      <w:tcPr>
        <w:tcBorders>
          <w:top w:val="single" w:sz="8" w:space="0" w:color="0085AD" w:themeColor="accent3"/>
          <w:bottom w:val="single" w:sz="8" w:space="0" w:color="0085AD" w:themeColor="accent3"/>
        </w:tcBorders>
      </w:tcPr>
    </w:tblStylePr>
    <w:tblStylePr w:type="firstCol">
      <w:rPr>
        <w:b/>
        <w:bCs/>
      </w:rPr>
    </w:tblStylePr>
    <w:tblStylePr w:type="lastCol">
      <w:rPr>
        <w:b/>
        <w:bCs/>
      </w:rPr>
      <w:tblPr/>
      <w:tcPr>
        <w:tcBorders>
          <w:top w:val="single" w:sz="8" w:space="0" w:color="0085AD" w:themeColor="accent3"/>
          <w:bottom w:val="single" w:sz="8" w:space="0" w:color="0085AD" w:themeColor="accent3"/>
        </w:tcBorders>
      </w:tcPr>
    </w:tblStylePr>
    <w:tblStylePr w:type="band1Vert">
      <w:tblPr/>
      <w:tcPr>
        <w:shd w:val="clear" w:color="auto" w:fill="ABEBFF" w:themeFill="accent3" w:themeFillTint="3F"/>
      </w:tcPr>
    </w:tblStylePr>
    <w:tblStylePr w:type="band1Horz">
      <w:tblPr/>
      <w:tcPr>
        <w:shd w:val="clear" w:color="auto" w:fill="ABEBFF"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4"/>
        <w:bottom w:val="single" w:sz="8" w:space="0" w:color="33B9C4" w:themeColor="accent4"/>
      </w:tblBorders>
    </w:tblPr>
    <w:tblStylePr w:type="firstRow">
      <w:rPr>
        <w:rFonts w:asciiTheme="majorHAnsi" w:eastAsiaTheme="majorEastAsia" w:hAnsiTheme="majorHAnsi" w:cstheme="majorBidi"/>
      </w:rPr>
      <w:tblPr/>
      <w:tcPr>
        <w:tcBorders>
          <w:top w:val="nil"/>
          <w:bottom w:val="single" w:sz="8" w:space="0" w:color="33B9C4" w:themeColor="accent4"/>
        </w:tcBorders>
      </w:tcPr>
    </w:tblStylePr>
    <w:tblStylePr w:type="lastRow">
      <w:rPr>
        <w:b/>
        <w:bCs/>
        <w:color w:val="BFE1D2" w:themeColor="text2"/>
      </w:rPr>
      <w:tblPr/>
      <w:tcPr>
        <w:tcBorders>
          <w:top w:val="single" w:sz="8" w:space="0" w:color="33B9C4" w:themeColor="accent4"/>
          <w:bottom w:val="single" w:sz="8" w:space="0" w:color="33B9C4" w:themeColor="accent4"/>
        </w:tcBorders>
      </w:tcPr>
    </w:tblStylePr>
    <w:tblStylePr w:type="firstCol">
      <w:rPr>
        <w:b/>
        <w:bCs/>
      </w:rPr>
    </w:tblStylePr>
    <w:tblStylePr w:type="lastCol">
      <w:rPr>
        <w:b/>
        <w:bCs/>
      </w:rPr>
      <w:tblPr/>
      <w:tcPr>
        <w:tcBorders>
          <w:top w:val="single" w:sz="8" w:space="0" w:color="33B9C4" w:themeColor="accent4"/>
          <w:bottom w:val="single" w:sz="8" w:space="0" w:color="33B9C4" w:themeColor="accent4"/>
        </w:tcBorders>
      </w:tcPr>
    </w:tblStylePr>
    <w:tblStylePr w:type="band1Vert">
      <w:tblPr/>
      <w:tcPr>
        <w:shd w:val="clear" w:color="auto" w:fill="CBEEF1" w:themeFill="accent4" w:themeFillTint="3F"/>
      </w:tcPr>
    </w:tblStylePr>
    <w:tblStylePr w:type="band1Horz">
      <w:tblPr/>
      <w:tcPr>
        <w:shd w:val="clear" w:color="auto" w:fill="CBEEF1"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5"/>
        <w:bottom w:val="single" w:sz="8" w:space="0" w:color="ABBC38" w:themeColor="accent5"/>
      </w:tblBorders>
    </w:tblPr>
    <w:tblStylePr w:type="firstRow">
      <w:rPr>
        <w:rFonts w:asciiTheme="majorHAnsi" w:eastAsiaTheme="majorEastAsia" w:hAnsiTheme="majorHAnsi" w:cstheme="majorBidi"/>
      </w:rPr>
      <w:tblPr/>
      <w:tcPr>
        <w:tcBorders>
          <w:top w:val="nil"/>
          <w:bottom w:val="single" w:sz="8" w:space="0" w:color="ABBC38" w:themeColor="accent5"/>
        </w:tcBorders>
      </w:tcPr>
    </w:tblStylePr>
    <w:tblStylePr w:type="lastRow">
      <w:rPr>
        <w:b/>
        <w:bCs/>
        <w:color w:val="BFE1D2" w:themeColor="text2"/>
      </w:rPr>
      <w:tblPr/>
      <w:tcPr>
        <w:tcBorders>
          <w:top w:val="single" w:sz="8" w:space="0" w:color="ABBC38" w:themeColor="accent5"/>
          <w:bottom w:val="single" w:sz="8" w:space="0" w:color="ABBC38" w:themeColor="accent5"/>
        </w:tcBorders>
      </w:tcPr>
    </w:tblStylePr>
    <w:tblStylePr w:type="firstCol">
      <w:rPr>
        <w:b/>
        <w:bCs/>
      </w:rPr>
    </w:tblStylePr>
    <w:tblStylePr w:type="lastCol">
      <w:rPr>
        <w:b/>
        <w:bCs/>
      </w:rPr>
      <w:tblPr/>
      <w:tcPr>
        <w:tcBorders>
          <w:top w:val="single" w:sz="8" w:space="0" w:color="ABBC38" w:themeColor="accent5"/>
          <w:bottom w:val="single" w:sz="8" w:space="0" w:color="ABBC38" w:themeColor="accent5"/>
        </w:tcBorders>
      </w:tcPr>
    </w:tblStylePr>
    <w:tblStylePr w:type="band1Vert">
      <w:tblPr/>
      <w:tcPr>
        <w:shd w:val="clear" w:color="auto" w:fill="EBF0CC" w:themeFill="accent5" w:themeFillTint="3F"/>
      </w:tcPr>
    </w:tblStylePr>
    <w:tblStylePr w:type="band1Horz">
      <w:tblPr/>
      <w:tcPr>
        <w:shd w:val="clear" w:color="auto" w:fill="EBF0CC"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EFDB6C" w:themeColor="accent6"/>
        <w:bottom w:val="single" w:sz="8" w:space="0" w:color="EFDB6C" w:themeColor="accent6"/>
      </w:tblBorders>
    </w:tblPr>
    <w:tblStylePr w:type="firstRow">
      <w:rPr>
        <w:rFonts w:asciiTheme="majorHAnsi" w:eastAsiaTheme="majorEastAsia" w:hAnsiTheme="majorHAnsi" w:cstheme="majorBidi"/>
      </w:rPr>
      <w:tblPr/>
      <w:tcPr>
        <w:tcBorders>
          <w:top w:val="nil"/>
          <w:bottom w:val="single" w:sz="8" w:space="0" w:color="EFDB6C" w:themeColor="accent6"/>
        </w:tcBorders>
      </w:tcPr>
    </w:tblStylePr>
    <w:tblStylePr w:type="lastRow">
      <w:rPr>
        <w:b/>
        <w:bCs/>
        <w:color w:val="BFE1D2" w:themeColor="text2"/>
      </w:rPr>
      <w:tblPr/>
      <w:tcPr>
        <w:tcBorders>
          <w:top w:val="single" w:sz="8" w:space="0" w:color="EFDB6C" w:themeColor="accent6"/>
          <w:bottom w:val="single" w:sz="8" w:space="0" w:color="EFDB6C" w:themeColor="accent6"/>
        </w:tcBorders>
      </w:tcPr>
    </w:tblStylePr>
    <w:tblStylePr w:type="firstCol">
      <w:rPr>
        <w:b/>
        <w:bCs/>
      </w:rPr>
    </w:tblStylePr>
    <w:tblStylePr w:type="lastCol">
      <w:rPr>
        <w:b/>
        <w:bCs/>
      </w:rPr>
      <w:tblPr/>
      <w:tcPr>
        <w:tcBorders>
          <w:top w:val="single" w:sz="8" w:space="0" w:color="EFDB6C" w:themeColor="accent6"/>
          <w:bottom w:val="single" w:sz="8" w:space="0" w:color="EFDB6C" w:themeColor="accent6"/>
        </w:tcBorders>
      </w:tcPr>
    </w:tblStylePr>
    <w:tblStylePr w:type="band1Vert">
      <w:tblPr/>
      <w:tcPr>
        <w:shd w:val="clear" w:color="auto" w:fill="FBF6DA" w:themeFill="accent6" w:themeFillTint="3F"/>
      </w:tcPr>
    </w:tblStylePr>
    <w:tblStylePr w:type="band1Horz">
      <w:tblPr/>
      <w:tcPr>
        <w:shd w:val="clear" w:color="auto" w:fill="FBF6DA"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rPr>
        <w:sz w:val="24"/>
        <w:szCs w:val="24"/>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tblPr/>
      <w:tcPr>
        <w:tcBorders>
          <w:top w:val="single" w:sz="8" w:space="0" w:color="0085A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3"/>
          <w:insideH w:val="nil"/>
          <w:insideV w:val="nil"/>
        </w:tcBorders>
        <w:shd w:val="clear" w:color="auto" w:fill="FFFFFF" w:themeFill="background1"/>
      </w:tcPr>
    </w:tblStylePr>
    <w:tblStylePr w:type="lastCol">
      <w:tblPr/>
      <w:tcPr>
        <w:tcBorders>
          <w:top w:val="nil"/>
          <w:left w:val="single" w:sz="8" w:space="0" w:color="0085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top w:val="nil"/>
          <w:bottom w:val="nil"/>
          <w:insideH w:val="nil"/>
          <w:insideV w:val="nil"/>
        </w:tcBorders>
        <w:shd w:val="clear" w:color="auto" w:fill="ABEB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rPr>
        <w:sz w:val="24"/>
        <w:szCs w:val="24"/>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tblPr/>
      <w:tcPr>
        <w:tcBorders>
          <w:top w:val="single" w:sz="8" w:space="0" w:color="33B9C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4"/>
          <w:insideH w:val="nil"/>
          <w:insideV w:val="nil"/>
        </w:tcBorders>
        <w:shd w:val="clear" w:color="auto" w:fill="FFFFFF" w:themeFill="background1"/>
      </w:tcPr>
    </w:tblStylePr>
    <w:tblStylePr w:type="lastCol">
      <w:tblPr/>
      <w:tcPr>
        <w:tcBorders>
          <w:top w:val="nil"/>
          <w:left w:val="single" w:sz="8" w:space="0" w:color="33B9C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top w:val="nil"/>
          <w:bottom w:val="nil"/>
          <w:insideH w:val="nil"/>
          <w:insideV w:val="nil"/>
        </w:tcBorders>
        <w:shd w:val="clear" w:color="auto" w:fill="CBE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rPr>
        <w:sz w:val="24"/>
        <w:szCs w:val="24"/>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tblPr/>
      <w:tcPr>
        <w:tcBorders>
          <w:top w:val="single" w:sz="8" w:space="0" w:color="ABBC3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5"/>
          <w:insideH w:val="nil"/>
          <w:insideV w:val="nil"/>
        </w:tcBorders>
        <w:shd w:val="clear" w:color="auto" w:fill="FFFFFF" w:themeFill="background1"/>
      </w:tcPr>
    </w:tblStylePr>
    <w:tblStylePr w:type="lastCol">
      <w:tblPr/>
      <w:tcPr>
        <w:tcBorders>
          <w:top w:val="nil"/>
          <w:left w:val="single" w:sz="8" w:space="0" w:color="ABBC3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top w:val="nil"/>
          <w:bottom w:val="nil"/>
          <w:insideH w:val="nil"/>
          <w:insideV w:val="nil"/>
        </w:tcBorders>
        <w:shd w:val="clear" w:color="auto" w:fill="EBF0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rPr>
        <w:sz w:val="24"/>
        <w:szCs w:val="24"/>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tblPr/>
      <w:tcPr>
        <w:tcBorders>
          <w:top w:val="single" w:sz="8" w:space="0" w:color="EFDB6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6"/>
          <w:insideH w:val="nil"/>
          <w:insideV w:val="nil"/>
        </w:tcBorders>
        <w:shd w:val="clear" w:color="auto" w:fill="FFFFFF" w:themeFill="background1"/>
      </w:tcPr>
    </w:tblStylePr>
    <w:tblStylePr w:type="lastCol">
      <w:tblPr/>
      <w:tcPr>
        <w:tcBorders>
          <w:top w:val="nil"/>
          <w:left w:val="single" w:sz="8" w:space="0" w:color="EFDB6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top w:val="nil"/>
          <w:bottom w:val="nil"/>
          <w:insideH w:val="nil"/>
          <w:insideV w:val="nil"/>
        </w:tcBorders>
        <w:shd w:val="clear" w:color="auto" w:fill="FBF6D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tblBorders>
    </w:tblPr>
    <w:tblStylePr w:type="firstRow">
      <w:pPr>
        <w:spacing w:before="0" w:after="0" w:line="240" w:lineRule="auto"/>
      </w:pPr>
      <w:rPr>
        <w:b/>
        <w:bCs/>
        <w:color w:val="FFFFFF" w:themeColor="background1"/>
      </w:rPr>
      <w:tblPr/>
      <w:tcPr>
        <w:tc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shd w:val="clear" w:color="auto" w:fill="0085AD" w:themeFill="accent3"/>
      </w:tcPr>
    </w:tblStylePr>
    <w:tblStylePr w:type="lastRow">
      <w:pPr>
        <w:spacing w:before="0" w:after="0" w:line="240" w:lineRule="auto"/>
      </w:pPr>
      <w:rPr>
        <w:b/>
        <w:bCs/>
      </w:rPr>
      <w:tblPr/>
      <w:tcPr>
        <w:tcBorders>
          <w:top w:val="double" w:sz="6"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3" w:themeFillTint="3F"/>
      </w:tcPr>
    </w:tblStylePr>
    <w:tblStylePr w:type="band1Horz">
      <w:tblPr/>
      <w:tcPr>
        <w:tcBorders>
          <w:insideH w:val="nil"/>
          <w:insideV w:val="nil"/>
        </w:tcBorders>
        <w:shd w:val="clear" w:color="auto" w:fill="ABEB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tblBorders>
    </w:tblPr>
    <w:tblStylePr w:type="firstRow">
      <w:pPr>
        <w:spacing w:before="0" w:after="0" w:line="240" w:lineRule="auto"/>
      </w:pPr>
      <w:rPr>
        <w:b/>
        <w:bCs/>
        <w:color w:val="FFFFFF" w:themeColor="background1"/>
      </w:rPr>
      <w:tblPr/>
      <w:tcPr>
        <w:tc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shd w:val="clear" w:color="auto" w:fill="33B9C4" w:themeFill="accent4"/>
      </w:tcPr>
    </w:tblStylePr>
    <w:tblStylePr w:type="lastRow">
      <w:pPr>
        <w:spacing w:before="0" w:after="0" w:line="240" w:lineRule="auto"/>
      </w:pPr>
      <w:rPr>
        <w:b/>
        <w:bCs/>
      </w:rPr>
      <w:tblPr/>
      <w:tcPr>
        <w:tcBorders>
          <w:top w:val="double" w:sz="6"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4" w:themeFillTint="3F"/>
      </w:tcPr>
    </w:tblStylePr>
    <w:tblStylePr w:type="band1Horz">
      <w:tblPr/>
      <w:tcPr>
        <w:tcBorders>
          <w:insideH w:val="nil"/>
          <w:insideV w:val="nil"/>
        </w:tcBorders>
        <w:shd w:val="clear" w:color="auto" w:fill="CBEEF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tblBorders>
    </w:tblPr>
    <w:tblStylePr w:type="firstRow">
      <w:pPr>
        <w:spacing w:before="0" w:after="0" w:line="240" w:lineRule="auto"/>
      </w:pPr>
      <w:rPr>
        <w:b/>
        <w:bCs/>
        <w:color w:val="FFFFFF" w:themeColor="background1"/>
      </w:rPr>
      <w:tblPr/>
      <w:tcPr>
        <w:tc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shd w:val="clear" w:color="auto" w:fill="ABBC38" w:themeFill="accent5"/>
      </w:tcPr>
    </w:tblStylePr>
    <w:tblStylePr w:type="lastRow">
      <w:pPr>
        <w:spacing w:before="0" w:after="0" w:line="240" w:lineRule="auto"/>
      </w:pPr>
      <w:rPr>
        <w:b/>
        <w:bCs/>
      </w:rPr>
      <w:tblPr/>
      <w:tcPr>
        <w:tcBorders>
          <w:top w:val="double" w:sz="6"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5" w:themeFillTint="3F"/>
      </w:tcPr>
    </w:tblStylePr>
    <w:tblStylePr w:type="band1Horz">
      <w:tblPr/>
      <w:tcPr>
        <w:tcBorders>
          <w:insideH w:val="nil"/>
          <w:insideV w:val="nil"/>
        </w:tcBorders>
        <w:shd w:val="clear" w:color="auto" w:fill="EBF0CC"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tblBorders>
    </w:tblPr>
    <w:tblStylePr w:type="firstRow">
      <w:pPr>
        <w:spacing w:before="0" w:after="0" w:line="240" w:lineRule="auto"/>
      </w:pPr>
      <w:rPr>
        <w:b/>
        <w:bCs/>
        <w:color w:val="FFFFFF" w:themeColor="background1"/>
      </w:rPr>
      <w:tblPr/>
      <w:tcPr>
        <w:tc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shd w:val="clear" w:color="auto" w:fill="EFDB6C" w:themeFill="accent6"/>
      </w:tcPr>
    </w:tblStylePr>
    <w:tblStylePr w:type="lastRow">
      <w:pPr>
        <w:spacing w:before="0" w:after="0" w:line="240" w:lineRule="auto"/>
      </w:pPr>
      <w:rPr>
        <w:b/>
        <w:bCs/>
      </w:rPr>
      <w:tblPr/>
      <w:tcPr>
        <w:tcBorders>
          <w:top w:val="double" w:sz="6"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6" w:themeFillTint="3F"/>
      </w:tcPr>
    </w:tblStylePr>
    <w:tblStylePr w:type="band1Horz">
      <w:tblPr/>
      <w:tcPr>
        <w:tcBorders>
          <w:insideH w:val="nil"/>
          <w:insideV w:val="nil"/>
        </w:tcBorders>
        <w:shd w:val="clear" w:color="auto" w:fill="FBF6DA"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3"/>
      </w:tcPr>
    </w:tblStylePr>
    <w:tblStylePr w:type="lastCol">
      <w:rPr>
        <w:b/>
        <w:bCs/>
        <w:color w:val="FFFFFF" w:themeColor="background1"/>
      </w:rPr>
      <w:tblPr/>
      <w:tcPr>
        <w:tcBorders>
          <w:left w:val="nil"/>
          <w:right w:val="nil"/>
          <w:insideH w:val="nil"/>
          <w:insideV w:val="nil"/>
        </w:tcBorders>
        <w:shd w:val="clear" w:color="auto" w:fill="0085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4"/>
      </w:tcPr>
    </w:tblStylePr>
    <w:tblStylePr w:type="lastCol">
      <w:rPr>
        <w:b/>
        <w:bCs/>
        <w:color w:val="FFFFFF" w:themeColor="background1"/>
      </w:rPr>
      <w:tblPr/>
      <w:tcPr>
        <w:tcBorders>
          <w:left w:val="nil"/>
          <w:right w:val="nil"/>
          <w:insideH w:val="nil"/>
          <w:insideV w:val="nil"/>
        </w:tcBorders>
        <w:shd w:val="clear" w:color="auto" w:fill="33B9C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5"/>
      </w:tcPr>
    </w:tblStylePr>
    <w:tblStylePr w:type="lastCol">
      <w:rPr>
        <w:b/>
        <w:bCs/>
        <w:color w:val="FFFFFF" w:themeColor="background1"/>
      </w:rPr>
      <w:tblPr/>
      <w:tcPr>
        <w:tcBorders>
          <w:left w:val="nil"/>
          <w:right w:val="nil"/>
          <w:insideH w:val="nil"/>
          <w:insideV w:val="nil"/>
        </w:tcBorders>
        <w:shd w:val="clear" w:color="auto" w:fill="ABBC3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6"/>
      </w:tcPr>
    </w:tblStylePr>
    <w:tblStylePr w:type="lastCol">
      <w:rPr>
        <w:b/>
        <w:bCs/>
        <w:color w:val="FFFFFF" w:themeColor="background1"/>
      </w:rPr>
      <w:tblPr/>
      <w:tcPr>
        <w:tcBorders>
          <w:left w:val="nil"/>
          <w:right w:val="nil"/>
          <w:insideH w:val="nil"/>
          <w:insideV w:val="nil"/>
        </w:tcBorders>
        <w:shd w:val="clear" w:color="auto" w:fill="EFDB6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147799"/>
    <w:rPr>
      <w:rFonts w:ascii="Georgia" w:hAnsi="Georgia"/>
      <w:i w:val="0"/>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semiHidden/>
    <w:rsid w:val="007A04FE"/>
    <w:rPr>
      <w:sz w:val="14"/>
    </w:rPr>
  </w:style>
  <w:style w:type="character" w:styleId="Ulstomtale">
    <w:name w:val="Unresolved Mention"/>
    <w:basedOn w:val="Standardskrifttypeiafsnit"/>
    <w:uiPriority w:val="99"/>
    <w:semiHidden/>
    <w:unhideWhenUsed/>
    <w:rsid w:val="008C5D90"/>
    <w:rPr>
      <w:color w:val="605E5C"/>
      <w:shd w:val="clear" w:color="auto" w:fill="E1DFDD"/>
    </w:rPr>
  </w:style>
  <w:style w:type="paragraph" w:customStyle="1" w:styleId="Default">
    <w:name w:val="Default"/>
    <w:rsid w:val="00003F4A"/>
    <w:pPr>
      <w:autoSpaceDE w:val="0"/>
      <w:autoSpaceDN w:val="0"/>
      <w:adjustRightInd w:val="0"/>
      <w:spacing w:line="240" w:lineRule="auto"/>
    </w:pPr>
    <w:rPr>
      <w:rFonts w:ascii="Times New Roman" w:hAnsi="Times New Roman"/>
      <w:color w:val="000000"/>
      <w:sz w:val="24"/>
      <w:szCs w:val="24"/>
    </w:rPr>
  </w:style>
  <w:style w:type="paragraph" w:styleId="Korrektur">
    <w:name w:val="Revision"/>
    <w:hidden/>
    <w:uiPriority w:val="99"/>
    <w:semiHidden/>
    <w:rsid w:val="001220C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fsa.europa.eu/en/publication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t.dk/samling/20231/almdel/MOF/bilag/622/2899626.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pesticider@mst.dk" TargetMode="External"/><Relationship Id="rId4" Type="http://schemas.openxmlformats.org/officeDocument/2006/relationships/webSettings" Target="webSettings.xml"/><Relationship Id="rId9" Type="http://schemas.openxmlformats.org/officeDocument/2006/relationships/hyperlink" Target="mailto:pesticider@mst.d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13036\AppData\Local\cBrain\F2\.tmp\49527bdc234c4d6386763fc818759840.dotx" TargetMode="External"/></Relationships>
</file>

<file path=word/theme/theme1.xml><?xml version="1.0" encoding="utf-8"?>
<a:theme xmlns:a="http://schemas.openxmlformats.org/drawingml/2006/main" name="Kontortema">
  <a:themeElements>
    <a:clrScheme name="MFVM - Miljøstyrelsen">
      <a:dk1>
        <a:srgbClr val="000000"/>
      </a:dk1>
      <a:lt1>
        <a:sysClr val="window" lastClr="FFFFFF"/>
      </a:lt1>
      <a:dk2>
        <a:srgbClr val="BFE1D2"/>
      </a:dk2>
      <a:lt2>
        <a:srgbClr val="E5F3ED"/>
      </a:lt2>
      <a:accent1>
        <a:srgbClr val="00874B"/>
      </a:accent1>
      <a:accent2>
        <a:srgbClr val="003127"/>
      </a:accent2>
      <a:accent3>
        <a:srgbClr val="0085AD"/>
      </a:accent3>
      <a:accent4>
        <a:srgbClr val="33B9C4"/>
      </a:accent4>
      <a:accent5>
        <a:srgbClr val="ABBC38"/>
      </a:accent5>
      <a:accent6>
        <a:srgbClr val="EFDB6C"/>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49527bdc234c4d6386763fc818759840.dotx</Template>
  <TotalTime>92</TotalTime>
  <Pages>2</Pages>
  <Words>493</Words>
  <Characters>3811</Characters>
  <Application>Microsoft Office Word</Application>
  <DocSecurity>0</DocSecurity>
  <Lines>31</Lines>
  <Paragraphs>8</Paragraphs>
  <ScaleCrop>false</ScaleCrop>
  <HeadingPairs>
    <vt:vector size="6" baseType="variant">
      <vt:variant>
        <vt:lpstr>Titel</vt:lpstr>
      </vt:variant>
      <vt:variant>
        <vt:i4>1</vt:i4>
      </vt:variant>
      <vt:variant>
        <vt:lpstr>Title</vt:lpstr>
      </vt:variant>
      <vt:variant>
        <vt:i4>1</vt:i4>
      </vt:variant>
      <vt:variant>
        <vt:lpstr>Headings</vt:lpstr>
      </vt:variant>
      <vt:variant>
        <vt:i4>4</vt:i4>
      </vt:variant>
    </vt:vector>
  </HeadingPairs>
  <TitlesOfParts>
    <vt:vector size="6" baseType="lpstr">
      <vt:lpstr>Notat</vt:lpstr>
      <vt:lpstr>Notat</vt:lpstr>
      <vt:lpstr>Notat om </vt:lpstr>
      <vt:lpstr>Problemstilling</vt:lpstr>
      <vt:lpstr>Baggrund</vt:lpstr>
      <vt:lpstr>Løsning [Kun hvis relevant]</vt:lpstr>
    </vt:vector>
  </TitlesOfParts>
  <Company>Miljøministeriet</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Pia Haugaard Jensen</dc:creator>
  <cp:keywords/>
  <dc:description/>
  <cp:lastModifiedBy>Nina Henriette Jørgensen</cp:lastModifiedBy>
  <cp:revision>13</cp:revision>
  <cp:lastPrinted>2005-05-20T12:11:00Z</cp:lastPrinted>
  <dcterms:created xsi:type="dcterms:W3CDTF">2025-12-09T10:10:00Z</dcterms:created>
  <dcterms:modified xsi:type="dcterms:W3CDTF">2026-11-03T10:15:00Z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BrandingGraphicBehavior">
    <vt:lpwstr>Standard</vt:lpwstr>
  </property>
  <property fmtid="{D5CDD505-2E9C-101B-9397-08002B2CF9AE}" pid="7" name="ContentDefinition">
    <vt:lpwstr>Notat</vt:lpwstr>
  </property>
  <property fmtid="{D5CDD505-2E9C-101B-9397-08002B2CF9AE}" pid="8" name="SD_RunWordEngine">
    <vt:lpwstr>True</vt:lpwstr>
  </property>
  <property fmtid="{D5CDD505-2E9C-101B-9397-08002B2CF9AE}" pid="9" name="SD_ShowDocumentInfo">
    <vt:lpwstr>True</vt:lpwstr>
  </property>
  <property fmtid="{D5CDD505-2E9C-101B-9397-08002B2CF9AE}" pid="10" name="SD_ShowGeneralPanel">
    <vt:lpwstr>True</vt:lpwstr>
  </property>
  <property fmtid="{D5CDD505-2E9C-101B-9397-08002B2CF9AE}" pid="11" name="ContentRemapped">
    <vt:lpwstr>true</vt:lpwstr>
  </property>
  <property fmtid="{D5CDD505-2E9C-101B-9397-08002B2CF9AE}" pid="12" name="SD_IntegrationInfoAdded">
    <vt:bool>true</vt:bool>
  </property>
  <property fmtid="{D5CDD505-2E9C-101B-9397-08002B2CF9AE}" pid="13" name="SD_DocumentLanguage">
    <vt:lpwstr>da-DK</vt:lpwstr>
  </property>
  <property fmtid="{D5CDD505-2E9C-101B-9397-08002B2CF9AE}" pid="14" name="sdDocumentDate">
    <vt:lpwstr>45547</vt:lpwstr>
  </property>
  <property fmtid="{D5CDD505-2E9C-101B-9397-08002B2CF9AE}" pid="15" name="sdDocumentDateFormat">
    <vt:lpwstr>da-DK:'Den' d. MMMM yyyy</vt:lpwstr>
  </property>
  <property fmtid="{D5CDD505-2E9C-101B-9397-08002B2CF9AE}" pid="16" name="SD_DocumentLanguageString">
    <vt:lpwstr>Dansk</vt:lpwstr>
  </property>
  <property fmtid="{D5CDD505-2E9C-101B-9397-08002B2CF9AE}" pid="17" name="SD_CtlText_Usersettings_Userprofile">
    <vt:lpwstr>Pia dansk</vt:lpwstr>
  </property>
  <property fmtid="{D5CDD505-2E9C-101B-9397-08002B2CF9AE}" pid="18" name="SD_CtlText_Generelt_CaseNoF2">
    <vt:lpwstr>2024 - 8137</vt:lpwstr>
  </property>
  <property fmtid="{D5CDD505-2E9C-101B-9397-08002B2CF9AE}" pid="19" name="SD_UserprofileName">
    <vt:lpwstr>Pia dansk</vt:lpwstr>
  </property>
  <property fmtid="{D5CDD505-2E9C-101B-9397-08002B2CF9AE}" pid="20" name="SD_Office_OFF_ID">
    <vt:lpwstr>143</vt:lpwstr>
  </property>
  <property fmtid="{D5CDD505-2E9C-101B-9397-08002B2CF9AE}" pid="21" name="CurrentOfficeID">
    <vt:lpwstr>143</vt:lpwstr>
  </property>
  <property fmtid="{D5CDD505-2E9C-101B-9397-08002B2CF9AE}" pid="22" name="SD_Office_OFF_Organisation">
    <vt:lpwstr>MIM</vt:lpwstr>
  </property>
  <property fmtid="{D5CDD505-2E9C-101B-9397-08002B2CF9AE}" pid="23" name="SD_Office_OFF_ArtworkDefinition">
    <vt:lpwstr>MIM</vt:lpwstr>
  </property>
  <property fmtid="{D5CDD505-2E9C-101B-9397-08002B2CF9AE}" pid="24" name="SD_Office_OFF_LogoFileName">
    <vt:lpwstr>MIMDEP</vt:lpwstr>
  </property>
  <property fmtid="{D5CDD505-2E9C-101B-9397-08002B2CF9AE}" pid="25" name="SD_Office_OFF_Institution">
    <vt:lpwstr>Miljøministeriet</vt:lpwstr>
  </property>
  <property fmtid="{D5CDD505-2E9C-101B-9397-08002B2CF9AE}" pid="26" name="SD_Office_OFF_Institution_EN">
    <vt:lpwstr>Ministry of Environment</vt:lpwstr>
  </property>
  <property fmtid="{D5CDD505-2E9C-101B-9397-08002B2CF9AE}" pid="27" name="SD_Office_OFF_kontor">
    <vt:lpwstr>Rent drikkevand og sikker kemi</vt:lpwstr>
  </property>
  <property fmtid="{D5CDD505-2E9C-101B-9397-08002B2CF9AE}" pid="28" name="SD_Office_OFF_Department">
    <vt:lpwstr>Rent drikkevand og sikker kemi</vt:lpwstr>
  </property>
  <property fmtid="{D5CDD505-2E9C-101B-9397-08002B2CF9AE}" pid="29" name="SD_Office_OFF_Department_EN">
    <vt:lpwstr>Rent drikkevand og sikker kemi</vt:lpwstr>
  </property>
  <property fmtid="{D5CDD505-2E9C-101B-9397-08002B2CF9AE}" pid="30" name="SD_Office_OFF_Footertext">
    <vt:lpwstr/>
  </property>
  <property fmtid="{D5CDD505-2E9C-101B-9397-08002B2CF9AE}" pid="31" name="SD_Office_OFF_AddressA">
    <vt:lpwstr>Frederiksholms Kanal 26</vt:lpwstr>
  </property>
  <property fmtid="{D5CDD505-2E9C-101B-9397-08002B2CF9AE}" pid="32" name="SD_Office_OFF_AddressB">
    <vt:lpwstr/>
  </property>
  <property fmtid="{D5CDD505-2E9C-101B-9397-08002B2CF9AE}" pid="33" name="SD_Office_OFF_AddressC">
    <vt:lpwstr/>
  </property>
  <property fmtid="{D5CDD505-2E9C-101B-9397-08002B2CF9AE}" pid="34" name="SD_Office_OFF_AddressCollected">
    <vt:lpwstr>Frederiksholms Kanal 26</vt:lpwstr>
  </property>
  <property fmtid="{D5CDD505-2E9C-101B-9397-08002B2CF9AE}" pid="35" name="SD_Office_OFF_AddressD">
    <vt:lpwstr>1220</vt:lpwstr>
  </property>
  <property fmtid="{D5CDD505-2E9C-101B-9397-08002B2CF9AE}" pid="36" name="SD_Office_OFF_City">
    <vt:lpwstr>København K</vt:lpwstr>
  </property>
  <property fmtid="{D5CDD505-2E9C-101B-9397-08002B2CF9AE}" pid="37" name="SD_Office_OFF_City_EN">
    <vt:lpwstr>Copenhagen K Denmark</vt:lpwstr>
  </property>
  <property fmtid="{D5CDD505-2E9C-101B-9397-08002B2CF9AE}" pid="38" name="SD_Office_OFF_Phone">
    <vt:lpwstr>38 14 21 42</vt:lpwstr>
  </property>
  <property fmtid="{D5CDD505-2E9C-101B-9397-08002B2CF9AE}" pid="39" name="SD_Office_OFF_Phone_EN">
    <vt:lpwstr>+45 38 14 21 42</vt:lpwstr>
  </property>
  <property fmtid="{D5CDD505-2E9C-101B-9397-08002B2CF9AE}" pid="40" name="SD_Office_OFF_Fax">
    <vt:lpwstr/>
  </property>
  <property fmtid="{D5CDD505-2E9C-101B-9397-08002B2CF9AE}" pid="41" name="SD_Office_OFF_Fax_EN">
    <vt:lpwstr/>
  </property>
  <property fmtid="{D5CDD505-2E9C-101B-9397-08002B2CF9AE}" pid="42" name="SD_Office_OFF_Email">
    <vt:lpwstr>mim@mim.dk</vt:lpwstr>
  </property>
  <property fmtid="{D5CDD505-2E9C-101B-9397-08002B2CF9AE}" pid="43" name="SD_Office_OFF_Web">
    <vt:lpwstr>www.mim.dk</vt:lpwstr>
  </property>
  <property fmtid="{D5CDD505-2E9C-101B-9397-08002B2CF9AE}" pid="44" name="SD_Office_OFF_CVR">
    <vt:lpwstr>12854358</vt:lpwstr>
  </property>
  <property fmtid="{D5CDD505-2E9C-101B-9397-08002B2CF9AE}" pid="45" name="SD_Office_OFF_EAN">
    <vt:lpwstr>5798000862005</vt:lpwstr>
  </property>
  <property fmtid="{D5CDD505-2E9C-101B-9397-08002B2CF9AE}" pid="46" name="SD_Office_OFF_EAN_EN">
    <vt:lpwstr>5798000862005</vt:lpwstr>
  </property>
  <property fmtid="{D5CDD505-2E9C-101B-9397-08002B2CF9AE}" pid="47" name="SD_Office_OFF_ColorTheme">
    <vt:lpwstr>MFVM - Departementet_Koncern</vt:lpwstr>
  </property>
  <property fmtid="{D5CDD505-2E9C-101B-9397-08002B2CF9AE}" pid="48" name="LastCompletedArtworkDefinition">
    <vt:lpwstr>MIM</vt:lpwstr>
  </property>
  <property fmtid="{D5CDD505-2E9C-101B-9397-08002B2CF9AE}" pid="49" name="USR_Name">
    <vt:lpwstr>Pia Haugaard Jensen</vt:lpwstr>
  </property>
  <property fmtid="{D5CDD505-2E9C-101B-9397-08002B2CF9AE}" pid="50" name="USR_Initials">
    <vt:lpwstr>PIJEN</vt:lpwstr>
  </property>
  <property fmtid="{D5CDD505-2E9C-101B-9397-08002B2CF9AE}" pid="51" name="USR_Title">
    <vt:lpwstr>Fuldmægtig</vt:lpwstr>
  </property>
  <property fmtid="{D5CDD505-2E9C-101B-9397-08002B2CF9AE}" pid="52" name="USR_DirectPhone">
    <vt:lpwstr>+45 22 34 95 89</vt:lpwstr>
  </property>
  <property fmtid="{D5CDD505-2E9C-101B-9397-08002B2CF9AE}" pid="53" name="USR_Mobile">
    <vt:lpwstr>+45 22 34 95 89</vt:lpwstr>
  </property>
  <property fmtid="{D5CDD505-2E9C-101B-9397-08002B2CF9AE}" pid="54" name="USR_Email">
    <vt:lpwstr>pijen@mim.dk</vt:lpwstr>
  </property>
  <property fmtid="{D5CDD505-2E9C-101B-9397-08002B2CF9AE}" pid="55" name="DocumentInfoFinished">
    <vt:lpwstr>True</vt:lpwstr>
  </property>
</Properties>
</file>