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1277" w:tblpY="4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531"/>
      </w:tblGrid>
      <w:tr w:rsidR="004F26B2" w:rsidTr="00C60F06">
        <w:trPr>
          <w:trHeight w:val="2687"/>
        </w:trPr>
        <w:tc>
          <w:tcPr>
            <w:tcW w:w="1531" w:type="dxa"/>
          </w:tcPr>
          <w:p w:rsidR="00960B2F" w:rsidRPr="00C65241" w:rsidRDefault="00960B2F" w:rsidP="00960B2F">
            <w:pPr>
              <w:pStyle w:val="Template-DokinfoOverskrift"/>
            </w:pPr>
            <w:bookmarkStart w:id="0" w:name="_GoBack"/>
            <w:bookmarkEnd w:id="0"/>
            <w:r w:rsidRPr="00C65241">
              <w:t>Enhed</w:t>
            </w:r>
          </w:p>
          <w:p w:rsidR="00960B2F" w:rsidRPr="00C65241" w:rsidRDefault="00C040EF" w:rsidP="00960B2F">
            <w:pPr>
              <w:pStyle w:val="Template-Dokinfo"/>
            </w:pPr>
            <w:proofErr w:type="spellStart"/>
            <w:r>
              <w:t>Admpol</w:t>
            </w:r>
            <w:proofErr w:type="spellEnd"/>
          </w:p>
          <w:p w:rsidR="00960B2F" w:rsidRPr="00C65241" w:rsidRDefault="00960B2F" w:rsidP="00960B2F">
            <w:pPr>
              <w:pStyle w:val="Template-Dokinfo"/>
            </w:pPr>
          </w:p>
          <w:p w:rsidR="00960B2F" w:rsidRPr="00C65241" w:rsidRDefault="00960B2F" w:rsidP="00960B2F">
            <w:pPr>
              <w:pStyle w:val="Template-DokinfoOverskrift"/>
              <w:rPr>
                <w:b w:val="0"/>
              </w:rPr>
            </w:pPr>
            <w:r w:rsidRPr="00C65241">
              <w:t>Sagsbehandler</w:t>
            </w:r>
          </w:p>
          <w:p w:rsidR="00171187" w:rsidRDefault="00C040EF" w:rsidP="00960B2F">
            <w:pPr>
              <w:pStyle w:val="Template-Dokinfo"/>
            </w:pPr>
            <w:r>
              <w:t>MB</w:t>
            </w:r>
          </w:p>
          <w:p w:rsidR="004F26B2" w:rsidRPr="00C65241" w:rsidRDefault="00960B2F" w:rsidP="00960B2F">
            <w:pPr>
              <w:pStyle w:val="Template-Dokinfo"/>
            </w:pPr>
            <w:r w:rsidRPr="00C65241">
              <w:t xml:space="preserve"> </w:t>
            </w:r>
          </w:p>
          <w:p w:rsidR="004F26B2" w:rsidRPr="008260FD" w:rsidRDefault="004F26B2" w:rsidP="00C60F06">
            <w:pPr>
              <w:pStyle w:val="Template-DokinfoOverskrift"/>
            </w:pPr>
            <w:r>
              <w:t>Koordineret med</w:t>
            </w:r>
          </w:p>
          <w:p w:rsidR="004F26B2" w:rsidRPr="00A45462" w:rsidRDefault="004F26B2" w:rsidP="00107807">
            <w:pPr>
              <w:pStyle w:val="Template-Dokinfo"/>
            </w:pPr>
          </w:p>
          <w:p w:rsidR="004F26B2" w:rsidRPr="00A45462" w:rsidRDefault="004F26B2" w:rsidP="00107807">
            <w:pPr>
              <w:pStyle w:val="Template-Dokinfo"/>
            </w:pPr>
          </w:p>
          <w:p w:rsidR="004F26B2" w:rsidRPr="00C040EF" w:rsidRDefault="004F26B2" w:rsidP="00C60F06">
            <w:pPr>
              <w:pStyle w:val="Template-DokinfoOverskrift"/>
              <w:rPr>
                <w:b w:val="0"/>
              </w:rPr>
            </w:pPr>
            <w:r w:rsidRPr="00C040EF">
              <w:t>Sagsnr.</w:t>
            </w:r>
          </w:p>
          <w:p w:rsidR="004F26B2" w:rsidRPr="00C040EF" w:rsidRDefault="00C44198" w:rsidP="00C60F06">
            <w:pPr>
              <w:pStyle w:val="Template-Dokinfo"/>
            </w:pPr>
            <w:r w:rsidRPr="00C040EF">
              <w:t xml:space="preserve">2014 - </w:t>
            </w:r>
            <w:proofErr w:type="gramStart"/>
            <w:r w:rsidRPr="00C040EF">
              <w:t>20733</w:t>
            </w:r>
            <w:proofErr w:type="gramEnd"/>
          </w:p>
          <w:p w:rsidR="004F26B2" w:rsidRPr="00C040EF" w:rsidRDefault="004F26B2" w:rsidP="00107807">
            <w:pPr>
              <w:pStyle w:val="Template-Dokinfo"/>
            </w:pPr>
          </w:p>
          <w:p w:rsidR="004F26B2" w:rsidRPr="00C040EF" w:rsidRDefault="004F26B2" w:rsidP="00C60F06">
            <w:pPr>
              <w:pStyle w:val="Template-DokinfoOverskrift"/>
            </w:pPr>
            <w:proofErr w:type="spellStart"/>
            <w:r w:rsidRPr="00C040EF">
              <w:t>Doknr</w:t>
            </w:r>
            <w:proofErr w:type="spellEnd"/>
            <w:r w:rsidRPr="00C040EF">
              <w:t>.</w:t>
            </w:r>
          </w:p>
          <w:p w:rsidR="004F26B2" w:rsidRPr="00133FFE" w:rsidRDefault="00C44198" w:rsidP="00C60F06">
            <w:pPr>
              <w:pStyle w:val="Template-Dokinfo"/>
              <w:rPr>
                <w:lang w:val="en-US"/>
              </w:rPr>
            </w:pPr>
            <w:r>
              <w:rPr>
                <w:lang w:val="en-US"/>
              </w:rPr>
              <w:t>180907</w:t>
            </w:r>
          </w:p>
          <w:p w:rsidR="00FA705D" w:rsidRPr="00133FFE" w:rsidRDefault="00FA705D" w:rsidP="00C60F06">
            <w:pPr>
              <w:pStyle w:val="Template-Dokinfo"/>
              <w:rPr>
                <w:lang w:val="en-US"/>
              </w:rPr>
            </w:pPr>
          </w:p>
          <w:p w:rsidR="004F26B2" w:rsidRDefault="004F26B2" w:rsidP="00C60F06">
            <w:pPr>
              <w:pStyle w:val="Template-DokinfoOverskrift"/>
              <w:rPr>
                <w:b w:val="0"/>
              </w:rPr>
            </w:pPr>
            <w:r w:rsidRPr="008260FD">
              <w:t>Dato</w:t>
            </w:r>
          </w:p>
          <w:p w:rsidR="004F26B2" w:rsidRPr="00826A0D" w:rsidRDefault="00D42C9E" w:rsidP="007C104F">
            <w:pPr>
              <w:pStyle w:val="Template-Dokinfo"/>
            </w:pPr>
            <w:r>
              <w:t>1</w:t>
            </w:r>
            <w:r w:rsidR="007C104F">
              <w:t>9</w:t>
            </w:r>
            <w:r w:rsidR="00171187">
              <w:fldChar w:fldCharType="begin"/>
            </w:r>
            <w:r w:rsidR="00171187">
              <w:instrText xml:space="preserve"> CREATEDATE  \@ "dd-MM-yyyy"  \* MERGEFORMAT </w:instrText>
            </w:r>
            <w:r w:rsidR="00171187">
              <w:fldChar w:fldCharType="separate"/>
            </w:r>
            <w:r w:rsidR="00F728AA">
              <w:rPr>
                <w:noProof/>
              </w:rPr>
              <w:t>-</w:t>
            </w:r>
            <w:r>
              <w:rPr>
                <w:noProof/>
              </w:rPr>
              <w:t>01</w:t>
            </w:r>
            <w:r w:rsidR="00F728AA">
              <w:rPr>
                <w:noProof/>
              </w:rPr>
              <w:t>-201</w:t>
            </w:r>
            <w:r w:rsidR="00171187">
              <w:fldChar w:fldCharType="end"/>
            </w:r>
            <w:r>
              <w:t>5</w:t>
            </w:r>
          </w:p>
        </w:tc>
      </w:tr>
    </w:tbl>
    <w:p w:rsidR="006E2E88" w:rsidRDefault="00D42C9E" w:rsidP="006E2E88">
      <w:pPr>
        <w:pStyle w:val="Overskrift1"/>
      </w:pPr>
      <w:r>
        <w:t>Høringsu</w:t>
      </w:r>
      <w:r w:rsidR="009F7587">
        <w:t xml:space="preserve">dkast </w:t>
      </w:r>
    </w:p>
    <w:p w:rsidR="005938BD" w:rsidRDefault="005938BD" w:rsidP="00BE6EA4">
      <w:pPr>
        <w:pStyle w:val="Overskrift2"/>
        <w:spacing w:before="0" w:after="0"/>
        <w:jc w:val="center"/>
        <w:rPr>
          <w:sz w:val="32"/>
          <w:szCs w:val="32"/>
        </w:rPr>
      </w:pPr>
    </w:p>
    <w:p w:rsidR="005938BD" w:rsidRDefault="005938BD" w:rsidP="00BE6EA4">
      <w:pPr>
        <w:pStyle w:val="Overskrift2"/>
        <w:spacing w:before="0" w:after="0"/>
        <w:jc w:val="center"/>
        <w:rPr>
          <w:sz w:val="32"/>
          <w:szCs w:val="32"/>
        </w:rPr>
      </w:pPr>
    </w:p>
    <w:p w:rsidR="00BE6EA4" w:rsidRPr="00BE6EA4" w:rsidRDefault="00BE6EA4" w:rsidP="00BE6EA4">
      <w:pPr>
        <w:pStyle w:val="Overskrift2"/>
        <w:spacing w:before="0" w:after="0"/>
        <w:jc w:val="center"/>
        <w:rPr>
          <w:sz w:val="32"/>
          <w:szCs w:val="32"/>
        </w:rPr>
      </w:pPr>
      <w:r w:rsidRPr="00BE6EA4">
        <w:rPr>
          <w:sz w:val="32"/>
          <w:szCs w:val="32"/>
        </w:rPr>
        <w:t>Forslag</w:t>
      </w:r>
    </w:p>
    <w:p w:rsidR="00BE6EA4" w:rsidRPr="00BE6EA4" w:rsidRDefault="00BE6EA4" w:rsidP="00BE6EA4">
      <w:pPr>
        <w:pStyle w:val="Overskrift2"/>
        <w:spacing w:before="0" w:after="0"/>
        <w:jc w:val="center"/>
        <w:rPr>
          <w:b w:val="0"/>
        </w:rPr>
      </w:pPr>
      <w:r w:rsidRPr="00BE6EA4">
        <w:rPr>
          <w:b w:val="0"/>
        </w:rPr>
        <w:t>til</w:t>
      </w:r>
    </w:p>
    <w:p w:rsidR="00BE6EA4" w:rsidRPr="00BE6EA4" w:rsidRDefault="00BE6EA4" w:rsidP="00BE6EA4">
      <w:pPr>
        <w:pStyle w:val="Overskrift2"/>
        <w:spacing w:before="0" w:after="0"/>
        <w:jc w:val="center"/>
        <w:rPr>
          <w:sz w:val="24"/>
          <w:szCs w:val="24"/>
        </w:rPr>
      </w:pPr>
      <w:r w:rsidRPr="00BE6EA4">
        <w:rPr>
          <w:sz w:val="24"/>
          <w:szCs w:val="24"/>
        </w:rPr>
        <w:t xml:space="preserve">Lov om ændring af lov om kommunal udligning og generelle </w:t>
      </w:r>
    </w:p>
    <w:p w:rsidR="006E2E88" w:rsidRPr="00BE6EA4" w:rsidRDefault="00BE6EA4" w:rsidP="00BE6EA4">
      <w:pPr>
        <w:pStyle w:val="Overskrift2"/>
        <w:spacing w:before="0" w:after="0"/>
        <w:jc w:val="center"/>
        <w:rPr>
          <w:sz w:val="24"/>
          <w:szCs w:val="24"/>
        </w:rPr>
      </w:pPr>
      <w:r w:rsidRPr="00BE6EA4">
        <w:rPr>
          <w:sz w:val="24"/>
          <w:szCs w:val="24"/>
        </w:rPr>
        <w:t>tilskud til kommuner</w:t>
      </w:r>
    </w:p>
    <w:p w:rsidR="00BE6EA4" w:rsidRPr="00BE6EA4" w:rsidRDefault="00BE6EA4" w:rsidP="00BE6EA4">
      <w:pPr>
        <w:jc w:val="center"/>
        <w:rPr>
          <w:sz w:val="24"/>
          <w:szCs w:val="24"/>
        </w:rPr>
      </w:pPr>
    </w:p>
    <w:p w:rsidR="00733570" w:rsidRDefault="00BE6EA4" w:rsidP="00BE6EA4">
      <w:pPr>
        <w:jc w:val="center"/>
      </w:pPr>
      <w:r>
        <w:t>(</w:t>
      </w:r>
      <w:r w:rsidR="004D4714">
        <w:t>Nedsættelse</w:t>
      </w:r>
      <w:r>
        <w:t xml:space="preserve"> af færgetakster</w:t>
      </w:r>
      <w:r w:rsidR="001B46B7">
        <w:t xml:space="preserve"> for godstransport til og fra øer</w:t>
      </w:r>
      <w:r>
        <w:t>)</w:t>
      </w:r>
    </w:p>
    <w:p w:rsidR="00F40209" w:rsidRDefault="00BE6EA4" w:rsidP="00BE6EA4">
      <w:pPr>
        <w:pStyle w:val="Overskrift2"/>
        <w:jc w:val="center"/>
      </w:pPr>
      <w:r>
        <w:t>§ 1</w:t>
      </w:r>
    </w:p>
    <w:p w:rsidR="00F40209" w:rsidRDefault="00331BA0" w:rsidP="00F40209">
      <w:r>
        <w:t>I lov om kommunal udligning og generelle tilskud til kommuner, jf. lovbeke</w:t>
      </w:r>
      <w:r w:rsidR="00762F48">
        <w:t>n</w:t>
      </w:r>
      <w:r>
        <w:t xml:space="preserve">dtgørelse nr. 798 af 24. juni 2013 med de ændringer der følger af </w:t>
      </w:r>
      <w:r w:rsidR="003171DA">
        <w:t>lov nr. 790 af 28. juni 2013 § 4, lov nr. 895 af 4. juli 2013 § 7, lov nr. 1610 af 26. december 2013 § 8 og lov nr. 720 af 25. juni 2014 § 11,</w:t>
      </w:r>
      <w:r w:rsidR="005938BD">
        <w:t xml:space="preserve"> foretages følgende ændringer:</w:t>
      </w:r>
    </w:p>
    <w:p w:rsidR="00762F48" w:rsidRDefault="00762F48" w:rsidP="00F40209"/>
    <w:p w:rsidR="00762F48" w:rsidRDefault="00762F48" w:rsidP="00F40209">
      <w:r w:rsidRPr="00762F48">
        <w:rPr>
          <w:b/>
        </w:rPr>
        <w:t>1.</w:t>
      </w:r>
      <w:r>
        <w:t xml:space="preserve"> Efter § 21 indsættes:</w:t>
      </w:r>
    </w:p>
    <w:p w:rsidR="00762F48" w:rsidRDefault="00762F48" w:rsidP="00F40209"/>
    <w:p w:rsidR="00762F48" w:rsidRDefault="00762F48" w:rsidP="00F40209">
      <w:r w:rsidRPr="00762F48">
        <w:rPr>
          <w:b/>
        </w:rPr>
        <w:t>”§ 21 a.</w:t>
      </w:r>
      <w:r>
        <w:t xml:space="preserve"> Økonomi- og indenrigsministeren yder et årligt tilskud</w:t>
      </w:r>
      <w:r w:rsidR="002435BB">
        <w:t xml:space="preserve"> til nedsættelse af </w:t>
      </w:r>
      <w:r w:rsidR="001B46B7">
        <w:t>fæ</w:t>
      </w:r>
      <w:r w:rsidR="001B46B7">
        <w:t>r</w:t>
      </w:r>
      <w:r w:rsidR="001B46B7">
        <w:t>ge</w:t>
      </w:r>
      <w:r w:rsidR="002435BB">
        <w:t xml:space="preserve">takster </w:t>
      </w:r>
      <w:r w:rsidR="001B46B7">
        <w:t>for</w:t>
      </w:r>
      <w:r w:rsidR="002435BB">
        <w:t xml:space="preserve"> </w:t>
      </w:r>
      <w:r w:rsidR="00113ADA">
        <w:t>godstransport til og fra øer.</w:t>
      </w:r>
      <w:r w:rsidR="00414D9E">
        <w:t xml:space="preserve"> Tilskuddet ydes</w:t>
      </w:r>
      <w:r>
        <w:t xml:space="preserve"> </w:t>
      </w:r>
      <w:r w:rsidR="002435BB">
        <w:t xml:space="preserve">til kommuner med mindre øer og til kommuner på øer uden fast forbindelse, der består af én kommune. </w:t>
      </w:r>
      <w:r w:rsidR="004210F0">
        <w:t>Økon</w:t>
      </w:r>
      <w:r w:rsidR="004210F0">
        <w:t>o</w:t>
      </w:r>
      <w:r w:rsidR="004210F0">
        <w:t>mi- og indenrigsministeren yder ikke t</w:t>
      </w:r>
      <w:r w:rsidR="00D75F8B">
        <w:t>ilskud til de statslige færgeruter til Bornholm og Samsø</w:t>
      </w:r>
      <w:r w:rsidR="002435BB">
        <w:t xml:space="preserve">. </w:t>
      </w:r>
    </w:p>
    <w:p w:rsidR="00414D9E" w:rsidRDefault="00414D9E" w:rsidP="00F40209">
      <w:r w:rsidRPr="00034BBE">
        <w:rPr>
          <w:i/>
        </w:rPr>
        <w:t>Stk. 2.</w:t>
      </w:r>
      <w:r>
        <w:t xml:space="preserve"> Tilskuddet udgør </w:t>
      </w:r>
      <w:r w:rsidR="00BE1E13" w:rsidRPr="000E3970">
        <w:rPr>
          <w:szCs w:val="20"/>
        </w:rPr>
        <w:t>2</w:t>
      </w:r>
      <w:r w:rsidR="002839C5">
        <w:rPr>
          <w:szCs w:val="20"/>
        </w:rPr>
        <w:t>0</w:t>
      </w:r>
      <w:r w:rsidR="00BE1E13" w:rsidRPr="000E3970">
        <w:rPr>
          <w:szCs w:val="20"/>
        </w:rPr>
        <w:t xml:space="preserve"> mio. kr. </w:t>
      </w:r>
      <w:r w:rsidRPr="000E3970">
        <w:rPr>
          <w:szCs w:val="20"/>
        </w:rPr>
        <w:t>i</w:t>
      </w:r>
      <w:r>
        <w:t xml:space="preserve"> 2015 og </w:t>
      </w:r>
      <w:r w:rsidR="00BE1E13">
        <w:t>3</w:t>
      </w:r>
      <w:r w:rsidR="002839C5">
        <w:t>5</w:t>
      </w:r>
      <w:r w:rsidR="00BE1E13">
        <w:t xml:space="preserve"> </w:t>
      </w:r>
      <w:r>
        <w:t xml:space="preserve">mio. kr. </w:t>
      </w:r>
      <w:r w:rsidR="00E85588">
        <w:t xml:space="preserve">årligt </w:t>
      </w:r>
      <w:r>
        <w:t>fra 2016</w:t>
      </w:r>
      <w:r w:rsidR="00AB7229">
        <w:t xml:space="preserve"> og frem</w:t>
      </w:r>
      <w:r>
        <w:t>. Ti</w:t>
      </w:r>
      <w:r>
        <w:t>l</w:t>
      </w:r>
      <w:r>
        <w:t>skuddet reguleres fra og med tilskudsåret 201</w:t>
      </w:r>
      <w:r w:rsidR="00F92B87">
        <w:t>6</w:t>
      </w:r>
      <w:r>
        <w:t xml:space="preserve"> én gang årligt med den forventede pris- og lønudvikling for den kommunale sektor.</w:t>
      </w:r>
    </w:p>
    <w:p w:rsidR="00414D9E" w:rsidRDefault="00414D9E" w:rsidP="00F40209">
      <w:r w:rsidRPr="00034BBE">
        <w:rPr>
          <w:i/>
        </w:rPr>
        <w:t>Stk. 3.</w:t>
      </w:r>
      <w:r>
        <w:t xml:space="preserve"> De kommuner, der modtager tilskud </w:t>
      </w:r>
      <w:r w:rsidR="00A375CC">
        <w:t>i henhold til</w:t>
      </w:r>
      <w:r>
        <w:t xml:space="preserve"> stk. 1, </w:t>
      </w:r>
      <w:r w:rsidR="000E6F9C">
        <w:t xml:space="preserve">1. </w:t>
      </w:r>
      <w:r w:rsidR="00B86438">
        <w:t xml:space="preserve">og 2. </w:t>
      </w:r>
      <w:r w:rsidR="000E6F9C">
        <w:t xml:space="preserve">pkt., </w:t>
      </w:r>
      <w:r>
        <w:t>omfatter Kalundborg, Holbæk, Slagelse, Lolland, Assens</w:t>
      </w:r>
      <w:r w:rsidR="00BA79B6">
        <w:t xml:space="preserve">, Faaborg-Midtfyn, Ærø, Langeland, Svendborg, Haderslev, Aabenraa, Horsens, Hedensted, Struer, Norddjurs, Odder, Skive, Aalborg, Læsø, Samsø, </w:t>
      </w:r>
      <w:r w:rsidR="00DB06A9">
        <w:t xml:space="preserve">Fanø </w:t>
      </w:r>
      <w:r w:rsidR="00AB5627">
        <w:t xml:space="preserve">og </w:t>
      </w:r>
      <w:r w:rsidR="00BA79B6">
        <w:t>Ærø Kommuner</w:t>
      </w:r>
      <w:r w:rsidR="00034BBE">
        <w:t xml:space="preserve">, jf. dog stk. </w:t>
      </w:r>
      <w:r w:rsidR="004B0FD3">
        <w:t xml:space="preserve">5, </w:t>
      </w:r>
      <w:r w:rsidR="00BD6603">
        <w:t>1</w:t>
      </w:r>
      <w:r w:rsidR="004B0FD3">
        <w:t xml:space="preserve">. pkt., </w:t>
      </w:r>
      <w:r w:rsidR="00D02915">
        <w:t>for kommuner med mindre øer</w:t>
      </w:r>
      <w:r w:rsidR="00BA79B6">
        <w:t>.</w:t>
      </w:r>
    </w:p>
    <w:p w:rsidR="00DB06A9" w:rsidRDefault="00875535" w:rsidP="00F40209">
      <w:r w:rsidRPr="00034BBE">
        <w:rPr>
          <w:i/>
        </w:rPr>
        <w:t xml:space="preserve">Stk. </w:t>
      </w:r>
      <w:r w:rsidR="00AD1036">
        <w:rPr>
          <w:i/>
        </w:rPr>
        <w:t>4</w:t>
      </w:r>
      <w:r w:rsidRPr="00034BBE">
        <w:rPr>
          <w:i/>
        </w:rPr>
        <w:t>.</w:t>
      </w:r>
      <w:r>
        <w:t xml:space="preserve"> </w:t>
      </w:r>
      <w:r w:rsidR="009B4831">
        <w:t>Tilskuddet efter stk. 1 og 2 fordeles af økonomi- og indenrigsministeren efter en nøgle for godsomsætning</w:t>
      </w:r>
      <w:r w:rsidR="00421AEE">
        <w:t>,</w:t>
      </w:r>
      <w:r w:rsidR="009B4831">
        <w:t xml:space="preserve"> ekskl. vareafgift</w:t>
      </w:r>
      <w:r w:rsidR="00421AEE">
        <w:t>,</w:t>
      </w:r>
      <w:r w:rsidR="009B4831">
        <w:t xml:space="preserve"> på de enkelte </w:t>
      </w:r>
      <w:r w:rsidR="00DB06A9">
        <w:t>færge</w:t>
      </w:r>
      <w:r w:rsidR="009B4831">
        <w:t xml:space="preserve">ruter. </w:t>
      </w:r>
      <w:r w:rsidR="00B86438">
        <w:t xml:space="preserve">Nedsættelsen af de enkelte typer </w:t>
      </w:r>
      <w:r w:rsidR="00D332BE">
        <w:t xml:space="preserve">af </w:t>
      </w:r>
      <w:r w:rsidR="00B86438">
        <w:t xml:space="preserve">færgetakster </w:t>
      </w:r>
      <w:r w:rsidR="000C1562">
        <w:t xml:space="preserve">for godstransport </w:t>
      </w:r>
      <w:r w:rsidR="00B86438">
        <w:t xml:space="preserve">kan maksimalt udgøre 80 pct. </w:t>
      </w:r>
      <w:r w:rsidR="00AB5627">
        <w:t>Øk</w:t>
      </w:r>
      <w:r w:rsidR="00AB5627">
        <w:t>o</w:t>
      </w:r>
      <w:r w:rsidR="00AB5627">
        <w:t>nomi- og indenrigsministeren</w:t>
      </w:r>
      <w:r w:rsidR="009B4831">
        <w:t xml:space="preserve"> fastsætter de nærmere regler om fordelingen af tilsku</w:t>
      </w:r>
      <w:r w:rsidR="009B4831">
        <w:t>d</w:t>
      </w:r>
      <w:r w:rsidR="009B4831">
        <w:t>det</w:t>
      </w:r>
      <w:r w:rsidR="001C56CA">
        <w:t xml:space="preserve"> og ordningens administration</w:t>
      </w:r>
      <w:r w:rsidR="00AA601A">
        <w:t>, herunder</w:t>
      </w:r>
      <w:r w:rsidR="00440258" w:rsidRPr="00BD6603">
        <w:t xml:space="preserve"> nærmere regler om, at kommunalbestyre</w:t>
      </w:r>
      <w:r w:rsidR="00440258" w:rsidRPr="00BD6603">
        <w:t>l</w:t>
      </w:r>
      <w:r w:rsidR="00440258" w:rsidRPr="00BD6603">
        <w:t xml:space="preserve">sen skal udarbejde en redegørelse </w:t>
      </w:r>
      <w:r w:rsidR="00440258">
        <w:t>om</w:t>
      </w:r>
      <w:r w:rsidR="00440258" w:rsidRPr="00BD6603">
        <w:t>, hvorledes tilskuddet i henhold til stk. 1 og 2 er anvendt.</w:t>
      </w:r>
    </w:p>
    <w:p w:rsidR="003D4FCE" w:rsidRDefault="00DB06A9" w:rsidP="00F40209">
      <w:pPr>
        <w:rPr>
          <w:i/>
        </w:rPr>
      </w:pPr>
      <w:r w:rsidRPr="00AA601A">
        <w:rPr>
          <w:i/>
        </w:rPr>
        <w:t>Stk</w:t>
      </w:r>
      <w:r w:rsidR="001F53F1" w:rsidRPr="00AA601A">
        <w:rPr>
          <w:i/>
        </w:rPr>
        <w:t>.</w:t>
      </w:r>
      <w:r w:rsidRPr="00AA601A">
        <w:rPr>
          <w:i/>
        </w:rPr>
        <w:t xml:space="preserve"> </w:t>
      </w:r>
      <w:r w:rsidR="00AD1036" w:rsidRPr="00AA601A">
        <w:rPr>
          <w:i/>
        </w:rPr>
        <w:t>5</w:t>
      </w:r>
      <w:r w:rsidRPr="00AA601A">
        <w:rPr>
          <w:i/>
        </w:rPr>
        <w:t>.</w:t>
      </w:r>
      <w:r w:rsidR="00AB5627">
        <w:t xml:space="preserve"> </w:t>
      </w:r>
      <w:r w:rsidR="00F92B87">
        <w:t xml:space="preserve">Økonomi- og indenrigsministeren kan </w:t>
      </w:r>
      <w:r w:rsidR="003D4FCE">
        <w:t xml:space="preserve">fastsætte </w:t>
      </w:r>
      <w:r w:rsidR="00D920BC">
        <w:t xml:space="preserve">nærmere </w:t>
      </w:r>
      <w:r w:rsidR="003D4FCE">
        <w:t xml:space="preserve">regler om, at </w:t>
      </w:r>
      <w:r w:rsidR="00F92B87">
        <w:t>t</w:t>
      </w:r>
      <w:r w:rsidR="00AD1036" w:rsidRPr="00AD1036">
        <w:t>ilsku</w:t>
      </w:r>
      <w:r w:rsidR="00AD1036" w:rsidRPr="00AD1036">
        <w:t>d</w:t>
      </w:r>
      <w:r w:rsidR="00AD1036" w:rsidRPr="00AD1036">
        <w:t xml:space="preserve">det i henhold til stk.1 og 2 til kommuner med mindre øer </w:t>
      </w:r>
      <w:r w:rsidR="000120E9">
        <w:t xml:space="preserve">kan </w:t>
      </w:r>
      <w:r w:rsidR="00AD1036" w:rsidRPr="00AD1036">
        <w:t xml:space="preserve">gøres betinget af, at </w:t>
      </w:r>
      <w:r w:rsidR="00442CB0">
        <w:lastRenderedPageBreak/>
        <w:t xml:space="preserve">kommunalbestyrelsen på tilfredsstillende måde kan redegøre for, at </w:t>
      </w:r>
      <w:r w:rsidR="00AD1036" w:rsidRPr="00AD1036">
        <w:t>det tilskud, som kommunen har modtaget som del af det forhøjede tilskud i henhold til § 20, stk. 1, er anvendt i overensstemmelse med intentionerne</w:t>
      </w:r>
      <w:r w:rsidR="00AA601A">
        <w:t xml:space="preserve">, jf. </w:t>
      </w:r>
      <w:r w:rsidR="004F4E9A">
        <w:t xml:space="preserve">lovbemærkningerne til L 582 af 18. juni 2012 om </w:t>
      </w:r>
      <w:r w:rsidR="00AA601A">
        <w:t>ændring af lov om kommunal udligning og generelle tilskud til kommuner (Justeringer af udligningssystemet)</w:t>
      </w:r>
      <w:r w:rsidR="00AD1036" w:rsidRPr="00AD1036">
        <w:t>.</w:t>
      </w:r>
      <w:r w:rsidR="00BD6603">
        <w:t xml:space="preserve"> </w:t>
      </w:r>
    </w:p>
    <w:p w:rsidR="00B86438" w:rsidRDefault="00B86438" w:rsidP="00F40209"/>
    <w:p w:rsidR="00762F48" w:rsidRDefault="00762F48" w:rsidP="00762F48">
      <w:pPr>
        <w:jc w:val="center"/>
        <w:rPr>
          <w:b/>
        </w:rPr>
      </w:pPr>
      <w:r w:rsidRPr="00762F48">
        <w:rPr>
          <w:b/>
        </w:rPr>
        <w:t>§ 2</w:t>
      </w:r>
    </w:p>
    <w:p w:rsidR="00762F48" w:rsidRDefault="00762F48" w:rsidP="00762F48">
      <w:pPr>
        <w:jc w:val="center"/>
        <w:rPr>
          <w:b/>
        </w:rPr>
      </w:pPr>
    </w:p>
    <w:p w:rsidR="00762F48" w:rsidRDefault="005776C0" w:rsidP="00762F48">
      <w:r>
        <w:t>Loven træder i kraft den 1. juni 2015.</w:t>
      </w:r>
    </w:p>
    <w:p w:rsidR="00CA4EC8" w:rsidRDefault="00CA4EC8" w:rsidP="00762F48"/>
    <w:p w:rsidR="00CA4EC8" w:rsidRDefault="00CA4EC8" w:rsidP="00762F48"/>
    <w:p w:rsidR="00CA4EC8" w:rsidRPr="00FB4BE0" w:rsidRDefault="00FB4BE0" w:rsidP="00FB4BE0">
      <w:pPr>
        <w:jc w:val="center"/>
        <w:rPr>
          <w:i/>
          <w:sz w:val="24"/>
          <w:szCs w:val="24"/>
        </w:rPr>
      </w:pPr>
      <w:r w:rsidRPr="00FB4BE0">
        <w:rPr>
          <w:i/>
          <w:sz w:val="24"/>
          <w:szCs w:val="24"/>
        </w:rPr>
        <w:t>Bemærkninger til lovforslaget</w:t>
      </w:r>
    </w:p>
    <w:p w:rsidR="00FB4BE0" w:rsidRDefault="00FB4BE0" w:rsidP="00762F48"/>
    <w:p w:rsidR="00FB4BE0" w:rsidRPr="00FB4BE0" w:rsidRDefault="00FB4BE0" w:rsidP="00FB4BE0">
      <w:pPr>
        <w:jc w:val="center"/>
        <w:rPr>
          <w:i/>
        </w:rPr>
      </w:pPr>
      <w:r w:rsidRPr="00FB4BE0">
        <w:rPr>
          <w:i/>
        </w:rPr>
        <w:t>Almindelige bemærkninger</w:t>
      </w:r>
    </w:p>
    <w:p w:rsidR="00FB4BE0" w:rsidRDefault="00FB4BE0" w:rsidP="00762F48"/>
    <w:p w:rsidR="00FB4BE0" w:rsidRPr="00E80E18" w:rsidRDefault="00FB4BE0" w:rsidP="00FB4BE0">
      <w:pPr>
        <w:rPr>
          <w:b/>
        </w:rPr>
      </w:pPr>
      <w:r w:rsidRPr="00E80E18">
        <w:rPr>
          <w:b/>
        </w:rPr>
        <w:t>1. Lovforslagets baggrund og formål</w:t>
      </w:r>
    </w:p>
    <w:p w:rsidR="000A5F83" w:rsidRDefault="00BC454A" w:rsidP="00FB4BE0">
      <w:r>
        <w:t>Lovforslaget udmønt</w:t>
      </w:r>
      <w:r w:rsidR="004216B1">
        <w:t>er initiativet i aftalen om en v</w:t>
      </w:r>
      <w:r>
        <w:t xml:space="preserve">ækstpakke </w:t>
      </w:r>
      <w:r w:rsidR="004216B1">
        <w:t xml:space="preserve">fra juni </w:t>
      </w:r>
      <w:r>
        <w:t>2014</w:t>
      </w:r>
      <w:r w:rsidR="004216B1">
        <w:t xml:space="preserve"> om lavere færgetakster for godstransport til og fra øerne. </w:t>
      </w:r>
      <w:r w:rsidR="009D260A">
        <w:t>Det fremgår bl.a. af aftalen, at der a</w:t>
      </w:r>
      <w:r w:rsidR="009D260A">
        <w:t>f</w:t>
      </w:r>
      <w:r w:rsidR="009D260A">
        <w:t xml:space="preserve">sættes en årlig ramme på 50 mio. kr. i 2015 og 125 mio. kr. årligt </w:t>
      </w:r>
      <w:r w:rsidR="004947AF">
        <w:t>fra 2016</w:t>
      </w:r>
      <w:r w:rsidR="009D260A">
        <w:t xml:space="preserve"> og frem til en permanent nedsættelse af færgetaksterne for erhvervstransport til og fra øerne med henblik på at understøtte erhvervsudviklingen i </w:t>
      </w:r>
      <w:proofErr w:type="spellStart"/>
      <w:r w:rsidR="009D260A">
        <w:t>ø-samfundene</w:t>
      </w:r>
      <w:proofErr w:type="spellEnd"/>
      <w:r w:rsidR="009D260A">
        <w:t xml:space="preserve">. </w:t>
      </w:r>
    </w:p>
    <w:p w:rsidR="000A5F83" w:rsidRDefault="000A5F83" w:rsidP="00FB4BE0"/>
    <w:p w:rsidR="00FB4BE0" w:rsidRDefault="009D260A" w:rsidP="00FB4BE0">
      <w:r>
        <w:t>Bag initiativet står regeringen, Venstre, Det Konservative Folkeparti, Socialistisk Fo</w:t>
      </w:r>
      <w:r>
        <w:t>l</w:t>
      </w:r>
      <w:r>
        <w:t>keparti, Enhedslisten og Dansk Folkeparti.</w:t>
      </w:r>
    </w:p>
    <w:p w:rsidR="0050423B" w:rsidRDefault="0050423B" w:rsidP="00B61634"/>
    <w:p w:rsidR="00B61634" w:rsidRDefault="00B61634" w:rsidP="00B61634">
      <w:r>
        <w:t xml:space="preserve">Ordningen vil </w:t>
      </w:r>
      <w:r w:rsidR="005C3A12">
        <w:t xml:space="preserve">i sin helhed </w:t>
      </w:r>
      <w:r>
        <w:t xml:space="preserve">omfatte færgerne til en række </w:t>
      </w:r>
      <w:r w:rsidR="004D0613">
        <w:t xml:space="preserve">mindre </w:t>
      </w:r>
      <w:r>
        <w:t xml:space="preserve">øer samt Læsø, Samsø, Ærø, Fanø og Bornholm. Gruppen af </w:t>
      </w:r>
      <w:r w:rsidR="004D0613">
        <w:t xml:space="preserve">mindre </w:t>
      </w:r>
      <w:r>
        <w:t xml:space="preserve">øer omfatter </w:t>
      </w:r>
      <w:r w:rsidRPr="00EC41B4">
        <w:t xml:space="preserve">Sejerø, Nekselø, Orø, Agersø, Omø, Askø, Femø, Fejø, Baagø, Avernakø, Lyø, Bjørnø, Birkholm, Strynø, Drejø, Skarø, Hjortø, </w:t>
      </w:r>
      <w:proofErr w:type="spellStart"/>
      <w:r w:rsidRPr="00EC41B4">
        <w:t>Aarø</w:t>
      </w:r>
      <w:proofErr w:type="spellEnd"/>
      <w:r w:rsidRPr="00EC41B4">
        <w:t>, Barsø, Endelave, Hjarnø, Venø, Anholt, Tunø, Fur</w:t>
      </w:r>
      <w:r>
        <w:t xml:space="preserve"> og</w:t>
      </w:r>
      <w:r w:rsidRPr="00EC41B4">
        <w:t xml:space="preserve"> Egholm</w:t>
      </w:r>
      <w:r>
        <w:t>.</w:t>
      </w:r>
    </w:p>
    <w:p w:rsidR="00415758" w:rsidRDefault="00415758" w:rsidP="00B61634"/>
    <w:p w:rsidR="00415758" w:rsidRDefault="00415758" w:rsidP="00B61634">
      <w:r>
        <w:t xml:space="preserve">Ordningen udmøntes for de </w:t>
      </w:r>
      <w:r w:rsidR="00010108">
        <w:t>statslige ruters vedkommende af Transportministeriet og for de øvrige</w:t>
      </w:r>
      <w:r>
        <w:t xml:space="preserve"> ruters vedkommende af Økonomi- og </w:t>
      </w:r>
      <w:r w:rsidR="00520C0F">
        <w:t>I</w:t>
      </w:r>
      <w:r>
        <w:t>ndenrigsministeriet.</w:t>
      </w:r>
    </w:p>
    <w:p w:rsidR="009D260A" w:rsidRDefault="009D260A" w:rsidP="00FB4BE0"/>
    <w:p w:rsidR="00C77C8A" w:rsidRDefault="00B61634" w:rsidP="00FB4BE0">
      <w:r>
        <w:t xml:space="preserve">Formålet med lovforslaget er </w:t>
      </w:r>
      <w:r w:rsidR="00010108">
        <w:t xml:space="preserve">således </w:t>
      </w:r>
      <w:r>
        <w:t xml:space="preserve">at </w:t>
      </w:r>
      <w:r w:rsidR="00EC438A">
        <w:t>tilvejebringe</w:t>
      </w:r>
      <w:r>
        <w:t xml:space="preserve"> hjemmel til, at </w:t>
      </w:r>
      <w:r w:rsidR="006A38CB">
        <w:t>økonomi- og i</w:t>
      </w:r>
      <w:r w:rsidR="006A38CB">
        <w:t>n</w:t>
      </w:r>
      <w:r w:rsidR="006A38CB">
        <w:t>denrigsministeren</w:t>
      </w:r>
      <w:r>
        <w:t xml:space="preserve"> kan yde et tilskud </w:t>
      </w:r>
      <w:r w:rsidR="006423AA">
        <w:t xml:space="preserve">til </w:t>
      </w:r>
      <w:r w:rsidR="006A3360">
        <w:t xml:space="preserve">de omfattede </w:t>
      </w:r>
      <w:r w:rsidR="001D020C">
        <w:t xml:space="preserve">kommuner </w:t>
      </w:r>
      <w:r>
        <w:t xml:space="preserve">til </w:t>
      </w:r>
      <w:r w:rsidR="00EC438A">
        <w:t>nedsættelse af ta</w:t>
      </w:r>
      <w:r w:rsidR="00EC438A">
        <w:t>k</w:t>
      </w:r>
      <w:r w:rsidR="00EC438A">
        <w:t xml:space="preserve">sterne for godstransport på </w:t>
      </w:r>
      <w:r>
        <w:t xml:space="preserve">de </w:t>
      </w:r>
      <w:r w:rsidR="00EC438A">
        <w:t>færgeruter, der ikke er statslige.</w:t>
      </w:r>
      <w:r>
        <w:t xml:space="preserve"> </w:t>
      </w:r>
    </w:p>
    <w:p w:rsidR="00C77C8A" w:rsidRDefault="00C77C8A" w:rsidP="00FB4BE0"/>
    <w:p w:rsidR="006423AA" w:rsidRDefault="00D42451" w:rsidP="00FB4BE0">
      <w:r>
        <w:t>Med lovforslaget</w:t>
      </w:r>
      <w:r w:rsidR="006423AA">
        <w:t xml:space="preserve"> </w:t>
      </w:r>
      <w:r w:rsidR="003C777A">
        <w:t xml:space="preserve">etableres </w:t>
      </w:r>
      <w:r>
        <w:t xml:space="preserve">der </w:t>
      </w:r>
      <w:r w:rsidR="006423AA">
        <w:t>samtidig hjemmel til</w:t>
      </w:r>
      <w:r w:rsidR="00CB3981">
        <w:t>,</w:t>
      </w:r>
      <w:r>
        <w:t xml:space="preserve"> at </w:t>
      </w:r>
      <w:r w:rsidR="00366B5B">
        <w:t>økonomi- og indenrigsminist</w:t>
      </w:r>
      <w:r w:rsidR="00366B5B">
        <w:t>e</w:t>
      </w:r>
      <w:r w:rsidR="00366B5B">
        <w:t xml:space="preserve">ren kan gøre </w:t>
      </w:r>
      <w:r w:rsidR="006423AA">
        <w:t xml:space="preserve">tilskuddet til kommuner </w:t>
      </w:r>
      <w:r w:rsidR="00CF3159">
        <w:t xml:space="preserve">med mindre øer </w:t>
      </w:r>
      <w:r w:rsidR="006423AA">
        <w:t>betinget af</w:t>
      </w:r>
      <w:r w:rsidR="00085ECD">
        <w:t xml:space="preserve">, at anvendelsen af en tidligere forhøjelse af det generelle tilskud, der ydes </w:t>
      </w:r>
      <w:r w:rsidR="00CF3159">
        <w:t>i medfør af § 20</w:t>
      </w:r>
      <w:r w:rsidR="00F04D86">
        <w:t>, stk. 1,</w:t>
      </w:r>
      <w:r w:rsidR="00CF3159">
        <w:t xml:space="preserve"> i lov om kommunal udligning og </w:t>
      </w:r>
      <w:r w:rsidR="004F16ED">
        <w:t xml:space="preserve">generelle </w:t>
      </w:r>
      <w:r w:rsidR="00CF3159">
        <w:t>tilskud</w:t>
      </w:r>
      <w:r w:rsidR="004F16ED">
        <w:t xml:space="preserve"> til kommuner</w:t>
      </w:r>
      <w:r w:rsidR="00085ECD">
        <w:t>, er anvendt i overensste</w:t>
      </w:r>
      <w:r w:rsidR="00085ECD">
        <w:t>m</w:t>
      </w:r>
      <w:r w:rsidR="00085ECD">
        <w:t>melse med intentionerne</w:t>
      </w:r>
      <w:r w:rsidR="00F04D86">
        <w:t xml:space="preserve"> bag</w:t>
      </w:r>
      <w:r>
        <w:t xml:space="preserve"> forhøjelsen.</w:t>
      </w:r>
      <w:r w:rsidR="00085ECD">
        <w:t xml:space="preserve">  </w:t>
      </w:r>
    </w:p>
    <w:p w:rsidR="006423AA" w:rsidRDefault="006423AA" w:rsidP="00FB4BE0"/>
    <w:p w:rsidR="00FB4BE0" w:rsidRDefault="006A38CB" w:rsidP="00FB4BE0">
      <w:r>
        <w:t xml:space="preserve">Tilskud til lavere takster for godstransport på de statslige færgeruter til Bornholm og Samsø ydes af transportministeren. </w:t>
      </w:r>
      <w:r w:rsidR="00B2628E">
        <w:t>Tilskud på st</w:t>
      </w:r>
      <w:r w:rsidR="00D94347">
        <w:t xml:space="preserve">atslige </w:t>
      </w:r>
      <w:r w:rsidR="00B2628E">
        <w:t>færge</w:t>
      </w:r>
      <w:r w:rsidR="00D94347">
        <w:t>ruter</w:t>
      </w:r>
      <w:r w:rsidR="00B2628E">
        <w:t xml:space="preserve"> vil blive reguleret</w:t>
      </w:r>
      <w:r w:rsidR="00D94347">
        <w:t xml:space="preserve"> </w:t>
      </w:r>
      <w:r w:rsidR="00B2628E">
        <w:t xml:space="preserve">gennem kontrakter </w:t>
      </w:r>
      <w:r w:rsidR="0050423B">
        <w:t>mellem Transportministeriet og</w:t>
      </w:r>
      <w:r w:rsidR="00B2628E">
        <w:t xml:space="preserve"> det færgeselskab, der besejler de pågældende ruter.</w:t>
      </w:r>
    </w:p>
    <w:p w:rsidR="00B61634" w:rsidRDefault="00B61634" w:rsidP="00FB4BE0"/>
    <w:p w:rsidR="00FB4BE0" w:rsidRPr="00E80E18" w:rsidRDefault="00FB4BE0" w:rsidP="00FB4BE0">
      <w:pPr>
        <w:rPr>
          <w:b/>
        </w:rPr>
      </w:pPr>
      <w:r w:rsidRPr="00E80E18">
        <w:rPr>
          <w:b/>
        </w:rPr>
        <w:t>2. Lovforslagets indhold</w:t>
      </w:r>
    </w:p>
    <w:p w:rsidR="006423AA" w:rsidRDefault="006423AA" w:rsidP="00FB4BE0">
      <w:r>
        <w:t>Vækstpakkens ramme til reduktion af færgetakster blev afsat til at understøtte e</w:t>
      </w:r>
      <w:r>
        <w:t>r</w:t>
      </w:r>
      <w:r>
        <w:t xml:space="preserve">hvervsudviklingen </w:t>
      </w:r>
      <w:r w:rsidR="006A3360">
        <w:t xml:space="preserve">i </w:t>
      </w:r>
      <w:r>
        <w:t xml:space="preserve">ø–samfundene og </w:t>
      </w:r>
      <w:r w:rsidR="001B28C2">
        <w:t>er</w:t>
      </w:r>
      <w:r>
        <w:t xml:space="preserve"> derfor målrettet </w:t>
      </w:r>
      <w:r w:rsidR="00066AC4">
        <w:t>gods</w:t>
      </w:r>
      <w:r>
        <w:t>transport.</w:t>
      </w:r>
    </w:p>
    <w:p w:rsidR="006423AA" w:rsidRDefault="006423AA" w:rsidP="00FB4BE0"/>
    <w:p w:rsidR="00511CF8" w:rsidRDefault="006423AA" w:rsidP="00FB4BE0">
      <w:r>
        <w:t xml:space="preserve">På enkelte af de ruter, der omfattes af vækstpakkeinitiativet, dækker billetprisen </w:t>
      </w:r>
      <w:r w:rsidR="00FD7083">
        <w:t xml:space="preserve">for godstransport </w:t>
      </w:r>
      <w:r>
        <w:t>både et beløb for selve færgeoverfarten til færgeoperatøren og en v</w:t>
      </w:r>
      <w:r>
        <w:t>a</w:t>
      </w:r>
      <w:r>
        <w:t xml:space="preserve">reafgift til </w:t>
      </w:r>
      <w:r w:rsidR="00FD7083">
        <w:t xml:space="preserve">den pågældende </w:t>
      </w:r>
      <w:r>
        <w:t>havn</w:t>
      </w:r>
      <w:r w:rsidR="00FD7083">
        <w:t xml:space="preserve"> for </w:t>
      </w:r>
      <w:r w:rsidR="00CF3159">
        <w:t>håndtering</w:t>
      </w:r>
      <w:r w:rsidR="006A3360">
        <w:t xml:space="preserve"> af godset</w:t>
      </w:r>
      <w:r>
        <w:t>.</w:t>
      </w:r>
      <w:r w:rsidR="00FD7083">
        <w:t xml:space="preserve"> Færgeselskaberne opkr</w:t>
      </w:r>
      <w:r w:rsidR="00FD7083">
        <w:t>æ</w:t>
      </w:r>
      <w:r w:rsidR="00FD7083">
        <w:t>ver vareafgiften sammen med billettaksterne og videreformidler vareafgiften til ha</w:t>
      </w:r>
      <w:r w:rsidR="00FD7083">
        <w:t>v</w:t>
      </w:r>
      <w:r w:rsidR="00FD7083">
        <w:t>nen.</w:t>
      </w:r>
      <w:r>
        <w:t xml:space="preserve"> </w:t>
      </w:r>
    </w:p>
    <w:p w:rsidR="006423AA" w:rsidRDefault="006423AA" w:rsidP="00FB4BE0"/>
    <w:p w:rsidR="00554099" w:rsidRDefault="002F312D" w:rsidP="00FB4BE0">
      <w:r>
        <w:t>Med henblik på en udmøntning af vækstinitiativet har Kammeradvokaten afgivet en udtalelse til Transportministeriet om statsstøtteretlige rammer for reduktion af færg</w:t>
      </w:r>
      <w:r>
        <w:t>e</w:t>
      </w:r>
      <w:r>
        <w:t>takster for godstransport.</w:t>
      </w:r>
      <w:r w:rsidR="00BD04CC">
        <w:t xml:space="preserve"> </w:t>
      </w:r>
    </w:p>
    <w:p w:rsidR="00564791" w:rsidRDefault="00564791" w:rsidP="00FB4BE0"/>
    <w:p w:rsidR="003934A6" w:rsidRDefault="00BD04CC" w:rsidP="00FB4BE0">
      <w:r>
        <w:t xml:space="preserve">Det fremgår af Kammeradvokatens udtalelse, at EU’s </w:t>
      </w:r>
      <w:r w:rsidR="00554099">
        <w:t>statsstøtteregler ikke sætter præcise grænser for statens mulighed for at reducere færgetakster for godstransport til og fra øer. En såda</w:t>
      </w:r>
      <w:r w:rsidR="00564791">
        <w:t>n reduktion vil som udg</w:t>
      </w:r>
      <w:r w:rsidR="00554099">
        <w:t>a</w:t>
      </w:r>
      <w:r w:rsidR="00564791">
        <w:t>n</w:t>
      </w:r>
      <w:r w:rsidR="00554099">
        <w:t>gspunkt være omfattet af public se</w:t>
      </w:r>
      <w:r w:rsidR="00554099">
        <w:t>r</w:t>
      </w:r>
      <w:r w:rsidR="00554099">
        <w:t>vice-statsstøttereglerne, s</w:t>
      </w:r>
      <w:r w:rsidR="00564791">
        <w:t xml:space="preserve">om generelt giver medlemsstaterne et meget vidt skøn til at fastsætte det public </w:t>
      </w:r>
      <w:proofErr w:type="spellStart"/>
      <w:r w:rsidR="00564791">
        <w:t>service</w:t>
      </w:r>
      <w:r w:rsidR="005E0834">
        <w:t>-</w:t>
      </w:r>
      <w:r w:rsidR="00564791">
        <w:t>niveau</w:t>
      </w:r>
      <w:proofErr w:type="spellEnd"/>
      <w:r w:rsidR="00564791">
        <w:t>, de anser for passende, og at yde kompensation herfor. Det er imidlertid afgørende, at ordningen kan begrundes i overordnede sa</w:t>
      </w:r>
      <w:r w:rsidR="00564791">
        <w:t>m</w:t>
      </w:r>
      <w:r w:rsidR="00564791">
        <w:t>fundsmæssige hensyn, og at der ikke reelt er tale om at yde støtte til bestemte vir</w:t>
      </w:r>
      <w:r w:rsidR="00564791">
        <w:t>k</w:t>
      </w:r>
      <w:r w:rsidR="00564791">
        <w:t>somheder eller sektorer.</w:t>
      </w:r>
    </w:p>
    <w:p w:rsidR="00715307" w:rsidRDefault="00715307" w:rsidP="00FB4BE0"/>
    <w:p w:rsidR="00715307" w:rsidRDefault="00715307" w:rsidP="00FB4BE0">
      <w:r>
        <w:t>Det er Kammeradvokatens vurdering, at det principielt vil være muligt at kompensere færgerne for en ganske betydelig reduktion af taksterne, men at en ordning, der helt fjerner taksterne, eller som fører til blot en symbolsk betaling for færgetransport, vil kunne ændre ordningens karakter, således at der ikke længere (kun) er tale om en samfundsmæssigt begrundet public service, men (også) regional erhvervsstøtte til virksomheder beliggende på øerne og eventuelt til godstransportørerne.</w:t>
      </w:r>
    </w:p>
    <w:p w:rsidR="002F312D" w:rsidRDefault="002F312D" w:rsidP="00FB4BE0"/>
    <w:p w:rsidR="00686A5C" w:rsidRDefault="002F312D" w:rsidP="00FB4BE0">
      <w:r w:rsidRPr="002F312D">
        <w:t>Ifølge Kammeradvokaten forekommer det rimeligt at antage, at en ordning, der ind</w:t>
      </w:r>
      <w:r w:rsidRPr="002F312D">
        <w:t>e</w:t>
      </w:r>
      <w:r w:rsidRPr="002F312D">
        <w:t>bærer en reduktion på 80 pct. på taksterne for al godstransport</w:t>
      </w:r>
      <w:r w:rsidR="00BD04CC">
        <w:t xml:space="preserve"> til og fra ikke-brofaste øer</w:t>
      </w:r>
      <w:r w:rsidRPr="002F312D">
        <w:t xml:space="preserve">, kan </w:t>
      </w:r>
      <w:r w:rsidR="00BD04CC">
        <w:t xml:space="preserve">være </w:t>
      </w:r>
      <w:r w:rsidRPr="002F312D">
        <w:t>begrunde</w:t>
      </w:r>
      <w:r w:rsidR="00BD04CC">
        <w:t>t</w:t>
      </w:r>
      <w:r w:rsidRPr="002F312D">
        <w:t xml:space="preserve"> i almene hensyn om territorial kontinuitet og samhørighed, og dermed er inden for rammerne af </w:t>
      </w:r>
      <w:r w:rsidR="00BD04CC">
        <w:t>medlemsstaternes</w:t>
      </w:r>
      <w:r w:rsidRPr="002F312D">
        <w:t xml:space="preserve"> skøn.</w:t>
      </w:r>
      <w:r w:rsidR="00945998">
        <w:t xml:space="preserve"> </w:t>
      </w:r>
    </w:p>
    <w:p w:rsidR="00686A5C" w:rsidRDefault="00686A5C" w:rsidP="00FB4BE0"/>
    <w:p w:rsidR="00AF357E" w:rsidRDefault="00D143DC" w:rsidP="00AF357E">
      <w:r>
        <w:t xml:space="preserve">På den baggrund </w:t>
      </w:r>
      <w:r w:rsidR="00945998">
        <w:t xml:space="preserve">foreslås </w:t>
      </w:r>
      <w:r>
        <w:t>en</w:t>
      </w:r>
      <w:r w:rsidR="00686A5C">
        <w:t xml:space="preserve"> generel og ensartet</w:t>
      </w:r>
      <w:r>
        <w:t xml:space="preserve"> model, hvor der ydes tilskud til at nedsætte færgetaksterne for godstransport med </w:t>
      </w:r>
      <w:r w:rsidR="006D15AE">
        <w:t>maksimalt</w:t>
      </w:r>
      <w:r>
        <w:t xml:space="preserve"> 80 pct.</w:t>
      </w:r>
      <w:r w:rsidR="00AF357E" w:rsidRPr="00AF357E">
        <w:t xml:space="preserve"> </w:t>
      </w:r>
      <w:r w:rsidR="00AF357E">
        <w:t>Nedsættelsen af færgetakster</w:t>
      </w:r>
      <w:r w:rsidR="00DF7EFD">
        <w:t>ne</w:t>
      </w:r>
      <w:r w:rsidR="00AF357E">
        <w:t xml:space="preserve"> for godstransport vil ske med udgangspunkt i billetstrukturen for den enkelte færgerute.</w:t>
      </w:r>
    </w:p>
    <w:p w:rsidR="00661D2B" w:rsidRDefault="00661D2B" w:rsidP="00FB4BE0"/>
    <w:p w:rsidR="009503A4" w:rsidRDefault="00661D2B" w:rsidP="00FB4BE0">
      <w:r>
        <w:t>Med den foreslåede ordning opnås en god og holdbar ordning, der vil betyde markant lavere transportomkostninger for virksomhederne og dermed forbedrede muligheder for lokalsamfundene.</w:t>
      </w:r>
      <w:r w:rsidR="00010108">
        <w:t xml:space="preserve"> Der </w:t>
      </w:r>
      <w:r w:rsidR="00996534">
        <w:t xml:space="preserve">er </w:t>
      </w:r>
      <w:r w:rsidR="00010108">
        <w:t>samtidigt lagt vægt på at udforme en ordning, der er e</w:t>
      </w:r>
      <w:r w:rsidR="00010108">
        <w:t>n</w:t>
      </w:r>
      <w:r w:rsidR="00010108">
        <w:t>kel og let administrerbar.</w:t>
      </w:r>
    </w:p>
    <w:p w:rsidR="006D3A64" w:rsidRDefault="006D3A64" w:rsidP="00FB4BE0"/>
    <w:p w:rsidR="00ED007D" w:rsidRDefault="006D3A64" w:rsidP="00705BC7">
      <w:r>
        <w:t xml:space="preserve">Der er afsat 50 mio. kr. i 2015 og 125 mio. kr. årligt </w:t>
      </w:r>
      <w:r w:rsidR="007057F8">
        <w:t>fra</w:t>
      </w:r>
      <w:r>
        <w:t xml:space="preserve"> 2016 og frem</w:t>
      </w:r>
      <w:r w:rsidR="00705BC7">
        <w:t xml:space="preserve"> til udmøntning af vækstinitiativet om </w:t>
      </w:r>
      <w:r w:rsidR="004D4714">
        <w:t>nedsættelse</w:t>
      </w:r>
      <w:r w:rsidR="00705BC7">
        <w:t xml:space="preserve"> af færgetakster</w:t>
      </w:r>
      <w:r>
        <w:t xml:space="preserve">. </w:t>
      </w:r>
    </w:p>
    <w:p w:rsidR="00ED007D" w:rsidRDefault="00ED007D" w:rsidP="00705BC7"/>
    <w:p w:rsidR="00943157" w:rsidRDefault="00097635" w:rsidP="00FB4BE0">
      <w:r>
        <w:t xml:space="preserve">Med henblik på at beregne </w:t>
      </w:r>
      <w:r w:rsidR="006B2DAF">
        <w:t xml:space="preserve">et </w:t>
      </w:r>
      <w:r w:rsidR="006D7455">
        <w:t>mere præcist skøn</w:t>
      </w:r>
      <w:r w:rsidR="006B2DAF">
        <w:t xml:space="preserve"> </w:t>
      </w:r>
      <w:r w:rsidR="00641B0A">
        <w:t>over</w:t>
      </w:r>
      <w:r w:rsidR="006B2DAF">
        <w:t xml:space="preserve"> </w:t>
      </w:r>
      <w:r>
        <w:t>finansieringsbehov</w:t>
      </w:r>
      <w:r w:rsidR="006D7455">
        <w:t>et</w:t>
      </w:r>
      <w:r>
        <w:t xml:space="preserve"> ved u</w:t>
      </w:r>
      <w:r>
        <w:t>d</w:t>
      </w:r>
      <w:r>
        <w:t>møntning af ordningen er der</w:t>
      </w:r>
      <w:r w:rsidR="006B2DAF">
        <w:t xml:space="preserve"> </w:t>
      </w:r>
      <w:r>
        <w:t xml:space="preserve">indhentet oplysninger </w:t>
      </w:r>
      <w:r w:rsidR="006B2DAF">
        <w:t>om godsomsætningen på</w:t>
      </w:r>
      <w:r>
        <w:t xml:space="preserve"> de b</w:t>
      </w:r>
      <w:r>
        <w:t>e</w:t>
      </w:r>
      <w:r>
        <w:t>rørte ruter. Finansieringsbehovet</w:t>
      </w:r>
      <w:r w:rsidR="00F908E5">
        <w:t xml:space="preserve"> </w:t>
      </w:r>
      <w:r w:rsidR="007878CC">
        <w:t xml:space="preserve">er </w:t>
      </w:r>
      <w:r w:rsidR="00F908E5">
        <w:t>beregne</w:t>
      </w:r>
      <w:r w:rsidR="007878CC">
        <w:t>t</w:t>
      </w:r>
      <w:r w:rsidR="00F908E5">
        <w:t xml:space="preserve"> som 80 pct. af den samlede godso</w:t>
      </w:r>
      <w:r w:rsidR="00F908E5">
        <w:t>m</w:t>
      </w:r>
      <w:r w:rsidR="00F908E5">
        <w:t xml:space="preserve">sætning </w:t>
      </w:r>
      <w:r w:rsidR="00AE567C">
        <w:t xml:space="preserve">beregnet som </w:t>
      </w:r>
      <w:r w:rsidR="00F908E5">
        <w:t xml:space="preserve">billetindtægter ved fragt af gods ekskl. vareafgifter </w:t>
      </w:r>
      <w:r w:rsidR="007878CC">
        <w:t>for de rel</w:t>
      </w:r>
      <w:r w:rsidR="007878CC">
        <w:t>e</w:t>
      </w:r>
      <w:r w:rsidR="007878CC">
        <w:t>vante færger i 2013 opreguleret til pl15-niveau samt et beløb til takstnedsættelse for små varevogne</w:t>
      </w:r>
      <w:r w:rsidR="00B73763">
        <w:t xml:space="preserve">. </w:t>
      </w:r>
    </w:p>
    <w:p w:rsidR="00943157" w:rsidRDefault="00943157" w:rsidP="00FB4BE0"/>
    <w:p w:rsidR="00486E65" w:rsidRDefault="00486E65" w:rsidP="00FB4BE0">
      <w:r>
        <w:t>Små varevogne under 3.500 kg registreres ikke i dag som godstransport, men de</w:t>
      </w:r>
      <w:r>
        <w:t>r</w:t>
      </w:r>
      <w:r>
        <w:t>imod som personbiler. Særligt i forhold til de mindre øer vurderes det, at der sker en del godstransport i mindre kassevogne og lignende. Det vurderes derfor at være ve</w:t>
      </w:r>
      <w:r>
        <w:t>l</w:t>
      </w:r>
      <w:r>
        <w:t xml:space="preserve">begrundet, at </w:t>
      </w:r>
      <w:r w:rsidR="00943157">
        <w:t>ordningen</w:t>
      </w:r>
      <w:r>
        <w:t xml:space="preserve"> også omfatter </w:t>
      </w:r>
      <w:r w:rsidR="00AE567C">
        <w:t>varevogne, der er indregistreret udelukkende til erhvervskørsel</w:t>
      </w:r>
      <w:r>
        <w:t>.</w:t>
      </w:r>
    </w:p>
    <w:p w:rsidR="00840EDF" w:rsidRDefault="00840EDF" w:rsidP="00FB4BE0"/>
    <w:p w:rsidR="005930E4" w:rsidRDefault="006B2DAF" w:rsidP="005930E4">
      <w:r>
        <w:t xml:space="preserve">Beregningerne </w:t>
      </w:r>
      <w:r w:rsidR="00C827F7">
        <w:t xml:space="preserve">på grundlag af 2013-tal </w:t>
      </w:r>
      <w:r>
        <w:t xml:space="preserve">viser, at </w:t>
      </w:r>
      <w:r w:rsidR="00E4165E">
        <w:t xml:space="preserve">finansieringsbehovet i forhold til </w:t>
      </w:r>
      <w:r w:rsidR="00C827F7">
        <w:t>en nedsættelse</w:t>
      </w:r>
      <w:r w:rsidR="006D7455">
        <w:t xml:space="preserve"> på 80 pct. af færgetaksterne for godstransport</w:t>
      </w:r>
      <w:r>
        <w:t xml:space="preserve"> samlet </w:t>
      </w:r>
      <w:r w:rsidR="006D7455">
        <w:t>set beløbe</w:t>
      </w:r>
      <w:r w:rsidR="00B86438">
        <w:t>r</w:t>
      </w:r>
      <w:r w:rsidR="006D7455">
        <w:t xml:space="preserve"> sig til</w:t>
      </w:r>
      <w:r w:rsidR="00B86438">
        <w:t xml:space="preserve"> ca.</w:t>
      </w:r>
      <w:r w:rsidR="006D7455">
        <w:t xml:space="preserve"> </w:t>
      </w:r>
      <w:r w:rsidR="002839C5">
        <w:t>77</w:t>
      </w:r>
      <w:r w:rsidR="00E4165E">
        <w:t xml:space="preserve"> mio. kr.</w:t>
      </w:r>
      <w:r w:rsidR="008C61F5">
        <w:t xml:space="preserve"> </w:t>
      </w:r>
      <w:r w:rsidR="005930E4">
        <w:t xml:space="preserve">årligt. Med en ikrafttræden </w:t>
      </w:r>
      <w:r w:rsidR="004C3EBE">
        <w:t xml:space="preserve">den </w:t>
      </w:r>
      <w:r w:rsidR="005930E4">
        <w:t xml:space="preserve">1. juni 2015 vil finansieringsbehovet i 2015 samlet set være </w:t>
      </w:r>
      <w:r w:rsidR="002839C5">
        <w:t xml:space="preserve">ca. </w:t>
      </w:r>
      <w:r w:rsidR="00AF357E">
        <w:t>4</w:t>
      </w:r>
      <w:r w:rsidR="002839C5">
        <w:t>5</w:t>
      </w:r>
      <w:r w:rsidR="005930E4">
        <w:t xml:space="preserve"> mio. kr.</w:t>
      </w:r>
    </w:p>
    <w:p w:rsidR="005930E4" w:rsidRDefault="005930E4" w:rsidP="00840EDF"/>
    <w:p w:rsidR="005930E4" w:rsidRDefault="005930E4" w:rsidP="00840EDF">
      <w:r>
        <w:lastRenderedPageBreak/>
        <w:t>D</w:t>
      </w:r>
      <w:r w:rsidR="008C61F5">
        <w:t xml:space="preserve">e statslige ruter til Bornholm og Samsø </w:t>
      </w:r>
      <w:r>
        <w:t xml:space="preserve">tegner </w:t>
      </w:r>
      <w:r w:rsidR="008C61F5">
        <w:t xml:space="preserve">sig for et samlet beløb på </w:t>
      </w:r>
      <w:r w:rsidR="002839C5">
        <w:t xml:space="preserve">ca. </w:t>
      </w:r>
      <w:r w:rsidR="008C61F5">
        <w:t>2</w:t>
      </w:r>
      <w:r w:rsidR="002839C5">
        <w:t>5</w:t>
      </w:r>
      <w:r w:rsidR="008C61F5">
        <w:t xml:space="preserve"> mio. kr</w:t>
      </w:r>
      <w:r w:rsidR="002839C5">
        <w:t>.</w:t>
      </w:r>
      <w:r w:rsidR="008C61F5">
        <w:t xml:space="preserve"> i 2015 og </w:t>
      </w:r>
      <w:r w:rsidR="002839C5">
        <w:t xml:space="preserve">ca. </w:t>
      </w:r>
      <w:r w:rsidR="008C61F5">
        <w:t xml:space="preserve">42 mio. kr. </w:t>
      </w:r>
      <w:r>
        <w:t xml:space="preserve">årligt </w:t>
      </w:r>
      <w:r w:rsidR="004947AF">
        <w:t>fra 2016</w:t>
      </w:r>
      <w:r w:rsidR="008C61F5">
        <w:t xml:space="preserve"> og </w:t>
      </w:r>
      <w:r w:rsidR="00D75F8B">
        <w:t>frem</w:t>
      </w:r>
      <w:r w:rsidR="008C61F5">
        <w:t>.</w:t>
      </w:r>
      <w:r w:rsidR="00A64065" w:rsidRPr="00A64065">
        <w:t xml:space="preserve"> </w:t>
      </w:r>
    </w:p>
    <w:p w:rsidR="005930E4" w:rsidRDefault="005930E4" w:rsidP="00840EDF"/>
    <w:p w:rsidR="008C61F5" w:rsidRDefault="008C61F5" w:rsidP="00840EDF">
      <w:r>
        <w:t xml:space="preserve">På den baggrund er det </w:t>
      </w:r>
      <w:r w:rsidR="000E3970">
        <w:t>med</w:t>
      </w:r>
      <w:r>
        <w:t xml:space="preserve"> lovforslaget foreslået, at der til de berørte kommuner i 2015 ydes et tilskud på 2</w:t>
      </w:r>
      <w:r w:rsidR="002839C5">
        <w:t>0</w:t>
      </w:r>
      <w:r>
        <w:t xml:space="preserve"> mio. kr. og fra og med 2016 et tilskud på 3</w:t>
      </w:r>
      <w:r w:rsidR="002839C5">
        <w:t>5</w:t>
      </w:r>
      <w:r>
        <w:t xml:space="preserve"> mio. kr.</w:t>
      </w:r>
      <w:r w:rsidR="005930E4">
        <w:t xml:space="preserve"> årligt.</w:t>
      </w:r>
    </w:p>
    <w:p w:rsidR="008C61F5" w:rsidRDefault="008C61F5" w:rsidP="00840EDF"/>
    <w:p w:rsidR="00A0487D" w:rsidRDefault="00943157" w:rsidP="00FB4BE0">
      <w:r>
        <w:t xml:space="preserve">Der kan herved ydes et tilskud, som kan finansiere en takstnedsættelse </w:t>
      </w:r>
      <w:r w:rsidR="00E234AA">
        <w:t>for god</w:t>
      </w:r>
      <w:r w:rsidR="00E234AA">
        <w:t>s</w:t>
      </w:r>
      <w:r w:rsidR="00E234AA">
        <w:t xml:space="preserve">transport </w:t>
      </w:r>
      <w:r>
        <w:t>på 80 pct.</w:t>
      </w:r>
      <w:r w:rsidR="008C3BA7">
        <w:t xml:space="preserve"> </w:t>
      </w:r>
    </w:p>
    <w:p w:rsidR="00AF357E" w:rsidRDefault="00AF357E" w:rsidP="00FB4BE0"/>
    <w:p w:rsidR="00A0487D" w:rsidRDefault="00312CA6" w:rsidP="00FB4BE0">
      <w:r>
        <w:t>F</w:t>
      </w:r>
      <w:r w:rsidR="00A0487D">
        <w:t>ordelingen af tilskuddet mellem kommunerne beregnes</w:t>
      </w:r>
      <w:r>
        <w:t xml:space="preserve"> ud fra den forholdsmæssige fordeling af godsomsætningen baseret på et gennemsnit over tre år fra 2011 </w:t>
      </w:r>
      <w:r w:rsidR="00AC2A71">
        <w:t>til</w:t>
      </w:r>
      <w:r>
        <w:t xml:space="preserve"> </w:t>
      </w:r>
      <w:r w:rsidR="00ED765A">
        <w:t>20</w:t>
      </w:r>
      <w:r>
        <w:t>13</w:t>
      </w:r>
      <w:r w:rsidR="00B86438">
        <w:t>.</w:t>
      </w:r>
      <w:r w:rsidR="00B41DFA">
        <w:t xml:space="preserve"> </w:t>
      </w:r>
      <w:r>
        <w:t>Det er hensigten at foretage en evaluering af fordelingsnøglen efter 5 år for at vurdere, hvorvidt der er sket en udvikling på godsområdet, herunder forskydninger mellem kommunerne</w:t>
      </w:r>
      <w:r w:rsidR="00ED765A">
        <w:t>, som giver anledning til at revidere fordelingsnøglen</w:t>
      </w:r>
      <w:r>
        <w:t>.</w:t>
      </w:r>
      <w:r w:rsidR="00C827F7">
        <w:t xml:space="preserve"> Tilskuddet ligger således fast for den enkelte kommune i 5 år.</w:t>
      </w:r>
    </w:p>
    <w:p w:rsidR="00E030EF" w:rsidRDefault="00E030EF" w:rsidP="00FB4BE0"/>
    <w:p w:rsidR="00E030EF" w:rsidRDefault="00E030EF" w:rsidP="00FB4BE0">
      <w:r>
        <w:t>For de statslige færgeruter ligger tilskuddet</w:t>
      </w:r>
      <w:r w:rsidR="004A58CB">
        <w:t xml:space="preserve"> ligeledes</w:t>
      </w:r>
      <w:r>
        <w:t xml:space="preserve"> fast fra år til år som følge af, at færgebetjeningen af disse ruter håndteres ved </w:t>
      </w:r>
      <w:r w:rsidR="00D75F8B">
        <w:t xml:space="preserve">længerevarende </w:t>
      </w:r>
      <w:r>
        <w:t>kontrakter</w:t>
      </w:r>
      <w:r w:rsidR="00D75F8B">
        <w:t xml:space="preserve"> (typisk mellem 6 og 10 år)</w:t>
      </w:r>
      <w:r>
        <w:t>.</w:t>
      </w:r>
    </w:p>
    <w:p w:rsidR="00E23D18" w:rsidRDefault="00E23D18" w:rsidP="00FB4BE0"/>
    <w:p w:rsidR="00471DDF" w:rsidRDefault="00D47D65" w:rsidP="00FB4BE0">
      <w:r>
        <w:t>Hvis der er tale om en privat færgerute til en af de omfattede øer, vil tilskud til nedsæ</w:t>
      </w:r>
      <w:r>
        <w:t>t</w:t>
      </w:r>
      <w:r>
        <w:t>telse af færgetakster for godstransport blive formidlet gennem den pågældende ko</w:t>
      </w:r>
      <w:r>
        <w:t>m</w:t>
      </w:r>
      <w:r>
        <w:t xml:space="preserve">mune. </w:t>
      </w:r>
      <w:r w:rsidR="004F5D20">
        <w:t>Det er en forudsætning for kommuners anvendelse af tilskud til private færger</w:t>
      </w:r>
      <w:r w:rsidR="004F5D20">
        <w:t>u</w:t>
      </w:r>
      <w:r w:rsidR="004F5D20">
        <w:t xml:space="preserve">ter, at kontrakt om ydelse af tilskuddet finder sted i overensstemmelse med lov om færgefart og statsstøtteregler. </w:t>
      </w:r>
      <w:r>
        <w:t>Det forudsættes</w:t>
      </w:r>
      <w:r w:rsidR="004F5D20">
        <w:t xml:space="preserve"> således</w:t>
      </w:r>
      <w:r>
        <w:t>, at kommunen yder tilskuddet på en gennemsigtig og ikke-diskriminerende måde</w:t>
      </w:r>
      <w:r w:rsidR="00CF6462">
        <w:t xml:space="preserve">, og at </w:t>
      </w:r>
      <w:r w:rsidR="00C827F7">
        <w:t>nedsættelsen for de enkelte typer</w:t>
      </w:r>
      <w:r w:rsidR="00CF6462">
        <w:t xml:space="preserve"> af færgetakster for gods maksimalt kan udgøre 80 pct.</w:t>
      </w:r>
      <w:r>
        <w:t xml:space="preserve"> </w:t>
      </w:r>
      <w:r w:rsidR="004927A8">
        <w:t>Der er i øjeblikket kun rute</w:t>
      </w:r>
      <w:r w:rsidR="00CF3159">
        <w:t>r</w:t>
      </w:r>
      <w:r w:rsidR="004927A8">
        <w:t>n</w:t>
      </w:r>
      <w:r w:rsidR="00CF3159">
        <w:t>e</w:t>
      </w:r>
      <w:r w:rsidR="004927A8">
        <w:t xml:space="preserve"> mellem Fanø og Esbjerg</w:t>
      </w:r>
      <w:r w:rsidR="008A37A7">
        <w:t xml:space="preserve"> samt Orø og Hammer Bakke (Frederikssund Ko</w:t>
      </w:r>
      <w:r w:rsidR="008A37A7">
        <w:t>m</w:t>
      </w:r>
      <w:r w:rsidR="008A37A7">
        <w:t>mune)</w:t>
      </w:r>
      <w:r w:rsidR="004927A8">
        <w:t>, som er privat drevet.</w:t>
      </w:r>
    </w:p>
    <w:p w:rsidR="00E030EF" w:rsidRDefault="00E030EF" w:rsidP="00FB4BE0"/>
    <w:p w:rsidR="00E030EF" w:rsidRDefault="00254302" w:rsidP="00E030EF">
      <w:r>
        <w:t>Tilskuddet</w:t>
      </w:r>
      <w:r w:rsidR="00E030EF">
        <w:t xml:space="preserve"> til kommunerne </w:t>
      </w:r>
      <w:r>
        <w:t xml:space="preserve">til reduktion af færgetakster for godstransport </w:t>
      </w:r>
      <w:r w:rsidR="00E030EF">
        <w:t>vil ikke kunne anvendes til andre formål. Beløbet pl-reguleres årligt</w:t>
      </w:r>
      <w:r w:rsidR="000120E9">
        <w:t xml:space="preserve"> fra 2016</w:t>
      </w:r>
      <w:r w:rsidR="00AB7229">
        <w:t xml:space="preserve"> og frem</w:t>
      </w:r>
      <w:r w:rsidR="00E030EF">
        <w:t xml:space="preserve">. </w:t>
      </w:r>
      <w:r w:rsidR="004210F0">
        <w:t>Det forudsæ</w:t>
      </w:r>
      <w:r w:rsidR="004210F0">
        <w:t>t</w:t>
      </w:r>
      <w:r w:rsidR="004210F0">
        <w:t xml:space="preserve">tes, at kommunen anvender eventuelle </w:t>
      </w:r>
      <w:r w:rsidR="00C827F7">
        <w:t>overskydende midler til færge</w:t>
      </w:r>
      <w:r w:rsidR="004210F0">
        <w:t>området</w:t>
      </w:r>
      <w:r w:rsidR="00C827F7">
        <w:t xml:space="preserve"> i øvrigt.</w:t>
      </w:r>
    </w:p>
    <w:p w:rsidR="007D00D8" w:rsidRDefault="007D00D8" w:rsidP="00FB4BE0"/>
    <w:p w:rsidR="004345B2" w:rsidRDefault="00D61FC8" w:rsidP="00FB4BE0">
      <w:r>
        <w:t xml:space="preserve">Økonomi- og indenrigsministeren yder i dag et generelt tilskud til kommuner med </w:t>
      </w:r>
      <w:r w:rsidR="001C44D1">
        <w:t>mi</w:t>
      </w:r>
      <w:r w:rsidR="001C44D1">
        <w:t>n</w:t>
      </w:r>
      <w:r w:rsidR="001C44D1">
        <w:t>dre</w:t>
      </w:r>
      <w:r>
        <w:t xml:space="preserve"> øer</w:t>
      </w:r>
      <w:r w:rsidR="004F16ED">
        <w:t xml:space="preserve"> i medfør af § 20 i lov om kommunal udligning og generelle tilskud til komm</w:t>
      </w:r>
      <w:r w:rsidR="004F16ED">
        <w:t>u</w:t>
      </w:r>
      <w:r w:rsidR="004F16ED">
        <w:t>ner</w:t>
      </w:r>
      <w:r w:rsidR="00A33736">
        <w:t>. Tilskuddet er fra 2014 forhøjet med 15 mio. kr. som led i aftale mellem regeringen og EL om en justering af udligningsordningen</w:t>
      </w:r>
      <w:r w:rsidR="001C44D1">
        <w:t>. 2 mio. kr. af den forhøjede pulje anve</w:t>
      </w:r>
      <w:r w:rsidR="001C44D1">
        <w:t>n</w:t>
      </w:r>
      <w:r w:rsidR="001C44D1">
        <w:t>des til et fælles færgesekretariat. Formålet med de resteren</w:t>
      </w:r>
      <w:r w:rsidR="00224B04">
        <w:t>de</w:t>
      </w:r>
      <w:r w:rsidR="001C44D1">
        <w:t xml:space="preserve"> 13 mio. kr. var at skabe mulighed for finansiering af </w:t>
      </w:r>
      <w:r w:rsidR="00B0189F">
        <w:t xml:space="preserve">f.eks. </w:t>
      </w:r>
      <w:r w:rsidR="001C44D1">
        <w:t>nedsættelse af fragttakster, lavere takster i den t</w:t>
      </w:r>
      <w:r w:rsidR="001C44D1">
        <w:t>u</w:t>
      </w:r>
      <w:r w:rsidR="001C44D1">
        <w:t>ristmæssige ydersæson mv</w:t>
      </w:r>
      <w:r w:rsidR="00B0189F">
        <w:t xml:space="preserve">, jf. lovbemærkningerne til L </w:t>
      </w:r>
      <w:r w:rsidR="004F4E9A">
        <w:t>582 af 18. juni 2012 om æ</w:t>
      </w:r>
      <w:r w:rsidR="004F4E9A">
        <w:t>n</w:t>
      </w:r>
      <w:r w:rsidR="004F4E9A">
        <w:t>dring af lov om kommunal udligning og generelle tilskud til kommuner (Justeringer af udligningssystemet)</w:t>
      </w:r>
      <w:r w:rsidR="001C44D1">
        <w:t xml:space="preserve">. En </w:t>
      </w:r>
      <w:r w:rsidR="006F768A">
        <w:t>rundspørge i juni</w:t>
      </w:r>
      <w:r w:rsidR="00B0189F">
        <w:t xml:space="preserve"> 2014</w:t>
      </w:r>
      <w:r w:rsidR="001C44D1">
        <w:t xml:space="preserve"> vist</w:t>
      </w:r>
      <w:r w:rsidR="00B0189F">
        <w:t>e</w:t>
      </w:r>
      <w:r w:rsidR="001C44D1">
        <w:t xml:space="preserve">, at </w:t>
      </w:r>
      <w:r w:rsidR="00B0189F">
        <w:t xml:space="preserve">der var en betydelig uklarhed om </w:t>
      </w:r>
      <w:r w:rsidR="001C44D1">
        <w:t>kommunerne</w:t>
      </w:r>
      <w:r w:rsidR="00B0189F">
        <w:t>s</w:t>
      </w:r>
      <w:r w:rsidR="001C44D1">
        <w:t xml:space="preserve"> anvend</w:t>
      </w:r>
      <w:r w:rsidR="00B0189F">
        <w:t>else af det forhøjede tilskud</w:t>
      </w:r>
      <w:r w:rsidR="001C44D1">
        <w:t>.</w:t>
      </w:r>
    </w:p>
    <w:p w:rsidR="001C44D1" w:rsidRDefault="001C44D1" w:rsidP="00FB4BE0"/>
    <w:p w:rsidR="00ED765A" w:rsidRDefault="001C44D1" w:rsidP="00FB4BE0">
      <w:r>
        <w:t xml:space="preserve">Med lovforslaget etableres derfor hjemmel til, at økonomi- og indenrigsministeren kan gøre udbetalingen af tilskud til </w:t>
      </w:r>
      <w:r w:rsidR="00C827F7">
        <w:t>nedsættelse</w:t>
      </w:r>
      <w:r>
        <w:t xml:space="preserve"> af færgetakster til kommuner med mindre øer betinget af, at kommunalbestyrelsen udarbejder en tilfredsstillende redegørelse</w:t>
      </w:r>
      <w:r w:rsidR="00224B04">
        <w:t xml:space="preserve"> for, at kommunens del af det forhøjede tilskud er anvendt i overensstemmelse med formålet bag forhøjelsen af det generelle tilskud.</w:t>
      </w:r>
    </w:p>
    <w:p w:rsidR="00E23D18" w:rsidRDefault="00E23D18" w:rsidP="00FB4BE0"/>
    <w:p w:rsidR="00CB3981" w:rsidRDefault="00E23D18" w:rsidP="00FB4BE0">
      <w:r>
        <w:t>Det foreslås, at lovforslaget træder i kraft med virkning fra den 1. juni 2015. Det ind</w:t>
      </w:r>
      <w:r>
        <w:t>e</w:t>
      </w:r>
      <w:r>
        <w:t xml:space="preserve">bærer, at </w:t>
      </w:r>
      <w:r w:rsidR="00205472">
        <w:t xml:space="preserve">der i 2015 anvendes </w:t>
      </w:r>
      <w:r w:rsidR="005930E4">
        <w:t>4</w:t>
      </w:r>
      <w:r w:rsidR="002839C5">
        <w:t>5</w:t>
      </w:r>
      <w:r>
        <w:t xml:space="preserve"> mio. kr. </w:t>
      </w:r>
      <w:r w:rsidR="00205472">
        <w:t xml:space="preserve">til </w:t>
      </w:r>
      <w:r w:rsidR="00C827F7">
        <w:t>nedsættelse</w:t>
      </w:r>
      <w:r w:rsidR="00205472">
        <w:t xml:space="preserve"> af færgetakster for god</w:t>
      </w:r>
      <w:r w:rsidR="00205472">
        <w:t>s</w:t>
      </w:r>
      <w:r w:rsidR="00205472">
        <w:t>transport</w:t>
      </w:r>
      <w:r>
        <w:t>.</w:t>
      </w:r>
      <w:r w:rsidR="00EB0DC4">
        <w:t xml:space="preserve"> </w:t>
      </w:r>
    </w:p>
    <w:p w:rsidR="002839C5" w:rsidRDefault="002839C5" w:rsidP="00FB4BE0"/>
    <w:p w:rsidR="002839C5" w:rsidRDefault="002839C5" w:rsidP="00FB4BE0"/>
    <w:p w:rsidR="009E7BA3" w:rsidRDefault="009E7BA3" w:rsidP="00FB4BE0">
      <w:pPr>
        <w:rPr>
          <w:b/>
        </w:rPr>
      </w:pPr>
    </w:p>
    <w:p w:rsidR="009E7BA3" w:rsidRDefault="009E7BA3" w:rsidP="00FB4BE0">
      <w:pPr>
        <w:rPr>
          <w:b/>
        </w:rPr>
      </w:pPr>
    </w:p>
    <w:p w:rsidR="00FB4BE0" w:rsidRPr="00E80E18" w:rsidRDefault="00FB4BE0" w:rsidP="00FB4BE0">
      <w:pPr>
        <w:rPr>
          <w:b/>
        </w:rPr>
      </w:pPr>
      <w:r w:rsidRPr="00E80E18">
        <w:rPr>
          <w:b/>
        </w:rPr>
        <w:lastRenderedPageBreak/>
        <w:t>3. Økonomiske og administrative konsekvenser for det offentlige</w:t>
      </w:r>
    </w:p>
    <w:p w:rsidR="00FB4BE0" w:rsidRDefault="005964CC" w:rsidP="00FB4BE0">
      <w:r>
        <w:t>Lovforslaget indebærer udgifter for staten på 2</w:t>
      </w:r>
      <w:r w:rsidR="002839C5">
        <w:t>0</w:t>
      </w:r>
      <w:r>
        <w:t xml:space="preserve"> mio. kr. i tilskud til de omfattede kommuner i 2015 og 3</w:t>
      </w:r>
      <w:r w:rsidR="002839C5">
        <w:t>5</w:t>
      </w:r>
      <w:r>
        <w:t xml:space="preserve"> mio. kr. årligt </w:t>
      </w:r>
      <w:r w:rsidR="004947AF">
        <w:t>fra 2016</w:t>
      </w:r>
      <w:r>
        <w:t xml:space="preserve"> og frem til </w:t>
      </w:r>
      <w:r w:rsidR="00C827F7">
        <w:t>nedsættelse</w:t>
      </w:r>
      <w:r>
        <w:t xml:space="preserve"> af færgetakster for godstransport.</w:t>
      </w:r>
      <w:r w:rsidR="0011664C">
        <w:t xml:space="preserve"> Desuden betyder lovforslaget en b</w:t>
      </w:r>
      <w:r>
        <w:t>egrænset administrativ belas</w:t>
      </w:r>
      <w:r>
        <w:t>t</w:t>
      </w:r>
      <w:r>
        <w:t xml:space="preserve">ning for staten i forbindelse med tilskudsadministration. </w:t>
      </w:r>
      <w:r w:rsidR="0011664C">
        <w:t>Der vil ligeledes være en b</w:t>
      </w:r>
      <w:r w:rsidR="0011664C">
        <w:t>e</w:t>
      </w:r>
      <w:r>
        <w:t>grænset administrativ belastning i de omfattede kommuner ved udarbejdelse af o</w:t>
      </w:r>
      <w:r>
        <w:t>p</w:t>
      </w:r>
      <w:r>
        <w:t xml:space="preserve">følgningsredegørelser  </w:t>
      </w:r>
    </w:p>
    <w:p w:rsidR="00FB4BE0" w:rsidRDefault="00FB4BE0" w:rsidP="00FB4BE0"/>
    <w:p w:rsidR="00FB4BE0" w:rsidRPr="00E80E18" w:rsidRDefault="00FB4BE0" w:rsidP="00FB4BE0">
      <w:pPr>
        <w:rPr>
          <w:b/>
        </w:rPr>
      </w:pPr>
      <w:r w:rsidRPr="00E80E18">
        <w:rPr>
          <w:b/>
        </w:rPr>
        <w:t>4. Økonomiske og administrative konsekvenser for erhvervslivet mv.</w:t>
      </w:r>
    </w:p>
    <w:p w:rsidR="00FB4BE0" w:rsidRDefault="00412818" w:rsidP="00FB4BE0">
      <w:r>
        <w:t>Lovforslaget har positive konsekvenser for erhvervslivet gennem lavere transportudgi</w:t>
      </w:r>
      <w:r>
        <w:t>f</w:t>
      </w:r>
      <w:r>
        <w:t xml:space="preserve">ter for </w:t>
      </w:r>
      <w:r w:rsidR="00C60F06">
        <w:t xml:space="preserve">gods til og fra de omfattede øer. </w:t>
      </w:r>
      <w:r w:rsidR="00D14F95">
        <w:t>Lovforslaget har ingen administrative kons</w:t>
      </w:r>
      <w:r w:rsidR="00D14F95">
        <w:t>e</w:t>
      </w:r>
      <w:r w:rsidR="00D14F95">
        <w:t>kvenser for erhvervslivet.</w:t>
      </w:r>
    </w:p>
    <w:p w:rsidR="00FB4BE0" w:rsidRDefault="00FB4BE0" w:rsidP="00FB4BE0"/>
    <w:p w:rsidR="00FB4BE0" w:rsidRPr="00E80E18" w:rsidRDefault="00FB4BE0" w:rsidP="00FB4BE0">
      <w:pPr>
        <w:rPr>
          <w:b/>
        </w:rPr>
      </w:pPr>
      <w:r w:rsidRPr="00E80E18">
        <w:rPr>
          <w:b/>
        </w:rPr>
        <w:t>5. Økonomiske og administrative konsekvenser for borgerne</w:t>
      </w:r>
    </w:p>
    <w:p w:rsidR="00FB4BE0" w:rsidRDefault="005964CC" w:rsidP="00FB4BE0">
      <w:r>
        <w:t xml:space="preserve">Lovforslaget vil </w:t>
      </w:r>
      <w:r w:rsidR="0011664C">
        <w:t xml:space="preserve">som en afledt effekt </w:t>
      </w:r>
      <w:r>
        <w:t xml:space="preserve">betyde lavere udgifter </w:t>
      </w:r>
      <w:r w:rsidR="00CB3981">
        <w:t xml:space="preserve">til transport </w:t>
      </w:r>
      <w:r>
        <w:t>af varer</w:t>
      </w:r>
      <w:r w:rsidR="00CB3981">
        <w:t xml:space="preserve"> </w:t>
      </w:r>
      <w:r>
        <w:t xml:space="preserve">fra fastlandet. Samtidig vil en reduktion af færgetakster for godstransport betyde bedre beskæftigelsesmuligheder i lokale </w:t>
      </w:r>
      <w:proofErr w:type="spellStart"/>
      <w:r>
        <w:t>ø-samfund</w:t>
      </w:r>
      <w:proofErr w:type="spellEnd"/>
      <w:r w:rsidR="0011664C">
        <w:t>, fordi produktionsomkostninger for v</w:t>
      </w:r>
      <w:r w:rsidR="0011664C">
        <w:t>a</w:t>
      </w:r>
      <w:r w:rsidR="0011664C">
        <w:t>rer, der transporteres til fastlandet, reduceres</w:t>
      </w:r>
      <w:r>
        <w:t xml:space="preserve">. </w:t>
      </w:r>
      <w:r w:rsidR="00412818">
        <w:t>Lovforslaget har ingen administrative konsekvenser for borgerne.</w:t>
      </w:r>
    </w:p>
    <w:p w:rsidR="00FB4BE0" w:rsidRDefault="00FB4BE0" w:rsidP="00FB4BE0"/>
    <w:p w:rsidR="00FB4BE0" w:rsidRPr="00E80E18" w:rsidRDefault="00FB4BE0" w:rsidP="00FB4BE0">
      <w:pPr>
        <w:rPr>
          <w:b/>
        </w:rPr>
      </w:pPr>
      <w:r w:rsidRPr="00E80E18">
        <w:rPr>
          <w:b/>
        </w:rPr>
        <w:t>6. Miljømæssige konsekvenser</w:t>
      </w:r>
    </w:p>
    <w:p w:rsidR="00FB4BE0" w:rsidRDefault="00E20078" w:rsidP="00FB4BE0">
      <w:r>
        <w:t>Lovforslaget har ingen miljømæssige konsekvenser.</w:t>
      </w:r>
    </w:p>
    <w:p w:rsidR="00FB4BE0" w:rsidRDefault="00FB4BE0" w:rsidP="00FB4BE0"/>
    <w:p w:rsidR="00FB4BE0" w:rsidRPr="00E80E18" w:rsidRDefault="00FB4BE0" w:rsidP="00FB4BE0">
      <w:pPr>
        <w:rPr>
          <w:b/>
        </w:rPr>
      </w:pPr>
      <w:r w:rsidRPr="00E80E18">
        <w:rPr>
          <w:b/>
        </w:rPr>
        <w:t>7. Forholdet til EU-retten</w:t>
      </w:r>
    </w:p>
    <w:p w:rsidR="00FB4BE0" w:rsidRDefault="00E20078" w:rsidP="00FB4BE0">
      <w:r>
        <w:t>Lovforslaget indeholder EU-retlige aspekter i forhold til reglerne om statsstøtte.</w:t>
      </w:r>
    </w:p>
    <w:p w:rsidR="00FB4BE0" w:rsidRDefault="00FB4BE0" w:rsidP="00FB4BE0"/>
    <w:p w:rsidR="00FB4BE0" w:rsidRPr="00411D95" w:rsidRDefault="00FB4BE0" w:rsidP="00FB4BE0">
      <w:pPr>
        <w:rPr>
          <w:b/>
        </w:rPr>
      </w:pPr>
      <w:r w:rsidRPr="00411D95">
        <w:rPr>
          <w:b/>
        </w:rPr>
        <w:t>8. Hørte myndigheder og organisationer mv.</w:t>
      </w:r>
    </w:p>
    <w:p w:rsidR="00FB4BE0" w:rsidRDefault="004927A8" w:rsidP="00FB4BE0">
      <w:r>
        <w:t>KL, Sammenslutningen af Danske Småøer, Småøernes Færgeselskaber, Læsø Kommune, Samsø Kommune, Ærø Kommune, Fanø Kommune og Bornholms Reg</w:t>
      </w:r>
      <w:r>
        <w:t>i</w:t>
      </w:r>
      <w:r>
        <w:t>onskommune, Holbæk Kommune, Kalundborg Kommune, Slagelse Kommune, Lo</w:t>
      </w:r>
      <w:r>
        <w:t>l</w:t>
      </w:r>
      <w:r>
        <w:t>land Kommune, Assens Kommune Faaborg- Midtfyn Kommune, Svendborg Komm</w:t>
      </w:r>
      <w:r>
        <w:t>u</w:t>
      </w:r>
      <w:r>
        <w:t>ne, Langeland Kommune, Haderslev Kommune Aabenraa Kommune, Horsens Ko</w:t>
      </w:r>
      <w:r>
        <w:t>m</w:t>
      </w:r>
      <w:r>
        <w:t>mune, Struer Kommune</w:t>
      </w:r>
      <w:r w:rsidR="007D0AD6">
        <w:t>, Norddjurs Kommune, Odder Kommune, Hedensted Komm</w:t>
      </w:r>
      <w:r w:rsidR="007D0AD6">
        <w:t>u</w:t>
      </w:r>
      <w:r w:rsidR="007D0AD6">
        <w:t>ne, Skive Kommune, Aalborg Kommune, Dansk Erhverv, Dansk Industri, Danmarks Rederiforening, Håndværksrådet, Dansk Transport og Logistik, Danske Speditører</w:t>
      </w:r>
      <w:r w:rsidR="006F768A">
        <w:t xml:space="preserve"> og Danmarks Fiskeriforening.</w:t>
      </w:r>
    </w:p>
    <w:p w:rsidR="00FB4BE0" w:rsidRDefault="00FB4BE0" w:rsidP="00FB4BE0"/>
    <w:p w:rsidR="00411D95" w:rsidRDefault="00FB4BE0" w:rsidP="00FB4BE0">
      <w:r w:rsidRPr="00411D95">
        <w:rPr>
          <w:b/>
        </w:rPr>
        <w:t>9. Sammenfattende skema</w:t>
      </w:r>
    </w:p>
    <w:p w:rsidR="00411D95" w:rsidRDefault="00411D95" w:rsidP="00FB4BE0"/>
    <w:tbl>
      <w:tblPr>
        <w:tblStyle w:val="Tabel-Gitter"/>
        <w:tblW w:w="0" w:type="auto"/>
        <w:tblInd w:w="-1168" w:type="dxa"/>
        <w:tblLook w:val="04A0" w:firstRow="1" w:lastRow="0" w:firstColumn="1" w:lastColumn="0" w:noHBand="0" w:noVBand="1"/>
      </w:tblPr>
      <w:tblGrid>
        <w:gridCol w:w="2694"/>
        <w:gridCol w:w="2835"/>
        <w:gridCol w:w="2693"/>
      </w:tblGrid>
      <w:tr w:rsidR="00092D6A" w:rsidTr="00092D6A">
        <w:tc>
          <w:tcPr>
            <w:tcW w:w="2694" w:type="dxa"/>
          </w:tcPr>
          <w:p w:rsidR="00092D6A" w:rsidRDefault="00092D6A" w:rsidP="00092D6A">
            <w:pPr>
              <w:ind w:left="-993"/>
              <w:jc w:val="both"/>
            </w:pPr>
          </w:p>
        </w:tc>
        <w:tc>
          <w:tcPr>
            <w:tcW w:w="2835" w:type="dxa"/>
          </w:tcPr>
          <w:p w:rsidR="00092D6A" w:rsidRPr="003108CC" w:rsidRDefault="00D64F9A" w:rsidP="00FB4BE0">
            <w:pPr>
              <w:rPr>
                <w:b/>
              </w:rPr>
            </w:pPr>
            <w:r w:rsidRPr="003108CC">
              <w:rPr>
                <w:b/>
              </w:rPr>
              <w:t>Positive konsekvenser /</w:t>
            </w:r>
            <w:proofErr w:type="spellStart"/>
            <w:r w:rsidRPr="003108CC">
              <w:rPr>
                <w:b/>
              </w:rPr>
              <w:t>mindreudgifter</w:t>
            </w:r>
            <w:proofErr w:type="spellEnd"/>
          </w:p>
        </w:tc>
        <w:tc>
          <w:tcPr>
            <w:tcW w:w="2693" w:type="dxa"/>
          </w:tcPr>
          <w:p w:rsidR="00092D6A" w:rsidRPr="003108CC" w:rsidRDefault="00D64F9A" w:rsidP="00FB4BE0">
            <w:pPr>
              <w:rPr>
                <w:b/>
              </w:rPr>
            </w:pPr>
            <w:r w:rsidRPr="003108CC">
              <w:rPr>
                <w:b/>
              </w:rPr>
              <w:t>Negative konsekvenser /merudgifter</w:t>
            </w:r>
          </w:p>
        </w:tc>
      </w:tr>
      <w:tr w:rsidR="00092D6A" w:rsidTr="00092D6A">
        <w:tc>
          <w:tcPr>
            <w:tcW w:w="2694" w:type="dxa"/>
          </w:tcPr>
          <w:p w:rsidR="00092D6A" w:rsidRPr="003108CC" w:rsidRDefault="00D64F9A" w:rsidP="00FB4BE0">
            <w:pPr>
              <w:rPr>
                <w:b/>
              </w:rPr>
            </w:pPr>
            <w:r w:rsidRPr="003108CC">
              <w:rPr>
                <w:b/>
              </w:rPr>
              <w:t>Økonomiske konsekve</w:t>
            </w:r>
            <w:r w:rsidRPr="003108CC">
              <w:rPr>
                <w:b/>
              </w:rPr>
              <w:t>n</w:t>
            </w:r>
            <w:r w:rsidRPr="003108CC">
              <w:rPr>
                <w:b/>
              </w:rPr>
              <w:t>ser for stat, regioner og kommuner</w:t>
            </w:r>
          </w:p>
        </w:tc>
        <w:tc>
          <w:tcPr>
            <w:tcW w:w="2835" w:type="dxa"/>
          </w:tcPr>
          <w:p w:rsidR="00092D6A" w:rsidRDefault="00696A29" w:rsidP="00FB4BE0">
            <w:r>
              <w:t>Ingen</w:t>
            </w:r>
          </w:p>
        </w:tc>
        <w:tc>
          <w:tcPr>
            <w:tcW w:w="2693" w:type="dxa"/>
          </w:tcPr>
          <w:p w:rsidR="00092D6A" w:rsidRDefault="00696A29" w:rsidP="002839C5">
            <w:r>
              <w:t xml:space="preserve">Udgifter for staten på </w:t>
            </w:r>
            <w:r w:rsidR="00E54F1C">
              <w:t>2</w:t>
            </w:r>
            <w:r w:rsidR="002839C5">
              <w:t>0</w:t>
            </w:r>
            <w:r>
              <w:t xml:space="preserve"> mio. kr. til</w:t>
            </w:r>
            <w:r w:rsidR="00E54F1C">
              <w:t>skud til komm</w:t>
            </w:r>
            <w:r w:rsidR="00E54F1C">
              <w:t>u</w:t>
            </w:r>
            <w:r w:rsidR="00E54F1C">
              <w:t>ner i 2015 og 3</w:t>
            </w:r>
            <w:r w:rsidR="002839C5">
              <w:t>5</w:t>
            </w:r>
            <w:r w:rsidR="00E54F1C">
              <w:t xml:space="preserve"> mio. kr. årligt </w:t>
            </w:r>
            <w:r w:rsidR="004947AF">
              <w:t>fra 2016</w:t>
            </w:r>
            <w:r w:rsidR="00E54F1C">
              <w:t xml:space="preserve"> og frem</w:t>
            </w:r>
          </w:p>
        </w:tc>
      </w:tr>
      <w:tr w:rsidR="00092D6A" w:rsidTr="00092D6A">
        <w:tc>
          <w:tcPr>
            <w:tcW w:w="2694" w:type="dxa"/>
          </w:tcPr>
          <w:p w:rsidR="00092D6A" w:rsidRPr="003108CC" w:rsidRDefault="00D64F9A" w:rsidP="00FB4BE0">
            <w:pPr>
              <w:rPr>
                <w:b/>
              </w:rPr>
            </w:pPr>
            <w:r w:rsidRPr="003108CC">
              <w:rPr>
                <w:b/>
              </w:rPr>
              <w:t>Administrative kons</w:t>
            </w:r>
            <w:r w:rsidRPr="003108CC">
              <w:rPr>
                <w:b/>
              </w:rPr>
              <w:t>e</w:t>
            </w:r>
            <w:r w:rsidRPr="003108CC">
              <w:rPr>
                <w:b/>
              </w:rPr>
              <w:t>kvenser for stat, regioner og kommuner</w:t>
            </w:r>
          </w:p>
        </w:tc>
        <w:tc>
          <w:tcPr>
            <w:tcW w:w="2835" w:type="dxa"/>
          </w:tcPr>
          <w:p w:rsidR="00092D6A" w:rsidRDefault="0011664C" w:rsidP="00FB4BE0">
            <w:r>
              <w:t>Ingen</w:t>
            </w:r>
          </w:p>
        </w:tc>
        <w:tc>
          <w:tcPr>
            <w:tcW w:w="2693" w:type="dxa"/>
          </w:tcPr>
          <w:p w:rsidR="00092D6A" w:rsidRDefault="008D19B8" w:rsidP="00696A29">
            <w:r>
              <w:t>Begrænset administrativ belastning for staten i fo</w:t>
            </w:r>
            <w:r>
              <w:t>r</w:t>
            </w:r>
            <w:r>
              <w:t>bindelse</w:t>
            </w:r>
            <w:r w:rsidR="00696A29">
              <w:t xml:space="preserve"> med </w:t>
            </w:r>
            <w:r>
              <w:t>til</w:t>
            </w:r>
            <w:r w:rsidR="007B5618">
              <w:t>skudsadm</w:t>
            </w:r>
            <w:r w:rsidR="007B5618">
              <w:t>i</w:t>
            </w:r>
            <w:r w:rsidR="007B5618">
              <w:t>nistration</w:t>
            </w:r>
            <w:r>
              <w:t>.</w:t>
            </w:r>
            <w:r w:rsidR="00696A29">
              <w:t xml:space="preserve"> Begrænset a</w:t>
            </w:r>
            <w:r w:rsidR="00696A29">
              <w:t>d</w:t>
            </w:r>
            <w:r w:rsidR="00696A29">
              <w:t>ministrativ belastning i de omfattede kommuner ved udarbejdelse af opføl</w:t>
            </w:r>
            <w:r w:rsidR="00696A29">
              <w:t>g</w:t>
            </w:r>
            <w:r w:rsidR="00696A29">
              <w:t>ningsredegørelser</w:t>
            </w:r>
            <w:r>
              <w:t xml:space="preserve">  </w:t>
            </w:r>
          </w:p>
        </w:tc>
      </w:tr>
      <w:tr w:rsidR="00092D6A" w:rsidTr="00092D6A">
        <w:tc>
          <w:tcPr>
            <w:tcW w:w="2694" w:type="dxa"/>
          </w:tcPr>
          <w:p w:rsidR="00092D6A" w:rsidRPr="003108CC" w:rsidRDefault="00D64F9A" w:rsidP="00FB4BE0">
            <w:pPr>
              <w:rPr>
                <w:b/>
              </w:rPr>
            </w:pPr>
            <w:r w:rsidRPr="003108CC">
              <w:rPr>
                <w:b/>
              </w:rPr>
              <w:t>Økonomiske konsekve</w:t>
            </w:r>
            <w:r w:rsidRPr="003108CC">
              <w:rPr>
                <w:b/>
              </w:rPr>
              <w:t>n</w:t>
            </w:r>
            <w:r w:rsidRPr="003108CC">
              <w:rPr>
                <w:b/>
              </w:rPr>
              <w:t>ser for erhvervslivet</w:t>
            </w:r>
          </w:p>
        </w:tc>
        <w:tc>
          <w:tcPr>
            <w:tcW w:w="2835" w:type="dxa"/>
          </w:tcPr>
          <w:p w:rsidR="00092D6A" w:rsidRDefault="004E29A2" w:rsidP="008D19B8">
            <w:r>
              <w:t>Lavere transportudgifter</w:t>
            </w:r>
            <w:r w:rsidR="00412818">
              <w:t xml:space="preserve"> for gods til og fra øerne</w:t>
            </w:r>
            <w:r w:rsidR="008D19B8">
              <w:t xml:space="preserve"> og de</w:t>
            </w:r>
            <w:r w:rsidR="008D19B8">
              <w:t>r</w:t>
            </w:r>
            <w:r w:rsidR="008D19B8">
              <w:t>med bedre vilkår for e</w:t>
            </w:r>
            <w:r w:rsidR="008D19B8">
              <w:t>r</w:t>
            </w:r>
            <w:r w:rsidR="008D19B8">
              <w:t xml:space="preserve">hvervslivet i de lokale </w:t>
            </w:r>
            <w:proofErr w:type="spellStart"/>
            <w:r w:rsidR="008D19B8">
              <w:t>ø-samfund</w:t>
            </w:r>
            <w:proofErr w:type="spellEnd"/>
          </w:p>
        </w:tc>
        <w:tc>
          <w:tcPr>
            <w:tcW w:w="2693" w:type="dxa"/>
          </w:tcPr>
          <w:p w:rsidR="00092D6A" w:rsidRDefault="004E29A2" w:rsidP="00FB4BE0">
            <w:r>
              <w:t>Ingen</w:t>
            </w:r>
          </w:p>
        </w:tc>
      </w:tr>
      <w:tr w:rsidR="00092D6A" w:rsidTr="00092D6A">
        <w:tc>
          <w:tcPr>
            <w:tcW w:w="2694" w:type="dxa"/>
          </w:tcPr>
          <w:p w:rsidR="00092D6A" w:rsidRPr="003108CC" w:rsidRDefault="00D64F9A" w:rsidP="00FB4BE0">
            <w:pPr>
              <w:rPr>
                <w:b/>
              </w:rPr>
            </w:pPr>
            <w:r w:rsidRPr="003108CC">
              <w:rPr>
                <w:b/>
              </w:rPr>
              <w:lastRenderedPageBreak/>
              <w:t>Administrative kons</w:t>
            </w:r>
            <w:r w:rsidRPr="003108CC">
              <w:rPr>
                <w:b/>
              </w:rPr>
              <w:t>e</w:t>
            </w:r>
            <w:r w:rsidRPr="003108CC">
              <w:rPr>
                <w:b/>
              </w:rPr>
              <w:t>kvenser for erhvervslivet</w:t>
            </w:r>
          </w:p>
        </w:tc>
        <w:tc>
          <w:tcPr>
            <w:tcW w:w="2835" w:type="dxa"/>
          </w:tcPr>
          <w:p w:rsidR="00092D6A" w:rsidRDefault="004E29A2" w:rsidP="00FB4BE0">
            <w:r>
              <w:t>Ingen</w:t>
            </w:r>
          </w:p>
        </w:tc>
        <w:tc>
          <w:tcPr>
            <w:tcW w:w="2693" w:type="dxa"/>
          </w:tcPr>
          <w:p w:rsidR="00092D6A" w:rsidRDefault="004E29A2" w:rsidP="00FB4BE0">
            <w:r>
              <w:t>Ingen</w:t>
            </w:r>
          </w:p>
        </w:tc>
      </w:tr>
      <w:tr w:rsidR="00092D6A" w:rsidTr="00092D6A">
        <w:tc>
          <w:tcPr>
            <w:tcW w:w="2694" w:type="dxa"/>
          </w:tcPr>
          <w:p w:rsidR="00092D6A" w:rsidRPr="003108CC" w:rsidRDefault="00D64F9A" w:rsidP="00FB4BE0">
            <w:pPr>
              <w:rPr>
                <w:b/>
              </w:rPr>
            </w:pPr>
            <w:r w:rsidRPr="003108CC">
              <w:rPr>
                <w:b/>
              </w:rPr>
              <w:t>Økonomiske konsekve</w:t>
            </w:r>
            <w:r w:rsidRPr="003108CC">
              <w:rPr>
                <w:b/>
              </w:rPr>
              <w:t>n</w:t>
            </w:r>
            <w:r w:rsidRPr="003108CC">
              <w:rPr>
                <w:b/>
              </w:rPr>
              <w:t>ser for borgerne</w:t>
            </w:r>
          </w:p>
        </w:tc>
        <w:tc>
          <w:tcPr>
            <w:tcW w:w="2835" w:type="dxa"/>
          </w:tcPr>
          <w:p w:rsidR="00092D6A" w:rsidRDefault="007B5618" w:rsidP="008D19B8">
            <w:r>
              <w:t xml:space="preserve">Lavere udgifter </w:t>
            </w:r>
            <w:r w:rsidR="008D19B8">
              <w:t xml:space="preserve">for borgerne </w:t>
            </w:r>
            <w:r>
              <w:t xml:space="preserve">til varekøb. Bedre </w:t>
            </w:r>
            <w:r w:rsidR="008D19B8">
              <w:t>beskæft</w:t>
            </w:r>
            <w:r w:rsidR="008D19B8">
              <w:t>i</w:t>
            </w:r>
            <w:r w:rsidR="008D19B8">
              <w:t xml:space="preserve">gelsesmuligheder i lokale </w:t>
            </w:r>
            <w:proofErr w:type="spellStart"/>
            <w:r w:rsidR="008D19B8">
              <w:t>ø-samfund</w:t>
            </w:r>
            <w:proofErr w:type="spellEnd"/>
            <w:r>
              <w:t xml:space="preserve"> </w:t>
            </w:r>
          </w:p>
        </w:tc>
        <w:tc>
          <w:tcPr>
            <w:tcW w:w="2693" w:type="dxa"/>
          </w:tcPr>
          <w:p w:rsidR="00092D6A" w:rsidRDefault="004E29A2" w:rsidP="00FB4BE0">
            <w:r>
              <w:t>Ingen</w:t>
            </w:r>
          </w:p>
        </w:tc>
      </w:tr>
      <w:tr w:rsidR="00092D6A" w:rsidTr="00092D6A">
        <w:tc>
          <w:tcPr>
            <w:tcW w:w="2694" w:type="dxa"/>
          </w:tcPr>
          <w:p w:rsidR="00092D6A" w:rsidRPr="003108CC" w:rsidRDefault="00D64F9A" w:rsidP="00FB4BE0">
            <w:pPr>
              <w:rPr>
                <w:b/>
              </w:rPr>
            </w:pPr>
            <w:r w:rsidRPr="003108CC">
              <w:rPr>
                <w:b/>
              </w:rPr>
              <w:t>Administrative kons</w:t>
            </w:r>
            <w:r w:rsidRPr="003108CC">
              <w:rPr>
                <w:b/>
              </w:rPr>
              <w:t>e</w:t>
            </w:r>
            <w:r w:rsidRPr="003108CC">
              <w:rPr>
                <w:b/>
              </w:rPr>
              <w:t>kvenser for borgerne</w:t>
            </w:r>
          </w:p>
        </w:tc>
        <w:tc>
          <w:tcPr>
            <w:tcW w:w="2835" w:type="dxa"/>
          </w:tcPr>
          <w:p w:rsidR="00092D6A" w:rsidRDefault="004E29A2" w:rsidP="00FB4BE0">
            <w:r>
              <w:t>Ingen</w:t>
            </w:r>
          </w:p>
        </w:tc>
        <w:tc>
          <w:tcPr>
            <w:tcW w:w="2693" w:type="dxa"/>
          </w:tcPr>
          <w:p w:rsidR="00092D6A" w:rsidRDefault="004E29A2" w:rsidP="00FB4BE0">
            <w:r>
              <w:t>Ingen</w:t>
            </w:r>
          </w:p>
        </w:tc>
      </w:tr>
      <w:tr w:rsidR="00092D6A" w:rsidTr="00D64F9A">
        <w:tc>
          <w:tcPr>
            <w:tcW w:w="2694" w:type="dxa"/>
          </w:tcPr>
          <w:p w:rsidR="00092D6A" w:rsidRPr="003108CC" w:rsidRDefault="00D64F9A" w:rsidP="00FB4BE0">
            <w:pPr>
              <w:rPr>
                <w:b/>
              </w:rPr>
            </w:pPr>
            <w:r w:rsidRPr="003108CC">
              <w:rPr>
                <w:b/>
              </w:rPr>
              <w:t>Miljømæssige kons</w:t>
            </w:r>
            <w:r w:rsidRPr="003108CC">
              <w:rPr>
                <w:b/>
              </w:rPr>
              <w:t>e</w:t>
            </w:r>
            <w:r w:rsidRPr="003108CC">
              <w:rPr>
                <w:b/>
              </w:rPr>
              <w:t>kvenser</w:t>
            </w:r>
          </w:p>
        </w:tc>
        <w:tc>
          <w:tcPr>
            <w:tcW w:w="2835" w:type="dxa"/>
            <w:tcBorders>
              <w:bottom w:val="single" w:sz="4" w:space="0" w:color="auto"/>
            </w:tcBorders>
          </w:tcPr>
          <w:p w:rsidR="00092D6A" w:rsidRDefault="004E29A2" w:rsidP="00FB4BE0">
            <w:r>
              <w:t>Ingen</w:t>
            </w:r>
          </w:p>
        </w:tc>
        <w:tc>
          <w:tcPr>
            <w:tcW w:w="2693" w:type="dxa"/>
            <w:tcBorders>
              <w:bottom w:val="single" w:sz="4" w:space="0" w:color="auto"/>
            </w:tcBorders>
          </w:tcPr>
          <w:p w:rsidR="00092D6A" w:rsidRDefault="004E29A2" w:rsidP="00FB4BE0">
            <w:r>
              <w:t>Ingen</w:t>
            </w:r>
          </w:p>
        </w:tc>
      </w:tr>
      <w:tr w:rsidR="00B6563C" w:rsidTr="00C60F06">
        <w:tc>
          <w:tcPr>
            <w:tcW w:w="2694" w:type="dxa"/>
          </w:tcPr>
          <w:p w:rsidR="00B6563C" w:rsidRPr="003108CC" w:rsidRDefault="00B6563C" w:rsidP="00FB4BE0">
            <w:pPr>
              <w:rPr>
                <w:b/>
              </w:rPr>
            </w:pPr>
            <w:r w:rsidRPr="003108CC">
              <w:rPr>
                <w:b/>
              </w:rPr>
              <w:t>Forholdet til EU-retten</w:t>
            </w:r>
          </w:p>
        </w:tc>
        <w:tc>
          <w:tcPr>
            <w:tcW w:w="5528" w:type="dxa"/>
            <w:gridSpan w:val="2"/>
          </w:tcPr>
          <w:p w:rsidR="00B6563C" w:rsidRDefault="00B6563C" w:rsidP="00FB4BE0">
            <w:r>
              <w:t>Lovforslaget indeholder EU-retlige aspekter i forhold til re</w:t>
            </w:r>
            <w:r>
              <w:t>g</w:t>
            </w:r>
            <w:r>
              <w:t>lerne om statsstøtte</w:t>
            </w:r>
          </w:p>
        </w:tc>
      </w:tr>
    </w:tbl>
    <w:p w:rsidR="00411D95" w:rsidRDefault="00411D95" w:rsidP="00FB4BE0"/>
    <w:p w:rsidR="00411D95" w:rsidRDefault="00411D95" w:rsidP="00FB4BE0"/>
    <w:p w:rsidR="00411D95" w:rsidRDefault="00411D95" w:rsidP="00FB4BE0"/>
    <w:p w:rsidR="00411D95" w:rsidRDefault="00411D95" w:rsidP="00FB4BE0"/>
    <w:p w:rsidR="00411D95" w:rsidRPr="00FD7083" w:rsidRDefault="00411D95" w:rsidP="00FD7083">
      <w:pPr>
        <w:jc w:val="center"/>
        <w:rPr>
          <w:i/>
        </w:rPr>
      </w:pPr>
      <w:r w:rsidRPr="00FD7083">
        <w:rPr>
          <w:i/>
        </w:rPr>
        <w:t>Bemærkninger til lovforslagets enkelte bestemmelser</w:t>
      </w:r>
    </w:p>
    <w:p w:rsidR="00411D95" w:rsidRDefault="00411D95" w:rsidP="00FB4BE0"/>
    <w:p w:rsidR="00411D95" w:rsidRDefault="00411D95" w:rsidP="004216B1">
      <w:pPr>
        <w:jc w:val="center"/>
      </w:pPr>
      <w:r>
        <w:t>Til § 1</w:t>
      </w:r>
    </w:p>
    <w:p w:rsidR="00411D95" w:rsidRDefault="00411D95" w:rsidP="00FB4BE0"/>
    <w:p w:rsidR="00CE382A" w:rsidRDefault="00CE382A" w:rsidP="00EE1CB0">
      <w:r>
        <w:t>Om baggrunden for bestemmelsen henvises til de almindelige bemærkninger under afsnit 2.</w:t>
      </w:r>
    </w:p>
    <w:p w:rsidR="00CE382A" w:rsidRDefault="00CE382A" w:rsidP="00EE1CB0"/>
    <w:p w:rsidR="003477AD" w:rsidRDefault="00175C7B" w:rsidP="00EE1CB0">
      <w:r>
        <w:t xml:space="preserve">Med </w:t>
      </w:r>
      <w:r w:rsidR="0015387B">
        <w:t>den foreslåede bestemmelse i</w:t>
      </w:r>
      <w:r w:rsidR="00365496">
        <w:t xml:space="preserve"> § 21 a, stk. 1,</w:t>
      </w:r>
      <w:r>
        <w:t xml:space="preserve"> får økonomi- og indenrigsministeren bemyndigelse til at yde tilskud til </w:t>
      </w:r>
      <w:r w:rsidR="004D4714">
        <w:t>nedsættelse</w:t>
      </w:r>
      <w:r w:rsidR="001B28C2">
        <w:t xml:space="preserve"> af færgetakster for godstransport </w:t>
      </w:r>
      <w:r w:rsidR="00EE1CB0">
        <w:t xml:space="preserve">til </w:t>
      </w:r>
      <w:r w:rsidR="0051408B">
        <w:t xml:space="preserve">kommuner med </w:t>
      </w:r>
      <w:r w:rsidR="00BC6E33">
        <w:t xml:space="preserve">mindre </w:t>
      </w:r>
      <w:r w:rsidR="00EE1CB0">
        <w:t xml:space="preserve">øer samt </w:t>
      </w:r>
      <w:r w:rsidR="000E6638">
        <w:t xml:space="preserve">til kommuner </w:t>
      </w:r>
      <w:r w:rsidR="0015387B">
        <w:t xml:space="preserve">på øer </w:t>
      </w:r>
      <w:r w:rsidR="000E6638">
        <w:t>uden fast forbindelse, der b</w:t>
      </w:r>
      <w:r w:rsidR="000E6638">
        <w:t>e</w:t>
      </w:r>
      <w:r w:rsidR="000E6638">
        <w:t>står af én kommune</w:t>
      </w:r>
      <w:r w:rsidR="00EE1CB0">
        <w:t>.</w:t>
      </w:r>
      <w:r w:rsidR="007D0343">
        <w:t xml:space="preserve"> </w:t>
      </w:r>
    </w:p>
    <w:p w:rsidR="003477AD" w:rsidRDefault="003477AD" w:rsidP="00EE1CB0"/>
    <w:p w:rsidR="000E6638" w:rsidRDefault="003477AD" w:rsidP="00EE1CB0">
      <w:r>
        <w:t>Tilskud til de statslige færgeruter til Bornholm og Samsø</w:t>
      </w:r>
      <w:r w:rsidR="00EE1CB0">
        <w:t xml:space="preserve"> </w:t>
      </w:r>
      <w:r>
        <w:t>ydes af transportministeren.</w:t>
      </w:r>
    </w:p>
    <w:p w:rsidR="00F533F0" w:rsidRDefault="00F533F0" w:rsidP="00EE1CB0"/>
    <w:p w:rsidR="00F533F0" w:rsidRDefault="00F533F0" w:rsidP="00EE1CB0">
      <w:r>
        <w:t xml:space="preserve">Det </w:t>
      </w:r>
      <w:r w:rsidR="007A3766">
        <w:t>fastsættes</w:t>
      </w:r>
      <w:r>
        <w:t xml:space="preserve"> i den foreslåede </w:t>
      </w:r>
      <w:r w:rsidR="007A3766">
        <w:t xml:space="preserve">bestemmelse i </w:t>
      </w:r>
      <w:r>
        <w:t>§ 21 a, stk. 2, at tilskuddet udgør 2</w:t>
      </w:r>
      <w:r w:rsidR="002839C5">
        <w:t>0</w:t>
      </w:r>
      <w:r>
        <w:t xml:space="preserve"> mio. kr. i 2015 og 3</w:t>
      </w:r>
      <w:r w:rsidR="002839C5">
        <w:t>5</w:t>
      </w:r>
      <w:r>
        <w:t xml:space="preserve"> mio. kr. årligt </w:t>
      </w:r>
      <w:r w:rsidR="00DA658E">
        <w:t>i</w:t>
      </w:r>
      <w:r w:rsidR="004947AF">
        <w:t xml:space="preserve"> 2016</w:t>
      </w:r>
      <w:r w:rsidR="00565257">
        <w:t xml:space="preserve"> og efterfølgende år</w:t>
      </w:r>
      <w:r>
        <w:t xml:space="preserve">.  </w:t>
      </w:r>
    </w:p>
    <w:p w:rsidR="000E6638" w:rsidRDefault="000E6638" w:rsidP="00EE1CB0"/>
    <w:p w:rsidR="000E6638" w:rsidRDefault="000E6638" w:rsidP="00EE1CB0">
      <w:r>
        <w:t>Den foreslåede bestemmelse i § 21 a, stk. 3</w:t>
      </w:r>
      <w:r w:rsidR="00AD0436">
        <w:t>,</w:t>
      </w:r>
      <w:r>
        <w:t xml:space="preserve"> fastsætter, at de kommuner, der modt</w:t>
      </w:r>
      <w:r>
        <w:t>a</w:t>
      </w:r>
      <w:r>
        <w:t>ger tilskud i henhold til stk. 1, omfatter Kalundborg, Holbæk, Slagelse, Lolland, A</w:t>
      </w:r>
      <w:r>
        <w:t>s</w:t>
      </w:r>
      <w:r>
        <w:t xml:space="preserve">sens, Faaborg-Midtfyn, Ærø, Langeland, Svendborg, Haderslev, Aabenraa, Horsens, Hedensted, Struer, Norddjurs, Odder, Skive, Aalborg, Læsø, Samsø, Fanø og Ærø Kommuner. </w:t>
      </w:r>
    </w:p>
    <w:p w:rsidR="000E6638" w:rsidRDefault="000E6638" w:rsidP="00EE1CB0"/>
    <w:p w:rsidR="00AD0436" w:rsidRDefault="00AD0436" w:rsidP="00AD0436">
      <w:r>
        <w:t xml:space="preserve">Den foreslåede bestemmelse i § 21 a, stk. </w:t>
      </w:r>
      <w:r w:rsidR="005C339F">
        <w:t>4</w:t>
      </w:r>
      <w:r>
        <w:t>, fastsætter, at tilskuddet fordeles af øk</w:t>
      </w:r>
      <w:r>
        <w:t>o</w:t>
      </w:r>
      <w:r>
        <w:t xml:space="preserve">nomi- og indenrigsministeren efter en nøgle for godsomsætning, ekskl. vareafgift, på de enkelte ruter. </w:t>
      </w:r>
    </w:p>
    <w:p w:rsidR="00AD0436" w:rsidRDefault="00AD0436" w:rsidP="00AD0436"/>
    <w:p w:rsidR="00AD0436" w:rsidRDefault="00993B20" w:rsidP="00AD0436">
      <w:r>
        <w:t>Tilskuddet</w:t>
      </w:r>
      <w:r w:rsidR="00AD0436">
        <w:t xml:space="preserve"> fordeles forholdsmæssigt på grundlag af de omfattede kommuners indb</w:t>
      </w:r>
      <w:r w:rsidR="00AD0436">
        <w:t>e</w:t>
      </w:r>
      <w:r w:rsidR="00AD0436">
        <w:t>retning af oplysninger, herunder fra private operatører, om godsomsætning (billetin</w:t>
      </w:r>
      <w:r w:rsidR="00AD0436">
        <w:t>d</w:t>
      </w:r>
      <w:r w:rsidR="00AD0436">
        <w:t>tægter ved fragt af gods) for perioden 2011 – 2013 på de enkelte ruter, ekskl. varea</w:t>
      </w:r>
      <w:r w:rsidR="00AD0436">
        <w:t>f</w:t>
      </w:r>
      <w:r w:rsidR="00AD0436">
        <w:t>gift</w:t>
      </w:r>
      <w:r w:rsidR="001B47A2">
        <w:t>.</w:t>
      </w:r>
      <w:r w:rsidR="005C53A8">
        <w:t xml:space="preserve"> </w:t>
      </w:r>
      <w:r w:rsidR="00AD0436">
        <w:t>Godsomsætningen defineres som transport af gods, herunder overfart af e</w:t>
      </w:r>
      <w:r w:rsidR="00AD0436">
        <w:t>r</w:t>
      </w:r>
      <w:r w:rsidR="00AD0436">
        <w:t>hvervskøretøjer.</w:t>
      </w:r>
    </w:p>
    <w:p w:rsidR="00AD0436" w:rsidRDefault="00AD0436" w:rsidP="00AD0436"/>
    <w:p w:rsidR="008A28E9" w:rsidRDefault="00867D68" w:rsidP="00AD0436">
      <w:r>
        <w:t>Det samlede tilskud som fastlagt i § 21</w:t>
      </w:r>
      <w:r w:rsidR="008A28E9">
        <w:t xml:space="preserve"> a</w:t>
      </w:r>
      <w:r>
        <w:t xml:space="preserve">, stk. </w:t>
      </w:r>
      <w:r w:rsidR="008A28E9">
        <w:t>2</w:t>
      </w:r>
      <w:r>
        <w:t xml:space="preserve">, ligger fast. </w:t>
      </w:r>
      <w:r w:rsidR="00532BF3">
        <w:t>Fordelingsnøglen for ti</w:t>
      </w:r>
      <w:r w:rsidR="00532BF3">
        <w:t>l</w:t>
      </w:r>
      <w:r w:rsidR="00532BF3">
        <w:t>skuddet beregnes en gang for alle af økonomi- og indenrigsministeren. Fordeling</w:t>
      </w:r>
      <w:r w:rsidR="00532BF3">
        <w:t>s</w:t>
      </w:r>
      <w:r w:rsidR="00532BF3">
        <w:t>nøglen vil dog kunne justeres efter 5 år, jf. nedenfor.</w:t>
      </w:r>
    </w:p>
    <w:p w:rsidR="008A28E9" w:rsidRDefault="008A28E9" w:rsidP="00AD0436"/>
    <w:p w:rsidR="00AD0436" w:rsidRDefault="00AD0436" w:rsidP="00AD0436">
      <w:r>
        <w:t>Tilskudsprocenten kan ændre sig over tid afhængig af udviklingen i den samlede godsomsætning på de enkelte ruter. Det kan gælde både alle færger set under ét og i forhold til de enkelte kommuner. Der vil derfor blive gennemført en evaluering af ford</w:t>
      </w:r>
      <w:r>
        <w:t>e</w:t>
      </w:r>
      <w:r>
        <w:t>lingsnøglen efter 5 år.</w:t>
      </w:r>
    </w:p>
    <w:p w:rsidR="001B47A2" w:rsidRDefault="001B47A2" w:rsidP="00AD0436"/>
    <w:p w:rsidR="001B47A2" w:rsidRDefault="00D0183F" w:rsidP="00AD0436">
      <w:r>
        <w:lastRenderedPageBreak/>
        <w:t>Fordelingen af t</w:t>
      </w:r>
      <w:r w:rsidR="001B47A2">
        <w:t>ilskuddet til den enkelte kommune som fastsat i medfør af § 21 a, stk. 1, 1. og 2. pkt., ligger således fast i 5 år.</w:t>
      </w:r>
    </w:p>
    <w:p w:rsidR="00AD0436" w:rsidRDefault="00AD0436" w:rsidP="00A64065"/>
    <w:p w:rsidR="00A64065" w:rsidRDefault="00A063ED" w:rsidP="00A64065">
      <w:r>
        <w:t>Der vil med hjemmel i den foreslåede § 21 a, stk. 4, blive fastsat</w:t>
      </w:r>
      <w:r w:rsidR="00AD329A">
        <w:t xml:space="preserve"> nærmere regler om fordelingen af tilskuddet og om ordningens administration.</w:t>
      </w:r>
      <w:r w:rsidR="006419FE">
        <w:t xml:space="preserve"> </w:t>
      </w:r>
      <w:r w:rsidR="00C95DB9">
        <w:t xml:space="preserve">I den forbindelse vil der bl.a. blive fastsat nærmere </w:t>
      </w:r>
      <w:r w:rsidR="00A64065">
        <w:t xml:space="preserve">regler om, at kommunalbestyrelsen skal udarbejde en </w:t>
      </w:r>
      <w:r w:rsidR="001B47A2">
        <w:t xml:space="preserve">årlig </w:t>
      </w:r>
      <w:r w:rsidR="00A64065">
        <w:t xml:space="preserve">redegørelse </w:t>
      </w:r>
      <w:r w:rsidR="001B47A2">
        <w:t xml:space="preserve">til Økonomi- og Indenrigsministeriet </w:t>
      </w:r>
      <w:r w:rsidR="00A64065">
        <w:t xml:space="preserve">om, hvorledes tilskuddet til </w:t>
      </w:r>
      <w:r w:rsidR="0064306B">
        <w:t>nedsæ</w:t>
      </w:r>
      <w:r w:rsidR="0064306B">
        <w:t>t</w:t>
      </w:r>
      <w:r w:rsidR="0064306B">
        <w:t>telse</w:t>
      </w:r>
      <w:r w:rsidR="00A64065">
        <w:t xml:space="preserve"> af færgetakster med 80 pct. for godstransport er anvendt</w:t>
      </w:r>
      <w:r w:rsidR="00867D68">
        <w:t>, herunder dokument</w:t>
      </w:r>
      <w:r w:rsidR="00867D68">
        <w:t>a</w:t>
      </w:r>
      <w:r w:rsidR="00867D68">
        <w:t>tion for ændringer i takster</w:t>
      </w:r>
      <w:r w:rsidR="008A28E9">
        <w:t xml:space="preserve"> </w:t>
      </w:r>
      <w:r w:rsidR="00867D68">
        <w:t>og omsætningstal</w:t>
      </w:r>
      <w:r w:rsidR="001B47A2">
        <w:t xml:space="preserve"> for de enkelte billettyper</w:t>
      </w:r>
      <w:r w:rsidR="00A64065">
        <w:t xml:space="preserve">. </w:t>
      </w:r>
    </w:p>
    <w:p w:rsidR="0024361F" w:rsidRDefault="0024361F" w:rsidP="00EE1CB0"/>
    <w:p w:rsidR="00ED648C" w:rsidRDefault="00A64065" w:rsidP="00A64065">
      <w:r>
        <w:t>Udgangspunktet for tilrettelæggelsen af ordningen er, at der skal være tale om en enkel og let administrerbar ordning.</w:t>
      </w:r>
      <w:r w:rsidR="00ED648C">
        <w:t xml:space="preserve"> </w:t>
      </w:r>
    </w:p>
    <w:p w:rsidR="00ED648C" w:rsidRDefault="00ED648C" w:rsidP="00A64065"/>
    <w:p w:rsidR="00ED648C" w:rsidRDefault="00ED648C" w:rsidP="00A64065">
      <w:r>
        <w:t>Ordningen har ikke karakter af en refusionsordning. Hvis det på grund af udviklingen i godstransport, fx et fald i godsomsætningen, viser sig, at en kommune ikke kan a</w:t>
      </w:r>
      <w:r>
        <w:t>n</w:t>
      </w:r>
      <w:r>
        <w:t xml:space="preserve">vende hele det tilskud, som kommunen har modtaget i medfør af § 21 a, stk. 1, 1. og 2. pkt., </w:t>
      </w:r>
      <w:r w:rsidR="00C553E4">
        <w:t>forudsættes det, at</w:t>
      </w:r>
      <w:r>
        <w:t xml:space="preserve"> kommunen anvende</w:t>
      </w:r>
      <w:r w:rsidR="00C553E4">
        <w:t>r</w:t>
      </w:r>
      <w:r>
        <w:t xml:space="preserve"> </w:t>
      </w:r>
      <w:r w:rsidR="00C553E4">
        <w:t>overskydende midler</w:t>
      </w:r>
      <w:r>
        <w:t xml:space="preserve"> til færge</w:t>
      </w:r>
      <w:r w:rsidR="00C553E4">
        <w:t>omr</w:t>
      </w:r>
      <w:r w:rsidR="00C553E4">
        <w:t>å</w:t>
      </w:r>
      <w:r w:rsidR="00C553E4">
        <w:t>det</w:t>
      </w:r>
      <w:r>
        <w:t xml:space="preserve"> i øvrigt, fx nedsættelse af billetpriser for personbefordring. Kommunen skal i s</w:t>
      </w:r>
      <w:r>
        <w:t>å</w:t>
      </w:r>
      <w:r>
        <w:t>danne tilfælde redegøre for anvendelsen af tilskuddet til sådanne formål i den redeg</w:t>
      </w:r>
      <w:r>
        <w:t>ø</w:t>
      </w:r>
      <w:r>
        <w:t>relse, som kommunen skal udarbejde til Økonomi- og Indenrigsministeriet, jf. § 21 a, stk. 4.</w:t>
      </w:r>
    </w:p>
    <w:p w:rsidR="005C3A12" w:rsidRDefault="005C3A12" w:rsidP="00175C7B"/>
    <w:p w:rsidR="000C1F1C" w:rsidRDefault="000C1F1C" w:rsidP="00175C7B">
      <w:r>
        <w:t>Som en administrativ enkel kontrol af midlernes anvendelse er det hensigten, at ko</w:t>
      </w:r>
      <w:r>
        <w:t>m</w:t>
      </w:r>
      <w:r>
        <w:t>munerne årligt skal indberette oplysninger om taksterne for gods til Økonomi- og I</w:t>
      </w:r>
      <w:r>
        <w:t>n</w:t>
      </w:r>
      <w:r>
        <w:t xml:space="preserve">denrigsministeriet. Ved ordningens indførelse vil kommunerne endvidere skulle vise en beregning af takstnedsættelserne som dokumentation for, at </w:t>
      </w:r>
      <w:r w:rsidR="005D4A5C">
        <w:t>færge</w:t>
      </w:r>
      <w:r>
        <w:t xml:space="preserve">taksterne ekskl. vareafgifter for de enkelte godstyper er nedsat med </w:t>
      </w:r>
      <w:r w:rsidR="00B86438">
        <w:t xml:space="preserve">maksimalt </w:t>
      </w:r>
      <w:r>
        <w:t>80 pct.</w:t>
      </w:r>
      <w:r w:rsidR="0040382C">
        <w:t xml:space="preserve"> i forhold til </w:t>
      </w:r>
      <w:r w:rsidR="00D27318">
        <w:t>gæ</w:t>
      </w:r>
      <w:r w:rsidR="00D27318">
        <w:t>l</w:t>
      </w:r>
      <w:r w:rsidR="00D27318">
        <w:t xml:space="preserve">dende </w:t>
      </w:r>
      <w:r w:rsidR="0040382C">
        <w:t>takster</w:t>
      </w:r>
      <w:r w:rsidR="00D27318">
        <w:t xml:space="preserve"> på det tidspunkt, </w:t>
      </w:r>
      <w:r w:rsidR="004A58CB">
        <w:t xml:space="preserve">hvor </w:t>
      </w:r>
      <w:r w:rsidR="00D27318">
        <w:t>ordningen træder i kraft.</w:t>
      </w:r>
    </w:p>
    <w:p w:rsidR="00175C7B" w:rsidRDefault="00175C7B" w:rsidP="00EE1CB0"/>
    <w:p w:rsidR="000324C2" w:rsidRDefault="000324C2" w:rsidP="00EE1CB0">
      <w:r>
        <w:t>Udgangspunktet for kommunens prisfastsættelse af færgetakster er, at der skal ske en ligelig procentvis reduktion af færgetakster for de enkelte billettyper.</w:t>
      </w:r>
    </w:p>
    <w:p w:rsidR="00512DF8" w:rsidRDefault="00512DF8" w:rsidP="00EE1CB0"/>
    <w:p w:rsidR="0024361F" w:rsidRDefault="008D19B8" w:rsidP="0024361F">
      <w:r>
        <w:t>Tilskud til reduktion af færgetakster</w:t>
      </w:r>
      <w:r w:rsidR="0024361F">
        <w:t xml:space="preserve"> </w:t>
      </w:r>
      <w:r w:rsidR="00AD329A">
        <w:t xml:space="preserve">vil alene </w:t>
      </w:r>
      <w:r w:rsidR="0024361F">
        <w:t>omfatte gods, der transporteres på fæ</w:t>
      </w:r>
      <w:r w:rsidR="0024361F">
        <w:t>r</w:t>
      </w:r>
      <w:r w:rsidR="0024361F">
        <w:t xml:space="preserve">ger, der er i rutefart til </w:t>
      </w:r>
      <w:r w:rsidR="00471DDF">
        <w:t xml:space="preserve">og fra </w:t>
      </w:r>
      <w:r w:rsidR="0024361F">
        <w:t>de pågældende øer. Der ydes således ikke tilskud til a</w:t>
      </w:r>
      <w:r w:rsidR="0024361F">
        <w:t>n</w:t>
      </w:r>
      <w:r w:rsidR="0024361F">
        <w:t>den form for transport af gods til de pågældende øer, fx transport med coasters, andre skibstyper eller vandfly.</w:t>
      </w:r>
    </w:p>
    <w:p w:rsidR="00327F1D" w:rsidRDefault="00327F1D" w:rsidP="00FB4BE0"/>
    <w:p w:rsidR="00EE1CB0" w:rsidRDefault="00EE1CB0" w:rsidP="00FB4BE0">
      <w:r>
        <w:t xml:space="preserve">Reduktionen af </w:t>
      </w:r>
      <w:r w:rsidR="006957ED">
        <w:t xml:space="preserve">færgetakster kan </w:t>
      </w:r>
      <w:r w:rsidR="003B7DCE">
        <w:t xml:space="preserve">alene ske for </w:t>
      </w:r>
      <w:r w:rsidR="00C8523A">
        <w:t>køretøjer</w:t>
      </w:r>
      <w:r w:rsidR="006957ED">
        <w:t>, der er</w:t>
      </w:r>
      <w:r w:rsidR="000A4D52">
        <w:t xml:space="preserve"> beregnet til god</w:t>
      </w:r>
      <w:r w:rsidR="000A4D52">
        <w:t>s</w:t>
      </w:r>
      <w:r w:rsidR="000A4D52">
        <w:t>transport</w:t>
      </w:r>
      <w:r w:rsidR="00C8523A">
        <w:t xml:space="preserve">, samt for løst gods, </w:t>
      </w:r>
      <w:r w:rsidR="00041B86">
        <w:t xml:space="preserve">transport af fisk, </w:t>
      </w:r>
      <w:r w:rsidR="00C8523A">
        <w:t>bure til gods samt varer på palle</w:t>
      </w:r>
      <w:r w:rsidR="00996534">
        <w:t>r</w:t>
      </w:r>
      <w:r w:rsidR="000A4D52">
        <w:t>.</w:t>
      </w:r>
      <w:r w:rsidR="00C8523A">
        <w:t xml:space="preserve"> Or</w:t>
      </w:r>
      <w:r w:rsidR="00C8523A">
        <w:t>d</w:t>
      </w:r>
      <w:r w:rsidR="00C8523A">
        <w:t xml:space="preserve">ningen </w:t>
      </w:r>
      <w:r w:rsidR="00041B86">
        <w:t>om</w:t>
      </w:r>
      <w:r w:rsidR="00C8523A">
        <w:t>fatte</w:t>
      </w:r>
      <w:r w:rsidR="00041B86">
        <w:t>r ligeledes</w:t>
      </w:r>
      <w:r w:rsidR="00C8523A">
        <w:t xml:space="preserve"> varevogne, der er indregistreret </w:t>
      </w:r>
      <w:r w:rsidR="00EB1BCB">
        <w:t xml:space="preserve">udelukkende </w:t>
      </w:r>
      <w:r w:rsidR="00C8523A">
        <w:t>til erhverv</w:t>
      </w:r>
      <w:r w:rsidR="00C8523A">
        <w:t>s</w:t>
      </w:r>
      <w:r w:rsidR="00C8523A">
        <w:t>brug.</w:t>
      </w:r>
      <w:r w:rsidR="006957ED">
        <w:t xml:space="preserve"> </w:t>
      </w:r>
    </w:p>
    <w:p w:rsidR="001B28C2" w:rsidRDefault="001B28C2" w:rsidP="00FB4BE0"/>
    <w:p w:rsidR="00411D95" w:rsidRDefault="00512DF8" w:rsidP="00FB4BE0">
      <w:r>
        <w:t xml:space="preserve">Ordningen </w:t>
      </w:r>
      <w:r w:rsidR="00066AC4">
        <w:t xml:space="preserve">indebærer således, at der ikke kan ske en reduktion af færgetakster for fx </w:t>
      </w:r>
      <w:r w:rsidR="00C12603">
        <w:t>privat</w:t>
      </w:r>
      <w:r w:rsidR="00C8523A">
        <w:t>e person</w:t>
      </w:r>
      <w:r w:rsidR="00C12603">
        <w:t>biler</w:t>
      </w:r>
      <w:r w:rsidR="003B7DCE">
        <w:t xml:space="preserve">, </w:t>
      </w:r>
      <w:r w:rsidR="00C8523A">
        <w:t xml:space="preserve">autocamper, </w:t>
      </w:r>
      <w:r w:rsidR="003B7DCE">
        <w:t>gående passagerer</w:t>
      </w:r>
      <w:r w:rsidR="00D77F42">
        <w:t xml:space="preserve"> eller</w:t>
      </w:r>
      <w:r w:rsidR="00C12603">
        <w:t xml:space="preserve"> </w:t>
      </w:r>
      <w:r w:rsidR="003B7DCE">
        <w:t>cykl</w:t>
      </w:r>
      <w:r w:rsidR="00117B37">
        <w:t>er</w:t>
      </w:r>
      <w:r w:rsidR="00066AC4">
        <w:t xml:space="preserve">, selvom der eventuelt fragtes </w:t>
      </w:r>
      <w:r w:rsidR="004236D2">
        <w:t xml:space="preserve">mindre mængder af </w:t>
      </w:r>
      <w:r w:rsidR="00066AC4">
        <w:t>varer på denne måde</w:t>
      </w:r>
      <w:r w:rsidR="00C12603">
        <w:t>.</w:t>
      </w:r>
      <w:r w:rsidR="001B28C2">
        <w:t xml:space="preserve"> </w:t>
      </w:r>
    </w:p>
    <w:p w:rsidR="00041B86" w:rsidRDefault="00041B86" w:rsidP="00FB4BE0"/>
    <w:p w:rsidR="0024361F" w:rsidRDefault="00041B86" w:rsidP="00FB4BE0">
      <w:r>
        <w:t xml:space="preserve">Den nærmere afgrænsning af </w:t>
      </w:r>
      <w:r w:rsidR="00327F1D">
        <w:t>transportformer</w:t>
      </w:r>
      <w:r w:rsidR="008F018E">
        <w:t xml:space="preserve">, der er omfattet af </w:t>
      </w:r>
      <w:r>
        <w:t>ordningen</w:t>
      </w:r>
      <w:r w:rsidR="008F018E">
        <w:t>, v</w:t>
      </w:r>
      <w:r>
        <w:t>il blive fastsat ved bekendtgørelse.</w:t>
      </w:r>
    </w:p>
    <w:p w:rsidR="00AD329A" w:rsidRDefault="00AD329A" w:rsidP="00AD329A"/>
    <w:p w:rsidR="00F533F0" w:rsidRDefault="00472927" w:rsidP="00FB4BE0">
      <w:r>
        <w:t>Den foreslåede bestemmelse i</w:t>
      </w:r>
      <w:r w:rsidR="00CE382A">
        <w:t xml:space="preserve"> § 21 a, stk. 5,</w:t>
      </w:r>
      <w:r w:rsidR="00AD329A">
        <w:t xml:space="preserve"> indeholder en bemyndigelse til økonomi- og indenrigsministeren til at fastsætte nærmere regler om, at tilskuddet til kommuner med mindre øer til reduktion af færgetakster kan gøres betinget af, at kommunalbest</w:t>
      </w:r>
      <w:r w:rsidR="00AD329A">
        <w:t>y</w:t>
      </w:r>
      <w:r w:rsidR="00AD329A">
        <w:t>relsen på tilfredsstillende vis kan redegøre for, at forhøjelsen af det generelle tilskud i henhold til § 20</w:t>
      </w:r>
      <w:r w:rsidR="00A64065">
        <w:t xml:space="preserve">, stk. 1, </w:t>
      </w:r>
      <w:r w:rsidR="00AD329A">
        <w:t>i lov om kommunal</w:t>
      </w:r>
      <w:r w:rsidR="00A64065">
        <w:t xml:space="preserve"> </w:t>
      </w:r>
      <w:r w:rsidR="00AD329A">
        <w:t xml:space="preserve">udligning og generelle tilskud </w:t>
      </w:r>
      <w:r w:rsidR="00A64065">
        <w:t>til kommuner</w:t>
      </w:r>
      <w:r w:rsidR="00AD329A">
        <w:t xml:space="preserve"> anvendt i overensstemmelse med intentionerne.</w:t>
      </w:r>
      <w:r w:rsidR="00565257">
        <w:t xml:space="preserve"> </w:t>
      </w:r>
      <w:r w:rsidR="00F533F0">
        <w:t>Som led i aftale af 16. maj 2012 me</w:t>
      </w:r>
      <w:r w:rsidR="00F533F0">
        <w:t>l</w:t>
      </w:r>
      <w:r w:rsidR="00F533F0">
        <w:t>lem regeringen og Enhedslisten om justeringer i udligningssystemet blev enighed om at forøge tilskuddet til kommuner med mindre øer med i alt 15 mio. kr. årligt</w:t>
      </w:r>
      <w:r w:rsidR="001D5B41">
        <w:t xml:space="preserve"> fra 2014</w:t>
      </w:r>
      <w:r w:rsidR="00F533F0">
        <w:t xml:space="preserve">. </w:t>
      </w:r>
      <w:r w:rsidR="00B86438">
        <w:t xml:space="preserve">Heraf blev 2 mio. kr. afsat til </w:t>
      </w:r>
      <w:r w:rsidR="00570E96">
        <w:t xml:space="preserve">etablering af </w:t>
      </w:r>
      <w:r w:rsidR="00B86438">
        <w:t xml:space="preserve">et færgesekretariat. </w:t>
      </w:r>
      <w:r w:rsidR="00F533F0">
        <w:t>Det blev i forbindelse</w:t>
      </w:r>
      <w:r w:rsidR="00570E96">
        <w:t xml:space="preserve"> </w:t>
      </w:r>
      <w:r w:rsidR="00570E96">
        <w:lastRenderedPageBreak/>
        <w:t>med aftalen</w:t>
      </w:r>
      <w:r w:rsidR="00F533F0">
        <w:t xml:space="preserve"> forudsat, at </w:t>
      </w:r>
      <w:r w:rsidR="00570E96">
        <w:t xml:space="preserve">den resterende </w:t>
      </w:r>
      <w:r w:rsidR="00F533F0">
        <w:t>forhøjelse</w:t>
      </w:r>
      <w:r w:rsidR="00BA34FD">
        <w:t xml:space="preserve"> på 13 mio. kr.</w:t>
      </w:r>
      <w:r w:rsidR="00F533F0">
        <w:t xml:space="preserve"> kunne bruges til f</w:t>
      </w:r>
      <w:r w:rsidR="00F533F0">
        <w:t>i</w:t>
      </w:r>
      <w:r w:rsidR="00F533F0">
        <w:t>nansiering af f.eks. gratis godstransport</w:t>
      </w:r>
      <w:r w:rsidR="00294F7F">
        <w:t xml:space="preserve"> og</w:t>
      </w:r>
      <w:r w:rsidR="00F533F0">
        <w:t xml:space="preserve"> gratis persontransport i turistydersæsonen</w:t>
      </w:r>
      <w:r w:rsidR="00570E96">
        <w:t>.</w:t>
      </w:r>
    </w:p>
    <w:p w:rsidR="00411D95" w:rsidRDefault="00411D95" w:rsidP="00FB4BE0"/>
    <w:p w:rsidR="00411D95" w:rsidRDefault="00BC454A" w:rsidP="004216B1">
      <w:pPr>
        <w:jc w:val="center"/>
      </w:pPr>
      <w:r>
        <w:t>Til § 2</w:t>
      </w:r>
    </w:p>
    <w:p w:rsidR="00BC454A" w:rsidRDefault="00BC454A" w:rsidP="00FB4BE0"/>
    <w:p w:rsidR="00BC454A" w:rsidRDefault="00BC454A" w:rsidP="00FB4BE0">
      <w:r>
        <w:t>Det foreslås, at loven træder i kraft med virkning fra den 1. juni 2015.</w:t>
      </w:r>
    </w:p>
    <w:p w:rsidR="00532BF3" w:rsidRDefault="00532BF3" w:rsidP="00FB4BE0"/>
    <w:p w:rsidR="00532BF3" w:rsidRDefault="00532BF3" w:rsidP="00FB4BE0">
      <w:r>
        <w:t>Udbetaling af tilskud sker med virkning fra dette tidspunkt.</w:t>
      </w:r>
    </w:p>
    <w:p w:rsidR="00411D95" w:rsidRDefault="00411D95">
      <w:pPr>
        <w:spacing w:line="240" w:lineRule="auto"/>
      </w:pPr>
      <w:r>
        <w:br w:type="page"/>
      </w:r>
    </w:p>
    <w:p w:rsidR="00411D95" w:rsidRPr="00411D95" w:rsidRDefault="00411D95" w:rsidP="00411D95">
      <w:pPr>
        <w:jc w:val="right"/>
        <w:rPr>
          <w:b/>
        </w:rPr>
      </w:pPr>
      <w:r w:rsidRPr="00411D95">
        <w:rPr>
          <w:b/>
        </w:rPr>
        <w:lastRenderedPageBreak/>
        <w:t>Bilag 1</w:t>
      </w:r>
    </w:p>
    <w:p w:rsidR="00411D95" w:rsidRPr="00411D95" w:rsidRDefault="00411D95" w:rsidP="00411D95">
      <w:pPr>
        <w:jc w:val="center"/>
        <w:rPr>
          <w:b/>
        </w:rPr>
      </w:pPr>
      <w:r w:rsidRPr="00411D95">
        <w:rPr>
          <w:b/>
        </w:rPr>
        <w:t>Lovforslaget sammenholdt med gældende lov</w:t>
      </w:r>
    </w:p>
    <w:p w:rsidR="00411D95" w:rsidRDefault="00411D95" w:rsidP="00FB4BE0"/>
    <w:tbl>
      <w:tblPr>
        <w:tblStyle w:val="Tabel-Gitter"/>
        <w:tblW w:w="0" w:type="auto"/>
        <w:tblLook w:val="04A0" w:firstRow="1" w:lastRow="0" w:firstColumn="1" w:lastColumn="0" w:noHBand="0" w:noVBand="1"/>
      </w:tblPr>
      <w:tblGrid>
        <w:gridCol w:w="3896"/>
        <w:gridCol w:w="3897"/>
      </w:tblGrid>
      <w:tr w:rsidR="0022376C" w:rsidTr="0022376C">
        <w:tc>
          <w:tcPr>
            <w:tcW w:w="3896" w:type="dxa"/>
          </w:tcPr>
          <w:p w:rsidR="0022376C" w:rsidRPr="0022376C" w:rsidRDefault="0022376C" w:rsidP="0022376C">
            <w:pPr>
              <w:jc w:val="center"/>
              <w:rPr>
                <w:i/>
              </w:rPr>
            </w:pPr>
            <w:r>
              <w:rPr>
                <w:i/>
              </w:rPr>
              <w:t>Gældende formulering</w:t>
            </w:r>
          </w:p>
        </w:tc>
        <w:tc>
          <w:tcPr>
            <w:tcW w:w="3897" w:type="dxa"/>
          </w:tcPr>
          <w:p w:rsidR="0022376C" w:rsidRPr="0022376C" w:rsidRDefault="0022376C" w:rsidP="0022376C">
            <w:pPr>
              <w:jc w:val="center"/>
              <w:rPr>
                <w:i/>
              </w:rPr>
            </w:pPr>
            <w:r>
              <w:rPr>
                <w:i/>
              </w:rPr>
              <w:t>Lovforslaget</w:t>
            </w:r>
          </w:p>
        </w:tc>
      </w:tr>
      <w:tr w:rsidR="0022376C" w:rsidTr="0022376C">
        <w:tc>
          <w:tcPr>
            <w:tcW w:w="3896" w:type="dxa"/>
          </w:tcPr>
          <w:p w:rsidR="0022376C" w:rsidRDefault="0022376C" w:rsidP="00FB4BE0"/>
        </w:tc>
        <w:tc>
          <w:tcPr>
            <w:tcW w:w="3897" w:type="dxa"/>
          </w:tcPr>
          <w:p w:rsidR="0022376C" w:rsidRDefault="0022376C" w:rsidP="0022376C">
            <w:pPr>
              <w:pStyle w:val="Overskrift2"/>
              <w:jc w:val="center"/>
            </w:pPr>
            <w:r>
              <w:t>§ 1</w:t>
            </w:r>
          </w:p>
          <w:p w:rsidR="0022376C" w:rsidRDefault="0022376C" w:rsidP="0022376C">
            <w:r>
              <w:t>I lov om kommunal udligning og genere</w:t>
            </w:r>
            <w:r>
              <w:t>l</w:t>
            </w:r>
            <w:r>
              <w:t>le tilskud til kommuner, jf. lovbekendtg</w:t>
            </w:r>
            <w:r>
              <w:t>ø</w:t>
            </w:r>
            <w:r>
              <w:t>relse nr. 798 af 24. juni 2013 med de ændringer der følger af lov nr. 790 af 28. juni 2013 § 4, lov nr. 895 af 4. juli 2013 § 7, lov nr. 1610 af 26. december 2013 § 8 og lov nr. 720 af 25. juni 2014 § 11, for</w:t>
            </w:r>
            <w:r>
              <w:t>e</w:t>
            </w:r>
            <w:r>
              <w:t>tages følgende ændringer:</w:t>
            </w:r>
          </w:p>
          <w:p w:rsidR="0022376C" w:rsidRDefault="0022376C" w:rsidP="0022376C"/>
          <w:p w:rsidR="0022376C" w:rsidRDefault="0022376C" w:rsidP="0022376C">
            <w:r w:rsidRPr="00762F48">
              <w:rPr>
                <w:b/>
              </w:rPr>
              <w:t>1.</w:t>
            </w:r>
            <w:r>
              <w:t xml:space="preserve"> Efter § 21 indsættes:</w:t>
            </w:r>
          </w:p>
          <w:p w:rsidR="0022376C" w:rsidRDefault="0022376C" w:rsidP="0022376C"/>
          <w:p w:rsidR="0022376C" w:rsidRDefault="0022376C" w:rsidP="0022376C">
            <w:r w:rsidRPr="00762F48">
              <w:rPr>
                <w:b/>
              </w:rPr>
              <w:t>”§ 21 a.</w:t>
            </w:r>
            <w:r>
              <w:t xml:space="preserve"> Økonomi- og indenrigsminist</w:t>
            </w:r>
            <w:r>
              <w:t>e</w:t>
            </w:r>
            <w:r>
              <w:t>ren yder et årligt tilskud til nedsættelse af færgetakster for godstransport til og fra øer. Tilskuddet ydes til kommuner med mindre øer og til kommuner på øer uden fast forbindelse, der består af én ko</w:t>
            </w:r>
            <w:r>
              <w:t>m</w:t>
            </w:r>
            <w:r>
              <w:t xml:space="preserve">mune. Tilskud til de statslige færgeruter til Bornholm og Samsø ydes dog af transportministeren. </w:t>
            </w:r>
          </w:p>
          <w:p w:rsidR="0022376C" w:rsidRDefault="0022376C" w:rsidP="0022376C">
            <w:r w:rsidRPr="00034BBE">
              <w:rPr>
                <w:i/>
              </w:rPr>
              <w:t>Stk. 2.</w:t>
            </w:r>
            <w:r>
              <w:t xml:space="preserve"> Tilskuddet udgør </w:t>
            </w:r>
            <w:r w:rsidRPr="000E3970">
              <w:rPr>
                <w:szCs w:val="20"/>
              </w:rPr>
              <w:t>2</w:t>
            </w:r>
            <w:r w:rsidR="002839C5">
              <w:rPr>
                <w:szCs w:val="20"/>
              </w:rPr>
              <w:t>0</w:t>
            </w:r>
            <w:r w:rsidRPr="000E3970">
              <w:rPr>
                <w:szCs w:val="20"/>
              </w:rPr>
              <w:t xml:space="preserve"> mio. kr. i</w:t>
            </w:r>
            <w:r>
              <w:t xml:space="preserve"> 2015 og 3</w:t>
            </w:r>
            <w:r w:rsidR="002839C5">
              <w:t>5</w:t>
            </w:r>
            <w:r>
              <w:t xml:space="preserve"> mio. kr. årligt fra 2016</w:t>
            </w:r>
            <w:r w:rsidR="00AB7229">
              <w:t xml:space="preserve"> og frem</w:t>
            </w:r>
            <w:r>
              <w:t>. Tilskuddet reguleres fra og med tilskudsåret 2015 én gang årligt med den forventede pris- og lønudvikling for den kommunale sektor.</w:t>
            </w:r>
          </w:p>
          <w:p w:rsidR="0022376C" w:rsidRDefault="0022376C" w:rsidP="0022376C">
            <w:r w:rsidRPr="00034BBE">
              <w:rPr>
                <w:i/>
              </w:rPr>
              <w:t>Stk. 3.</w:t>
            </w:r>
            <w:r>
              <w:t xml:space="preserve"> De kommuner, der modtager ti</w:t>
            </w:r>
            <w:r>
              <w:t>l</w:t>
            </w:r>
            <w:r>
              <w:t>skud i henhold til stk. 1, omfatter Kalun</w:t>
            </w:r>
            <w:r>
              <w:t>d</w:t>
            </w:r>
            <w:r>
              <w:t>borg, Holbæk, Slagelse, Lolland, Assens, Faaborg-Midtfyn, Ærø, Langeland, Svendborg, Haderslev, Aabenraa, Ho</w:t>
            </w:r>
            <w:r>
              <w:t>r</w:t>
            </w:r>
            <w:r>
              <w:t>sens, Hedensted, Struer, Norddjurs, O</w:t>
            </w:r>
            <w:r>
              <w:t>d</w:t>
            </w:r>
            <w:r>
              <w:t>der, Skive, Aalborg, Læsø, Samsø, Fanø og Ærø Kommuner, jf. dog stk. 5, 1. pkt., for kommuner med mindre øer.</w:t>
            </w:r>
          </w:p>
          <w:p w:rsidR="0022376C" w:rsidRDefault="0022376C" w:rsidP="0022376C">
            <w:r w:rsidRPr="00034BBE">
              <w:rPr>
                <w:i/>
              </w:rPr>
              <w:t xml:space="preserve">Stk. </w:t>
            </w:r>
            <w:r>
              <w:rPr>
                <w:i/>
              </w:rPr>
              <w:t>4</w:t>
            </w:r>
            <w:r w:rsidRPr="00034BBE">
              <w:rPr>
                <w:i/>
              </w:rPr>
              <w:t>.</w:t>
            </w:r>
            <w:r>
              <w:t xml:space="preserve"> Tilskuddet efter stk. 1 og 2 ford</w:t>
            </w:r>
            <w:r>
              <w:t>e</w:t>
            </w:r>
            <w:r>
              <w:t>les af økonomi- og indenrigsministeren efter en nøgle for godsomsætning, ekskl. vareafgift, på de enkelte færgeruter. Økonomi- og indenrigsministeren fas</w:t>
            </w:r>
            <w:r>
              <w:t>t</w:t>
            </w:r>
            <w:r>
              <w:t>sætter de nærmere regler om fordelingen af tilskuddet og ordningens administrat</w:t>
            </w:r>
            <w:r>
              <w:t>i</w:t>
            </w:r>
            <w:r>
              <w:t>on, herunder</w:t>
            </w:r>
            <w:r w:rsidRPr="00BD6603">
              <w:t xml:space="preserve"> nærmere regler om, at kommunalbestyrelsen skal udarbejde en redegørelse </w:t>
            </w:r>
            <w:r>
              <w:t>om</w:t>
            </w:r>
            <w:r w:rsidRPr="00BD6603">
              <w:t>, hvorledes tilskuddet i henhold til stk. 1 og 2 er anvendt.</w:t>
            </w:r>
          </w:p>
          <w:p w:rsidR="0022376C" w:rsidRDefault="0022376C" w:rsidP="0022376C">
            <w:r w:rsidRPr="00AA601A">
              <w:rPr>
                <w:i/>
              </w:rPr>
              <w:t>Stk. 5.</w:t>
            </w:r>
            <w:r>
              <w:t xml:space="preserve"> T</w:t>
            </w:r>
            <w:r w:rsidRPr="00AD1036">
              <w:t>ilskuddet i henhold til stk.1 og 2 til kommuner med mindre øer kan gøres betinget af, at det tilskud, som komm</w:t>
            </w:r>
            <w:r w:rsidRPr="00AD1036">
              <w:t>u</w:t>
            </w:r>
            <w:r w:rsidRPr="00AD1036">
              <w:t>nen har modtaget som del af det forhøj</w:t>
            </w:r>
            <w:r w:rsidRPr="00AD1036">
              <w:t>e</w:t>
            </w:r>
            <w:r w:rsidRPr="00AD1036">
              <w:t xml:space="preserve">de tilskud i henhold til § 20, stk. 1, er </w:t>
            </w:r>
            <w:r w:rsidRPr="00AD1036">
              <w:lastRenderedPageBreak/>
              <w:t>anvendt i overensstemmelse med inte</w:t>
            </w:r>
            <w:r w:rsidRPr="00AD1036">
              <w:t>n</w:t>
            </w:r>
            <w:r w:rsidRPr="00AD1036">
              <w:t>tionerne</w:t>
            </w:r>
            <w:r>
              <w:t>, jf. lovbemærkningerne til L 582 af 18. juni 2012 om ændring af lov om kommunal udligning og generelle tilskud til kommuner (Justeringer af udligning</w:t>
            </w:r>
            <w:r>
              <w:t>s</w:t>
            </w:r>
            <w:r>
              <w:t>systemet)</w:t>
            </w:r>
            <w:r w:rsidRPr="00AD1036">
              <w:t>.</w:t>
            </w:r>
            <w:r>
              <w:t xml:space="preserve"> Økonomi- og indenrigsmin</w:t>
            </w:r>
            <w:r>
              <w:t>i</w:t>
            </w:r>
            <w:r>
              <w:t>steren kan fastsætte nærmere regler om, at kommunalbestyrelsen skal udarbejde en redegørelse om, hvorledes det forh</w:t>
            </w:r>
            <w:r>
              <w:t>ø</w:t>
            </w:r>
            <w:r>
              <w:t xml:space="preserve">jede tilskud i henhold til § 20, stk. 1, er anvendt. </w:t>
            </w:r>
          </w:p>
          <w:p w:rsidR="0022376C" w:rsidRDefault="0022376C" w:rsidP="0022376C">
            <w:pPr>
              <w:jc w:val="center"/>
              <w:rPr>
                <w:b/>
              </w:rPr>
            </w:pPr>
            <w:r w:rsidRPr="00762F48">
              <w:rPr>
                <w:b/>
              </w:rPr>
              <w:t>§ 2</w:t>
            </w:r>
          </w:p>
          <w:p w:rsidR="0022376C" w:rsidRDefault="0022376C" w:rsidP="0022376C">
            <w:pPr>
              <w:jc w:val="center"/>
              <w:rPr>
                <w:b/>
              </w:rPr>
            </w:pPr>
          </w:p>
          <w:p w:rsidR="0022376C" w:rsidRDefault="0022376C" w:rsidP="0022376C">
            <w:r>
              <w:t>Loven træder i kraft den 1. juni 2015.</w:t>
            </w:r>
          </w:p>
          <w:p w:rsidR="0022376C" w:rsidRDefault="0022376C" w:rsidP="0022376C"/>
          <w:p w:rsidR="0022376C" w:rsidRDefault="0022376C" w:rsidP="00FB4BE0"/>
        </w:tc>
      </w:tr>
    </w:tbl>
    <w:p w:rsidR="00411D95" w:rsidRDefault="00411D95" w:rsidP="00FB4BE0"/>
    <w:p w:rsidR="00411D95" w:rsidRDefault="00411D95" w:rsidP="00FB4BE0"/>
    <w:p w:rsidR="00411D95" w:rsidRPr="00411D95" w:rsidRDefault="00411D95" w:rsidP="00FB4BE0"/>
    <w:p w:rsidR="00FB4BE0" w:rsidRDefault="00FB4BE0" w:rsidP="00FB4BE0"/>
    <w:p w:rsidR="00FB4BE0" w:rsidRDefault="00FB4BE0" w:rsidP="00FB4BE0"/>
    <w:p w:rsidR="00FB4BE0" w:rsidRDefault="00FB4BE0" w:rsidP="00FB4BE0"/>
    <w:sectPr w:rsidR="00FB4BE0" w:rsidSect="00445C2D">
      <w:headerReference w:type="even" r:id="rId10"/>
      <w:headerReference w:type="default" r:id="rId11"/>
      <w:footerReference w:type="even" r:id="rId12"/>
      <w:footerReference w:type="default" r:id="rId13"/>
      <w:headerReference w:type="first" r:id="rId14"/>
      <w:footerReference w:type="first" r:id="rId15"/>
      <w:pgSz w:w="11906" w:h="16838" w:code="9"/>
      <w:pgMar w:top="1372" w:right="1418" w:bottom="1418" w:left="2835" w:header="720"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97" w:rsidRDefault="00C13997" w:rsidP="000F70B6">
      <w:pPr>
        <w:spacing w:line="240" w:lineRule="auto"/>
      </w:pPr>
      <w:r>
        <w:separator/>
      </w:r>
    </w:p>
  </w:endnote>
  <w:endnote w:type="continuationSeparator" w:id="0">
    <w:p w:rsidR="00C13997" w:rsidRDefault="00C13997"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91" w:rsidRDefault="000A75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91" w:rsidRDefault="000A7591" w:rsidP="00733570">
    <w:pPr>
      <w:pStyle w:val="Sidefod"/>
      <w:tabs>
        <w:tab w:val="clear" w:pos="4819"/>
        <w:tab w:val="right" w:pos="7655"/>
      </w:tabs>
    </w:pPr>
    <w:r>
      <w:tab/>
    </w:r>
    <w:r>
      <w:fldChar w:fldCharType="begin"/>
    </w:r>
    <w:r>
      <w:instrText xml:space="preserve"> PAGE  \* Arabic </w:instrText>
    </w:r>
    <w:r>
      <w:fldChar w:fldCharType="separate"/>
    </w:r>
    <w:r w:rsidR="009D4F9A">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91" w:rsidRDefault="000A75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97" w:rsidRDefault="00C13997" w:rsidP="000F70B6">
      <w:pPr>
        <w:spacing w:line="240" w:lineRule="auto"/>
      </w:pPr>
      <w:r>
        <w:separator/>
      </w:r>
    </w:p>
  </w:footnote>
  <w:footnote w:type="continuationSeparator" w:id="0">
    <w:p w:rsidR="00C13997" w:rsidRDefault="00C13997"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91" w:rsidRDefault="000A759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91" w:rsidRDefault="000A7591">
    <w:pPr>
      <w:pStyle w:val="Sidehoved"/>
    </w:pPr>
    <w:r>
      <w:rPr>
        <w:noProof/>
      </w:rPr>
      <w:drawing>
        <wp:anchor distT="0" distB="0" distL="114300" distR="114300" simplePos="0" relativeHeight="251658752" behindDoc="0" locked="0" layoutInCell="1" allowOverlap="1">
          <wp:simplePos x="0" y="0"/>
          <wp:positionH relativeFrom="page">
            <wp:posOffset>810260</wp:posOffset>
          </wp:positionH>
          <wp:positionV relativeFrom="page">
            <wp:posOffset>900430</wp:posOffset>
          </wp:positionV>
          <wp:extent cx="3060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91" w:rsidRDefault="000A7591">
    <w:pPr>
      <w:pStyle w:val="Sidehoved"/>
    </w:pPr>
    <w:r>
      <w:rPr>
        <w:noProof/>
      </w:rPr>
      <w:drawing>
        <wp:anchor distT="0" distB="0" distL="114300" distR="114300" simplePos="0" relativeHeight="251656704" behindDoc="0" locked="0" layoutInCell="1" allowOverlap="1">
          <wp:simplePos x="0" y="0"/>
          <wp:positionH relativeFrom="page">
            <wp:posOffset>4857750</wp:posOffset>
          </wp:positionH>
          <wp:positionV relativeFrom="page">
            <wp:posOffset>904875</wp:posOffset>
          </wp:positionV>
          <wp:extent cx="2524125" cy="5619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p w:rsidR="000A7591" w:rsidRDefault="000A759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36032F2"/>
    <w:lvl w:ilvl="0">
      <w:start w:val="1"/>
      <w:numFmt w:val="decimal"/>
      <w:lvlText w:val="%1."/>
      <w:lvlJc w:val="left"/>
      <w:pPr>
        <w:tabs>
          <w:tab w:val="num" w:pos="360"/>
        </w:tabs>
        <w:ind w:left="360" w:hanging="360"/>
      </w:pPr>
    </w:lvl>
  </w:abstractNum>
  <w:abstractNum w:abstractNumId="9">
    <w:nsid w:val="FFFFFF89"/>
    <w:multiLevelType w:val="singleLevel"/>
    <w:tmpl w:val="1486CF0A"/>
    <w:lvl w:ilvl="0">
      <w:start w:val="1"/>
      <w:numFmt w:val="bullet"/>
      <w:lvlText w:val=""/>
      <w:lvlJc w:val="left"/>
      <w:pPr>
        <w:tabs>
          <w:tab w:val="num" w:pos="360"/>
        </w:tabs>
        <w:ind w:left="360" w:hanging="360"/>
      </w:pPr>
      <w:rPr>
        <w:rFonts w:ascii="Symbol" w:hAnsi="Symbol" w:hint="default"/>
      </w:rPr>
    </w:lvl>
  </w:abstractNum>
  <w:abstractNum w:abstractNumId="10">
    <w:nsid w:val="10E0193F"/>
    <w:multiLevelType w:val="hybridMultilevel"/>
    <w:tmpl w:val="94E6B2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F75F0F"/>
    <w:multiLevelType w:val="hybridMultilevel"/>
    <w:tmpl w:val="4ECC5C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59BA098C"/>
    <w:multiLevelType w:val="hybridMultilevel"/>
    <w:tmpl w:val="E8BE783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5">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15"/>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AA"/>
    <w:rsid w:val="00002597"/>
    <w:rsid w:val="00010108"/>
    <w:rsid w:val="00011649"/>
    <w:rsid w:val="000120E9"/>
    <w:rsid w:val="00015654"/>
    <w:rsid w:val="000241E5"/>
    <w:rsid w:val="0003116C"/>
    <w:rsid w:val="000324C2"/>
    <w:rsid w:val="000329F9"/>
    <w:rsid w:val="00034BBE"/>
    <w:rsid w:val="00041B86"/>
    <w:rsid w:val="00046BCD"/>
    <w:rsid w:val="00064B69"/>
    <w:rsid w:val="00066AC4"/>
    <w:rsid w:val="0007373F"/>
    <w:rsid w:val="00085ECD"/>
    <w:rsid w:val="00085F66"/>
    <w:rsid w:val="0009279B"/>
    <w:rsid w:val="00092D6A"/>
    <w:rsid w:val="00097635"/>
    <w:rsid w:val="000A4D52"/>
    <w:rsid w:val="000A5F83"/>
    <w:rsid w:val="000A647D"/>
    <w:rsid w:val="000A7591"/>
    <w:rsid w:val="000B64A8"/>
    <w:rsid w:val="000C12C6"/>
    <w:rsid w:val="000C1562"/>
    <w:rsid w:val="000C1F1C"/>
    <w:rsid w:val="000C20C6"/>
    <w:rsid w:val="000E3970"/>
    <w:rsid w:val="000E4285"/>
    <w:rsid w:val="000E49CD"/>
    <w:rsid w:val="000E6638"/>
    <w:rsid w:val="000E6F9C"/>
    <w:rsid w:val="000F3BC2"/>
    <w:rsid w:val="000F70B6"/>
    <w:rsid w:val="000F765E"/>
    <w:rsid w:val="001029BF"/>
    <w:rsid w:val="00107807"/>
    <w:rsid w:val="00113ADA"/>
    <w:rsid w:val="0011664C"/>
    <w:rsid w:val="0011769E"/>
    <w:rsid w:val="00117B37"/>
    <w:rsid w:val="001247F2"/>
    <w:rsid w:val="00133FFE"/>
    <w:rsid w:val="001343F0"/>
    <w:rsid w:val="00140435"/>
    <w:rsid w:val="00142AF9"/>
    <w:rsid w:val="00146F71"/>
    <w:rsid w:val="001537F6"/>
    <w:rsid w:val="0015387B"/>
    <w:rsid w:val="00156AA8"/>
    <w:rsid w:val="00165C04"/>
    <w:rsid w:val="00170647"/>
    <w:rsid w:val="00170885"/>
    <w:rsid w:val="00171187"/>
    <w:rsid w:val="00172A8A"/>
    <w:rsid w:val="00175C7B"/>
    <w:rsid w:val="00177868"/>
    <w:rsid w:val="00186D31"/>
    <w:rsid w:val="00192DA1"/>
    <w:rsid w:val="00193019"/>
    <w:rsid w:val="001A62AB"/>
    <w:rsid w:val="001B28C2"/>
    <w:rsid w:val="001B46B7"/>
    <w:rsid w:val="001B47A2"/>
    <w:rsid w:val="001C44D1"/>
    <w:rsid w:val="001C56CA"/>
    <w:rsid w:val="001C6811"/>
    <w:rsid w:val="001D020C"/>
    <w:rsid w:val="001D5B41"/>
    <w:rsid w:val="001E3ABE"/>
    <w:rsid w:val="001E3E29"/>
    <w:rsid w:val="001E5E1E"/>
    <w:rsid w:val="001F4168"/>
    <w:rsid w:val="001F53F1"/>
    <w:rsid w:val="00200C02"/>
    <w:rsid w:val="00205472"/>
    <w:rsid w:val="00212C5E"/>
    <w:rsid w:val="00217698"/>
    <w:rsid w:val="0022376C"/>
    <w:rsid w:val="00224B04"/>
    <w:rsid w:val="00225EF5"/>
    <w:rsid w:val="002435BB"/>
    <w:rsid w:val="0024361F"/>
    <w:rsid w:val="002460D8"/>
    <w:rsid w:val="002511C1"/>
    <w:rsid w:val="002538D2"/>
    <w:rsid w:val="00254302"/>
    <w:rsid w:val="00260609"/>
    <w:rsid w:val="002610A8"/>
    <w:rsid w:val="0027181B"/>
    <w:rsid w:val="00280A33"/>
    <w:rsid w:val="002839C5"/>
    <w:rsid w:val="00293145"/>
    <w:rsid w:val="00294F7F"/>
    <w:rsid w:val="002A7E03"/>
    <w:rsid w:val="002B3D60"/>
    <w:rsid w:val="002C275F"/>
    <w:rsid w:val="002C4C89"/>
    <w:rsid w:val="002D2211"/>
    <w:rsid w:val="002E059F"/>
    <w:rsid w:val="002E0ABC"/>
    <w:rsid w:val="002F0F61"/>
    <w:rsid w:val="002F312D"/>
    <w:rsid w:val="002F5DE5"/>
    <w:rsid w:val="002F6E13"/>
    <w:rsid w:val="002F7E44"/>
    <w:rsid w:val="00307727"/>
    <w:rsid w:val="003108CC"/>
    <w:rsid w:val="00312CA6"/>
    <w:rsid w:val="003171DA"/>
    <w:rsid w:val="00327F1D"/>
    <w:rsid w:val="00331722"/>
    <w:rsid w:val="00331BA0"/>
    <w:rsid w:val="003362E8"/>
    <w:rsid w:val="00336BAF"/>
    <w:rsid w:val="003477AD"/>
    <w:rsid w:val="0035408E"/>
    <w:rsid w:val="00357A5F"/>
    <w:rsid w:val="00365496"/>
    <w:rsid w:val="00366B5B"/>
    <w:rsid w:val="00371EAF"/>
    <w:rsid w:val="00385FCF"/>
    <w:rsid w:val="0038772F"/>
    <w:rsid w:val="00387931"/>
    <w:rsid w:val="0039102E"/>
    <w:rsid w:val="0039145F"/>
    <w:rsid w:val="003934A6"/>
    <w:rsid w:val="00394A39"/>
    <w:rsid w:val="00394F4B"/>
    <w:rsid w:val="003B1233"/>
    <w:rsid w:val="003B7DCE"/>
    <w:rsid w:val="003C2046"/>
    <w:rsid w:val="003C3DF8"/>
    <w:rsid w:val="003C777A"/>
    <w:rsid w:val="003D4FCE"/>
    <w:rsid w:val="003E3D5D"/>
    <w:rsid w:val="003E435A"/>
    <w:rsid w:val="003E47DA"/>
    <w:rsid w:val="003E4909"/>
    <w:rsid w:val="003F1F41"/>
    <w:rsid w:val="0040382C"/>
    <w:rsid w:val="00411D95"/>
    <w:rsid w:val="00412029"/>
    <w:rsid w:val="00412818"/>
    <w:rsid w:val="0041407B"/>
    <w:rsid w:val="00414334"/>
    <w:rsid w:val="00414D9E"/>
    <w:rsid w:val="00415758"/>
    <w:rsid w:val="004210F0"/>
    <w:rsid w:val="004216B1"/>
    <w:rsid w:val="00421AEE"/>
    <w:rsid w:val="004236D2"/>
    <w:rsid w:val="004345B2"/>
    <w:rsid w:val="00440258"/>
    <w:rsid w:val="0044147F"/>
    <w:rsid w:val="00442CB0"/>
    <w:rsid w:val="00442F0F"/>
    <w:rsid w:val="00445C2D"/>
    <w:rsid w:val="00445C47"/>
    <w:rsid w:val="00452573"/>
    <w:rsid w:val="00467683"/>
    <w:rsid w:val="00471DDF"/>
    <w:rsid w:val="00472927"/>
    <w:rsid w:val="00481298"/>
    <w:rsid w:val="0048635F"/>
    <w:rsid w:val="00486E65"/>
    <w:rsid w:val="004905EE"/>
    <w:rsid w:val="00490DB8"/>
    <w:rsid w:val="004927A8"/>
    <w:rsid w:val="004947AF"/>
    <w:rsid w:val="00494A37"/>
    <w:rsid w:val="004A0FB7"/>
    <w:rsid w:val="004A458B"/>
    <w:rsid w:val="004A4BB5"/>
    <w:rsid w:val="004A5722"/>
    <w:rsid w:val="004A58CB"/>
    <w:rsid w:val="004A7F82"/>
    <w:rsid w:val="004B0FD3"/>
    <w:rsid w:val="004B4F4C"/>
    <w:rsid w:val="004B5255"/>
    <w:rsid w:val="004B7905"/>
    <w:rsid w:val="004C1E6C"/>
    <w:rsid w:val="004C33A5"/>
    <w:rsid w:val="004C3EBE"/>
    <w:rsid w:val="004D0441"/>
    <w:rsid w:val="004D0613"/>
    <w:rsid w:val="004D4083"/>
    <w:rsid w:val="004D4714"/>
    <w:rsid w:val="004E29A2"/>
    <w:rsid w:val="004E52F7"/>
    <w:rsid w:val="004E7D2C"/>
    <w:rsid w:val="004F16ED"/>
    <w:rsid w:val="004F26B2"/>
    <w:rsid w:val="004F4E9A"/>
    <w:rsid w:val="004F5D20"/>
    <w:rsid w:val="0050423B"/>
    <w:rsid w:val="005063DF"/>
    <w:rsid w:val="00511CF8"/>
    <w:rsid w:val="00512DF8"/>
    <w:rsid w:val="0051408B"/>
    <w:rsid w:val="00520C0F"/>
    <w:rsid w:val="00532289"/>
    <w:rsid w:val="00532BF3"/>
    <w:rsid w:val="00534398"/>
    <w:rsid w:val="00535A82"/>
    <w:rsid w:val="00536BDB"/>
    <w:rsid w:val="00551604"/>
    <w:rsid w:val="00554099"/>
    <w:rsid w:val="00555602"/>
    <w:rsid w:val="00555B97"/>
    <w:rsid w:val="005622CA"/>
    <w:rsid w:val="005642B8"/>
    <w:rsid w:val="00564791"/>
    <w:rsid w:val="00565257"/>
    <w:rsid w:val="00570428"/>
    <w:rsid w:val="00570E96"/>
    <w:rsid w:val="00576470"/>
    <w:rsid w:val="005776C0"/>
    <w:rsid w:val="00590234"/>
    <w:rsid w:val="005908F7"/>
    <w:rsid w:val="005930E4"/>
    <w:rsid w:val="00593326"/>
    <w:rsid w:val="005938BD"/>
    <w:rsid w:val="005964CC"/>
    <w:rsid w:val="005B79CF"/>
    <w:rsid w:val="005C04AA"/>
    <w:rsid w:val="005C339F"/>
    <w:rsid w:val="005C3A12"/>
    <w:rsid w:val="005C53A8"/>
    <w:rsid w:val="005D2038"/>
    <w:rsid w:val="005D4A5C"/>
    <w:rsid w:val="005E0834"/>
    <w:rsid w:val="005E179C"/>
    <w:rsid w:val="005E7051"/>
    <w:rsid w:val="005F47FF"/>
    <w:rsid w:val="00611AE0"/>
    <w:rsid w:val="006129B1"/>
    <w:rsid w:val="006137D5"/>
    <w:rsid w:val="00615F8D"/>
    <w:rsid w:val="00616980"/>
    <w:rsid w:val="00621218"/>
    <w:rsid w:val="00635A36"/>
    <w:rsid w:val="006419FE"/>
    <w:rsid w:val="00641B0A"/>
    <w:rsid w:val="006423AA"/>
    <w:rsid w:val="0064306B"/>
    <w:rsid w:val="00646354"/>
    <w:rsid w:val="00654DBC"/>
    <w:rsid w:val="00655A7A"/>
    <w:rsid w:val="00661D2B"/>
    <w:rsid w:val="00664ECB"/>
    <w:rsid w:val="006670EF"/>
    <w:rsid w:val="00682B52"/>
    <w:rsid w:val="00686A5C"/>
    <w:rsid w:val="006957ED"/>
    <w:rsid w:val="00696A29"/>
    <w:rsid w:val="006971E6"/>
    <w:rsid w:val="006A042C"/>
    <w:rsid w:val="006A3360"/>
    <w:rsid w:val="006A38CB"/>
    <w:rsid w:val="006A710C"/>
    <w:rsid w:val="006B2DAF"/>
    <w:rsid w:val="006B5D12"/>
    <w:rsid w:val="006C2EB9"/>
    <w:rsid w:val="006C2FE1"/>
    <w:rsid w:val="006D15AE"/>
    <w:rsid w:val="006D3A64"/>
    <w:rsid w:val="006D7455"/>
    <w:rsid w:val="006E2E88"/>
    <w:rsid w:val="006E75AF"/>
    <w:rsid w:val="006F1461"/>
    <w:rsid w:val="006F3190"/>
    <w:rsid w:val="006F4EC7"/>
    <w:rsid w:val="006F768A"/>
    <w:rsid w:val="00704DEE"/>
    <w:rsid w:val="00704FAD"/>
    <w:rsid w:val="0070502D"/>
    <w:rsid w:val="007057F8"/>
    <w:rsid w:val="00705BC7"/>
    <w:rsid w:val="007068C2"/>
    <w:rsid w:val="00707960"/>
    <w:rsid w:val="00715307"/>
    <w:rsid w:val="00716847"/>
    <w:rsid w:val="007246CB"/>
    <w:rsid w:val="00726176"/>
    <w:rsid w:val="00727EE9"/>
    <w:rsid w:val="00733570"/>
    <w:rsid w:val="0073767B"/>
    <w:rsid w:val="00752417"/>
    <w:rsid w:val="007525E6"/>
    <w:rsid w:val="007608E4"/>
    <w:rsid w:val="00762695"/>
    <w:rsid w:val="007626B7"/>
    <w:rsid w:val="00762F48"/>
    <w:rsid w:val="00772318"/>
    <w:rsid w:val="00775833"/>
    <w:rsid w:val="00784FE9"/>
    <w:rsid w:val="007878CC"/>
    <w:rsid w:val="00792E6C"/>
    <w:rsid w:val="00795716"/>
    <w:rsid w:val="007A2CC7"/>
    <w:rsid w:val="007A3766"/>
    <w:rsid w:val="007B5618"/>
    <w:rsid w:val="007C068A"/>
    <w:rsid w:val="007C104F"/>
    <w:rsid w:val="007C6E7D"/>
    <w:rsid w:val="007C7A16"/>
    <w:rsid w:val="007D00D8"/>
    <w:rsid w:val="007D0343"/>
    <w:rsid w:val="007D0AD6"/>
    <w:rsid w:val="007D2996"/>
    <w:rsid w:val="007E11D8"/>
    <w:rsid w:val="007E6A85"/>
    <w:rsid w:val="007F6937"/>
    <w:rsid w:val="007F74FF"/>
    <w:rsid w:val="008043AB"/>
    <w:rsid w:val="00813F23"/>
    <w:rsid w:val="00824F67"/>
    <w:rsid w:val="00833E8F"/>
    <w:rsid w:val="00840EDF"/>
    <w:rsid w:val="0084210F"/>
    <w:rsid w:val="0084343D"/>
    <w:rsid w:val="00846635"/>
    <w:rsid w:val="0084690E"/>
    <w:rsid w:val="00847DFA"/>
    <w:rsid w:val="008516B2"/>
    <w:rsid w:val="0086224B"/>
    <w:rsid w:val="008644BE"/>
    <w:rsid w:val="00865258"/>
    <w:rsid w:val="00867D68"/>
    <w:rsid w:val="00872582"/>
    <w:rsid w:val="00875535"/>
    <w:rsid w:val="00882366"/>
    <w:rsid w:val="0088340D"/>
    <w:rsid w:val="00883744"/>
    <w:rsid w:val="00886C07"/>
    <w:rsid w:val="00895282"/>
    <w:rsid w:val="008A0EDF"/>
    <w:rsid w:val="008A28E9"/>
    <w:rsid w:val="008A37A7"/>
    <w:rsid w:val="008A4184"/>
    <w:rsid w:val="008B6BB3"/>
    <w:rsid w:val="008C2806"/>
    <w:rsid w:val="008C3BA7"/>
    <w:rsid w:val="008C61F5"/>
    <w:rsid w:val="008D19B8"/>
    <w:rsid w:val="008D675E"/>
    <w:rsid w:val="008E19D9"/>
    <w:rsid w:val="008E54F5"/>
    <w:rsid w:val="008F003F"/>
    <w:rsid w:val="008F018E"/>
    <w:rsid w:val="008F2DCE"/>
    <w:rsid w:val="00900638"/>
    <w:rsid w:val="00904498"/>
    <w:rsid w:val="009239E2"/>
    <w:rsid w:val="00943157"/>
    <w:rsid w:val="00945998"/>
    <w:rsid w:val="009503A4"/>
    <w:rsid w:val="00960B2F"/>
    <w:rsid w:val="00962D9B"/>
    <w:rsid w:val="00971C10"/>
    <w:rsid w:val="00984BC2"/>
    <w:rsid w:val="00985AB5"/>
    <w:rsid w:val="00993B20"/>
    <w:rsid w:val="00996534"/>
    <w:rsid w:val="009A2E8E"/>
    <w:rsid w:val="009B4831"/>
    <w:rsid w:val="009B4C37"/>
    <w:rsid w:val="009C39ED"/>
    <w:rsid w:val="009D0B9F"/>
    <w:rsid w:val="009D260A"/>
    <w:rsid w:val="009D3F78"/>
    <w:rsid w:val="009D4F9A"/>
    <w:rsid w:val="009D69F9"/>
    <w:rsid w:val="009E3BF6"/>
    <w:rsid w:val="009E3E19"/>
    <w:rsid w:val="009E7BA3"/>
    <w:rsid w:val="009F7587"/>
    <w:rsid w:val="00A03E6A"/>
    <w:rsid w:val="00A0487D"/>
    <w:rsid w:val="00A05A78"/>
    <w:rsid w:val="00A063D5"/>
    <w:rsid w:val="00A063ED"/>
    <w:rsid w:val="00A1107A"/>
    <w:rsid w:val="00A16C26"/>
    <w:rsid w:val="00A23008"/>
    <w:rsid w:val="00A23534"/>
    <w:rsid w:val="00A25139"/>
    <w:rsid w:val="00A26C04"/>
    <w:rsid w:val="00A330BA"/>
    <w:rsid w:val="00A33736"/>
    <w:rsid w:val="00A359F2"/>
    <w:rsid w:val="00A36A1A"/>
    <w:rsid w:val="00A375CC"/>
    <w:rsid w:val="00A53A0B"/>
    <w:rsid w:val="00A64065"/>
    <w:rsid w:val="00A67C5F"/>
    <w:rsid w:val="00A67E1B"/>
    <w:rsid w:val="00A726D5"/>
    <w:rsid w:val="00A73017"/>
    <w:rsid w:val="00A75D3F"/>
    <w:rsid w:val="00A76EED"/>
    <w:rsid w:val="00A816AA"/>
    <w:rsid w:val="00A82A76"/>
    <w:rsid w:val="00A876EB"/>
    <w:rsid w:val="00A910B7"/>
    <w:rsid w:val="00A9160F"/>
    <w:rsid w:val="00A91BE6"/>
    <w:rsid w:val="00A967DC"/>
    <w:rsid w:val="00AA47F4"/>
    <w:rsid w:val="00AA601A"/>
    <w:rsid w:val="00AA665C"/>
    <w:rsid w:val="00AA76D2"/>
    <w:rsid w:val="00AB5627"/>
    <w:rsid w:val="00AB6606"/>
    <w:rsid w:val="00AB7229"/>
    <w:rsid w:val="00AC2A71"/>
    <w:rsid w:val="00AC466C"/>
    <w:rsid w:val="00AD0436"/>
    <w:rsid w:val="00AD1036"/>
    <w:rsid w:val="00AD329A"/>
    <w:rsid w:val="00AE2604"/>
    <w:rsid w:val="00AE3FDF"/>
    <w:rsid w:val="00AE567C"/>
    <w:rsid w:val="00AF0EB6"/>
    <w:rsid w:val="00AF357E"/>
    <w:rsid w:val="00B0189F"/>
    <w:rsid w:val="00B044FE"/>
    <w:rsid w:val="00B05A4A"/>
    <w:rsid w:val="00B11028"/>
    <w:rsid w:val="00B138FC"/>
    <w:rsid w:val="00B1562C"/>
    <w:rsid w:val="00B17DF1"/>
    <w:rsid w:val="00B2628E"/>
    <w:rsid w:val="00B33CE2"/>
    <w:rsid w:val="00B41DFA"/>
    <w:rsid w:val="00B61634"/>
    <w:rsid w:val="00B6563C"/>
    <w:rsid w:val="00B6771D"/>
    <w:rsid w:val="00B7061F"/>
    <w:rsid w:val="00B70F8B"/>
    <w:rsid w:val="00B73763"/>
    <w:rsid w:val="00B80428"/>
    <w:rsid w:val="00B806B9"/>
    <w:rsid w:val="00B86438"/>
    <w:rsid w:val="00B8769C"/>
    <w:rsid w:val="00B965FC"/>
    <w:rsid w:val="00BA30FD"/>
    <w:rsid w:val="00BA34FD"/>
    <w:rsid w:val="00BA7140"/>
    <w:rsid w:val="00BA79B6"/>
    <w:rsid w:val="00BC454A"/>
    <w:rsid w:val="00BC6E33"/>
    <w:rsid w:val="00BD04CC"/>
    <w:rsid w:val="00BD6603"/>
    <w:rsid w:val="00BE10F5"/>
    <w:rsid w:val="00BE16BD"/>
    <w:rsid w:val="00BE1E13"/>
    <w:rsid w:val="00BE332A"/>
    <w:rsid w:val="00BE6EA4"/>
    <w:rsid w:val="00BF089F"/>
    <w:rsid w:val="00C004C1"/>
    <w:rsid w:val="00C018BE"/>
    <w:rsid w:val="00C040EF"/>
    <w:rsid w:val="00C12603"/>
    <w:rsid w:val="00C13997"/>
    <w:rsid w:val="00C44198"/>
    <w:rsid w:val="00C475AD"/>
    <w:rsid w:val="00C53F60"/>
    <w:rsid w:val="00C55320"/>
    <w:rsid w:val="00C553E4"/>
    <w:rsid w:val="00C554BC"/>
    <w:rsid w:val="00C56438"/>
    <w:rsid w:val="00C56746"/>
    <w:rsid w:val="00C60B42"/>
    <w:rsid w:val="00C60C47"/>
    <w:rsid w:val="00C60F06"/>
    <w:rsid w:val="00C65241"/>
    <w:rsid w:val="00C715D1"/>
    <w:rsid w:val="00C74E1B"/>
    <w:rsid w:val="00C77C8A"/>
    <w:rsid w:val="00C827F7"/>
    <w:rsid w:val="00C8523A"/>
    <w:rsid w:val="00C95DB9"/>
    <w:rsid w:val="00CA218E"/>
    <w:rsid w:val="00CA308A"/>
    <w:rsid w:val="00CA4EC8"/>
    <w:rsid w:val="00CA7FBC"/>
    <w:rsid w:val="00CB3981"/>
    <w:rsid w:val="00CB421C"/>
    <w:rsid w:val="00CB6BF0"/>
    <w:rsid w:val="00CC2F7B"/>
    <w:rsid w:val="00CD6726"/>
    <w:rsid w:val="00CE382A"/>
    <w:rsid w:val="00CE7E87"/>
    <w:rsid w:val="00CF13CF"/>
    <w:rsid w:val="00CF14BC"/>
    <w:rsid w:val="00CF3159"/>
    <w:rsid w:val="00CF4739"/>
    <w:rsid w:val="00CF6462"/>
    <w:rsid w:val="00D0183F"/>
    <w:rsid w:val="00D02915"/>
    <w:rsid w:val="00D07D45"/>
    <w:rsid w:val="00D12422"/>
    <w:rsid w:val="00D143DC"/>
    <w:rsid w:val="00D14F95"/>
    <w:rsid w:val="00D27318"/>
    <w:rsid w:val="00D32F31"/>
    <w:rsid w:val="00D332BE"/>
    <w:rsid w:val="00D333E2"/>
    <w:rsid w:val="00D42451"/>
    <w:rsid w:val="00D42C9E"/>
    <w:rsid w:val="00D47D65"/>
    <w:rsid w:val="00D52738"/>
    <w:rsid w:val="00D56A45"/>
    <w:rsid w:val="00D61FC8"/>
    <w:rsid w:val="00D64F9A"/>
    <w:rsid w:val="00D6607A"/>
    <w:rsid w:val="00D75F8B"/>
    <w:rsid w:val="00D76990"/>
    <w:rsid w:val="00D779E7"/>
    <w:rsid w:val="00D77F42"/>
    <w:rsid w:val="00D920BC"/>
    <w:rsid w:val="00D94347"/>
    <w:rsid w:val="00D94E1D"/>
    <w:rsid w:val="00DA658E"/>
    <w:rsid w:val="00DB06A9"/>
    <w:rsid w:val="00DB12E6"/>
    <w:rsid w:val="00DB30AB"/>
    <w:rsid w:val="00DC0D46"/>
    <w:rsid w:val="00DC2A2B"/>
    <w:rsid w:val="00DC358E"/>
    <w:rsid w:val="00DE05AA"/>
    <w:rsid w:val="00DE5439"/>
    <w:rsid w:val="00DF7EFD"/>
    <w:rsid w:val="00E002C2"/>
    <w:rsid w:val="00E01762"/>
    <w:rsid w:val="00E030EF"/>
    <w:rsid w:val="00E04A01"/>
    <w:rsid w:val="00E15B1F"/>
    <w:rsid w:val="00E15F91"/>
    <w:rsid w:val="00E20078"/>
    <w:rsid w:val="00E2195C"/>
    <w:rsid w:val="00E234AA"/>
    <w:rsid w:val="00E23D18"/>
    <w:rsid w:val="00E4165E"/>
    <w:rsid w:val="00E43370"/>
    <w:rsid w:val="00E54F1C"/>
    <w:rsid w:val="00E6443C"/>
    <w:rsid w:val="00E65BE1"/>
    <w:rsid w:val="00E7089C"/>
    <w:rsid w:val="00E74C00"/>
    <w:rsid w:val="00E80E18"/>
    <w:rsid w:val="00E85588"/>
    <w:rsid w:val="00EA1B3D"/>
    <w:rsid w:val="00EB0DC4"/>
    <w:rsid w:val="00EB1BCB"/>
    <w:rsid w:val="00EC1ED9"/>
    <w:rsid w:val="00EC2714"/>
    <w:rsid w:val="00EC438A"/>
    <w:rsid w:val="00ED007D"/>
    <w:rsid w:val="00ED1516"/>
    <w:rsid w:val="00ED648C"/>
    <w:rsid w:val="00ED765A"/>
    <w:rsid w:val="00ED7708"/>
    <w:rsid w:val="00EE1CB0"/>
    <w:rsid w:val="00F04D86"/>
    <w:rsid w:val="00F14535"/>
    <w:rsid w:val="00F259DA"/>
    <w:rsid w:val="00F32875"/>
    <w:rsid w:val="00F35FD3"/>
    <w:rsid w:val="00F40209"/>
    <w:rsid w:val="00F41F65"/>
    <w:rsid w:val="00F52CF6"/>
    <w:rsid w:val="00F533F0"/>
    <w:rsid w:val="00F544E9"/>
    <w:rsid w:val="00F60544"/>
    <w:rsid w:val="00F61BFA"/>
    <w:rsid w:val="00F66D34"/>
    <w:rsid w:val="00F728AA"/>
    <w:rsid w:val="00F77B10"/>
    <w:rsid w:val="00F857DF"/>
    <w:rsid w:val="00F858B8"/>
    <w:rsid w:val="00F867F5"/>
    <w:rsid w:val="00F878F7"/>
    <w:rsid w:val="00F908E5"/>
    <w:rsid w:val="00F92B87"/>
    <w:rsid w:val="00F92EDF"/>
    <w:rsid w:val="00F94E75"/>
    <w:rsid w:val="00FA705D"/>
    <w:rsid w:val="00FB229E"/>
    <w:rsid w:val="00FB4BE0"/>
    <w:rsid w:val="00FC080E"/>
    <w:rsid w:val="00FC0D61"/>
    <w:rsid w:val="00FD3FAB"/>
    <w:rsid w:val="00FD7083"/>
    <w:rsid w:val="00FF0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7807"/>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107807"/>
    <w:pPr>
      <w:keepNext/>
      <w:keepLines/>
      <w:spacing w:after="360" w:line="360" w:lineRule="atLeast"/>
      <w:contextualSpacing/>
      <w:outlineLvl w:val="0"/>
    </w:pPr>
    <w:rPr>
      <w:rFonts w:eastAsia="Times New Roman" w:cs="Times New Roman"/>
      <w:bCs/>
      <w:sz w:val="30"/>
      <w:szCs w:val="28"/>
    </w:rPr>
  </w:style>
  <w:style w:type="paragraph" w:styleId="Overskrift2">
    <w:name w:val="heading 2"/>
    <w:basedOn w:val="Normal"/>
    <w:next w:val="Normal"/>
    <w:link w:val="Overskrift2Tegn"/>
    <w:uiPriority w:val="1"/>
    <w:qFormat/>
    <w:rsid w:val="006E2E88"/>
    <w:pPr>
      <w:keepNext/>
      <w:keepLines/>
      <w:spacing w:before="400" w:after="120"/>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107807"/>
    <w:rPr>
      <w:rFonts w:ascii="Arial" w:eastAsia="Times New Roman" w:hAnsi="Arial"/>
      <w:bCs/>
      <w:sz w:val="30"/>
      <w:szCs w:val="28"/>
    </w:rPr>
  </w:style>
  <w:style w:type="character" w:customStyle="1" w:styleId="Overskrift2Tegn">
    <w:name w:val="Overskrift 2 Tegn"/>
    <w:link w:val="Overskrift2"/>
    <w:uiPriority w:val="1"/>
    <w:rsid w:val="006E2E88"/>
    <w:rPr>
      <w:rFonts w:ascii="Arial" w:eastAsia="Times New Roman" w:hAnsi="Arial"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paragraph" w:styleId="Listeafsnit">
    <w:name w:val="List Paragraph"/>
    <w:basedOn w:val="Normal"/>
    <w:uiPriority w:val="34"/>
    <w:qFormat/>
    <w:rsid w:val="00762F48"/>
    <w:pPr>
      <w:ind w:left="720"/>
      <w:contextualSpacing/>
    </w:pPr>
  </w:style>
  <w:style w:type="character" w:styleId="Kommentarhenvisning">
    <w:name w:val="annotation reference"/>
    <w:basedOn w:val="Standardskrifttypeiafsnit"/>
    <w:uiPriority w:val="99"/>
    <w:semiHidden/>
    <w:rsid w:val="00664ECB"/>
    <w:rPr>
      <w:sz w:val="16"/>
      <w:szCs w:val="16"/>
    </w:rPr>
  </w:style>
  <w:style w:type="paragraph" w:styleId="Kommentartekst">
    <w:name w:val="annotation text"/>
    <w:basedOn w:val="Normal"/>
    <w:link w:val="KommentartekstTegn"/>
    <w:uiPriority w:val="99"/>
    <w:semiHidden/>
    <w:rsid w:val="00664ECB"/>
    <w:pPr>
      <w:spacing w:line="240" w:lineRule="auto"/>
    </w:pPr>
    <w:rPr>
      <w:szCs w:val="20"/>
    </w:rPr>
  </w:style>
  <w:style w:type="character" w:customStyle="1" w:styleId="KommentartekstTegn">
    <w:name w:val="Kommentartekst Tegn"/>
    <w:basedOn w:val="Standardskrifttypeiafsnit"/>
    <w:link w:val="Kommentartekst"/>
    <w:uiPriority w:val="99"/>
    <w:semiHidden/>
    <w:rsid w:val="00664ECB"/>
    <w:rPr>
      <w:rFonts w:ascii="Arial" w:hAnsi="Arial" w:cs="Calibri"/>
    </w:rPr>
  </w:style>
  <w:style w:type="paragraph" w:styleId="Kommentaremne">
    <w:name w:val="annotation subject"/>
    <w:basedOn w:val="Kommentartekst"/>
    <w:next w:val="Kommentartekst"/>
    <w:link w:val="KommentaremneTegn"/>
    <w:uiPriority w:val="99"/>
    <w:semiHidden/>
    <w:rsid w:val="00664ECB"/>
    <w:rPr>
      <w:b/>
      <w:bCs/>
    </w:rPr>
  </w:style>
  <w:style w:type="character" w:customStyle="1" w:styleId="KommentaremneTegn">
    <w:name w:val="Kommentaremne Tegn"/>
    <w:basedOn w:val="KommentartekstTegn"/>
    <w:link w:val="Kommentaremne"/>
    <w:uiPriority w:val="99"/>
    <w:semiHidden/>
    <w:rsid w:val="00664ECB"/>
    <w:rPr>
      <w:rFonts w:ascii="Arial" w:hAnsi="Arial"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7807"/>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107807"/>
    <w:pPr>
      <w:keepNext/>
      <w:keepLines/>
      <w:spacing w:after="360" w:line="360" w:lineRule="atLeast"/>
      <w:contextualSpacing/>
      <w:outlineLvl w:val="0"/>
    </w:pPr>
    <w:rPr>
      <w:rFonts w:eastAsia="Times New Roman" w:cs="Times New Roman"/>
      <w:bCs/>
      <w:sz w:val="30"/>
      <w:szCs w:val="28"/>
    </w:rPr>
  </w:style>
  <w:style w:type="paragraph" w:styleId="Overskrift2">
    <w:name w:val="heading 2"/>
    <w:basedOn w:val="Normal"/>
    <w:next w:val="Normal"/>
    <w:link w:val="Overskrift2Tegn"/>
    <w:uiPriority w:val="1"/>
    <w:qFormat/>
    <w:rsid w:val="006E2E88"/>
    <w:pPr>
      <w:keepNext/>
      <w:keepLines/>
      <w:spacing w:before="400" w:after="120"/>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107807"/>
    <w:rPr>
      <w:rFonts w:ascii="Arial" w:eastAsia="Times New Roman" w:hAnsi="Arial"/>
      <w:bCs/>
      <w:sz w:val="30"/>
      <w:szCs w:val="28"/>
    </w:rPr>
  </w:style>
  <w:style w:type="character" w:customStyle="1" w:styleId="Overskrift2Tegn">
    <w:name w:val="Overskrift 2 Tegn"/>
    <w:link w:val="Overskrift2"/>
    <w:uiPriority w:val="1"/>
    <w:rsid w:val="006E2E88"/>
    <w:rPr>
      <w:rFonts w:ascii="Arial" w:eastAsia="Times New Roman" w:hAnsi="Arial"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paragraph" w:styleId="Listeafsnit">
    <w:name w:val="List Paragraph"/>
    <w:basedOn w:val="Normal"/>
    <w:uiPriority w:val="34"/>
    <w:qFormat/>
    <w:rsid w:val="00762F48"/>
    <w:pPr>
      <w:ind w:left="720"/>
      <w:contextualSpacing/>
    </w:pPr>
  </w:style>
  <w:style w:type="character" w:styleId="Kommentarhenvisning">
    <w:name w:val="annotation reference"/>
    <w:basedOn w:val="Standardskrifttypeiafsnit"/>
    <w:uiPriority w:val="99"/>
    <w:semiHidden/>
    <w:rsid w:val="00664ECB"/>
    <w:rPr>
      <w:sz w:val="16"/>
      <w:szCs w:val="16"/>
    </w:rPr>
  </w:style>
  <w:style w:type="paragraph" w:styleId="Kommentartekst">
    <w:name w:val="annotation text"/>
    <w:basedOn w:val="Normal"/>
    <w:link w:val="KommentartekstTegn"/>
    <w:uiPriority w:val="99"/>
    <w:semiHidden/>
    <w:rsid w:val="00664ECB"/>
    <w:pPr>
      <w:spacing w:line="240" w:lineRule="auto"/>
    </w:pPr>
    <w:rPr>
      <w:szCs w:val="20"/>
    </w:rPr>
  </w:style>
  <w:style w:type="character" w:customStyle="1" w:styleId="KommentartekstTegn">
    <w:name w:val="Kommentartekst Tegn"/>
    <w:basedOn w:val="Standardskrifttypeiafsnit"/>
    <w:link w:val="Kommentartekst"/>
    <w:uiPriority w:val="99"/>
    <w:semiHidden/>
    <w:rsid w:val="00664ECB"/>
    <w:rPr>
      <w:rFonts w:ascii="Arial" w:hAnsi="Arial" w:cs="Calibri"/>
    </w:rPr>
  </w:style>
  <w:style w:type="paragraph" w:styleId="Kommentaremne">
    <w:name w:val="annotation subject"/>
    <w:basedOn w:val="Kommentartekst"/>
    <w:next w:val="Kommentartekst"/>
    <w:link w:val="KommentaremneTegn"/>
    <w:uiPriority w:val="99"/>
    <w:semiHidden/>
    <w:rsid w:val="00664ECB"/>
    <w:rPr>
      <w:b/>
      <w:bCs/>
    </w:rPr>
  </w:style>
  <w:style w:type="character" w:customStyle="1" w:styleId="KommentaremneTegn">
    <w:name w:val="Kommentaremne Tegn"/>
    <w:basedOn w:val="KommentartekstTegn"/>
    <w:link w:val="Kommentaremne"/>
    <w:uiPriority w:val="99"/>
    <w:semiHidden/>
    <w:rsid w:val="00664ECB"/>
    <w:rPr>
      <w:rFonts w:ascii="Arial" w:hAnsi="Arial"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mb\AppData\Local\cBrain\F2\.tmp\1224d10d-74f9-465e-9aff-f15c6423d30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174AFF2C-A4D5-418D-A5BC-BD401FDF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1224d10d-74f9-465e-9aff-f15c6423d300</Template>
  <TotalTime>0</TotalTime>
  <Pages>10</Pages>
  <Words>3317</Words>
  <Characters>20236</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Mona Boel Østergaard</dc:creator>
  <cp:lastModifiedBy>Karin Jørgensen</cp:lastModifiedBy>
  <cp:revision>2</cp:revision>
  <cp:lastPrinted>2015-01-16T15:05:00Z</cp:lastPrinted>
  <dcterms:created xsi:type="dcterms:W3CDTF">2015-01-19T13:12:00Z</dcterms:created>
  <dcterms:modified xsi:type="dcterms:W3CDTF">2015-01-19T13:12:00Z</dcterms:modified>
</cp:coreProperties>
</file>