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AFC38" w14:textId="43F80218" w:rsidR="005E3FC3" w:rsidRPr="00A86F72" w:rsidRDefault="00411CC6" w:rsidP="007D7217">
      <w:pPr>
        <w:pStyle w:val="Overskrift2"/>
        <w:rPr>
          <w:b w:val="0"/>
        </w:rPr>
      </w:pPr>
      <w:bookmarkStart w:id="0" w:name="_Toc40705901"/>
      <w:bookmarkStart w:id="1" w:name="_GoBack"/>
      <w:bookmarkEnd w:id="1"/>
      <w:r w:rsidRPr="00A86F72">
        <w:rPr>
          <w:b w:val="0"/>
        </w:rPr>
        <w:t>H</w:t>
      </w:r>
      <w:r w:rsidR="00E5671E" w:rsidRPr="00A86F72">
        <w:rPr>
          <w:b w:val="0"/>
        </w:rPr>
        <w:t xml:space="preserve">øringsnotat vedrørende </w:t>
      </w:r>
      <w:r w:rsidR="00EE05EB" w:rsidRPr="00A86F72">
        <w:rPr>
          <w:b w:val="0"/>
        </w:rPr>
        <w:t>udkast til Bekendtgørelse om tilskud til energibesparelser og energieffektiviseringer i erhvervsvirksomheder (erhvervspuljen)</w:t>
      </w:r>
      <w:bookmarkEnd w:id="0"/>
      <w:r w:rsidR="008C4708" w:rsidRPr="00A86F72">
        <w:rPr>
          <w:b w:val="0"/>
        </w:rPr>
        <w:t xml:space="preserve"> </w:t>
      </w:r>
    </w:p>
    <w:p w14:paraId="287AA83E" w14:textId="77777777" w:rsidR="00AC60EA" w:rsidRPr="00A86F72" w:rsidRDefault="00AC60EA" w:rsidP="008F2666"/>
    <w:tbl>
      <w:tblPr>
        <w:tblStyle w:val="Tabel-Gitter"/>
        <w:tblpPr w:leftFromText="142" w:rightFromText="142" w:vertAnchor="page" w:tblpX="7712" w:tblpY="28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8F2666" w:rsidRPr="00A86F72" w14:paraId="4BF65555" w14:textId="77777777" w:rsidTr="00A46851">
        <w:tc>
          <w:tcPr>
            <w:tcW w:w="2235" w:type="dxa"/>
          </w:tcPr>
          <w:p w14:paraId="04951956" w14:textId="77777777" w:rsidR="008F2666" w:rsidRPr="00A86F72" w:rsidRDefault="008F2666" w:rsidP="00A46851">
            <w:pPr>
              <w:spacing w:line="220" w:lineRule="exact"/>
              <w:rPr>
                <w:sz w:val="16"/>
                <w:szCs w:val="16"/>
              </w:rPr>
            </w:pPr>
            <w:r w:rsidRPr="00A86F72">
              <w:rPr>
                <w:sz w:val="16"/>
                <w:szCs w:val="16"/>
              </w:rPr>
              <w:t>Kontor/afdeling</w:t>
            </w:r>
          </w:p>
          <w:p w14:paraId="66F99E4E" w14:textId="77777777" w:rsidR="008F2666" w:rsidRPr="00A86F72" w:rsidRDefault="00E5671E" w:rsidP="00A46851">
            <w:pPr>
              <w:spacing w:line="220" w:lineRule="exact"/>
              <w:rPr>
                <w:sz w:val="16"/>
                <w:szCs w:val="16"/>
              </w:rPr>
            </w:pPr>
            <w:r w:rsidRPr="00A86F72">
              <w:rPr>
                <w:sz w:val="16"/>
                <w:szCs w:val="16"/>
              </w:rPr>
              <w:t>Center for energieffektivisering</w:t>
            </w:r>
          </w:p>
          <w:p w14:paraId="113AFAAB" w14:textId="77777777" w:rsidR="00A53C43" w:rsidRPr="00A86F72" w:rsidRDefault="00A53C43" w:rsidP="00A46851">
            <w:pPr>
              <w:spacing w:line="220" w:lineRule="exact"/>
              <w:rPr>
                <w:sz w:val="16"/>
                <w:szCs w:val="16"/>
              </w:rPr>
            </w:pPr>
          </w:p>
          <w:p w14:paraId="1EAF2DEB" w14:textId="77777777" w:rsidR="008F2666" w:rsidRPr="00A86F72" w:rsidRDefault="008F2666" w:rsidP="00A46851">
            <w:pPr>
              <w:spacing w:line="220" w:lineRule="exact"/>
              <w:rPr>
                <w:sz w:val="16"/>
                <w:szCs w:val="16"/>
              </w:rPr>
            </w:pPr>
            <w:r w:rsidRPr="00A86F72">
              <w:rPr>
                <w:sz w:val="16"/>
                <w:szCs w:val="16"/>
              </w:rPr>
              <w:t>Dato</w:t>
            </w:r>
          </w:p>
          <w:p w14:paraId="418141E6" w14:textId="5AC259A4" w:rsidR="008F2666" w:rsidRPr="00A86F72" w:rsidRDefault="00583115" w:rsidP="00A46851">
            <w:pPr>
              <w:spacing w:line="220" w:lineRule="exact"/>
              <w:rPr>
                <w:sz w:val="16"/>
                <w:szCs w:val="16"/>
              </w:rPr>
            </w:pPr>
            <w:r w:rsidRPr="00A86F72">
              <w:rPr>
                <w:sz w:val="16"/>
                <w:szCs w:val="16"/>
              </w:rPr>
              <w:fldChar w:fldCharType="begin"/>
            </w:r>
            <w:r w:rsidRPr="00A86F72">
              <w:rPr>
                <w:sz w:val="16"/>
                <w:szCs w:val="16"/>
              </w:rPr>
              <w:instrText xml:space="preserve"> TIME \@ "d. MMMM yyyy" </w:instrText>
            </w:r>
            <w:r w:rsidRPr="00A86F72">
              <w:rPr>
                <w:sz w:val="16"/>
                <w:szCs w:val="16"/>
              </w:rPr>
              <w:fldChar w:fldCharType="separate"/>
            </w:r>
            <w:r w:rsidR="0030538D">
              <w:rPr>
                <w:noProof/>
                <w:sz w:val="16"/>
                <w:szCs w:val="16"/>
              </w:rPr>
              <w:t>11. juni 2020</w:t>
            </w:r>
            <w:r w:rsidRPr="00A86F72">
              <w:rPr>
                <w:sz w:val="16"/>
                <w:szCs w:val="16"/>
              </w:rPr>
              <w:fldChar w:fldCharType="end"/>
            </w:r>
          </w:p>
          <w:p w14:paraId="16C9F0DF" w14:textId="77777777" w:rsidR="002611C9" w:rsidRPr="00A86F72" w:rsidRDefault="002611C9" w:rsidP="00A46851">
            <w:pPr>
              <w:spacing w:line="220" w:lineRule="exact"/>
              <w:rPr>
                <w:sz w:val="16"/>
                <w:szCs w:val="16"/>
              </w:rPr>
            </w:pPr>
          </w:p>
          <w:p w14:paraId="5C2A4618" w14:textId="1068B5B0" w:rsidR="008F2666" w:rsidRPr="00A86F72" w:rsidRDefault="00A53C43" w:rsidP="00A46851">
            <w:pPr>
              <w:spacing w:line="220" w:lineRule="exact"/>
              <w:rPr>
                <w:sz w:val="16"/>
                <w:szCs w:val="16"/>
              </w:rPr>
            </w:pPr>
            <w:r w:rsidRPr="00A86F72">
              <w:rPr>
                <w:sz w:val="16"/>
                <w:szCs w:val="16"/>
              </w:rPr>
              <w:t>J nr.</w:t>
            </w:r>
            <w:r w:rsidR="00C76EC2" w:rsidRPr="00A86F72">
              <w:rPr>
                <w:sz w:val="16"/>
                <w:szCs w:val="16"/>
              </w:rPr>
              <w:t xml:space="preserve"> </w:t>
            </w:r>
            <w:r w:rsidR="008C4708" w:rsidRPr="00A86F72">
              <w:rPr>
                <w:sz w:val="16"/>
                <w:szCs w:val="16"/>
              </w:rPr>
              <w:t>20</w:t>
            </w:r>
            <w:r w:rsidR="00F07A2F" w:rsidRPr="00A86F72">
              <w:rPr>
                <w:sz w:val="16"/>
                <w:szCs w:val="16"/>
              </w:rPr>
              <w:t>19</w:t>
            </w:r>
            <w:r w:rsidR="008C4708" w:rsidRPr="00A86F72">
              <w:rPr>
                <w:sz w:val="16"/>
                <w:szCs w:val="16"/>
              </w:rPr>
              <w:t>-</w:t>
            </w:r>
            <w:r w:rsidR="00F07A2F" w:rsidRPr="00A86F72">
              <w:rPr>
                <w:sz w:val="16"/>
                <w:szCs w:val="16"/>
              </w:rPr>
              <w:t>97851</w:t>
            </w:r>
          </w:p>
          <w:p w14:paraId="5CCFF191" w14:textId="77777777" w:rsidR="002611C9" w:rsidRPr="00A86F72" w:rsidRDefault="002611C9" w:rsidP="00A46851">
            <w:pPr>
              <w:spacing w:line="220" w:lineRule="exact"/>
              <w:rPr>
                <w:sz w:val="16"/>
                <w:szCs w:val="16"/>
              </w:rPr>
            </w:pPr>
          </w:p>
          <w:p w14:paraId="30732244" w14:textId="5997196F" w:rsidR="008F2666" w:rsidRPr="00A86F72" w:rsidRDefault="008F2666" w:rsidP="00A46851">
            <w:pPr>
              <w:spacing w:line="220" w:lineRule="exact"/>
              <w:rPr>
                <w:sz w:val="16"/>
                <w:szCs w:val="16"/>
              </w:rPr>
            </w:pPr>
            <w:r w:rsidRPr="00A86F72">
              <w:rPr>
                <w:sz w:val="16"/>
                <w:szCs w:val="16"/>
              </w:rPr>
              <w:t>/</w:t>
            </w:r>
            <w:r w:rsidR="008C4708" w:rsidRPr="00A86F72">
              <w:rPr>
                <w:sz w:val="16"/>
                <w:szCs w:val="16"/>
              </w:rPr>
              <w:t>/</w:t>
            </w:r>
            <w:proofErr w:type="spellStart"/>
            <w:r w:rsidR="00F758CF">
              <w:rPr>
                <w:sz w:val="16"/>
                <w:szCs w:val="16"/>
              </w:rPr>
              <w:t>flh</w:t>
            </w:r>
            <w:proofErr w:type="spellEnd"/>
            <w:r w:rsidR="00F758CF">
              <w:rPr>
                <w:sz w:val="16"/>
                <w:szCs w:val="16"/>
              </w:rPr>
              <w:t xml:space="preserve"> og </w:t>
            </w:r>
            <w:proofErr w:type="spellStart"/>
            <w:r w:rsidR="00F758CF">
              <w:rPr>
                <w:sz w:val="16"/>
                <w:szCs w:val="16"/>
              </w:rPr>
              <w:t>chhl</w:t>
            </w:r>
            <w:proofErr w:type="spellEnd"/>
          </w:p>
        </w:tc>
      </w:tr>
    </w:tbl>
    <w:p w14:paraId="752AC4F6" w14:textId="77777777" w:rsidR="008C4708" w:rsidRPr="00A86F72" w:rsidRDefault="008C4708" w:rsidP="0050044A">
      <w:pPr>
        <w:rPr>
          <w:rFonts w:asciiTheme="minorHAnsi" w:hAnsiTheme="minorHAnsi" w:cstheme="minorHAnsi"/>
          <w:szCs w:val="20"/>
        </w:rPr>
      </w:pPr>
    </w:p>
    <w:p w14:paraId="2B632535" w14:textId="3205BCBA" w:rsidR="0050044A" w:rsidRPr="001473DD" w:rsidRDefault="00EE05EB" w:rsidP="0050044A">
      <w:pPr>
        <w:rPr>
          <w:rFonts w:asciiTheme="minorHAnsi" w:hAnsiTheme="minorHAnsi" w:cstheme="minorHAnsi"/>
          <w:sz w:val="22"/>
        </w:rPr>
      </w:pPr>
      <w:r w:rsidRPr="001473DD">
        <w:rPr>
          <w:rFonts w:asciiTheme="minorHAnsi" w:hAnsiTheme="minorHAnsi" w:cstheme="minorHAnsi"/>
          <w:sz w:val="22"/>
        </w:rPr>
        <w:t>Udkast til Bekendtgørelse om tilskud til energibesparelser og energieffektiviseringer i erhvervsvirksomheder (erhvervspuljen)</w:t>
      </w:r>
      <w:r w:rsidR="00E276A4" w:rsidRPr="001473DD">
        <w:rPr>
          <w:rFonts w:asciiTheme="minorHAnsi" w:hAnsiTheme="minorHAnsi" w:cstheme="minorHAnsi"/>
          <w:sz w:val="22"/>
        </w:rPr>
        <w:t xml:space="preserve"> blev sendt i høring den </w:t>
      </w:r>
      <w:r w:rsidRPr="001473DD">
        <w:rPr>
          <w:rFonts w:asciiTheme="minorHAnsi" w:hAnsiTheme="minorHAnsi" w:cstheme="minorHAnsi"/>
          <w:sz w:val="22"/>
        </w:rPr>
        <w:t xml:space="preserve">3. april 2020 </w:t>
      </w:r>
      <w:r w:rsidR="00E276A4" w:rsidRPr="001473DD">
        <w:rPr>
          <w:rFonts w:asciiTheme="minorHAnsi" w:hAnsiTheme="minorHAnsi" w:cstheme="minorHAnsi"/>
          <w:sz w:val="22"/>
        </w:rPr>
        <w:t xml:space="preserve">med frist for afgivelse af høringssvar den </w:t>
      </w:r>
      <w:r w:rsidRPr="001473DD">
        <w:rPr>
          <w:rFonts w:asciiTheme="minorHAnsi" w:hAnsiTheme="minorHAnsi" w:cstheme="minorHAnsi"/>
          <w:sz w:val="22"/>
        </w:rPr>
        <w:t>13. maj. 2020</w:t>
      </w:r>
      <w:r w:rsidR="007A087D" w:rsidRPr="001473DD">
        <w:rPr>
          <w:rFonts w:asciiTheme="minorHAnsi" w:hAnsiTheme="minorHAnsi" w:cstheme="minorHAnsi"/>
          <w:sz w:val="22"/>
        </w:rPr>
        <w:t>.</w:t>
      </w:r>
      <w:r w:rsidR="0050044A" w:rsidRPr="001473DD">
        <w:rPr>
          <w:rFonts w:asciiTheme="minorHAnsi" w:hAnsiTheme="minorHAnsi" w:cstheme="minorHAnsi"/>
          <w:sz w:val="22"/>
        </w:rPr>
        <w:t xml:space="preserve"> </w:t>
      </w:r>
    </w:p>
    <w:p w14:paraId="213F326C" w14:textId="77777777" w:rsidR="0046617B" w:rsidRPr="001473DD" w:rsidRDefault="0046617B" w:rsidP="0050044A">
      <w:pPr>
        <w:rPr>
          <w:rFonts w:asciiTheme="minorHAnsi" w:hAnsiTheme="minorHAnsi" w:cstheme="minorHAnsi"/>
          <w:sz w:val="22"/>
        </w:rPr>
      </w:pPr>
    </w:p>
    <w:p w14:paraId="4F0DD00A" w14:textId="624D646F" w:rsidR="007A087D" w:rsidRPr="001473DD" w:rsidRDefault="00785E0B" w:rsidP="0050044A">
      <w:pPr>
        <w:rPr>
          <w:rFonts w:asciiTheme="minorHAnsi" w:hAnsiTheme="minorHAnsi" w:cstheme="minorHAnsi"/>
          <w:sz w:val="22"/>
        </w:rPr>
      </w:pPr>
      <w:r w:rsidRPr="001473DD">
        <w:rPr>
          <w:rFonts w:asciiTheme="minorHAnsi" w:hAnsiTheme="minorHAnsi" w:cstheme="minorHAnsi"/>
          <w:sz w:val="22"/>
        </w:rPr>
        <w:t xml:space="preserve">Der er </w:t>
      </w:r>
      <w:r w:rsidR="00DB6D30" w:rsidRPr="001473DD">
        <w:rPr>
          <w:rFonts w:asciiTheme="minorHAnsi" w:hAnsiTheme="minorHAnsi" w:cstheme="minorHAnsi"/>
          <w:sz w:val="22"/>
        </w:rPr>
        <w:t>modtaget i alt 2</w:t>
      </w:r>
      <w:r w:rsidR="00864987" w:rsidRPr="001473DD">
        <w:rPr>
          <w:rFonts w:asciiTheme="minorHAnsi" w:hAnsiTheme="minorHAnsi" w:cstheme="minorHAnsi"/>
          <w:sz w:val="22"/>
        </w:rPr>
        <w:t>2</w:t>
      </w:r>
      <w:r w:rsidR="00411CC6" w:rsidRPr="001473DD">
        <w:rPr>
          <w:rFonts w:asciiTheme="minorHAnsi" w:hAnsiTheme="minorHAnsi" w:cstheme="minorHAnsi"/>
          <w:sz w:val="22"/>
        </w:rPr>
        <w:t xml:space="preserve"> høringssvar</w:t>
      </w:r>
      <w:r w:rsidRPr="001473DD">
        <w:rPr>
          <w:rFonts w:asciiTheme="minorHAnsi" w:hAnsiTheme="minorHAnsi" w:cstheme="minorHAnsi"/>
          <w:sz w:val="22"/>
        </w:rPr>
        <w:t xml:space="preserve"> i høringsperioden</w:t>
      </w:r>
      <w:r w:rsidR="00411CC6" w:rsidRPr="001473DD">
        <w:rPr>
          <w:rFonts w:asciiTheme="minorHAnsi" w:hAnsiTheme="minorHAnsi" w:cstheme="minorHAnsi"/>
          <w:sz w:val="22"/>
        </w:rPr>
        <w:t>.</w:t>
      </w:r>
    </w:p>
    <w:p w14:paraId="5FF2E49A" w14:textId="77777777" w:rsidR="007A087D" w:rsidRPr="001473DD" w:rsidRDefault="007A087D" w:rsidP="0050044A">
      <w:pPr>
        <w:rPr>
          <w:rFonts w:asciiTheme="minorHAnsi" w:hAnsiTheme="minorHAnsi" w:cstheme="minorHAnsi"/>
          <w:sz w:val="22"/>
        </w:rPr>
      </w:pPr>
    </w:p>
    <w:p w14:paraId="10524EFD" w14:textId="10E6EAED" w:rsidR="0050044A" w:rsidRPr="001473DD" w:rsidRDefault="00411CC6" w:rsidP="00EE05EB">
      <w:pPr>
        <w:rPr>
          <w:rFonts w:asciiTheme="minorHAnsi" w:hAnsiTheme="minorHAnsi" w:cstheme="minorHAnsi"/>
          <w:sz w:val="22"/>
        </w:rPr>
      </w:pPr>
      <w:r w:rsidRPr="001473DD">
        <w:rPr>
          <w:rFonts w:asciiTheme="minorHAnsi" w:hAnsiTheme="minorHAnsi" w:cstheme="minorHAnsi"/>
          <w:sz w:val="22"/>
        </w:rPr>
        <w:t>Følgende</w:t>
      </w:r>
      <w:r w:rsidR="00A35C70" w:rsidRPr="001473DD">
        <w:rPr>
          <w:rFonts w:asciiTheme="minorHAnsi" w:hAnsiTheme="minorHAnsi" w:cstheme="minorHAnsi"/>
          <w:sz w:val="22"/>
        </w:rPr>
        <w:t xml:space="preserve"> </w:t>
      </w:r>
      <w:r w:rsidR="00864987" w:rsidRPr="001473DD">
        <w:rPr>
          <w:rFonts w:asciiTheme="minorHAnsi" w:hAnsiTheme="minorHAnsi" w:cstheme="minorHAnsi"/>
          <w:sz w:val="22"/>
        </w:rPr>
        <w:t>6</w:t>
      </w:r>
      <w:r w:rsidRPr="001473DD">
        <w:rPr>
          <w:rFonts w:asciiTheme="minorHAnsi" w:hAnsiTheme="minorHAnsi" w:cstheme="minorHAnsi"/>
          <w:sz w:val="22"/>
        </w:rPr>
        <w:t xml:space="preserve"> høringsparter har angivet, at de ikke har bemærkninger til udkast til </w:t>
      </w:r>
      <w:r w:rsidR="003B62A3">
        <w:rPr>
          <w:rFonts w:asciiTheme="minorHAnsi" w:hAnsiTheme="minorHAnsi" w:cstheme="minorHAnsi"/>
          <w:sz w:val="22"/>
        </w:rPr>
        <w:t>bekendtgørelsen</w:t>
      </w:r>
      <w:r w:rsidRPr="001473DD">
        <w:rPr>
          <w:rFonts w:asciiTheme="minorHAnsi" w:hAnsiTheme="minorHAnsi" w:cstheme="minorHAnsi"/>
          <w:sz w:val="22"/>
        </w:rPr>
        <w:t>:</w:t>
      </w:r>
      <w:r w:rsidR="008C4708" w:rsidRPr="001473DD">
        <w:rPr>
          <w:rFonts w:asciiTheme="minorHAnsi" w:hAnsiTheme="minorHAnsi" w:cstheme="minorHAnsi"/>
          <w:sz w:val="22"/>
        </w:rPr>
        <w:t xml:space="preserve"> </w:t>
      </w:r>
      <w:r w:rsidR="00EE05EB" w:rsidRPr="001473DD">
        <w:rPr>
          <w:rFonts w:asciiTheme="minorHAnsi" w:hAnsiTheme="minorHAnsi" w:cstheme="minorHAnsi"/>
          <w:sz w:val="22"/>
        </w:rPr>
        <w:t>Advokatrådet – Advokatsamfundet, Dansk Arbejdsgiverforening, Danske Bygningskonsulenter, Erhvervsflyvningens Sammenslutning (ES), FSR - danske revisorer, CO-industri.</w:t>
      </w:r>
    </w:p>
    <w:p w14:paraId="0EFBD330" w14:textId="77777777" w:rsidR="00210363" w:rsidRPr="001473DD" w:rsidRDefault="00210363" w:rsidP="00411CC6">
      <w:pPr>
        <w:rPr>
          <w:rFonts w:asciiTheme="minorHAnsi" w:hAnsiTheme="minorHAnsi" w:cstheme="minorHAnsi"/>
          <w:sz w:val="22"/>
        </w:rPr>
      </w:pPr>
    </w:p>
    <w:p w14:paraId="466B822D" w14:textId="7AC3A3DB" w:rsidR="00864987" w:rsidRPr="001473DD" w:rsidRDefault="00411CC6" w:rsidP="00864987">
      <w:pPr>
        <w:rPr>
          <w:sz w:val="22"/>
        </w:rPr>
      </w:pPr>
      <w:r w:rsidRPr="001473DD">
        <w:rPr>
          <w:rFonts w:asciiTheme="minorHAnsi" w:hAnsiTheme="minorHAnsi" w:cstheme="minorHAnsi"/>
          <w:sz w:val="22"/>
        </w:rPr>
        <w:t>Følgende</w:t>
      </w:r>
      <w:r w:rsidR="00A35C70" w:rsidRPr="001473DD">
        <w:rPr>
          <w:rFonts w:asciiTheme="minorHAnsi" w:hAnsiTheme="minorHAnsi" w:cstheme="minorHAnsi"/>
          <w:sz w:val="22"/>
        </w:rPr>
        <w:t xml:space="preserve"> 1</w:t>
      </w:r>
      <w:r w:rsidR="00864987" w:rsidRPr="001473DD">
        <w:rPr>
          <w:rFonts w:asciiTheme="minorHAnsi" w:hAnsiTheme="minorHAnsi" w:cstheme="minorHAnsi"/>
          <w:sz w:val="22"/>
        </w:rPr>
        <w:t>6</w:t>
      </w:r>
      <w:r w:rsidRPr="001473DD">
        <w:rPr>
          <w:rFonts w:asciiTheme="minorHAnsi" w:hAnsiTheme="minorHAnsi" w:cstheme="minorHAnsi"/>
          <w:sz w:val="22"/>
        </w:rPr>
        <w:t xml:space="preserve"> høringsparter har afgivet bemærkninger til udkast til </w:t>
      </w:r>
      <w:r w:rsidR="003B62A3">
        <w:rPr>
          <w:rFonts w:asciiTheme="minorHAnsi" w:hAnsiTheme="minorHAnsi" w:cstheme="minorHAnsi"/>
          <w:sz w:val="22"/>
        </w:rPr>
        <w:t>bekendtgørelsen</w:t>
      </w:r>
      <w:r w:rsidRPr="001473DD">
        <w:rPr>
          <w:rFonts w:asciiTheme="minorHAnsi" w:hAnsiTheme="minorHAnsi" w:cstheme="minorHAnsi"/>
          <w:sz w:val="22"/>
        </w:rPr>
        <w:t xml:space="preserve">: </w:t>
      </w:r>
    </w:p>
    <w:p w14:paraId="5FD65B05" w14:textId="29D18B8A" w:rsidR="00411CC6" w:rsidRPr="001473DD" w:rsidRDefault="00864987" w:rsidP="00411CC6">
      <w:pPr>
        <w:rPr>
          <w:rFonts w:asciiTheme="minorHAnsi" w:hAnsiTheme="minorHAnsi" w:cstheme="minorHAnsi"/>
          <w:sz w:val="22"/>
        </w:rPr>
      </w:pPr>
      <w:r w:rsidRPr="001473DD">
        <w:rPr>
          <w:sz w:val="22"/>
        </w:rPr>
        <w:t>Dansk Energi, Dansk Erhverv, Dansk Fjernvarme, Dansk Gartneri, Dansk Industri, Dansk Køl og Varme, Danske Rederier, Datatilsynet, Energiforum Danmark,</w:t>
      </w:r>
      <w:r w:rsidR="00477EDA" w:rsidRPr="001473DD">
        <w:rPr>
          <w:sz w:val="22"/>
        </w:rPr>
        <w:t xml:space="preserve"> Foreningen af Rådgivende Ingeniører,</w:t>
      </w:r>
      <w:r w:rsidRPr="001473DD">
        <w:rPr>
          <w:sz w:val="22"/>
        </w:rPr>
        <w:t xml:space="preserve"> Grøn Omstilling, Kommunernes Landsforening, Landbrug og Fødevarer, SYNERGI, TEKNIQ Arbejdsgiverne, VALIDAN.</w:t>
      </w:r>
    </w:p>
    <w:p w14:paraId="0ECB5594" w14:textId="77777777" w:rsidR="001F37FA" w:rsidRPr="001473DD" w:rsidRDefault="001F37FA" w:rsidP="00411CC6">
      <w:pPr>
        <w:rPr>
          <w:rFonts w:asciiTheme="minorHAnsi" w:hAnsiTheme="minorHAnsi" w:cstheme="minorHAnsi"/>
          <w:sz w:val="22"/>
        </w:rPr>
      </w:pPr>
    </w:p>
    <w:p w14:paraId="148E821B" w14:textId="0123258F" w:rsidR="001F37FA" w:rsidRPr="001473DD" w:rsidRDefault="001F37FA" w:rsidP="001F37FA">
      <w:pPr>
        <w:rPr>
          <w:rFonts w:asciiTheme="minorHAnsi" w:hAnsiTheme="minorHAnsi" w:cstheme="minorHAnsi"/>
          <w:sz w:val="22"/>
        </w:rPr>
      </w:pPr>
      <w:r w:rsidRPr="001473DD">
        <w:rPr>
          <w:rFonts w:asciiTheme="minorHAnsi" w:hAnsiTheme="minorHAnsi" w:cstheme="minorHAnsi"/>
          <w:sz w:val="22"/>
        </w:rPr>
        <w:t xml:space="preserve">I det følgende vil de væsentligste punkter i de indkomne høringssvar blive gennemgået efterfulgt af ministeriets bemærkninger for hvert enkelt emne. Bemærkningerne er markeret med </w:t>
      </w:r>
      <w:r w:rsidRPr="001473DD">
        <w:rPr>
          <w:rFonts w:asciiTheme="minorHAnsi" w:hAnsiTheme="minorHAnsi" w:cstheme="minorHAnsi"/>
          <w:i/>
          <w:sz w:val="22"/>
        </w:rPr>
        <w:t>kursiv.</w:t>
      </w:r>
      <w:r w:rsidRPr="001473DD">
        <w:rPr>
          <w:rFonts w:asciiTheme="minorHAnsi" w:hAnsiTheme="minorHAnsi" w:cstheme="minorHAnsi"/>
          <w:sz w:val="22"/>
        </w:rPr>
        <w:t xml:space="preserve"> For detaljerede oplysninger om svarenes indhold henvises der til de fremsendte høringssvar, som kan ses på Høringsportalen</w:t>
      </w:r>
      <w:r w:rsidR="008927B4">
        <w:rPr>
          <w:rFonts w:asciiTheme="minorHAnsi" w:hAnsiTheme="minorHAnsi" w:cstheme="minorHAnsi"/>
          <w:sz w:val="22"/>
        </w:rPr>
        <w:t>.</w:t>
      </w:r>
    </w:p>
    <w:p w14:paraId="5169083C" w14:textId="57B0E160" w:rsidR="00FE115D" w:rsidRPr="001473DD" w:rsidRDefault="00FE115D" w:rsidP="00411CC6">
      <w:pPr>
        <w:rPr>
          <w:rFonts w:asciiTheme="minorHAnsi" w:hAnsiTheme="minorHAnsi" w:cstheme="minorHAnsi"/>
          <w:sz w:val="22"/>
        </w:rPr>
      </w:pPr>
    </w:p>
    <w:p w14:paraId="172D3566" w14:textId="5F24ED05" w:rsidR="00E73507" w:rsidRPr="001473DD" w:rsidRDefault="00E73507" w:rsidP="00411CC6">
      <w:pPr>
        <w:rPr>
          <w:sz w:val="22"/>
        </w:rPr>
      </w:pPr>
      <w:r w:rsidRPr="001473DD">
        <w:rPr>
          <w:sz w:val="22"/>
        </w:rPr>
        <w:t xml:space="preserve">Svarene har især berørt følgende punkter: </w:t>
      </w:r>
    </w:p>
    <w:p w14:paraId="26A5D0A1" w14:textId="456720B2" w:rsidR="00A86F72" w:rsidRPr="008927B4" w:rsidRDefault="00A86F72" w:rsidP="00DC2769">
      <w:pPr>
        <w:pStyle w:val="Listeafsnit"/>
        <w:numPr>
          <w:ilvl w:val="0"/>
          <w:numId w:val="23"/>
        </w:numPr>
      </w:pPr>
      <w:r w:rsidRPr="008927B4">
        <w:t>Generelle bemærkninger</w:t>
      </w:r>
    </w:p>
    <w:p w14:paraId="205E1905" w14:textId="027E39C6" w:rsidR="00A86F72" w:rsidRPr="008927B4" w:rsidRDefault="003A3E2D" w:rsidP="00DC2769">
      <w:pPr>
        <w:pStyle w:val="Listeafsnit"/>
        <w:numPr>
          <w:ilvl w:val="0"/>
          <w:numId w:val="23"/>
        </w:numPr>
      </w:pPr>
      <w:r>
        <w:t xml:space="preserve">Målretning af puljen med henblik på </w:t>
      </w:r>
      <w:r w:rsidR="00A86F72" w:rsidRPr="008927B4">
        <w:t>CO</w:t>
      </w:r>
      <w:r w:rsidR="00A86F72" w:rsidRPr="00DC2769">
        <w:rPr>
          <w:vertAlign w:val="subscript"/>
        </w:rPr>
        <w:t>2</w:t>
      </w:r>
      <w:r>
        <w:t>-effekt</w:t>
      </w:r>
    </w:p>
    <w:p w14:paraId="0357F135" w14:textId="5C500C58" w:rsidR="00A86F72" w:rsidRPr="005C5EB6" w:rsidRDefault="00A86F72" w:rsidP="00DC2769">
      <w:pPr>
        <w:pStyle w:val="Listeafsnit"/>
        <w:numPr>
          <w:ilvl w:val="0"/>
          <w:numId w:val="23"/>
        </w:numPr>
      </w:pPr>
      <w:r w:rsidRPr="00154D3C">
        <w:t xml:space="preserve">Krav om </w:t>
      </w:r>
      <w:r w:rsidR="003A3E2D">
        <w:t xml:space="preserve">minimumsstørrelse for </w:t>
      </w:r>
      <w:proofErr w:type="spellStart"/>
      <w:r w:rsidR="003A3E2D">
        <w:t>energispareprojekter</w:t>
      </w:r>
      <w:proofErr w:type="spellEnd"/>
      <w:r w:rsidR="003A3E2D">
        <w:t xml:space="preserve"> på </w:t>
      </w:r>
      <w:r w:rsidRPr="00154D3C">
        <w:t>100 MWh</w:t>
      </w:r>
    </w:p>
    <w:p w14:paraId="5DEEF6F0" w14:textId="4387DAB2" w:rsidR="00A86F72" w:rsidRPr="00F57276" w:rsidRDefault="003A3E2D" w:rsidP="00DC2769">
      <w:pPr>
        <w:pStyle w:val="Listeafsnit"/>
        <w:numPr>
          <w:ilvl w:val="0"/>
          <w:numId w:val="23"/>
        </w:numPr>
      </w:pPr>
      <w:r>
        <w:t xml:space="preserve">Krav om </w:t>
      </w:r>
      <w:proofErr w:type="spellStart"/>
      <w:r>
        <w:t>energispareprojekternes</w:t>
      </w:r>
      <w:proofErr w:type="spellEnd"/>
      <w:r>
        <w:t xml:space="preserve"> t</w:t>
      </w:r>
      <w:r w:rsidR="00A86F72" w:rsidRPr="00F57276">
        <w:t>ilbagebetalingstid</w:t>
      </w:r>
    </w:p>
    <w:p w14:paraId="498DC90B" w14:textId="4335A459" w:rsidR="00A86F72" w:rsidRPr="00DC2769" w:rsidRDefault="00A86F72" w:rsidP="00DC2769">
      <w:pPr>
        <w:pStyle w:val="Listeafsnit"/>
        <w:numPr>
          <w:ilvl w:val="0"/>
          <w:numId w:val="23"/>
        </w:numPr>
      </w:pPr>
      <w:r w:rsidRPr="00F57276">
        <w:t xml:space="preserve">Kravet om </w:t>
      </w:r>
      <w:r w:rsidR="00F758CF" w:rsidRPr="00F57276">
        <w:t>konkurrence med pris pr. kWh som konkurrence parameter</w:t>
      </w:r>
    </w:p>
    <w:p w14:paraId="794C6A86" w14:textId="6B851AE9" w:rsidR="00A86F72" w:rsidRPr="00DC2769" w:rsidRDefault="00A86F72" w:rsidP="00DC2769">
      <w:pPr>
        <w:pStyle w:val="Listeafsnit"/>
        <w:numPr>
          <w:ilvl w:val="0"/>
          <w:numId w:val="23"/>
        </w:numPr>
      </w:pPr>
      <w:r w:rsidRPr="00DC2769">
        <w:t>Omfattede virksomheder</w:t>
      </w:r>
    </w:p>
    <w:p w14:paraId="6C663CED" w14:textId="4A0AE177" w:rsidR="00A86F72" w:rsidRPr="00DC2769" w:rsidRDefault="003A3E2D" w:rsidP="00DC2769">
      <w:pPr>
        <w:pStyle w:val="Listeafsnit"/>
        <w:numPr>
          <w:ilvl w:val="0"/>
          <w:numId w:val="23"/>
        </w:numPr>
      </w:pPr>
      <w:r>
        <w:t>Definition af k</w:t>
      </w:r>
      <w:r w:rsidR="00A86F72" w:rsidRPr="00DC2769">
        <w:t>riseramt</w:t>
      </w:r>
      <w:r>
        <w:t>e virksomheder</w:t>
      </w:r>
      <w:r w:rsidR="00A86F72" w:rsidRPr="00DC2769">
        <w:t xml:space="preserve"> </w:t>
      </w:r>
    </w:p>
    <w:p w14:paraId="119DBC21" w14:textId="0DEE71C1" w:rsidR="00A86F72" w:rsidRPr="00DC2769" w:rsidRDefault="00A86F72" w:rsidP="00DC2769">
      <w:pPr>
        <w:pStyle w:val="Listeafsnit"/>
        <w:numPr>
          <w:ilvl w:val="0"/>
          <w:numId w:val="23"/>
        </w:numPr>
      </w:pPr>
      <w:proofErr w:type="spellStart"/>
      <w:r w:rsidRPr="00DC2769">
        <w:t>Additionalitetskravet</w:t>
      </w:r>
      <w:proofErr w:type="spellEnd"/>
    </w:p>
    <w:p w14:paraId="0F8EBDC0" w14:textId="7EDF587A" w:rsidR="00A86F72" w:rsidRPr="00DC2769" w:rsidRDefault="00A86F72" w:rsidP="00DC2769">
      <w:pPr>
        <w:pStyle w:val="Listeafsnit"/>
        <w:numPr>
          <w:ilvl w:val="0"/>
          <w:numId w:val="23"/>
        </w:numPr>
      </w:pPr>
      <w:r w:rsidRPr="00DC2769">
        <w:t>Definitioner og afgrænsninger</w:t>
      </w:r>
    </w:p>
    <w:p w14:paraId="59524937" w14:textId="52403DA3" w:rsidR="00A86F72" w:rsidRPr="00DC2769" w:rsidRDefault="00D44EAA" w:rsidP="00DC2769">
      <w:pPr>
        <w:pStyle w:val="Listeafsnit"/>
        <w:numPr>
          <w:ilvl w:val="0"/>
          <w:numId w:val="23"/>
        </w:numPr>
      </w:pPr>
      <w:r>
        <w:t>Energisparetiltag som kan medregnes</w:t>
      </w:r>
      <w:r w:rsidR="00A86F72" w:rsidRPr="00DC2769">
        <w:t xml:space="preserve"> § 8, stk. 2</w:t>
      </w:r>
    </w:p>
    <w:p w14:paraId="236F29E8" w14:textId="686F8031" w:rsidR="00A86F72" w:rsidRPr="00DC2769" w:rsidRDefault="00A86F72" w:rsidP="00DC2769">
      <w:pPr>
        <w:pStyle w:val="Listeafsnit"/>
        <w:numPr>
          <w:ilvl w:val="0"/>
          <w:numId w:val="23"/>
        </w:numPr>
      </w:pPr>
      <w:r w:rsidRPr="00DC2769">
        <w:t>Negativlisten § 8, stk. 3</w:t>
      </w:r>
    </w:p>
    <w:p w14:paraId="1895BAA2" w14:textId="6056004E" w:rsidR="00A86F72" w:rsidRPr="00DC2769" w:rsidRDefault="00A86F72" w:rsidP="00DC2769">
      <w:pPr>
        <w:pStyle w:val="Listeafsnit"/>
        <w:numPr>
          <w:ilvl w:val="0"/>
          <w:numId w:val="23"/>
        </w:numPr>
      </w:pPr>
      <w:r w:rsidRPr="00DC2769">
        <w:lastRenderedPageBreak/>
        <w:t>Oplysninger til ansøgningsblanketten</w:t>
      </w:r>
    </w:p>
    <w:p w14:paraId="1A3228DC" w14:textId="2B43E331" w:rsidR="00A86F72" w:rsidRPr="00DC2769" w:rsidRDefault="00A86F72" w:rsidP="00DC2769">
      <w:pPr>
        <w:pStyle w:val="Listeafsnit"/>
        <w:numPr>
          <w:ilvl w:val="0"/>
          <w:numId w:val="23"/>
        </w:numPr>
      </w:pPr>
      <w:r w:rsidRPr="00DC2769">
        <w:t xml:space="preserve">Dokumentationskrav </w:t>
      </w:r>
    </w:p>
    <w:p w14:paraId="778C3305" w14:textId="3E1CBAE7" w:rsidR="00A86F72" w:rsidRPr="00DC2769" w:rsidRDefault="00A86F72" w:rsidP="00DC2769">
      <w:pPr>
        <w:pStyle w:val="Listeafsnit"/>
        <w:numPr>
          <w:ilvl w:val="0"/>
          <w:numId w:val="23"/>
        </w:numPr>
      </w:pPr>
      <w:r w:rsidRPr="00DC2769">
        <w:t xml:space="preserve">Ansøgningsrunder </w:t>
      </w:r>
    </w:p>
    <w:p w14:paraId="750F02C9" w14:textId="710D826F" w:rsidR="00A86F72" w:rsidRPr="00DC2769" w:rsidRDefault="00A86F72" w:rsidP="00DC2769">
      <w:pPr>
        <w:pStyle w:val="Listeafsnit"/>
        <w:numPr>
          <w:ilvl w:val="0"/>
          <w:numId w:val="23"/>
        </w:numPr>
      </w:pPr>
      <w:r w:rsidRPr="00DC2769">
        <w:t xml:space="preserve">Kontrol </w:t>
      </w:r>
    </w:p>
    <w:p w14:paraId="2E51E119" w14:textId="600C60D2" w:rsidR="00A86F72" w:rsidRPr="00DC2769" w:rsidRDefault="00A86F72" w:rsidP="00DC2769">
      <w:pPr>
        <w:pStyle w:val="Listeafsnit"/>
        <w:numPr>
          <w:ilvl w:val="0"/>
          <w:numId w:val="23"/>
        </w:numPr>
      </w:pPr>
      <w:r w:rsidRPr="00DC2769">
        <w:t xml:space="preserve">Ubrugte midler </w:t>
      </w:r>
    </w:p>
    <w:p w14:paraId="55EB31FA" w14:textId="4AA86936" w:rsidR="00A86F72" w:rsidRPr="00DC2769" w:rsidRDefault="00A86F72" w:rsidP="00DC2769">
      <w:pPr>
        <w:pStyle w:val="Listeafsnit"/>
        <w:numPr>
          <w:ilvl w:val="0"/>
          <w:numId w:val="23"/>
        </w:numPr>
      </w:pPr>
      <w:r w:rsidRPr="00DC2769">
        <w:t xml:space="preserve">Forslag </w:t>
      </w:r>
    </w:p>
    <w:p w14:paraId="39D92478" w14:textId="2998CD24" w:rsidR="00A86F72" w:rsidRPr="00DC2769" w:rsidRDefault="00A86F72" w:rsidP="00DC2769">
      <w:pPr>
        <w:pStyle w:val="Listeafsnit"/>
        <w:numPr>
          <w:ilvl w:val="0"/>
          <w:numId w:val="23"/>
        </w:numPr>
      </w:pPr>
      <w:r w:rsidRPr="00DC2769">
        <w:t xml:space="preserve">Andet </w:t>
      </w:r>
    </w:p>
    <w:p w14:paraId="0EEE0ED8" w14:textId="40D68799" w:rsidR="00445C1F" w:rsidRPr="001473DD" w:rsidRDefault="00445C1F" w:rsidP="00582680">
      <w:pPr>
        <w:rPr>
          <w:rFonts w:asciiTheme="minorHAnsi" w:hAnsiTheme="minorHAnsi" w:cstheme="minorHAnsi"/>
          <w:i/>
          <w:color w:val="FF0000"/>
          <w:sz w:val="22"/>
        </w:rPr>
      </w:pPr>
    </w:p>
    <w:p w14:paraId="54704C16" w14:textId="3E1EA9EE" w:rsidR="00296A50" w:rsidRPr="001473DD" w:rsidRDefault="00445C1F" w:rsidP="00A86F72">
      <w:pPr>
        <w:rPr>
          <w:b/>
          <w:sz w:val="22"/>
          <w:u w:val="single"/>
        </w:rPr>
      </w:pPr>
      <w:bookmarkStart w:id="2" w:name="_Toc40705902"/>
      <w:r w:rsidRPr="001473DD">
        <w:rPr>
          <w:b/>
          <w:sz w:val="22"/>
        </w:rPr>
        <w:t>Generelle bemærkninger</w:t>
      </w:r>
      <w:bookmarkEnd w:id="2"/>
    </w:p>
    <w:p w14:paraId="3969F3DE" w14:textId="7951BA18" w:rsidR="00CB11F7" w:rsidRPr="001473DD" w:rsidRDefault="00CB11F7" w:rsidP="00CB11F7">
      <w:pPr>
        <w:rPr>
          <w:rFonts w:cstheme="minorHAnsi"/>
          <w:sz w:val="22"/>
        </w:rPr>
      </w:pPr>
      <w:r w:rsidRPr="001473DD">
        <w:rPr>
          <w:rFonts w:cstheme="minorHAnsi"/>
          <w:sz w:val="22"/>
          <w:u w:val="single"/>
        </w:rPr>
        <w:t>Dansk Industri</w:t>
      </w:r>
      <w:r w:rsidRPr="001473DD">
        <w:rPr>
          <w:rFonts w:cstheme="minorHAnsi"/>
          <w:sz w:val="22"/>
        </w:rPr>
        <w:t xml:space="preserve"> </w:t>
      </w:r>
      <w:r w:rsidR="001473DD">
        <w:rPr>
          <w:rFonts w:cstheme="minorHAnsi"/>
          <w:sz w:val="22"/>
        </w:rPr>
        <w:t xml:space="preserve">og </w:t>
      </w:r>
      <w:r w:rsidR="001473DD">
        <w:rPr>
          <w:rFonts w:cstheme="minorHAnsi"/>
          <w:sz w:val="22"/>
          <w:u w:val="single"/>
        </w:rPr>
        <w:t xml:space="preserve">Foreningen af Rådgivende </w:t>
      </w:r>
      <w:r w:rsidR="001473DD" w:rsidRPr="001473DD">
        <w:rPr>
          <w:rFonts w:cstheme="minorHAnsi"/>
          <w:sz w:val="22"/>
          <w:u w:val="single"/>
        </w:rPr>
        <w:t>Ingeniører</w:t>
      </w:r>
      <w:r w:rsidR="001473DD">
        <w:rPr>
          <w:rFonts w:cstheme="minorHAnsi"/>
          <w:sz w:val="22"/>
        </w:rPr>
        <w:t xml:space="preserve"> </w:t>
      </w:r>
      <w:r w:rsidR="00F07A2F" w:rsidRPr="001473DD">
        <w:rPr>
          <w:rFonts w:cstheme="minorHAnsi"/>
          <w:sz w:val="22"/>
        </w:rPr>
        <w:t>finder det positivt, at der oprettes en markedsbaseret pulje til tilskud til energibesparelser og energieffektiv</w:t>
      </w:r>
      <w:r w:rsidR="001473DD">
        <w:rPr>
          <w:rFonts w:cstheme="minorHAnsi"/>
          <w:sz w:val="22"/>
        </w:rPr>
        <w:t>iseringer i erhvervsvirksomheder</w:t>
      </w:r>
      <w:r w:rsidR="008927B4">
        <w:rPr>
          <w:rFonts w:cstheme="minorHAnsi"/>
          <w:sz w:val="22"/>
        </w:rPr>
        <w:t>,</w:t>
      </w:r>
      <w:r w:rsidR="001473DD">
        <w:rPr>
          <w:rFonts w:cstheme="minorHAnsi"/>
          <w:sz w:val="22"/>
        </w:rPr>
        <w:t xml:space="preserve"> og DI foreslår at puljen fremrykkes til 2020.</w:t>
      </w:r>
    </w:p>
    <w:p w14:paraId="4C68C7AC" w14:textId="04D2F90A" w:rsidR="00F07A2F" w:rsidRPr="001473DD" w:rsidRDefault="00F07A2F" w:rsidP="00CB11F7">
      <w:pPr>
        <w:rPr>
          <w:rFonts w:cstheme="minorHAnsi"/>
          <w:sz w:val="22"/>
        </w:rPr>
      </w:pPr>
    </w:p>
    <w:p w14:paraId="2CA895AD" w14:textId="6DF4A0F1" w:rsidR="00F07A2F" w:rsidRPr="001473DD" w:rsidRDefault="00762932" w:rsidP="00F07A2F">
      <w:pPr>
        <w:rPr>
          <w:rFonts w:cstheme="minorHAnsi"/>
          <w:sz w:val="22"/>
        </w:rPr>
      </w:pPr>
      <w:r w:rsidRPr="001473DD">
        <w:rPr>
          <w:rFonts w:cstheme="minorHAnsi"/>
          <w:sz w:val="22"/>
          <w:u w:val="single"/>
        </w:rPr>
        <w:t>Danske R</w:t>
      </w:r>
      <w:r w:rsidR="00F07A2F" w:rsidRPr="001473DD">
        <w:rPr>
          <w:rFonts w:cstheme="minorHAnsi"/>
          <w:sz w:val="22"/>
          <w:u w:val="single"/>
        </w:rPr>
        <w:t>ederier</w:t>
      </w:r>
      <w:r w:rsidR="00F07A2F" w:rsidRPr="001473DD">
        <w:rPr>
          <w:rFonts w:cstheme="minorHAnsi"/>
          <w:sz w:val="22"/>
        </w:rPr>
        <w:t xml:space="preserve"> finder det glædeligt, at det med Energiaftale 2018 blev besluttet, at det fortsat</w:t>
      </w:r>
      <w:r w:rsidRPr="001473DD">
        <w:rPr>
          <w:rFonts w:cstheme="minorHAnsi"/>
          <w:sz w:val="22"/>
        </w:rPr>
        <w:t xml:space="preserve"> </w:t>
      </w:r>
      <w:r w:rsidR="00F07A2F" w:rsidRPr="001473DD">
        <w:rPr>
          <w:rFonts w:cstheme="minorHAnsi"/>
          <w:sz w:val="22"/>
        </w:rPr>
        <w:t>skulle være muligt for erhvervsvirksomheder at få tilskud til energibesparelser</w:t>
      </w:r>
      <w:r w:rsidRPr="001473DD">
        <w:rPr>
          <w:rFonts w:cstheme="minorHAnsi"/>
          <w:sz w:val="22"/>
        </w:rPr>
        <w:t xml:space="preserve"> </w:t>
      </w:r>
      <w:r w:rsidR="00F07A2F" w:rsidRPr="001473DD">
        <w:rPr>
          <w:rFonts w:cstheme="minorHAnsi"/>
          <w:sz w:val="22"/>
        </w:rPr>
        <w:t>og energieffektiviseringer.</w:t>
      </w:r>
    </w:p>
    <w:p w14:paraId="6FD62C8C" w14:textId="45DDF8CB" w:rsidR="001418C3" w:rsidRPr="001473DD" w:rsidRDefault="001418C3" w:rsidP="00CB11F7">
      <w:pPr>
        <w:rPr>
          <w:rFonts w:cstheme="minorHAnsi"/>
          <w:sz w:val="22"/>
        </w:rPr>
      </w:pPr>
    </w:p>
    <w:p w14:paraId="30E19F7C" w14:textId="1A308C4E" w:rsidR="001418C3" w:rsidRPr="001473DD" w:rsidRDefault="001418C3" w:rsidP="001418C3">
      <w:pPr>
        <w:rPr>
          <w:rFonts w:cstheme="minorHAnsi"/>
          <w:sz w:val="22"/>
        </w:rPr>
      </w:pPr>
      <w:r w:rsidRPr="001473DD">
        <w:rPr>
          <w:rFonts w:cstheme="minorHAnsi"/>
          <w:sz w:val="22"/>
          <w:u w:val="single"/>
        </w:rPr>
        <w:t>Grøn Omstilling</w:t>
      </w:r>
      <w:r w:rsidRPr="001473DD">
        <w:rPr>
          <w:rFonts w:cstheme="minorHAnsi"/>
          <w:sz w:val="22"/>
        </w:rPr>
        <w:t xml:space="preserve"> bemærker, at der er behov for langt mere ambitiøse grønne støtteordninger, der satser mere målrettet på at fremme den grønne omstilling og er velegnede til genstar</w:t>
      </w:r>
      <w:r w:rsidR="00762932" w:rsidRPr="001473DD">
        <w:rPr>
          <w:rFonts w:cstheme="minorHAnsi"/>
          <w:sz w:val="22"/>
        </w:rPr>
        <w:t xml:space="preserve">t </w:t>
      </w:r>
      <w:r w:rsidRPr="001473DD">
        <w:rPr>
          <w:rFonts w:cstheme="minorHAnsi"/>
          <w:sz w:val="22"/>
        </w:rPr>
        <w:t xml:space="preserve">af økonomien. Derudover er det </w:t>
      </w:r>
      <w:r w:rsidR="008927B4">
        <w:rPr>
          <w:rFonts w:cstheme="minorHAnsi"/>
          <w:sz w:val="22"/>
        </w:rPr>
        <w:t>deres</w:t>
      </w:r>
      <w:r w:rsidRPr="001473DD">
        <w:rPr>
          <w:rFonts w:cstheme="minorHAnsi"/>
          <w:sz w:val="22"/>
        </w:rPr>
        <w:t xml:space="preserve"> opfattelse, at de store hjælpepakker til erhvervslivet også skal være en anledning til at stille langsigtede grønne modkrav til virksomhederne som betingelse for ydelse af støtte.</w:t>
      </w:r>
    </w:p>
    <w:p w14:paraId="771B57E3" w14:textId="28D9C999" w:rsidR="00762932" w:rsidRPr="001473DD" w:rsidRDefault="00762932" w:rsidP="001418C3">
      <w:pPr>
        <w:rPr>
          <w:rFonts w:cstheme="minorHAnsi"/>
          <w:sz w:val="22"/>
        </w:rPr>
      </w:pPr>
    </w:p>
    <w:p w14:paraId="4617AB4E" w14:textId="4FADD5AA" w:rsidR="00762932" w:rsidRPr="001473DD" w:rsidRDefault="00762932" w:rsidP="00762932">
      <w:pPr>
        <w:rPr>
          <w:rFonts w:cstheme="minorHAnsi"/>
          <w:sz w:val="22"/>
        </w:rPr>
      </w:pPr>
      <w:r w:rsidRPr="001473DD">
        <w:rPr>
          <w:rFonts w:cstheme="minorHAnsi"/>
          <w:sz w:val="22"/>
          <w:u w:val="single"/>
        </w:rPr>
        <w:t>Landbrug &amp; Fødevarer</w:t>
      </w:r>
      <w:r w:rsidRPr="001473DD">
        <w:rPr>
          <w:rFonts w:cstheme="minorHAnsi"/>
          <w:sz w:val="22"/>
        </w:rPr>
        <w:t xml:space="preserve"> ser en række positive elementer i den for</w:t>
      </w:r>
      <w:r w:rsidR="00154D3C">
        <w:rPr>
          <w:rFonts w:cstheme="minorHAnsi"/>
          <w:sz w:val="22"/>
        </w:rPr>
        <w:t>e</w:t>
      </w:r>
      <w:r w:rsidRPr="001473DD">
        <w:rPr>
          <w:rFonts w:cstheme="minorHAnsi"/>
          <w:sz w:val="22"/>
        </w:rPr>
        <w:t xml:space="preserve">slåede tilskudspulje til energibesparelser og energieffektiviseringer i erhvervsvirksomheder, som med en markedsbaseret tilgang kan skabe rammerne for en mere effektiv </w:t>
      </w:r>
      <w:proofErr w:type="spellStart"/>
      <w:r w:rsidRPr="001473DD">
        <w:rPr>
          <w:rFonts w:cstheme="minorHAnsi"/>
          <w:sz w:val="22"/>
        </w:rPr>
        <w:t>energispareindsats</w:t>
      </w:r>
      <w:proofErr w:type="spellEnd"/>
      <w:r w:rsidRPr="001473DD">
        <w:rPr>
          <w:rFonts w:cstheme="minorHAnsi"/>
          <w:sz w:val="22"/>
        </w:rPr>
        <w:t xml:space="preserve"> end den hidtidige </w:t>
      </w:r>
      <w:proofErr w:type="spellStart"/>
      <w:r w:rsidRPr="001473DD">
        <w:rPr>
          <w:rFonts w:cstheme="minorHAnsi"/>
          <w:sz w:val="22"/>
        </w:rPr>
        <w:t>Energispareordning</w:t>
      </w:r>
      <w:proofErr w:type="spellEnd"/>
      <w:r w:rsidRPr="001473DD">
        <w:rPr>
          <w:rFonts w:cstheme="minorHAnsi"/>
          <w:sz w:val="22"/>
        </w:rPr>
        <w:t xml:space="preserve">. </w:t>
      </w:r>
    </w:p>
    <w:p w14:paraId="31E77BFD" w14:textId="0067CC31" w:rsidR="001D3C56" w:rsidRPr="001473DD" w:rsidRDefault="001D3C56" w:rsidP="001418C3">
      <w:pPr>
        <w:rPr>
          <w:rFonts w:cstheme="minorHAnsi"/>
          <w:sz w:val="22"/>
        </w:rPr>
      </w:pPr>
    </w:p>
    <w:p w14:paraId="29113417" w14:textId="64E3D28F" w:rsidR="001D3C56" w:rsidRPr="001473DD" w:rsidRDefault="00845770" w:rsidP="001418C3">
      <w:pPr>
        <w:rPr>
          <w:rFonts w:cstheme="minorHAnsi"/>
          <w:sz w:val="22"/>
        </w:rPr>
      </w:pPr>
      <w:r w:rsidRPr="001473DD">
        <w:rPr>
          <w:rFonts w:cstheme="minorHAnsi"/>
          <w:sz w:val="22"/>
          <w:u w:val="single"/>
        </w:rPr>
        <w:t>Dansk Industri</w:t>
      </w:r>
      <w:r w:rsidRPr="001473DD">
        <w:rPr>
          <w:rFonts w:cstheme="minorHAnsi"/>
          <w:sz w:val="22"/>
        </w:rPr>
        <w:t xml:space="preserve">, </w:t>
      </w:r>
      <w:r w:rsidR="001D3C56" w:rsidRPr="001473DD">
        <w:rPr>
          <w:rFonts w:cstheme="minorHAnsi"/>
          <w:sz w:val="22"/>
          <w:u w:val="single"/>
        </w:rPr>
        <w:t>SYNERGI</w:t>
      </w:r>
      <w:r w:rsidR="00F07A2F" w:rsidRPr="001473DD">
        <w:rPr>
          <w:rFonts w:cstheme="minorHAnsi"/>
          <w:sz w:val="22"/>
        </w:rPr>
        <w:t xml:space="preserve"> og </w:t>
      </w:r>
      <w:r w:rsidR="00F07A2F" w:rsidRPr="001473DD">
        <w:rPr>
          <w:rFonts w:cstheme="minorHAnsi"/>
          <w:sz w:val="22"/>
          <w:u w:val="single"/>
        </w:rPr>
        <w:t>TEKNIQ Arbejdsgiverne</w:t>
      </w:r>
      <w:r w:rsidR="001D3C56" w:rsidRPr="001473DD">
        <w:rPr>
          <w:rFonts w:cstheme="minorHAnsi"/>
          <w:sz w:val="22"/>
        </w:rPr>
        <w:t xml:space="preserve"> bemærker, at der bør tilføres flere midler til tilskudspuljerne til energibesparelse</w:t>
      </w:r>
      <w:r w:rsidR="00762932" w:rsidRPr="001473DD">
        <w:rPr>
          <w:rFonts w:cstheme="minorHAnsi"/>
          <w:sz w:val="22"/>
        </w:rPr>
        <w:t>r og energieffektiviseringer.</w:t>
      </w:r>
      <w:r w:rsidR="001D3C56" w:rsidRPr="001473DD">
        <w:rPr>
          <w:rFonts w:cstheme="minorHAnsi"/>
          <w:sz w:val="22"/>
        </w:rPr>
        <w:t xml:space="preserve"> </w:t>
      </w:r>
      <w:r w:rsidR="00F07A2F" w:rsidRPr="001473DD">
        <w:rPr>
          <w:rFonts w:cstheme="minorHAnsi"/>
          <w:sz w:val="22"/>
          <w:u w:val="single"/>
        </w:rPr>
        <w:t>Dansk Industri</w:t>
      </w:r>
      <w:r w:rsidR="00F07A2F" w:rsidRPr="001473DD">
        <w:rPr>
          <w:rFonts w:cstheme="minorHAnsi"/>
          <w:sz w:val="22"/>
        </w:rPr>
        <w:t xml:space="preserve"> og </w:t>
      </w:r>
      <w:r w:rsidR="00F07A2F" w:rsidRPr="001473DD">
        <w:rPr>
          <w:rFonts w:cstheme="minorHAnsi"/>
          <w:sz w:val="22"/>
          <w:u w:val="single"/>
        </w:rPr>
        <w:t>SYNERGI</w:t>
      </w:r>
      <w:r w:rsidR="00F07A2F" w:rsidRPr="001473DD">
        <w:rPr>
          <w:rFonts w:cstheme="minorHAnsi"/>
          <w:sz w:val="22"/>
        </w:rPr>
        <w:t xml:space="preserve"> bemærker, at </w:t>
      </w:r>
      <w:r w:rsidR="001D3C56" w:rsidRPr="001473DD">
        <w:rPr>
          <w:rFonts w:cstheme="minorHAnsi"/>
          <w:sz w:val="22"/>
        </w:rPr>
        <w:t>puljerne bør videreføres efter 2024.</w:t>
      </w:r>
    </w:p>
    <w:p w14:paraId="2F73BAEF" w14:textId="756A1D49" w:rsidR="00335DC3" w:rsidRPr="001473DD" w:rsidRDefault="00335DC3" w:rsidP="00F07A2F">
      <w:pPr>
        <w:rPr>
          <w:rFonts w:cstheme="minorHAnsi"/>
          <w:sz w:val="22"/>
          <w:u w:val="single"/>
        </w:rPr>
      </w:pPr>
    </w:p>
    <w:p w14:paraId="3B74BD47" w14:textId="77777777" w:rsidR="00F07A2F" w:rsidRPr="001473DD" w:rsidRDefault="00F07A2F" w:rsidP="00F07A2F">
      <w:pPr>
        <w:rPr>
          <w:b/>
          <w:i/>
          <w:sz w:val="22"/>
          <w:u w:val="single"/>
        </w:rPr>
      </w:pPr>
      <w:r w:rsidRPr="001473DD">
        <w:rPr>
          <w:b/>
          <w:i/>
          <w:sz w:val="22"/>
          <w:u w:val="single"/>
        </w:rPr>
        <w:t>Ministeriets bemærkninger:</w:t>
      </w:r>
    </w:p>
    <w:p w14:paraId="1F03DE62" w14:textId="530ABF9C" w:rsidR="00F31B0B" w:rsidRPr="001473DD" w:rsidRDefault="00762932" w:rsidP="00762932">
      <w:pPr>
        <w:rPr>
          <w:rFonts w:asciiTheme="majorHAnsi" w:hAnsiTheme="majorHAnsi" w:cstheme="majorHAnsi"/>
          <w:i/>
          <w:sz w:val="22"/>
        </w:rPr>
      </w:pPr>
      <w:r w:rsidRPr="001473DD">
        <w:rPr>
          <w:rFonts w:asciiTheme="majorHAnsi" w:hAnsiTheme="majorHAnsi" w:cstheme="majorHAnsi"/>
          <w:i/>
          <w:sz w:val="22"/>
        </w:rPr>
        <w:t>Klima-, Energi- og Forsyningsministeriet kvitterer for de generelt positive tilkendegivelser</w:t>
      </w:r>
      <w:r w:rsidR="00F31B0B" w:rsidRPr="001473DD">
        <w:rPr>
          <w:rFonts w:asciiTheme="majorHAnsi" w:hAnsiTheme="majorHAnsi" w:cstheme="majorHAnsi"/>
          <w:i/>
          <w:sz w:val="22"/>
        </w:rPr>
        <w:t xml:space="preserve"> </w:t>
      </w:r>
      <w:r w:rsidRPr="001473DD">
        <w:rPr>
          <w:rFonts w:asciiTheme="majorHAnsi" w:hAnsiTheme="majorHAnsi" w:cstheme="majorHAnsi"/>
          <w:i/>
          <w:sz w:val="22"/>
        </w:rPr>
        <w:t>i forhold til bekendtgørelsen.</w:t>
      </w:r>
    </w:p>
    <w:p w14:paraId="5E659E55" w14:textId="77777777" w:rsidR="00F31B0B" w:rsidRPr="001473DD" w:rsidRDefault="00F31B0B" w:rsidP="00762932">
      <w:pPr>
        <w:rPr>
          <w:rFonts w:asciiTheme="majorHAnsi" w:hAnsiTheme="majorHAnsi" w:cstheme="majorHAnsi"/>
          <w:i/>
          <w:sz w:val="22"/>
        </w:rPr>
      </w:pPr>
    </w:p>
    <w:p w14:paraId="29C529E7" w14:textId="3FD67A2D" w:rsidR="007A6E1E" w:rsidRPr="001473DD" w:rsidRDefault="00845770" w:rsidP="00762932">
      <w:pPr>
        <w:rPr>
          <w:rFonts w:asciiTheme="majorHAnsi" w:hAnsiTheme="majorHAnsi" w:cstheme="majorHAnsi"/>
          <w:i/>
          <w:sz w:val="22"/>
        </w:rPr>
      </w:pPr>
      <w:r w:rsidRPr="001473DD">
        <w:rPr>
          <w:rFonts w:asciiTheme="majorHAnsi" w:hAnsiTheme="majorHAnsi" w:cstheme="majorHAnsi"/>
          <w:i/>
          <w:sz w:val="22"/>
        </w:rPr>
        <w:t xml:space="preserve">Til </w:t>
      </w:r>
      <w:r w:rsidR="00762932" w:rsidRPr="001473DD">
        <w:rPr>
          <w:rFonts w:asciiTheme="majorHAnsi" w:hAnsiTheme="majorHAnsi" w:cstheme="majorHAnsi"/>
          <w:i/>
          <w:sz w:val="22"/>
          <w:u w:val="single"/>
        </w:rPr>
        <w:t>Dansk Industri</w:t>
      </w:r>
      <w:r w:rsidRPr="001473DD">
        <w:rPr>
          <w:rFonts w:asciiTheme="majorHAnsi" w:hAnsiTheme="majorHAnsi" w:cstheme="majorHAnsi"/>
          <w:i/>
          <w:sz w:val="22"/>
          <w:u w:val="single"/>
        </w:rPr>
        <w:t>s</w:t>
      </w:r>
      <w:r w:rsidRPr="001473DD">
        <w:rPr>
          <w:rFonts w:asciiTheme="majorHAnsi" w:hAnsiTheme="majorHAnsi" w:cstheme="majorHAnsi"/>
          <w:i/>
          <w:sz w:val="22"/>
        </w:rPr>
        <w:t xml:space="preserve"> forslag om at </w:t>
      </w:r>
      <w:r w:rsidR="00762932" w:rsidRPr="001473DD">
        <w:rPr>
          <w:rFonts w:asciiTheme="majorHAnsi" w:hAnsiTheme="majorHAnsi" w:cstheme="majorHAnsi"/>
          <w:i/>
          <w:sz w:val="22"/>
        </w:rPr>
        <w:t>fremrykke</w:t>
      </w:r>
      <w:r w:rsidR="006836C7" w:rsidRPr="001473DD">
        <w:rPr>
          <w:rFonts w:asciiTheme="majorHAnsi" w:hAnsiTheme="majorHAnsi" w:cstheme="majorHAnsi"/>
          <w:i/>
          <w:sz w:val="22"/>
        </w:rPr>
        <w:t xml:space="preserve"> puljen</w:t>
      </w:r>
      <w:r w:rsidR="00762932" w:rsidRPr="001473DD">
        <w:rPr>
          <w:rFonts w:asciiTheme="majorHAnsi" w:hAnsiTheme="majorHAnsi" w:cstheme="majorHAnsi"/>
          <w:i/>
          <w:sz w:val="22"/>
        </w:rPr>
        <w:t xml:space="preserve"> til 2020</w:t>
      </w:r>
      <w:r w:rsidR="006836C7" w:rsidRPr="001473DD">
        <w:rPr>
          <w:rFonts w:asciiTheme="majorHAnsi" w:hAnsiTheme="majorHAnsi" w:cstheme="majorHAnsi"/>
          <w:i/>
          <w:sz w:val="22"/>
        </w:rPr>
        <w:t xml:space="preserve"> og </w:t>
      </w:r>
      <w:r w:rsidR="006836C7" w:rsidRPr="001473DD">
        <w:rPr>
          <w:rFonts w:asciiTheme="majorHAnsi" w:hAnsiTheme="majorHAnsi" w:cstheme="majorHAnsi"/>
          <w:i/>
          <w:sz w:val="22"/>
          <w:u w:val="single"/>
        </w:rPr>
        <w:t>Grøn Omstillings</w:t>
      </w:r>
      <w:r w:rsidR="006836C7" w:rsidRPr="001473DD">
        <w:rPr>
          <w:rFonts w:asciiTheme="majorHAnsi" w:hAnsiTheme="majorHAnsi" w:cstheme="majorHAnsi"/>
          <w:i/>
          <w:sz w:val="22"/>
        </w:rPr>
        <w:t xml:space="preserve"> forslag om mere ambitiøse grønne støtteordninger bemærkes, at </w:t>
      </w:r>
      <w:r w:rsidR="00154D3C">
        <w:rPr>
          <w:rFonts w:asciiTheme="majorHAnsi" w:hAnsiTheme="majorHAnsi" w:cstheme="majorHAnsi"/>
          <w:i/>
          <w:sz w:val="22"/>
        </w:rPr>
        <w:t>be</w:t>
      </w:r>
      <w:r w:rsidR="00154D3C">
        <w:rPr>
          <w:rFonts w:asciiTheme="majorHAnsi" w:hAnsiTheme="majorHAnsi" w:cstheme="majorHAnsi"/>
          <w:i/>
          <w:sz w:val="22"/>
        </w:rPr>
        <w:lastRenderedPageBreak/>
        <w:t>kendtgørelsen gennemfører energiaftalen fra 2018 og henviser til, at der inden for rammerne af Klimahandlingsplanen pågår forhandlinger om fremtidige tiltag</w:t>
      </w:r>
      <w:r w:rsidR="006836C7" w:rsidRPr="001473DD">
        <w:rPr>
          <w:rFonts w:asciiTheme="majorHAnsi" w:hAnsiTheme="majorHAnsi" w:cstheme="majorHAnsi"/>
          <w:i/>
          <w:sz w:val="22"/>
        </w:rPr>
        <w:t>.</w:t>
      </w:r>
    </w:p>
    <w:p w14:paraId="6D008B43" w14:textId="77777777" w:rsidR="00845770" w:rsidRPr="001473DD" w:rsidRDefault="00845770" w:rsidP="00F07A2F">
      <w:pPr>
        <w:rPr>
          <w:rFonts w:asciiTheme="majorHAnsi" w:hAnsiTheme="majorHAnsi" w:cstheme="majorHAnsi"/>
          <w:i/>
          <w:sz w:val="22"/>
        </w:rPr>
      </w:pPr>
    </w:p>
    <w:p w14:paraId="6AEFBB6E" w14:textId="7C3EAC24" w:rsidR="00F31B0B" w:rsidRPr="001473DD" w:rsidRDefault="00F31B0B" w:rsidP="00F31B0B">
      <w:pPr>
        <w:rPr>
          <w:rFonts w:asciiTheme="majorHAnsi" w:hAnsiTheme="majorHAnsi" w:cstheme="majorHAnsi"/>
          <w:i/>
          <w:iCs/>
          <w:sz w:val="22"/>
        </w:rPr>
      </w:pPr>
      <w:r w:rsidRPr="001473DD">
        <w:rPr>
          <w:rFonts w:asciiTheme="majorHAnsi" w:hAnsiTheme="majorHAnsi" w:cstheme="majorHAnsi"/>
          <w:i/>
          <w:sz w:val="22"/>
        </w:rPr>
        <w:t xml:space="preserve">Til </w:t>
      </w:r>
      <w:r w:rsidR="00845770" w:rsidRPr="001473DD">
        <w:rPr>
          <w:rFonts w:asciiTheme="majorHAnsi" w:hAnsiTheme="majorHAnsi" w:cstheme="majorHAnsi"/>
          <w:i/>
          <w:sz w:val="22"/>
          <w:u w:val="single"/>
        </w:rPr>
        <w:t>Dansk Industri</w:t>
      </w:r>
      <w:r w:rsidR="00845770" w:rsidRPr="001473DD">
        <w:rPr>
          <w:rFonts w:asciiTheme="majorHAnsi" w:hAnsiTheme="majorHAnsi" w:cstheme="majorHAnsi"/>
          <w:i/>
          <w:sz w:val="22"/>
        </w:rPr>
        <w:t xml:space="preserve">, </w:t>
      </w:r>
      <w:r w:rsidR="00762932" w:rsidRPr="001473DD">
        <w:rPr>
          <w:rFonts w:asciiTheme="majorHAnsi" w:hAnsiTheme="majorHAnsi" w:cstheme="majorHAnsi"/>
          <w:i/>
          <w:sz w:val="22"/>
          <w:u w:val="single"/>
        </w:rPr>
        <w:t>SYNERGI</w:t>
      </w:r>
      <w:r w:rsidR="00762932" w:rsidRPr="001473DD">
        <w:rPr>
          <w:rFonts w:asciiTheme="majorHAnsi" w:hAnsiTheme="majorHAnsi" w:cstheme="majorHAnsi"/>
          <w:i/>
          <w:sz w:val="22"/>
        </w:rPr>
        <w:t xml:space="preserve"> og </w:t>
      </w:r>
      <w:r w:rsidR="00762932" w:rsidRPr="001473DD">
        <w:rPr>
          <w:rFonts w:asciiTheme="majorHAnsi" w:hAnsiTheme="majorHAnsi" w:cstheme="majorHAnsi"/>
          <w:i/>
          <w:sz w:val="22"/>
          <w:u w:val="single"/>
        </w:rPr>
        <w:t>TEKNIQ Arb</w:t>
      </w:r>
      <w:r w:rsidRPr="001473DD">
        <w:rPr>
          <w:rFonts w:asciiTheme="majorHAnsi" w:hAnsiTheme="majorHAnsi" w:cstheme="majorHAnsi"/>
          <w:i/>
          <w:sz w:val="22"/>
          <w:u w:val="single"/>
        </w:rPr>
        <w:t>ejdsgivernes</w:t>
      </w:r>
      <w:r w:rsidRPr="001473DD">
        <w:rPr>
          <w:rFonts w:asciiTheme="majorHAnsi" w:hAnsiTheme="majorHAnsi" w:cstheme="majorHAnsi"/>
          <w:i/>
          <w:sz w:val="22"/>
        </w:rPr>
        <w:t xml:space="preserve"> høringssvar om erhvervspuljens foreslået afsatte midler bemærkes, at puljernes overordnede udformning i forhold til gennemførelse af energibesparelser følger af energiaftalen fra 2018 og dermed det politiske mandat, der ligger til grund for lovforslaget. </w:t>
      </w:r>
    </w:p>
    <w:p w14:paraId="57391945" w14:textId="77777777" w:rsidR="00F31B0B" w:rsidRPr="001473DD" w:rsidRDefault="00F31B0B" w:rsidP="00F07A2F">
      <w:pPr>
        <w:rPr>
          <w:rFonts w:asciiTheme="majorHAnsi" w:hAnsiTheme="majorHAnsi" w:cstheme="majorHAnsi"/>
          <w:i/>
          <w:sz w:val="22"/>
        </w:rPr>
      </w:pPr>
    </w:p>
    <w:p w14:paraId="03A2809B" w14:textId="2D965B91" w:rsidR="00762932" w:rsidRPr="001473DD" w:rsidRDefault="00F31B0B" w:rsidP="00F07A2F">
      <w:pPr>
        <w:rPr>
          <w:rFonts w:asciiTheme="majorHAnsi" w:hAnsiTheme="majorHAnsi" w:cstheme="majorHAnsi"/>
          <w:i/>
          <w:sz w:val="22"/>
        </w:rPr>
      </w:pPr>
      <w:r w:rsidRPr="001473DD">
        <w:rPr>
          <w:rFonts w:asciiTheme="majorHAnsi" w:hAnsiTheme="majorHAnsi" w:cstheme="majorHAnsi"/>
          <w:i/>
          <w:sz w:val="22"/>
        </w:rPr>
        <w:t xml:space="preserve">Til </w:t>
      </w:r>
      <w:r w:rsidR="00762932" w:rsidRPr="001473DD">
        <w:rPr>
          <w:rFonts w:asciiTheme="majorHAnsi" w:hAnsiTheme="majorHAnsi" w:cstheme="majorHAnsi"/>
          <w:i/>
          <w:sz w:val="22"/>
          <w:u w:val="single"/>
        </w:rPr>
        <w:t>Dansk Industri</w:t>
      </w:r>
      <w:r w:rsidR="00762932" w:rsidRPr="001473DD">
        <w:rPr>
          <w:rFonts w:asciiTheme="majorHAnsi" w:hAnsiTheme="majorHAnsi" w:cstheme="majorHAnsi"/>
          <w:i/>
          <w:sz w:val="22"/>
        </w:rPr>
        <w:t xml:space="preserve"> og </w:t>
      </w:r>
      <w:r w:rsidR="00762932" w:rsidRPr="001473DD">
        <w:rPr>
          <w:rFonts w:asciiTheme="majorHAnsi" w:hAnsiTheme="majorHAnsi" w:cstheme="majorHAnsi"/>
          <w:i/>
          <w:sz w:val="22"/>
          <w:u w:val="single"/>
        </w:rPr>
        <w:t xml:space="preserve">SYNERGI </w:t>
      </w:r>
      <w:r w:rsidRPr="001473DD">
        <w:rPr>
          <w:rFonts w:asciiTheme="majorHAnsi" w:hAnsiTheme="majorHAnsi" w:cstheme="majorHAnsi"/>
          <w:i/>
          <w:sz w:val="22"/>
        </w:rPr>
        <w:t xml:space="preserve">høringssvar med hensyn til </w:t>
      </w:r>
      <w:proofErr w:type="spellStart"/>
      <w:r w:rsidRPr="001473DD">
        <w:rPr>
          <w:rFonts w:asciiTheme="majorHAnsi" w:hAnsiTheme="majorHAnsi" w:cstheme="majorHAnsi"/>
          <w:i/>
          <w:sz w:val="22"/>
        </w:rPr>
        <w:t>energispareindsatsen</w:t>
      </w:r>
      <w:proofErr w:type="spellEnd"/>
      <w:r w:rsidRPr="001473DD">
        <w:rPr>
          <w:rFonts w:asciiTheme="majorHAnsi" w:hAnsiTheme="majorHAnsi" w:cstheme="majorHAnsi"/>
          <w:i/>
          <w:sz w:val="22"/>
        </w:rPr>
        <w:t xml:space="preserve"> efter 2024 fremgår det af energiaftalen fra 2018, at der i energiaftalens periode skal tages initiativ til drøftelse af den videre energipolitik efter 2024</w:t>
      </w:r>
      <w:r w:rsidRPr="001473DD">
        <w:rPr>
          <w:rFonts w:asciiTheme="majorHAnsi" w:hAnsiTheme="majorHAnsi" w:cstheme="majorHAnsi"/>
          <w:i/>
          <w:iCs/>
          <w:sz w:val="22"/>
        </w:rPr>
        <w:t>.</w:t>
      </w:r>
    </w:p>
    <w:p w14:paraId="4792623C" w14:textId="77777777" w:rsidR="00762932" w:rsidRPr="001473DD" w:rsidRDefault="00762932" w:rsidP="00F07A2F">
      <w:pPr>
        <w:rPr>
          <w:rFonts w:cstheme="minorHAnsi"/>
          <w:i/>
          <w:sz w:val="22"/>
        </w:rPr>
      </w:pPr>
    </w:p>
    <w:p w14:paraId="00B8931B" w14:textId="3D122B33" w:rsidR="00D7129B" w:rsidRPr="003A3E2D" w:rsidRDefault="003A3E2D" w:rsidP="00A86F72">
      <w:pPr>
        <w:rPr>
          <w:b/>
          <w:sz w:val="22"/>
        </w:rPr>
      </w:pPr>
      <w:bookmarkStart w:id="3" w:name="_Toc40705903"/>
      <w:r>
        <w:rPr>
          <w:b/>
          <w:sz w:val="22"/>
        </w:rPr>
        <w:t xml:space="preserve">Målretning af puljen med henblik på </w:t>
      </w:r>
      <w:r w:rsidR="00D7129B" w:rsidRPr="001473DD">
        <w:rPr>
          <w:b/>
          <w:sz w:val="22"/>
        </w:rPr>
        <w:t>CO</w:t>
      </w:r>
      <w:r w:rsidR="00D7129B" w:rsidRPr="00CA2854">
        <w:rPr>
          <w:b/>
          <w:sz w:val="22"/>
          <w:vertAlign w:val="subscript"/>
        </w:rPr>
        <w:t>2</w:t>
      </w:r>
      <w:bookmarkEnd w:id="3"/>
      <w:r>
        <w:rPr>
          <w:b/>
          <w:sz w:val="22"/>
        </w:rPr>
        <w:t>-effekt</w:t>
      </w:r>
    </w:p>
    <w:p w14:paraId="58FD52BE" w14:textId="337C9521" w:rsidR="00CA2AB7" w:rsidRPr="001473DD" w:rsidRDefault="00D7129B" w:rsidP="00D7129B">
      <w:pPr>
        <w:rPr>
          <w:rFonts w:cs="Arial"/>
          <w:color w:val="000000"/>
          <w:sz w:val="22"/>
        </w:rPr>
      </w:pPr>
      <w:r w:rsidRPr="001473DD">
        <w:rPr>
          <w:rFonts w:cs="Arial"/>
          <w:color w:val="000000"/>
          <w:sz w:val="22"/>
          <w:u w:val="single"/>
        </w:rPr>
        <w:t>Dansk Energi</w:t>
      </w:r>
      <w:r w:rsidRPr="001473DD">
        <w:rPr>
          <w:rFonts w:cs="Arial"/>
          <w:color w:val="000000"/>
          <w:sz w:val="22"/>
        </w:rPr>
        <w:t xml:space="preserve"> bemærker, at en energieffektiviseringsindsats bør målrettes brugen af fossile brændsler. </w:t>
      </w:r>
    </w:p>
    <w:p w14:paraId="473FC63A" w14:textId="77A05143" w:rsidR="008E2D49" w:rsidRPr="001473DD" w:rsidRDefault="008E2D49" w:rsidP="00D7129B">
      <w:pPr>
        <w:rPr>
          <w:rFonts w:cs="Arial"/>
          <w:color w:val="000000"/>
          <w:sz w:val="22"/>
        </w:rPr>
      </w:pPr>
    </w:p>
    <w:p w14:paraId="5C5A6389" w14:textId="6B200386" w:rsidR="00E31DD0" w:rsidRPr="001473DD" w:rsidRDefault="00E31DD0" w:rsidP="00D7129B">
      <w:pPr>
        <w:rPr>
          <w:sz w:val="22"/>
        </w:rPr>
      </w:pPr>
      <w:r w:rsidRPr="001473DD">
        <w:rPr>
          <w:rFonts w:cs="Arial"/>
          <w:color w:val="000000"/>
          <w:sz w:val="22"/>
          <w:u w:val="single"/>
        </w:rPr>
        <w:t>TEKNIQ Arbejdsgiverne</w:t>
      </w:r>
      <w:r w:rsidRPr="001473DD">
        <w:rPr>
          <w:rFonts w:cs="Arial"/>
          <w:color w:val="000000"/>
          <w:sz w:val="22"/>
        </w:rPr>
        <w:t xml:space="preserve"> bemærker, at CO</w:t>
      </w:r>
      <w:r w:rsidRPr="00CA2854">
        <w:rPr>
          <w:rFonts w:cs="Arial"/>
          <w:color w:val="000000"/>
          <w:sz w:val="22"/>
          <w:vertAlign w:val="subscript"/>
        </w:rPr>
        <w:t>2</w:t>
      </w:r>
      <w:r w:rsidRPr="001473DD">
        <w:rPr>
          <w:rFonts w:cs="Arial"/>
          <w:color w:val="000000"/>
          <w:sz w:val="22"/>
        </w:rPr>
        <w:t>-effekten af de enkelte tiltag bør tillægges en større betydning, for i højere grad at understøtte de energibesparelser, der bidrager mest effektivt til den grønne omstilling. A</w:t>
      </w:r>
      <w:r w:rsidRPr="001473DD">
        <w:rPr>
          <w:sz w:val="22"/>
        </w:rPr>
        <w:t>fskæringspris og vejledende tilsagnsramme bør baseres på pris pr. fortrængt tons CO</w:t>
      </w:r>
      <w:r w:rsidRPr="00CA2854">
        <w:rPr>
          <w:sz w:val="22"/>
          <w:vertAlign w:val="subscript"/>
        </w:rPr>
        <w:t>2</w:t>
      </w:r>
      <w:r w:rsidRPr="001473DD">
        <w:rPr>
          <w:sz w:val="22"/>
        </w:rPr>
        <w:t>.</w:t>
      </w:r>
    </w:p>
    <w:p w14:paraId="46340A3D" w14:textId="7F0BA44C" w:rsidR="00704B82" w:rsidRPr="001473DD" w:rsidRDefault="00704B82" w:rsidP="00D7129B">
      <w:pPr>
        <w:rPr>
          <w:sz w:val="22"/>
        </w:rPr>
      </w:pPr>
    </w:p>
    <w:p w14:paraId="7CAB02F9" w14:textId="727BCCD8" w:rsidR="00704B82" w:rsidRPr="001473DD" w:rsidRDefault="00704B82" w:rsidP="00D7129B">
      <w:pPr>
        <w:rPr>
          <w:b/>
          <w:i/>
          <w:sz w:val="22"/>
          <w:u w:val="single"/>
        </w:rPr>
      </w:pPr>
      <w:r w:rsidRPr="001473DD">
        <w:rPr>
          <w:b/>
          <w:i/>
          <w:sz w:val="22"/>
          <w:u w:val="single"/>
        </w:rPr>
        <w:t>Ministeriets bemærkninger:</w:t>
      </w:r>
    </w:p>
    <w:p w14:paraId="32B19712" w14:textId="1F5D6D3A" w:rsidR="00F45F2D" w:rsidRPr="001473DD" w:rsidRDefault="00F45F2D" w:rsidP="00F45F2D">
      <w:pPr>
        <w:rPr>
          <w:i/>
          <w:sz w:val="22"/>
        </w:rPr>
      </w:pPr>
      <w:r w:rsidRPr="001473DD">
        <w:rPr>
          <w:i/>
          <w:sz w:val="22"/>
        </w:rPr>
        <w:t xml:space="preserve">Klima-, Energi- og Forsyningsministeriet bemærker, at Danmark har en </w:t>
      </w:r>
      <w:proofErr w:type="spellStart"/>
      <w:r w:rsidRPr="001473DD">
        <w:rPr>
          <w:i/>
          <w:sz w:val="22"/>
        </w:rPr>
        <w:t>energispareforpligtelse</w:t>
      </w:r>
      <w:proofErr w:type="spellEnd"/>
      <w:r w:rsidRPr="001473DD">
        <w:rPr>
          <w:i/>
          <w:sz w:val="22"/>
        </w:rPr>
        <w:t xml:space="preserve"> i kraft af EU’s energieffektivitetsdirektiv for perioden 2021-2030, som vi skal opfylde. Dernæst er energieffektivisering et centralt element i den grønne omstilling både i Danmark og ikke mindst globalt. Der er fortsat mange energieffektiviseringer, som er rentable både for forbrugerne og for samfundet, og som tilskud kan være med til at realisere. </w:t>
      </w:r>
    </w:p>
    <w:p w14:paraId="34DA955E" w14:textId="510F3650" w:rsidR="00E31DD0" w:rsidRPr="001473DD" w:rsidRDefault="00F45F2D" w:rsidP="00F45F2D">
      <w:pPr>
        <w:rPr>
          <w:rFonts w:cs="Arial"/>
          <w:i/>
          <w:color w:val="000000"/>
          <w:sz w:val="22"/>
        </w:rPr>
      </w:pPr>
      <w:r w:rsidRPr="001473DD">
        <w:rPr>
          <w:i/>
          <w:sz w:val="22"/>
        </w:rPr>
        <w:t>Energieffektiviseringer har ikke kun en direkte effekt på CO</w:t>
      </w:r>
      <w:r w:rsidRPr="00CA2854">
        <w:rPr>
          <w:i/>
          <w:sz w:val="22"/>
          <w:vertAlign w:val="subscript"/>
        </w:rPr>
        <w:t>2</w:t>
      </w:r>
      <w:r w:rsidRPr="001473DD">
        <w:rPr>
          <w:i/>
          <w:sz w:val="22"/>
        </w:rPr>
        <w:t xml:space="preserve">-udledningen, men også på andre forhold i energisystemet i forbindelse med den grønne omstilling. Et lavere energiforbrug betyder blandt andet, at vi alt andet lige reducerer forbruget af biomasse og behovet for udbygning med vind og transmissionsledninger. </w:t>
      </w:r>
    </w:p>
    <w:p w14:paraId="680948F1" w14:textId="77777777" w:rsidR="00F45F2D" w:rsidRPr="001473DD" w:rsidRDefault="00F45F2D" w:rsidP="00D7129B">
      <w:pPr>
        <w:rPr>
          <w:rFonts w:cs="Arial"/>
          <w:color w:val="000000"/>
          <w:sz w:val="22"/>
        </w:rPr>
      </w:pPr>
    </w:p>
    <w:p w14:paraId="4FC65523" w14:textId="3E82C820" w:rsidR="008E2D49" w:rsidRPr="001473DD" w:rsidRDefault="00634301" w:rsidP="00A86F72">
      <w:pPr>
        <w:rPr>
          <w:b/>
          <w:sz w:val="22"/>
        </w:rPr>
      </w:pPr>
      <w:bookmarkStart w:id="4" w:name="_Toc40705904"/>
      <w:r w:rsidRPr="001473DD">
        <w:rPr>
          <w:b/>
          <w:sz w:val="22"/>
        </w:rPr>
        <w:t>Krav om min</w:t>
      </w:r>
      <w:r w:rsidR="003A3E2D">
        <w:rPr>
          <w:b/>
          <w:sz w:val="22"/>
        </w:rPr>
        <w:t xml:space="preserve">imumsstørrelse for </w:t>
      </w:r>
      <w:proofErr w:type="spellStart"/>
      <w:r w:rsidR="003A3E2D">
        <w:rPr>
          <w:b/>
          <w:sz w:val="22"/>
        </w:rPr>
        <w:t>energispareprojekter</w:t>
      </w:r>
      <w:proofErr w:type="spellEnd"/>
      <w:r w:rsidR="003A3E2D">
        <w:rPr>
          <w:b/>
          <w:sz w:val="22"/>
        </w:rPr>
        <w:t xml:space="preserve"> på </w:t>
      </w:r>
      <w:r w:rsidR="000B286E" w:rsidRPr="001473DD">
        <w:rPr>
          <w:b/>
          <w:sz w:val="22"/>
        </w:rPr>
        <w:t>100 M</w:t>
      </w:r>
      <w:r w:rsidR="008E2D49" w:rsidRPr="001473DD">
        <w:rPr>
          <w:b/>
          <w:sz w:val="22"/>
        </w:rPr>
        <w:t>Wh</w:t>
      </w:r>
      <w:bookmarkEnd w:id="4"/>
    </w:p>
    <w:p w14:paraId="6746D94F" w14:textId="3E7126CB" w:rsidR="00CB11F7" w:rsidRPr="001473DD" w:rsidRDefault="0088713F" w:rsidP="00D7129B">
      <w:pPr>
        <w:rPr>
          <w:rFonts w:cs="Arial"/>
          <w:color w:val="000000"/>
          <w:sz w:val="22"/>
        </w:rPr>
      </w:pPr>
      <w:r>
        <w:rPr>
          <w:rFonts w:cs="Arial"/>
          <w:color w:val="000000"/>
          <w:sz w:val="22"/>
          <w:u w:val="single"/>
        </w:rPr>
        <w:t xml:space="preserve">Dansk Energi, Dansk Gartneri, </w:t>
      </w:r>
      <w:r w:rsidR="00CB11F7" w:rsidRPr="001473DD">
        <w:rPr>
          <w:rFonts w:cs="Arial"/>
          <w:color w:val="000000"/>
          <w:sz w:val="22"/>
          <w:u w:val="single"/>
        </w:rPr>
        <w:t xml:space="preserve">Dansk </w:t>
      </w:r>
      <w:r w:rsidR="001418C3" w:rsidRPr="001473DD">
        <w:rPr>
          <w:rFonts w:cs="Arial"/>
          <w:color w:val="000000"/>
          <w:sz w:val="22"/>
          <w:u w:val="single"/>
        </w:rPr>
        <w:t>Industri,</w:t>
      </w:r>
      <w:r>
        <w:rPr>
          <w:rFonts w:cs="Arial"/>
          <w:color w:val="000000"/>
          <w:sz w:val="22"/>
          <w:u w:val="single"/>
        </w:rPr>
        <w:t xml:space="preserve"> </w:t>
      </w:r>
      <w:r w:rsidR="001418C3" w:rsidRPr="001473DD">
        <w:rPr>
          <w:rFonts w:cs="Arial"/>
          <w:color w:val="000000"/>
          <w:sz w:val="22"/>
          <w:u w:val="single"/>
        </w:rPr>
        <w:t>Energiforum Danmark, Grøn Omstilling</w:t>
      </w:r>
      <w:r w:rsidR="00FB1556" w:rsidRPr="001473DD">
        <w:rPr>
          <w:rFonts w:cs="Arial"/>
          <w:color w:val="000000"/>
          <w:sz w:val="22"/>
          <w:u w:val="single"/>
        </w:rPr>
        <w:t>, Landbrug og Fødevarer,</w:t>
      </w:r>
      <w:r w:rsidR="00051F06" w:rsidRPr="001473DD">
        <w:rPr>
          <w:rFonts w:cs="Arial"/>
          <w:color w:val="000000"/>
          <w:sz w:val="22"/>
          <w:u w:val="single"/>
        </w:rPr>
        <w:t xml:space="preserve"> SYNERGI</w:t>
      </w:r>
      <w:r>
        <w:rPr>
          <w:rFonts w:cs="Arial"/>
          <w:color w:val="000000"/>
          <w:sz w:val="22"/>
          <w:u w:val="single"/>
        </w:rPr>
        <w:t xml:space="preserve"> og</w:t>
      </w:r>
      <w:r w:rsidR="00154D3C">
        <w:rPr>
          <w:rFonts w:cs="Arial"/>
          <w:color w:val="000000"/>
          <w:sz w:val="22"/>
          <w:u w:val="single"/>
        </w:rPr>
        <w:t xml:space="preserve"> </w:t>
      </w:r>
      <w:r w:rsidR="00E31DD0" w:rsidRPr="001473DD">
        <w:rPr>
          <w:rFonts w:cs="Arial"/>
          <w:color w:val="000000"/>
          <w:sz w:val="22"/>
          <w:u w:val="single"/>
        </w:rPr>
        <w:t>TEKNIQ Arbejdsgiverne</w:t>
      </w:r>
      <w:r w:rsidR="001418C3" w:rsidRPr="001473DD">
        <w:rPr>
          <w:rFonts w:cs="Arial"/>
          <w:color w:val="000000"/>
          <w:sz w:val="22"/>
        </w:rPr>
        <w:t xml:space="preserve"> </w:t>
      </w:r>
      <w:r w:rsidR="00CB11F7" w:rsidRPr="001473DD">
        <w:rPr>
          <w:rFonts w:cs="Arial"/>
          <w:color w:val="000000"/>
          <w:sz w:val="22"/>
        </w:rPr>
        <w:t>bemærker</w:t>
      </w:r>
      <w:r w:rsidR="001418C3" w:rsidRPr="001473DD">
        <w:rPr>
          <w:rFonts w:cs="Arial"/>
          <w:color w:val="000000"/>
          <w:sz w:val="22"/>
        </w:rPr>
        <w:t>,</w:t>
      </w:r>
      <w:r w:rsidR="00CB11F7" w:rsidRPr="001473DD">
        <w:rPr>
          <w:rFonts w:cs="Arial"/>
          <w:color w:val="000000"/>
          <w:sz w:val="22"/>
        </w:rPr>
        <w:t xml:space="preserve"> at man med grænsen på 100 MWh </w:t>
      </w:r>
      <w:r w:rsidR="00E31DD0" w:rsidRPr="001473DD">
        <w:rPr>
          <w:rFonts w:cs="Arial"/>
          <w:color w:val="000000"/>
          <w:sz w:val="22"/>
        </w:rPr>
        <w:t xml:space="preserve">uhensigtsmæssigt </w:t>
      </w:r>
      <w:r w:rsidR="00CB11F7" w:rsidRPr="001473DD">
        <w:rPr>
          <w:rFonts w:cs="Arial"/>
          <w:color w:val="000000"/>
          <w:sz w:val="22"/>
        </w:rPr>
        <w:t xml:space="preserve">udelukker </w:t>
      </w:r>
      <w:r w:rsidR="007938A8" w:rsidRPr="001473DD">
        <w:rPr>
          <w:rFonts w:cs="Arial"/>
          <w:color w:val="000000"/>
          <w:sz w:val="22"/>
        </w:rPr>
        <w:t xml:space="preserve">særligt </w:t>
      </w:r>
      <w:proofErr w:type="spellStart"/>
      <w:r w:rsidR="00CB11F7" w:rsidRPr="001473DD">
        <w:rPr>
          <w:rFonts w:cs="Arial"/>
          <w:color w:val="000000"/>
          <w:sz w:val="22"/>
        </w:rPr>
        <w:t>SMV’er</w:t>
      </w:r>
      <w:r w:rsidR="007938A8" w:rsidRPr="001473DD">
        <w:rPr>
          <w:rFonts w:cs="Arial"/>
          <w:color w:val="000000"/>
          <w:sz w:val="22"/>
        </w:rPr>
        <w:t>e</w:t>
      </w:r>
      <w:proofErr w:type="spellEnd"/>
      <w:r w:rsidR="007938A8" w:rsidRPr="001473DD">
        <w:rPr>
          <w:rFonts w:cs="Arial"/>
          <w:color w:val="000000"/>
          <w:sz w:val="22"/>
        </w:rPr>
        <w:t>.</w:t>
      </w:r>
    </w:p>
    <w:p w14:paraId="4BB11EA0" w14:textId="6AA0F255" w:rsidR="001418C3" w:rsidRPr="001473DD" w:rsidRDefault="0088713F" w:rsidP="00D7129B">
      <w:pPr>
        <w:rPr>
          <w:rFonts w:cs="Arial"/>
          <w:color w:val="000000"/>
          <w:sz w:val="22"/>
        </w:rPr>
      </w:pPr>
      <w:r w:rsidRPr="00CA2854">
        <w:rPr>
          <w:rFonts w:cs="Arial"/>
          <w:color w:val="000000"/>
          <w:sz w:val="22"/>
          <w:u w:val="single"/>
        </w:rPr>
        <w:lastRenderedPageBreak/>
        <w:t>Dansk Energi</w:t>
      </w:r>
      <w:r>
        <w:rPr>
          <w:rFonts w:cs="Arial"/>
          <w:color w:val="000000"/>
          <w:sz w:val="22"/>
        </w:rPr>
        <w:t xml:space="preserve"> og </w:t>
      </w:r>
      <w:r w:rsidR="001418C3" w:rsidRPr="00CA2854">
        <w:rPr>
          <w:rFonts w:cs="Arial"/>
          <w:color w:val="000000"/>
          <w:sz w:val="22"/>
          <w:u w:val="single"/>
        </w:rPr>
        <w:t>Energiforum Danmark</w:t>
      </w:r>
      <w:r w:rsidR="001418C3" w:rsidRPr="001473DD">
        <w:rPr>
          <w:rFonts w:cs="Arial"/>
          <w:color w:val="000000"/>
          <w:sz w:val="22"/>
        </w:rPr>
        <w:t xml:space="preserve"> bemærker, at hvis man af tilskudsøkonomiske hensyn fastholder ”bagatelgrænsen” på 100 MWh, anbefales, at det øvrige potentiale adresseres med mere lettil</w:t>
      </w:r>
      <w:r>
        <w:rPr>
          <w:rFonts w:cs="Arial"/>
          <w:color w:val="000000"/>
          <w:sz w:val="22"/>
        </w:rPr>
        <w:t xml:space="preserve">gængelige ordninger for </w:t>
      </w:r>
      <w:proofErr w:type="spellStart"/>
      <w:r>
        <w:rPr>
          <w:rFonts w:cs="Arial"/>
          <w:color w:val="000000"/>
          <w:sz w:val="22"/>
        </w:rPr>
        <w:t>SMV´ere</w:t>
      </w:r>
      <w:proofErr w:type="spellEnd"/>
      <w:r>
        <w:rPr>
          <w:rFonts w:cs="Arial"/>
          <w:color w:val="000000"/>
          <w:sz w:val="22"/>
        </w:rPr>
        <w:t>.</w:t>
      </w:r>
    </w:p>
    <w:p w14:paraId="5F983BCE" w14:textId="7E1B57D6" w:rsidR="00E31DD0" w:rsidRPr="001473DD" w:rsidRDefault="00E31DD0" w:rsidP="00D7129B">
      <w:pPr>
        <w:rPr>
          <w:rFonts w:cs="Arial"/>
          <w:color w:val="000000"/>
          <w:sz w:val="22"/>
        </w:rPr>
      </w:pPr>
    </w:p>
    <w:p w14:paraId="7A05A17B" w14:textId="013D1B45" w:rsidR="00E31DD0" w:rsidRPr="001473DD" w:rsidRDefault="00E31DD0" w:rsidP="00D7129B">
      <w:pPr>
        <w:rPr>
          <w:sz w:val="22"/>
        </w:rPr>
      </w:pPr>
      <w:r w:rsidRPr="001473DD">
        <w:rPr>
          <w:sz w:val="22"/>
          <w:u w:val="single"/>
        </w:rPr>
        <w:t>TEKNIQ Arbejdsgiverne</w:t>
      </w:r>
      <w:r w:rsidRPr="001473DD">
        <w:rPr>
          <w:sz w:val="22"/>
        </w:rPr>
        <w:t xml:space="preserve"> bemærker, at i praksis vil projekter med en størrelse på over 100 MWh typisk ske som led i planlagte renoveringer eller udskiftning, og kan derfor som udgangspunkt ikke betragtes som </w:t>
      </w:r>
      <w:proofErr w:type="spellStart"/>
      <w:r w:rsidRPr="001473DD">
        <w:rPr>
          <w:sz w:val="22"/>
        </w:rPr>
        <w:t>additionelle</w:t>
      </w:r>
      <w:proofErr w:type="spellEnd"/>
      <w:r w:rsidRPr="001473DD">
        <w:rPr>
          <w:sz w:val="22"/>
        </w:rPr>
        <w:t xml:space="preserve">. </w:t>
      </w:r>
    </w:p>
    <w:p w14:paraId="0B91A7C2" w14:textId="77777777" w:rsidR="00704B82" w:rsidRPr="001473DD" w:rsidRDefault="00704B82" w:rsidP="00D7129B">
      <w:pPr>
        <w:rPr>
          <w:sz w:val="22"/>
        </w:rPr>
      </w:pPr>
    </w:p>
    <w:p w14:paraId="3706A8BC" w14:textId="77777777" w:rsidR="00704B82" w:rsidRPr="001473DD" w:rsidRDefault="00704B82" w:rsidP="00704B82">
      <w:pPr>
        <w:rPr>
          <w:b/>
          <w:i/>
          <w:sz w:val="22"/>
          <w:u w:val="single"/>
        </w:rPr>
      </w:pPr>
      <w:r w:rsidRPr="001473DD">
        <w:rPr>
          <w:b/>
          <w:i/>
          <w:sz w:val="22"/>
          <w:u w:val="single"/>
        </w:rPr>
        <w:t>Ministeriets bemærkninger:</w:t>
      </w:r>
    </w:p>
    <w:p w14:paraId="1937F172" w14:textId="05BA3B45" w:rsidR="001418C3" w:rsidRPr="001473DD" w:rsidRDefault="00F45F2D" w:rsidP="00F45F2D">
      <w:pPr>
        <w:rPr>
          <w:rFonts w:cs="Arial"/>
          <w:i/>
          <w:color w:val="000000"/>
          <w:sz w:val="22"/>
        </w:rPr>
      </w:pPr>
      <w:r w:rsidRPr="001473DD">
        <w:rPr>
          <w:rFonts w:cs="Arial"/>
          <w:i/>
          <w:color w:val="000000"/>
          <w:sz w:val="22"/>
        </w:rPr>
        <w:t>Rammerne for tilskudspuljen til energibesparelser i erhverv skal sikre, at der gennemføres de omkostningseffektive besparelser i hele målgruppen, dvs. også i små og mellemstore virksomheder. Der er fokus på, at ansøgningsproceduren i puljen bliver så enkel som muligt for den enkelte vir</w:t>
      </w:r>
      <w:r w:rsidR="00634301" w:rsidRPr="001473DD">
        <w:rPr>
          <w:rFonts w:cs="Arial"/>
          <w:i/>
          <w:color w:val="000000"/>
          <w:sz w:val="22"/>
        </w:rPr>
        <w:t>ksomhed, så små virksomheder og</w:t>
      </w:r>
      <w:r w:rsidRPr="001473DD">
        <w:rPr>
          <w:rFonts w:cs="Arial"/>
          <w:i/>
          <w:color w:val="000000"/>
          <w:sz w:val="22"/>
        </w:rPr>
        <w:t xml:space="preserve">så kan afsætte ressourcer til det. Herudover vil der blive gennemført en informationsindsats, der blandt andet også skal sikre, at kendskabet til ordningen når bredt ud blandt virksomhederne. </w:t>
      </w:r>
      <w:r w:rsidR="002D0138" w:rsidRPr="001473DD">
        <w:rPr>
          <w:rFonts w:cs="Arial"/>
          <w:i/>
          <w:color w:val="000000"/>
          <w:sz w:val="22"/>
        </w:rPr>
        <w:t>Ministeriet</w:t>
      </w:r>
      <w:r w:rsidR="005C5EB6">
        <w:rPr>
          <w:rFonts w:cs="Arial"/>
          <w:i/>
          <w:color w:val="000000"/>
          <w:sz w:val="22"/>
        </w:rPr>
        <w:t xml:space="preserve"> har dog taget bemærkningerne til efterretning og </w:t>
      </w:r>
      <w:r w:rsidR="00FB66B7">
        <w:rPr>
          <w:rFonts w:cs="Arial"/>
          <w:i/>
          <w:color w:val="000000"/>
          <w:sz w:val="22"/>
        </w:rPr>
        <w:t xml:space="preserve">foreslår i det reviderede udkast til bekendtgørelsen, at grænsen på 100 MWh ændres til en økonomisk grænse i overensstemmelse med det økonomiske hensyn til </w:t>
      </w:r>
      <w:proofErr w:type="spellStart"/>
      <w:r w:rsidR="00FB66B7">
        <w:rPr>
          <w:rFonts w:cs="Arial"/>
          <w:i/>
          <w:color w:val="000000"/>
          <w:sz w:val="22"/>
        </w:rPr>
        <w:t>additionalitet</w:t>
      </w:r>
      <w:proofErr w:type="spellEnd"/>
      <w:r w:rsidR="00FB66B7">
        <w:rPr>
          <w:rFonts w:cs="Arial"/>
          <w:i/>
          <w:color w:val="000000"/>
          <w:sz w:val="22"/>
        </w:rPr>
        <w:t>. Med den økonomiske grænse vil det være en betingelse for tilskud, at det ansøgte tilskudsbeløb</w:t>
      </w:r>
      <w:r w:rsidR="00FD72F8">
        <w:rPr>
          <w:rFonts w:cs="Arial"/>
          <w:i/>
          <w:color w:val="000000"/>
          <w:sz w:val="22"/>
        </w:rPr>
        <w:t xml:space="preserve"> udgør minimum</w:t>
      </w:r>
      <w:r w:rsidR="00FB66B7">
        <w:rPr>
          <w:rFonts w:cs="Arial"/>
          <w:i/>
          <w:color w:val="000000"/>
          <w:sz w:val="22"/>
        </w:rPr>
        <w:t xml:space="preserve"> kr. 10.000. Herudover vil der udarbejdes obligatoriske standardløsninger for visse typer af tiltag blandt andet af hensyn til ensartet og effektiv administration af ordningen.</w:t>
      </w:r>
    </w:p>
    <w:p w14:paraId="72B76B90" w14:textId="77777777" w:rsidR="00F45F2D" w:rsidRPr="001473DD" w:rsidRDefault="00F45F2D" w:rsidP="00F45F2D">
      <w:pPr>
        <w:rPr>
          <w:rFonts w:cs="Arial"/>
          <w:color w:val="000000"/>
          <w:sz w:val="22"/>
        </w:rPr>
      </w:pPr>
    </w:p>
    <w:p w14:paraId="0DABD74B" w14:textId="047AD7D6" w:rsidR="00F66870" w:rsidRPr="001473DD" w:rsidRDefault="00D66984" w:rsidP="00A86F72">
      <w:pPr>
        <w:rPr>
          <w:b/>
          <w:sz w:val="22"/>
        </w:rPr>
      </w:pPr>
      <w:bookmarkStart w:id="5" w:name="_Toc40705905"/>
      <w:r>
        <w:rPr>
          <w:b/>
          <w:sz w:val="22"/>
        </w:rPr>
        <w:t xml:space="preserve">Krav om </w:t>
      </w:r>
      <w:proofErr w:type="spellStart"/>
      <w:r>
        <w:rPr>
          <w:b/>
          <w:sz w:val="22"/>
        </w:rPr>
        <w:t>energispareprojekternes</w:t>
      </w:r>
      <w:proofErr w:type="spellEnd"/>
      <w:r>
        <w:rPr>
          <w:b/>
          <w:sz w:val="22"/>
        </w:rPr>
        <w:t xml:space="preserve"> t</w:t>
      </w:r>
      <w:r w:rsidR="00F66870" w:rsidRPr="001473DD">
        <w:rPr>
          <w:b/>
          <w:sz w:val="22"/>
        </w:rPr>
        <w:t>ilbagebetalingstid</w:t>
      </w:r>
      <w:bookmarkEnd w:id="5"/>
    </w:p>
    <w:p w14:paraId="146F1BE9" w14:textId="029521D6" w:rsidR="00F66870" w:rsidRPr="001473DD" w:rsidRDefault="00F66870" w:rsidP="00F66870">
      <w:pPr>
        <w:rPr>
          <w:rFonts w:cs="Arial"/>
          <w:color w:val="000000"/>
          <w:sz w:val="22"/>
        </w:rPr>
      </w:pPr>
      <w:r w:rsidRPr="001473DD">
        <w:rPr>
          <w:rFonts w:cs="Arial"/>
          <w:color w:val="000000"/>
          <w:sz w:val="22"/>
          <w:u w:val="single"/>
        </w:rPr>
        <w:t>Dansk Energi</w:t>
      </w:r>
      <w:r w:rsidR="0088713F">
        <w:rPr>
          <w:rFonts w:cs="Arial"/>
          <w:color w:val="000000"/>
          <w:sz w:val="22"/>
          <w:u w:val="single"/>
        </w:rPr>
        <w:t>, Dansk Industri og SYNERGI</w:t>
      </w:r>
      <w:r w:rsidR="0088713F">
        <w:rPr>
          <w:rFonts w:cs="Arial"/>
          <w:color w:val="000000"/>
          <w:sz w:val="22"/>
        </w:rPr>
        <w:t xml:space="preserve"> bemærker, at </w:t>
      </w:r>
      <w:r w:rsidRPr="001473DD">
        <w:rPr>
          <w:rFonts w:cs="Arial"/>
          <w:color w:val="000000"/>
          <w:sz w:val="22"/>
        </w:rPr>
        <w:t>den nedre grænse på 3 år er højt sat.</w:t>
      </w:r>
    </w:p>
    <w:p w14:paraId="5BCC1F10" w14:textId="77777777" w:rsidR="00F66870" w:rsidRPr="001473DD" w:rsidRDefault="00F66870" w:rsidP="00F66870">
      <w:pPr>
        <w:rPr>
          <w:rFonts w:cs="Arial"/>
          <w:color w:val="000000"/>
          <w:sz w:val="22"/>
        </w:rPr>
      </w:pPr>
    </w:p>
    <w:p w14:paraId="40D09EAD" w14:textId="77777777" w:rsidR="00F66870" w:rsidRPr="001473DD" w:rsidRDefault="00F66870" w:rsidP="00F66870">
      <w:pPr>
        <w:rPr>
          <w:b/>
          <w:i/>
          <w:sz w:val="22"/>
          <w:u w:val="single"/>
        </w:rPr>
      </w:pPr>
      <w:r w:rsidRPr="001473DD">
        <w:rPr>
          <w:b/>
          <w:i/>
          <w:sz w:val="22"/>
          <w:u w:val="single"/>
        </w:rPr>
        <w:t>Ministeriets bemærkninger:</w:t>
      </w:r>
    </w:p>
    <w:p w14:paraId="1E6421F9" w14:textId="3D9CAD8B" w:rsidR="00F66870" w:rsidRPr="001473DD" w:rsidRDefault="00F66870" w:rsidP="00F66870">
      <w:pPr>
        <w:rPr>
          <w:rFonts w:cs="Arial"/>
          <w:i/>
          <w:sz w:val="22"/>
        </w:rPr>
      </w:pPr>
      <w:r w:rsidRPr="00C75FD7">
        <w:rPr>
          <w:rFonts w:cs="Arial"/>
          <w:i/>
          <w:sz w:val="22"/>
        </w:rPr>
        <w:t xml:space="preserve">Klima-, Energi- og </w:t>
      </w:r>
      <w:r w:rsidRPr="001473DD">
        <w:rPr>
          <w:rFonts w:cs="Arial"/>
          <w:i/>
          <w:sz w:val="22"/>
        </w:rPr>
        <w:t>Forsyningsministeriet bemærker</w:t>
      </w:r>
      <w:r w:rsidR="000E2E63">
        <w:rPr>
          <w:rFonts w:cs="Arial"/>
          <w:i/>
          <w:sz w:val="22"/>
        </w:rPr>
        <w:t>,</w:t>
      </w:r>
      <w:r w:rsidR="00CC6F56" w:rsidRPr="001473DD">
        <w:rPr>
          <w:rFonts w:cs="Arial"/>
          <w:i/>
          <w:sz w:val="22"/>
        </w:rPr>
        <w:t xml:space="preserve"> </w:t>
      </w:r>
      <w:r w:rsidR="00314E3B" w:rsidRPr="001473DD">
        <w:rPr>
          <w:rFonts w:cs="Arial"/>
          <w:i/>
          <w:sz w:val="22"/>
        </w:rPr>
        <w:t>at kravet om en tilbagebetalingstid over 3 år er uden indregningen af tilskuddet. Ministerie</w:t>
      </w:r>
      <w:r w:rsidR="006836C7" w:rsidRPr="001473DD">
        <w:rPr>
          <w:rFonts w:cs="Arial"/>
          <w:i/>
          <w:sz w:val="22"/>
        </w:rPr>
        <w:t>t</w:t>
      </w:r>
      <w:r w:rsidR="00314E3B" w:rsidRPr="001473DD">
        <w:rPr>
          <w:rFonts w:cs="Arial"/>
          <w:i/>
          <w:sz w:val="22"/>
        </w:rPr>
        <w:t xml:space="preserve"> bemærker endvidere</w:t>
      </w:r>
      <w:r w:rsidR="000E2E63">
        <w:rPr>
          <w:rFonts w:cs="Arial"/>
          <w:i/>
          <w:sz w:val="22"/>
        </w:rPr>
        <w:t>,</w:t>
      </w:r>
      <w:r w:rsidR="00314E3B" w:rsidRPr="001473DD">
        <w:rPr>
          <w:rFonts w:cs="Arial"/>
          <w:i/>
          <w:sz w:val="22"/>
        </w:rPr>
        <w:t xml:space="preserve"> at kravet om minimum 3 års tilbagebetalingstid er sat af hensyn til ønsket om så høj </w:t>
      </w:r>
      <w:proofErr w:type="spellStart"/>
      <w:r w:rsidR="00314E3B" w:rsidRPr="001473DD">
        <w:rPr>
          <w:rFonts w:cs="Arial"/>
          <w:i/>
          <w:sz w:val="22"/>
        </w:rPr>
        <w:t>additionalitet</w:t>
      </w:r>
      <w:proofErr w:type="spellEnd"/>
      <w:r w:rsidR="00314E3B" w:rsidRPr="001473DD">
        <w:rPr>
          <w:rFonts w:cs="Arial"/>
          <w:i/>
          <w:sz w:val="22"/>
        </w:rPr>
        <w:t xml:space="preserve"> som muligt.</w:t>
      </w:r>
    </w:p>
    <w:p w14:paraId="171945F4" w14:textId="7E4BD874" w:rsidR="00F66870" w:rsidRPr="001473DD" w:rsidRDefault="00F66870" w:rsidP="00F66870">
      <w:pPr>
        <w:rPr>
          <w:i/>
          <w:sz w:val="22"/>
          <w:u w:val="single"/>
        </w:rPr>
      </w:pPr>
    </w:p>
    <w:p w14:paraId="4A2D220E" w14:textId="68586475" w:rsidR="001418C3" w:rsidRPr="001473DD" w:rsidRDefault="00F45F2D" w:rsidP="00A86F72">
      <w:pPr>
        <w:rPr>
          <w:b/>
          <w:sz w:val="22"/>
        </w:rPr>
      </w:pPr>
      <w:bookmarkStart w:id="6" w:name="_Toc40705906"/>
      <w:r w:rsidRPr="001473DD">
        <w:rPr>
          <w:b/>
          <w:sz w:val="22"/>
        </w:rPr>
        <w:t xml:space="preserve">Kravet om </w:t>
      </w:r>
      <w:bookmarkEnd w:id="6"/>
      <w:r w:rsidR="00314E3B" w:rsidRPr="001473DD">
        <w:rPr>
          <w:b/>
          <w:sz w:val="22"/>
        </w:rPr>
        <w:t>konkurrence med pris pr. kWh som konkurrenceparameter</w:t>
      </w:r>
    </w:p>
    <w:p w14:paraId="2B71A0F0" w14:textId="07471AF6" w:rsidR="001418C3" w:rsidRPr="001473DD" w:rsidRDefault="001418C3" w:rsidP="00C75FD7">
      <w:pPr>
        <w:rPr>
          <w:rFonts w:cs="Arial"/>
          <w:color w:val="000000"/>
          <w:sz w:val="22"/>
        </w:rPr>
      </w:pPr>
      <w:r w:rsidRPr="001473DD">
        <w:rPr>
          <w:rFonts w:cs="Arial"/>
          <w:color w:val="000000"/>
          <w:sz w:val="22"/>
          <w:u w:val="single"/>
        </w:rPr>
        <w:t>Grøn Omstilling</w:t>
      </w:r>
      <w:r w:rsidRPr="001473DD">
        <w:rPr>
          <w:rFonts w:cs="Arial"/>
          <w:color w:val="000000"/>
          <w:sz w:val="22"/>
        </w:rPr>
        <w:t xml:space="preserve"> bemærker</w:t>
      </w:r>
      <w:r w:rsidR="000E2E63">
        <w:rPr>
          <w:rFonts w:cs="Arial"/>
          <w:color w:val="000000"/>
          <w:sz w:val="22"/>
        </w:rPr>
        <w:t>,</w:t>
      </w:r>
      <w:r w:rsidRPr="001473DD">
        <w:rPr>
          <w:rFonts w:cs="Arial"/>
          <w:color w:val="000000"/>
          <w:sz w:val="22"/>
        </w:rPr>
        <w:t xml:space="preserve"> a</w:t>
      </w:r>
      <w:r w:rsidR="000E2E63">
        <w:rPr>
          <w:rFonts w:cs="Arial"/>
          <w:color w:val="000000"/>
          <w:sz w:val="22"/>
        </w:rPr>
        <w:t>t</w:t>
      </w:r>
      <w:r w:rsidRPr="001473DD">
        <w:rPr>
          <w:rFonts w:cs="Arial"/>
          <w:color w:val="000000"/>
          <w:sz w:val="22"/>
        </w:rPr>
        <w:t xml:space="preserve"> grænsen på 7 øre/kWh forekommer vilkårligt valgt. Grøn Omstilling frygter, at denne tilgang ikke sikrer størst mulig </w:t>
      </w:r>
      <w:proofErr w:type="spellStart"/>
      <w:r w:rsidRPr="001473DD">
        <w:rPr>
          <w:rFonts w:cs="Arial"/>
          <w:color w:val="000000"/>
          <w:sz w:val="22"/>
        </w:rPr>
        <w:t>additionalitet</w:t>
      </w:r>
      <w:proofErr w:type="spellEnd"/>
      <w:r w:rsidRPr="001473DD">
        <w:rPr>
          <w:rFonts w:cs="Arial"/>
          <w:color w:val="000000"/>
          <w:sz w:val="22"/>
        </w:rPr>
        <w:t xml:space="preserve"> i ordningen, idet de tiltag, der i forvejen er planlagt, også vil være de tiltag, hvor virksomhederne kan tillade sig at søge om en lav betaling per kWh.</w:t>
      </w:r>
    </w:p>
    <w:p w14:paraId="693E7EB8" w14:textId="7F1D53B8" w:rsidR="00D1741A" w:rsidRPr="001473DD" w:rsidRDefault="00D1741A" w:rsidP="001418C3">
      <w:pPr>
        <w:rPr>
          <w:rFonts w:cs="Arial"/>
          <w:color w:val="000000"/>
          <w:sz w:val="22"/>
        </w:rPr>
      </w:pPr>
    </w:p>
    <w:p w14:paraId="2321A9F0" w14:textId="1B06C05B" w:rsidR="00D1741A" w:rsidRPr="001473DD" w:rsidRDefault="00D1741A" w:rsidP="00D1741A">
      <w:pPr>
        <w:rPr>
          <w:rFonts w:cs="Arial"/>
          <w:color w:val="000000"/>
          <w:sz w:val="22"/>
        </w:rPr>
      </w:pPr>
      <w:r w:rsidRPr="001473DD">
        <w:rPr>
          <w:rFonts w:cs="Arial"/>
          <w:color w:val="000000"/>
          <w:sz w:val="22"/>
          <w:u w:val="single"/>
        </w:rPr>
        <w:t>Landbrug og Fødevarer</w:t>
      </w:r>
      <w:r w:rsidRPr="001473DD">
        <w:rPr>
          <w:rFonts w:cs="Arial"/>
          <w:color w:val="000000"/>
          <w:sz w:val="22"/>
        </w:rPr>
        <w:t xml:space="preserve"> frygter, at det ensidige fokus på lavest pris pr. KWh og 100 MWh-grænsen generelt betyder, at relativt få virksomheder vil få </w:t>
      </w:r>
      <w:r w:rsidRPr="001473DD">
        <w:rPr>
          <w:rFonts w:cs="Arial"/>
          <w:color w:val="000000"/>
          <w:sz w:val="22"/>
        </w:rPr>
        <w:lastRenderedPageBreak/>
        <w:t>g</w:t>
      </w:r>
      <w:r w:rsidR="00C75FD7">
        <w:rPr>
          <w:rFonts w:cs="Arial"/>
          <w:color w:val="000000"/>
          <w:sz w:val="22"/>
        </w:rPr>
        <w:t xml:space="preserve">avn af ordningen. </w:t>
      </w:r>
      <w:r w:rsidRPr="001473DD">
        <w:rPr>
          <w:rFonts w:cs="Arial"/>
          <w:color w:val="000000"/>
          <w:sz w:val="22"/>
        </w:rPr>
        <w:t xml:space="preserve">Med de relativt få tilgængelige </w:t>
      </w:r>
      <w:r w:rsidR="000E2E63" w:rsidRPr="001473DD">
        <w:rPr>
          <w:rFonts w:cs="Arial"/>
          <w:color w:val="000000"/>
          <w:sz w:val="22"/>
        </w:rPr>
        <w:t xml:space="preserve">midler </w:t>
      </w:r>
      <w:r w:rsidRPr="001473DD">
        <w:rPr>
          <w:rFonts w:cs="Arial"/>
          <w:color w:val="000000"/>
          <w:sz w:val="22"/>
        </w:rPr>
        <w:t>risikeres det, at få projekter, eller kun et enkelt projekt, tildeles alle midlerne i de respektive udbudsrunder.</w:t>
      </w:r>
    </w:p>
    <w:p w14:paraId="52FEA0AC" w14:textId="4A79DAA4" w:rsidR="00704B82" w:rsidRPr="001473DD" w:rsidRDefault="00704B82" w:rsidP="00D1741A">
      <w:pPr>
        <w:rPr>
          <w:rFonts w:cs="Arial"/>
          <w:color w:val="000000"/>
          <w:sz w:val="22"/>
        </w:rPr>
      </w:pPr>
    </w:p>
    <w:p w14:paraId="2739B8F7" w14:textId="77777777" w:rsidR="00704B82" w:rsidRPr="001473DD" w:rsidRDefault="00704B82" w:rsidP="00704B82">
      <w:pPr>
        <w:rPr>
          <w:b/>
          <w:i/>
          <w:sz w:val="22"/>
          <w:u w:val="single"/>
        </w:rPr>
      </w:pPr>
      <w:r w:rsidRPr="001473DD">
        <w:rPr>
          <w:b/>
          <w:i/>
          <w:sz w:val="22"/>
          <w:u w:val="single"/>
        </w:rPr>
        <w:t>Ministeriets bemærkninger:</w:t>
      </w:r>
    </w:p>
    <w:p w14:paraId="7012A443" w14:textId="1B5BAC8D" w:rsidR="005F1BEA" w:rsidRPr="001473DD" w:rsidRDefault="005F1BEA" w:rsidP="005F1BEA">
      <w:pPr>
        <w:rPr>
          <w:rFonts w:cs="Arial"/>
          <w:i/>
          <w:sz w:val="22"/>
        </w:rPr>
      </w:pPr>
      <w:r w:rsidRPr="001473DD">
        <w:rPr>
          <w:rFonts w:cs="Arial"/>
          <w:i/>
          <w:sz w:val="22"/>
        </w:rPr>
        <w:t>Klima-, Energi- og Forsyningsministeriet</w:t>
      </w:r>
      <w:r w:rsidR="006836C7" w:rsidRPr="001473DD">
        <w:rPr>
          <w:rFonts w:cs="Arial"/>
          <w:i/>
          <w:sz w:val="22"/>
        </w:rPr>
        <w:t xml:space="preserve"> kvitterer for bemærkningern</w:t>
      </w:r>
      <w:r w:rsidR="00C75FD7">
        <w:rPr>
          <w:rFonts w:cs="Arial"/>
          <w:i/>
          <w:sz w:val="22"/>
        </w:rPr>
        <w:t xml:space="preserve">e og bemærker, at </w:t>
      </w:r>
      <w:r w:rsidR="00D66984">
        <w:rPr>
          <w:rFonts w:cs="Arial"/>
          <w:i/>
          <w:sz w:val="22"/>
        </w:rPr>
        <w:t>konkurrenceudsættelsen af puljen følger af det politiske mandat fra energiaftalen fra 2018. K</w:t>
      </w:r>
      <w:r w:rsidR="00C75FD7">
        <w:rPr>
          <w:rFonts w:cs="Arial"/>
          <w:i/>
          <w:sz w:val="22"/>
        </w:rPr>
        <w:t>ravet om konkurrence med pris pr. kWh er sat for at</w:t>
      </w:r>
      <w:r w:rsidR="00D66984">
        <w:rPr>
          <w:rFonts w:cs="Arial"/>
          <w:i/>
          <w:sz w:val="22"/>
        </w:rPr>
        <w:t xml:space="preserve"> sikre en omkostningseffektiv</w:t>
      </w:r>
      <w:r w:rsidR="00C75FD7">
        <w:rPr>
          <w:rFonts w:cs="Arial"/>
          <w:i/>
          <w:sz w:val="22"/>
        </w:rPr>
        <w:t xml:space="preserve"> </w:t>
      </w:r>
      <w:proofErr w:type="spellStart"/>
      <w:r w:rsidR="00D66984">
        <w:rPr>
          <w:rFonts w:cs="Arial"/>
          <w:i/>
          <w:sz w:val="22"/>
        </w:rPr>
        <w:t>energispareindsats</w:t>
      </w:r>
      <w:proofErr w:type="spellEnd"/>
      <w:r w:rsidR="00D66984">
        <w:rPr>
          <w:rFonts w:cs="Arial"/>
          <w:i/>
          <w:sz w:val="22"/>
        </w:rPr>
        <w:t xml:space="preserve"> med henblik på at </w:t>
      </w:r>
      <w:r w:rsidR="00C75FD7">
        <w:rPr>
          <w:rFonts w:cs="Arial"/>
          <w:i/>
          <w:sz w:val="22"/>
        </w:rPr>
        <w:t>opnå så mange energibesparelser som muligt for midlerne.</w:t>
      </w:r>
      <w:r w:rsidR="00A73A2F">
        <w:rPr>
          <w:rFonts w:cs="Arial"/>
          <w:i/>
          <w:sz w:val="22"/>
        </w:rPr>
        <w:t xml:space="preserve"> Det bemærkes yderligere, at </w:t>
      </w:r>
      <w:r w:rsidR="00A73A2F" w:rsidRPr="002A7615">
        <w:rPr>
          <w:rFonts w:cs="Arial"/>
          <w:i/>
          <w:sz w:val="22"/>
        </w:rPr>
        <w:t xml:space="preserve">tilskudsloftet følger af det politiske mandat fra Energiaftalen fra 2018 og er fastsat ud fra et hensyn om at balancere omkostningerne til energieffektivisering med omkostningerne til udbygning med vedvarende energi.    </w:t>
      </w:r>
    </w:p>
    <w:p w14:paraId="3FC5ABA1" w14:textId="77777777" w:rsidR="00704B82" w:rsidRPr="001473DD" w:rsidRDefault="00704B82" w:rsidP="00D1741A">
      <w:pPr>
        <w:rPr>
          <w:rFonts w:cs="Arial"/>
          <w:color w:val="000000"/>
          <w:sz w:val="22"/>
        </w:rPr>
      </w:pPr>
    </w:p>
    <w:p w14:paraId="41B08FE4" w14:textId="77777777" w:rsidR="000613CA" w:rsidRPr="001473DD" w:rsidRDefault="000613CA" w:rsidP="00A86F72">
      <w:pPr>
        <w:rPr>
          <w:b/>
          <w:sz w:val="22"/>
        </w:rPr>
      </w:pPr>
      <w:bookmarkStart w:id="7" w:name="_Toc40705907"/>
      <w:r w:rsidRPr="001473DD">
        <w:rPr>
          <w:b/>
          <w:sz w:val="22"/>
        </w:rPr>
        <w:t>Omfattede virksomheder</w:t>
      </w:r>
      <w:bookmarkEnd w:id="7"/>
    </w:p>
    <w:p w14:paraId="2D8CF7D2" w14:textId="77777777" w:rsidR="000613CA" w:rsidRPr="001473DD" w:rsidRDefault="000613CA" w:rsidP="000613CA">
      <w:pPr>
        <w:rPr>
          <w:sz w:val="22"/>
        </w:rPr>
      </w:pPr>
      <w:r w:rsidRPr="001473DD">
        <w:rPr>
          <w:sz w:val="22"/>
          <w:u w:val="single"/>
        </w:rPr>
        <w:t>Dansk Energi</w:t>
      </w:r>
      <w:r w:rsidRPr="001473DD">
        <w:rPr>
          <w:sz w:val="22"/>
        </w:rPr>
        <w:t xml:space="preserve"> bemærker, at alle virksomheder registreret i CVR-registret bør være omfattet af ordningen, inklusive kommunale virksomheder.</w:t>
      </w:r>
    </w:p>
    <w:p w14:paraId="140BEC8A" w14:textId="77777777" w:rsidR="000613CA" w:rsidRPr="001473DD" w:rsidRDefault="000613CA" w:rsidP="000613CA">
      <w:pPr>
        <w:rPr>
          <w:sz w:val="22"/>
        </w:rPr>
      </w:pPr>
    </w:p>
    <w:p w14:paraId="287E14EB" w14:textId="4E1D8107" w:rsidR="00C75FD7" w:rsidRPr="001473DD" w:rsidRDefault="000613CA" w:rsidP="00C75FD7">
      <w:pPr>
        <w:rPr>
          <w:sz w:val="22"/>
        </w:rPr>
      </w:pPr>
      <w:r w:rsidRPr="001473DD">
        <w:rPr>
          <w:sz w:val="22"/>
          <w:u w:val="single"/>
        </w:rPr>
        <w:t>Kommunernes Landsorganisation</w:t>
      </w:r>
      <w:r w:rsidRPr="001473DD">
        <w:rPr>
          <w:sz w:val="22"/>
        </w:rPr>
        <w:t xml:space="preserve"> anbefaler, at forsyningsselskaberne ligesom A/S-selskaber i denne sammenhæng betragtes som ikke-offentlige.</w:t>
      </w:r>
    </w:p>
    <w:p w14:paraId="0DD2A842" w14:textId="7D9F7E77" w:rsidR="000613CA" w:rsidRPr="001473DD" w:rsidRDefault="000613CA" w:rsidP="000613CA">
      <w:pPr>
        <w:rPr>
          <w:sz w:val="22"/>
        </w:rPr>
      </w:pPr>
    </w:p>
    <w:p w14:paraId="658D9D47" w14:textId="77777777" w:rsidR="000613CA" w:rsidRPr="001473DD" w:rsidRDefault="000613CA" w:rsidP="000613CA">
      <w:pPr>
        <w:rPr>
          <w:i/>
          <w:sz w:val="22"/>
          <w:u w:val="single"/>
        </w:rPr>
      </w:pPr>
      <w:r w:rsidRPr="001473DD">
        <w:rPr>
          <w:b/>
          <w:i/>
          <w:sz w:val="22"/>
          <w:u w:val="single"/>
        </w:rPr>
        <w:t>Ministeriets</w:t>
      </w:r>
      <w:r w:rsidRPr="001473DD">
        <w:rPr>
          <w:i/>
          <w:sz w:val="22"/>
          <w:u w:val="single"/>
        </w:rPr>
        <w:t xml:space="preserve"> </w:t>
      </w:r>
      <w:r w:rsidRPr="001473DD">
        <w:rPr>
          <w:b/>
          <w:i/>
          <w:sz w:val="22"/>
          <w:u w:val="single"/>
        </w:rPr>
        <w:t>bemærkninger</w:t>
      </w:r>
      <w:r w:rsidRPr="001473DD">
        <w:rPr>
          <w:i/>
          <w:sz w:val="22"/>
          <w:u w:val="single"/>
        </w:rPr>
        <w:t>:</w:t>
      </w:r>
    </w:p>
    <w:p w14:paraId="19DA1E52" w14:textId="2CE7D8D7" w:rsidR="00EC570E" w:rsidRPr="00EC570E" w:rsidRDefault="005F1BEA" w:rsidP="00EC570E">
      <w:pPr>
        <w:rPr>
          <w:rFonts w:cs="Arial"/>
          <w:i/>
          <w:sz w:val="22"/>
        </w:rPr>
      </w:pPr>
      <w:r w:rsidRPr="001473DD">
        <w:rPr>
          <w:rFonts w:cs="Arial"/>
          <w:i/>
          <w:sz w:val="22"/>
        </w:rPr>
        <w:t>Klima-, Energi- og Forsyningsministeriet</w:t>
      </w:r>
      <w:r w:rsidR="00132C65" w:rsidRPr="001473DD">
        <w:rPr>
          <w:rFonts w:cs="Arial"/>
          <w:i/>
          <w:sz w:val="22"/>
        </w:rPr>
        <w:t xml:space="preserve"> kvitterer for </w:t>
      </w:r>
      <w:r w:rsidR="00C75FD7">
        <w:rPr>
          <w:rFonts w:cs="Arial"/>
          <w:i/>
          <w:sz w:val="22"/>
        </w:rPr>
        <w:t>høringssvarene</w:t>
      </w:r>
      <w:r w:rsidR="00FB66B7">
        <w:rPr>
          <w:rFonts w:cs="Arial"/>
          <w:i/>
          <w:sz w:val="22"/>
        </w:rPr>
        <w:t>.</w:t>
      </w:r>
      <w:r w:rsidR="00132C65" w:rsidRPr="001473DD">
        <w:rPr>
          <w:rFonts w:cs="Arial"/>
          <w:i/>
          <w:sz w:val="22"/>
        </w:rPr>
        <w:t xml:space="preserve"> </w:t>
      </w:r>
      <w:r w:rsidR="00165009">
        <w:rPr>
          <w:rFonts w:cs="Arial"/>
          <w:i/>
          <w:sz w:val="22"/>
        </w:rPr>
        <w:t xml:space="preserve">Det bemærkes, </w:t>
      </w:r>
      <w:r w:rsidR="00165009" w:rsidRPr="00165009">
        <w:rPr>
          <w:rFonts w:cs="Arial"/>
          <w:i/>
          <w:sz w:val="22"/>
        </w:rPr>
        <w:t xml:space="preserve">at offentlige institutioner vil blive afgrænset i overensstemmelse med den generelle regulering ift. offentlige institutioner, herunder i medfør af forvaltningsloven og offentlighedsloven. </w:t>
      </w:r>
      <w:r w:rsidR="00EC570E" w:rsidRPr="00EC570E">
        <w:rPr>
          <w:rFonts w:cs="Arial"/>
          <w:i/>
          <w:sz w:val="22"/>
        </w:rPr>
        <w:t>Ordningen afgrænses således at områder inden for kollektiv</w:t>
      </w:r>
      <w:r w:rsidR="00EC570E">
        <w:rPr>
          <w:rFonts w:cs="Arial"/>
          <w:i/>
          <w:sz w:val="22"/>
        </w:rPr>
        <w:t xml:space="preserve"> </w:t>
      </w:r>
      <w:r w:rsidR="00EC570E" w:rsidRPr="00EC570E">
        <w:rPr>
          <w:rFonts w:cs="Arial"/>
          <w:i/>
          <w:sz w:val="22"/>
        </w:rPr>
        <w:t>energiforsyning og energikonvertering ikke vil falde ind</w:t>
      </w:r>
    </w:p>
    <w:p w14:paraId="5E51641F" w14:textId="4A480B19" w:rsidR="000613CA" w:rsidRPr="00165009" w:rsidRDefault="00EC570E" w:rsidP="00EC570E">
      <w:pPr>
        <w:rPr>
          <w:rFonts w:cs="Arial"/>
          <w:i/>
          <w:sz w:val="22"/>
        </w:rPr>
      </w:pPr>
      <w:r w:rsidRPr="00EC570E">
        <w:rPr>
          <w:rFonts w:cs="Arial"/>
          <w:i/>
          <w:sz w:val="22"/>
        </w:rPr>
        <w:t>under ordningens anvendelsesområde. Denne afgrænsning skal sikre, at der ikke ydes støtte til områder, der enten er underlagt krav om opnåelse af energibesparelser i henhold til Energieffektiviseringsdirektivet eller til områder,</w:t>
      </w:r>
      <w:r>
        <w:rPr>
          <w:rFonts w:cs="Arial"/>
          <w:i/>
          <w:sz w:val="22"/>
        </w:rPr>
        <w:t xml:space="preserve"> </w:t>
      </w:r>
      <w:r w:rsidRPr="00EC570E">
        <w:rPr>
          <w:rFonts w:cs="Arial"/>
          <w:i/>
          <w:sz w:val="22"/>
        </w:rPr>
        <w:t>hvor energibesparelser eller energieffektiviseringer sikres via andre tiltag.</w:t>
      </w:r>
    </w:p>
    <w:p w14:paraId="02C92D77" w14:textId="77777777" w:rsidR="000613CA" w:rsidRPr="001473DD" w:rsidRDefault="000613CA" w:rsidP="000613CA">
      <w:pPr>
        <w:rPr>
          <w:sz w:val="22"/>
        </w:rPr>
      </w:pPr>
    </w:p>
    <w:p w14:paraId="7CD25E5F" w14:textId="2212C914" w:rsidR="000613CA" w:rsidRPr="001473DD" w:rsidRDefault="00D66984" w:rsidP="00A86F72">
      <w:pPr>
        <w:rPr>
          <w:b/>
          <w:sz w:val="22"/>
        </w:rPr>
      </w:pPr>
      <w:bookmarkStart w:id="8" w:name="_Toc40705908"/>
      <w:r>
        <w:rPr>
          <w:b/>
          <w:sz w:val="22"/>
        </w:rPr>
        <w:t>Definition af k</w:t>
      </w:r>
      <w:r w:rsidR="000613CA" w:rsidRPr="001473DD">
        <w:rPr>
          <w:b/>
          <w:sz w:val="22"/>
        </w:rPr>
        <w:t>riseramt</w:t>
      </w:r>
      <w:bookmarkEnd w:id="8"/>
      <w:r>
        <w:rPr>
          <w:b/>
          <w:sz w:val="22"/>
        </w:rPr>
        <w:t>e virksomheder</w:t>
      </w:r>
    </w:p>
    <w:p w14:paraId="2D7B524E" w14:textId="08CA1942" w:rsidR="000613CA" w:rsidRPr="001473DD" w:rsidRDefault="000613CA" w:rsidP="000613CA">
      <w:pPr>
        <w:rPr>
          <w:rFonts w:cstheme="minorHAnsi"/>
          <w:sz w:val="22"/>
        </w:rPr>
      </w:pPr>
      <w:r w:rsidRPr="001473DD">
        <w:rPr>
          <w:rFonts w:cstheme="minorHAnsi"/>
          <w:sz w:val="22"/>
          <w:u w:val="single"/>
        </w:rPr>
        <w:t>Dansk Erhverv</w:t>
      </w:r>
      <w:r w:rsidRPr="001473DD">
        <w:rPr>
          <w:rFonts w:cstheme="minorHAnsi"/>
          <w:sz w:val="22"/>
        </w:rPr>
        <w:t xml:space="preserve"> bemærker, at i lyset af COVID19 og udfordringer</w:t>
      </w:r>
      <w:r w:rsidR="000E2E63">
        <w:rPr>
          <w:rFonts w:cstheme="minorHAnsi"/>
          <w:sz w:val="22"/>
        </w:rPr>
        <w:t>,</w:t>
      </w:r>
      <w:r w:rsidRPr="001473DD">
        <w:rPr>
          <w:rFonts w:cstheme="minorHAnsi"/>
          <w:sz w:val="22"/>
        </w:rPr>
        <w:t xml:space="preserve"> mange virksomheder har med likviditet og generelt manglende omsætning, så kan kravet om</w:t>
      </w:r>
      <w:r w:rsidR="000E2E63">
        <w:rPr>
          <w:rFonts w:cstheme="minorHAnsi"/>
          <w:sz w:val="22"/>
        </w:rPr>
        <w:t>,</w:t>
      </w:r>
      <w:r w:rsidRPr="001473DD">
        <w:rPr>
          <w:rFonts w:cstheme="minorHAnsi"/>
          <w:sz w:val="22"/>
        </w:rPr>
        <w:t xml:space="preserve"> at ansøger ikke må være kriseramt</w:t>
      </w:r>
      <w:r w:rsidR="000E2E63">
        <w:rPr>
          <w:rFonts w:cstheme="minorHAnsi"/>
          <w:sz w:val="22"/>
        </w:rPr>
        <w:t>,</w:t>
      </w:r>
      <w:r w:rsidRPr="001473DD">
        <w:rPr>
          <w:rFonts w:cstheme="minorHAnsi"/>
          <w:sz w:val="22"/>
        </w:rPr>
        <w:t xml:space="preserve"> være en udfordring.</w:t>
      </w:r>
    </w:p>
    <w:p w14:paraId="06E29382" w14:textId="77777777" w:rsidR="000613CA" w:rsidRPr="001473DD" w:rsidRDefault="000613CA" w:rsidP="000613CA">
      <w:pPr>
        <w:rPr>
          <w:rFonts w:cstheme="minorHAnsi"/>
          <w:sz w:val="22"/>
        </w:rPr>
      </w:pPr>
    </w:p>
    <w:p w14:paraId="23E50493" w14:textId="2BF2657E" w:rsidR="00704B82" w:rsidRPr="001473DD" w:rsidRDefault="000613CA" w:rsidP="008E2D49">
      <w:pPr>
        <w:rPr>
          <w:b/>
          <w:i/>
          <w:sz w:val="22"/>
          <w:u w:val="single"/>
        </w:rPr>
      </w:pPr>
      <w:r w:rsidRPr="001473DD">
        <w:rPr>
          <w:b/>
          <w:i/>
          <w:sz w:val="22"/>
          <w:u w:val="single"/>
        </w:rPr>
        <w:t>Ministeriets bemærkninger:</w:t>
      </w:r>
    </w:p>
    <w:p w14:paraId="4998FD06" w14:textId="5ED5E746" w:rsidR="00F758CF" w:rsidRDefault="00F758CF" w:rsidP="00F758CF">
      <w:pPr>
        <w:rPr>
          <w:rFonts w:cs="Arial"/>
          <w:i/>
          <w:sz w:val="22"/>
        </w:rPr>
      </w:pPr>
      <w:r w:rsidRPr="001473DD">
        <w:rPr>
          <w:rFonts w:cs="Arial"/>
          <w:i/>
          <w:sz w:val="22"/>
        </w:rPr>
        <w:t xml:space="preserve">I forhold til kravet om, at ansøger ikke må være kriseramt, bemærkes, at kravet følger af gruppefritagelsesforordningen. Danmark er forpligtet til at </w:t>
      </w:r>
      <w:r w:rsidRPr="001473DD">
        <w:rPr>
          <w:rFonts w:cs="Arial"/>
          <w:i/>
          <w:sz w:val="22"/>
        </w:rPr>
        <w:lastRenderedPageBreak/>
        <w:t xml:space="preserve">følge EU-lovgivningen, herunder statsstøttereglerne, og i dette tilfælde falder den konkrete ordning ind under gruppefritagelsesforordningen. </w:t>
      </w:r>
    </w:p>
    <w:p w14:paraId="26C96D64" w14:textId="11ECFC55" w:rsidR="00C47AEE" w:rsidRPr="001473DD" w:rsidRDefault="00C47AEE" w:rsidP="00F758CF">
      <w:pPr>
        <w:rPr>
          <w:rFonts w:cs="Arial"/>
          <w:i/>
          <w:sz w:val="22"/>
        </w:rPr>
      </w:pPr>
      <w:r w:rsidRPr="00C47AEE">
        <w:rPr>
          <w:rFonts w:cs="Arial"/>
          <w:i/>
          <w:sz w:val="22"/>
        </w:rPr>
        <w:t>Kommissionen har</w:t>
      </w:r>
      <w:r>
        <w:rPr>
          <w:rFonts w:cs="Arial"/>
          <w:i/>
          <w:sz w:val="22"/>
        </w:rPr>
        <w:t xml:space="preserve"> dog</w:t>
      </w:r>
      <w:r w:rsidRPr="00C47AEE">
        <w:rPr>
          <w:rFonts w:cs="Arial"/>
          <w:i/>
          <w:sz w:val="22"/>
        </w:rPr>
        <w:t xml:space="preserve"> fremsat forslag om ændring af forordninge</w:t>
      </w:r>
      <w:r>
        <w:rPr>
          <w:rFonts w:cs="Arial"/>
          <w:i/>
          <w:sz w:val="22"/>
        </w:rPr>
        <w:t>rne bl.a. på dette punkt, og Energistyrelsen</w:t>
      </w:r>
      <w:r w:rsidRPr="00C47AEE">
        <w:rPr>
          <w:rFonts w:cs="Arial"/>
          <w:i/>
          <w:sz w:val="22"/>
        </w:rPr>
        <w:t xml:space="preserve"> vil administrere kriteriet i overensstemmelse med de til enhver tid gældende regler.</w:t>
      </w:r>
    </w:p>
    <w:p w14:paraId="32183ABA" w14:textId="0EB36CC3" w:rsidR="007A78FB" w:rsidRPr="001473DD" w:rsidRDefault="007A78FB" w:rsidP="008E2D49">
      <w:pPr>
        <w:rPr>
          <w:rFonts w:cs="Arial"/>
          <w:color w:val="000000"/>
          <w:sz w:val="22"/>
        </w:rPr>
      </w:pPr>
    </w:p>
    <w:p w14:paraId="146025C5" w14:textId="5C2DC9DA" w:rsidR="007A78FB" w:rsidRPr="001473DD" w:rsidRDefault="007A78FB" w:rsidP="00A86F72">
      <w:pPr>
        <w:rPr>
          <w:b/>
          <w:sz w:val="22"/>
        </w:rPr>
      </w:pPr>
      <w:bookmarkStart w:id="9" w:name="_Toc40705909"/>
      <w:proofErr w:type="spellStart"/>
      <w:r w:rsidRPr="001473DD">
        <w:rPr>
          <w:b/>
          <w:sz w:val="22"/>
        </w:rPr>
        <w:t>Additionalitetskravet</w:t>
      </w:r>
      <w:bookmarkEnd w:id="9"/>
      <w:proofErr w:type="spellEnd"/>
    </w:p>
    <w:p w14:paraId="63A59C04" w14:textId="681A0627" w:rsidR="007A78FB" w:rsidRPr="001473DD" w:rsidRDefault="007A78FB" w:rsidP="00C75FD7">
      <w:pPr>
        <w:rPr>
          <w:rFonts w:cs="Arial"/>
          <w:color w:val="000000"/>
          <w:sz w:val="22"/>
        </w:rPr>
      </w:pPr>
      <w:r w:rsidRPr="001473DD">
        <w:rPr>
          <w:rFonts w:cs="Arial"/>
          <w:color w:val="000000"/>
          <w:sz w:val="22"/>
          <w:u w:val="single"/>
        </w:rPr>
        <w:t>Energiforum Danmark</w:t>
      </w:r>
      <w:r w:rsidRPr="001473DD">
        <w:rPr>
          <w:rFonts w:cs="Arial"/>
          <w:color w:val="000000"/>
          <w:sz w:val="22"/>
        </w:rPr>
        <w:t xml:space="preserve"> </w:t>
      </w:r>
      <w:r w:rsidR="00C75FD7">
        <w:rPr>
          <w:rFonts w:cs="Arial"/>
          <w:color w:val="000000"/>
          <w:sz w:val="22"/>
        </w:rPr>
        <w:t>bemærke</w:t>
      </w:r>
      <w:r w:rsidR="000E2E63">
        <w:rPr>
          <w:rFonts w:cs="Arial"/>
          <w:color w:val="000000"/>
          <w:sz w:val="22"/>
        </w:rPr>
        <w:t>r</w:t>
      </w:r>
      <w:r w:rsidR="00C75FD7">
        <w:rPr>
          <w:rFonts w:cs="Arial"/>
          <w:color w:val="000000"/>
          <w:sz w:val="22"/>
        </w:rPr>
        <w:t>, at</w:t>
      </w:r>
      <w:r w:rsidRPr="001473DD">
        <w:rPr>
          <w:rFonts w:cs="Arial"/>
          <w:color w:val="000000"/>
          <w:sz w:val="22"/>
        </w:rPr>
        <w:t xml:space="preserve"> et koncept med ansøgningsrunder, høje dokumentationskrav og ikke mindst en ”bagatelgrænse” på 100 MWh for første års besparelser gør, at kun meget store projekter med store initialomkostnin</w:t>
      </w:r>
      <w:r w:rsidR="00C75FD7">
        <w:rPr>
          <w:rFonts w:cs="Arial"/>
          <w:color w:val="000000"/>
          <w:sz w:val="22"/>
        </w:rPr>
        <w:t>ger kan komme i betragtning</w:t>
      </w:r>
      <w:r w:rsidR="000E2E63">
        <w:rPr>
          <w:rFonts w:cs="Arial"/>
          <w:color w:val="000000"/>
          <w:sz w:val="22"/>
        </w:rPr>
        <w:t>, hvilket</w:t>
      </w:r>
      <w:r w:rsidRPr="001473DD">
        <w:rPr>
          <w:rFonts w:cs="Arial"/>
          <w:color w:val="000000"/>
          <w:sz w:val="22"/>
        </w:rPr>
        <w:t xml:space="preserve"> betyder, at tilskuddet kun i begrænset omfang vil være</w:t>
      </w:r>
      <w:r w:rsidR="001418C3" w:rsidRPr="001473DD">
        <w:rPr>
          <w:rFonts w:cs="Arial"/>
          <w:color w:val="000000"/>
          <w:sz w:val="22"/>
        </w:rPr>
        <w:t xml:space="preserve"> ud</w:t>
      </w:r>
      <w:r w:rsidRPr="001473DD">
        <w:rPr>
          <w:rFonts w:cs="Arial"/>
          <w:color w:val="000000"/>
          <w:sz w:val="22"/>
        </w:rPr>
        <w:t>slagsgiven</w:t>
      </w:r>
      <w:r w:rsidR="00C75FD7">
        <w:rPr>
          <w:rFonts w:cs="Arial"/>
          <w:color w:val="000000"/>
          <w:sz w:val="22"/>
        </w:rPr>
        <w:t>de for projektets gennemførelse.</w:t>
      </w:r>
    </w:p>
    <w:p w14:paraId="1720856C" w14:textId="2154748E" w:rsidR="00FB1556" w:rsidRPr="001473DD" w:rsidRDefault="00FB1556" w:rsidP="007A78FB">
      <w:pPr>
        <w:rPr>
          <w:rFonts w:cs="Arial"/>
          <w:color w:val="000000"/>
          <w:sz w:val="22"/>
        </w:rPr>
      </w:pPr>
    </w:p>
    <w:p w14:paraId="29E17204" w14:textId="27A11BAB" w:rsidR="00FB1556" w:rsidRPr="001473DD" w:rsidRDefault="00FB1556" w:rsidP="00FB1556">
      <w:pPr>
        <w:rPr>
          <w:rFonts w:cs="Arial"/>
          <w:color w:val="000000"/>
          <w:sz w:val="22"/>
        </w:rPr>
      </w:pPr>
      <w:r w:rsidRPr="001473DD">
        <w:rPr>
          <w:rFonts w:cs="Arial"/>
          <w:color w:val="000000"/>
          <w:sz w:val="22"/>
          <w:u w:val="single"/>
        </w:rPr>
        <w:t>Landbrug og Fødevarer</w:t>
      </w:r>
      <w:r w:rsidRPr="001473DD">
        <w:rPr>
          <w:rFonts w:cs="Arial"/>
          <w:color w:val="000000"/>
          <w:sz w:val="22"/>
        </w:rPr>
        <w:t xml:space="preserve"> er uenige med Energistyrelsens definition af</w:t>
      </w:r>
    </w:p>
    <w:p w14:paraId="40082F06" w14:textId="477D4B9C" w:rsidR="00FB1556" w:rsidRPr="001473DD" w:rsidRDefault="00FB1556" w:rsidP="00FB1556">
      <w:pPr>
        <w:rPr>
          <w:rFonts w:cs="Arial"/>
          <w:color w:val="000000"/>
          <w:sz w:val="22"/>
        </w:rPr>
      </w:pPr>
      <w:proofErr w:type="spellStart"/>
      <w:r w:rsidRPr="001473DD">
        <w:rPr>
          <w:rFonts w:cs="Arial"/>
          <w:color w:val="000000"/>
          <w:sz w:val="22"/>
        </w:rPr>
        <w:t>additionalitetsbegrebet</w:t>
      </w:r>
      <w:proofErr w:type="spellEnd"/>
      <w:r w:rsidRPr="001473DD">
        <w:rPr>
          <w:rFonts w:cs="Arial"/>
          <w:color w:val="000000"/>
          <w:sz w:val="22"/>
        </w:rPr>
        <w:t>, som ikke tager højde for det vigtige princip, ’om projekter finder sted som</w:t>
      </w:r>
      <w:r w:rsidR="00D1741A" w:rsidRPr="001473DD">
        <w:rPr>
          <w:rFonts w:cs="Arial"/>
          <w:color w:val="000000"/>
          <w:sz w:val="22"/>
        </w:rPr>
        <w:t xml:space="preserve"> </w:t>
      </w:r>
      <w:r w:rsidRPr="001473DD">
        <w:rPr>
          <w:rFonts w:cs="Arial"/>
          <w:color w:val="000000"/>
          <w:sz w:val="22"/>
        </w:rPr>
        <w:t>følge af tilskudspuljen og som ikke ville finde sted i udgangssituationen’.</w:t>
      </w:r>
    </w:p>
    <w:p w14:paraId="2CCA7C23" w14:textId="20790AC8" w:rsidR="00202150" w:rsidRPr="001473DD" w:rsidRDefault="00202150" w:rsidP="00FB1556">
      <w:pPr>
        <w:rPr>
          <w:rFonts w:cs="Arial"/>
          <w:color w:val="000000"/>
          <w:sz w:val="22"/>
        </w:rPr>
      </w:pPr>
    </w:p>
    <w:p w14:paraId="5E9F5E04" w14:textId="5B000535" w:rsidR="00202150" w:rsidRPr="001473DD" w:rsidRDefault="00202150" w:rsidP="00FB1556">
      <w:pPr>
        <w:rPr>
          <w:rFonts w:cs="Arial"/>
          <w:color w:val="000000"/>
          <w:sz w:val="22"/>
        </w:rPr>
      </w:pPr>
      <w:r w:rsidRPr="001473DD">
        <w:rPr>
          <w:rFonts w:cs="Arial"/>
          <w:color w:val="000000"/>
          <w:sz w:val="22"/>
          <w:u w:val="single"/>
        </w:rPr>
        <w:t>TEKNIQ Arbejdsgiverne</w:t>
      </w:r>
      <w:r w:rsidRPr="001473DD">
        <w:rPr>
          <w:rFonts w:cs="Arial"/>
          <w:color w:val="000000"/>
          <w:sz w:val="22"/>
        </w:rPr>
        <w:t xml:space="preserve"> bemærker, at kravene om</w:t>
      </w:r>
      <w:r w:rsidR="000E2E63">
        <w:rPr>
          <w:rFonts w:cs="Arial"/>
          <w:color w:val="000000"/>
          <w:sz w:val="22"/>
        </w:rPr>
        <w:t>,</w:t>
      </w:r>
      <w:r w:rsidRPr="001473DD">
        <w:rPr>
          <w:rFonts w:cs="Arial"/>
          <w:color w:val="000000"/>
          <w:sz w:val="22"/>
        </w:rPr>
        <w:t xml:space="preserve"> at energispareprojektet ikke ville være gennemført i fraværet af tilskuddet og afgrænsningen af energibesparelser, der sker som led i den almindelige vedligeholdelse er meget vigtige elementer i at sikre, at et støttet projekt er </w:t>
      </w:r>
      <w:proofErr w:type="spellStart"/>
      <w:r w:rsidRPr="001473DD">
        <w:rPr>
          <w:rFonts w:cs="Arial"/>
          <w:color w:val="000000"/>
          <w:sz w:val="22"/>
        </w:rPr>
        <w:t>additionelt</w:t>
      </w:r>
      <w:proofErr w:type="spellEnd"/>
      <w:r w:rsidRPr="001473DD">
        <w:rPr>
          <w:rFonts w:cs="Arial"/>
          <w:color w:val="000000"/>
          <w:sz w:val="22"/>
        </w:rPr>
        <w:t xml:space="preserve">. </w:t>
      </w:r>
    </w:p>
    <w:p w14:paraId="62483695" w14:textId="59572160" w:rsidR="00704B82" w:rsidRPr="001473DD" w:rsidRDefault="00704B82" w:rsidP="00FB1556">
      <w:pPr>
        <w:rPr>
          <w:rFonts w:cs="Arial"/>
          <w:color w:val="000000"/>
          <w:sz w:val="22"/>
        </w:rPr>
      </w:pPr>
    </w:p>
    <w:p w14:paraId="79417E7A" w14:textId="77777777" w:rsidR="00704B82" w:rsidRPr="001473DD" w:rsidRDefault="00704B82" w:rsidP="00704B82">
      <w:pPr>
        <w:rPr>
          <w:b/>
          <w:i/>
          <w:sz w:val="22"/>
          <w:u w:val="single"/>
        </w:rPr>
      </w:pPr>
      <w:r w:rsidRPr="001473DD">
        <w:rPr>
          <w:b/>
          <w:i/>
          <w:sz w:val="22"/>
          <w:u w:val="single"/>
        </w:rPr>
        <w:t>Ministeriets bemærkninger:</w:t>
      </w:r>
    </w:p>
    <w:p w14:paraId="7EA83DD5" w14:textId="7CFA1B39" w:rsidR="00704B82" w:rsidRPr="001473DD" w:rsidRDefault="000748CB" w:rsidP="00FB1556">
      <w:pPr>
        <w:rPr>
          <w:rFonts w:cs="Arial"/>
          <w:color w:val="000000"/>
          <w:sz w:val="22"/>
        </w:rPr>
      </w:pPr>
      <w:r w:rsidRPr="001473DD">
        <w:rPr>
          <w:rFonts w:cs="Arial"/>
          <w:i/>
          <w:sz w:val="22"/>
        </w:rPr>
        <w:t>Klima-, Energi- og Forsyning</w:t>
      </w:r>
      <w:r w:rsidR="00002D42">
        <w:rPr>
          <w:rFonts w:cs="Arial"/>
          <w:i/>
          <w:sz w:val="22"/>
        </w:rPr>
        <w:t>sministeriet bemærker</w:t>
      </w:r>
      <w:r w:rsidRPr="001473DD">
        <w:rPr>
          <w:rFonts w:cs="Arial"/>
          <w:i/>
          <w:sz w:val="22"/>
        </w:rPr>
        <w:t>, at</w:t>
      </w:r>
      <w:r w:rsidR="00672D56">
        <w:rPr>
          <w:rFonts w:cs="Arial"/>
          <w:i/>
          <w:sz w:val="22"/>
        </w:rPr>
        <w:t xml:space="preserve"> de konkrete vilkår i ordningen og negativlisten i § 8, stk. 3</w:t>
      </w:r>
      <w:r w:rsidR="009C56C2">
        <w:rPr>
          <w:rFonts w:cs="Arial"/>
          <w:i/>
          <w:sz w:val="22"/>
        </w:rPr>
        <w:t>,</w:t>
      </w:r>
      <w:r w:rsidR="00672D56">
        <w:rPr>
          <w:rFonts w:cs="Arial"/>
          <w:i/>
          <w:sz w:val="22"/>
        </w:rPr>
        <w:t xml:space="preserve"> er udviklet </w:t>
      </w:r>
      <w:r w:rsidRPr="001473DD">
        <w:rPr>
          <w:rFonts w:cs="Arial"/>
          <w:i/>
          <w:sz w:val="22"/>
        </w:rPr>
        <w:t xml:space="preserve">blandt andet med henblik på at sikre </w:t>
      </w:r>
      <w:proofErr w:type="spellStart"/>
      <w:r w:rsidRPr="001473DD">
        <w:rPr>
          <w:rFonts w:cs="Arial"/>
          <w:i/>
          <w:sz w:val="22"/>
        </w:rPr>
        <w:t>additionaliteten</w:t>
      </w:r>
      <w:proofErr w:type="spellEnd"/>
      <w:r w:rsidRPr="001473DD">
        <w:rPr>
          <w:rFonts w:cs="Arial"/>
          <w:i/>
          <w:sz w:val="22"/>
        </w:rPr>
        <w:t xml:space="preserve"> i erhvervspuljen.</w:t>
      </w:r>
      <w:r w:rsidR="00672D56">
        <w:rPr>
          <w:rFonts w:cs="Arial"/>
          <w:i/>
          <w:sz w:val="22"/>
        </w:rPr>
        <w:t xml:space="preserve"> </w:t>
      </w:r>
    </w:p>
    <w:p w14:paraId="210F27C8" w14:textId="7F493A3F" w:rsidR="00C160D3" w:rsidRPr="001473DD" w:rsidRDefault="00C160D3" w:rsidP="00D7129B">
      <w:pPr>
        <w:rPr>
          <w:rFonts w:cs="Arial"/>
          <w:color w:val="000000"/>
          <w:sz w:val="22"/>
        </w:rPr>
      </w:pPr>
    </w:p>
    <w:p w14:paraId="3806B02F" w14:textId="77777777" w:rsidR="00F66870" w:rsidRPr="001473DD" w:rsidRDefault="00F66870" w:rsidP="00A86F72">
      <w:pPr>
        <w:rPr>
          <w:b/>
          <w:sz w:val="22"/>
        </w:rPr>
      </w:pPr>
      <w:bookmarkStart w:id="10" w:name="_Toc40705910"/>
      <w:r w:rsidRPr="001473DD">
        <w:rPr>
          <w:b/>
          <w:sz w:val="22"/>
        </w:rPr>
        <w:t>Definitioner og afgræsninger</w:t>
      </w:r>
      <w:bookmarkEnd w:id="10"/>
      <w:r w:rsidRPr="001473DD">
        <w:rPr>
          <w:b/>
          <w:sz w:val="22"/>
        </w:rPr>
        <w:t xml:space="preserve"> </w:t>
      </w:r>
    </w:p>
    <w:p w14:paraId="41E3E7B1" w14:textId="77777777" w:rsidR="00672D56" w:rsidRDefault="00F66870" w:rsidP="00F66870">
      <w:pPr>
        <w:rPr>
          <w:rFonts w:cstheme="minorHAnsi"/>
          <w:sz w:val="22"/>
        </w:rPr>
      </w:pPr>
      <w:r w:rsidRPr="001473DD">
        <w:rPr>
          <w:rFonts w:cstheme="minorHAnsi"/>
          <w:sz w:val="22"/>
          <w:u w:val="single"/>
        </w:rPr>
        <w:t>Dansk Energi</w:t>
      </w:r>
      <w:r w:rsidRPr="001473DD">
        <w:rPr>
          <w:rFonts w:cstheme="minorHAnsi"/>
          <w:sz w:val="22"/>
        </w:rPr>
        <w:t xml:space="preserve">, </w:t>
      </w:r>
      <w:r w:rsidRPr="001473DD">
        <w:rPr>
          <w:rFonts w:cstheme="minorHAnsi"/>
          <w:sz w:val="22"/>
          <w:u w:val="single"/>
        </w:rPr>
        <w:t>Dansk Industri</w:t>
      </w:r>
      <w:r w:rsidR="00002D42">
        <w:rPr>
          <w:rFonts w:cstheme="minorHAnsi"/>
          <w:sz w:val="22"/>
        </w:rPr>
        <w:t xml:space="preserve">, </w:t>
      </w:r>
      <w:r w:rsidRPr="001473DD">
        <w:rPr>
          <w:rFonts w:cstheme="minorHAnsi"/>
          <w:sz w:val="22"/>
          <w:u w:val="single"/>
        </w:rPr>
        <w:t xml:space="preserve">Foreningen af Rådgivende Ingeniører </w:t>
      </w:r>
      <w:r w:rsidR="00002D42">
        <w:rPr>
          <w:rFonts w:cstheme="minorHAnsi"/>
          <w:sz w:val="22"/>
          <w:u w:val="single"/>
        </w:rPr>
        <w:t xml:space="preserve">og </w:t>
      </w:r>
      <w:r w:rsidR="00002D42" w:rsidRPr="00002D42">
        <w:rPr>
          <w:rFonts w:cstheme="minorHAnsi"/>
          <w:sz w:val="22"/>
          <w:u w:val="single"/>
        </w:rPr>
        <w:t>SYNERGI</w:t>
      </w:r>
      <w:r w:rsidR="00002D42">
        <w:rPr>
          <w:rFonts w:cstheme="minorHAnsi"/>
          <w:sz w:val="22"/>
        </w:rPr>
        <w:t xml:space="preserve"> </w:t>
      </w:r>
      <w:r w:rsidRPr="00002D42">
        <w:rPr>
          <w:rFonts w:cstheme="minorHAnsi"/>
          <w:sz w:val="22"/>
        </w:rPr>
        <w:t>spørger</w:t>
      </w:r>
      <w:r w:rsidRPr="001473DD">
        <w:rPr>
          <w:rFonts w:cstheme="minorHAnsi"/>
          <w:sz w:val="22"/>
        </w:rPr>
        <w:t xml:space="preserve"> til forskellige definitioner og afgrænsninger i bekendtgørelsen og ønsker at vide mere om</w:t>
      </w:r>
      <w:r w:rsidR="000E2E63">
        <w:rPr>
          <w:rFonts w:cstheme="minorHAnsi"/>
          <w:sz w:val="22"/>
        </w:rPr>
        <w:t>,</w:t>
      </w:r>
      <w:r w:rsidRPr="001473DD">
        <w:rPr>
          <w:rFonts w:cstheme="minorHAnsi"/>
          <w:sz w:val="22"/>
        </w:rPr>
        <w:t xml:space="preserve"> hvad de enkelte begreber omfatter.</w:t>
      </w:r>
    </w:p>
    <w:p w14:paraId="4957B2D5" w14:textId="77777777" w:rsidR="00D80587" w:rsidRDefault="00D80587" w:rsidP="00F66870">
      <w:pPr>
        <w:rPr>
          <w:rFonts w:cstheme="minorHAnsi"/>
          <w:sz w:val="22"/>
          <w:u w:val="single"/>
        </w:rPr>
      </w:pPr>
    </w:p>
    <w:p w14:paraId="73A1D85B" w14:textId="7EB7FC82" w:rsidR="00F66870" w:rsidRPr="001473DD" w:rsidRDefault="00672D56" w:rsidP="00F66870">
      <w:pPr>
        <w:rPr>
          <w:rFonts w:cstheme="minorHAnsi"/>
          <w:sz w:val="22"/>
        </w:rPr>
      </w:pPr>
      <w:r w:rsidRPr="00672D56">
        <w:rPr>
          <w:rFonts w:cstheme="minorHAnsi"/>
          <w:sz w:val="22"/>
          <w:u w:val="single"/>
        </w:rPr>
        <w:t>Dansk Energi</w:t>
      </w:r>
      <w:r>
        <w:rPr>
          <w:rFonts w:cstheme="minorHAnsi"/>
          <w:sz w:val="22"/>
        </w:rPr>
        <w:t xml:space="preserve"> bemærker blandt andet, at </w:t>
      </w:r>
      <w:r>
        <w:t>e</w:t>
      </w:r>
      <w:r w:rsidRPr="00672D56">
        <w:rPr>
          <w:rFonts w:cstheme="minorHAnsi"/>
          <w:sz w:val="22"/>
        </w:rPr>
        <w:t>n fremtidig vejledning bør indeholde en entydig definition og beskrivelse af de dokumentationskrav</w:t>
      </w:r>
      <w:r w:rsidR="009C56C2">
        <w:rPr>
          <w:rFonts w:cstheme="minorHAnsi"/>
          <w:sz w:val="22"/>
        </w:rPr>
        <w:t>,</w:t>
      </w:r>
      <w:r>
        <w:rPr>
          <w:rFonts w:cstheme="minorHAnsi"/>
          <w:sz w:val="22"/>
        </w:rPr>
        <w:t xml:space="preserve"> der stilles og det bliver bemærket at begreberne i specielt § 8 gerne skal præciseres</w:t>
      </w:r>
      <w:r w:rsidRPr="00672D56">
        <w:rPr>
          <w:rFonts w:cstheme="minorHAnsi"/>
          <w:sz w:val="22"/>
        </w:rPr>
        <w:t>,</w:t>
      </w:r>
    </w:p>
    <w:p w14:paraId="57528192" w14:textId="2D047326" w:rsidR="00F66870" w:rsidRPr="001473DD" w:rsidRDefault="00F66870" w:rsidP="00F66870">
      <w:pPr>
        <w:rPr>
          <w:rFonts w:cstheme="minorHAnsi"/>
          <w:sz w:val="22"/>
        </w:rPr>
      </w:pPr>
    </w:p>
    <w:p w14:paraId="13419D80" w14:textId="6D9CA4D8" w:rsidR="00F66870" w:rsidRPr="001473DD" w:rsidRDefault="00F66870" w:rsidP="00F66870">
      <w:pPr>
        <w:rPr>
          <w:rFonts w:cstheme="minorHAnsi"/>
          <w:sz w:val="22"/>
        </w:rPr>
      </w:pPr>
      <w:r w:rsidRPr="001473DD">
        <w:rPr>
          <w:rFonts w:cstheme="minorHAnsi"/>
          <w:sz w:val="22"/>
          <w:u w:val="single"/>
        </w:rPr>
        <w:t>Dansk Industri</w:t>
      </w:r>
      <w:r w:rsidRPr="001473DD">
        <w:rPr>
          <w:rFonts w:cstheme="minorHAnsi"/>
          <w:sz w:val="22"/>
        </w:rPr>
        <w:t xml:space="preserve"> anbefaler</w:t>
      </w:r>
      <w:r w:rsidR="000E2E63">
        <w:rPr>
          <w:rFonts w:cstheme="minorHAnsi"/>
          <w:sz w:val="22"/>
        </w:rPr>
        <w:t>,</w:t>
      </w:r>
      <w:r w:rsidRPr="001473DD">
        <w:rPr>
          <w:rFonts w:cstheme="minorHAnsi"/>
          <w:sz w:val="22"/>
        </w:rPr>
        <w:t xml:space="preserve"> at definitionen af endeligt energiforbrug gøres så bred som mulig, således at alle erhverv kan gøre brug af puljen til energibesparelser i erhverv.</w:t>
      </w:r>
    </w:p>
    <w:p w14:paraId="5743FAB6" w14:textId="77777777" w:rsidR="00F66870" w:rsidRPr="001473DD" w:rsidRDefault="00F66870" w:rsidP="00F66870">
      <w:pPr>
        <w:rPr>
          <w:rFonts w:cstheme="minorHAnsi"/>
          <w:sz w:val="22"/>
        </w:rPr>
      </w:pPr>
    </w:p>
    <w:p w14:paraId="65F5EF55" w14:textId="043B0D62" w:rsidR="00F66870" w:rsidRPr="001473DD" w:rsidRDefault="00F66870" w:rsidP="00F66870">
      <w:pPr>
        <w:rPr>
          <w:rFonts w:cstheme="minorHAnsi"/>
          <w:sz w:val="22"/>
        </w:rPr>
      </w:pPr>
      <w:r w:rsidRPr="001473DD">
        <w:rPr>
          <w:rFonts w:cstheme="minorHAnsi"/>
          <w:sz w:val="22"/>
          <w:u w:val="single"/>
        </w:rPr>
        <w:t>Foreningen af Rådgivende Ingeniører</w:t>
      </w:r>
      <w:r w:rsidRPr="001473DD">
        <w:rPr>
          <w:rFonts w:cstheme="minorHAnsi"/>
          <w:sz w:val="22"/>
        </w:rPr>
        <w:t xml:space="preserve"> bemærker, at definitionen af første års energibesparelser og tilbagebetalingstid synes uhensigtsmæssig. </w:t>
      </w:r>
    </w:p>
    <w:p w14:paraId="6E826649" w14:textId="67939156" w:rsidR="00F66870" w:rsidRPr="001473DD" w:rsidRDefault="00F66870" w:rsidP="00F66870">
      <w:pPr>
        <w:rPr>
          <w:sz w:val="22"/>
        </w:rPr>
      </w:pPr>
    </w:p>
    <w:p w14:paraId="1B9AF8CE" w14:textId="5D437B25" w:rsidR="00F66870" w:rsidRPr="001473DD" w:rsidRDefault="00F66870" w:rsidP="00F66870">
      <w:pPr>
        <w:rPr>
          <w:b/>
          <w:i/>
          <w:sz w:val="22"/>
          <w:u w:val="single"/>
        </w:rPr>
      </w:pPr>
      <w:r w:rsidRPr="001473DD">
        <w:rPr>
          <w:b/>
          <w:i/>
          <w:sz w:val="22"/>
          <w:u w:val="single"/>
        </w:rPr>
        <w:t>Ministeriets bemærkninger:</w:t>
      </w:r>
    </w:p>
    <w:p w14:paraId="0FE72DFB" w14:textId="16E421F6" w:rsidR="0096132F" w:rsidRPr="001473DD" w:rsidRDefault="0096132F" w:rsidP="0096132F">
      <w:pPr>
        <w:rPr>
          <w:rFonts w:cstheme="minorHAnsi"/>
          <w:i/>
          <w:sz w:val="22"/>
        </w:rPr>
      </w:pPr>
      <w:r w:rsidRPr="001473DD">
        <w:rPr>
          <w:rFonts w:cs="Arial"/>
          <w:i/>
          <w:sz w:val="22"/>
        </w:rPr>
        <w:t xml:space="preserve">Klima-, Energi- og Forsyningsministeriet </w:t>
      </w:r>
      <w:r w:rsidR="000E2E63">
        <w:rPr>
          <w:rFonts w:cs="Arial"/>
          <w:i/>
          <w:sz w:val="22"/>
        </w:rPr>
        <w:t xml:space="preserve">har taget bemærkningerne til efterretning og </w:t>
      </w:r>
      <w:r w:rsidR="008F1FAA">
        <w:rPr>
          <w:rFonts w:cs="Arial"/>
          <w:i/>
          <w:sz w:val="22"/>
        </w:rPr>
        <w:t>kan henvise til</w:t>
      </w:r>
      <w:r w:rsidR="00002D42">
        <w:rPr>
          <w:rFonts w:cs="Arial"/>
          <w:i/>
          <w:sz w:val="22"/>
        </w:rPr>
        <w:t xml:space="preserve">, </w:t>
      </w:r>
      <w:r w:rsidRPr="001473DD">
        <w:rPr>
          <w:rFonts w:cstheme="minorHAnsi"/>
          <w:i/>
          <w:sz w:val="22"/>
        </w:rPr>
        <w:t>at definitionerne og afgræsningerne bliver udfoldet i vejledningen.</w:t>
      </w:r>
    </w:p>
    <w:p w14:paraId="6FC44791" w14:textId="77777777" w:rsidR="000613CA" w:rsidRPr="001473DD" w:rsidRDefault="000613CA" w:rsidP="000613CA">
      <w:pPr>
        <w:rPr>
          <w:i/>
          <w:sz w:val="22"/>
          <w:u w:val="single"/>
        </w:rPr>
      </w:pPr>
    </w:p>
    <w:p w14:paraId="452F1A05" w14:textId="77777777" w:rsidR="00F66870" w:rsidRPr="001473DD" w:rsidRDefault="00F66870" w:rsidP="00A86F72">
      <w:pPr>
        <w:rPr>
          <w:b/>
          <w:sz w:val="22"/>
        </w:rPr>
      </w:pPr>
      <w:bookmarkStart w:id="11" w:name="_Toc40705911"/>
      <w:r w:rsidRPr="001473DD">
        <w:rPr>
          <w:b/>
          <w:sz w:val="22"/>
        </w:rPr>
        <w:t>Levetider</w:t>
      </w:r>
      <w:bookmarkEnd w:id="11"/>
    </w:p>
    <w:p w14:paraId="3B0608F5" w14:textId="03FCEB58" w:rsidR="00F66870" w:rsidRPr="001473DD" w:rsidRDefault="00F66870" w:rsidP="00F66870">
      <w:pPr>
        <w:autoSpaceDE w:val="0"/>
        <w:autoSpaceDN w:val="0"/>
        <w:adjustRightInd w:val="0"/>
        <w:spacing w:line="240" w:lineRule="auto"/>
        <w:rPr>
          <w:rFonts w:cs="Arial"/>
          <w:color w:val="000000"/>
          <w:sz w:val="22"/>
        </w:rPr>
      </w:pPr>
      <w:r w:rsidRPr="001473DD">
        <w:rPr>
          <w:rFonts w:cs="Arial"/>
          <w:color w:val="000000"/>
          <w:sz w:val="22"/>
          <w:u w:val="single"/>
        </w:rPr>
        <w:t>Dansk Energi</w:t>
      </w:r>
      <w:r w:rsidRPr="00CA2854">
        <w:rPr>
          <w:rFonts w:cs="Arial"/>
          <w:color w:val="000000"/>
          <w:sz w:val="22"/>
        </w:rPr>
        <w:t xml:space="preserve"> </w:t>
      </w:r>
      <w:r w:rsidRPr="001473DD">
        <w:rPr>
          <w:rFonts w:cs="Arial"/>
          <w:color w:val="000000"/>
          <w:sz w:val="22"/>
        </w:rPr>
        <w:t>bemærker, at det bør præciseres, at der er tale om intern transport</w:t>
      </w:r>
      <w:r w:rsidR="008F1FAA">
        <w:rPr>
          <w:rFonts w:cs="Arial"/>
          <w:color w:val="000000"/>
          <w:sz w:val="22"/>
        </w:rPr>
        <w:t>,</w:t>
      </w:r>
      <w:r w:rsidRPr="001473DD">
        <w:rPr>
          <w:rFonts w:cs="Arial"/>
          <w:color w:val="000000"/>
          <w:sz w:val="22"/>
        </w:rPr>
        <w:t xml:space="preserve"> og om konverteringer er indeholdt i pkt. 2.3.</w:t>
      </w:r>
    </w:p>
    <w:p w14:paraId="1C9FD7B8" w14:textId="0DC878B2" w:rsidR="00F66870" w:rsidRPr="001473DD" w:rsidRDefault="00F66870" w:rsidP="0096132F">
      <w:pPr>
        <w:rPr>
          <w:sz w:val="22"/>
        </w:rPr>
      </w:pPr>
      <w:r w:rsidRPr="001473DD">
        <w:rPr>
          <w:sz w:val="22"/>
        </w:rPr>
        <w:t>Dansk Energi bakker op om, at levetiden af besparelsen inklud</w:t>
      </w:r>
      <w:r w:rsidR="0096132F" w:rsidRPr="001473DD">
        <w:rPr>
          <w:sz w:val="22"/>
        </w:rPr>
        <w:t>eres som et konkurrenceelement.</w:t>
      </w:r>
    </w:p>
    <w:p w14:paraId="3B236EA8" w14:textId="77777777" w:rsidR="00F66870" w:rsidRPr="001473DD" w:rsidRDefault="00F66870" w:rsidP="00F66870">
      <w:pPr>
        <w:autoSpaceDE w:val="0"/>
        <w:autoSpaceDN w:val="0"/>
        <w:adjustRightInd w:val="0"/>
        <w:spacing w:line="240" w:lineRule="auto"/>
        <w:rPr>
          <w:rFonts w:cs="Arial"/>
          <w:color w:val="000000"/>
          <w:sz w:val="22"/>
        </w:rPr>
      </w:pPr>
    </w:p>
    <w:p w14:paraId="59590171" w14:textId="6C8B8E4E" w:rsidR="00F66870" w:rsidRPr="001473DD" w:rsidRDefault="00F66870" w:rsidP="00F66870">
      <w:pPr>
        <w:rPr>
          <w:rFonts w:cstheme="minorHAnsi"/>
          <w:sz w:val="22"/>
        </w:rPr>
      </w:pPr>
      <w:r w:rsidRPr="001473DD">
        <w:rPr>
          <w:rFonts w:cstheme="minorHAnsi"/>
          <w:sz w:val="22"/>
          <w:u w:val="single"/>
        </w:rPr>
        <w:t>Foreningen af Rådgivende Ingeniører</w:t>
      </w:r>
      <w:r w:rsidRPr="001473DD">
        <w:rPr>
          <w:rFonts w:cstheme="minorHAnsi"/>
          <w:sz w:val="22"/>
        </w:rPr>
        <w:t xml:space="preserve"> bemærker, at definitionen af levetider henviser til et bilag 1</w:t>
      </w:r>
      <w:r w:rsidR="00BF1543">
        <w:rPr>
          <w:rFonts w:cstheme="minorHAnsi"/>
          <w:sz w:val="22"/>
        </w:rPr>
        <w:t xml:space="preserve"> med spørgsmål om, hvorvidt</w:t>
      </w:r>
      <w:r w:rsidRPr="001473DD">
        <w:rPr>
          <w:rFonts w:cstheme="minorHAnsi"/>
          <w:sz w:val="22"/>
        </w:rPr>
        <w:t xml:space="preserve"> dette bilag </w:t>
      </w:r>
      <w:r w:rsidR="00BF1543">
        <w:rPr>
          <w:rFonts w:cstheme="minorHAnsi"/>
          <w:sz w:val="22"/>
        </w:rPr>
        <w:t xml:space="preserve">skal </w:t>
      </w:r>
      <w:r w:rsidRPr="001473DD">
        <w:rPr>
          <w:rFonts w:cstheme="minorHAnsi"/>
          <w:sz w:val="22"/>
        </w:rPr>
        <w:t>opfattes som en positivliste over projekter, som der kan tildeles tilskud til. Hvis dette er tilfældet, mener FRI ikke</w:t>
      </w:r>
      <w:r w:rsidR="00BF1543">
        <w:rPr>
          <w:rFonts w:cstheme="minorHAnsi"/>
          <w:sz w:val="22"/>
        </w:rPr>
        <w:t>,</w:t>
      </w:r>
      <w:r w:rsidRPr="001473DD">
        <w:rPr>
          <w:rFonts w:cstheme="minorHAnsi"/>
          <w:sz w:val="22"/>
        </w:rPr>
        <w:t xml:space="preserve"> dette er hensigtsmæssigt. Derudover synes der at kunne være en vid fortolkning af de nævnte energisparetiltag.</w:t>
      </w:r>
    </w:p>
    <w:p w14:paraId="469920CB" w14:textId="77777777" w:rsidR="00F66870" w:rsidRPr="001473DD" w:rsidRDefault="00F66870" w:rsidP="00F66870">
      <w:pPr>
        <w:rPr>
          <w:rFonts w:cstheme="minorHAnsi"/>
          <w:b/>
          <w:sz w:val="22"/>
        </w:rPr>
      </w:pPr>
    </w:p>
    <w:p w14:paraId="7B8BF64A" w14:textId="77777777" w:rsidR="00F66870" w:rsidRPr="001473DD" w:rsidRDefault="00F66870" w:rsidP="00F66870">
      <w:pPr>
        <w:rPr>
          <w:b/>
          <w:i/>
          <w:sz w:val="22"/>
          <w:u w:val="single"/>
        </w:rPr>
      </w:pPr>
      <w:r w:rsidRPr="001473DD">
        <w:rPr>
          <w:b/>
          <w:i/>
          <w:sz w:val="22"/>
          <w:u w:val="single"/>
        </w:rPr>
        <w:t>Ministeriets bemærkninger:</w:t>
      </w:r>
    </w:p>
    <w:p w14:paraId="06018C05" w14:textId="0E1DC8CC" w:rsidR="00704B82" w:rsidRPr="001473DD" w:rsidRDefault="0096132F" w:rsidP="00D7129B">
      <w:pPr>
        <w:rPr>
          <w:rFonts w:cs="Arial"/>
          <w:i/>
          <w:sz w:val="22"/>
        </w:rPr>
      </w:pPr>
      <w:r w:rsidRPr="001473DD">
        <w:rPr>
          <w:rFonts w:cs="Arial"/>
          <w:i/>
          <w:sz w:val="22"/>
        </w:rPr>
        <w:t>Klima-, Energi- og Forsyningsministeriet bemærker</w:t>
      </w:r>
      <w:r w:rsidR="00564117" w:rsidRPr="001473DD">
        <w:rPr>
          <w:rFonts w:cs="Arial"/>
          <w:i/>
          <w:sz w:val="22"/>
        </w:rPr>
        <w:t xml:space="preserve"> at levetiderne i bilag 1 er kategorier a</w:t>
      </w:r>
      <w:r w:rsidR="00BF1543">
        <w:rPr>
          <w:rFonts w:cs="Arial"/>
          <w:i/>
          <w:sz w:val="22"/>
        </w:rPr>
        <w:t>f</w:t>
      </w:r>
      <w:r w:rsidR="00564117" w:rsidRPr="001473DD">
        <w:rPr>
          <w:rFonts w:cs="Arial"/>
          <w:i/>
          <w:sz w:val="22"/>
        </w:rPr>
        <w:t xml:space="preserve"> </w:t>
      </w:r>
      <w:proofErr w:type="spellStart"/>
      <w:r w:rsidR="00564117" w:rsidRPr="001473DD">
        <w:rPr>
          <w:rFonts w:cs="Arial"/>
          <w:i/>
          <w:sz w:val="22"/>
        </w:rPr>
        <w:t>energispareprojekter</w:t>
      </w:r>
      <w:proofErr w:type="spellEnd"/>
      <w:r w:rsidR="00BF1543">
        <w:rPr>
          <w:rFonts w:cs="Arial"/>
          <w:i/>
          <w:sz w:val="22"/>
        </w:rPr>
        <w:t>,</w:t>
      </w:r>
      <w:r w:rsidR="00564117" w:rsidRPr="001473DD">
        <w:rPr>
          <w:rFonts w:cs="Arial"/>
          <w:i/>
          <w:sz w:val="22"/>
        </w:rPr>
        <w:t xml:space="preserve"> som skal benyttes til at tildele et konkret energisparetiltag en levetid.</w:t>
      </w:r>
    </w:p>
    <w:p w14:paraId="53B4FE5B" w14:textId="77777777" w:rsidR="0096132F" w:rsidRPr="001473DD" w:rsidRDefault="0096132F" w:rsidP="00D7129B">
      <w:pPr>
        <w:rPr>
          <w:rFonts w:cs="Arial"/>
          <w:color w:val="000000"/>
          <w:sz w:val="22"/>
        </w:rPr>
      </w:pPr>
    </w:p>
    <w:p w14:paraId="71F4436B" w14:textId="21F34C93" w:rsidR="000613CA" w:rsidRPr="001473DD" w:rsidRDefault="00D44EAA" w:rsidP="00A86F72">
      <w:pPr>
        <w:rPr>
          <w:b/>
          <w:sz w:val="22"/>
        </w:rPr>
      </w:pPr>
      <w:bookmarkStart w:id="12" w:name="_Toc40705912"/>
      <w:r>
        <w:rPr>
          <w:b/>
          <w:sz w:val="22"/>
        </w:rPr>
        <w:t>Energisparetiltag som kan medregnes</w:t>
      </w:r>
      <w:r w:rsidR="000613CA" w:rsidRPr="001473DD">
        <w:rPr>
          <w:b/>
          <w:sz w:val="22"/>
        </w:rPr>
        <w:t xml:space="preserve"> § 8, stk. 2</w:t>
      </w:r>
      <w:bookmarkEnd w:id="12"/>
    </w:p>
    <w:p w14:paraId="0D5A1FDD" w14:textId="32EB1BFE" w:rsidR="000613CA" w:rsidRPr="001473DD" w:rsidRDefault="000613CA" w:rsidP="000613CA">
      <w:pPr>
        <w:rPr>
          <w:rFonts w:cstheme="minorHAnsi"/>
          <w:sz w:val="22"/>
        </w:rPr>
      </w:pPr>
      <w:r w:rsidRPr="001473DD">
        <w:rPr>
          <w:rFonts w:cstheme="minorHAnsi"/>
          <w:sz w:val="22"/>
          <w:u w:val="single"/>
        </w:rPr>
        <w:t>Dansk Fjernvarme</w:t>
      </w:r>
      <w:r w:rsidR="00002D42">
        <w:rPr>
          <w:rFonts w:cstheme="minorHAnsi"/>
          <w:sz w:val="22"/>
        </w:rPr>
        <w:t xml:space="preserve"> bemærker</w:t>
      </w:r>
      <w:r w:rsidRPr="001473DD">
        <w:rPr>
          <w:rFonts w:cstheme="minorHAnsi"/>
          <w:sz w:val="22"/>
        </w:rPr>
        <w:t>, at der</w:t>
      </w:r>
      <w:r w:rsidR="00002D42">
        <w:rPr>
          <w:rFonts w:cstheme="minorHAnsi"/>
          <w:sz w:val="22"/>
        </w:rPr>
        <w:t xml:space="preserve"> opstilles</w:t>
      </w:r>
      <w:r w:rsidRPr="001473DD">
        <w:rPr>
          <w:rFonts w:cstheme="minorHAnsi"/>
          <w:sz w:val="22"/>
        </w:rPr>
        <w:t xml:space="preserve"> nogle uhensigtsmæssige barrierer for samarbejdet imellem fjernvarmeselskaber og erhvervsvirksomheder, f.eks. i forhold til udnyttelse af overskudsvarme.</w:t>
      </w:r>
      <w:r w:rsidR="00BF1543">
        <w:rPr>
          <w:rFonts w:cstheme="minorHAnsi"/>
          <w:sz w:val="22"/>
        </w:rPr>
        <w:t xml:space="preserve"> </w:t>
      </w:r>
      <w:r w:rsidRPr="001473DD">
        <w:rPr>
          <w:rFonts w:cstheme="minorHAnsi"/>
          <w:sz w:val="22"/>
        </w:rPr>
        <w:t>At et anlæg skal ejes af slutb</w:t>
      </w:r>
      <w:r w:rsidR="00002D42">
        <w:rPr>
          <w:rFonts w:cstheme="minorHAnsi"/>
          <w:sz w:val="22"/>
        </w:rPr>
        <w:t xml:space="preserve">ruger </w:t>
      </w:r>
      <w:r w:rsidRPr="001473DD">
        <w:rPr>
          <w:rFonts w:cstheme="minorHAnsi"/>
          <w:sz w:val="22"/>
        </w:rPr>
        <w:t>og fysisk befinde sig hos slutbruger, vil der, hvis der skal kunne opnås tilskud, således være begrænset incitament for fjernvarmeselskaber til at indgå parterneskaber med erhvervslivet, og at udføre investeringer, f.eks. i udnyttelse af overskudsvarme. Det kan medføre, at gode projekter stækkes, frem</w:t>
      </w:r>
      <w:r w:rsidR="00BF1543">
        <w:rPr>
          <w:rFonts w:cstheme="minorHAnsi"/>
          <w:sz w:val="22"/>
        </w:rPr>
        <w:t xml:space="preserve"> </w:t>
      </w:r>
      <w:r w:rsidRPr="001473DD">
        <w:rPr>
          <w:rFonts w:cstheme="minorHAnsi"/>
          <w:sz w:val="22"/>
        </w:rPr>
        <w:t>for</w:t>
      </w:r>
      <w:r w:rsidR="00BF1543">
        <w:rPr>
          <w:rFonts w:cstheme="minorHAnsi"/>
          <w:sz w:val="22"/>
        </w:rPr>
        <w:t>,</w:t>
      </w:r>
      <w:r w:rsidRPr="001473DD">
        <w:rPr>
          <w:rFonts w:cstheme="minorHAnsi"/>
          <w:sz w:val="22"/>
        </w:rPr>
        <w:t xml:space="preserve"> at der arbejdes for den teknisk mest optimale og mest energibesparende løsning.</w:t>
      </w:r>
    </w:p>
    <w:p w14:paraId="55850C98" w14:textId="77777777" w:rsidR="000613CA" w:rsidRPr="001473DD" w:rsidRDefault="000613CA" w:rsidP="000613CA">
      <w:pPr>
        <w:rPr>
          <w:rFonts w:cstheme="minorHAnsi"/>
          <w:sz w:val="22"/>
        </w:rPr>
      </w:pPr>
    </w:p>
    <w:p w14:paraId="6C40FC9B" w14:textId="3B097C23" w:rsidR="000613CA" w:rsidRPr="001473DD" w:rsidRDefault="000613CA" w:rsidP="000613CA">
      <w:pPr>
        <w:rPr>
          <w:sz w:val="22"/>
        </w:rPr>
      </w:pPr>
      <w:r w:rsidRPr="001473DD">
        <w:rPr>
          <w:rFonts w:cstheme="minorHAnsi"/>
          <w:sz w:val="22"/>
          <w:u w:val="single"/>
        </w:rPr>
        <w:t xml:space="preserve">Dansk Industri </w:t>
      </w:r>
      <w:r w:rsidRPr="001473DD">
        <w:rPr>
          <w:sz w:val="22"/>
        </w:rPr>
        <w:t>bemærker, at det bør præciseres, om besparelsen ved udnyttelse af overskudsvarme indgår virksomhedens procesenergi eller rumvarme, som potentielt også kan være anvendelsen af overskudsvarme. DI finder det beklageligt, hvis overskudsvarmeprojekter, hvor anvendelsen alene går til rumvarme ikke</w:t>
      </w:r>
      <w:r w:rsidR="00002D42">
        <w:rPr>
          <w:sz w:val="22"/>
        </w:rPr>
        <w:t xml:space="preserve"> komme i betragtning til støtte.</w:t>
      </w:r>
    </w:p>
    <w:p w14:paraId="1427BAE6" w14:textId="77777777" w:rsidR="000613CA" w:rsidRPr="001473DD" w:rsidRDefault="000613CA" w:rsidP="000613CA">
      <w:pPr>
        <w:rPr>
          <w:sz w:val="22"/>
        </w:rPr>
      </w:pPr>
    </w:p>
    <w:p w14:paraId="5339D54E" w14:textId="1553321C" w:rsidR="000613CA" w:rsidRPr="001473DD" w:rsidRDefault="000613CA" w:rsidP="000613CA">
      <w:pPr>
        <w:rPr>
          <w:rFonts w:cstheme="minorHAnsi"/>
          <w:sz w:val="22"/>
        </w:rPr>
      </w:pPr>
      <w:r w:rsidRPr="001473DD">
        <w:rPr>
          <w:rFonts w:cstheme="minorHAnsi"/>
          <w:sz w:val="22"/>
          <w:u w:val="single"/>
        </w:rPr>
        <w:t>Danske Rederier</w:t>
      </w:r>
      <w:r w:rsidRPr="001473DD">
        <w:rPr>
          <w:rFonts w:cstheme="minorHAnsi"/>
          <w:sz w:val="22"/>
        </w:rPr>
        <w:t xml:space="preserve"> beklager, at det med den nye ordning ikke er muligt at søge om tilskud til transport og dermed skibs- og færgefart.</w:t>
      </w:r>
      <w:r w:rsidRPr="001473DD">
        <w:rPr>
          <w:sz w:val="22"/>
        </w:rPr>
        <w:t xml:space="preserve"> </w:t>
      </w:r>
    </w:p>
    <w:p w14:paraId="6CB903AD" w14:textId="77777777" w:rsidR="000613CA" w:rsidRPr="001473DD" w:rsidRDefault="000613CA" w:rsidP="000613CA">
      <w:pPr>
        <w:rPr>
          <w:rFonts w:cstheme="minorHAnsi"/>
          <w:sz w:val="22"/>
        </w:rPr>
      </w:pPr>
    </w:p>
    <w:p w14:paraId="10CEE4BC" w14:textId="3D16400C" w:rsidR="000613CA" w:rsidRPr="001473DD" w:rsidRDefault="000613CA" w:rsidP="000613CA">
      <w:pPr>
        <w:rPr>
          <w:rFonts w:cstheme="minorHAnsi"/>
          <w:sz w:val="22"/>
        </w:rPr>
      </w:pPr>
      <w:r w:rsidRPr="001473DD">
        <w:rPr>
          <w:rFonts w:cstheme="minorHAnsi"/>
          <w:sz w:val="22"/>
          <w:u w:val="single"/>
        </w:rPr>
        <w:lastRenderedPageBreak/>
        <w:t xml:space="preserve">Landbrug og </w:t>
      </w:r>
      <w:r w:rsidR="00BF1543">
        <w:rPr>
          <w:rFonts w:cstheme="minorHAnsi"/>
          <w:sz w:val="22"/>
          <w:u w:val="single"/>
        </w:rPr>
        <w:t>F</w:t>
      </w:r>
      <w:r w:rsidRPr="001473DD">
        <w:rPr>
          <w:rFonts w:cstheme="minorHAnsi"/>
          <w:sz w:val="22"/>
          <w:u w:val="single"/>
        </w:rPr>
        <w:t>ødevarer</w:t>
      </w:r>
      <w:r w:rsidRPr="001473DD">
        <w:rPr>
          <w:rFonts w:cstheme="minorHAnsi"/>
          <w:sz w:val="22"/>
        </w:rPr>
        <w:t xml:space="preserve"> bemærker, at det er vigtigt, at det eksplicit specificeres, at positivlisten i § 8, stk. 2 ikke er udtømmende.</w:t>
      </w:r>
    </w:p>
    <w:p w14:paraId="6C29AE86" w14:textId="77777777" w:rsidR="000613CA" w:rsidRPr="001473DD" w:rsidRDefault="000613CA" w:rsidP="000613CA">
      <w:pPr>
        <w:rPr>
          <w:rFonts w:cstheme="minorHAnsi"/>
          <w:sz w:val="22"/>
        </w:rPr>
      </w:pPr>
    </w:p>
    <w:p w14:paraId="16194DA8" w14:textId="7044C089" w:rsidR="000613CA" w:rsidRPr="001473DD" w:rsidRDefault="000613CA" w:rsidP="000613CA">
      <w:pPr>
        <w:pStyle w:val="Default"/>
        <w:rPr>
          <w:rFonts w:ascii="Arial" w:hAnsi="Arial" w:cstheme="minorHAnsi"/>
          <w:color w:val="auto"/>
          <w:sz w:val="22"/>
          <w:szCs w:val="22"/>
        </w:rPr>
      </w:pPr>
      <w:r w:rsidRPr="001473DD">
        <w:rPr>
          <w:rFonts w:cstheme="minorHAnsi"/>
          <w:sz w:val="22"/>
          <w:szCs w:val="22"/>
          <w:u w:val="single"/>
        </w:rPr>
        <w:t xml:space="preserve">TEKNIQ </w:t>
      </w:r>
      <w:r w:rsidRPr="001473DD">
        <w:rPr>
          <w:rFonts w:ascii="Arial" w:hAnsi="Arial" w:cstheme="minorHAnsi"/>
          <w:color w:val="auto"/>
          <w:sz w:val="22"/>
          <w:szCs w:val="22"/>
          <w:u w:val="single"/>
        </w:rPr>
        <w:t>Arbejdsgiverne</w:t>
      </w:r>
      <w:r w:rsidRPr="001473DD">
        <w:rPr>
          <w:rFonts w:ascii="Arial" w:hAnsi="Arial" w:cstheme="minorHAnsi"/>
          <w:color w:val="auto"/>
          <w:sz w:val="22"/>
          <w:szCs w:val="22"/>
        </w:rPr>
        <w:t xml:space="preserve"> bemærker</w:t>
      </w:r>
      <w:r w:rsidR="00BF1543">
        <w:rPr>
          <w:rFonts w:ascii="Arial" w:hAnsi="Arial" w:cstheme="minorHAnsi"/>
          <w:color w:val="auto"/>
          <w:sz w:val="22"/>
          <w:szCs w:val="22"/>
        </w:rPr>
        <w:t>,</w:t>
      </w:r>
      <w:r w:rsidRPr="001473DD">
        <w:rPr>
          <w:rFonts w:ascii="Arial" w:hAnsi="Arial" w:cstheme="minorHAnsi"/>
          <w:color w:val="auto"/>
          <w:sz w:val="22"/>
          <w:szCs w:val="22"/>
        </w:rPr>
        <w:t xml:space="preserve"> at for klarhedens skyld bør §8, stk. 2, nr. 1, affattes ”Intern udnyttelse af overskudsvarme til såvel procesenergi som rumvarme, såfremt den reducerer virksomhedens mængde af tilført energi.”</w:t>
      </w:r>
    </w:p>
    <w:p w14:paraId="63C4ECFD" w14:textId="77777777" w:rsidR="000613CA" w:rsidRPr="001473DD" w:rsidRDefault="000613CA" w:rsidP="000613CA">
      <w:pPr>
        <w:pStyle w:val="Default"/>
        <w:rPr>
          <w:rFonts w:ascii="Arial" w:hAnsi="Arial" w:cstheme="minorHAnsi"/>
          <w:color w:val="auto"/>
          <w:sz w:val="22"/>
          <w:szCs w:val="22"/>
        </w:rPr>
      </w:pPr>
    </w:p>
    <w:p w14:paraId="14C48047" w14:textId="77777777" w:rsidR="000613CA" w:rsidRPr="001473DD" w:rsidRDefault="000613CA" w:rsidP="000613CA">
      <w:pPr>
        <w:rPr>
          <w:b/>
          <w:i/>
          <w:sz w:val="22"/>
          <w:u w:val="single"/>
        </w:rPr>
      </w:pPr>
      <w:r w:rsidRPr="001473DD">
        <w:rPr>
          <w:b/>
          <w:i/>
          <w:sz w:val="22"/>
          <w:u w:val="single"/>
        </w:rPr>
        <w:t>Ministeriets bemærkninger:</w:t>
      </w:r>
    </w:p>
    <w:p w14:paraId="5179D984" w14:textId="48DE9D2A" w:rsidR="000613CA" w:rsidRPr="001473DD" w:rsidRDefault="0096132F" w:rsidP="000613CA">
      <w:pPr>
        <w:pStyle w:val="Default"/>
        <w:rPr>
          <w:rFonts w:ascii="Calibri" w:hAnsi="Calibri" w:cs="Calibri"/>
          <w:sz w:val="22"/>
          <w:szCs w:val="22"/>
        </w:rPr>
      </w:pPr>
      <w:r w:rsidRPr="001473DD">
        <w:rPr>
          <w:rFonts w:cs="Arial"/>
          <w:i/>
          <w:sz w:val="22"/>
          <w:szCs w:val="22"/>
        </w:rPr>
        <w:t>Klima-, Energi- o</w:t>
      </w:r>
      <w:r w:rsidR="00002D42">
        <w:rPr>
          <w:rFonts w:cs="Arial"/>
          <w:i/>
          <w:sz w:val="22"/>
          <w:szCs w:val="22"/>
        </w:rPr>
        <w:t>g Forsyningsministeriet kvitterer for bemærkningerne.</w:t>
      </w:r>
      <w:r w:rsidR="00C640A5">
        <w:rPr>
          <w:rFonts w:cs="Arial"/>
          <w:i/>
          <w:sz w:val="22"/>
          <w:szCs w:val="22"/>
        </w:rPr>
        <w:t xml:space="preserve"> Udnyttelse af overskudsvarme til fjernvarme er ikke omfattet af bekendtgørelsen, da dette ikke kan medregnes som energibesparelser i det endelige energiforbrug. Udnyttelse af overskudsvarme til rumvarme er omfattet</w:t>
      </w:r>
      <w:r w:rsidR="00A5234E">
        <w:rPr>
          <w:rFonts w:cs="Arial"/>
          <w:i/>
          <w:sz w:val="22"/>
          <w:szCs w:val="22"/>
        </w:rPr>
        <w:t>, dog skal kravet om</w:t>
      </w:r>
      <w:r w:rsidR="00A73A2F">
        <w:rPr>
          <w:rFonts w:cs="Arial"/>
          <w:i/>
          <w:sz w:val="22"/>
          <w:szCs w:val="22"/>
        </w:rPr>
        <w:t>, at</w:t>
      </w:r>
      <w:r w:rsidR="00A5234E">
        <w:rPr>
          <w:rFonts w:cs="Arial"/>
          <w:i/>
          <w:sz w:val="22"/>
          <w:szCs w:val="22"/>
        </w:rPr>
        <w:t xml:space="preserve"> 50 % af besparelsen </w:t>
      </w:r>
      <w:r w:rsidR="00A73A2F">
        <w:rPr>
          <w:rFonts w:cs="Arial"/>
          <w:i/>
          <w:sz w:val="22"/>
          <w:szCs w:val="22"/>
        </w:rPr>
        <w:t xml:space="preserve">skal </w:t>
      </w:r>
      <w:r w:rsidR="00A5234E">
        <w:rPr>
          <w:rFonts w:cs="Arial"/>
          <w:i/>
          <w:sz w:val="22"/>
          <w:szCs w:val="22"/>
        </w:rPr>
        <w:t>være i procesenergi</w:t>
      </w:r>
      <w:r w:rsidR="00A73A2F">
        <w:rPr>
          <w:rFonts w:cs="Arial"/>
          <w:i/>
          <w:sz w:val="22"/>
          <w:szCs w:val="22"/>
        </w:rPr>
        <w:t xml:space="preserve"> opfyldes</w:t>
      </w:r>
      <w:r w:rsidR="00A5234E">
        <w:rPr>
          <w:rFonts w:cs="Arial"/>
          <w:i/>
          <w:sz w:val="22"/>
          <w:szCs w:val="22"/>
        </w:rPr>
        <w:t>.</w:t>
      </w:r>
    </w:p>
    <w:p w14:paraId="4A9A7FDC" w14:textId="77777777" w:rsidR="000613CA" w:rsidRPr="001473DD" w:rsidRDefault="000613CA" w:rsidP="000613CA">
      <w:pPr>
        <w:pStyle w:val="Default"/>
        <w:rPr>
          <w:rFonts w:ascii="Calibri" w:hAnsi="Calibri" w:cs="Calibri"/>
          <w:sz w:val="22"/>
          <w:szCs w:val="22"/>
        </w:rPr>
      </w:pPr>
    </w:p>
    <w:p w14:paraId="2427EBC6" w14:textId="77777777" w:rsidR="000613CA" w:rsidRPr="001473DD" w:rsidRDefault="000613CA" w:rsidP="00A86F72">
      <w:pPr>
        <w:rPr>
          <w:b/>
          <w:sz w:val="22"/>
        </w:rPr>
      </w:pPr>
      <w:bookmarkStart w:id="13" w:name="_Toc40705913"/>
      <w:r w:rsidRPr="001473DD">
        <w:rPr>
          <w:b/>
          <w:sz w:val="22"/>
        </w:rPr>
        <w:t>Negativlisten § 8, stk. 3</w:t>
      </w:r>
      <w:bookmarkEnd w:id="13"/>
    </w:p>
    <w:p w14:paraId="1720C314" w14:textId="5A436777" w:rsidR="000613CA" w:rsidRPr="001473DD" w:rsidRDefault="000613CA" w:rsidP="000613CA">
      <w:pPr>
        <w:rPr>
          <w:rFonts w:cstheme="minorHAnsi"/>
          <w:sz w:val="22"/>
        </w:rPr>
      </w:pPr>
      <w:r w:rsidRPr="001473DD">
        <w:rPr>
          <w:rFonts w:cstheme="minorHAnsi"/>
          <w:sz w:val="22"/>
          <w:u w:val="single"/>
        </w:rPr>
        <w:t>Dansk Gartneri</w:t>
      </w:r>
      <w:r w:rsidRPr="001473DD">
        <w:rPr>
          <w:rFonts w:cstheme="minorHAnsi"/>
          <w:sz w:val="22"/>
        </w:rPr>
        <w:t xml:space="preserve"> </w:t>
      </w:r>
      <w:r w:rsidR="003837EC">
        <w:rPr>
          <w:rFonts w:cstheme="minorHAnsi"/>
          <w:sz w:val="22"/>
        </w:rPr>
        <w:t xml:space="preserve">og </w:t>
      </w:r>
      <w:r w:rsidR="003837EC" w:rsidRPr="003837EC">
        <w:rPr>
          <w:rFonts w:cstheme="minorHAnsi"/>
          <w:sz w:val="22"/>
          <w:u w:val="single"/>
        </w:rPr>
        <w:t>SYNERGI</w:t>
      </w:r>
      <w:r w:rsidR="003837EC">
        <w:rPr>
          <w:rFonts w:cstheme="minorHAnsi"/>
          <w:sz w:val="22"/>
        </w:rPr>
        <w:t xml:space="preserve"> </w:t>
      </w:r>
      <w:r w:rsidRPr="003837EC">
        <w:rPr>
          <w:rFonts w:cstheme="minorHAnsi"/>
          <w:sz w:val="22"/>
        </w:rPr>
        <w:t>bemærker</w:t>
      </w:r>
      <w:r w:rsidRPr="001473DD">
        <w:rPr>
          <w:rFonts w:cstheme="minorHAnsi"/>
          <w:sz w:val="22"/>
        </w:rPr>
        <w:t>, at udelukkelse af energisparetiltag i sammenhæng med f.eks. øget produktionskapacitet, sammenlægning, flytning og etablering af nye bygninger/</w:t>
      </w:r>
      <w:proofErr w:type="spellStart"/>
      <w:r w:rsidRPr="001473DD">
        <w:rPr>
          <w:rFonts w:cstheme="minorHAnsi"/>
          <w:sz w:val="22"/>
        </w:rPr>
        <w:t>nyanlæg</w:t>
      </w:r>
      <w:proofErr w:type="spellEnd"/>
      <w:r w:rsidRPr="001473DD">
        <w:rPr>
          <w:rFonts w:cstheme="minorHAnsi"/>
          <w:sz w:val="22"/>
        </w:rPr>
        <w:t xml:space="preserve"> (nr. 1-3) går imod en fremadrettet udvikling med typiske energisparetiltag i gartneribranchen. </w:t>
      </w:r>
      <w:r w:rsidR="003837EC">
        <w:rPr>
          <w:rFonts w:cstheme="minorHAnsi"/>
          <w:sz w:val="22"/>
        </w:rPr>
        <w:t>DG</w:t>
      </w:r>
      <w:r w:rsidRPr="001473DD">
        <w:rPr>
          <w:rFonts w:cstheme="minorHAnsi"/>
          <w:sz w:val="22"/>
        </w:rPr>
        <w:t xml:space="preserve"> bemærker, at det vil få en negativ indvirkning på gartnerierhvervets incitament til at gennemføre energieffektiviseringer på flere </w:t>
      </w:r>
      <w:r w:rsidR="003837EC">
        <w:rPr>
          <w:rFonts w:cstheme="minorHAnsi"/>
          <w:sz w:val="22"/>
        </w:rPr>
        <w:t>planer</w:t>
      </w:r>
      <w:r w:rsidRPr="001473DD">
        <w:rPr>
          <w:rFonts w:cstheme="minorHAnsi"/>
          <w:sz w:val="22"/>
        </w:rPr>
        <w:t xml:space="preserve">. Dansk Gartneri bemærker, at § 8, stk. 3, nr. 1, hvor øget produktionskapacitet og -volumen udelukkes som tiltag, forekommer at være i strid med § 8, stk. 4, hvor selvsamme tiltag indgår som en del af en opgørelse af energibesparelser. </w:t>
      </w:r>
    </w:p>
    <w:p w14:paraId="5EE8A29E" w14:textId="77777777" w:rsidR="000613CA" w:rsidRPr="001473DD" w:rsidRDefault="000613CA" w:rsidP="000613CA">
      <w:pPr>
        <w:rPr>
          <w:rFonts w:cstheme="minorHAnsi"/>
          <w:sz w:val="22"/>
        </w:rPr>
      </w:pPr>
    </w:p>
    <w:p w14:paraId="062D4CC2" w14:textId="5783257D" w:rsidR="000613CA" w:rsidRPr="001473DD" w:rsidRDefault="000613CA" w:rsidP="000613CA">
      <w:pPr>
        <w:rPr>
          <w:rFonts w:cstheme="minorHAnsi"/>
          <w:sz w:val="22"/>
        </w:rPr>
      </w:pPr>
      <w:r w:rsidRPr="001473DD">
        <w:rPr>
          <w:rFonts w:cstheme="minorHAnsi"/>
          <w:sz w:val="22"/>
          <w:u w:val="single"/>
        </w:rPr>
        <w:t>Landbrug og Fødevarer</w:t>
      </w:r>
      <w:r w:rsidRPr="001473DD">
        <w:rPr>
          <w:rFonts w:cstheme="minorHAnsi"/>
          <w:sz w:val="22"/>
        </w:rPr>
        <w:t xml:space="preserve"> bemærker, at der i negativlisten i § 8, stk. 3</w:t>
      </w:r>
      <w:r w:rsidR="00BF1543">
        <w:rPr>
          <w:rFonts w:cstheme="minorHAnsi"/>
          <w:sz w:val="22"/>
        </w:rPr>
        <w:t>,</w:t>
      </w:r>
      <w:r w:rsidRPr="001473DD">
        <w:rPr>
          <w:rFonts w:cstheme="minorHAnsi"/>
          <w:sz w:val="22"/>
        </w:rPr>
        <w:t xml:space="preserve"> i punkt 1, vedrørende effekten af øget produktionskapacitet og -volumen, </w:t>
      </w:r>
      <w:r w:rsidR="00BF1543">
        <w:rPr>
          <w:rFonts w:cstheme="minorHAnsi"/>
          <w:sz w:val="22"/>
        </w:rPr>
        <w:t xml:space="preserve">bør </w:t>
      </w:r>
      <w:r w:rsidRPr="001473DD">
        <w:rPr>
          <w:rFonts w:cstheme="minorHAnsi"/>
          <w:sz w:val="22"/>
        </w:rPr>
        <w:t>henvises direkte til § 8, stk. 4</w:t>
      </w:r>
      <w:r w:rsidR="00BF1543">
        <w:rPr>
          <w:rFonts w:cstheme="minorHAnsi"/>
          <w:sz w:val="22"/>
        </w:rPr>
        <w:t>,</w:t>
      </w:r>
      <w:r w:rsidRPr="001473DD">
        <w:rPr>
          <w:rFonts w:cstheme="minorHAnsi"/>
          <w:sz w:val="22"/>
        </w:rPr>
        <w:t xml:space="preserve"> punkt 2, da udkastet kan give anledning til tvivl om, hvorvidt udvidet produktionskapacitet kan medregnes delvist eller slet ikke. I § 8, stk. 3</w:t>
      </w:r>
      <w:r w:rsidR="00BF1543">
        <w:rPr>
          <w:rFonts w:cstheme="minorHAnsi"/>
          <w:sz w:val="22"/>
        </w:rPr>
        <w:t>,</w:t>
      </w:r>
      <w:r w:rsidRPr="001473DD">
        <w:rPr>
          <w:rFonts w:cstheme="minorHAnsi"/>
          <w:sz w:val="22"/>
        </w:rPr>
        <w:t xml:space="preserve"> punkt 9, vedrørende effekten fra etablering af energiproducerende anlæg, bør det ligeledes specificeres, hvad der konkret diskvalificerer effekten ved etableringen af energiproducerende anlæg fra at tælle med i energibesparelsen. Foruden disse specificeringer vil Landbrug &amp; Fødevarer også rette opmærksomhed på det uhensigtsmæssige ved § 8, stk. 3</w:t>
      </w:r>
      <w:r w:rsidR="00BF1543">
        <w:rPr>
          <w:rFonts w:cstheme="minorHAnsi"/>
          <w:sz w:val="22"/>
        </w:rPr>
        <w:t>,</w:t>
      </w:r>
      <w:r w:rsidRPr="001473DD">
        <w:rPr>
          <w:rFonts w:cstheme="minorHAnsi"/>
          <w:sz w:val="22"/>
        </w:rPr>
        <w:t xml:space="preserve"> punkt 2 og 3, som er meget effektive energisparetiltag i eks. gartneribranchen, hvor etableringen eller flytningen til nye væksthuse har stort </w:t>
      </w:r>
      <w:proofErr w:type="spellStart"/>
      <w:r w:rsidRPr="001473DD">
        <w:rPr>
          <w:rFonts w:cstheme="minorHAnsi"/>
          <w:sz w:val="22"/>
        </w:rPr>
        <w:t>energisparepotentiale</w:t>
      </w:r>
      <w:proofErr w:type="spellEnd"/>
      <w:r w:rsidRPr="001473DD">
        <w:rPr>
          <w:rFonts w:cstheme="minorHAnsi"/>
          <w:sz w:val="22"/>
        </w:rPr>
        <w:t>.</w:t>
      </w:r>
    </w:p>
    <w:p w14:paraId="418DC6D7" w14:textId="44E7CB36" w:rsidR="000613CA" w:rsidRPr="001473DD" w:rsidRDefault="000613CA" w:rsidP="000613CA">
      <w:pPr>
        <w:rPr>
          <w:rFonts w:cstheme="minorHAnsi"/>
          <w:sz w:val="22"/>
        </w:rPr>
      </w:pPr>
    </w:p>
    <w:p w14:paraId="77120F14" w14:textId="77777777" w:rsidR="000613CA" w:rsidRPr="001473DD" w:rsidRDefault="000613CA" w:rsidP="000613CA">
      <w:pPr>
        <w:rPr>
          <w:b/>
          <w:i/>
          <w:sz w:val="22"/>
          <w:u w:val="single"/>
        </w:rPr>
      </w:pPr>
      <w:r w:rsidRPr="001473DD">
        <w:rPr>
          <w:b/>
          <w:i/>
          <w:sz w:val="22"/>
          <w:u w:val="single"/>
        </w:rPr>
        <w:t>Ministeriets bemærkninger:</w:t>
      </w:r>
    </w:p>
    <w:p w14:paraId="0AD95E77" w14:textId="4563F5AE" w:rsidR="000613CA" w:rsidRPr="00901F2F" w:rsidRDefault="0096132F" w:rsidP="000613CA">
      <w:pPr>
        <w:rPr>
          <w:rFonts w:cs="Arial"/>
          <w:i/>
          <w:sz w:val="22"/>
        </w:rPr>
      </w:pPr>
      <w:r w:rsidRPr="001473DD">
        <w:rPr>
          <w:rFonts w:cs="Arial"/>
          <w:i/>
          <w:sz w:val="22"/>
        </w:rPr>
        <w:t xml:space="preserve">Klima-, Energi- og Forsyningsministeriet </w:t>
      </w:r>
      <w:r w:rsidR="000A7D0B" w:rsidRPr="001473DD">
        <w:rPr>
          <w:rFonts w:cs="Arial"/>
          <w:i/>
          <w:sz w:val="22"/>
        </w:rPr>
        <w:t>kvitterer for høringssvarene og bemærker</w:t>
      </w:r>
      <w:r w:rsidR="00BF1543">
        <w:rPr>
          <w:rFonts w:cs="Arial"/>
          <w:i/>
          <w:sz w:val="22"/>
        </w:rPr>
        <w:t>,</w:t>
      </w:r>
      <w:r w:rsidR="000A7D0B" w:rsidRPr="001473DD">
        <w:rPr>
          <w:rFonts w:cs="Arial"/>
          <w:i/>
          <w:sz w:val="22"/>
        </w:rPr>
        <w:t xml:space="preserve"> at det </w:t>
      </w:r>
      <w:r w:rsidR="00FD72F8">
        <w:rPr>
          <w:rFonts w:cs="Arial"/>
          <w:i/>
          <w:sz w:val="22"/>
        </w:rPr>
        <w:t xml:space="preserve">er </w:t>
      </w:r>
      <w:r w:rsidR="000A7D0B" w:rsidRPr="001473DD">
        <w:rPr>
          <w:rFonts w:cs="Arial"/>
          <w:i/>
          <w:sz w:val="22"/>
        </w:rPr>
        <w:t>vigtigt</w:t>
      </w:r>
      <w:r w:rsidR="00BF1543">
        <w:rPr>
          <w:rFonts w:cs="Arial"/>
          <w:i/>
          <w:sz w:val="22"/>
        </w:rPr>
        <w:t>,</w:t>
      </w:r>
      <w:r w:rsidR="000A7D0B" w:rsidRPr="001473DD">
        <w:rPr>
          <w:rFonts w:cs="Arial"/>
          <w:i/>
          <w:sz w:val="22"/>
        </w:rPr>
        <w:t xml:space="preserve"> at eventuelle </w:t>
      </w:r>
      <w:r w:rsidR="00FD72F8">
        <w:rPr>
          <w:rFonts w:cs="Arial"/>
          <w:i/>
          <w:sz w:val="22"/>
        </w:rPr>
        <w:t>tiltag</w:t>
      </w:r>
      <w:r w:rsidR="000A7D0B" w:rsidRPr="001473DD">
        <w:rPr>
          <w:rFonts w:cs="Arial"/>
          <w:i/>
          <w:sz w:val="22"/>
        </w:rPr>
        <w:t xml:space="preserve"> er i overensstemmelse med</w:t>
      </w:r>
      <w:r w:rsidR="00FD72F8">
        <w:rPr>
          <w:rFonts w:cs="Arial"/>
          <w:i/>
          <w:sz w:val="22"/>
        </w:rPr>
        <w:t xml:space="preserve"> principperne i</w:t>
      </w:r>
      <w:r w:rsidR="000A7D0B" w:rsidRPr="001473DD">
        <w:rPr>
          <w:rFonts w:cs="Arial"/>
          <w:i/>
          <w:sz w:val="22"/>
        </w:rPr>
        <w:t xml:space="preserve"> Energieffektiviseringsdirektivets artikel 7. </w:t>
      </w:r>
      <w:proofErr w:type="gramStart"/>
      <w:r w:rsidR="00FD72F8">
        <w:rPr>
          <w:rFonts w:cs="Arial"/>
          <w:i/>
          <w:sz w:val="22"/>
        </w:rPr>
        <w:t xml:space="preserve">For </w:t>
      </w:r>
      <w:r w:rsidR="00161B14" w:rsidRPr="00901F2F">
        <w:rPr>
          <w:rFonts w:cs="Arial"/>
          <w:i/>
          <w:sz w:val="22"/>
        </w:rPr>
        <w:t xml:space="preserve"> energisparetiltag</w:t>
      </w:r>
      <w:proofErr w:type="gramEnd"/>
      <w:r w:rsidR="00161B14">
        <w:rPr>
          <w:rFonts w:cs="Arial"/>
          <w:i/>
          <w:sz w:val="22"/>
        </w:rPr>
        <w:t>, hvor der</w:t>
      </w:r>
      <w:r w:rsidR="00161B14" w:rsidRPr="00901F2F">
        <w:rPr>
          <w:rFonts w:cs="Arial"/>
          <w:i/>
          <w:sz w:val="22"/>
        </w:rPr>
        <w:t xml:space="preserve"> sker en forøgelse af produktionskapaciteten eller </w:t>
      </w:r>
      <w:r w:rsidR="00161B14">
        <w:rPr>
          <w:rFonts w:cs="Arial"/>
          <w:i/>
          <w:sz w:val="22"/>
        </w:rPr>
        <w:t>–</w:t>
      </w:r>
      <w:r w:rsidR="00161B14" w:rsidRPr="00901F2F">
        <w:rPr>
          <w:rFonts w:cs="Arial"/>
          <w:i/>
          <w:sz w:val="22"/>
        </w:rPr>
        <w:t>volumen</w:t>
      </w:r>
      <w:r w:rsidR="00161B14">
        <w:rPr>
          <w:rFonts w:cs="Arial"/>
          <w:i/>
          <w:sz w:val="22"/>
        </w:rPr>
        <w:t xml:space="preserve"> kan der medregnes en energibesparelse, men udelukkende for den del af  </w:t>
      </w:r>
      <w:r w:rsidR="00161B14">
        <w:rPr>
          <w:rFonts w:cs="Arial"/>
          <w:i/>
          <w:sz w:val="22"/>
        </w:rPr>
        <w:lastRenderedPageBreak/>
        <w:t>produktionsvolumen, der svarer til før-situationen. Bekendtgørelsen opdateres med henvisning mellem de relevante punkter.</w:t>
      </w:r>
    </w:p>
    <w:p w14:paraId="6998A06D" w14:textId="77777777" w:rsidR="00634301" w:rsidRPr="00901F2F" w:rsidRDefault="00634301" w:rsidP="001D3C56">
      <w:pPr>
        <w:rPr>
          <w:rFonts w:cs="Arial"/>
          <w:i/>
          <w:sz w:val="22"/>
        </w:rPr>
      </w:pPr>
    </w:p>
    <w:p w14:paraId="7E2656C2" w14:textId="7F9C81EC" w:rsidR="00F56011" w:rsidRPr="001473DD" w:rsidRDefault="00F56011" w:rsidP="00A86F72">
      <w:pPr>
        <w:rPr>
          <w:b/>
          <w:sz w:val="22"/>
        </w:rPr>
      </w:pPr>
      <w:bookmarkStart w:id="14" w:name="_Toc40705914"/>
      <w:r w:rsidRPr="001473DD">
        <w:rPr>
          <w:b/>
          <w:sz w:val="22"/>
        </w:rPr>
        <w:t>Oplysninger til ansøgningsblanketten</w:t>
      </w:r>
      <w:bookmarkEnd w:id="14"/>
    </w:p>
    <w:p w14:paraId="30B762EE" w14:textId="322DC772" w:rsidR="00F56011" w:rsidRPr="001473DD" w:rsidRDefault="00F56011" w:rsidP="00F56011">
      <w:pPr>
        <w:rPr>
          <w:sz w:val="22"/>
        </w:rPr>
      </w:pPr>
      <w:r w:rsidRPr="001473DD">
        <w:rPr>
          <w:sz w:val="22"/>
          <w:u w:val="single"/>
        </w:rPr>
        <w:t>Dansk Energi</w:t>
      </w:r>
      <w:r w:rsidRPr="001473DD">
        <w:rPr>
          <w:sz w:val="22"/>
        </w:rPr>
        <w:t xml:space="preserve"> bemærker, at der bør tilføjes et nyt punkt i 12 stk. 2</w:t>
      </w:r>
      <w:r w:rsidR="00AB53BF">
        <w:rPr>
          <w:sz w:val="22"/>
        </w:rPr>
        <w:t>,</w:t>
      </w:r>
      <w:r w:rsidRPr="001473DD">
        <w:rPr>
          <w:sz w:val="22"/>
        </w:rPr>
        <w:t xml:space="preserve"> e) ”Projekt titel”, der er beskrivende for det projekt, der ansøges om.</w:t>
      </w:r>
    </w:p>
    <w:p w14:paraId="065B207A" w14:textId="77777777" w:rsidR="00F56011" w:rsidRPr="001473DD" w:rsidRDefault="00F56011" w:rsidP="00F56011">
      <w:pPr>
        <w:rPr>
          <w:sz w:val="22"/>
        </w:rPr>
      </w:pPr>
    </w:p>
    <w:p w14:paraId="1ABD1123" w14:textId="757E73D7" w:rsidR="00F56011" w:rsidRPr="001473DD" w:rsidRDefault="00F56011" w:rsidP="00F56011">
      <w:pPr>
        <w:autoSpaceDE w:val="0"/>
        <w:autoSpaceDN w:val="0"/>
        <w:adjustRightInd w:val="0"/>
        <w:spacing w:line="240" w:lineRule="auto"/>
        <w:rPr>
          <w:rFonts w:cs="Arial"/>
          <w:color w:val="000000"/>
          <w:sz w:val="22"/>
        </w:rPr>
      </w:pPr>
      <w:r w:rsidRPr="001473DD">
        <w:rPr>
          <w:rFonts w:cs="Arial"/>
          <w:color w:val="000000"/>
          <w:sz w:val="22"/>
          <w:u w:val="single"/>
        </w:rPr>
        <w:t>Dansk Industri</w:t>
      </w:r>
      <w:r w:rsidRPr="001473DD">
        <w:rPr>
          <w:rFonts w:cs="Arial"/>
          <w:color w:val="000000"/>
          <w:sz w:val="22"/>
        </w:rPr>
        <w:t xml:space="preserve"> bemærker, at det bør anføres i §</w:t>
      </w:r>
      <w:r w:rsidR="00AB53BF">
        <w:rPr>
          <w:rFonts w:cs="Arial"/>
          <w:color w:val="000000"/>
          <w:sz w:val="22"/>
        </w:rPr>
        <w:t xml:space="preserve"> </w:t>
      </w:r>
      <w:r w:rsidRPr="001473DD">
        <w:rPr>
          <w:rFonts w:cs="Arial"/>
          <w:color w:val="000000"/>
          <w:sz w:val="22"/>
        </w:rPr>
        <w:t>12 stk. 2, litra d, at der kan være tale om reduktion af flere forskellige energiarter i et projekt.</w:t>
      </w:r>
    </w:p>
    <w:p w14:paraId="1A2CAE70" w14:textId="77777777" w:rsidR="00F56011" w:rsidRPr="001473DD" w:rsidRDefault="00F56011" w:rsidP="00F56011">
      <w:pPr>
        <w:autoSpaceDE w:val="0"/>
        <w:autoSpaceDN w:val="0"/>
        <w:adjustRightInd w:val="0"/>
        <w:spacing w:line="240" w:lineRule="auto"/>
        <w:rPr>
          <w:rFonts w:cs="Arial"/>
          <w:color w:val="000000"/>
          <w:sz w:val="22"/>
        </w:rPr>
      </w:pPr>
    </w:p>
    <w:p w14:paraId="5AA22A4F" w14:textId="65F34DC1" w:rsidR="00ED65C7" w:rsidRDefault="00621DAA" w:rsidP="00ED65C7">
      <w:pPr>
        <w:rPr>
          <w:sz w:val="22"/>
        </w:rPr>
      </w:pPr>
      <w:r w:rsidRPr="001473DD">
        <w:rPr>
          <w:sz w:val="22"/>
          <w:u w:val="single"/>
        </w:rPr>
        <w:t>TEKNI</w:t>
      </w:r>
      <w:r w:rsidR="00ED65C7" w:rsidRPr="001473DD">
        <w:rPr>
          <w:sz w:val="22"/>
          <w:u w:val="single"/>
        </w:rPr>
        <w:t>Q</w:t>
      </w:r>
      <w:r w:rsidRPr="001473DD">
        <w:rPr>
          <w:sz w:val="22"/>
          <w:u w:val="single"/>
        </w:rPr>
        <w:t xml:space="preserve"> Arbejdsgiverne</w:t>
      </w:r>
      <w:r w:rsidRPr="001473DD">
        <w:rPr>
          <w:sz w:val="22"/>
        </w:rPr>
        <w:t xml:space="preserve"> foreslår også, at </w:t>
      </w:r>
      <w:r w:rsidR="00AB53BF">
        <w:rPr>
          <w:sz w:val="22"/>
        </w:rPr>
        <w:t xml:space="preserve">det </w:t>
      </w:r>
      <w:r w:rsidRPr="001473DD">
        <w:rPr>
          <w:sz w:val="22"/>
        </w:rPr>
        <w:t>fremgår tydeligt, hvad der menes med virksomhedsoplysninger</w:t>
      </w:r>
      <w:r w:rsidR="00ED65C7" w:rsidRPr="001473DD">
        <w:rPr>
          <w:sz w:val="22"/>
        </w:rPr>
        <w:t xml:space="preserve"> i § 12, stk. 2, litra d</w:t>
      </w:r>
      <w:r w:rsidRPr="001473DD">
        <w:rPr>
          <w:sz w:val="22"/>
        </w:rPr>
        <w:t>. Herudover bør der også angives en kontaktperson enten i virksomheden eller hos rådgiver, som kan stå til rådighed i forbindelse med Energistyrelsens sagsbehandling.</w:t>
      </w:r>
    </w:p>
    <w:p w14:paraId="41FACD1D" w14:textId="77777777" w:rsidR="002B31D7" w:rsidRPr="001473DD" w:rsidRDefault="002B31D7" w:rsidP="00ED65C7">
      <w:pPr>
        <w:rPr>
          <w:sz w:val="22"/>
        </w:rPr>
      </w:pPr>
    </w:p>
    <w:p w14:paraId="0FBF0B38" w14:textId="24B55E63" w:rsidR="00ED65C7" w:rsidRPr="001473DD" w:rsidRDefault="00ED65C7" w:rsidP="00ED65C7">
      <w:pPr>
        <w:rPr>
          <w:sz w:val="22"/>
        </w:rPr>
      </w:pPr>
      <w:r w:rsidRPr="001473DD">
        <w:rPr>
          <w:sz w:val="22"/>
        </w:rPr>
        <w:t xml:space="preserve">TEKNIQ Arbejdsgiverne bemærker, at </w:t>
      </w:r>
      <w:proofErr w:type="spellStart"/>
      <w:r w:rsidRPr="001473DD">
        <w:rPr>
          <w:sz w:val="22"/>
        </w:rPr>
        <w:t>energispareprojekter</w:t>
      </w:r>
      <w:proofErr w:type="spellEnd"/>
      <w:r w:rsidRPr="001473DD">
        <w:rPr>
          <w:sz w:val="22"/>
        </w:rPr>
        <w:t xml:space="preserve"> kan omfatte flere energiarter. Derfor bør CO</w:t>
      </w:r>
      <w:r w:rsidRPr="00CA2854">
        <w:rPr>
          <w:sz w:val="22"/>
          <w:vertAlign w:val="subscript"/>
        </w:rPr>
        <w:t>2</w:t>
      </w:r>
      <w:r w:rsidRPr="001473DD">
        <w:rPr>
          <w:sz w:val="22"/>
        </w:rPr>
        <w:t xml:space="preserve">-fortrængningspotentialet også angives, ligesom </w:t>
      </w:r>
      <w:proofErr w:type="spellStart"/>
      <w:r w:rsidRPr="001473DD">
        <w:rPr>
          <w:sz w:val="22"/>
        </w:rPr>
        <w:t>energisparepotentialet</w:t>
      </w:r>
      <w:proofErr w:type="spellEnd"/>
      <w:r w:rsidRPr="001473DD">
        <w:rPr>
          <w:sz w:val="22"/>
        </w:rPr>
        <w:t xml:space="preserve"> pr. energiart bør angives i ansøgningen i første fase.</w:t>
      </w:r>
    </w:p>
    <w:p w14:paraId="5A4FDDA5" w14:textId="3ACCC672" w:rsidR="00F56011" w:rsidRPr="001473DD" w:rsidRDefault="00F56011" w:rsidP="00F56011">
      <w:pPr>
        <w:rPr>
          <w:sz w:val="22"/>
        </w:rPr>
      </w:pPr>
    </w:p>
    <w:p w14:paraId="721D974D" w14:textId="77777777" w:rsidR="00F56011" w:rsidRPr="001473DD" w:rsidRDefault="00F56011" w:rsidP="00F56011">
      <w:pPr>
        <w:rPr>
          <w:b/>
          <w:i/>
          <w:sz w:val="22"/>
          <w:u w:val="single"/>
        </w:rPr>
      </w:pPr>
      <w:r w:rsidRPr="001473DD">
        <w:rPr>
          <w:b/>
          <w:i/>
          <w:sz w:val="22"/>
          <w:u w:val="single"/>
        </w:rPr>
        <w:t>Ministeriets bemærkninger:</w:t>
      </w:r>
    </w:p>
    <w:p w14:paraId="0B750B47" w14:textId="67DC5D31" w:rsidR="00F56011" w:rsidRPr="001473DD" w:rsidRDefault="0096132F" w:rsidP="00F56011">
      <w:pPr>
        <w:rPr>
          <w:sz w:val="22"/>
        </w:rPr>
      </w:pPr>
      <w:r w:rsidRPr="001473DD">
        <w:rPr>
          <w:rFonts w:cs="Arial"/>
          <w:i/>
          <w:sz w:val="22"/>
        </w:rPr>
        <w:t>Klima-, Energi- og Forsyningsministeriet</w:t>
      </w:r>
      <w:r w:rsidR="003837EC">
        <w:rPr>
          <w:rFonts w:cs="Arial"/>
          <w:i/>
          <w:sz w:val="22"/>
        </w:rPr>
        <w:t xml:space="preserve"> bemærker, at bekendtgørelsen kun lister </w:t>
      </w:r>
      <w:r w:rsidR="00AB53BF">
        <w:rPr>
          <w:rFonts w:cs="Arial"/>
          <w:i/>
          <w:sz w:val="22"/>
        </w:rPr>
        <w:t>de overordnede og</w:t>
      </w:r>
      <w:r w:rsidR="003837EC">
        <w:rPr>
          <w:rFonts w:cs="Arial"/>
          <w:i/>
          <w:sz w:val="22"/>
        </w:rPr>
        <w:t xml:space="preserve"> nødvendige oplysninger</w:t>
      </w:r>
      <w:r w:rsidR="00AB53BF">
        <w:rPr>
          <w:rFonts w:cs="Arial"/>
          <w:i/>
          <w:sz w:val="22"/>
        </w:rPr>
        <w:t>,</w:t>
      </w:r>
      <w:r w:rsidR="003837EC">
        <w:rPr>
          <w:rFonts w:cs="Arial"/>
          <w:i/>
          <w:sz w:val="22"/>
        </w:rPr>
        <w:t xml:space="preserve"> og </w:t>
      </w:r>
      <w:r w:rsidR="00AB53BF">
        <w:rPr>
          <w:rFonts w:cs="Arial"/>
          <w:i/>
          <w:sz w:val="22"/>
        </w:rPr>
        <w:t xml:space="preserve">at der kan blive bedt om </w:t>
      </w:r>
      <w:r w:rsidR="003837EC">
        <w:rPr>
          <w:rFonts w:cs="Arial"/>
          <w:i/>
          <w:sz w:val="22"/>
        </w:rPr>
        <w:t>flere oplysninger i ansøgningsblanketten på ansøgningsportalen. Desuden vil vejledningen uddybe ansøgningsprocessen nærmere.</w:t>
      </w:r>
    </w:p>
    <w:p w14:paraId="0F07B1DC" w14:textId="77777777" w:rsidR="00ED65C7" w:rsidRPr="001473DD" w:rsidRDefault="00ED65C7" w:rsidP="00ED65C7">
      <w:pPr>
        <w:rPr>
          <w:sz w:val="22"/>
        </w:rPr>
      </w:pPr>
    </w:p>
    <w:p w14:paraId="7CEAD4FD" w14:textId="595BF530" w:rsidR="00C160D3" w:rsidRPr="001473DD" w:rsidRDefault="00C160D3" w:rsidP="00A86F72">
      <w:pPr>
        <w:rPr>
          <w:b/>
          <w:sz w:val="22"/>
        </w:rPr>
      </w:pPr>
      <w:bookmarkStart w:id="15" w:name="_Toc40705915"/>
      <w:r w:rsidRPr="001473DD">
        <w:rPr>
          <w:b/>
          <w:sz w:val="22"/>
        </w:rPr>
        <w:t>Dokumentationskrav</w:t>
      </w:r>
      <w:bookmarkEnd w:id="15"/>
    </w:p>
    <w:p w14:paraId="11922F10" w14:textId="79313C54" w:rsidR="00D7129B" w:rsidRPr="001473DD" w:rsidRDefault="00C160D3" w:rsidP="00D7129B">
      <w:pPr>
        <w:rPr>
          <w:rFonts w:cstheme="minorHAnsi"/>
          <w:sz w:val="22"/>
        </w:rPr>
      </w:pPr>
      <w:r w:rsidRPr="001473DD">
        <w:rPr>
          <w:rFonts w:cstheme="minorHAnsi"/>
          <w:sz w:val="22"/>
          <w:u w:val="single"/>
        </w:rPr>
        <w:t>Dansk Energi</w:t>
      </w:r>
      <w:r w:rsidRPr="001473DD">
        <w:rPr>
          <w:rFonts w:cstheme="minorHAnsi"/>
          <w:sz w:val="22"/>
        </w:rPr>
        <w:t xml:space="preserve"> bak</w:t>
      </w:r>
      <w:r w:rsidR="00D7129B" w:rsidRPr="001473DD">
        <w:rPr>
          <w:rFonts w:cstheme="minorHAnsi"/>
          <w:sz w:val="22"/>
        </w:rPr>
        <w:t>ker op om entydige og stramme, men fair krav til dokumentation, der på en gang sikrer høj effekt og samtidig en administrativ og enkel tilskudsordning. Begge dele er nødvendige for ordningens succes.</w:t>
      </w:r>
    </w:p>
    <w:p w14:paraId="041CF9F4" w14:textId="4B53F85C" w:rsidR="0056026C" w:rsidRPr="001473DD" w:rsidRDefault="0056026C" w:rsidP="0056026C">
      <w:pPr>
        <w:rPr>
          <w:rFonts w:cstheme="minorHAnsi"/>
          <w:sz w:val="22"/>
        </w:rPr>
      </w:pPr>
    </w:p>
    <w:p w14:paraId="02C04CE7" w14:textId="6F6BCCDE" w:rsidR="0056026C" w:rsidRPr="001473DD" w:rsidRDefault="00D44EAA" w:rsidP="0056026C">
      <w:pPr>
        <w:rPr>
          <w:rFonts w:cstheme="minorHAnsi"/>
          <w:sz w:val="22"/>
        </w:rPr>
      </w:pPr>
      <w:r>
        <w:rPr>
          <w:rFonts w:cstheme="minorHAnsi"/>
          <w:sz w:val="22"/>
        </w:rPr>
        <w:t>Endvidere bemærker Dansk Energi, at d</w:t>
      </w:r>
      <w:r w:rsidR="0056026C" w:rsidRPr="001473DD">
        <w:rPr>
          <w:rFonts w:cstheme="minorHAnsi"/>
          <w:sz w:val="22"/>
        </w:rPr>
        <w:t>et bør sikres, at ansøger ikke pålægges en uforudset omkostni</w:t>
      </w:r>
      <w:r w:rsidR="00404255" w:rsidRPr="001473DD">
        <w:rPr>
          <w:rFonts w:cstheme="minorHAnsi"/>
          <w:sz w:val="22"/>
        </w:rPr>
        <w:t>ng til tredjeparts kvalitetssik</w:t>
      </w:r>
      <w:r w:rsidR="0056026C" w:rsidRPr="001473DD">
        <w:rPr>
          <w:rFonts w:cstheme="minorHAnsi"/>
          <w:sz w:val="22"/>
        </w:rPr>
        <w:t>ring</w:t>
      </w:r>
      <w:r>
        <w:rPr>
          <w:rFonts w:cstheme="minorHAnsi"/>
          <w:sz w:val="22"/>
        </w:rPr>
        <w:t>, jf. § 12, stk. 4</w:t>
      </w:r>
      <w:r w:rsidR="0056026C" w:rsidRPr="001473DD">
        <w:rPr>
          <w:rFonts w:cstheme="minorHAnsi"/>
          <w:sz w:val="22"/>
        </w:rPr>
        <w:t>. Yderligere kan det ikke forventes</w:t>
      </w:r>
      <w:r w:rsidR="001334E2">
        <w:rPr>
          <w:rFonts w:cstheme="minorHAnsi"/>
          <w:sz w:val="22"/>
        </w:rPr>
        <w:t>,</w:t>
      </w:r>
      <w:r w:rsidR="0056026C" w:rsidRPr="001473DD">
        <w:rPr>
          <w:rFonts w:cstheme="minorHAnsi"/>
          <w:sz w:val="22"/>
        </w:rPr>
        <w:t xml:space="preserve"> at rådgivere skal udleve</w:t>
      </w:r>
      <w:r w:rsidR="00404255" w:rsidRPr="001473DD">
        <w:rPr>
          <w:rFonts w:cstheme="minorHAnsi"/>
          <w:sz w:val="22"/>
        </w:rPr>
        <w:t>re materiale til eventuelle kon</w:t>
      </w:r>
      <w:r w:rsidR="0056026C" w:rsidRPr="001473DD">
        <w:rPr>
          <w:rFonts w:cstheme="minorHAnsi"/>
          <w:sz w:val="22"/>
        </w:rPr>
        <w:t>kurrenter før dokumentationen i runde 2 kan fremsendes til Energistyrelsen. Ønsker Energistyrelsen at anvende ekstern partner til tredjepartskvalitetssikring må dette være en opgave</w:t>
      </w:r>
      <w:r w:rsidR="001334E2">
        <w:rPr>
          <w:rFonts w:cstheme="minorHAnsi"/>
          <w:sz w:val="22"/>
        </w:rPr>
        <w:t>,</w:t>
      </w:r>
      <w:r w:rsidR="0056026C" w:rsidRPr="001473DD">
        <w:rPr>
          <w:rFonts w:cstheme="minorHAnsi"/>
          <w:sz w:val="22"/>
        </w:rPr>
        <w:t xml:space="preserve"> Energistyrelsen skal sende i udbud og dække omkostningerne forbundet hermed. </w:t>
      </w:r>
    </w:p>
    <w:p w14:paraId="373E9F69" w14:textId="5599267A" w:rsidR="0056026C" w:rsidRPr="001473DD" w:rsidRDefault="0056026C" w:rsidP="0056026C">
      <w:pPr>
        <w:rPr>
          <w:rFonts w:cstheme="minorHAnsi"/>
          <w:sz w:val="22"/>
        </w:rPr>
      </w:pPr>
      <w:r w:rsidRPr="001473DD">
        <w:rPr>
          <w:rFonts w:cstheme="minorHAnsi"/>
          <w:sz w:val="22"/>
        </w:rPr>
        <w:t xml:space="preserve">I så fald at ansøgeren alligevel pålægges eksterne omkostninger </w:t>
      </w:r>
      <w:proofErr w:type="spellStart"/>
      <w:r w:rsidRPr="001473DD">
        <w:rPr>
          <w:rFonts w:cstheme="minorHAnsi"/>
          <w:sz w:val="22"/>
        </w:rPr>
        <w:t>i</w:t>
      </w:r>
      <w:r w:rsidR="00404255" w:rsidRPr="001473DD">
        <w:rPr>
          <w:rFonts w:cstheme="minorHAnsi"/>
          <w:sz w:val="22"/>
        </w:rPr>
        <w:t>fm</w:t>
      </w:r>
      <w:proofErr w:type="spellEnd"/>
      <w:r w:rsidR="00404255" w:rsidRPr="001473DD">
        <w:rPr>
          <w:rFonts w:cstheme="minorHAnsi"/>
          <w:sz w:val="22"/>
        </w:rPr>
        <w:t xml:space="preserve">. </w:t>
      </w:r>
      <w:r w:rsidR="001334E2" w:rsidRPr="001473DD">
        <w:rPr>
          <w:rFonts w:cstheme="minorHAnsi"/>
          <w:sz w:val="22"/>
        </w:rPr>
        <w:t>B</w:t>
      </w:r>
      <w:r w:rsidR="00404255" w:rsidRPr="001473DD">
        <w:rPr>
          <w:rFonts w:cstheme="minorHAnsi"/>
          <w:sz w:val="22"/>
        </w:rPr>
        <w:t>istand</w:t>
      </w:r>
      <w:r w:rsidR="001334E2">
        <w:rPr>
          <w:rFonts w:cstheme="minorHAnsi"/>
          <w:sz w:val="22"/>
        </w:rPr>
        <w:t>,</w:t>
      </w:r>
      <w:r w:rsidR="00404255" w:rsidRPr="001473DD">
        <w:rPr>
          <w:rFonts w:cstheme="minorHAnsi"/>
          <w:sz w:val="22"/>
        </w:rPr>
        <w:t xml:space="preserve"> skal det gøres</w:t>
      </w:r>
      <w:r w:rsidRPr="001473DD">
        <w:rPr>
          <w:rFonts w:cstheme="minorHAnsi"/>
          <w:sz w:val="22"/>
        </w:rPr>
        <w:t xml:space="preserve"> klart, i hvilke situationer dette kan komme på tale</w:t>
      </w:r>
      <w:r w:rsidR="001334E2">
        <w:rPr>
          <w:rFonts w:cstheme="minorHAnsi"/>
          <w:sz w:val="22"/>
        </w:rPr>
        <w:t>,</w:t>
      </w:r>
      <w:r w:rsidRPr="001473DD">
        <w:rPr>
          <w:rFonts w:cstheme="minorHAnsi"/>
          <w:sz w:val="22"/>
        </w:rPr>
        <w:t xml:space="preserve"> om og i hvilket omfang, herunder hvilke kompetencer der skal være til stede, når Energistyrelsen anmoder om ekstern energi-faglig kvalitetssikring af ansøgningen.</w:t>
      </w:r>
    </w:p>
    <w:p w14:paraId="6389B7CC" w14:textId="59C69921" w:rsidR="00E31DD0" w:rsidRPr="001473DD" w:rsidRDefault="00E31DD0" w:rsidP="0056026C">
      <w:pPr>
        <w:rPr>
          <w:rFonts w:cstheme="minorHAnsi"/>
          <w:sz w:val="22"/>
        </w:rPr>
      </w:pPr>
    </w:p>
    <w:p w14:paraId="32ED5AC2" w14:textId="5D03DC41" w:rsidR="00E31DD0" w:rsidRPr="001473DD" w:rsidRDefault="00E31DD0" w:rsidP="0056026C">
      <w:pPr>
        <w:rPr>
          <w:sz w:val="22"/>
        </w:rPr>
      </w:pPr>
      <w:r w:rsidRPr="001473DD">
        <w:rPr>
          <w:rFonts w:cstheme="minorHAnsi"/>
          <w:sz w:val="22"/>
          <w:u w:val="single"/>
        </w:rPr>
        <w:t>TEKNIQ Arbejdsgiverne</w:t>
      </w:r>
      <w:r w:rsidRPr="001473DD">
        <w:rPr>
          <w:rFonts w:cstheme="minorHAnsi"/>
          <w:sz w:val="22"/>
        </w:rPr>
        <w:t xml:space="preserve"> </w:t>
      </w:r>
      <w:r w:rsidR="00202150" w:rsidRPr="001473DD">
        <w:rPr>
          <w:rFonts w:cstheme="minorHAnsi"/>
          <w:sz w:val="22"/>
        </w:rPr>
        <w:t xml:space="preserve">bemærker, at </w:t>
      </w:r>
      <w:r w:rsidRPr="001473DD">
        <w:rPr>
          <w:sz w:val="22"/>
        </w:rPr>
        <w:t>§</w:t>
      </w:r>
      <w:r w:rsidR="001334E2">
        <w:rPr>
          <w:sz w:val="22"/>
        </w:rPr>
        <w:t xml:space="preserve"> </w:t>
      </w:r>
      <w:r w:rsidRPr="001473DD">
        <w:rPr>
          <w:sz w:val="22"/>
        </w:rPr>
        <w:t>12, stk. 4, og §</w:t>
      </w:r>
      <w:r w:rsidR="001334E2">
        <w:rPr>
          <w:sz w:val="22"/>
        </w:rPr>
        <w:t xml:space="preserve"> </w:t>
      </w:r>
      <w:r w:rsidRPr="001473DD">
        <w:rPr>
          <w:sz w:val="22"/>
        </w:rPr>
        <w:t>19, stk. 3, gør det muligt for Energistyrelsen at pålægge ansøger ekstra dokumentationskrav. Dette er et hensigtsm</w:t>
      </w:r>
      <w:r w:rsidR="00202150" w:rsidRPr="001473DD">
        <w:rPr>
          <w:sz w:val="22"/>
        </w:rPr>
        <w:t>æssigt krav, som sikrer høj kva</w:t>
      </w:r>
      <w:r w:rsidRPr="001473DD">
        <w:rPr>
          <w:sz w:val="22"/>
        </w:rPr>
        <w:t xml:space="preserve">litet i ansøgningsmaterialet. Kravet kan indebære </w:t>
      </w:r>
      <w:r w:rsidR="00202150" w:rsidRPr="001473DD">
        <w:rPr>
          <w:sz w:val="22"/>
        </w:rPr>
        <w:t>en betydelig merudgift for ansø</w:t>
      </w:r>
      <w:r w:rsidRPr="001473DD">
        <w:rPr>
          <w:sz w:val="22"/>
        </w:rPr>
        <w:t>ger, som i praksis medfører, at projekter vil blive opgivet. Derfor bør det eksplicit fremgå, at man som ansøger har mulighed for at opjustere de støtteberettigede omkostninger i tilskudsansøgningen, såfremt §</w:t>
      </w:r>
      <w:r w:rsidR="001334E2">
        <w:rPr>
          <w:sz w:val="22"/>
        </w:rPr>
        <w:t xml:space="preserve"> </w:t>
      </w:r>
      <w:r w:rsidRPr="001473DD">
        <w:rPr>
          <w:sz w:val="22"/>
        </w:rPr>
        <w:t>12, stk. 4, bliver taget i brug.</w:t>
      </w:r>
    </w:p>
    <w:p w14:paraId="47113752" w14:textId="61878225" w:rsidR="00CA527F" w:rsidRPr="001473DD" w:rsidRDefault="00CA527F" w:rsidP="00A86F72">
      <w:pPr>
        <w:rPr>
          <w:i/>
          <w:sz w:val="22"/>
          <w:u w:val="single"/>
        </w:rPr>
      </w:pPr>
    </w:p>
    <w:p w14:paraId="7A8417BB" w14:textId="26B73215" w:rsidR="00CA527F" w:rsidRPr="001473DD" w:rsidRDefault="00CA527F" w:rsidP="00CA527F">
      <w:pPr>
        <w:rPr>
          <w:rFonts w:cstheme="minorHAnsi"/>
          <w:sz w:val="22"/>
        </w:rPr>
      </w:pPr>
      <w:r w:rsidRPr="001473DD">
        <w:rPr>
          <w:rFonts w:cstheme="minorHAnsi"/>
          <w:sz w:val="22"/>
          <w:u w:val="single"/>
        </w:rPr>
        <w:t>Dansk Energi</w:t>
      </w:r>
      <w:r w:rsidRPr="001473DD">
        <w:rPr>
          <w:rFonts w:cstheme="minorHAnsi"/>
          <w:sz w:val="22"/>
        </w:rPr>
        <w:t xml:space="preserve"> bakker op om differentierede revisionskrav. Dog findes det problematisk, at Energistyrelsen i stk. 3 kan bestemme skærpede revisionskrav. </w:t>
      </w:r>
    </w:p>
    <w:p w14:paraId="388F640F" w14:textId="77777777" w:rsidR="00CA527F" w:rsidRPr="001473DD" w:rsidRDefault="00CA527F" w:rsidP="00CA527F">
      <w:pPr>
        <w:rPr>
          <w:rFonts w:cstheme="minorHAnsi"/>
          <w:sz w:val="22"/>
        </w:rPr>
      </w:pPr>
      <w:r w:rsidRPr="001473DD">
        <w:rPr>
          <w:sz w:val="22"/>
        </w:rPr>
        <w:t>Der stilles en række krav til regningsbilag, der anvendes som dokumentation. Det kan være problematisk for leverandører at indarbejde særskilt information på regninger. Såfremt Energistyrelsen fastholder kravet, bør det være tilstrækkeligt, at informationen fremgår af bilag separat fra regningen.</w:t>
      </w:r>
    </w:p>
    <w:p w14:paraId="2CAE9CA1" w14:textId="77777777" w:rsidR="00CA527F" w:rsidRPr="001473DD" w:rsidRDefault="00CA527F" w:rsidP="0056026C">
      <w:pPr>
        <w:rPr>
          <w:rFonts w:cstheme="minorHAnsi"/>
          <w:sz w:val="22"/>
        </w:rPr>
      </w:pPr>
    </w:p>
    <w:p w14:paraId="2A1B31AA" w14:textId="77777777" w:rsidR="00F56011" w:rsidRPr="001473DD" w:rsidRDefault="00F56011" w:rsidP="00F56011">
      <w:pPr>
        <w:rPr>
          <w:b/>
          <w:i/>
          <w:sz w:val="22"/>
          <w:u w:val="single"/>
        </w:rPr>
      </w:pPr>
      <w:r w:rsidRPr="001473DD">
        <w:rPr>
          <w:b/>
          <w:i/>
          <w:sz w:val="22"/>
          <w:u w:val="single"/>
        </w:rPr>
        <w:t>Ministeriets bemærkninger:</w:t>
      </w:r>
    </w:p>
    <w:p w14:paraId="46AC4087" w14:textId="5800300C" w:rsidR="00F56011" w:rsidRPr="001473DD" w:rsidRDefault="0096132F" w:rsidP="007938A8">
      <w:pPr>
        <w:rPr>
          <w:sz w:val="22"/>
        </w:rPr>
      </w:pPr>
      <w:r w:rsidRPr="001473DD">
        <w:rPr>
          <w:rFonts w:cs="Arial"/>
          <w:i/>
          <w:sz w:val="22"/>
        </w:rPr>
        <w:t xml:space="preserve">Klima-, Energi- og Forsyningsministeriet </w:t>
      </w:r>
      <w:r w:rsidR="00E92DF1">
        <w:rPr>
          <w:rFonts w:cs="Arial"/>
          <w:i/>
          <w:sz w:val="22"/>
        </w:rPr>
        <w:t>takke</w:t>
      </w:r>
      <w:r w:rsidR="00B823F7">
        <w:rPr>
          <w:rFonts w:cs="Arial"/>
          <w:i/>
          <w:sz w:val="22"/>
        </w:rPr>
        <w:t>r</w:t>
      </w:r>
      <w:r w:rsidR="00E92DF1">
        <w:rPr>
          <w:rFonts w:cs="Arial"/>
          <w:i/>
          <w:sz w:val="22"/>
        </w:rPr>
        <w:t xml:space="preserve"> for høringssvarerne og </w:t>
      </w:r>
      <w:r w:rsidRPr="001473DD">
        <w:rPr>
          <w:rFonts w:cs="Arial"/>
          <w:i/>
          <w:sz w:val="22"/>
        </w:rPr>
        <w:t>bemærker</w:t>
      </w:r>
      <w:r w:rsidR="00E92DF1">
        <w:rPr>
          <w:rFonts w:cs="Arial"/>
          <w:i/>
          <w:sz w:val="22"/>
        </w:rPr>
        <w:t xml:space="preserve">, at </w:t>
      </w:r>
      <w:r w:rsidR="00161B14">
        <w:rPr>
          <w:rFonts w:cs="Arial"/>
          <w:i/>
          <w:sz w:val="22"/>
        </w:rPr>
        <w:t>d</w:t>
      </w:r>
      <w:r w:rsidR="009C56C2">
        <w:rPr>
          <w:rFonts w:cs="Arial"/>
          <w:i/>
          <w:sz w:val="22"/>
        </w:rPr>
        <w:t xml:space="preserve">er kun i ganske ekstraordinære tilfælde </w:t>
      </w:r>
      <w:r w:rsidR="00161B14">
        <w:rPr>
          <w:rFonts w:cs="Arial"/>
          <w:i/>
          <w:sz w:val="22"/>
        </w:rPr>
        <w:t xml:space="preserve">forventes </w:t>
      </w:r>
      <w:r w:rsidR="009C56C2">
        <w:rPr>
          <w:rFonts w:cs="Arial"/>
          <w:i/>
          <w:sz w:val="22"/>
        </w:rPr>
        <w:t>at være brug for at stille krav om ekstern kvalitetssikring af ansøgningen, da det normalt vil være tilstrækkeligt at anmode ansøger om supplerende oplysninger, såfremt ansøgningen ikke er tilstrækkeligt belyst.</w:t>
      </w:r>
      <w:r w:rsidR="00161B14">
        <w:rPr>
          <w:rFonts w:cs="Arial"/>
          <w:i/>
          <w:sz w:val="22"/>
        </w:rPr>
        <w:t xml:space="preserve"> Udgifterne forbundet med dette vil som udgangspunkt være omfattet af de støtteberettigede omkostninger jf. §4, stk. 2, nr. 1.</w:t>
      </w:r>
    </w:p>
    <w:p w14:paraId="5079EE75" w14:textId="4BE91318" w:rsidR="008E2D49" w:rsidRPr="001473DD" w:rsidRDefault="008E2D49">
      <w:pPr>
        <w:rPr>
          <w:b/>
          <w:sz w:val="22"/>
        </w:rPr>
      </w:pPr>
    </w:p>
    <w:p w14:paraId="478E66F8" w14:textId="32D99D66" w:rsidR="008E2D49" w:rsidRPr="001473DD" w:rsidRDefault="008E2D49" w:rsidP="00A86F72">
      <w:pPr>
        <w:rPr>
          <w:b/>
          <w:sz w:val="22"/>
        </w:rPr>
      </w:pPr>
      <w:bookmarkStart w:id="16" w:name="_Toc40705918"/>
      <w:r w:rsidRPr="001473DD">
        <w:rPr>
          <w:b/>
          <w:sz w:val="22"/>
        </w:rPr>
        <w:t>Ansøgningsrunder</w:t>
      </w:r>
      <w:bookmarkEnd w:id="16"/>
      <w:r w:rsidR="00A86F72" w:rsidRPr="001473DD">
        <w:rPr>
          <w:b/>
          <w:sz w:val="22"/>
        </w:rPr>
        <w:t xml:space="preserve"> og </w:t>
      </w:r>
      <w:r w:rsidR="001334E2">
        <w:rPr>
          <w:b/>
          <w:sz w:val="22"/>
        </w:rPr>
        <w:t>f</w:t>
      </w:r>
      <w:r w:rsidR="00A86F72" w:rsidRPr="001473DD">
        <w:rPr>
          <w:b/>
          <w:sz w:val="22"/>
        </w:rPr>
        <w:t>rister</w:t>
      </w:r>
    </w:p>
    <w:p w14:paraId="16688F2F" w14:textId="17429792" w:rsidR="007938A8" w:rsidRPr="001473DD" w:rsidRDefault="008E2D49">
      <w:pPr>
        <w:rPr>
          <w:sz w:val="22"/>
        </w:rPr>
      </w:pPr>
      <w:r w:rsidRPr="001473DD">
        <w:rPr>
          <w:rFonts w:cstheme="minorHAnsi"/>
          <w:sz w:val="22"/>
          <w:u w:val="single"/>
        </w:rPr>
        <w:t>Dansk Energi</w:t>
      </w:r>
      <w:r w:rsidRPr="001473DD">
        <w:rPr>
          <w:rFonts w:cstheme="minorHAnsi"/>
          <w:sz w:val="22"/>
        </w:rPr>
        <w:t xml:space="preserve"> </w:t>
      </w:r>
      <w:r w:rsidR="00FF12AC">
        <w:rPr>
          <w:rFonts w:cstheme="minorHAnsi"/>
          <w:sz w:val="22"/>
        </w:rPr>
        <w:t xml:space="preserve">og </w:t>
      </w:r>
      <w:r w:rsidR="00FF12AC" w:rsidRPr="00FF12AC">
        <w:rPr>
          <w:rFonts w:cstheme="minorHAnsi"/>
          <w:sz w:val="22"/>
          <w:u w:val="single"/>
        </w:rPr>
        <w:t>Dansk Industri</w:t>
      </w:r>
      <w:r w:rsidR="00FF12AC">
        <w:rPr>
          <w:rFonts w:cstheme="minorHAnsi"/>
          <w:sz w:val="22"/>
        </w:rPr>
        <w:t xml:space="preserve"> </w:t>
      </w:r>
      <w:r w:rsidRPr="001473DD">
        <w:rPr>
          <w:rFonts w:cstheme="minorHAnsi"/>
          <w:sz w:val="22"/>
        </w:rPr>
        <w:t>bemærker, at ansøgningsrunderne bør kendes i god tid inden for hver tilskudsperiode. Derudover kan ansøgningsrunder og de efterfølgende frister koordineres med virksomheders regnskabsår, beslutningsgange mv.</w:t>
      </w:r>
      <w:r w:rsidR="001334E2">
        <w:rPr>
          <w:rFonts w:cstheme="minorHAnsi"/>
          <w:sz w:val="22"/>
        </w:rPr>
        <w:t xml:space="preserve"> </w:t>
      </w:r>
      <w:r w:rsidR="007938A8" w:rsidRPr="001473DD">
        <w:rPr>
          <w:sz w:val="22"/>
        </w:rPr>
        <w:t>DI</w:t>
      </w:r>
      <w:r w:rsidR="00FF12AC">
        <w:rPr>
          <w:sz w:val="22"/>
        </w:rPr>
        <w:t xml:space="preserve"> ser</w:t>
      </w:r>
      <w:r w:rsidR="007938A8" w:rsidRPr="001473DD">
        <w:rPr>
          <w:sz w:val="22"/>
        </w:rPr>
        <w:t xml:space="preserve"> også gerne, at antallet af ansøgningsrunderne pr. år fastlægges, da dette vil give virksomhederne et bedre udgangspunkt i forhold til at planlægge deres </w:t>
      </w:r>
      <w:proofErr w:type="spellStart"/>
      <w:r w:rsidR="007938A8" w:rsidRPr="001473DD">
        <w:rPr>
          <w:sz w:val="22"/>
        </w:rPr>
        <w:t>energispareprojekter</w:t>
      </w:r>
      <w:proofErr w:type="spellEnd"/>
      <w:r w:rsidR="007938A8" w:rsidRPr="001473DD">
        <w:rPr>
          <w:sz w:val="22"/>
        </w:rPr>
        <w:t>.</w:t>
      </w:r>
    </w:p>
    <w:p w14:paraId="08DAB6EE" w14:textId="29DC208E" w:rsidR="001D3C56" w:rsidRPr="001473DD" w:rsidRDefault="001D3C56">
      <w:pPr>
        <w:rPr>
          <w:sz w:val="22"/>
        </w:rPr>
      </w:pPr>
    </w:p>
    <w:p w14:paraId="7CD9B00A" w14:textId="2CC855F4" w:rsidR="001D3C56" w:rsidRPr="001473DD" w:rsidRDefault="001D3C56" w:rsidP="001D3C56">
      <w:pPr>
        <w:rPr>
          <w:sz w:val="22"/>
        </w:rPr>
      </w:pPr>
      <w:r w:rsidRPr="001473DD">
        <w:rPr>
          <w:sz w:val="22"/>
          <w:u w:val="single"/>
        </w:rPr>
        <w:t>Foreningen af Rådgivende Ingeniører</w:t>
      </w:r>
      <w:r w:rsidRPr="001473DD">
        <w:rPr>
          <w:sz w:val="22"/>
        </w:rPr>
        <w:t xml:space="preserve"> anbefaler, at bekendtgørelsen indeholder, hvor mange udbudsrunder der udbydes pr. år. FRI har tidligere foreslået 6 udbudsrunder pr. år med to måneders mellemrum.</w:t>
      </w:r>
      <w:r w:rsidR="001334E2">
        <w:rPr>
          <w:sz w:val="22"/>
        </w:rPr>
        <w:t xml:space="preserve"> </w:t>
      </w:r>
      <w:r w:rsidRPr="001473DD">
        <w:rPr>
          <w:sz w:val="22"/>
        </w:rPr>
        <w:t>Bekendtgørelsen bør desuden indeholde en behandlingsgaranti.</w:t>
      </w:r>
    </w:p>
    <w:p w14:paraId="419B8C82" w14:textId="68E14FAC" w:rsidR="00CE7199" w:rsidRPr="001473DD" w:rsidRDefault="00CE7199" w:rsidP="001D3C56">
      <w:pPr>
        <w:rPr>
          <w:sz w:val="22"/>
        </w:rPr>
      </w:pPr>
    </w:p>
    <w:p w14:paraId="26BA6216" w14:textId="296B3A0D" w:rsidR="00CE7199" w:rsidRPr="001473DD" w:rsidRDefault="00CE7199" w:rsidP="001D3C56">
      <w:pPr>
        <w:rPr>
          <w:rFonts w:cstheme="minorHAnsi"/>
          <w:sz w:val="22"/>
        </w:rPr>
      </w:pPr>
      <w:r w:rsidRPr="001473DD">
        <w:rPr>
          <w:rFonts w:cstheme="minorHAnsi"/>
          <w:sz w:val="22"/>
          <w:u w:val="single"/>
        </w:rPr>
        <w:t>SYNERGI</w:t>
      </w:r>
      <w:r w:rsidRPr="001473DD">
        <w:rPr>
          <w:rFonts w:cstheme="minorHAnsi"/>
          <w:sz w:val="22"/>
        </w:rPr>
        <w:t xml:space="preserve"> anbefaler, at der bør oprettes minimum 8 og optimalt 11 fastlagte udbudsrunder.</w:t>
      </w:r>
    </w:p>
    <w:p w14:paraId="119ED772" w14:textId="0552272B" w:rsidR="00F56011" w:rsidRPr="001473DD" w:rsidRDefault="00F56011" w:rsidP="001D3C56">
      <w:pPr>
        <w:rPr>
          <w:rFonts w:cstheme="minorHAnsi"/>
          <w:sz w:val="22"/>
        </w:rPr>
      </w:pPr>
    </w:p>
    <w:p w14:paraId="78673F54" w14:textId="6B6813D0" w:rsidR="00A86F72" w:rsidRPr="001473DD" w:rsidRDefault="00A86F72" w:rsidP="00A86F72">
      <w:pPr>
        <w:rPr>
          <w:sz w:val="22"/>
        </w:rPr>
      </w:pPr>
      <w:r w:rsidRPr="001473DD">
        <w:rPr>
          <w:sz w:val="22"/>
          <w:u w:val="single"/>
        </w:rPr>
        <w:lastRenderedPageBreak/>
        <w:t>Dansk Energi</w:t>
      </w:r>
      <w:r w:rsidRPr="001473DD">
        <w:rPr>
          <w:sz w:val="22"/>
        </w:rPr>
        <w:t xml:space="preserve"> bemærker, at det er vigtigt, at Energistyrelsen fastsætter retningslinjer for hvordan frister fastsættes samt rammer for eventuel fristudsættelse. Frister for hhv. runde 1 og runde 2 skal være kendte så tidligt som muligt. Det vil være hensigtsmæssigt at kende frister for ansøgningsrunder </w:t>
      </w:r>
      <w:r w:rsidR="00FF12AC">
        <w:rPr>
          <w:sz w:val="22"/>
        </w:rPr>
        <w:t xml:space="preserve">mindst én ansøgningsrunde forud. </w:t>
      </w:r>
      <w:r w:rsidRPr="001473DD">
        <w:rPr>
          <w:sz w:val="22"/>
        </w:rPr>
        <w:t>Derudover bør virksomheder have sikkerhed for, hvornår man kan forvente svar om tilsagn om støtte. Derfor bør der indføres en 4 ugers sagsbehandlingstid fra myndighederne til behandling af runde 2, som vurderes at være den fase med den største sagsbehandlingsbyrde fra myndighedernes side. For at sikre smidige og hurtige processer og flest mulige energibesparelser bør de 4 uger sagsbehandlingstid være gældende fra det tidspunkt ansøger har indsendt dokumentation i runde 2 og ikke først fra udløb af de 8 ugers tidsfrist.</w:t>
      </w:r>
    </w:p>
    <w:p w14:paraId="2BF57CB7" w14:textId="77777777" w:rsidR="00A86F72" w:rsidRPr="001473DD" w:rsidRDefault="00A86F72" w:rsidP="00A86F72">
      <w:pPr>
        <w:rPr>
          <w:sz w:val="22"/>
        </w:rPr>
      </w:pPr>
    </w:p>
    <w:p w14:paraId="03BE546C" w14:textId="77777777" w:rsidR="00A86F72" w:rsidRPr="001473DD" w:rsidRDefault="00A86F72" w:rsidP="00A86F72">
      <w:pPr>
        <w:rPr>
          <w:sz w:val="22"/>
        </w:rPr>
      </w:pPr>
      <w:r w:rsidRPr="001473DD">
        <w:rPr>
          <w:sz w:val="22"/>
          <w:u w:val="single"/>
        </w:rPr>
        <w:t>Dansk Energi</w:t>
      </w:r>
      <w:r w:rsidRPr="001473DD">
        <w:rPr>
          <w:sz w:val="22"/>
        </w:rPr>
        <w:t xml:space="preserve"> og </w:t>
      </w:r>
      <w:r w:rsidRPr="001473DD">
        <w:rPr>
          <w:sz w:val="22"/>
          <w:u w:val="single"/>
        </w:rPr>
        <w:t>Dansk Industri</w:t>
      </w:r>
      <w:r w:rsidRPr="001473DD">
        <w:rPr>
          <w:sz w:val="22"/>
        </w:rPr>
        <w:t xml:space="preserve"> mener, at det er relativt omfattende dokumentation, der forventes fremsendt til ansøgningens anden runde, og 8 uger er relativ kort tidsfrist, hvorfor der kan forventes en vis spidsbelastning hos rådgivere, leverandører mv. De bakker betinget op om tidsfristen på 8 uger, hvis der lægges op til en revision af fristen, og de første erfaringer med udbud viser det nødvendigt.</w:t>
      </w:r>
    </w:p>
    <w:p w14:paraId="1EAC0FFA" w14:textId="314B7BCE" w:rsidR="00A86F72" w:rsidRPr="001473DD" w:rsidRDefault="00A86F72" w:rsidP="00A86F72">
      <w:pPr>
        <w:rPr>
          <w:sz w:val="22"/>
        </w:rPr>
      </w:pPr>
    </w:p>
    <w:p w14:paraId="49EDB44C" w14:textId="145F8C5B" w:rsidR="00A86F72" w:rsidRPr="001473DD" w:rsidRDefault="00A86F72" w:rsidP="00A86F72">
      <w:pPr>
        <w:rPr>
          <w:sz w:val="22"/>
        </w:rPr>
      </w:pPr>
      <w:r w:rsidRPr="001473DD">
        <w:rPr>
          <w:sz w:val="22"/>
          <w:u w:val="single"/>
        </w:rPr>
        <w:t>TEKNIQ Arbejdsgiverne</w:t>
      </w:r>
      <w:r w:rsidRPr="001473DD">
        <w:rPr>
          <w:sz w:val="22"/>
        </w:rPr>
        <w:t xml:space="preserve"> bemærker, at ansøgningsfrister bør udmeldes så tidligt som muligt og gerne efter et fast mønster, så virksomhederne har de bedste forudsætninger for at være forberedte. En ansøgningsfrist på 4 uger i § 11,</w:t>
      </w:r>
      <w:r w:rsidR="00FF12AC">
        <w:rPr>
          <w:sz w:val="22"/>
        </w:rPr>
        <w:t xml:space="preserve"> </w:t>
      </w:r>
      <w:r w:rsidRPr="001473DD">
        <w:rPr>
          <w:sz w:val="22"/>
        </w:rPr>
        <w:t>stk</w:t>
      </w:r>
      <w:r w:rsidR="00FF12AC">
        <w:rPr>
          <w:sz w:val="22"/>
        </w:rPr>
        <w:t>.</w:t>
      </w:r>
      <w:r w:rsidRPr="001473DD">
        <w:rPr>
          <w:sz w:val="22"/>
        </w:rPr>
        <w:t xml:space="preserve"> 2, vurderes som meget kort.</w:t>
      </w:r>
    </w:p>
    <w:p w14:paraId="3F2AB694" w14:textId="77777777" w:rsidR="00A86F72" w:rsidRPr="001473DD" w:rsidRDefault="00A86F72" w:rsidP="00A86F72">
      <w:pPr>
        <w:rPr>
          <w:sz w:val="22"/>
        </w:rPr>
      </w:pPr>
    </w:p>
    <w:p w14:paraId="64AB25FA" w14:textId="77777777" w:rsidR="00A86F72" w:rsidRPr="001473DD" w:rsidRDefault="00A86F72" w:rsidP="00A86F72">
      <w:pPr>
        <w:rPr>
          <w:b/>
          <w:i/>
          <w:sz w:val="22"/>
          <w:u w:val="single"/>
        </w:rPr>
      </w:pPr>
      <w:r w:rsidRPr="001473DD">
        <w:rPr>
          <w:b/>
          <w:i/>
          <w:sz w:val="22"/>
          <w:u w:val="single"/>
        </w:rPr>
        <w:t>Ministeriets bemærkninger:</w:t>
      </w:r>
    </w:p>
    <w:p w14:paraId="3BB53D84" w14:textId="48BEB519" w:rsidR="00F56011" w:rsidRPr="001473DD" w:rsidRDefault="0096132F" w:rsidP="001D3C56">
      <w:pPr>
        <w:rPr>
          <w:rFonts w:cs="Arial"/>
          <w:i/>
          <w:sz w:val="22"/>
        </w:rPr>
      </w:pPr>
      <w:r w:rsidRPr="001473DD">
        <w:rPr>
          <w:rFonts w:cs="Arial"/>
          <w:i/>
          <w:sz w:val="22"/>
        </w:rPr>
        <w:t xml:space="preserve">Klima-, Energi- og Forsyningsministeriet </w:t>
      </w:r>
      <w:r w:rsidR="00021BD0" w:rsidRPr="001473DD">
        <w:rPr>
          <w:rFonts w:cs="Arial"/>
          <w:i/>
          <w:sz w:val="22"/>
        </w:rPr>
        <w:t>kvitterer for modtagelsen af høringssvarene</w:t>
      </w:r>
      <w:r w:rsidR="00FF12AC">
        <w:rPr>
          <w:rFonts w:cs="Arial"/>
          <w:i/>
          <w:sz w:val="22"/>
        </w:rPr>
        <w:t xml:space="preserve"> og vil tage bemærkningerne til efterretning</w:t>
      </w:r>
      <w:r w:rsidR="00021BD0" w:rsidRPr="001473DD">
        <w:rPr>
          <w:rFonts w:cs="Arial"/>
          <w:i/>
          <w:sz w:val="22"/>
        </w:rPr>
        <w:t>. Endvidere bemærker ministeriet, at ansøgningsfristen ikke er 4 uge</w:t>
      </w:r>
      <w:r w:rsidR="00986165" w:rsidRPr="001473DD">
        <w:rPr>
          <w:rFonts w:cs="Arial"/>
          <w:i/>
          <w:sz w:val="22"/>
        </w:rPr>
        <w:t>r</w:t>
      </w:r>
      <w:r w:rsidR="00021BD0" w:rsidRPr="001473DD">
        <w:rPr>
          <w:rFonts w:cs="Arial"/>
          <w:i/>
          <w:sz w:val="22"/>
        </w:rPr>
        <w:t>, men at §11 stk. 2 omhandler offentliggørelsen af ansøgningstidspunktet.</w:t>
      </w:r>
    </w:p>
    <w:p w14:paraId="4E71307E" w14:textId="77777777" w:rsidR="00986165" w:rsidRPr="001473DD" w:rsidRDefault="00986165" w:rsidP="001D3C56">
      <w:pPr>
        <w:rPr>
          <w:rFonts w:cs="Arial"/>
          <w:i/>
          <w:sz w:val="22"/>
        </w:rPr>
      </w:pPr>
    </w:p>
    <w:p w14:paraId="140DAAAF" w14:textId="77777777" w:rsidR="0096132F" w:rsidRPr="001473DD" w:rsidRDefault="0096132F" w:rsidP="001D3C56">
      <w:pPr>
        <w:rPr>
          <w:rFonts w:cstheme="minorHAnsi"/>
          <w:sz w:val="22"/>
        </w:rPr>
      </w:pPr>
    </w:p>
    <w:p w14:paraId="0099A14E" w14:textId="77777777" w:rsidR="00F66870" w:rsidRPr="001473DD" w:rsidRDefault="00F66870" w:rsidP="00A86F72">
      <w:pPr>
        <w:rPr>
          <w:b/>
          <w:sz w:val="22"/>
        </w:rPr>
      </w:pPr>
      <w:bookmarkStart w:id="17" w:name="_Toc40705919"/>
      <w:r w:rsidRPr="001473DD">
        <w:rPr>
          <w:b/>
          <w:sz w:val="22"/>
        </w:rPr>
        <w:t>Kontrol</w:t>
      </w:r>
      <w:bookmarkEnd w:id="17"/>
    </w:p>
    <w:p w14:paraId="20CDE753" w14:textId="77777777" w:rsidR="00F66870" w:rsidRPr="001473DD" w:rsidRDefault="00F66870" w:rsidP="00F66870">
      <w:pPr>
        <w:rPr>
          <w:rFonts w:cstheme="minorHAnsi"/>
          <w:sz w:val="22"/>
        </w:rPr>
      </w:pPr>
      <w:r w:rsidRPr="001473DD">
        <w:rPr>
          <w:rFonts w:cstheme="minorHAnsi"/>
          <w:sz w:val="22"/>
          <w:u w:val="single"/>
        </w:rPr>
        <w:t>Dansk Energi</w:t>
      </w:r>
      <w:r w:rsidRPr="001473DD">
        <w:rPr>
          <w:rFonts w:cstheme="minorHAnsi"/>
          <w:sz w:val="22"/>
        </w:rPr>
        <w:t xml:space="preserve"> er indforstået med, at en kontrolindsats kræver adgang til information om tilskudsmodtageren. Dog vil Dansk Energi understrege, at kontrol med tilskudsmodtageren er en myndighedsopgave, som skal foretages af myndighederne og ikke af eksterne konsulenter. I gennemgang af materiale relateret til den tilskudsberettigede sag, vil kontrollanten have adgang til virksomhedsfølsomme oplysninger.</w:t>
      </w:r>
    </w:p>
    <w:p w14:paraId="16301601" w14:textId="77777777" w:rsidR="00F66870" w:rsidRPr="001473DD" w:rsidRDefault="00F66870" w:rsidP="00F66870">
      <w:pPr>
        <w:rPr>
          <w:rFonts w:cstheme="minorHAnsi"/>
          <w:sz w:val="22"/>
        </w:rPr>
      </w:pPr>
    </w:p>
    <w:p w14:paraId="4DC8DAF3" w14:textId="3636B5C5" w:rsidR="00F66870" w:rsidRPr="001473DD" w:rsidRDefault="00F66870" w:rsidP="00F66870">
      <w:pPr>
        <w:rPr>
          <w:rFonts w:cstheme="minorHAnsi"/>
          <w:sz w:val="22"/>
        </w:rPr>
      </w:pPr>
      <w:r w:rsidRPr="001473DD">
        <w:rPr>
          <w:rFonts w:cstheme="minorHAnsi"/>
          <w:sz w:val="22"/>
          <w:u w:val="single"/>
        </w:rPr>
        <w:t>Foreningen af Rådgivende Ingeniører</w:t>
      </w:r>
      <w:r w:rsidRPr="001473DD">
        <w:rPr>
          <w:rFonts w:cstheme="minorHAnsi"/>
          <w:sz w:val="22"/>
        </w:rPr>
        <w:t xml:space="preserve"> bemærker, at delegeringsretten til kontrolopgaven </w:t>
      </w:r>
      <w:r w:rsidR="001334E2" w:rsidRPr="001473DD">
        <w:rPr>
          <w:rFonts w:cstheme="minorHAnsi"/>
          <w:sz w:val="22"/>
        </w:rPr>
        <w:t xml:space="preserve">alene </w:t>
      </w:r>
      <w:r w:rsidRPr="001473DD">
        <w:rPr>
          <w:rFonts w:cstheme="minorHAnsi"/>
          <w:sz w:val="22"/>
        </w:rPr>
        <w:t>synes at være til en fysisk person.</w:t>
      </w:r>
    </w:p>
    <w:p w14:paraId="2D846F69" w14:textId="77777777" w:rsidR="00F66870" w:rsidRPr="001473DD" w:rsidRDefault="00F66870" w:rsidP="00F66870">
      <w:pPr>
        <w:rPr>
          <w:rFonts w:cstheme="minorHAnsi"/>
          <w:sz w:val="22"/>
        </w:rPr>
      </w:pPr>
      <w:r w:rsidRPr="001473DD">
        <w:rPr>
          <w:rFonts w:cstheme="minorHAnsi"/>
          <w:sz w:val="22"/>
        </w:rPr>
        <w:t>FRI anbefaler, at delegeringsretten kan overdrages til en juriske person.</w:t>
      </w:r>
    </w:p>
    <w:p w14:paraId="4CB2EA1B" w14:textId="77777777" w:rsidR="00F66870" w:rsidRPr="001473DD" w:rsidRDefault="00F66870" w:rsidP="00F66870">
      <w:pPr>
        <w:rPr>
          <w:rFonts w:cstheme="minorHAnsi"/>
          <w:sz w:val="22"/>
        </w:rPr>
      </w:pPr>
    </w:p>
    <w:p w14:paraId="06CBFB48" w14:textId="77777777" w:rsidR="00F66870" w:rsidRPr="001473DD" w:rsidRDefault="00F66870" w:rsidP="00F66870">
      <w:pPr>
        <w:rPr>
          <w:rFonts w:cstheme="minorHAnsi"/>
          <w:sz w:val="22"/>
        </w:rPr>
      </w:pPr>
      <w:r w:rsidRPr="001473DD">
        <w:rPr>
          <w:sz w:val="22"/>
          <w:u w:val="single"/>
        </w:rPr>
        <w:lastRenderedPageBreak/>
        <w:t>SYNERGI</w:t>
      </w:r>
      <w:r w:rsidRPr="001473DD">
        <w:rPr>
          <w:sz w:val="22"/>
        </w:rPr>
        <w:t xml:space="preserve"> bemærker, at der bør føres grundig kontrol med aktører i bud- og implementeringsfasen samt (økonomisk) sanktionering af aktører, der indberetter falske oplysninger om energibesparelsespotentiale med videre. I tillæg til at forhindre snyd vil kontrol og sanktionering gøre det muligt at nedbringe ressourceforbruget og omfanget af ansøgningen for den enkelte slutbruger.</w:t>
      </w:r>
    </w:p>
    <w:p w14:paraId="5A73BB18" w14:textId="77777777" w:rsidR="00F66870" w:rsidRPr="001473DD" w:rsidRDefault="00F66870" w:rsidP="00F66870">
      <w:pPr>
        <w:rPr>
          <w:i/>
          <w:sz w:val="22"/>
          <w:u w:val="single"/>
        </w:rPr>
      </w:pPr>
    </w:p>
    <w:p w14:paraId="24DD5B91" w14:textId="0B43AF29" w:rsidR="00F66870" w:rsidRPr="001473DD" w:rsidRDefault="00F66870" w:rsidP="00F66870">
      <w:pPr>
        <w:rPr>
          <w:b/>
          <w:i/>
          <w:sz w:val="22"/>
          <w:u w:val="single"/>
        </w:rPr>
      </w:pPr>
      <w:r w:rsidRPr="001473DD">
        <w:rPr>
          <w:b/>
          <w:i/>
          <w:sz w:val="22"/>
          <w:u w:val="single"/>
        </w:rPr>
        <w:t>Ministeriets bemærkninger:</w:t>
      </w:r>
    </w:p>
    <w:p w14:paraId="5839E882" w14:textId="7E6B986F" w:rsidR="00F57276" w:rsidRDefault="0096132F" w:rsidP="00F66870">
      <w:pPr>
        <w:rPr>
          <w:rFonts w:cs="Arial"/>
          <w:i/>
          <w:sz w:val="22"/>
        </w:rPr>
      </w:pPr>
      <w:r w:rsidRPr="001473DD">
        <w:rPr>
          <w:rFonts w:cs="Arial"/>
          <w:i/>
          <w:sz w:val="22"/>
        </w:rPr>
        <w:t xml:space="preserve">Klima-, Energi- og Forsyningsministeriet </w:t>
      </w:r>
      <w:r w:rsidR="00D823B5" w:rsidRPr="001473DD">
        <w:rPr>
          <w:rFonts w:cs="Arial"/>
          <w:i/>
          <w:sz w:val="22"/>
        </w:rPr>
        <w:t>kvitterer for modtagelsen af hørringssvarene.</w:t>
      </w:r>
    </w:p>
    <w:p w14:paraId="3BCEADB5" w14:textId="77777777" w:rsidR="00F57276" w:rsidRPr="00F57276" w:rsidRDefault="00F57276" w:rsidP="00F57276">
      <w:pPr>
        <w:rPr>
          <w:rFonts w:cs="Arial"/>
          <w:i/>
          <w:sz w:val="22"/>
        </w:rPr>
      </w:pPr>
      <w:r w:rsidRPr="00F57276">
        <w:rPr>
          <w:rFonts w:cs="Arial"/>
          <w:i/>
          <w:sz w:val="22"/>
        </w:rPr>
        <w:t>Med hensyn til høringssvar fra Foreningen af Rådgivende Ingeniører, FRI,</w:t>
      </w:r>
    </w:p>
    <w:p w14:paraId="3EA3654D" w14:textId="02EAD213" w:rsidR="0096132F" w:rsidRPr="001473DD" w:rsidRDefault="00F57276" w:rsidP="00F57276">
      <w:pPr>
        <w:rPr>
          <w:b/>
          <w:i/>
          <w:sz w:val="22"/>
          <w:u w:val="single"/>
        </w:rPr>
      </w:pPr>
      <w:r w:rsidRPr="00F57276">
        <w:rPr>
          <w:rFonts w:cs="Arial"/>
          <w:i/>
          <w:sz w:val="22"/>
        </w:rPr>
        <w:t xml:space="preserve">om delegationsretten ift. kontrolopgaven bemærkes, at bestemmelsen vil blive præciseret, så det tydeligt fremgår, at delegationen omfatter den samme kreds, der er beskrevet i § 19 i lov om fremme af besparelser i energiforbruget. Det vil sige, at ministeren kan bemyndige en under ministeriet oprettet institution, en anden myndighed, en virksomhed eller en anden sagkyndig institution eller organisation til af føre kontrol inden for det meget begrænsede område, der er afgrænset i loven. </w:t>
      </w:r>
      <w:r w:rsidR="00023F5D">
        <w:rPr>
          <w:rFonts w:cs="Arial"/>
          <w:i/>
          <w:sz w:val="22"/>
        </w:rPr>
        <w:t xml:space="preserve"> Endvidere bemærkes, at en delegeret kontroladgang vil være under ministeriets ansvar og instruksadgang.</w:t>
      </w:r>
    </w:p>
    <w:p w14:paraId="109FCB95" w14:textId="77777777" w:rsidR="00A86F72" w:rsidRPr="001473DD" w:rsidRDefault="00A86F72" w:rsidP="00F66870">
      <w:pPr>
        <w:rPr>
          <w:i/>
          <w:sz w:val="22"/>
          <w:u w:val="single"/>
        </w:rPr>
      </w:pPr>
    </w:p>
    <w:p w14:paraId="5B0E86F7" w14:textId="77777777" w:rsidR="00F66870" w:rsidRPr="001473DD" w:rsidRDefault="00F66870" w:rsidP="00F66870">
      <w:pPr>
        <w:rPr>
          <w:rFonts w:cstheme="minorHAnsi"/>
          <w:sz w:val="22"/>
        </w:rPr>
      </w:pPr>
    </w:p>
    <w:p w14:paraId="57308F88" w14:textId="77777777" w:rsidR="00F66870" w:rsidRPr="001473DD" w:rsidRDefault="00F66870" w:rsidP="00A86F72">
      <w:pPr>
        <w:rPr>
          <w:b/>
          <w:sz w:val="22"/>
        </w:rPr>
      </w:pPr>
      <w:bookmarkStart w:id="18" w:name="_Toc40705920"/>
      <w:r w:rsidRPr="001473DD">
        <w:rPr>
          <w:b/>
          <w:sz w:val="22"/>
        </w:rPr>
        <w:t>Ubrugte midler</w:t>
      </w:r>
      <w:bookmarkEnd w:id="18"/>
    </w:p>
    <w:p w14:paraId="7CFF2E18" w14:textId="135138DD" w:rsidR="00F66870" w:rsidRPr="001473DD" w:rsidRDefault="00F66870" w:rsidP="00F66870">
      <w:pPr>
        <w:rPr>
          <w:rFonts w:cs="Arial"/>
          <w:color w:val="000000"/>
          <w:sz w:val="22"/>
        </w:rPr>
      </w:pPr>
      <w:r w:rsidRPr="001473DD">
        <w:rPr>
          <w:rFonts w:cs="Arial"/>
          <w:color w:val="000000"/>
          <w:sz w:val="22"/>
          <w:u w:val="single"/>
        </w:rPr>
        <w:t>Dansk Energi, Dansk Industri og TEKNIQ Arbejdsgiverne</w:t>
      </w:r>
      <w:r w:rsidRPr="001473DD">
        <w:rPr>
          <w:rFonts w:cs="Arial"/>
          <w:color w:val="000000"/>
          <w:sz w:val="22"/>
        </w:rPr>
        <w:t xml:space="preserve"> bemærker</w:t>
      </w:r>
      <w:r w:rsidR="00023F5D">
        <w:rPr>
          <w:rFonts w:cs="Arial"/>
          <w:color w:val="000000"/>
          <w:sz w:val="22"/>
        </w:rPr>
        <w:t>,</w:t>
      </w:r>
      <w:r w:rsidRPr="001473DD">
        <w:rPr>
          <w:rFonts w:cs="Arial"/>
          <w:color w:val="000000"/>
          <w:sz w:val="22"/>
        </w:rPr>
        <w:t xml:space="preserve"> at der skal tages stilling til</w:t>
      </w:r>
      <w:r w:rsidR="00023F5D">
        <w:rPr>
          <w:rFonts w:cs="Arial"/>
          <w:color w:val="000000"/>
          <w:sz w:val="22"/>
        </w:rPr>
        <w:t>,</w:t>
      </w:r>
      <w:r w:rsidRPr="001473DD">
        <w:rPr>
          <w:rFonts w:cs="Arial"/>
          <w:color w:val="000000"/>
          <w:sz w:val="22"/>
        </w:rPr>
        <w:t xml:space="preserve"> hvad der sker med ubrugte midler</w:t>
      </w:r>
      <w:r w:rsidR="00023F5D">
        <w:rPr>
          <w:rFonts w:cs="Arial"/>
          <w:color w:val="000000"/>
          <w:sz w:val="22"/>
        </w:rPr>
        <w:t>.</w:t>
      </w:r>
      <w:r w:rsidRPr="001473DD">
        <w:rPr>
          <w:rFonts w:cs="Arial"/>
          <w:color w:val="000000"/>
          <w:sz w:val="22"/>
        </w:rPr>
        <w:t xml:space="preserve"> </w:t>
      </w:r>
    </w:p>
    <w:p w14:paraId="649838D1" w14:textId="77777777" w:rsidR="00F66870" w:rsidRPr="001473DD" w:rsidRDefault="00F66870" w:rsidP="00F66870">
      <w:pPr>
        <w:rPr>
          <w:rFonts w:cs="Arial"/>
          <w:color w:val="000000"/>
          <w:sz w:val="22"/>
          <w:u w:val="single"/>
        </w:rPr>
      </w:pPr>
    </w:p>
    <w:p w14:paraId="3EC88B8F" w14:textId="77777777" w:rsidR="00F66870" w:rsidRPr="001473DD" w:rsidRDefault="00F66870" w:rsidP="00F66870">
      <w:pPr>
        <w:rPr>
          <w:sz w:val="22"/>
        </w:rPr>
      </w:pPr>
      <w:r w:rsidRPr="001473DD">
        <w:rPr>
          <w:rFonts w:cs="Arial"/>
          <w:color w:val="000000"/>
          <w:sz w:val="22"/>
          <w:u w:val="single"/>
        </w:rPr>
        <w:t>Dansk Energi</w:t>
      </w:r>
      <w:r w:rsidRPr="001473DD">
        <w:rPr>
          <w:rFonts w:cs="Arial"/>
          <w:color w:val="000000"/>
          <w:sz w:val="22"/>
        </w:rPr>
        <w:t xml:space="preserve"> påpeger, at man skal være opmærksom på det tidsmæssige perspektiv, så man ikke risikerer at projektet bliver udskudt eller i værste fald ikke gennemført.</w:t>
      </w:r>
      <w:r w:rsidRPr="001473DD">
        <w:rPr>
          <w:sz w:val="22"/>
        </w:rPr>
        <w:t xml:space="preserve"> </w:t>
      </w:r>
    </w:p>
    <w:p w14:paraId="2E9EBA6D" w14:textId="77777777" w:rsidR="00F66870" w:rsidRPr="001473DD" w:rsidRDefault="00F66870" w:rsidP="00F66870">
      <w:pPr>
        <w:rPr>
          <w:sz w:val="22"/>
        </w:rPr>
      </w:pPr>
    </w:p>
    <w:p w14:paraId="1A62BA65" w14:textId="77777777" w:rsidR="00F66870" w:rsidRPr="001473DD" w:rsidRDefault="00F66870" w:rsidP="00F66870">
      <w:pPr>
        <w:rPr>
          <w:rFonts w:cs="Arial"/>
          <w:color w:val="000000"/>
          <w:sz w:val="22"/>
        </w:rPr>
      </w:pPr>
      <w:r w:rsidRPr="001473DD">
        <w:rPr>
          <w:rFonts w:cs="Arial"/>
          <w:color w:val="000000"/>
          <w:sz w:val="22"/>
          <w:u w:val="single"/>
        </w:rPr>
        <w:t>Dansk Industri</w:t>
      </w:r>
      <w:r w:rsidRPr="001473DD">
        <w:rPr>
          <w:rFonts w:cs="Arial"/>
          <w:color w:val="000000"/>
          <w:sz w:val="22"/>
        </w:rPr>
        <w:t xml:space="preserve"> anbefaler, at midlerne enten overføres til året efter eller uddeles til virksomheder, der tidligere har modtaget afslag på tilsagn gennem en nye ansøgnings-runde, således at alle afsatte midler finder anvendelse til </w:t>
      </w:r>
      <w:proofErr w:type="spellStart"/>
      <w:r w:rsidRPr="001473DD">
        <w:rPr>
          <w:rFonts w:cs="Arial"/>
          <w:color w:val="000000"/>
          <w:sz w:val="22"/>
        </w:rPr>
        <w:t>energispareformål</w:t>
      </w:r>
      <w:proofErr w:type="spellEnd"/>
      <w:r w:rsidRPr="001473DD">
        <w:rPr>
          <w:rFonts w:cs="Arial"/>
          <w:color w:val="000000"/>
          <w:sz w:val="22"/>
        </w:rPr>
        <w:t>.</w:t>
      </w:r>
    </w:p>
    <w:p w14:paraId="58958384" w14:textId="77777777" w:rsidR="00F66870" w:rsidRPr="001473DD" w:rsidRDefault="00F66870" w:rsidP="00F66870">
      <w:pPr>
        <w:rPr>
          <w:rFonts w:cs="Arial"/>
          <w:color w:val="000000"/>
          <w:sz w:val="22"/>
        </w:rPr>
      </w:pPr>
    </w:p>
    <w:p w14:paraId="7AE33C16" w14:textId="77777777" w:rsidR="00F66870" w:rsidRPr="001473DD" w:rsidRDefault="00F66870" w:rsidP="00F66870">
      <w:pPr>
        <w:rPr>
          <w:rFonts w:cs="Arial"/>
          <w:color w:val="000000"/>
          <w:sz w:val="22"/>
        </w:rPr>
      </w:pPr>
      <w:r w:rsidRPr="001473DD">
        <w:rPr>
          <w:rFonts w:cs="Arial"/>
          <w:color w:val="000000"/>
          <w:sz w:val="22"/>
          <w:u w:val="single"/>
        </w:rPr>
        <w:t>SYNERGI</w:t>
      </w:r>
      <w:r w:rsidRPr="001473DD">
        <w:rPr>
          <w:rFonts w:cs="Arial"/>
          <w:color w:val="000000"/>
          <w:sz w:val="22"/>
        </w:rPr>
        <w:t xml:space="preserve"> anbefaler, at ubrugte midler overføres til efterfølgende år.</w:t>
      </w:r>
    </w:p>
    <w:p w14:paraId="7E4EB3D1" w14:textId="77777777" w:rsidR="0096132F" w:rsidRPr="001473DD" w:rsidRDefault="0096132F" w:rsidP="0096132F">
      <w:pPr>
        <w:rPr>
          <w:b/>
          <w:i/>
          <w:sz w:val="22"/>
          <w:u w:val="single"/>
        </w:rPr>
      </w:pPr>
    </w:p>
    <w:p w14:paraId="74323FA3" w14:textId="4298E324" w:rsidR="0096132F" w:rsidRPr="001473DD" w:rsidRDefault="0096132F" w:rsidP="0096132F">
      <w:pPr>
        <w:rPr>
          <w:b/>
          <w:i/>
          <w:sz w:val="22"/>
          <w:u w:val="single"/>
        </w:rPr>
      </w:pPr>
      <w:r w:rsidRPr="001473DD">
        <w:rPr>
          <w:b/>
          <w:i/>
          <w:sz w:val="22"/>
          <w:u w:val="single"/>
        </w:rPr>
        <w:t>Ministeriets bemærkninger:</w:t>
      </w:r>
    </w:p>
    <w:p w14:paraId="46C03D29" w14:textId="2BDDED09" w:rsidR="0096132F" w:rsidRPr="001473DD" w:rsidRDefault="0096132F" w:rsidP="0096132F">
      <w:pPr>
        <w:rPr>
          <w:b/>
          <w:i/>
          <w:sz w:val="22"/>
          <w:u w:val="single"/>
        </w:rPr>
      </w:pPr>
      <w:r w:rsidRPr="001473DD">
        <w:rPr>
          <w:rFonts w:cs="Arial"/>
          <w:i/>
          <w:sz w:val="22"/>
        </w:rPr>
        <w:t xml:space="preserve">Klima-, Energi- og Forsyningsministeriet </w:t>
      </w:r>
      <w:r w:rsidR="00D823B5" w:rsidRPr="001473DD">
        <w:rPr>
          <w:rFonts w:cs="Arial"/>
          <w:i/>
          <w:sz w:val="22"/>
        </w:rPr>
        <w:t>kvittere</w:t>
      </w:r>
      <w:r w:rsidR="00986165" w:rsidRPr="001473DD">
        <w:rPr>
          <w:rFonts w:cs="Arial"/>
          <w:i/>
          <w:sz w:val="22"/>
        </w:rPr>
        <w:t>r</w:t>
      </w:r>
      <w:r w:rsidR="00D823B5" w:rsidRPr="001473DD">
        <w:rPr>
          <w:rFonts w:cs="Arial"/>
          <w:i/>
          <w:sz w:val="22"/>
        </w:rPr>
        <w:t xml:space="preserve"> for modtagelsen af hørringssvarene.</w:t>
      </w:r>
      <w:r w:rsidR="00D44EAA">
        <w:rPr>
          <w:rFonts w:cs="Arial"/>
          <w:i/>
          <w:sz w:val="22"/>
        </w:rPr>
        <w:t xml:space="preserve"> Det bemærkes, at </w:t>
      </w:r>
      <w:r w:rsidR="002B31D7">
        <w:rPr>
          <w:rFonts w:cs="Arial"/>
          <w:i/>
          <w:sz w:val="22"/>
        </w:rPr>
        <w:t xml:space="preserve">de almindelige </w:t>
      </w:r>
      <w:r w:rsidR="00B3183B">
        <w:rPr>
          <w:rFonts w:cs="Arial"/>
          <w:i/>
          <w:sz w:val="22"/>
        </w:rPr>
        <w:t xml:space="preserve">budget- og bevillingsregler for staten vil være gældende, herunder at </w:t>
      </w:r>
      <w:r w:rsidR="00D44EAA">
        <w:rPr>
          <w:rFonts w:cs="Arial"/>
          <w:i/>
          <w:sz w:val="22"/>
        </w:rPr>
        <w:t>ubrugte midler som udgangspunkt overføres til efterfølgende år</w:t>
      </w:r>
      <w:r w:rsidR="00B3183B">
        <w:rPr>
          <w:rFonts w:cs="Arial"/>
          <w:i/>
          <w:sz w:val="22"/>
        </w:rPr>
        <w:t>, men at en anvendelse af disse midler dog må forventes at forudsætte ledigt udgiftsloft.</w:t>
      </w:r>
      <w:r w:rsidR="002B31D7">
        <w:rPr>
          <w:rFonts w:cs="Arial"/>
          <w:i/>
          <w:sz w:val="22"/>
        </w:rPr>
        <w:t xml:space="preserve"> </w:t>
      </w:r>
    </w:p>
    <w:p w14:paraId="061D4076" w14:textId="12A778D8" w:rsidR="00251DBE" w:rsidRPr="001473DD" w:rsidRDefault="00251DBE">
      <w:pPr>
        <w:rPr>
          <w:rFonts w:cstheme="minorHAnsi"/>
          <w:sz w:val="22"/>
        </w:rPr>
      </w:pPr>
    </w:p>
    <w:p w14:paraId="71EE3A66" w14:textId="77777777" w:rsidR="00F66870" w:rsidRPr="001473DD" w:rsidRDefault="00F66870" w:rsidP="00A86F72">
      <w:pPr>
        <w:rPr>
          <w:b/>
          <w:sz w:val="22"/>
        </w:rPr>
      </w:pPr>
      <w:bookmarkStart w:id="19" w:name="_Toc40705921"/>
      <w:r w:rsidRPr="001473DD">
        <w:rPr>
          <w:b/>
          <w:sz w:val="22"/>
        </w:rPr>
        <w:lastRenderedPageBreak/>
        <w:t>Forslag</w:t>
      </w:r>
      <w:bookmarkEnd w:id="19"/>
    </w:p>
    <w:p w14:paraId="5B4355C9" w14:textId="77777777" w:rsidR="00F66870" w:rsidRPr="001473DD" w:rsidRDefault="00F66870" w:rsidP="00F66870">
      <w:pPr>
        <w:rPr>
          <w:rFonts w:cstheme="minorHAnsi"/>
          <w:sz w:val="22"/>
        </w:rPr>
      </w:pPr>
      <w:r w:rsidRPr="001473DD">
        <w:rPr>
          <w:rFonts w:cstheme="minorHAnsi"/>
          <w:sz w:val="22"/>
          <w:u w:val="single"/>
        </w:rPr>
        <w:t>Dansk Energi</w:t>
      </w:r>
      <w:r w:rsidRPr="001473DD">
        <w:rPr>
          <w:rFonts w:cstheme="minorHAnsi"/>
          <w:sz w:val="22"/>
        </w:rPr>
        <w:t xml:space="preserve"> ser en række udfordringer med en direkte tilskudsmodel. Med tidligere tilskudspuljer har der været vanskeligheder forbundet med at få afløb for de afsatte midler, hvorved der ikke opnås den forventede reduktion af energiforbruget og drivhusgasser. Samtidig opnås der ikke med tilskudsmodellen sikkerhed for, at besparelserne kommer i hus, som man ville have set med en model med aktører, der forpligtes at levere energibesparelser.</w:t>
      </w:r>
    </w:p>
    <w:p w14:paraId="413EEE3D" w14:textId="77777777" w:rsidR="00F66870" w:rsidRPr="001473DD" w:rsidRDefault="00F66870" w:rsidP="00F66870">
      <w:pPr>
        <w:rPr>
          <w:rFonts w:cstheme="minorHAnsi"/>
          <w:sz w:val="22"/>
        </w:rPr>
      </w:pPr>
    </w:p>
    <w:p w14:paraId="26467B6B" w14:textId="77777777" w:rsidR="00F66870" w:rsidRPr="001473DD" w:rsidRDefault="00F66870" w:rsidP="00F66870">
      <w:pPr>
        <w:rPr>
          <w:sz w:val="22"/>
        </w:rPr>
      </w:pPr>
    </w:p>
    <w:p w14:paraId="06554FAB" w14:textId="6BD87EAE" w:rsidR="00CA2854" w:rsidRDefault="00F66870" w:rsidP="00F66870">
      <w:pPr>
        <w:rPr>
          <w:sz w:val="22"/>
        </w:rPr>
      </w:pPr>
      <w:r w:rsidRPr="001473DD">
        <w:rPr>
          <w:sz w:val="22"/>
          <w:u w:val="single"/>
        </w:rPr>
        <w:t>Foreningen af Rådgivende Ingeniører</w:t>
      </w:r>
      <w:r w:rsidRPr="001473DD">
        <w:rPr>
          <w:sz w:val="22"/>
        </w:rPr>
        <w:t xml:space="preserve"> anbefaler, at bekendtgørelsen indeholder en bestemmelse om, at styrelsen nedsætter et teknisk </w:t>
      </w:r>
      <w:proofErr w:type="spellStart"/>
      <w:r w:rsidRPr="001473DD">
        <w:rPr>
          <w:sz w:val="22"/>
        </w:rPr>
        <w:t>advisory</w:t>
      </w:r>
      <w:proofErr w:type="spellEnd"/>
      <w:r w:rsidRPr="001473DD">
        <w:rPr>
          <w:sz w:val="22"/>
        </w:rPr>
        <w:t xml:space="preserve"> </w:t>
      </w:r>
      <w:proofErr w:type="spellStart"/>
      <w:r w:rsidRPr="001473DD">
        <w:rPr>
          <w:sz w:val="22"/>
        </w:rPr>
        <w:t>board</w:t>
      </w:r>
      <w:proofErr w:type="spellEnd"/>
      <w:r w:rsidRPr="001473DD">
        <w:rPr>
          <w:sz w:val="22"/>
        </w:rPr>
        <w:t xml:space="preserve">/arbejdsgruppe, som bistår styrelsen med mere overordnede tekniske principper. Der foreslås en enhed, som skal udarbejde de tekniske principper </w:t>
      </w:r>
      <w:proofErr w:type="spellStart"/>
      <w:r w:rsidRPr="001473DD">
        <w:rPr>
          <w:sz w:val="22"/>
        </w:rPr>
        <w:t>o.lign</w:t>
      </w:r>
      <w:proofErr w:type="spellEnd"/>
      <w:r w:rsidRPr="001473DD">
        <w:rPr>
          <w:sz w:val="22"/>
        </w:rPr>
        <w:t>. Enheden skal alene kunne bistå styrelsen med en drøftelse af uhensigtsmæssigheder i ordningen. Det foreslås</w:t>
      </w:r>
      <w:r w:rsidR="00023F5D">
        <w:rPr>
          <w:sz w:val="22"/>
        </w:rPr>
        <w:t>,</w:t>
      </w:r>
      <w:r w:rsidRPr="001473DD">
        <w:rPr>
          <w:sz w:val="22"/>
        </w:rPr>
        <w:t xml:space="preserve"> at medlemmerne har forskellige interesser i ord</w:t>
      </w:r>
      <w:r w:rsidR="00CA2854">
        <w:rPr>
          <w:sz w:val="22"/>
        </w:rPr>
        <w:t>ningen.</w:t>
      </w:r>
    </w:p>
    <w:p w14:paraId="6B80C66B" w14:textId="77777777" w:rsidR="00B3183B" w:rsidRDefault="00B3183B" w:rsidP="00F66870">
      <w:pPr>
        <w:rPr>
          <w:sz w:val="22"/>
        </w:rPr>
      </w:pPr>
    </w:p>
    <w:p w14:paraId="1804940D" w14:textId="7BDB4CB4" w:rsidR="00F66870" w:rsidRPr="001473DD" w:rsidRDefault="00F66870" w:rsidP="00F66870">
      <w:pPr>
        <w:rPr>
          <w:sz w:val="22"/>
        </w:rPr>
      </w:pPr>
      <w:r w:rsidRPr="001473DD">
        <w:rPr>
          <w:sz w:val="22"/>
        </w:rPr>
        <w:t xml:space="preserve">Som tidligere nævnt er FRI positiv over, at administrationen af ordningen foretages af </w:t>
      </w:r>
      <w:r w:rsidR="00023F5D">
        <w:rPr>
          <w:sz w:val="22"/>
        </w:rPr>
        <w:t>E</w:t>
      </w:r>
      <w:r w:rsidRPr="001473DD">
        <w:rPr>
          <w:sz w:val="22"/>
        </w:rPr>
        <w:t>nergistyrelsen. FRI mener imidlertid, at styrelsen bør kunne bemyndige eksterne uafhængige juridiske personer til at bistå med vurdering af, hvorvidt et projekt er støtteberettiget. Det kan ikke undgås, at der vil være områder, som nødvendiggør dyb specialiseret viden, som styrelsen ikke er i besiddelse af.</w:t>
      </w:r>
    </w:p>
    <w:p w14:paraId="02B083AE" w14:textId="77777777" w:rsidR="00F66870" w:rsidRPr="001473DD" w:rsidRDefault="00F66870" w:rsidP="00F66870">
      <w:pPr>
        <w:rPr>
          <w:sz w:val="22"/>
        </w:rPr>
      </w:pPr>
    </w:p>
    <w:p w14:paraId="48B84C3A" w14:textId="77777777" w:rsidR="00F66870" w:rsidRPr="001473DD" w:rsidRDefault="00F66870" w:rsidP="00F66870">
      <w:pPr>
        <w:rPr>
          <w:sz w:val="22"/>
        </w:rPr>
      </w:pPr>
      <w:r w:rsidRPr="001473DD">
        <w:rPr>
          <w:sz w:val="22"/>
          <w:u w:val="single"/>
        </w:rPr>
        <w:t>SYNERGI</w:t>
      </w:r>
      <w:r w:rsidRPr="001473DD">
        <w:rPr>
          <w:sz w:val="22"/>
        </w:rPr>
        <w:t xml:space="preserve"> foreslår, at der oprettes en slutbehandlingsgaranti, så virksomhederne ved, hvornår deres </w:t>
      </w:r>
      <w:proofErr w:type="spellStart"/>
      <w:r w:rsidRPr="001473DD">
        <w:rPr>
          <w:sz w:val="22"/>
        </w:rPr>
        <w:t>energispareprojekter</w:t>
      </w:r>
      <w:proofErr w:type="spellEnd"/>
      <w:r w:rsidRPr="001473DD">
        <w:rPr>
          <w:sz w:val="22"/>
        </w:rPr>
        <w:t xml:space="preserve"> er endeligt sagsbehandlet.</w:t>
      </w:r>
    </w:p>
    <w:p w14:paraId="615138BE" w14:textId="77777777" w:rsidR="00F66870" w:rsidRPr="001473DD" w:rsidRDefault="00F66870" w:rsidP="00F66870">
      <w:pPr>
        <w:rPr>
          <w:sz w:val="22"/>
        </w:rPr>
      </w:pPr>
    </w:p>
    <w:p w14:paraId="03FAC28B" w14:textId="77777777" w:rsidR="00F66870" w:rsidRPr="001473DD" w:rsidRDefault="00F66870" w:rsidP="00F66870">
      <w:pPr>
        <w:rPr>
          <w:sz w:val="22"/>
        </w:rPr>
      </w:pPr>
      <w:r w:rsidRPr="001473DD">
        <w:rPr>
          <w:sz w:val="22"/>
          <w:u w:val="single"/>
        </w:rPr>
        <w:t>TEKNIQ Arbejdsgiverne</w:t>
      </w:r>
      <w:r w:rsidRPr="001473DD">
        <w:rPr>
          <w:sz w:val="22"/>
        </w:rPr>
        <w:t xml:space="preserve"> opfordrer til, at </w:t>
      </w:r>
      <w:proofErr w:type="spellStart"/>
      <w:r w:rsidRPr="001473DD">
        <w:rPr>
          <w:sz w:val="22"/>
        </w:rPr>
        <w:t>energispareindsatsen</w:t>
      </w:r>
      <w:proofErr w:type="spellEnd"/>
      <w:r w:rsidRPr="001473DD">
        <w:rPr>
          <w:sz w:val="22"/>
        </w:rPr>
        <w:t xml:space="preserve"> evalueres årligt henblik på at gøre det muligt at foretage justeringer, som kan sikre den bedst mulige opfyldelse af formålet med indsatsen og en effektiv udnyttelse af de afsatte midler.</w:t>
      </w:r>
    </w:p>
    <w:p w14:paraId="46060917" w14:textId="77777777" w:rsidR="00F66870" w:rsidRPr="001473DD" w:rsidRDefault="00F66870" w:rsidP="00F66870">
      <w:pPr>
        <w:rPr>
          <w:sz w:val="22"/>
        </w:rPr>
      </w:pPr>
    </w:p>
    <w:p w14:paraId="0AB187DE" w14:textId="3F1BF284" w:rsidR="0096132F" w:rsidRPr="001473DD" w:rsidRDefault="00F66870" w:rsidP="0096132F">
      <w:pPr>
        <w:rPr>
          <w:b/>
          <w:i/>
          <w:sz w:val="22"/>
          <w:u w:val="single"/>
        </w:rPr>
      </w:pPr>
      <w:r w:rsidRPr="001473DD">
        <w:rPr>
          <w:b/>
          <w:i/>
          <w:sz w:val="22"/>
          <w:u w:val="single"/>
        </w:rPr>
        <w:t>Ministeriets bemærkninger:</w:t>
      </w:r>
    </w:p>
    <w:p w14:paraId="26A9F36C" w14:textId="1A40136E" w:rsidR="00A86F72" w:rsidRDefault="0096132F" w:rsidP="00F66870">
      <w:pPr>
        <w:rPr>
          <w:rFonts w:cs="Arial"/>
          <w:i/>
          <w:sz w:val="22"/>
        </w:rPr>
      </w:pPr>
      <w:r w:rsidRPr="001473DD">
        <w:rPr>
          <w:rFonts w:cs="Arial"/>
          <w:i/>
          <w:sz w:val="22"/>
        </w:rPr>
        <w:t xml:space="preserve">Klima-, Energi- og Forsyningsministeriet </w:t>
      </w:r>
      <w:r w:rsidR="00FF12AC">
        <w:rPr>
          <w:rFonts w:cs="Arial"/>
          <w:i/>
          <w:sz w:val="22"/>
        </w:rPr>
        <w:t xml:space="preserve">kvitterer for høringssvarerne og </w:t>
      </w:r>
      <w:r w:rsidR="00161B14">
        <w:rPr>
          <w:rFonts w:cs="Arial"/>
          <w:i/>
          <w:sz w:val="22"/>
        </w:rPr>
        <w:t xml:space="preserve">forslagene, der </w:t>
      </w:r>
      <w:r w:rsidR="00FF12AC">
        <w:rPr>
          <w:rFonts w:cs="Arial"/>
          <w:i/>
          <w:sz w:val="22"/>
        </w:rPr>
        <w:t xml:space="preserve">vil </w:t>
      </w:r>
      <w:r w:rsidR="00161B14">
        <w:rPr>
          <w:rFonts w:cs="Arial"/>
          <w:i/>
          <w:sz w:val="22"/>
        </w:rPr>
        <w:t xml:space="preserve">blive </w:t>
      </w:r>
      <w:r w:rsidR="00FF12AC">
        <w:rPr>
          <w:rFonts w:cs="Arial"/>
          <w:i/>
          <w:sz w:val="22"/>
        </w:rPr>
        <w:t>tage</w:t>
      </w:r>
      <w:r w:rsidR="00161B14">
        <w:rPr>
          <w:rFonts w:cs="Arial"/>
          <w:i/>
          <w:sz w:val="22"/>
        </w:rPr>
        <w:t>t med i overvejelserne om udvikling af</w:t>
      </w:r>
      <w:r w:rsidR="00161B14" w:rsidRPr="00161B14">
        <w:rPr>
          <w:rFonts w:cs="Arial"/>
          <w:i/>
          <w:sz w:val="22"/>
        </w:rPr>
        <w:t xml:space="preserve"> </w:t>
      </w:r>
      <w:r w:rsidR="00161B14">
        <w:rPr>
          <w:rFonts w:cs="Arial"/>
          <w:i/>
          <w:sz w:val="22"/>
        </w:rPr>
        <w:t>ordningen</w:t>
      </w:r>
      <w:r w:rsidR="00FF12AC">
        <w:rPr>
          <w:rFonts w:cs="Arial"/>
          <w:i/>
          <w:sz w:val="22"/>
        </w:rPr>
        <w:t>.</w:t>
      </w:r>
    </w:p>
    <w:p w14:paraId="54B26719" w14:textId="77777777" w:rsidR="00FF12AC" w:rsidRPr="001473DD" w:rsidRDefault="00FF12AC" w:rsidP="00F66870">
      <w:pPr>
        <w:rPr>
          <w:i/>
          <w:sz w:val="22"/>
          <w:u w:val="single"/>
        </w:rPr>
      </w:pPr>
    </w:p>
    <w:p w14:paraId="45A9ADC4" w14:textId="5D48CE87" w:rsidR="00251DBE" w:rsidRPr="001473DD" w:rsidRDefault="00F66870" w:rsidP="00A86F72">
      <w:pPr>
        <w:rPr>
          <w:b/>
          <w:sz w:val="22"/>
        </w:rPr>
      </w:pPr>
      <w:bookmarkStart w:id="20" w:name="_Toc40705922"/>
      <w:r w:rsidRPr="001473DD">
        <w:rPr>
          <w:b/>
          <w:sz w:val="22"/>
        </w:rPr>
        <w:t>Andet</w:t>
      </w:r>
      <w:bookmarkEnd w:id="20"/>
    </w:p>
    <w:p w14:paraId="3DD3BFC0" w14:textId="0DB574DB" w:rsidR="00251DBE" w:rsidRPr="001473DD" w:rsidRDefault="00B02F8D">
      <w:pPr>
        <w:rPr>
          <w:rFonts w:cstheme="minorHAnsi"/>
          <w:sz w:val="22"/>
        </w:rPr>
      </w:pPr>
      <w:r w:rsidRPr="001473DD">
        <w:rPr>
          <w:rFonts w:cstheme="minorHAnsi"/>
          <w:sz w:val="22"/>
          <w:u w:val="single"/>
        </w:rPr>
        <w:t>Dansk Energi</w:t>
      </w:r>
      <w:r w:rsidRPr="001473DD">
        <w:rPr>
          <w:rFonts w:cstheme="minorHAnsi"/>
          <w:sz w:val="22"/>
        </w:rPr>
        <w:t xml:space="preserve"> bemærker, at d</w:t>
      </w:r>
      <w:r w:rsidR="00251DBE" w:rsidRPr="001473DD">
        <w:rPr>
          <w:rFonts w:cstheme="minorHAnsi"/>
          <w:sz w:val="22"/>
        </w:rPr>
        <w:t>et skal præciseres, hvordan man skal forholde sig til projekter, der kan indeholde flere tiltag, energiarter og levetider i ét projekt. Det bør anføres, hvordan der ansøges til sådanne projekter, således at det sikres, at der søges om det korrekte tilskudsbeløb.</w:t>
      </w:r>
    </w:p>
    <w:p w14:paraId="524FBD28" w14:textId="72496464" w:rsidR="00CA527F" w:rsidRPr="001473DD" w:rsidRDefault="00CA527F">
      <w:pPr>
        <w:rPr>
          <w:rFonts w:cstheme="minorHAnsi"/>
          <w:sz w:val="22"/>
        </w:rPr>
      </w:pPr>
    </w:p>
    <w:p w14:paraId="39665E48" w14:textId="7B350F83" w:rsidR="00F56011" w:rsidRPr="001473DD" w:rsidRDefault="00CA527F" w:rsidP="001D21C9">
      <w:pPr>
        <w:rPr>
          <w:rFonts w:cstheme="minorHAnsi"/>
          <w:sz w:val="22"/>
        </w:rPr>
      </w:pPr>
      <w:r w:rsidRPr="001473DD">
        <w:rPr>
          <w:rFonts w:cstheme="minorHAnsi"/>
          <w:sz w:val="22"/>
          <w:u w:val="single"/>
        </w:rPr>
        <w:lastRenderedPageBreak/>
        <w:t>Dansk Energi</w:t>
      </w:r>
      <w:r w:rsidRPr="001473DD">
        <w:rPr>
          <w:rFonts w:cstheme="minorHAnsi"/>
          <w:sz w:val="22"/>
        </w:rPr>
        <w:t xml:space="preserve"> og </w:t>
      </w:r>
      <w:r w:rsidRPr="001473DD">
        <w:rPr>
          <w:rFonts w:cstheme="minorHAnsi"/>
          <w:sz w:val="22"/>
          <w:u w:val="single"/>
        </w:rPr>
        <w:t>Dansk Erhverv</w:t>
      </w:r>
      <w:r w:rsidRPr="001473DD">
        <w:rPr>
          <w:rFonts w:cstheme="minorHAnsi"/>
          <w:sz w:val="22"/>
        </w:rPr>
        <w:t xml:space="preserve"> bemærker, at I forhold til en tilskudspulje, så er det afgørende – særligt for de mindre virksomheder, at projekter kan puljes og ansøges samlet af en tredje part – en </w:t>
      </w:r>
      <w:proofErr w:type="spellStart"/>
      <w:r w:rsidRPr="001473DD">
        <w:rPr>
          <w:rFonts w:cstheme="minorHAnsi"/>
          <w:sz w:val="22"/>
        </w:rPr>
        <w:t>aggregator</w:t>
      </w:r>
      <w:proofErr w:type="spellEnd"/>
      <w:r w:rsidRPr="001473DD">
        <w:rPr>
          <w:rFonts w:cstheme="minorHAnsi"/>
          <w:sz w:val="22"/>
        </w:rPr>
        <w:t xml:space="preserve">. Det vil dels lette omkostningerne for virksomhederne, og det vil sikre en professionalisering samt bedre kompetencer. </w:t>
      </w:r>
    </w:p>
    <w:p w14:paraId="037A7089" w14:textId="05651B53" w:rsidR="001D21C9" w:rsidRPr="001473DD" w:rsidRDefault="001D21C9" w:rsidP="007938A8">
      <w:pPr>
        <w:autoSpaceDE w:val="0"/>
        <w:autoSpaceDN w:val="0"/>
        <w:adjustRightInd w:val="0"/>
        <w:spacing w:line="240" w:lineRule="auto"/>
        <w:rPr>
          <w:rFonts w:cs="Arial"/>
          <w:color w:val="000000"/>
          <w:sz w:val="22"/>
        </w:rPr>
      </w:pPr>
    </w:p>
    <w:p w14:paraId="6AFDC758" w14:textId="5077DB3C" w:rsidR="001D21C9" w:rsidRPr="001473DD" w:rsidRDefault="001D21C9" w:rsidP="00704B82">
      <w:pPr>
        <w:autoSpaceDE w:val="0"/>
        <w:autoSpaceDN w:val="0"/>
        <w:adjustRightInd w:val="0"/>
        <w:spacing w:line="240" w:lineRule="auto"/>
        <w:rPr>
          <w:rFonts w:cs="Arial"/>
          <w:color w:val="000000"/>
          <w:sz w:val="22"/>
        </w:rPr>
      </w:pPr>
      <w:r w:rsidRPr="001473DD">
        <w:rPr>
          <w:rFonts w:cs="Arial"/>
          <w:color w:val="000000"/>
          <w:sz w:val="22"/>
          <w:u w:val="single"/>
        </w:rPr>
        <w:t>Foreningen af Rådgivende Ingeniører</w:t>
      </w:r>
      <w:r w:rsidRPr="001473DD">
        <w:rPr>
          <w:rFonts w:cs="Arial"/>
          <w:color w:val="000000"/>
          <w:sz w:val="22"/>
        </w:rPr>
        <w:t xml:space="preserve"> bemærker, at bekendtgørelsen har en række henvisninger til europæiske forordninger og direktiver. Dette gør bekendtgørelsen svær tilgængelig, idet henvisningerne forudsætter kendskab til disse forordninger og direktiver. Hvis det ikke er muligt at beskrive indhold, kunne et bilag med bestemmelserne måske være hensigtsmæssig.</w:t>
      </w:r>
    </w:p>
    <w:p w14:paraId="2672E5DA" w14:textId="66B3AC66" w:rsidR="00704B82" w:rsidRPr="001473DD" w:rsidRDefault="00704B82" w:rsidP="00704B82">
      <w:pPr>
        <w:autoSpaceDE w:val="0"/>
        <w:autoSpaceDN w:val="0"/>
        <w:adjustRightInd w:val="0"/>
        <w:spacing w:line="240" w:lineRule="auto"/>
        <w:rPr>
          <w:rFonts w:cs="Arial"/>
          <w:color w:val="000000"/>
          <w:sz w:val="22"/>
        </w:rPr>
      </w:pPr>
    </w:p>
    <w:p w14:paraId="6A997D61" w14:textId="273618FC" w:rsidR="00704B82" w:rsidRPr="00564EDC" w:rsidRDefault="00704B82" w:rsidP="00704B82">
      <w:pPr>
        <w:autoSpaceDE w:val="0"/>
        <w:autoSpaceDN w:val="0"/>
        <w:adjustRightInd w:val="0"/>
        <w:spacing w:line="240" w:lineRule="auto"/>
        <w:rPr>
          <w:rFonts w:cs="Arial"/>
          <w:color w:val="000000"/>
          <w:sz w:val="22"/>
        </w:rPr>
      </w:pPr>
      <w:r w:rsidRPr="001473DD">
        <w:rPr>
          <w:rFonts w:cs="Arial"/>
          <w:color w:val="000000"/>
          <w:sz w:val="22"/>
          <w:u w:val="single"/>
        </w:rPr>
        <w:t>Datatilsynet</w:t>
      </w:r>
      <w:r w:rsidRPr="00564EDC">
        <w:rPr>
          <w:rFonts w:cs="Arial"/>
          <w:color w:val="000000"/>
          <w:sz w:val="22"/>
        </w:rPr>
        <w:t xml:space="preserve"> forudsætter, at reglerne i databeskyttelsesforordningen og</w:t>
      </w:r>
    </w:p>
    <w:p w14:paraId="50D3FCD4" w14:textId="616953F6" w:rsidR="00704B82" w:rsidRPr="00564EDC" w:rsidRDefault="00704B82" w:rsidP="00704B82">
      <w:pPr>
        <w:autoSpaceDE w:val="0"/>
        <w:autoSpaceDN w:val="0"/>
        <w:adjustRightInd w:val="0"/>
        <w:spacing w:line="240" w:lineRule="auto"/>
        <w:rPr>
          <w:rFonts w:cs="Arial"/>
          <w:color w:val="000000"/>
          <w:sz w:val="22"/>
        </w:rPr>
      </w:pPr>
      <w:r w:rsidRPr="00564EDC">
        <w:rPr>
          <w:rFonts w:cs="Arial"/>
          <w:color w:val="000000"/>
          <w:sz w:val="22"/>
        </w:rPr>
        <w:t>databeskyttelsesloven iagttages i forbindelse med behandling af personoplysninger foranlediget af bekendtgørelserne.</w:t>
      </w:r>
      <w:r w:rsidR="00564EDC">
        <w:rPr>
          <w:rFonts w:cs="Arial"/>
          <w:color w:val="000000"/>
          <w:sz w:val="22"/>
        </w:rPr>
        <w:t xml:space="preserve"> </w:t>
      </w:r>
      <w:r w:rsidRPr="00564EDC">
        <w:rPr>
          <w:rFonts w:cs="Arial"/>
          <w:color w:val="000000"/>
          <w:sz w:val="22"/>
        </w:rPr>
        <w:t>Datatilsynet skal i den forbindelse særligt henlede opmærksomheden på, at behandling af personoplysninger altid skal ske i overensstemmelse med de grundlæggende principper i databeskyttelsesforordningens artikel 5, herunder princippet om formålsbegrænsning og princippet om dataminimering, jf. bestemmelsens stk. 1, litra b og c.</w:t>
      </w:r>
    </w:p>
    <w:p w14:paraId="633FB9A7" w14:textId="466D3D6B" w:rsidR="009520E7" w:rsidRPr="001473DD" w:rsidRDefault="009520E7" w:rsidP="00704B82">
      <w:pPr>
        <w:autoSpaceDE w:val="0"/>
        <w:autoSpaceDN w:val="0"/>
        <w:adjustRightInd w:val="0"/>
        <w:spacing w:line="240" w:lineRule="auto"/>
        <w:rPr>
          <w:rFonts w:cs="Arial"/>
          <w:color w:val="000000"/>
          <w:sz w:val="22"/>
        </w:rPr>
      </w:pPr>
    </w:p>
    <w:p w14:paraId="168FE6EA" w14:textId="77777777" w:rsidR="009520E7" w:rsidRPr="001473DD" w:rsidRDefault="009520E7" w:rsidP="009520E7">
      <w:pPr>
        <w:rPr>
          <w:b/>
          <w:i/>
          <w:sz w:val="22"/>
          <w:u w:val="single"/>
        </w:rPr>
      </w:pPr>
      <w:r w:rsidRPr="001473DD">
        <w:rPr>
          <w:b/>
          <w:i/>
          <w:sz w:val="22"/>
          <w:u w:val="single"/>
        </w:rPr>
        <w:t>Ministeriets bemærkninger:</w:t>
      </w:r>
    </w:p>
    <w:p w14:paraId="16316004" w14:textId="20C6EB19" w:rsidR="009520E7" w:rsidRPr="001473DD" w:rsidRDefault="009520E7" w:rsidP="009520E7">
      <w:pPr>
        <w:rPr>
          <w:b/>
          <w:i/>
          <w:sz w:val="22"/>
          <w:u w:val="single"/>
        </w:rPr>
      </w:pPr>
      <w:r w:rsidRPr="001473DD">
        <w:rPr>
          <w:rFonts w:cs="Arial"/>
          <w:i/>
          <w:sz w:val="22"/>
        </w:rPr>
        <w:t>Klima-, Energi- og Forsyningsministeriet</w:t>
      </w:r>
      <w:r w:rsidR="00FF12AC">
        <w:rPr>
          <w:rFonts w:cs="Arial"/>
          <w:i/>
          <w:sz w:val="22"/>
        </w:rPr>
        <w:t xml:space="preserve"> kvitterer for høringssvarene.</w:t>
      </w:r>
    </w:p>
    <w:p w14:paraId="35787162" w14:textId="2989C323" w:rsidR="009520E7" w:rsidRPr="001473DD" w:rsidRDefault="009520E7" w:rsidP="009520E7">
      <w:pPr>
        <w:rPr>
          <w:b/>
          <w:i/>
          <w:sz w:val="22"/>
          <w:u w:val="single"/>
        </w:rPr>
      </w:pPr>
    </w:p>
    <w:p w14:paraId="250FEB5C" w14:textId="7D742124" w:rsidR="009520E7" w:rsidRPr="001473DD" w:rsidRDefault="009520E7" w:rsidP="009520E7">
      <w:pPr>
        <w:rPr>
          <w:i/>
          <w:sz w:val="22"/>
        </w:rPr>
      </w:pPr>
      <w:r w:rsidRPr="001473DD">
        <w:rPr>
          <w:i/>
          <w:sz w:val="22"/>
        </w:rPr>
        <w:t>Til Foreningen af Rådgivende Ingeniøre</w:t>
      </w:r>
      <w:r w:rsidR="007A6E1E" w:rsidRPr="001473DD">
        <w:rPr>
          <w:i/>
          <w:sz w:val="22"/>
        </w:rPr>
        <w:t>rs høringssvar bemærkes det, at de relevante dele af direktiverne og forordningerne bliver til at finde i vejledningen til erhvervspuljen.</w:t>
      </w:r>
    </w:p>
    <w:p w14:paraId="2FCF0903" w14:textId="281FB05B" w:rsidR="009520E7" w:rsidRPr="001473DD" w:rsidRDefault="009520E7" w:rsidP="009520E7">
      <w:pPr>
        <w:rPr>
          <w:i/>
          <w:sz w:val="22"/>
        </w:rPr>
      </w:pPr>
    </w:p>
    <w:p w14:paraId="62BD58BD" w14:textId="3552BA18" w:rsidR="007A6E1E" w:rsidRPr="001473DD" w:rsidRDefault="007A6E1E" w:rsidP="009520E7">
      <w:pPr>
        <w:rPr>
          <w:i/>
          <w:sz w:val="22"/>
        </w:rPr>
      </w:pPr>
      <w:r w:rsidRPr="001473DD">
        <w:rPr>
          <w:i/>
          <w:sz w:val="22"/>
        </w:rPr>
        <w:t>Endelig har ministeriet taget Datatilsynets bemærkninger til efterretning</w:t>
      </w:r>
      <w:r w:rsidR="00564EDC">
        <w:rPr>
          <w:i/>
          <w:sz w:val="22"/>
        </w:rPr>
        <w:t xml:space="preserve">. </w:t>
      </w:r>
      <w:r w:rsidRPr="001473DD">
        <w:rPr>
          <w:i/>
          <w:sz w:val="22"/>
        </w:rPr>
        <w:t xml:space="preserve"> </w:t>
      </w:r>
    </w:p>
    <w:p w14:paraId="6A7D6405" w14:textId="21D0C6D7" w:rsidR="001473DD" w:rsidRPr="001473DD" w:rsidRDefault="001473DD" w:rsidP="009520E7">
      <w:pPr>
        <w:rPr>
          <w:i/>
          <w:sz w:val="22"/>
        </w:rPr>
      </w:pPr>
    </w:p>
    <w:p w14:paraId="07A9E88F" w14:textId="77777777" w:rsidR="001473DD" w:rsidRPr="001473DD" w:rsidRDefault="001473DD" w:rsidP="001473DD">
      <w:pPr>
        <w:rPr>
          <w:b/>
          <w:i/>
          <w:sz w:val="22"/>
        </w:rPr>
      </w:pPr>
      <w:r w:rsidRPr="001473DD">
        <w:rPr>
          <w:b/>
          <w:i/>
          <w:sz w:val="22"/>
        </w:rPr>
        <w:t>Øvrige bemærkninger</w:t>
      </w:r>
    </w:p>
    <w:p w14:paraId="69DD2C42" w14:textId="110FED87" w:rsidR="001473DD" w:rsidRPr="001473DD" w:rsidRDefault="001473DD" w:rsidP="001473DD">
      <w:pPr>
        <w:rPr>
          <w:i/>
          <w:sz w:val="22"/>
        </w:rPr>
      </w:pPr>
      <w:r w:rsidRPr="001473DD">
        <w:rPr>
          <w:i/>
          <w:sz w:val="22"/>
          <w:u w:val="single"/>
        </w:rPr>
        <w:t>FSR – Danske revisorer</w:t>
      </w:r>
      <w:r w:rsidRPr="001473DD">
        <w:rPr>
          <w:i/>
          <w:sz w:val="22"/>
        </w:rPr>
        <w:t xml:space="preserve"> har i et høringssvar til skrotningsordningen foreslået, at vi i stedet for at skrive statsautoriseret eller registreret revisor, bruger termen «godkendt revisor», som er en samlebetegnelse for både en statsautoriseret og en registreret revisor. Klima-, Energi- og Forsyningsministeriet er enig</w:t>
      </w:r>
      <w:r w:rsidR="00564EDC">
        <w:rPr>
          <w:i/>
          <w:sz w:val="22"/>
        </w:rPr>
        <w:t>,</w:t>
      </w:r>
      <w:r w:rsidRPr="001473DD">
        <w:rPr>
          <w:i/>
          <w:sz w:val="22"/>
        </w:rPr>
        <w:t xml:space="preserve"> og vi ændrer dette i bekendtgørelsen. </w:t>
      </w:r>
    </w:p>
    <w:p w14:paraId="5E75FCBA" w14:textId="34F6A523" w:rsidR="001473DD" w:rsidRPr="001473DD" w:rsidRDefault="001473DD" w:rsidP="001473DD">
      <w:pPr>
        <w:rPr>
          <w:i/>
          <w:sz w:val="22"/>
        </w:rPr>
      </w:pPr>
    </w:p>
    <w:p w14:paraId="7529EE21" w14:textId="3F3ECCF2" w:rsidR="001473DD" w:rsidRDefault="001473DD" w:rsidP="001473DD">
      <w:pPr>
        <w:rPr>
          <w:i/>
          <w:sz w:val="22"/>
        </w:rPr>
      </w:pPr>
      <w:r w:rsidRPr="001473DD">
        <w:rPr>
          <w:i/>
          <w:sz w:val="22"/>
        </w:rPr>
        <w:t>I bestemmelsen om at en ansøger ikke må være kriseramt fjernes ”på ansøgningstidspunktet”.</w:t>
      </w:r>
    </w:p>
    <w:p w14:paraId="67493029" w14:textId="5F312549" w:rsidR="00257DAD" w:rsidRDefault="00257DAD" w:rsidP="001473DD">
      <w:pPr>
        <w:rPr>
          <w:i/>
          <w:sz w:val="22"/>
        </w:rPr>
      </w:pPr>
    </w:p>
    <w:p w14:paraId="7B7055F4" w14:textId="0349E56D" w:rsidR="00257DAD" w:rsidRPr="001473DD" w:rsidRDefault="00257DAD" w:rsidP="001473DD">
      <w:pPr>
        <w:rPr>
          <w:i/>
          <w:sz w:val="22"/>
        </w:rPr>
      </w:pPr>
      <w:r>
        <w:rPr>
          <w:i/>
          <w:sz w:val="22"/>
        </w:rPr>
        <w:t>Der vil blive foretaget nogle ændringer i bestemmelsen om kontrol.</w:t>
      </w:r>
    </w:p>
    <w:p w14:paraId="64F7C607" w14:textId="77777777" w:rsidR="001473DD" w:rsidRPr="001473DD" w:rsidRDefault="001473DD" w:rsidP="001473DD">
      <w:pPr>
        <w:rPr>
          <w:i/>
          <w:sz w:val="22"/>
        </w:rPr>
      </w:pPr>
    </w:p>
    <w:p w14:paraId="6168F946" w14:textId="524C8C48" w:rsidR="001473DD" w:rsidRPr="001473DD" w:rsidRDefault="001473DD" w:rsidP="001473DD">
      <w:pPr>
        <w:rPr>
          <w:i/>
          <w:sz w:val="22"/>
        </w:rPr>
      </w:pPr>
      <w:r w:rsidRPr="001473DD">
        <w:rPr>
          <w:i/>
          <w:sz w:val="22"/>
        </w:rPr>
        <w:t xml:space="preserve">Endelig bemærkes at Klima-, Energi- og Forsyningsministeriet har indsat en notehenvisning til Europa-Parlamentets og Rådets direktiv 2018/2001/EU af 11. december 2018 om fremme af anvendelsen af energi fra vedvarende </w:t>
      </w:r>
      <w:r w:rsidRPr="001473DD">
        <w:rPr>
          <w:i/>
          <w:sz w:val="22"/>
        </w:rPr>
        <w:lastRenderedPageBreak/>
        <w:t>energikilder, EU-Tidende 2018, nr. L 328, side 82, idet erhvervspuljebekendtgørelsen sammen med bygningspuljebekendtgørelsen og skrotningsordningsbekendtgørelsen implementerer artikel 15, stk. 6, 2. pkt. Med alle tre ordninger er der lagt op til at fremme omstilling til løsninger baseret på VE-teknologi og derfor vil ordningerne kunne indgå som " incitamenter", jf. art. 15, stk. 6, 2. pkt.</w:t>
      </w:r>
    </w:p>
    <w:sectPr w:rsidR="001473DD" w:rsidRPr="001473DD" w:rsidSect="000A08E2">
      <w:headerReference w:type="even" r:id="rId8"/>
      <w:headerReference w:type="default" r:id="rId9"/>
      <w:footerReference w:type="default" r:id="rId10"/>
      <w:headerReference w:type="first" r:id="rId11"/>
      <w:footerReference w:type="first" r:id="rId12"/>
      <w:pgSz w:w="11906" w:h="16838" w:code="9"/>
      <w:pgMar w:top="2767" w:right="3260" w:bottom="170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D614D" w14:textId="77777777" w:rsidR="003649EA" w:rsidRDefault="003649EA" w:rsidP="008969C1">
      <w:pPr>
        <w:spacing w:line="240" w:lineRule="auto"/>
      </w:pPr>
      <w:r>
        <w:separator/>
      </w:r>
    </w:p>
  </w:endnote>
  <w:endnote w:type="continuationSeparator" w:id="0">
    <w:p w14:paraId="31974BBD" w14:textId="77777777" w:rsidR="003649EA" w:rsidRDefault="003649EA"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Pro">
    <w:altName w:val="Georgia Pro"/>
    <w:panose1 w:val="00000000000000000000"/>
    <w:charset w:val="00"/>
    <w:family w:val="swiss"/>
    <w:notTrueType/>
    <w:pitch w:val="default"/>
    <w:sig w:usb0="00000003" w:usb1="00000000" w:usb2="00000000" w:usb3="00000000" w:csb0="00000001"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B8D87" w14:textId="115301D9" w:rsidR="00704B82" w:rsidRPr="002A4EDA" w:rsidRDefault="00704B82">
    <w:pPr>
      <w:pStyle w:val="Sidefod"/>
    </w:pPr>
    <w:r w:rsidRPr="002A4EDA">
      <w:t xml:space="preserve">Side </w:t>
    </w:r>
    <w:r w:rsidRPr="002A4EDA">
      <w:fldChar w:fldCharType="begin"/>
    </w:r>
    <w:r w:rsidRPr="002A4EDA">
      <w:instrText xml:space="preserve"> PAGE </w:instrText>
    </w:r>
    <w:r w:rsidRPr="002A4EDA">
      <w:fldChar w:fldCharType="separate"/>
    </w:r>
    <w:r w:rsidR="0030538D">
      <w:rPr>
        <w:noProof/>
      </w:rPr>
      <w:t>15</w:t>
    </w:r>
    <w:r w:rsidRPr="002A4EDA">
      <w:fldChar w:fldCharType="end"/>
    </w:r>
    <w:r w:rsidRPr="002A4EDA">
      <w:t>/</w:t>
    </w:r>
    <w:r w:rsidR="003649EA">
      <w:fldChar w:fldCharType="begin"/>
    </w:r>
    <w:r w:rsidR="003649EA">
      <w:instrText xml:space="preserve"> NUMPAGES </w:instrText>
    </w:r>
    <w:r w:rsidR="003649EA">
      <w:fldChar w:fldCharType="separate"/>
    </w:r>
    <w:r w:rsidR="0030538D">
      <w:rPr>
        <w:noProof/>
      </w:rPr>
      <w:t>15</w:t>
    </w:r>
    <w:r w:rsidR="003649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1571" w14:textId="22483D94" w:rsidR="00704B82" w:rsidRPr="002A4EDA" w:rsidRDefault="00704B82">
    <w:pPr>
      <w:pStyle w:val="Sidefod"/>
    </w:pPr>
    <w:r w:rsidRPr="002A4EDA">
      <w:rPr>
        <w:noProof/>
        <w:lang w:eastAsia="da-DK"/>
      </w:rPr>
      <mc:AlternateContent>
        <mc:Choice Requires="wps">
          <w:drawing>
            <wp:anchor distT="0" distB="0" distL="114300" distR="114300" simplePos="0" relativeHeight="251659264" behindDoc="0" locked="0" layoutInCell="1" allowOverlap="1" wp14:anchorId="148830B7" wp14:editId="47C18D69">
              <wp:simplePos x="0" y="0"/>
              <wp:positionH relativeFrom="page">
                <wp:posOffset>5614988</wp:posOffset>
              </wp:positionH>
              <wp:positionV relativeFrom="page">
                <wp:posOffset>8943975</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AC012" w14:textId="77777777" w:rsidR="00704B82" w:rsidRDefault="00704B82" w:rsidP="003B7D18">
                          <w:pPr>
                            <w:spacing w:line="192" w:lineRule="atLeast"/>
                            <w:rPr>
                              <w:b/>
                              <w:sz w:val="16"/>
                              <w:szCs w:val="16"/>
                            </w:rPr>
                          </w:pPr>
                          <w:r w:rsidRPr="00110084">
                            <w:rPr>
                              <w:b/>
                              <w:sz w:val="16"/>
                              <w:szCs w:val="16"/>
                            </w:rPr>
                            <w:t>Energistyrelsen</w:t>
                          </w:r>
                        </w:p>
                        <w:p w14:paraId="1F8764F5" w14:textId="77777777" w:rsidR="00704B82" w:rsidRPr="00AB4885" w:rsidRDefault="00704B82" w:rsidP="00F714AB">
                          <w:pPr>
                            <w:spacing w:line="192" w:lineRule="atLeast"/>
                            <w:rPr>
                              <w:sz w:val="16"/>
                              <w:szCs w:val="16"/>
                            </w:rPr>
                          </w:pPr>
                        </w:p>
                        <w:p w14:paraId="2838CC7E" w14:textId="77777777" w:rsidR="00704B82" w:rsidRDefault="00704B82" w:rsidP="00F714AB">
                          <w:pPr>
                            <w:spacing w:line="192" w:lineRule="atLeast"/>
                            <w:rPr>
                              <w:sz w:val="16"/>
                              <w:szCs w:val="16"/>
                            </w:rPr>
                          </w:pPr>
                          <w:r>
                            <w:rPr>
                              <w:sz w:val="16"/>
                              <w:szCs w:val="16"/>
                            </w:rPr>
                            <w:t>Carsten Niebuhrs Gade 43</w:t>
                          </w:r>
                        </w:p>
                        <w:p w14:paraId="2609CE2C" w14:textId="77777777" w:rsidR="00704B82" w:rsidRDefault="00704B82" w:rsidP="00F714AB">
                          <w:pPr>
                            <w:spacing w:line="192" w:lineRule="atLeast"/>
                            <w:rPr>
                              <w:sz w:val="16"/>
                              <w:szCs w:val="16"/>
                            </w:rPr>
                          </w:pPr>
                          <w:r>
                            <w:rPr>
                              <w:sz w:val="16"/>
                              <w:szCs w:val="16"/>
                            </w:rPr>
                            <w:t>1577 København V</w:t>
                          </w:r>
                        </w:p>
                        <w:p w14:paraId="61374400" w14:textId="77777777" w:rsidR="00704B82" w:rsidRPr="00F714AB" w:rsidRDefault="00704B82" w:rsidP="00F714AB">
                          <w:pPr>
                            <w:spacing w:line="192" w:lineRule="atLeast"/>
                            <w:rPr>
                              <w:sz w:val="16"/>
                              <w:szCs w:val="16"/>
                            </w:rPr>
                          </w:pPr>
                        </w:p>
                        <w:p w14:paraId="2038A1EC" w14:textId="77777777" w:rsidR="00704B82" w:rsidRPr="00110084" w:rsidRDefault="00704B82" w:rsidP="00110084">
                          <w:pPr>
                            <w:spacing w:line="192" w:lineRule="atLeast"/>
                            <w:rPr>
                              <w:sz w:val="16"/>
                              <w:szCs w:val="16"/>
                            </w:rPr>
                          </w:pPr>
                          <w:r w:rsidRPr="00110084">
                            <w:rPr>
                              <w:sz w:val="16"/>
                              <w:szCs w:val="16"/>
                            </w:rPr>
                            <w:t>T: +45 3392 6700</w:t>
                          </w:r>
                        </w:p>
                        <w:p w14:paraId="37A8A01E" w14:textId="77777777" w:rsidR="00704B82" w:rsidRDefault="00704B82" w:rsidP="00110084">
                          <w:pPr>
                            <w:spacing w:line="192" w:lineRule="atLeast"/>
                            <w:rPr>
                              <w:sz w:val="16"/>
                              <w:szCs w:val="16"/>
                            </w:rPr>
                          </w:pPr>
                          <w:r w:rsidRPr="00110084">
                            <w:rPr>
                              <w:sz w:val="16"/>
                              <w:szCs w:val="16"/>
                            </w:rPr>
                            <w:t>E: ens@ens.dk</w:t>
                          </w:r>
                        </w:p>
                        <w:p w14:paraId="5B138061" w14:textId="77777777" w:rsidR="00704B82" w:rsidRPr="00F714AB" w:rsidRDefault="00704B82" w:rsidP="00F714AB">
                          <w:pPr>
                            <w:spacing w:line="192" w:lineRule="atLeast"/>
                            <w:rPr>
                              <w:sz w:val="16"/>
                              <w:szCs w:val="16"/>
                            </w:rPr>
                          </w:pPr>
                        </w:p>
                        <w:p w14:paraId="1630EF25" w14:textId="77777777" w:rsidR="00704B82" w:rsidRPr="00F714AB" w:rsidRDefault="00704B82" w:rsidP="00F714AB">
                          <w:pPr>
                            <w:spacing w:line="192" w:lineRule="atLeast"/>
                            <w:rPr>
                              <w:sz w:val="16"/>
                              <w:szCs w:val="16"/>
                            </w:rPr>
                          </w:pPr>
                          <w:r>
                            <w:rPr>
                              <w:sz w:val="16"/>
                              <w:szCs w:val="16"/>
                            </w:rPr>
                            <w:t>www.ens</w:t>
                          </w:r>
                          <w:r w:rsidRPr="00F714AB">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830B7" id="_x0000_t202" coordsize="21600,21600" o:spt="202" path="m,l,21600r21600,l21600,xe">
              <v:stroke joinstyle="miter"/>
              <v:path gradientshapeok="t" o:connecttype="rect"/>
            </v:shapetype>
            <v:shape id="Tekstboks 2" o:spid="_x0000_s1026" type="#_x0000_t202" style="position:absolute;margin-left:442.15pt;margin-top:704.2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" filled="f" stroked="f" strokeweight=".5pt">
              <v:textbox>
                <w:txbxContent>
                  <w:p w14:paraId="675AC012" w14:textId="77777777" w:rsidR="00704B82" w:rsidRDefault="00704B82" w:rsidP="003B7D18">
                    <w:pPr>
                      <w:spacing w:line="192" w:lineRule="atLeast"/>
                      <w:rPr>
                        <w:b/>
                        <w:sz w:val="16"/>
                        <w:szCs w:val="16"/>
                      </w:rPr>
                    </w:pPr>
                    <w:r w:rsidRPr="00110084">
                      <w:rPr>
                        <w:b/>
                        <w:sz w:val="16"/>
                        <w:szCs w:val="16"/>
                      </w:rPr>
                      <w:t>Energistyrelsen</w:t>
                    </w:r>
                  </w:p>
                  <w:p w14:paraId="1F8764F5" w14:textId="77777777" w:rsidR="00704B82" w:rsidRPr="00AB4885" w:rsidRDefault="00704B82" w:rsidP="00F714AB">
                    <w:pPr>
                      <w:spacing w:line="192" w:lineRule="atLeast"/>
                      <w:rPr>
                        <w:sz w:val="16"/>
                        <w:szCs w:val="16"/>
                      </w:rPr>
                    </w:pPr>
                  </w:p>
                  <w:p w14:paraId="2838CC7E" w14:textId="77777777" w:rsidR="00704B82" w:rsidRDefault="00704B82" w:rsidP="00F714AB">
                    <w:pPr>
                      <w:spacing w:line="192" w:lineRule="atLeast"/>
                      <w:rPr>
                        <w:sz w:val="16"/>
                        <w:szCs w:val="16"/>
                      </w:rPr>
                    </w:pPr>
                    <w:r>
                      <w:rPr>
                        <w:sz w:val="16"/>
                        <w:szCs w:val="16"/>
                      </w:rPr>
                      <w:t>Carsten Niebuhrs Gade 43</w:t>
                    </w:r>
                  </w:p>
                  <w:p w14:paraId="2609CE2C" w14:textId="77777777" w:rsidR="00704B82" w:rsidRDefault="00704B82" w:rsidP="00F714AB">
                    <w:pPr>
                      <w:spacing w:line="192" w:lineRule="atLeast"/>
                      <w:rPr>
                        <w:sz w:val="16"/>
                        <w:szCs w:val="16"/>
                      </w:rPr>
                    </w:pPr>
                    <w:r>
                      <w:rPr>
                        <w:sz w:val="16"/>
                        <w:szCs w:val="16"/>
                      </w:rPr>
                      <w:t>1577 København V</w:t>
                    </w:r>
                  </w:p>
                  <w:p w14:paraId="61374400" w14:textId="77777777" w:rsidR="00704B82" w:rsidRPr="00F714AB" w:rsidRDefault="00704B82" w:rsidP="00F714AB">
                    <w:pPr>
                      <w:spacing w:line="192" w:lineRule="atLeast"/>
                      <w:rPr>
                        <w:sz w:val="16"/>
                        <w:szCs w:val="16"/>
                      </w:rPr>
                    </w:pPr>
                  </w:p>
                  <w:p w14:paraId="2038A1EC" w14:textId="77777777" w:rsidR="00704B82" w:rsidRPr="00110084" w:rsidRDefault="00704B82" w:rsidP="00110084">
                    <w:pPr>
                      <w:spacing w:line="192" w:lineRule="atLeast"/>
                      <w:rPr>
                        <w:sz w:val="16"/>
                        <w:szCs w:val="16"/>
                      </w:rPr>
                    </w:pPr>
                    <w:r w:rsidRPr="00110084">
                      <w:rPr>
                        <w:sz w:val="16"/>
                        <w:szCs w:val="16"/>
                      </w:rPr>
                      <w:t>T: +45 3392 6700</w:t>
                    </w:r>
                  </w:p>
                  <w:p w14:paraId="37A8A01E" w14:textId="77777777" w:rsidR="00704B82" w:rsidRDefault="00704B82" w:rsidP="00110084">
                    <w:pPr>
                      <w:spacing w:line="192" w:lineRule="atLeast"/>
                      <w:rPr>
                        <w:sz w:val="16"/>
                        <w:szCs w:val="16"/>
                      </w:rPr>
                    </w:pPr>
                    <w:r w:rsidRPr="00110084">
                      <w:rPr>
                        <w:sz w:val="16"/>
                        <w:szCs w:val="16"/>
                      </w:rPr>
                      <w:t>E: ens@ens.dk</w:t>
                    </w:r>
                  </w:p>
                  <w:p w14:paraId="5B138061" w14:textId="77777777" w:rsidR="00704B82" w:rsidRPr="00F714AB" w:rsidRDefault="00704B82" w:rsidP="00F714AB">
                    <w:pPr>
                      <w:spacing w:line="192" w:lineRule="atLeast"/>
                      <w:rPr>
                        <w:sz w:val="16"/>
                        <w:szCs w:val="16"/>
                      </w:rPr>
                    </w:pPr>
                  </w:p>
                  <w:p w14:paraId="1630EF25" w14:textId="77777777" w:rsidR="00704B82" w:rsidRPr="00F714AB" w:rsidRDefault="00704B82" w:rsidP="00F714AB">
                    <w:pPr>
                      <w:spacing w:line="192" w:lineRule="atLeast"/>
                      <w:rPr>
                        <w:sz w:val="16"/>
                        <w:szCs w:val="16"/>
                      </w:rPr>
                    </w:pPr>
                    <w:r>
                      <w:rPr>
                        <w:sz w:val="16"/>
                        <w:szCs w:val="16"/>
                      </w:rPr>
                      <w:t>www.ens</w:t>
                    </w:r>
                    <w:r w:rsidRPr="00F714AB">
                      <w:rPr>
                        <w:sz w:val="16"/>
                        <w:szCs w:val="16"/>
                      </w:rPr>
                      <w:t>.dk</w:t>
                    </w:r>
                  </w:p>
                </w:txbxContent>
              </v:textbox>
              <w10:wrap anchorx="page" anchory="page"/>
            </v:shape>
          </w:pict>
        </mc:Fallback>
      </mc:AlternateContent>
    </w:r>
    <w:r w:rsidRPr="002A4EDA">
      <w:t xml:space="preserve">Side </w:t>
    </w:r>
    <w:r w:rsidRPr="002A4EDA">
      <w:fldChar w:fldCharType="begin"/>
    </w:r>
    <w:r w:rsidRPr="002A4EDA">
      <w:instrText xml:space="preserve"> PAGE </w:instrText>
    </w:r>
    <w:r w:rsidRPr="002A4EDA">
      <w:fldChar w:fldCharType="separate"/>
    </w:r>
    <w:r w:rsidR="0030538D">
      <w:rPr>
        <w:noProof/>
      </w:rPr>
      <w:t>1</w:t>
    </w:r>
    <w:r w:rsidRPr="002A4EDA">
      <w:fldChar w:fldCharType="end"/>
    </w:r>
    <w:r w:rsidRPr="002A4EDA">
      <w:t>/</w:t>
    </w:r>
    <w:r w:rsidR="003649EA">
      <w:fldChar w:fldCharType="begin"/>
    </w:r>
    <w:r w:rsidR="003649EA">
      <w:instrText xml:space="preserve"> NUMPAGES </w:instrText>
    </w:r>
    <w:r w:rsidR="003649EA">
      <w:fldChar w:fldCharType="separate"/>
    </w:r>
    <w:r w:rsidR="0030538D">
      <w:rPr>
        <w:noProof/>
      </w:rPr>
      <w:t>15</w:t>
    </w:r>
    <w:r w:rsidR="003649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78D8E" w14:textId="77777777" w:rsidR="003649EA" w:rsidRDefault="003649EA" w:rsidP="008969C1">
      <w:pPr>
        <w:spacing w:line="240" w:lineRule="auto"/>
      </w:pPr>
      <w:r>
        <w:separator/>
      </w:r>
    </w:p>
  </w:footnote>
  <w:footnote w:type="continuationSeparator" w:id="0">
    <w:p w14:paraId="5E8D1EC2" w14:textId="77777777" w:rsidR="003649EA" w:rsidRDefault="003649EA" w:rsidP="008969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AB57" w14:textId="479F55F0" w:rsidR="00704B82" w:rsidRDefault="00704B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F7C2" w14:textId="46B0B6AC" w:rsidR="00704B82" w:rsidRDefault="00704B82">
    <w:pPr>
      <w:pStyle w:val="Sidehoved"/>
    </w:pPr>
    <w:r>
      <w:rPr>
        <w:noProof/>
        <w:lang w:eastAsia="da-DK"/>
      </w:rPr>
      <w:drawing>
        <wp:anchor distT="0" distB="0" distL="114300" distR="114300" simplePos="0" relativeHeight="251675648" behindDoc="0" locked="0" layoutInCell="1" allowOverlap="1" wp14:anchorId="5146B005" wp14:editId="1FDB7F9E">
          <wp:simplePos x="0" y="0"/>
          <wp:positionH relativeFrom="page">
            <wp:posOffset>4842510</wp:posOffset>
          </wp:positionH>
          <wp:positionV relativeFrom="page">
            <wp:posOffset>396240</wp:posOffset>
          </wp:positionV>
          <wp:extent cx="2041200" cy="6948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14776" w14:textId="474F488E" w:rsidR="00704B82" w:rsidRDefault="00704B82">
    <w:pPr>
      <w:pStyle w:val="Sidehoved"/>
    </w:pPr>
  </w:p>
  <w:p w14:paraId="3E3F702E" w14:textId="77777777" w:rsidR="00704B82" w:rsidRPr="005E3FC3" w:rsidRDefault="00704B82">
    <w:pPr>
      <w:pStyle w:val="Sidehoved"/>
      <w:rPr>
        <w:b/>
      </w:rPr>
    </w:pPr>
    <w:r w:rsidRPr="005E3FC3">
      <w:rPr>
        <w:b/>
        <w:noProof/>
        <w:lang w:eastAsia="da-DK"/>
      </w:rPr>
      <w:t xml:space="preserve"> </w:t>
    </w:r>
    <w:r w:rsidRPr="005E3FC3">
      <w:rPr>
        <w:b/>
        <w:noProof/>
        <w:lang w:eastAsia="da-DK"/>
      </w:rPr>
      <w:drawing>
        <wp:anchor distT="0" distB="0" distL="114300" distR="114300" simplePos="0" relativeHeight="251673600" behindDoc="0" locked="0" layoutInCell="1" allowOverlap="1" wp14:anchorId="42BB9508" wp14:editId="31513C6F">
          <wp:simplePos x="0" y="0"/>
          <wp:positionH relativeFrom="page">
            <wp:posOffset>4842510</wp:posOffset>
          </wp:positionH>
          <wp:positionV relativeFrom="page">
            <wp:posOffset>396875</wp:posOffset>
          </wp:positionV>
          <wp:extent cx="2041200" cy="694800"/>
          <wp:effectExtent l="0" t="0" r="0"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41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55DD2"/>
    <w:multiLevelType w:val="hybridMultilevel"/>
    <w:tmpl w:val="A77466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8AFEA7D"/>
    <w:multiLevelType w:val="hybridMultilevel"/>
    <w:tmpl w:val="7421E5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BF4305"/>
    <w:multiLevelType w:val="hybridMultilevel"/>
    <w:tmpl w:val="9A6E05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FE53B5"/>
    <w:multiLevelType w:val="hybridMultilevel"/>
    <w:tmpl w:val="2D1281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231B57"/>
    <w:multiLevelType w:val="hybridMultilevel"/>
    <w:tmpl w:val="81C28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BF175A"/>
    <w:multiLevelType w:val="multilevel"/>
    <w:tmpl w:val="38B60CD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9A19AA"/>
    <w:multiLevelType w:val="hybridMultilevel"/>
    <w:tmpl w:val="A6F2217C"/>
    <w:lvl w:ilvl="0" w:tplc="8118179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4D9606E"/>
    <w:multiLevelType w:val="hybridMultilevel"/>
    <w:tmpl w:val="1342217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BD410E4"/>
    <w:multiLevelType w:val="hybridMultilevel"/>
    <w:tmpl w:val="773EFD0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1DE60FC"/>
    <w:multiLevelType w:val="multilevel"/>
    <w:tmpl w:val="0406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59012C9"/>
    <w:multiLevelType w:val="hybridMultilevel"/>
    <w:tmpl w:val="B8EA95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1B33A52"/>
    <w:multiLevelType w:val="hybridMultilevel"/>
    <w:tmpl w:val="2A323E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DB53D5"/>
    <w:multiLevelType w:val="hybridMultilevel"/>
    <w:tmpl w:val="14708B88"/>
    <w:lvl w:ilvl="0" w:tplc="25A0BB4E">
      <w:start w:val="1"/>
      <w:numFmt w:val="decimal"/>
      <w:lvlText w:val="%1)"/>
      <w:lvlJc w:val="left"/>
      <w:pPr>
        <w:ind w:left="765" w:hanging="405"/>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EB0467A"/>
    <w:multiLevelType w:val="hybridMultilevel"/>
    <w:tmpl w:val="9CEC89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2C45439"/>
    <w:multiLevelType w:val="hybridMultilevel"/>
    <w:tmpl w:val="B328B3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68129EE"/>
    <w:multiLevelType w:val="hybridMultilevel"/>
    <w:tmpl w:val="773EFD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C7340EB"/>
    <w:multiLevelType w:val="hybridMultilevel"/>
    <w:tmpl w:val="773EFD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C8E51FC"/>
    <w:multiLevelType w:val="hybridMultilevel"/>
    <w:tmpl w:val="062E4B5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8" w15:restartNumberingAfterBreak="0">
    <w:nsid w:val="6E0A3710"/>
    <w:multiLevelType w:val="hybridMultilevel"/>
    <w:tmpl w:val="773EFD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8C4520A"/>
    <w:multiLevelType w:val="hybridMultilevel"/>
    <w:tmpl w:val="138E717A"/>
    <w:lvl w:ilvl="0" w:tplc="0809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795B5CD6"/>
    <w:multiLevelType w:val="hybridMultilevel"/>
    <w:tmpl w:val="B20E614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B2D4693"/>
    <w:multiLevelType w:val="hybridMultilevel"/>
    <w:tmpl w:val="730624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9"/>
  </w:num>
  <w:num w:numId="4">
    <w:abstractNumId w:val="3"/>
  </w:num>
  <w:num w:numId="5">
    <w:abstractNumId w:val="12"/>
  </w:num>
  <w:num w:numId="6">
    <w:abstractNumId w:val="1"/>
  </w:num>
  <w:num w:numId="7">
    <w:abstractNumId w:val="0"/>
  </w:num>
  <w:num w:numId="8">
    <w:abstractNumId w:val="20"/>
  </w:num>
  <w:num w:numId="9">
    <w:abstractNumId w:val="8"/>
  </w:num>
  <w:num w:numId="10">
    <w:abstractNumId w:val="14"/>
  </w:num>
  <w:num w:numId="11">
    <w:abstractNumId w:val="9"/>
  </w:num>
  <w:num w:numId="12">
    <w:abstractNumId w:val="16"/>
  </w:num>
  <w:num w:numId="13">
    <w:abstractNumId w:val="11"/>
  </w:num>
  <w:num w:numId="14">
    <w:abstractNumId w:val="4"/>
  </w:num>
  <w:num w:numId="15">
    <w:abstractNumId w:val="2"/>
  </w:num>
  <w:num w:numId="16">
    <w:abstractNumId w:val="21"/>
  </w:num>
  <w:num w:numId="17">
    <w:abstractNumId w:val="10"/>
  </w:num>
  <w:num w:numId="18">
    <w:abstractNumId w:val="7"/>
  </w:num>
  <w:num w:numId="19">
    <w:abstractNumId w:val="13"/>
  </w:num>
  <w:num w:numId="20">
    <w:abstractNumId w:val="15"/>
  </w:num>
  <w:num w:numId="21">
    <w:abstractNumId w:val="18"/>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E2"/>
    <w:rsid w:val="00001EE5"/>
    <w:rsid w:val="00002D42"/>
    <w:rsid w:val="00005A35"/>
    <w:rsid w:val="00013D95"/>
    <w:rsid w:val="0001479D"/>
    <w:rsid w:val="0001604B"/>
    <w:rsid w:val="00021BD0"/>
    <w:rsid w:val="00022817"/>
    <w:rsid w:val="00023F5D"/>
    <w:rsid w:val="00030A9E"/>
    <w:rsid w:val="00036061"/>
    <w:rsid w:val="000416E2"/>
    <w:rsid w:val="00043EEE"/>
    <w:rsid w:val="00051F06"/>
    <w:rsid w:val="0005263D"/>
    <w:rsid w:val="00055FBF"/>
    <w:rsid w:val="000613CA"/>
    <w:rsid w:val="0006214C"/>
    <w:rsid w:val="00065C74"/>
    <w:rsid w:val="00066601"/>
    <w:rsid w:val="000748CB"/>
    <w:rsid w:val="00083C40"/>
    <w:rsid w:val="00086163"/>
    <w:rsid w:val="000921A9"/>
    <w:rsid w:val="000A08E2"/>
    <w:rsid w:val="000A3091"/>
    <w:rsid w:val="000A5F73"/>
    <w:rsid w:val="000A7D0B"/>
    <w:rsid w:val="000B0BE1"/>
    <w:rsid w:val="000B1FCB"/>
    <w:rsid w:val="000B286E"/>
    <w:rsid w:val="000C5D61"/>
    <w:rsid w:val="000D0A56"/>
    <w:rsid w:val="000E05A2"/>
    <w:rsid w:val="000E2E63"/>
    <w:rsid w:val="000E66B6"/>
    <w:rsid w:val="000E6833"/>
    <w:rsid w:val="00110084"/>
    <w:rsid w:val="00111F6B"/>
    <w:rsid w:val="00113BD5"/>
    <w:rsid w:val="0011714E"/>
    <w:rsid w:val="0011790F"/>
    <w:rsid w:val="00120DC2"/>
    <w:rsid w:val="001221E5"/>
    <w:rsid w:val="00123B86"/>
    <w:rsid w:val="00123D6D"/>
    <w:rsid w:val="001263C3"/>
    <w:rsid w:val="00132C65"/>
    <w:rsid w:val="001334E2"/>
    <w:rsid w:val="00133F5D"/>
    <w:rsid w:val="0013777C"/>
    <w:rsid w:val="00140C61"/>
    <w:rsid w:val="001418C3"/>
    <w:rsid w:val="00145104"/>
    <w:rsid w:val="001473DD"/>
    <w:rsid w:val="001527B8"/>
    <w:rsid w:val="00152EF7"/>
    <w:rsid w:val="00154D3C"/>
    <w:rsid w:val="00161B14"/>
    <w:rsid w:val="00164D3D"/>
    <w:rsid w:val="00165009"/>
    <w:rsid w:val="001810D5"/>
    <w:rsid w:val="001842AB"/>
    <w:rsid w:val="001A1E9B"/>
    <w:rsid w:val="001A6742"/>
    <w:rsid w:val="001C31EC"/>
    <w:rsid w:val="001D21C9"/>
    <w:rsid w:val="001D3C56"/>
    <w:rsid w:val="001E3855"/>
    <w:rsid w:val="001E3BF5"/>
    <w:rsid w:val="001E74EB"/>
    <w:rsid w:val="001F37FA"/>
    <w:rsid w:val="001F600C"/>
    <w:rsid w:val="002019AB"/>
    <w:rsid w:val="00202150"/>
    <w:rsid w:val="00204718"/>
    <w:rsid w:val="00204F45"/>
    <w:rsid w:val="00210363"/>
    <w:rsid w:val="002141A0"/>
    <w:rsid w:val="00226E1A"/>
    <w:rsid w:val="00244120"/>
    <w:rsid w:val="00251DBE"/>
    <w:rsid w:val="00253214"/>
    <w:rsid w:val="0025402C"/>
    <w:rsid w:val="00257DAD"/>
    <w:rsid w:val="002611C9"/>
    <w:rsid w:val="0026351E"/>
    <w:rsid w:val="00263928"/>
    <w:rsid w:val="002673C4"/>
    <w:rsid w:val="00270FC6"/>
    <w:rsid w:val="002714A9"/>
    <w:rsid w:val="0027768F"/>
    <w:rsid w:val="002812E2"/>
    <w:rsid w:val="002861AB"/>
    <w:rsid w:val="00287844"/>
    <w:rsid w:val="0029444A"/>
    <w:rsid w:val="00296A50"/>
    <w:rsid w:val="00296E6F"/>
    <w:rsid w:val="002A07AC"/>
    <w:rsid w:val="002A183C"/>
    <w:rsid w:val="002A1E11"/>
    <w:rsid w:val="002A4EDA"/>
    <w:rsid w:val="002A6185"/>
    <w:rsid w:val="002A69B1"/>
    <w:rsid w:val="002A7615"/>
    <w:rsid w:val="002A7923"/>
    <w:rsid w:val="002B1D1F"/>
    <w:rsid w:val="002B31D7"/>
    <w:rsid w:val="002B412E"/>
    <w:rsid w:val="002C135B"/>
    <w:rsid w:val="002C451A"/>
    <w:rsid w:val="002D0138"/>
    <w:rsid w:val="002D1C47"/>
    <w:rsid w:val="002E13EB"/>
    <w:rsid w:val="002E7D9D"/>
    <w:rsid w:val="0030388F"/>
    <w:rsid w:val="003047F0"/>
    <w:rsid w:val="0030538D"/>
    <w:rsid w:val="00312867"/>
    <w:rsid w:val="00314E3B"/>
    <w:rsid w:val="003252F0"/>
    <w:rsid w:val="00332475"/>
    <w:rsid w:val="003339C1"/>
    <w:rsid w:val="00335DC3"/>
    <w:rsid w:val="00337810"/>
    <w:rsid w:val="0034007A"/>
    <w:rsid w:val="00347BCC"/>
    <w:rsid w:val="00352DBE"/>
    <w:rsid w:val="003649EA"/>
    <w:rsid w:val="003651F2"/>
    <w:rsid w:val="00374594"/>
    <w:rsid w:val="0038195C"/>
    <w:rsid w:val="003837EC"/>
    <w:rsid w:val="003852F8"/>
    <w:rsid w:val="00395893"/>
    <w:rsid w:val="003A13B0"/>
    <w:rsid w:val="003A1C4F"/>
    <w:rsid w:val="003A3CE6"/>
    <w:rsid w:val="003A3D64"/>
    <w:rsid w:val="003A3E2D"/>
    <w:rsid w:val="003A468C"/>
    <w:rsid w:val="003B1D52"/>
    <w:rsid w:val="003B1F65"/>
    <w:rsid w:val="003B31EC"/>
    <w:rsid w:val="003B5DBB"/>
    <w:rsid w:val="003B62A3"/>
    <w:rsid w:val="003B7D18"/>
    <w:rsid w:val="003C0985"/>
    <w:rsid w:val="003C3361"/>
    <w:rsid w:val="003D253D"/>
    <w:rsid w:val="003D369B"/>
    <w:rsid w:val="003D680D"/>
    <w:rsid w:val="003E529A"/>
    <w:rsid w:val="003F093F"/>
    <w:rsid w:val="003F123C"/>
    <w:rsid w:val="003F461E"/>
    <w:rsid w:val="003F6C1C"/>
    <w:rsid w:val="003F753B"/>
    <w:rsid w:val="003F7A96"/>
    <w:rsid w:val="00400FBF"/>
    <w:rsid w:val="00404255"/>
    <w:rsid w:val="00411CC6"/>
    <w:rsid w:val="004129C4"/>
    <w:rsid w:val="00412C11"/>
    <w:rsid w:val="00413E19"/>
    <w:rsid w:val="0041464E"/>
    <w:rsid w:val="004153A0"/>
    <w:rsid w:val="00416B32"/>
    <w:rsid w:val="004170DF"/>
    <w:rsid w:val="00426D7D"/>
    <w:rsid w:val="00427A26"/>
    <w:rsid w:val="00427C02"/>
    <w:rsid w:val="0043709D"/>
    <w:rsid w:val="004456A7"/>
    <w:rsid w:val="00445C1F"/>
    <w:rsid w:val="00462741"/>
    <w:rsid w:val="0046617B"/>
    <w:rsid w:val="00467D8E"/>
    <w:rsid w:val="004704DA"/>
    <w:rsid w:val="00470639"/>
    <w:rsid w:val="00477EDA"/>
    <w:rsid w:val="0048240F"/>
    <w:rsid w:val="004979E8"/>
    <w:rsid w:val="004A5AC8"/>
    <w:rsid w:val="004B002D"/>
    <w:rsid w:val="004B0C81"/>
    <w:rsid w:val="004B5023"/>
    <w:rsid w:val="004B53D4"/>
    <w:rsid w:val="004C0E34"/>
    <w:rsid w:val="004C1F17"/>
    <w:rsid w:val="004C2BD8"/>
    <w:rsid w:val="004C358F"/>
    <w:rsid w:val="004C6046"/>
    <w:rsid w:val="004D1C35"/>
    <w:rsid w:val="004D5CFB"/>
    <w:rsid w:val="004E446B"/>
    <w:rsid w:val="004F3C3D"/>
    <w:rsid w:val="004F5892"/>
    <w:rsid w:val="004F5C81"/>
    <w:rsid w:val="0050044A"/>
    <w:rsid w:val="0050165F"/>
    <w:rsid w:val="00501984"/>
    <w:rsid w:val="00501F49"/>
    <w:rsid w:val="00502AFB"/>
    <w:rsid w:val="005030CA"/>
    <w:rsid w:val="00513950"/>
    <w:rsid w:val="005168DD"/>
    <w:rsid w:val="00516A4A"/>
    <w:rsid w:val="00523108"/>
    <w:rsid w:val="00527652"/>
    <w:rsid w:val="005331B1"/>
    <w:rsid w:val="005340A7"/>
    <w:rsid w:val="00544026"/>
    <w:rsid w:val="00544AB0"/>
    <w:rsid w:val="0054556F"/>
    <w:rsid w:val="00545FDB"/>
    <w:rsid w:val="00546EB8"/>
    <w:rsid w:val="005510A3"/>
    <w:rsid w:val="005521F2"/>
    <w:rsid w:val="00552625"/>
    <w:rsid w:val="0056026C"/>
    <w:rsid w:val="00561891"/>
    <w:rsid w:val="005623F6"/>
    <w:rsid w:val="00564117"/>
    <w:rsid w:val="00564EDC"/>
    <w:rsid w:val="00573BA5"/>
    <w:rsid w:val="00575E2C"/>
    <w:rsid w:val="0057661D"/>
    <w:rsid w:val="00576839"/>
    <w:rsid w:val="00577DA4"/>
    <w:rsid w:val="00580480"/>
    <w:rsid w:val="00582680"/>
    <w:rsid w:val="00583115"/>
    <w:rsid w:val="0058570D"/>
    <w:rsid w:val="00590BBE"/>
    <w:rsid w:val="00594759"/>
    <w:rsid w:val="00595449"/>
    <w:rsid w:val="005B77C3"/>
    <w:rsid w:val="005C0B31"/>
    <w:rsid w:val="005C3D52"/>
    <w:rsid w:val="005C5EB6"/>
    <w:rsid w:val="005D7729"/>
    <w:rsid w:val="005E2849"/>
    <w:rsid w:val="005E3FC3"/>
    <w:rsid w:val="005E7905"/>
    <w:rsid w:val="005F1BEA"/>
    <w:rsid w:val="005F4406"/>
    <w:rsid w:val="005F583D"/>
    <w:rsid w:val="00602F9A"/>
    <w:rsid w:val="00606F8F"/>
    <w:rsid w:val="00607BD9"/>
    <w:rsid w:val="006122FC"/>
    <w:rsid w:val="006139BC"/>
    <w:rsid w:val="006202F5"/>
    <w:rsid w:val="00621DAA"/>
    <w:rsid w:val="00627A09"/>
    <w:rsid w:val="006312ED"/>
    <w:rsid w:val="00634301"/>
    <w:rsid w:val="00636FD4"/>
    <w:rsid w:val="006457F5"/>
    <w:rsid w:val="006474D9"/>
    <w:rsid w:val="00654A08"/>
    <w:rsid w:val="006551B5"/>
    <w:rsid w:val="006623AF"/>
    <w:rsid w:val="006629CD"/>
    <w:rsid w:val="00665EA2"/>
    <w:rsid w:val="00665F29"/>
    <w:rsid w:val="00667FF1"/>
    <w:rsid w:val="00670E7B"/>
    <w:rsid w:val="00672C2E"/>
    <w:rsid w:val="00672D56"/>
    <w:rsid w:val="00674FFA"/>
    <w:rsid w:val="006803EB"/>
    <w:rsid w:val="00680C46"/>
    <w:rsid w:val="006836C7"/>
    <w:rsid w:val="006879D7"/>
    <w:rsid w:val="00696AC6"/>
    <w:rsid w:val="006A4E0E"/>
    <w:rsid w:val="006A6F10"/>
    <w:rsid w:val="006B080E"/>
    <w:rsid w:val="006B4B51"/>
    <w:rsid w:val="006B5105"/>
    <w:rsid w:val="006C3F5D"/>
    <w:rsid w:val="006C5EAF"/>
    <w:rsid w:val="006D33B7"/>
    <w:rsid w:val="006D6210"/>
    <w:rsid w:val="006D6369"/>
    <w:rsid w:val="006E0F1D"/>
    <w:rsid w:val="006E1294"/>
    <w:rsid w:val="006E376C"/>
    <w:rsid w:val="006E424B"/>
    <w:rsid w:val="006E5A62"/>
    <w:rsid w:val="006E691D"/>
    <w:rsid w:val="006F1836"/>
    <w:rsid w:val="006F2311"/>
    <w:rsid w:val="006F3D1B"/>
    <w:rsid w:val="006F5C33"/>
    <w:rsid w:val="00704549"/>
    <w:rsid w:val="00704B82"/>
    <w:rsid w:val="00704C33"/>
    <w:rsid w:val="00710FA9"/>
    <w:rsid w:val="00721870"/>
    <w:rsid w:val="007345BC"/>
    <w:rsid w:val="00743285"/>
    <w:rsid w:val="00753EEE"/>
    <w:rsid w:val="00762932"/>
    <w:rsid w:val="007636C2"/>
    <w:rsid w:val="00782E6A"/>
    <w:rsid w:val="00783B7D"/>
    <w:rsid w:val="00785E0B"/>
    <w:rsid w:val="007861E2"/>
    <w:rsid w:val="007878F6"/>
    <w:rsid w:val="007938A8"/>
    <w:rsid w:val="007A087D"/>
    <w:rsid w:val="007A24CF"/>
    <w:rsid w:val="007A680B"/>
    <w:rsid w:val="007A6E1E"/>
    <w:rsid w:val="007A78FB"/>
    <w:rsid w:val="007B3900"/>
    <w:rsid w:val="007B75E6"/>
    <w:rsid w:val="007C1C1E"/>
    <w:rsid w:val="007D426F"/>
    <w:rsid w:val="007D7217"/>
    <w:rsid w:val="007E013D"/>
    <w:rsid w:val="007F1902"/>
    <w:rsid w:val="00800E2B"/>
    <w:rsid w:val="00802C9E"/>
    <w:rsid w:val="00804D82"/>
    <w:rsid w:val="0081033B"/>
    <w:rsid w:val="008176EC"/>
    <w:rsid w:val="0082702D"/>
    <w:rsid w:val="008271FC"/>
    <w:rsid w:val="00837A90"/>
    <w:rsid w:val="00845770"/>
    <w:rsid w:val="00864884"/>
    <w:rsid w:val="00864987"/>
    <w:rsid w:val="00870515"/>
    <w:rsid w:val="00871D1A"/>
    <w:rsid w:val="00871E20"/>
    <w:rsid w:val="008764B5"/>
    <w:rsid w:val="00876DAE"/>
    <w:rsid w:val="008817AE"/>
    <w:rsid w:val="0088713F"/>
    <w:rsid w:val="008927B4"/>
    <w:rsid w:val="0089387C"/>
    <w:rsid w:val="008959BC"/>
    <w:rsid w:val="00896221"/>
    <w:rsid w:val="008969C1"/>
    <w:rsid w:val="00896A3C"/>
    <w:rsid w:val="008977AB"/>
    <w:rsid w:val="008A5BD3"/>
    <w:rsid w:val="008B6657"/>
    <w:rsid w:val="008B7619"/>
    <w:rsid w:val="008C3781"/>
    <w:rsid w:val="008C4708"/>
    <w:rsid w:val="008C64BA"/>
    <w:rsid w:val="008D6308"/>
    <w:rsid w:val="008E2D49"/>
    <w:rsid w:val="008E4910"/>
    <w:rsid w:val="008F1FAA"/>
    <w:rsid w:val="008F2666"/>
    <w:rsid w:val="00901F2F"/>
    <w:rsid w:val="00902046"/>
    <w:rsid w:val="009037CD"/>
    <w:rsid w:val="00906D36"/>
    <w:rsid w:val="00911083"/>
    <w:rsid w:val="00911D53"/>
    <w:rsid w:val="00913418"/>
    <w:rsid w:val="00921FB8"/>
    <w:rsid w:val="00923F35"/>
    <w:rsid w:val="00925911"/>
    <w:rsid w:val="00926FC0"/>
    <w:rsid w:val="0092794B"/>
    <w:rsid w:val="009318CE"/>
    <w:rsid w:val="00932DD1"/>
    <w:rsid w:val="00934B59"/>
    <w:rsid w:val="009357BD"/>
    <w:rsid w:val="009420B4"/>
    <w:rsid w:val="009520E7"/>
    <w:rsid w:val="00952199"/>
    <w:rsid w:val="00953407"/>
    <w:rsid w:val="0095641B"/>
    <w:rsid w:val="0096132F"/>
    <w:rsid w:val="00986165"/>
    <w:rsid w:val="00992630"/>
    <w:rsid w:val="00994B37"/>
    <w:rsid w:val="00996080"/>
    <w:rsid w:val="009A1D06"/>
    <w:rsid w:val="009A3869"/>
    <w:rsid w:val="009C093D"/>
    <w:rsid w:val="009C14B3"/>
    <w:rsid w:val="009C56C2"/>
    <w:rsid w:val="009C61CC"/>
    <w:rsid w:val="009D1452"/>
    <w:rsid w:val="009D3FB5"/>
    <w:rsid w:val="009D647C"/>
    <w:rsid w:val="009F1941"/>
    <w:rsid w:val="009F28FC"/>
    <w:rsid w:val="00A059F1"/>
    <w:rsid w:val="00A06450"/>
    <w:rsid w:val="00A13D7F"/>
    <w:rsid w:val="00A20072"/>
    <w:rsid w:val="00A2130A"/>
    <w:rsid w:val="00A21CFE"/>
    <w:rsid w:val="00A27875"/>
    <w:rsid w:val="00A338F5"/>
    <w:rsid w:val="00A35C70"/>
    <w:rsid w:val="00A35D63"/>
    <w:rsid w:val="00A454B4"/>
    <w:rsid w:val="00A45B4E"/>
    <w:rsid w:val="00A46851"/>
    <w:rsid w:val="00A50491"/>
    <w:rsid w:val="00A51AF3"/>
    <w:rsid w:val="00A5234E"/>
    <w:rsid w:val="00A53376"/>
    <w:rsid w:val="00A53C43"/>
    <w:rsid w:val="00A62E22"/>
    <w:rsid w:val="00A64DD1"/>
    <w:rsid w:val="00A65B77"/>
    <w:rsid w:val="00A70951"/>
    <w:rsid w:val="00A73A2F"/>
    <w:rsid w:val="00A86F72"/>
    <w:rsid w:val="00A9284C"/>
    <w:rsid w:val="00A96D31"/>
    <w:rsid w:val="00AA1E11"/>
    <w:rsid w:val="00AA7787"/>
    <w:rsid w:val="00AB4885"/>
    <w:rsid w:val="00AB53BF"/>
    <w:rsid w:val="00AB5D0D"/>
    <w:rsid w:val="00AC0958"/>
    <w:rsid w:val="00AC60EA"/>
    <w:rsid w:val="00AC77C3"/>
    <w:rsid w:val="00AD1692"/>
    <w:rsid w:val="00AE078B"/>
    <w:rsid w:val="00AE3669"/>
    <w:rsid w:val="00AF0D4C"/>
    <w:rsid w:val="00B02F8D"/>
    <w:rsid w:val="00B10EE9"/>
    <w:rsid w:val="00B11059"/>
    <w:rsid w:val="00B12E08"/>
    <w:rsid w:val="00B1566A"/>
    <w:rsid w:val="00B22187"/>
    <w:rsid w:val="00B3183B"/>
    <w:rsid w:val="00B365FA"/>
    <w:rsid w:val="00B401F4"/>
    <w:rsid w:val="00B40360"/>
    <w:rsid w:val="00B446E1"/>
    <w:rsid w:val="00B52A8D"/>
    <w:rsid w:val="00B5338C"/>
    <w:rsid w:val="00B536E9"/>
    <w:rsid w:val="00B575F5"/>
    <w:rsid w:val="00B65855"/>
    <w:rsid w:val="00B707B4"/>
    <w:rsid w:val="00B73B83"/>
    <w:rsid w:val="00B74623"/>
    <w:rsid w:val="00B74DA1"/>
    <w:rsid w:val="00B823F7"/>
    <w:rsid w:val="00B87785"/>
    <w:rsid w:val="00B90BF2"/>
    <w:rsid w:val="00B92741"/>
    <w:rsid w:val="00B94709"/>
    <w:rsid w:val="00B94909"/>
    <w:rsid w:val="00B95153"/>
    <w:rsid w:val="00B95D19"/>
    <w:rsid w:val="00BA0FCB"/>
    <w:rsid w:val="00BB716A"/>
    <w:rsid w:val="00BC1C56"/>
    <w:rsid w:val="00BC7ADB"/>
    <w:rsid w:val="00BC7BDE"/>
    <w:rsid w:val="00BD2772"/>
    <w:rsid w:val="00BE7B13"/>
    <w:rsid w:val="00BF1543"/>
    <w:rsid w:val="00BF70DE"/>
    <w:rsid w:val="00C05754"/>
    <w:rsid w:val="00C1125C"/>
    <w:rsid w:val="00C160D3"/>
    <w:rsid w:val="00C20E5C"/>
    <w:rsid w:val="00C26B74"/>
    <w:rsid w:val="00C35B47"/>
    <w:rsid w:val="00C37158"/>
    <w:rsid w:val="00C42E46"/>
    <w:rsid w:val="00C4690B"/>
    <w:rsid w:val="00C47216"/>
    <w:rsid w:val="00C4750C"/>
    <w:rsid w:val="00C47AEE"/>
    <w:rsid w:val="00C47D81"/>
    <w:rsid w:val="00C51AEB"/>
    <w:rsid w:val="00C557BC"/>
    <w:rsid w:val="00C640A5"/>
    <w:rsid w:val="00C651CC"/>
    <w:rsid w:val="00C720F0"/>
    <w:rsid w:val="00C75FD7"/>
    <w:rsid w:val="00C76EC2"/>
    <w:rsid w:val="00C8097F"/>
    <w:rsid w:val="00C82583"/>
    <w:rsid w:val="00C83657"/>
    <w:rsid w:val="00C84394"/>
    <w:rsid w:val="00C90953"/>
    <w:rsid w:val="00C92B21"/>
    <w:rsid w:val="00CA0643"/>
    <w:rsid w:val="00CA2854"/>
    <w:rsid w:val="00CA2AB7"/>
    <w:rsid w:val="00CA3134"/>
    <w:rsid w:val="00CA527F"/>
    <w:rsid w:val="00CA6544"/>
    <w:rsid w:val="00CB11F7"/>
    <w:rsid w:val="00CB3A7C"/>
    <w:rsid w:val="00CB7753"/>
    <w:rsid w:val="00CC6018"/>
    <w:rsid w:val="00CC6F56"/>
    <w:rsid w:val="00CC7F5F"/>
    <w:rsid w:val="00CD0C96"/>
    <w:rsid w:val="00CD47EF"/>
    <w:rsid w:val="00CD48B3"/>
    <w:rsid w:val="00CD4C98"/>
    <w:rsid w:val="00CD5D69"/>
    <w:rsid w:val="00CE7199"/>
    <w:rsid w:val="00CE7C35"/>
    <w:rsid w:val="00CE7E67"/>
    <w:rsid w:val="00CF086D"/>
    <w:rsid w:val="00CF52D5"/>
    <w:rsid w:val="00CF6415"/>
    <w:rsid w:val="00CF6FB9"/>
    <w:rsid w:val="00D03016"/>
    <w:rsid w:val="00D1257F"/>
    <w:rsid w:val="00D12E7B"/>
    <w:rsid w:val="00D1741A"/>
    <w:rsid w:val="00D2553E"/>
    <w:rsid w:val="00D27A07"/>
    <w:rsid w:val="00D322B6"/>
    <w:rsid w:val="00D357CF"/>
    <w:rsid w:val="00D44EAA"/>
    <w:rsid w:val="00D45C6E"/>
    <w:rsid w:val="00D5457D"/>
    <w:rsid w:val="00D56AF6"/>
    <w:rsid w:val="00D61996"/>
    <w:rsid w:val="00D64A0B"/>
    <w:rsid w:val="00D66984"/>
    <w:rsid w:val="00D70DD6"/>
    <w:rsid w:val="00D7129B"/>
    <w:rsid w:val="00D7554C"/>
    <w:rsid w:val="00D80587"/>
    <w:rsid w:val="00D81676"/>
    <w:rsid w:val="00D823B5"/>
    <w:rsid w:val="00D93447"/>
    <w:rsid w:val="00D97766"/>
    <w:rsid w:val="00DA2AAC"/>
    <w:rsid w:val="00DA7419"/>
    <w:rsid w:val="00DB6D30"/>
    <w:rsid w:val="00DC13E4"/>
    <w:rsid w:val="00DC2214"/>
    <w:rsid w:val="00DC2665"/>
    <w:rsid w:val="00DC2769"/>
    <w:rsid w:val="00DD1186"/>
    <w:rsid w:val="00DD124D"/>
    <w:rsid w:val="00DD22E1"/>
    <w:rsid w:val="00DE0419"/>
    <w:rsid w:val="00DE5A5E"/>
    <w:rsid w:val="00DF06F0"/>
    <w:rsid w:val="00E030CE"/>
    <w:rsid w:val="00E15A6D"/>
    <w:rsid w:val="00E1695A"/>
    <w:rsid w:val="00E276A4"/>
    <w:rsid w:val="00E30661"/>
    <w:rsid w:val="00E31DD0"/>
    <w:rsid w:val="00E32A7D"/>
    <w:rsid w:val="00E40E60"/>
    <w:rsid w:val="00E452E8"/>
    <w:rsid w:val="00E461C5"/>
    <w:rsid w:val="00E52914"/>
    <w:rsid w:val="00E5671E"/>
    <w:rsid w:val="00E65202"/>
    <w:rsid w:val="00E65C75"/>
    <w:rsid w:val="00E67870"/>
    <w:rsid w:val="00E67D46"/>
    <w:rsid w:val="00E70F18"/>
    <w:rsid w:val="00E7134A"/>
    <w:rsid w:val="00E73507"/>
    <w:rsid w:val="00E73A0A"/>
    <w:rsid w:val="00E76DFB"/>
    <w:rsid w:val="00E83706"/>
    <w:rsid w:val="00E8696F"/>
    <w:rsid w:val="00E91AAC"/>
    <w:rsid w:val="00E92DF1"/>
    <w:rsid w:val="00EA3C48"/>
    <w:rsid w:val="00EA5689"/>
    <w:rsid w:val="00EA5E4A"/>
    <w:rsid w:val="00EB374C"/>
    <w:rsid w:val="00EC29FB"/>
    <w:rsid w:val="00EC570E"/>
    <w:rsid w:val="00EC5E83"/>
    <w:rsid w:val="00ED066E"/>
    <w:rsid w:val="00ED65C7"/>
    <w:rsid w:val="00EE0295"/>
    <w:rsid w:val="00EE05EB"/>
    <w:rsid w:val="00EE24AE"/>
    <w:rsid w:val="00F010FC"/>
    <w:rsid w:val="00F07A2F"/>
    <w:rsid w:val="00F1047D"/>
    <w:rsid w:val="00F11C21"/>
    <w:rsid w:val="00F15FBF"/>
    <w:rsid w:val="00F23E38"/>
    <w:rsid w:val="00F259BD"/>
    <w:rsid w:val="00F31B0B"/>
    <w:rsid w:val="00F3314C"/>
    <w:rsid w:val="00F34FF0"/>
    <w:rsid w:val="00F43C25"/>
    <w:rsid w:val="00F45F2D"/>
    <w:rsid w:val="00F4605D"/>
    <w:rsid w:val="00F4744C"/>
    <w:rsid w:val="00F47811"/>
    <w:rsid w:val="00F50A39"/>
    <w:rsid w:val="00F534EB"/>
    <w:rsid w:val="00F53E95"/>
    <w:rsid w:val="00F56011"/>
    <w:rsid w:val="00F57276"/>
    <w:rsid w:val="00F61CEC"/>
    <w:rsid w:val="00F64D3F"/>
    <w:rsid w:val="00F66870"/>
    <w:rsid w:val="00F714AB"/>
    <w:rsid w:val="00F74DBA"/>
    <w:rsid w:val="00F758CF"/>
    <w:rsid w:val="00F9480B"/>
    <w:rsid w:val="00FB1556"/>
    <w:rsid w:val="00FB29EB"/>
    <w:rsid w:val="00FB32BC"/>
    <w:rsid w:val="00FB359B"/>
    <w:rsid w:val="00FB3CFB"/>
    <w:rsid w:val="00FB51A3"/>
    <w:rsid w:val="00FB66B7"/>
    <w:rsid w:val="00FC46CB"/>
    <w:rsid w:val="00FD25DF"/>
    <w:rsid w:val="00FD72F8"/>
    <w:rsid w:val="00FE115D"/>
    <w:rsid w:val="00FE1999"/>
    <w:rsid w:val="00FE6D18"/>
    <w:rsid w:val="00FF12AC"/>
    <w:rsid w:val="00FF33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47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507"/>
    <w:pPr>
      <w:spacing w:after="0" w:line="280" w:lineRule="atLeast"/>
    </w:pPr>
    <w:rPr>
      <w:rFonts w:ascii="Arial" w:hAnsi="Arial"/>
      <w:sz w:val="20"/>
    </w:rPr>
  </w:style>
  <w:style w:type="paragraph" w:styleId="Overskrift1">
    <w:name w:val="heading 1"/>
    <w:basedOn w:val="Normal"/>
    <w:next w:val="Normal"/>
    <w:link w:val="Overskrift1Tegn"/>
    <w:uiPriority w:val="9"/>
    <w:qFormat/>
    <w:rsid w:val="007D7217"/>
    <w:pPr>
      <w:keepNext/>
      <w:keepLines/>
      <w:spacing w:before="480"/>
      <w:outlineLvl w:val="0"/>
    </w:pPr>
    <w:rPr>
      <w:rFonts w:asciiTheme="majorHAnsi" w:eastAsiaTheme="majorEastAsia" w:hAnsiTheme="majorHAnsi" w:cstheme="majorBidi"/>
      <w:b/>
      <w:bCs/>
      <w:color w:val="00707D" w:themeColor="accent1" w:themeShade="BF"/>
      <w:sz w:val="28"/>
      <w:szCs w:val="28"/>
    </w:rPr>
  </w:style>
  <w:style w:type="paragraph" w:styleId="Overskrift2">
    <w:name w:val="heading 2"/>
    <w:basedOn w:val="Normal"/>
    <w:next w:val="Normal"/>
    <w:link w:val="Overskrift2Tegn"/>
    <w:uiPriority w:val="9"/>
    <w:unhideWhenUsed/>
    <w:qFormat/>
    <w:rsid w:val="00CD48B3"/>
    <w:pPr>
      <w:keepNext/>
      <w:keepLines/>
      <w:spacing w:before="200"/>
      <w:outlineLvl w:val="1"/>
    </w:pPr>
    <w:rPr>
      <w:rFonts w:asciiTheme="majorHAnsi" w:eastAsiaTheme="majorEastAsia" w:hAnsiTheme="majorHAnsi" w:cstheme="majorBidi"/>
      <w:b/>
      <w:bCs/>
      <w:color w:val="0097A7" w:themeColor="accent1"/>
      <w:sz w:val="26"/>
      <w:szCs w:val="26"/>
    </w:rPr>
  </w:style>
  <w:style w:type="paragraph" w:styleId="Overskrift3">
    <w:name w:val="heading 3"/>
    <w:basedOn w:val="Normal"/>
    <w:next w:val="Normal"/>
    <w:link w:val="Overskrift3Tegn"/>
    <w:uiPriority w:val="9"/>
    <w:unhideWhenUsed/>
    <w:qFormat/>
    <w:rsid w:val="00CD48B3"/>
    <w:pPr>
      <w:keepNext/>
      <w:keepLines/>
      <w:spacing w:before="200"/>
      <w:outlineLvl w:val="2"/>
    </w:pPr>
    <w:rPr>
      <w:rFonts w:asciiTheme="majorHAnsi" w:eastAsiaTheme="majorEastAsia" w:hAnsiTheme="majorHAnsi" w:cstheme="majorBidi"/>
      <w:b/>
      <w:bCs/>
      <w:color w:val="0097A7"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character" w:customStyle="1" w:styleId="Overskrift2Tegn">
    <w:name w:val="Overskrift 2 Tegn"/>
    <w:basedOn w:val="Standardskrifttypeiafsnit"/>
    <w:link w:val="Overskrift2"/>
    <w:uiPriority w:val="9"/>
    <w:rsid w:val="00CD48B3"/>
    <w:rPr>
      <w:rFonts w:asciiTheme="majorHAnsi" w:eastAsiaTheme="majorEastAsia" w:hAnsiTheme="majorHAnsi" w:cstheme="majorBidi"/>
      <w:b/>
      <w:bCs/>
      <w:color w:val="0097A7" w:themeColor="accent1"/>
      <w:sz w:val="26"/>
      <w:szCs w:val="26"/>
    </w:rPr>
  </w:style>
  <w:style w:type="character" w:customStyle="1" w:styleId="Overskrift3Tegn">
    <w:name w:val="Overskrift 3 Tegn"/>
    <w:basedOn w:val="Standardskrifttypeiafsnit"/>
    <w:link w:val="Overskrift3"/>
    <w:uiPriority w:val="9"/>
    <w:rsid w:val="00CD48B3"/>
    <w:rPr>
      <w:rFonts w:asciiTheme="majorHAnsi" w:eastAsiaTheme="majorEastAsia" w:hAnsiTheme="majorHAnsi" w:cstheme="majorBidi"/>
      <w:b/>
      <w:bCs/>
      <w:color w:val="0097A7" w:themeColor="accent1"/>
      <w:sz w:val="20"/>
    </w:rPr>
  </w:style>
  <w:style w:type="character" w:customStyle="1" w:styleId="Overskrift1Tegn">
    <w:name w:val="Overskrift 1 Tegn"/>
    <w:basedOn w:val="Standardskrifttypeiafsnit"/>
    <w:link w:val="Overskrift1"/>
    <w:uiPriority w:val="9"/>
    <w:rsid w:val="007D7217"/>
    <w:rPr>
      <w:rFonts w:asciiTheme="majorHAnsi" w:eastAsiaTheme="majorEastAsia" w:hAnsiTheme="majorHAnsi" w:cstheme="majorBidi"/>
      <w:b/>
      <w:bCs/>
      <w:color w:val="00707D" w:themeColor="accent1" w:themeShade="BF"/>
      <w:sz w:val="28"/>
      <w:szCs w:val="28"/>
    </w:rPr>
  </w:style>
  <w:style w:type="paragraph" w:styleId="Listeafsnit">
    <w:name w:val="List Paragraph"/>
    <w:basedOn w:val="Normal"/>
    <w:uiPriority w:val="34"/>
    <w:qFormat/>
    <w:rsid w:val="00411CC6"/>
    <w:pPr>
      <w:spacing w:after="160" w:line="254" w:lineRule="auto"/>
      <w:ind w:left="720"/>
      <w:contextualSpacing/>
    </w:pPr>
    <w:rPr>
      <w:rFonts w:asciiTheme="minorHAnsi" w:hAnsiTheme="minorHAnsi"/>
      <w:sz w:val="22"/>
    </w:rPr>
  </w:style>
  <w:style w:type="paragraph" w:customStyle="1" w:styleId="Default">
    <w:name w:val="Default"/>
    <w:rsid w:val="00411CC6"/>
    <w:pPr>
      <w:autoSpaceDE w:val="0"/>
      <w:autoSpaceDN w:val="0"/>
      <w:adjustRightInd w:val="0"/>
      <w:spacing w:after="0" w:line="240" w:lineRule="auto"/>
    </w:pPr>
    <w:rPr>
      <w:rFonts w:ascii="Georgia Pro" w:hAnsi="Georgia Pro" w:cs="Georgia Pro"/>
      <w:color w:val="000000"/>
      <w:sz w:val="24"/>
      <w:szCs w:val="24"/>
    </w:rPr>
  </w:style>
  <w:style w:type="paragraph" w:styleId="Opstilling-punkttegn">
    <w:name w:val="List Bullet"/>
    <w:basedOn w:val="Normal"/>
    <w:uiPriority w:val="99"/>
    <w:semiHidden/>
    <w:unhideWhenUsed/>
    <w:rsid w:val="00582680"/>
    <w:pPr>
      <w:spacing w:before="100" w:beforeAutospacing="1" w:after="100" w:afterAutospacing="1" w:line="240" w:lineRule="auto"/>
    </w:pPr>
    <w:rPr>
      <w:rFonts w:ascii="Calibri" w:eastAsia="Times New Roman" w:hAnsi="Calibri" w:cs="Calibri"/>
      <w:sz w:val="22"/>
      <w:lang w:eastAsia="da-DK"/>
    </w:rPr>
  </w:style>
  <w:style w:type="paragraph" w:customStyle="1" w:styleId="Pa18">
    <w:name w:val="Pa18"/>
    <w:basedOn w:val="Default"/>
    <w:next w:val="Default"/>
    <w:uiPriority w:val="99"/>
    <w:rsid w:val="006F5C33"/>
    <w:pPr>
      <w:spacing w:line="181" w:lineRule="atLeast"/>
    </w:pPr>
    <w:rPr>
      <w:rFonts w:ascii="EC Square Sans Pro" w:hAnsi="EC Square Sans Pro" w:cstheme="minorBidi"/>
      <w:color w:val="auto"/>
    </w:rPr>
  </w:style>
  <w:style w:type="character" w:styleId="BesgtLink">
    <w:name w:val="FollowedHyperlink"/>
    <w:basedOn w:val="Standardskrifttypeiafsnit"/>
    <w:uiPriority w:val="99"/>
    <w:semiHidden/>
    <w:unhideWhenUsed/>
    <w:rsid w:val="00AA1E11"/>
    <w:rPr>
      <w:color w:val="800080" w:themeColor="followedHyperlink"/>
      <w:u w:val="single"/>
    </w:rPr>
  </w:style>
  <w:style w:type="character" w:styleId="Kommentarhenvisning">
    <w:name w:val="annotation reference"/>
    <w:basedOn w:val="Standardskrifttypeiafsnit"/>
    <w:uiPriority w:val="99"/>
    <w:semiHidden/>
    <w:unhideWhenUsed/>
    <w:rsid w:val="002714A9"/>
    <w:rPr>
      <w:sz w:val="16"/>
      <w:szCs w:val="16"/>
    </w:rPr>
  </w:style>
  <w:style w:type="paragraph" w:styleId="Kommentartekst">
    <w:name w:val="annotation text"/>
    <w:basedOn w:val="Normal"/>
    <w:link w:val="KommentartekstTegn"/>
    <w:uiPriority w:val="99"/>
    <w:unhideWhenUsed/>
    <w:rsid w:val="002714A9"/>
    <w:pPr>
      <w:spacing w:line="240" w:lineRule="auto"/>
    </w:pPr>
    <w:rPr>
      <w:szCs w:val="20"/>
    </w:rPr>
  </w:style>
  <w:style w:type="character" w:customStyle="1" w:styleId="KommentartekstTegn">
    <w:name w:val="Kommentartekst Tegn"/>
    <w:basedOn w:val="Standardskrifttypeiafsnit"/>
    <w:link w:val="Kommentartekst"/>
    <w:uiPriority w:val="99"/>
    <w:rsid w:val="002714A9"/>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2714A9"/>
    <w:rPr>
      <w:b/>
      <w:bCs/>
    </w:rPr>
  </w:style>
  <w:style w:type="character" w:customStyle="1" w:styleId="KommentaremneTegn">
    <w:name w:val="Kommentaremne Tegn"/>
    <w:basedOn w:val="KommentartekstTegn"/>
    <w:link w:val="Kommentaremne"/>
    <w:uiPriority w:val="99"/>
    <w:semiHidden/>
    <w:rsid w:val="002714A9"/>
    <w:rPr>
      <w:rFonts w:ascii="Arial" w:hAnsi="Arial"/>
      <w:b/>
      <w:bCs/>
      <w:sz w:val="20"/>
      <w:szCs w:val="20"/>
    </w:rPr>
  </w:style>
  <w:style w:type="paragraph" w:styleId="Korrektur">
    <w:name w:val="Revision"/>
    <w:hidden/>
    <w:uiPriority w:val="99"/>
    <w:semiHidden/>
    <w:rsid w:val="003F461E"/>
    <w:pPr>
      <w:spacing w:after="0" w:line="240" w:lineRule="auto"/>
    </w:pPr>
    <w:rPr>
      <w:rFonts w:ascii="Arial" w:hAnsi="Arial"/>
      <w:sz w:val="20"/>
    </w:rPr>
  </w:style>
  <w:style w:type="paragraph" w:styleId="Indholdsfortegnelse2">
    <w:name w:val="toc 2"/>
    <w:basedOn w:val="Normal"/>
    <w:next w:val="Normal"/>
    <w:autoRedefine/>
    <w:uiPriority w:val="39"/>
    <w:unhideWhenUsed/>
    <w:rsid w:val="00A86F72"/>
    <w:pPr>
      <w:tabs>
        <w:tab w:val="right" w:leader="dot" w:pos="7389"/>
      </w:tabs>
      <w:spacing w:after="100"/>
      <w:ind w:left="200"/>
    </w:pPr>
  </w:style>
  <w:style w:type="paragraph" w:styleId="Indholdsfortegnelse1">
    <w:name w:val="toc 1"/>
    <w:basedOn w:val="Normal"/>
    <w:next w:val="Normal"/>
    <w:autoRedefine/>
    <w:uiPriority w:val="39"/>
    <w:unhideWhenUsed/>
    <w:rsid w:val="00A86F7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93332">
      <w:bodyDiv w:val="1"/>
      <w:marLeft w:val="0"/>
      <w:marRight w:val="0"/>
      <w:marTop w:val="0"/>
      <w:marBottom w:val="0"/>
      <w:divBdr>
        <w:top w:val="none" w:sz="0" w:space="0" w:color="auto"/>
        <w:left w:val="none" w:sz="0" w:space="0" w:color="auto"/>
        <w:bottom w:val="none" w:sz="0" w:space="0" w:color="auto"/>
        <w:right w:val="none" w:sz="0" w:space="0" w:color="auto"/>
      </w:divBdr>
    </w:div>
    <w:div w:id="128667213">
      <w:bodyDiv w:val="1"/>
      <w:marLeft w:val="0"/>
      <w:marRight w:val="0"/>
      <w:marTop w:val="0"/>
      <w:marBottom w:val="0"/>
      <w:divBdr>
        <w:top w:val="none" w:sz="0" w:space="0" w:color="auto"/>
        <w:left w:val="none" w:sz="0" w:space="0" w:color="auto"/>
        <w:bottom w:val="none" w:sz="0" w:space="0" w:color="auto"/>
        <w:right w:val="none" w:sz="0" w:space="0" w:color="auto"/>
      </w:divBdr>
    </w:div>
    <w:div w:id="193151818">
      <w:bodyDiv w:val="1"/>
      <w:marLeft w:val="0"/>
      <w:marRight w:val="0"/>
      <w:marTop w:val="0"/>
      <w:marBottom w:val="0"/>
      <w:divBdr>
        <w:top w:val="none" w:sz="0" w:space="0" w:color="auto"/>
        <w:left w:val="none" w:sz="0" w:space="0" w:color="auto"/>
        <w:bottom w:val="none" w:sz="0" w:space="0" w:color="auto"/>
        <w:right w:val="none" w:sz="0" w:space="0" w:color="auto"/>
      </w:divBdr>
    </w:div>
    <w:div w:id="287392648">
      <w:bodyDiv w:val="1"/>
      <w:marLeft w:val="0"/>
      <w:marRight w:val="0"/>
      <w:marTop w:val="0"/>
      <w:marBottom w:val="0"/>
      <w:divBdr>
        <w:top w:val="none" w:sz="0" w:space="0" w:color="auto"/>
        <w:left w:val="none" w:sz="0" w:space="0" w:color="auto"/>
        <w:bottom w:val="none" w:sz="0" w:space="0" w:color="auto"/>
        <w:right w:val="none" w:sz="0" w:space="0" w:color="auto"/>
      </w:divBdr>
    </w:div>
    <w:div w:id="512375116">
      <w:bodyDiv w:val="1"/>
      <w:marLeft w:val="0"/>
      <w:marRight w:val="0"/>
      <w:marTop w:val="0"/>
      <w:marBottom w:val="0"/>
      <w:divBdr>
        <w:top w:val="none" w:sz="0" w:space="0" w:color="auto"/>
        <w:left w:val="none" w:sz="0" w:space="0" w:color="auto"/>
        <w:bottom w:val="none" w:sz="0" w:space="0" w:color="auto"/>
        <w:right w:val="none" w:sz="0" w:space="0" w:color="auto"/>
      </w:divBdr>
    </w:div>
    <w:div w:id="538321886">
      <w:bodyDiv w:val="1"/>
      <w:marLeft w:val="0"/>
      <w:marRight w:val="0"/>
      <w:marTop w:val="0"/>
      <w:marBottom w:val="0"/>
      <w:divBdr>
        <w:top w:val="none" w:sz="0" w:space="0" w:color="auto"/>
        <w:left w:val="none" w:sz="0" w:space="0" w:color="auto"/>
        <w:bottom w:val="none" w:sz="0" w:space="0" w:color="auto"/>
        <w:right w:val="none" w:sz="0" w:space="0" w:color="auto"/>
      </w:divBdr>
    </w:div>
    <w:div w:id="887379293">
      <w:bodyDiv w:val="1"/>
      <w:marLeft w:val="0"/>
      <w:marRight w:val="0"/>
      <w:marTop w:val="0"/>
      <w:marBottom w:val="0"/>
      <w:divBdr>
        <w:top w:val="none" w:sz="0" w:space="0" w:color="auto"/>
        <w:left w:val="none" w:sz="0" w:space="0" w:color="auto"/>
        <w:bottom w:val="none" w:sz="0" w:space="0" w:color="auto"/>
        <w:right w:val="none" w:sz="0" w:space="0" w:color="auto"/>
      </w:divBdr>
    </w:div>
    <w:div w:id="977103675">
      <w:bodyDiv w:val="1"/>
      <w:marLeft w:val="0"/>
      <w:marRight w:val="0"/>
      <w:marTop w:val="0"/>
      <w:marBottom w:val="0"/>
      <w:divBdr>
        <w:top w:val="none" w:sz="0" w:space="0" w:color="auto"/>
        <w:left w:val="none" w:sz="0" w:space="0" w:color="auto"/>
        <w:bottom w:val="none" w:sz="0" w:space="0" w:color="auto"/>
        <w:right w:val="none" w:sz="0" w:space="0" w:color="auto"/>
      </w:divBdr>
    </w:div>
    <w:div w:id="1243833952">
      <w:bodyDiv w:val="1"/>
      <w:marLeft w:val="0"/>
      <w:marRight w:val="0"/>
      <w:marTop w:val="0"/>
      <w:marBottom w:val="0"/>
      <w:divBdr>
        <w:top w:val="none" w:sz="0" w:space="0" w:color="auto"/>
        <w:left w:val="none" w:sz="0" w:space="0" w:color="auto"/>
        <w:bottom w:val="none" w:sz="0" w:space="0" w:color="auto"/>
        <w:right w:val="none" w:sz="0" w:space="0" w:color="auto"/>
      </w:divBdr>
    </w:div>
    <w:div w:id="1270047870">
      <w:bodyDiv w:val="1"/>
      <w:marLeft w:val="0"/>
      <w:marRight w:val="0"/>
      <w:marTop w:val="0"/>
      <w:marBottom w:val="0"/>
      <w:divBdr>
        <w:top w:val="none" w:sz="0" w:space="0" w:color="auto"/>
        <w:left w:val="none" w:sz="0" w:space="0" w:color="auto"/>
        <w:bottom w:val="none" w:sz="0" w:space="0" w:color="auto"/>
        <w:right w:val="none" w:sz="0" w:space="0" w:color="auto"/>
      </w:divBdr>
    </w:div>
    <w:div w:id="1584097702">
      <w:bodyDiv w:val="1"/>
      <w:marLeft w:val="0"/>
      <w:marRight w:val="0"/>
      <w:marTop w:val="0"/>
      <w:marBottom w:val="0"/>
      <w:divBdr>
        <w:top w:val="none" w:sz="0" w:space="0" w:color="auto"/>
        <w:left w:val="none" w:sz="0" w:space="0" w:color="auto"/>
        <w:bottom w:val="none" w:sz="0" w:space="0" w:color="auto"/>
        <w:right w:val="none" w:sz="0" w:space="0" w:color="auto"/>
      </w:divBdr>
    </w:div>
    <w:div w:id="1694651518">
      <w:bodyDiv w:val="1"/>
      <w:marLeft w:val="0"/>
      <w:marRight w:val="0"/>
      <w:marTop w:val="0"/>
      <w:marBottom w:val="0"/>
      <w:divBdr>
        <w:top w:val="none" w:sz="0" w:space="0" w:color="auto"/>
        <w:left w:val="none" w:sz="0" w:space="0" w:color="auto"/>
        <w:bottom w:val="none" w:sz="0" w:space="0" w:color="auto"/>
        <w:right w:val="none" w:sz="0" w:space="0" w:color="auto"/>
      </w:divBdr>
    </w:div>
    <w:div w:id="1721704600">
      <w:bodyDiv w:val="1"/>
      <w:marLeft w:val="0"/>
      <w:marRight w:val="0"/>
      <w:marTop w:val="0"/>
      <w:marBottom w:val="0"/>
      <w:divBdr>
        <w:top w:val="none" w:sz="0" w:space="0" w:color="auto"/>
        <w:left w:val="none" w:sz="0" w:space="0" w:color="auto"/>
        <w:bottom w:val="none" w:sz="0" w:space="0" w:color="auto"/>
        <w:right w:val="none" w:sz="0" w:space="0" w:color="auto"/>
      </w:divBdr>
    </w:div>
    <w:div w:id="1737584731">
      <w:bodyDiv w:val="1"/>
      <w:marLeft w:val="0"/>
      <w:marRight w:val="0"/>
      <w:marTop w:val="0"/>
      <w:marBottom w:val="0"/>
      <w:divBdr>
        <w:top w:val="none" w:sz="0" w:space="0" w:color="auto"/>
        <w:left w:val="none" w:sz="0" w:space="0" w:color="auto"/>
        <w:bottom w:val="none" w:sz="0" w:space="0" w:color="auto"/>
        <w:right w:val="none" w:sz="0" w:space="0" w:color="auto"/>
      </w:divBdr>
    </w:div>
    <w:div w:id="1758405904">
      <w:bodyDiv w:val="1"/>
      <w:marLeft w:val="0"/>
      <w:marRight w:val="0"/>
      <w:marTop w:val="0"/>
      <w:marBottom w:val="0"/>
      <w:divBdr>
        <w:top w:val="none" w:sz="0" w:space="0" w:color="auto"/>
        <w:left w:val="none" w:sz="0" w:space="0" w:color="auto"/>
        <w:bottom w:val="none" w:sz="0" w:space="0" w:color="auto"/>
        <w:right w:val="none" w:sz="0" w:space="0" w:color="auto"/>
      </w:divBdr>
    </w:div>
    <w:div w:id="1772159937">
      <w:bodyDiv w:val="1"/>
      <w:marLeft w:val="0"/>
      <w:marRight w:val="0"/>
      <w:marTop w:val="0"/>
      <w:marBottom w:val="0"/>
      <w:divBdr>
        <w:top w:val="none" w:sz="0" w:space="0" w:color="auto"/>
        <w:left w:val="none" w:sz="0" w:space="0" w:color="auto"/>
        <w:bottom w:val="none" w:sz="0" w:space="0" w:color="auto"/>
        <w:right w:val="none" w:sz="0" w:space="0" w:color="auto"/>
      </w:divBdr>
    </w:div>
    <w:div w:id="181509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4444A-9096-4684-B28B-85B1C2DA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4513</Words>
  <Characters>27530</Characters>
  <Application>Microsoft Office Word</Application>
  <DocSecurity>0</DocSecurity>
  <Lines>229</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2020-06-04T19:43:00Z</dcterms:created>
  <dcterms:modified xsi:type="dcterms:W3CDTF">2020-06-11T09:35:00Z</dcterms:modified>
</cp:coreProperties>
</file>