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DD" w:rsidRDefault="00EE29DD" w:rsidP="00EE29DD">
      <w:pPr>
        <w:pStyle w:val="Overskrift1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Høringsliste</w:t>
      </w:r>
    </w:p>
    <w:p w:rsidR="00EE29DD" w:rsidRPr="00EE29DD" w:rsidRDefault="00EE29DD" w:rsidP="00EE29DD">
      <w:pPr>
        <w:jc w:val="center"/>
        <w:rPr>
          <w:b/>
          <w:sz w:val="24"/>
        </w:rPr>
      </w:pPr>
      <w:r w:rsidRPr="00EA729B">
        <w:rPr>
          <w:b/>
          <w:sz w:val="24"/>
        </w:rPr>
        <w:t xml:space="preserve"> (Engangsregistrering af selskabers m.v. underskud, oplysningspligt om erhvervelse af visse aktier og investeringsbeviser m.v., selvangivelse a</w:t>
      </w:r>
      <w:r>
        <w:rPr>
          <w:b/>
          <w:sz w:val="24"/>
        </w:rPr>
        <w:t>f kildeartsbegrænsede tab m.v.)</w:t>
      </w:r>
    </w:p>
    <w:p w:rsidR="00EE29DD" w:rsidRDefault="00EE29DD" w:rsidP="00EE29DD"/>
    <w:p w:rsidR="00EE29DD" w:rsidRDefault="00EE29DD" w:rsidP="00EE29DD">
      <w:pPr>
        <w:rPr>
          <w:iCs/>
        </w:rPr>
      </w:pPr>
      <w:r>
        <w:rPr>
          <w:iCs/>
        </w:rPr>
        <w:t xml:space="preserve">Advokatsamfundet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AE Rådet                                                              </w:t>
      </w:r>
    </w:p>
    <w:p w:rsidR="00EE29DD" w:rsidRPr="00E86431" w:rsidRDefault="00EE29DD" w:rsidP="00EE29DD">
      <w:pPr>
        <w:rPr>
          <w:iCs/>
        </w:rPr>
      </w:pPr>
      <w:proofErr w:type="spellStart"/>
      <w:r w:rsidRPr="00E86431">
        <w:rPr>
          <w:iCs/>
        </w:rPr>
        <w:t>AgroSkat</w:t>
      </w:r>
      <w:proofErr w:type="spellEnd"/>
      <w:r w:rsidRPr="00E86431">
        <w:rPr>
          <w:iCs/>
        </w:rPr>
        <w:t xml:space="preserve"> as                                                         </w:t>
      </w:r>
    </w:p>
    <w:p w:rsidR="00EE29DD" w:rsidRPr="00E86431" w:rsidRDefault="00EE29DD" w:rsidP="00EE29DD">
      <w:pPr>
        <w:rPr>
          <w:iCs/>
        </w:rPr>
      </w:pPr>
      <w:r w:rsidRPr="00E86431">
        <w:rPr>
          <w:iCs/>
        </w:rPr>
        <w:t xml:space="preserve">ATP              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Børsmæglerforeningen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CEPOS          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 </w:t>
      </w:r>
      <w:proofErr w:type="spellStart"/>
      <w:r>
        <w:rPr>
          <w:iCs/>
        </w:rPr>
        <w:t>Cevea</w:t>
      </w:r>
      <w:proofErr w:type="spellEnd"/>
      <w:r>
        <w:rPr>
          <w:iCs/>
        </w:rPr>
        <w:t xml:space="preserve">           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Danmarks Rederiforening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Danmarks Skibskreditfond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Dansk Aktionærforening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Dansk Byggeri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Dansk Ejendomsmæglerforening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Dansk Energi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Dansk Erhverv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Dansk Iværksætterforening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Danske Advokater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Danske Regioner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Den Danske Fondsmæglerforening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Den danske Skatteborgerforening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DI                       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DVCA                 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Ejendomsforeningen Danmark                             </w:t>
      </w:r>
    </w:p>
    <w:p w:rsidR="00EE29DD" w:rsidRDefault="00EE29DD" w:rsidP="00EE29DD">
      <w:pPr>
        <w:rPr>
          <w:iCs/>
        </w:rPr>
      </w:pPr>
      <w:proofErr w:type="spellStart"/>
      <w:r>
        <w:rPr>
          <w:iCs/>
        </w:rPr>
        <w:lastRenderedPageBreak/>
        <w:t>Ejerlederne</w:t>
      </w:r>
      <w:proofErr w:type="spellEnd"/>
      <w:r>
        <w:rPr>
          <w:iCs/>
        </w:rPr>
        <w:t xml:space="preserve">       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Erhvervsstyrelsen – Team Effektiv Regulering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Finans og Leasing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Finansrådet        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FSR – danske revisorer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Forsikring &amp; Pension                                                  </w:t>
      </w:r>
    </w:p>
    <w:p w:rsidR="00EE29DD" w:rsidRDefault="00EE29DD" w:rsidP="00EE29DD">
      <w:pPr>
        <w:rPr>
          <w:iCs/>
        </w:rPr>
      </w:pPr>
      <w:proofErr w:type="spellStart"/>
      <w:r>
        <w:rPr>
          <w:iCs/>
        </w:rPr>
        <w:t>Horesta</w:t>
      </w:r>
      <w:proofErr w:type="spellEnd"/>
      <w:r>
        <w:rPr>
          <w:iCs/>
        </w:rPr>
        <w:t xml:space="preserve">                  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Håndværksrådet 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InvesteringsForeningsRådet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KL                                 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Kraka                     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Landbrug &amp; Fødevarer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Lokale Pengeinstitutter                                               </w:t>
      </w:r>
    </w:p>
    <w:p w:rsidR="00EE29DD" w:rsidRPr="00E86431" w:rsidRDefault="00EE29DD" w:rsidP="00EE29DD">
      <w:pPr>
        <w:rPr>
          <w:iCs/>
        </w:rPr>
      </w:pPr>
      <w:proofErr w:type="spellStart"/>
      <w:r w:rsidRPr="00E86431">
        <w:rPr>
          <w:iCs/>
        </w:rPr>
        <w:t>Nasdaq</w:t>
      </w:r>
      <w:proofErr w:type="spellEnd"/>
      <w:r w:rsidRPr="00E86431">
        <w:rPr>
          <w:iCs/>
        </w:rPr>
        <w:t xml:space="preserve"> OMX Copenhagen A/S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Nationalbanken   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Realkreditforeningen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Realkreditrådet                                                             </w:t>
      </w:r>
    </w:p>
    <w:p w:rsidR="00EE29DD" w:rsidRDefault="00EE29DD" w:rsidP="00EE29DD">
      <w:pPr>
        <w:rPr>
          <w:iCs/>
        </w:rPr>
      </w:pPr>
      <w:r>
        <w:rPr>
          <w:iCs/>
        </w:rPr>
        <w:t xml:space="preserve">SRF Skattefaglig Forening                                            </w:t>
      </w:r>
    </w:p>
    <w:p w:rsidR="00EE29DD" w:rsidRDefault="00EE29DD" w:rsidP="00EE29DD">
      <w:pPr>
        <w:rPr>
          <w:iCs/>
        </w:rPr>
      </w:pPr>
      <w:proofErr w:type="spellStart"/>
      <w:r>
        <w:rPr>
          <w:iCs/>
        </w:rPr>
        <w:t>Videncentret</w:t>
      </w:r>
      <w:proofErr w:type="spellEnd"/>
      <w:r>
        <w:rPr>
          <w:iCs/>
        </w:rPr>
        <w:t xml:space="preserve"> for Landbrug                                           </w:t>
      </w:r>
    </w:p>
    <w:p w:rsidR="00EE29DD" w:rsidRDefault="00EE29DD" w:rsidP="00EE29DD">
      <w:pPr>
        <w:rPr>
          <w:lang w:val="en-US"/>
        </w:rPr>
      </w:pPr>
      <w:r>
        <w:rPr>
          <w:iCs/>
          <w:lang w:val="en-US"/>
        </w:rPr>
        <w:t xml:space="preserve">VP Securities A/S                                                          </w:t>
      </w:r>
    </w:p>
    <w:p w:rsidR="00EE29DD" w:rsidRPr="00B36931" w:rsidRDefault="00EE29DD" w:rsidP="00EE29DD">
      <w:pPr>
        <w:rPr>
          <w:lang w:val="en-US"/>
        </w:rPr>
      </w:pPr>
    </w:p>
    <w:p w:rsidR="00A0224C" w:rsidRDefault="00453484"/>
    <w:sectPr w:rsidR="00A0224C" w:rsidSect="001536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DD"/>
    <w:rsid w:val="00453484"/>
    <w:rsid w:val="00657BB7"/>
    <w:rsid w:val="007D2C67"/>
    <w:rsid w:val="00E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DD"/>
  </w:style>
  <w:style w:type="paragraph" w:styleId="Overskrift1">
    <w:name w:val="heading 1"/>
    <w:basedOn w:val="Normal"/>
    <w:next w:val="Normal"/>
    <w:link w:val="Overskrift1Tegn"/>
    <w:uiPriority w:val="9"/>
    <w:qFormat/>
    <w:rsid w:val="00EE2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2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E2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DD"/>
  </w:style>
  <w:style w:type="paragraph" w:styleId="Overskrift1">
    <w:name w:val="heading 1"/>
    <w:basedOn w:val="Normal"/>
    <w:next w:val="Normal"/>
    <w:link w:val="Overskrift1Tegn"/>
    <w:uiPriority w:val="9"/>
    <w:qFormat/>
    <w:rsid w:val="00EE2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2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E2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Hjorth Bærentzen</dc:creator>
  <cp:lastModifiedBy>Susanne Poulsen</cp:lastModifiedBy>
  <cp:revision>2</cp:revision>
  <dcterms:created xsi:type="dcterms:W3CDTF">2014-01-07T07:32:00Z</dcterms:created>
  <dcterms:modified xsi:type="dcterms:W3CDTF">2014-01-07T07:32:00Z</dcterms:modified>
</cp:coreProperties>
</file>