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8D315" w14:textId="6983A5A3" w:rsidR="0017313A" w:rsidRPr="0017313A" w:rsidRDefault="0017313A" w:rsidP="0017313A">
      <w:pPr>
        <w:keepNext/>
        <w:keepLines/>
        <w:spacing w:before="480" w:after="240" w:line="276" w:lineRule="auto"/>
        <w:jc w:val="center"/>
        <w:outlineLvl w:val="0"/>
        <w:rPr>
          <w:rFonts w:ascii="Cambria" w:eastAsia="Times New Roman" w:hAnsi="Cambria" w:cs="Times New Roman"/>
          <w:b/>
          <w:bCs/>
          <w:kern w:val="0"/>
          <w:sz w:val="28"/>
          <w:szCs w:val="28"/>
          <w:lang w:eastAsia="da-DK"/>
          <w14:ligatures w14:val="none"/>
        </w:rPr>
      </w:pPr>
      <w:bookmarkStart w:id="0" w:name="_Toc210118961"/>
      <w:r w:rsidRPr="0017313A">
        <w:rPr>
          <w:rFonts w:ascii="Cambria" w:eastAsia="Times New Roman" w:hAnsi="Cambria" w:cs="Times New Roman"/>
          <w:b/>
          <w:bCs/>
          <w:kern w:val="0"/>
          <w:sz w:val="28"/>
          <w:szCs w:val="28"/>
          <w:lang w:eastAsia="da-DK"/>
          <w14:ligatures w14:val="none"/>
        </w:rPr>
        <w:t>Bekendtgørelse</w:t>
      </w:r>
      <w:r w:rsidR="00FC05AD" w:rsidRPr="00FC05AD">
        <w:rPr>
          <w:rFonts w:ascii="Cambria" w:eastAsia="Times New Roman" w:hAnsi="Cambria" w:cs="Times New Roman"/>
          <w:b/>
          <w:bCs/>
          <w:kern w:val="0"/>
          <w:sz w:val="28"/>
          <w:szCs w:val="28"/>
          <w:lang w:eastAsia="da-DK"/>
          <w14:ligatures w14:val="none"/>
        </w:rPr>
        <w:t xml:space="preserve"> om ændring af ansvarsgrænserne i offshoresikkerhedslovens § 69, stk. 1</w:t>
      </w:r>
      <w:bookmarkEnd w:id="0"/>
      <w:r w:rsidR="00FC05AD">
        <w:rPr>
          <w:rFonts w:ascii="Cambria" w:eastAsia="Times New Roman" w:hAnsi="Cambria" w:cs="Times New Roman"/>
          <w:b/>
          <w:bCs/>
          <w:kern w:val="0"/>
          <w:sz w:val="28"/>
          <w:szCs w:val="28"/>
          <w:lang w:eastAsia="da-DK"/>
          <w14:ligatures w14:val="none"/>
        </w:rPr>
        <w:t xml:space="preserve"> </w:t>
      </w:r>
    </w:p>
    <w:p w14:paraId="5F9022BA" w14:textId="77777777" w:rsidR="00FC05AD" w:rsidRPr="00FC05AD" w:rsidRDefault="00FC05AD" w:rsidP="00FC05AD">
      <w:pPr>
        <w:spacing w:before="200" w:after="0" w:line="480" w:lineRule="auto"/>
        <w:ind w:firstLine="240"/>
        <w:rPr>
          <w:rFonts w:ascii="Tahoma" w:eastAsia="Times New Roman" w:hAnsi="Tahoma" w:cs="Tahoma"/>
          <w:color w:val="000000"/>
          <w:kern w:val="0"/>
          <w:sz w:val="19"/>
          <w:szCs w:val="19"/>
          <w:lang w:eastAsia="da-DK"/>
          <w14:ligatures w14:val="none"/>
        </w:rPr>
      </w:pPr>
      <w:r w:rsidRPr="00FC05AD">
        <w:rPr>
          <w:rFonts w:ascii="Tahoma" w:eastAsia="Times New Roman" w:hAnsi="Tahoma" w:cs="Tahoma"/>
          <w:color w:val="000000"/>
          <w:kern w:val="0"/>
          <w:sz w:val="19"/>
          <w:szCs w:val="19"/>
          <w:lang w:eastAsia="da-DK"/>
          <w14:ligatures w14:val="none"/>
        </w:rPr>
        <w:t>I medfør af § 69, stk. 3, i offshoresikkerhedsloven, jf. lovbekendtgørelse nr. 125 af 6. februar 2018, fastsættes:</w:t>
      </w:r>
    </w:p>
    <w:p w14:paraId="746015B1" w14:textId="7D9C3412" w:rsidR="0017313A" w:rsidRPr="0017313A" w:rsidRDefault="0017313A" w:rsidP="0017313A">
      <w:pPr>
        <w:spacing w:before="200" w:after="0" w:line="480" w:lineRule="auto"/>
        <w:ind w:firstLine="240"/>
        <w:rPr>
          <w:rFonts w:ascii="Tahoma" w:eastAsia="Times New Roman" w:hAnsi="Tahoma" w:cs="Tahoma"/>
          <w:color w:val="000000"/>
          <w:kern w:val="0"/>
          <w:sz w:val="19"/>
          <w:szCs w:val="19"/>
          <w:lang w:eastAsia="da-DK"/>
          <w14:ligatures w14:val="none"/>
        </w:rPr>
      </w:pPr>
      <w:r w:rsidRPr="0017313A">
        <w:rPr>
          <w:rFonts w:ascii="Tahoma" w:eastAsia="Times New Roman" w:hAnsi="Tahoma" w:cs="Tahoma"/>
          <w:b/>
          <w:bCs/>
          <w:color w:val="000000"/>
          <w:kern w:val="0"/>
          <w:sz w:val="19"/>
          <w:szCs w:val="19"/>
          <w:lang w:eastAsia="da-DK"/>
          <w14:ligatures w14:val="none"/>
        </w:rPr>
        <w:t xml:space="preserve">§ </w:t>
      </w:r>
      <w:r w:rsidR="0047502D">
        <w:rPr>
          <w:rFonts w:ascii="Tahoma" w:eastAsia="Times New Roman" w:hAnsi="Tahoma" w:cs="Tahoma"/>
          <w:b/>
          <w:bCs/>
          <w:color w:val="000000"/>
          <w:kern w:val="0"/>
          <w:sz w:val="19"/>
          <w:szCs w:val="19"/>
          <w:lang w:eastAsia="da-DK"/>
          <w14:ligatures w14:val="none"/>
        </w:rPr>
        <w:t>1</w:t>
      </w:r>
      <w:r w:rsidRPr="0017313A">
        <w:rPr>
          <w:rFonts w:ascii="Tahoma" w:eastAsia="Times New Roman" w:hAnsi="Tahoma" w:cs="Tahoma"/>
          <w:b/>
          <w:bCs/>
          <w:color w:val="000000"/>
          <w:kern w:val="0"/>
          <w:sz w:val="19"/>
          <w:szCs w:val="19"/>
          <w:lang w:eastAsia="da-DK"/>
          <w14:ligatures w14:val="none"/>
        </w:rPr>
        <w:t>.</w:t>
      </w:r>
      <w:r w:rsidRPr="0017313A">
        <w:rPr>
          <w:rFonts w:ascii="Tahoma" w:eastAsia="Times New Roman" w:hAnsi="Tahoma" w:cs="Tahoma"/>
          <w:color w:val="000000"/>
          <w:kern w:val="0"/>
          <w:sz w:val="19"/>
          <w:szCs w:val="19"/>
          <w:lang w:eastAsia="da-DK"/>
          <w14:ligatures w14:val="none"/>
        </w:rPr>
        <w:t> </w:t>
      </w:r>
      <w:r w:rsidR="0047502D" w:rsidRPr="0047502D">
        <w:rPr>
          <w:rFonts w:ascii="Tahoma" w:eastAsia="Times New Roman" w:hAnsi="Tahoma" w:cs="Tahoma"/>
          <w:color w:val="000000"/>
          <w:kern w:val="0"/>
          <w:sz w:val="19"/>
          <w:szCs w:val="19"/>
          <w:lang w:eastAsia="da-DK"/>
          <w14:ligatures w14:val="none"/>
        </w:rPr>
        <w:t>I offshoresikkerhedsloven, jf. lovbekendtgørelse nr. 125 af 6. februar 2018, foretages følgende ændringer</w:t>
      </w:r>
      <w:r w:rsidRPr="0017313A">
        <w:rPr>
          <w:rFonts w:ascii="Tahoma" w:eastAsia="Times New Roman" w:hAnsi="Tahoma" w:cs="Tahoma"/>
          <w:color w:val="000000"/>
          <w:kern w:val="0"/>
          <w:sz w:val="19"/>
          <w:szCs w:val="19"/>
          <w:lang w:eastAsia="da-DK"/>
          <w14:ligatures w14:val="none"/>
        </w:rPr>
        <w:t>:</w:t>
      </w:r>
    </w:p>
    <w:p w14:paraId="252D1A3E" w14:textId="258A204B" w:rsidR="0017313A" w:rsidRPr="0017313A" w:rsidRDefault="0017313A" w:rsidP="0017313A">
      <w:pPr>
        <w:spacing w:after="0" w:line="480" w:lineRule="auto"/>
        <w:ind w:left="280"/>
        <w:rPr>
          <w:rFonts w:ascii="Tahoma" w:eastAsia="Times New Roman" w:hAnsi="Tahoma" w:cs="Tahoma"/>
          <w:color w:val="000000"/>
          <w:kern w:val="0"/>
          <w:sz w:val="19"/>
          <w:szCs w:val="19"/>
          <w:lang w:eastAsia="da-DK"/>
          <w14:ligatures w14:val="none"/>
        </w:rPr>
      </w:pPr>
      <w:r w:rsidRPr="0017313A">
        <w:rPr>
          <w:rFonts w:ascii="Tahoma" w:eastAsia="Times New Roman" w:hAnsi="Tahoma" w:cs="Tahoma"/>
          <w:color w:val="000000"/>
          <w:kern w:val="0"/>
          <w:sz w:val="19"/>
          <w:szCs w:val="19"/>
          <w:lang w:eastAsia="da-DK"/>
          <w14:ligatures w14:val="none"/>
        </w:rPr>
        <w:t>1) </w:t>
      </w:r>
      <w:r w:rsidR="0047502D" w:rsidRPr="0047502D">
        <w:rPr>
          <w:rFonts w:ascii="Tahoma" w:eastAsia="Times New Roman" w:hAnsi="Tahoma" w:cs="Tahoma"/>
          <w:color w:val="000000"/>
          <w:kern w:val="0"/>
          <w:sz w:val="19"/>
          <w:szCs w:val="19"/>
          <w:lang w:eastAsia="da-DK"/>
          <w14:ligatures w14:val="none"/>
        </w:rPr>
        <w:t xml:space="preserve">I </w:t>
      </w:r>
      <w:r w:rsidR="0047502D" w:rsidRPr="0047502D">
        <w:rPr>
          <w:rFonts w:ascii="Tahoma" w:eastAsia="Times New Roman" w:hAnsi="Tahoma" w:cs="Tahoma"/>
          <w:i/>
          <w:iCs/>
          <w:color w:val="000000"/>
          <w:kern w:val="0"/>
          <w:sz w:val="19"/>
          <w:szCs w:val="19"/>
          <w:lang w:eastAsia="da-DK"/>
          <w14:ligatures w14:val="none"/>
        </w:rPr>
        <w:t>§ 69, stk. 1, 1. pkt.</w:t>
      </w:r>
      <w:r w:rsidR="0047502D" w:rsidRPr="0047502D">
        <w:rPr>
          <w:rFonts w:ascii="Tahoma" w:eastAsia="Times New Roman" w:hAnsi="Tahoma" w:cs="Tahoma"/>
          <w:color w:val="000000"/>
          <w:kern w:val="0"/>
          <w:sz w:val="19"/>
          <w:szCs w:val="19"/>
          <w:lang w:eastAsia="da-DK"/>
          <w14:ligatures w14:val="none"/>
        </w:rPr>
        <w:t>, ændres »50 mio. særlige trækningsrettigheder (SDR)« til: »75,5 mio. særlige trækningsrettigheder (SDR)«</w:t>
      </w:r>
      <w:r w:rsidRPr="0017313A">
        <w:rPr>
          <w:rFonts w:ascii="Tahoma" w:eastAsia="Times New Roman" w:hAnsi="Tahoma" w:cs="Tahoma"/>
          <w:color w:val="000000"/>
          <w:kern w:val="0"/>
          <w:sz w:val="19"/>
          <w:szCs w:val="19"/>
          <w:lang w:eastAsia="da-DK"/>
          <w14:ligatures w14:val="none"/>
        </w:rPr>
        <w:t>.</w:t>
      </w:r>
    </w:p>
    <w:p w14:paraId="4E548893" w14:textId="3F05B224" w:rsidR="0017313A" w:rsidRPr="0017313A" w:rsidRDefault="0017313A" w:rsidP="0017313A">
      <w:pPr>
        <w:spacing w:after="0" w:line="480" w:lineRule="auto"/>
        <w:ind w:left="280"/>
        <w:rPr>
          <w:rFonts w:ascii="Tahoma" w:eastAsia="Times New Roman" w:hAnsi="Tahoma" w:cs="Tahoma"/>
          <w:color w:val="000000"/>
          <w:kern w:val="0"/>
          <w:sz w:val="19"/>
          <w:szCs w:val="19"/>
          <w:lang w:eastAsia="da-DK"/>
          <w14:ligatures w14:val="none"/>
        </w:rPr>
      </w:pPr>
      <w:r w:rsidRPr="0017313A">
        <w:rPr>
          <w:rFonts w:ascii="Tahoma" w:eastAsia="Times New Roman" w:hAnsi="Tahoma" w:cs="Tahoma"/>
          <w:color w:val="000000"/>
          <w:kern w:val="0"/>
          <w:sz w:val="19"/>
          <w:szCs w:val="19"/>
          <w:lang w:eastAsia="da-DK"/>
          <w14:ligatures w14:val="none"/>
        </w:rPr>
        <w:t>2) </w:t>
      </w:r>
      <w:r w:rsidR="0047502D" w:rsidRPr="0047502D">
        <w:rPr>
          <w:rFonts w:ascii="Tahoma" w:eastAsia="Times New Roman" w:hAnsi="Tahoma" w:cs="Tahoma"/>
          <w:color w:val="000000"/>
          <w:kern w:val="0"/>
          <w:sz w:val="19"/>
          <w:szCs w:val="19"/>
          <w:lang w:eastAsia="da-DK"/>
          <w14:ligatures w14:val="none"/>
        </w:rPr>
        <w:t xml:space="preserve">I </w:t>
      </w:r>
      <w:r w:rsidR="0047502D" w:rsidRPr="0047502D">
        <w:rPr>
          <w:rFonts w:ascii="Tahoma" w:eastAsia="Times New Roman" w:hAnsi="Tahoma" w:cs="Tahoma"/>
          <w:i/>
          <w:iCs/>
          <w:color w:val="000000"/>
          <w:kern w:val="0"/>
          <w:sz w:val="19"/>
          <w:szCs w:val="19"/>
          <w:lang w:eastAsia="da-DK"/>
          <w14:ligatures w14:val="none"/>
        </w:rPr>
        <w:t>§ 69, stk. 1, 2. pkt.</w:t>
      </w:r>
      <w:r w:rsidR="0047502D" w:rsidRPr="0047502D">
        <w:rPr>
          <w:rFonts w:ascii="Tahoma" w:eastAsia="Times New Roman" w:hAnsi="Tahoma" w:cs="Tahoma"/>
          <w:color w:val="000000"/>
          <w:kern w:val="0"/>
          <w:sz w:val="19"/>
          <w:szCs w:val="19"/>
          <w:lang w:eastAsia="da-DK"/>
          <w14:ligatures w14:val="none"/>
        </w:rPr>
        <w:t>, ændres »30 mio. SDR« til: »45,3 mio. SDR«</w:t>
      </w:r>
      <w:r w:rsidRPr="0017313A">
        <w:rPr>
          <w:rFonts w:ascii="Tahoma" w:eastAsia="Times New Roman" w:hAnsi="Tahoma" w:cs="Tahoma"/>
          <w:color w:val="000000"/>
          <w:kern w:val="0"/>
          <w:sz w:val="19"/>
          <w:szCs w:val="19"/>
          <w:lang w:eastAsia="da-DK"/>
          <w14:ligatures w14:val="none"/>
        </w:rPr>
        <w:t>.</w:t>
      </w:r>
    </w:p>
    <w:p w14:paraId="4672D287" w14:textId="56DF45DC" w:rsidR="0017313A" w:rsidRPr="0017313A" w:rsidRDefault="0017313A" w:rsidP="0017313A">
      <w:pPr>
        <w:spacing w:before="200" w:after="0" w:line="480" w:lineRule="auto"/>
        <w:ind w:firstLine="240"/>
        <w:rPr>
          <w:rFonts w:ascii="Tahoma" w:eastAsia="Times New Roman" w:hAnsi="Tahoma" w:cs="Tahoma"/>
          <w:color w:val="000000"/>
          <w:kern w:val="0"/>
          <w:sz w:val="19"/>
          <w:szCs w:val="19"/>
          <w:lang w:eastAsia="da-DK"/>
          <w14:ligatures w14:val="none"/>
        </w:rPr>
      </w:pPr>
      <w:r w:rsidRPr="0017313A">
        <w:rPr>
          <w:rFonts w:ascii="Tahoma" w:eastAsia="Times New Roman" w:hAnsi="Tahoma" w:cs="Tahoma"/>
          <w:b/>
          <w:bCs/>
          <w:color w:val="000000"/>
          <w:kern w:val="0"/>
          <w:sz w:val="19"/>
          <w:szCs w:val="19"/>
          <w:lang w:eastAsia="da-DK"/>
          <w14:ligatures w14:val="none"/>
        </w:rPr>
        <w:t xml:space="preserve">§ </w:t>
      </w:r>
      <w:r w:rsidR="0047502D">
        <w:rPr>
          <w:rFonts w:ascii="Tahoma" w:eastAsia="Times New Roman" w:hAnsi="Tahoma" w:cs="Tahoma"/>
          <w:b/>
          <w:bCs/>
          <w:color w:val="000000"/>
          <w:kern w:val="0"/>
          <w:sz w:val="19"/>
          <w:szCs w:val="19"/>
          <w:lang w:eastAsia="da-DK"/>
          <w14:ligatures w14:val="none"/>
        </w:rPr>
        <w:t>2</w:t>
      </w:r>
      <w:r w:rsidRPr="0017313A">
        <w:rPr>
          <w:rFonts w:ascii="Tahoma" w:eastAsia="Times New Roman" w:hAnsi="Tahoma" w:cs="Tahoma"/>
          <w:b/>
          <w:bCs/>
          <w:color w:val="000000"/>
          <w:kern w:val="0"/>
          <w:sz w:val="19"/>
          <w:szCs w:val="19"/>
          <w:lang w:eastAsia="da-DK"/>
          <w14:ligatures w14:val="none"/>
        </w:rPr>
        <w:t>.</w:t>
      </w:r>
      <w:r w:rsidRPr="0017313A">
        <w:rPr>
          <w:rFonts w:ascii="Tahoma" w:eastAsia="Times New Roman" w:hAnsi="Tahoma" w:cs="Tahoma"/>
          <w:color w:val="000000"/>
          <w:kern w:val="0"/>
          <w:sz w:val="19"/>
          <w:szCs w:val="19"/>
          <w:lang w:eastAsia="da-DK"/>
          <w14:ligatures w14:val="none"/>
        </w:rPr>
        <w:t xml:space="preserve"> Bekendtgørelsen træder i kraft den 1. </w:t>
      </w:r>
      <w:r>
        <w:rPr>
          <w:rFonts w:ascii="Tahoma" w:eastAsia="Times New Roman" w:hAnsi="Tahoma" w:cs="Tahoma"/>
          <w:color w:val="000000"/>
          <w:kern w:val="0"/>
          <w:sz w:val="19"/>
          <w:szCs w:val="19"/>
          <w:lang w:eastAsia="da-DK"/>
          <w14:ligatures w14:val="none"/>
        </w:rPr>
        <w:t>januar 2027</w:t>
      </w:r>
      <w:r w:rsidRPr="0017313A">
        <w:rPr>
          <w:rFonts w:ascii="Tahoma" w:eastAsia="Times New Roman" w:hAnsi="Tahoma" w:cs="Tahoma"/>
          <w:color w:val="000000"/>
          <w:kern w:val="0"/>
          <w:sz w:val="19"/>
          <w:szCs w:val="19"/>
          <w:lang w:eastAsia="da-DK"/>
          <w14:ligatures w14:val="none"/>
        </w:rPr>
        <w:t>.</w:t>
      </w:r>
    </w:p>
    <w:p w14:paraId="08011F7E" w14:textId="4E87F32B" w:rsidR="0017313A" w:rsidRPr="0017313A" w:rsidRDefault="0017313A" w:rsidP="0017313A">
      <w:pPr>
        <w:spacing w:after="0" w:line="480" w:lineRule="auto"/>
        <w:ind w:firstLine="240"/>
        <w:rPr>
          <w:rFonts w:ascii="Tahoma" w:eastAsia="Times New Roman" w:hAnsi="Tahoma" w:cs="Tahoma"/>
          <w:color w:val="000000"/>
          <w:kern w:val="0"/>
          <w:sz w:val="19"/>
          <w:szCs w:val="19"/>
          <w:lang w:eastAsia="da-DK"/>
          <w14:ligatures w14:val="none"/>
        </w:rPr>
      </w:pPr>
    </w:p>
    <w:p w14:paraId="2E21DB19" w14:textId="7C8C1838" w:rsidR="0017313A" w:rsidRDefault="0047502D" w:rsidP="0017313A">
      <w:pPr>
        <w:spacing w:before="120" w:after="0" w:line="480" w:lineRule="auto"/>
        <w:jc w:val="center"/>
        <w:rPr>
          <w:rFonts w:ascii="Tahoma" w:eastAsia="Times New Roman" w:hAnsi="Tahoma" w:cs="Tahoma"/>
          <w:i/>
          <w:iCs/>
          <w:color w:val="000000"/>
          <w:kern w:val="0"/>
          <w:sz w:val="19"/>
          <w:szCs w:val="19"/>
          <w:lang w:eastAsia="da-DK"/>
          <w14:ligatures w14:val="none"/>
        </w:rPr>
      </w:pPr>
      <w:r>
        <w:rPr>
          <w:rFonts w:ascii="Tahoma" w:eastAsia="Times New Roman" w:hAnsi="Tahoma" w:cs="Tahoma"/>
          <w:i/>
          <w:iCs/>
          <w:color w:val="000000"/>
          <w:kern w:val="0"/>
          <w:sz w:val="19"/>
          <w:szCs w:val="19"/>
          <w:lang w:eastAsia="da-DK"/>
          <w14:ligatures w14:val="none"/>
        </w:rPr>
        <w:t>Arbejdstilsynet</w:t>
      </w:r>
      <w:r w:rsidR="0017313A" w:rsidRPr="0017313A">
        <w:rPr>
          <w:rFonts w:ascii="Tahoma" w:eastAsia="Times New Roman" w:hAnsi="Tahoma" w:cs="Tahoma"/>
          <w:i/>
          <w:iCs/>
          <w:color w:val="000000"/>
          <w:kern w:val="0"/>
          <w:sz w:val="19"/>
          <w:szCs w:val="19"/>
          <w:lang w:eastAsia="da-DK"/>
          <w14:ligatures w14:val="none"/>
        </w:rPr>
        <w:t xml:space="preserve">, den </w:t>
      </w:r>
      <w:r w:rsidR="0017313A">
        <w:rPr>
          <w:rFonts w:ascii="Tahoma" w:eastAsia="Times New Roman" w:hAnsi="Tahoma" w:cs="Tahoma"/>
          <w:i/>
          <w:iCs/>
          <w:color w:val="000000"/>
          <w:kern w:val="0"/>
          <w:sz w:val="19"/>
          <w:szCs w:val="19"/>
          <w:lang w:eastAsia="da-DK"/>
          <w14:ligatures w14:val="none"/>
        </w:rPr>
        <w:t>zzz</w:t>
      </w:r>
      <w:r w:rsidR="0017313A" w:rsidRPr="0017313A">
        <w:rPr>
          <w:rFonts w:ascii="Tahoma" w:eastAsia="Times New Roman" w:hAnsi="Tahoma" w:cs="Tahoma"/>
          <w:i/>
          <w:iCs/>
          <w:color w:val="000000"/>
          <w:kern w:val="0"/>
          <w:sz w:val="19"/>
          <w:szCs w:val="19"/>
          <w:lang w:eastAsia="da-DK"/>
          <w14:ligatures w14:val="none"/>
        </w:rPr>
        <w:t xml:space="preserve"> 20</w:t>
      </w:r>
      <w:r w:rsidR="0017313A">
        <w:rPr>
          <w:rFonts w:ascii="Tahoma" w:eastAsia="Times New Roman" w:hAnsi="Tahoma" w:cs="Tahoma"/>
          <w:i/>
          <w:iCs/>
          <w:color w:val="000000"/>
          <w:kern w:val="0"/>
          <w:sz w:val="19"/>
          <w:szCs w:val="19"/>
          <w:lang w:eastAsia="da-DK"/>
          <w14:ligatures w14:val="none"/>
        </w:rPr>
        <w:t>26</w:t>
      </w:r>
    </w:p>
    <w:p w14:paraId="553A08BA" w14:textId="5B05DDC1" w:rsidR="00BA7B53" w:rsidRPr="00BA7B53" w:rsidRDefault="00BA7B53" w:rsidP="0017313A">
      <w:pPr>
        <w:spacing w:before="120" w:after="0" w:line="480" w:lineRule="auto"/>
        <w:jc w:val="center"/>
        <w:rPr>
          <w:rFonts w:ascii="Tahoma" w:eastAsia="Times New Roman" w:hAnsi="Tahoma" w:cs="Tahoma"/>
          <w:color w:val="000000"/>
          <w:kern w:val="0"/>
          <w:sz w:val="19"/>
          <w:szCs w:val="19"/>
          <w:lang w:eastAsia="da-DK"/>
          <w14:ligatures w14:val="none"/>
        </w:rPr>
      </w:pPr>
      <w:r>
        <w:rPr>
          <w:rFonts w:ascii="Tahoma" w:eastAsia="Times New Roman" w:hAnsi="Tahoma" w:cs="Tahoma"/>
          <w:color w:val="000000"/>
          <w:kern w:val="0"/>
          <w:sz w:val="19"/>
          <w:szCs w:val="19"/>
          <w:lang w:eastAsia="da-DK"/>
          <w14:ligatures w14:val="none"/>
        </w:rPr>
        <w:t>Marianne Sørensen</w:t>
      </w:r>
    </w:p>
    <w:p w14:paraId="0FB78BD3" w14:textId="77777777" w:rsidR="0017313A" w:rsidRDefault="0017313A" w:rsidP="0017313A">
      <w:pPr>
        <w:spacing w:before="100" w:beforeAutospacing="1" w:after="0" w:line="480" w:lineRule="auto"/>
        <w:jc w:val="right"/>
        <w:rPr>
          <w:rFonts w:ascii="Tahoma" w:eastAsia="Times New Roman" w:hAnsi="Tahoma" w:cs="Tahoma"/>
          <w:color w:val="000000"/>
          <w:kern w:val="0"/>
          <w:sz w:val="19"/>
          <w:szCs w:val="19"/>
          <w:lang w:eastAsia="da-DK"/>
          <w14:ligatures w14:val="none"/>
        </w:rPr>
      </w:pPr>
    </w:p>
    <w:p w14:paraId="01424EF9" w14:textId="0F8FDF0C" w:rsidR="00F45C93" w:rsidRDefault="0017313A" w:rsidP="0017313A">
      <w:pPr>
        <w:spacing w:before="100" w:beforeAutospacing="1" w:after="0" w:line="480" w:lineRule="auto"/>
        <w:jc w:val="right"/>
        <w:rPr>
          <w:rFonts w:ascii="Tahoma" w:eastAsia="Times New Roman" w:hAnsi="Tahoma" w:cs="Tahoma"/>
          <w:color w:val="000000"/>
          <w:kern w:val="0"/>
          <w:sz w:val="19"/>
          <w:szCs w:val="19"/>
          <w:lang w:eastAsia="da-DK"/>
          <w14:ligatures w14:val="none"/>
        </w:rPr>
      </w:pPr>
      <w:r w:rsidRPr="0017313A">
        <w:rPr>
          <w:rFonts w:ascii="Tahoma" w:eastAsia="Times New Roman" w:hAnsi="Tahoma" w:cs="Tahoma"/>
          <w:color w:val="000000"/>
          <w:kern w:val="0"/>
          <w:sz w:val="19"/>
          <w:szCs w:val="19"/>
          <w:lang w:eastAsia="da-DK"/>
          <w14:ligatures w14:val="none"/>
        </w:rPr>
        <w:t xml:space="preserve">/ </w:t>
      </w:r>
      <w:r>
        <w:rPr>
          <w:rFonts w:ascii="Tahoma" w:eastAsia="Times New Roman" w:hAnsi="Tahoma" w:cs="Tahoma"/>
          <w:color w:val="000000"/>
          <w:kern w:val="0"/>
          <w:sz w:val="19"/>
          <w:szCs w:val="19"/>
          <w:lang w:eastAsia="da-DK"/>
          <w14:ligatures w14:val="none"/>
        </w:rPr>
        <w:t>Tho</w:t>
      </w:r>
      <w:r w:rsidR="00EE05EA">
        <w:rPr>
          <w:rFonts w:ascii="Tahoma" w:eastAsia="Times New Roman" w:hAnsi="Tahoma" w:cs="Tahoma"/>
          <w:color w:val="000000"/>
          <w:kern w:val="0"/>
          <w:sz w:val="19"/>
          <w:szCs w:val="19"/>
          <w:lang w:eastAsia="da-DK"/>
          <w14:ligatures w14:val="none"/>
        </w:rPr>
        <w:t>mas</w:t>
      </w:r>
      <w:r>
        <w:rPr>
          <w:rFonts w:ascii="Tahoma" w:eastAsia="Times New Roman" w:hAnsi="Tahoma" w:cs="Tahoma"/>
          <w:color w:val="000000"/>
          <w:kern w:val="0"/>
          <w:sz w:val="19"/>
          <w:szCs w:val="19"/>
          <w:lang w:eastAsia="da-DK"/>
          <w14:ligatures w14:val="none"/>
        </w:rPr>
        <w:t xml:space="preserve"> Bugge</w:t>
      </w:r>
    </w:p>
    <w:p w14:paraId="3E056011" w14:textId="77777777" w:rsidR="00F45C93" w:rsidRDefault="00F45C93">
      <w:pPr>
        <w:rPr>
          <w:rFonts w:ascii="Tahoma" w:eastAsia="Times New Roman" w:hAnsi="Tahoma" w:cs="Tahoma"/>
          <w:color w:val="000000"/>
          <w:kern w:val="0"/>
          <w:sz w:val="19"/>
          <w:szCs w:val="19"/>
          <w:lang w:eastAsia="da-DK"/>
          <w14:ligatures w14:val="none"/>
        </w:rPr>
      </w:pPr>
      <w:r>
        <w:rPr>
          <w:rFonts w:ascii="Tahoma" w:eastAsia="Times New Roman" w:hAnsi="Tahoma" w:cs="Tahoma"/>
          <w:color w:val="000000"/>
          <w:kern w:val="0"/>
          <w:sz w:val="19"/>
          <w:szCs w:val="19"/>
          <w:lang w:eastAsia="da-DK"/>
          <w14:ligatures w14:val="none"/>
        </w:rPr>
        <w:br w:type="page"/>
      </w:r>
    </w:p>
    <w:p w14:paraId="0E5B99C3" w14:textId="042C5565" w:rsidR="0017313A" w:rsidRPr="00F45C93" w:rsidRDefault="00F45C93" w:rsidP="00F45C93">
      <w:pPr>
        <w:rPr>
          <w:rFonts w:ascii="Times New Roman" w:hAnsi="Times New Roman" w:cs="Times New Roman"/>
          <w:b/>
          <w:bCs/>
          <w:lang w:eastAsia="da-DK"/>
        </w:rPr>
      </w:pPr>
      <w:r w:rsidRPr="00F45C93">
        <w:rPr>
          <w:rFonts w:ascii="Times New Roman" w:hAnsi="Times New Roman" w:cs="Times New Roman"/>
          <w:b/>
          <w:bCs/>
          <w:lang w:eastAsia="da-DK"/>
        </w:rPr>
        <w:lastRenderedPageBreak/>
        <w:t>Kort forklaringsnotat til Offshoresikkerhedsrådets arbejdsgruppe</w:t>
      </w:r>
    </w:p>
    <w:p w14:paraId="181575EC" w14:textId="77777777" w:rsidR="00F45C93" w:rsidRDefault="00F45C93" w:rsidP="00F45C93">
      <w:pPr>
        <w:spacing w:before="100" w:beforeAutospacing="1" w:after="0"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b/>
          <w:bCs/>
          <w:kern w:val="0"/>
          <w:lang w:eastAsia="da-DK"/>
          <w14:ligatures w14:val="none"/>
        </w:rPr>
        <w:t>1. Baggrunden for de faste ansvarsgrænser på 50 og 30 mio. SDR</w:t>
      </w:r>
      <w:r w:rsidRPr="00F45C93">
        <w:rPr>
          <w:rFonts w:ascii="Times New Roman" w:eastAsia="Times New Roman" w:hAnsi="Times New Roman" w:cs="Times New Roman"/>
          <w:kern w:val="0"/>
          <w:lang w:eastAsia="da-DK"/>
          <w14:ligatures w14:val="none"/>
        </w:rPr>
        <w:t xml:space="preserve"> </w:t>
      </w:r>
    </w:p>
    <w:p w14:paraId="606039F2" w14:textId="0201BF53" w:rsidR="00F45C93" w:rsidRPr="00F45C93" w:rsidRDefault="00F45C93" w:rsidP="00F45C93">
      <w:pPr>
        <w:spacing w:before="120" w:after="0"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kern w:val="0"/>
          <w:lang w:eastAsia="da-DK"/>
          <w14:ligatures w14:val="none"/>
        </w:rPr>
        <w:t>Efter de almindelige regler i søloven, som udspringer af Londonkonventionen om begrænsning af ansvaret for søretlige krav (LLMC), beregnes ansvarsbegrænsningen for skibe normalt ud fra skibets tonnage. I lovbemærkningerne til den oprindelige offshoresikkerhedslov (lovforslag L 45 fra 2005) er det dog anført, at mobile offshoreanlæg kun måles til en mindre tonnage, hvilket ikke står i rimeligt forhold til anlæggenes reelle størrelse og skadespotentiale.</w:t>
      </w:r>
    </w:p>
    <w:p w14:paraId="669BDBD1" w14:textId="77777777" w:rsidR="00F45C93" w:rsidRPr="00F45C93" w:rsidRDefault="00F45C93" w:rsidP="00F45C93">
      <w:pPr>
        <w:spacing w:before="100" w:beforeAutospacing="1" w:after="100" w:afterAutospacing="1"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kern w:val="0"/>
          <w:lang w:eastAsia="da-DK"/>
          <w14:ligatures w14:val="none"/>
        </w:rPr>
        <w:t>Med udtrykkelig henvisning til sølovens § 181, stk. 2, valgte man derfor at fastsætte et højere, fast begrænsningsbeløb for mobile offshoreanlæg uanset deres størrelse. I 2005 blev disse faste grænser sat til 50 mio. SDR med en forhøjelse på 30 mio. SDR ved personskade. Af lovens forarbejder fremgår det, at netop disse to beløb blev valgt, fordi forhøjelsen i forhold til den tidligere havanlægslov "svarer procentuelt tilnærmelsesvis til, hvad de almindelige globalbegrænsningsbeløb for skibe blev sat op med i 2004".</w:t>
      </w:r>
    </w:p>
    <w:p w14:paraId="13C45C7A" w14:textId="77777777" w:rsidR="00F45C93" w:rsidRDefault="00F45C93" w:rsidP="00F45C93">
      <w:pPr>
        <w:spacing w:before="100" w:beforeAutospacing="1" w:after="0"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b/>
          <w:bCs/>
          <w:kern w:val="0"/>
          <w:lang w:eastAsia="da-DK"/>
          <w14:ligatures w14:val="none"/>
        </w:rPr>
        <w:t>2. Formålet med den aktuelle opdatering</w:t>
      </w:r>
      <w:r w:rsidRPr="00F45C93">
        <w:rPr>
          <w:rFonts w:ascii="Times New Roman" w:eastAsia="Times New Roman" w:hAnsi="Times New Roman" w:cs="Times New Roman"/>
          <w:kern w:val="0"/>
          <w:lang w:eastAsia="da-DK"/>
          <w14:ligatures w14:val="none"/>
        </w:rPr>
        <w:t xml:space="preserve"> </w:t>
      </w:r>
    </w:p>
    <w:p w14:paraId="044CD824" w14:textId="0BDC0BFB" w:rsidR="00F45C93" w:rsidRPr="00F45C93" w:rsidRDefault="00F45C93" w:rsidP="00F45C93">
      <w:pPr>
        <w:spacing w:before="120" w:after="100" w:afterAutospacing="1"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kern w:val="0"/>
          <w:lang w:eastAsia="da-DK"/>
          <w14:ligatures w14:val="none"/>
        </w:rPr>
        <w:t>FN's Søfartsorganisation (IMO) vedtog i 2012 en ændring af 1996-protokollen til Londonkonventionen, som medførte en generel forhøjelse af de internationale ansvarsgrænser med 51 % for at tage højde for inflation.</w:t>
      </w:r>
    </w:p>
    <w:p w14:paraId="130C902F" w14:textId="77777777" w:rsidR="00F45C93" w:rsidRPr="00F45C93" w:rsidRDefault="00F45C93" w:rsidP="00F45C93">
      <w:pPr>
        <w:spacing w:before="100" w:beforeAutospacing="1" w:after="100" w:afterAutospacing="1"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kern w:val="0"/>
          <w:lang w:eastAsia="da-DK"/>
          <w14:ligatures w14:val="none"/>
        </w:rPr>
        <w:t>For at sikre, at den danske stat fremadrettet kan tilpasse ansvarsgrænserne i offshoresikkerhedsloven i takt med sådanne internationale justeringer, blev der ved en lovrevision i 2014 (lovforslag L 49) indført en særlig hjemmel i lovens § 69, stk. 3. Af lovbemærkningerne til denne bestemmelse fremgår det udtrykkeligt, at bemyndigelsen giver mulighed for at regulere erstatningsgrænserne administrativt i overensstemmelse med de beslutninger, der træffes i medfør af artikel 8 i 1996-protokollen til Londonkonventionen.</w:t>
      </w:r>
    </w:p>
    <w:p w14:paraId="020B03BB" w14:textId="6F1C61F3" w:rsidR="00F45C93" w:rsidRPr="00F45C93" w:rsidRDefault="00F45C93" w:rsidP="00F45C93">
      <w:pPr>
        <w:spacing w:before="100" w:beforeAutospacing="1" w:after="100" w:afterAutospacing="1" w:line="240" w:lineRule="auto"/>
        <w:rPr>
          <w:rFonts w:ascii="Times New Roman" w:eastAsia="Times New Roman" w:hAnsi="Times New Roman" w:cs="Times New Roman"/>
          <w:kern w:val="0"/>
          <w:lang w:eastAsia="da-DK"/>
          <w14:ligatures w14:val="none"/>
        </w:rPr>
      </w:pPr>
      <w:r w:rsidRPr="00F45C93">
        <w:rPr>
          <w:rFonts w:ascii="Times New Roman" w:eastAsia="Times New Roman" w:hAnsi="Times New Roman" w:cs="Times New Roman"/>
          <w:kern w:val="0"/>
          <w:lang w:eastAsia="da-DK"/>
          <w14:ligatures w14:val="none"/>
        </w:rPr>
        <w:t>For at sikre den korrekte retstilstand udmøntes denne bemyndigelse nu. Med det vedlagte udkast til bekendtgørelse forhøjes de nuværende faste grænser på 50 mio. og 30 mio. SDR i offshoresikkerhedslovens § 69, stk. 1, således med 51 % til henholdsvis 75,5 mio. og 45,3 mio. SDR.</w:t>
      </w:r>
    </w:p>
    <w:sectPr w:rsidR="00F45C93" w:rsidRPr="00F45C9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B6C0D"/>
    <w:multiLevelType w:val="multilevel"/>
    <w:tmpl w:val="FB90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581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13A"/>
    <w:rsid w:val="0017313A"/>
    <w:rsid w:val="001C5819"/>
    <w:rsid w:val="00202AD1"/>
    <w:rsid w:val="003D2225"/>
    <w:rsid w:val="0047502D"/>
    <w:rsid w:val="00540023"/>
    <w:rsid w:val="00545B02"/>
    <w:rsid w:val="005E3C70"/>
    <w:rsid w:val="005F63CF"/>
    <w:rsid w:val="007638CA"/>
    <w:rsid w:val="007C009B"/>
    <w:rsid w:val="007C5D1F"/>
    <w:rsid w:val="009A372F"/>
    <w:rsid w:val="00AE3EDF"/>
    <w:rsid w:val="00B11620"/>
    <w:rsid w:val="00B6454D"/>
    <w:rsid w:val="00BA7B53"/>
    <w:rsid w:val="00CB2923"/>
    <w:rsid w:val="00D36E5A"/>
    <w:rsid w:val="00D82947"/>
    <w:rsid w:val="00DF7125"/>
    <w:rsid w:val="00E74290"/>
    <w:rsid w:val="00EE05EA"/>
    <w:rsid w:val="00F45C93"/>
    <w:rsid w:val="00FC05A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356F"/>
  <w15:chartTrackingRefBased/>
  <w15:docId w15:val="{A780C513-2EFE-4C2B-8C05-8755C7408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73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73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7313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7313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7313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7313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7313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7313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7313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7313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7313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7313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7313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7313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7313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7313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7313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7313A"/>
    <w:rPr>
      <w:rFonts w:eastAsiaTheme="majorEastAsia" w:cstheme="majorBidi"/>
      <w:color w:val="272727" w:themeColor="text1" w:themeTint="D8"/>
    </w:rPr>
  </w:style>
  <w:style w:type="paragraph" w:styleId="Titel">
    <w:name w:val="Title"/>
    <w:basedOn w:val="Normal"/>
    <w:next w:val="Normal"/>
    <w:link w:val="TitelTegn"/>
    <w:uiPriority w:val="10"/>
    <w:qFormat/>
    <w:rsid w:val="00173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7313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7313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7313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7313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7313A"/>
    <w:rPr>
      <w:i/>
      <w:iCs/>
      <w:color w:val="404040" w:themeColor="text1" w:themeTint="BF"/>
    </w:rPr>
  </w:style>
  <w:style w:type="paragraph" w:styleId="Listeafsnit">
    <w:name w:val="List Paragraph"/>
    <w:basedOn w:val="Normal"/>
    <w:uiPriority w:val="34"/>
    <w:qFormat/>
    <w:rsid w:val="0017313A"/>
    <w:pPr>
      <w:ind w:left="720"/>
      <w:contextualSpacing/>
    </w:pPr>
  </w:style>
  <w:style w:type="character" w:styleId="Kraftigfremhvning">
    <w:name w:val="Intense Emphasis"/>
    <w:basedOn w:val="Standardskrifttypeiafsnit"/>
    <w:uiPriority w:val="21"/>
    <w:qFormat/>
    <w:rsid w:val="0017313A"/>
    <w:rPr>
      <w:i/>
      <w:iCs/>
      <w:color w:val="0F4761" w:themeColor="accent1" w:themeShade="BF"/>
    </w:rPr>
  </w:style>
  <w:style w:type="paragraph" w:styleId="Strktcitat">
    <w:name w:val="Intense Quote"/>
    <w:basedOn w:val="Normal"/>
    <w:next w:val="Normal"/>
    <w:link w:val="StrktcitatTegn"/>
    <w:uiPriority w:val="30"/>
    <w:qFormat/>
    <w:rsid w:val="00173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7313A"/>
    <w:rPr>
      <w:i/>
      <w:iCs/>
      <w:color w:val="0F4761" w:themeColor="accent1" w:themeShade="BF"/>
    </w:rPr>
  </w:style>
  <w:style w:type="character" w:styleId="Kraftighenvisning">
    <w:name w:val="Intense Reference"/>
    <w:basedOn w:val="Standardskrifttypeiafsnit"/>
    <w:uiPriority w:val="32"/>
    <w:qFormat/>
    <w:rsid w:val="0017313A"/>
    <w:rPr>
      <w:b/>
      <w:bCs/>
      <w:smallCaps/>
      <w:color w:val="0F4761" w:themeColor="accent1" w:themeShade="BF"/>
      <w:spacing w:val="5"/>
    </w:rPr>
  </w:style>
  <w:style w:type="paragraph" w:styleId="Korrektur">
    <w:name w:val="Revision"/>
    <w:hidden/>
    <w:uiPriority w:val="99"/>
    <w:semiHidden/>
    <w:rsid w:val="001731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098489">
      <w:bodyDiv w:val="1"/>
      <w:marLeft w:val="0"/>
      <w:marRight w:val="0"/>
      <w:marTop w:val="0"/>
      <w:marBottom w:val="0"/>
      <w:divBdr>
        <w:top w:val="none" w:sz="0" w:space="0" w:color="auto"/>
        <w:left w:val="none" w:sz="0" w:space="0" w:color="auto"/>
        <w:bottom w:val="none" w:sz="0" w:space="0" w:color="auto"/>
        <w:right w:val="none" w:sz="0" w:space="0" w:color="auto"/>
      </w:divBdr>
      <w:divsChild>
        <w:div w:id="1458648202">
          <w:marLeft w:val="0"/>
          <w:marRight w:val="0"/>
          <w:marTop w:val="0"/>
          <w:marBottom w:val="0"/>
          <w:divBdr>
            <w:top w:val="none" w:sz="0" w:space="0" w:color="auto"/>
            <w:left w:val="none" w:sz="0" w:space="0" w:color="auto"/>
            <w:bottom w:val="none" w:sz="0" w:space="0" w:color="auto"/>
            <w:right w:val="none" w:sz="0" w:space="0" w:color="auto"/>
          </w:divBdr>
        </w:div>
      </w:divsChild>
    </w:div>
    <w:div w:id="835194672">
      <w:bodyDiv w:val="1"/>
      <w:marLeft w:val="0"/>
      <w:marRight w:val="0"/>
      <w:marTop w:val="0"/>
      <w:marBottom w:val="0"/>
      <w:divBdr>
        <w:top w:val="none" w:sz="0" w:space="0" w:color="auto"/>
        <w:left w:val="none" w:sz="0" w:space="0" w:color="auto"/>
        <w:bottom w:val="none" w:sz="0" w:space="0" w:color="auto"/>
        <w:right w:val="none" w:sz="0" w:space="0" w:color="auto"/>
      </w:divBdr>
      <w:divsChild>
        <w:div w:id="614287161">
          <w:marLeft w:val="0"/>
          <w:marRight w:val="0"/>
          <w:marTop w:val="0"/>
          <w:marBottom w:val="0"/>
          <w:divBdr>
            <w:top w:val="none" w:sz="0" w:space="0" w:color="auto"/>
            <w:left w:val="none" w:sz="0" w:space="0" w:color="auto"/>
            <w:bottom w:val="none" w:sz="0" w:space="0" w:color="auto"/>
            <w:right w:val="none" w:sz="0" w:space="0" w:color="auto"/>
          </w:divBdr>
        </w:div>
        <w:div w:id="1920866907">
          <w:marLeft w:val="0"/>
          <w:marRight w:val="0"/>
          <w:marTop w:val="0"/>
          <w:marBottom w:val="0"/>
          <w:divBdr>
            <w:top w:val="none" w:sz="0" w:space="0" w:color="auto"/>
            <w:left w:val="none" w:sz="0" w:space="0" w:color="auto"/>
            <w:bottom w:val="none" w:sz="0" w:space="0" w:color="auto"/>
            <w:right w:val="none" w:sz="0" w:space="0" w:color="auto"/>
          </w:divBdr>
        </w:div>
        <w:div w:id="374356559">
          <w:marLeft w:val="0"/>
          <w:marRight w:val="0"/>
          <w:marTop w:val="0"/>
          <w:marBottom w:val="0"/>
          <w:divBdr>
            <w:top w:val="none" w:sz="0" w:space="0" w:color="auto"/>
            <w:left w:val="none" w:sz="0" w:space="0" w:color="auto"/>
            <w:bottom w:val="none" w:sz="0" w:space="0" w:color="auto"/>
            <w:right w:val="none" w:sz="0" w:space="0" w:color="auto"/>
          </w:divBdr>
        </w:div>
        <w:div w:id="1861235327">
          <w:marLeft w:val="0"/>
          <w:marRight w:val="0"/>
          <w:marTop w:val="0"/>
          <w:marBottom w:val="0"/>
          <w:divBdr>
            <w:top w:val="none" w:sz="0" w:space="0" w:color="auto"/>
            <w:left w:val="none" w:sz="0" w:space="0" w:color="auto"/>
            <w:bottom w:val="none" w:sz="0" w:space="0" w:color="auto"/>
            <w:right w:val="none" w:sz="0" w:space="0" w:color="auto"/>
          </w:divBdr>
        </w:div>
        <w:div w:id="1014842834">
          <w:marLeft w:val="0"/>
          <w:marRight w:val="0"/>
          <w:marTop w:val="0"/>
          <w:marBottom w:val="0"/>
          <w:divBdr>
            <w:top w:val="none" w:sz="0" w:space="0" w:color="auto"/>
            <w:left w:val="none" w:sz="0" w:space="0" w:color="auto"/>
            <w:bottom w:val="none" w:sz="0" w:space="0" w:color="auto"/>
            <w:right w:val="none" w:sz="0" w:space="0" w:color="auto"/>
          </w:divBdr>
        </w:div>
        <w:div w:id="1421869102">
          <w:marLeft w:val="0"/>
          <w:marRight w:val="0"/>
          <w:marTop w:val="0"/>
          <w:marBottom w:val="0"/>
          <w:divBdr>
            <w:top w:val="none" w:sz="0" w:space="0" w:color="auto"/>
            <w:left w:val="none" w:sz="0" w:space="0" w:color="auto"/>
            <w:bottom w:val="none" w:sz="0" w:space="0" w:color="auto"/>
            <w:right w:val="none" w:sz="0" w:space="0" w:color="auto"/>
          </w:divBdr>
        </w:div>
        <w:div w:id="2003199632">
          <w:marLeft w:val="0"/>
          <w:marRight w:val="0"/>
          <w:marTop w:val="0"/>
          <w:marBottom w:val="0"/>
          <w:divBdr>
            <w:top w:val="none" w:sz="0" w:space="0" w:color="auto"/>
            <w:left w:val="none" w:sz="0" w:space="0" w:color="auto"/>
            <w:bottom w:val="none" w:sz="0" w:space="0" w:color="auto"/>
            <w:right w:val="none" w:sz="0" w:space="0" w:color="auto"/>
          </w:divBdr>
        </w:div>
        <w:div w:id="1192912704">
          <w:marLeft w:val="0"/>
          <w:marRight w:val="0"/>
          <w:marTop w:val="0"/>
          <w:marBottom w:val="0"/>
          <w:divBdr>
            <w:top w:val="none" w:sz="0" w:space="0" w:color="auto"/>
            <w:left w:val="none" w:sz="0" w:space="0" w:color="auto"/>
            <w:bottom w:val="none" w:sz="0" w:space="0" w:color="auto"/>
            <w:right w:val="none" w:sz="0" w:space="0" w:color="auto"/>
          </w:divBdr>
        </w:div>
        <w:div w:id="947083228">
          <w:marLeft w:val="0"/>
          <w:marRight w:val="0"/>
          <w:marTop w:val="0"/>
          <w:marBottom w:val="0"/>
          <w:divBdr>
            <w:top w:val="none" w:sz="0" w:space="0" w:color="auto"/>
            <w:left w:val="none" w:sz="0" w:space="0" w:color="auto"/>
            <w:bottom w:val="none" w:sz="0" w:space="0" w:color="auto"/>
            <w:right w:val="none" w:sz="0" w:space="0" w:color="auto"/>
          </w:divBdr>
        </w:div>
      </w:divsChild>
    </w:div>
    <w:div w:id="917905637">
      <w:bodyDiv w:val="1"/>
      <w:marLeft w:val="0"/>
      <w:marRight w:val="0"/>
      <w:marTop w:val="0"/>
      <w:marBottom w:val="0"/>
      <w:divBdr>
        <w:top w:val="none" w:sz="0" w:space="0" w:color="auto"/>
        <w:left w:val="none" w:sz="0" w:space="0" w:color="auto"/>
        <w:bottom w:val="none" w:sz="0" w:space="0" w:color="auto"/>
        <w:right w:val="none" w:sz="0" w:space="0" w:color="auto"/>
      </w:divBdr>
    </w:div>
    <w:div w:id="1300695101">
      <w:bodyDiv w:val="1"/>
      <w:marLeft w:val="0"/>
      <w:marRight w:val="0"/>
      <w:marTop w:val="0"/>
      <w:marBottom w:val="0"/>
      <w:divBdr>
        <w:top w:val="none" w:sz="0" w:space="0" w:color="auto"/>
        <w:left w:val="none" w:sz="0" w:space="0" w:color="auto"/>
        <w:bottom w:val="none" w:sz="0" w:space="0" w:color="auto"/>
        <w:right w:val="none" w:sz="0" w:space="0" w:color="auto"/>
      </w:divBdr>
      <w:divsChild>
        <w:div w:id="624041249">
          <w:marLeft w:val="0"/>
          <w:marRight w:val="0"/>
          <w:marTop w:val="0"/>
          <w:marBottom w:val="0"/>
          <w:divBdr>
            <w:top w:val="none" w:sz="0" w:space="0" w:color="auto"/>
            <w:left w:val="none" w:sz="0" w:space="0" w:color="auto"/>
            <w:bottom w:val="none" w:sz="0" w:space="0" w:color="auto"/>
            <w:right w:val="none" w:sz="0" w:space="0" w:color="auto"/>
          </w:divBdr>
        </w:div>
        <w:div w:id="453137242">
          <w:marLeft w:val="0"/>
          <w:marRight w:val="0"/>
          <w:marTop w:val="0"/>
          <w:marBottom w:val="0"/>
          <w:divBdr>
            <w:top w:val="none" w:sz="0" w:space="0" w:color="auto"/>
            <w:left w:val="none" w:sz="0" w:space="0" w:color="auto"/>
            <w:bottom w:val="none" w:sz="0" w:space="0" w:color="auto"/>
            <w:right w:val="none" w:sz="0" w:space="0" w:color="auto"/>
          </w:divBdr>
        </w:div>
        <w:div w:id="1446001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2407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Gabrielsen</dc:creator>
  <cp:keywords/>
  <dc:description/>
  <cp:lastModifiedBy>Michelle Aspelin</cp:lastModifiedBy>
  <cp:revision>2</cp:revision>
  <dcterms:created xsi:type="dcterms:W3CDTF">2026-10-26T06:06:00Z</dcterms:created>
  <dcterms:modified xsi:type="dcterms:W3CDTF">2026-10-26T06:06:00Z</dcterms:modified>
</cp:coreProperties>
</file>