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D764" w14:textId="77777777" w:rsidR="00F5606E" w:rsidRPr="00F5606E" w:rsidRDefault="00F5606E" w:rsidP="00BD4154">
      <w:pPr>
        <w:pStyle w:val="Titel"/>
        <w:jc w:val="both"/>
        <w:rPr>
          <w:rFonts w:eastAsia="Times New Roman"/>
        </w:rPr>
      </w:pPr>
      <w:r w:rsidRPr="00F5606E">
        <w:rPr>
          <w:rFonts w:eastAsia="Times New Roman"/>
        </w:rPr>
        <w:t>Bekendtgørelse om godkendelse af visningsklienter til Digital Post</w:t>
      </w:r>
      <w:r w:rsidR="00CA36FA">
        <w:rPr>
          <w:rFonts w:eastAsia="Times New Roman"/>
        </w:rPr>
        <w:t xml:space="preserve"> </w:t>
      </w:r>
      <w:r w:rsidR="00B02FD2">
        <w:rPr>
          <w:rFonts w:eastAsia="Times New Roman"/>
        </w:rPr>
        <w:t>samt kompensation for forpligtelser til offentlig tjeneste</w:t>
      </w:r>
      <w:r w:rsidR="00774AD6">
        <w:rPr>
          <w:rFonts w:eastAsia="Times New Roman"/>
        </w:rPr>
        <w:t xml:space="preserve"> for udbydere af kommercielle visningsklienter</w:t>
      </w:r>
      <w:r w:rsidR="00C20619">
        <w:rPr>
          <w:rStyle w:val="Fodnotehenvisning"/>
          <w:rFonts w:eastAsia="Times New Roman"/>
        </w:rPr>
        <w:footnoteReference w:id="1"/>
      </w:r>
    </w:p>
    <w:p w14:paraId="7366C196" w14:textId="291E12AB" w:rsidR="00942EC3" w:rsidRPr="00942EC3" w:rsidRDefault="00942EC3" w:rsidP="00BD4154">
      <w:pPr>
        <w:jc w:val="both"/>
      </w:pPr>
      <w:r w:rsidRPr="00942EC3">
        <w:t>I medfør af §</w:t>
      </w:r>
      <w:r w:rsidR="00453038">
        <w:t xml:space="preserve"> 10 a og</w:t>
      </w:r>
      <w:r w:rsidRPr="00942EC3">
        <w:t xml:space="preserve"> </w:t>
      </w:r>
      <w:r w:rsidR="00D46B86">
        <w:t xml:space="preserve">§ </w:t>
      </w:r>
      <w:r w:rsidR="00316979">
        <w:t>10 b</w:t>
      </w:r>
      <w:r w:rsidR="00316979" w:rsidRPr="00942EC3">
        <w:t xml:space="preserve"> </w:t>
      </w:r>
      <w:r w:rsidRPr="00942EC3">
        <w:t>i lov om Digital Post fra offentlige afsendere, jf. lov</w:t>
      </w:r>
      <w:r w:rsidR="004C084A">
        <w:t>bekendtgørelse</w:t>
      </w:r>
      <w:r w:rsidRPr="00942EC3">
        <w:t xml:space="preserve"> nr. </w:t>
      </w:r>
      <w:r w:rsidR="004C084A">
        <w:t>686</w:t>
      </w:r>
      <w:r w:rsidRPr="00942EC3">
        <w:t xml:space="preserve"> af </w:t>
      </w:r>
      <w:r w:rsidR="004C084A">
        <w:t>15</w:t>
      </w:r>
      <w:r w:rsidRPr="00942EC3">
        <w:t xml:space="preserve">. </w:t>
      </w:r>
      <w:r w:rsidR="004C084A">
        <w:t>april</w:t>
      </w:r>
      <w:r w:rsidR="002C48B8">
        <w:t xml:space="preserve"> </w:t>
      </w:r>
      <w:r w:rsidRPr="00942EC3">
        <w:t>20</w:t>
      </w:r>
      <w:r w:rsidR="004C084A">
        <w:t>21</w:t>
      </w:r>
      <w:r w:rsidRPr="00942EC3">
        <w:t>, fastsættes:</w:t>
      </w:r>
    </w:p>
    <w:p w14:paraId="481D826A" w14:textId="77777777" w:rsidR="00250908" w:rsidRDefault="00250908" w:rsidP="00BD4154">
      <w:pPr>
        <w:pStyle w:val="Overskrift1"/>
        <w:numPr>
          <w:ilvl w:val="0"/>
          <w:numId w:val="8"/>
        </w:numPr>
        <w:ind w:left="357" w:hanging="357"/>
        <w:jc w:val="both"/>
      </w:pPr>
      <w:r>
        <w:t>Generelt</w:t>
      </w:r>
    </w:p>
    <w:p w14:paraId="2F20FE24" w14:textId="77777777" w:rsidR="00942EC3" w:rsidRDefault="00942EC3" w:rsidP="00BD4154">
      <w:pPr>
        <w:pStyle w:val="Overskrift2"/>
        <w:jc w:val="both"/>
      </w:pPr>
      <w:r>
        <w:t>Anvendelsesområde</w:t>
      </w:r>
    </w:p>
    <w:p w14:paraId="1FC2788E" w14:textId="77777777" w:rsidR="005D389B" w:rsidRPr="00524294" w:rsidRDefault="00753DE9" w:rsidP="00BD4154">
      <w:pPr>
        <w:pStyle w:val="Listeafsnit"/>
        <w:numPr>
          <w:ilvl w:val="0"/>
          <w:numId w:val="7"/>
        </w:numPr>
        <w:jc w:val="both"/>
        <w:rPr>
          <w:b/>
        </w:rPr>
      </w:pPr>
      <w:bookmarkStart w:id="0" w:name="_Ref52738766"/>
      <w:r>
        <w:t xml:space="preserve">Bekendtgørelsen fastsætter regler om </w:t>
      </w:r>
      <w:r w:rsidRPr="001B1192">
        <w:t xml:space="preserve">godkendelser </w:t>
      </w:r>
      <w:r w:rsidRPr="00CA62DC">
        <w:t xml:space="preserve">af </w:t>
      </w:r>
      <w:r>
        <w:t xml:space="preserve">kommercielle </w:t>
      </w:r>
      <w:r w:rsidR="00453038">
        <w:t xml:space="preserve">og offentlige </w:t>
      </w:r>
      <w:r>
        <w:t>visningsklienter</w:t>
      </w:r>
      <w:r w:rsidR="00994E87">
        <w:t xml:space="preserve"> </w:t>
      </w:r>
      <w:r w:rsidRPr="001B1192">
        <w:t>i</w:t>
      </w:r>
      <w:r>
        <w:t xml:space="preserve"> henhold lov om Digital Post fra offentlige afsendere.</w:t>
      </w:r>
      <w:bookmarkEnd w:id="0"/>
      <w:r>
        <w:t xml:space="preserve"> </w:t>
      </w:r>
    </w:p>
    <w:p w14:paraId="0297B263" w14:textId="77777777" w:rsidR="00753DE9" w:rsidRPr="005D389B" w:rsidRDefault="005D389B" w:rsidP="00BD4154">
      <w:pPr>
        <w:jc w:val="both"/>
        <w:rPr>
          <w:b/>
        </w:rPr>
      </w:pPr>
      <w:r w:rsidRPr="00524294">
        <w:rPr>
          <w:i/>
          <w:iCs/>
        </w:rPr>
        <w:t>Stk. 2.</w:t>
      </w:r>
      <w:r>
        <w:t xml:space="preserve"> </w:t>
      </w:r>
      <w:r w:rsidR="00753DE9">
        <w:t xml:space="preserve">Endvidere fastsætter bekendtgørelsen regler </w:t>
      </w:r>
      <w:r>
        <w:t xml:space="preserve">for </w:t>
      </w:r>
      <w:r w:rsidR="00753DE9" w:rsidRPr="00CA62DC">
        <w:t xml:space="preserve">kompensation </w:t>
      </w:r>
      <w:r w:rsidR="00753DE9">
        <w:t xml:space="preserve">af kommercielle visningsklienter </w:t>
      </w:r>
      <w:r w:rsidR="00753DE9" w:rsidRPr="00CA62DC">
        <w:t>for forpligtelserne til offentlig tjeneste</w:t>
      </w:r>
      <w:r w:rsidR="00FE40B1">
        <w:t xml:space="preserve"> i medfør af Komm</w:t>
      </w:r>
      <w:r w:rsidR="00E466EE">
        <w:t xml:space="preserve">issionens afgørelse af 20. december 2011 om anvendelse af bestemmelserne i artikel 106, stk. 2, i traktaten om Den Europæiske Unions funktionsmåde på statsstøtte i form af kompensation </w:t>
      </w:r>
      <w:r w:rsidR="00557191">
        <w:t>a</w:t>
      </w:r>
      <w:r w:rsidR="00E466EE">
        <w:t>f offentlig tjeneste ydet til visse virksomheder, der har fået overdraget at udføre tjenesteydelser af almindelig økonomisk interesse (K(2011) 9380)(2012/21/EU)</w:t>
      </w:r>
      <w:r w:rsidR="00753DE9">
        <w:t>.</w:t>
      </w:r>
      <w:r w:rsidR="00753DE9" w:rsidRPr="001B1192">
        <w:t xml:space="preserve"> </w:t>
      </w:r>
    </w:p>
    <w:p w14:paraId="10A3286E" w14:textId="77777777" w:rsidR="00942EC3" w:rsidRPr="009F25E7" w:rsidRDefault="00942EC3" w:rsidP="00BD4154">
      <w:pPr>
        <w:pStyle w:val="Listeafsnit"/>
        <w:ind w:left="360"/>
        <w:jc w:val="both"/>
        <w:rPr>
          <w:b/>
        </w:rPr>
      </w:pPr>
    </w:p>
    <w:p w14:paraId="5E52BABC" w14:textId="77777777" w:rsidR="0023494A" w:rsidRDefault="0023494A" w:rsidP="00BD4154">
      <w:pPr>
        <w:pStyle w:val="Overskrift2"/>
        <w:jc w:val="both"/>
      </w:pPr>
      <w:r>
        <w:t>Definitioner</w:t>
      </w:r>
    </w:p>
    <w:p w14:paraId="26D2A6AD" w14:textId="77777777" w:rsidR="00FC2CF2" w:rsidRDefault="00BD3B70" w:rsidP="00BD4154">
      <w:pPr>
        <w:pStyle w:val="Listeafsnit"/>
        <w:numPr>
          <w:ilvl w:val="0"/>
          <w:numId w:val="7"/>
        </w:numPr>
        <w:jc w:val="both"/>
      </w:pPr>
      <w:bookmarkStart w:id="1" w:name="_Ref52548949"/>
      <w:r w:rsidRPr="00BD3B70">
        <w:t>I denne bekendtgørelse forstås ved:</w:t>
      </w:r>
      <w:bookmarkEnd w:id="1"/>
    </w:p>
    <w:p w14:paraId="7A50EF4B" w14:textId="77777777" w:rsidR="00AA1836" w:rsidRPr="00AA1836" w:rsidRDefault="00AA1836" w:rsidP="00BD4154">
      <w:pPr>
        <w:pStyle w:val="DSNumberedListA"/>
        <w:numPr>
          <w:ilvl w:val="0"/>
          <w:numId w:val="5"/>
        </w:numPr>
        <w:jc w:val="both"/>
      </w:pPr>
      <w:r w:rsidRPr="00AA1836">
        <w:rPr>
          <w:color w:val="000000"/>
        </w:rPr>
        <w:t>Digital Post</w:t>
      </w:r>
      <w:r>
        <w:rPr>
          <w:color w:val="000000"/>
        </w:rPr>
        <w:t>:</w:t>
      </w:r>
      <w:r w:rsidRPr="00AA1836">
        <w:rPr>
          <w:color w:val="000000"/>
        </w:rPr>
        <w:t xml:space="preserve"> </w:t>
      </w:r>
      <w:r w:rsidR="00BD3B70">
        <w:rPr>
          <w:color w:val="000000"/>
        </w:rPr>
        <w:t>De</w:t>
      </w:r>
      <w:r w:rsidRPr="00AA1836">
        <w:rPr>
          <w:color w:val="000000"/>
        </w:rPr>
        <w:t>n offentlig</w:t>
      </w:r>
      <w:r w:rsidR="00BD3B70">
        <w:rPr>
          <w:color w:val="000000"/>
        </w:rPr>
        <w:t>e</w:t>
      </w:r>
      <w:r w:rsidRPr="00AA1836">
        <w:rPr>
          <w:color w:val="000000"/>
        </w:rPr>
        <w:t xml:space="preserve"> </w:t>
      </w:r>
      <w:r w:rsidR="0039399E">
        <w:rPr>
          <w:color w:val="000000"/>
        </w:rPr>
        <w:t>d</w:t>
      </w:r>
      <w:r w:rsidRPr="00AA1836">
        <w:rPr>
          <w:color w:val="000000"/>
        </w:rPr>
        <w:t>i</w:t>
      </w:r>
      <w:r w:rsidR="0039399E">
        <w:rPr>
          <w:color w:val="000000"/>
        </w:rPr>
        <w:t>gi</w:t>
      </w:r>
      <w:r w:rsidRPr="00AA1836">
        <w:rPr>
          <w:color w:val="000000"/>
        </w:rPr>
        <w:t>t</w:t>
      </w:r>
      <w:r w:rsidR="0039399E">
        <w:rPr>
          <w:color w:val="000000"/>
        </w:rPr>
        <w:t>ale post</w:t>
      </w:r>
      <w:r w:rsidRPr="00AA1836">
        <w:rPr>
          <w:color w:val="000000"/>
        </w:rPr>
        <w:t>løsning</w:t>
      </w:r>
      <w:r w:rsidR="0039399E">
        <w:rPr>
          <w:color w:val="000000"/>
        </w:rPr>
        <w:t>, som nævnt i § 2, stk. 1, i lov om Digital Post fra offentlige afsendere</w:t>
      </w:r>
      <w:r w:rsidRPr="00AA1836">
        <w:rPr>
          <w:color w:val="000000"/>
        </w:rPr>
        <w:t>, der muliggør, at offentlige myndigheder kan kommunikere sikkert og digitalt med borgere og virksomheder.</w:t>
      </w:r>
      <w:r>
        <w:rPr>
          <w:color w:val="000000"/>
        </w:rPr>
        <w:t xml:space="preserve"> </w:t>
      </w:r>
      <w:r>
        <w:t xml:space="preserve">Digitaliseringsstyrelsen stiller </w:t>
      </w:r>
      <w:r w:rsidRPr="00AA1836">
        <w:rPr>
          <w:color w:val="000000"/>
        </w:rPr>
        <w:t>Digital Post</w:t>
      </w:r>
      <w:r>
        <w:t xml:space="preserve"> til rådighed</w:t>
      </w:r>
      <w:r w:rsidR="0039399E">
        <w:t xml:space="preserve">, jf. § 2, stk. 2, i lov om Digital </w:t>
      </w:r>
      <w:r w:rsidR="00F74303">
        <w:t>P</w:t>
      </w:r>
      <w:r w:rsidR="0039399E">
        <w:t>ost fra offentlige afsendere.</w:t>
      </w:r>
      <w:r>
        <w:t xml:space="preserve"> </w:t>
      </w:r>
      <w:r w:rsidR="0039399E">
        <w:t xml:space="preserve">Digital Post </w:t>
      </w:r>
      <w:r w:rsidR="00BD3B70">
        <w:t>tilgås via v</w:t>
      </w:r>
      <w:r>
        <w:t>isningsklienter</w:t>
      </w:r>
      <w:r w:rsidR="00CE7732">
        <w:t>.</w:t>
      </w:r>
    </w:p>
    <w:p w14:paraId="0DF91625" w14:textId="77777777" w:rsidR="00453038" w:rsidRPr="00C20619" w:rsidRDefault="00E76573" w:rsidP="00BD4154">
      <w:pPr>
        <w:pStyle w:val="DSNumberedListA"/>
        <w:numPr>
          <w:ilvl w:val="0"/>
          <w:numId w:val="5"/>
        </w:numPr>
        <w:jc w:val="both"/>
      </w:pPr>
      <w:r w:rsidRPr="00A30414">
        <w:rPr>
          <w:color w:val="000000"/>
        </w:rPr>
        <w:t>Kommerciel v</w:t>
      </w:r>
      <w:r w:rsidR="00AA1836" w:rsidRPr="00A30414">
        <w:rPr>
          <w:color w:val="000000"/>
        </w:rPr>
        <w:t>isningsklient: En brugergrænseflade</w:t>
      </w:r>
      <w:r w:rsidR="00FB0D8E">
        <w:rPr>
          <w:color w:val="000000"/>
        </w:rPr>
        <w:t>, der stilles</w:t>
      </w:r>
      <w:r w:rsidR="00AA1836" w:rsidRPr="00A30414">
        <w:rPr>
          <w:color w:val="000000"/>
        </w:rPr>
        <w:t xml:space="preserve"> til rådighed for </w:t>
      </w:r>
      <w:r w:rsidR="00642485" w:rsidRPr="00A30414">
        <w:rPr>
          <w:color w:val="000000"/>
        </w:rPr>
        <w:t>borgere og virksomheder</w:t>
      </w:r>
      <w:r w:rsidR="00AA1836" w:rsidRPr="00A30414">
        <w:rPr>
          <w:color w:val="000000"/>
        </w:rPr>
        <w:t xml:space="preserve">, hvorigennem der gives adgang til </w:t>
      </w:r>
      <w:r w:rsidR="00BE2DFC" w:rsidRPr="00A30414">
        <w:rPr>
          <w:color w:val="000000"/>
        </w:rPr>
        <w:t>at</w:t>
      </w:r>
      <w:r w:rsidR="00FB0D8E">
        <w:rPr>
          <w:color w:val="000000"/>
        </w:rPr>
        <w:t xml:space="preserve"> </w:t>
      </w:r>
      <w:r w:rsidR="00E127C1">
        <w:rPr>
          <w:color w:val="000000"/>
        </w:rPr>
        <w:t xml:space="preserve">vise digital post fra offentlige afsendere </w:t>
      </w:r>
      <w:r w:rsidR="00595594">
        <w:rPr>
          <w:color w:val="000000"/>
        </w:rPr>
        <w:t>og leveres supplerende ydelser</w:t>
      </w:r>
      <w:r w:rsidR="00595594" w:rsidRPr="00A30414">
        <w:rPr>
          <w:color w:val="000000"/>
        </w:rPr>
        <w:t xml:space="preserve">, </w:t>
      </w:r>
      <w:r w:rsidR="00FB0D8E">
        <w:rPr>
          <w:color w:val="000000"/>
        </w:rPr>
        <w:t xml:space="preserve">og </w:t>
      </w:r>
      <w:r w:rsidRPr="00A30414">
        <w:rPr>
          <w:color w:val="000000"/>
        </w:rPr>
        <w:t xml:space="preserve">som udbydes af en privat aktør, jf. § 10 b, stk. 2, </w:t>
      </w:r>
      <w:r>
        <w:t>i lov om Digital Post fra offentlige afsendere</w:t>
      </w:r>
      <w:r w:rsidR="00CE7732" w:rsidRPr="00A30414">
        <w:rPr>
          <w:color w:val="000000"/>
        </w:rPr>
        <w:t>.</w:t>
      </w:r>
    </w:p>
    <w:p w14:paraId="27D353B2" w14:textId="77777777" w:rsidR="00453038" w:rsidRDefault="00595594" w:rsidP="00BD4154">
      <w:pPr>
        <w:pStyle w:val="DSNumberedListA"/>
        <w:numPr>
          <w:ilvl w:val="0"/>
          <w:numId w:val="5"/>
        </w:numPr>
        <w:jc w:val="both"/>
      </w:pPr>
      <w:r>
        <w:t>Offentlig visningsklient</w:t>
      </w:r>
      <w:r w:rsidR="00453038">
        <w:t xml:space="preserve">: </w:t>
      </w:r>
      <w:r w:rsidR="00453038" w:rsidRPr="00947A74">
        <w:rPr>
          <w:color w:val="000000"/>
        </w:rPr>
        <w:t>En brugergrænseflade</w:t>
      </w:r>
      <w:r w:rsidR="00E127C1" w:rsidRPr="00947A74">
        <w:rPr>
          <w:color w:val="000000"/>
        </w:rPr>
        <w:t>, der stilles</w:t>
      </w:r>
      <w:r w:rsidR="00453038" w:rsidRPr="00947A74">
        <w:rPr>
          <w:color w:val="000000"/>
        </w:rPr>
        <w:t xml:space="preserve"> til rådighed for borgere og virksomheder, hvorigennem der gives adgang til at </w:t>
      </w:r>
      <w:r w:rsidR="00725D76">
        <w:rPr>
          <w:color w:val="000000"/>
        </w:rPr>
        <w:t>formidle</w:t>
      </w:r>
      <w:r w:rsidR="00725D76" w:rsidRPr="00947A74">
        <w:rPr>
          <w:color w:val="000000"/>
        </w:rPr>
        <w:t xml:space="preserve"> </w:t>
      </w:r>
      <w:r w:rsidR="00947A74" w:rsidRPr="00947A74">
        <w:rPr>
          <w:color w:val="000000"/>
        </w:rPr>
        <w:t xml:space="preserve">digital post fra offentlige afsendere </w:t>
      </w:r>
      <w:r w:rsidR="000C234C" w:rsidRPr="00947A74">
        <w:rPr>
          <w:color w:val="000000"/>
        </w:rPr>
        <w:t>til borgere</w:t>
      </w:r>
      <w:r w:rsidR="000C234C">
        <w:rPr>
          <w:color w:val="000000"/>
        </w:rPr>
        <w:t xml:space="preserve"> </w:t>
      </w:r>
      <w:r w:rsidR="000C234C" w:rsidRPr="00947A74">
        <w:rPr>
          <w:color w:val="000000"/>
        </w:rPr>
        <w:t xml:space="preserve">og </w:t>
      </w:r>
      <w:r w:rsidR="000C234C" w:rsidRPr="00FC51B5">
        <w:t>virksomheder</w:t>
      </w:r>
      <w:r w:rsidR="000C234C" w:rsidRPr="00947A74">
        <w:rPr>
          <w:color w:val="000000"/>
        </w:rPr>
        <w:t xml:space="preserve">, </w:t>
      </w:r>
      <w:r w:rsidR="000C234C">
        <w:rPr>
          <w:color w:val="000000"/>
        </w:rPr>
        <w:t xml:space="preserve">og </w:t>
      </w:r>
      <w:r w:rsidR="000C234C" w:rsidRPr="00947A74">
        <w:rPr>
          <w:color w:val="000000"/>
        </w:rPr>
        <w:t xml:space="preserve">som udbydes af en offentlig myndighed, jf. § 10 a, stk. 2, </w:t>
      </w:r>
      <w:r w:rsidR="000C234C">
        <w:t>i lov om Digital Post fra offentlige afsendere.</w:t>
      </w:r>
    </w:p>
    <w:p w14:paraId="713EADBA" w14:textId="77777777" w:rsidR="00FB0D8E" w:rsidRPr="00AA1836" w:rsidRDefault="000C234C" w:rsidP="00BD4154">
      <w:pPr>
        <w:pStyle w:val="DSNumberedListA"/>
        <w:numPr>
          <w:ilvl w:val="0"/>
          <w:numId w:val="5"/>
        </w:numPr>
        <w:jc w:val="both"/>
      </w:pPr>
      <w:r>
        <w:t xml:space="preserve">Supplerende ydelser: Ydelser, der leveres i </w:t>
      </w:r>
      <w:r w:rsidR="00A05748">
        <w:t xml:space="preserve">tillæg til </w:t>
      </w:r>
      <w:r w:rsidR="005B5A8C">
        <w:t xml:space="preserve">formidlingen </w:t>
      </w:r>
      <w:r>
        <w:t>af digital post fra offentlige afsendere i en kommerciel visningsklient. Supplerende ydelser skal tilføre brugerne af visningsklienten funktionalitet og værdi af samfundsmæssig interesse, herunder bidrage til digitaliseringen af samfundet og brugen af sikker digital post, eller på anden vis har almindelig økonomisk interesse for borgerne og virksomhederne</w:t>
      </w:r>
      <w:r w:rsidR="00E127C1">
        <w:t xml:space="preserve">. </w:t>
      </w:r>
    </w:p>
    <w:p w14:paraId="0C9B9F27" w14:textId="77777777" w:rsidR="002E2613" w:rsidRPr="00A20F67" w:rsidRDefault="00AA1836" w:rsidP="00BD4154">
      <w:pPr>
        <w:pStyle w:val="DSNumberedListA"/>
        <w:numPr>
          <w:ilvl w:val="0"/>
          <w:numId w:val="5"/>
        </w:numPr>
        <w:jc w:val="both"/>
      </w:pPr>
      <w:r w:rsidRPr="00A30414">
        <w:rPr>
          <w:color w:val="000000"/>
        </w:rPr>
        <w:lastRenderedPageBreak/>
        <w:t>Udbyder:</w:t>
      </w:r>
      <w:r w:rsidR="007A14F9">
        <w:rPr>
          <w:color w:val="000000"/>
        </w:rPr>
        <w:t xml:space="preserve"> Den offentlige myndighed, jf. § 10 a, stk. 2, i lov om Digital Post fra offentlige afsendere, eller den juridiske enhed, jf. § 10 b, stk. 2, i lov om Digital Post fra offentlige afsendere, der stiller en visningsklient til rådighed for borgere og virksomheder</w:t>
      </w:r>
      <w:r w:rsidRPr="00A30414">
        <w:rPr>
          <w:color w:val="000000"/>
        </w:rPr>
        <w:t>.</w:t>
      </w:r>
      <w:r w:rsidR="00453038">
        <w:rPr>
          <w:color w:val="000000"/>
        </w:rPr>
        <w:t xml:space="preserve"> </w:t>
      </w:r>
    </w:p>
    <w:p w14:paraId="493541E8" w14:textId="77777777" w:rsidR="00A20F67" w:rsidRPr="00AA1836" w:rsidRDefault="00A20F67" w:rsidP="00BD4154">
      <w:pPr>
        <w:pStyle w:val="DSNumberedListA"/>
        <w:numPr>
          <w:ilvl w:val="0"/>
          <w:numId w:val="0"/>
        </w:numPr>
        <w:ind w:left="1191"/>
        <w:jc w:val="both"/>
      </w:pPr>
    </w:p>
    <w:p w14:paraId="1B2E379A" w14:textId="77777777" w:rsidR="00EC1347" w:rsidRPr="005D7FBC" w:rsidRDefault="00EC1347" w:rsidP="00BD4154">
      <w:pPr>
        <w:pStyle w:val="Overskrift2"/>
        <w:jc w:val="both"/>
      </w:pPr>
      <w:r>
        <w:t>Myndighedskompetence</w:t>
      </w:r>
    </w:p>
    <w:p w14:paraId="5717CC03" w14:textId="6F95A0A1" w:rsidR="00EC1347" w:rsidRDefault="00EC1347" w:rsidP="00BD4154">
      <w:pPr>
        <w:pStyle w:val="Listeafsnit"/>
        <w:numPr>
          <w:ilvl w:val="0"/>
          <w:numId w:val="7"/>
        </w:numPr>
        <w:jc w:val="both"/>
      </w:pPr>
      <w:bookmarkStart w:id="2" w:name="_Ref52781768"/>
      <w:r w:rsidRPr="00C6598B">
        <w:t>Digitaliseringsstyrelsen træffer afgørelse om godkendelse af visningsklienter</w:t>
      </w:r>
      <w:r>
        <w:t xml:space="preserve"> på baggrund af ansøgningen, jf. </w:t>
      </w:r>
      <w:r>
        <w:fldChar w:fldCharType="begin"/>
      </w:r>
      <w:r>
        <w:instrText xml:space="preserve"> REF _Ref52209499 \r \h </w:instrText>
      </w:r>
      <w:r w:rsidR="00BD4154">
        <w:instrText xml:space="preserve"> \* MERGEFORMAT </w:instrText>
      </w:r>
      <w:r>
        <w:fldChar w:fldCharType="separate"/>
      </w:r>
      <w:r w:rsidR="003B6882">
        <w:t>§ 6</w:t>
      </w:r>
      <w:r>
        <w:fldChar w:fldCharType="end"/>
      </w:r>
      <w:r>
        <w:t xml:space="preserve">, stk. 1, og efter reglerne i </w:t>
      </w:r>
      <w:r>
        <w:fldChar w:fldCharType="begin"/>
      </w:r>
      <w:r>
        <w:instrText xml:space="preserve"> REF _Ref51518471 \r \h </w:instrText>
      </w:r>
      <w:r w:rsidR="00BD4154">
        <w:instrText xml:space="preserve"> \* MERGEFORMAT </w:instrText>
      </w:r>
      <w:r>
        <w:fldChar w:fldCharType="separate"/>
      </w:r>
      <w:r w:rsidR="003B6882">
        <w:t xml:space="preserve">Kapitel 2. </w:t>
      </w:r>
      <w:r>
        <w:fldChar w:fldCharType="end"/>
      </w:r>
      <w:bookmarkEnd w:id="2"/>
      <w:r w:rsidRPr="00C6598B">
        <w:t xml:space="preserve"> </w:t>
      </w:r>
    </w:p>
    <w:p w14:paraId="46FA6A5A" w14:textId="6A66C16E" w:rsidR="00EC1347" w:rsidRDefault="00EC1347" w:rsidP="00BD4154">
      <w:pPr>
        <w:pStyle w:val="Listeafsnit"/>
        <w:numPr>
          <w:ilvl w:val="0"/>
          <w:numId w:val="7"/>
        </w:numPr>
        <w:jc w:val="both"/>
      </w:pPr>
      <w:r w:rsidRPr="00C6598B">
        <w:t xml:space="preserve">Digitaliseringsstyrelsen træffer afgørelse om </w:t>
      </w:r>
      <w:r>
        <w:t xml:space="preserve">udbetaling af </w:t>
      </w:r>
      <w:r w:rsidRPr="00C6598B">
        <w:t xml:space="preserve">kompensation </w:t>
      </w:r>
      <w:r>
        <w:t>til</w:t>
      </w:r>
      <w:r w:rsidRPr="00C6598B">
        <w:t xml:space="preserve"> kommercielle visningsklienter </w:t>
      </w:r>
      <w:r>
        <w:t xml:space="preserve">på baggrund af ansøgningen, jf. </w:t>
      </w:r>
      <w:r>
        <w:fldChar w:fldCharType="begin"/>
      </w:r>
      <w:r>
        <w:instrText xml:space="preserve"> REF _Ref52209499 \r \h </w:instrText>
      </w:r>
      <w:r w:rsidR="00BD4154">
        <w:instrText xml:space="preserve"> \* MERGEFORMAT </w:instrText>
      </w:r>
      <w:r>
        <w:fldChar w:fldCharType="separate"/>
      </w:r>
      <w:r w:rsidR="003B6882">
        <w:t>§ 6</w:t>
      </w:r>
      <w:r>
        <w:fldChar w:fldCharType="end"/>
      </w:r>
      <w:r>
        <w:t xml:space="preserve">, stk. 2, og efter reglerne i </w:t>
      </w:r>
      <w:r>
        <w:fldChar w:fldCharType="begin"/>
      </w:r>
      <w:r>
        <w:instrText xml:space="preserve"> REF _Ref51518555 \r \h </w:instrText>
      </w:r>
      <w:r w:rsidR="00BD4154">
        <w:instrText xml:space="preserve"> \* MERGEFORMAT </w:instrText>
      </w:r>
      <w:r>
        <w:fldChar w:fldCharType="separate"/>
      </w:r>
      <w:r w:rsidR="003B6882">
        <w:t xml:space="preserve">Kapitel 3. </w:t>
      </w:r>
      <w:r>
        <w:fldChar w:fldCharType="end"/>
      </w:r>
    </w:p>
    <w:p w14:paraId="0FCEE1AE" w14:textId="77777777" w:rsidR="00EC1347" w:rsidRDefault="00EC1347" w:rsidP="00BD4154">
      <w:pPr>
        <w:pStyle w:val="Listeafsnit"/>
        <w:numPr>
          <w:ilvl w:val="0"/>
          <w:numId w:val="7"/>
        </w:numPr>
        <w:jc w:val="both"/>
      </w:pPr>
      <w:bookmarkStart w:id="3" w:name="_Ref52780906"/>
      <w:r w:rsidRPr="005D1565">
        <w:t xml:space="preserve">Digitaliseringsstyrelsen </w:t>
      </w:r>
      <w:r>
        <w:t xml:space="preserve">fører tilsyn med </w:t>
      </w:r>
      <w:r w:rsidRPr="005D1565">
        <w:t xml:space="preserve">og er ansvarlig for at </w:t>
      </w:r>
      <w:r>
        <w:t>kontrollere</w:t>
      </w:r>
      <w:r w:rsidRPr="005D1565">
        <w:t xml:space="preserve">, om </w:t>
      </w:r>
      <w:r>
        <w:t xml:space="preserve">en visningsklient </w:t>
      </w:r>
      <w:r w:rsidRPr="005D1565">
        <w:t>overholder kravene til godkendelse</w:t>
      </w:r>
      <w:r>
        <w:t xml:space="preserve"> samt </w:t>
      </w:r>
      <w:r w:rsidRPr="005D1565">
        <w:t>kompensation.</w:t>
      </w:r>
      <w:bookmarkEnd w:id="3"/>
    </w:p>
    <w:p w14:paraId="0EB481AB" w14:textId="77777777" w:rsidR="003729D6" w:rsidRDefault="003729D6" w:rsidP="00BD4154">
      <w:pPr>
        <w:pStyle w:val="Listeafsnit"/>
        <w:ind w:left="360"/>
        <w:jc w:val="both"/>
      </w:pPr>
    </w:p>
    <w:p w14:paraId="3DDF2C1A" w14:textId="77777777" w:rsidR="00F74303" w:rsidRDefault="00250908" w:rsidP="00BD4154">
      <w:pPr>
        <w:pStyle w:val="Overskrift2"/>
        <w:jc w:val="both"/>
      </w:pPr>
      <w:r>
        <w:t>Ansøgninger</w:t>
      </w:r>
    </w:p>
    <w:p w14:paraId="35ABB704" w14:textId="031787B6" w:rsidR="00F767E2" w:rsidRDefault="001F1A0B" w:rsidP="00BD4154">
      <w:pPr>
        <w:pStyle w:val="Listeafsnit"/>
        <w:numPr>
          <w:ilvl w:val="0"/>
          <w:numId w:val="7"/>
        </w:numPr>
        <w:spacing w:after="0"/>
        <w:jc w:val="both"/>
      </w:pPr>
      <w:bookmarkStart w:id="4" w:name="_Ref51519653"/>
      <w:bookmarkStart w:id="5" w:name="_Ref52209499"/>
      <w:r>
        <w:t>Juridiske enheder, der ønsker at udbyde</w:t>
      </w:r>
      <w:r w:rsidR="00E350E9">
        <w:t xml:space="preserve"> en kommerciel</w:t>
      </w:r>
      <w:r w:rsidR="00B152DD">
        <w:t xml:space="preserve"> visningsklient</w:t>
      </w:r>
      <w:r w:rsidR="009B6F98">
        <w:t>,</w:t>
      </w:r>
      <w:r w:rsidR="00E350E9">
        <w:t xml:space="preserve"> eller</w:t>
      </w:r>
      <w:r w:rsidR="009B6F98">
        <w:t xml:space="preserve"> offentlige myndigheder, der ønsker at udbyde en</w:t>
      </w:r>
      <w:r w:rsidR="00E350E9">
        <w:t xml:space="preserve"> offentlig</w:t>
      </w:r>
      <w:r>
        <w:t xml:space="preserve"> </w:t>
      </w:r>
      <w:r w:rsidR="00F767E2">
        <w:t>visningsklient</w:t>
      </w:r>
      <w:r w:rsidR="009B6F98">
        <w:t>,</w:t>
      </w:r>
      <w:r w:rsidR="00F767E2">
        <w:t xml:space="preserve"> </w:t>
      </w:r>
      <w:r w:rsidR="00E350E9">
        <w:t xml:space="preserve">skal </w:t>
      </w:r>
      <w:r w:rsidR="00F767E2">
        <w:t>ansøge om</w:t>
      </w:r>
      <w:bookmarkEnd w:id="4"/>
      <w:r w:rsidR="00DE6FC2">
        <w:t xml:space="preserve"> g</w:t>
      </w:r>
      <w:r w:rsidR="00F767E2">
        <w:t xml:space="preserve">odkendelse, jf. </w:t>
      </w:r>
      <w:r w:rsidR="00AE6535">
        <w:fldChar w:fldCharType="begin"/>
      </w:r>
      <w:r w:rsidR="00AE6535">
        <w:instrText xml:space="preserve"> REF _Ref51518471 \r \h </w:instrText>
      </w:r>
      <w:r w:rsidR="00BD4154">
        <w:instrText xml:space="preserve"> \* MERGEFORMAT </w:instrText>
      </w:r>
      <w:r w:rsidR="00AE6535">
        <w:fldChar w:fldCharType="separate"/>
      </w:r>
      <w:r w:rsidR="003B6882">
        <w:t xml:space="preserve">Kapitel 2. </w:t>
      </w:r>
      <w:r w:rsidR="00AE6535">
        <w:fldChar w:fldCharType="end"/>
      </w:r>
      <w:bookmarkEnd w:id="5"/>
    </w:p>
    <w:p w14:paraId="1798D891" w14:textId="38BDF010" w:rsidR="00F767E2" w:rsidRDefault="00DE6FC2" w:rsidP="00BD4154">
      <w:pPr>
        <w:pStyle w:val="Opstilling-talellerbogst"/>
        <w:jc w:val="both"/>
      </w:pPr>
      <w:r w:rsidRPr="00EC7FC9">
        <w:rPr>
          <w:i/>
          <w:iCs/>
        </w:rPr>
        <w:t>Stk. 2</w:t>
      </w:r>
      <w:r>
        <w:t>. Godkendte kommercielle visningsklienter kan søge om</w:t>
      </w:r>
      <w:r w:rsidR="00F767E2">
        <w:t xml:space="preserve"> kompensation</w:t>
      </w:r>
      <w:r w:rsidR="00AE6535">
        <w:t xml:space="preserve">, jf. </w:t>
      </w:r>
      <w:r w:rsidR="00421029">
        <w:fldChar w:fldCharType="begin"/>
      </w:r>
      <w:r w:rsidR="00421029">
        <w:instrText xml:space="preserve"> REF _Ref51873678 \r \h </w:instrText>
      </w:r>
      <w:r w:rsidR="00BD4154">
        <w:instrText xml:space="preserve"> \* MERGEFORMAT </w:instrText>
      </w:r>
      <w:r w:rsidR="00421029">
        <w:fldChar w:fldCharType="separate"/>
      </w:r>
      <w:r w:rsidR="003B6882">
        <w:t xml:space="preserve">Kapitel 3. </w:t>
      </w:r>
      <w:r w:rsidR="00421029">
        <w:fldChar w:fldCharType="end"/>
      </w:r>
    </w:p>
    <w:p w14:paraId="5DB8EA6C" w14:textId="69AF7053" w:rsidR="00AE6535" w:rsidRPr="00524294" w:rsidRDefault="00AE6535" w:rsidP="00BD4154">
      <w:pPr>
        <w:pStyle w:val="Listeafsnit"/>
        <w:numPr>
          <w:ilvl w:val="0"/>
          <w:numId w:val="7"/>
        </w:numPr>
        <w:spacing w:after="0"/>
        <w:jc w:val="both"/>
      </w:pPr>
      <w:bookmarkStart w:id="6" w:name="_Ref51874393"/>
      <w:bookmarkStart w:id="7" w:name="_Ref77243722"/>
      <w:r w:rsidRPr="00524294">
        <w:t>Ansøgning</w:t>
      </w:r>
      <w:r w:rsidR="00E21CDA">
        <w:t xml:space="preserve">er efter </w:t>
      </w:r>
      <w:r w:rsidR="00E21CDA">
        <w:fldChar w:fldCharType="begin"/>
      </w:r>
      <w:r w:rsidR="00E21CDA">
        <w:instrText xml:space="preserve"> REF _Ref51519653 \r \h </w:instrText>
      </w:r>
      <w:r w:rsidR="00BD4154">
        <w:instrText xml:space="preserve"> \* MERGEFORMAT </w:instrText>
      </w:r>
      <w:r w:rsidR="00E21CDA">
        <w:fldChar w:fldCharType="separate"/>
      </w:r>
      <w:r w:rsidR="003B6882">
        <w:t>§ 6</w:t>
      </w:r>
      <w:r w:rsidR="00E21CDA">
        <w:fldChar w:fldCharType="end"/>
      </w:r>
      <w:r w:rsidR="00E21CDA">
        <w:t xml:space="preserve">, </w:t>
      </w:r>
      <w:r w:rsidR="00DE6FC2">
        <w:t>stk</w:t>
      </w:r>
      <w:r w:rsidR="00E21CDA">
        <w:t xml:space="preserve">. 1, </w:t>
      </w:r>
      <w:r w:rsidRPr="00524294">
        <w:t>skal indeholde følgende oplysninger</w:t>
      </w:r>
      <w:r w:rsidR="00E21CDA">
        <w:t>:</w:t>
      </w:r>
      <w:bookmarkEnd w:id="6"/>
      <w:bookmarkEnd w:id="7"/>
    </w:p>
    <w:p w14:paraId="1A061079" w14:textId="2E590D81" w:rsidR="00AE6535" w:rsidRDefault="00AE6535" w:rsidP="00BD4154">
      <w:pPr>
        <w:pStyle w:val="Opstilling-talellerbogst"/>
        <w:numPr>
          <w:ilvl w:val="0"/>
          <w:numId w:val="20"/>
        </w:numPr>
        <w:jc w:val="both"/>
      </w:pPr>
      <w:r>
        <w:t>Navn</w:t>
      </w:r>
      <w:r w:rsidR="008B1EB4">
        <w:t xml:space="preserve"> på </w:t>
      </w:r>
      <w:r w:rsidR="001F1A0B">
        <w:t>ansøgeren</w:t>
      </w:r>
      <w:r w:rsidR="006C1B3C">
        <w:t>.</w:t>
      </w:r>
    </w:p>
    <w:p w14:paraId="75B2A043" w14:textId="2967E4B5" w:rsidR="00AE6535" w:rsidRDefault="00AE6535" w:rsidP="00BD4154">
      <w:pPr>
        <w:pStyle w:val="Opstilling-talellerbogst"/>
        <w:numPr>
          <w:ilvl w:val="0"/>
          <w:numId w:val="20"/>
        </w:numPr>
        <w:jc w:val="both"/>
      </w:pPr>
      <w:r>
        <w:t>CVR-nummer</w:t>
      </w:r>
      <w:r w:rsidR="006C1B3C">
        <w:t>.</w:t>
      </w:r>
    </w:p>
    <w:p w14:paraId="60BB0DEB" w14:textId="11BDBB3D" w:rsidR="00AE6535" w:rsidRDefault="00AE6535" w:rsidP="00BD4154">
      <w:pPr>
        <w:pStyle w:val="Opstilling-talellerbogst"/>
        <w:numPr>
          <w:ilvl w:val="0"/>
          <w:numId w:val="20"/>
        </w:numPr>
        <w:jc w:val="both"/>
      </w:pPr>
      <w:r>
        <w:t>A</w:t>
      </w:r>
      <w:r w:rsidRPr="00524294">
        <w:t>dresse</w:t>
      </w:r>
      <w:r w:rsidR="006C1B3C">
        <w:t>.</w:t>
      </w:r>
    </w:p>
    <w:p w14:paraId="0311D9A6" w14:textId="37A8DA02" w:rsidR="00AE6535" w:rsidRDefault="00AE6535" w:rsidP="00BD4154">
      <w:pPr>
        <w:pStyle w:val="Opstilling-talellerbogst"/>
        <w:numPr>
          <w:ilvl w:val="0"/>
          <w:numId w:val="20"/>
        </w:numPr>
        <w:jc w:val="both"/>
      </w:pPr>
      <w:r>
        <w:t>K</w:t>
      </w:r>
      <w:r w:rsidRPr="00524294">
        <w:t>ontaktperson</w:t>
      </w:r>
      <w:r>
        <w:t xml:space="preserve"> og </w:t>
      </w:r>
      <w:r w:rsidR="006C1B3C">
        <w:t>-</w:t>
      </w:r>
      <w:r>
        <w:t>oplysninger</w:t>
      </w:r>
      <w:r w:rsidR="006C1B3C">
        <w:t>.</w:t>
      </w:r>
    </w:p>
    <w:p w14:paraId="5ED770A5" w14:textId="0A75212F" w:rsidR="005F1D11" w:rsidRDefault="003509F0" w:rsidP="00BD4154">
      <w:pPr>
        <w:pStyle w:val="Opstilling-talellerbogst"/>
        <w:numPr>
          <w:ilvl w:val="0"/>
          <w:numId w:val="20"/>
        </w:numPr>
        <w:jc w:val="both"/>
      </w:pPr>
      <w:r>
        <w:t xml:space="preserve">Dokumentation for opfyldelse af kravene til basisgodkendelse, </w:t>
      </w:r>
      <w:r w:rsidR="00692BEC">
        <w:t xml:space="preserve">der fremgår af tilslutningsaftalen, </w:t>
      </w:r>
      <w:r>
        <w:t>jf.</w:t>
      </w:r>
      <w:r w:rsidR="00692BEC">
        <w:t xml:space="preserve"> </w:t>
      </w:r>
      <w:r w:rsidR="00692BEC">
        <w:fldChar w:fldCharType="begin"/>
      </w:r>
      <w:r w:rsidR="00692BEC">
        <w:instrText xml:space="preserve"> REF _Ref43985374 \r \h </w:instrText>
      </w:r>
      <w:r w:rsidR="00BD4154">
        <w:instrText xml:space="preserve"> \* MERGEFORMAT </w:instrText>
      </w:r>
      <w:r w:rsidR="00692BEC">
        <w:fldChar w:fldCharType="separate"/>
      </w:r>
      <w:r w:rsidR="003B6882">
        <w:t>§ 8</w:t>
      </w:r>
      <w:r w:rsidR="00692BEC">
        <w:fldChar w:fldCharType="end"/>
      </w:r>
      <w:r w:rsidR="00692BEC">
        <w:t>, stk. 5</w:t>
      </w:r>
      <w:r w:rsidR="006C1B3C">
        <w:t>.</w:t>
      </w:r>
      <w:r w:rsidR="00F05B06">
        <w:t xml:space="preserve"> </w:t>
      </w:r>
    </w:p>
    <w:p w14:paraId="0A0964C1" w14:textId="3880E2A5" w:rsidR="00F05B06" w:rsidRDefault="005F1D11" w:rsidP="00BD4154">
      <w:pPr>
        <w:pStyle w:val="Opstilling-talellerbogst"/>
        <w:numPr>
          <w:ilvl w:val="0"/>
          <w:numId w:val="20"/>
        </w:numPr>
        <w:jc w:val="both"/>
      </w:pPr>
      <w:r>
        <w:t>En beskrivelse af løsningen, herunder de teknologier, løsningen baserer sig på, samt hvorvidt den påtænkes udbudt på en eller flere platforme</w:t>
      </w:r>
      <w:r w:rsidR="006C1B3C">
        <w:t>.</w:t>
      </w:r>
      <w:r w:rsidR="00343307">
        <w:t xml:space="preserve"> </w:t>
      </w:r>
    </w:p>
    <w:p w14:paraId="256AFF6E" w14:textId="4A86B34F" w:rsidR="00343307" w:rsidRPr="006A5541" w:rsidRDefault="00343307" w:rsidP="00BD4154">
      <w:pPr>
        <w:pStyle w:val="Opstilling-talellerbogst"/>
        <w:numPr>
          <w:ilvl w:val="0"/>
          <w:numId w:val="20"/>
        </w:numPr>
        <w:jc w:val="both"/>
      </w:pPr>
      <w:r>
        <w:t>En beskrivelse af de supplerende ydelser</w:t>
      </w:r>
      <w:r w:rsidR="00947A74">
        <w:t xml:space="preserve"> </w:t>
      </w:r>
      <w:r w:rsidR="00443D2E">
        <w:t xml:space="preserve">i den kommercielle visningsklient </w:t>
      </w:r>
      <w:r w:rsidR="00947A74">
        <w:t xml:space="preserve">samt </w:t>
      </w:r>
      <w:r w:rsidR="00443D2E">
        <w:t xml:space="preserve">en begrundelse </w:t>
      </w:r>
      <w:r w:rsidR="00947A74">
        <w:t>for</w:t>
      </w:r>
      <w:r w:rsidR="00443D2E">
        <w:t xml:space="preserve">, hvordan </w:t>
      </w:r>
      <w:r w:rsidR="003509F0">
        <w:t>disse</w:t>
      </w:r>
      <w:r w:rsidR="00947A74">
        <w:t xml:space="preserve"> </w:t>
      </w:r>
      <w:r w:rsidR="00443D2E">
        <w:t>supplerende ydelse</w:t>
      </w:r>
      <w:r w:rsidR="003509F0">
        <w:t>r</w:t>
      </w:r>
      <w:r w:rsidR="00443D2E">
        <w:t xml:space="preserve"> tilfører funktionalitet og værdi</w:t>
      </w:r>
      <w:r w:rsidR="00947A74">
        <w:t xml:space="preserve">, jf. </w:t>
      </w:r>
      <w:r w:rsidR="00947A74">
        <w:fldChar w:fldCharType="begin"/>
      </w:r>
      <w:r w:rsidR="00947A74">
        <w:instrText xml:space="preserve"> REF _Ref52548949 \r \h </w:instrText>
      </w:r>
      <w:r w:rsidR="00BD4154">
        <w:instrText xml:space="preserve"> \* MERGEFORMAT </w:instrText>
      </w:r>
      <w:r w:rsidR="00947A74">
        <w:fldChar w:fldCharType="separate"/>
      </w:r>
      <w:r w:rsidR="003B6882">
        <w:t>§ 2</w:t>
      </w:r>
      <w:r w:rsidR="00947A74">
        <w:fldChar w:fldCharType="end"/>
      </w:r>
      <w:r w:rsidR="00947A74">
        <w:t>, nr. 4</w:t>
      </w:r>
      <w:r w:rsidR="00443D2E">
        <w:t>.</w:t>
      </w:r>
    </w:p>
    <w:p w14:paraId="14D5E519" w14:textId="1F06679C" w:rsidR="00947A74" w:rsidRDefault="00AE6535" w:rsidP="00BD4154">
      <w:pPr>
        <w:spacing w:after="0"/>
        <w:jc w:val="both"/>
      </w:pPr>
      <w:r w:rsidRPr="00E35A53">
        <w:rPr>
          <w:i/>
        </w:rPr>
        <w:t xml:space="preserve">Stk. </w:t>
      </w:r>
      <w:r w:rsidR="00421029">
        <w:rPr>
          <w:i/>
        </w:rPr>
        <w:t>2</w:t>
      </w:r>
      <w:r w:rsidRPr="00E35A53">
        <w:rPr>
          <w:i/>
        </w:rPr>
        <w:t>.</w:t>
      </w:r>
      <w:r w:rsidRPr="00E35A53">
        <w:t xml:space="preserve"> </w:t>
      </w:r>
      <w:r w:rsidR="003509F0">
        <w:t xml:space="preserve">Ansøgninger </w:t>
      </w:r>
      <w:r w:rsidR="00027BD9">
        <w:t xml:space="preserve">efter </w:t>
      </w:r>
      <w:r w:rsidR="00027BD9">
        <w:fldChar w:fldCharType="begin"/>
      </w:r>
      <w:r w:rsidR="00027BD9">
        <w:instrText xml:space="preserve"> REF _Ref51519653 \r \h </w:instrText>
      </w:r>
      <w:r w:rsidR="00BD4154">
        <w:instrText xml:space="preserve"> \* MERGEFORMAT </w:instrText>
      </w:r>
      <w:r w:rsidR="00027BD9">
        <w:fldChar w:fldCharType="separate"/>
      </w:r>
      <w:r w:rsidR="003B6882">
        <w:t>§ 6</w:t>
      </w:r>
      <w:r w:rsidR="00027BD9">
        <w:fldChar w:fldCharType="end"/>
      </w:r>
      <w:r w:rsidR="00027BD9">
        <w:t xml:space="preserve">, stk. 1, </w:t>
      </w:r>
      <w:r w:rsidR="003509F0">
        <w:t xml:space="preserve">vedrørende godkendelse af en offentlig visningsklient skal </w:t>
      </w:r>
      <w:r w:rsidR="00027BD9">
        <w:t xml:space="preserve">dog </w:t>
      </w:r>
      <w:r w:rsidR="003509F0">
        <w:t>ikke indeholde oplysninger</w:t>
      </w:r>
      <w:r w:rsidR="00027BD9">
        <w:t>ne nævnt</w:t>
      </w:r>
      <w:r w:rsidR="003509F0">
        <w:t xml:space="preserve"> i </w:t>
      </w:r>
      <w:r w:rsidR="00947A74">
        <w:fldChar w:fldCharType="begin"/>
      </w:r>
      <w:r w:rsidR="00947A74">
        <w:instrText xml:space="preserve"> REF _Ref51874393 \r \h </w:instrText>
      </w:r>
      <w:r w:rsidR="00BD4154">
        <w:instrText xml:space="preserve"> \* MERGEFORMAT </w:instrText>
      </w:r>
      <w:r w:rsidR="00947A74">
        <w:fldChar w:fldCharType="separate"/>
      </w:r>
      <w:r w:rsidR="003B6882">
        <w:t>§ 7</w:t>
      </w:r>
      <w:r w:rsidR="00947A74">
        <w:fldChar w:fldCharType="end"/>
      </w:r>
      <w:r w:rsidR="00947A74">
        <w:t>, nr.</w:t>
      </w:r>
      <w:r w:rsidR="003509F0">
        <w:t xml:space="preserve"> </w:t>
      </w:r>
      <w:r w:rsidR="00566C8D">
        <w:t>6</w:t>
      </w:r>
      <w:r w:rsidR="003509F0">
        <w:t xml:space="preserve"> og </w:t>
      </w:r>
      <w:r w:rsidR="00566C8D">
        <w:t>7</w:t>
      </w:r>
      <w:r w:rsidR="003509F0">
        <w:t>.</w:t>
      </w:r>
      <w:r w:rsidR="00947A74">
        <w:t xml:space="preserve"> </w:t>
      </w:r>
    </w:p>
    <w:p w14:paraId="6CC2A428" w14:textId="77777777" w:rsidR="00947A74" w:rsidRDefault="00947A74" w:rsidP="00BD4154">
      <w:pPr>
        <w:spacing w:after="0"/>
        <w:jc w:val="both"/>
      </w:pPr>
    </w:p>
    <w:p w14:paraId="02207597" w14:textId="54B45806" w:rsidR="00E21CDA" w:rsidRDefault="00947A74" w:rsidP="00BD4154">
      <w:pPr>
        <w:pStyle w:val="Opstilling-talellerbogst"/>
        <w:spacing w:after="0"/>
        <w:jc w:val="both"/>
      </w:pPr>
      <w:r w:rsidRPr="00386C95">
        <w:rPr>
          <w:i/>
          <w:iCs/>
        </w:rPr>
        <w:t>Stk. 3</w:t>
      </w:r>
      <w:r>
        <w:t xml:space="preserve">. </w:t>
      </w:r>
      <w:r w:rsidR="00E21CDA">
        <w:t xml:space="preserve">Ansøgning om kompensation </w:t>
      </w:r>
      <w:r w:rsidR="001377A6">
        <w:t xml:space="preserve">efter </w:t>
      </w:r>
      <w:r w:rsidR="001377A6">
        <w:fldChar w:fldCharType="begin"/>
      </w:r>
      <w:r w:rsidR="001377A6">
        <w:instrText xml:space="preserve"> REF _Ref51519653 \r \h </w:instrText>
      </w:r>
      <w:r w:rsidR="00BD4154">
        <w:instrText xml:space="preserve"> \* MERGEFORMAT </w:instrText>
      </w:r>
      <w:r w:rsidR="001377A6">
        <w:fldChar w:fldCharType="separate"/>
      </w:r>
      <w:r w:rsidR="003B6882">
        <w:t>§ 6</w:t>
      </w:r>
      <w:r w:rsidR="001377A6">
        <w:fldChar w:fldCharType="end"/>
      </w:r>
      <w:r w:rsidR="001377A6">
        <w:t xml:space="preserve">, </w:t>
      </w:r>
      <w:r w:rsidR="00DE6FC2">
        <w:t>stk.</w:t>
      </w:r>
      <w:r w:rsidR="001377A6">
        <w:t xml:space="preserve"> 2, </w:t>
      </w:r>
      <w:r w:rsidR="00E21CDA">
        <w:t xml:space="preserve">skal indeholde </w:t>
      </w:r>
      <w:r w:rsidR="003509F0">
        <w:t xml:space="preserve">oplysningerne i </w:t>
      </w:r>
      <w:r w:rsidR="003509F0">
        <w:fldChar w:fldCharType="begin"/>
      </w:r>
      <w:r w:rsidR="003509F0">
        <w:instrText xml:space="preserve"> REF _Ref51874393 \r \h </w:instrText>
      </w:r>
      <w:r w:rsidR="00BD4154">
        <w:instrText xml:space="preserve"> \* MERGEFORMAT </w:instrText>
      </w:r>
      <w:r w:rsidR="003509F0">
        <w:fldChar w:fldCharType="separate"/>
      </w:r>
      <w:r w:rsidR="003B6882">
        <w:t>§ 7</w:t>
      </w:r>
      <w:r w:rsidR="003509F0">
        <w:fldChar w:fldCharType="end"/>
      </w:r>
      <w:r w:rsidR="003509F0">
        <w:t xml:space="preserve">, nr. 1-4, </w:t>
      </w:r>
      <w:r w:rsidR="00386C95">
        <w:t xml:space="preserve">oplysninger om, hvorvidt der foreligger forhold, som kan medføre bortfald af kompensation, jf. </w:t>
      </w:r>
      <w:r w:rsidR="00386C95">
        <w:fldChar w:fldCharType="begin"/>
      </w:r>
      <w:r w:rsidR="00386C95">
        <w:instrText xml:space="preserve"> REF _Ref51873281 \r \h </w:instrText>
      </w:r>
      <w:r w:rsidR="00BD4154">
        <w:instrText xml:space="preserve"> \* MERGEFORMAT </w:instrText>
      </w:r>
      <w:r w:rsidR="00386C95">
        <w:fldChar w:fldCharType="separate"/>
      </w:r>
      <w:r w:rsidR="003B6882">
        <w:t>§ 16</w:t>
      </w:r>
      <w:r w:rsidR="00386C95">
        <w:fldChar w:fldCharType="end"/>
      </w:r>
      <w:r w:rsidR="00386C95">
        <w:t xml:space="preserve">, stk. 3, </w:t>
      </w:r>
      <w:r w:rsidR="003509F0">
        <w:t xml:space="preserve">samt </w:t>
      </w:r>
      <w:r w:rsidR="00B8176D">
        <w:t>et særskilt regnskab vedrørende omkostninger, indtægter mv., forbundet med forpligtelse</w:t>
      </w:r>
      <w:r w:rsidR="00774AD6">
        <w:t>r</w:t>
      </w:r>
      <w:r w:rsidR="00B8176D">
        <w:t>n</w:t>
      </w:r>
      <w:r w:rsidR="00774AD6">
        <w:t>e</w:t>
      </w:r>
      <w:r w:rsidR="00B8176D">
        <w:t xml:space="preserve"> til offentlig tjeneste</w:t>
      </w:r>
      <w:r w:rsidR="00A86D02">
        <w:t>,</w:t>
      </w:r>
      <w:r w:rsidR="00A86D02" w:rsidRPr="00A86D02">
        <w:t xml:space="preserve"> </w:t>
      </w:r>
      <w:r w:rsidR="00A86D02">
        <w:t xml:space="preserve">jf. </w:t>
      </w:r>
      <w:r w:rsidR="00A86D02">
        <w:fldChar w:fldCharType="begin"/>
      </w:r>
      <w:r w:rsidR="00A86D02">
        <w:instrText xml:space="preserve"> REF _Ref51873281 \r \h </w:instrText>
      </w:r>
      <w:r w:rsidR="00BD4154">
        <w:instrText xml:space="preserve"> \* MERGEFORMAT </w:instrText>
      </w:r>
      <w:r w:rsidR="00A86D02">
        <w:fldChar w:fldCharType="separate"/>
      </w:r>
      <w:r w:rsidR="003B6882">
        <w:t>§ 16</w:t>
      </w:r>
      <w:r w:rsidR="00A86D02">
        <w:fldChar w:fldCharType="end"/>
      </w:r>
      <w:r w:rsidR="00B8176D">
        <w:t>. Regnskabet skal indeholde følgende oplysninger:</w:t>
      </w:r>
    </w:p>
    <w:p w14:paraId="324BDA6D" w14:textId="25A1C582" w:rsidR="00B8176D" w:rsidRDefault="00B8176D" w:rsidP="00BD4154">
      <w:pPr>
        <w:pStyle w:val="Opstilling-talellerbogst"/>
        <w:numPr>
          <w:ilvl w:val="0"/>
          <w:numId w:val="31"/>
        </w:numPr>
        <w:jc w:val="both"/>
      </w:pPr>
      <w:r>
        <w:t xml:space="preserve">En opgørelse af de tilskudsberettigede omkostninger, jf. </w:t>
      </w:r>
      <w:r>
        <w:fldChar w:fldCharType="begin"/>
      </w:r>
      <w:r>
        <w:instrText xml:space="preserve"> REF _Ref51740820 \r \h </w:instrText>
      </w:r>
      <w:r w:rsidR="00BD4154">
        <w:instrText xml:space="preserve"> \* MERGEFORMAT </w:instrText>
      </w:r>
      <w:r>
        <w:fldChar w:fldCharType="separate"/>
      </w:r>
      <w:r w:rsidR="003B6882">
        <w:t>§ 17</w:t>
      </w:r>
      <w:r>
        <w:fldChar w:fldCharType="end"/>
      </w:r>
      <w:r>
        <w:t>, stk. 3</w:t>
      </w:r>
      <w:r w:rsidR="006C1B3C">
        <w:t>.</w:t>
      </w:r>
    </w:p>
    <w:p w14:paraId="230766C3" w14:textId="4A22D236" w:rsidR="00595594" w:rsidRDefault="006C1B3C" w:rsidP="00BD4154">
      <w:pPr>
        <w:pStyle w:val="Opstilling-talellerbogst"/>
        <w:numPr>
          <w:ilvl w:val="0"/>
          <w:numId w:val="31"/>
        </w:numPr>
        <w:jc w:val="both"/>
      </w:pPr>
      <w:r>
        <w:t>E</w:t>
      </w:r>
      <w:r w:rsidR="00B8176D">
        <w:t xml:space="preserve">n opgørelse af omkostninger, der er fælles for både </w:t>
      </w:r>
      <w:r w:rsidR="00FE40B1">
        <w:t xml:space="preserve">udbyderens </w:t>
      </w:r>
      <w:r w:rsidR="00B8176D">
        <w:t>aktivitet i forbindelse med forpligtelserne til offentlig tjeneste og øvrige aktiviteter, samt en beregning af de</w:t>
      </w:r>
      <w:r w:rsidR="00E350E9">
        <w:t>n andel af fællesomkostningerne</w:t>
      </w:r>
      <w:r w:rsidR="00B8176D">
        <w:t xml:space="preserve">, der vedrører </w:t>
      </w:r>
      <w:r w:rsidR="00FE40B1">
        <w:t xml:space="preserve">udbyderens </w:t>
      </w:r>
      <w:r w:rsidR="00B8176D">
        <w:t>forpligtelser til offentlig tjeneste</w:t>
      </w:r>
      <w:bookmarkStart w:id="8" w:name="_Hlk52861945"/>
      <w:r w:rsidR="00595594">
        <w:t xml:space="preserve">, jf. </w:t>
      </w:r>
      <w:r w:rsidR="00595594">
        <w:fldChar w:fldCharType="begin"/>
      </w:r>
      <w:r w:rsidR="00595594">
        <w:instrText xml:space="preserve"> REF _Ref51740820 \r \h </w:instrText>
      </w:r>
      <w:r w:rsidR="00BD4154">
        <w:instrText xml:space="preserve"> \* MERGEFORMAT </w:instrText>
      </w:r>
      <w:r w:rsidR="00595594">
        <w:fldChar w:fldCharType="separate"/>
      </w:r>
      <w:r w:rsidR="003B6882">
        <w:t>§ 17</w:t>
      </w:r>
      <w:r w:rsidR="00595594">
        <w:fldChar w:fldCharType="end"/>
      </w:r>
      <w:r w:rsidR="00595594">
        <w:t xml:space="preserve">, stk. </w:t>
      </w:r>
      <w:r w:rsidR="00566C8D">
        <w:t>4</w:t>
      </w:r>
      <w:r w:rsidR="00595594">
        <w:t>,</w:t>
      </w:r>
      <w:bookmarkEnd w:id="8"/>
    </w:p>
    <w:p w14:paraId="6DFE052D" w14:textId="34E72E1F" w:rsidR="00B8176D" w:rsidRDefault="006C1B3C" w:rsidP="00BD4154">
      <w:pPr>
        <w:pStyle w:val="Opstilling-talellerbogst"/>
        <w:numPr>
          <w:ilvl w:val="0"/>
          <w:numId w:val="31"/>
        </w:numPr>
        <w:jc w:val="both"/>
      </w:pPr>
      <w:r>
        <w:t>E</w:t>
      </w:r>
      <w:r w:rsidR="00B8176D">
        <w:t xml:space="preserve">n </w:t>
      </w:r>
      <w:r w:rsidR="00595594">
        <w:t xml:space="preserve">opgørelse af udbyderens eventuelle indtægter, jf. </w:t>
      </w:r>
      <w:r w:rsidR="00595594">
        <w:fldChar w:fldCharType="begin"/>
      </w:r>
      <w:r w:rsidR="00595594">
        <w:instrText xml:space="preserve"> REF _Ref51766983 \r \h </w:instrText>
      </w:r>
      <w:r w:rsidR="00BD4154">
        <w:instrText xml:space="preserve"> \* MERGEFORMAT </w:instrText>
      </w:r>
      <w:r w:rsidR="00595594">
        <w:fldChar w:fldCharType="separate"/>
      </w:r>
      <w:r w:rsidR="003B6882">
        <w:t>§ 18</w:t>
      </w:r>
      <w:r w:rsidR="00595594">
        <w:fldChar w:fldCharType="end"/>
      </w:r>
      <w:r>
        <w:t>.</w:t>
      </w:r>
    </w:p>
    <w:p w14:paraId="45199458" w14:textId="23E12033" w:rsidR="00B8176D" w:rsidRDefault="006C1B3C" w:rsidP="00BD4154">
      <w:pPr>
        <w:pStyle w:val="Opstilling-talellerbogst"/>
        <w:numPr>
          <w:ilvl w:val="0"/>
          <w:numId w:val="31"/>
        </w:numPr>
        <w:jc w:val="both"/>
      </w:pPr>
      <w:r>
        <w:t>E</w:t>
      </w:r>
      <w:r w:rsidR="00B8176D">
        <w:t xml:space="preserve">n opgørelse af </w:t>
      </w:r>
      <w:r w:rsidR="00FE40B1">
        <w:t xml:space="preserve">udbyderens </w:t>
      </w:r>
      <w:r w:rsidR="00B8176D">
        <w:t xml:space="preserve">rimelige fortjeneste, jf. </w:t>
      </w:r>
      <w:r w:rsidR="00B8176D">
        <w:fldChar w:fldCharType="begin"/>
      </w:r>
      <w:r w:rsidR="00B8176D">
        <w:instrText xml:space="preserve"> REF _Ref51751460 \r \h </w:instrText>
      </w:r>
      <w:r w:rsidR="00BD4154">
        <w:instrText xml:space="preserve"> \* MERGEFORMAT </w:instrText>
      </w:r>
      <w:r w:rsidR="00B8176D">
        <w:fldChar w:fldCharType="separate"/>
      </w:r>
      <w:r w:rsidR="003B6882">
        <w:t>§ 19</w:t>
      </w:r>
      <w:r w:rsidR="00B8176D">
        <w:fldChar w:fldCharType="end"/>
      </w:r>
      <w:r>
        <w:t>.</w:t>
      </w:r>
    </w:p>
    <w:p w14:paraId="015CDDB2" w14:textId="14497B47" w:rsidR="00E350E9" w:rsidRDefault="006C1B3C" w:rsidP="00BD4154">
      <w:pPr>
        <w:pStyle w:val="Opstilling-talellerbogst"/>
        <w:numPr>
          <w:ilvl w:val="0"/>
          <w:numId w:val="31"/>
        </w:numPr>
        <w:jc w:val="both"/>
      </w:pPr>
      <w:r>
        <w:t>E</w:t>
      </w:r>
      <w:r w:rsidR="00E350E9">
        <w:t>n samlet opgørelse af den kompensation, der ansøg</w:t>
      </w:r>
      <w:r>
        <w:t>e</w:t>
      </w:r>
      <w:r w:rsidR="00E350E9">
        <w:t xml:space="preserve">s om. </w:t>
      </w:r>
    </w:p>
    <w:p w14:paraId="62B1B474" w14:textId="0E9CFC34" w:rsidR="00471341" w:rsidRDefault="00471341" w:rsidP="00BD4154">
      <w:pPr>
        <w:jc w:val="both"/>
      </w:pPr>
      <w:r>
        <w:rPr>
          <w:i/>
          <w:iCs/>
        </w:rPr>
        <w:lastRenderedPageBreak/>
        <w:t xml:space="preserve">Stk. </w:t>
      </w:r>
      <w:r w:rsidR="003509F0">
        <w:rPr>
          <w:i/>
          <w:iCs/>
        </w:rPr>
        <w:t>4</w:t>
      </w:r>
      <w:r>
        <w:rPr>
          <w:i/>
          <w:iCs/>
        </w:rPr>
        <w:t xml:space="preserve">. </w:t>
      </w:r>
      <w:r w:rsidRPr="00C20619">
        <w:t xml:space="preserve">Udøver </w:t>
      </w:r>
      <w:r w:rsidR="001F1A0B">
        <w:t xml:space="preserve">en </w:t>
      </w:r>
      <w:r w:rsidR="00FE40B1">
        <w:t>udbyder</w:t>
      </w:r>
      <w:r w:rsidR="00774AD6">
        <w:t xml:space="preserve">, der har påtaget sig at opfylde forpligtelserne til offentlig tjeneste, jf. </w:t>
      </w:r>
      <w:r w:rsidR="00774AD6">
        <w:fldChar w:fldCharType="begin"/>
      </w:r>
      <w:r w:rsidR="00774AD6">
        <w:instrText xml:space="preserve"> REF _Ref51873281 \r \h </w:instrText>
      </w:r>
      <w:r w:rsidR="00BD4154">
        <w:instrText xml:space="preserve"> \* MERGEFORMAT </w:instrText>
      </w:r>
      <w:r w:rsidR="00774AD6">
        <w:fldChar w:fldCharType="separate"/>
      </w:r>
      <w:r w:rsidR="003B6882">
        <w:t>§ 16</w:t>
      </w:r>
      <w:r w:rsidR="00774AD6">
        <w:fldChar w:fldCharType="end"/>
      </w:r>
      <w:r w:rsidR="00774AD6">
        <w:t xml:space="preserve">, </w:t>
      </w:r>
      <w:r w:rsidR="00DE51CA">
        <w:t xml:space="preserve">også </w:t>
      </w:r>
      <w:r w:rsidRPr="00C20619">
        <w:t xml:space="preserve">aktiviteter, der falder uden for </w:t>
      </w:r>
      <w:r>
        <w:t>denne bekendtgørelses anvendelsesområde</w:t>
      </w:r>
      <w:r w:rsidRPr="00C20619">
        <w:t xml:space="preserve">, skal omkostninger </w:t>
      </w:r>
      <w:r w:rsidR="00595594" w:rsidRPr="00C20619">
        <w:t xml:space="preserve">og indtægter ved </w:t>
      </w:r>
      <w:r w:rsidR="00595594">
        <w:t>opfyldelsen af forpligtelserne til offentlig tjeneste</w:t>
      </w:r>
      <w:r w:rsidR="00FD74D8">
        <w:t>, de supplerende ydelser</w:t>
      </w:r>
      <w:r w:rsidR="00595594" w:rsidRPr="00C20619">
        <w:t xml:space="preserve"> og ved de andre aktiviteter samt parametrene for fordelingen af omkostninger og indtægter fremgå særskilt af </w:t>
      </w:r>
      <w:r w:rsidR="00595594">
        <w:t>udbyderens</w:t>
      </w:r>
      <w:r w:rsidR="00595594" w:rsidRPr="00C20619">
        <w:t xml:space="preserve"> interne regnskaber</w:t>
      </w:r>
      <w:r w:rsidR="00595594">
        <w:t xml:space="preserve">. </w:t>
      </w:r>
      <w:r w:rsidR="00FE40B1">
        <w:t>Udbyderen skal fremlægge sine interne regnskaber, hvis Digitaliseringsstyrelsen anmoder herom.</w:t>
      </w:r>
    </w:p>
    <w:p w14:paraId="5664A839" w14:textId="77777777" w:rsidR="00FE40B1" w:rsidRDefault="00FE40B1" w:rsidP="00BD4154">
      <w:pPr>
        <w:jc w:val="both"/>
      </w:pPr>
      <w:r w:rsidRPr="00171A13">
        <w:rPr>
          <w:i/>
          <w:iCs/>
        </w:rPr>
        <w:t xml:space="preserve">Stk. </w:t>
      </w:r>
      <w:r w:rsidR="00D94BBA">
        <w:rPr>
          <w:i/>
          <w:iCs/>
        </w:rPr>
        <w:t>5</w:t>
      </w:r>
      <w:r>
        <w:t xml:space="preserve">. De indsendte regnskaber, jf. stk. </w:t>
      </w:r>
      <w:r w:rsidR="003509F0">
        <w:t>3</w:t>
      </w:r>
      <w:r>
        <w:t xml:space="preserve"> og </w:t>
      </w:r>
      <w:r w:rsidR="003509F0">
        <w:t>4</w:t>
      </w:r>
      <w:r>
        <w:t>, skal</w:t>
      </w:r>
    </w:p>
    <w:p w14:paraId="6E966F17" w14:textId="77777777" w:rsidR="00FE40B1" w:rsidRDefault="00FE40B1" w:rsidP="00BD4154">
      <w:pPr>
        <w:pStyle w:val="Opstilling-talellerbogst"/>
        <w:numPr>
          <w:ilvl w:val="0"/>
          <w:numId w:val="36"/>
        </w:numPr>
        <w:jc w:val="both"/>
      </w:pPr>
      <w:r>
        <w:t>være i overensstemmelse med almindeligt anerkendte regnskabsprincipper,</w:t>
      </w:r>
    </w:p>
    <w:p w14:paraId="1C30C423" w14:textId="77777777" w:rsidR="00FE40B1" w:rsidRDefault="00FE40B1" w:rsidP="00BD4154">
      <w:pPr>
        <w:pStyle w:val="Opstilling-talellerbogst"/>
        <w:numPr>
          <w:ilvl w:val="0"/>
          <w:numId w:val="36"/>
        </w:numPr>
        <w:jc w:val="both"/>
      </w:pPr>
      <w:r>
        <w:t>give et retvisende billede af nettoomkostningerne ved forpligtelserne til offentlig tjeneste, og</w:t>
      </w:r>
    </w:p>
    <w:p w14:paraId="15E13315" w14:textId="77777777" w:rsidR="00FE40B1" w:rsidRDefault="00FE40B1" w:rsidP="00BD4154">
      <w:pPr>
        <w:pStyle w:val="Opstilling-talellerbogst"/>
        <w:numPr>
          <w:ilvl w:val="0"/>
          <w:numId w:val="36"/>
        </w:numPr>
        <w:jc w:val="both"/>
      </w:pPr>
      <w:r>
        <w:t xml:space="preserve">være </w:t>
      </w:r>
      <w:r w:rsidR="00E94051">
        <w:t>revideret</w:t>
      </w:r>
      <w:r w:rsidR="003509F0">
        <w:t xml:space="preserve"> af en statsautoriseret revisor</w:t>
      </w:r>
      <w:r>
        <w:t>.</w:t>
      </w:r>
      <w:r w:rsidR="003509F0">
        <w:t xml:space="preserve"> </w:t>
      </w:r>
    </w:p>
    <w:p w14:paraId="7B71613A" w14:textId="2FB69DE5" w:rsidR="00AE6535" w:rsidRPr="00CC3987" w:rsidRDefault="00E21CDA" w:rsidP="00BD4154">
      <w:pPr>
        <w:jc w:val="both"/>
      </w:pPr>
      <w:r w:rsidRPr="00524294">
        <w:rPr>
          <w:i/>
          <w:iCs/>
        </w:rPr>
        <w:t>Stk.</w:t>
      </w:r>
      <w:r w:rsidR="00471341">
        <w:rPr>
          <w:i/>
          <w:iCs/>
        </w:rPr>
        <w:t xml:space="preserve"> </w:t>
      </w:r>
      <w:r w:rsidR="00D94BBA">
        <w:rPr>
          <w:i/>
          <w:iCs/>
        </w:rPr>
        <w:t>6</w:t>
      </w:r>
      <w:r>
        <w:t xml:space="preserve">. </w:t>
      </w:r>
      <w:r w:rsidR="00AE6535" w:rsidRPr="007F78B3">
        <w:t xml:space="preserve">Digitaliseringsstyrelsen </w:t>
      </w:r>
      <w:r w:rsidR="00D94BBA">
        <w:t xml:space="preserve">kan </w:t>
      </w:r>
      <w:r w:rsidR="00AE6535">
        <w:t xml:space="preserve">kræve yderligere oplysninger fra </w:t>
      </w:r>
      <w:r w:rsidR="00FE40B1">
        <w:t xml:space="preserve">udbydere </w:t>
      </w:r>
      <w:r w:rsidR="00AE6535">
        <w:t xml:space="preserve">ud over dem, der er </w:t>
      </w:r>
      <w:r w:rsidR="00D94BBA">
        <w:t xml:space="preserve">nævnt </w:t>
      </w:r>
      <w:r w:rsidR="00AE6535">
        <w:t xml:space="preserve">i stk. </w:t>
      </w:r>
      <w:r w:rsidR="00421029">
        <w:t>1</w:t>
      </w:r>
      <w:r w:rsidR="00336E96">
        <w:t>-</w:t>
      </w:r>
      <w:r w:rsidR="00D94BBA">
        <w:t>4</w:t>
      </w:r>
      <w:r w:rsidR="00AE6535">
        <w:t>.</w:t>
      </w:r>
    </w:p>
    <w:p w14:paraId="47ABDB8A" w14:textId="77777777" w:rsidR="00AE6535" w:rsidRDefault="00AE6535" w:rsidP="00BD4154">
      <w:pPr>
        <w:pStyle w:val="Listeafsnit"/>
        <w:numPr>
          <w:ilvl w:val="0"/>
          <w:numId w:val="7"/>
        </w:numPr>
        <w:jc w:val="both"/>
      </w:pPr>
      <w:bookmarkStart w:id="9" w:name="_Ref43985374"/>
      <w:r w:rsidRPr="006D3670">
        <w:t xml:space="preserve">Ansøgning skal </w:t>
      </w:r>
      <w:r w:rsidR="00425576">
        <w:t>ske via digital selvbetjening på Digitaliseringsstyrelsens hjemmeside</w:t>
      </w:r>
      <w:r>
        <w:t>.</w:t>
      </w:r>
      <w:bookmarkEnd w:id="9"/>
    </w:p>
    <w:p w14:paraId="27122583" w14:textId="77777777" w:rsidR="00AE6535" w:rsidRDefault="00AE6535" w:rsidP="00BD4154">
      <w:pPr>
        <w:jc w:val="both"/>
      </w:pPr>
      <w:r w:rsidRPr="006D3670">
        <w:rPr>
          <w:i/>
        </w:rPr>
        <w:t>Stk. </w:t>
      </w:r>
      <w:r>
        <w:rPr>
          <w:i/>
        </w:rPr>
        <w:t>2</w:t>
      </w:r>
      <w:r w:rsidRPr="006D3670">
        <w:rPr>
          <w:i/>
        </w:rPr>
        <w:t>.</w:t>
      </w:r>
      <w:r w:rsidRPr="006D3670">
        <w:t xml:space="preserve"> Hvis </w:t>
      </w:r>
      <w:r w:rsidRPr="007F78B3">
        <w:t xml:space="preserve">Digitaliseringsstyrelsen </w:t>
      </w:r>
      <w:r w:rsidRPr="006D3670">
        <w:t>finder, at der foreligger særlige forhold, der gør, at ansøgningen ikke kan indgives digital</w:t>
      </w:r>
      <w:r>
        <w:t>t</w:t>
      </w:r>
      <w:r w:rsidRPr="006D3670">
        <w:t xml:space="preserve">, skal </w:t>
      </w:r>
      <w:r w:rsidRPr="007F78B3">
        <w:t xml:space="preserve">Digitaliseringsstyrelsen </w:t>
      </w:r>
      <w:r w:rsidRPr="006D3670">
        <w:t>tilbyde, at ansøgningen kan indgives på en anden måde end ved</w:t>
      </w:r>
      <w:r w:rsidR="00425576" w:rsidRPr="006D3670">
        <w:t xml:space="preserve"> digitale selvbetjening efter stk. </w:t>
      </w:r>
      <w:r w:rsidR="00425576">
        <w:t>1.</w:t>
      </w:r>
    </w:p>
    <w:p w14:paraId="7E35C709" w14:textId="56090F4E" w:rsidR="00AE6535" w:rsidRDefault="00AE6535" w:rsidP="00BD4154">
      <w:pPr>
        <w:jc w:val="both"/>
      </w:pPr>
      <w:r w:rsidRPr="006D3670">
        <w:rPr>
          <w:i/>
        </w:rPr>
        <w:t xml:space="preserve">Stk. </w:t>
      </w:r>
      <w:r w:rsidR="00FE40B1">
        <w:rPr>
          <w:i/>
        </w:rPr>
        <w:t>3</w:t>
      </w:r>
      <w:r w:rsidRPr="006D3670">
        <w:rPr>
          <w:i/>
        </w:rPr>
        <w:t>.</w:t>
      </w:r>
      <w:r w:rsidRPr="006D3670">
        <w:t xml:space="preserve"> </w:t>
      </w:r>
      <w:r w:rsidRPr="00BC43B5">
        <w:t>Eventuelle supplerende oplysninger til en ansøgning kan</w:t>
      </w:r>
      <w:r>
        <w:t xml:space="preserve"> med tilladelse fra</w:t>
      </w:r>
      <w:r w:rsidRPr="001F45EA">
        <w:t xml:space="preserve"> </w:t>
      </w:r>
      <w:r w:rsidRPr="007F78B3">
        <w:t xml:space="preserve">Digitaliseringsstyrelsen </w:t>
      </w:r>
      <w:r w:rsidRPr="00BC43B5">
        <w:t xml:space="preserve">indgives på en anden måde end </w:t>
      </w:r>
      <w:r>
        <w:t xml:space="preserve">via </w:t>
      </w:r>
      <w:r w:rsidR="00425576">
        <w:t xml:space="preserve">digital selvbetjening </w:t>
      </w:r>
      <w:r>
        <w:t>efter stk. 1.</w:t>
      </w:r>
    </w:p>
    <w:p w14:paraId="7021AA2A" w14:textId="77777777" w:rsidR="00AE6535" w:rsidRDefault="00AE6535" w:rsidP="00BD4154">
      <w:pPr>
        <w:jc w:val="both"/>
      </w:pPr>
      <w:r w:rsidRPr="006D3670">
        <w:rPr>
          <w:i/>
        </w:rPr>
        <w:t xml:space="preserve">Stk. </w:t>
      </w:r>
      <w:r w:rsidR="00FE40B1">
        <w:rPr>
          <w:i/>
        </w:rPr>
        <w:t>4</w:t>
      </w:r>
      <w:r w:rsidRPr="006D3670">
        <w:rPr>
          <w:i/>
        </w:rPr>
        <w:t>.</w:t>
      </w:r>
      <w:r>
        <w:t xml:space="preserve"> </w:t>
      </w:r>
      <w:r w:rsidRPr="006D3670">
        <w:t xml:space="preserve">En ansøgning anses for at være kommet frem, når den er tilgængelig for </w:t>
      </w:r>
      <w:r>
        <w:t>Digitaliseringsstyrelsen.</w:t>
      </w:r>
      <w:r w:rsidR="005870C9">
        <w:t xml:space="preserve"> </w:t>
      </w:r>
      <w:r w:rsidR="001F1A0B">
        <w:t>Digitaliseringsstyrelsen fremsender hurtigst muligt efter ansøgningens fremkomst en kvittering for modtagelsen.</w:t>
      </w:r>
    </w:p>
    <w:p w14:paraId="5689FDE0" w14:textId="378408CB" w:rsidR="00692BEC" w:rsidRDefault="00692BEC" w:rsidP="00BD4154">
      <w:pPr>
        <w:jc w:val="both"/>
      </w:pPr>
      <w:r>
        <w:t xml:space="preserve">Stk. 5. Tilslutningsaftalen, der skal indgås mellem Digitaliseringsstyrelsen og udbyderen af en visningsklient i forbindelse med basisgodkendelsen, jf. </w:t>
      </w:r>
      <w:r>
        <w:fldChar w:fldCharType="begin"/>
      </w:r>
      <w:r>
        <w:instrText xml:space="preserve"> REF _Ref53068688 \r \h </w:instrText>
      </w:r>
      <w:r w:rsidR="00BD4154">
        <w:instrText xml:space="preserve"> \* MERGEFORMAT </w:instrText>
      </w:r>
      <w:r>
        <w:fldChar w:fldCharType="separate"/>
      </w:r>
      <w:r w:rsidR="003B6882">
        <w:t>§ 10</w:t>
      </w:r>
      <w:r>
        <w:fldChar w:fldCharType="end"/>
      </w:r>
      <w:r>
        <w:t>, stk. 2, er tilgængelig via den digitale selvbetjening nævnt i stk. 1.</w:t>
      </w:r>
    </w:p>
    <w:p w14:paraId="06DD5484" w14:textId="77777777" w:rsidR="00787280" w:rsidRDefault="00787280" w:rsidP="00BD4154">
      <w:pPr>
        <w:jc w:val="both"/>
      </w:pPr>
    </w:p>
    <w:p w14:paraId="74001322" w14:textId="77777777" w:rsidR="0023494A" w:rsidRPr="00524294" w:rsidRDefault="0009670C" w:rsidP="00BD4154">
      <w:pPr>
        <w:pStyle w:val="Overskrift1"/>
        <w:keepNext/>
        <w:numPr>
          <w:ilvl w:val="0"/>
          <w:numId w:val="8"/>
        </w:numPr>
        <w:ind w:left="357" w:hanging="357"/>
        <w:jc w:val="both"/>
        <w:rPr>
          <w:rFonts w:asciiTheme="minorHAnsi" w:hAnsiTheme="minorHAnsi" w:cstheme="minorBidi"/>
        </w:rPr>
      </w:pPr>
      <w:bookmarkStart w:id="10" w:name="_Ref51518471"/>
      <w:r w:rsidRPr="00097A13">
        <w:t>Godkendelse</w:t>
      </w:r>
      <w:bookmarkEnd w:id="10"/>
    </w:p>
    <w:p w14:paraId="41EAEE9F" w14:textId="77777777" w:rsidR="001670ED" w:rsidRPr="00097A13" w:rsidRDefault="001670ED" w:rsidP="00BD4154">
      <w:pPr>
        <w:pStyle w:val="Overskrift2"/>
        <w:jc w:val="both"/>
      </w:pPr>
      <w:r>
        <w:t>Godkendelsesprocedure</w:t>
      </w:r>
    </w:p>
    <w:p w14:paraId="6CD1198F" w14:textId="0FCB48CD" w:rsidR="0009670C" w:rsidRDefault="00E11E26" w:rsidP="00BD4154">
      <w:pPr>
        <w:pStyle w:val="Listeafsnit"/>
        <w:keepNext/>
        <w:numPr>
          <w:ilvl w:val="0"/>
          <w:numId w:val="7"/>
        </w:numPr>
        <w:jc w:val="both"/>
      </w:pPr>
      <w:bookmarkStart w:id="11" w:name="_Ref43739295"/>
      <w:bookmarkStart w:id="12" w:name="_Ref52738448"/>
      <w:r>
        <w:t xml:space="preserve">For at en visningsklient </w:t>
      </w:r>
      <w:r w:rsidR="007D226C">
        <w:t xml:space="preserve">kan </w:t>
      </w:r>
      <w:r>
        <w:t xml:space="preserve">vise </w:t>
      </w:r>
      <w:r w:rsidR="007D226C">
        <w:t>d</w:t>
      </w:r>
      <w:r>
        <w:t xml:space="preserve">igital </w:t>
      </w:r>
      <w:r w:rsidR="007D226C">
        <w:t>p</w:t>
      </w:r>
      <w:r>
        <w:t>ost fra offentlige afsendere</w:t>
      </w:r>
      <w:r w:rsidR="00F74303">
        <w:t>,</w:t>
      </w:r>
      <w:r>
        <w:t xml:space="preserve"> skal </w:t>
      </w:r>
      <w:r w:rsidR="00927B7A">
        <w:t>visningsklient</w:t>
      </w:r>
      <w:r w:rsidR="00903B30">
        <w:t>en</w:t>
      </w:r>
      <w:r w:rsidR="00927B7A">
        <w:t xml:space="preserve"> godkendes efter proceduren i stk. 2</w:t>
      </w:r>
      <w:r>
        <w:t>.</w:t>
      </w:r>
      <w:bookmarkEnd w:id="11"/>
      <w:r>
        <w:t xml:space="preserve"> </w:t>
      </w:r>
      <w:r w:rsidR="005E154B">
        <w:t xml:space="preserve">Godkendelse </w:t>
      </w:r>
      <w:r w:rsidR="00F94E0C">
        <w:t xml:space="preserve">af en kommerciel visningsklient </w:t>
      </w:r>
      <w:r w:rsidR="005E154B">
        <w:t>foreligger endeligt, når Digitaliseringsstyrelsen har udstedt løsningsgodkendelse.</w:t>
      </w:r>
      <w:bookmarkEnd w:id="12"/>
      <w:r w:rsidR="00F94E0C">
        <w:t xml:space="preserve"> Godkendelse af en offentlig visningsklient foreligger endeligt, når Digitaliseringsstyrelsen og </w:t>
      </w:r>
      <w:r w:rsidR="00596FC1">
        <w:t>u</w:t>
      </w:r>
      <w:r w:rsidR="000B6838">
        <w:t xml:space="preserve">dbyderen af </w:t>
      </w:r>
      <w:r w:rsidR="00F94E0C">
        <w:t xml:space="preserve">en </w:t>
      </w:r>
      <w:r w:rsidR="00596FC1">
        <w:t>o</w:t>
      </w:r>
      <w:r w:rsidR="00F94E0C">
        <w:t xml:space="preserve">ffentlig </w:t>
      </w:r>
      <w:r w:rsidR="00596FC1">
        <w:t>v</w:t>
      </w:r>
      <w:r w:rsidR="00F94E0C">
        <w:t>isningsklient har indgået tilslutningsaftale</w:t>
      </w:r>
      <w:r w:rsidR="000B6838">
        <w:t>, jf. § 10, stk. 2</w:t>
      </w:r>
      <w:r w:rsidR="00F94E0C">
        <w:t>.</w:t>
      </w:r>
    </w:p>
    <w:p w14:paraId="2CCE6DF3" w14:textId="77777777" w:rsidR="00A121FC" w:rsidRDefault="00A121FC" w:rsidP="00BD4154">
      <w:pPr>
        <w:jc w:val="both"/>
      </w:pPr>
      <w:r w:rsidRPr="00A121FC">
        <w:rPr>
          <w:i/>
        </w:rPr>
        <w:t xml:space="preserve">Stk. </w:t>
      </w:r>
      <w:r w:rsidR="005D1565">
        <w:rPr>
          <w:i/>
        </w:rPr>
        <w:t>2</w:t>
      </w:r>
      <w:r>
        <w:t>. Proceduren for at blive godkendt som visningsklient består af følgende trin:</w:t>
      </w:r>
    </w:p>
    <w:p w14:paraId="065CC571" w14:textId="5F522C89" w:rsidR="00DF6AC1" w:rsidRDefault="00A121FC" w:rsidP="00BD4154">
      <w:pPr>
        <w:pStyle w:val="Listeafsnit"/>
        <w:numPr>
          <w:ilvl w:val="0"/>
          <w:numId w:val="1"/>
        </w:numPr>
        <w:jc w:val="both"/>
      </w:pPr>
      <w:r w:rsidRPr="00A121FC">
        <w:t>Basis</w:t>
      </w:r>
      <w:r w:rsidR="0048040F" w:rsidRPr="00A121FC">
        <w:t>godkendelse</w:t>
      </w:r>
      <w:r w:rsidR="00FE203F">
        <w:t>, jf</w:t>
      </w:r>
      <w:r w:rsidR="00312F23">
        <w:t xml:space="preserve">. </w:t>
      </w:r>
      <w:r w:rsidR="00312F23">
        <w:fldChar w:fldCharType="begin"/>
      </w:r>
      <w:r w:rsidR="00312F23">
        <w:instrText xml:space="preserve"> REF _Ref52551820 \r \h </w:instrText>
      </w:r>
      <w:r w:rsidR="00BD4154">
        <w:instrText xml:space="preserve"> \* MERGEFORMAT </w:instrText>
      </w:r>
      <w:r w:rsidR="00312F23">
        <w:fldChar w:fldCharType="separate"/>
      </w:r>
      <w:r w:rsidR="003B6882">
        <w:t>§ 10</w:t>
      </w:r>
      <w:r w:rsidR="00312F23">
        <w:fldChar w:fldCharType="end"/>
      </w:r>
      <w:r w:rsidR="00FE203F">
        <w:t>,</w:t>
      </w:r>
      <w:r w:rsidR="00DF6AC1">
        <w:t xml:space="preserve"> stk. 1</w:t>
      </w:r>
      <w:r w:rsidR="006C1B3C">
        <w:t>.</w:t>
      </w:r>
    </w:p>
    <w:p w14:paraId="300F4270" w14:textId="6E8366F9" w:rsidR="007B2797" w:rsidRPr="00A121FC" w:rsidRDefault="00DF6AC1" w:rsidP="00BD4154">
      <w:pPr>
        <w:pStyle w:val="Listeafsnit"/>
        <w:numPr>
          <w:ilvl w:val="0"/>
          <w:numId w:val="1"/>
        </w:numPr>
        <w:jc w:val="both"/>
      </w:pPr>
      <w:r>
        <w:t xml:space="preserve">Indgåelse af tilslutningsaftale, jf. </w:t>
      </w:r>
      <w:r>
        <w:fldChar w:fldCharType="begin"/>
      </w:r>
      <w:r>
        <w:instrText xml:space="preserve"> REF _Ref52551820 \r \h </w:instrText>
      </w:r>
      <w:r w:rsidR="00BD4154">
        <w:instrText xml:space="preserve"> \* MERGEFORMAT </w:instrText>
      </w:r>
      <w:r>
        <w:fldChar w:fldCharType="separate"/>
      </w:r>
      <w:r w:rsidR="003B6882">
        <w:t>§ 10</w:t>
      </w:r>
      <w:r>
        <w:fldChar w:fldCharType="end"/>
      </w:r>
      <w:r>
        <w:t>, stk. 2</w:t>
      </w:r>
      <w:r w:rsidR="006C1B3C">
        <w:t>.</w:t>
      </w:r>
    </w:p>
    <w:p w14:paraId="547499FA" w14:textId="42124B2E" w:rsidR="007B2797" w:rsidRDefault="00A121FC" w:rsidP="00BD4154">
      <w:pPr>
        <w:pStyle w:val="Listeafsnit"/>
        <w:numPr>
          <w:ilvl w:val="0"/>
          <w:numId w:val="1"/>
        </w:numPr>
        <w:jc w:val="both"/>
      </w:pPr>
      <w:r w:rsidRPr="00A121FC">
        <w:t>Løsnings</w:t>
      </w:r>
      <w:r w:rsidR="0048040F" w:rsidRPr="00A121FC">
        <w:t>godkendelse</w:t>
      </w:r>
      <w:r w:rsidR="00FE203F">
        <w:t xml:space="preserve">, jf. </w:t>
      </w:r>
      <w:r w:rsidR="00FE203F">
        <w:fldChar w:fldCharType="begin"/>
      </w:r>
      <w:r w:rsidR="00FE203F">
        <w:instrText xml:space="preserve"> REF _Ref52551514 \r \h </w:instrText>
      </w:r>
      <w:r w:rsidR="00BD4154">
        <w:instrText xml:space="preserve"> \* MERGEFORMAT </w:instrText>
      </w:r>
      <w:r w:rsidR="00FE203F">
        <w:fldChar w:fldCharType="separate"/>
      </w:r>
      <w:r w:rsidR="003B6882">
        <w:t>§ 11</w:t>
      </w:r>
      <w:r w:rsidR="00FE203F">
        <w:fldChar w:fldCharType="end"/>
      </w:r>
      <w:r w:rsidR="00FE203F">
        <w:t>.</w:t>
      </w:r>
    </w:p>
    <w:p w14:paraId="1843FD1D" w14:textId="77777777" w:rsidR="00FE203F" w:rsidRPr="00A121FC" w:rsidRDefault="00FE203F" w:rsidP="00BD4154">
      <w:pPr>
        <w:pStyle w:val="Listeafsnit"/>
        <w:jc w:val="both"/>
      </w:pPr>
    </w:p>
    <w:p w14:paraId="03520D97" w14:textId="687FD2EE" w:rsidR="00692BEC" w:rsidRPr="00692BEC" w:rsidRDefault="00FE203F" w:rsidP="00BD4154">
      <w:pPr>
        <w:pStyle w:val="Listeafsnit"/>
        <w:numPr>
          <w:ilvl w:val="0"/>
          <w:numId w:val="7"/>
        </w:numPr>
        <w:jc w:val="both"/>
        <w:rPr>
          <w:i/>
        </w:rPr>
      </w:pPr>
      <w:bookmarkStart w:id="13" w:name="_Ref52551820"/>
      <w:bookmarkStart w:id="14" w:name="_Ref53068688"/>
      <w:r>
        <w:rPr>
          <w:iCs/>
        </w:rPr>
        <w:lastRenderedPageBreak/>
        <w:t xml:space="preserve">Basisgodkendelsen foretages på baggrund af oplysningerne i ansøgningen, jf. </w:t>
      </w:r>
      <w:r>
        <w:rPr>
          <w:iCs/>
        </w:rPr>
        <w:fldChar w:fldCharType="begin"/>
      </w:r>
      <w:r>
        <w:rPr>
          <w:iCs/>
        </w:rPr>
        <w:instrText xml:space="preserve"> REF _Ref51874393 \r \h </w:instrText>
      </w:r>
      <w:r w:rsidR="00BD4154">
        <w:rPr>
          <w:iCs/>
        </w:rPr>
        <w:instrText xml:space="preserve"> \* MERGEFORMAT </w:instrText>
      </w:r>
      <w:r>
        <w:rPr>
          <w:iCs/>
        </w:rPr>
      </w:r>
      <w:r>
        <w:rPr>
          <w:iCs/>
        </w:rPr>
        <w:fldChar w:fldCharType="separate"/>
      </w:r>
      <w:r w:rsidR="003B6882">
        <w:rPr>
          <w:iCs/>
        </w:rPr>
        <w:t>§ 7</w:t>
      </w:r>
      <w:r>
        <w:rPr>
          <w:iCs/>
        </w:rPr>
        <w:fldChar w:fldCharType="end"/>
      </w:r>
      <w:r>
        <w:rPr>
          <w:iCs/>
        </w:rPr>
        <w:t>, stk. 1, nr. 5</w:t>
      </w:r>
      <w:r w:rsidR="00CF6CD4">
        <w:rPr>
          <w:iCs/>
        </w:rPr>
        <w:t>,</w:t>
      </w:r>
      <w:r w:rsidR="00A52433">
        <w:rPr>
          <w:iCs/>
        </w:rPr>
        <w:t xml:space="preserve"> for offentlige visningsklienter, jf. § 7, stk. 2, og oplysningerne i ansøgningen, jf.</w:t>
      </w:r>
      <w:r w:rsidR="00464AE6">
        <w:rPr>
          <w:iCs/>
        </w:rPr>
        <w:t xml:space="preserve"> </w:t>
      </w:r>
      <w:r w:rsidR="00464AE6">
        <w:rPr>
          <w:iCs/>
        </w:rPr>
        <w:fldChar w:fldCharType="begin"/>
      </w:r>
      <w:r w:rsidR="00464AE6">
        <w:rPr>
          <w:iCs/>
        </w:rPr>
        <w:instrText xml:space="preserve"> REF _Ref77243722 \r \h </w:instrText>
      </w:r>
      <w:r w:rsidR="00BD4154">
        <w:rPr>
          <w:iCs/>
        </w:rPr>
        <w:instrText xml:space="preserve"> \* MERGEFORMAT </w:instrText>
      </w:r>
      <w:r w:rsidR="00464AE6">
        <w:rPr>
          <w:iCs/>
        </w:rPr>
      </w:r>
      <w:r w:rsidR="00464AE6">
        <w:rPr>
          <w:iCs/>
        </w:rPr>
        <w:fldChar w:fldCharType="separate"/>
      </w:r>
      <w:r w:rsidR="003B6882">
        <w:rPr>
          <w:iCs/>
        </w:rPr>
        <w:t>§ 7</w:t>
      </w:r>
      <w:r w:rsidR="00464AE6">
        <w:rPr>
          <w:iCs/>
        </w:rPr>
        <w:fldChar w:fldCharType="end"/>
      </w:r>
      <w:r w:rsidR="00A52433">
        <w:rPr>
          <w:iCs/>
        </w:rPr>
        <w:t>, stk. 1, nr. 5</w:t>
      </w:r>
      <w:r w:rsidR="009E5870">
        <w:rPr>
          <w:iCs/>
        </w:rPr>
        <w:t>-7</w:t>
      </w:r>
      <w:r w:rsidR="00A52433">
        <w:rPr>
          <w:iCs/>
        </w:rPr>
        <w:t xml:space="preserve"> for kommercielle visningsklienter</w:t>
      </w:r>
      <w:r>
        <w:rPr>
          <w:iCs/>
        </w:rPr>
        <w:t xml:space="preserve">, samt en vurdering af, </w:t>
      </w:r>
      <w:r w:rsidR="00425576">
        <w:rPr>
          <w:iCs/>
        </w:rPr>
        <w:t xml:space="preserve">om en </w:t>
      </w:r>
      <w:r>
        <w:rPr>
          <w:iCs/>
        </w:rPr>
        <w:t xml:space="preserve">kommerciel visningsklient </w:t>
      </w:r>
      <w:r w:rsidR="00C563F5">
        <w:rPr>
          <w:iCs/>
        </w:rPr>
        <w:t xml:space="preserve">vil </w:t>
      </w:r>
      <w:r w:rsidR="00E66095">
        <w:rPr>
          <w:iCs/>
        </w:rPr>
        <w:t>indeholde</w:t>
      </w:r>
      <w:r>
        <w:rPr>
          <w:iCs/>
        </w:rPr>
        <w:t xml:space="preserve"> supplerende ydelser</w:t>
      </w:r>
      <w:r w:rsidR="00DE700A">
        <w:rPr>
          <w:iCs/>
        </w:rPr>
        <w:t>,</w:t>
      </w:r>
      <w:r w:rsidR="005B06E6">
        <w:rPr>
          <w:iCs/>
        </w:rPr>
        <w:t xml:space="preserve"> der opfylder kravene i</w:t>
      </w:r>
      <w:r>
        <w:rPr>
          <w:iCs/>
        </w:rPr>
        <w:t xml:space="preserve"> </w:t>
      </w:r>
      <w:r>
        <w:rPr>
          <w:iCs/>
        </w:rPr>
        <w:fldChar w:fldCharType="begin"/>
      </w:r>
      <w:r>
        <w:rPr>
          <w:iCs/>
        </w:rPr>
        <w:instrText xml:space="preserve"> REF _Ref52548949 \r \h </w:instrText>
      </w:r>
      <w:r w:rsidR="00BD4154">
        <w:rPr>
          <w:iCs/>
        </w:rPr>
        <w:instrText xml:space="preserve"> \* MERGEFORMAT </w:instrText>
      </w:r>
      <w:r>
        <w:rPr>
          <w:iCs/>
        </w:rPr>
      </w:r>
      <w:r>
        <w:rPr>
          <w:iCs/>
        </w:rPr>
        <w:fldChar w:fldCharType="separate"/>
      </w:r>
      <w:r w:rsidR="003B6882">
        <w:rPr>
          <w:iCs/>
        </w:rPr>
        <w:t>§ 2</w:t>
      </w:r>
      <w:r>
        <w:rPr>
          <w:iCs/>
        </w:rPr>
        <w:fldChar w:fldCharType="end"/>
      </w:r>
      <w:r>
        <w:rPr>
          <w:iCs/>
        </w:rPr>
        <w:t>, nr. 4.</w:t>
      </w:r>
      <w:bookmarkEnd w:id="13"/>
      <w:r w:rsidR="00312F23">
        <w:rPr>
          <w:iCs/>
        </w:rPr>
        <w:t xml:space="preserve"> </w:t>
      </w:r>
    </w:p>
    <w:p w14:paraId="7DE01B57" w14:textId="5D91D9BB" w:rsidR="00FE203F" w:rsidRDefault="00692BEC" w:rsidP="00BD4154">
      <w:pPr>
        <w:jc w:val="both"/>
        <w:rPr>
          <w:iCs/>
        </w:rPr>
      </w:pPr>
      <w:r w:rsidRPr="00692BEC">
        <w:rPr>
          <w:i/>
        </w:rPr>
        <w:t>Stk. 2</w:t>
      </w:r>
      <w:r>
        <w:rPr>
          <w:iCs/>
        </w:rPr>
        <w:t xml:space="preserve">. </w:t>
      </w:r>
      <w:r w:rsidR="005E7F71">
        <w:rPr>
          <w:iCs/>
        </w:rPr>
        <w:t>Efter</w:t>
      </w:r>
      <w:r w:rsidR="00312F23" w:rsidRPr="00692BEC">
        <w:rPr>
          <w:iCs/>
        </w:rPr>
        <w:t xml:space="preserve"> basisgodkendelsen indgå</w:t>
      </w:r>
      <w:r w:rsidR="00A70242">
        <w:rPr>
          <w:iCs/>
        </w:rPr>
        <w:t>r</w:t>
      </w:r>
      <w:r w:rsidR="00312F23" w:rsidRPr="00692BEC">
        <w:rPr>
          <w:iCs/>
        </w:rPr>
        <w:t xml:space="preserve"> Digitaliseringsstyrelsen og udbyderen af en visningsklient</w:t>
      </w:r>
      <w:r w:rsidR="00A70242">
        <w:rPr>
          <w:iCs/>
        </w:rPr>
        <w:t xml:space="preserve"> en tilslutningsaftale</w:t>
      </w:r>
      <w:r w:rsidR="00312F23" w:rsidRPr="00692BEC">
        <w:rPr>
          <w:iCs/>
        </w:rPr>
        <w:t>, som indeholder kravene til</w:t>
      </w:r>
      <w:r w:rsidRPr="00692BEC">
        <w:rPr>
          <w:iCs/>
        </w:rPr>
        <w:t xml:space="preserve"> opnåelse af </w:t>
      </w:r>
      <w:r w:rsidR="005E7F71">
        <w:rPr>
          <w:iCs/>
        </w:rPr>
        <w:t>basisgodkendelse</w:t>
      </w:r>
      <w:r w:rsidR="00DD2036">
        <w:rPr>
          <w:iCs/>
        </w:rPr>
        <w:t xml:space="preserve"> for offentlige visningsklienter</w:t>
      </w:r>
      <w:r w:rsidR="005E7F71">
        <w:rPr>
          <w:iCs/>
        </w:rPr>
        <w:t xml:space="preserve"> og </w:t>
      </w:r>
      <w:r w:rsidR="00DD2036">
        <w:rPr>
          <w:iCs/>
        </w:rPr>
        <w:t xml:space="preserve">basisgodkendelse og </w:t>
      </w:r>
      <w:r w:rsidRPr="00692BEC">
        <w:rPr>
          <w:iCs/>
        </w:rPr>
        <w:t>løsningsgodkendelse</w:t>
      </w:r>
      <w:r w:rsidR="00DD2036">
        <w:rPr>
          <w:iCs/>
        </w:rPr>
        <w:t xml:space="preserve"> for kommercielle visningsklienter</w:t>
      </w:r>
      <w:r w:rsidR="00312F23" w:rsidRPr="00692BEC">
        <w:rPr>
          <w:iCs/>
        </w:rPr>
        <w:t>.</w:t>
      </w:r>
      <w:bookmarkEnd w:id="14"/>
    </w:p>
    <w:p w14:paraId="3F5ACEEC" w14:textId="24FDA1C8" w:rsidR="00EB1F87" w:rsidRPr="00EB1F87" w:rsidRDefault="00EB1F87" w:rsidP="00BD4154">
      <w:pPr>
        <w:jc w:val="both"/>
      </w:pPr>
      <w:r w:rsidRPr="00EB1F87">
        <w:rPr>
          <w:i/>
        </w:rPr>
        <w:t>Stk. 3</w:t>
      </w:r>
      <w:r>
        <w:t xml:space="preserve">. </w:t>
      </w:r>
      <w:r w:rsidR="00FF7B48">
        <w:t>U</w:t>
      </w:r>
      <w:r w:rsidRPr="00EB1F87">
        <w:t xml:space="preserve">dbyderen af en </w:t>
      </w:r>
      <w:r w:rsidR="00FF7B48">
        <w:t xml:space="preserve">godkendt </w:t>
      </w:r>
      <w:r w:rsidRPr="00EB1F87">
        <w:t>visningsklient</w:t>
      </w:r>
      <w:r w:rsidR="00FF7B48">
        <w:t>, jf. § 9, er</w:t>
      </w:r>
      <w:r w:rsidRPr="00EB1F87">
        <w:t xml:space="preserve"> </w:t>
      </w:r>
      <w:r w:rsidR="00DC7402">
        <w:t xml:space="preserve">i forhold til private slutbrugere </w:t>
      </w:r>
      <w:r w:rsidRPr="00EB1F87">
        <w:t>selvstændig dataansvarlig for de</w:t>
      </w:r>
      <w:r w:rsidR="00FF7B48">
        <w:t xml:space="preserve"> personoplysninger, der behandles i visningsklienten</w:t>
      </w:r>
      <w:r w:rsidR="00DC7402">
        <w:t>.</w:t>
      </w:r>
      <w:r w:rsidR="00FF7B48">
        <w:t xml:space="preserve"> Dataansvaret indebærer</w:t>
      </w:r>
      <w:r w:rsidR="00DC7402">
        <w:t xml:space="preserve">, </w:t>
      </w:r>
      <w:r w:rsidR="00FF7B48">
        <w:t xml:space="preserve">at </w:t>
      </w:r>
      <w:r w:rsidR="00CF2795">
        <w:t xml:space="preserve">udbyderen af </w:t>
      </w:r>
      <w:r w:rsidR="00FF7B48">
        <w:t xml:space="preserve">visningsklienten er ansvarlig for fastsættelse af </w:t>
      </w:r>
      <w:r w:rsidR="00624718">
        <w:t xml:space="preserve">passende </w:t>
      </w:r>
      <w:r w:rsidRPr="00EB1F87">
        <w:t>tekniske og organisatoriske foranstaltninger</w:t>
      </w:r>
      <w:r w:rsidR="00624718">
        <w:t xml:space="preserve"> med henblik på at sikr</w:t>
      </w:r>
      <w:r w:rsidR="00DC7402">
        <w:t>e</w:t>
      </w:r>
      <w:r w:rsidR="00624718">
        <w:t xml:space="preserve"> behandlingens overensstemmelse med databeskyttelsesforordningen</w:t>
      </w:r>
      <w:r w:rsidR="00624718">
        <w:rPr>
          <w:rStyle w:val="Fodnotehenvisning"/>
        </w:rPr>
        <w:footnoteReference w:id="2"/>
      </w:r>
      <w:r w:rsidR="00624718">
        <w:t>.</w:t>
      </w:r>
    </w:p>
    <w:p w14:paraId="1985CF5F" w14:textId="36F0C332" w:rsidR="00FE203F" w:rsidRPr="00FE203F" w:rsidRDefault="00FE203F" w:rsidP="00BD4154">
      <w:pPr>
        <w:pStyle w:val="Listeafsnit"/>
        <w:ind w:left="360"/>
        <w:jc w:val="both"/>
        <w:rPr>
          <w:i/>
        </w:rPr>
      </w:pPr>
    </w:p>
    <w:p w14:paraId="3D71362B" w14:textId="44849728" w:rsidR="00FE203F" w:rsidRDefault="00FE203F" w:rsidP="00BD4154">
      <w:pPr>
        <w:pStyle w:val="Listeafsnit"/>
        <w:numPr>
          <w:ilvl w:val="0"/>
          <w:numId w:val="7"/>
        </w:numPr>
        <w:jc w:val="both"/>
      </w:pPr>
      <w:bookmarkStart w:id="15" w:name="_Ref52551514"/>
      <w:bookmarkStart w:id="16" w:name="_Ref52551908"/>
      <w:bookmarkStart w:id="17" w:name="_Ref52738268"/>
      <w:r>
        <w:rPr>
          <w:iCs/>
        </w:rPr>
        <w:t>Løsningsgodkendelsen</w:t>
      </w:r>
      <w:bookmarkEnd w:id="15"/>
      <w:r w:rsidR="009E5E25">
        <w:t xml:space="preserve"> </w:t>
      </w:r>
      <w:r>
        <w:t xml:space="preserve">foretages på baggrund af dokumentation fra ansøgeren om, </w:t>
      </w:r>
      <w:r w:rsidR="00E63C1D">
        <w:t xml:space="preserve">at </w:t>
      </w:r>
      <w:r>
        <w:t xml:space="preserve">visningsklienten opfylder kravene i </w:t>
      </w:r>
      <w:r w:rsidR="00692BEC">
        <w:t>tilslutningsaftalen</w:t>
      </w:r>
      <w:r>
        <w:t xml:space="preserve">, samt </w:t>
      </w:r>
      <w:r w:rsidR="00B820E5">
        <w:t xml:space="preserve">at visningsklienten </w:t>
      </w:r>
      <w:r w:rsidR="00C769B7">
        <w:t>indeholder den</w:t>
      </w:r>
      <w:r>
        <w:t xml:space="preserve"> funktionalitet</w:t>
      </w:r>
      <w:r w:rsidR="009E5870">
        <w:t>, teknologi</w:t>
      </w:r>
      <w:r>
        <w:t xml:space="preserve"> </w:t>
      </w:r>
      <w:r w:rsidR="005E154B">
        <w:t>og værdi</w:t>
      </w:r>
      <w:r w:rsidR="00C769B7">
        <w:t>, som er godkendt</w:t>
      </w:r>
      <w:r w:rsidR="005E154B">
        <w:t xml:space="preserve"> i basisgodkendelsen, jf. </w:t>
      </w:r>
      <w:r w:rsidR="005E154B">
        <w:fldChar w:fldCharType="begin"/>
      </w:r>
      <w:r w:rsidR="005E154B">
        <w:instrText xml:space="preserve"> REF _Ref52551820 \r \h </w:instrText>
      </w:r>
      <w:r w:rsidR="00BD4154">
        <w:instrText xml:space="preserve"> \* MERGEFORMAT </w:instrText>
      </w:r>
      <w:r w:rsidR="005E154B">
        <w:fldChar w:fldCharType="separate"/>
      </w:r>
      <w:r w:rsidR="003B6882">
        <w:t>§ 10</w:t>
      </w:r>
      <w:r w:rsidR="005E154B">
        <w:fldChar w:fldCharType="end"/>
      </w:r>
      <w:r w:rsidR="005E154B">
        <w:t>.</w:t>
      </w:r>
      <w:bookmarkEnd w:id="16"/>
      <w:r w:rsidR="00AD2BA0">
        <w:t xml:space="preserve"> </w:t>
      </w:r>
      <w:r w:rsidR="00DF6AC1">
        <w:t>O</w:t>
      </w:r>
      <w:r w:rsidR="00AD2BA0">
        <w:t>verdragelsesakten, hvorved en kommerciel visningsklient pålægges forpligtelser til offentlig tjeneste, jf. § 1, stk. 2</w:t>
      </w:r>
      <w:r w:rsidR="00DF6AC1">
        <w:t xml:space="preserve">, og den underskrevne tilslutningsaftale, jf. </w:t>
      </w:r>
      <w:r w:rsidR="00DF6AC1">
        <w:fldChar w:fldCharType="begin"/>
      </w:r>
      <w:r w:rsidR="00DF6AC1">
        <w:instrText xml:space="preserve"> REF _Ref52551820 \r \h </w:instrText>
      </w:r>
      <w:r w:rsidR="00BD4154">
        <w:instrText xml:space="preserve"> \* MERGEFORMAT </w:instrText>
      </w:r>
      <w:r w:rsidR="00DF6AC1">
        <w:fldChar w:fldCharType="separate"/>
      </w:r>
      <w:r w:rsidR="003B6882">
        <w:t>§ 10</w:t>
      </w:r>
      <w:r w:rsidR="00DF6AC1">
        <w:fldChar w:fldCharType="end"/>
      </w:r>
      <w:r w:rsidR="00DF6AC1">
        <w:t xml:space="preserve">, stk. 2, er begge en del af </w:t>
      </w:r>
      <w:r w:rsidR="00166E61">
        <w:t>løsningsgodkendelsen</w:t>
      </w:r>
      <w:r w:rsidR="00AD2BA0">
        <w:t>.</w:t>
      </w:r>
      <w:bookmarkEnd w:id="17"/>
    </w:p>
    <w:p w14:paraId="3B37F47A" w14:textId="77777777" w:rsidR="00BE0CC3" w:rsidRDefault="00BE0CC3" w:rsidP="00BD4154">
      <w:pPr>
        <w:pStyle w:val="Listeafsnit"/>
        <w:jc w:val="both"/>
      </w:pPr>
    </w:p>
    <w:p w14:paraId="6CAAB287" w14:textId="77777777" w:rsidR="00BE0CC3" w:rsidRDefault="00BE0CC3" w:rsidP="00BD4154">
      <w:pPr>
        <w:pStyle w:val="Listeafsnit"/>
        <w:ind w:left="360"/>
        <w:jc w:val="both"/>
      </w:pPr>
    </w:p>
    <w:p w14:paraId="6B8FC673" w14:textId="170904A2" w:rsidR="00E016F8" w:rsidRDefault="00E016F8" w:rsidP="00BD4154">
      <w:pPr>
        <w:pStyle w:val="Listeafsnit"/>
        <w:numPr>
          <w:ilvl w:val="0"/>
          <w:numId w:val="7"/>
        </w:numPr>
        <w:jc w:val="both"/>
      </w:pPr>
      <w:r>
        <w:t xml:space="preserve">Digitaliseringsstyrelsen træffer afgørelse </w:t>
      </w:r>
      <w:r w:rsidR="005E154B">
        <w:t xml:space="preserve">om godkendelse </w:t>
      </w:r>
      <w:r w:rsidR="003A4868">
        <w:t>af en kommerciel visningsklient</w:t>
      </w:r>
      <w:r w:rsidR="0056410F">
        <w:t>, jf.</w:t>
      </w:r>
      <w:r w:rsidR="00464AE6">
        <w:t xml:space="preserve"> </w:t>
      </w:r>
      <w:r w:rsidR="00312F23">
        <w:fldChar w:fldCharType="begin"/>
      </w:r>
      <w:r w:rsidR="00312F23">
        <w:instrText xml:space="preserve"> REF _Ref52781768 \r \h </w:instrText>
      </w:r>
      <w:r w:rsidR="00BD4154">
        <w:instrText xml:space="preserve"> \* MERGEFORMAT </w:instrText>
      </w:r>
      <w:r w:rsidR="00312F23">
        <w:fldChar w:fldCharType="separate"/>
      </w:r>
      <w:r w:rsidR="003B6882">
        <w:t>§ 3</w:t>
      </w:r>
      <w:r w:rsidR="00312F23">
        <w:fldChar w:fldCharType="end"/>
      </w:r>
      <w:r w:rsidR="00312F23">
        <w:t xml:space="preserve"> og</w:t>
      </w:r>
      <w:r w:rsidR="00464AE6">
        <w:t xml:space="preserve"> </w:t>
      </w:r>
      <w:r w:rsidR="00464AE6">
        <w:fldChar w:fldCharType="begin"/>
      </w:r>
      <w:r w:rsidR="00464AE6">
        <w:instrText xml:space="preserve"> REF _Ref52738448 \r \h </w:instrText>
      </w:r>
      <w:r w:rsidR="00BD4154">
        <w:instrText xml:space="preserve"> \* MERGEFORMAT </w:instrText>
      </w:r>
      <w:r w:rsidR="00464AE6">
        <w:fldChar w:fldCharType="separate"/>
      </w:r>
      <w:r w:rsidR="003B6882">
        <w:t>§ 9</w:t>
      </w:r>
      <w:r w:rsidR="00464AE6">
        <w:fldChar w:fldCharType="end"/>
      </w:r>
      <w:r w:rsidR="0056410F">
        <w:t>,</w:t>
      </w:r>
      <w:r w:rsidR="003A4868">
        <w:t xml:space="preserve"> </w:t>
      </w:r>
      <w:r w:rsidRPr="0080249D">
        <w:t>inden for</w:t>
      </w:r>
      <w:r>
        <w:t xml:space="preserve"> </w:t>
      </w:r>
      <w:r w:rsidR="00A156E1">
        <w:t xml:space="preserve">30 </w:t>
      </w:r>
      <w:r w:rsidR="00F50BC9">
        <w:t>dage</w:t>
      </w:r>
      <w:r>
        <w:t xml:space="preserve"> regnet fra det tidspunkt, hvor Digitaliseringsstyrelsen</w:t>
      </w:r>
      <w:r w:rsidRPr="00E11E26">
        <w:t xml:space="preserve"> </w:t>
      </w:r>
      <w:r w:rsidR="005E154B">
        <w:t>har modtaget</w:t>
      </w:r>
      <w:r>
        <w:t xml:space="preserve"> oplysninger</w:t>
      </w:r>
      <w:r w:rsidR="00131FC5">
        <w:t>ne til brug for løsningsgodkendelse</w:t>
      </w:r>
      <w:r w:rsidR="0056410F">
        <w:t>n</w:t>
      </w:r>
      <w:r>
        <w:t>.</w:t>
      </w:r>
    </w:p>
    <w:p w14:paraId="05BD08B7" w14:textId="77777777" w:rsidR="00E016F8" w:rsidRDefault="00E016F8" w:rsidP="00BD4154">
      <w:pPr>
        <w:jc w:val="both"/>
      </w:pPr>
      <w:r w:rsidRPr="00DD5C8C">
        <w:rPr>
          <w:i/>
          <w:iCs/>
        </w:rPr>
        <w:t>Stk. 2</w:t>
      </w:r>
      <w:r>
        <w:t>. Digitaliseringsstyrelsen</w:t>
      </w:r>
      <w:r w:rsidRPr="00E11E26">
        <w:t xml:space="preserve"> </w:t>
      </w:r>
      <w:r>
        <w:t>kan forlænge fristen i stk. 1 én gang, hvis sagens kompleksitet berettiger hertil. Digitaliseringsstyrelsen</w:t>
      </w:r>
      <w:r w:rsidRPr="00E11E26">
        <w:t xml:space="preserve"> </w:t>
      </w:r>
      <w:r>
        <w:t>skal give ansøgeren meddelelse om forlængelsen og om varigheden heraf inden udløbet af fristen efter stk. 1.</w:t>
      </w:r>
    </w:p>
    <w:p w14:paraId="40040D5A" w14:textId="77777777" w:rsidR="00754CF5" w:rsidRDefault="00754CF5" w:rsidP="00BD4154">
      <w:pPr>
        <w:jc w:val="both"/>
      </w:pPr>
    </w:p>
    <w:p w14:paraId="76810A5C" w14:textId="77777777" w:rsidR="00DC49EE" w:rsidRDefault="00DC49EE" w:rsidP="00BD4154">
      <w:pPr>
        <w:pStyle w:val="Overskrift2"/>
        <w:jc w:val="both"/>
      </w:pPr>
      <w:r>
        <w:t xml:space="preserve">Revurdering af godkendelser </w:t>
      </w:r>
    </w:p>
    <w:p w14:paraId="4F77755D" w14:textId="300B0E69" w:rsidR="00DC49EE" w:rsidRDefault="00DC49EE" w:rsidP="00BD4154">
      <w:pPr>
        <w:pStyle w:val="Listeafsnit"/>
        <w:numPr>
          <w:ilvl w:val="0"/>
          <w:numId w:val="7"/>
        </w:numPr>
        <w:jc w:val="both"/>
      </w:pPr>
      <w:bookmarkStart w:id="18" w:name="_Ref52780781"/>
      <w:r>
        <w:t>Digitaliseringsstyrelsen kan som led i sit tilsyn</w:t>
      </w:r>
      <w:r w:rsidR="00425576">
        <w:t>,</w:t>
      </w:r>
      <w:r w:rsidR="00425576" w:rsidRPr="00425576">
        <w:t xml:space="preserve"> </w:t>
      </w:r>
      <w:r w:rsidR="00425576">
        <w:t xml:space="preserve">jf. </w:t>
      </w:r>
      <w:r w:rsidR="00425576">
        <w:fldChar w:fldCharType="begin"/>
      </w:r>
      <w:r w:rsidR="00425576">
        <w:instrText xml:space="preserve"> REF _Ref52780906 \r \h </w:instrText>
      </w:r>
      <w:r w:rsidR="00BD4154">
        <w:instrText xml:space="preserve"> \* MERGEFORMAT </w:instrText>
      </w:r>
      <w:r w:rsidR="00425576">
        <w:fldChar w:fldCharType="separate"/>
      </w:r>
      <w:r w:rsidR="003B6882">
        <w:t>§ 5</w:t>
      </w:r>
      <w:r w:rsidR="00425576">
        <w:fldChar w:fldCharType="end"/>
      </w:r>
      <w:r w:rsidR="00425576">
        <w:t xml:space="preserve">, revurdere godkendelsen </w:t>
      </w:r>
      <w:r>
        <w:t>af en visningsklient. Revurdering sker efter proceduren i</w:t>
      </w:r>
      <w:r w:rsidR="00312F23">
        <w:t xml:space="preserve"> </w:t>
      </w:r>
      <w:r w:rsidR="00312F23">
        <w:fldChar w:fldCharType="begin"/>
      </w:r>
      <w:r w:rsidR="00312F23">
        <w:instrText xml:space="preserve"> REF _Ref52738448 \r \h </w:instrText>
      </w:r>
      <w:r w:rsidR="00BD4154">
        <w:instrText xml:space="preserve"> \* MERGEFORMAT </w:instrText>
      </w:r>
      <w:r w:rsidR="00312F23">
        <w:fldChar w:fldCharType="separate"/>
      </w:r>
      <w:r w:rsidR="003B6882">
        <w:t>§ 9</w:t>
      </w:r>
      <w:r w:rsidR="00312F23">
        <w:fldChar w:fldCharType="end"/>
      </w:r>
      <w:r>
        <w:t>.</w:t>
      </w:r>
      <w:bookmarkEnd w:id="18"/>
      <w:r>
        <w:t xml:space="preserve"> </w:t>
      </w:r>
    </w:p>
    <w:p w14:paraId="34DE5A0F" w14:textId="1BE1BE63" w:rsidR="00DC49EE" w:rsidRDefault="00DC49EE" w:rsidP="00BD4154">
      <w:pPr>
        <w:jc w:val="both"/>
      </w:pPr>
      <w:r w:rsidRPr="0014223B">
        <w:rPr>
          <w:i/>
        </w:rPr>
        <w:t xml:space="preserve">Stk. </w:t>
      </w:r>
      <w:r>
        <w:rPr>
          <w:i/>
        </w:rPr>
        <w:t>2</w:t>
      </w:r>
      <w:r w:rsidRPr="0014223B">
        <w:rPr>
          <w:i/>
        </w:rPr>
        <w:t>.</w:t>
      </w:r>
      <w:r>
        <w:t xml:space="preserve"> </w:t>
      </w:r>
      <w:r w:rsidRPr="0014223B">
        <w:t>Der skal ske re</w:t>
      </w:r>
      <w:r>
        <w:t>vurdering af g</w:t>
      </w:r>
      <w:r w:rsidRPr="0014223B">
        <w:t>odkendelse</w:t>
      </w:r>
      <w:r>
        <w:t>r</w:t>
      </w:r>
      <w:r w:rsidRPr="0014223B">
        <w:t xml:space="preserve"> af </w:t>
      </w:r>
      <w:r>
        <w:t>v</w:t>
      </w:r>
      <w:r w:rsidRPr="0014223B">
        <w:t>isningsklient</w:t>
      </w:r>
      <w:r>
        <w:t>er</w:t>
      </w:r>
      <w:r w:rsidR="006C1B3C">
        <w:t>, hvis</w:t>
      </w:r>
      <w:r w:rsidRPr="0014223B">
        <w:t xml:space="preserve"> </w:t>
      </w:r>
    </w:p>
    <w:p w14:paraId="5131D328" w14:textId="5EC6FC5F" w:rsidR="00DC49EE" w:rsidRDefault="006C1B3C" w:rsidP="00BD4154">
      <w:pPr>
        <w:pStyle w:val="Listeafsnit"/>
        <w:numPr>
          <w:ilvl w:val="1"/>
          <w:numId w:val="9"/>
        </w:numPr>
        <w:jc w:val="both"/>
      </w:pPr>
      <w:r>
        <w:t>d</w:t>
      </w:r>
      <w:r w:rsidR="00DC49EE">
        <w:t>er sker</w:t>
      </w:r>
      <w:r w:rsidR="00FD74D8">
        <w:t xml:space="preserve"> væsentlige</w:t>
      </w:r>
      <w:r w:rsidR="00DC49EE">
        <w:t xml:space="preserve"> ændringer i kravene i </w:t>
      </w:r>
      <w:r w:rsidR="00DF6AC1">
        <w:t>tilslutningsaftalen</w:t>
      </w:r>
      <w:r>
        <w:t>,</w:t>
      </w:r>
      <w:r w:rsidR="00DC49EE" w:rsidRPr="0014223B">
        <w:t xml:space="preserve"> </w:t>
      </w:r>
    </w:p>
    <w:p w14:paraId="7F7E79F9" w14:textId="12CCA2CE" w:rsidR="002A6DBC" w:rsidRDefault="006C1B3C" w:rsidP="00BD4154">
      <w:pPr>
        <w:pStyle w:val="Listeafsnit"/>
        <w:numPr>
          <w:ilvl w:val="1"/>
          <w:numId w:val="9"/>
        </w:numPr>
        <w:jc w:val="both"/>
      </w:pPr>
      <w:r>
        <w:t>u</w:t>
      </w:r>
      <w:r w:rsidR="002A6DBC">
        <w:t>dbyderen ændrer på forhold, der er omfattet af basisgodkendelsen eller løsningsgodkendel</w:t>
      </w:r>
      <w:r w:rsidR="002A6DBC" w:rsidRPr="0014223B">
        <w:t>sen</w:t>
      </w:r>
      <w:r w:rsidR="002A6DBC">
        <w:t>, eller</w:t>
      </w:r>
    </w:p>
    <w:p w14:paraId="321A3A7F" w14:textId="4F8E6797" w:rsidR="00DC49EE" w:rsidRDefault="00027DBD" w:rsidP="00BD4154">
      <w:pPr>
        <w:pStyle w:val="Listeafsnit"/>
        <w:numPr>
          <w:ilvl w:val="1"/>
          <w:numId w:val="9"/>
        </w:numPr>
        <w:jc w:val="both"/>
      </w:pPr>
      <w:r>
        <w:t>u</w:t>
      </w:r>
      <w:r w:rsidR="00DC49EE">
        <w:t>dbydere</w:t>
      </w:r>
      <w:r>
        <w:t>n</w:t>
      </w:r>
      <w:r w:rsidR="007A14F9">
        <w:t xml:space="preserve"> af kommercielle visningsklienter</w:t>
      </w:r>
      <w:r w:rsidR="00DC49EE">
        <w:t xml:space="preserve"> overdrager sin virksomhed og sine aktiviteter, herunder dele af disse, til en anden juridisk enhed</w:t>
      </w:r>
      <w:r w:rsidR="00DC49EE" w:rsidRPr="0014223B">
        <w:t>.</w:t>
      </w:r>
    </w:p>
    <w:p w14:paraId="3342E97D" w14:textId="77777777" w:rsidR="00DC49EE" w:rsidRDefault="00DC49EE" w:rsidP="00BD4154">
      <w:pPr>
        <w:jc w:val="both"/>
      </w:pPr>
      <w:r w:rsidRPr="00A22F9C">
        <w:rPr>
          <w:i/>
        </w:rPr>
        <w:lastRenderedPageBreak/>
        <w:t xml:space="preserve">Stk. </w:t>
      </w:r>
      <w:r>
        <w:rPr>
          <w:i/>
        </w:rPr>
        <w:t>3</w:t>
      </w:r>
      <w:r w:rsidRPr="00A22F9C">
        <w:rPr>
          <w:i/>
        </w:rPr>
        <w:t>.</w:t>
      </w:r>
      <w:r>
        <w:t xml:space="preserve"> Udbyderen har pligt til snarest muligt at oplyse Digitaliseringsstyrelsen om ændringer i forhold</w:t>
      </w:r>
      <w:r w:rsidR="00AD2BA0">
        <w:t>,</w:t>
      </w:r>
      <w:r>
        <w:t xml:space="preserve"> omfattet af stk. 2, nr. 2 og 3.</w:t>
      </w:r>
    </w:p>
    <w:p w14:paraId="29042199" w14:textId="77777777" w:rsidR="00DC49EE" w:rsidRDefault="00DC49EE" w:rsidP="00BD4154">
      <w:pPr>
        <w:jc w:val="both"/>
      </w:pPr>
      <w:r w:rsidRPr="007E5E5E">
        <w:rPr>
          <w:i/>
          <w:iCs/>
        </w:rPr>
        <w:t>Stk. 4</w:t>
      </w:r>
      <w:r>
        <w:t>. Udbyderen har pligt til at samarbejde med Digitaliseringsstyrelsen, herunder at afgive alle nødvendige oplysninger, som Digitaliseringsstyrelsen har brug for, for at gennemføre revurderingen.</w:t>
      </w:r>
    </w:p>
    <w:p w14:paraId="1E89C579" w14:textId="77777777" w:rsidR="002C0406" w:rsidRDefault="002C0406" w:rsidP="00BD4154">
      <w:pPr>
        <w:jc w:val="both"/>
      </w:pPr>
    </w:p>
    <w:p w14:paraId="26697319" w14:textId="77777777" w:rsidR="00DC49EE" w:rsidRDefault="00DC49EE" w:rsidP="00BD4154">
      <w:pPr>
        <w:pStyle w:val="Overskrift2"/>
        <w:jc w:val="both"/>
      </w:pPr>
      <w:r>
        <w:t xml:space="preserve">Tilbagekaldelse og bortfald af godkendelser </w:t>
      </w:r>
    </w:p>
    <w:p w14:paraId="36714C24" w14:textId="77777777" w:rsidR="002A6DBC" w:rsidRDefault="0047653F" w:rsidP="00BD4154">
      <w:pPr>
        <w:pStyle w:val="Opstilling-talellerbogst"/>
        <w:numPr>
          <w:ilvl w:val="0"/>
          <w:numId w:val="7"/>
        </w:numPr>
        <w:jc w:val="both"/>
      </w:pPr>
      <w:r>
        <w:t>A</w:t>
      </w:r>
      <w:r w:rsidR="002A6DBC">
        <w:t>fgiver udbyderen urigtige eller vildledende oplysninger til Digitaliseringsstyrelsen, eller har udbyderen fortiet oplysninger af betydning for Digitaliseringsstyrelsens afgørelse, kan</w:t>
      </w:r>
      <w:r w:rsidR="002A6DBC" w:rsidRPr="003A1E01">
        <w:t xml:space="preserve"> </w:t>
      </w:r>
      <w:r w:rsidR="002A6DBC">
        <w:t xml:space="preserve">Digitaliseringsstyrelsen tilbagekalde godkendelsen. </w:t>
      </w:r>
    </w:p>
    <w:p w14:paraId="3382D48D" w14:textId="77777777" w:rsidR="00DC49EE" w:rsidRDefault="00DC49EE" w:rsidP="00BD4154">
      <w:pPr>
        <w:pStyle w:val="Opstilling-talellerbogst"/>
        <w:jc w:val="both"/>
      </w:pPr>
    </w:p>
    <w:p w14:paraId="3D20E609" w14:textId="2528F2E2" w:rsidR="00DC49EE" w:rsidRDefault="00DC49EE" w:rsidP="00BD4154">
      <w:pPr>
        <w:pStyle w:val="Listeafsnit"/>
        <w:numPr>
          <w:ilvl w:val="0"/>
          <w:numId w:val="7"/>
        </w:numPr>
        <w:jc w:val="both"/>
      </w:pPr>
      <w:bookmarkStart w:id="19" w:name="_Ref52780792"/>
      <w:r>
        <w:t xml:space="preserve">Godkendelsen </w:t>
      </w:r>
      <w:r w:rsidR="00582576">
        <w:t xml:space="preserve">af en visningsklient </w:t>
      </w:r>
      <w:r>
        <w:t>bortfalder</w:t>
      </w:r>
      <w:r w:rsidR="00027DBD">
        <w:t>,</w:t>
      </w:r>
      <w:r>
        <w:t xml:space="preserve"> </w:t>
      </w:r>
      <w:bookmarkEnd w:id="19"/>
      <w:r w:rsidR="00027DBD">
        <w:t>hvis</w:t>
      </w:r>
    </w:p>
    <w:p w14:paraId="3225C5AE" w14:textId="3334A77D" w:rsidR="00C37361" w:rsidRDefault="00027DBD" w:rsidP="00BD4154">
      <w:pPr>
        <w:pStyle w:val="Listeafsnit"/>
        <w:numPr>
          <w:ilvl w:val="0"/>
          <w:numId w:val="38"/>
        </w:numPr>
        <w:jc w:val="both"/>
      </w:pPr>
      <w:r>
        <w:t>u</w:t>
      </w:r>
      <w:r w:rsidR="00C37361">
        <w:t xml:space="preserve">dbyderens forpligtelse til offentlig tjeneste ophører, jf. </w:t>
      </w:r>
      <w:r w:rsidR="00C37361">
        <w:fldChar w:fldCharType="begin"/>
      </w:r>
      <w:r w:rsidR="00C37361">
        <w:instrText xml:space="preserve"> REF _Ref52546080 \r \h </w:instrText>
      </w:r>
      <w:r w:rsidR="00BD4154">
        <w:instrText xml:space="preserve"> \* MERGEFORMAT </w:instrText>
      </w:r>
      <w:r w:rsidR="00C37361">
        <w:fldChar w:fldCharType="separate"/>
      </w:r>
      <w:r w:rsidR="003B6882">
        <w:t>§ 16</w:t>
      </w:r>
      <w:r w:rsidR="00C37361">
        <w:fldChar w:fldCharType="end"/>
      </w:r>
      <w:r w:rsidR="00C37361">
        <w:t>, stk. 3,</w:t>
      </w:r>
    </w:p>
    <w:p w14:paraId="6E1D78F4" w14:textId="0F5B97A2" w:rsidR="00DC49EE" w:rsidRDefault="00027DBD" w:rsidP="00BD4154">
      <w:pPr>
        <w:pStyle w:val="Listeafsnit"/>
        <w:numPr>
          <w:ilvl w:val="0"/>
          <w:numId w:val="38"/>
        </w:numPr>
        <w:jc w:val="both"/>
      </w:pPr>
      <w:r>
        <w:t>u</w:t>
      </w:r>
      <w:r w:rsidR="00DC49EE">
        <w:t>dbyderen</w:t>
      </w:r>
      <w:r>
        <w:t>s</w:t>
      </w:r>
      <w:r w:rsidR="00DC49EE">
        <w:t xml:space="preserve"> drift</w:t>
      </w:r>
      <w:r>
        <w:t xml:space="preserve"> </w:t>
      </w:r>
      <w:r w:rsidR="00DC49EE">
        <w:t>ophør</w:t>
      </w:r>
      <w:r>
        <w:t>er</w:t>
      </w:r>
      <w:r w:rsidR="00DC49EE">
        <w:t xml:space="preserve">, </w:t>
      </w:r>
    </w:p>
    <w:p w14:paraId="7BB6132F" w14:textId="7E1540A2" w:rsidR="0047653F" w:rsidRDefault="00027DBD" w:rsidP="00BD4154">
      <w:pPr>
        <w:pStyle w:val="Listeafsnit"/>
        <w:numPr>
          <w:ilvl w:val="0"/>
          <w:numId w:val="38"/>
        </w:numPr>
        <w:jc w:val="both"/>
      </w:pPr>
      <w:r>
        <w:t>u</w:t>
      </w:r>
      <w:r w:rsidR="00DC49EE">
        <w:t>dbyderen</w:t>
      </w:r>
      <w:r>
        <w:t xml:space="preserve"> </w:t>
      </w:r>
      <w:r w:rsidRPr="00027DBD">
        <w:t>tages under konkursbehandling</w:t>
      </w:r>
      <w:r w:rsidR="00DC49EE">
        <w:t>, likvidation eller tvangsopløs</w:t>
      </w:r>
      <w:r>
        <w:t>es</w:t>
      </w:r>
      <w:r w:rsidR="0047653F">
        <w:t xml:space="preserve">, </w:t>
      </w:r>
      <w:r w:rsidR="00C37361">
        <w:t>eller</w:t>
      </w:r>
    </w:p>
    <w:p w14:paraId="130AFDAB" w14:textId="105D8E8D" w:rsidR="00DC49EE" w:rsidRDefault="00027DBD" w:rsidP="00BD4154">
      <w:pPr>
        <w:pStyle w:val="Listeafsnit"/>
        <w:numPr>
          <w:ilvl w:val="0"/>
          <w:numId w:val="38"/>
        </w:numPr>
        <w:jc w:val="both"/>
      </w:pPr>
      <w:r>
        <w:t>u</w:t>
      </w:r>
      <w:r w:rsidR="0047653F">
        <w:t xml:space="preserve">dbyderen på anden måde misligholder vilkårene i tilslutningsaftalen, og dette har ført til tilslutningsaftalens </w:t>
      </w:r>
      <w:r w:rsidR="00C37361">
        <w:t xml:space="preserve">suspension eller </w:t>
      </w:r>
      <w:r w:rsidR="0047653F">
        <w:t>ophævelse</w:t>
      </w:r>
      <w:r w:rsidR="00DC49EE">
        <w:t>.</w:t>
      </w:r>
    </w:p>
    <w:p w14:paraId="27B24BE2" w14:textId="77777777" w:rsidR="00DC49EE" w:rsidRDefault="00DC49EE" w:rsidP="00BD4154">
      <w:pPr>
        <w:jc w:val="both"/>
      </w:pPr>
      <w:r w:rsidRPr="00EC7FC9">
        <w:rPr>
          <w:i/>
          <w:iCs/>
        </w:rPr>
        <w:t>Stk. 2</w:t>
      </w:r>
      <w:r>
        <w:t>. Udbyderen har pligt til at oplyse Digitaliseringsstyrelsen om udbyderens beslutninger, der kan medføre bortfald af godkendelsen.</w:t>
      </w:r>
    </w:p>
    <w:p w14:paraId="7E15F0DE" w14:textId="77777777" w:rsidR="0036182C" w:rsidRDefault="0036182C" w:rsidP="00BD4154">
      <w:pPr>
        <w:jc w:val="both"/>
      </w:pPr>
    </w:p>
    <w:p w14:paraId="2AC677B3" w14:textId="77777777" w:rsidR="005D7FBC" w:rsidRDefault="00AE6535" w:rsidP="00BD4154">
      <w:pPr>
        <w:pStyle w:val="Overskrift1"/>
        <w:keepNext/>
        <w:numPr>
          <w:ilvl w:val="0"/>
          <w:numId w:val="8"/>
        </w:numPr>
        <w:ind w:left="357" w:hanging="357"/>
        <w:jc w:val="both"/>
      </w:pPr>
      <w:bookmarkStart w:id="20" w:name="_Ref51518555"/>
      <w:r>
        <w:t>Kompensation</w:t>
      </w:r>
      <w:bookmarkStart w:id="21" w:name="_Ref51873678"/>
      <w:bookmarkEnd w:id="20"/>
    </w:p>
    <w:bookmarkEnd w:id="21"/>
    <w:p w14:paraId="1AEADC08" w14:textId="77777777" w:rsidR="0052303F" w:rsidRDefault="0052303F" w:rsidP="00BD4154">
      <w:pPr>
        <w:pStyle w:val="Overskrift2"/>
        <w:jc w:val="both"/>
      </w:pPr>
      <w:r>
        <w:t>Forpligtelse</w:t>
      </w:r>
      <w:r w:rsidR="0070585E">
        <w:t>r</w:t>
      </w:r>
      <w:r>
        <w:t xml:space="preserve"> til offentlig tjeneste</w:t>
      </w:r>
    </w:p>
    <w:p w14:paraId="3F07D5C1" w14:textId="060A3BFB" w:rsidR="008364C8" w:rsidRDefault="00713842" w:rsidP="00BD4154">
      <w:pPr>
        <w:pStyle w:val="Opstilling-talellerbogst"/>
        <w:numPr>
          <w:ilvl w:val="0"/>
          <w:numId w:val="7"/>
        </w:numPr>
        <w:jc w:val="both"/>
      </w:pPr>
      <w:bookmarkStart w:id="22" w:name="_Ref51873281"/>
      <w:bookmarkStart w:id="23" w:name="_Ref52546080"/>
      <w:r>
        <w:t>En u</w:t>
      </w:r>
      <w:r w:rsidR="0052303F">
        <w:t>dbyder af en</w:t>
      </w:r>
      <w:r>
        <w:t xml:space="preserve"> godkendt</w:t>
      </w:r>
      <w:r w:rsidR="0052303F">
        <w:t xml:space="preserve"> kommerciel visningsklient påtage</w:t>
      </w:r>
      <w:r w:rsidR="00675F4E">
        <w:t>r</w:t>
      </w:r>
      <w:r w:rsidR="0052303F">
        <w:t xml:space="preserve"> sig at opfylde forpligtelse</w:t>
      </w:r>
      <w:r w:rsidR="0070585E">
        <w:t>r</w:t>
      </w:r>
      <w:r w:rsidR="0052303F">
        <w:t xml:space="preserve"> til </w:t>
      </w:r>
      <w:r w:rsidR="002A6DBC">
        <w:t xml:space="preserve">offentlig tjeneste </w:t>
      </w:r>
      <w:bookmarkEnd w:id="22"/>
      <w:r w:rsidR="002A67EB">
        <w:t xml:space="preserve">i overensstemmelse med overdragelsesakten i </w:t>
      </w:r>
      <w:r w:rsidR="005F2153">
        <w:t>løsnings</w:t>
      </w:r>
      <w:r w:rsidR="002A67EB">
        <w:t xml:space="preserve">godkendelsen, jf. </w:t>
      </w:r>
      <w:r w:rsidR="002A67EB">
        <w:fldChar w:fldCharType="begin"/>
      </w:r>
      <w:r w:rsidR="002A67EB">
        <w:instrText xml:space="preserve"> REF _Ref52738268 \r \h </w:instrText>
      </w:r>
      <w:r w:rsidR="00BD4154">
        <w:instrText xml:space="preserve"> \* MERGEFORMAT </w:instrText>
      </w:r>
      <w:r w:rsidR="002A67EB">
        <w:fldChar w:fldCharType="separate"/>
      </w:r>
      <w:r w:rsidR="003B6882">
        <w:t>§ 11</w:t>
      </w:r>
      <w:r w:rsidR="002A67EB">
        <w:fldChar w:fldCharType="end"/>
      </w:r>
      <w:r w:rsidR="008364C8">
        <w:t>.</w:t>
      </w:r>
      <w:bookmarkEnd w:id="23"/>
    </w:p>
    <w:p w14:paraId="2AA02575" w14:textId="4762AB5B" w:rsidR="0052303F" w:rsidRDefault="0052303F" w:rsidP="00BD4154">
      <w:pPr>
        <w:pStyle w:val="Opstilling-talellerbogst"/>
        <w:jc w:val="both"/>
      </w:pPr>
      <w:r w:rsidRPr="00524294">
        <w:rPr>
          <w:i/>
          <w:iCs/>
        </w:rPr>
        <w:t>Stk. 2</w:t>
      </w:r>
      <w:r>
        <w:t>. Ved forpligtelse</w:t>
      </w:r>
      <w:r w:rsidR="0070585E">
        <w:t>r</w:t>
      </w:r>
      <w:r>
        <w:t xml:space="preserve"> til offentlig tjeneste forstås i denne bekendtgørelse en forpligtelse til at stille en kommerciel visningsklient, der viser digital post fra offentlige afsendere</w:t>
      </w:r>
      <w:r w:rsidR="00E52F25">
        <w:t xml:space="preserve"> i forbindelse med supplerende ydelser</w:t>
      </w:r>
      <w:r>
        <w:t xml:space="preserve">, til rådighed for borgere og virksomheder </w:t>
      </w:r>
      <w:r w:rsidR="00440B14">
        <w:t xml:space="preserve">i overensstemmelse med </w:t>
      </w:r>
      <w:r w:rsidR="00440B14">
        <w:fldChar w:fldCharType="begin"/>
      </w:r>
      <w:r w:rsidR="00440B14">
        <w:instrText xml:space="preserve"> REF _Ref52738766 \r \h </w:instrText>
      </w:r>
      <w:r w:rsidR="00BD4154">
        <w:instrText xml:space="preserve"> \* MERGEFORMAT </w:instrText>
      </w:r>
      <w:r w:rsidR="00440B14">
        <w:fldChar w:fldCharType="separate"/>
      </w:r>
      <w:r w:rsidR="003B6882">
        <w:t>§ 1</w:t>
      </w:r>
      <w:r w:rsidR="00440B14">
        <w:fldChar w:fldCharType="end"/>
      </w:r>
      <w:r w:rsidR="00440B14">
        <w:t xml:space="preserve">, stk. 2, og </w:t>
      </w:r>
      <w:r>
        <w:t xml:space="preserve">på de vilkår, der er fastsat i </w:t>
      </w:r>
      <w:r w:rsidR="0024621C">
        <w:t>overdragelsesakten</w:t>
      </w:r>
      <w:r w:rsidR="00AD2D86">
        <w:t xml:space="preserve"> i </w:t>
      </w:r>
      <w:r w:rsidR="005F2153">
        <w:t>løsnings</w:t>
      </w:r>
      <w:r w:rsidR="00AD2D86">
        <w:t xml:space="preserve">godkendelsen, jf. </w:t>
      </w:r>
      <w:r w:rsidR="00AD2D86">
        <w:fldChar w:fldCharType="begin"/>
      </w:r>
      <w:r w:rsidR="00AD2D86">
        <w:instrText xml:space="preserve"> REF _Ref52738268 \r \h </w:instrText>
      </w:r>
      <w:r w:rsidR="00BD4154">
        <w:instrText xml:space="preserve"> \* MERGEFORMAT </w:instrText>
      </w:r>
      <w:r w:rsidR="00AD2D86">
        <w:fldChar w:fldCharType="separate"/>
      </w:r>
      <w:r w:rsidR="003B6882">
        <w:t>§ 11</w:t>
      </w:r>
      <w:r w:rsidR="00AD2D86">
        <w:fldChar w:fldCharType="end"/>
      </w:r>
      <w:r>
        <w:t>.</w:t>
      </w:r>
    </w:p>
    <w:p w14:paraId="5CC9B2E6" w14:textId="77777777" w:rsidR="0052303F" w:rsidRDefault="0052303F" w:rsidP="00BD4154">
      <w:pPr>
        <w:pStyle w:val="Opstilling-talellerbogst"/>
        <w:jc w:val="both"/>
      </w:pPr>
      <w:r w:rsidRPr="00524294">
        <w:rPr>
          <w:i/>
          <w:iCs/>
        </w:rPr>
        <w:t>Stk. 3</w:t>
      </w:r>
      <w:r>
        <w:t>. Forpligtelse</w:t>
      </w:r>
      <w:r w:rsidR="0070585E">
        <w:t>r</w:t>
      </w:r>
      <w:r>
        <w:t>n</w:t>
      </w:r>
      <w:r w:rsidR="0070585E">
        <w:t>e</w:t>
      </w:r>
      <w:r>
        <w:t xml:space="preserve"> til offentlig tjeneste varer, indtil én af følgende begivenheder indtræder:</w:t>
      </w:r>
    </w:p>
    <w:p w14:paraId="40E100A4" w14:textId="5CBC8EEA" w:rsidR="0052303F" w:rsidRDefault="0052303F" w:rsidP="00BD4154">
      <w:pPr>
        <w:pStyle w:val="Opstilling-talellerbogst"/>
        <w:numPr>
          <w:ilvl w:val="0"/>
          <w:numId w:val="25"/>
        </w:numPr>
        <w:jc w:val="both"/>
      </w:pPr>
      <w:r>
        <w:t>Godkendelse i henhold til denne bekendtgørelse ophører eller bortfalder, jf.</w:t>
      </w:r>
      <w:r w:rsidR="00725FA0">
        <w:t xml:space="preserve"> </w:t>
      </w:r>
      <w:r w:rsidR="00725FA0">
        <w:fldChar w:fldCharType="begin"/>
      </w:r>
      <w:r w:rsidR="00725FA0">
        <w:instrText xml:space="preserve"> REF _Ref52780781 \r \h </w:instrText>
      </w:r>
      <w:r w:rsidR="00BD4154">
        <w:instrText xml:space="preserve"> \* MERGEFORMAT </w:instrText>
      </w:r>
      <w:r w:rsidR="00725FA0">
        <w:fldChar w:fldCharType="separate"/>
      </w:r>
      <w:r w:rsidR="003B6882">
        <w:t>§ 13</w:t>
      </w:r>
      <w:r w:rsidR="00725FA0">
        <w:fldChar w:fldCharType="end"/>
      </w:r>
      <w:r w:rsidR="00725FA0">
        <w:t xml:space="preserve"> til </w:t>
      </w:r>
      <w:r w:rsidR="00725FA0">
        <w:fldChar w:fldCharType="begin"/>
      </w:r>
      <w:r w:rsidR="00725FA0">
        <w:instrText xml:space="preserve"> REF _Ref52780792 \r \h </w:instrText>
      </w:r>
      <w:r w:rsidR="00BD4154">
        <w:instrText xml:space="preserve"> \* MERGEFORMAT </w:instrText>
      </w:r>
      <w:r w:rsidR="00725FA0">
        <w:fldChar w:fldCharType="separate"/>
      </w:r>
      <w:r w:rsidR="003B6882">
        <w:t>§ 15</w:t>
      </w:r>
      <w:r w:rsidR="00725FA0">
        <w:fldChar w:fldCharType="end"/>
      </w:r>
      <w:r w:rsidR="00027DBD">
        <w:t>.</w:t>
      </w:r>
    </w:p>
    <w:p w14:paraId="12E25A50" w14:textId="58EF29CD" w:rsidR="0052303F" w:rsidRDefault="0070585E" w:rsidP="00BD4154">
      <w:pPr>
        <w:pStyle w:val="Opstilling-talellerbogst"/>
        <w:numPr>
          <w:ilvl w:val="0"/>
          <w:numId w:val="25"/>
        </w:numPr>
        <w:jc w:val="both"/>
      </w:pPr>
      <w:r>
        <w:t xml:space="preserve">Udbyderen </w:t>
      </w:r>
      <w:r w:rsidR="0052303F">
        <w:t xml:space="preserve">meddeler Digitaliseringsstyrelsen, at </w:t>
      </w:r>
      <w:r>
        <w:t>udbyderen</w:t>
      </w:r>
      <w:r w:rsidR="0052303F">
        <w:t xml:space="preserve"> ikke længere kan eller vil opfylde forpligtelsen til offentlig tjeneste</w:t>
      </w:r>
      <w:r w:rsidR="00027DBD">
        <w:t>.</w:t>
      </w:r>
    </w:p>
    <w:p w14:paraId="10AF7486" w14:textId="10A885B2" w:rsidR="0052303F" w:rsidRDefault="0070585E" w:rsidP="00BD4154">
      <w:pPr>
        <w:pStyle w:val="Opstilling-talellerbogst"/>
        <w:numPr>
          <w:ilvl w:val="0"/>
          <w:numId w:val="25"/>
        </w:numPr>
        <w:jc w:val="both"/>
      </w:pPr>
      <w:r>
        <w:t xml:space="preserve">Udbyderen </w:t>
      </w:r>
      <w:r w:rsidR="0052303F">
        <w:t>opfylder ikke forpligtelser</w:t>
      </w:r>
      <w:r>
        <w:t>ne</w:t>
      </w:r>
      <w:r w:rsidR="0052303F">
        <w:t xml:space="preserve"> i henhold til </w:t>
      </w:r>
      <w:r w:rsidR="002C4701">
        <w:fldChar w:fldCharType="begin"/>
      </w:r>
      <w:r w:rsidR="002C4701">
        <w:instrText xml:space="preserve"> REF _Ref77243280 \r \h </w:instrText>
      </w:r>
      <w:r w:rsidR="00BD4154">
        <w:instrText xml:space="preserve"> \* MERGEFORMAT </w:instrText>
      </w:r>
      <w:r w:rsidR="002C4701">
        <w:fldChar w:fldCharType="separate"/>
      </w:r>
      <w:r w:rsidR="003B6882">
        <w:t>§ 23</w:t>
      </w:r>
      <w:r w:rsidR="002C4701">
        <w:fldChar w:fldCharType="end"/>
      </w:r>
      <w:r w:rsidR="002C4701">
        <w:t xml:space="preserve"> og </w:t>
      </w:r>
      <w:r w:rsidR="002C4701">
        <w:fldChar w:fldCharType="begin"/>
      </w:r>
      <w:r w:rsidR="002C4701">
        <w:instrText xml:space="preserve"> REF _Ref51750818 \r \h </w:instrText>
      </w:r>
      <w:r w:rsidR="00BD4154">
        <w:instrText xml:space="preserve"> \* MERGEFORMAT </w:instrText>
      </w:r>
      <w:r w:rsidR="002C4701">
        <w:fldChar w:fldCharType="separate"/>
      </w:r>
      <w:r w:rsidR="003B6882">
        <w:t>§ 24</w:t>
      </w:r>
      <w:r w:rsidR="002C4701">
        <w:fldChar w:fldCharType="end"/>
      </w:r>
      <w:r w:rsidR="00027DBD">
        <w:t>.</w:t>
      </w:r>
    </w:p>
    <w:p w14:paraId="3615FAC4" w14:textId="2C1DB20A" w:rsidR="0052303F" w:rsidRDefault="0070585E" w:rsidP="00BD4154">
      <w:pPr>
        <w:pStyle w:val="Opstilling-talellerbogst"/>
        <w:numPr>
          <w:ilvl w:val="0"/>
          <w:numId w:val="25"/>
        </w:numPr>
        <w:jc w:val="both"/>
      </w:pPr>
      <w:r>
        <w:t xml:space="preserve">Udbyderen </w:t>
      </w:r>
      <w:r w:rsidR="0052303F">
        <w:t xml:space="preserve">undlader at tilbagebetale overkompensation, jf. </w:t>
      </w:r>
      <w:r w:rsidR="0052303F">
        <w:fldChar w:fldCharType="begin"/>
      </w:r>
      <w:r w:rsidR="0052303F">
        <w:instrText xml:space="preserve"> REF _Ref51706876 \r \h </w:instrText>
      </w:r>
      <w:r w:rsidR="00BD4154">
        <w:instrText xml:space="preserve"> \* MERGEFORMAT </w:instrText>
      </w:r>
      <w:r w:rsidR="0052303F">
        <w:fldChar w:fldCharType="separate"/>
      </w:r>
      <w:r w:rsidR="003B6882">
        <w:t>§ 25</w:t>
      </w:r>
      <w:r w:rsidR="0052303F">
        <w:fldChar w:fldCharType="end"/>
      </w:r>
      <w:r w:rsidR="0052303F">
        <w:t>.</w:t>
      </w:r>
    </w:p>
    <w:p w14:paraId="26A3D17F" w14:textId="77777777" w:rsidR="00682096" w:rsidRDefault="00682096" w:rsidP="00BD4154">
      <w:pPr>
        <w:pStyle w:val="Opstilling-talellerbogst"/>
        <w:jc w:val="both"/>
      </w:pPr>
    </w:p>
    <w:p w14:paraId="044212FD" w14:textId="1C37E37E" w:rsidR="0052303F" w:rsidRDefault="00682096" w:rsidP="00BD4154">
      <w:pPr>
        <w:pStyle w:val="Opstilling-talellerbogst"/>
        <w:jc w:val="both"/>
      </w:pPr>
      <w:r w:rsidRPr="00682096">
        <w:rPr>
          <w:i/>
          <w:iCs/>
        </w:rPr>
        <w:t>Stk.</w:t>
      </w:r>
      <w:r w:rsidR="002C4701">
        <w:rPr>
          <w:i/>
          <w:iCs/>
        </w:rPr>
        <w:t xml:space="preserve"> </w:t>
      </w:r>
      <w:r w:rsidRPr="00682096">
        <w:rPr>
          <w:i/>
          <w:iCs/>
        </w:rPr>
        <w:t>4.</w:t>
      </w:r>
      <w:r>
        <w:t xml:space="preserve"> Ved opfyldelse af forpligtelserne til offentlig tjeneste skal en kommerciel visningsklient anvende </w:t>
      </w:r>
      <w:r w:rsidR="00A21BE8">
        <w:t>NemLog-in</w:t>
      </w:r>
      <w:r w:rsidR="00B91230">
        <w:rPr>
          <w:rStyle w:val="Fodnotehenvisning"/>
        </w:rPr>
        <w:footnoteReference w:id="3"/>
      </w:r>
      <w:r w:rsidR="00A21BE8">
        <w:t xml:space="preserve"> til autentifikation</w:t>
      </w:r>
      <w:r w:rsidR="004852C0">
        <w:t xml:space="preserve"> i forbi</w:t>
      </w:r>
      <w:r w:rsidR="004852C0" w:rsidRPr="00686AF2">
        <w:t>ndelse med logins</w:t>
      </w:r>
      <w:r w:rsidR="00314AE9" w:rsidRPr="00686AF2">
        <w:t xml:space="preserve"> </w:t>
      </w:r>
      <w:r w:rsidR="00363A6B" w:rsidRPr="00686AF2">
        <w:t>i</w:t>
      </w:r>
      <w:r w:rsidR="00314AE9" w:rsidRPr="00686AF2">
        <w:t xml:space="preserve"> brugergrænseflader</w:t>
      </w:r>
      <w:r w:rsidR="009E3748" w:rsidRPr="00686AF2">
        <w:t>ne via både webbrowser og mobilapplikation</w:t>
      </w:r>
      <w:r w:rsidR="00A21BE8" w:rsidRPr="00686AF2">
        <w:t>.</w:t>
      </w:r>
      <w:r w:rsidR="000D4683" w:rsidRPr="00686AF2">
        <w:t xml:space="preserve"> </w:t>
      </w:r>
    </w:p>
    <w:p w14:paraId="34FDACF7" w14:textId="5E326E39" w:rsidR="00314AE9" w:rsidRDefault="004852C0" w:rsidP="00BD4154">
      <w:pPr>
        <w:jc w:val="both"/>
      </w:pPr>
      <w:r w:rsidRPr="001B71AC">
        <w:rPr>
          <w:i/>
          <w:iCs/>
        </w:rPr>
        <w:lastRenderedPageBreak/>
        <w:t>S</w:t>
      </w:r>
      <w:r w:rsidR="002D7CDF">
        <w:rPr>
          <w:i/>
          <w:iCs/>
        </w:rPr>
        <w:t>tk</w:t>
      </w:r>
      <w:r w:rsidRPr="001B71AC">
        <w:rPr>
          <w:i/>
          <w:iCs/>
        </w:rPr>
        <w:t>. 5</w:t>
      </w:r>
      <w:r w:rsidRPr="001B71AC">
        <w:t>. En</w:t>
      </w:r>
      <w:r>
        <w:rPr>
          <w:u w:val="single"/>
        </w:rPr>
        <w:t xml:space="preserve"> </w:t>
      </w:r>
      <w:r>
        <w:t xml:space="preserve">kommerciel visningsklient skal ikke </w:t>
      </w:r>
      <w:r w:rsidR="00FC03D0">
        <w:t>afholde</w:t>
      </w:r>
      <w:r>
        <w:t xml:space="preserve"> </w:t>
      </w:r>
      <w:r w:rsidR="00C66F58">
        <w:t xml:space="preserve">alle </w:t>
      </w:r>
      <w:r>
        <w:t xml:space="preserve">omkostninger </w:t>
      </w:r>
      <w:r w:rsidR="001B71AC">
        <w:t>til autentifikation i forbindelse med logins</w:t>
      </w:r>
      <w:r w:rsidR="000D4683">
        <w:t>, jf. stk. 4</w:t>
      </w:r>
      <w:r w:rsidR="00314AE9">
        <w:t>,</w:t>
      </w:r>
      <w:r>
        <w:t xml:space="preserve"> </w:t>
      </w:r>
      <w:r w:rsidR="00C66F58">
        <w:t xml:space="preserve">hvis den kommercielle visningsklient viser digital post fra offentlige afsendere og digital post fra flere private afsendere. </w:t>
      </w:r>
      <w:r w:rsidR="007E254D">
        <w:t xml:space="preserve">Digitaliseringsstyrelsen </w:t>
      </w:r>
      <w:r w:rsidR="00FC03D0">
        <w:t>afholder</w:t>
      </w:r>
      <w:r w:rsidR="00C66F58">
        <w:t xml:space="preserve"> </w:t>
      </w:r>
      <w:r w:rsidR="00A45F8D">
        <w:t>omkostningerne</w:t>
      </w:r>
      <w:r w:rsidR="009A39F0">
        <w:t xml:space="preserve"> </w:t>
      </w:r>
      <w:r w:rsidR="00A45F8D">
        <w:t xml:space="preserve">til autentifikation i forbindelse med logins vedrørende digital post fra offentlige afsendere, </w:t>
      </w:r>
      <w:r w:rsidR="003B6882">
        <w:t xml:space="preserve">hvilket udgør omkostningerne for </w:t>
      </w:r>
      <w:r w:rsidR="00A45F8D">
        <w:t>30 pct. af de</w:t>
      </w:r>
      <w:r w:rsidR="003B6882">
        <w:t>t</w:t>
      </w:r>
      <w:r w:rsidR="00A45F8D">
        <w:t xml:space="preserve"> samlede </w:t>
      </w:r>
      <w:r w:rsidR="003B6882">
        <w:t xml:space="preserve">antal </w:t>
      </w:r>
      <w:r w:rsidR="00A45F8D">
        <w:t>logins</w:t>
      </w:r>
      <w:r w:rsidR="002B1C2A">
        <w:t xml:space="preserve">. </w:t>
      </w:r>
      <w:r w:rsidR="002A37BC">
        <w:t>Beregningen baseres på de offentlige pris</w:t>
      </w:r>
      <w:r w:rsidR="00BF06BF">
        <w:t>er</w:t>
      </w:r>
      <w:r w:rsidR="002A37BC">
        <w:t xml:space="preserve">, som fremgår af selvbetjeningsløsningen, jf. </w:t>
      </w:r>
      <w:r w:rsidR="002A37BC">
        <w:fldChar w:fldCharType="begin"/>
      </w:r>
      <w:r w:rsidR="002A37BC">
        <w:instrText xml:space="preserve"> REF _Ref43985374 \r \h </w:instrText>
      </w:r>
      <w:r w:rsidR="00BD4154">
        <w:instrText xml:space="preserve"> \* MERGEFORMAT </w:instrText>
      </w:r>
      <w:r w:rsidR="002A37BC">
        <w:fldChar w:fldCharType="separate"/>
      </w:r>
      <w:r w:rsidR="002A37BC">
        <w:t>§ 8</w:t>
      </w:r>
      <w:r w:rsidR="002A37BC">
        <w:fldChar w:fldCharType="end"/>
      </w:r>
      <w:r w:rsidR="002A37BC">
        <w:t xml:space="preserve">. </w:t>
      </w:r>
      <w:r w:rsidR="003B6882">
        <w:t>De</w:t>
      </w:r>
      <w:r w:rsidR="003B6882" w:rsidRPr="001B71AC">
        <w:t>n</w:t>
      </w:r>
      <w:r w:rsidR="003B6882">
        <w:rPr>
          <w:u w:val="single"/>
        </w:rPr>
        <w:t xml:space="preserve"> </w:t>
      </w:r>
      <w:r w:rsidR="003B6882">
        <w:t xml:space="preserve">kommercielle visningsklient afholder omkostningerne for de resterende 70 pct. af det samlede antal logins. </w:t>
      </w:r>
      <w:r w:rsidR="002B1C2A">
        <w:t xml:space="preserve">Beregningen </w:t>
      </w:r>
      <w:r w:rsidR="003B6882">
        <w:t xml:space="preserve">af prisen for de 70 pct. af det samlede antal logins </w:t>
      </w:r>
      <w:r w:rsidR="00A45F8D">
        <w:t>basere</w:t>
      </w:r>
      <w:r w:rsidR="002B1C2A">
        <w:t xml:space="preserve">s </w:t>
      </w:r>
      <w:r w:rsidR="00A45F8D">
        <w:t>på de</w:t>
      </w:r>
      <w:r w:rsidR="00C66F58">
        <w:t xml:space="preserve"> </w:t>
      </w:r>
      <w:r w:rsidR="003B6882">
        <w:t>priser for private tjenesteudbydere</w:t>
      </w:r>
      <w:r w:rsidR="00EF5BBB">
        <w:t>, som fremgår af selvbetjeningsløsningen</w:t>
      </w:r>
      <w:r w:rsidR="005C5F1C">
        <w:t>, jf.</w:t>
      </w:r>
      <w:r w:rsidR="00EF5BBB">
        <w:t xml:space="preserve"> </w:t>
      </w:r>
      <w:r w:rsidR="002C4701">
        <w:fldChar w:fldCharType="begin"/>
      </w:r>
      <w:r w:rsidR="002C4701">
        <w:instrText xml:space="preserve"> REF _Ref43985374 \r \h </w:instrText>
      </w:r>
      <w:r w:rsidR="00BD4154">
        <w:instrText xml:space="preserve"> \* MERGEFORMAT </w:instrText>
      </w:r>
      <w:r w:rsidR="002C4701">
        <w:fldChar w:fldCharType="separate"/>
      </w:r>
      <w:r w:rsidR="003B6882">
        <w:t>§ 8</w:t>
      </w:r>
      <w:r w:rsidR="002C4701">
        <w:fldChar w:fldCharType="end"/>
      </w:r>
      <w:r w:rsidR="006E70D8">
        <w:t>.</w:t>
      </w:r>
    </w:p>
    <w:p w14:paraId="653934C0" w14:textId="175396C4" w:rsidR="004852C0" w:rsidRDefault="007E254D" w:rsidP="00BD4154">
      <w:pPr>
        <w:jc w:val="both"/>
      </w:pPr>
      <w:r w:rsidRPr="00EF5BBB">
        <w:rPr>
          <w:i/>
          <w:iCs/>
        </w:rPr>
        <w:t>Stk. 6.</w:t>
      </w:r>
      <w:r>
        <w:t xml:space="preserve"> </w:t>
      </w:r>
      <w:r w:rsidR="000D4683">
        <w:t>E</w:t>
      </w:r>
      <w:r w:rsidR="001B71AC">
        <w:t>n</w:t>
      </w:r>
      <w:r w:rsidR="004852C0">
        <w:t xml:space="preserve"> </w:t>
      </w:r>
      <w:r w:rsidR="001B71AC">
        <w:t xml:space="preserve">kommerciel </w:t>
      </w:r>
      <w:r w:rsidR="004852C0">
        <w:t>visningsklient skal medregne et beløb svarende til værdien af omkostninger</w:t>
      </w:r>
      <w:r w:rsidR="001B71AC">
        <w:t>ne til</w:t>
      </w:r>
      <w:r w:rsidR="009A39F0">
        <w:t xml:space="preserve"> autentifikation i forbindelse med</w:t>
      </w:r>
      <w:r w:rsidR="001B71AC">
        <w:t xml:space="preserve"> logins</w:t>
      </w:r>
      <w:r w:rsidR="004852C0">
        <w:t>,</w:t>
      </w:r>
      <w:r w:rsidR="00EF5BBB">
        <w:t xml:space="preserve"> </w:t>
      </w:r>
      <w:r w:rsidR="00FC03D0">
        <w:t xml:space="preserve">som Digitaliseringsstyrelsen afholder omkostningerne til, </w:t>
      </w:r>
      <w:r w:rsidR="00EF5BBB">
        <w:t xml:space="preserve">jf. </w:t>
      </w:r>
      <w:r w:rsidR="002D7CDF">
        <w:t>stk.</w:t>
      </w:r>
      <w:r w:rsidR="00EF5BBB">
        <w:t xml:space="preserve"> </w:t>
      </w:r>
      <w:r w:rsidR="009A39F0">
        <w:t>5</w:t>
      </w:r>
      <w:r w:rsidR="00EF5BBB">
        <w:t>,</w:t>
      </w:r>
      <w:r w:rsidR="004852C0">
        <w:t xml:space="preserve"> hvis </w:t>
      </w:r>
      <w:r w:rsidR="001B71AC">
        <w:t>den kommercielle visningsklient</w:t>
      </w:r>
      <w:r w:rsidR="004852C0">
        <w:t xml:space="preserve"> ansøger om kompensation</w:t>
      </w:r>
      <w:r w:rsidR="001B71AC">
        <w:t xml:space="preserve"> efter </w:t>
      </w:r>
      <w:r w:rsidR="002C4701">
        <w:fldChar w:fldCharType="begin"/>
      </w:r>
      <w:r w:rsidR="002C4701">
        <w:instrText xml:space="preserve"> REF _Ref52540389 \r \h </w:instrText>
      </w:r>
      <w:r w:rsidR="00BD4154">
        <w:instrText xml:space="preserve"> \* MERGEFORMAT </w:instrText>
      </w:r>
      <w:r w:rsidR="002C4701">
        <w:fldChar w:fldCharType="separate"/>
      </w:r>
      <w:r w:rsidR="003B6882">
        <w:t>§ 17</w:t>
      </w:r>
      <w:r w:rsidR="002C4701">
        <w:fldChar w:fldCharType="end"/>
      </w:r>
      <w:r w:rsidR="002C4701">
        <w:t xml:space="preserve"> til </w:t>
      </w:r>
      <w:r w:rsidR="002C4701">
        <w:fldChar w:fldCharType="begin"/>
      </w:r>
      <w:r w:rsidR="002C4701">
        <w:instrText xml:space="preserve"> REF _Ref77243062 \r \h </w:instrText>
      </w:r>
      <w:r w:rsidR="00BD4154">
        <w:instrText xml:space="preserve"> \* MERGEFORMAT </w:instrText>
      </w:r>
      <w:r w:rsidR="002C4701">
        <w:fldChar w:fldCharType="separate"/>
      </w:r>
      <w:r w:rsidR="003B6882">
        <w:t>§ 19</w:t>
      </w:r>
      <w:r w:rsidR="002C4701">
        <w:fldChar w:fldCharType="end"/>
      </w:r>
      <w:r w:rsidR="00287921">
        <w:t xml:space="preserve"> og </w:t>
      </w:r>
      <w:r w:rsidR="002C4701">
        <w:fldChar w:fldCharType="begin"/>
      </w:r>
      <w:r w:rsidR="002C4701">
        <w:instrText xml:space="preserve"> REF _Ref51874025 \r \h </w:instrText>
      </w:r>
      <w:r w:rsidR="00BD4154">
        <w:instrText xml:space="preserve"> \* MERGEFORMAT </w:instrText>
      </w:r>
      <w:r w:rsidR="002C4701">
        <w:fldChar w:fldCharType="separate"/>
      </w:r>
      <w:r w:rsidR="003B6882">
        <w:t>§ 21</w:t>
      </w:r>
      <w:r w:rsidR="002C4701">
        <w:fldChar w:fldCharType="end"/>
      </w:r>
      <w:r w:rsidR="002C4701">
        <w:t xml:space="preserve"> til </w:t>
      </w:r>
      <w:r w:rsidR="002C4701">
        <w:fldChar w:fldCharType="begin"/>
      </w:r>
      <w:r w:rsidR="002C4701">
        <w:instrText xml:space="preserve"> REF _Ref51767272 \r \h </w:instrText>
      </w:r>
      <w:r w:rsidR="00BD4154">
        <w:instrText xml:space="preserve"> \* MERGEFORMAT </w:instrText>
      </w:r>
      <w:r w:rsidR="002C4701">
        <w:fldChar w:fldCharType="separate"/>
      </w:r>
      <w:r w:rsidR="003B6882">
        <w:t>§ 25</w:t>
      </w:r>
      <w:r w:rsidR="002C4701">
        <w:fldChar w:fldCharType="end"/>
      </w:r>
      <w:r w:rsidR="001B71AC">
        <w:t>.</w:t>
      </w:r>
    </w:p>
    <w:p w14:paraId="7CF21E0B" w14:textId="4C096437" w:rsidR="000D4683" w:rsidRDefault="000D4683" w:rsidP="00BD4154">
      <w:pPr>
        <w:jc w:val="both"/>
      </w:pPr>
      <w:r w:rsidRPr="000D4683">
        <w:rPr>
          <w:i/>
          <w:iCs/>
        </w:rPr>
        <w:t xml:space="preserve">Stk. </w:t>
      </w:r>
      <w:r w:rsidR="00EF5BBB">
        <w:rPr>
          <w:i/>
          <w:iCs/>
        </w:rPr>
        <w:t>7</w:t>
      </w:r>
      <w:r w:rsidRPr="000D4683">
        <w:rPr>
          <w:i/>
          <w:iCs/>
        </w:rPr>
        <w:t>.</w:t>
      </w:r>
      <w:r>
        <w:t xml:space="preserve"> </w:t>
      </w:r>
      <w:r w:rsidR="002C4701">
        <w:fldChar w:fldCharType="begin"/>
      </w:r>
      <w:r w:rsidR="002C4701">
        <w:instrText xml:space="preserve"> REF _Ref51874025 \r \h </w:instrText>
      </w:r>
      <w:r w:rsidR="00BD4154">
        <w:instrText xml:space="preserve"> \* MERGEFORMAT </w:instrText>
      </w:r>
      <w:r w:rsidR="002C4701">
        <w:fldChar w:fldCharType="separate"/>
      </w:r>
      <w:r w:rsidR="003B6882">
        <w:t>§ 21</w:t>
      </w:r>
      <w:r w:rsidR="002C4701">
        <w:fldChar w:fldCharType="end"/>
      </w:r>
      <w:r w:rsidR="002C4701">
        <w:t xml:space="preserve"> til </w:t>
      </w:r>
      <w:r w:rsidR="002C4701">
        <w:fldChar w:fldCharType="begin"/>
      </w:r>
      <w:r w:rsidR="002C4701">
        <w:instrText xml:space="preserve"> REF _Ref51767272 \r \h </w:instrText>
      </w:r>
      <w:r w:rsidR="00BD4154">
        <w:instrText xml:space="preserve"> \* MERGEFORMAT </w:instrText>
      </w:r>
      <w:r w:rsidR="002C4701">
        <w:fldChar w:fldCharType="separate"/>
      </w:r>
      <w:r w:rsidR="003B6882">
        <w:t>§ 25</w:t>
      </w:r>
      <w:r w:rsidR="002C4701">
        <w:fldChar w:fldCharType="end"/>
      </w:r>
      <w:r w:rsidR="002C4701">
        <w:t xml:space="preserve"> </w:t>
      </w:r>
      <w:r>
        <w:t>finder tilsvarende anvendelse</w:t>
      </w:r>
      <w:r w:rsidR="00287921">
        <w:t xml:space="preserve">, hvis en </w:t>
      </w:r>
      <w:r>
        <w:t xml:space="preserve">kommerciel visningsklient får </w:t>
      </w:r>
      <w:r w:rsidR="00EF5BBB">
        <w:t xml:space="preserve">dækket sine </w:t>
      </w:r>
      <w:r>
        <w:t>omkostningerne til</w:t>
      </w:r>
      <w:r w:rsidR="00287921">
        <w:t xml:space="preserve"> autentifikation i forbindelse med logins, jf. stk. </w:t>
      </w:r>
      <w:r w:rsidR="00EF5BBB">
        <w:t>5</w:t>
      </w:r>
      <w:r>
        <w:t xml:space="preserve">, men </w:t>
      </w:r>
      <w:r w:rsidR="00287921">
        <w:t>ikke an</w:t>
      </w:r>
      <w:r>
        <w:t>søger om kompensation</w:t>
      </w:r>
      <w:r w:rsidR="006E70D8">
        <w:t xml:space="preserve">, jf. </w:t>
      </w:r>
      <w:r w:rsidR="002C4701">
        <w:fldChar w:fldCharType="begin"/>
      </w:r>
      <w:r w:rsidR="002C4701">
        <w:instrText xml:space="preserve"> REF _Ref52540389 \r \h </w:instrText>
      </w:r>
      <w:r w:rsidR="00BD4154">
        <w:instrText xml:space="preserve"> \* MERGEFORMAT </w:instrText>
      </w:r>
      <w:r w:rsidR="002C4701">
        <w:fldChar w:fldCharType="separate"/>
      </w:r>
      <w:r w:rsidR="003B6882">
        <w:t>§ 17</w:t>
      </w:r>
      <w:r w:rsidR="002C4701">
        <w:fldChar w:fldCharType="end"/>
      </w:r>
      <w:r w:rsidR="002C4701">
        <w:t xml:space="preserve"> til </w:t>
      </w:r>
      <w:r w:rsidR="002C4701">
        <w:fldChar w:fldCharType="begin"/>
      </w:r>
      <w:r w:rsidR="002C4701">
        <w:instrText xml:space="preserve"> REF _Ref77243062 \r \h </w:instrText>
      </w:r>
      <w:r w:rsidR="00BD4154">
        <w:instrText xml:space="preserve"> \* MERGEFORMAT </w:instrText>
      </w:r>
      <w:r w:rsidR="002C4701">
        <w:fldChar w:fldCharType="separate"/>
      </w:r>
      <w:r w:rsidR="003B6882">
        <w:t>§ 19</w:t>
      </w:r>
      <w:r w:rsidR="002C4701">
        <w:fldChar w:fldCharType="end"/>
      </w:r>
      <w:r>
        <w:t>.</w:t>
      </w:r>
    </w:p>
    <w:p w14:paraId="4904C286" w14:textId="77777777" w:rsidR="001B71AC" w:rsidRPr="00682096" w:rsidRDefault="001B71AC" w:rsidP="00BD4154">
      <w:pPr>
        <w:jc w:val="both"/>
      </w:pPr>
    </w:p>
    <w:p w14:paraId="0D332FED" w14:textId="29EA755B" w:rsidR="005D7FBC" w:rsidRDefault="005D7FBC" w:rsidP="00BD4154">
      <w:pPr>
        <w:pStyle w:val="Overskrift2"/>
        <w:jc w:val="both"/>
      </w:pPr>
      <w:r>
        <w:t>Tilskudsberettigede omkostninger</w:t>
      </w:r>
      <w:r w:rsidR="00233576">
        <w:t xml:space="preserve"> </w:t>
      </w:r>
    </w:p>
    <w:p w14:paraId="7FC24061" w14:textId="6B4D2477" w:rsidR="00E94051" w:rsidRDefault="0052303F" w:rsidP="00BD4154">
      <w:pPr>
        <w:pStyle w:val="Listeafsnit"/>
        <w:numPr>
          <w:ilvl w:val="0"/>
          <w:numId w:val="7"/>
        </w:numPr>
        <w:jc w:val="both"/>
      </w:pPr>
      <w:bookmarkStart w:id="24" w:name="_Ref51740820"/>
      <w:bookmarkStart w:id="25" w:name="_Ref52540389"/>
      <w:r>
        <w:t>Udbydere af k</w:t>
      </w:r>
      <w:r w:rsidR="00461FA2">
        <w:t>ommercielle visningsklienter</w:t>
      </w:r>
      <w:r>
        <w:t xml:space="preserve">, der har påtaget sig at opfylde forpligtelserne til offentlig tjeneste, jf. </w:t>
      </w:r>
      <w:r>
        <w:fldChar w:fldCharType="begin"/>
      </w:r>
      <w:r>
        <w:instrText xml:space="preserve"> REF _Ref51873281 \r \h </w:instrText>
      </w:r>
      <w:r w:rsidR="00BD4154">
        <w:instrText xml:space="preserve"> \* MERGEFORMAT </w:instrText>
      </w:r>
      <w:r>
        <w:fldChar w:fldCharType="separate"/>
      </w:r>
      <w:r w:rsidR="003B6882">
        <w:t>§ 16</w:t>
      </w:r>
      <w:r>
        <w:fldChar w:fldCharType="end"/>
      </w:r>
      <w:r>
        <w:t>,</w:t>
      </w:r>
      <w:r w:rsidR="00524294">
        <w:t xml:space="preserve"> kan</w:t>
      </w:r>
      <w:r w:rsidR="008364C8">
        <w:t xml:space="preserve"> efter ansøgning, jf. </w:t>
      </w:r>
      <w:r w:rsidR="008364C8">
        <w:fldChar w:fldCharType="begin"/>
      </w:r>
      <w:r w:rsidR="008364C8">
        <w:instrText xml:space="preserve"> REF _Ref52209499 \r \h </w:instrText>
      </w:r>
      <w:r w:rsidR="00BD4154">
        <w:instrText xml:space="preserve"> \* MERGEFORMAT </w:instrText>
      </w:r>
      <w:r w:rsidR="008364C8">
        <w:fldChar w:fldCharType="separate"/>
      </w:r>
      <w:r w:rsidR="003B6882">
        <w:t>§ 6</w:t>
      </w:r>
      <w:r w:rsidR="008364C8">
        <w:fldChar w:fldCharType="end"/>
      </w:r>
      <w:r w:rsidR="008364C8">
        <w:t>, stk. 2,</w:t>
      </w:r>
      <w:r w:rsidR="00524294">
        <w:t xml:space="preserve"> </w:t>
      </w:r>
      <w:r w:rsidR="00E94051">
        <w:t xml:space="preserve">modtage </w:t>
      </w:r>
      <w:r w:rsidR="00524294">
        <w:t xml:space="preserve">kompensation, der dækker </w:t>
      </w:r>
      <w:r>
        <w:t>udbyderens</w:t>
      </w:r>
      <w:r w:rsidR="00524294">
        <w:t xml:space="preserve"> nettoomkostninger ved opfyldelsen af forpligtelserne til offentlig </w:t>
      </w:r>
      <w:bookmarkEnd w:id="24"/>
      <w:r w:rsidR="00E94051">
        <w:t>tjeneste</w:t>
      </w:r>
      <w:r w:rsidR="008364C8">
        <w:t xml:space="preserve">, jf. dog </w:t>
      </w:r>
      <w:r w:rsidR="008364C8">
        <w:fldChar w:fldCharType="begin"/>
      </w:r>
      <w:r w:rsidR="008364C8">
        <w:instrText xml:space="preserve"> REF _Ref52537235 \r \h </w:instrText>
      </w:r>
      <w:r w:rsidR="00BD4154">
        <w:instrText xml:space="preserve"> \* MERGEFORMAT </w:instrText>
      </w:r>
      <w:r w:rsidR="008364C8">
        <w:fldChar w:fldCharType="separate"/>
      </w:r>
      <w:r w:rsidR="003B6882">
        <w:t>§ 20</w:t>
      </w:r>
      <w:r w:rsidR="008364C8">
        <w:fldChar w:fldCharType="end"/>
      </w:r>
      <w:r w:rsidR="00E94051">
        <w:t>.</w:t>
      </w:r>
      <w:bookmarkEnd w:id="25"/>
    </w:p>
    <w:p w14:paraId="5A2CCCA9" w14:textId="097CE17F" w:rsidR="00805EA1" w:rsidRDefault="00805EA1" w:rsidP="00BD4154">
      <w:pPr>
        <w:jc w:val="both"/>
      </w:pPr>
      <w:r w:rsidRPr="00E94051">
        <w:rPr>
          <w:i/>
          <w:iCs/>
        </w:rPr>
        <w:t>Stk. 2</w:t>
      </w:r>
      <w:r>
        <w:t xml:space="preserve">. Ved nettoomkostninger forstås forskellen mellem </w:t>
      </w:r>
      <w:r w:rsidR="0052303F">
        <w:t xml:space="preserve">udbyderens </w:t>
      </w:r>
      <w:r>
        <w:t>tilskudsberettigede omkostninger, som defineret i stk. 3</w:t>
      </w:r>
      <w:r w:rsidR="00F848BE">
        <w:t>-</w:t>
      </w:r>
      <w:r w:rsidR="00A9595B">
        <w:t>6</w:t>
      </w:r>
      <w:r>
        <w:t xml:space="preserve">, og indtægterne, som defineret i </w:t>
      </w:r>
      <w:r>
        <w:fldChar w:fldCharType="begin"/>
      </w:r>
      <w:r>
        <w:instrText xml:space="preserve"> REF _Ref51741461 \r \h </w:instrText>
      </w:r>
      <w:r w:rsidR="00BD4154">
        <w:instrText xml:space="preserve"> \* MERGEFORMAT </w:instrText>
      </w:r>
      <w:r>
        <w:fldChar w:fldCharType="separate"/>
      </w:r>
      <w:r w:rsidR="003B6882">
        <w:t>§ 18</w:t>
      </w:r>
      <w:r>
        <w:fldChar w:fldCharType="end"/>
      </w:r>
      <w:r>
        <w:t>.</w:t>
      </w:r>
    </w:p>
    <w:p w14:paraId="03B46051" w14:textId="77777777" w:rsidR="00524294" w:rsidRDefault="00524294" w:rsidP="00BD4154">
      <w:pPr>
        <w:jc w:val="both"/>
      </w:pPr>
      <w:r w:rsidRPr="00805EA1">
        <w:rPr>
          <w:i/>
          <w:iCs/>
        </w:rPr>
        <w:t xml:space="preserve">Stk. </w:t>
      </w:r>
      <w:r w:rsidR="00805EA1">
        <w:rPr>
          <w:i/>
          <w:iCs/>
        </w:rPr>
        <w:t>3</w:t>
      </w:r>
      <w:r>
        <w:t xml:space="preserve">. </w:t>
      </w:r>
      <w:r w:rsidR="007C7FAD">
        <w:t xml:space="preserve">Følgende omkostninger er </w:t>
      </w:r>
      <w:r>
        <w:t>tilskudsberettigede</w:t>
      </w:r>
      <w:r w:rsidR="007C7FAD">
        <w:t xml:space="preserve"> i det omfang, omkostninge</w:t>
      </w:r>
      <w:r w:rsidR="00F428E4">
        <w:t>rne</w:t>
      </w:r>
      <w:r w:rsidR="007C7FAD">
        <w:t xml:space="preserve"> vedrører forpligtelsen til offentlig tjeneste</w:t>
      </w:r>
      <w:r>
        <w:t>:</w:t>
      </w:r>
    </w:p>
    <w:p w14:paraId="39DFACA3" w14:textId="38911DE8" w:rsidR="00400378" w:rsidRDefault="00400378" w:rsidP="00BD4154">
      <w:pPr>
        <w:pStyle w:val="Listeafsnit"/>
        <w:numPr>
          <w:ilvl w:val="0"/>
          <w:numId w:val="26"/>
        </w:numPr>
        <w:jc w:val="both"/>
      </w:pPr>
      <w:r>
        <w:t xml:space="preserve">Den direkte lønudgift til </w:t>
      </w:r>
      <w:r w:rsidR="004A77A1">
        <w:t>udbyderens</w:t>
      </w:r>
      <w:r w:rsidR="00754CF5">
        <w:t xml:space="preserve"> </w:t>
      </w:r>
      <w:r>
        <w:t>personale</w:t>
      </w:r>
      <w:r w:rsidR="00027DBD">
        <w:t>.</w:t>
      </w:r>
    </w:p>
    <w:p w14:paraId="54EEBF4E" w14:textId="3A281915" w:rsidR="00524294" w:rsidRDefault="002C4701" w:rsidP="00BD4154">
      <w:pPr>
        <w:pStyle w:val="Listeafsnit"/>
        <w:numPr>
          <w:ilvl w:val="0"/>
          <w:numId w:val="26"/>
        </w:numPr>
        <w:jc w:val="both"/>
      </w:pPr>
      <w:r>
        <w:t>O</w:t>
      </w:r>
      <w:r w:rsidR="001670ED">
        <w:t>mkostninger</w:t>
      </w:r>
      <w:r w:rsidR="00524294">
        <w:t xml:space="preserve"> til support af </w:t>
      </w:r>
      <w:r w:rsidR="007C7FAD">
        <w:t>borgere og virksomheder</w:t>
      </w:r>
      <w:r w:rsidR="00027DBD">
        <w:t>.</w:t>
      </w:r>
    </w:p>
    <w:p w14:paraId="0EFE5A56" w14:textId="69E90AB6" w:rsidR="002A6DBC" w:rsidRDefault="002C4701" w:rsidP="00BD4154">
      <w:pPr>
        <w:pStyle w:val="Listeafsnit"/>
        <w:numPr>
          <w:ilvl w:val="0"/>
          <w:numId w:val="26"/>
        </w:numPr>
        <w:jc w:val="both"/>
      </w:pPr>
      <w:r>
        <w:t>O</w:t>
      </w:r>
      <w:r w:rsidR="002A6DBC">
        <w:t>mkostninger til drift</w:t>
      </w:r>
      <w:r w:rsidR="00027DBD">
        <w:t>.</w:t>
      </w:r>
    </w:p>
    <w:p w14:paraId="4EDC50BC" w14:textId="1B31DDB7" w:rsidR="00461FA2" w:rsidRDefault="002C4701" w:rsidP="00BD4154">
      <w:pPr>
        <w:pStyle w:val="Listeafsnit"/>
        <w:numPr>
          <w:ilvl w:val="0"/>
          <w:numId w:val="26"/>
        </w:numPr>
        <w:jc w:val="both"/>
      </w:pPr>
      <w:r>
        <w:t>O</w:t>
      </w:r>
      <w:r w:rsidR="00F44802">
        <w:t xml:space="preserve">mkostninger forbundet med opfyldelse af </w:t>
      </w:r>
      <w:r w:rsidR="004A77A1">
        <w:t>udbyderens</w:t>
      </w:r>
      <w:r w:rsidR="00754CF5">
        <w:t xml:space="preserve"> </w:t>
      </w:r>
      <w:r w:rsidR="00F44802">
        <w:t xml:space="preserve">forpligtelser i henhold til </w:t>
      </w:r>
      <w:r w:rsidR="0024621C">
        <w:t>overdragelsesakten</w:t>
      </w:r>
      <w:r w:rsidR="00027DBD">
        <w:t>.</w:t>
      </w:r>
    </w:p>
    <w:p w14:paraId="75121EAD" w14:textId="5E4C2FBC" w:rsidR="00E452D1" w:rsidRDefault="002C4701" w:rsidP="00BD4154">
      <w:pPr>
        <w:pStyle w:val="Listeafsnit"/>
        <w:numPr>
          <w:ilvl w:val="0"/>
          <w:numId w:val="26"/>
        </w:numPr>
        <w:jc w:val="both"/>
      </w:pPr>
      <w:r>
        <w:t>A</w:t>
      </w:r>
      <w:r w:rsidR="00461FA2">
        <w:t xml:space="preserve">fskrivninger på </w:t>
      </w:r>
      <w:r w:rsidR="002A6DBC">
        <w:t>it-infrastruktur</w:t>
      </w:r>
      <w:r w:rsidR="00027DBD">
        <w:t>.</w:t>
      </w:r>
    </w:p>
    <w:p w14:paraId="532FBFA5" w14:textId="16E37DB6" w:rsidR="00F44802" w:rsidRDefault="002C4701" w:rsidP="00BD4154">
      <w:pPr>
        <w:pStyle w:val="Listeafsnit"/>
        <w:numPr>
          <w:ilvl w:val="0"/>
          <w:numId w:val="26"/>
        </w:numPr>
        <w:jc w:val="both"/>
      </w:pPr>
      <w:r>
        <w:t>E</w:t>
      </w:r>
      <w:r w:rsidR="00E452D1">
        <w:t xml:space="preserve">n rimelig fortjeneste, jf. </w:t>
      </w:r>
      <w:r w:rsidR="00E452D1">
        <w:fldChar w:fldCharType="begin"/>
      </w:r>
      <w:r w:rsidR="00E452D1">
        <w:instrText xml:space="preserve"> REF _Ref51751460 \r \h </w:instrText>
      </w:r>
      <w:r w:rsidR="00BD4154">
        <w:instrText xml:space="preserve"> \* MERGEFORMAT </w:instrText>
      </w:r>
      <w:r w:rsidR="00E452D1">
        <w:fldChar w:fldCharType="separate"/>
      </w:r>
      <w:r w:rsidR="003B6882">
        <w:t>§ 19</w:t>
      </w:r>
      <w:r w:rsidR="00E452D1">
        <w:fldChar w:fldCharType="end"/>
      </w:r>
      <w:r w:rsidR="00027DBD">
        <w:t>.</w:t>
      </w:r>
    </w:p>
    <w:p w14:paraId="69D7ECE3" w14:textId="305A67EA" w:rsidR="00400378" w:rsidRDefault="002C4701" w:rsidP="00BD4154">
      <w:pPr>
        <w:pStyle w:val="Listeafsnit"/>
        <w:numPr>
          <w:ilvl w:val="0"/>
          <w:numId w:val="26"/>
        </w:numPr>
        <w:jc w:val="both"/>
      </w:pPr>
      <w:r>
        <w:t>O</w:t>
      </w:r>
      <w:r w:rsidR="00400378">
        <w:t xml:space="preserve">mkostninger forbundet med </w:t>
      </w:r>
      <w:r w:rsidR="004A77A1">
        <w:t>udbyderens</w:t>
      </w:r>
      <w:r w:rsidR="00754CF5">
        <w:t xml:space="preserve"> </w:t>
      </w:r>
      <w:r w:rsidR="00400378">
        <w:t xml:space="preserve">forpligtelser i henhold til </w:t>
      </w:r>
      <w:r w:rsidR="00400378">
        <w:fldChar w:fldCharType="begin"/>
      </w:r>
      <w:r w:rsidR="00400378">
        <w:instrText xml:space="preserve"> REF _Ref51742214 \r \h </w:instrText>
      </w:r>
      <w:r w:rsidR="00BD4154">
        <w:instrText xml:space="preserve"> \* MERGEFORMAT </w:instrText>
      </w:r>
      <w:r w:rsidR="00400378">
        <w:fldChar w:fldCharType="separate"/>
      </w:r>
      <w:r w:rsidR="003B6882">
        <w:t>§ 23</w:t>
      </w:r>
      <w:r w:rsidR="00400378">
        <w:fldChar w:fldCharType="end"/>
      </w:r>
      <w:r w:rsidR="00400378">
        <w:t>.</w:t>
      </w:r>
    </w:p>
    <w:p w14:paraId="1BA7B967" w14:textId="77777777" w:rsidR="00805EA1" w:rsidRDefault="00805EA1" w:rsidP="00BD4154">
      <w:pPr>
        <w:jc w:val="both"/>
      </w:pPr>
      <w:r w:rsidRPr="00805EA1">
        <w:rPr>
          <w:i/>
          <w:iCs/>
        </w:rPr>
        <w:t xml:space="preserve">Stk. </w:t>
      </w:r>
      <w:r w:rsidR="009432DE">
        <w:rPr>
          <w:i/>
          <w:iCs/>
        </w:rPr>
        <w:t>4</w:t>
      </w:r>
      <w:r>
        <w:t xml:space="preserve">. Har </w:t>
      </w:r>
      <w:r w:rsidR="004A77A1">
        <w:t xml:space="preserve">udbyderen </w:t>
      </w:r>
      <w:r w:rsidR="00A04030">
        <w:t xml:space="preserve">af en kommerciel visningsklient </w:t>
      </w:r>
      <w:r>
        <w:t xml:space="preserve">omkostninger, der er fælles for både </w:t>
      </w:r>
      <w:r w:rsidR="004A77A1">
        <w:t xml:space="preserve">udbyderens </w:t>
      </w:r>
      <w:r>
        <w:t xml:space="preserve">aktivitet i forbindelse med forpligtelserne til offentlig tjeneste og </w:t>
      </w:r>
      <w:r w:rsidR="004A77A1">
        <w:t xml:space="preserve">udbyderens </w:t>
      </w:r>
      <w:r>
        <w:t xml:space="preserve">øvrige aktiviteter, kan </w:t>
      </w:r>
      <w:r w:rsidR="003A194C">
        <w:t>en rimelig andel af</w:t>
      </w:r>
      <w:r>
        <w:t xml:space="preserve"> disse fællesomkostninger anses for tilskudsberettiget. </w:t>
      </w:r>
      <w:r w:rsidR="00C254C2">
        <w:t xml:space="preserve">Fordelingen mellem tilskudsberettigede omkostninger og ikke-tilskudsberettigede omkostninger foretages efter almindeligt anerkendte regnskabsprincipper og </w:t>
      </w:r>
      <w:r w:rsidR="00325C2D">
        <w:t xml:space="preserve">skal </w:t>
      </w:r>
      <w:r w:rsidR="00C254C2">
        <w:t>give et retvisende billede af omkostningerne.</w:t>
      </w:r>
    </w:p>
    <w:p w14:paraId="0C805E57" w14:textId="77777777" w:rsidR="00CD0FBA" w:rsidRDefault="00805EA1" w:rsidP="00BD4154">
      <w:pPr>
        <w:jc w:val="both"/>
      </w:pPr>
      <w:r w:rsidRPr="00805EA1">
        <w:rPr>
          <w:i/>
          <w:iCs/>
        </w:rPr>
        <w:t xml:space="preserve">Stk. </w:t>
      </w:r>
      <w:r w:rsidR="009432DE">
        <w:rPr>
          <w:i/>
          <w:iCs/>
        </w:rPr>
        <w:t>5</w:t>
      </w:r>
      <w:r>
        <w:t xml:space="preserve">. </w:t>
      </w:r>
      <w:r w:rsidR="00CD0FBA">
        <w:t>Omkostninger til storage anses ikke for tilskudsberettigede.</w:t>
      </w:r>
    </w:p>
    <w:p w14:paraId="33AFF2BE" w14:textId="77777777" w:rsidR="00400378" w:rsidRDefault="009432DE" w:rsidP="00BD4154">
      <w:pPr>
        <w:jc w:val="both"/>
      </w:pPr>
      <w:r>
        <w:rPr>
          <w:i/>
          <w:iCs/>
        </w:rPr>
        <w:t>Stk. 6</w:t>
      </w:r>
      <w:r w:rsidR="00CD0FBA">
        <w:t xml:space="preserve">. </w:t>
      </w:r>
      <w:r w:rsidR="005A7DDC">
        <w:t>Omkostninger er ikke tilskudsberettigede, i det omfang omkostningerne allerede er dækket af tilskud fra anden offentlig myndighed eller EU-tilskud</w:t>
      </w:r>
      <w:r w:rsidR="002B388E">
        <w:t>.</w:t>
      </w:r>
    </w:p>
    <w:p w14:paraId="00003347" w14:textId="175149B6" w:rsidR="00325C2D" w:rsidRDefault="00325C2D" w:rsidP="00BD4154">
      <w:pPr>
        <w:jc w:val="both"/>
      </w:pPr>
      <w:r w:rsidRPr="00C20619">
        <w:rPr>
          <w:i/>
          <w:iCs/>
        </w:rPr>
        <w:lastRenderedPageBreak/>
        <w:t xml:space="preserve">Stk. </w:t>
      </w:r>
      <w:r w:rsidR="009432DE">
        <w:rPr>
          <w:i/>
          <w:iCs/>
        </w:rPr>
        <w:t>7</w:t>
      </w:r>
      <w:r>
        <w:t xml:space="preserve">. </w:t>
      </w:r>
      <w:r w:rsidR="008364C8">
        <w:t>O</w:t>
      </w:r>
      <w:r>
        <w:t xml:space="preserve">mkostninger for </w:t>
      </w:r>
      <w:r w:rsidR="00421029">
        <w:t xml:space="preserve">tidligere </w:t>
      </w:r>
      <w:r>
        <w:t xml:space="preserve">en tilskudsperiode, der ikke er opnået kompensation for, </w:t>
      </w:r>
      <w:r w:rsidR="008364C8">
        <w:t xml:space="preserve">jf. </w:t>
      </w:r>
      <w:r w:rsidR="008364C8">
        <w:fldChar w:fldCharType="begin"/>
      </w:r>
      <w:r w:rsidR="008364C8">
        <w:instrText xml:space="preserve"> REF _Ref52537235 \r \h </w:instrText>
      </w:r>
      <w:r w:rsidR="00BD4154">
        <w:instrText xml:space="preserve"> \* MERGEFORMAT </w:instrText>
      </w:r>
      <w:r w:rsidR="008364C8">
        <w:fldChar w:fldCharType="separate"/>
      </w:r>
      <w:r w:rsidR="003B6882">
        <w:t>§ 20</w:t>
      </w:r>
      <w:r w:rsidR="008364C8">
        <w:fldChar w:fldCharType="end"/>
      </w:r>
      <w:r w:rsidR="008364C8">
        <w:t xml:space="preserve">, </w:t>
      </w:r>
      <w:r>
        <w:t>kan ikke fremføres til senere tilskudsperioder og anses ikke for tilskudsberettiget.</w:t>
      </w:r>
    </w:p>
    <w:p w14:paraId="22BBCC83" w14:textId="77777777" w:rsidR="005D7FBC" w:rsidRDefault="005D7FBC" w:rsidP="00BD4154">
      <w:pPr>
        <w:jc w:val="both"/>
      </w:pPr>
    </w:p>
    <w:p w14:paraId="19A18D64" w14:textId="77777777" w:rsidR="005D7FBC" w:rsidRDefault="004A77A1" w:rsidP="00BD4154">
      <w:pPr>
        <w:pStyle w:val="Overskrift2"/>
        <w:jc w:val="both"/>
      </w:pPr>
      <w:r>
        <w:t xml:space="preserve">Udbyderens </w:t>
      </w:r>
      <w:r w:rsidR="005D7FBC">
        <w:t xml:space="preserve">indtægter fra </w:t>
      </w:r>
      <w:r>
        <w:t>forpligtelserne til offentlig tjeneste</w:t>
      </w:r>
    </w:p>
    <w:p w14:paraId="65BA07BF" w14:textId="77777777" w:rsidR="0088277C" w:rsidRDefault="0088277C" w:rsidP="00BD4154">
      <w:pPr>
        <w:pStyle w:val="Opstilling-talellerbogst"/>
        <w:numPr>
          <w:ilvl w:val="0"/>
          <w:numId w:val="7"/>
        </w:numPr>
        <w:jc w:val="both"/>
      </w:pPr>
      <w:bookmarkStart w:id="26" w:name="_Ref51741461"/>
      <w:bookmarkStart w:id="27" w:name="_Ref51766983"/>
      <w:r>
        <w:t xml:space="preserve">Ved </w:t>
      </w:r>
      <w:bookmarkEnd w:id="26"/>
      <w:r>
        <w:t>beregningen af kompensation skal der tages hensyn til alle indtægter, som en udbyder af en kommerciel visningsklient har haft ved at opfylde forpligtelserne til offentlig tjeneste.</w:t>
      </w:r>
      <w:bookmarkEnd w:id="27"/>
      <w:r>
        <w:t xml:space="preserve"> </w:t>
      </w:r>
    </w:p>
    <w:p w14:paraId="2CC82319" w14:textId="77777777" w:rsidR="005D7FBC" w:rsidRDefault="000C234C" w:rsidP="00BD4154">
      <w:pPr>
        <w:pStyle w:val="Opstilling-talellerbogst"/>
        <w:jc w:val="both"/>
      </w:pPr>
      <w:r w:rsidRPr="008364C8">
        <w:rPr>
          <w:i/>
          <w:iCs/>
        </w:rPr>
        <w:t>Stk. 2</w:t>
      </w:r>
      <w:r>
        <w:t>. Ved beregningen af kompensation skal der tillige tages hensyn til alle indtægter, som en udbyder af en kommerciel visningsklient har haft ved de supplerende ydelser</w:t>
      </w:r>
      <w:r w:rsidR="008364C8">
        <w:t>.</w:t>
      </w:r>
    </w:p>
    <w:p w14:paraId="14F74176" w14:textId="77777777" w:rsidR="005D7FBC" w:rsidRPr="005D7FBC" w:rsidRDefault="005D7FBC" w:rsidP="00BD4154">
      <w:pPr>
        <w:jc w:val="both"/>
      </w:pPr>
    </w:p>
    <w:p w14:paraId="6C971B5D" w14:textId="77777777" w:rsidR="005D7FBC" w:rsidRDefault="00E94051" w:rsidP="00BD4154">
      <w:pPr>
        <w:pStyle w:val="Overskrift2"/>
        <w:jc w:val="both"/>
      </w:pPr>
      <w:r>
        <w:t xml:space="preserve">Beregning </w:t>
      </w:r>
      <w:r w:rsidR="005D7FBC">
        <w:t>af rimelig fortjeneste</w:t>
      </w:r>
    </w:p>
    <w:p w14:paraId="7C01B445" w14:textId="77777777" w:rsidR="005D7FBC" w:rsidRDefault="00E452D1" w:rsidP="00BD4154">
      <w:pPr>
        <w:pStyle w:val="Listeafsnit"/>
        <w:numPr>
          <w:ilvl w:val="0"/>
          <w:numId w:val="7"/>
        </w:numPr>
        <w:jc w:val="both"/>
      </w:pPr>
      <w:bookmarkStart w:id="28" w:name="_Ref52542330"/>
      <w:bookmarkStart w:id="29" w:name="_Ref77243062"/>
      <w:bookmarkStart w:id="30" w:name="_Ref51751460"/>
      <w:r>
        <w:t xml:space="preserve">Ved rimelig fortjeneste </w:t>
      </w:r>
      <w:r w:rsidRPr="00F50BC9">
        <w:t>forstås</w:t>
      </w:r>
      <w:r w:rsidR="006E7E65">
        <w:t xml:space="preserve"> et</w:t>
      </w:r>
      <w:r w:rsidRPr="00F50BC9">
        <w:t xml:space="preserve"> </w:t>
      </w:r>
      <w:bookmarkEnd w:id="28"/>
      <w:r w:rsidR="002C7DDE" w:rsidRPr="00F50BC9">
        <w:t>afkast af den kapital, som udbyderen har investeret med henblik på opfyldelsen af forpligtelserne til offentlig tjeneste</w:t>
      </w:r>
      <w:r w:rsidR="006E7E65">
        <w:t>, svarende til swaprenten nævnt i stk. 2</w:t>
      </w:r>
      <w:r w:rsidR="002C7DDE" w:rsidRPr="00F50BC9">
        <w:t>.</w:t>
      </w:r>
      <w:bookmarkEnd w:id="29"/>
    </w:p>
    <w:p w14:paraId="686DB413" w14:textId="77777777" w:rsidR="006E7E65" w:rsidRDefault="006E7E65" w:rsidP="00BD4154">
      <w:pPr>
        <w:jc w:val="both"/>
      </w:pPr>
      <w:r>
        <w:t>Stk. 2. Ved beregningen af rimelig fortjeneste skal der tages udgangspunkt i den 3</w:t>
      </w:r>
      <w:r w:rsidR="00506264">
        <w:t>-</w:t>
      </w:r>
      <w:r>
        <w:t xml:space="preserve">årige </w:t>
      </w:r>
      <w:r w:rsidR="00506264">
        <w:t xml:space="preserve">swaprente </w:t>
      </w:r>
      <w:r w:rsidR="00A80487">
        <w:t>med tillæg af 100 basispoint som fastsat af Europa Kommissionen i medfør af artikel 5, stk. 7</w:t>
      </w:r>
      <w:r w:rsidR="00156E3C">
        <w:t>, i Europa Kommissionens afgørelse 2012/21/EU.</w:t>
      </w:r>
    </w:p>
    <w:bookmarkEnd w:id="30"/>
    <w:p w14:paraId="53A2243A" w14:textId="77777777" w:rsidR="001C5005" w:rsidRDefault="001C5005" w:rsidP="00BD4154">
      <w:pPr>
        <w:jc w:val="both"/>
      </w:pPr>
    </w:p>
    <w:p w14:paraId="0E54B16C" w14:textId="77777777" w:rsidR="001C5005" w:rsidRPr="005D7FBC" w:rsidRDefault="002E2EAD" w:rsidP="00BD4154">
      <w:pPr>
        <w:pStyle w:val="Overskrift2"/>
        <w:jc w:val="both"/>
      </w:pPr>
      <w:r>
        <w:t>Fordeling af kompensation</w:t>
      </w:r>
    </w:p>
    <w:p w14:paraId="6227225F" w14:textId="24858C75" w:rsidR="00605671" w:rsidRDefault="00605671" w:rsidP="00BD4154">
      <w:pPr>
        <w:pStyle w:val="Listeafsnit"/>
        <w:numPr>
          <w:ilvl w:val="0"/>
          <w:numId w:val="7"/>
        </w:numPr>
        <w:jc w:val="both"/>
      </w:pPr>
      <w:bookmarkStart w:id="31" w:name="_Ref52537235"/>
      <w:bookmarkStart w:id="32" w:name="_Ref51707031"/>
      <w:r>
        <w:t>Digitaliseringsstyrelsens årlige pulje er opdelt i to underpuljer</w:t>
      </w:r>
      <w:r w:rsidR="00C64206">
        <w:t>,</w:t>
      </w:r>
      <w:r w:rsidRPr="00605671">
        <w:t xml:space="preserve"> </w:t>
      </w:r>
      <w:r>
        <w:t xml:space="preserve">der fordeles mellem de udbydere af kommercielle visningsklienter, der har ansøgt om kompensation, jf. </w:t>
      </w:r>
      <w:r>
        <w:fldChar w:fldCharType="begin"/>
      </w:r>
      <w:r>
        <w:instrText xml:space="preserve"> REF _Ref52209499 \r \h </w:instrText>
      </w:r>
      <w:r w:rsidR="00BD4154">
        <w:instrText xml:space="preserve"> \* MERGEFORMAT </w:instrText>
      </w:r>
      <w:r>
        <w:fldChar w:fldCharType="separate"/>
      </w:r>
      <w:r w:rsidR="003B6882">
        <w:t>§ 6</w:t>
      </w:r>
      <w:r>
        <w:fldChar w:fldCharType="end"/>
      </w:r>
      <w:r>
        <w:t>, stk. 2:</w:t>
      </w:r>
    </w:p>
    <w:p w14:paraId="125E81D0" w14:textId="77777777" w:rsidR="00605671" w:rsidRDefault="00605671" w:rsidP="00BD4154">
      <w:pPr>
        <w:pStyle w:val="Listeafsnit"/>
        <w:numPr>
          <w:ilvl w:val="0"/>
          <w:numId w:val="37"/>
        </w:numPr>
        <w:jc w:val="both"/>
      </w:pPr>
      <w:r>
        <w:t xml:space="preserve">Pulje 1, benævnt den faste pulje, fordeles </w:t>
      </w:r>
      <w:r w:rsidR="003A1E01">
        <w:t>lige mellem udbyderne</w:t>
      </w:r>
      <w:r>
        <w:t>.</w:t>
      </w:r>
    </w:p>
    <w:p w14:paraId="4EA6C03C" w14:textId="77777777" w:rsidR="005D7FBC" w:rsidRDefault="00605671" w:rsidP="00BD4154">
      <w:pPr>
        <w:pStyle w:val="Listeafsnit"/>
        <w:numPr>
          <w:ilvl w:val="0"/>
          <w:numId w:val="37"/>
        </w:numPr>
        <w:jc w:val="both"/>
      </w:pPr>
      <w:r>
        <w:t xml:space="preserve">Pulje 2, benævnt den variable pulje, fordeles </w:t>
      </w:r>
      <w:r w:rsidR="003A1E01">
        <w:t xml:space="preserve">mellem udbyderne på grundlag af udbydernes andel af </w:t>
      </w:r>
      <w:r w:rsidR="0088277C">
        <w:t>det samlede antal logins på Digital Post</w:t>
      </w:r>
      <w:r>
        <w:t xml:space="preserve">. </w:t>
      </w:r>
      <w:bookmarkEnd w:id="31"/>
    </w:p>
    <w:p w14:paraId="6E29960F" w14:textId="77777777" w:rsidR="00605671" w:rsidRDefault="00524294" w:rsidP="00BD4154">
      <w:pPr>
        <w:jc w:val="both"/>
      </w:pPr>
      <w:r w:rsidRPr="00805EA1">
        <w:rPr>
          <w:i/>
          <w:iCs/>
        </w:rPr>
        <w:t>Stk. 2</w:t>
      </w:r>
      <w:r>
        <w:t xml:space="preserve">. </w:t>
      </w:r>
      <w:r w:rsidR="003A1E01">
        <w:t>Midlerne fra pulje 1 fordeles, før midlerne fra pulje 2 fordeles.</w:t>
      </w:r>
    </w:p>
    <w:p w14:paraId="4F46433A" w14:textId="2D65AFFE" w:rsidR="00524294" w:rsidRDefault="00524294" w:rsidP="00BD4154">
      <w:pPr>
        <w:jc w:val="both"/>
      </w:pPr>
      <w:r w:rsidRPr="00805EA1">
        <w:rPr>
          <w:i/>
          <w:iCs/>
        </w:rPr>
        <w:t xml:space="preserve">Stk. </w:t>
      </w:r>
      <w:r w:rsidR="002D7CDF">
        <w:rPr>
          <w:i/>
          <w:iCs/>
        </w:rPr>
        <w:t>3</w:t>
      </w:r>
      <w:r>
        <w:t xml:space="preserve">. Uanset stk. 1 kan </w:t>
      </w:r>
      <w:r w:rsidR="004A77A1">
        <w:t xml:space="preserve">en udbyder </w:t>
      </w:r>
      <w:r>
        <w:t>aldrig modtage kompensation for et beløb, der overstiger, hvad der er nødvendigt for at dække</w:t>
      </w:r>
      <w:r w:rsidRPr="00524294">
        <w:t xml:space="preserve"> </w:t>
      </w:r>
      <w:r w:rsidR="004A77A1">
        <w:t xml:space="preserve">udbyderens </w:t>
      </w:r>
      <w:r>
        <w:t>nettoomkostninger ved opfyldelsen af forpligtelserne til offentlig tjeneste</w:t>
      </w:r>
      <w:r w:rsidR="008D66C9">
        <w:t>,</w:t>
      </w:r>
      <w:r w:rsidR="00325C2D">
        <w:t xml:space="preserve"> inklusiv </w:t>
      </w:r>
      <w:r>
        <w:t>en rimelig fortjeneste</w:t>
      </w:r>
      <w:r w:rsidR="00A82EC7">
        <w:t xml:space="preserve">, jf. </w:t>
      </w:r>
      <w:r w:rsidR="00A82EC7">
        <w:fldChar w:fldCharType="begin"/>
      </w:r>
      <w:r w:rsidR="00A82EC7">
        <w:instrText xml:space="preserve"> REF _Ref52540389 \r \h </w:instrText>
      </w:r>
      <w:r w:rsidR="00BD4154">
        <w:instrText xml:space="preserve"> \* MERGEFORMAT </w:instrText>
      </w:r>
      <w:r w:rsidR="00A82EC7">
        <w:fldChar w:fldCharType="separate"/>
      </w:r>
      <w:r w:rsidR="003B6882">
        <w:t>§ 17</w:t>
      </w:r>
      <w:r w:rsidR="00A82EC7">
        <w:fldChar w:fldCharType="end"/>
      </w:r>
      <w:r w:rsidR="00A82EC7">
        <w:t xml:space="preserve"> </w:t>
      </w:r>
      <w:r w:rsidR="00844918">
        <w:t>til</w:t>
      </w:r>
      <w:r w:rsidR="00A82EC7">
        <w:t xml:space="preserve"> </w:t>
      </w:r>
      <w:r w:rsidR="00A82EC7">
        <w:fldChar w:fldCharType="begin"/>
      </w:r>
      <w:r w:rsidR="00A82EC7">
        <w:instrText xml:space="preserve"> REF _Ref52542330 \r \h </w:instrText>
      </w:r>
      <w:r w:rsidR="00BD4154">
        <w:instrText xml:space="preserve"> \* MERGEFORMAT </w:instrText>
      </w:r>
      <w:r w:rsidR="00A82EC7">
        <w:fldChar w:fldCharType="separate"/>
      </w:r>
      <w:r w:rsidR="003B6882">
        <w:t>§ 19</w:t>
      </w:r>
      <w:r w:rsidR="00A82EC7">
        <w:fldChar w:fldCharType="end"/>
      </w:r>
      <w:r>
        <w:t>.</w:t>
      </w:r>
      <w:r w:rsidR="003A1E01">
        <w:t xml:space="preserve"> </w:t>
      </w:r>
    </w:p>
    <w:p w14:paraId="558DD565" w14:textId="311D6A15" w:rsidR="005A0822" w:rsidRDefault="00524294" w:rsidP="00BD4154">
      <w:pPr>
        <w:jc w:val="both"/>
      </w:pPr>
      <w:r w:rsidRPr="00805EA1">
        <w:rPr>
          <w:i/>
          <w:iCs/>
        </w:rPr>
        <w:t xml:space="preserve">Stk. </w:t>
      </w:r>
      <w:r w:rsidR="002D7CDF">
        <w:rPr>
          <w:i/>
          <w:iCs/>
        </w:rPr>
        <w:t>4</w:t>
      </w:r>
      <w:r>
        <w:t xml:space="preserve">. </w:t>
      </w:r>
      <w:r w:rsidR="00DA52E9">
        <w:t xml:space="preserve">I den første tilskudsperiode, jf. </w:t>
      </w:r>
      <w:r w:rsidR="00DA52E9">
        <w:fldChar w:fldCharType="begin"/>
      </w:r>
      <w:r w:rsidR="00DA52E9">
        <w:instrText xml:space="preserve"> REF _Ref51874025 \r \h </w:instrText>
      </w:r>
      <w:r w:rsidR="00BD4154">
        <w:instrText xml:space="preserve"> \* MERGEFORMAT </w:instrText>
      </w:r>
      <w:r w:rsidR="00DA52E9">
        <w:fldChar w:fldCharType="separate"/>
      </w:r>
      <w:r w:rsidR="003B6882">
        <w:t>§ 21</w:t>
      </w:r>
      <w:r w:rsidR="00DA52E9">
        <w:fldChar w:fldCharType="end"/>
      </w:r>
      <w:r w:rsidR="00DA52E9">
        <w:t xml:space="preserve">, </w:t>
      </w:r>
      <w:r w:rsidR="007D209D">
        <w:t xml:space="preserve">er Digitaliseringsstyrelsens årlige pulje fordelt </w:t>
      </w:r>
      <w:r w:rsidR="00783655">
        <w:t xml:space="preserve">med </w:t>
      </w:r>
      <w:r w:rsidR="00A907CD">
        <w:t>3</w:t>
      </w:r>
      <w:r w:rsidR="00783655">
        <w:t>0 pct. til</w:t>
      </w:r>
      <w:r w:rsidR="007D209D">
        <w:t xml:space="preserve"> pulje 1 og </w:t>
      </w:r>
      <w:r w:rsidR="00A907CD">
        <w:t>7</w:t>
      </w:r>
      <w:r w:rsidR="00783655">
        <w:t xml:space="preserve">0 pct. til </w:t>
      </w:r>
      <w:r w:rsidR="007D209D">
        <w:t>pulje 2</w:t>
      </w:r>
      <w:r w:rsidR="00783655">
        <w:t xml:space="preserve">. Digitaliseringsstyrelsen kan ændre fordelingen mellem pulje 1 og pulje 2 indtil </w:t>
      </w:r>
      <w:r w:rsidR="00F50BC9">
        <w:t>6</w:t>
      </w:r>
      <w:r w:rsidR="00783655">
        <w:t xml:space="preserve"> måneder inden en tilskudsperiode afsluttes.</w:t>
      </w:r>
    </w:p>
    <w:p w14:paraId="3D406EEA" w14:textId="507B740E" w:rsidR="00524294" w:rsidRDefault="005A0822" w:rsidP="00BD4154">
      <w:pPr>
        <w:jc w:val="both"/>
      </w:pPr>
      <w:r w:rsidRPr="00EC7FC9">
        <w:rPr>
          <w:i/>
          <w:iCs/>
        </w:rPr>
        <w:t xml:space="preserve">Stk. </w:t>
      </w:r>
      <w:r w:rsidR="002D7CDF">
        <w:rPr>
          <w:i/>
          <w:iCs/>
        </w:rPr>
        <w:t>5</w:t>
      </w:r>
      <w:r>
        <w:t xml:space="preserve">. </w:t>
      </w:r>
      <w:r w:rsidR="00524294">
        <w:t xml:space="preserve">Det endelige omfang af kompensationen, som hver </w:t>
      </w:r>
      <w:r w:rsidR="004A77A1">
        <w:t xml:space="preserve">udbyder </w:t>
      </w:r>
      <w:r w:rsidR="00400378">
        <w:t>kan modtage inden for rammerne af stk. 1</w:t>
      </w:r>
      <w:r w:rsidR="00DE3718">
        <w:t>-</w:t>
      </w:r>
      <w:r w:rsidR="00402FA3">
        <w:t>3</w:t>
      </w:r>
      <w:r w:rsidR="00524294">
        <w:t xml:space="preserve">, fastsættes af Digitaliseringsstyrelsen ved udgangen af </w:t>
      </w:r>
      <w:r w:rsidR="00524294" w:rsidRPr="00C20619">
        <w:t xml:space="preserve">tilskudsperioden, jf. </w:t>
      </w:r>
      <w:r w:rsidR="00421029">
        <w:fldChar w:fldCharType="begin"/>
      </w:r>
      <w:r w:rsidR="00421029">
        <w:instrText xml:space="preserve"> REF _Ref51874025 \r \h </w:instrText>
      </w:r>
      <w:r w:rsidR="00BD4154">
        <w:instrText xml:space="preserve"> \* MERGEFORMAT </w:instrText>
      </w:r>
      <w:r w:rsidR="00421029">
        <w:fldChar w:fldCharType="separate"/>
      </w:r>
      <w:r w:rsidR="003B6882">
        <w:t>§ 21</w:t>
      </w:r>
      <w:r w:rsidR="00421029">
        <w:fldChar w:fldCharType="end"/>
      </w:r>
      <w:r w:rsidR="00524294" w:rsidRPr="00C20619">
        <w:t xml:space="preserve">, stk. </w:t>
      </w:r>
      <w:r w:rsidR="00421029">
        <w:t>1</w:t>
      </w:r>
      <w:r w:rsidR="00524294">
        <w:t xml:space="preserve">, på baggrund af antallet af </w:t>
      </w:r>
      <w:r w:rsidR="004A77A1">
        <w:t>udbydere</w:t>
      </w:r>
      <w:r w:rsidR="00325C2D">
        <w:t>, der har ansøgt om kompensation</w:t>
      </w:r>
      <w:r w:rsidR="00524294">
        <w:t xml:space="preserve">. </w:t>
      </w:r>
    </w:p>
    <w:bookmarkEnd w:id="32"/>
    <w:p w14:paraId="6BEBDE12" w14:textId="77777777" w:rsidR="001C5005" w:rsidRDefault="001C5005" w:rsidP="00BD4154">
      <w:pPr>
        <w:jc w:val="both"/>
      </w:pPr>
    </w:p>
    <w:p w14:paraId="52B35B4A" w14:textId="77777777" w:rsidR="005D7FBC" w:rsidRDefault="005D7FBC" w:rsidP="00BD4154">
      <w:pPr>
        <w:pStyle w:val="Overskrift2"/>
        <w:jc w:val="both"/>
      </w:pPr>
      <w:r>
        <w:t>Udbetaling af kompensation</w:t>
      </w:r>
    </w:p>
    <w:p w14:paraId="45C1FE60" w14:textId="77777777" w:rsidR="009F28B8" w:rsidRDefault="009F28B8" w:rsidP="00BD4154">
      <w:pPr>
        <w:pStyle w:val="Listeafsnit"/>
        <w:numPr>
          <w:ilvl w:val="0"/>
          <w:numId w:val="7"/>
        </w:numPr>
        <w:jc w:val="both"/>
      </w:pPr>
      <w:bookmarkStart w:id="33" w:name="_Ref51874025"/>
      <w:r>
        <w:t xml:space="preserve">Kompensation udbetales som udgangspunkt årligt bagud, </w:t>
      </w:r>
      <w:r w:rsidRPr="00C20619">
        <w:t xml:space="preserve">jf. dog stk. </w:t>
      </w:r>
      <w:r w:rsidR="00EF38C4">
        <w:t>3</w:t>
      </w:r>
      <w:r>
        <w:t>. Kompensationen udbetales for følgende tilskudsperioder:</w:t>
      </w:r>
      <w:bookmarkEnd w:id="33"/>
    </w:p>
    <w:p w14:paraId="3E487035" w14:textId="124388B6" w:rsidR="0088277C" w:rsidRDefault="0088277C" w:rsidP="00BD4154">
      <w:pPr>
        <w:pStyle w:val="Listeafsnit"/>
        <w:numPr>
          <w:ilvl w:val="0"/>
          <w:numId w:val="30"/>
        </w:numPr>
        <w:jc w:val="both"/>
      </w:pPr>
      <w:r>
        <w:t xml:space="preserve">Kompensation for perioden 1. </w:t>
      </w:r>
      <w:r w:rsidR="008A2F1F">
        <w:t xml:space="preserve">januar </w:t>
      </w:r>
      <w:r>
        <w:t>202</w:t>
      </w:r>
      <w:r w:rsidR="008A2F1F">
        <w:t>2</w:t>
      </w:r>
      <w:r>
        <w:t xml:space="preserve"> til 31. </w:t>
      </w:r>
      <w:r w:rsidR="008A2F1F">
        <w:t xml:space="preserve">december </w:t>
      </w:r>
      <w:r>
        <w:t xml:space="preserve">2022 udbetales </w:t>
      </w:r>
      <w:r w:rsidR="00CD7234">
        <w:t>1. juli</w:t>
      </w:r>
      <w:r>
        <w:t xml:space="preserve"> 202</w:t>
      </w:r>
      <w:r w:rsidR="00CD7234">
        <w:t>3</w:t>
      </w:r>
      <w:r>
        <w:t>.</w:t>
      </w:r>
    </w:p>
    <w:p w14:paraId="7C057818" w14:textId="794CFBB3" w:rsidR="0088277C" w:rsidRDefault="0088277C" w:rsidP="00BD4154">
      <w:pPr>
        <w:pStyle w:val="Listeafsnit"/>
        <w:numPr>
          <w:ilvl w:val="0"/>
          <w:numId w:val="30"/>
        </w:numPr>
        <w:jc w:val="both"/>
      </w:pPr>
      <w:r>
        <w:lastRenderedPageBreak/>
        <w:t xml:space="preserve">Kompensation for perioden 1. </w:t>
      </w:r>
      <w:r w:rsidR="008A2F1F">
        <w:t xml:space="preserve">januar </w:t>
      </w:r>
      <w:r>
        <w:t>202</w:t>
      </w:r>
      <w:r w:rsidR="00CD7234">
        <w:t>3</w:t>
      </w:r>
      <w:r>
        <w:t xml:space="preserve"> til 31. </w:t>
      </w:r>
      <w:r w:rsidR="008A2F1F">
        <w:t xml:space="preserve">december </w:t>
      </w:r>
      <w:r>
        <w:t>202</w:t>
      </w:r>
      <w:r w:rsidR="00CD7234">
        <w:t>3</w:t>
      </w:r>
      <w:r>
        <w:t xml:space="preserve"> udbetales </w:t>
      </w:r>
      <w:r w:rsidR="00CD7234">
        <w:t>1. juli</w:t>
      </w:r>
      <w:r>
        <w:t xml:space="preserve"> 202</w:t>
      </w:r>
      <w:r w:rsidR="00CD7234">
        <w:t>4</w:t>
      </w:r>
      <w:r>
        <w:t>.</w:t>
      </w:r>
    </w:p>
    <w:p w14:paraId="78DD1E8F" w14:textId="797EC870" w:rsidR="0088277C" w:rsidRDefault="0088277C" w:rsidP="00BD4154">
      <w:pPr>
        <w:pStyle w:val="Listeafsnit"/>
        <w:numPr>
          <w:ilvl w:val="0"/>
          <w:numId w:val="30"/>
        </w:numPr>
        <w:jc w:val="both"/>
      </w:pPr>
      <w:r>
        <w:t xml:space="preserve">Kompensation for perioden 1. </w:t>
      </w:r>
      <w:r w:rsidR="00CD7234">
        <w:t>januar</w:t>
      </w:r>
      <w:r>
        <w:t xml:space="preserve"> 202</w:t>
      </w:r>
      <w:r w:rsidR="00CD7234">
        <w:t>4</w:t>
      </w:r>
      <w:r>
        <w:t xml:space="preserve"> til 31. </w:t>
      </w:r>
      <w:r w:rsidR="00CD7234">
        <w:t>december</w:t>
      </w:r>
      <w:r>
        <w:t xml:space="preserve"> 2024 udbetales </w:t>
      </w:r>
      <w:r w:rsidR="00CD7234">
        <w:t>1. juli</w:t>
      </w:r>
      <w:r>
        <w:t xml:space="preserve"> 202</w:t>
      </w:r>
      <w:r w:rsidR="00CD7234">
        <w:t>5</w:t>
      </w:r>
      <w:r>
        <w:t>.</w:t>
      </w:r>
    </w:p>
    <w:p w14:paraId="55EA5F3D" w14:textId="77777777" w:rsidR="009F28B8" w:rsidRDefault="009F28B8" w:rsidP="00BD4154">
      <w:pPr>
        <w:jc w:val="both"/>
      </w:pPr>
      <w:r w:rsidRPr="009F28B8">
        <w:rPr>
          <w:i/>
          <w:iCs/>
        </w:rPr>
        <w:t>Stk. 2</w:t>
      </w:r>
      <w:r>
        <w:t>.</w:t>
      </w:r>
      <w:r w:rsidR="00CB596F">
        <w:t xml:space="preserve"> Ansøgning om kompensation, jf. § </w:t>
      </w:r>
      <w:r w:rsidR="00B303E0">
        <w:t>6</w:t>
      </w:r>
      <w:r w:rsidR="00CB596F">
        <w:t>,</w:t>
      </w:r>
      <w:r w:rsidR="00102811">
        <w:t xml:space="preserve"> stk. 2,</w:t>
      </w:r>
      <w:r w:rsidR="00CB596F">
        <w:t xml:space="preserve"> for en tilskudsperiode skal ske senest </w:t>
      </w:r>
      <w:r w:rsidR="00F50BC9">
        <w:t>45</w:t>
      </w:r>
      <w:r w:rsidR="00CB596F">
        <w:t xml:space="preserve"> dage efter afslutningen af tilskudsperioden.</w:t>
      </w:r>
      <w:r>
        <w:t xml:space="preserve"> </w:t>
      </w:r>
    </w:p>
    <w:p w14:paraId="1B549AC7" w14:textId="2B20216B" w:rsidR="005D7FBC" w:rsidRDefault="00EF38C4" w:rsidP="00BD4154">
      <w:pPr>
        <w:jc w:val="both"/>
      </w:pPr>
      <w:r w:rsidRPr="00C20619">
        <w:rPr>
          <w:i/>
          <w:iCs/>
        </w:rPr>
        <w:t>Stk. 3</w:t>
      </w:r>
      <w:r>
        <w:t xml:space="preserve">. Udbetaling kan tidligst ske, når Digitaliseringsstyrelsen har afsluttet sin kontrol, jf. </w:t>
      </w:r>
      <w:r>
        <w:fldChar w:fldCharType="begin"/>
      </w:r>
      <w:r>
        <w:instrText xml:space="preserve"> REF _Ref51754334 \r \h </w:instrText>
      </w:r>
      <w:r w:rsidR="00BD4154">
        <w:instrText xml:space="preserve"> \* MERGEFORMAT </w:instrText>
      </w:r>
      <w:r>
        <w:fldChar w:fldCharType="separate"/>
      </w:r>
      <w:r w:rsidR="003B6882">
        <w:t>§ 22</w:t>
      </w:r>
      <w:r>
        <w:fldChar w:fldCharType="end"/>
      </w:r>
      <w:r>
        <w:t>.</w:t>
      </w:r>
    </w:p>
    <w:p w14:paraId="17C28230" w14:textId="77777777" w:rsidR="00E92A4D" w:rsidRDefault="00E92A4D" w:rsidP="00BD4154">
      <w:pPr>
        <w:jc w:val="both"/>
      </w:pPr>
    </w:p>
    <w:p w14:paraId="1C092044" w14:textId="77777777" w:rsidR="0036182C" w:rsidRDefault="0036182C" w:rsidP="00BD4154">
      <w:pPr>
        <w:pStyle w:val="Overskrift2"/>
        <w:jc w:val="both"/>
      </w:pPr>
      <w:r>
        <w:t>Kontrol</w:t>
      </w:r>
      <w:r w:rsidR="00400378">
        <w:t xml:space="preserve"> og forpligtelser</w:t>
      </w:r>
    </w:p>
    <w:p w14:paraId="2527865B" w14:textId="0EC9B29F" w:rsidR="0036182C" w:rsidRDefault="00A47869" w:rsidP="00BD4154">
      <w:pPr>
        <w:pStyle w:val="Listeafsnit"/>
        <w:numPr>
          <w:ilvl w:val="0"/>
          <w:numId w:val="7"/>
        </w:numPr>
        <w:jc w:val="both"/>
      </w:pPr>
      <w:bookmarkStart w:id="34" w:name="_Ref51754334"/>
      <w:bookmarkStart w:id="35" w:name="_Ref52284776"/>
      <w:r>
        <w:t>Digitaliseringsstyrelsen gennemfører k</w:t>
      </w:r>
      <w:r w:rsidR="00400378">
        <w:t>ontrol</w:t>
      </w:r>
      <w:bookmarkEnd w:id="34"/>
      <w:r>
        <w:t xml:space="preserve"> af de </w:t>
      </w:r>
      <w:r w:rsidR="00B8176D">
        <w:t xml:space="preserve">særskilte </w:t>
      </w:r>
      <w:r>
        <w:t xml:space="preserve">regnskaber, </w:t>
      </w:r>
      <w:r w:rsidR="004A77A1">
        <w:t>udbyderen af en</w:t>
      </w:r>
      <w:r>
        <w:t xml:space="preserve"> </w:t>
      </w:r>
      <w:r w:rsidR="00260A12">
        <w:t>kommercielle visningsklient</w:t>
      </w:r>
      <w:r>
        <w:t xml:space="preserve"> indsender, jf.</w:t>
      </w:r>
      <w:r w:rsidR="00434D7B">
        <w:t xml:space="preserve"> </w:t>
      </w:r>
      <w:r w:rsidR="00434D7B">
        <w:fldChar w:fldCharType="begin"/>
      </w:r>
      <w:r w:rsidR="00434D7B">
        <w:instrText xml:space="preserve"> REF _Ref51874393 \r \h </w:instrText>
      </w:r>
      <w:r w:rsidR="00BD4154">
        <w:instrText xml:space="preserve"> \* MERGEFORMAT </w:instrText>
      </w:r>
      <w:r w:rsidR="00434D7B">
        <w:fldChar w:fldCharType="separate"/>
      </w:r>
      <w:r w:rsidR="003B6882">
        <w:t>§ 7</w:t>
      </w:r>
      <w:r w:rsidR="00434D7B">
        <w:fldChar w:fldCharType="end"/>
      </w:r>
      <w:r w:rsidR="00B8176D">
        <w:t xml:space="preserve">, stk. </w:t>
      </w:r>
      <w:r w:rsidR="008E268B">
        <w:t>3</w:t>
      </w:r>
      <w:r w:rsidR="00434D7B">
        <w:t xml:space="preserve"> og </w:t>
      </w:r>
      <w:r w:rsidR="008E268B">
        <w:t>4</w:t>
      </w:r>
      <w:r>
        <w:t>, med henblik på at sikre, at</w:t>
      </w:r>
      <w:r w:rsidR="00C34678">
        <w:t xml:space="preserve"> betingelserne for kompensation er opfyldt, herunder at</w:t>
      </w:r>
      <w:r>
        <w:t xml:space="preserve"> der ikke udbetales kompensation, der overstiger </w:t>
      </w:r>
      <w:r w:rsidR="004A77A1">
        <w:t>udbyderens</w:t>
      </w:r>
      <w:r w:rsidR="00260A12">
        <w:t xml:space="preserve"> </w:t>
      </w:r>
      <w:r>
        <w:t xml:space="preserve">nettoomkostninger ved opfyldelse af forpligtelsen til offentlig tjeneste, inklusiv en rimelig fortjeneste, som opgjort i henhold til </w:t>
      </w:r>
      <w:r>
        <w:fldChar w:fldCharType="begin"/>
      </w:r>
      <w:r>
        <w:instrText xml:space="preserve"> REF _Ref51740820 \r \h </w:instrText>
      </w:r>
      <w:r w:rsidR="00BD4154">
        <w:instrText xml:space="preserve"> \* MERGEFORMAT </w:instrText>
      </w:r>
      <w:r>
        <w:fldChar w:fldCharType="separate"/>
      </w:r>
      <w:r w:rsidR="003B6882">
        <w:t>§ 17</w:t>
      </w:r>
      <w:r>
        <w:fldChar w:fldCharType="end"/>
      </w:r>
      <w:r>
        <w:t xml:space="preserve"> til </w:t>
      </w:r>
      <w:r>
        <w:fldChar w:fldCharType="begin"/>
      </w:r>
      <w:r>
        <w:instrText xml:space="preserve"> REF _Ref51751460 \r \h </w:instrText>
      </w:r>
      <w:r w:rsidR="00BD4154">
        <w:instrText xml:space="preserve"> \* MERGEFORMAT </w:instrText>
      </w:r>
      <w:r>
        <w:fldChar w:fldCharType="separate"/>
      </w:r>
      <w:r w:rsidR="003B6882">
        <w:t>§ 19</w:t>
      </w:r>
      <w:r>
        <w:fldChar w:fldCharType="end"/>
      </w:r>
      <w:r>
        <w:t>.</w:t>
      </w:r>
      <w:bookmarkEnd w:id="35"/>
    </w:p>
    <w:p w14:paraId="785A06A1" w14:textId="77777777" w:rsidR="00A47869" w:rsidRDefault="00A47869" w:rsidP="00BD4154">
      <w:pPr>
        <w:jc w:val="both"/>
      </w:pPr>
      <w:r w:rsidRPr="00C20619">
        <w:rPr>
          <w:i/>
          <w:iCs/>
        </w:rPr>
        <w:t>Stk. 2</w:t>
      </w:r>
      <w:r>
        <w:t xml:space="preserve">. Digitaliseringsstyrelsen kan overlade opgaven med at føre kontrol til en </w:t>
      </w:r>
      <w:r w:rsidR="00260A12">
        <w:t>statsautoriseret revisor</w:t>
      </w:r>
      <w:r w:rsidR="00741395">
        <w:t>.</w:t>
      </w:r>
    </w:p>
    <w:p w14:paraId="30BD49D2" w14:textId="77777777" w:rsidR="00227361" w:rsidRDefault="00227361" w:rsidP="00BD4154">
      <w:pPr>
        <w:jc w:val="both"/>
      </w:pPr>
    </w:p>
    <w:p w14:paraId="68C5D687" w14:textId="6AD628D8" w:rsidR="00102811" w:rsidRDefault="004A77A1" w:rsidP="00BD4154">
      <w:pPr>
        <w:pStyle w:val="Listeafsnit"/>
        <w:numPr>
          <w:ilvl w:val="0"/>
          <w:numId w:val="7"/>
        </w:numPr>
        <w:jc w:val="both"/>
      </w:pPr>
      <w:bookmarkStart w:id="36" w:name="_Ref77243280"/>
      <w:bookmarkStart w:id="37" w:name="_Ref51765962"/>
      <w:bookmarkStart w:id="38" w:name="_Ref51742214"/>
      <w:r>
        <w:t>Udbyderen af en kommerciel visningsklient</w:t>
      </w:r>
      <w:r w:rsidR="00102811">
        <w:t>,</w:t>
      </w:r>
      <w:r w:rsidR="00102811" w:rsidRPr="00102811">
        <w:t xml:space="preserve"> </w:t>
      </w:r>
      <w:r w:rsidR="00102811">
        <w:t xml:space="preserve">der har påtaget sig at opfylde forpligtelserne til offentlig tjeneste, jf. </w:t>
      </w:r>
      <w:r w:rsidR="00102811">
        <w:fldChar w:fldCharType="begin"/>
      </w:r>
      <w:r w:rsidR="00102811">
        <w:instrText xml:space="preserve"> REF _Ref51873281 \r \h </w:instrText>
      </w:r>
      <w:r w:rsidR="00BD4154">
        <w:instrText xml:space="preserve"> \* MERGEFORMAT </w:instrText>
      </w:r>
      <w:r w:rsidR="00102811">
        <w:fldChar w:fldCharType="separate"/>
      </w:r>
      <w:r w:rsidR="003B6882">
        <w:t>§ 16</w:t>
      </w:r>
      <w:r w:rsidR="00102811">
        <w:fldChar w:fldCharType="end"/>
      </w:r>
      <w:r w:rsidR="00102811">
        <w:t>,</w:t>
      </w:r>
      <w:r>
        <w:t xml:space="preserve"> </w:t>
      </w:r>
      <w:r w:rsidR="00227361">
        <w:t>er forpligtet til</w:t>
      </w:r>
      <w:bookmarkEnd w:id="36"/>
    </w:p>
    <w:bookmarkEnd w:id="37"/>
    <w:p w14:paraId="08C3DFB3" w14:textId="34E9D151" w:rsidR="00434D7B" w:rsidRDefault="00434D7B" w:rsidP="00BD4154">
      <w:pPr>
        <w:pStyle w:val="Listeafsnit"/>
        <w:numPr>
          <w:ilvl w:val="0"/>
          <w:numId w:val="32"/>
        </w:numPr>
        <w:jc w:val="both"/>
      </w:pPr>
      <w:r>
        <w:t xml:space="preserve">at samarbejde med Digitaliseringsstyrelsen, herunder ved at afgive alle nødvendige oplysninger, som Digitaliseringsstyrelsen har brug for </w:t>
      </w:r>
      <w:r w:rsidR="00DF0164">
        <w:t>med henblik på</w:t>
      </w:r>
      <w:r>
        <w:t xml:space="preserve"> at kontrollere, om der er sket overkompensation, jf. </w:t>
      </w:r>
      <w:r>
        <w:fldChar w:fldCharType="begin"/>
      </w:r>
      <w:r>
        <w:instrText xml:space="preserve"> REF _Ref52284776 \r \h </w:instrText>
      </w:r>
      <w:r w:rsidR="00BD4154">
        <w:instrText xml:space="preserve"> \* MERGEFORMAT </w:instrText>
      </w:r>
      <w:r>
        <w:fldChar w:fldCharType="separate"/>
      </w:r>
      <w:r w:rsidR="003B6882">
        <w:t>§ 22</w:t>
      </w:r>
      <w:r>
        <w:fldChar w:fldCharType="end"/>
      </w:r>
      <w:r w:rsidR="002C4701">
        <w:t>,</w:t>
      </w:r>
    </w:p>
    <w:bookmarkEnd w:id="38"/>
    <w:p w14:paraId="5D6983A8" w14:textId="45EDEEA4" w:rsidR="00227361" w:rsidRDefault="004B7051" w:rsidP="00BD4154">
      <w:pPr>
        <w:pStyle w:val="Listeafsnit"/>
        <w:numPr>
          <w:ilvl w:val="0"/>
          <w:numId w:val="32"/>
        </w:numPr>
        <w:jc w:val="both"/>
      </w:pPr>
      <w:r>
        <w:t>ikke at afgive urigtige eller vildledende oplysninger eller fortie oplysninger af betydning for</w:t>
      </w:r>
      <w:r w:rsidR="00227361">
        <w:t xml:space="preserve"> Digitaliseringsstyrelsens</w:t>
      </w:r>
      <w:r>
        <w:t xml:space="preserve"> beregning af kompensation</w:t>
      </w:r>
      <w:r w:rsidR="002C4701">
        <w:t>, og</w:t>
      </w:r>
    </w:p>
    <w:p w14:paraId="33ECB5A0" w14:textId="77777777" w:rsidR="00227361" w:rsidRDefault="006B5FFA" w:rsidP="00BD4154">
      <w:pPr>
        <w:pStyle w:val="Listeafsnit"/>
        <w:numPr>
          <w:ilvl w:val="0"/>
          <w:numId w:val="32"/>
        </w:numPr>
        <w:jc w:val="both"/>
      </w:pPr>
      <w:r>
        <w:t xml:space="preserve">at </w:t>
      </w:r>
      <w:r w:rsidR="00227361">
        <w:t>opbevare dokumentation vedrørende</w:t>
      </w:r>
      <w:r w:rsidR="00994E87">
        <w:t xml:space="preserve"> </w:t>
      </w:r>
      <w:r>
        <w:t>forpligtelsen til offentlig tjeneste</w:t>
      </w:r>
      <w:r w:rsidR="00227361">
        <w:t xml:space="preserve">, </w:t>
      </w:r>
      <w:r>
        <w:t>dens opfyldelse</w:t>
      </w:r>
      <w:r w:rsidR="00227361">
        <w:t xml:space="preserve">, omkostningerne </w:t>
      </w:r>
      <w:r>
        <w:t>og indtægterne herved</w:t>
      </w:r>
      <w:r w:rsidR="00227361">
        <w:t xml:space="preserve"> og den modtagne kompensation i 10 år fra tidspunktet for</w:t>
      </w:r>
      <w:r w:rsidR="00D31F0E">
        <w:t xml:space="preserve"> modtagelsen af kompensationen</w:t>
      </w:r>
      <w:r w:rsidR="00227361">
        <w:t>.</w:t>
      </w:r>
    </w:p>
    <w:p w14:paraId="1B007CB1" w14:textId="090FEB2B" w:rsidR="001670ED" w:rsidRDefault="007766DA" w:rsidP="00BD4154">
      <w:pPr>
        <w:pStyle w:val="Listeafsnit"/>
        <w:numPr>
          <w:ilvl w:val="0"/>
          <w:numId w:val="7"/>
        </w:numPr>
        <w:jc w:val="both"/>
      </w:pPr>
      <w:bookmarkStart w:id="39" w:name="_Ref51750818"/>
      <w:r>
        <w:t xml:space="preserve">Digitaliseringsstyrelsen kan pålægge </w:t>
      </w:r>
      <w:r w:rsidR="00102811">
        <w:t>udbydere af en kommerciel visningsklient,</w:t>
      </w:r>
      <w:r w:rsidR="00102811" w:rsidRPr="00102811">
        <w:t xml:space="preserve"> </w:t>
      </w:r>
      <w:r w:rsidR="00102811">
        <w:t xml:space="preserve">der har påtaget sig at opfylde forpligtelserne til offentlig tjeneste, jf. </w:t>
      </w:r>
      <w:r w:rsidR="00102811">
        <w:fldChar w:fldCharType="begin"/>
      </w:r>
      <w:r w:rsidR="00102811">
        <w:instrText xml:space="preserve"> REF _Ref51873281 \r \h </w:instrText>
      </w:r>
      <w:r w:rsidR="00BD4154">
        <w:instrText xml:space="preserve"> \* MERGEFORMAT </w:instrText>
      </w:r>
      <w:r w:rsidR="00102811">
        <w:fldChar w:fldCharType="separate"/>
      </w:r>
      <w:r w:rsidR="003B6882">
        <w:t>§ 16</w:t>
      </w:r>
      <w:r w:rsidR="00102811">
        <w:fldChar w:fldCharType="end"/>
      </w:r>
      <w:r w:rsidR="00102811">
        <w:t xml:space="preserve">, </w:t>
      </w:r>
      <w:r>
        <w:t>at dokumentere, at betingelserne for kompensation</w:t>
      </w:r>
      <w:r w:rsidR="00806FE9">
        <w:t xml:space="preserve"> </w:t>
      </w:r>
      <w:r>
        <w:t>er opfyldt. Digitaliseringsstyrelsen kan bl</w:t>
      </w:r>
      <w:r w:rsidR="00CF5CB9">
        <w:t>.a.</w:t>
      </w:r>
      <w:r>
        <w:t xml:space="preserve"> pålægge </w:t>
      </w:r>
      <w:r w:rsidR="00102811">
        <w:t>en udbyder</w:t>
      </w:r>
      <w:r w:rsidR="004D0089">
        <w:t xml:space="preserve"> </w:t>
      </w:r>
      <w:r>
        <w:t xml:space="preserve">at indsende nærmere oplysninger om </w:t>
      </w:r>
      <w:r w:rsidR="004D0089">
        <w:t>visningsklienten og dennes aktiviteter</w:t>
      </w:r>
      <w:r>
        <w:t>, herunder revisionserklæringer og -rapporter, regnskaber og budgetter mv.</w:t>
      </w:r>
      <w:bookmarkEnd w:id="39"/>
    </w:p>
    <w:p w14:paraId="7CBC434D" w14:textId="77777777" w:rsidR="007766DA" w:rsidRPr="0036182C" w:rsidRDefault="007766DA" w:rsidP="00BD4154">
      <w:pPr>
        <w:jc w:val="both"/>
      </w:pPr>
    </w:p>
    <w:p w14:paraId="5D6ED93B" w14:textId="77777777" w:rsidR="005D7FBC" w:rsidRDefault="0036182C" w:rsidP="00BD4154">
      <w:pPr>
        <w:pStyle w:val="Overskrift2"/>
        <w:jc w:val="both"/>
      </w:pPr>
      <w:r>
        <w:t>Tilbagebetaling af overkompensation</w:t>
      </w:r>
    </w:p>
    <w:p w14:paraId="00909ACF" w14:textId="6021B15C" w:rsidR="00777DA5" w:rsidRDefault="00777DA5" w:rsidP="00BD4154">
      <w:pPr>
        <w:pStyle w:val="Listeafsnit"/>
        <w:numPr>
          <w:ilvl w:val="0"/>
          <w:numId w:val="7"/>
        </w:numPr>
        <w:jc w:val="both"/>
      </w:pPr>
      <w:bookmarkStart w:id="40" w:name="_Ref51767272"/>
      <w:bookmarkStart w:id="41" w:name="_Ref51706876"/>
      <w:r>
        <w:t xml:space="preserve">Der foreligger overkompensation, hvis </w:t>
      </w:r>
      <w:r w:rsidR="00102811">
        <w:t>en udbyder af en kommerciel visningsklient,</w:t>
      </w:r>
      <w:r w:rsidR="00102811" w:rsidRPr="00102811">
        <w:t xml:space="preserve"> </w:t>
      </w:r>
      <w:r w:rsidR="00102811">
        <w:t xml:space="preserve">der har påtaget sig at opfylde forpligtelserne til offentlig tjeneste, jf. </w:t>
      </w:r>
      <w:r w:rsidR="00102811">
        <w:fldChar w:fldCharType="begin"/>
      </w:r>
      <w:r w:rsidR="00102811">
        <w:instrText xml:space="preserve"> REF _Ref51873281 \r \h </w:instrText>
      </w:r>
      <w:r w:rsidR="00BD4154">
        <w:instrText xml:space="preserve"> \* MERGEFORMAT </w:instrText>
      </w:r>
      <w:r w:rsidR="00102811">
        <w:fldChar w:fldCharType="separate"/>
      </w:r>
      <w:r w:rsidR="003B6882">
        <w:t>§ 16</w:t>
      </w:r>
      <w:r w:rsidR="00102811">
        <w:fldChar w:fldCharType="end"/>
      </w:r>
      <w:r w:rsidR="00102811">
        <w:t xml:space="preserve">, </w:t>
      </w:r>
      <w:r>
        <w:t xml:space="preserve">har modtaget kompensation, der overstiger </w:t>
      </w:r>
      <w:r w:rsidR="00102811">
        <w:t>udbyderens</w:t>
      </w:r>
      <w:r w:rsidR="004D0089">
        <w:t xml:space="preserve"> </w:t>
      </w:r>
      <w:r>
        <w:t xml:space="preserve">nettoomkostninger ved opfyldelse af forpligtelsen til offentlig tjeneste, inklusiv en rimelig fortjeneste, som opgjort i henhold til </w:t>
      </w:r>
      <w:r>
        <w:fldChar w:fldCharType="begin"/>
      </w:r>
      <w:r>
        <w:instrText xml:space="preserve"> REF _Ref51740820 \r \h </w:instrText>
      </w:r>
      <w:r w:rsidR="00BD4154">
        <w:instrText xml:space="preserve"> \* MERGEFORMAT </w:instrText>
      </w:r>
      <w:r>
        <w:fldChar w:fldCharType="separate"/>
      </w:r>
      <w:r w:rsidR="003B6882">
        <w:t>§ 17</w:t>
      </w:r>
      <w:r>
        <w:fldChar w:fldCharType="end"/>
      </w:r>
      <w:r>
        <w:t xml:space="preserve"> til </w:t>
      </w:r>
      <w:r>
        <w:fldChar w:fldCharType="begin"/>
      </w:r>
      <w:r>
        <w:instrText xml:space="preserve"> REF _Ref51751460 \r \h </w:instrText>
      </w:r>
      <w:r w:rsidR="00BD4154">
        <w:instrText xml:space="preserve"> \* MERGEFORMAT </w:instrText>
      </w:r>
      <w:r>
        <w:fldChar w:fldCharType="separate"/>
      </w:r>
      <w:r w:rsidR="003B6882">
        <w:t>§ 19</w:t>
      </w:r>
      <w:r>
        <w:fldChar w:fldCharType="end"/>
      </w:r>
      <w:r w:rsidR="00F04037">
        <w:t>, eller hvis en udbyder på anden vis uberettiget har modtaget kompensation</w:t>
      </w:r>
      <w:r>
        <w:t>.</w:t>
      </w:r>
      <w:bookmarkEnd w:id="40"/>
    </w:p>
    <w:p w14:paraId="468F99AB" w14:textId="77777777" w:rsidR="00777DA5" w:rsidRDefault="00777DA5" w:rsidP="00BD4154">
      <w:pPr>
        <w:jc w:val="both"/>
      </w:pPr>
      <w:r w:rsidRPr="00777DA5">
        <w:rPr>
          <w:i/>
          <w:iCs/>
        </w:rPr>
        <w:t>Stk. 2</w:t>
      </w:r>
      <w:r>
        <w:t xml:space="preserve">. </w:t>
      </w:r>
      <w:r w:rsidR="001F1A0B">
        <w:t>O</w:t>
      </w:r>
      <w:r>
        <w:t xml:space="preserve">verkompensation opkræves til betaling senest 14 dage efter påkrav fra Digitaliseringsstyrelsen. Rente fastsættes i medfør af </w:t>
      </w:r>
      <w:r w:rsidR="00F04037">
        <w:t>konkurrencelovens § 11 a</w:t>
      </w:r>
      <w:r>
        <w:t>.</w:t>
      </w:r>
    </w:p>
    <w:bookmarkEnd w:id="41"/>
    <w:p w14:paraId="0E06FDE2" w14:textId="77777777" w:rsidR="0014753E" w:rsidRDefault="0014753E" w:rsidP="00BD4154">
      <w:pPr>
        <w:pStyle w:val="Overskrift1"/>
        <w:keepNext/>
        <w:numPr>
          <w:ilvl w:val="0"/>
          <w:numId w:val="8"/>
        </w:numPr>
        <w:ind w:left="357" w:hanging="357"/>
        <w:jc w:val="both"/>
      </w:pPr>
      <w:r>
        <w:lastRenderedPageBreak/>
        <w:t xml:space="preserve">Ikrafttrædelses- og </w:t>
      </w:r>
      <w:r w:rsidR="00777DA5">
        <w:t>varighed</w:t>
      </w:r>
      <w:r>
        <w:t>sbestemmelser</w:t>
      </w:r>
    </w:p>
    <w:p w14:paraId="3D466DFD" w14:textId="77777777" w:rsidR="005D1565" w:rsidRDefault="005D1565" w:rsidP="00BD4154">
      <w:pPr>
        <w:pStyle w:val="Overskrift2"/>
        <w:jc w:val="both"/>
      </w:pPr>
      <w:r>
        <w:t>Varighed</w:t>
      </w:r>
    </w:p>
    <w:p w14:paraId="51F6672A" w14:textId="77777777" w:rsidR="005D1565" w:rsidRDefault="00C13F24" w:rsidP="00BD4154">
      <w:pPr>
        <w:pStyle w:val="Listeafsnit"/>
        <w:keepNext/>
        <w:numPr>
          <w:ilvl w:val="0"/>
          <w:numId w:val="7"/>
        </w:numPr>
        <w:jc w:val="both"/>
      </w:pPr>
      <w:bookmarkStart w:id="42" w:name="_Ref51706704"/>
      <w:r>
        <w:t>Kompensationso</w:t>
      </w:r>
      <w:r w:rsidR="005D1565">
        <w:t xml:space="preserve">rdningen i denne bekendtgørelses </w:t>
      </w:r>
      <w:r w:rsidR="008E268B">
        <w:t>k</w:t>
      </w:r>
      <w:r w:rsidR="005D1565">
        <w:t>apitel 3 varer i tre år.</w:t>
      </w:r>
      <w:bookmarkEnd w:id="42"/>
    </w:p>
    <w:p w14:paraId="74E09171" w14:textId="77777777" w:rsidR="005D1565" w:rsidRDefault="005D1565" w:rsidP="00BD4154">
      <w:pPr>
        <w:keepNext/>
        <w:jc w:val="both"/>
      </w:pPr>
      <w:r w:rsidRPr="00524294">
        <w:rPr>
          <w:i/>
          <w:iCs/>
        </w:rPr>
        <w:t>Stk. 2</w:t>
      </w:r>
      <w:r>
        <w:t xml:space="preserve">. Finansministeren kan træffe beslutning om, at </w:t>
      </w:r>
      <w:r w:rsidR="00C13F24">
        <w:t>kompensations</w:t>
      </w:r>
      <w:r>
        <w:t>ordningen forlænges i op til yderligere syv år.</w:t>
      </w:r>
    </w:p>
    <w:p w14:paraId="66389E6D" w14:textId="77777777" w:rsidR="005D1565" w:rsidRPr="005D1565" w:rsidRDefault="005D1565" w:rsidP="00BD4154">
      <w:pPr>
        <w:jc w:val="both"/>
      </w:pPr>
    </w:p>
    <w:p w14:paraId="25229789" w14:textId="77777777" w:rsidR="0014753E" w:rsidRDefault="0014753E" w:rsidP="00BD4154">
      <w:pPr>
        <w:pStyle w:val="Overskrift2"/>
        <w:jc w:val="both"/>
      </w:pPr>
      <w:r>
        <w:t>Ikrafttræden</w:t>
      </w:r>
    </w:p>
    <w:p w14:paraId="3B1C37BD" w14:textId="49BFB01B" w:rsidR="00A003C4" w:rsidRDefault="0014753E" w:rsidP="00BD4154">
      <w:pPr>
        <w:pStyle w:val="Listeafsnit"/>
        <w:keepNext/>
        <w:numPr>
          <w:ilvl w:val="0"/>
          <w:numId w:val="7"/>
        </w:numPr>
        <w:jc w:val="both"/>
      </w:pPr>
      <w:r>
        <w:t xml:space="preserve">Bekendtgørelsen træder i kraft </w:t>
      </w:r>
      <w:r w:rsidRPr="000163CA">
        <w:t xml:space="preserve">den </w:t>
      </w:r>
      <w:r w:rsidR="000163CA" w:rsidRPr="000163CA">
        <w:t>25. november 2021</w:t>
      </w:r>
      <w:r w:rsidRPr="000163CA">
        <w:t>.</w:t>
      </w:r>
      <w:bookmarkStart w:id="43" w:name="_GoBack"/>
      <w:bookmarkEnd w:id="43"/>
    </w:p>
    <w:p w14:paraId="754DE8B6" w14:textId="5A073416" w:rsidR="00EE1D0B" w:rsidRPr="00EE1D0B" w:rsidRDefault="00EE1D0B" w:rsidP="00BD4154">
      <w:pPr>
        <w:pStyle w:val="stk2"/>
        <w:spacing w:before="0" w:beforeAutospacing="0" w:after="120" w:afterAutospacing="0" w:line="259" w:lineRule="auto"/>
        <w:jc w:val="both"/>
        <w:rPr>
          <w:rFonts w:ascii="Tahoma" w:hAnsi="Tahoma" w:cs="Tahoma"/>
          <w:color w:val="000000"/>
          <w:sz w:val="19"/>
          <w:szCs w:val="19"/>
        </w:rPr>
      </w:pPr>
      <w:r w:rsidRPr="000E0C15">
        <w:rPr>
          <w:rStyle w:val="stknr"/>
          <w:rFonts w:ascii="Tahoma" w:hAnsi="Tahoma" w:cs="Tahoma"/>
          <w:i/>
          <w:iCs/>
          <w:color w:val="000000"/>
          <w:sz w:val="19"/>
          <w:szCs w:val="19"/>
        </w:rPr>
        <w:t xml:space="preserve">Stk. </w:t>
      </w:r>
      <w:r>
        <w:rPr>
          <w:rStyle w:val="stknr"/>
          <w:rFonts w:ascii="Tahoma" w:hAnsi="Tahoma" w:cs="Tahoma"/>
          <w:i/>
          <w:iCs/>
          <w:color w:val="000000"/>
          <w:sz w:val="19"/>
          <w:szCs w:val="19"/>
        </w:rPr>
        <w:t>2</w:t>
      </w:r>
      <w:r w:rsidRPr="000E0C15">
        <w:rPr>
          <w:rStyle w:val="stknr"/>
          <w:rFonts w:ascii="Tahoma" w:hAnsi="Tahoma" w:cs="Tahoma"/>
          <w:i/>
          <w:iCs/>
          <w:color w:val="000000"/>
          <w:sz w:val="19"/>
          <w:szCs w:val="19"/>
        </w:rPr>
        <w:t>.</w:t>
      </w:r>
      <w:r>
        <w:t xml:space="preserve"> </w:t>
      </w:r>
      <w:r w:rsidRPr="00BC3240">
        <w:rPr>
          <w:rFonts w:ascii="Tahoma" w:hAnsi="Tahoma" w:cs="Tahoma"/>
          <w:color w:val="000000"/>
          <w:sz w:val="19"/>
          <w:szCs w:val="19"/>
        </w:rPr>
        <w:t xml:space="preserve">Bekendtgørelse nr. </w:t>
      </w:r>
      <w:r>
        <w:rPr>
          <w:rFonts w:ascii="Tahoma" w:hAnsi="Tahoma" w:cs="Tahoma"/>
          <w:color w:val="000000"/>
          <w:sz w:val="19"/>
          <w:szCs w:val="19"/>
        </w:rPr>
        <w:t>2011</w:t>
      </w:r>
      <w:r w:rsidRPr="00BC3240">
        <w:rPr>
          <w:rFonts w:ascii="Tahoma" w:hAnsi="Tahoma" w:cs="Tahoma"/>
          <w:color w:val="000000"/>
          <w:sz w:val="19"/>
          <w:szCs w:val="19"/>
        </w:rPr>
        <w:t xml:space="preserve"> af </w:t>
      </w:r>
      <w:r>
        <w:rPr>
          <w:rFonts w:ascii="Tahoma" w:hAnsi="Tahoma" w:cs="Tahoma"/>
          <w:color w:val="000000"/>
          <w:sz w:val="19"/>
          <w:szCs w:val="19"/>
        </w:rPr>
        <w:t>15</w:t>
      </w:r>
      <w:r w:rsidRPr="00BC3240">
        <w:rPr>
          <w:rFonts w:ascii="Tahoma" w:hAnsi="Tahoma" w:cs="Tahoma"/>
          <w:color w:val="000000"/>
          <w:sz w:val="19"/>
          <w:szCs w:val="19"/>
        </w:rPr>
        <w:t xml:space="preserve">. </w:t>
      </w:r>
      <w:r>
        <w:rPr>
          <w:rFonts w:ascii="Tahoma" w:hAnsi="Tahoma" w:cs="Tahoma"/>
          <w:color w:val="000000"/>
          <w:sz w:val="19"/>
          <w:szCs w:val="19"/>
        </w:rPr>
        <w:t>december</w:t>
      </w:r>
      <w:r w:rsidRPr="00BC3240">
        <w:rPr>
          <w:rFonts w:ascii="Tahoma" w:hAnsi="Tahoma" w:cs="Tahoma"/>
          <w:color w:val="000000"/>
          <w:sz w:val="19"/>
          <w:szCs w:val="19"/>
        </w:rPr>
        <w:t xml:space="preserve"> 20</w:t>
      </w:r>
      <w:r>
        <w:rPr>
          <w:rFonts w:ascii="Tahoma" w:hAnsi="Tahoma" w:cs="Tahoma"/>
          <w:color w:val="000000"/>
          <w:sz w:val="19"/>
          <w:szCs w:val="19"/>
        </w:rPr>
        <w:t>20</w:t>
      </w:r>
      <w:r w:rsidRPr="00BC3240">
        <w:rPr>
          <w:rFonts w:ascii="Tahoma" w:hAnsi="Tahoma" w:cs="Tahoma"/>
          <w:color w:val="000000"/>
          <w:sz w:val="19"/>
          <w:szCs w:val="19"/>
        </w:rPr>
        <w:t xml:space="preserve"> om </w:t>
      </w:r>
      <w:r w:rsidRPr="00EE1D0B">
        <w:rPr>
          <w:rFonts w:ascii="Tahoma" w:hAnsi="Tahoma" w:cs="Tahoma"/>
          <w:color w:val="000000"/>
          <w:sz w:val="19"/>
          <w:szCs w:val="19"/>
        </w:rPr>
        <w:t>godkendelse af visningsklienter til Digital Post samt kompensation for forpligtelser til offentlig tjeneste for udbydere af kommercielle visningsklienter</w:t>
      </w:r>
      <w:r w:rsidRPr="00BC3240">
        <w:rPr>
          <w:rFonts w:ascii="Tahoma" w:hAnsi="Tahoma" w:cs="Tahoma"/>
          <w:color w:val="000000"/>
          <w:sz w:val="19"/>
          <w:szCs w:val="19"/>
        </w:rPr>
        <w:t xml:space="preserve"> ophæves.</w:t>
      </w:r>
    </w:p>
    <w:p w14:paraId="5C426C77" w14:textId="77777777" w:rsidR="00F0479A" w:rsidRDefault="00F0479A" w:rsidP="00BD4154">
      <w:pPr>
        <w:keepNext/>
        <w:jc w:val="center"/>
      </w:pPr>
    </w:p>
    <w:p w14:paraId="7B47ED77" w14:textId="77777777" w:rsidR="00C843A5" w:rsidRPr="00F0479A" w:rsidRDefault="00C843A5" w:rsidP="00BD4154">
      <w:pPr>
        <w:keepNext/>
        <w:jc w:val="center"/>
        <w:rPr>
          <w:i/>
        </w:rPr>
      </w:pPr>
      <w:r w:rsidRPr="00F0479A">
        <w:rPr>
          <w:i/>
        </w:rPr>
        <w:t xml:space="preserve">Finansministeriet, den </w:t>
      </w:r>
      <w:r w:rsidRPr="007161C5">
        <w:rPr>
          <w:i/>
          <w:highlight w:val="yellow"/>
        </w:rPr>
        <w:t>DATO</w:t>
      </w:r>
    </w:p>
    <w:p w14:paraId="116DDF13" w14:textId="77777777" w:rsidR="00C843A5" w:rsidRDefault="00C843A5" w:rsidP="00BD4154">
      <w:pPr>
        <w:keepNext/>
        <w:jc w:val="center"/>
      </w:pPr>
      <w:r>
        <w:t>Nicolai Wammen</w:t>
      </w:r>
    </w:p>
    <w:p w14:paraId="3F13A4A8" w14:textId="2F5C6CA4" w:rsidR="00C843A5" w:rsidRPr="00312F23" w:rsidRDefault="00C843A5" w:rsidP="00BD4154">
      <w:pPr>
        <w:keepNext/>
        <w:jc w:val="right"/>
      </w:pPr>
      <w:r>
        <w:t xml:space="preserve">/ </w:t>
      </w:r>
      <w:r w:rsidR="005C5F1C">
        <w:t>Tanja Franck</w:t>
      </w:r>
    </w:p>
    <w:sectPr w:rsidR="00C843A5" w:rsidRPr="00312F23">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886C" w16cex:dateUtc="2021-09-15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19968B" w16cid:durableId="24EAFB2F"/>
  <w16cid:commentId w16cid:paraId="634BC01B" w16cid:durableId="24EC7B82"/>
  <w16cid:commentId w16cid:paraId="10FB3469" w16cid:durableId="24EC88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8BE1" w14:textId="77777777" w:rsidR="002F1ED4" w:rsidRDefault="002F1ED4" w:rsidP="00316979">
      <w:pPr>
        <w:spacing w:after="0" w:line="240" w:lineRule="auto"/>
      </w:pPr>
      <w:r>
        <w:separator/>
      </w:r>
    </w:p>
  </w:endnote>
  <w:endnote w:type="continuationSeparator" w:id="0">
    <w:p w14:paraId="453F2DB3" w14:textId="77777777" w:rsidR="002F1ED4" w:rsidRDefault="002F1ED4" w:rsidP="0031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7288" w14:textId="77777777" w:rsidR="002F1ED4" w:rsidRDefault="002F1ED4" w:rsidP="00316979">
      <w:pPr>
        <w:spacing w:after="0" w:line="240" w:lineRule="auto"/>
      </w:pPr>
      <w:r>
        <w:separator/>
      </w:r>
    </w:p>
  </w:footnote>
  <w:footnote w:type="continuationSeparator" w:id="0">
    <w:p w14:paraId="0781CBFD" w14:textId="77777777" w:rsidR="002F1ED4" w:rsidRDefault="002F1ED4" w:rsidP="00316979">
      <w:pPr>
        <w:spacing w:after="0" w:line="240" w:lineRule="auto"/>
      </w:pPr>
      <w:r>
        <w:continuationSeparator/>
      </w:r>
    </w:p>
  </w:footnote>
  <w:footnote w:id="1">
    <w:p w14:paraId="55D0A3FE" w14:textId="77777777" w:rsidR="002C4701" w:rsidRPr="00C20619" w:rsidRDefault="002C4701" w:rsidP="00C20619">
      <w:pPr>
        <w:pStyle w:val="Fodnotetekst"/>
      </w:pPr>
      <w:r>
        <w:rPr>
          <w:rStyle w:val="Fodnotehenvisning"/>
        </w:rPr>
        <w:footnoteRef/>
      </w:r>
      <w:r>
        <w:t xml:space="preserve"> Bekendtgørelsen</w:t>
      </w:r>
      <w:r w:rsidRPr="00C20619">
        <w:t xml:space="preserve"> indeholder bestemmelser, der gennemfører dele af Europa-Parlamentets og Rådets direktiv 2006/123/EF af 12. december 2006 om tjenesteydelser i det indre marked (EU-Tidende 2006 nr. L 376, s. 36).</w:t>
      </w:r>
    </w:p>
    <w:p w14:paraId="40302DED" w14:textId="77777777" w:rsidR="002C4701" w:rsidRDefault="002C4701">
      <w:pPr>
        <w:pStyle w:val="Fodnotetekst"/>
      </w:pPr>
    </w:p>
  </w:footnote>
  <w:footnote w:id="2">
    <w:p w14:paraId="6BF39B3F" w14:textId="4FBB6137" w:rsidR="00624718" w:rsidRDefault="00624718">
      <w:pPr>
        <w:pStyle w:val="Fodnotetekst"/>
      </w:pPr>
      <w:r>
        <w:rPr>
          <w:rStyle w:val="Fodnotehenvisning"/>
        </w:rPr>
        <w:footnoteRef/>
      </w:r>
      <w:r>
        <w:t xml:space="preserve"> </w:t>
      </w:r>
      <w:r w:rsidR="008E4F67" w:rsidRPr="008E4F67">
        <w:t>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3">
    <w:p w14:paraId="36AE7CB3" w14:textId="628D5305" w:rsidR="002C4701" w:rsidRDefault="002C4701">
      <w:pPr>
        <w:pStyle w:val="Fodnotetekst"/>
      </w:pPr>
      <w:r>
        <w:rPr>
          <w:rStyle w:val="Fodnotehenvisning"/>
        </w:rPr>
        <w:footnoteRef/>
      </w:r>
      <w:r>
        <w:t xml:space="preserve"> Jf. </w:t>
      </w:r>
      <w:r w:rsidR="0086039C">
        <w:t>l</w:t>
      </w:r>
      <w:r>
        <w:t>ov nr. 783 af 4. maj 2021 om MitID og NemLog-in.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2EC1" w14:textId="4109DAC9" w:rsidR="00005016" w:rsidRDefault="00005016">
    <w:pPr>
      <w:pStyle w:val="Sidehoved"/>
    </w:pPr>
    <w:r>
      <w:rPr>
        <w:noProof/>
        <w:lang w:eastAsia="da-DK"/>
      </w:rPr>
      <w:drawing>
        <wp:anchor distT="0" distB="0" distL="0" distR="0" simplePos="1" relativeHeight="251656190" behindDoc="0" locked="0" layoutInCell="1" allowOverlap="1" wp14:anchorId="0D7846B5" wp14:editId="1F60374C">
          <wp:simplePos x="0" y="0"/>
          <wp:positionH relativeFrom="page">
            <wp:posOffset>0</wp:posOffset>
          </wp:positionH>
          <wp:positionV relativeFrom="page">
            <wp:posOffset>0</wp:posOffset>
          </wp:positionV>
          <wp:extent cx="7575176" cy="10685929"/>
          <wp:effectExtent l="0" t="0" r="0" b="0"/>
          <wp:wrapNone/>
          <wp:docPr id="3" nam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75176" cy="10685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692F" w14:textId="77777777" w:rsidR="00BD4154" w:rsidRDefault="00BD4154" w:rsidP="00BD4154">
    <w:pPr>
      <w:pStyle w:val="Sidehoved"/>
    </w:pPr>
  </w:p>
  <w:p w14:paraId="58CA06E1" w14:textId="77777777" w:rsidR="00BD4154" w:rsidRDefault="00BD4154" w:rsidP="00BD4154">
    <w:pPr>
      <w:pStyle w:val="Sidehoved"/>
    </w:pPr>
    <w:r>
      <w:rPr>
        <w:noProof/>
        <w:lang w:eastAsia="da-DK"/>
      </w:rPr>
      <w:drawing>
        <wp:anchor distT="0" distB="0" distL="0" distR="0" simplePos="0" relativeHeight="251660288" behindDoc="0" locked="0" layoutInCell="1" allowOverlap="1" wp14:anchorId="655C0A01" wp14:editId="16F8A74D">
          <wp:simplePos x="0" y="0"/>
          <wp:positionH relativeFrom="page">
            <wp:align>center</wp:align>
          </wp:positionH>
          <wp:positionV relativeFrom="page">
            <wp:posOffset>377999</wp:posOffset>
          </wp:positionV>
          <wp:extent cx="2114756" cy="414000"/>
          <wp:effectExtent l="0" t="0" r="0" b="0"/>
          <wp:wrapNone/>
          <wp:docPr id="78627830" name="LogoHide"/>
          <wp:cNvGraphicFramePr/>
          <a:graphic xmlns:a="http://schemas.openxmlformats.org/drawingml/2006/main">
            <a:graphicData uri="http://schemas.openxmlformats.org/drawingml/2006/picture">
              <pic:pic xmlns:pic="http://schemas.openxmlformats.org/drawingml/2006/picture">
                <pic:nvPicPr>
                  <pic:cNvPr id="78627830" name="LogoHide"/>
                  <pic:cNvPicPr/>
                </pic:nvPicPr>
                <pic:blipFill>
                  <a:blip r:embed="rId1"/>
                  <a:srcRect/>
                  <a:stretch/>
                </pic:blipFill>
                <pic:spPr>
                  <a:xfrm>
                    <a:off x="0" y="0"/>
                    <a:ext cx="2114756" cy="414000"/>
                  </a:xfrm>
                  <a:prstGeom prst="rect">
                    <a:avLst/>
                  </a:prstGeom>
                </pic:spPr>
              </pic:pic>
            </a:graphicData>
          </a:graphic>
        </wp:anchor>
      </w:drawing>
    </w:r>
  </w:p>
  <w:sdt>
    <w:sdtPr>
      <w:id w:val="-1318336367"/>
      <w:docPartObj>
        <w:docPartGallery w:val="Page Numbers (Top of Page)"/>
        <w:docPartUnique/>
      </w:docPartObj>
    </w:sdtPr>
    <w:sdtEndPr/>
    <w:sdtContent>
      <w:p w14:paraId="5976CA97" w14:textId="63EB82F2" w:rsidR="00BD4154" w:rsidRDefault="00BD4154" w:rsidP="00BD4154">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0163CA">
          <w:rPr>
            <w:b/>
            <w:bCs/>
            <w:noProof/>
          </w:rPr>
          <w:t>9</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163CA">
          <w:rPr>
            <w:b/>
            <w:bCs/>
            <w:noProof/>
          </w:rPr>
          <w:t>9</w:t>
        </w:r>
        <w:r>
          <w:rPr>
            <w:b/>
            <w:bCs/>
            <w:sz w:val="24"/>
            <w:szCs w:val="24"/>
          </w:rPr>
          <w:fldChar w:fldCharType="end"/>
        </w:r>
      </w:p>
    </w:sdtContent>
  </w:sdt>
  <w:p w14:paraId="3D46EF6D" w14:textId="77777777" w:rsidR="00BD4154" w:rsidRDefault="00BD4154" w:rsidP="00BD4154">
    <w:pPr>
      <w:pStyle w:val="Sidehoved"/>
    </w:pPr>
  </w:p>
  <w:p w14:paraId="3B0CE2B3" w14:textId="25ED6B65" w:rsidR="00005016" w:rsidRDefault="00005016">
    <w:pPr>
      <w:pStyle w:val="Sidehoved"/>
    </w:pPr>
    <w:r>
      <w:rPr>
        <w:noProof/>
        <w:lang w:eastAsia="da-DK"/>
      </w:rPr>
      <w:drawing>
        <wp:anchor distT="0" distB="0" distL="0" distR="0" simplePos="0" relativeHeight="251658240" behindDoc="0" locked="0" layoutInCell="1" allowOverlap="1" wp14:anchorId="66482AD6" wp14:editId="747560B5">
          <wp:simplePos x="0" y="0"/>
          <wp:positionH relativeFrom="page">
            <wp:posOffset>0</wp:posOffset>
          </wp:positionH>
          <wp:positionV relativeFrom="page">
            <wp:posOffset>0</wp:posOffset>
          </wp:positionV>
          <wp:extent cx="7575176" cy="10685929"/>
          <wp:effectExtent l="0" t="0" r="0" b="0"/>
          <wp:wrapNone/>
          <wp:docPr id="1" nam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75176" cy="10685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48EF" w14:textId="2441F8F2" w:rsidR="00005016" w:rsidRDefault="00005016">
    <w:pPr>
      <w:pStyle w:val="Sidehoved"/>
    </w:pPr>
    <w:r>
      <w:rPr>
        <w:noProof/>
        <w:lang w:eastAsia="da-DK"/>
      </w:rPr>
      <w:drawing>
        <wp:anchor distT="0" distB="0" distL="0" distR="0" simplePos="1" relativeHeight="251657215" behindDoc="0" locked="0" layoutInCell="1" allowOverlap="1" wp14:anchorId="47668A10" wp14:editId="242DBD4D">
          <wp:simplePos x="0" y="0"/>
          <wp:positionH relativeFrom="page">
            <wp:posOffset>0</wp:posOffset>
          </wp:positionH>
          <wp:positionV relativeFrom="page">
            <wp:posOffset>0</wp:posOffset>
          </wp:positionV>
          <wp:extent cx="7575176" cy="10685929"/>
          <wp:effectExtent l="0" t="0" r="0" b="0"/>
          <wp:wrapNone/>
          <wp:docPr id="2" nam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75176" cy="10685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FC0712"/>
    <w:lvl w:ilvl="0">
      <w:start w:val="1"/>
      <w:numFmt w:val="decimal"/>
      <w:lvlText w:val="§ %1."/>
      <w:lvlJc w:val="left"/>
      <w:pPr>
        <w:ind w:left="360" w:hanging="360"/>
      </w:pPr>
      <w:rPr>
        <w:rFonts w:asciiTheme="minorHAnsi" w:hAnsiTheme="minorHAnsi" w:cstheme="minorHAnsi" w:hint="default"/>
        <w:b/>
      </w:rPr>
    </w:lvl>
  </w:abstractNum>
  <w:abstractNum w:abstractNumId="1" w15:restartNumberingAfterBreak="0">
    <w:nsid w:val="FFFFFF89"/>
    <w:multiLevelType w:val="singleLevel"/>
    <w:tmpl w:val="0DACC1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87A6B19"/>
    <w:multiLevelType w:val="hybridMultilevel"/>
    <w:tmpl w:val="D65073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0477C2"/>
    <w:multiLevelType w:val="hybridMultilevel"/>
    <w:tmpl w:val="513A96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DE963AB"/>
    <w:multiLevelType w:val="hybridMultilevel"/>
    <w:tmpl w:val="CEC4CEE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766681"/>
    <w:multiLevelType w:val="hybridMultilevel"/>
    <w:tmpl w:val="B906BDB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48A334F"/>
    <w:multiLevelType w:val="singleLevel"/>
    <w:tmpl w:val="04060011"/>
    <w:lvl w:ilvl="0">
      <w:start w:val="1"/>
      <w:numFmt w:val="decimal"/>
      <w:lvlText w:val="%1)"/>
      <w:lvlJc w:val="left"/>
      <w:pPr>
        <w:ind w:left="360" w:hanging="360"/>
      </w:pPr>
    </w:lvl>
  </w:abstractNum>
  <w:abstractNum w:abstractNumId="7" w15:restartNumberingAfterBreak="0">
    <w:nsid w:val="15B911B2"/>
    <w:multiLevelType w:val="multilevel"/>
    <w:tmpl w:val="35CE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40A30"/>
    <w:multiLevelType w:val="hybridMultilevel"/>
    <w:tmpl w:val="210C33F0"/>
    <w:lvl w:ilvl="0" w:tplc="04060011">
      <w:start w:val="1"/>
      <w:numFmt w:val="decimal"/>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9" w15:restartNumberingAfterBreak="0">
    <w:nsid w:val="16C07E11"/>
    <w:multiLevelType w:val="hybridMultilevel"/>
    <w:tmpl w:val="3F0AF75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C826CA8"/>
    <w:multiLevelType w:val="hybridMultilevel"/>
    <w:tmpl w:val="963ACA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A434A3"/>
    <w:multiLevelType w:val="multilevel"/>
    <w:tmpl w:val="3B3016D2"/>
    <w:lvl w:ilvl="0">
      <w:start w:val="1"/>
      <w:numFmt w:val="decimal"/>
      <w:lvlText w:val="%1)"/>
      <w:lvlJc w:val="left"/>
      <w:pPr>
        <w:ind w:left="1191" w:hanging="340"/>
      </w:pPr>
      <w:rPr>
        <w:rFonts w:hint="default"/>
      </w:rPr>
    </w:lvl>
    <w:lvl w:ilvl="1">
      <w:start w:val="1"/>
      <w:numFmt w:val="decimal"/>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2" w15:restartNumberingAfterBreak="0">
    <w:nsid w:val="1ECC29DD"/>
    <w:multiLevelType w:val="hybridMultilevel"/>
    <w:tmpl w:val="6FACAE0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3E57EB"/>
    <w:multiLevelType w:val="hybridMultilevel"/>
    <w:tmpl w:val="992EEA38"/>
    <w:lvl w:ilvl="0" w:tplc="2AAC64BE">
      <w:start w:val="1"/>
      <w:numFmt w:val="decimal"/>
      <w:lvlText w:val="§ %1."/>
      <w:lvlJc w:val="left"/>
      <w:pPr>
        <w:ind w:left="360" w:hanging="360"/>
      </w:pPr>
      <w:rPr>
        <w:rFonts w:asciiTheme="minorHAnsi" w:hAnsiTheme="minorHAnsi" w:cstheme="minorHAnsi" w:hint="default"/>
        <w:b/>
        <w:i w:val="0"/>
        <w:i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7746B6"/>
    <w:multiLevelType w:val="multilevel"/>
    <w:tmpl w:val="F3C0BBB4"/>
    <w:lvl w:ilvl="0">
      <w:start w:val="1"/>
      <w:numFmt w:val="decimal"/>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5" w15:restartNumberingAfterBreak="0">
    <w:nsid w:val="28F27657"/>
    <w:multiLevelType w:val="multilevel"/>
    <w:tmpl w:val="5EBE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A14AD"/>
    <w:multiLevelType w:val="multilevel"/>
    <w:tmpl w:val="7520CF28"/>
    <w:styleLink w:val="-nummerering"/>
    <w:lvl w:ilvl="0">
      <w:start w:val="1"/>
      <w:numFmt w:val="none"/>
      <w:lvlText w:val="%1"/>
      <w:lvlJc w:val="left"/>
      <w:pPr>
        <w:ind w:left="360" w:hanging="360"/>
      </w:pPr>
      <w:rPr>
        <w:rFonts w:ascii="Cambria" w:hAnsi="Cambria"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AF3246"/>
    <w:multiLevelType w:val="hybridMultilevel"/>
    <w:tmpl w:val="C9E278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456264"/>
    <w:multiLevelType w:val="hybridMultilevel"/>
    <w:tmpl w:val="CD801D36"/>
    <w:lvl w:ilvl="0" w:tplc="7CE87436">
      <w:start w:val="1"/>
      <w:numFmt w:val="decimal"/>
      <w:lvlText w:val="Kapitel %1. "/>
      <w:lvlJc w:val="left"/>
      <w:pPr>
        <w:ind w:left="720" w:hanging="360"/>
      </w:pPr>
      <w:rPr>
        <w:rFonts w:ascii="Arial" w:hAnsi="Arial" w:hint="default"/>
        <w:b/>
        <w:i w:val="0"/>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C337F31"/>
    <w:multiLevelType w:val="hybridMultilevel"/>
    <w:tmpl w:val="BDE6940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4F4717"/>
    <w:multiLevelType w:val="hybridMultilevel"/>
    <w:tmpl w:val="6B6A4F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1060997"/>
    <w:multiLevelType w:val="hybridMultilevel"/>
    <w:tmpl w:val="37008AD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4A50DF8"/>
    <w:multiLevelType w:val="hybridMultilevel"/>
    <w:tmpl w:val="3F1C8796"/>
    <w:lvl w:ilvl="0" w:tplc="04060011">
      <w:start w:val="1"/>
      <w:numFmt w:val="decimal"/>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23" w15:restartNumberingAfterBreak="0">
    <w:nsid w:val="57BD23F0"/>
    <w:multiLevelType w:val="hybridMultilevel"/>
    <w:tmpl w:val="DBBA15D4"/>
    <w:lvl w:ilvl="0" w:tplc="B1A806BC">
      <w:start w:val="4"/>
      <w:numFmt w:val="bullet"/>
      <w:lvlText w:val=""/>
      <w:lvlJc w:val="left"/>
      <w:pPr>
        <w:ind w:left="720" w:hanging="360"/>
      </w:pPr>
      <w:rPr>
        <w:rFonts w:ascii="Wingdings" w:eastAsiaTheme="minorHAnsi" w:hAnsi="Wingdings" w:cstheme="minorBid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1F4485"/>
    <w:multiLevelType w:val="multilevel"/>
    <w:tmpl w:val="B2DAE1B2"/>
    <w:lvl w:ilvl="0">
      <w:start w:val="1"/>
      <w:numFmt w:val="lowerLetter"/>
      <w:pStyle w:val="DSNumberedListA"/>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25" w15:restartNumberingAfterBreak="0">
    <w:nsid w:val="5D5C679F"/>
    <w:multiLevelType w:val="hybridMultilevel"/>
    <w:tmpl w:val="2BEC52F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60001B"/>
    <w:multiLevelType w:val="hybridMultilevel"/>
    <w:tmpl w:val="96BC1ACC"/>
    <w:lvl w:ilvl="0" w:tplc="04060011">
      <w:start w:val="1"/>
      <w:numFmt w:val="decimal"/>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27" w15:restartNumberingAfterBreak="0">
    <w:nsid w:val="61181BE0"/>
    <w:multiLevelType w:val="hybridMultilevel"/>
    <w:tmpl w:val="21F2AD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2523F7D"/>
    <w:multiLevelType w:val="singleLevel"/>
    <w:tmpl w:val="04060011"/>
    <w:lvl w:ilvl="0">
      <w:start w:val="1"/>
      <w:numFmt w:val="decimal"/>
      <w:lvlText w:val="%1)"/>
      <w:lvlJc w:val="left"/>
      <w:pPr>
        <w:ind w:left="360" w:hanging="360"/>
      </w:pPr>
    </w:lvl>
  </w:abstractNum>
  <w:abstractNum w:abstractNumId="29" w15:restartNumberingAfterBreak="0">
    <w:nsid w:val="64990E52"/>
    <w:multiLevelType w:val="hybridMultilevel"/>
    <w:tmpl w:val="21F2AD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8B648BE"/>
    <w:multiLevelType w:val="multilevel"/>
    <w:tmpl w:val="D318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80056A"/>
    <w:multiLevelType w:val="hybridMultilevel"/>
    <w:tmpl w:val="D652A9D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B4A5581"/>
    <w:multiLevelType w:val="hybridMultilevel"/>
    <w:tmpl w:val="906C2936"/>
    <w:lvl w:ilvl="0" w:tplc="7CE87436">
      <w:start w:val="1"/>
      <w:numFmt w:val="decimal"/>
      <w:lvlText w:val="Kapitel %1. "/>
      <w:lvlJc w:val="left"/>
      <w:pPr>
        <w:ind w:left="360" w:hanging="360"/>
      </w:pPr>
      <w:rPr>
        <w:rFonts w:ascii="Arial" w:hAnsi="Arial" w:hint="default"/>
        <w:b/>
        <w:i w:val="0"/>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B9876FA"/>
    <w:multiLevelType w:val="hybridMultilevel"/>
    <w:tmpl w:val="45868A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E42279F"/>
    <w:multiLevelType w:val="hybridMultilevel"/>
    <w:tmpl w:val="3F1C8796"/>
    <w:lvl w:ilvl="0" w:tplc="04060011">
      <w:start w:val="1"/>
      <w:numFmt w:val="decimal"/>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35" w15:restartNumberingAfterBreak="0">
    <w:nsid w:val="6F7367E8"/>
    <w:multiLevelType w:val="hybridMultilevel"/>
    <w:tmpl w:val="E3AE1BD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3D1662"/>
    <w:multiLevelType w:val="hybridMultilevel"/>
    <w:tmpl w:val="EB38711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C1321F"/>
    <w:multiLevelType w:val="multilevel"/>
    <w:tmpl w:val="FC54CD1C"/>
    <w:lvl w:ilvl="0">
      <w:start w:val="1"/>
      <w:numFmt w:val="decimal"/>
      <w:lvlText w:val="%1)"/>
      <w:lvlJc w:val="left"/>
      <w:pPr>
        <w:ind w:left="1191" w:hanging="340"/>
      </w:pPr>
      <w:rPr>
        <w:rFonts w:hint="default"/>
      </w:rPr>
    </w:lvl>
    <w:lvl w:ilvl="1">
      <w:start w:val="1"/>
      <w:numFmt w:val="decimal"/>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38" w15:restartNumberingAfterBreak="0">
    <w:nsid w:val="7BFE08C7"/>
    <w:multiLevelType w:val="hybridMultilevel"/>
    <w:tmpl w:val="F84631AC"/>
    <w:lvl w:ilvl="0" w:tplc="04060011">
      <w:start w:val="1"/>
      <w:numFmt w:val="decimal"/>
      <w:lvlText w:val="%1)"/>
      <w:lvlJc w:val="left"/>
      <w:pPr>
        <w:ind w:left="775" w:hanging="360"/>
      </w:pPr>
    </w:lvl>
    <w:lvl w:ilvl="1" w:tplc="04060019" w:tentative="1">
      <w:start w:val="1"/>
      <w:numFmt w:val="lowerLetter"/>
      <w:lvlText w:val="%2."/>
      <w:lvlJc w:val="left"/>
      <w:pPr>
        <w:ind w:left="1495" w:hanging="360"/>
      </w:pPr>
    </w:lvl>
    <w:lvl w:ilvl="2" w:tplc="0406001B" w:tentative="1">
      <w:start w:val="1"/>
      <w:numFmt w:val="lowerRoman"/>
      <w:lvlText w:val="%3."/>
      <w:lvlJc w:val="right"/>
      <w:pPr>
        <w:ind w:left="2215" w:hanging="180"/>
      </w:pPr>
    </w:lvl>
    <w:lvl w:ilvl="3" w:tplc="0406000F" w:tentative="1">
      <w:start w:val="1"/>
      <w:numFmt w:val="decimal"/>
      <w:lvlText w:val="%4."/>
      <w:lvlJc w:val="left"/>
      <w:pPr>
        <w:ind w:left="2935" w:hanging="360"/>
      </w:pPr>
    </w:lvl>
    <w:lvl w:ilvl="4" w:tplc="04060019" w:tentative="1">
      <w:start w:val="1"/>
      <w:numFmt w:val="lowerLetter"/>
      <w:lvlText w:val="%5."/>
      <w:lvlJc w:val="left"/>
      <w:pPr>
        <w:ind w:left="3655" w:hanging="360"/>
      </w:pPr>
    </w:lvl>
    <w:lvl w:ilvl="5" w:tplc="0406001B" w:tentative="1">
      <w:start w:val="1"/>
      <w:numFmt w:val="lowerRoman"/>
      <w:lvlText w:val="%6."/>
      <w:lvlJc w:val="right"/>
      <w:pPr>
        <w:ind w:left="4375" w:hanging="180"/>
      </w:pPr>
    </w:lvl>
    <w:lvl w:ilvl="6" w:tplc="0406000F" w:tentative="1">
      <w:start w:val="1"/>
      <w:numFmt w:val="decimal"/>
      <w:lvlText w:val="%7."/>
      <w:lvlJc w:val="left"/>
      <w:pPr>
        <w:ind w:left="5095" w:hanging="360"/>
      </w:pPr>
    </w:lvl>
    <w:lvl w:ilvl="7" w:tplc="04060019" w:tentative="1">
      <w:start w:val="1"/>
      <w:numFmt w:val="lowerLetter"/>
      <w:lvlText w:val="%8."/>
      <w:lvlJc w:val="left"/>
      <w:pPr>
        <w:ind w:left="5815" w:hanging="360"/>
      </w:pPr>
    </w:lvl>
    <w:lvl w:ilvl="8" w:tplc="0406001B" w:tentative="1">
      <w:start w:val="1"/>
      <w:numFmt w:val="lowerRoman"/>
      <w:lvlText w:val="%9."/>
      <w:lvlJc w:val="right"/>
      <w:pPr>
        <w:ind w:left="6535" w:hanging="180"/>
      </w:pPr>
    </w:lvl>
  </w:abstractNum>
  <w:abstractNum w:abstractNumId="39" w15:restartNumberingAfterBreak="0">
    <w:nsid w:val="7F1467F1"/>
    <w:multiLevelType w:val="hybridMultilevel"/>
    <w:tmpl w:val="C0ECD562"/>
    <w:lvl w:ilvl="0" w:tplc="A0323F44">
      <w:start w:val="1"/>
      <w:numFmt w:val="decimal"/>
      <w:lvlText w:val="§ %1."/>
      <w:lvlJc w:val="left"/>
      <w:pPr>
        <w:ind w:left="720" w:hanging="360"/>
      </w:pPr>
      <w:rPr>
        <w:rFonts w:asciiTheme="minorHAnsi" w:hAnsiTheme="minorHAnsi" w:cstheme="minorHAnsi"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0"/>
  </w:num>
  <w:num w:numId="2">
    <w:abstractNumId w:val="24"/>
  </w:num>
  <w:num w:numId="3">
    <w:abstractNumId w:val="5"/>
  </w:num>
  <w:num w:numId="4">
    <w:abstractNumId w:val="7"/>
  </w:num>
  <w:num w:numId="5">
    <w:abstractNumId w:val="14"/>
  </w:num>
  <w:num w:numId="6">
    <w:abstractNumId w:val="16"/>
  </w:num>
  <w:num w:numId="7">
    <w:abstractNumId w:val="13"/>
  </w:num>
  <w:num w:numId="8">
    <w:abstractNumId w:val="32"/>
  </w:num>
  <w:num w:numId="9">
    <w:abstractNumId w:val="11"/>
  </w:num>
  <w:num w:numId="10">
    <w:abstractNumId w:val="30"/>
  </w:num>
  <w:num w:numId="11">
    <w:abstractNumId w:val="37"/>
  </w:num>
  <w:num w:numId="12">
    <w:abstractNumId w:val="17"/>
  </w:num>
  <w:num w:numId="13">
    <w:abstractNumId w:val="15"/>
  </w:num>
  <w:num w:numId="14">
    <w:abstractNumId w:val="18"/>
  </w:num>
  <w:num w:numId="15">
    <w:abstractNumId w:val="27"/>
  </w:num>
  <w:num w:numId="16">
    <w:abstractNumId w:val="29"/>
  </w:num>
  <w:num w:numId="17">
    <w:abstractNumId w:val="1"/>
  </w:num>
  <w:num w:numId="18">
    <w:abstractNumId w:val="0"/>
  </w:num>
  <w:num w:numId="19">
    <w:abstractNumId w:val="2"/>
  </w:num>
  <w:num w:numId="20">
    <w:abstractNumId w:val="6"/>
  </w:num>
  <w:num w:numId="21">
    <w:abstractNumId w:val="3"/>
  </w:num>
  <w:num w:numId="22">
    <w:abstractNumId w:val="28"/>
  </w:num>
  <w:num w:numId="23">
    <w:abstractNumId w:val="19"/>
  </w:num>
  <w:num w:numId="24">
    <w:abstractNumId w:val="36"/>
  </w:num>
  <w:num w:numId="25">
    <w:abstractNumId w:val="9"/>
  </w:num>
  <w:num w:numId="26">
    <w:abstractNumId w:val="12"/>
  </w:num>
  <w:num w:numId="27">
    <w:abstractNumId w:val="21"/>
  </w:num>
  <w:num w:numId="28">
    <w:abstractNumId w:val="35"/>
  </w:num>
  <w:num w:numId="29">
    <w:abstractNumId w:val="39"/>
  </w:num>
  <w:num w:numId="30">
    <w:abstractNumId w:val="22"/>
  </w:num>
  <w:num w:numId="31">
    <w:abstractNumId w:val="31"/>
  </w:num>
  <w:num w:numId="32">
    <w:abstractNumId w:val="34"/>
  </w:num>
  <w:num w:numId="33">
    <w:abstractNumId w:val="38"/>
  </w:num>
  <w:num w:numId="34">
    <w:abstractNumId w:val="26"/>
  </w:num>
  <w:num w:numId="35">
    <w:abstractNumId w:val="8"/>
  </w:num>
  <w:num w:numId="36">
    <w:abstractNumId w:val="4"/>
  </w:num>
  <w:num w:numId="37">
    <w:abstractNumId w:val="25"/>
  </w:num>
  <w:num w:numId="38">
    <w:abstractNumId w:val="33"/>
  </w:num>
  <w:num w:numId="39">
    <w:abstractNumId w:val="23"/>
  </w:num>
  <w:num w:numId="4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D9"/>
    <w:rsid w:val="0000397B"/>
    <w:rsid w:val="00005016"/>
    <w:rsid w:val="000163CA"/>
    <w:rsid w:val="0001645D"/>
    <w:rsid w:val="0002092E"/>
    <w:rsid w:val="000219EC"/>
    <w:rsid w:val="00023404"/>
    <w:rsid w:val="00024D2D"/>
    <w:rsid w:val="00027BD9"/>
    <w:rsid w:val="00027DBD"/>
    <w:rsid w:val="00030140"/>
    <w:rsid w:val="00033EAD"/>
    <w:rsid w:val="00042356"/>
    <w:rsid w:val="00053119"/>
    <w:rsid w:val="00053FA3"/>
    <w:rsid w:val="000572ED"/>
    <w:rsid w:val="000600CA"/>
    <w:rsid w:val="00064AFA"/>
    <w:rsid w:val="00065CD6"/>
    <w:rsid w:val="000808CB"/>
    <w:rsid w:val="00082FD1"/>
    <w:rsid w:val="000871E6"/>
    <w:rsid w:val="0009158E"/>
    <w:rsid w:val="0009670C"/>
    <w:rsid w:val="00097A13"/>
    <w:rsid w:val="000B13A4"/>
    <w:rsid w:val="000B6317"/>
    <w:rsid w:val="000B6838"/>
    <w:rsid w:val="000C234C"/>
    <w:rsid w:val="000D089F"/>
    <w:rsid w:val="000D4683"/>
    <w:rsid w:val="000D49E7"/>
    <w:rsid w:val="000D4FEE"/>
    <w:rsid w:val="000E401B"/>
    <w:rsid w:val="000F02D7"/>
    <w:rsid w:val="000F2792"/>
    <w:rsid w:val="000F3D99"/>
    <w:rsid w:val="000F48FF"/>
    <w:rsid w:val="00102811"/>
    <w:rsid w:val="001039CC"/>
    <w:rsid w:val="00103F0F"/>
    <w:rsid w:val="00110898"/>
    <w:rsid w:val="00110926"/>
    <w:rsid w:val="00110AEB"/>
    <w:rsid w:val="00112C1C"/>
    <w:rsid w:val="001217FD"/>
    <w:rsid w:val="00130247"/>
    <w:rsid w:val="00131FC5"/>
    <w:rsid w:val="00133D92"/>
    <w:rsid w:val="00134D0F"/>
    <w:rsid w:val="001377A6"/>
    <w:rsid w:val="001379D6"/>
    <w:rsid w:val="001417ED"/>
    <w:rsid w:val="0014223B"/>
    <w:rsid w:val="0014753E"/>
    <w:rsid w:val="00156E3C"/>
    <w:rsid w:val="00166E61"/>
    <w:rsid w:val="001670ED"/>
    <w:rsid w:val="00171A13"/>
    <w:rsid w:val="00173DA4"/>
    <w:rsid w:val="00175282"/>
    <w:rsid w:val="00182301"/>
    <w:rsid w:val="00184F82"/>
    <w:rsid w:val="0018671E"/>
    <w:rsid w:val="001A05B4"/>
    <w:rsid w:val="001B1192"/>
    <w:rsid w:val="001B174E"/>
    <w:rsid w:val="001B71AC"/>
    <w:rsid w:val="001C0AEB"/>
    <w:rsid w:val="001C38C9"/>
    <w:rsid w:val="001C5005"/>
    <w:rsid w:val="001C6652"/>
    <w:rsid w:val="001E2560"/>
    <w:rsid w:val="001E370E"/>
    <w:rsid w:val="001E6A5A"/>
    <w:rsid w:val="001F14DD"/>
    <w:rsid w:val="001F1A0B"/>
    <w:rsid w:val="001F45EA"/>
    <w:rsid w:val="001F5D61"/>
    <w:rsid w:val="001F7DEA"/>
    <w:rsid w:val="00206A4C"/>
    <w:rsid w:val="00216E12"/>
    <w:rsid w:val="00217FE3"/>
    <w:rsid w:val="002220AD"/>
    <w:rsid w:val="00226727"/>
    <w:rsid w:val="00227361"/>
    <w:rsid w:val="00230B50"/>
    <w:rsid w:val="00233576"/>
    <w:rsid w:val="0023494A"/>
    <w:rsid w:val="002371E0"/>
    <w:rsid w:val="00237A87"/>
    <w:rsid w:val="0024229D"/>
    <w:rsid w:val="00243C31"/>
    <w:rsid w:val="0024621C"/>
    <w:rsid w:val="00250908"/>
    <w:rsid w:val="0025666F"/>
    <w:rsid w:val="002575E3"/>
    <w:rsid w:val="00260A12"/>
    <w:rsid w:val="00261112"/>
    <w:rsid w:val="00262778"/>
    <w:rsid w:val="00270193"/>
    <w:rsid w:val="00272DAC"/>
    <w:rsid w:val="00274F3D"/>
    <w:rsid w:val="00275D4A"/>
    <w:rsid w:val="00281A9B"/>
    <w:rsid w:val="00286D40"/>
    <w:rsid w:val="00287921"/>
    <w:rsid w:val="002A1846"/>
    <w:rsid w:val="002A37BC"/>
    <w:rsid w:val="002A39F7"/>
    <w:rsid w:val="002A5031"/>
    <w:rsid w:val="002A67EB"/>
    <w:rsid w:val="002A6DBC"/>
    <w:rsid w:val="002B0E0C"/>
    <w:rsid w:val="002B1185"/>
    <w:rsid w:val="002B1C2A"/>
    <w:rsid w:val="002B388E"/>
    <w:rsid w:val="002B573F"/>
    <w:rsid w:val="002C0406"/>
    <w:rsid w:val="002C142D"/>
    <w:rsid w:val="002C28EE"/>
    <w:rsid w:val="002C4701"/>
    <w:rsid w:val="002C48B8"/>
    <w:rsid w:val="002C4F81"/>
    <w:rsid w:val="002C7DDE"/>
    <w:rsid w:val="002D1463"/>
    <w:rsid w:val="002D7CDF"/>
    <w:rsid w:val="002E08F2"/>
    <w:rsid w:val="002E2613"/>
    <w:rsid w:val="002E2EAD"/>
    <w:rsid w:val="002E4B0D"/>
    <w:rsid w:val="002E6C0B"/>
    <w:rsid w:val="002F1ED4"/>
    <w:rsid w:val="002F31C5"/>
    <w:rsid w:val="00303032"/>
    <w:rsid w:val="00311022"/>
    <w:rsid w:val="00312F23"/>
    <w:rsid w:val="00314A40"/>
    <w:rsid w:val="00314AE9"/>
    <w:rsid w:val="00316979"/>
    <w:rsid w:val="003171B5"/>
    <w:rsid w:val="0031771E"/>
    <w:rsid w:val="00317EB5"/>
    <w:rsid w:val="003222B3"/>
    <w:rsid w:val="00325C2D"/>
    <w:rsid w:val="003274C6"/>
    <w:rsid w:val="00336E96"/>
    <w:rsid w:val="003413BD"/>
    <w:rsid w:val="00343307"/>
    <w:rsid w:val="003509F0"/>
    <w:rsid w:val="00351F83"/>
    <w:rsid w:val="00356D06"/>
    <w:rsid w:val="00360A29"/>
    <w:rsid w:val="0036182C"/>
    <w:rsid w:val="003634C9"/>
    <w:rsid w:val="00363A6B"/>
    <w:rsid w:val="00370350"/>
    <w:rsid w:val="003703D1"/>
    <w:rsid w:val="003729D6"/>
    <w:rsid w:val="00384958"/>
    <w:rsid w:val="00386C95"/>
    <w:rsid w:val="0039399E"/>
    <w:rsid w:val="00395E0A"/>
    <w:rsid w:val="003A194C"/>
    <w:rsid w:val="003A1E01"/>
    <w:rsid w:val="003A46AA"/>
    <w:rsid w:val="003A4868"/>
    <w:rsid w:val="003B6882"/>
    <w:rsid w:val="003C11A2"/>
    <w:rsid w:val="003D1084"/>
    <w:rsid w:val="003D213D"/>
    <w:rsid w:val="003D6020"/>
    <w:rsid w:val="003E2FB3"/>
    <w:rsid w:val="003E38DC"/>
    <w:rsid w:val="003F0BE9"/>
    <w:rsid w:val="003F37EB"/>
    <w:rsid w:val="003F742C"/>
    <w:rsid w:val="00400378"/>
    <w:rsid w:val="00402FA3"/>
    <w:rsid w:val="004130B6"/>
    <w:rsid w:val="00421029"/>
    <w:rsid w:val="00425576"/>
    <w:rsid w:val="00432039"/>
    <w:rsid w:val="0043453A"/>
    <w:rsid w:val="00434D7B"/>
    <w:rsid w:val="00436E0F"/>
    <w:rsid w:val="00437F10"/>
    <w:rsid w:val="0044047F"/>
    <w:rsid w:val="00440B14"/>
    <w:rsid w:val="004412AC"/>
    <w:rsid w:val="00443D2E"/>
    <w:rsid w:val="00453038"/>
    <w:rsid w:val="00454F04"/>
    <w:rsid w:val="00460E28"/>
    <w:rsid w:val="00461FA2"/>
    <w:rsid w:val="004624AA"/>
    <w:rsid w:val="00464AE6"/>
    <w:rsid w:val="00471341"/>
    <w:rsid w:val="0047653F"/>
    <w:rsid w:val="0048040F"/>
    <w:rsid w:val="00484FEE"/>
    <w:rsid w:val="004852C0"/>
    <w:rsid w:val="0048663E"/>
    <w:rsid w:val="004A2A34"/>
    <w:rsid w:val="004A39C5"/>
    <w:rsid w:val="004A77A1"/>
    <w:rsid w:val="004B048D"/>
    <w:rsid w:val="004B7051"/>
    <w:rsid w:val="004C084A"/>
    <w:rsid w:val="004C300B"/>
    <w:rsid w:val="004C6F04"/>
    <w:rsid w:val="004D0089"/>
    <w:rsid w:val="004D0D57"/>
    <w:rsid w:val="004D5ACE"/>
    <w:rsid w:val="004E2AF7"/>
    <w:rsid w:val="004E4C0D"/>
    <w:rsid w:val="004E628C"/>
    <w:rsid w:val="004F1889"/>
    <w:rsid w:val="004F2790"/>
    <w:rsid w:val="004F7D19"/>
    <w:rsid w:val="00506264"/>
    <w:rsid w:val="0050655C"/>
    <w:rsid w:val="00507022"/>
    <w:rsid w:val="0052001F"/>
    <w:rsid w:val="0052303F"/>
    <w:rsid w:val="00524294"/>
    <w:rsid w:val="00530E5E"/>
    <w:rsid w:val="00536B25"/>
    <w:rsid w:val="00540533"/>
    <w:rsid w:val="0054081D"/>
    <w:rsid w:val="005425CD"/>
    <w:rsid w:val="0054752B"/>
    <w:rsid w:val="0055044A"/>
    <w:rsid w:val="0055390C"/>
    <w:rsid w:val="00557191"/>
    <w:rsid w:val="005609DB"/>
    <w:rsid w:val="0056410F"/>
    <w:rsid w:val="00566C8D"/>
    <w:rsid w:val="005672A4"/>
    <w:rsid w:val="00576346"/>
    <w:rsid w:val="00580021"/>
    <w:rsid w:val="005800C0"/>
    <w:rsid w:val="00582576"/>
    <w:rsid w:val="00582E74"/>
    <w:rsid w:val="005870C9"/>
    <w:rsid w:val="00595594"/>
    <w:rsid w:val="00596FC1"/>
    <w:rsid w:val="005A0822"/>
    <w:rsid w:val="005A1D41"/>
    <w:rsid w:val="005A7DDC"/>
    <w:rsid w:val="005B06E6"/>
    <w:rsid w:val="005B5A8C"/>
    <w:rsid w:val="005C2A99"/>
    <w:rsid w:val="005C3E71"/>
    <w:rsid w:val="005C5F1C"/>
    <w:rsid w:val="005D1565"/>
    <w:rsid w:val="005D2D5F"/>
    <w:rsid w:val="005D389B"/>
    <w:rsid w:val="005D5574"/>
    <w:rsid w:val="005D6BC6"/>
    <w:rsid w:val="005D7FBC"/>
    <w:rsid w:val="005E154B"/>
    <w:rsid w:val="005E7F71"/>
    <w:rsid w:val="005F1D11"/>
    <w:rsid w:val="005F2153"/>
    <w:rsid w:val="005F30DA"/>
    <w:rsid w:val="005F6A86"/>
    <w:rsid w:val="00605671"/>
    <w:rsid w:val="0061125A"/>
    <w:rsid w:val="00622B56"/>
    <w:rsid w:val="00623549"/>
    <w:rsid w:val="00624718"/>
    <w:rsid w:val="006312B3"/>
    <w:rsid w:val="0063775B"/>
    <w:rsid w:val="00642485"/>
    <w:rsid w:val="0066719C"/>
    <w:rsid w:val="00670B55"/>
    <w:rsid w:val="00675555"/>
    <w:rsid w:val="006755F0"/>
    <w:rsid w:val="00675D9D"/>
    <w:rsid w:val="00675F4E"/>
    <w:rsid w:val="00682096"/>
    <w:rsid w:val="00686AF2"/>
    <w:rsid w:val="00686E3A"/>
    <w:rsid w:val="00687B51"/>
    <w:rsid w:val="00692BEC"/>
    <w:rsid w:val="006A25C3"/>
    <w:rsid w:val="006A2CFF"/>
    <w:rsid w:val="006A4085"/>
    <w:rsid w:val="006A5541"/>
    <w:rsid w:val="006A63B7"/>
    <w:rsid w:val="006A7F6A"/>
    <w:rsid w:val="006B198C"/>
    <w:rsid w:val="006B504D"/>
    <w:rsid w:val="006B5E0D"/>
    <w:rsid w:val="006B5FFA"/>
    <w:rsid w:val="006C0A0A"/>
    <w:rsid w:val="006C1B3C"/>
    <w:rsid w:val="006D2400"/>
    <w:rsid w:val="006D3670"/>
    <w:rsid w:val="006E0E55"/>
    <w:rsid w:val="006E0E77"/>
    <w:rsid w:val="006E0F34"/>
    <w:rsid w:val="006E3955"/>
    <w:rsid w:val="006E5F6F"/>
    <w:rsid w:val="006E70D8"/>
    <w:rsid w:val="006E7E65"/>
    <w:rsid w:val="006F575E"/>
    <w:rsid w:val="006F756C"/>
    <w:rsid w:val="0070376D"/>
    <w:rsid w:val="00703F73"/>
    <w:rsid w:val="0070585E"/>
    <w:rsid w:val="007070F0"/>
    <w:rsid w:val="007119FF"/>
    <w:rsid w:val="00713842"/>
    <w:rsid w:val="007161C5"/>
    <w:rsid w:val="00716343"/>
    <w:rsid w:val="00725D76"/>
    <w:rsid w:val="00725FA0"/>
    <w:rsid w:val="00737E02"/>
    <w:rsid w:val="00741395"/>
    <w:rsid w:val="00742197"/>
    <w:rsid w:val="00742857"/>
    <w:rsid w:val="00746619"/>
    <w:rsid w:val="007475F1"/>
    <w:rsid w:val="00753DE9"/>
    <w:rsid w:val="00754CF5"/>
    <w:rsid w:val="00763007"/>
    <w:rsid w:val="00764BAA"/>
    <w:rsid w:val="00766C9D"/>
    <w:rsid w:val="00767404"/>
    <w:rsid w:val="00767DA3"/>
    <w:rsid w:val="00773038"/>
    <w:rsid w:val="0077364B"/>
    <w:rsid w:val="00774AD6"/>
    <w:rsid w:val="007766DA"/>
    <w:rsid w:val="00777932"/>
    <w:rsid w:val="00777DA5"/>
    <w:rsid w:val="00783655"/>
    <w:rsid w:val="00787280"/>
    <w:rsid w:val="007A14F9"/>
    <w:rsid w:val="007B2797"/>
    <w:rsid w:val="007C4A99"/>
    <w:rsid w:val="007C53F9"/>
    <w:rsid w:val="007C609A"/>
    <w:rsid w:val="007C6C15"/>
    <w:rsid w:val="007C7FAD"/>
    <w:rsid w:val="007D209D"/>
    <w:rsid w:val="007D226C"/>
    <w:rsid w:val="007D5688"/>
    <w:rsid w:val="007E0A22"/>
    <w:rsid w:val="007E254D"/>
    <w:rsid w:val="007E3E40"/>
    <w:rsid w:val="007E4478"/>
    <w:rsid w:val="007E4AF5"/>
    <w:rsid w:val="007E683D"/>
    <w:rsid w:val="007F31E4"/>
    <w:rsid w:val="007F78B3"/>
    <w:rsid w:val="0080249D"/>
    <w:rsid w:val="008059E8"/>
    <w:rsid w:val="00805EA1"/>
    <w:rsid w:val="00806FE9"/>
    <w:rsid w:val="0081779F"/>
    <w:rsid w:val="0083219C"/>
    <w:rsid w:val="00833945"/>
    <w:rsid w:val="008364C8"/>
    <w:rsid w:val="00837F53"/>
    <w:rsid w:val="00844918"/>
    <w:rsid w:val="00845B9F"/>
    <w:rsid w:val="0085136C"/>
    <w:rsid w:val="00852F76"/>
    <w:rsid w:val="0086039C"/>
    <w:rsid w:val="008621D7"/>
    <w:rsid w:val="0086413A"/>
    <w:rsid w:val="00867B01"/>
    <w:rsid w:val="00874909"/>
    <w:rsid w:val="0087500B"/>
    <w:rsid w:val="0088277C"/>
    <w:rsid w:val="008851AB"/>
    <w:rsid w:val="00892050"/>
    <w:rsid w:val="008970AB"/>
    <w:rsid w:val="008A100E"/>
    <w:rsid w:val="008A2F1F"/>
    <w:rsid w:val="008A3154"/>
    <w:rsid w:val="008A32BB"/>
    <w:rsid w:val="008A552A"/>
    <w:rsid w:val="008B1EB4"/>
    <w:rsid w:val="008C079C"/>
    <w:rsid w:val="008C4D87"/>
    <w:rsid w:val="008D66C9"/>
    <w:rsid w:val="008E268B"/>
    <w:rsid w:val="008E4F67"/>
    <w:rsid w:val="008F1F1D"/>
    <w:rsid w:val="009012AF"/>
    <w:rsid w:val="00901E06"/>
    <w:rsid w:val="00902E7E"/>
    <w:rsid w:val="009038E1"/>
    <w:rsid w:val="00903B30"/>
    <w:rsid w:val="009132C8"/>
    <w:rsid w:val="00925817"/>
    <w:rsid w:val="00927B7A"/>
    <w:rsid w:val="0093336D"/>
    <w:rsid w:val="0094012F"/>
    <w:rsid w:val="00942EC3"/>
    <w:rsid w:val="009432DE"/>
    <w:rsid w:val="00943EA0"/>
    <w:rsid w:val="009451A8"/>
    <w:rsid w:val="00946878"/>
    <w:rsid w:val="0094747D"/>
    <w:rsid w:val="00947A74"/>
    <w:rsid w:val="00953EA1"/>
    <w:rsid w:val="009624CC"/>
    <w:rsid w:val="009719F0"/>
    <w:rsid w:val="00973380"/>
    <w:rsid w:val="0097403D"/>
    <w:rsid w:val="00974268"/>
    <w:rsid w:val="0097543C"/>
    <w:rsid w:val="00977247"/>
    <w:rsid w:val="00977A25"/>
    <w:rsid w:val="009820B6"/>
    <w:rsid w:val="00994E87"/>
    <w:rsid w:val="009951FA"/>
    <w:rsid w:val="009A39F0"/>
    <w:rsid w:val="009B1443"/>
    <w:rsid w:val="009B2978"/>
    <w:rsid w:val="009B3ADE"/>
    <w:rsid w:val="009B3CAE"/>
    <w:rsid w:val="009B6F98"/>
    <w:rsid w:val="009C0390"/>
    <w:rsid w:val="009C4476"/>
    <w:rsid w:val="009C748A"/>
    <w:rsid w:val="009D6D99"/>
    <w:rsid w:val="009E2AE6"/>
    <w:rsid w:val="009E3748"/>
    <w:rsid w:val="009E5870"/>
    <w:rsid w:val="009E5E25"/>
    <w:rsid w:val="009F25E7"/>
    <w:rsid w:val="009F28B8"/>
    <w:rsid w:val="009F2D8A"/>
    <w:rsid w:val="00A003C4"/>
    <w:rsid w:val="00A020FC"/>
    <w:rsid w:val="00A04030"/>
    <w:rsid w:val="00A05748"/>
    <w:rsid w:val="00A10ED2"/>
    <w:rsid w:val="00A121FC"/>
    <w:rsid w:val="00A156E1"/>
    <w:rsid w:val="00A20F67"/>
    <w:rsid w:val="00A219BC"/>
    <w:rsid w:val="00A21BE8"/>
    <w:rsid w:val="00A22F9C"/>
    <w:rsid w:val="00A26641"/>
    <w:rsid w:val="00A27026"/>
    <w:rsid w:val="00A30414"/>
    <w:rsid w:val="00A31123"/>
    <w:rsid w:val="00A32D9F"/>
    <w:rsid w:val="00A3344A"/>
    <w:rsid w:val="00A352EE"/>
    <w:rsid w:val="00A42A27"/>
    <w:rsid w:val="00A45F8D"/>
    <w:rsid w:val="00A47869"/>
    <w:rsid w:val="00A52433"/>
    <w:rsid w:val="00A576F3"/>
    <w:rsid w:val="00A638A0"/>
    <w:rsid w:val="00A65FBE"/>
    <w:rsid w:val="00A70242"/>
    <w:rsid w:val="00A740CF"/>
    <w:rsid w:val="00A74583"/>
    <w:rsid w:val="00A80487"/>
    <w:rsid w:val="00A806E5"/>
    <w:rsid w:val="00A82EC7"/>
    <w:rsid w:val="00A8660E"/>
    <w:rsid w:val="00A86D02"/>
    <w:rsid w:val="00A907CD"/>
    <w:rsid w:val="00A90999"/>
    <w:rsid w:val="00A93023"/>
    <w:rsid w:val="00A9595B"/>
    <w:rsid w:val="00A97A8E"/>
    <w:rsid w:val="00A97B0E"/>
    <w:rsid w:val="00AA1836"/>
    <w:rsid w:val="00AA205A"/>
    <w:rsid w:val="00AA5B0D"/>
    <w:rsid w:val="00AC5712"/>
    <w:rsid w:val="00AD03BD"/>
    <w:rsid w:val="00AD2BA0"/>
    <w:rsid w:val="00AD2D86"/>
    <w:rsid w:val="00AE2D42"/>
    <w:rsid w:val="00AE6535"/>
    <w:rsid w:val="00AF6D22"/>
    <w:rsid w:val="00B02035"/>
    <w:rsid w:val="00B02FD2"/>
    <w:rsid w:val="00B11C4A"/>
    <w:rsid w:val="00B152DD"/>
    <w:rsid w:val="00B253E6"/>
    <w:rsid w:val="00B303E0"/>
    <w:rsid w:val="00B32AB1"/>
    <w:rsid w:val="00B342D7"/>
    <w:rsid w:val="00B3487F"/>
    <w:rsid w:val="00B35C88"/>
    <w:rsid w:val="00B4547D"/>
    <w:rsid w:val="00B4635C"/>
    <w:rsid w:val="00B47DAD"/>
    <w:rsid w:val="00B502BC"/>
    <w:rsid w:val="00B52BBB"/>
    <w:rsid w:val="00B56866"/>
    <w:rsid w:val="00B6169E"/>
    <w:rsid w:val="00B6682F"/>
    <w:rsid w:val="00B8176D"/>
    <w:rsid w:val="00B819E1"/>
    <w:rsid w:val="00B820E5"/>
    <w:rsid w:val="00B821FB"/>
    <w:rsid w:val="00B91230"/>
    <w:rsid w:val="00B978F1"/>
    <w:rsid w:val="00BA09DC"/>
    <w:rsid w:val="00BA7058"/>
    <w:rsid w:val="00BA7548"/>
    <w:rsid w:val="00BC43B5"/>
    <w:rsid w:val="00BC4884"/>
    <w:rsid w:val="00BC5201"/>
    <w:rsid w:val="00BD3179"/>
    <w:rsid w:val="00BD3B70"/>
    <w:rsid w:val="00BD4154"/>
    <w:rsid w:val="00BD43E0"/>
    <w:rsid w:val="00BD7AE9"/>
    <w:rsid w:val="00BE0CC3"/>
    <w:rsid w:val="00BE1A29"/>
    <w:rsid w:val="00BE2DFC"/>
    <w:rsid w:val="00BE335B"/>
    <w:rsid w:val="00BE6B4D"/>
    <w:rsid w:val="00BE765B"/>
    <w:rsid w:val="00BF06BF"/>
    <w:rsid w:val="00C0537F"/>
    <w:rsid w:val="00C13F24"/>
    <w:rsid w:val="00C17178"/>
    <w:rsid w:val="00C20619"/>
    <w:rsid w:val="00C254C2"/>
    <w:rsid w:val="00C30E9E"/>
    <w:rsid w:val="00C313B6"/>
    <w:rsid w:val="00C34678"/>
    <w:rsid w:val="00C37361"/>
    <w:rsid w:val="00C3785A"/>
    <w:rsid w:val="00C46AD4"/>
    <w:rsid w:val="00C54FC6"/>
    <w:rsid w:val="00C55D86"/>
    <w:rsid w:val="00C563F5"/>
    <w:rsid w:val="00C64206"/>
    <w:rsid w:val="00C65167"/>
    <w:rsid w:val="00C6598B"/>
    <w:rsid w:val="00C66F58"/>
    <w:rsid w:val="00C676B3"/>
    <w:rsid w:val="00C76641"/>
    <w:rsid w:val="00C769B7"/>
    <w:rsid w:val="00C80BD5"/>
    <w:rsid w:val="00C843A5"/>
    <w:rsid w:val="00C86AB9"/>
    <w:rsid w:val="00C86D2F"/>
    <w:rsid w:val="00C919B7"/>
    <w:rsid w:val="00C92C79"/>
    <w:rsid w:val="00C952BF"/>
    <w:rsid w:val="00CA36FA"/>
    <w:rsid w:val="00CA62DC"/>
    <w:rsid w:val="00CA6438"/>
    <w:rsid w:val="00CB2733"/>
    <w:rsid w:val="00CB596F"/>
    <w:rsid w:val="00CC0694"/>
    <w:rsid w:val="00CC094F"/>
    <w:rsid w:val="00CC3856"/>
    <w:rsid w:val="00CC3987"/>
    <w:rsid w:val="00CC5B06"/>
    <w:rsid w:val="00CD0FBA"/>
    <w:rsid w:val="00CD7234"/>
    <w:rsid w:val="00CE1D1C"/>
    <w:rsid w:val="00CE7732"/>
    <w:rsid w:val="00CF2795"/>
    <w:rsid w:val="00CF52AB"/>
    <w:rsid w:val="00CF5CB9"/>
    <w:rsid w:val="00CF6844"/>
    <w:rsid w:val="00CF6CD4"/>
    <w:rsid w:val="00D12139"/>
    <w:rsid w:val="00D20B75"/>
    <w:rsid w:val="00D26998"/>
    <w:rsid w:val="00D26D27"/>
    <w:rsid w:val="00D27365"/>
    <w:rsid w:val="00D30308"/>
    <w:rsid w:val="00D3187A"/>
    <w:rsid w:val="00D31F0E"/>
    <w:rsid w:val="00D40F15"/>
    <w:rsid w:val="00D419D9"/>
    <w:rsid w:val="00D425F8"/>
    <w:rsid w:val="00D42E93"/>
    <w:rsid w:val="00D43350"/>
    <w:rsid w:val="00D46B86"/>
    <w:rsid w:val="00D46F94"/>
    <w:rsid w:val="00D52CC1"/>
    <w:rsid w:val="00D54AF0"/>
    <w:rsid w:val="00D56C8D"/>
    <w:rsid w:val="00D63A45"/>
    <w:rsid w:val="00D63CDD"/>
    <w:rsid w:val="00D6460D"/>
    <w:rsid w:val="00D728E5"/>
    <w:rsid w:val="00D75793"/>
    <w:rsid w:val="00D94BBA"/>
    <w:rsid w:val="00D97F7E"/>
    <w:rsid w:val="00DA058B"/>
    <w:rsid w:val="00DA2B74"/>
    <w:rsid w:val="00DA52E9"/>
    <w:rsid w:val="00DA638F"/>
    <w:rsid w:val="00DC35DE"/>
    <w:rsid w:val="00DC459F"/>
    <w:rsid w:val="00DC49EE"/>
    <w:rsid w:val="00DC7402"/>
    <w:rsid w:val="00DD2036"/>
    <w:rsid w:val="00DD5C8C"/>
    <w:rsid w:val="00DD6096"/>
    <w:rsid w:val="00DE3718"/>
    <w:rsid w:val="00DE3720"/>
    <w:rsid w:val="00DE37AE"/>
    <w:rsid w:val="00DE51CA"/>
    <w:rsid w:val="00DE6FC2"/>
    <w:rsid w:val="00DE700A"/>
    <w:rsid w:val="00DF0164"/>
    <w:rsid w:val="00DF597B"/>
    <w:rsid w:val="00DF6AC1"/>
    <w:rsid w:val="00E016F8"/>
    <w:rsid w:val="00E05331"/>
    <w:rsid w:val="00E11E26"/>
    <w:rsid w:val="00E127C1"/>
    <w:rsid w:val="00E13E76"/>
    <w:rsid w:val="00E20F2F"/>
    <w:rsid w:val="00E21CDA"/>
    <w:rsid w:val="00E27B83"/>
    <w:rsid w:val="00E350E9"/>
    <w:rsid w:val="00E35A53"/>
    <w:rsid w:val="00E452D1"/>
    <w:rsid w:val="00E452F8"/>
    <w:rsid w:val="00E466EE"/>
    <w:rsid w:val="00E52F25"/>
    <w:rsid w:val="00E623FC"/>
    <w:rsid w:val="00E63C1D"/>
    <w:rsid w:val="00E66095"/>
    <w:rsid w:val="00E7541E"/>
    <w:rsid w:val="00E764C3"/>
    <w:rsid w:val="00E76573"/>
    <w:rsid w:val="00E80304"/>
    <w:rsid w:val="00E84FEA"/>
    <w:rsid w:val="00E87CEF"/>
    <w:rsid w:val="00E92A4D"/>
    <w:rsid w:val="00E94051"/>
    <w:rsid w:val="00E97B0E"/>
    <w:rsid w:val="00EA0E88"/>
    <w:rsid w:val="00EA3E12"/>
    <w:rsid w:val="00EB1238"/>
    <w:rsid w:val="00EB1F87"/>
    <w:rsid w:val="00EB7322"/>
    <w:rsid w:val="00EB7B54"/>
    <w:rsid w:val="00EC1347"/>
    <w:rsid w:val="00EC4D5B"/>
    <w:rsid w:val="00EC7395"/>
    <w:rsid w:val="00EC7FC9"/>
    <w:rsid w:val="00ED5EAD"/>
    <w:rsid w:val="00EE1D0B"/>
    <w:rsid w:val="00EE465A"/>
    <w:rsid w:val="00EF05F6"/>
    <w:rsid w:val="00EF35C5"/>
    <w:rsid w:val="00EF38C4"/>
    <w:rsid w:val="00EF5BBB"/>
    <w:rsid w:val="00EF6E8A"/>
    <w:rsid w:val="00F04037"/>
    <w:rsid w:val="00F0479A"/>
    <w:rsid w:val="00F05B06"/>
    <w:rsid w:val="00F10F78"/>
    <w:rsid w:val="00F11AC5"/>
    <w:rsid w:val="00F14501"/>
    <w:rsid w:val="00F16E66"/>
    <w:rsid w:val="00F176C0"/>
    <w:rsid w:val="00F31E6F"/>
    <w:rsid w:val="00F36960"/>
    <w:rsid w:val="00F428E4"/>
    <w:rsid w:val="00F44802"/>
    <w:rsid w:val="00F505C0"/>
    <w:rsid w:val="00F50BC9"/>
    <w:rsid w:val="00F50D11"/>
    <w:rsid w:val="00F5606E"/>
    <w:rsid w:val="00F56CB1"/>
    <w:rsid w:val="00F63D6B"/>
    <w:rsid w:val="00F65646"/>
    <w:rsid w:val="00F66503"/>
    <w:rsid w:val="00F70C70"/>
    <w:rsid w:val="00F721A1"/>
    <w:rsid w:val="00F74303"/>
    <w:rsid w:val="00F7492D"/>
    <w:rsid w:val="00F767E2"/>
    <w:rsid w:val="00F777C2"/>
    <w:rsid w:val="00F847B6"/>
    <w:rsid w:val="00F848BE"/>
    <w:rsid w:val="00F905DB"/>
    <w:rsid w:val="00F90FC2"/>
    <w:rsid w:val="00F94E0C"/>
    <w:rsid w:val="00F975FD"/>
    <w:rsid w:val="00FA2661"/>
    <w:rsid w:val="00FB0D8E"/>
    <w:rsid w:val="00FC03D0"/>
    <w:rsid w:val="00FC09A9"/>
    <w:rsid w:val="00FC0DF0"/>
    <w:rsid w:val="00FC2CF2"/>
    <w:rsid w:val="00FC359A"/>
    <w:rsid w:val="00FC51B5"/>
    <w:rsid w:val="00FD22F6"/>
    <w:rsid w:val="00FD5D21"/>
    <w:rsid w:val="00FD74D8"/>
    <w:rsid w:val="00FE203F"/>
    <w:rsid w:val="00FE40B1"/>
    <w:rsid w:val="00FE4FE5"/>
    <w:rsid w:val="00FE7F7C"/>
    <w:rsid w:val="00FF1C0F"/>
    <w:rsid w:val="00FF7B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1BD8"/>
  <w15:chartTrackingRefBased/>
  <w15:docId w15:val="{DDB66A97-3C3A-45F9-BB60-C95BBA82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0B"/>
  </w:style>
  <w:style w:type="paragraph" w:styleId="Overskrift1">
    <w:name w:val="heading 1"/>
    <w:basedOn w:val="Normal"/>
    <w:link w:val="Overskrift1Tegn"/>
    <w:uiPriority w:val="9"/>
    <w:qFormat/>
    <w:rsid w:val="00A352EE"/>
    <w:pPr>
      <w:spacing w:before="100" w:beforeAutospacing="1" w:after="100" w:afterAutospacing="1" w:line="240" w:lineRule="auto"/>
      <w:outlineLvl w:val="0"/>
    </w:pPr>
    <w:rPr>
      <w:rFonts w:ascii="Arial" w:eastAsia="Times New Roman" w:hAnsi="Arial" w:cs="Times New Roman"/>
      <w:b/>
      <w:bCs/>
      <w:kern w:val="36"/>
      <w:sz w:val="26"/>
      <w:szCs w:val="48"/>
      <w:lang w:eastAsia="da-DK"/>
    </w:rPr>
  </w:style>
  <w:style w:type="paragraph" w:styleId="Overskrift2">
    <w:name w:val="heading 2"/>
    <w:basedOn w:val="Normal"/>
    <w:next w:val="Normal"/>
    <w:link w:val="Overskrift2Tegn"/>
    <w:uiPriority w:val="9"/>
    <w:unhideWhenUsed/>
    <w:qFormat/>
    <w:rsid w:val="00A352EE"/>
    <w:pPr>
      <w:keepNext/>
      <w:keepLines/>
      <w:spacing w:before="40" w:after="0"/>
      <w:outlineLvl w:val="1"/>
    </w:pPr>
    <w:rPr>
      <w:rFonts w:ascii="Arial" w:eastAsiaTheme="majorEastAsia" w:hAnsi="Arial" w:cstheme="majorBidi"/>
      <w:b/>
      <w:sz w:val="24"/>
      <w:szCs w:val="26"/>
    </w:rPr>
  </w:style>
  <w:style w:type="paragraph" w:styleId="Overskrift3">
    <w:name w:val="heading 3"/>
    <w:basedOn w:val="Normal"/>
    <w:next w:val="Normal"/>
    <w:link w:val="Overskrift3Tegn"/>
    <w:uiPriority w:val="9"/>
    <w:unhideWhenUsed/>
    <w:qFormat/>
    <w:rsid w:val="00942E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63D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63D6B"/>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7">
    <w:name w:val="heading 7"/>
    <w:basedOn w:val="Normal"/>
    <w:next w:val="Normal"/>
    <w:link w:val="Overskrift7Tegn"/>
    <w:uiPriority w:val="9"/>
    <w:semiHidden/>
    <w:unhideWhenUsed/>
    <w:qFormat/>
    <w:rsid w:val="00F63D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63D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63D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2EE"/>
    <w:rPr>
      <w:rFonts w:ascii="Arial" w:eastAsia="Times New Roman" w:hAnsi="Arial" w:cs="Times New Roman"/>
      <w:b/>
      <w:bCs/>
      <w:kern w:val="36"/>
      <w:sz w:val="26"/>
      <w:szCs w:val="48"/>
      <w:lang w:eastAsia="da-DK"/>
    </w:rPr>
  </w:style>
  <w:style w:type="character" w:customStyle="1" w:styleId="Overskrift2Tegn">
    <w:name w:val="Overskrift 2 Tegn"/>
    <w:basedOn w:val="Standardskrifttypeiafsnit"/>
    <w:link w:val="Overskrift2"/>
    <w:uiPriority w:val="9"/>
    <w:rsid w:val="00A352EE"/>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rsid w:val="00942EC3"/>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942EC3"/>
    <w:rPr>
      <w:sz w:val="16"/>
      <w:szCs w:val="16"/>
    </w:rPr>
  </w:style>
  <w:style w:type="paragraph" w:styleId="Kommentartekst">
    <w:name w:val="annotation text"/>
    <w:basedOn w:val="Normal"/>
    <w:link w:val="KommentartekstTegn"/>
    <w:uiPriority w:val="99"/>
    <w:unhideWhenUsed/>
    <w:rsid w:val="00942EC3"/>
    <w:pPr>
      <w:spacing w:line="240" w:lineRule="auto"/>
    </w:pPr>
    <w:rPr>
      <w:sz w:val="20"/>
      <w:szCs w:val="20"/>
    </w:rPr>
  </w:style>
  <w:style w:type="character" w:customStyle="1" w:styleId="KommentartekstTegn">
    <w:name w:val="Kommentartekst Tegn"/>
    <w:basedOn w:val="Standardskrifttypeiafsnit"/>
    <w:link w:val="Kommentartekst"/>
    <w:uiPriority w:val="99"/>
    <w:rsid w:val="00942EC3"/>
    <w:rPr>
      <w:sz w:val="20"/>
      <w:szCs w:val="20"/>
    </w:rPr>
  </w:style>
  <w:style w:type="paragraph" w:styleId="Kommentaremne">
    <w:name w:val="annotation subject"/>
    <w:basedOn w:val="Kommentartekst"/>
    <w:next w:val="Kommentartekst"/>
    <w:link w:val="KommentaremneTegn"/>
    <w:uiPriority w:val="99"/>
    <w:semiHidden/>
    <w:unhideWhenUsed/>
    <w:rsid w:val="00942EC3"/>
    <w:rPr>
      <w:b/>
      <w:bCs/>
    </w:rPr>
  </w:style>
  <w:style w:type="character" w:customStyle="1" w:styleId="KommentaremneTegn">
    <w:name w:val="Kommentaremne Tegn"/>
    <w:basedOn w:val="KommentartekstTegn"/>
    <w:link w:val="Kommentaremne"/>
    <w:uiPriority w:val="99"/>
    <w:semiHidden/>
    <w:rsid w:val="00942EC3"/>
    <w:rPr>
      <w:b/>
      <w:bCs/>
      <w:sz w:val="20"/>
      <w:szCs w:val="20"/>
    </w:rPr>
  </w:style>
  <w:style w:type="paragraph" w:styleId="Markeringsbobletekst">
    <w:name w:val="Balloon Text"/>
    <w:basedOn w:val="Normal"/>
    <w:link w:val="MarkeringsbobletekstTegn"/>
    <w:uiPriority w:val="99"/>
    <w:semiHidden/>
    <w:unhideWhenUsed/>
    <w:rsid w:val="00942E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2EC3"/>
    <w:rPr>
      <w:rFonts w:ascii="Segoe UI" w:hAnsi="Segoe UI" w:cs="Segoe UI"/>
      <w:sz w:val="18"/>
      <w:szCs w:val="18"/>
    </w:rPr>
  </w:style>
  <w:style w:type="character" w:styleId="Hyperlink">
    <w:name w:val="Hyperlink"/>
    <w:basedOn w:val="Standardskrifttypeiafsnit"/>
    <w:uiPriority w:val="99"/>
    <w:semiHidden/>
    <w:unhideWhenUsed/>
    <w:rsid w:val="00942EC3"/>
    <w:rPr>
      <w:color w:val="0000FF"/>
      <w:u w:val="single"/>
    </w:rPr>
  </w:style>
  <w:style w:type="paragraph" w:customStyle="1" w:styleId="titel2">
    <w:name w:val="titel2"/>
    <w:basedOn w:val="Normal"/>
    <w:rsid w:val="00D63CDD"/>
    <w:pPr>
      <w:spacing w:before="100" w:beforeAutospacing="1" w:after="100" w:afterAutospacing="1" w:line="240" w:lineRule="auto"/>
    </w:pPr>
    <w:rPr>
      <w:rFonts w:ascii="Arial" w:eastAsia="Times New Roman" w:hAnsi="Arial" w:cs="Times New Roman"/>
      <w:b/>
      <w:sz w:val="32"/>
      <w:szCs w:val="24"/>
      <w:lang w:eastAsia="da-DK"/>
    </w:rPr>
  </w:style>
  <w:style w:type="paragraph" w:customStyle="1" w:styleId="indledning2">
    <w:name w:val="indledning2"/>
    <w:basedOn w:val="Normal"/>
    <w:rsid w:val="00942E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121FC"/>
    <w:pPr>
      <w:ind w:left="720"/>
      <w:contextualSpacing/>
    </w:pPr>
  </w:style>
  <w:style w:type="paragraph" w:customStyle="1" w:styleId="DSNumberedListA">
    <w:name w:val="DS_NumberedList_A"/>
    <w:basedOn w:val="Normal"/>
    <w:rsid w:val="00FC2CF2"/>
    <w:pPr>
      <w:numPr>
        <w:numId w:val="2"/>
      </w:numPr>
    </w:pPr>
  </w:style>
  <w:style w:type="character" w:styleId="BesgtLink">
    <w:name w:val="FollowedHyperlink"/>
    <w:basedOn w:val="Standardskrifttypeiafsnit"/>
    <w:uiPriority w:val="99"/>
    <w:semiHidden/>
    <w:unhideWhenUsed/>
    <w:rsid w:val="00384958"/>
    <w:rPr>
      <w:color w:val="954F72" w:themeColor="followedHyperlink"/>
      <w:u w:val="single"/>
    </w:rPr>
  </w:style>
  <w:style w:type="numbering" w:customStyle="1" w:styleId="-nummerering">
    <w:name w:val="§-nummerering"/>
    <w:uiPriority w:val="99"/>
    <w:rsid w:val="009F25E7"/>
    <w:pPr>
      <w:numPr>
        <w:numId w:val="6"/>
      </w:numPr>
    </w:pPr>
  </w:style>
  <w:style w:type="paragraph" w:styleId="Titel">
    <w:name w:val="Title"/>
    <w:basedOn w:val="Normal"/>
    <w:next w:val="Normal"/>
    <w:link w:val="TitelTegn"/>
    <w:uiPriority w:val="10"/>
    <w:qFormat/>
    <w:rsid w:val="00D63CDD"/>
    <w:pPr>
      <w:spacing w:after="0" w:line="240" w:lineRule="auto"/>
      <w:contextualSpacing/>
    </w:pPr>
    <w:rPr>
      <w:rFonts w:ascii="Arial" w:eastAsiaTheme="majorEastAsia" w:hAnsi="Arial" w:cstheme="majorBidi"/>
      <w:b/>
      <w:spacing w:val="-10"/>
      <w:kern w:val="28"/>
      <w:sz w:val="32"/>
      <w:szCs w:val="56"/>
    </w:rPr>
  </w:style>
  <w:style w:type="character" w:customStyle="1" w:styleId="TitelTegn">
    <w:name w:val="Titel Tegn"/>
    <w:basedOn w:val="Standardskrifttypeiafsnit"/>
    <w:link w:val="Titel"/>
    <w:uiPriority w:val="10"/>
    <w:rsid w:val="00D63CDD"/>
    <w:rPr>
      <w:rFonts w:ascii="Arial" w:eastAsiaTheme="majorEastAsia" w:hAnsi="Arial" w:cstheme="majorBidi"/>
      <w:b/>
      <w:spacing w:val="-10"/>
      <w:kern w:val="28"/>
      <w:sz w:val="32"/>
      <w:szCs w:val="56"/>
    </w:rPr>
  </w:style>
  <w:style w:type="paragraph" w:styleId="Opstilling-punkttegn">
    <w:name w:val="List Bullet"/>
    <w:basedOn w:val="Normal"/>
    <w:uiPriority w:val="99"/>
    <w:unhideWhenUsed/>
    <w:rsid w:val="00F63D6B"/>
    <w:pPr>
      <w:numPr>
        <w:numId w:val="17"/>
      </w:numPr>
      <w:contextualSpacing/>
    </w:pPr>
  </w:style>
  <w:style w:type="paragraph" w:styleId="Opstilling-talellerbogst">
    <w:name w:val="List Number"/>
    <w:basedOn w:val="Normal"/>
    <w:uiPriority w:val="99"/>
    <w:unhideWhenUsed/>
    <w:rsid w:val="00F63D6B"/>
    <w:pPr>
      <w:contextualSpacing/>
    </w:pPr>
  </w:style>
  <w:style w:type="character" w:customStyle="1" w:styleId="Overskrift4Tegn">
    <w:name w:val="Overskrift 4 Tegn"/>
    <w:basedOn w:val="Standardskrifttypeiafsnit"/>
    <w:link w:val="Overskrift4"/>
    <w:uiPriority w:val="9"/>
    <w:semiHidden/>
    <w:rsid w:val="00F63D6B"/>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F63D6B"/>
    <w:rPr>
      <w:rFonts w:asciiTheme="majorHAnsi" w:eastAsiaTheme="majorEastAsia" w:hAnsiTheme="majorHAnsi" w:cstheme="majorBidi"/>
      <w:color w:val="2E74B5" w:themeColor="accent1" w:themeShade="BF"/>
    </w:rPr>
  </w:style>
  <w:style w:type="character" w:customStyle="1" w:styleId="Overskrift7Tegn">
    <w:name w:val="Overskrift 7 Tegn"/>
    <w:basedOn w:val="Standardskrifttypeiafsnit"/>
    <w:link w:val="Overskrift7"/>
    <w:uiPriority w:val="9"/>
    <w:semiHidden/>
    <w:rsid w:val="00F63D6B"/>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F63D6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F63D6B"/>
    <w:rPr>
      <w:rFonts w:asciiTheme="majorHAnsi" w:eastAsiaTheme="majorEastAsia" w:hAnsiTheme="majorHAnsi" w:cstheme="majorBidi"/>
      <w:i/>
      <w:iCs/>
      <w:color w:val="272727" w:themeColor="text1" w:themeTint="D8"/>
      <w:sz w:val="21"/>
      <w:szCs w:val="21"/>
    </w:rPr>
  </w:style>
  <w:style w:type="paragraph" w:styleId="Korrektur">
    <w:name w:val="Revision"/>
    <w:hidden/>
    <w:uiPriority w:val="99"/>
    <w:semiHidden/>
    <w:rsid w:val="003171B5"/>
    <w:pPr>
      <w:spacing w:after="0" w:line="240" w:lineRule="auto"/>
    </w:pPr>
  </w:style>
  <w:style w:type="paragraph" w:styleId="Fodnotetekst">
    <w:name w:val="footnote text"/>
    <w:basedOn w:val="Normal"/>
    <w:link w:val="FodnotetekstTegn"/>
    <w:uiPriority w:val="99"/>
    <w:semiHidden/>
    <w:unhideWhenUsed/>
    <w:rsid w:val="0031697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16979"/>
    <w:rPr>
      <w:sz w:val="20"/>
      <w:szCs w:val="20"/>
    </w:rPr>
  </w:style>
  <w:style w:type="character" w:styleId="Fodnotehenvisning">
    <w:name w:val="footnote reference"/>
    <w:basedOn w:val="Standardskrifttypeiafsnit"/>
    <w:uiPriority w:val="99"/>
    <w:semiHidden/>
    <w:unhideWhenUsed/>
    <w:rsid w:val="00316979"/>
    <w:rPr>
      <w:vertAlign w:val="superscript"/>
    </w:rPr>
  </w:style>
  <w:style w:type="character" w:customStyle="1" w:styleId="inline">
    <w:name w:val="inline"/>
    <w:basedOn w:val="Standardskrifttypeiafsnit"/>
    <w:rsid w:val="009E3748"/>
  </w:style>
  <w:style w:type="paragraph" w:customStyle="1" w:styleId="stk2">
    <w:name w:val="stk2"/>
    <w:basedOn w:val="Normal"/>
    <w:rsid w:val="00EE1D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E1D0B"/>
  </w:style>
  <w:style w:type="paragraph" w:styleId="Sidehoved">
    <w:name w:val="header"/>
    <w:basedOn w:val="Normal"/>
    <w:link w:val="SidehovedTegn"/>
    <w:uiPriority w:val="99"/>
    <w:unhideWhenUsed/>
    <w:rsid w:val="000050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5016"/>
  </w:style>
  <w:style w:type="paragraph" w:styleId="Sidefod">
    <w:name w:val="footer"/>
    <w:basedOn w:val="Normal"/>
    <w:link w:val="SidefodTegn"/>
    <w:uiPriority w:val="99"/>
    <w:unhideWhenUsed/>
    <w:rsid w:val="000050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397">
      <w:bodyDiv w:val="1"/>
      <w:marLeft w:val="0"/>
      <w:marRight w:val="0"/>
      <w:marTop w:val="0"/>
      <w:marBottom w:val="0"/>
      <w:divBdr>
        <w:top w:val="none" w:sz="0" w:space="0" w:color="auto"/>
        <w:left w:val="none" w:sz="0" w:space="0" w:color="auto"/>
        <w:bottom w:val="none" w:sz="0" w:space="0" w:color="auto"/>
        <w:right w:val="none" w:sz="0" w:space="0" w:color="auto"/>
      </w:divBdr>
    </w:div>
    <w:div w:id="64185051">
      <w:bodyDiv w:val="1"/>
      <w:marLeft w:val="0"/>
      <w:marRight w:val="0"/>
      <w:marTop w:val="0"/>
      <w:marBottom w:val="0"/>
      <w:divBdr>
        <w:top w:val="none" w:sz="0" w:space="0" w:color="auto"/>
        <w:left w:val="none" w:sz="0" w:space="0" w:color="auto"/>
        <w:bottom w:val="none" w:sz="0" w:space="0" w:color="auto"/>
        <w:right w:val="none" w:sz="0" w:space="0" w:color="auto"/>
      </w:divBdr>
      <w:divsChild>
        <w:div w:id="1137845027">
          <w:marLeft w:val="0"/>
          <w:marRight w:val="0"/>
          <w:marTop w:val="0"/>
          <w:marBottom w:val="0"/>
          <w:divBdr>
            <w:top w:val="none" w:sz="0" w:space="0" w:color="auto"/>
            <w:left w:val="none" w:sz="0" w:space="0" w:color="auto"/>
            <w:bottom w:val="none" w:sz="0" w:space="0" w:color="auto"/>
            <w:right w:val="none" w:sz="0" w:space="0" w:color="auto"/>
          </w:divBdr>
        </w:div>
      </w:divsChild>
    </w:div>
    <w:div w:id="248388229">
      <w:bodyDiv w:val="1"/>
      <w:marLeft w:val="0"/>
      <w:marRight w:val="0"/>
      <w:marTop w:val="0"/>
      <w:marBottom w:val="0"/>
      <w:divBdr>
        <w:top w:val="none" w:sz="0" w:space="0" w:color="auto"/>
        <w:left w:val="none" w:sz="0" w:space="0" w:color="auto"/>
        <w:bottom w:val="none" w:sz="0" w:space="0" w:color="auto"/>
        <w:right w:val="none" w:sz="0" w:space="0" w:color="auto"/>
      </w:divBdr>
    </w:div>
    <w:div w:id="340010029">
      <w:bodyDiv w:val="1"/>
      <w:marLeft w:val="0"/>
      <w:marRight w:val="0"/>
      <w:marTop w:val="0"/>
      <w:marBottom w:val="0"/>
      <w:divBdr>
        <w:top w:val="none" w:sz="0" w:space="0" w:color="auto"/>
        <w:left w:val="none" w:sz="0" w:space="0" w:color="auto"/>
        <w:bottom w:val="none" w:sz="0" w:space="0" w:color="auto"/>
        <w:right w:val="none" w:sz="0" w:space="0" w:color="auto"/>
      </w:divBdr>
    </w:div>
    <w:div w:id="373847090">
      <w:bodyDiv w:val="1"/>
      <w:marLeft w:val="0"/>
      <w:marRight w:val="0"/>
      <w:marTop w:val="0"/>
      <w:marBottom w:val="0"/>
      <w:divBdr>
        <w:top w:val="none" w:sz="0" w:space="0" w:color="auto"/>
        <w:left w:val="none" w:sz="0" w:space="0" w:color="auto"/>
        <w:bottom w:val="none" w:sz="0" w:space="0" w:color="auto"/>
        <w:right w:val="none" w:sz="0" w:space="0" w:color="auto"/>
      </w:divBdr>
    </w:div>
    <w:div w:id="619916280">
      <w:bodyDiv w:val="1"/>
      <w:marLeft w:val="0"/>
      <w:marRight w:val="0"/>
      <w:marTop w:val="0"/>
      <w:marBottom w:val="0"/>
      <w:divBdr>
        <w:top w:val="none" w:sz="0" w:space="0" w:color="auto"/>
        <w:left w:val="none" w:sz="0" w:space="0" w:color="auto"/>
        <w:bottom w:val="none" w:sz="0" w:space="0" w:color="auto"/>
        <w:right w:val="none" w:sz="0" w:space="0" w:color="auto"/>
      </w:divBdr>
    </w:div>
    <w:div w:id="676424668">
      <w:bodyDiv w:val="1"/>
      <w:marLeft w:val="0"/>
      <w:marRight w:val="0"/>
      <w:marTop w:val="0"/>
      <w:marBottom w:val="0"/>
      <w:divBdr>
        <w:top w:val="none" w:sz="0" w:space="0" w:color="auto"/>
        <w:left w:val="none" w:sz="0" w:space="0" w:color="auto"/>
        <w:bottom w:val="none" w:sz="0" w:space="0" w:color="auto"/>
        <w:right w:val="none" w:sz="0" w:space="0" w:color="auto"/>
      </w:divBdr>
    </w:div>
    <w:div w:id="689524872">
      <w:bodyDiv w:val="1"/>
      <w:marLeft w:val="0"/>
      <w:marRight w:val="0"/>
      <w:marTop w:val="0"/>
      <w:marBottom w:val="0"/>
      <w:divBdr>
        <w:top w:val="none" w:sz="0" w:space="0" w:color="auto"/>
        <w:left w:val="none" w:sz="0" w:space="0" w:color="auto"/>
        <w:bottom w:val="none" w:sz="0" w:space="0" w:color="auto"/>
        <w:right w:val="none" w:sz="0" w:space="0" w:color="auto"/>
      </w:divBdr>
    </w:div>
    <w:div w:id="707603382">
      <w:bodyDiv w:val="1"/>
      <w:marLeft w:val="0"/>
      <w:marRight w:val="0"/>
      <w:marTop w:val="0"/>
      <w:marBottom w:val="0"/>
      <w:divBdr>
        <w:top w:val="none" w:sz="0" w:space="0" w:color="auto"/>
        <w:left w:val="none" w:sz="0" w:space="0" w:color="auto"/>
        <w:bottom w:val="none" w:sz="0" w:space="0" w:color="auto"/>
        <w:right w:val="none" w:sz="0" w:space="0" w:color="auto"/>
      </w:divBdr>
      <w:divsChild>
        <w:div w:id="1043603166">
          <w:marLeft w:val="547"/>
          <w:marRight w:val="0"/>
          <w:marTop w:val="0"/>
          <w:marBottom w:val="0"/>
          <w:divBdr>
            <w:top w:val="none" w:sz="0" w:space="0" w:color="auto"/>
            <w:left w:val="none" w:sz="0" w:space="0" w:color="auto"/>
            <w:bottom w:val="none" w:sz="0" w:space="0" w:color="auto"/>
            <w:right w:val="none" w:sz="0" w:space="0" w:color="auto"/>
          </w:divBdr>
        </w:div>
      </w:divsChild>
    </w:div>
    <w:div w:id="757093412">
      <w:bodyDiv w:val="1"/>
      <w:marLeft w:val="0"/>
      <w:marRight w:val="0"/>
      <w:marTop w:val="0"/>
      <w:marBottom w:val="0"/>
      <w:divBdr>
        <w:top w:val="none" w:sz="0" w:space="0" w:color="auto"/>
        <w:left w:val="none" w:sz="0" w:space="0" w:color="auto"/>
        <w:bottom w:val="none" w:sz="0" w:space="0" w:color="auto"/>
        <w:right w:val="none" w:sz="0" w:space="0" w:color="auto"/>
      </w:divBdr>
      <w:divsChild>
        <w:div w:id="1738750087">
          <w:marLeft w:val="0"/>
          <w:marRight w:val="0"/>
          <w:marTop w:val="0"/>
          <w:marBottom w:val="0"/>
          <w:divBdr>
            <w:top w:val="none" w:sz="0" w:space="0" w:color="auto"/>
            <w:left w:val="none" w:sz="0" w:space="0" w:color="auto"/>
            <w:bottom w:val="none" w:sz="0" w:space="0" w:color="auto"/>
            <w:right w:val="none" w:sz="0" w:space="0" w:color="auto"/>
          </w:divBdr>
        </w:div>
      </w:divsChild>
    </w:div>
    <w:div w:id="782649745">
      <w:bodyDiv w:val="1"/>
      <w:marLeft w:val="0"/>
      <w:marRight w:val="0"/>
      <w:marTop w:val="0"/>
      <w:marBottom w:val="0"/>
      <w:divBdr>
        <w:top w:val="none" w:sz="0" w:space="0" w:color="auto"/>
        <w:left w:val="none" w:sz="0" w:space="0" w:color="auto"/>
        <w:bottom w:val="none" w:sz="0" w:space="0" w:color="auto"/>
        <w:right w:val="none" w:sz="0" w:space="0" w:color="auto"/>
      </w:divBdr>
    </w:div>
    <w:div w:id="839124053">
      <w:bodyDiv w:val="1"/>
      <w:marLeft w:val="0"/>
      <w:marRight w:val="0"/>
      <w:marTop w:val="0"/>
      <w:marBottom w:val="0"/>
      <w:divBdr>
        <w:top w:val="none" w:sz="0" w:space="0" w:color="auto"/>
        <w:left w:val="none" w:sz="0" w:space="0" w:color="auto"/>
        <w:bottom w:val="none" w:sz="0" w:space="0" w:color="auto"/>
        <w:right w:val="none" w:sz="0" w:space="0" w:color="auto"/>
      </w:divBdr>
      <w:divsChild>
        <w:div w:id="1227766249">
          <w:marLeft w:val="0"/>
          <w:marRight w:val="0"/>
          <w:marTop w:val="0"/>
          <w:marBottom w:val="0"/>
          <w:divBdr>
            <w:top w:val="none" w:sz="0" w:space="0" w:color="auto"/>
            <w:left w:val="none" w:sz="0" w:space="0" w:color="auto"/>
            <w:bottom w:val="none" w:sz="0" w:space="0" w:color="auto"/>
            <w:right w:val="none" w:sz="0" w:space="0" w:color="auto"/>
          </w:divBdr>
        </w:div>
      </w:divsChild>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1094937771">
      <w:bodyDiv w:val="1"/>
      <w:marLeft w:val="0"/>
      <w:marRight w:val="0"/>
      <w:marTop w:val="0"/>
      <w:marBottom w:val="0"/>
      <w:divBdr>
        <w:top w:val="none" w:sz="0" w:space="0" w:color="auto"/>
        <w:left w:val="none" w:sz="0" w:space="0" w:color="auto"/>
        <w:bottom w:val="none" w:sz="0" w:space="0" w:color="auto"/>
        <w:right w:val="none" w:sz="0" w:space="0" w:color="auto"/>
      </w:divBdr>
    </w:div>
    <w:div w:id="1109085080">
      <w:bodyDiv w:val="1"/>
      <w:marLeft w:val="0"/>
      <w:marRight w:val="0"/>
      <w:marTop w:val="0"/>
      <w:marBottom w:val="0"/>
      <w:divBdr>
        <w:top w:val="none" w:sz="0" w:space="0" w:color="auto"/>
        <w:left w:val="none" w:sz="0" w:space="0" w:color="auto"/>
        <w:bottom w:val="none" w:sz="0" w:space="0" w:color="auto"/>
        <w:right w:val="none" w:sz="0" w:space="0" w:color="auto"/>
      </w:divBdr>
      <w:divsChild>
        <w:div w:id="1701053285">
          <w:marLeft w:val="547"/>
          <w:marRight w:val="0"/>
          <w:marTop w:val="0"/>
          <w:marBottom w:val="0"/>
          <w:divBdr>
            <w:top w:val="none" w:sz="0" w:space="0" w:color="auto"/>
            <w:left w:val="none" w:sz="0" w:space="0" w:color="auto"/>
            <w:bottom w:val="none" w:sz="0" w:space="0" w:color="auto"/>
            <w:right w:val="none" w:sz="0" w:space="0" w:color="auto"/>
          </w:divBdr>
        </w:div>
      </w:divsChild>
    </w:div>
    <w:div w:id="1118067560">
      <w:bodyDiv w:val="1"/>
      <w:marLeft w:val="0"/>
      <w:marRight w:val="0"/>
      <w:marTop w:val="0"/>
      <w:marBottom w:val="0"/>
      <w:divBdr>
        <w:top w:val="none" w:sz="0" w:space="0" w:color="auto"/>
        <w:left w:val="none" w:sz="0" w:space="0" w:color="auto"/>
        <w:bottom w:val="none" w:sz="0" w:space="0" w:color="auto"/>
        <w:right w:val="none" w:sz="0" w:space="0" w:color="auto"/>
      </w:divBdr>
    </w:div>
    <w:div w:id="1146970528">
      <w:bodyDiv w:val="1"/>
      <w:marLeft w:val="0"/>
      <w:marRight w:val="0"/>
      <w:marTop w:val="0"/>
      <w:marBottom w:val="0"/>
      <w:divBdr>
        <w:top w:val="none" w:sz="0" w:space="0" w:color="auto"/>
        <w:left w:val="none" w:sz="0" w:space="0" w:color="auto"/>
        <w:bottom w:val="none" w:sz="0" w:space="0" w:color="auto"/>
        <w:right w:val="none" w:sz="0" w:space="0" w:color="auto"/>
      </w:divBdr>
      <w:divsChild>
        <w:div w:id="1572035288">
          <w:marLeft w:val="547"/>
          <w:marRight w:val="0"/>
          <w:marTop w:val="0"/>
          <w:marBottom w:val="0"/>
          <w:divBdr>
            <w:top w:val="none" w:sz="0" w:space="0" w:color="auto"/>
            <w:left w:val="none" w:sz="0" w:space="0" w:color="auto"/>
            <w:bottom w:val="none" w:sz="0" w:space="0" w:color="auto"/>
            <w:right w:val="none" w:sz="0" w:space="0" w:color="auto"/>
          </w:divBdr>
        </w:div>
      </w:divsChild>
    </w:div>
    <w:div w:id="1171023753">
      <w:bodyDiv w:val="1"/>
      <w:marLeft w:val="0"/>
      <w:marRight w:val="0"/>
      <w:marTop w:val="0"/>
      <w:marBottom w:val="0"/>
      <w:divBdr>
        <w:top w:val="none" w:sz="0" w:space="0" w:color="auto"/>
        <w:left w:val="none" w:sz="0" w:space="0" w:color="auto"/>
        <w:bottom w:val="none" w:sz="0" w:space="0" w:color="auto"/>
        <w:right w:val="none" w:sz="0" w:space="0" w:color="auto"/>
      </w:divBdr>
      <w:divsChild>
        <w:div w:id="747770996">
          <w:marLeft w:val="547"/>
          <w:marRight w:val="0"/>
          <w:marTop w:val="0"/>
          <w:marBottom w:val="0"/>
          <w:divBdr>
            <w:top w:val="none" w:sz="0" w:space="0" w:color="auto"/>
            <w:left w:val="none" w:sz="0" w:space="0" w:color="auto"/>
            <w:bottom w:val="none" w:sz="0" w:space="0" w:color="auto"/>
            <w:right w:val="none" w:sz="0" w:space="0" w:color="auto"/>
          </w:divBdr>
        </w:div>
      </w:divsChild>
    </w:div>
    <w:div w:id="1171986603">
      <w:bodyDiv w:val="1"/>
      <w:marLeft w:val="0"/>
      <w:marRight w:val="0"/>
      <w:marTop w:val="0"/>
      <w:marBottom w:val="0"/>
      <w:divBdr>
        <w:top w:val="none" w:sz="0" w:space="0" w:color="auto"/>
        <w:left w:val="none" w:sz="0" w:space="0" w:color="auto"/>
        <w:bottom w:val="none" w:sz="0" w:space="0" w:color="auto"/>
        <w:right w:val="none" w:sz="0" w:space="0" w:color="auto"/>
      </w:divBdr>
      <w:divsChild>
        <w:div w:id="1919049086">
          <w:marLeft w:val="0"/>
          <w:marRight w:val="0"/>
          <w:marTop w:val="0"/>
          <w:marBottom w:val="0"/>
          <w:divBdr>
            <w:top w:val="none" w:sz="0" w:space="0" w:color="auto"/>
            <w:left w:val="none" w:sz="0" w:space="0" w:color="auto"/>
            <w:bottom w:val="none" w:sz="0" w:space="0" w:color="auto"/>
            <w:right w:val="none" w:sz="0" w:space="0" w:color="auto"/>
          </w:divBdr>
        </w:div>
      </w:divsChild>
    </w:div>
    <w:div w:id="1277131559">
      <w:bodyDiv w:val="1"/>
      <w:marLeft w:val="0"/>
      <w:marRight w:val="0"/>
      <w:marTop w:val="0"/>
      <w:marBottom w:val="0"/>
      <w:divBdr>
        <w:top w:val="none" w:sz="0" w:space="0" w:color="auto"/>
        <w:left w:val="none" w:sz="0" w:space="0" w:color="auto"/>
        <w:bottom w:val="none" w:sz="0" w:space="0" w:color="auto"/>
        <w:right w:val="none" w:sz="0" w:space="0" w:color="auto"/>
      </w:divBdr>
    </w:div>
    <w:div w:id="1319918581">
      <w:bodyDiv w:val="1"/>
      <w:marLeft w:val="0"/>
      <w:marRight w:val="0"/>
      <w:marTop w:val="0"/>
      <w:marBottom w:val="0"/>
      <w:divBdr>
        <w:top w:val="none" w:sz="0" w:space="0" w:color="auto"/>
        <w:left w:val="none" w:sz="0" w:space="0" w:color="auto"/>
        <w:bottom w:val="none" w:sz="0" w:space="0" w:color="auto"/>
        <w:right w:val="none" w:sz="0" w:space="0" w:color="auto"/>
      </w:divBdr>
      <w:divsChild>
        <w:div w:id="155652386">
          <w:marLeft w:val="0"/>
          <w:marRight w:val="0"/>
          <w:marTop w:val="0"/>
          <w:marBottom w:val="0"/>
          <w:divBdr>
            <w:top w:val="none" w:sz="0" w:space="0" w:color="auto"/>
            <w:left w:val="none" w:sz="0" w:space="0" w:color="auto"/>
            <w:bottom w:val="none" w:sz="0" w:space="0" w:color="auto"/>
            <w:right w:val="none" w:sz="0" w:space="0" w:color="auto"/>
          </w:divBdr>
        </w:div>
      </w:divsChild>
    </w:div>
    <w:div w:id="1380713674">
      <w:bodyDiv w:val="1"/>
      <w:marLeft w:val="0"/>
      <w:marRight w:val="0"/>
      <w:marTop w:val="0"/>
      <w:marBottom w:val="0"/>
      <w:divBdr>
        <w:top w:val="none" w:sz="0" w:space="0" w:color="auto"/>
        <w:left w:val="none" w:sz="0" w:space="0" w:color="auto"/>
        <w:bottom w:val="none" w:sz="0" w:space="0" w:color="auto"/>
        <w:right w:val="none" w:sz="0" w:space="0" w:color="auto"/>
      </w:divBdr>
      <w:divsChild>
        <w:div w:id="137188467">
          <w:marLeft w:val="547"/>
          <w:marRight w:val="0"/>
          <w:marTop w:val="0"/>
          <w:marBottom w:val="0"/>
          <w:divBdr>
            <w:top w:val="none" w:sz="0" w:space="0" w:color="auto"/>
            <w:left w:val="none" w:sz="0" w:space="0" w:color="auto"/>
            <w:bottom w:val="none" w:sz="0" w:space="0" w:color="auto"/>
            <w:right w:val="none" w:sz="0" w:space="0" w:color="auto"/>
          </w:divBdr>
        </w:div>
      </w:divsChild>
    </w:div>
    <w:div w:id="1517769275">
      <w:bodyDiv w:val="1"/>
      <w:marLeft w:val="0"/>
      <w:marRight w:val="0"/>
      <w:marTop w:val="0"/>
      <w:marBottom w:val="0"/>
      <w:divBdr>
        <w:top w:val="none" w:sz="0" w:space="0" w:color="auto"/>
        <w:left w:val="none" w:sz="0" w:space="0" w:color="auto"/>
        <w:bottom w:val="none" w:sz="0" w:space="0" w:color="auto"/>
        <w:right w:val="none" w:sz="0" w:space="0" w:color="auto"/>
      </w:divBdr>
      <w:divsChild>
        <w:div w:id="58983831">
          <w:marLeft w:val="0"/>
          <w:marRight w:val="0"/>
          <w:marTop w:val="0"/>
          <w:marBottom w:val="0"/>
          <w:divBdr>
            <w:top w:val="none" w:sz="0" w:space="0" w:color="auto"/>
            <w:left w:val="none" w:sz="0" w:space="0" w:color="auto"/>
            <w:bottom w:val="none" w:sz="0" w:space="0" w:color="auto"/>
            <w:right w:val="none" w:sz="0" w:space="0" w:color="auto"/>
          </w:divBdr>
          <w:divsChild>
            <w:div w:id="875241969">
              <w:marLeft w:val="0"/>
              <w:marRight w:val="0"/>
              <w:marTop w:val="0"/>
              <w:marBottom w:val="0"/>
              <w:divBdr>
                <w:top w:val="none" w:sz="0" w:space="0" w:color="auto"/>
                <w:left w:val="none" w:sz="0" w:space="0" w:color="auto"/>
                <w:bottom w:val="none" w:sz="0" w:space="0" w:color="auto"/>
                <w:right w:val="none" w:sz="0" w:space="0" w:color="auto"/>
              </w:divBdr>
              <w:divsChild>
                <w:div w:id="1729567001">
                  <w:marLeft w:val="0"/>
                  <w:marRight w:val="0"/>
                  <w:marTop w:val="0"/>
                  <w:marBottom w:val="0"/>
                  <w:divBdr>
                    <w:top w:val="none" w:sz="0" w:space="0" w:color="auto"/>
                    <w:left w:val="none" w:sz="0" w:space="0" w:color="auto"/>
                    <w:bottom w:val="none" w:sz="0" w:space="0" w:color="auto"/>
                    <w:right w:val="none" w:sz="0" w:space="0" w:color="auto"/>
                  </w:divBdr>
                </w:div>
                <w:div w:id="2056614247">
                  <w:marLeft w:val="0"/>
                  <w:marRight w:val="0"/>
                  <w:marTop w:val="0"/>
                  <w:marBottom w:val="0"/>
                  <w:divBdr>
                    <w:top w:val="none" w:sz="0" w:space="0" w:color="auto"/>
                    <w:left w:val="none" w:sz="0" w:space="0" w:color="auto"/>
                    <w:bottom w:val="none" w:sz="0" w:space="0" w:color="auto"/>
                    <w:right w:val="none" w:sz="0" w:space="0" w:color="auto"/>
                  </w:divBdr>
                </w:div>
              </w:divsChild>
            </w:div>
            <w:div w:id="523907903">
              <w:marLeft w:val="0"/>
              <w:marRight w:val="0"/>
              <w:marTop w:val="0"/>
              <w:marBottom w:val="0"/>
              <w:divBdr>
                <w:top w:val="none" w:sz="0" w:space="0" w:color="auto"/>
                <w:left w:val="none" w:sz="0" w:space="0" w:color="auto"/>
                <w:bottom w:val="none" w:sz="0" w:space="0" w:color="auto"/>
                <w:right w:val="none" w:sz="0" w:space="0" w:color="auto"/>
              </w:divBdr>
              <w:divsChild>
                <w:div w:id="904991061">
                  <w:marLeft w:val="0"/>
                  <w:marRight w:val="0"/>
                  <w:marTop w:val="0"/>
                  <w:marBottom w:val="0"/>
                  <w:divBdr>
                    <w:top w:val="none" w:sz="0" w:space="0" w:color="auto"/>
                    <w:left w:val="none" w:sz="0" w:space="0" w:color="auto"/>
                    <w:bottom w:val="none" w:sz="0" w:space="0" w:color="auto"/>
                    <w:right w:val="none" w:sz="0" w:space="0" w:color="auto"/>
                  </w:divBdr>
                </w:div>
                <w:div w:id="350573412">
                  <w:marLeft w:val="0"/>
                  <w:marRight w:val="0"/>
                  <w:marTop w:val="0"/>
                  <w:marBottom w:val="0"/>
                  <w:divBdr>
                    <w:top w:val="none" w:sz="0" w:space="0" w:color="auto"/>
                    <w:left w:val="none" w:sz="0" w:space="0" w:color="auto"/>
                    <w:bottom w:val="none" w:sz="0" w:space="0" w:color="auto"/>
                    <w:right w:val="none" w:sz="0" w:space="0" w:color="auto"/>
                  </w:divBdr>
                </w:div>
                <w:div w:id="1461454023">
                  <w:marLeft w:val="0"/>
                  <w:marRight w:val="0"/>
                  <w:marTop w:val="0"/>
                  <w:marBottom w:val="0"/>
                  <w:divBdr>
                    <w:top w:val="none" w:sz="0" w:space="0" w:color="auto"/>
                    <w:left w:val="none" w:sz="0" w:space="0" w:color="auto"/>
                    <w:bottom w:val="none" w:sz="0" w:space="0" w:color="auto"/>
                    <w:right w:val="none" w:sz="0" w:space="0" w:color="auto"/>
                  </w:divBdr>
                </w:div>
                <w:div w:id="12642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2986">
      <w:bodyDiv w:val="1"/>
      <w:marLeft w:val="0"/>
      <w:marRight w:val="0"/>
      <w:marTop w:val="0"/>
      <w:marBottom w:val="0"/>
      <w:divBdr>
        <w:top w:val="none" w:sz="0" w:space="0" w:color="auto"/>
        <w:left w:val="none" w:sz="0" w:space="0" w:color="auto"/>
        <w:bottom w:val="none" w:sz="0" w:space="0" w:color="auto"/>
        <w:right w:val="none" w:sz="0" w:space="0" w:color="auto"/>
      </w:divBdr>
      <w:divsChild>
        <w:div w:id="1203905574">
          <w:marLeft w:val="0"/>
          <w:marRight w:val="0"/>
          <w:marTop w:val="0"/>
          <w:marBottom w:val="0"/>
          <w:divBdr>
            <w:top w:val="none" w:sz="0" w:space="0" w:color="auto"/>
            <w:left w:val="none" w:sz="0" w:space="0" w:color="auto"/>
            <w:bottom w:val="none" w:sz="0" w:space="0" w:color="auto"/>
            <w:right w:val="none" w:sz="0" w:space="0" w:color="auto"/>
          </w:divBdr>
        </w:div>
      </w:divsChild>
    </w:div>
    <w:div w:id="1707441698">
      <w:bodyDiv w:val="1"/>
      <w:marLeft w:val="0"/>
      <w:marRight w:val="0"/>
      <w:marTop w:val="0"/>
      <w:marBottom w:val="0"/>
      <w:divBdr>
        <w:top w:val="none" w:sz="0" w:space="0" w:color="auto"/>
        <w:left w:val="none" w:sz="0" w:space="0" w:color="auto"/>
        <w:bottom w:val="none" w:sz="0" w:space="0" w:color="auto"/>
        <w:right w:val="none" w:sz="0" w:space="0" w:color="auto"/>
      </w:divBdr>
      <w:divsChild>
        <w:div w:id="1375305088">
          <w:marLeft w:val="0"/>
          <w:marRight w:val="0"/>
          <w:marTop w:val="0"/>
          <w:marBottom w:val="0"/>
          <w:divBdr>
            <w:top w:val="none" w:sz="0" w:space="0" w:color="auto"/>
            <w:left w:val="none" w:sz="0" w:space="0" w:color="auto"/>
            <w:bottom w:val="none" w:sz="0" w:space="0" w:color="auto"/>
            <w:right w:val="none" w:sz="0" w:space="0" w:color="auto"/>
          </w:divBdr>
          <w:divsChild>
            <w:div w:id="1297762967">
              <w:marLeft w:val="0"/>
              <w:marRight w:val="0"/>
              <w:marTop w:val="0"/>
              <w:marBottom w:val="0"/>
              <w:divBdr>
                <w:top w:val="none" w:sz="0" w:space="0" w:color="auto"/>
                <w:left w:val="none" w:sz="0" w:space="0" w:color="auto"/>
                <w:bottom w:val="none" w:sz="0" w:space="0" w:color="auto"/>
                <w:right w:val="none" w:sz="0" w:space="0" w:color="auto"/>
              </w:divBdr>
              <w:divsChild>
                <w:div w:id="1584144398">
                  <w:marLeft w:val="0"/>
                  <w:marRight w:val="0"/>
                  <w:marTop w:val="0"/>
                  <w:marBottom w:val="0"/>
                  <w:divBdr>
                    <w:top w:val="none" w:sz="0" w:space="0" w:color="auto"/>
                    <w:left w:val="none" w:sz="0" w:space="0" w:color="auto"/>
                    <w:bottom w:val="none" w:sz="0" w:space="0" w:color="auto"/>
                    <w:right w:val="none" w:sz="0" w:space="0" w:color="auto"/>
                  </w:divBdr>
                </w:div>
                <w:div w:id="1121413513">
                  <w:marLeft w:val="0"/>
                  <w:marRight w:val="0"/>
                  <w:marTop w:val="0"/>
                  <w:marBottom w:val="0"/>
                  <w:divBdr>
                    <w:top w:val="none" w:sz="0" w:space="0" w:color="auto"/>
                    <w:left w:val="none" w:sz="0" w:space="0" w:color="auto"/>
                    <w:bottom w:val="none" w:sz="0" w:space="0" w:color="auto"/>
                    <w:right w:val="none" w:sz="0" w:space="0" w:color="auto"/>
                  </w:divBdr>
                </w:div>
              </w:divsChild>
            </w:div>
            <w:div w:id="1980039474">
              <w:marLeft w:val="0"/>
              <w:marRight w:val="0"/>
              <w:marTop w:val="0"/>
              <w:marBottom w:val="0"/>
              <w:divBdr>
                <w:top w:val="none" w:sz="0" w:space="0" w:color="auto"/>
                <w:left w:val="none" w:sz="0" w:space="0" w:color="auto"/>
                <w:bottom w:val="none" w:sz="0" w:space="0" w:color="auto"/>
                <w:right w:val="none" w:sz="0" w:space="0" w:color="auto"/>
              </w:divBdr>
              <w:divsChild>
                <w:div w:id="582840874">
                  <w:marLeft w:val="0"/>
                  <w:marRight w:val="0"/>
                  <w:marTop w:val="0"/>
                  <w:marBottom w:val="0"/>
                  <w:divBdr>
                    <w:top w:val="none" w:sz="0" w:space="0" w:color="auto"/>
                    <w:left w:val="none" w:sz="0" w:space="0" w:color="auto"/>
                    <w:bottom w:val="none" w:sz="0" w:space="0" w:color="auto"/>
                    <w:right w:val="none" w:sz="0" w:space="0" w:color="auto"/>
                  </w:divBdr>
                </w:div>
                <w:div w:id="615913482">
                  <w:marLeft w:val="0"/>
                  <w:marRight w:val="0"/>
                  <w:marTop w:val="0"/>
                  <w:marBottom w:val="0"/>
                  <w:divBdr>
                    <w:top w:val="none" w:sz="0" w:space="0" w:color="auto"/>
                    <w:left w:val="none" w:sz="0" w:space="0" w:color="auto"/>
                    <w:bottom w:val="none" w:sz="0" w:space="0" w:color="auto"/>
                    <w:right w:val="none" w:sz="0" w:space="0" w:color="auto"/>
                  </w:divBdr>
                </w:div>
                <w:div w:id="964310669">
                  <w:marLeft w:val="0"/>
                  <w:marRight w:val="0"/>
                  <w:marTop w:val="0"/>
                  <w:marBottom w:val="0"/>
                  <w:divBdr>
                    <w:top w:val="none" w:sz="0" w:space="0" w:color="auto"/>
                    <w:left w:val="none" w:sz="0" w:space="0" w:color="auto"/>
                    <w:bottom w:val="none" w:sz="0" w:space="0" w:color="auto"/>
                    <w:right w:val="none" w:sz="0" w:space="0" w:color="auto"/>
                  </w:divBdr>
                </w:div>
                <w:div w:id="1339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8950">
      <w:bodyDiv w:val="1"/>
      <w:marLeft w:val="0"/>
      <w:marRight w:val="0"/>
      <w:marTop w:val="0"/>
      <w:marBottom w:val="0"/>
      <w:divBdr>
        <w:top w:val="none" w:sz="0" w:space="0" w:color="auto"/>
        <w:left w:val="none" w:sz="0" w:space="0" w:color="auto"/>
        <w:bottom w:val="none" w:sz="0" w:space="0" w:color="auto"/>
        <w:right w:val="none" w:sz="0" w:space="0" w:color="auto"/>
      </w:divBdr>
      <w:divsChild>
        <w:div w:id="976255308">
          <w:marLeft w:val="0"/>
          <w:marRight w:val="0"/>
          <w:marTop w:val="0"/>
          <w:marBottom w:val="0"/>
          <w:divBdr>
            <w:top w:val="none" w:sz="0" w:space="0" w:color="auto"/>
            <w:left w:val="none" w:sz="0" w:space="0" w:color="auto"/>
            <w:bottom w:val="none" w:sz="0" w:space="0" w:color="auto"/>
            <w:right w:val="none" w:sz="0" w:space="0" w:color="auto"/>
          </w:divBdr>
          <w:divsChild>
            <w:div w:id="1571502974">
              <w:marLeft w:val="0"/>
              <w:marRight w:val="0"/>
              <w:marTop w:val="0"/>
              <w:marBottom w:val="0"/>
              <w:divBdr>
                <w:top w:val="none" w:sz="0" w:space="0" w:color="auto"/>
                <w:left w:val="none" w:sz="0" w:space="0" w:color="auto"/>
                <w:bottom w:val="none" w:sz="0" w:space="0" w:color="auto"/>
                <w:right w:val="none" w:sz="0" w:space="0" w:color="auto"/>
              </w:divBdr>
            </w:div>
            <w:div w:id="9704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9776">
      <w:bodyDiv w:val="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
      </w:divsChild>
    </w:div>
    <w:div w:id="1789082696">
      <w:bodyDiv w:val="1"/>
      <w:marLeft w:val="0"/>
      <w:marRight w:val="0"/>
      <w:marTop w:val="0"/>
      <w:marBottom w:val="0"/>
      <w:divBdr>
        <w:top w:val="none" w:sz="0" w:space="0" w:color="auto"/>
        <w:left w:val="none" w:sz="0" w:space="0" w:color="auto"/>
        <w:bottom w:val="none" w:sz="0" w:space="0" w:color="auto"/>
        <w:right w:val="none" w:sz="0" w:space="0" w:color="auto"/>
      </w:divBdr>
      <w:divsChild>
        <w:div w:id="1856575796">
          <w:marLeft w:val="0"/>
          <w:marRight w:val="0"/>
          <w:marTop w:val="0"/>
          <w:marBottom w:val="0"/>
          <w:divBdr>
            <w:top w:val="none" w:sz="0" w:space="0" w:color="auto"/>
            <w:left w:val="none" w:sz="0" w:space="0" w:color="auto"/>
            <w:bottom w:val="none" w:sz="0" w:space="0" w:color="auto"/>
            <w:right w:val="none" w:sz="0" w:space="0" w:color="auto"/>
          </w:divBdr>
          <w:divsChild>
            <w:div w:id="1512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790">
      <w:bodyDiv w:val="1"/>
      <w:marLeft w:val="0"/>
      <w:marRight w:val="0"/>
      <w:marTop w:val="0"/>
      <w:marBottom w:val="0"/>
      <w:divBdr>
        <w:top w:val="none" w:sz="0" w:space="0" w:color="auto"/>
        <w:left w:val="none" w:sz="0" w:space="0" w:color="auto"/>
        <w:bottom w:val="none" w:sz="0" w:space="0" w:color="auto"/>
        <w:right w:val="none" w:sz="0" w:space="0" w:color="auto"/>
      </w:divBdr>
      <w:divsChild>
        <w:div w:id="419914912">
          <w:marLeft w:val="0"/>
          <w:marRight w:val="0"/>
          <w:marTop w:val="0"/>
          <w:marBottom w:val="0"/>
          <w:divBdr>
            <w:top w:val="none" w:sz="0" w:space="0" w:color="auto"/>
            <w:left w:val="none" w:sz="0" w:space="0" w:color="auto"/>
            <w:bottom w:val="none" w:sz="0" w:space="0" w:color="auto"/>
            <w:right w:val="none" w:sz="0" w:space="0" w:color="auto"/>
          </w:divBdr>
        </w:div>
      </w:divsChild>
    </w:div>
    <w:div w:id="2128884764">
      <w:bodyDiv w:val="1"/>
      <w:marLeft w:val="0"/>
      <w:marRight w:val="0"/>
      <w:marTop w:val="0"/>
      <w:marBottom w:val="0"/>
      <w:divBdr>
        <w:top w:val="none" w:sz="0" w:space="0" w:color="auto"/>
        <w:left w:val="none" w:sz="0" w:space="0" w:color="auto"/>
        <w:bottom w:val="none" w:sz="0" w:space="0" w:color="auto"/>
        <w:right w:val="none" w:sz="0" w:space="0" w:color="auto"/>
      </w:divBdr>
      <w:divsChild>
        <w:div w:id="1705976884">
          <w:marLeft w:val="0"/>
          <w:marRight w:val="0"/>
          <w:marTop w:val="0"/>
          <w:marBottom w:val="0"/>
          <w:divBdr>
            <w:top w:val="none" w:sz="0" w:space="0" w:color="auto"/>
            <w:left w:val="none" w:sz="0" w:space="0" w:color="auto"/>
            <w:bottom w:val="none" w:sz="0" w:space="0" w:color="auto"/>
            <w:right w:val="none" w:sz="0" w:space="0" w:color="auto"/>
          </w:divBdr>
        </w:div>
      </w:divsChild>
    </w:div>
    <w:div w:id="21381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9225-C8F7-4C9C-A8CC-A53C96C5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3552</Words>
  <Characters>21669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Steen Fischer</dc:creator>
  <cp:keywords/>
  <dc:description/>
  <cp:lastModifiedBy>Morten Jacob Leth</cp:lastModifiedBy>
  <cp:revision>3</cp:revision>
  <cp:lastPrinted>2021-08-23T12:05:00Z</cp:lastPrinted>
  <dcterms:created xsi:type="dcterms:W3CDTF">2021-10-07T08:10:00Z</dcterms:created>
  <dcterms:modified xsi:type="dcterms:W3CDTF">2021-10-07T10:14:00Z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