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DFE6" w14:textId="77777777" w:rsidR="004202D4" w:rsidRPr="0053500B" w:rsidRDefault="004202D4" w:rsidP="004202D4">
      <w:pPr>
        <w:jc w:val="center"/>
        <w:rPr>
          <w:rFonts w:eastAsia="Calibri" w:cs="Times New Roman"/>
          <w:b/>
          <w:szCs w:val="24"/>
        </w:rPr>
      </w:pPr>
      <w:bookmarkStart w:id="0" w:name="_Hlk179973518"/>
      <w:bookmarkStart w:id="1" w:name="_Hlk213154017"/>
      <w:r w:rsidRPr="0053500B">
        <w:rPr>
          <w:rFonts w:eastAsia="Calibri" w:cs="Times New Roman"/>
          <w:b/>
          <w:szCs w:val="24"/>
        </w:rPr>
        <w:t>Forslag</w:t>
      </w:r>
    </w:p>
    <w:p w14:paraId="7BD42FFA" w14:textId="77777777" w:rsidR="004202D4" w:rsidRPr="0053500B" w:rsidRDefault="004202D4" w:rsidP="004202D4">
      <w:pPr>
        <w:jc w:val="center"/>
        <w:rPr>
          <w:rFonts w:eastAsia="Calibri" w:cs="Times New Roman"/>
          <w:szCs w:val="24"/>
        </w:rPr>
      </w:pPr>
      <w:r w:rsidRPr="0053500B">
        <w:rPr>
          <w:rFonts w:eastAsia="Calibri" w:cs="Times New Roman"/>
          <w:szCs w:val="24"/>
        </w:rPr>
        <w:t>til</w:t>
      </w:r>
    </w:p>
    <w:p w14:paraId="16417738" w14:textId="16C7D829" w:rsidR="004202D4" w:rsidRPr="0053500B" w:rsidRDefault="004202D4" w:rsidP="004202D4">
      <w:pPr>
        <w:jc w:val="center"/>
        <w:rPr>
          <w:rFonts w:eastAsia="Calibri" w:cs="Times New Roman"/>
          <w:szCs w:val="24"/>
        </w:rPr>
      </w:pPr>
      <w:r w:rsidRPr="0053500B">
        <w:rPr>
          <w:rFonts w:eastAsia="Calibri" w:cs="Times New Roman"/>
          <w:szCs w:val="24"/>
        </w:rPr>
        <w:t xml:space="preserve">Lov om ændring af færdselsloven </w:t>
      </w:r>
      <w:r w:rsidR="00B42723">
        <w:rPr>
          <w:rFonts w:eastAsia="Calibri" w:cs="Times New Roman"/>
          <w:szCs w:val="24"/>
        </w:rPr>
        <w:t>og synsloven</w:t>
      </w:r>
    </w:p>
    <w:p w14:paraId="68875A4F" w14:textId="5260072C" w:rsidR="004202D4" w:rsidRPr="0053500B" w:rsidRDefault="004202D4" w:rsidP="007A3F9E">
      <w:pPr>
        <w:jc w:val="center"/>
        <w:rPr>
          <w:rFonts w:eastAsia="Calibri" w:cs="Times New Roman"/>
          <w:szCs w:val="24"/>
        </w:rPr>
      </w:pPr>
      <w:r w:rsidRPr="0053500B">
        <w:rPr>
          <w:rFonts w:eastAsia="Calibri" w:cs="Times New Roman"/>
          <w:szCs w:val="24"/>
        </w:rPr>
        <w:t>(</w:t>
      </w:r>
      <w:r w:rsidR="007A3F9E" w:rsidRPr="007A3F9E">
        <w:rPr>
          <w:rFonts w:eastAsia="Calibri" w:cs="Times New Roman"/>
          <w:szCs w:val="24"/>
        </w:rPr>
        <w:t xml:space="preserve">Skærpelse af sanktionerne for farlig kørsel og vanvidskørsel, lempelse af </w:t>
      </w:r>
      <w:r w:rsidR="007A3F9E">
        <w:rPr>
          <w:rFonts w:eastAsia="Calibri" w:cs="Times New Roman"/>
          <w:szCs w:val="24"/>
        </w:rPr>
        <w:t>k</w:t>
      </w:r>
      <w:r w:rsidR="007A3F9E" w:rsidRPr="007A3F9E">
        <w:rPr>
          <w:rFonts w:eastAsia="Calibri" w:cs="Times New Roman"/>
          <w:szCs w:val="24"/>
        </w:rPr>
        <w:t>lippekortordningen</w:t>
      </w:r>
      <w:r w:rsidR="007A3F9E">
        <w:rPr>
          <w:rFonts w:eastAsia="Calibri" w:cs="Times New Roman"/>
          <w:szCs w:val="24"/>
        </w:rPr>
        <w:t xml:space="preserve"> </w:t>
      </w:r>
      <w:r w:rsidR="007A3F9E" w:rsidRPr="007A3F9E">
        <w:rPr>
          <w:rFonts w:eastAsia="Calibri" w:cs="Times New Roman"/>
          <w:szCs w:val="24"/>
        </w:rPr>
        <w:t>for førere af udrykningskøretøjer</w:t>
      </w:r>
      <w:r w:rsidR="00B42723">
        <w:rPr>
          <w:rFonts w:eastAsia="Calibri" w:cs="Times New Roman"/>
          <w:szCs w:val="24"/>
        </w:rPr>
        <w:t>,</w:t>
      </w:r>
      <w:r w:rsidR="007A3F9E" w:rsidRPr="007A3F9E">
        <w:rPr>
          <w:rFonts w:eastAsia="Calibri" w:cs="Times New Roman"/>
          <w:szCs w:val="24"/>
        </w:rPr>
        <w:t xml:space="preserve"> bemyndigelse til</w:t>
      </w:r>
      <w:r w:rsidR="007A3F9E">
        <w:rPr>
          <w:rFonts w:eastAsia="Calibri" w:cs="Times New Roman"/>
          <w:szCs w:val="24"/>
        </w:rPr>
        <w:t xml:space="preserve"> </w:t>
      </w:r>
      <w:r w:rsidR="007A3F9E" w:rsidRPr="007A3F9E">
        <w:rPr>
          <w:rFonts w:eastAsia="Calibri" w:cs="Times New Roman"/>
          <w:szCs w:val="24"/>
        </w:rPr>
        <w:t xml:space="preserve">dispensation fra færdselsreglerne i forbindelse med gennemførelse af </w:t>
      </w:r>
      <w:r w:rsidR="000703C3">
        <w:rPr>
          <w:rFonts w:eastAsia="Calibri" w:cs="Times New Roman"/>
          <w:szCs w:val="24"/>
        </w:rPr>
        <w:t>blokvognskørsel</w:t>
      </w:r>
      <w:r w:rsidR="00B42723">
        <w:rPr>
          <w:rFonts w:eastAsia="Calibri" w:cs="Times New Roman"/>
          <w:szCs w:val="24"/>
        </w:rPr>
        <w:t xml:space="preserve"> og </w:t>
      </w:r>
      <w:r w:rsidR="004051F6" w:rsidRPr="004051F6">
        <w:rPr>
          <w:rFonts w:eastAsia="Calibri" w:cs="Times New Roman"/>
          <w:szCs w:val="24"/>
        </w:rPr>
        <w:t>indførelse af regler om Færdselsstyrelsens kontrol og opkrævning af bøder for manglende betaling af vejafgift</w:t>
      </w:r>
      <w:r w:rsidRPr="0053500B">
        <w:rPr>
          <w:rFonts w:eastAsia="Calibri" w:cs="Times New Roman"/>
          <w:szCs w:val="24"/>
        </w:rPr>
        <w:t>)</w:t>
      </w:r>
    </w:p>
    <w:bookmarkEnd w:id="0"/>
    <w:p w14:paraId="517E8F42" w14:textId="436F2AB6" w:rsidR="00216DFF" w:rsidRPr="0053500B" w:rsidRDefault="00216DFF" w:rsidP="008C6183">
      <w:pPr>
        <w:rPr>
          <w:rFonts w:eastAsia="Calibri" w:cs="Times New Roman"/>
          <w:b/>
          <w:szCs w:val="24"/>
        </w:rPr>
      </w:pPr>
    </w:p>
    <w:p w14:paraId="264A4B4D" w14:textId="6AE730C7" w:rsidR="00762C39" w:rsidRDefault="00762C39" w:rsidP="00216DFF">
      <w:pPr>
        <w:rPr>
          <w:rFonts w:eastAsia="Calibri" w:cs="Times New Roman"/>
          <w:szCs w:val="24"/>
        </w:rPr>
      </w:pPr>
      <w:bookmarkStart w:id="2" w:name="_Hlk180744773"/>
    </w:p>
    <w:p w14:paraId="1046BD29" w14:textId="0847A127" w:rsidR="00216DFF" w:rsidRDefault="00CF0BE5" w:rsidP="00CF0BE5">
      <w:pPr>
        <w:jc w:val="center"/>
        <w:rPr>
          <w:rFonts w:eastAsia="Calibri" w:cs="Times New Roman"/>
          <w:b/>
          <w:szCs w:val="24"/>
        </w:rPr>
      </w:pPr>
      <w:bookmarkStart w:id="3" w:name="_Hlk215230145"/>
      <w:r w:rsidRPr="00CF0BE5">
        <w:rPr>
          <w:rFonts w:eastAsia="Calibri" w:cs="Times New Roman"/>
          <w:b/>
          <w:szCs w:val="24"/>
        </w:rPr>
        <w:t>§ 1</w:t>
      </w:r>
    </w:p>
    <w:p w14:paraId="648197EC" w14:textId="77777777" w:rsidR="002F3C2D" w:rsidRDefault="002F3C2D" w:rsidP="002F3C2D">
      <w:pPr>
        <w:rPr>
          <w:rFonts w:eastAsia="Calibri" w:cs="Times New Roman"/>
          <w:b/>
          <w:szCs w:val="24"/>
        </w:rPr>
      </w:pPr>
    </w:p>
    <w:p w14:paraId="4157D289" w14:textId="4B3436F2" w:rsidR="002F3C2D" w:rsidRDefault="002F3C2D" w:rsidP="002F3C2D">
      <w:pPr>
        <w:rPr>
          <w:rFonts w:eastAsia="Calibri" w:cs="Times New Roman"/>
          <w:szCs w:val="24"/>
        </w:rPr>
      </w:pPr>
      <w:r w:rsidRPr="0053500B">
        <w:rPr>
          <w:rFonts w:eastAsia="Calibri" w:cs="Times New Roman"/>
          <w:szCs w:val="24"/>
        </w:rPr>
        <w:t>I færdselsloven, jf. lovbekendtgørelse nr. 1</w:t>
      </w:r>
      <w:r>
        <w:rPr>
          <w:rFonts w:eastAsia="Calibri" w:cs="Times New Roman"/>
          <w:szCs w:val="24"/>
        </w:rPr>
        <w:t>312</w:t>
      </w:r>
      <w:r w:rsidRPr="0053500B">
        <w:rPr>
          <w:rFonts w:eastAsia="Calibri" w:cs="Times New Roman"/>
          <w:szCs w:val="24"/>
        </w:rPr>
        <w:t xml:space="preserve"> af </w:t>
      </w:r>
      <w:r>
        <w:rPr>
          <w:rFonts w:eastAsia="Calibri" w:cs="Times New Roman"/>
          <w:szCs w:val="24"/>
        </w:rPr>
        <w:t>26</w:t>
      </w:r>
      <w:r w:rsidRPr="0053500B">
        <w:rPr>
          <w:rFonts w:eastAsia="Calibri" w:cs="Times New Roman"/>
          <w:szCs w:val="24"/>
        </w:rPr>
        <w:t xml:space="preserve">. </w:t>
      </w:r>
      <w:r>
        <w:rPr>
          <w:rFonts w:eastAsia="Calibri" w:cs="Times New Roman"/>
          <w:szCs w:val="24"/>
        </w:rPr>
        <w:t>november</w:t>
      </w:r>
      <w:r w:rsidRPr="0053500B">
        <w:rPr>
          <w:rFonts w:eastAsia="Calibri" w:cs="Times New Roman"/>
          <w:szCs w:val="24"/>
        </w:rPr>
        <w:t xml:space="preserve"> 202</w:t>
      </w:r>
      <w:r>
        <w:rPr>
          <w:rFonts w:eastAsia="Calibri" w:cs="Times New Roman"/>
          <w:szCs w:val="24"/>
        </w:rPr>
        <w:t>4</w:t>
      </w:r>
      <w:r w:rsidRPr="0053500B">
        <w:rPr>
          <w:rFonts w:eastAsia="Calibri" w:cs="Times New Roman"/>
          <w:szCs w:val="24"/>
        </w:rPr>
        <w:t>, som</w:t>
      </w:r>
      <w:r w:rsidR="00830CB6">
        <w:rPr>
          <w:rFonts w:eastAsia="Calibri" w:cs="Times New Roman"/>
          <w:szCs w:val="24"/>
        </w:rPr>
        <w:t xml:space="preserve"> senest</w:t>
      </w:r>
      <w:r w:rsidRPr="0053500B">
        <w:rPr>
          <w:rFonts w:eastAsia="Calibri" w:cs="Times New Roman"/>
          <w:szCs w:val="24"/>
        </w:rPr>
        <w:t xml:space="preserve"> ændret ved </w:t>
      </w:r>
      <w:r w:rsidR="00830CB6">
        <w:rPr>
          <w:rFonts w:eastAsia="Calibri" w:cs="Times New Roman"/>
          <w:szCs w:val="24"/>
        </w:rPr>
        <w:t xml:space="preserve">§ 1 i </w:t>
      </w:r>
      <w:r w:rsidRPr="0053500B">
        <w:rPr>
          <w:rFonts w:eastAsia="Calibri" w:cs="Times New Roman"/>
          <w:szCs w:val="24"/>
        </w:rPr>
        <w:t>lov nr.</w:t>
      </w:r>
      <w:r w:rsidR="00830CB6">
        <w:rPr>
          <w:rFonts w:eastAsia="Calibri" w:cs="Times New Roman"/>
          <w:szCs w:val="24"/>
        </w:rPr>
        <w:t>1787 af 29. december 2025</w:t>
      </w:r>
      <w:r w:rsidRPr="0053500B">
        <w:rPr>
          <w:rFonts w:eastAsia="Calibri" w:cs="Times New Roman"/>
          <w:szCs w:val="24"/>
        </w:rPr>
        <w:t>, foretages følgende ændringer:</w:t>
      </w:r>
    </w:p>
    <w:p w14:paraId="04D39468" w14:textId="77777777" w:rsidR="00216DFF" w:rsidRPr="0053500B" w:rsidRDefault="00216DFF" w:rsidP="00216DFF">
      <w:pPr>
        <w:rPr>
          <w:rFonts w:eastAsia="Calibri" w:cs="Times New Roman"/>
          <w:b/>
          <w:szCs w:val="24"/>
        </w:rPr>
      </w:pPr>
    </w:p>
    <w:p w14:paraId="3A61ECFA" w14:textId="5183ADB0" w:rsidR="005565AC" w:rsidRDefault="005565AC" w:rsidP="005565AC">
      <w:pPr>
        <w:pStyle w:val="Listeafsnit"/>
        <w:numPr>
          <w:ilvl w:val="0"/>
          <w:numId w:val="14"/>
        </w:numPr>
        <w:ind w:left="426" w:hanging="426"/>
        <w:rPr>
          <w:rFonts w:eastAsia="Calibri" w:cs="Times New Roman"/>
          <w:szCs w:val="24"/>
        </w:rPr>
      </w:pPr>
      <w:bookmarkStart w:id="4" w:name="_Hlk181198858"/>
      <w:r w:rsidRPr="005565AC">
        <w:rPr>
          <w:rFonts w:eastAsia="Calibri" w:cs="Times New Roman"/>
          <w:szCs w:val="24"/>
        </w:rPr>
        <w:t xml:space="preserve">I </w:t>
      </w:r>
      <w:r w:rsidRPr="00C147DC">
        <w:rPr>
          <w:rFonts w:eastAsia="Calibri" w:cs="Times New Roman"/>
          <w:i/>
          <w:iCs/>
          <w:szCs w:val="24"/>
        </w:rPr>
        <w:t>§ 86, stk. 1</w:t>
      </w:r>
      <w:r w:rsidR="00C147DC" w:rsidRPr="00C147DC">
        <w:rPr>
          <w:rFonts w:eastAsia="Calibri" w:cs="Times New Roman"/>
          <w:i/>
          <w:iCs/>
          <w:szCs w:val="24"/>
        </w:rPr>
        <w:t>,</w:t>
      </w:r>
      <w:r w:rsidR="00C147DC">
        <w:rPr>
          <w:rFonts w:eastAsia="Calibri" w:cs="Times New Roman"/>
          <w:szCs w:val="24"/>
        </w:rPr>
        <w:t xml:space="preserve"> </w:t>
      </w:r>
      <w:r w:rsidRPr="005565AC">
        <w:rPr>
          <w:rFonts w:eastAsia="Calibri" w:cs="Times New Roman"/>
          <w:szCs w:val="24"/>
        </w:rPr>
        <w:t>ændres »politiets« til: »Vejdirektoratets«.</w:t>
      </w:r>
    </w:p>
    <w:p w14:paraId="67AACBC9" w14:textId="77777777" w:rsidR="005565AC" w:rsidRPr="005565AC" w:rsidRDefault="005565AC" w:rsidP="005565AC">
      <w:pPr>
        <w:rPr>
          <w:rFonts w:eastAsia="Calibri" w:cs="Times New Roman"/>
          <w:szCs w:val="24"/>
        </w:rPr>
      </w:pPr>
    </w:p>
    <w:p w14:paraId="2394854B" w14:textId="1BA54BB0" w:rsidR="005565AC" w:rsidRDefault="005565AC" w:rsidP="005565AC">
      <w:pPr>
        <w:pStyle w:val="Listeafsnit"/>
        <w:numPr>
          <w:ilvl w:val="0"/>
          <w:numId w:val="14"/>
        </w:numPr>
        <w:ind w:left="426" w:hanging="426"/>
        <w:rPr>
          <w:rFonts w:eastAsia="Calibri" w:cs="Times New Roman"/>
          <w:szCs w:val="24"/>
        </w:rPr>
      </w:pPr>
      <w:r w:rsidRPr="005565AC">
        <w:rPr>
          <w:rFonts w:eastAsia="Calibri" w:cs="Times New Roman"/>
          <w:szCs w:val="24"/>
        </w:rPr>
        <w:t xml:space="preserve">I </w:t>
      </w:r>
      <w:r w:rsidRPr="00C147DC">
        <w:rPr>
          <w:rFonts w:eastAsia="Calibri" w:cs="Times New Roman"/>
          <w:i/>
          <w:iCs/>
          <w:szCs w:val="24"/>
        </w:rPr>
        <w:t>§ 86</w:t>
      </w:r>
      <w:r w:rsidRPr="005565AC">
        <w:rPr>
          <w:rFonts w:eastAsia="Calibri" w:cs="Times New Roman"/>
          <w:szCs w:val="24"/>
        </w:rPr>
        <w:t xml:space="preserve"> indsættes efter stk. 1 som nyt stykke:</w:t>
      </w:r>
    </w:p>
    <w:p w14:paraId="2F554E5E" w14:textId="741BFC75" w:rsidR="005565AC" w:rsidRDefault="005565AC" w:rsidP="005565AC">
      <w:pPr>
        <w:rPr>
          <w:rFonts w:eastAsia="Calibri" w:cs="Times New Roman"/>
          <w:szCs w:val="24"/>
        </w:rPr>
      </w:pPr>
    </w:p>
    <w:p w14:paraId="29BBB311" w14:textId="483DEACE" w:rsidR="005565AC" w:rsidRPr="005565AC" w:rsidRDefault="005565AC" w:rsidP="00C147DC">
      <w:pPr>
        <w:ind w:left="426" w:firstLine="141"/>
        <w:rPr>
          <w:rFonts w:eastAsia="Calibri" w:cs="Times New Roman"/>
          <w:szCs w:val="24"/>
        </w:rPr>
      </w:pPr>
      <w:r w:rsidRPr="005565AC">
        <w:rPr>
          <w:rFonts w:eastAsia="Calibri" w:cs="Times New Roman"/>
          <w:i/>
          <w:iCs/>
          <w:szCs w:val="24"/>
        </w:rPr>
        <w:t>»Stk. 2.</w:t>
      </w:r>
      <w:r w:rsidRPr="005565AC">
        <w:rPr>
          <w:rFonts w:eastAsia="Calibri" w:cs="Times New Roman"/>
          <w:szCs w:val="24"/>
        </w:rPr>
        <w:t xml:space="preserve"> </w:t>
      </w:r>
      <w:bookmarkStart w:id="5" w:name="_Hlk218597886"/>
      <w:r w:rsidRPr="005565AC">
        <w:rPr>
          <w:rFonts w:eastAsia="Calibri" w:cs="Times New Roman"/>
          <w:szCs w:val="24"/>
        </w:rPr>
        <w:t>Vejdirektoratet kan i forbindelse med udstedelse af tilladelse, jf. stk. 1, give dispensation til at fravige bestemmelserne i § 4, stk. 1,</w:t>
      </w:r>
      <w:r w:rsidR="00C147DC">
        <w:rPr>
          <w:rFonts w:eastAsia="Calibri" w:cs="Times New Roman"/>
          <w:szCs w:val="24"/>
        </w:rPr>
        <w:t xml:space="preserve"> </w:t>
      </w:r>
      <w:r w:rsidRPr="005565AC">
        <w:rPr>
          <w:rFonts w:eastAsia="Calibri" w:cs="Times New Roman"/>
          <w:szCs w:val="24"/>
        </w:rPr>
        <w:t xml:space="preserve">§ 14, stk. 1 og 5, § 15, stk. 1-4, § 16, stk. 1, </w:t>
      </w:r>
      <w:r w:rsidR="00C147DC">
        <w:rPr>
          <w:rFonts w:eastAsia="Calibri" w:cs="Times New Roman"/>
          <w:szCs w:val="24"/>
        </w:rPr>
        <w:t xml:space="preserve">og </w:t>
      </w:r>
      <w:r w:rsidRPr="005565AC">
        <w:rPr>
          <w:rFonts w:eastAsia="Calibri" w:cs="Times New Roman"/>
          <w:szCs w:val="24"/>
        </w:rPr>
        <w:t>3-5, § 17, stk. 1, § 18, § 20, stk. 1, § 22, § 28, stk. 1</w:t>
      </w:r>
      <w:r w:rsidR="00C147DC">
        <w:rPr>
          <w:rFonts w:eastAsia="Calibri" w:cs="Times New Roman"/>
          <w:szCs w:val="24"/>
        </w:rPr>
        <w:t xml:space="preserve"> og </w:t>
      </w:r>
      <w:r w:rsidRPr="005565AC">
        <w:rPr>
          <w:rFonts w:eastAsia="Calibri" w:cs="Times New Roman"/>
          <w:szCs w:val="24"/>
        </w:rPr>
        <w:t>2, § 29, stk. 1, nr. 7-10, § 44, stk. 1</w:t>
      </w:r>
      <w:r w:rsidR="00C147DC">
        <w:rPr>
          <w:rFonts w:eastAsia="Calibri" w:cs="Times New Roman"/>
          <w:szCs w:val="24"/>
        </w:rPr>
        <w:t xml:space="preserve"> og </w:t>
      </w:r>
      <w:r w:rsidRPr="005565AC">
        <w:rPr>
          <w:rFonts w:eastAsia="Calibri" w:cs="Times New Roman"/>
          <w:szCs w:val="24"/>
        </w:rPr>
        <w:t xml:space="preserve">2, § 46, stk. 1-3, </w:t>
      </w:r>
      <w:r w:rsidR="00C147DC">
        <w:rPr>
          <w:rFonts w:eastAsia="Calibri" w:cs="Times New Roman"/>
          <w:szCs w:val="24"/>
        </w:rPr>
        <w:t xml:space="preserve">og </w:t>
      </w:r>
      <w:r w:rsidRPr="005565AC">
        <w:rPr>
          <w:rFonts w:eastAsia="Calibri" w:cs="Times New Roman"/>
          <w:szCs w:val="24"/>
        </w:rPr>
        <w:t>§ 48,</w:t>
      </w:r>
      <w:r w:rsidR="00C147DC">
        <w:rPr>
          <w:rFonts w:eastAsia="Calibri" w:cs="Times New Roman"/>
          <w:szCs w:val="24"/>
        </w:rPr>
        <w:t xml:space="preserve"> hvis </w:t>
      </w:r>
      <w:r w:rsidR="007C1D32">
        <w:rPr>
          <w:rFonts w:eastAsia="Calibri" w:cs="Times New Roman"/>
          <w:szCs w:val="24"/>
        </w:rPr>
        <w:t xml:space="preserve">køretøjets samlede </w:t>
      </w:r>
      <w:r w:rsidR="00C147DC">
        <w:rPr>
          <w:rFonts w:eastAsia="Calibri" w:cs="Times New Roman"/>
          <w:szCs w:val="24"/>
        </w:rPr>
        <w:t xml:space="preserve">længde, bredde eller </w:t>
      </w:r>
      <w:r w:rsidR="007C1D32">
        <w:rPr>
          <w:rFonts w:eastAsia="Calibri" w:cs="Times New Roman"/>
          <w:szCs w:val="24"/>
        </w:rPr>
        <w:t xml:space="preserve">dimensionerne på det transporterede </w:t>
      </w:r>
      <w:r w:rsidR="00C147DC">
        <w:rPr>
          <w:rFonts w:eastAsia="Calibri" w:cs="Times New Roman"/>
          <w:szCs w:val="24"/>
        </w:rPr>
        <w:t xml:space="preserve">gods </w:t>
      </w:r>
      <w:bookmarkEnd w:id="5"/>
      <w:r w:rsidR="00C147DC">
        <w:rPr>
          <w:rFonts w:eastAsia="Calibri" w:cs="Times New Roman"/>
          <w:szCs w:val="24"/>
        </w:rPr>
        <w:t>ikke gør det muligt at gennemføre transporten i overensstemmelse med de pågældende regler.</w:t>
      </w:r>
      <w:r w:rsidRPr="005565AC">
        <w:rPr>
          <w:rFonts w:eastAsia="Calibri" w:cs="Times New Roman"/>
          <w:szCs w:val="24"/>
        </w:rPr>
        <w:t>«</w:t>
      </w:r>
    </w:p>
    <w:p w14:paraId="70B1039F" w14:textId="071E55DE" w:rsidR="005565AC" w:rsidRDefault="005565AC" w:rsidP="002B41D8">
      <w:pPr>
        <w:ind w:left="851" w:hanging="425"/>
        <w:rPr>
          <w:rFonts w:eastAsia="Calibri" w:cs="Times New Roman"/>
          <w:szCs w:val="24"/>
        </w:rPr>
      </w:pPr>
      <w:r w:rsidRPr="005565AC">
        <w:rPr>
          <w:rFonts w:eastAsia="Calibri" w:cs="Times New Roman"/>
          <w:szCs w:val="24"/>
        </w:rPr>
        <w:t>Stk. 2. bliver herefter stk. 3.</w:t>
      </w:r>
    </w:p>
    <w:p w14:paraId="1281631F" w14:textId="08C44AA5" w:rsidR="00981350" w:rsidRDefault="00981350" w:rsidP="002B41D8">
      <w:pPr>
        <w:ind w:left="851" w:hanging="425"/>
        <w:rPr>
          <w:rFonts w:eastAsia="Calibri" w:cs="Times New Roman"/>
          <w:szCs w:val="24"/>
        </w:rPr>
      </w:pPr>
    </w:p>
    <w:p w14:paraId="6D706020" w14:textId="4EDD55AF" w:rsidR="00981350" w:rsidRPr="005565AC" w:rsidRDefault="00981350" w:rsidP="00981350">
      <w:pPr>
        <w:spacing w:line="280" w:lineRule="atLeast"/>
        <w:ind w:right="-1986"/>
        <w:jc w:val="left"/>
        <w:rPr>
          <w:rFonts w:eastAsia="Calibri" w:cs="Times New Roman"/>
          <w:szCs w:val="24"/>
        </w:rPr>
      </w:pPr>
      <w:r w:rsidRPr="003B0A56">
        <w:rPr>
          <w:rFonts w:cs="Times New Roman"/>
          <w:bCs/>
          <w:i/>
          <w:iCs/>
          <w:szCs w:val="24"/>
        </w:rPr>
        <w:t>[Redaktionel note til høringsudgaven: Lovforsla</w:t>
      </w:r>
      <w:r>
        <w:rPr>
          <w:rFonts w:cs="Times New Roman"/>
          <w:bCs/>
          <w:i/>
          <w:iCs/>
          <w:szCs w:val="24"/>
        </w:rPr>
        <w:t>g</w:t>
      </w:r>
      <w:r w:rsidRPr="003B0A56">
        <w:rPr>
          <w:rFonts w:cs="Times New Roman"/>
          <w:bCs/>
          <w:i/>
          <w:iCs/>
          <w:szCs w:val="24"/>
        </w:rPr>
        <w:t>e</w:t>
      </w:r>
      <w:r>
        <w:rPr>
          <w:rFonts w:cs="Times New Roman"/>
          <w:bCs/>
          <w:i/>
          <w:iCs/>
          <w:szCs w:val="24"/>
        </w:rPr>
        <w:t xml:space="preserve">ts § 1, nr. 5,6 og 8, samt bemærkningerne hertil </w:t>
      </w:r>
      <w:r w:rsidRPr="003B0A56">
        <w:rPr>
          <w:rFonts w:cs="Times New Roman"/>
          <w:bCs/>
          <w:i/>
          <w:iCs/>
          <w:szCs w:val="24"/>
        </w:rPr>
        <w:t xml:space="preserve">vil ved vedtagelse af </w:t>
      </w:r>
      <w:r w:rsidR="00F42951">
        <w:rPr>
          <w:rFonts w:cs="Times New Roman"/>
          <w:bCs/>
          <w:i/>
          <w:iCs/>
          <w:szCs w:val="24"/>
        </w:rPr>
        <w:t xml:space="preserve">justitsministerens </w:t>
      </w:r>
      <w:r w:rsidRPr="003B0A56">
        <w:rPr>
          <w:rFonts w:cs="Times New Roman"/>
          <w:bCs/>
          <w:i/>
          <w:iCs/>
          <w:szCs w:val="24"/>
        </w:rPr>
        <w:t xml:space="preserve">L 83 blive opdateret med de kommende </w:t>
      </w:r>
      <w:r>
        <w:rPr>
          <w:rFonts w:cs="Times New Roman"/>
          <w:bCs/>
          <w:i/>
          <w:iCs/>
          <w:szCs w:val="24"/>
        </w:rPr>
        <w:t>korrekte</w:t>
      </w:r>
      <w:r w:rsidRPr="003B0A56">
        <w:rPr>
          <w:rFonts w:cs="Times New Roman"/>
          <w:bCs/>
          <w:i/>
          <w:iCs/>
          <w:szCs w:val="24"/>
        </w:rPr>
        <w:t xml:space="preserve"> henvisninger til straffelovens bestemmelser]</w:t>
      </w:r>
    </w:p>
    <w:p w14:paraId="5BB35BE1" w14:textId="77777777" w:rsidR="00FA3C6E" w:rsidRPr="00FA3C6E" w:rsidRDefault="00FA3C6E" w:rsidP="00FA3C6E">
      <w:pPr>
        <w:pStyle w:val="Listeafsnit"/>
        <w:rPr>
          <w:rFonts w:eastAsia="Calibri" w:cs="Times New Roman"/>
          <w:szCs w:val="24"/>
        </w:rPr>
      </w:pPr>
    </w:p>
    <w:p w14:paraId="3212EAB4" w14:textId="03F64B8C" w:rsidR="00216DFF" w:rsidRDefault="00247108" w:rsidP="002F3C2D">
      <w:pPr>
        <w:pStyle w:val="Listeafsnit"/>
        <w:numPr>
          <w:ilvl w:val="0"/>
          <w:numId w:val="14"/>
        </w:numPr>
        <w:ind w:left="426" w:hanging="426"/>
        <w:rPr>
          <w:rFonts w:eastAsia="Calibri" w:cs="Times New Roman"/>
          <w:szCs w:val="24"/>
        </w:rPr>
      </w:pPr>
      <w:r w:rsidRPr="00FE2746">
        <w:rPr>
          <w:rFonts w:eastAsia="Calibri" w:cs="Times New Roman"/>
          <w:szCs w:val="24"/>
        </w:rPr>
        <w:t xml:space="preserve">I </w:t>
      </w:r>
      <w:r w:rsidRPr="00FE2746">
        <w:rPr>
          <w:rFonts w:eastAsia="Calibri" w:cs="Times New Roman"/>
          <w:i/>
          <w:szCs w:val="24"/>
        </w:rPr>
        <w:t>§ 125</w:t>
      </w:r>
      <w:r w:rsidR="00FE2746" w:rsidRPr="00FE2746">
        <w:rPr>
          <w:rFonts w:eastAsia="Calibri" w:cs="Times New Roman"/>
          <w:i/>
          <w:szCs w:val="24"/>
        </w:rPr>
        <w:t>, stk. 2,</w:t>
      </w:r>
      <w:r w:rsidR="00FE2746" w:rsidRPr="00FE2746">
        <w:rPr>
          <w:rFonts w:eastAsia="Calibri" w:cs="Times New Roman"/>
          <w:szCs w:val="24"/>
        </w:rPr>
        <w:t xml:space="preserve"> ændres »Føreren skal« til: »Med undtagelse af de tilfælde, der er omfattet af stk. 6, skal føreren«.</w:t>
      </w:r>
    </w:p>
    <w:p w14:paraId="7E0252B3" w14:textId="77777777" w:rsidR="00FE2746" w:rsidRDefault="00FE2746" w:rsidP="00FE2746">
      <w:pPr>
        <w:pStyle w:val="Listeafsnit"/>
        <w:ind w:left="426"/>
        <w:rPr>
          <w:rFonts w:eastAsia="Calibri" w:cs="Times New Roman"/>
          <w:szCs w:val="24"/>
        </w:rPr>
      </w:pPr>
    </w:p>
    <w:p w14:paraId="5018501C" w14:textId="618B0B4B" w:rsidR="00FE2746" w:rsidRDefault="00FE2746" w:rsidP="002F3C2D">
      <w:pPr>
        <w:pStyle w:val="Listeafsnit"/>
        <w:numPr>
          <w:ilvl w:val="0"/>
          <w:numId w:val="14"/>
        </w:numPr>
        <w:ind w:left="426" w:hanging="426"/>
        <w:rPr>
          <w:rFonts w:eastAsia="Calibri" w:cs="Times New Roman"/>
          <w:szCs w:val="24"/>
        </w:rPr>
      </w:pPr>
      <w:r>
        <w:rPr>
          <w:rFonts w:eastAsia="Calibri" w:cs="Times New Roman"/>
          <w:szCs w:val="24"/>
        </w:rPr>
        <w:t>I</w:t>
      </w:r>
      <w:r w:rsidR="003F692D">
        <w:rPr>
          <w:rFonts w:eastAsia="Calibri" w:cs="Times New Roman"/>
          <w:szCs w:val="24"/>
        </w:rPr>
        <w:t xml:space="preserve"> </w:t>
      </w:r>
      <w:r w:rsidR="003F692D" w:rsidRPr="003F692D">
        <w:rPr>
          <w:rFonts w:eastAsia="Calibri" w:cs="Times New Roman"/>
          <w:i/>
          <w:szCs w:val="24"/>
        </w:rPr>
        <w:t xml:space="preserve">§ 125 </w:t>
      </w:r>
      <w:r w:rsidR="003F692D">
        <w:rPr>
          <w:rFonts w:eastAsia="Calibri" w:cs="Times New Roman"/>
          <w:szCs w:val="24"/>
        </w:rPr>
        <w:t>indsættes efter stk. 5 som nyt stykke:</w:t>
      </w:r>
    </w:p>
    <w:p w14:paraId="794E529C" w14:textId="39B009B1" w:rsidR="003F692D" w:rsidRDefault="003F692D" w:rsidP="00AF3E2E">
      <w:pPr>
        <w:pStyle w:val="Listeafsnit"/>
        <w:ind w:left="426" w:firstLine="142"/>
        <w:rPr>
          <w:rFonts w:eastAsia="Calibri" w:cs="Times New Roman"/>
          <w:szCs w:val="24"/>
        </w:rPr>
      </w:pPr>
      <w:r w:rsidRPr="003F692D">
        <w:rPr>
          <w:rFonts w:eastAsia="Calibri" w:cs="Times New Roman"/>
          <w:i/>
          <w:szCs w:val="24"/>
        </w:rPr>
        <w:t xml:space="preserve">»Stk. 6. </w:t>
      </w:r>
      <w:r w:rsidR="00FA3C6E">
        <w:rPr>
          <w:rFonts w:eastAsia="Calibri" w:cs="Times New Roman"/>
          <w:szCs w:val="24"/>
        </w:rPr>
        <w:t>Med undtagelse af forhold omfattet af § 4, stk. 2, § 5, stk. 2, og § 55 a, stk. 1, gælder st</w:t>
      </w:r>
      <w:r w:rsidR="00FA3C6E" w:rsidRPr="00A84610">
        <w:rPr>
          <w:rFonts w:eastAsia="Calibri" w:cs="Times New Roman"/>
          <w:szCs w:val="24"/>
        </w:rPr>
        <w:t xml:space="preserve">k. 2, nr. 1-5, ikke for førere af udrykningskøretøjer under udrykningskørsel, der er omfattet af regler udstedt i medfør af § 7, stk. 1, hvis </w:t>
      </w:r>
      <w:r w:rsidR="00FA3C6E" w:rsidRPr="00061118">
        <w:rPr>
          <w:rFonts w:eastAsia="Calibri" w:cs="Times New Roman"/>
          <w:szCs w:val="24"/>
        </w:rPr>
        <w:t>betingelserne</w:t>
      </w:r>
      <w:r w:rsidR="00FA3C6E" w:rsidRPr="00A84610">
        <w:rPr>
          <w:rFonts w:eastAsia="Calibri" w:cs="Times New Roman"/>
          <w:szCs w:val="24"/>
        </w:rPr>
        <w:t xml:space="preserve"> for at foretage udrykningskørsel er opfyldt.</w:t>
      </w:r>
      <w:r w:rsidR="00FA3C6E">
        <w:rPr>
          <w:rFonts w:eastAsia="Calibri" w:cs="Times New Roman"/>
          <w:szCs w:val="24"/>
        </w:rPr>
        <w:t xml:space="preserve"> Ved overtrædelse af § 4, stk. 1, i forbindelse med fremkørsel </w:t>
      </w:r>
      <w:r w:rsidR="00FA3C6E">
        <w:rPr>
          <w:rFonts w:eastAsia="Calibri" w:cs="Times New Roman"/>
          <w:szCs w:val="24"/>
        </w:rPr>
        <w:lastRenderedPageBreak/>
        <w:t>mod rødt eller gult lyssignal i kryds, finder 1. pkt. alene anvendelse, hvis føreren har nedsat hastigheden i tilstrækkeligt omfang til, at der straks kan standses for mulig tværgående trafik.</w:t>
      </w:r>
      <w:r w:rsidR="00FA3C6E" w:rsidRPr="00A84610">
        <w:rPr>
          <w:rFonts w:eastAsia="Calibri" w:cs="Times New Roman"/>
          <w:szCs w:val="24"/>
        </w:rPr>
        <w:t>«</w:t>
      </w:r>
    </w:p>
    <w:p w14:paraId="0830510C" w14:textId="4D3910B1" w:rsidR="003F692D" w:rsidRDefault="003F692D" w:rsidP="00AF3E2E">
      <w:pPr>
        <w:pStyle w:val="Listeafsnit"/>
        <w:ind w:left="426"/>
        <w:rPr>
          <w:rFonts w:eastAsia="Calibri" w:cs="Times New Roman"/>
          <w:szCs w:val="24"/>
        </w:rPr>
      </w:pPr>
      <w:r>
        <w:rPr>
          <w:rFonts w:eastAsia="Calibri" w:cs="Times New Roman"/>
          <w:szCs w:val="24"/>
        </w:rPr>
        <w:t>Stk. 6 bliver herefter stk. 7.</w:t>
      </w:r>
    </w:p>
    <w:p w14:paraId="21422B7F" w14:textId="2446E2DA" w:rsidR="006A07F7" w:rsidRDefault="006A07F7" w:rsidP="00AF3E2E">
      <w:pPr>
        <w:pStyle w:val="Listeafsnit"/>
        <w:ind w:left="426"/>
        <w:rPr>
          <w:rFonts w:eastAsia="Calibri" w:cs="Times New Roman"/>
          <w:szCs w:val="24"/>
        </w:rPr>
      </w:pPr>
    </w:p>
    <w:p w14:paraId="4E799990" w14:textId="4333BBEB" w:rsidR="009344DA" w:rsidRPr="00211771" w:rsidRDefault="009344DA" w:rsidP="002F3C2D">
      <w:pPr>
        <w:pStyle w:val="Listeafsnit"/>
        <w:numPr>
          <w:ilvl w:val="0"/>
          <w:numId w:val="14"/>
        </w:numPr>
        <w:ind w:left="426" w:hanging="426"/>
        <w:rPr>
          <w:rFonts w:eastAsia="Calibri" w:cs="Times New Roman"/>
          <w:b/>
          <w:szCs w:val="24"/>
        </w:rPr>
      </w:pPr>
      <w:r>
        <w:rPr>
          <w:rFonts w:eastAsia="Calibri" w:cs="Times New Roman"/>
          <w:szCs w:val="24"/>
        </w:rPr>
        <w:t xml:space="preserve">I </w:t>
      </w:r>
      <w:r w:rsidRPr="00211771">
        <w:rPr>
          <w:rFonts w:eastAsia="Calibri" w:cs="Times New Roman"/>
          <w:i/>
          <w:szCs w:val="24"/>
        </w:rPr>
        <w:t>§ 126, stk. 1, nr. 1,</w:t>
      </w:r>
      <w:r>
        <w:rPr>
          <w:rFonts w:eastAsia="Calibri" w:cs="Times New Roman"/>
          <w:szCs w:val="24"/>
        </w:rPr>
        <w:t xml:space="preserve"> indsættes efter </w:t>
      </w:r>
      <w:r w:rsidRPr="00FE2746">
        <w:rPr>
          <w:rFonts w:eastAsia="Calibri" w:cs="Times New Roman"/>
          <w:szCs w:val="24"/>
        </w:rPr>
        <w:t>»</w:t>
      </w:r>
      <w:r>
        <w:rPr>
          <w:rFonts w:eastAsia="Calibri" w:cs="Times New Roman"/>
          <w:szCs w:val="24"/>
        </w:rPr>
        <w:t>luft,</w:t>
      </w:r>
      <w:r w:rsidRPr="00FE2746">
        <w:rPr>
          <w:rFonts w:eastAsia="Calibri" w:cs="Times New Roman"/>
          <w:szCs w:val="24"/>
        </w:rPr>
        <w:t>«</w:t>
      </w:r>
      <w:r>
        <w:rPr>
          <w:rFonts w:eastAsia="Calibri" w:cs="Times New Roman"/>
          <w:szCs w:val="24"/>
        </w:rPr>
        <w:t xml:space="preserve">: </w:t>
      </w:r>
      <w:r w:rsidRPr="00FE2746">
        <w:rPr>
          <w:rFonts w:eastAsia="Calibri" w:cs="Times New Roman"/>
          <w:szCs w:val="24"/>
        </w:rPr>
        <w:t>»</w:t>
      </w:r>
      <w:r>
        <w:rPr>
          <w:rFonts w:eastAsia="Calibri" w:cs="Times New Roman"/>
          <w:szCs w:val="24"/>
        </w:rPr>
        <w:t xml:space="preserve">eller </w:t>
      </w:r>
      <w:r w:rsidR="00211771">
        <w:rPr>
          <w:rFonts w:eastAsia="Calibri" w:cs="Times New Roman"/>
          <w:szCs w:val="24"/>
        </w:rPr>
        <w:t xml:space="preserve">har gjort sig skyldig i spirituskørsel, hvis forholdet udgør en </w:t>
      </w:r>
      <w:r w:rsidR="00211771" w:rsidRPr="00150518">
        <w:rPr>
          <w:rFonts w:eastAsia="Calibri" w:cs="Times New Roman"/>
          <w:szCs w:val="24"/>
        </w:rPr>
        <w:t xml:space="preserve">samtidig overtrædelse af straffelovens § 241, 2. pkt., </w:t>
      </w:r>
      <w:r w:rsidR="00FA3C6E">
        <w:rPr>
          <w:rFonts w:eastAsia="Calibri" w:cs="Times New Roman"/>
          <w:szCs w:val="24"/>
        </w:rPr>
        <w:t xml:space="preserve">eller </w:t>
      </w:r>
      <w:r w:rsidR="00211771">
        <w:rPr>
          <w:rFonts w:eastAsia="Calibri" w:cs="Times New Roman"/>
          <w:szCs w:val="24"/>
        </w:rPr>
        <w:t xml:space="preserve">§ </w:t>
      </w:r>
      <w:r w:rsidR="00211771" w:rsidRPr="00150518">
        <w:rPr>
          <w:rFonts w:eastAsia="Calibri" w:cs="Times New Roman"/>
          <w:szCs w:val="24"/>
        </w:rPr>
        <w:t>249, 2. pkt.,</w:t>
      </w:r>
      <w:r w:rsidRPr="00FE2746">
        <w:rPr>
          <w:rFonts w:eastAsia="Calibri" w:cs="Times New Roman"/>
          <w:szCs w:val="24"/>
        </w:rPr>
        <w:t>«</w:t>
      </w:r>
      <w:r w:rsidR="00211771">
        <w:rPr>
          <w:rFonts w:eastAsia="Calibri" w:cs="Times New Roman"/>
          <w:szCs w:val="24"/>
        </w:rPr>
        <w:t>.</w:t>
      </w:r>
    </w:p>
    <w:p w14:paraId="1E22A2F4" w14:textId="53FB0392" w:rsidR="00211771" w:rsidRDefault="00211771" w:rsidP="00211771">
      <w:pPr>
        <w:rPr>
          <w:rFonts w:eastAsia="Calibri" w:cs="Times New Roman"/>
          <w:b/>
          <w:szCs w:val="24"/>
        </w:rPr>
      </w:pPr>
    </w:p>
    <w:p w14:paraId="37EC2135" w14:textId="467F8A27" w:rsidR="00126A5D" w:rsidRDefault="00211771" w:rsidP="00126A5D">
      <w:pPr>
        <w:pStyle w:val="Listeafsnit"/>
        <w:numPr>
          <w:ilvl w:val="0"/>
          <w:numId w:val="14"/>
        </w:numPr>
        <w:ind w:left="426" w:hanging="425"/>
        <w:rPr>
          <w:rFonts w:eastAsia="Calibri" w:cs="Times New Roman"/>
          <w:szCs w:val="24"/>
        </w:rPr>
      </w:pPr>
      <w:r w:rsidRPr="00717F04">
        <w:rPr>
          <w:rFonts w:eastAsia="Calibri" w:cs="Times New Roman"/>
          <w:szCs w:val="24"/>
        </w:rPr>
        <w:t xml:space="preserve">I </w:t>
      </w:r>
      <w:r w:rsidRPr="00717F04">
        <w:rPr>
          <w:rFonts w:eastAsia="Calibri" w:cs="Times New Roman"/>
          <w:i/>
          <w:szCs w:val="24"/>
        </w:rPr>
        <w:t>§ 126, stk. 1,</w:t>
      </w:r>
      <w:r w:rsidR="00717F04" w:rsidRPr="00717F04">
        <w:rPr>
          <w:rFonts w:eastAsia="Calibri" w:cs="Times New Roman"/>
          <w:i/>
          <w:szCs w:val="24"/>
        </w:rPr>
        <w:t xml:space="preserve"> nr. 2, </w:t>
      </w:r>
      <w:r w:rsidR="00717F04" w:rsidRPr="00717F04">
        <w:rPr>
          <w:rFonts w:eastAsia="Calibri" w:cs="Times New Roman"/>
          <w:szCs w:val="24"/>
        </w:rPr>
        <w:t>ændres »eller under« til: »under« og efter »stk. 2,«</w:t>
      </w:r>
      <w:r w:rsidRPr="00717F04">
        <w:rPr>
          <w:rFonts w:eastAsia="Calibri" w:cs="Times New Roman"/>
          <w:i/>
          <w:szCs w:val="24"/>
        </w:rPr>
        <w:t xml:space="preserve"> </w:t>
      </w:r>
      <w:r w:rsidRPr="00717F04">
        <w:rPr>
          <w:rFonts w:eastAsia="Calibri" w:cs="Times New Roman"/>
          <w:szCs w:val="24"/>
        </w:rPr>
        <w:t>indsættes</w:t>
      </w:r>
      <w:r w:rsidR="00FA3C6E">
        <w:rPr>
          <w:rFonts w:eastAsia="Calibri" w:cs="Times New Roman"/>
          <w:szCs w:val="24"/>
        </w:rPr>
        <w:t>:</w:t>
      </w:r>
      <w:r w:rsidRPr="00717F04">
        <w:rPr>
          <w:rFonts w:eastAsia="Calibri" w:cs="Times New Roman"/>
          <w:szCs w:val="24"/>
        </w:rPr>
        <w:t xml:space="preserve"> </w:t>
      </w:r>
      <w:r w:rsidR="00717F04" w:rsidRPr="00717F04">
        <w:rPr>
          <w:rFonts w:eastAsia="Calibri" w:cs="Times New Roman"/>
          <w:szCs w:val="24"/>
        </w:rPr>
        <w:t>»eller</w:t>
      </w:r>
      <w:r w:rsidR="000408F3" w:rsidRPr="00717F04">
        <w:rPr>
          <w:rFonts w:eastAsia="Calibri" w:cs="Times New Roman"/>
          <w:szCs w:val="24"/>
        </w:rPr>
        <w:t xml:space="preserve"> </w:t>
      </w:r>
      <w:r w:rsidRPr="00717F04">
        <w:rPr>
          <w:rFonts w:eastAsia="Calibri" w:cs="Times New Roman"/>
          <w:szCs w:val="24"/>
        </w:rPr>
        <w:t xml:space="preserve">har gjort sig skyldig i </w:t>
      </w:r>
      <w:r w:rsidR="00717F04">
        <w:rPr>
          <w:rFonts w:eastAsia="Calibri" w:cs="Times New Roman"/>
          <w:szCs w:val="24"/>
        </w:rPr>
        <w:t xml:space="preserve">en </w:t>
      </w:r>
      <w:r w:rsidRPr="00717F04">
        <w:rPr>
          <w:rFonts w:eastAsia="Calibri" w:cs="Times New Roman"/>
          <w:szCs w:val="24"/>
        </w:rPr>
        <w:t>overtrædelse af § 54, stk. 1</w:t>
      </w:r>
      <w:r w:rsidR="000408F3" w:rsidRPr="00717F04">
        <w:rPr>
          <w:rFonts w:eastAsia="Calibri" w:cs="Times New Roman"/>
          <w:szCs w:val="24"/>
        </w:rPr>
        <w:t>, nr. 2-4</w:t>
      </w:r>
      <w:r w:rsidRPr="00717F04">
        <w:rPr>
          <w:rFonts w:eastAsia="Calibri" w:cs="Times New Roman"/>
          <w:szCs w:val="24"/>
        </w:rPr>
        <w:t>,</w:t>
      </w:r>
      <w:r w:rsidR="000408F3" w:rsidRPr="00717F04">
        <w:rPr>
          <w:rFonts w:eastAsia="Calibri" w:cs="Times New Roman"/>
          <w:szCs w:val="24"/>
        </w:rPr>
        <w:t xml:space="preserve"> </w:t>
      </w:r>
      <w:r w:rsidR="00717F04" w:rsidRPr="00717F04">
        <w:rPr>
          <w:rFonts w:eastAsia="Calibri" w:cs="Times New Roman"/>
          <w:szCs w:val="24"/>
        </w:rPr>
        <w:t>eller</w:t>
      </w:r>
      <w:r w:rsidR="000408F3" w:rsidRPr="00717F04">
        <w:rPr>
          <w:rFonts w:eastAsia="Calibri" w:cs="Times New Roman"/>
          <w:szCs w:val="24"/>
        </w:rPr>
        <w:t xml:space="preserve"> § 54, stk. 2, </w:t>
      </w:r>
      <w:r w:rsidRPr="00717F04">
        <w:rPr>
          <w:rFonts w:eastAsia="Calibri" w:cs="Times New Roman"/>
          <w:szCs w:val="24"/>
        </w:rPr>
        <w:t xml:space="preserve">hvis forholdet udgør en samtidig overtrædelse af straffelovens § 241, 2. pkt., </w:t>
      </w:r>
      <w:r w:rsidR="00FA3C6E">
        <w:rPr>
          <w:rFonts w:eastAsia="Calibri" w:cs="Times New Roman"/>
          <w:szCs w:val="24"/>
        </w:rPr>
        <w:t xml:space="preserve">eller </w:t>
      </w:r>
      <w:r w:rsidRPr="00717F04">
        <w:rPr>
          <w:rFonts w:eastAsia="Calibri" w:cs="Times New Roman"/>
          <w:szCs w:val="24"/>
        </w:rPr>
        <w:t>§ 249, 2. pkt.,«</w:t>
      </w:r>
      <w:r w:rsidR="00717F04">
        <w:rPr>
          <w:rFonts w:eastAsia="Calibri" w:cs="Times New Roman"/>
          <w:szCs w:val="24"/>
        </w:rPr>
        <w:t>.</w:t>
      </w:r>
    </w:p>
    <w:p w14:paraId="28CEFB0A" w14:textId="27818900" w:rsidR="00AF3E2E" w:rsidRPr="00830CB6" w:rsidRDefault="00AF3E2E" w:rsidP="00830CB6">
      <w:pPr>
        <w:ind w:left="1"/>
        <w:rPr>
          <w:rFonts w:eastAsia="Calibri" w:cs="Times New Roman"/>
          <w:szCs w:val="24"/>
        </w:rPr>
      </w:pPr>
    </w:p>
    <w:p w14:paraId="2F717ABA" w14:textId="4DF684A8" w:rsidR="00AF3E2E" w:rsidRPr="00AF3E2E" w:rsidRDefault="00AF3E2E" w:rsidP="002F3C2D">
      <w:pPr>
        <w:pStyle w:val="Listeafsnit"/>
        <w:numPr>
          <w:ilvl w:val="0"/>
          <w:numId w:val="14"/>
        </w:numPr>
        <w:ind w:left="426" w:hanging="426"/>
        <w:rPr>
          <w:rFonts w:eastAsia="Calibri" w:cs="Times New Roman"/>
          <w:szCs w:val="24"/>
        </w:rPr>
      </w:pPr>
      <w:r w:rsidRPr="00AF3E2E">
        <w:rPr>
          <w:rFonts w:eastAsia="Calibri" w:cs="Times New Roman"/>
          <w:szCs w:val="24"/>
        </w:rPr>
        <w:t xml:space="preserve">I </w:t>
      </w:r>
      <w:r w:rsidRPr="00AF3E2E">
        <w:rPr>
          <w:rFonts w:eastAsia="Calibri" w:cs="Times New Roman"/>
          <w:i/>
          <w:szCs w:val="24"/>
        </w:rPr>
        <w:t>§ 128, stk. 2, 2. pkt.,</w:t>
      </w:r>
      <w:r>
        <w:rPr>
          <w:rFonts w:eastAsia="Calibri" w:cs="Times New Roman"/>
          <w:szCs w:val="24"/>
        </w:rPr>
        <w:t xml:space="preserve"> indsættes efter </w:t>
      </w:r>
      <w:r w:rsidRPr="00FE2746">
        <w:rPr>
          <w:rFonts w:eastAsia="Calibri" w:cs="Times New Roman"/>
          <w:szCs w:val="24"/>
        </w:rPr>
        <w:t>»</w:t>
      </w:r>
      <w:r>
        <w:rPr>
          <w:rFonts w:eastAsia="Calibri" w:cs="Times New Roman"/>
          <w:szCs w:val="24"/>
        </w:rPr>
        <w:t>nr.</w:t>
      </w:r>
      <w:r w:rsidRPr="00FE2746">
        <w:rPr>
          <w:rFonts w:eastAsia="Calibri" w:cs="Times New Roman"/>
          <w:szCs w:val="24"/>
        </w:rPr>
        <w:t>«</w:t>
      </w:r>
      <w:r w:rsidR="00D81BA9">
        <w:rPr>
          <w:rFonts w:eastAsia="Calibri" w:cs="Times New Roman"/>
          <w:szCs w:val="24"/>
        </w:rPr>
        <w:t>:</w:t>
      </w:r>
      <w:r>
        <w:rPr>
          <w:rFonts w:eastAsia="Calibri" w:cs="Times New Roman"/>
          <w:szCs w:val="24"/>
        </w:rPr>
        <w:t xml:space="preserve"> </w:t>
      </w:r>
      <w:r w:rsidRPr="00FE2746">
        <w:rPr>
          <w:rFonts w:eastAsia="Calibri" w:cs="Times New Roman"/>
          <w:szCs w:val="24"/>
        </w:rPr>
        <w:t xml:space="preserve"> »</w:t>
      </w:r>
      <w:r>
        <w:rPr>
          <w:rFonts w:eastAsia="Calibri" w:cs="Times New Roman"/>
          <w:szCs w:val="24"/>
        </w:rPr>
        <w:t>4 eller</w:t>
      </w:r>
      <w:r w:rsidRPr="00FE2746">
        <w:rPr>
          <w:rFonts w:eastAsia="Calibri" w:cs="Times New Roman"/>
          <w:szCs w:val="24"/>
        </w:rPr>
        <w:t>«</w:t>
      </w:r>
      <w:r>
        <w:rPr>
          <w:rFonts w:eastAsia="Calibri" w:cs="Times New Roman"/>
          <w:szCs w:val="24"/>
        </w:rPr>
        <w:t>.</w:t>
      </w:r>
    </w:p>
    <w:p w14:paraId="68E80D4C" w14:textId="2952FACC" w:rsidR="00ED4594" w:rsidRDefault="00ED4594" w:rsidP="00400938">
      <w:pPr>
        <w:pStyle w:val="Listeafsnit"/>
        <w:ind w:left="284"/>
        <w:rPr>
          <w:rFonts w:eastAsia="Calibri" w:cs="Times New Roman"/>
          <w:szCs w:val="24"/>
        </w:rPr>
      </w:pPr>
    </w:p>
    <w:p w14:paraId="528C3BE3" w14:textId="48833737" w:rsidR="002F3C2D" w:rsidRPr="002F3C2D" w:rsidRDefault="00F70BA1" w:rsidP="005C78CB">
      <w:pPr>
        <w:pStyle w:val="Listeafsnit"/>
        <w:numPr>
          <w:ilvl w:val="0"/>
          <w:numId w:val="14"/>
        </w:numPr>
        <w:ind w:left="426" w:hanging="426"/>
        <w:rPr>
          <w:rFonts w:eastAsia="Calibri" w:cs="Times New Roman"/>
          <w:szCs w:val="24"/>
        </w:rPr>
      </w:pPr>
      <w:r w:rsidRPr="002F3C2D">
        <w:rPr>
          <w:rFonts w:eastAsia="Calibri" w:cs="Times New Roman"/>
          <w:szCs w:val="24"/>
        </w:rPr>
        <w:t xml:space="preserve">I </w:t>
      </w:r>
      <w:r w:rsidRPr="002F3C2D">
        <w:rPr>
          <w:rFonts w:eastAsia="Calibri" w:cs="Times New Roman"/>
          <w:i/>
          <w:szCs w:val="24"/>
        </w:rPr>
        <w:t>§ 133 a, stk. 2, 1. pkt.,</w:t>
      </w:r>
      <w:r w:rsidRPr="002F3C2D">
        <w:rPr>
          <w:rFonts w:eastAsia="Calibri" w:cs="Times New Roman"/>
          <w:szCs w:val="24"/>
        </w:rPr>
        <w:t xml:space="preserve"> ændres »eller i et forhold« til</w:t>
      </w:r>
      <w:r w:rsidR="00AF3E2E" w:rsidRPr="002F3C2D">
        <w:rPr>
          <w:rFonts w:eastAsia="Calibri" w:cs="Times New Roman"/>
          <w:szCs w:val="24"/>
        </w:rPr>
        <w:t>:</w:t>
      </w:r>
      <w:r w:rsidRPr="002F3C2D">
        <w:rPr>
          <w:rFonts w:eastAsia="Calibri" w:cs="Times New Roman"/>
          <w:szCs w:val="24"/>
        </w:rPr>
        <w:t xml:space="preserve"> »</w:t>
      </w:r>
      <w:r w:rsidR="00AF3E2E" w:rsidRPr="002F3C2D">
        <w:rPr>
          <w:rFonts w:eastAsia="Calibri" w:cs="Times New Roman"/>
          <w:szCs w:val="24"/>
        </w:rPr>
        <w:t xml:space="preserve">, </w:t>
      </w:r>
      <w:r w:rsidRPr="002F3C2D">
        <w:rPr>
          <w:rFonts w:eastAsia="Calibri" w:cs="Times New Roman"/>
          <w:szCs w:val="24"/>
        </w:rPr>
        <w:t xml:space="preserve">har gjort sig skyldig i et forhold, der medfører ubetinget frakendelse af førerretten efter § 126, stk. 1, nr. 1 eller 2, hvis forholdet udgør en samtidig overtrædelse af straffelovens § 241, 2. pkt., </w:t>
      </w:r>
      <w:r w:rsidR="00FA3C6E" w:rsidRPr="002F3C2D">
        <w:rPr>
          <w:rFonts w:eastAsia="Calibri" w:cs="Times New Roman"/>
          <w:szCs w:val="24"/>
        </w:rPr>
        <w:t xml:space="preserve">eller </w:t>
      </w:r>
      <w:r w:rsidRPr="002F3C2D">
        <w:rPr>
          <w:rFonts w:eastAsia="Calibri" w:cs="Times New Roman"/>
          <w:szCs w:val="24"/>
        </w:rPr>
        <w:t>§ 249, 2. pkt., eller har gjort sig skyldig i et forhold«</w:t>
      </w:r>
      <w:r w:rsidR="00AF3E2E" w:rsidRPr="002F3C2D">
        <w:rPr>
          <w:rFonts w:eastAsia="Calibri" w:cs="Times New Roman"/>
          <w:szCs w:val="24"/>
        </w:rPr>
        <w:t>.</w:t>
      </w:r>
    </w:p>
    <w:p w14:paraId="640297F3" w14:textId="706366AB" w:rsidR="002F3C2D" w:rsidRDefault="002F3C2D" w:rsidP="002F3C2D">
      <w:pPr>
        <w:rPr>
          <w:rFonts w:eastAsia="Calibri" w:cs="Times New Roman"/>
          <w:szCs w:val="24"/>
        </w:rPr>
      </w:pPr>
    </w:p>
    <w:p w14:paraId="6E99538E" w14:textId="428F06EF" w:rsidR="002F3C2D" w:rsidRDefault="002F3C2D" w:rsidP="002F3C2D">
      <w:pPr>
        <w:jc w:val="center"/>
        <w:rPr>
          <w:rFonts w:eastAsia="Calibri" w:cs="Times New Roman"/>
          <w:b/>
          <w:szCs w:val="24"/>
        </w:rPr>
      </w:pPr>
      <w:r w:rsidRPr="00CF0BE5">
        <w:rPr>
          <w:rFonts w:eastAsia="Calibri" w:cs="Times New Roman"/>
          <w:b/>
          <w:szCs w:val="24"/>
        </w:rPr>
        <w:t xml:space="preserve">§ </w:t>
      </w:r>
      <w:r>
        <w:rPr>
          <w:rFonts w:eastAsia="Calibri" w:cs="Times New Roman"/>
          <w:b/>
          <w:szCs w:val="24"/>
        </w:rPr>
        <w:t>2</w:t>
      </w:r>
      <w:r w:rsidR="004E49BF">
        <w:rPr>
          <w:rFonts w:eastAsia="Calibri" w:cs="Times New Roman"/>
          <w:b/>
          <w:szCs w:val="24"/>
        </w:rPr>
        <w:t xml:space="preserve"> </w:t>
      </w:r>
    </w:p>
    <w:p w14:paraId="0B275970" w14:textId="77777777" w:rsidR="002F3C2D" w:rsidRDefault="002F3C2D" w:rsidP="002F3C2D">
      <w:pPr>
        <w:jc w:val="center"/>
        <w:rPr>
          <w:rFonts w:eastAsia="Calibri" w:cs="Times New Roman"/>
          <w:b/>
          <w:szCs w:val="24"/>
        </w:rPr>
      </w:pPr>
    </w:p>
    <w:p w14:paraId="7F9ED20F" w14:textId="3D2D2842" w:rsidR="002F3C2D" w:rsidRDefault="002F3C2D" w:rsidP="002F3C2D">
      <w:pPr>
        <w:rPr>
          <w:rFonts w:eastAsia="Calibri" w:cs="Times New Roman"/>
          <w:szCs w:val="24"/>
        </w:rPr>
      </w:pPr>
      <w:r w:rsidRPr="0053500B">
        <w:rPr>
          <w:rFonts w:eastAsia="Calibri" w:cs="Times New Roman"/>
          <w:szCs w:val="24"/>
        </w:rPr>
        <w:t xml:space="preserve">I </w:t>
      </w:r>
      <w:r w:rsidR="00DF142C">
        <w:rPr>
          <w:rFonts w:eastAsia="Calibri" w:cs="Times New Roman"/>
          <w:szCs w:val="24"/>
        </w:rPr>
        <w:t>lov om godkendelse og syn af køretøjer</w:t>
      </w:r>
      <w:r w:rsidRPr="0053500B">
        <w:rPr>
          <w:rFonts w:eastAsia="Calibri" w:cs="Times New Roman"/>
          <w:szCs w:val="24"/>
        </w:rPr>
        <w:t xml:space="preserve">, jf. lov nr. </w:t>
      </w:r>
      <w:r w:rsidR="00DF142C">
        <w:rPr>
          <w:rFonts w:eastAsia="Calibri" w:cs="Times New Roman"/>
          <w:szCs w:val="24"/>
        </w:rPr>
        <w:t>774</w:t>
      </w:r>
      <w:r w:rsidRPr="0053500B">
        <w:rPr>
          <w:rFonts w:eastAsia="Calibri" w:cs="Times New Roman"/>
          <w:szCs w:val="24"/>
        </w:rPr>
        <w:t xml:space="preserve"> af </w:t>
      </w:r>
      <w:r>
        <w:rPr>
          <w:rFonts w:eastAsia="Calibri" w:cs="Times New Roman"/>
          <w:szCs w:val="24"/>
        </w:rPr>
        <w:t>2</w:t>
      </w:r>
      <w:r w:rsidR="00DF142C">
        <w:rPr>
          <w:rFonts w:eastAsia="Calibri" w:cs="Times New Roman"/>
          <w:szCs w:val="24"/>
        </w:rPr>
        <w:t>0</w:t>
      </w:r>
      <w:r w:rsidRPr="0053500B">
        <w:rPr>
          <w:rFonts w:eastAsia="Calibri" w:cs="Times New Roman"/>
          <w:szCs w:val="24"/>
        </w:rPr>
        <w:t xml:space="preserve">. </w:t>
      </w:r>
      <w:r w:rsidR="00DF142C">
        <w:rPr>
          <w:rFonts w:eastAsia="Calibri" w:cs="Times New Roman"/>
          <w:szCs w:val="24"/>
        </w:rPr>
        <w:t>juni</w:t>
      </w:r>
      <w:r w:rsidRPr="0053500B">
        <w:rPr>
          <w:rFonts w:eastAsia="Calibri" w:cs="Times New Roman"/>
          <w:szCs w:val="24"/>
        </w:rPr>
        <w:t xml:space="preserve"> 202</w:t>
      </w:r>
      <w:r w:rsidR="00DF142C">
        <w:rPr>
          <w:rFonts w:eastAsia="Calibri" w:cs="Times New Roman"/>
          <w:szCs w:val="24"/>
        </w:rPr>
        <w:t>5</w:t>
      </w:r>
      <w:r w:rsidRPr="0053500B">
        <w:rPr>
          <w:rFonts w:eastAsia="Calibri" w:cs="Times New Roman"/>
          <w:szCs w:val="24"/>
        </w:rPr>
        <w:t>, foretages følgende ændringer:</w:t>
      </w:r>
    </w:p>
    <w:p w14:paraId="6C75335A" w14:textId="673FFF2D" w:rsidR="002F3C2D" w:rsidRDefault="002F3C2D" w:rsidP="002F3C2D">
      <w:pPr>
        <w:rPr>
          <w:rFonts w:eastAsia="Calibri" w:cs="Times New Roman"/>
          <w:szCs w:val="24"/>
        </w:rPr>
      </w:pPr>
    </w:p>
    <w:p w14:paraId="0DEBC877" w14:textId="44A78A98" w:rsidR="00F42D95" w:rsidRPr="00BA5C12" w:rsidRDefault="00F42D95" w:rsidP="00BA5C12">
      <w:pPr>
        <w:pStyle w:val="Listeafsnit"/>
        <w:numPr>
          <w:ilvl w:val="0"/>
          <w:numId w:val="22"/>
        </w:numPr>
        <w:rPr>
          <w:rFonts w:eastAsia="Calibri" w:cs="Times New Roman"/>
          <w:szCs w:val="24"/>
        </w:rPr>
      </w:pPr>
      <w:r w:rsidRPr="00BA5C12">
        <w:rPr>
          <w:rFonts w:eastAsia="Calibri" w:cs="Times New Roman"/>
          <w:szCs w:val="24"/>
        </w:rPr>
        <w:t>Efter § 12</w:t>
      </w:r>
      <w:r w:rsidR="002B2417" w:rsidRPr="00BA5C12">
        <w:rPr>
          <w:rFonts w:eastAsia="Calibri" w:cs="Times New Roman"/>
          <w:szCs w:val="24"/>
        </w:rPr>
        <w:t xml:space="preserve"> indsættes i</w:t>
      </w:r>
      <w:r w:rsidR="002B2417" w:rsidRPr="00BA5C12">
        <w:rPr>
          <w:rFonts w:eastAsia="Calibri" w:cs="Times New Roman"/>
          <w:i/>
          <w:iCs/>
          <w:szCs w:val="24"/>
        </w:rPr>
        <w:t xml:space="preserve"> </w:t>
      </w:r>
      <w:r w:rsidRPr="00BA5C12">
        <w:rPr>
          <w:rFonts w:eastAsia="Calibri" w:cs="Times New Roman"/>
          <w:i/>
          <w:iCs/>
          <w:szCs w:val="24"/>
        </w:rPr>
        <w:t xml:space="preserve">kapitel </w:t>
      </w:r>
      <w:r w:rsidR="002B2417" w:rsidRPr="00BA5C12">
        <w:rPr>
          <w:rFonts w:eastAsia="Calibri" w:cs="Times New Roman"/>
          <w:i/>
          <w:iCs/>
          <w:szCs w:val="24"/>
        </w:rPr>
        <w:t>4:</w:t>
      </w:r>
    </w:p>
    <w:p w14:paraId="1BFC67A2" w14:textId="74592214" w:rsidR="00BA5C12" w:rsidRDefault="002B2417" w:rsidP="00FE4839">
      <w:pPr>
        <w:ind w:left="284" w:firstLine="142"/>
        <w:rPr>
          <w:rFonts w:eastAsia="Calibri" w:cs="Times New Roman"/>
          <w:szCs w:val="24"/>
        </w:rPr>
      </w:pPr>
      <w:r w:rsidRPr="002B2417">
        <w:rPr>
          <w:rFonts w:eastAsia="Calibri" w:cs="Times New Roman"/>
          <w:b/>
          <w:bCs/>
          <w:szCs w:val="24"/>
        </w:rPr>
        <w:t>»§ 12 a.</w:t>
      </w:r>
      <w:r w:rsidRPr="002B2417">
        <w:rPr>
          <w:rFonts w:eastAsia="Calibri" w:cs="Times New Roman"/>
          <w:szCs w:val="24"/>
        </w:rPr>
        <w:t xml:space="preserve"> </w:t>
      </w:r>
      <w:r w:rsidR="00BA5C12">
        <w:rPr>
          <w:rFonts w:eastAsia="Calibri" w:cs="Times New Roman"/>
          <w:szCs w:val="24"/>
        </w:rPr>
        <w:t>Færdselsstyrelsen kan ved vejsiden foretage kontrol og opkrævning af endelig afgjorte og forfaldne bøder for overtrædelse af lov om vejafgift, hvis skyldneren og det motordrevne køretøj, med hvilket overtrædelsen er begået, er hjemmehørende i udlandet.</w:t>
      </w:r>
      <w:r w:rsidR="00FE4839">
        <w:rPr>
          <w:rFonts w:eastAsia="Calibri" w:cs="Times New Roman"/>
          <w:szCs w:val="24"/>
        </w:rPr>
        <w:t xml:space="preserve"> </w:t>
      </w:r>
      <w:r w:rsidR="008B4459">
        <w:rPr>
          <w:rFonts w:eastAsia="Calibri" w:cs="Times New Roman"/>
          <w:szCs w:val="24"/>
        </w:rPr>
        <w:t>Færdselsstyrelsen kan i den forbindelse anvise og ledsage køretøjet til et kontrolsted, som køretøjet ikke må forlade, før betalingsforholdet er afklaret.</w:t>
      </w:r>
    </w:p>
    <w:p w14:paraId="3D2069F9" w14:textId="2E1A87F5" w:rsidR="00BA5C12" w:rsidRDefault="00BA5C12" w:rsidP="00FE4839">
      <w:pPr>
        <w:ind w:left="284" w:firstLine="142"/>
        <w:rPr>
          <w:rFonts w:eastAsia="Calibri" w:cs="Times New Roman"/>
          <w:szCs w:val="24"/>
        </w:rPr>
      </w:pPr>
      <w:r>
        <w:rPr>
          <w:rFonts w:eastAsia="Calibri" w:cs="Times New Roman"/>
          <w:i/>
          <w:iCs/>
          <w:szCs w:val="24"/>
        </w:rPr>
        <w:t>Stk.</w:t>
      </w:r>
      <w:r>
        <w:rPr>
          <w:rFonts w:eastAsia="Calibri" w:cs="Times New Roman"/>
          <w:szCs w:val="24"/>
        </w:rPr>
        <w:t xml:space="preserve"> </w:t>
      </w:r>
      <w:r>
        <w:rPr>
          <w:rFonts w:eastAsia="Calibri" w:cs="Times New Roman"/>
          <w:i/>
          <w:iCs/>
          <w:szCs w:val="24"/>
        </w:rPr>
        <w:t>2</w:t>
      </w:r>
      <w:r w:rsidRPr="00B3027C">
        <w:rPr>
          <w:rFonts w:eastAsia="Calibri" w:cs="Times New Roman"/>
          <w:i/>
          <w:iCs/>
          <w:szCs w:val="24"/>
        </w:rPr>
        <w:t>.</w:t>
      </w:r>
      <w:r>
        <w:rPr>
          <w:rFonts w:eastAsia="Calibri" w:cs="Times New Roman"/>
          <w:szCs w:val="24"/>
        </w:rPr>
        <w:t xml:space="preserve"> Stk. </w:t>
      </w:r>
      <w:r w:rsidR="00FE4839">
        <w:rPr>
          <w:rFonts w:eastAsia="Calibri" w:cs="Times New Roman"/>
          <w:szCs w:val="24"/>
        </w:rPr>
        <w:t>1</w:t>
      </w:r>
      <w:r>
        <w:rPr>
          <w:rFonts w:eastAsia="Calibri" w:cs="Times New Roman"/>
          <w:szCs w:val="24"/>
        </w:rPr>
        <w:t xml:space="preserve"> finder ikke anvendelse med hensyn til skyldnere, der er hjemmehørende i Finland, Island, Norge eller Sverige.</w:t>
      </w:r>
    </w:p>
    <w:p w14:paraId="784FE155" w14:textId="3F0B67F1" w:rsidR="00DF142C" w:rsidRPr="00DF142C" w:rsidRDefault="00BA5C12" w:rsidP="005D6E27">
      <w:pPr>
        <w:ind w:left="284" w:firstLine="142"/>
        <w:rPr>
          <w:rFonts w:eastAsia="Calibri" w:cs="Times New Roman"/>
          <w:szCs w:val="24"/>
        </w:rPr>
      </w:pPr>
      <w:r w:rsidRPr="00DF142C">
        <w:rPr>
          <w:rFonts w:eastAsia="Calibri" w:cs="Times New Roman"/>
          <w:i/>
          <w:iCs/>
          <w:szCs w:val="24"/>
        </w:rPr>
        <w:t xml:space="preserve">Stk. </w:t>
      </w:r>
      <w:r>
        <w:rPr>
          <w:rFonts w:eastAsia="Calibri" w:cs="Times New Roman"/>
          <w:i/>
          <w:iCs/>
          <w:szCs w:val="24"/>
        </w:rPr>
        <w:t>3</w:t>
      </w:r>
      <w:r w:rsidRPr="00DF142C">
        <w:rPr>
          <w:rFonts w:eastAsia="Calibri" w:cs="Times New Roman"/>
          <w:i/>
          <w:iCs/>
          <w:szCs w:val="24"/>
        </w:rPr>
        <w:t>.</w:t>
      </w:r>
      <w:r>
        <w:rPr>
          <w:rFonts w:eastAsia="Calibri" w:cs="Times New Roman"/>
          <w:szCs w:val="24"/>
        </w:rPr>
        <w:t xml:space="preserve"> Transportministeren kan fastsætte nærmere regler om </w:t>
      </w:r>
      <w:r w:rsidR="008B4459">
        <w:rPr>
          <w:rFonts w:eastAsia="Calibri" w:cs="Times New Roman"/>
          <w:szCs w:val="24"/>
        </w:rPr>
        <w:t xml:space="preserve">kontrol og opkrævning efter stk. 1, </w:t>
      </w:r>
      <w:r w:rsidR="00C34ED0">
        <w:rPr>
          <w:rFonts w:eastAsia="Calibri" w:cs="Times New Roman"/>
          <w:szCs w:val="24"/>
        </w:rPr>
        <w:t xml:space="preserve">herunder at regler fastsat i medfør af § 11, stk. 2, finder tilsvarende anvendelse ved kontrol og opkrævning efter stk. 1. Transportministeren kan efter forhandling med justitsministeren </w:t>
      </w:r>
      <w:r w:rsidR="00C34ED0">
        <w:rPr>
          <w:rFonts w:eastAsia="Calibri" w:cs="Times New Roman"/>
          <w:szCs w:val="24"/>
        </w:rPr>
        <w:lastRenderedPageBreak/>
        <w:t>fastsætte nærmere regler om oversendelse af sager til kontrol og opkrævning.</w:t>
      </w:r>
      <w:r w:rsidR="002B2417" w:rsidRPr="00FE2746">
        <w:rPr>
          <w:rFonts w:eastAsia="Calibri" w:cs="Times New Roman"/>
          <w:szCs w:val="24"/>
        </w:rPr>
        <w:t>«</w:t>
      </w:r>
    </w:p>
    <w:p w14:paraId="0C434252" w14:textId="77777777" w:rsidR="002F3C2D" w:rsidRPr="00FA3C6E" w:rsidRDefault="002F3C2D" w:rsidP="002F3C2D">
      <w:pPr>
        <w:pStyle w:val="Listeafsnit"/>
        <w:rPr>
          <w:rFonts w:eastAsia="Calibri" w:cs="Times New Roman"/>
          <w:szCs w:val="24"/>
        </w:rPr>
      </w:pPr>
    </w:p>
    <w:p w14:paraId="28981369" w14:textId="31A6B78E" w:rsidR="002F3C2D" w:rsidRPr="00830CB6" w:rsidRDefault="002F3C2D" w:rsidP="00736584">
      <w:pPr>
        <w:pStyle w:val="Listeafsnit"/>
        <w:numPr>
          <w:ilvl w:val="0"/>
          <w:numId w:val="22"/>
        </w:numPr>
        <w:ind w:left="426" w:hanging="426"/>
        <w:rPr>
          <w:rFonts w:eastAsia="Calibri" w:cs="Times New Roman"/>
          <w:szCs w:val="24"/>
        </w:rPr>
      </w:pPr>
      <w:r w:rsidRPr="00830CB6">
        <w:rPr>
          <w:rFonts w:eastAsia="Calibri" w:cs="Times New Roman"/>
          <w:szCs w:val="24"/>
        </w:rPr>
        <w:t xml:space="preserve">I </w:t>
      </w:r>
      <w:r w:rsidRPr="00830CB6">
        <w:rPr>
          <w:rFonts w:eastAsia="Calibri" w:cs="Times New Roman"/>
          <w:i/>
          <w:szCs w:val="24"/>
        </w:rPr>
        <w:t xml:space="preserve">§ </w:t>
      </w:r>
      <w:r w:rsidR="00DF142C" w:rsidRPr="00830CB6">
        <w:rPr>
          <w:rFonts w:eastAsia="Calibri" w:cs="Times New Roman"/>
          <w:i/>
          <w:szCs w:val="24"/>
        </w:rPr>
        <w:t>36</w:t>
      </w:r>
      <w:r w:rsidRPr="00830CB6">
        <w:rPr>
          <w:rFonts w:eastAsia="Calibri" w:cs="Times New Roman"/>
          <w:i/>
          <w:szCs w:val="24"/>
        </w:rPr>
        <w:t xml:space="preserve">, stk. </w:t>
      </w:r>
      <w:r w:rsidR="00DF142C" w:rsidRPr="00830CB6">
        <w:rPr>
          <w:rFonts w:eastAsia="Calibri" w:cs="Times New Roman"/>
          <w:i/>
          <w:szCs w:val="24"/>
        </w:rPr>
        <w:t>3</w:t>
      </w:r>
      <w:r w:rsidRPr="00830CB6">
        <w:rPr>
          <w:rFonts w:eastAsia="Calibri" w:cs="Times New Roman"/>
          <w:i/>
          <w:szCs w:val="24"/>
        </w:rPr>
        <w:t>,</w:t>
      </w:r>
      <w:r w:rsidRPr="00830CB6">
        <w:rPr>
          <w:rFonts w:eastAsia="Calibri" w:cs="Times New Roman"/>
          <w:szCs w:val="24"/>
        </w:rPr>
        <w:t xml:space="preserve"> </w:t>
      </w:r>
      <w:r w:rsidR="00C81AC3" w:rsidRPr="00830CB6">
        <w:rPr>
          <w:rFonts w:eastAsia="Calibri" w:cs="Times New Roman"/>
          <w:szCs w:val="24"/>
        </w:rPr>
        <w:t xml:space="preserve">udgår </w:t>
      </w:r>
      <w:r w:rsidRPr="00830CB6">
        <w:rPr>
          <w:rFonts w:eastAsia="Calibri" w:cs="Times New Roman"/>
          <w:szCs w:val="24"/>
        </w:rPr>
        <w:t>»</w:t>
      </w:r>
      <w:r w:rsidR="005D6E27" w:rsidRPr="00830CB6">
        <w:rPr>
          <w:rFonts w:eastAsia="Calibri" w:cs="Times New Roman"/>
          <w:szCs w:val="24"/>
        </w:rPr>
        <w:t>ved syn ved vejsiden</w:t>
      </w:r>
      <w:r w:rsidRPr="00830CB6">
        <w:rPr>
          <w:rFonts w:eastAsia="Calibri" w:cs="Times New Roman"/>
          <w:szCs w:val="24"/>
        </w:rPr>
        <w:t>«</w:t>
      </w:r>
      <w:r w:rsidR="005D6E27" w:rsidRPr="00830CB6">
        <w:rPr>
          <w:rFonts w:eastAsia="Calibri" w:cs="Times New Roman"/>
          <w:szCs w:val="24"/>
        </w:rPr>
        <w:t xml:space="preserve"> og efter »stk. 1« indsættes: </w:t>
      </w:r>
      <w:r w:rsidRPr="00830CB6">
        <w:rPr>
          <w:rFonts w:eastAsia="Calibri" w:cs="Times New Roman"/>
          <w:szCs w:val="24"/>
        </w:rPr>
        <w:t>»</w:t>
      </w:r>
      <w:r w:rsidR="00C81AC3" w:rsidRPr="00830CB6">
        <w:rPr>
          <w:rFonts w:eastAsia="Calibri" w:cs="Times New Roman"/>
          <w:szCs w:val="24"/>
        </w:rPr>
        <w:t xml:space="preserve">, eller </w:t>
      </w:r>
      <w:r w:rsidR="005D6E27" w:rsidRPr="00830CB6">
        <w:rPr>
          <w:rFonts w:eastAsia="Calibri" w:cs="Times New Roman"/>
          <w:szCs w:val="24"/>
        </w:rPr>
        <w:t>§ 12 a, stk. 1</w:t>
      </w:r>
      <w:r w:rsidRPr="00830CB6">
        <w:rPr>
          <w:rFonts w:eastAsia="Calibri" w:cs="Times New Roman"/>
          <w:szCs w:val="24"/>
        </w:rPr>
        <w:t>«.</w:t>
      </w:r>
    </w:p>
    <w:p w14:paraId="1C154A18" w14:textId="77C828DF" w:rsidR="002F3C2D" w:rsidRDefault="002F3C2D" w:rsidP="002F3C2D">
      <w:pPr>
        <w:rPr>
          <w:rFonts w:eastAsia="Calibri" w:cs="Times New Roman"/>
          <w:szCs w:val="24"/>
        </w:rPr>
      </w:pPr>
    </w:p>
    <w:p w14:paraId="54D4EF04" w14:textId="07E25DF9" w:rsidR="002F3C2D" w:rsidRDefault="002F3C2D" w:rsidP="002F3C2D">
      <w:pPr>
        <w:rPr>
          <w:rFonts w:eastAsia="Calibri" w:cs="Times New Roman"/>
          <w:szCs w:val="24"/>
        </w:rPr>
      </w:pPr>
    </w:p>
    <w:p w14:paraId="1C42D236" w14:textId="3952491D" w:rsidR="002F3C2D" w:rsidRDefault="002F3C2D" w:rsidP="002F3C2D">
      <w:pPr>
        <w:jc w:val="center"/>
        <w:rPr>
          <w:rFonts w:eastAsia="Calibri" w:cs="Times New Roman"/>
          <w:b/>
          <w:szCs w:val="24"/>
        </w:rPr>
      </w:pPr>
      <w:r w:rsidRPr="00CF0BE5">
        <w:rPr>
          <w:rFonts w:eastAsia="Calibri" w:cs="Times New Roman"/>
          <w:b/>
          <w:szCs w:val="24"/>
        </w:rPr>
        <w:t xml:space="preserve">§ </w:t>
      </w:r>
      <w:r>
        <w:rPr>
          <w:rFonts w:eastAsia="Calibri" w:cs="Times New Roman"/>
          <w:b/>
          <w:szCs w:val="24"/>
        </w:rPr>
        <w:t>3</w:t>
      </w:r>
    </w:p>
    <w:p w14:paraId="24CBC277" w14:textId="37F01C68" w:rsidR="00B73987" w:rsidRDefault="00B73987" w:rsidP="002F3C2D">
      <w:pPr>
        <w:jc w:val="center"/>
        <w:rPr>
          <w:rFonts w:eastAsia="Calibri" w:cs="Times New Roman"/>
          <w:b/>
          <w:szCs w:val="24"/>
        </w:rPr>
      </w:pPr>
    </w:p>
    <w:p w14:paraId="117E9F12" w14:textId="45CB58FA" w:rsidR="00B73987" w:rsidRDefault="00F1196D" w:rsidP="00F1196D">
      <w:pPr>
        <w:ind w:left="142"/>
        <w:jc w:val="left"/>
        <w:rPr>
          <w:rFonts w:cs="Times New Roman"/>
        </w:rPr>
      </w:pPr>
      <w:r w:rsidRPr="00F1196D">
        <w:rPr>
          <w:rFonts w:cs="Times New Roman"/>
          <w:i/>
          <w:iCs/>
        </w:rPr>
        <w:t>Stk. 1.</w:t>
      </w:r>
      <w:r>
        <w:rPr>
          <w:rFonts w:cs="Times New Roman"/>
        </w:rPr>
        <w:t xml:space="preserve"> </w:t>
      </w:r>
      <w:r w:rsidR="00B73987">
        <w:rPr>
          <w:rFonts w:cs="Times New Roman"/>
        </w:rPr>
        <w:t>L</w:t>
      </w:r>
      <w:r w:rsidR="00B73987" w:rsidRPr="0053500B">
        <w:rPr>
          <w:rFonts w:cs="Times New Roman"/>
        </w:rPr>
        <w:t xml:space="preserve">oven træder i kraft den </w:t>
      </w:r>
      <w:r w:rsidR="00B73987">
        <w:rPr>
          <w:rFonts w:cs="Times New Roman"/>
        </w:rPr>
        <w:t>1. juli 2026</w:t>
      </w:r>
      <w:r w:rsidR="00E34CF2">
        <w:rPr>
          <w:rFonts w:cs="Times New Roman"/>
        </w:rPr>
        <w:t>.</w:t>
      </w:r>
    </w:p>
    <w:p w14:paraId="1819D9C1" w14:textId="65D4AD63" w:rsidR="00F1196D" w:rsidRPr="00F1196D" w:rsidRDefault="00F1196D" w:rsidP="00F1196D">
      <w:pPr>
        <w:ind w:firstLine="142"/>
        <w:jc w:val="left"/>
        <w:rPr>
          <w:rFonts w:eastAsia="Calibri" w:cs="Times New Roman"/>
          <w:bCs/>
          <w:szCs w:val="24"/>
        </w:rPr>
      </w:pPr>
      <w:r w:rsidRPr="00F1196D">
        <w:rPr>
          <w:rFonts w:eastAsia="Calibri" w:cs="Times New Roman"/>
          <w:bCs/>
          <w:i/>
          <w:iCs/>
          <w:szCs w:val="24"/>
        </w:rPr>
        <w:t>Stk. 2.</w:t>
      </w:r>
      <w:r w:rsidRPr="00F1196D">
        <w:rPr>
          <w:rFonts w:eastAsia="Calibri" w:cs="Times New Roman"/>
          <w:bCs/>
          <w:szCs w:val="24"/>
        </w:rPr>
        <w:t xml:space="preserve"> § 1, nr. </w:t>
      </w:r>
      <w:r w:rsidR="00C14774">
        <w:rPr>
          <w:rFonts w:eastAsia="Calibri" w:cs="Times New Roman"/>
          <w:bCs/>
          <w:szCs w:val="24"/>
        </w:rPr>
        <w:t>3</w:t>
      </w:r>
      <w:r>
        <w:rPr>
          <w:rFonts w:eastAsia="Calibri" w:cs="Times New Roman"/>
          <w:bCs/>
          <w:szCs w:val="24"/>
        </w:rPr>
        <w:t xml:space="preserve"> og </w:t>
      </w:r>
      <w:r w:rsidR="00C14774">
        <w:rPr>
          <w:rFonts w:eastAsia="Calibri" w:cs="Times New Roman"/>
          <w:bCs/>
          <w:szCs w:val="24"/>
        </w:rPr>
        <w:t>4</w:t>
      </w:r>
      <w:r w:rsidRPr="00F1196D">
        <w:rPr>
          <w:rFonts w:eastAsia="Calibri" w:cs="Times New Roman"/>
          <w:bCs/>
          <w:szCs w:val="24"/>
        </w:rPr>
        <w:t>, finder anvendelse på forhold, der er begået inden lovens ikrafttræden, men ikke endelig pådømt ved lovens ikrafttræden.</w:t>
      </w:r>
    </w:p>
    <w:p w14:paraId="123BD40E" w14:textId="77777777" w:rsidR="002F3C2D" w:rsidRPr="002F3C2D" w:rsidRDefault="002F3C2D" w:rsidP="002F3C2D">
      <w:pPr>
        <w:rPr>
          <w:rFonts w:eastAsia="Calibri" w:cs="Times New Roman"/>
          <w:szCs w:val="24"/>
        </w:rPr>
      </w:pPr>
    </w:p>
    <w:p w14:paraId="1D2D4860" w14:textId="77777777" w:rsidR="002F3C2D" w:rsidRDefault="002F3C2D" w:rsidP="002F3C2D">
      <w:pPr>
        <w:rPr>
          <w:rFonts w:eastAsia="Calibri" w:cs="Times New Roman"/>
          <w:szCs w:val="24"/>
        </w:rPr>
      </w:pPr>
    </w:p>
    <w:p w14:paraId="215725D0" w14:textId="275256A2" w:rsidR="002F3C2D" w:rsidRDefault="002F3C2D" w:rsidP="002F3C2D">
      <w:pPr>
        <w:rPr>
          <w:rFonts w:eastAsia="Calibri" w:cs="Times New Roman"/>
          <w:szCs w:val="24"/>
        </w:rPr>
      </w:pPr>
    </w:p>
    <w:p w14:paraId="3066B0CC" w14:textId="77777777" w:rsidR="002F3C2D" w:rsidRPr="002F3C2D" w:rsidRDefault="002F3C2D" w:rsidP="002F3C2D">
      <w:pPr>
        <w:rPr>
          <w:rFonts w:eastAsia="Calibri" w:cs="Times New Roman"/>
          <w:szCs w:val="24"/>
        </w:rPr>
      </w:pPr>
    </w:p>
    <w:p w14:paraId="52E6EDB0" w14:textId="77777777" w:rsidR="00AF3E2E" w:rsidRDefault="00AF3E2E" w:rsidP="00AF3E2E">
      <w:pPr>
        <w:pStyle w:val="Listeafsnit"/>
        <w:ind w:left="426"/>
        <w:rPr>
          <w:rFonts w:eastAsia="Calibri" w:cs="Times New Roman"/>
          <w:szCs w:val="24"/>
        </w:rPr>
      </w:pPr>
    </w:p>
    <w:p w14:paraId="378A91EC" w14:textId="77777777" w:rsidR="00150518" w:rsidRPr="00150518" w:rsidRDefault="00150518" w:rsidP="00150518">
      <w:pPr>
        <w:pStyle w:val="Listeafsnit"/>
        <w:ind w:left="426"/>
        <w:rPr>
          <w:rFonts w:eastAsia="Calibri" w:cs="Times New Roman"/>
          <w:szCs w:val="24"/>
        </w:rPr>
      </w:pPr>
    </w:p>
    <w:p w14:paraId="275046AD" w14:textId="07C4B8CF" w:rsidR="00216DFF" w:rsidRDefault="00216DFF" w:rsidP="00216DFF">
      <w:pPr>
        <w:spacing w:after="240"/>
        <w:rPr>
          <w:rFonts w:eastAsia="Calibri" w:cs="Times New Roman"/>
          <w:szCs w:val="24"/>
        </w:rPr>
      </w:pPr>
    </w:p>
    <w:bookmarkEnd w:id="3"/>
    <w:p w14:paraId="19B795B3" w14:textId="3D2722A3" w:rsidR="00216243" w:rsidRDefault="00216243" w:rsidP="00216DFF">
      <w:pPr>
        <w:spacing w:after="240"/>
        <w:rPr>
          <w:rFonts w:eastAsia="Calibri" w:cs="Times New Roman"/>
          <w:szCs w:val="24"/>
        </w:rPr>
      </w:pPr>
    </w:p>
    <w:bookmarkEnd w:id="1"/>
    <w:bookmarkEnd w:id="2"/>
    <w:p w14:paraId="0951D1CF" w14:textId="77777777" w:rsidR="00216DFF" w:rsidRPr="0053500B" w:rsidRDefault="00216DFF" w:rsidP="00216DFF">
      <w:pPr>
        <w:spacing w:after="240"/>
        <w:rPr>
          <w:rFonts w:eastAsia="Calibri" w:cs="Times New Roman"/>
          <w:szCs w:val="24"/>
        </w:rPr>
      </w:pPr>
    </w:p>
    <w:p w14:paraId="21E0B6B4" w14:textId="77777777" w:rsidR="004202D4" w:rsidRPr="0053500B" w:rsidRDefault="004202D4" w:rsidP="00572101">
      <w:pPr>
        <w:jc w:val="left"/>
        <w:rPr>
          <w:rFonts w:eastAsia="Calibri" w:cs="Times New Roman"/>
          <w:b/>
          <w:szCs w:val="24"/>
        </w:rPr>
      </w:pPr>
    </w:p>
    <w:bookmarkEnd w:id="4"/>
    <w:p w14:paraId="76936A0C" w14:textId="77777777" w:rsidR="004202D4" w:rsidRPr="0053500B" w:rsidRDefault="004202D4" w:rsidP="004202D4">
      <w:pPr>
        <w:spacing w:after="200" w:line="0" w:lineRule="auto"/>
        <w:jc w:val="left"/>
        <w:rPr>
          <w:rFonts w:cs="Times New Roman"/>
        </w:rPr>
      </w:pPr>
      <w:r w:rsidRPr="0053500B">
        <w:rPr>
          <w:rFonts w:cs="Times New Roman"/>
        </w:rPr>
        <w:br w:type="page"/>
      </w:r>
    </w:p>
    <w:p w14:paraId="10585442" w14:textId="77777777" w:rsidR="004202D4" w:rsidRPr="0053500B" w:rsidRDefault="004202D4" w:rsidP="004202D4">
      <w:pPr>
        <w:spacing w:after="240"/>
        <w:jc w:val="center"/>
        <w:rPr>
          <w:rFonts w:eastAsia="Calibri" w:cs="Times New Roman"/>
          <w:i/>
          <w:szCs w:val="24"/>
        </w:rPr>
      </w:pPr>
      <w:r w:rsidRPr="0053500B">
        <w:rPr>
          <w:rFonts w:eastAsia="Calibri" w:cs="Times New Roman"/>
          <w:i/>
          <w:szCs w:val="24"/>
        </w:rPr>
        <w:lastRenderedPageBreak/>
        <w:t>Bemærkninger til lovforslaget</w:t>
      </w:r>
    </w:p>
    <w:p w14:paraId="27A5323B" w14:textId="77777777" w:rsidR="004202D4" w:rsidRPr="0053500B" w:rsidRDefault="004202D4" w:rsidP="004202D4">
      <w:pPr>
        <w:spacing w:after="240"/>
        <w:jc w:val="center"/>
        <w:rPr>
          <w:rFonts w:eastAsia="Calibri" w:cs="Times New Roman"/>
          <w:i/>
          <w:szCs w:val="24"/>
        </w:rPr>
      </w:pPr>
      <w:r w:rsidRPr="0053500B">
        <w:rPr>
          <w:rFonts w:eastAsia="Calibri" w:cs="Times New Roman"/>
          <w:i/>
          <w:szCs w:val="24"/>
        </w:rPr>
        <w:t>Almindelige bemærkninger</w:t>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296"/>
        <w:gridCol w:w="5922"/>
      </w:tblGrid>
      <w:tr w:rsidR="004202D4" w:rsidRPr="0053500B" w14:paraId="0EE57DB8" w14:textId="77777777" w:rsidTr="004202D4">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218" w:type="dxa"/>
            <w:gridSpan w:val="2"/>
            <w:tcBorders>
              <w:top w:val="dashed" w:sz="4" w:space="0" w:color="auto"/>
              <w:left w:val="dashed" w:sz="4" w:space="0" w:color="auto"/>
              <w:bottom w:val="dashed" w:sz="4" w:space="0" w:color="auto"/>
              <w:right w:val="dashed" w:sz="4" w:space="0" w:color="auto"/>
            </w:tcBorders>
            <w:hideMark/>
          </w:tcPr>
          <w:p w14:paraId="0784DB80" w14:textId="77777777" w:rsidR="004202D4" w:rsidRPr="003041E8" w:rsidRDefault="004202D4">
            <w:pPr>
              <w:spacing w:after="240"/>
              <w:ind w:firstLine="22"/>
              <w:jc w:val="left"/>
              <w:rPr>
                <w:rFonts w:eastAsia="Calibri"/>
                <w:b/>
                <w:bCs/>
                <w:szCs w:val="24"/>
              </w:rPr>
            </w:pPr>
            <w:r w:rsidRPr="003041E8">
              <w:rPr>
                <w:rFonts w:eastAsia="Calibri"/>
                <w:b/>
                <w:bCs/>
                <w:szCs w:val="24"/>
              </w:rPr>
              <w:t>Indholdsfortegnelse</w:t>
            </w:r>
          </w:p>
        </w:tc>
      </w:tr>
      <w:tr w:rsidR="004202D4" w:rsidRPr="0053500B" w14:paraId="67A702F3"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1514A282" w14:textId="77777777" w:rsidR="004202D4" w:rsidRPr="003041E8" w:rsidRDefault="004202D4">
            <w:pPr>
              <w:spacing w:after="240"/>
              <w:jc w:val="left"/>
              <w:rPr>
                <w:rFonts w:eastAsia="Calibri"/>
                <w:b/>
                <w:bCs/>
                <w:szCs w:val="24"/>
              </w:rPr>
            </w:pPr>
            <w:r w:rsidRPr="003041E8">
              <w:rPr>
                <w:rFonts w:eastAsia="Calibri"/>
                <w:b/>
                <w:bCs/>
                <w:szCs w:val="24"/>
              </w:rPr>
              <w:t>1.</w:t>
            </w:r>
          </w:p>
        </w:tc>
        <w:tc>
          <w:tcPr>
            <w:tcW w:w="5922" w:type="dxa"/>
            <w:tcBorders>
              <w:top w:val="dashed" w:sz="4" w:space="0" w:color="auto"/>
              <w:left w:val="dashed" w:sz="4" w:space="0" w:color="auto"/>
              <w:bottom w:val="dashed" w:sz="4" w:space="0" w:color="auto"/>
              <w:right w:val="dashed" w:sz="4" w:space="0" w:color="auto"/>
            </w:tcBorders>
            <w:hideMark/>
          </w:tcPr>
          <w:p w14:paraId="53AB2493"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3041E8">
              <w:rPr>
                <w:rFonts w:eastAsia="Calibri"/>
                <w:b/>
                <w:bCs/>
                <w:szCs w:val="24"/>
              </w:rPr>
              <w:t>Indledning</w:t>
            </w:r>
          </w:p>
        </w:tc>
      </w:tr>
      <w:tr w:rsidR="004202D4" w:rsidRPr="0053500B" w14:paraId="31AFCAEB"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0D292588" w14:textId="77777777" w:rsidR="004202D4" w:rsidRPr="003041E8" w:rsidRDefault="004202D4">
            <w:pPr>
              <w:spacing w:after="240"/>
              <w:jc w:val="left"/>
              <w:rPr>
                <w:rFonts w:eastAsia="Calibri"/>
                <w:b/>
                <w:bCs/>
                <w:szCs w:val="24"/>
              </w:rPr>
            </w:pPr>
            <w:r w:rsidRPr="003041E8">
              <w:rPr>
                <w:rFonts w:eastAsia="Calibri"/>
                <w:b/>
                <w:bCs/>
                <w:szCs w:val="24"/>
              </w:rPr>
              <w:t>2.</w:t>
            </w:r>
          </w:p>
        </w:tc>
        <w:tc>
          <w:tcPr>
            <w:tcW w:w="5922" w:type="dxa"/>
            <w:tcBorders>
              <w:top w:val="dashed" w:sz="4" w:space="0" w:color="auto"/>
              <w:left w:val="dashed" w:sz="4" w:space="0" w:color="auto"/>
              <w:bottom w:val="dashed" w:sz="4" w:space="0" w:color="auto"/>
              <w:right w:val="dashed" w:sz="4" w:space="0" w:color="auto"/>
            </w:tcBorders>
            <w:hideMark/>
          </w:tcPr>
          <w:p w14:paraId="7E91928B"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3041E8">
              <w:rPr>
                <w:rFonts w:eastAsia="Calibri"/>
                <w:b/>
                <w:bCs/>
                <w:szCs w:val="24"/>
              </w:rPr>
              <w:t>Lovforslagets hovedpunkter</w:t>
            </w:r>
          </w:p>
        </w:tc>
      </w:tr>
      <w:tr w:rsidR="004202D4" w:rsidRPr="0053500B" w14:paraId="2DB52175"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40086CEB" w14:textId="77777777" w:rsidR="004202D4" w:rsidRPr="00207751" w:rsidRDefault="004202D4">
            <w:pPr>
              <w:spacing w:after="240"/>
              <w:jc w:val="left"/>
              <w:rPr>
                <w:rFonts w:eastAsia="Calibri"/>
                <w:b/>
                <w:bCs/>
                <w:szCs w:val="24"/>
              </w:rPr>
            </w:pPr>
            <w:r w:rsidRPr="00207751">
              <w:rPr>
                <w:rFonts w:eastAsia="Calibri"/>
                <w:b/>
                <w:bCs/>
                <w:szCs w:val="24"/>
              </w:rPr>
              <w:t>2.1.</w:t>
            </w:r>
          </w:p>
        </w:tc>
        <w:tc>
          <w:tcPr>
            <w:tcW w:w="5922" w:type="dxa"/>
            <w:tcBorders>
              <w:top w:val="dashed" w:sz="4" w:space="0" w:color="auto"/>
              <w:left w:val="dashed" w:sz="4" w:space="0" w:color="auto"/>
              <w:bottom w:val="dashed" w:sz="4" w:space="0" w:color="auto"/>
              <w:right w:val="dashed" w:sz="4" w:space="0" w:color="auto"/>
            </w:tcBorders>
            <w:hideMark/>
          </w:tcPr>
          <w:p w14:paraId="1E473B28" w14:textId="0BC0F596" w:rsidR="004202D4" w:rsidRPr="00207751" w:rsidRDefault="00D54FF7">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bookmarkStart w:id="6" w:name="_Hlk189584196"/>
            <w:r w:rsidRPr="00207751">
              <w:rPr>
                <w:b/>
                <w:bCs/>
                <w:szCs w:val="24"/>
              </w:rPr>
              <w:t xml:space="preserve">Skærpelse af de frakendelsesmæssige sanktioner for spiritus- og </w:t>
            </w:r>
            <w:bookmarkEnd w:id="6"/>
            <w:r w:rsidRPr="00207751">
              <w:rPr>
                <w:b/>
                <w:bCs/>
                <w:szCs w:val="24"/>
              </w:rPr>
              <w:t>narkokørsel i forbindelse med uagtsomt manddrab og uagtsom betydelig legemsbeskadigelse</w:t>
            </w:r>
          </w:p>
        </w:tc>
      </w:tr>
      <w:tr w:rsidR="004202D4" w:rsidRPr="0053500B" w14:paraId="1CF051DC"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18D15AA0" w14:textId="77777777" w:rsidR="004202D4" w:rsidRPr="003041E8" w:rsidRDefault="004202D4">
            <w:pPr>
              <w:spacing w:after="240"/>
              <w:jc w:val="left"/>
              <w:rPr>
                <w:rFonts w:eastAsia="Calibri"/>
                <w:i/>
                <w:iCs/>
                <w:szCs w:val="24"/>
              </w:rPr>
            </w:pPr>
            <w:r w:rsidRPr="003041E8">
              <w:rPr>
                <w:rFonts w:eastAsia="Calibri"/>
                <w:i/>
                <w:iCs/>
                <w:szCs w:val="24"/>
              </w:rPr>
              <w:t>2.1.1.</w:t>
            </w:r>
          </w:p>
        </w:tc>
        <w:tc>
          <w:tcPr>
            <w:tcW w:w="5922" w:type="dxa"/>
            <w:tcBorders>
              <w:top w:val="dashed" w:sz="4" w:space="0" w:color="auto"/>
              <w:left w:val="dashed" w:sz="4" w:space="0" w:color="auto"/>
              <w:bottom w:val="dashed" w:sz="4" w:space="0" w:color="auto"/>
              <w:right w:val="dashed" w:sz="4" w:space="0" w:color="auto"/>
            </w:tcBorders>
            <w:hideMark/>
          </w:tcPr>
          <w:p w14:paraId="328E6CCA"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Gældende ret</w:t>
            </w:r>
          </w:p>
        </w:tc>
      </w:tr>
      <w:tr w:rsidR="004202D4" w:rsidRPr="0053500B" w14:paraId="6DDB625D"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4A811B8B" w14:textId="77777777" w:rsidR="004202D4" w:rsidRPr="003041E8" w:rsidRDefault="004202D4">
            <w:pPr>
              <w:spacing w:after="240"/>
              <w:jc w:val="left"/>
              <w:rPr>
                <w:rFonts w:eastAsia="Calibri"/>
                <w:i/>
                <w:iCs/>
                <w:szCs w:val="24"/>
              </w:rPr>
            </w:pPr>
            <w:r w:rsidRPr="003041E8">
              <w:rPr>
                <w:rFonts w:eastAsia="Calibri"/>
                <w:i/>
                <w:iCs/>
                <w:szCs w:val="24"/>
              </w:rPr>
              <w:t>2.1.2.</w:t>
            </w:r>
          </w:p>
        </w:tc>
        <w:tc>
          <w:tcPr>
            <w:tcW w:w="5922" w:type="dxa"/>
            <w:tcBorders>
              <w:top w:val="dashed" w:sz="4" w:space="0" w:color="auto"/>
              <w:left w:val="dashed" w:sz="4" w:space="0" w:color="auto"/>
              <w:bottom w:val="dashed" w:sz="4" w:space="0" w:color="auto"/>
              <w:right w:val="dashed" w:sz="4" w:space="0" w:color="auto"/>
            </w:tcBorders>
            <w:hideMark/>
          </w:tcPr>
          <w:p w14:paraId="560A8D4B"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Transportministeriets overvejelser</w:t>
            </w:r>
          </w:p>
        </w:tc>
      </w:tr>
      <w:tr w:rsidR="004202D4" w:rsidRPr="0053500B" w14:paraId="00EB2D40"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14598E1D" w14:textId="77777777" w:rsidR="004202D4" w:rsidRPr="003041E8" w:rsidRDefault="004202D4">
            <w:pPr>
              <w:spacing w:after="240"/>
              <w:jc w:val="left"/>
              <w:rPr>
                <w:rFonts w:eastAsia="Calibri"/>
                <w:i/>
                <w:iCs/>
                <w:szCs w:val="24"/>
              </w:rPr>
            </w:pPr>
            <w:r w:rsidRPr="003041E8">
              <w:rPr>
                <w:rFonts w:eastAsia="Calibri"/>
                <w:i/>
                <w:iCs/>
                <w:szCs w:val="24"/>
              </w:rPr>
              <w:t>2.1.3.</w:t>
            </w:r>
          </w:p>
        </w:tc>
        <w:tc>
          <w:tcPr>
            <w:tcW w:w="5922" w:type="dxa"/>
            <w:tcBorders>
              <w:top w:val="dashed" w:sz="4" w:space="0" w:color="auto"/>
              <w:left w:val="dashed" w:sz="4" w:space="0" w:color="auto"/>
              <w:bottom w:val="dashed" w:sz="4" w:space="0" w:color="auto"/>
              <w:right w:val="dashed" w:sz="4" w:space="0" w:color="auto"/>
            </w:tcBorders>
            <w:hideMark/>
          </w:tcPr>
          <w:p w14:paraId="4AAD999E"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Den foreslåede ordning</w:t>
            </w:r>
          </w:p>
        </w:tc>
      </w:tr>
      <w:tr w:rsidR="004202D4" w:rsidRPr="0053500B" w14:paraId="17C69A49"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5933A479" w14:textId="77777777" w:rsidR="004202D4" w:rsidRPr="003041E8" w:rsidRDefault="004202D4">
            <w:pPr>
              <w:spacing w:after="240"/>
              <w:jc w:val="left"/>
              <w:rPr>
                <w:rFonts w:eastAsia="Calibri"/>
                <w:b/>
                <w:bCs/>
                <w:szCs w:val="24"/>
              </w:rPr>
            </w:pPr>
            <w:r w:rsidRPr="003041E8">
              <w:rPr>
                <w:rFonts w:eastAsia="Calibri"/>
                <w:b/>
                <w:bCs/>
                <w:szCs w:val="24"/>
              </w:rPr>
              <w:t>2.2.</w:t>
            </w:r>
          </w:p>
        </w:tc>
        <w:tc>
          <w:tcPr>
            <w:tcW w:w="5922" w:type="dxa"/>
            <w:tcBorders>
              <w:top w:val="dashed" w:sz="4" w:space="0" w:color="auto"/>
              <w:left w:val="dashed" w:sz="4" w:space="0" w:color="auto"/>
              <w:bottom w:val="dashed" w:sz="4" w:space="0" w:color="auto"/>
              <w:right w:val="dashed" w:sz="4" w:space="0" w:color="auto"/>
            </w:tcBorders>
            <w:hideMark/>
          </w:tcPr>
          <w:p w14:paraId="7F0C7C3F" w14:textId="59E42382" w:rsidR="007F70AE" w:rsidRPr="003041E8" w:rsidRDefault="007F70AE" w:rsidP="007F70AE">
            <w:pPr>
              <w:spacing w:after="240" w:line="276" w:lineRule="auto"/>
              <w:cnfStyle w:val="000000000000" w:firstRow="0" w:lastRow="0" w:firstColumn="0" w:lastColumn="0" w:oddVBand="0" w:evenVBand="0" w:oddHBand="0" w:evenHBand="0" w:firstRowFirstColumn="0" w:firstRowLastColumn="0" w:lastRowFirstColumn="0" w:lastRowLastColumn="0"/>
              <w:rPr>
                <w:b/>
                <w:bCs/>
                <w:color w:val="212529"/>
                <w:szCs w:val="24"/>
                <w:shd w:val="clear" w:color="auto" w:fill="F9F9FB"/>
              </w:rPr>
            </w:pPr>
            <w:r w:rsidRPr="003041E8">
              <w:rPr>
                <w:b/>
                <w:bCs/>
                <w:color w:val="212529"/>
                <w:szCs w:val="24"/>
                <w:shd w:val="clear" w:color="auto" w:fill="F9F9FB"/>
              </w:rPr>
              <w:t>Skærpelse af frakendelsesperioden ved særlig hensynsløs kørsel</w:t>
            </w:r>
          </w:p>
          <w:p w14:paraId="2D39A6F4" w14:textId="1D07834F"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p>
        </w:tc>
      </w:tr>
      <w:tr w:rsidR="004202D4" w:rsidRPr="0053500B" w14:paraId="2D6DAC4A"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3919AC79" w14:textId="77777777" w:rsidR="004202D4" w:rsidRPr="003041E8" w:rsidRDefault="004202D4">
            <w:pPr>
              <w:spacing w:after="240"/>
              <w:jc w:val="left"/>
              <w:rPr>
                <w:rFonts w:eastAsia="Calibri"/>
                <w:i/>
                <w:iCs/>
                <w:szCs w:val="24"/>
              </w:rPr>
            </w:pPr>
            <w:r w:rsidRPr="003041E8">
              <w:rPr>
                <w:rFonts w:eastAsia="Calibri"/>
                <w:i/>
                <w:iCs/>
                <w:szCs w:val="24"/>
              </w:rPr>
              <w:t>2.2.1.</w:t>
            </w:r>
          </w:p>
        </w:tc>
        <w:tc>
          <w:tcPr>
            <w:tcW w:w="5922" w:type="dxa"/>
            <w:tcBorders>
              <w:top w:val="dashed" w:sz="4" w:space="0" w:color="auto"/>
              <w:left w:val="dashed" w:sz="4" w:space="0" w:color="auto"/>
              <w:bottom w:val="dashed" w:sz="4" w:space="0" w:color="auto"/>
              <w:right w:val="dashed" w:sz="4" w:space="0" w:color="auto"/>
            </w:tcBorders>
            <w:hideMark/>
          </w:tcPr>
          <w:p w14:paraId="28FA8283"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Gældende ret</w:t>
            </w:r>
          </w:p>
        </w:tc>
      </w:tr>
      <w:tr w:rsidR="004202D4" w:rsidRPr="0053500B" w14:paraId="0E5B7E04"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63775E69" w14:textId="77777777" w:rsidR="004202D4" w:rsidRPr="003041E8" w:rsidRDefault="004202D4">
            <w:pPr>
              <w:spacing w:after="240"/>
              <w:jc w:val="left"/>
              <w:rPr>
                <w:rFonts w:eastAsia="Calibri"/>
                <w:i/>
                <w:iCs/>
                <w:szCs w:val="24"/>
              </w:rPr>
            </w:pPr>
            <w:r w:rsidRPr="003041E8">
              <w:rPr>
                <w:rFonts w:eastAsia="Calibri"/>
                <w:i/>
                <w:iCs/>
                <w:szCs w:val="24"/>
              </w:rPr>
              <w:t>2.2.2.</w:t>
            </w:r>
          </w:p>
        </w:tc>
        <w:tc>
          <w:tcPr>
            <w:tcW w:w="5922" w:type="dxa"/>
            <w:tcBorders>
              <w:top w:val="dashed" w:sz="4" w:space="0" w:color="auto"/>
              <w:left w:val="dashed" w:sz="4" w:space="0" w:color="auto"/>
              <w:bottom w:val="dashed" w:sz="4" w:space="0" w:color="auto"/>
              <w:right w:val="dashed" w:sz="4" w:space="0" w:color="auto"/>
            </w:tcBorders>
            <w:hideMark/>
          </w:tcPr>
          <w:p w14:paraId="756DBF94"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Transportministeriets overvejelser</w:t>
            </w:r>
          </w:p>
        </w:tc>
      </w:tr>
      <w:tr w:rsidR="004202D4" w:rsidRPr="0053500B" w14:paraId="5DC260EC"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66FE0CA2" w14:textId="77777777" w:rsidR="004202D4" w:rsidRPr="003041E8" w:rsidRDefault="004202D4">
            <w:pPr>
              <w:spacing w:after="240"/>
              <w:jc w:val="left"/>
              <w:rPr>
                <w:rFonts w:eastAsia="Calibri"/>
                <w:i/>
                <w:iCs/>
                <w:szCs w:val="24"/>
              </w:rPr>
            </w:pPr>
            <w:r w:rsidRPr="003041E8">
              <w:rPr>
                <w:rFonts w:eastAsia="Calibri"/>
                <w:i/>
                <w:iCs/>
                <w:szCs w:val="24"/>
              </w:rPr>
              <w:t>2.2.3.</w:t>
            </w:r>
          </w:p>
        </w:tc>
        <w:tc>
          <w:tcPr>
            <w:tcW w:w="5922" w:type="dxa"/>
            <w:tcBorders>
              <w:top w:val="dashed" w:sz="4" w:space="0" w:color="auto"/>
              <w:left w:val="dashed" w:sz="4" w:space="0" w:color="auto"/>
              <w:bottom w:val="dashed" w:sz="4" w:space="0" w:color="auto"/>
              <w:right w:val="dashed" w:sz="4" w:space="0" w:color="auto"/>
            </w:tcBorders>
            <w:hideMark/>
          </w:tcPr>
          <w:p w14:paraId="3B3790FF" w14:textId="77777777" w:rsidR="004202D4" w:rsidRPr="003041E8"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3041E8">
              <w:rPr>
                <w:rFonts w:eastAsia="Calibri"/>
                <w:i/>
                <w:iCs/>
                <w:szCs w:val="24"/>
              </w:rPr>
              <w:t>Den foreslåede ordning</w:t>
            </w:r>
          </w:p>
        </w:tc>
      </w:tr>
      <w:tr w:rsidR="004202D4" w:rsidRPr="0053500B" w14:paraId="56B04F33"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050D3938" w14:textId="77777777" w:rsidR="004202D4" w:rsidRPr="00137887" w:rsidRDefault="004202D4">
            <w:pPr>
              <w:spacing w:after="240"/>
              <w:jc w:val="left"/>
              <w:rPr>
                <w:rFonts w:eastAsia="Calibri"/>
                <w:b/>
                <w:bCs/>
                <w:szCs w:val="24"/>
              </w:rPr>
            </w:pPr>
            <w:r w:rsidRPr="00137887">
              <w:rPr>
                <w:rFonts w:eastAsia="Calibri"/>
                <w:b/>
                <w:bCs/>
                <w:szCs w:val="24"/>
              </w:rPr>
              <w:t>2.3.</w:t>
            </w:r>
          </w:p>
        </w:tc>
        <w:tc>
          <w:tcPr>
            <w:tcW w:w="5922" w:type="dxa"/>
            <w:tcBorders>
              <w:top w:val="dashed" w:sz="4" w:space="0" w:color="auto"/>
              <w:left w:val="dashed" w:sz="4" w:space="0" w:color="auto"/>
              <w:bottom w:val="dashed" w:sz="4" w:space="0" w:color="auto"/>
              <w:right w:val="dashed" w:sz="4" w:space="0" w:color="auto"/>
            </w:tcBorders>
            <w:hideMark/>
          </w:tcPr>
          <w:p w14:paraId="6758DA01" w14:textId="32FC9495" w:rsidR="004202D4" w:rsidRPr="00137887" w:rsidRDefault="00DA4412">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bookmarkStart w:id="7" w:name="_Hlk189584147"/>
            <w:r w:rsidRPr="00137887">
              <w:rPr>
                <w:rFonts w:eastAsiaTheme="minorHAnsi"/>
                <w:b/>
                <w:bCs/>
                <w:color w:val="auto"/>
              </w:rPr>
              <w:t xml:space="preserve">Udvidet </w:t>
            </w:r>
            <w:bookmarkEnd w:id="7"/>
            <w:r w:rsidRPr="00137887">
              <w:rPr>
                <w:rFonts w:eastAsiaTheme="minorHAnsi"/>
                <w:b/>
                <w:bCs/>
                <w:color w:val="auto"/>
              </w:rPr>
              <w:t>adgang til konfiskation af motordrevne køretøjer ved spiritus- og narkokørsel i forbindelse med uagtsomt manddrab og uagtsom betydelig legemsbeskadigelse</w:t>
            </w:r>
          </w:p>
        </w:tc>
      </w:tr>
      <w:tr w:rsidR="004202D4" w:rsidRPr="0053500B" w14:paraId="7C101515"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44DB3483" w14:textId="77777777" w:rsidR="004202D4" w:rsidRPr="00137887" w:rsidRDefault="004202D4">
            <w:pPr>
              <w:spacing w:after="240"/>
              <w:jc w:val="left"/>
              <w:rPr>
                <w:rFonts w:eastAsia="Calibri"/>
                <w:i/>
                <w:iCs/>
                <w:szCs w:val="24"/>
              </w:rPr>
            </w:pPr>
            <w:r w:rsidRPr="00137887">
              <w:rPr>
                <w:rFonts w:eastAsia="Calibri"/>
                <w:i/>
                <w:iCs/>
                <w:szCs w:val="24"/>
              </w:rPr>
              <w:t>2.3.1.</w:t>
            </w:r>
          </w:p>
        </w:tc>
        <w:tc>
          <w:tcPr>
            <w:tcW w:w="5922" w:type="dxa"/>
            <w:tcBorders>
              <w:top w:val="dashed" w:sz="4" w:space="0" w:color="auto"/>
              <w:left w:val="dashed" w:sz="4" w:space="0" w:color="auto"/>
              <w:bottom w:val="dashed" w:sz="4" w:space="0" w:color="auto"/>
              <w:right w:val="dashed" w:sz="4" w:space="0" w:color="auto"/>
            </w:tcBorders>
            <w:hideMark/>
          </w:tcPr>
          <w:p w14:paraId="287A6F64"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Gældende ret</w:t>
            </w:r>
          </w:p>
        </w:tc>
      </w:tr>
      <w:tr w:rsidR="004202D4" w:rsidRPr="0053500B" w14:paraId="613A6AD7"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1005CAF5" w14:textId="77777777" w:rsidR="004202D4" w:rsidRPr="00137887" w:rsidRDefault="004202D4">
            <w:pPr>
              <w:spacing w:after="240"/>
              <w:jc w:val="left"/>
              <w:rPr>
                <w:rFonts w:eastAsia="Calibri"/>
                <w:i/>
                <w:iCs/>
                <w:szCs w:val="24"/>
              </w:rPr>
            </w:pPr>
            <w:r w:rsidRPr="00137887">
              <w:rPr>
                <w:rFonts w:eastAsia="Calibri"/>
                <w:i/>
                <w:iCs/>
                <w:szCs w:val="24"/>
              </w:rPr>
              <w:t>2.3.2.</w:t>
            </w:r>
          </w:p>
        </w:tc>
        <w:tc>
          <w:tcPr>
            <w:tcW w:w="5922" w:type="dxa"/>
            <w:tcBorders>
              <w:top w:val="dashed" w:sz="4" w:space="0" w:color="auto"/>
              <w:left w:val="dashed" w:sz="4" w:space="0" w:color="auto"/>
              <w:bottom w:val="dashed" w:sz="4" w:space="0" w:color="auto"/>
              <w:right w:val="dashed" w:sz="4" w:space="0" w:color="auto"/>
            </w:tcBorders>
            <w:hideMark/>
          </w:tcPr>
          <w:p w14:paraId="4947C416"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Transportministeriets overvejelser</w:t>
            </w:r>
          </w:p>
        </w:tc>
      </w:tr>
      <w:tr w:rsidR="004202D4" w:rsidRPr="0053500B" w14:paraId="45B982CA"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192194B2" w14:textId="77777777" w:rsidR="004202D4" w:rsidRPr="00137887" w:rsidRDefault="004202D4">
            <w:pPr>
              <w:spacing w:after="240"/>
              <w:jc w:val="left"/>
              <w:rPr>
                <w:rFonts w:eastAsia="Calibri"/>
                <w:i/>
                <w:iCs/>
                <w:szCs w:val="24"/>
              </w:rPr>
            </w:pPr>
            <w:r w:rsidRPr="00137887">
              <w:rPr>
                <w:rFonts w:eastAsia="Calibri"/>
                <w:i/>
                <w:iCs/>
                <w:szCs w:val="24"/>
              </w:rPr>
              <w:t>2.3.3.</w:t>
            </w:r>
          </w:p>
        </w:tc>
        <w:tc>
          <w:tcPr>
            <w:tcW w:w="5922" w:type="dxa"/>
            <w:tcBorders>
              <w:top w:val="dashed" w:sz="4" w:space="0" w:color="auto"/>
              <w:left w:val="dashed" w:sz="4" w:space="0" w:color="auto"/>
              <w:bottom w:val="dashed" w:sz="4" w:space="0" w:color="auto"/>
              <w:right w:val="dashed" w:sz="4" w:space="0" w:color="auto"/>
            </w:tcBorders>
            <w:hideMark/>
          </w:tcPr>
          <w:p w14:paraId="38523B4B"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Den foreslåede ordning</w:t>
            </w:r>
          </w:p>
        </w:tc>
      </w:tr>
      <w:tr w:rsidR="004202D4" w:rsidRPr="0053500B" w14:paraId="1E92412F"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78DB515A" w14:textId="77777777" w:rsidR="004202D4" w:rsidRPr="00137887" w:rsidRDefault="004202D4">
            <w:pPr>
              <w:spacing w:after="240"/>
              <w:jc w:val="left"/>
              <w:rPr>
                <w:rFonts w:eastAsia="Calibri"/>
                <w:b/>
                <w:bCs/>
                <w:szCs w:val="24"/>
              </w:rPr>
            </w:pPr>
            <w:r w:rsidRPr="00137887">
              <w:rPr>
                <w:rFonts w:eastAsia="Calibri"/>
                <w:b/>
                <w:bCs/>
                <w:szCs w:val="24"/>
              </w:rPr>
              <w:t>2.4.</w:t>
            </w:r>
          </w:p>
        </w:tc>
        <w:tc>
          <w:tcPr>
            <w:tcW w:w="5922" w:type="dxa"/>
            <w:tcBorders>
              <w:top w:val="dashed" w:sz="4" w:space="0" w:color="auto"/>
              <w:left w:val="dashed" w:sz="4" w:space="0" w:color="auto"/>
              <w:bottom w:val="dashed" w:sz="4" w:space="0" w:color="auto"/>
              <w:right w:val="dashed" w:sz="4" w:space="0" w:color="auto"/>
            </w:tcBorders>
            <w:hideMark/>
          </w:tcPr>
          <w:p w14:paraId="10CCDEF6" w14:textId="6C9D0D08" w:rsidR="004202D4" w:rsidRPr="00137887" w:rsidRDefault="00D54FF7" w:rsidP="003245D5">
            <w:pPr>
              <w:cnfStyle w:val="000000000000" w:firstRow="0" w:lastRow="0" w:firstColumn="0" w:lastColumn="0" w:oddVBand="0" w:evenVBand="0" w:oddHBand="0" w:evenHBand="0" w:firstRowFirstColumn="0" w:firstRowLastColumn="0" w:lastRowFirstColumn="0" w:lastRowLastColumn="0"/>
              <w:rPr>
                <w:b/>
                <w:bCs/>
                <w:szCs w:val="24"/>
              </w:rPr>
            </w:pPr>
            <w:r w:rsidRPr="00137887">
              <w:rPr>
                <w:b/>
                <w:bCs/>
                <w:szCs w:val="24"/>
              </w:rPr>
              <w:t>Lempelse af frakendelsesmæssige sanktioner for førere af udrykningskøretøjer</w:t>
            </w:r>
          </w:p>
        </w:tc>
      </w:tr>
      <w:tr w:rsidR="004202D4" w:rsidRPr="0053500B" w14:paraId="450C49E0"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6BDB7C4B" w14:textId="77777777" w:rsidR="004202D4" w:rsidRPr="00137887" w:rsidRDefault="004202D4">
            <w:pPr>
              <w:spacing w:after="240"/>
              <w:jc w:val="left"/>
              <w:rPr>
                <w:rFonts w:eastAsia="Calibri"/>
                <w:i/>
                <w:iCs/>
                <w:szCs w:val="24"/>
              </w:rPr>
            </w:pPr>
            <w:r w:rsidRPr="00137887">
              <w:rPr>
                <w:rFonts w:eastAsia="Calibri"/>
                <w:i/>
                <w:iCs/>
                <w:szCs w:val="24"/>
              </w:rPr>
              <w:t>2.4.1.</w:t>
            </w:r>
          </w:p>
        </w:tc>
        <w:tc>
          <w:tcPr>
            <w:tcW w:w="5922" w:type="dxa"/>
            <w:tcBorders>
              <w:top w:val="dashed" w:sz="4" w:space="0" w:color="auto"/>
              <w:left w:val="dashed" w:sz="4" w:space="0" w:color="auto"/>
              <w:bottom w:val="dashed" w:sz="4" w:space="0" w:color="auto"/>
              <w:right w:val="dashed" w:sz="4" w:space="0" w:color="auto"/>
            </w:tcBorders>
            <w:hideMark/>
          </w:tcPr>
          <w:p w14:paraId="5E3C2961"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Gældende ret</w:t>
            </w:r>
          </w:p>
        </w:tc>
      </w:tr>
      <w:tr w:rsidR="004202D4" w:rsidRPr="0053500B" w14:paraId="6F5DC8DB"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037AF5D6" w14:textId="77777777" w:rsidR="004202D4" w:rsidRPr="00137887" w:rsidRDefault="004202D4">
            <w:pPr>
              <w:spacing w:after="240"/>
              <w:jc w:val="left"/>
              <w:rPr>
                <w:rFonts w:eastAsia="Calibri"/>
                <w:i/>
                <w:iCs/>
                <w:szCs w:val="24"/>
              </w:rPr>
            </w:pPr>
            <w:r w:rsidRPr="00137887">
              <w:rPr>
                <w:rFonts w:eastAsia="Calibri"/>
                <w:i/>
                <w:iCs/>
                <w:szCs w:val="24"/>
              </w:rPr>
              <w:t>2.4.2.</w:t>
            </w:r>
          </w:p>
        </w:tc>
        <w:tc>
          <w:tcPr>
            <w:tcW w:w="5922" w:type="dxa"/>
            <w:tcBorders>
              <w:top w:val="dashed" w:sz="4" w:space="0" w:color="auto"/>
              <w:left w:val="dashed" w:sz="4" w:space="0" w:color="auto"/>
              <w:bottom w:val="dashed" w:sz="4" w:space="0" w:color="auto"/>
              <w:right w:val="dashed" w:sz="4" w:space="0" w:color="auto"/>
            </w:tcBorders>
            <w:hideMark/>
          </w:tcPr>
          <w:p w14:paraId="1F35D5F5"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Transportministeriets overvejelser</w:t>
            </w:r>
          </w:p>
        </w:tc>
      </w:tr>
      <w:tr w:rsidR="004202D4" w:rsidRPr="0053500B" w14:paraId="50EF35DA"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7BEF63E1" w14:textId="77777777" w:rsidR="004202D4" w:rsidRPr="00137887" w:rsidRDefault="004202D4">
            <w:pPr>
              <w:spacing w:after="240"/>
              <w:jc w:val="left"/>
              <w:rPr>
                <w:rFonts w:eastAsia="Calibri"/>
                <w:i/>
                <w:iCs/>
                <w:szCs w:val="24"/>
              </w:rPr>
            </w:pPr>
            <w:r w:rsidRPr="00137887">
              <w:rPr>
                <w:rFonts w:eastAsia="Calibri"/>
                <w:i/>
                <w:iCs/>
                <w:szCs w:val="24"/>
              </w:rPr>
              <w:lastRenderedPageBreak/>
              <w:t>2.4.3.</w:t>
            </w:r>
          </w:p>
        </w:tc>
        <w:tc>
          <w:tcPr>
            <w:tcW w:w="5922" w:type="dxa"/>
            <w:tcBorders>
              <w:top w:val="dashed" w:sz="4" w:space="0" w:color="auto"/>
              <w:left w:val="dashed" w:sz="4" w:space="0" w:color="auto"/>
              <w:bottom w:val="dashed" w:sz="4" w:space="0" w:color="auto"/>
              <w:right w:val="dashed" w:sz="4" w:space="0" w:color="auto"/>
            </w:tcBorders>
            <w:hideMark/>
          </w:tcPr>
          <w:p w14:paraId="29D7A55A"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Den foreslåede ordning</w:t>
            </w:r>
          </w:p>
        </w:tc>
      </w:tr>
      <w:tr w:rsidR="00952ADE" w:rsidRPr="0053500B" w14:paraId="04A1B391"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606434D2" w14:textId="0FC1C9AD" w:rsidR="00952ADE" w:rsidRPr="00137887" w:rsidRDefault="00952ADE">
            <w:pPr>
              <w:spacing w:after="240"/>
              <w:jc w:val="left"/>
              <w:rPr>
                <w:rFonts w:eastAsia="Calibri"/>
                <w:b/>
                <w:bCs/>
                <w:szCs w:val="24"/>
              </w:rPr>
            </w:pPr>
            <w:r w:rsidRPr="00137887">
              <w:rPr>
                <w:rFonts w:eastAsia="Calibri"/>
                <w:b/>
                <w:bCs/>
                <w:szCs w:val="24"/>
              </w:rPr>
              <w:t>2.5.</w:t>
            </w:r>
          </w:p>
        </w:tc>
        <w:tc>
          <w:tcPr>
            <w:tcW w:w="5922" w:type="dxa"/>
            <w:tcBorders>
              <w:top w:val="dashed" w:sz="4" w:space="0" w:color="auto"/>
              <w:left w:val="dashed" w:sz="4" w:space="0" w:color="auto"/>
              <w:bottom w:val="dashed" w:sz="4" w:space="0" w:color="auto"/>
              <w:right w:val="dashed" w:sz="4" w:space="0" w:color="auto"/>
            </w:tcBorders>
          </w:tcPr>
          <w:p w14:paraId="7F4B3E4B" w14:textId="22379644" w:rsidR="00952ADE" w:rsidRPr="00137887" w:rsidRDefault="005565AC" w:rsidP="00952ADE">
            <w:pPr>
              <w:cnfStyle w:val="000000000000" w:firstRow="0" w:lastRow="0" w:firstColumn="0" w:lastColumn="0" w:oddVBand="0" w:evenVBand="0" w:oddHBand="0" w:evenHBand="0" w:firstRowFirstColumn="0" w:firstRowLastColumn="0" w:lastRowFirstColumn="0" w:lastRowLastColumn="0"/>
              <w:rPr>
                <w:b/>
                <w:bCs/>
              </w:rPr>
            </w:pPr>
            <w:r w:rsidRPr="005565AC">
              <w:rPr>
                <w:b/>
                <w:bCs/>
              </w:rPr>
              <w:t xml:space="preserve">Bemyndigelse til dispensation fra færdselsreglerne i forbindelse med gennemførelse af </w:t>
            </w:r>
            <w:r w:rsidR="000703C3">
              <w:rPr>
                <w:b/>
                <w:bCs/>
              </w:rPr>
              <w:t>blokvognskørsl</w:t>
            </w:r>
            <w:r w:rsidRPr="005565AC">
              <w:rPr>
                <w:b/>
                <w:bCs/>
              </w:rPr>
              <w:t>er</w:t>
            </w:r>
            <w:r w:rsidRPr="005565AC" w:rsidDel="005565AC">
              <w:rPr>
                <w:b/>
                <w:bCs/>
              </w:rPr>
              <w:t xml:space="preserve"> </w:t>
            </w:r>
          </w:p>
        </w:tc>
      </w:tr>
      <w:tr w:rsidR="00952ADE" w:rsidRPr="0053500B" w14:paraId="195EAB4E"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4A3BD554" w14:textId="67363846" w:rsidR="00952ADE" w:rsidRPr="00137887" w:rsidRDefault="00952ADE" w:rsidP="00952ADE">
            <w:pPr>
              <w:spacing w:after="240"/>
              <w:jc w:val="left"/>
              <w:rPr>
                <w:rFonts w:eastAsia="Calibri"/>
                <w:i/>
                <w:iCs/>
                <w:szCs w:val="24"/>
              </w:rPr>
            </w:pPr>
            <w:r w:rsidRPr="00137887">
              <w:rPr>
                <w:rFonts w:eastAsia="Calibri"/>
                <w:i/>
                <w:iCs/>
                <w:szCs w:val="24"/>
              </w:rPr>
              <w:t>2.5.1.</w:t>
            </w:r>
          </w:p>
        </w:tc>
        <w:tc>
          <w:tcPr>
            <w:tcW w:w="5922" w:type="dxa"/>
            <w:tcBorders>
              <w:top w:val="dashed" w:sz="4" w:space="0" w:color="auto"/>
              <w:left w:val="dashed" w:sz="4" w:space="0" w:color="auto"/>
              <w:bottom w:val="dashed" w:sz="4" w:space="0" w:color="auto"/>
              <w:right w:val="dashed" w:sz="4" w:space="0" w:color="auto"/>
            </w:tcBorders>
          </w:tcPr>
          <w:p w14:paraId="7473CBCF" w14:textId="3C60EC88" w:rsidR="00952ADE" w:rsidRPr="00137887" w:rsidRDefault="00952ADE" w:rsidP="00952ADE">
            <w:pPr>
              <w:cnfStyle w:val="000000000000" w:firstRow="0" w:lastRow="0" w:firstColumn="0" w:lastColumn="0" w:oddVBand="0" w:evenVBand="0" w:oddHBand="0" w:evenHBand="0" w:firstRowFirstColumn="0" w:firstRowLastColumn="0" w:lastRowFirstColumn="0" w:lastRowLastColumn="0"/>
              <w:rPr>
                <w:i/>
                <w:iCs/>
              </w:rPr>
            </w:pPr>
            <w:r w:rsidRPr="00137887">
              <w:rPr>
                <w:rFonts w:eastAsia="Calibri"/>
                <w:i/>
                <w:iCs/>
                <w:szCs w:val="24"/>
              </w:rPr>
              <w:t>Gældende ret</w:t>
            </w:r>
          </w:p>
        </w:tc>
      </w:tr>
      <w:tr w:rsidR="00952ADE" w:rsidRPr="0053500B" w14:paraId="5986BE92"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427F95AF" w14:textId="46EC279F" w:rsidR="00952ADE" w:rsidRPr="00137887" w:rsidRDefault="00952ADE" w:rsidP="00952ADE">
            <w:pPr>
              <w:spacing w:after="240"/>
              <w:jc w:val="left"/>
              <w:rPr>
                <w:rFonts w:eastAsia="Calibri"/>
                <w:i/>
                <w:iCs/>
                <w:szCs w:val="24"/>
              </w:rPr>
            </w:pPr>
            <w:r w:rsidRPr="00137887">
              <w:rPr>
                <w:rFonts w:eastAsia="Calibri"/>
                <w:i/>
                <w:iCs/>
                <w:szCs w:val="24"/>
              </w:rPr>
              <w:t>2.5.2.</w:t>
            </w:r>
          </w:p>
        </w:tc>
        <w:tc>
          <w:tcPr>
            <w:tcW w:w="5922" w:type="dxa"/>
            <w:tcBorders>
              <w:top w:val="dashed" w:sz="4" w:space="0" w:color="auto"/>
              <w:left w:val="dashed" w:sz="4" w:space="0" w:color="auto"/>
              <w:bottom w:val="dashed" w:sz="4" w:space="0" w:color="auto"/>
              <w:right w:val="dashed" w:sz="4" w:space="0" w:color="auto"/>
            </w:tcBorders>
          </w:tcPr>
          <w:p w14:paraId="339E4340" w14:textId="1711B7D5" w:rsidR="00952ADE" w:rsidRPr="00137887" w:rsidRDefault="00952ADE" w:rsidP="00952ADE">
            <w:pPr>
              <w:cnfStyle w:val="000000000000" w:firstRow="0" w:lastRow="0" w:firstColumn="0" w:lastColumn="0" w:oddVBand="0" w:evenVBand="0" w:oddHBand="0" w:evenHBand="0" w:firstRowFirstColumn="0" w:firstRowLastColumn="0" w:lastRowFirstColumn="0" w:lastRowLastColumn="0"/>
              <w:rPr>
                <w:i/>
                <w:iCs/>
              </w:rPr>
            </w:pPr>
            <w:r w:rsidRPr="00137887">
              <w:rPr>
                <w:rFonts w:eastAsia="Calibri"/>
                <w:i/>
                <w:iCs/>
                <w:szCs w:val="24"/>
              </w:rPr>
              <w:t>Transportministeriets overvejelser</w:t>
            </w:r>
            <w:r w:rsidR="00485CAF" w:rsidRPr="00137887">
              <w:rPr>
                <w:rFonts w:eastAsia="Calibri"/>
                <w:i/>
                <w:iCs/>
                <w:szCs w:val="24"/>
              </w:rPr>
              <w:t xml:space="preserve"> </w:t>
            </w:r>
          </w:p>
        </w:tc>
      </w:tr>
      <w:tr w:rsidR="003245D5" w:rsidRPr="0053500B" w14:paraId="7708C861"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173F9F7C" w14:textId="13C492CC" w:rsidR="003245D5" w:rsidRPr="00137887" w:rsidRDefault="003245D5" w:rsidP="00952ADE">
            <w:pPr>
              <w:spacing w:after="240"/>
              <w:jc w:val="left"/>
              <w:rPr>
                <w:rFonts w:eastAsia="Calibri"/>
                <w:i/>
                <w:iCs/>
                <w:szCs w:val="24"/>
              </w:rPr>
            </w:pPr>
            <w:r w:rsidRPr="00137887">
              <w:rPr>
                <w:rFonts w:eastAsia="Calibri"/>
                <w:i/>
                <w:iCs/>
                <w:szCs w:val="24"/>
              </w:rPr>
              <w:t>2.5.3.</w:t>
            </w:r>
          </w:p>
        </w:tc>
        <w:tc>
          <w:tcPr>
            <w:tcW w:w="5922" w:type="dxa"/>
            <w:tcBorders>
              <w:top w:val="dashed" w:sz="4" w:space="0" w:color="auto"/>
              <w:left w:val="dashed" w:sz="4" w:space="0" w:color="auto"/>
              <w:bottom w:val="dashed" w:sz="4" w:space="0" w:color="auto"/>
              <w:right w:val="dashed" w:sz="4" w:space="0" w:color="auto"/>
            </w:tcBorders>
          </w:tcPr>
          <w:p w14:paraId="7ED61C4E" w14:textId="55FAD794" w:rsidR="003245D5" w:rsidRPr="00137887" w:rsidRDefault="003245D5" w:rsidP="00952ADE">
            <w:pPr>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Den foreslåede ordning</w:t>
            </w:r>
          </w:p>
        </w:tc>
      </w:tr>
      <w:tr w:rsidR="007F70AE" w:rsidRPr="0053500B" w14:paraId="178ACF28"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469013D6" w14:textId="33BAA37B" w:rsidR="007F70AE" w:rsidRPr="00137887" w:rsidRDefault="007F70AE" w:rsidP="00952ADE">
            <w:pPr>
              <w:spacing w:after="240"/>
              <w:jc w:val="left"/>
              <w:rPr>
                <w:rFonts w:eastAsia="Calibri"/>
                <w:b/>
                <w:bCs/>
                <w:szCs w:val="24"/>
              </w:rPr>
            </w:pPr>
            <w:r w:rsidRPr="00137887">
              <w:rPr>
                <w:rFonts w:eastAsia="Calibri"/>
                <w:b/>
                <w:bCs/>
                <w:szCs w:val="24"/>
              </w:rPr>
              <w:t>2.6.</w:t>
            </w:r>
          </w:p>
        </w:tc>
        <w:tc>
          <w:tcPr>
            <w:tcW w:w="5922" w:type="dxa"/>
            <w:tcBorders>
              <w:top w:val="dashed" w:sz="4" w:space="0" w:color="auto"/>
              <w:left w:val="dashed" w:sz="4" w:space="0" w:color="auto"/>
              <w:bottom w:val="dashed" w:sz="4" w:space="0" w:color="auto"/>
              <w:right w:val="dashed" w:sz="4" w:space="0" w:color="auto"/>
            </w:tcBorders>
          </w:tcPr>
          <w:p w14:paraId="2055D2F5" w14:textId="10EB6FDD" w:rsidR="007F70AE" w:rsidRPr="00137887" w:rsidRDefault="002C61A4" w:rsidP="00952ADE">
            <w:pPr>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2C61A4">
              <w:rPr>
                <w:rFonts w:eastAsia="Calibri"/>
                <w:b/>
                <w:bCs/>
                <w:szCs w:val="24"/>
              </w:rPr>
              <w:t>Færdselsstyrelsens kontrol og opkrævning af bøder for manglende betaling af vejafgift</w:t>
            </w:r>
          </w:p>
        </w:tc>
      </w:tr>
      <w:tr w:rsidR="007F70AE" w:rsidRPr="0053500B" w14:paraId="46C212FC"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66F681C2" w14:textId="7E21BD82" w:rsidR="007F70AE" w:rsidRPr="00137887" w:rsidRDefault="007F70AE" w:rsidP="00952ADE">
            <w:pPr>
              <w:spacing w:after="240"/>
              <w:jc w:val="left"/>
              <w:rPr>
                <w:rFonts w:eastAsia="Calibri"/>
                <w:i/>
                <w:iCs/>
                <w:szCs w:val="24"/>
              </w:rPr>
            </w:pPr>
            <w:r w:rsidRPr="00137887">
              <w:rPr>
                <w:rFonts w:eastAsia="Calibri"/>
                <w:i/>
                <w:iCs/>
                <w:szCs w:val="24"/>
              </w:rPr>
              <w:t>2.6.1.</w:t>
            </w:r>
          </w:p>
        </w:tc>
        <w:tc>
          <w:tcPr>
            <w:tcW w:w="5922" w:type="dxa"/>
            <w:tcBorders>
              <w:top w:val="dashed" w:sz="4" w:space="0" w:color="auto"/>
              <w:left w:val="dashed" w:sz="4" w:space="0" w:color="auto"/>
              <w:bottom w:val="dashed" w:sz="4" w:space="0" w:color="auto"/>
              <w:right w:val="dashed" w:sz="4" w:space="0" w:color="auto"/>
            </w:tcBorders>
          </w:tcPr>
          <w:p w14:paraId="19DCCD70" w14:textId="1CC366B8" w:rsidR="007F70AE" w:rsidRPr="00137887" w:rsidRDefault="007F70AE" w:rsidP="00952ADE">
            <w:pPr>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 xml:space="preserve">Gældende ret </w:t>
            </w:r>
          </w:p>
        </w:tc>
      </w:tr>
      <w:tr w:rsidR="007F70AE" w:rsidRPr="0053500B" w14:paraId="73A7BA24"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130EACB2" w14:textId="71CA996A" w:rsidR="007F70AE" w:rsidRPr="00137887" w:rsidRDefault="007F70AE" w:rsidP="00952ADE">
            <w:pPr>
              <w:spacing w:after="240"/>
              <w:jc w:val="left"/>
              <w:rPr>
                <w:rFonts w:eastAsia="Calibri"/>
                <w:i/>
                <w:iCs/>
                <w:szCs w:val="24"/>
              </w:rPr>
            </w:pPr>
            <w:r w:rsidRPr="00137887">
              <w:rPr>
                <w:rFonts w:eastAsia="Calibri"/>
                <w:i/>
                <w:iCs/>
                <w:szCs w:val="24"/>
              </w:rPr>
              <w:t>2.6.2.</w:t>
            </w:r>
          </w:p>
        </w:tc>
        <w:tc>
          <w:tcPr>
            <w:tcW w:w="5922" w:type="dxa"/>
            <w:tcBorders>
              <w:top w:val="dashed" w:sz="4" w:space="0" w:color="auto"/>
              <w:left w:val="dashed" w:sz="4" w:space="0" w:color="auto"/>
              <w:bottom w:val="dashed" w:sz="4" w:space="0" w:color="auto"/>
              <w:right w:val="dashed" w:sz="4" w:space="0" w:color="auto"/>
            </w:tcBorders>
          </w:tcPr>
          <w:p w14:paraId="3503F3AB" w14:textId="7EFA3FA5" w:rsidR="007F70AE" w:rsidRPr="00137887" w:rsidRDefault="007F70AE" w:rsidP="00952ADE">
            <w:pPr>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Transportministeriets overvejelser</w:t>
            </w:r>
          </w:p>
        </w:tc>
      </w:tr>
      <w:tr w:rsidR="007F70AE" w:rsidRPr="0053500B" w14:paraId="0584C878"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tcPr>
          <w:p w14:paraId="0DD88DD4" w14:textId="70FB65E5" w:rsidR="007F70AE" w:rsidRPr="00137887" w:rsidRDefault="007F70AE" w:rsidP="00952ADE">
            <w:pPr>
              <w:spacing w:after="240"/>
              <w:jc w:val="left"/>
              <w:rPr>
                <w:rFonts w:eastAsia="Calibri"/>
                <w:i/>
                <w:iCs/>
                <w:szCs w:val="24"/>
              </w:rPr>
            </w:pPr>
            <w:r w:rsidRPr="00137887">
              <w:rPr>
                <w:rFonts w:eastAsia="Calibri"/>
                <w:i/>
                <w:iCs/>
                <w:szCs w:val="24"/>
              </w:rPr>
              <w:t>2.6.3.</w:t>
            </w:r>
          </w:p>
        </w:tc>
        <w:tc>
          <w:tcPr>
            <w:tcW w:w="5922" w:type="dxa"/>
            <w:tcBorders>
              <w:top w:val="dashed" w:sz="4" w:space="0" w:color="auto"/>
              <w:left w:val="dashed" w:sz="4" w:space="0" w:color="auto"/>
              <w:bottom w:val="dashed" w:sz="4" w:space="0" w:color="auto"/>
              <w:right w:val="dashed" w:sz="4" w:space="0" w:color="auto"/>
            </w:tcBorders>
          </w:tcPr>
          <w:p w14:paraId="47C5ACD8" w14:textId="3BEA4524" w:rsidR="007F70AE" w:rsidRPr="00137887" w:rsidRDefault="007F70AE" w:rsidP="00952ADE">
            <w:pPr>
              <w:cnfStyle w:val="000000000000" w:firstRow="0" w:lastRow="0" w:firstColumn="0" w:lastColumn="0" w:oddVBand="0" w:evenVBand="0" w:oddHBand="0" w:evenHBand="0" w:firstRowFirstColumn="0" w:firstRowLastColumn="0" w:lastRowFirstColumn="0" w:lastRowLastColumn="0"/>
              <w:rPr>
                <w:rFonts w:eastAsia="Calibri"/>
                <w:i/>
                <w:iCs/>
                <w:szCs w:val="24"/>
              </w:rPr>
            </w:pPr>
            <w:r w:rsidRPr="00137887">
              <w:rPr>
                <w:rFonts w:eastAsia="Calibri"/>
                <w:i/>
                <w:iCs/>
                <w:szCs w:val="24"/>
              </w:rPr>
              <w:t>Den foreslåede ordning</w:t>
            </w:r>
          </w:p>
        </w:tc>
      </w:tr>
      <w:tr w:rsidR="004202D4" w:rsidRPr="0053500B" w14:paraId="5C5C3052"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6ACF4976" w14:textId="77777777" w:rsidR="004202D4" w:rsidRPr="00137887" w:rsidRDefault="004202D4">
            <w:pPr>
              <w:spacing w:after="240"/>
              <w:jc w:val="left"/>
              <w:rPr>
                <w:rFonts w:eastAsia="Calibri"/>
                <w:b/>
                <w:bCs/>
                <w:szCs w:val="24"/>
              </w:rPr>
            </w:pPr>
            <w:r w:rsidRPr="00137887">
              <w:rPr>
                <w:rFonts w:eastAsia="Calibri"/>
                <w:b/>
                <w:bCs/>
                <w:szCs w:val="24"/>
              </w:rPr>
              <w:t>3.</w:t>
            </w:r>
          </w:p>
        </w:tc>
        <w:tc>
          <w:tcPr>
            <w:tcW w:w="5922" w:type="dxa"/>
            <w:tcBorders>
              <w:top w:val="dashed" w:sz="4" w:space="0" w:color="auto"/>
              <w:left w:val="dashed" w:sz="4" w:space="0" w:color="auto"/>
              <w:bottom w:val="dashed" w:sz="4" w:space="0" w:color="auto"/>
              <w:right w:val="dashed" w:sz="4" w:space="0" w:color="auto"/>
            </w:tcBorders>
            <w:hideMark/>
          </w:tcPr>
          <w:p w14:paraId="2D421CEB"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Økonomiske konsekvenser og implementeringskonsekvenser for det offentlige</w:t>
            </w:r>
          </w:p>
        </w:tc>
      </w:tr>
      <w:tr w:rsidR="004202D4" w:rsidRPr="0053500B" w14:paraId="7808BAC7"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57B6A888" w14:textId="77777777" w:rsidR="004202D4" w:rsidRPr="00137887" w:rsidRDefault="004202D4">
            <w:pPr>
              <w:spacing w:after="240"/>
              <w:jc w:val="left"/>
              <w:rPr>
                <w:rFonts w:eastAsia="Calibri"/>
                <w:b/>
                <w:bCs/>
                <w:szCs w:val="24"/>
              </w:rPr>
            </w:pPr>
            <w:r w:rsidRPr="00137887">
              <w:rPr>
                <w:rFonts w:eastAsia="Calibri"/>
                <w:b/>
                <w:bCs/>
                <w:szCs w:val="24"/>
              </w:rPr>
              <w:t>4.</w:t>
            </w:r>
          </w:p>
        </w:tc>
        <w:tc>
          <w:tcPr>
            <w:tcW w:w="5922" w:type="dxa"/>
            <w:tcBorders>
              <w:top w:val="dashed" w:sz="4" w:space="0" w:color="auto"/>
              <w:left w:val="dashed" w:sz="4" w:space="0" w:color="auto"/>
              <w:bottom w:val="dashed" w:sz="4" w:space="0" w:color="auto"/>
              <w:right w:val="dashed" w:sz="4" w:space="0" w:color="auto"/>
            </w:tcBorders>
            <w:hideMark/>
          </w:tcPr>
          <w:p w14:paraId="156C5515"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Økonomiske og administrative konsekvenser for erhvervslivet m.v.</w:t>
            </w:r>
          </w:p>
        </w:tc>
      </w:tr>
      <w:tr w:rsidR="004202D4" w:rsidRPr="0053500B" w14:paraId="45B0A7D3"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01F24E52" w14:textId="77777777" w:rsidR="004202D4" w:rsidRPr="00137887" w:rsidRDefault="004202D4">
            <w:pPr>
              <w:spacing w:after="240"/>
              <w:jc w:val="left"/>
              <w:rPr>
                <w:rFonts w:eastAsia="Calibri"/>
                <w:b/>
                <w:bCs/>
                <w:szCs w:val="24"/>
              </w:rPr>
            </w:pPr>
            <w:r w:rsidRPr="00137887">
              <w:rPr>
                <w:rFonts w:eastAsia="Calibri"/>
                <w:b/>
                <w:bCs/>
                <w:szCs w:val="24"/>
              </w:rPr>
              <w:t>5.</w:t>
            </w:r>
          </w:p>
        </w:tc>
        <w:tc>
          <w:tcPr>
            <w:tcW w:w="5922" w:type="dxa"/>
            <w:tcBorders>
              <w:top w:val="dashed" w:sz="4" w:space="0" w:color="auto"/>
              <w:left w:val="dashed" w:sz="4" w:space="0" w:color="auto"/>
              <w:bottom w:val="dashed" w:sz="4" w:space="0" w:color="auto"/>
              <w:right w:val="dashed" w:sz="4" w:space="0" w:color="auto"/>
            </w:tcBorders>
            <w:hideMark/>
          </w:tcPr>
          <w:p w14:paraId="47B3542A"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Administrative konsekvenser for borgerne</w:t>
            </w:r>
          </w:p>
        </w:tc>
      </w:tr>
      <w:tr w:rsidR="004202D4" w:rsidRPr="0053500B" w14:paraId="48B6BA13"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25232EF5" w14:textId="77777777" w:rsidR="004202D4" w:rsidRPr="00137887" w:rsidRDefault="004202D4">
            <w:pPr>
              <w:spacing w:after="240"/>
              <w:jc w:val="left"/>
              <w:rPr>
                <w:rFonts w:eastAsia="Calibri"/>
                <w:b/>
                <w:bCs/>
                <w:szCs w:val="24"/>
              </w:rPr>
            </w:pPr>
            <w:r w:rsidRPr="00137887">
              <w:rPr>
                <w:rFonts w:eastAsia="Calibri"/>
                <w:b/>
                <w:bCs/>
                <w:szCs w:val="24"/>
              </w:rPr>
              <w:t>6.</w:t>
            </w:r>
          </w:p>
        </w:tc>
        <w:tc>
          <w:tcPr>
            <w:tcW w:w="5922" w:type="dxa"/>
            <w:tcBorders>
              <w:top w:val="dashed" w:sz="4" w:space="0" w:color="auto"/>
              <w:left w:val="dashed" w:sz="4" w:space="0" w:color="auto"/>
              <w:bottom w:val="dashed" w:sz="4" w:space="0" w:color="auto"/>
              <w:right w:val="dashed" w:sz="4" w:space="0" w:color="auto"/>
            </w:tcBorders>
            <w:hideMark/>
          </w:tcPr>
          <w:p w14:paraId="51CD36A8"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Klimamæssige konsekvenser</w:t>
            </w:r>
          </w:p>
        </w:tc>
      </w:tr>
      <w:tr w:rsidR="004202D4" w:rsidRPr="0053500B" w14:paraId="6FB65556"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250D4C16" w14:textId="77777777" w:rsidR="004202D4" w:rsidRPr="00137887" w:rsidRDefault="004202D4">
            <w:pPr>
              <w:spacing w:after="240"/>
              <w:jc w:val="left"/>
              <w:rPr>
                <w:rFonts w:eastAsia="Calibri"/>
                <w:b/>
                <w:bCs/>
                <w:szCs w:val="24"/>
              </w:rPr>
            </w:pPr>
            <w:r w:rsidRPr="00137887">
              <w:rPr>
                <w:rFonts w:eastAsia="Calibri"/>
                <w:b/>
                <w:bCs/>
                <w:szCs w:val="24"/>
              </w:rPr>
              <w:t>7.</w:t>
            </w:r>
          </w:p>
        </w:tc>
        <w:tc>
          <w:tcPr>
            <w:tcW w:w="5922" w:type="dxa"/>
            <w:tcBorders>
              <w:top w:val="dashed" w:sz="4" w:space="0" w:color="auto"/>
              <w:left w:val="dashed" w:sz="4" w:space="0" w:color="auto"/>
              <w:bottom w:val="dashed" w:sz="4" w:space="0" w:color="auto"/>
              <w:right w:val="dashed" w:sz="4" w:space="0" w:color="auto"/>
            </w:tcBorders>
            <w:hideMark/>
          </w:tcPr>
          <w:p w14:paraId="0A2CB206"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Miljø- og naturmæssige konsekvenser</w:t>
            </w:r>
          </w:p>
        </w:tc>
      </w:tr>
      <w:tr w:rsidR="004202D4" w:rsidRPr="0053500B" w14:paraId="176F7D7A"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40F4B72F" w14:textId="77777777" w:rsidR="004202D4" w:rsidRPr="00137887" w:rsidRDefault="004202D4">
            <w:pPr>
              <w:spacing w:after="240"/>
              <w:jc w:val="left"/>
              <w:rPr>
                <w:rFonts w:eastAsia="Calibri"/>
                <w:b/>
                <w:bCs/>
                <w:szCs w:val="24"/>
              </w:rPr>
            </w:pPr>
            <w:r w:rsidRPr="00137887">
              <w:rPr>
                <w:rFonts w:eastAsia="Calibri"/>
                <w:b/>
                <w:bCs/>
                <w:szCs w:val="24"/>
              </w:rPr>
              <w:t>8.</w:t>
            </w:r>
          </w:p>
        </w:tc>
        <w:tc>
          <w:tcPr>
            <w:tcW w:w="5922" w:type="dxa"/>
            <w:tcBorders>
              <w:top w:val="dashed" w:sz="4" w:space="0" w:color="auto"/>
              <w:left w:val="dashed" w:sz="4" w:space="0" w:color="auto"/>
              <w:bottom w:val="dashed" w:sz="4" w:space="0" w:color="auto"/>
              <w:right w:val="dashed" w:sz="4" w:space="0" w:color="auto"/>
            </w:tcBorders>
            <w:hideMark/>
          </w:tcPr>
          <w:p w14:paraId="07245221"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Forholdet til EU-retten</w:t>
            </w:r>
          </w:p>
        </w:tc>
      </w:tr>
      <w:tr w:rsidR="004202D4" w:rsidRPr="0053500B" w14:paraId="3642F6D8"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2B2D81B8" w14:textId="77777777" w:rsidR="004202D4" w:rsidRPr="00137887" w:rsidRDefault="004202D4">
            <w:pPr>
              <w:spacing w:after="240"/>
              <w:jc w:val="left"/>
              <w:rPr>
                <w:rFonts w:eastAsia="Calibri"/>
                <w:b/>
                <w:bCs/>
                <w:szCs w:val="24"/>
              </w:rPr>
            </w:pPr>
            <w:r w:rsidRPr="00137887">
              <w:rPr>
                <w:rFonts w:eastAsia="Calibri"/>
                <w:b/>
                <w:bCs/>
                <w:szCs w:val="24"/>
              </w:rPr>
              <w:t>9.</w:t>
            </w:r>
          </w:p>
        </w:tc>
        <w:tc>
          <w:tcPr>
            <w:tcW w:w="5922" w:type="dxa"/>
            <w:tcBorders>
              <w:top w:val="dashed" w:sz="4" w:space="0" w:color="auto"/>
              <w:left w:val="dashed" w:sz="4" w:space="0" w:color="auto"/>
              <w:bottom w:val="dashed" w:sz="4" w:space="0" w:color="auto"/>
              <w:right w:val="dashed" w:sz="4" w:space="0" w:color="auto"/>
            </w:tcBorders>
            <w:hideMark/>
          </w:tcPr>
          <w:p w14:paraId="0BD645DD"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Hørte myndigheder og organisationer m.v.</w:t>
            </w:r>
          </w:p>
        </w:tc>
      </w:tr>
      <w:tr w:rsidR="004202D4" w:rsidRPr="0053500B" w14:paraId="2540F7C1" w14:textId="77777777" w:rsidTr="00CF7A65">
        <w:tc>
          <w:tcPr>
            <w:cnfStyle w:val="001000000000" w:firstRow="0" w:lastRow="0" w:firstColumn="1" w:lastColumn="0" w:oddVBand="0" w:evenVBand="0" w:oddHBand="0" w:evenHBand="0" w:firstRowFirstColumn="0" w:firstRowLastColumn="0" w:lastRowFirstColumn="0" w:lastRowLastColumn="0"/>
            <w:tcW w:w="1296" w:type="dxa"/>
            <w:tcBorders>
              <w:top w:val="dashed" w:sz="4" w:space="0" w:color="auto"/>
              <w:left w:val="dashed" w:sz="4" w:space="0" w:color="auto"/>
              <w:bottom w:val="dashed" w:sz="4" w:space="0" w:color="auto"/>
              <w:right w:val="dashed" w:sz="4" w:space="0" w:color="auto"/>
            </w:tcBorders>
            <w:hideMark/>
          </w:tcPr>
          <w:p w14:paraId="420481DA" w14:textId="77777777" w:rsidR="004202D4" w:rsidRPr="00137887" w:rsidRDefault="004202D4">
            <w:pPr>
              <w:spacing w:after="240"/>
              <w:jc w:val="left"/>
              <w:rPr>
                <w:rFonts w:eastAsia="Calibri"/>
                <w:b/>
                <w:bCs/>
                <w:szCs w:val="24"/>
              </w:rPr>
            </w:pPr>
            <w:r w:rsidRPr="00137887">
              <w:rPr>
                <w:rFonts w:eastAsia="Calibri"/>
                <w:b/>
                <w:bCs/>
                <w:szCs w:val="24"/>
              </w:rPr>
              <w:t>10.</w:t>
            </w:r>
          </w:p>
        </w:tc>
        <w:tc>
          <w:tcPr>
            <w:tcW w:w="5922" w:type="dxa"/>
            <w:tcBorders>
              <w:top w:val="dashed" w:sz="4" w:space="0" w:color="auto"/>
              <w:left w:val="dashed" w:sz="4" w:space="0" w:color="auto"/>
              <w:bottom w:val="dashed" w:sz="4" w:space="0" w:color="auto"/>
              <w:right w:val="dashed" w:sz="4" w:space="0" w:color="auto"/>
            </w:tcBorders>
            <w:hideMark/>
          </w:tcPr>
          <w:p w14:paraId="41F669AD" w14:textId="77777777" w:rsidR="004202D4" w:rsidRPr="00137887" w:rsidRDefault="004202D4">
            <w:pPr>
              <w:spacing w:after="240"/>
              <w:jc w:val="left"/>
              <w:cnfStyle w:val="000000000000" w:firstRow="0" w:lastRow="0" w:firstColumn="0" w:lastColumn="0" w:oddVBand="0" w:evenVBand="0" w:oddHBand="0" w:evenHBand="0" w:firstRowFirstColumn="0" w:firstRowLastColumn="0" w:lastRowFirstColumn="0" w:lastRowLastColumn="0"/>
              <w:rPr>
                <w:rFonts w:eastAsia="Calibri"/>
                <w:b/>
                <w:bCs/>
                <w:szCs w:val="24"/>
              </w:rPr>
            </w:pPr>
            <w:r w:rsidRPr="00137887">
              <w:rPr>
                <w:rFonts w:eastAsia="Calibri"/>
                <w:b/>
                <w:bCs/>
                <w:szCs w:val="24"/>
              </w:rPr>
              <w:t>Sammenfattende skema</w:t>
            </w:r>
          </w:p>
        </w:tc>
      </w:tr>
    </w:tbl>
    <w:p w14:paraId="486D5BCA" w14:textId="77777777" w:rsidR="004202D4" w:rsidRPr="0053500B" w:rsidRDefault="004202D4" w:rsidP="004202D4">
      <w:pPr>
        <w:spacing w:after="160"/>
        <w:ind w:firstLine="238"/>
        <w:rPr>
          <w:rFonts w:cs="Times New Roman"/>
          <w:szCs w:val="24"/>
        </w:rPr>
      </w:pPr>
    </w:p>
    <w:p w14:paraId="79C74919" w14:textId="5B07EBAF" w:rsidR="00485B0A" w:rsidRDefault="004202D4" w:rsidP="00573B96">
      <w:pPr>
        <w:pStyle w:val="Listeafsnit"/>
        <w:numPr>
          <w:ilvl w:val="0"/>
          <w:numId w:val="7"/>
        </w:numPr>
        <w:spacing w:after="280" w:line="280" w:lineRule="atLeast"/>
        <w:ind w:left="357" w:right="-143" w:hanging="357"/>
        <w:jc w:val="left"/>
        <w:rPr>
          <w:rFonts w:cs="Times New Roman"/>
          <w:b/>
          <w:szCs w:val="24"/>
        </w:rPr>
      </w:pPr>
      <w:bookmarkStart w:id="8" w:name="_Toc526756601"/>
      <w:bookmarkStart w:id="9" w:name="_Toc526505509"/>
      <w:bookmarkStart w:id="10" w:name="_Toc526491397"/>
      <w:bookmarkStart w:id="11" w:name="_Toc526409498"/>
      <w:bookmarkStart w:id="12" w:name="_Toc526406478"/>
      <w:bookmarkStart w:id="13" w:name="_Toc526374615"/>
      <w:bookmarkStart w:id="14" w:name="_Toc526374599"/>
      <w:bookmarkStart w:id="15" w:name="_Toc526348408"/>
      <w:bookmarkStart w:id="16" w:name="_Toc526253984"/>
      <w:bookmarkStart w:id="17" w:name="_Toc526155547"/>
      <w:bookmarkStart w:id="18" w:name="_Toc526155474"/>
      <w:bookmarkStart w:id="19" w:name="_Toc526154928"/>
      <w:bookmarkStart w:id="20" w:name="_Toc524599575"/>
      <w:bookmarkStart w:id="21" w:name="_Toc518037927"/>
      <w:bookmarkStart w:id="22" w:name="_Toc516490245"/>
      <w:bookmarkStart w:id="23" w:name="_Toc516155344"/>
      <w:bookmarkStart w:id="24" w:name="_Toc516039921"/>
      <w:bookmarkStart w:id="25" w:name="_Toc515627611"/>
      <w:bookmarkStart w:id="26" w:name="_Toc515551669"/>
      <w:bookmarkStart w:id="27" w:name="_Toc515543868"/>
      <w:bookmarkStart w:id="28" w:name="_Toc515543683"/>
      <w:bookmarkStart w:id="29" w:name="_Toc515540847"/>
      <w:bookmarkStart w:id="30" w:name="_Toc515352774"/>
      <w:bookmarkStart w:id="31" w:name="_Toc515280622"/>
      <w:bookmarkStart w:id="32" w:name="_Toc515280471"/>
      <w:bookmarkStart w:id="33" w:name="_Toc515271575"/>
      <w:bookmarkStart w:id="34" w:name="_Toc515271547"/>
      <w:bookmarkStart w:id="35" w:name="_Toc515271224"/>
      <w:bookmarkStart w:id="36" w:name="_Toc507486285"/>
      <w:bookmarkStart w:id="37" w:name="_Toc506894548"/>
      <w:bookmarkStart w:id="38" w:name="_Toc506799589"/>
      <w:bookmarkStart w:id="39" w:name="_Toc506799572"/>
      <w:bookmarkStart w:id="40" w:name="_Toc505785987"/>
      <w:bookmarkStart w:id="41" w:name="_Toc505762647"/>
      <w:bookmarkStart w:id="42" w:name="_Toc505759554"/>
      <w:bookmarkStart w:id="43" w:name="_Toc505759537"/>
      <w:bookmarkStart w:id="44" w:name="_Toc505701745"/>
      <w:bookmarkStart w:id="45" w:name="_Toc505690192"/>
      <w:bookmarkStart w:id="46" w:name="_Toc505180547"/>
      <w:bookmarkStart w:id="47" w:name="_Toc504483849"/>
      <w:bookmarkStart w:id="48" w:name="_Toc501019204"/>
      <w:bookmarkStart w:id="49" w:name="_Toc500921594"/>
      <w:bookmarkStart w:id="50" w:name="_Toc500921486"/>
      <w:bookmarkStart w:id="51" w:name="_Toc500921460"/>
      <w:bookmarkStart w:id="52" w:name="_Toc499813714"/>
      <w:bookmarkStart w:id="53" w:name="_Toc499812911"/>
      <w:bookmarkStart w:id="54" w:name="_Toc499736971"/>
      <w:bookmarkStart w:id="55" w:name="_Toc499732940"/>
      <w:bookmarkStart w:id="56" w:name="_Toc499728092"/>
      <w:bookmarkStart w:id="57" w:name="_Toc499648599"/>
      <w:bookmarkStart w:id="58" w:name="_Toc499158730"/>
      <w:bookmarkStart w:id="59" w:name="_Toc499152771"/>
      <w:bookmarkStart w:id="60" w:name="_Toc498681499"/>
      <w:bookmarkStart w:id="61" w:name="_Toc498590016"/>
      <w:bookmarkStart w:id="62" w:name="_Toc498557282"/>
      <w:bookmarkStart w:id="63" w:name="_Toc498557218"/>
      <w:bookmarkStart w:id="64" w:name="_Toc498557151"/>
      <w:bookmarkStart w:id="65" w:name="_Toc498557071"/>
      <w:bookmarkStart w:id="66" w:name="_Toc444244500"/>
      <w:bookmarkStart w:id="67" w:name="_Toc444095974"/>
      <w:bookmarkStart w:id="68" w:name="_Toc443047614"/>
      <w:bookmarkStart w:id="69" w:name="_Toc442953229"/>
      <w:bookmarkStart w:id="70" w:name="_Toc442787524"/>
      <w:bookmarkStart w:id="71" w:name="_Toc442787232"/>
      <w:bookmarkStart w:id="72" w:name="_Toc442777834"/>
      <w:bookmarkStart w:id="73" w:name="_Toc442281328"/>
      <w:bookmarkStart w:id="74" w:name="_Toc442281298"/>
      <w:bookmarkStart w:id="75" w:name="_Toc442277386"/>
      <w:r w:rsidRPr="0053500B">
        <w:rPr>
          <w:rFonts w:cs="Times New Roman"/>
          <w:b/>
          <w:szCs w:val="24"/>
        </w:rPr>
        <w:t>Indledning</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3087C31" w14:textId="464D2586" w:rsidR="0037151F" w:rsidRDefault="0037151F" w:rsidP="00573B96">
      <w:pPr>
        <w:spacing w:line="280" w:lineRule="atLeast"/>
        <w:ind w:right="-143"/>
        <w:jc w:val="left"/>
        <w:rPr>
          <w:rFonts w:cs="Times New Roman"/>
          <w:bCs/>
          <w:szCs w:val="24"/>
        </w:rPr>
      </w:pPr>
      <w:r w:rsidRPr="003B0A56">
        <w:rPr>
          <w:rFonts w:cs="Times New Roman"/>
          <w:bCs/>
          <w:szCs w:val="24"/>
        </w:rPr>
        <w:t xml:space="preserve">Tilfælde af spiritus- og narkokørsel, som har medført meget alvorlige konsekvenser i form af dræbte eller alvorligt tilskadekomne, hører til blandt de mest triste og meningsløse færdselssager. I visse tilfælde rammer konsekvenserne ikke blot føreren selv, men også helt tilfældige mennesker. </w:t>
      </w:r>
    </w:p>
    <w:p w14:paraId="14A2C1E8" w14:textId="77777777" w:rsidR="009C67AE" w:rsidRDefault="009C67AE" w:rsidP="00573B96">
      <w:pPr>
        <w:spacing w:line="280" w:lineRule="atLeast"/>
        <w:ind w:right="-143"/>
        <w:jc w:val="left"/>
        <w:rPr>
          <w:rFonts w:cs="Times New Roman"/>
          <w:bCs/>
          <w:szCs w:val="24"/>
        </w:rPr>
      </w:pPr>
    </w:p>
    <w:p w14:paraId="7D798D6E" w14:textId="070C92B7" w:rsidR="009C67AE" w:rsidRDefault="009C67AE" w:rsidP="00573B96">
      <w:pPr>
        <w:spacing w:line="280" w:lineRule="atLeast"/>
        <w:ind w:right="-143"/>
        <w:jc w:val="left"/>
        <w:rPr>
          <w:rFonts w:cs="Times New Roman"/>
          <w:bCs/>
          <w:szCs w:val="24"/>
        </w:rPr>
      </w:pPr>
      <w:r>
        <w:rPr>
          <w:rFonts w:cs="Times New Roman"/>
          <w:bCs/>
          <w:szCs w:val="24"/>
        </w:rPr>
        <w:t>I tilfælde, hvor spiritus- og narkokørsel har haft de alvorligste konsekvenser for andre sagesløse trafikanter, bør det også have ganske alvorlige konsekvenser for den spiritus- eller narkopåvirkede fører.</w:t>
      </w:r>
      <w:r w:rsidR="00532A25">
        <w:rPr>
          <w:rFonts w:cs="Times New Roman"/>
          <w:bCs/>
          <w:szCs w:val="24"/>
        </w:rPr>
        <w:t xml:space="preserve"> </w:t>
      </w:r>
    </w:p>
    <w:p w14:paraId="33457466" w14:textId="141594D1" w:rsidR="009C67AE" w:rsidRDefault="009C67AE" w:rsidP="00573B96">
      <w:pPr>
        <w:spacing w:line="280" w:lineRule="atLeast"/>
        <w:ind w:right="-143"/>
        <w:jc w:val="left"/>
        <w:rPr>
          <w:rFonts w:cs="Times New Roman"/>
          <w:bCs/>
          <w:szCs w:val="24"/>
        </w:rPr>
      </w:pPr>
    </w:p>
    <w:p w14:paraId="11992FFF" w14:textId="1A875C73" w:rsidR="0037151F" w:rsidRDefault="00532A25" w:rsidP="00573B96">
      <w:pPr>
        <w:spacing w:line="280" w:lineRule="atLeast"/>
        <w:ind w:right="-143"/>
        <w:jc w:val="left"/>
        <w:rPr>
          <w:rFonts w:cs="Times New Roman"/>
          <w:bCs/>
          <w:szCs w:val="24"/>
        </w:rPr>
      </w:pPr>
      <w:r>
        <w:rPr>
          <w:rFonts w:cs="Times New Roman"/>
          <w:bCs/>
          <w:szCs w:val="24"/>
        </w:rPr>
        <w:t xml:space="preserve">Lovforslaget indeholder på den baggrund en ændring af færdselslovens frakendelsesregler, således at </w:t>
      </w:r>
      <w:r w:rsidR="0037151F" w:rsidRPr="003B0A56">
        <w:rPr>
          <w:rFonts w:cs="Times New Roman"/>
          <w:bCs/>
          <w:szCs w:val="24"/>
        </w:rPr>
        <w:t>en fører, der overtræder lovens regler om spiritus- eller narkokørsel og uagtsomt forvolder en anden persons død eller påfører andre betydelig legemsbeskadigelse, som det klare udgangspunkt altid</w:t>
      </w:r>
      <w:r>
        <w:rPr>
          <w:rFonts w:cs="Times New Roman"/>
          <w:bCs/>
          <w:szCs w:val="24"/>
        </w:rPr>
        <w:t xml:space="preserve"> vil skulle</w:t>
      </w:r>
      <w:r w:rsidR="0037151F" w:rsidRPr="003B0A56">
        <w:rPr>
          <w:rFonts w:cs="Times New Roman"/>
          <w:bCs/>
          <w:szCs w:val="24"/>
        </w:rPr>
        <w:t xml:space="preserve"> sanktioneres med en ubetinget frakendelse af førerretten</w:t>
      </w:r>
      <w:r>
        <w:rPr>
          <w:rFonts w:cs="Times New Roman"/>
          <w:bCs/>
          <w:szCs w:val="24"/>
        </w:rPr>
        <w:t xml:space="preserve"> i minimum tre år</w:t>
      </w:r>
      <w:r w:rsidR="0037151F" w:rsidRPr="003B0A56">
        <w:rPr>
          <w:rFonts w:cs="Times New Roman"/>
          <w:bCs/>
          <w:szCs w:val="24"/>
        </w:rPr>
        <w:t xml:space="preserve">, uanset promillens størrelse eller mængden af euforiserende stoffer i blodet. </w:t>
      </w:r>
    </w:p>
    <w:p w14:paraId="7AD917C5" w14:textId="7571DA79" w:rsidR="00532A25" w:rsidRDefault="00532A25" w:rsidP="00573B96">
      <w:pPr>
        <w:spacing w:line="280" w:lineRule="atLeast"/>
        <w:ind w:right="-143"/>
        <w:jc w:val="left"/>
        <w:rPr>
          <w:rFonts w:cs="Times New Roman"/>
          <w:bCs/>
          <w:szCs w:val="24"/>
        </w:rPr>
      </w:pPr>
    </w:p>
    <w:p w14:paraId="2BD7422E" w14:textId="7AD78FC6" w:rsidR="00532A25" w:rsidRDefault="00532A25" w:rsidP="00573B96">
      <w:pPr>
        <w:spacing w:line="280" w:lineRule="atLeast"/>
        <w:ind w:right="-143"/>
        <w:jc w:val="left"/>
        <w:rPr>
          <w:rFonts w:cs="Times New Roman"/>
          <w:bCs/>
          <w:szCs w:val="24"/>
        </w:rPr>
      </w:pPr>
      <w:r>
        <w:rPr>
          <w:rFonts w:cs="Times New Roman"/>
          <w:bCs/>
          <w:szCs w:val="24"/>
        </w:rPr>
        <w:t>Lovforslaget indeholder også en ændring af færdselslovens konfiskationsregler, således at køretøjet i de pågældende tilfælde, som det klare udgangspunkt skal konfiskeres allerede i førstegangstilfælde og uanset ejerforhold.</w:t>
      </w:r>
    </w:p>
    <w:p w14:paraId="3AB3A3B4" w14:textId="189C0523" w:rsidR="00532A25" w:rsidRDefault="00532A25" w:rsidP="00573B96">
      <w:pPr>
        <w:spacing w:line="280" w:lineRule="atLeast"/>
        <w:ind w:right="-143"/>
        <w:jc w:val="left"/>
        <w:rPr>
          <w:rFonts w:cs="Times New Roman"/>
          <w:bCs/>
          <w:szCs w:val="24"/>
        </w:rPr>
      </w:pPr>
    </w:p>
    <w:p w14:paraId="347DD3E7" w14:textId="20A202A4" w:rsidR="00532A25" w:rsidRDefault="00532A25" w:rsidP="00573B96">
      <w:pPr>
        <w:spacing w:line="280" w:lineRule="atLeast"/>
        <w:ind w:right="-143"/>
        <w:jc w:val="left"/>
        <w:rPr>
          <w:rFonts w:cs="Times New Roman"/>
          <w:bCs/>
          <w:szCs w:val="24"/>
        </w:rPr>
      </w:pPr>
      <w:r>
        <w:rPr>
          <w:rFonts w:cs="Times New Roman"/>
          <w:bCs/>
          <w:szCs w:val="24"/>
        </w:rPr>
        <w:t xml:space="preserve">Lovforslaget indeholder endvidere en ændring af frakendelsesreglerne for tilfælde af særlig hensynsløs kørsel, således at </w:t>
      </w:r>
      <w:r w:rsidR="00FF0234">
        <w:rPr>
          <w:rFonts w:cs="Times New Roman"/>
          <w:bCs/>
          <w:szCs w:val="24"/>
        </w:rPr>
        <w:t>alle tilfælde af særlig hensynsløs kørsel som det klare udgangspunkt vil skulle sanktioneres med en ubetinget frakendelse af førerretten i minimum tre år.</w:t>
      </w:r>
    </w:p>
    <w:p w14:paraId="3E8B4842" w14:textId="005FE452" w:rsidR="001D5268" w:rsidRDefault="001D5268" w:rsidP="00573B96">
      <w:pPr>
        <w:spacing w:line="280" w:lineRule="atLeast"/>
        <w:ind w:right="-143"/>
        <w:jc w:val="left"/>
        <w:rPr>
          <w:rFonts w:cs="Times New Roman"/>
          <w:bCs/>
          <w:szCs w:val="24"/>
        </w:rPr>
      </w:pPr>
    </w:p>
    <w:p w14:paraId="5C3A0529" w14:textId="4F4B3F2A" w:rsidR="001D5268" w:rsidRPr="003B0A56" w:rsidRDefault="001D5268" w:rsidP="00573B96">
      <w:pPr>
        <w:spacing w:line="280" w:lineRule="atLeast"/>
        <w:ind w:right="-143"/>
        <w:jc w:val="left"/>
        <w:rPr>
          <w:rFonts w:cs="Times New Roman"/>
          <w:bCs/>
          <w:szCs w:val="24"/>
        </w:rPr>
      </w:pPr>
      <w:r w:rsidRPr="003B0A56">
        <w:rPr>
          <w:rFonts w:cs="Times New Roman"/>
          <w:bCs/>
          <w:szCs w:val="24"/>
        </w:rPr>
        <w:t xml:space="preserve">Justitsministeren har den 27. november 2025 fremsat lovforslag nr. L 83 om ændring af straffeloven, retsplejeloven, lov om fuldbyrdelse af straf m.v. </w:t>
      </w:r>
      <w:r>
        <w:rPr>
          <w:rFonts w:cs="Times New Roman"/>
          <w:bCs/>
          <w:szCs w:val="24"/>
        </w:rPr>
        <w:t xml:space="preserve">og forskellige andre love. </w:t>
      </w:r>
      <w:r w:rsidRPr="003B0A56">
        <w:rPr>
          <w:rFonts w:cs="Times New Roman"/>
          <w:bCs/>
          <w:szCs w:val="24"/>
        </w:rPr>
        <w:t xml:space="preserve">Hvis lovforslaget vedtages, vil lovændringerne træde i kraft 1. februar 2026. </w:t>
      </w:r>
    </w:p>
    <w:p w14:paraId="38E4CB17" w14:textId="77777777" w:rsidR="001D5268" w:rsidRPr="003B0A56" w:rsidRDefault="001D5268" w:rsidP="00573B96">
      <w:pPr>
        <w:spacing w:line="280" w:lineRule="atLeast"/>
        <w:ind w:right="-143"/>
        <w:jc w:val="left"/>
        <w:rPr>
          <w:rFonts w:cs="Times New Roman"/>
          <w:bCs/>
          <w:szCs w:val="24"/>
        </w:rPr>
      </w:pPr>
    </w:p>
    <w:p w14:paraId="190659A9" w14:textId="7F1013FA" w:rsidR="00884C08" w:rsidRPr="003B0A56" w:rsidRDefault="001D5268" w:rsidP="00573B96">
      <w:pPr>
        <w:spacing w:line="280" w:lineRule="atLeast"/>
        <w:ind w:right="-143"/>
        <w:jc w:val="left"/>
        <w:rPr>
          <w:rFonts w:cs="Times New Roman"/>
          <w:bCs/>
          <w:szCs w:val="24"/>
        </w:rPr>
      </w:pPr>
      <w:r w:rsidRPr="003B0A56">
        <w:rPr>
          <w:rFonts w:cs="Times New Roman"/>
          <w:bCs/>
          <w:szCs w:val="24"/>
        </w:rPr>
        <w:t xml:space="preserve">Med lovforslaget foreslås der </w:t>
      </w:r>
      <w:r>
        <w:rPr>
          <w:rFonts w:cs="Times New Roman"/>
          <w:bCs/>
          <w:szCs w:val="24"/>
        </w:rPr>
        <w:t xml:space="preserve">blandt andet en betydelig strafskærpelse på 33 pct. for uagtsomt manddrab og uagtsom betydelig legemsbeskadigelse, der begås </w:t>
      </w:r>
      <w:r w:rsidRPr="003B0A56">
        <w:rPr>
          <w:rFonts w:cs="Times New Roman"/>
          <w:bCs/>
          <w:szCs w:val="24"/>
        </w:rPr>
        <w:t>i forbindelse med spiritus</w:t>
      </w:r>
      <w:r>
        <w:rPr>
          <w:rFonts w:cs="Times New Roman"/>
          <w:bCs/>
          <w:szCs w:val="24"/>
        </w:rPr>
        <w:t>- og narkokørsel</w:t>
      </w:r>
      <w:r w:rsidRPr="003B0A56">
        <w:rPr>
          <w:rFonts w:cs="Times New Roman"/>
          <w:bCs/>
          <w:szCs w:val="24"/>
        </w:rPr>
        <w:t>, særligt hensynsløs kørsel eller de groveste hastighedsovertrædelser</w:t>
      </w:r>
      <w:r>
        <w:rPr>
          <w:rFonts w:cs="Times New Roman"/>
          <w:bCs/>
          <w:szCs w:val="24"/>
        </w:rPr>
        <w:t>.</w:t>
      </w:r>
      <w:r w:rsidR="00884C08">
        <w:rPr>
          <w:rFonts w:cs="Times New Roman"/>
          <w:bCs/>
          <w:szCs w:val="24"/>
        </w:rPr>
        <w:t xml:space="preserve"> </w:t>
      </w:r>
    </w:p>
    <w:p w14:paraId="5B971293" w14:textId="4DB0889D" w:rsidR="001D5268" w:rsidRDefault="001D5268" w:rsidP="00573B96">
      <w:pPr>
        <w:spacing w:line="280" w:lineRule="atLeast"/>
        <w:ind w:right="-143"/>
        <w:jc w:val="left"/>
        <w:rPr>
          <w:rFonts w:cs="Times New Roman"/>
          <w:bCs/>
          <w:szCs w:val="24"/>
        </w:rPr>
      </w:pPr>
    </w:p>
    <w:p w14:paraId="7412EE5B" w14:textId="4067F2A5" w:rsidR="001D5268" w:rsidRDefault="001D5268" w:rsidP="00573B96">
      <w:pPr>
        <w:spacing w:line="280" w:lineRule="atLeast"/>
        <w:ind w:right="-143"/>
        <w:jc w:val="left"/>
        <w:rPr>
          <w:rFonts w:cs="Times New Roman"/>
          <w:bCs/>
          <w:szCs w:val="24"/>
        </w:rPr>
      </w:pPr>
      <w:r>
        <w:rPr>
          <w:rFonts w:cs="Times New Roman"/>
          <w:bCs/>
          <w:szCs w:val="24"/>
        </w:rPr>
        <w:t xml:space="preserve">De foreslåede ændringer af færdselsloven udgør sammen med justitsministerens foreslåede ændring af straffeloven et vægtigt initiativ mod vanvidskørsel og anden farlig kørsel, og sender et tydeligt signal om, at </w:t>
      </w:r>
      <w:r w:rsidR="00BB01FC">
        <w:rPr>
          <w:rFonts w:cs="Times New Roman"/>
          <w:bCs/>
          <w:szCs w:val="24"/>
        </w:rPr>
        <w:t>denne form for afstumpet trafikal adfærd ikke accepteres.</w:t>
      </w:r>
    </w:p>
    <w:p w14:paraId="0334B7B6" w14:textId="7E1100A5" w:rsidR="0037151F" w:rsidRDefault="00BB01FC" w:rsidP="00573B96">
      <w:pPr>
        <w:pStyle w:val="NormalWeb"/>
        <w:spacing w:line="280" w:lineRule="atLeast"/>
        <w:ind w:right="-143"/>
      </w:pPr>
      <w:r>
        <w:t xml:space="preserve">Lovforslaget adresserer endvidere de vilkår som </w:t>
      </w:r>
      <w:r w:rsidR="00180E35">
        <w:t>udrykningsberedskabet</w:t>
      </w:r>
      <w:r>
        <w:t xml:space="preserve"> arbejder under.</w:t>
      </w:r>
    </w:p>
    <w:p w14:paraId="187862EA" w14:textId="3C7E076B" w:rsidR="0037151F" w:rsidRDefault="0037151F" w:rsidP="00573B96">
      <w:pPr>
        <w:pStyle w:val="NormalWeb"/>
        <w:spacing w:line="280" w:lineRule="atLeast"/>
        <w:ind w:right="-143"/>
      </w:pPr>
      <w:r>
        <w:t>Udrykningsberedskabet varetager samfundsmæssigt centrale opgaver, hvor hurtig og effektiv fremkomst ofte er afgørende for at redde liv og begrænse skade på personer eller ejendom. Samtidig indebærer udrykningskørsel særlige færdselssikkerhedsmæssige risici, som nødvendiggør, at der fortsat stilles høje krav til udrykningsføreres agtpågivenhed og ansvarlighed i trafikken.</w:t>
      </w:r>
    </w:p>
    <w:p w14:paraId="426C2E49" w14:textId="7F31CF44" w:rsidR="00EE5770" w:rsidRDefault="00264FA9" w:rsidP="00573B96">
      <w:pPr>
        <w:pStyle w:val="NormalWeb"/>
        <w:spacing w:line="280" w:lineRule="atLeast"/>
        <w:ind w:right="-143"/>
      </w:pPr>
      <w:r w:rsidRPr="00980126">
        <w:t xml:space="preserve">Transportministeriet finder det </w:t>
      </w:r>
      <w:r w:rsidR="00EE5770">
        <w:t xml:space="preserve">imidlertid </w:t>
      </w:r>
      <w:r w:rsidRPr="00980126">
        <w:t xml:space="preserve">ikke rimeligt, at udrykningsførere under udførelsen af deres arbejde skal frygte at få klip i kørekortet på grund af mindre fejlvurderinger. Reglerne på området bør derfor </w:t>
      </w:r>
      <w:r w:rsidR="00EE5770">
        <w:t>sikre en bedre balance mellem hensynet til effektiv udrykningskørsel og hensynet til den generelle færdselssikkerhed.</w:t>
      </w:r>
    </w:p>
    <w:p w14:paraId="34E95E36" w14:textId="1CB2441C" w:rsidR="00432754" w:rsidRDefault="00432754" w:rsidP="00573B96">
      <w:pPr>
        <w:pStyle w:val="NormalWeb"/>
        <w:spacing w:line="280" w:lineRule="atLeast"/>
        <w:ind w:right="-143"/>
      </w:pPr>
      <w:r>
        <w:rPr>
          <w:rFonts w:eastAsia="Calibri"/>
        </w:rPr>
        <w:t>Lovforslaget indeholder derfor en lempelse af klippekortordningen, hvorefter</w:t>
      </w:r>
      <w:r w:rsidRPr="0024315A">
        <w:rPr>
          <w:rFonts w:eastAsia="Calibri"/>
        </w:rPr>
        <w:t xml:space="preserve"> førere af udrykningskøretøjer </w:t>
      </w:r>
      <w:r>
        <w:rPr>
          <w:rFonts w:eastAsia="Calibri"/>
        </w:rPr>
        <w:t>ikke vil blive sanktioneret med et klip i kørekortet for relevante klipforseelser,</w:t>
      </w:r>
      <w:r w:rsidRPr="0024315A">
        <w:rPr>
          <w:rFonts w:eastAsia="Calibri"/>
        </w:rPr>
        <w:t xml:space="preserve"> hvis betingelserne for at </w:t>
      </w:r>
      <w:r>
        <w:rPr>
          <w:rFonts w:eastAsia="Calibri"/>
        </w:rPr>
        <w:t>foretage</w:t>
      </w:r>
      <w:r w:rsidRPr="0024315A">
        <w:rPr>
          <w:rFonts w:eastAsia="Calibri"/>
        </w:rPr>
        <w:t xml:space="preserve"> udrykningskørsel er opfyldt.</w:t>
      </w:r>
    </w:p>
    <w:p w14:paraId="14415A2C" w14:textId="5DC6D179" w:rsidR="000A06CD" w:rsidRPr="000A06CD" w:rsidRDefault="0037151F" w:rsidP="00573B96">
      <w:pPr>
        <w:pStyle w:val="NormalWeb"/>
        <w:spacing w:line="280" w:lineRule="atLeast"/>
        <w:ind w:right="-143"/>
      </w:pPr>
      <w:r>
        <w:t>Derudover indeholder lovforslaget</w:t>
      </w:r>
      <w:r w:rsidR="000A06CD">
        <w:t xml:space="preserve"> </w:t>
      </w:r>
      <w:r w:rsidR="000A06CD" w:rsidRPr="000A06CD">
        <w:t xml:space="preserve">hjemmel til dispensation fra færdselsreglerne i forbindelse med gennemførelse af </w:t>
      </w:r>
      <w:r w:rsidR="000703C3">
        <w:t>blokvognskørsel</w:t>
      </w:r>
      <w:r w:rsidR="000A06CD" w:rsidRPr="000A06CD">
        <w:t>er</w:t>
      </w:r>
      <w:r w:rsidR="000A06CD">
        <w:t xml:space="preserve">. </w:t>
      </w:r>
      <w:r w:rsidR="000A06CD" w:rsidRPr="000A06CD">
        <w:t>Vejdirektoratet</w:t>
      </w:r>
      <w:r w:rsidR="000A06CD">
        <w:t xml:space="preserve"> har</w:t>
      </w:r>
      <w:r w:rsidR="000A06CD" w:rsidRPr="000A06CD">
        <w:t xml:space="preserve"> oplyst, at direktoratet behandler over 30.000 ansøgninger om særtransporter om året. Vejdirektoratet har i de seneste år noteret sig en stigning af ansøgninger om særtransporter, hvor der søges om tilladelse til at køre i strid med færdselslovens regler. </w:t>
      </w:r>
    </w:p>
    <w:p w14:paraId="2A2CFFDC" w14:textId="3F9103D8" w:rsidR="000A06CD" w:rsidRPr="000A06CD" w:rsidRDefault="000A06CD" w:rsidP="00573B96">
      <w:pPr>
        <w:pStyle w:val="NormalWeb"/>
        <w:spacing w:line="280" w:lineRule="atLeast"/>
        <w:ind w:right="-143"/>
      </w:pPr>
      <w:bookmarkStart w:id="76" w:name="_Hlk218686095"/>
      <w:r w:rsidRPr="000A06CD">
        <w:t xml:space="preserve">Gennemførelsen af en række </w:t>
      </w:r>
      <w:r w:rsidR="000703C3">
        <w:t>blokvognskørsler</w:t>
      </w:r>
      <w:r w:rsidRPr="000A06CD">
        <w:t xml:space="preserve"> kan på grund af transportens længde, bredde eller godsets karakter i praksis kun gennemføres ved tilsidesættelse af en række bestemmelser i færdselsloven.</w:t>
      </w:r>
    </w:p>
    <w:bookmarkEnd w:id="76"/>
    <w:p w14:paraId="1B606567" w14:textId="58586704" w:rsidR="000A06CD" w:rsidRPr="000A06CD" w:rsidRDefault="000A06CD" w:rsidP="00573B96">
      <w:pPr>
        <w:pStyle w:val="NormalWeb"/>
        <w:spacing w:line="280" w:lineRule="atLeast"/>
        <w:ind w:right="-143"/>
      </w:pPr>
      <w:r w:rsidRPr="000A06CD">
        <w:t xml:space="preserve">Et eksempel på at </w:t>
      </w:r>
      <w:r w:rsidR="000703C3">
        <w:t>blokvognskørsel</w:t>
      </w:r>
      <w:r w:rsidRPr="000A06CD">
        <w:t xml:space="preserve">erne kører i strid med færdselslovens regler kan for eksempel være, at </w:t>
      </w:r>
      <w:r w:rsidR="000703C3">
        <w:t>blokvognskørsel</w:t>
      </w:r>
      <w:r w:rsidRPr="000A06CD">
        <w:t>en kører venstre om i en rundkørsel, da transportens kørekurver taler for denne løsning. Der kan også ske overskridelse af spærreflader, spærrelinjer og ubrudte kantlinjer m.m. </w:t>
      </w:r>
    </w:p>
    <w:p w14:paraId="5C1EE906" w14:textId="6B2898D0" w:rsidR="000A06CD" w:rsidRPr="000A06CD" w:rsidRDefault="000A06CD" w:rsidP="00573B96">
      <w:pPr>
        <w:pStyle w:val="NormalWeb"/>
        <w:spacing w:line="280" w:lineRule="atLeast"/>
        <w:ind w:right="-143"/>
      </w:pPr>
      <w:r w:rsidRPr="000A06CD">
        <w:t xml:space="preserve">Det er derfor hensigten med lovforslaget, at der i forbindelse med Vejdirektoratets tilladelse, jf. færdselslovens § 86, stk. 1, kan gives dispensation til at fravige færdselsreglerne på en række områder således at der kan ske gennemførelse af kørsel med </w:t>
      </w:r>
      <w:r w:rsidR="000703C3">
        <w:t>blokvogn.</w:t>
      </w:r>
    </w:p>
    <w:p w14:paraId="4850984A" w14:textId="74DB26CC" w:rsidR="000A06CD" w:rsidRPr="0053500B" w:rsidRDefault="00C14774" w:rsidP="00573B96">
      <w:pPr>
        <w:pStyle w:val="NormalWeb"/>
        <w:spacing w:line="280" w:lineRule="atLeast"/>
        <w:ind w:right="-143"/>
      </w:pPr>
      <w:r>
        <w:t>Endelig indeholder lovforslaget en ændring af synsloven, hvorefter Færdselsstyrelsen får hjemmel til ved vejsiden at kontrollere og opkræve forfaldne og ubetalte bøder for manglende betaling af vejafgift hos udenlandske køretøjer. Den foreslåede ændring skal understøtte sikring af provenu fra vejafgiftsordningen og medvirke til at sikre en mere effektiv opkrævning af ubetalte bøder for manglende betaling af vejafgift.</w:t>
      </w:r>
    </w:p>
    <w:p w14:paraId="2A97DE0A" w14:textId="77777777" w:rsidR="00F7389D" w:rsidRPr="0053500B" w:rsidRDefault="004202D4" w:rsidP="00573B96">
      <w:pPr>
        <w:pStyle w:val="Listeafsnit"/>
        <w:numPr>
          <w:ilvl w:val="0"/>
          <w:numId w:val="7"/>
        </w:numPr>
        <w:spacing w:after="280" w:line="280" w:lineRule="atLeast"/>
        <w:ind w:right="-143"/>
        <w:jc w:val="left"/>
        <w:rPr>
          <w:rFonts w:cs="Times New Roman"/>
          <w:b/>
          <w:iCs/>
          <w:szCs w:val="24"/>
        </w:rPr>
      </w:pPr>
      <w:bookmarkStart w:id="77" w:name="_Toc526756602"/>
      <w:bookmarkStart w:id="78" w:name="_Toc526505510"/>
      <w:bookmarkStart w:id="79" w:name="_Toc526491398"/>
      <w:bookmarkStart w:id="80" w:name="_Toc526409499"/>
      <w:bookmarkStart w:id="81" w:name="_Toc526406479"/>
      <w:bookmarkStart w:id="82" w:name="_Toc526374616"/>
      <w:bookmarkStart w:id="83" w:name="_Toc526374600"/>
      <w:bookmarkStart w:id="84" w:name="_Toc526348409"/>
      <w:bookmarkStart w:id="85" w:name="_Toc526253985"/>
      <w:bookmarkStart w:id="86" w:name="_Toc526155548"/>
      <w:bookmarkStart w:id="87" w:name="_Toc526155475"/>
      <w:bookmarkStart w:id="88" w:name="_Toc526154929"/>
      <w:bookmarkStart w:id="89" w:name="_Toc524599576"/>
      <w:bookmarkStart w:id="90" w:name="_Toc518037928"/>
      <w:bookmarkStart w:id="91" w:name="_Toc516490246"/>
      <w:bookmarkStart w:id="92" w:name="_Toc516155345"/>
      <w:bookmarkStart w:id="93" w:name="_Toc516039922"/>
      <w:bookmarkStart w:id="94" w:name="_Toc515627612"/>
      <w:bookmarkStart w:id="95" w:name="_Toc515551670"/>
      <w:bookmarkStart w:id="96" w:name="_Toc515543869"/>
      <w:bookmarkStart w:id="97" w:name="_Toc515543684"/>
      <w:bookmarkStart w:id="98" w:name="_Toc515540848"/>
      <w:bookmarkStart w:id="99" w:name="_Toc515352775"/>
      <w:bookmarkStart w:id="100" w:name="_Toc515280623"/>
      <w:bookmarkStart w:id="101" w:name="_Toc515280472"/>
      <w:bookmarkStart w:id="102" w:name="_Toc515271576"/>
      <w:bookmarkStart w:id="103" w:name="_Toc515271548"/>
      <w:bookmarkStart w:id="104" w:name="_Toc515271225"/>
      <w:bookmarkStart w:id="105" w:name="_Toc507486286"/>
      <w:bookmarkStart w:id="106" w:name="_Toc506894549"/>
      <w:bookmarkStart w:id="107" w:name="_Toc506799590"/>
      <w:bookmarkStart w:id="108" w:name="_Toc506799573"/>
      <w:bookmarkStart w:id="109" w:name="_Toc505785988"/>
      <w:bookmarkStart w:id="110" w:name="_Toc505762648"/>
      <w:bookmarkStart w:id="111" w:name="_Toc505759555"/>
      <w:bookmarkStart w:id="112" w:name="_Toc505759538"/>
      <w:bookmarkStart w:id="113" w:name="_Toc505701746"/>
      <w:bookmarkStart w:id="114" w:name="_Toc505690193"/>
      <w:bookmarkStart w:id="115" w:name="_Toc505180548"/>
      <w:bookmarkStart w:id="116" w:name="_Toc504483850"/>
      <w:bookmarkStart w:id="117" w:name="_Toc501019205"/>
      <w:bookmarkStart w:id="118" w:name="_Toc500921595"/>
      <w:bookmarkStart w:id="119" w:name="_Toc500921487"/>
      <w:bookmarkStart w:id="120" w:name="_Toc500921461"/>
      <w:bookmarkStart w:id="121" w:name="_Toc499813715"/>
      <w:bookmarkStart w:id="122" w:name="_Toc499812912"/>
      <w:bookmarkStart w:id="123" w:name="_Toc499736972"/>
      <w:bookmarkStart w:id="124" w:name="_Toc499732941"/>
      <w:bookmarkStart w:id="125" w:name="_Toc499728093"/>
      <w:bookmarkStart w:id="126" w:name="_Toc499648600"/>
      <w:bookmarkStart w:id="127" w:name="_Toc499158731"/>
      <w:bookmarkStart w:id="128" w:name="_Toc499152772"/>
      <w:bookmarkStart w:id="129" w:name="_Toc498681500"/>
      <w:bookmarkStart w:id="130" w:name="_Toc498590017"/>
      <w:bookmarkStart w:id="131" w:name="_Toc498557283"/>
      <w:bookmarkStart w:id="132" w:name="_Toc498557219"/>
      <w:r w:rsidRPr="0053500B">
        <w:rPr>
          <w:rFonts w:cs="Times New Roman"/>
          <w:b/>
          <w:iCs/>
          <w:szCs w:val="24"/>
        </w:rPr>
        <w:t>Lovforslagets hovedpunkter</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B9AE0BB" w14:textId="77777777" w:rsidR="003B0A56" w:rsidRDefault="003B0A56" w:rsidP="00573B96">
      <w:pPr>
        <w:spacing w:line="280" w:lineRule="atLeast"/>
        <w:ind w:right="-143"/>
        <w:jc w:val="left"/>
        <w:rPr>
          <w:rFonts w:cs="Times New Roman"/>
          <w:b/>
          <w:szCs w:val="24"/>
        </w:rPr>
      </w:pPr>
      <w:r w:rsidRPr="003B0A56">
        <w:rPr>
          <w:rFonts w:cs="Times New Roman"/>
          <w:b/>
          <w:szCs w:val="24"/>
        </w:rPr>
        <w:t xml:space="preserve">2.1. Skærpelse af de frakendelsesmæssige sanktioner for spiritus- og narkokørsel i forbindelse med uagtsomt manddrab og uagtsom betydelig legemsbeskadigelse </w:t>
      </w:r>
    </w:p>
    <w:p w14:paraId="366C4EBD" w14:textId="01105BB5" w:rsidR="003B0A56" w:rsidRPr="003B0A56" w:rsidRDefault="003B0A56" w:rsidP="00573B96">
      <w:pPr>
        <w:spacing w:line="280" w:lineRule="atLeast"/>
        <w:ind w:right="-143"/>
        <w:jc w:val="left"/>
        <w:rPr>
          <w:rFonts w:cs="Times New Roman"/>
          <w:b/>
          <w:szCs w:val="24"/>
        </w:rPr>
      </w:pPr>
      <w:r w:rsidRPr="003B0A56">
        <w:rPr>
          <w:rFonts w:cs="Times New Roman"/>
          <w:b/>
          <w:szCs w:val="24"/>
        </w:rPr>
        <w:t xml:space="preserve"> </w:t>
      </w:r>
    </w:p>
    <w:p w14:paraId="74157AB4"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 xml:space="preserve">2.1.1. Gældende ret  </w:t>
      </w:r>
    </w:p>
    <w:p w14:paraId="7711479E"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færdselslovens § 53, stk. 1, må et motordrevet køretøj ikke føres eller forsøges ført af nogen, hvis alkoholkoncentrationen i blodet under eller efter kørslen overstiger 0,50 promille, eller hvis alkoholkoncentrationen i udåndingsluften under eller efter kørslen overstiger 0,25 mg pr. liter luft. </w:t>
      </w:r>
    </w:p>
    <w:p w14:paraId="0D058067" w14:textId="77777777" w:rsidR="00CA46A1" w:rsidRPr="00573B96" w:rsidRDefault="00CA46A1" w:rsidP="00573B96">
      <w:pPr>
        <w:spacing w:line="280" w:lineRule="atLeast"/>
        <w:ind w:right="-143"/>
        <w:jc w:val="left"/>
        <w:rPr>
          <w:rFonts w:cs="Times New Roman"/>
          <w:bCs/>
          <w:szCs w:val="24"/>
        </w:rPr>
      </w:pPr>
    </w:p>
    <w:p w14:paraId="6CF57EE4" w14:textId="5B2A9E3D" w:rsidR="003B0A56" w:rsidRPr="00573B96" w:rsidRDefault="003B0A56" w:rsidP="00573B96">
      <w:pPr>
        <w:spacing w:line="280" w:lineRule="atLeast"/>
        <w:ind w:right="-143"/>
        <w:jc w:val="left"/>
        <w:rPr>
          <w:rFonts w:cs="Times New Roman"/>
          <w:bCs/>
          <w:szCs w:val="24"/>
        </w:rPr>
      </w:pPr>
      <w:r w:rsidRPr="00573B96">
        <w:rPr>
          <w:rFonts w:cs="Times New Roman"/>
          <w:bCs/>
          <w:szCs w:val="24"/>
        </w:rPr>
        <w:t>Efter færdselslovens § 53, stk. 2, nr. 1, må en almindelig bil (kategori B) ikke føres eller forsøges ført af nogen, hvis alkoholkoncentrationen i blodet under eller efter kørslen overstiger 0,20 promille, eller alkoholkoncentrationen i udåndingsluften under eller efter kørslen overstiger 0,10 mg pr. liter luft, hvis forholdet er begået inden for de første 3 år efter førstegangserhvervelse af retten til at føre almindelig bil (kategori B). Efter § 53, stk. 2, nr. 2, betragtes kørsel eller forsøg på kørsel af almindelig bil (kategori B) med en alkoholpromille, der overstiger 0,20 promille, som spirituskørsel, hvis forholdet udgør en overtrædelse af eller forsøg på overtrædelse af § 56, stk. 1, 1. pkt., om kørsel uden erhvervet førerret.</w:t>
      </w:r>
    </w:p>
    <w:p w14:paraId="6822D56F" w14:textId="77777777" w:rsidR="00CA46A1" w:rsidRPr="00573B96" w:rsidRDefault="00CA46A1" w:rsidP="00573B96">
      <w:pPr>
        <w:spacing w:line="280" w:lineRule="atLeast"/>
        <w:ind w:right="-143"/>
        <w:jc w:val="left"/>
        <w:rPr>
          <w:rFonts w:cs="Times New Roman"/>
          <w:bCs/>
          <w:szCs w:val="24"/>
        </w:rPr>
      </w:pPr>
    </w:p>
    <w:p w14:paraId="2111F2D5" w14:textId="502068EA"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 53, stk. 3, straffes føreren endvidere for spirituskørsel, hvis der er konkrete holdepunkter for at antage, at føreren </w:t>
      </w:r>
      <w:r w:rsidR="0095533B">
        <w:rPr>
          <w:rFonts w:cs="Times New Roman"/>
          <w:bCs/>
          <w:szCs w:val="24"/>
        </w:rPr>
        <w:t xml:space="preserve">efter har indtaget spiritus i et sådant omfang, at den pågældende </w:t>
      </w:r>
      <w:r w:rsidRPr="00573B96">
        <w:rPr>
          <w:rFonts w:cs="Times New Roman"/>
          <w:bCs/>
          <w:szCs w:val="24"/>
        </w:rPr>
        <w:t xml:space="preserve">har været ude af stand til at føre motordrevet køretøj på betryggende måde.  </w:t>
      </w:r>
    </w:p>
    <w:p w14:paraId="765A2C4C" w14:textId="77777777" w:rsidR="00137887" w:rsidRPr="00573B96" w:rsidRDefault="00137887" w:rsidP="00573B96">
      <w:pPr>
        <w:spacing w:line="280" w:lineRule="atLeast"/>
        <w:ind w:right="-143"/>
        <w:jc w:val="left"/>
        <w:rPr>
          <w:rFonts w:cs="Times New Roman"/>
          <w:bCs/>
          <w:szCs w:val="24"/>
        </w:rPr>
      </w:pPr>
    </w:p>
    <w:p w14:paraId="489D8E8D" w14:textId="32F4D9F4"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 54, stk. 1, må et motordrevet køretøj ikke føres eller forsøges ført af nogen, hvis blod under eller efter kørslen indeholder bevidsthedspåvirkende stoffer, som er klassificeret som farlige for færdselssikkerheden, herunder hash (THC), og som ikke er indtaget i henhold til en lovlig recept. </w:t>
      </w:r>
    </w:p>
    <w:p w14:paraId="3D15CB8C" w14:textId="77777777" w:rsidR="00CA46A1" w:rsidRPr="00573B96" w:rsidRDefault="00CA46A1" w:rsidP="00573B96">
      <w:pPr>
        <w:spacing w:line="280" w:lineRule="atLeast"/>
        <w:ind w:right="-143"/>
        <w:jc w:val="left"/>
        <w:rPr>
          <w:rFonts w:cs="Times New Roman"/>
          <w:bCs/>
          <w:szCs w:val="24"/>
        </w:rPr>
      </w:pPr>
    </w:p>
    <w:p w14:paraId="5F728166" w14:textId="1B62EC73"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Spirituskørsel og narkokørsel straffes med bøde og fængsel, jf. færdselslovens § 117, stk. 1 og 2. Spiritus- og narkokørsel sanktioneres endvidere med frakendelse af førerretten, jf. §§ 125 og 126. </w:t>
      </w:r>
    </w:p>
    <w:p w14:paraId="7E5246C8" w14:textId="77777777" w:rsidR="00CA46A1" w:rsidRPr="00573B96" w:rsidRDefault="00CA46A1" w:rsidP="00573B96">
      <w:pPr>
        <w:spacing w:line="280" w:lineRule="atLeast"/>
        <w:ind w:right="-143"/>
        <w:jc w:val="left"/>
        <w:rPr>
          <w:rFonts w:cs="Times New Roman"/>
          <w:bCs/>
          <w:szCs w:val="24"/>
        </w:rPr>
      </w:pPr>
    </w:p>
    <w:p w14:paraId="46DB1F83" w14:textId="082E968D"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For så vidt angår betinget frakendelse følger det af § 125, stk. 1, nr. 5, at føreren af et motordrevet køretøj, hvortil der kræves kørekort, bortset fra lille knallert, betinget skal frakendes førerretten, hvis føreren har gjort sig skyldig i spirituskørsel. Bestemmelsen gælder, når alkoholkoncentrationen i blodet under eller efter kørslen er 1,20 promille eller derunder, eller når alkoholkoncentrationen i udåndingsluften under eller efter kørslen er 0,60 mg pr. liter luft eller derunder. </w:t>
      </w:r>
    </w:p>
    <w:p w14:paraId="0056DDE1" w14:textId="77777777" w:rsidR="00CA46A1" w:rsidRPr="00573B96" w:rsidRDefault="00CA46A1" w:rsidP="00573B96">
      <w:pPr>
        <w:spacing w:line="280" w:lineRule="atLeast"/>
        <w:ind w:right="-143"/>
        <w:jc w:val="left"/>
        <w:rPr>
          <w:rFonts w:cs="Times New Roman"/>
          <w:bCs/>
          <w:szCs w:val="24"/>
        </w:rPr>
      </w:pPr>
    </w:p>
    <w:p w14:paraId="5F54CF49" w14:textId="7C624476" w:rsidR="003B0A56" w:rsidRPr="00573B96" w:rsidRDefault="003B0A56" w:rsidP="00573B96">
      <w:pPr>
        <w:spacing w:line="280" w:lineRule="atLeast"/>
        <w:ind w:right="-143"/>
        <w:jc w:val="left"/>
        <w:rPr>
          <w:rFonts w:cs="Times New Roman"/>
          <w:bCs/>
          <w:szCs w:val="24"/>
        </w:rPr>
      </w:pPr>
      <w:r w:rsidRPr="00573B96">
        <w:rPr>
          <w:rFonts w:cs="Times New Roman"/>
          <w:bCs/>
          <w:szCs w:val="24"/>
        </w:rPr>
        <w:t>Det fremgår endvidere af § 125, stk. 1, nr. 6, at føreren betinget skal frakendes førerretten, hvis føreren overtræder § 54, stk. 1, nr. 2 eller 4, ved at have indtaget THC i et sådant omfang, at indholdet af THC i blodet under eller efter kørslen overstiger 0,003 mg THC pr. kilogram blod, men ikke 0,009 mg THC pr. kilogram blod. Bestemmelsen omfatter også kørsel med THC i blodet, hvor indtagelse er sket i henhold til en lovlig recept, men indtagelsen ikke er sket i overensstemmelse med recepten</w:t>
      </w:r>
      <w:r w:rsidR="00137887" w:rsidRPr="00573B96">
        <w:rPr>
          <w:rFonts w:cs="Times New Roman"/>
          <w:bCs/>
          <w:szCs w:val="24"/>
        </w:rPr>
        <w:t>,</w:t>
      </w:r>
      <w:r w:rsidRPr="00573B96">
        <w:rPr>
          <w:rFonts w:cs="Times New Roman"/>
          <w:bCs/>
          <w:szCs w:val="24"/>
        </w:rPr>
        <w:t xml:space="preserve"> og overtrædelse af § 54, stk. 2 (førerevnekriteriet), på grund af sygdom, mangel på søvn mv., hvor der ikke foreligger skærpende omstændigheder.</w:t>
      </w:r>
    </w:p>
    <w:p w14:paraId="29107E0F" w14:textId="77777777" w:rsidR="00CA46A1" w:rsidRPr="00573B96" w:rsidRDefault="00CA46A1" w:rsidP="00573B96">
      <w:pPr>
        <w:spacing w:line="280" w:lineRule="atLeast"/>
        <w:ind w:right="-143"/>
        <w:jc w:val="left"/>
        <w:rPr>
          <w:rFonts w:cs="Times New Roman"/>
          <w:bCs/>
          <w:szCs w:val="24"/>
        </w:rPr>
      </w:pPr>
    </w:p>
    <w:p w14:paraId="53A11689" w14:textId="24BD3046" w:rsidR="003B0A56" w:rsidRPr="00573B96" w:rsidRDefault="003B0A56" w:rsidP="00573B96">
      <w:pPr>
        <w:spacing w:line="280" w:lineRule="atLeast"/>
        <w:ind w:right="-143"/>
        <w:jc w:val="left"/>
        <w:rPr>
          <w:rFonts w:cs="Times New Roman"/>
          <w:bCs/>
          <w:szCs w:val="24"/>
        </w:rPr>
      </w:pPr>
      <w:r w:rsidRPr="00573B96">
        <w:rPr>
          <w:rFonts w:cs="Times New Roman"/>
          <w:bCs/>
          <w:szCs w:val="24"/>
        </w:rPr>
        <w:t>Hvis indholdet af THC i blodet under eller efter kørslen overstiger 0,001 mg THC pr. kilogram blod, men ikke overstiger 0,003 mg</w:t>
      </w:r>
      <w:r w:rsidR="00137887" w:rsidRPr="00573B96">
        <w:rPr>
          <w:rFonts w:cs="Times New Roman"/>
          <w:bCs/>
          <w:szCs w:val="24"/>
        </w:rPr>
        <w:t xml:space="preserve"> THC pr. kilogram blod</w:t>
      </w:r>
      <w:r w:rsidRPr="00573B96">
        <w:rPr>
          <w:rFonts w:cs="Times New Roman"/>
          <w:bCs/>
          <w:szCs w:val="24"/>
        </w:rPr>
        <w:t xml:space="preserve">, vil det medføre et klip i kørekortet, jf. § 125, stk. 2, nr. 6. </w:t>
      </w:r>
    </w:p>
    <w:p w14:paraId="16F2F1B5" w14:textId="77777777" w:rsidR="00CA46A1" w:rsidRPr="00573B96" w:rsidRDefault="00CA46A1" w:rsidP="00573B96">
      <w:pPr>
        <w:spacing w:line="280" w:lineRule="atLeast"/>
        <w:ind w:right="-143"/>
        <w:jc w:val="left"/>
        <w:rPr>
          <w:rFonts w:cs="Times New Roman"/>
          <w:bCs/>
          <w:szCs w:val="24"/>
        </w:rPr>
      </w:pPr>
    </w:p>
    <w:p w14:paraId="65EA58A3" w14:textId="78C0C92E"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For så vidt angår ubetinget frakendelse følger det af § 126, stk. 1, nr. 1, at føreren af et motordrevet køretøj, hvortil der kræves kørekort, bortset fra lille knallert, ubetinget skal frakendes førerretten, når føreren har gjort sig skyldig i spirituskørsel med en alkoholkoncentration i blodet under eller efter kørslen over 1,20 promille eller en alkoholkoncentration i udåndingsluften under eller efter kørslen over 0,60 mg pr. liter luft. </w:t>
      </w:r>
    </w:p>
    <w:p w14:paraId="1573DC1A" w14:textId="77777777" w:rsidR="00CA46A1" w:rsidRPr="00573B96" w:rsidRDefault="00CA46A1" w:rsidP="00573B96">
      <w:pPr>
        <w:spacing w:line="280" w:lineRule="atLeast"/>
        <w:ind w:right="-143"/>
        <w:jc w:val="left"/>
        <w:rPr>
          <w:rFonts w:cs="Times New Roman"/>
          <w:bCs/>
          <w:szCs w:val="24"/>
        </w:rPr>
      </w:pPr>
    </w:p>
    <w:p w14:paraId="6A57615E" w14:textId="012F7A4F"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Føreren skal endvidere ubetinget frakendes førerretten, hvis føreren har gjort sig skyldig i overtrædelse af § 54, stk. 1, nr. 1 (narkokørsel med undtagelse af THC-kørsel), eller § 54, stk. 1, nr. 2 (THC-kørsel), når indholdet af THC i blodet overstiger 0,009 mg pr. kilogram blod, eller under skærpende omstændigheder har gjort sig skyldig i overtrædelse af § 54, stk. 2 (førerevnekriteriet).   </w:t>
      </w:r>
    </w:p>
    <w:p w14:paraId="6FA646D0" w14:textId="77777777" w:rsidR="00CA46A1" w:rsidRPr="00573B96" w:rsidRDefault="00CA46A1" w:rsidP="00573B96">
      <w:pPr>
        <w:spacing w:line="280" w:lineRule="atLeast"/>
        <w:ind w:right="-143"/>
        <w:jc w:val="left"/>
        <w:rPr>
          <w:rFonts w:cs="Times New Roman"/>
          <w:bCs/>
          <w:szCs w:val="24"/>
        </w:rPr>
      </w:pPr>
    </w:p>
    <w:p w14:paraId="353F5287" w14:textId="18CF9C2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Det fremgår af § 126, stk. 2, at der i stedet for ubetinget frakendelse kan ske betinget frakendelse af førerretten, hvis der foreligger særligt formildende omstændigheder. </w:t>
      </w:r>
    </w:p>
    <w:p w14:paraId="2E38D166" w14:textId="77777777" w:rsidR="00CA46A1" w:rsidRPr="00573B96" w:rsidRDefault="00CA46A1" w:rsidP="00573B96">
      <w:pPr>
        <w:spacing w:line="280" w:lineRule="atLeast"/>
        <w:ind w:right="-143"/>
        <w:jc w:val="left"/>
        <w:rPr>
          <w:rFonts w:cs="Times New Roman"/>
          <w:bCs/>
          <w:szCs w:val="24"/>
        </w:rPr>
      </w:pPr>
    </w:p>
    <w:p w14:paraId="594DD6CA" w14:textId="58F79C6C"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straffelovens § 241, 1. pkt., straffes uagtsomt manddrab under særligt skærpende omstændigheder med fængsel indtil 10 år. Efter 2. pkt. skal det anses som en særligt skærpende omstændighed, hvis forholdet er begået i forbindelse med spirituskørsel, overtrædelse af færdselslovens § 54, stk. 1 eller 2, særlig hensynsløs kørsel, eller de groveste hastighedsovertrædelser. </w:t>
      </w:r>
    </w:p>
    <w:p w14:paraId="3DBBAA88" w14:textId="77777777" w:rsidR="00137887" w:rsidRPr="00573B96" w:rsidRDefault="00137887" w:rsidP="00573B96">
      <w:pPr>
        <w:spacing w:line="280" w:lineRule="atLeast"/>
        <w:ind w:right="-143"/>
        <w:jc w:val="left"/>
        <w:rPr>
          <w:rFonts w:cs="Times New Roman"/>
          <w:bCs/>
          <w:szCs w:val="24"/>
        </w:rPr>
      </w:pPr>
    </w:p>
    <w:p w14:paraId="1A35E3BE" w14:textId="4018A5D0" w:rsidR="003B0A56" w:rsidRPr="00573B96" w:rsidRDefault="003B0A56" w:rsidP="00573B96">
      <w:pPr>
        <w:spacing w:line="280" w:lineRule="atLeast"/>
        <w:ind w:right="-143"/>
        <w:jc w:val="left"/>
        <w:rPr>
          <w:rFonts w:cs="Times New Roman"/>
          <w:bCs/>
          <w:szCs w:val="24"/>
        </w:rPr>
      </w:pPr>
      <w:r w:rsidRPr="00573B96">
        <w:rPr>
          <w:rFonts w:cs="Times New Roman"/>
          <w:bCs/>
          <w:szCs w:val="24"/>
        </w:rPr>
        <w:t>Efter straffelovens § 249, 1, pkt., straffes uagtsom betydelig legemsbeskadigelse under særligt skærpende omstændigheder med fængsel indtil 8 år.</w:t>
      </w:r>
      <w:r w:rsidR="00137887" w:rsidRPr="00573B96">
        <w:rPr>
          <w:rFonts w:cs="Times New Roman"/>
          <w:bCs/>
          <w:szCs w:val="24"/>
        </w:rPr>
        <w:t xml:space="preserve"> </w:t>
      </w:r>
      <w:r w:rsidRPr="00573B96">
        <w:rPr>
          <w:rFonts w:cs="Times New Roman"/>
          <w:bCs/>
          <w:szCs w:val="24"/>
        </w:rPr>
        <w:t xml:space="preserve">Efter 2. pkt., skal det anses som en særligt skærpende omstændighed, hvis forholdet er begået i forbindelse med spirituskørsel, overtrædelse af færdselslovens § 54, stk. 1 eller 2, særlig hensynsløs kørsel, eller de groveste hastighedsovertrædelser. </w:t>
      </w:r>
    </w:p>
    <w:p w14:paraId="35FEE17D" w14:textId="77777777" w:rsidR="00CA46A1" w:rsidRPr="00573B96" w:rsidRDefault="00CA46A1" w:rsidP="00573B96">
      <w:pPr>
        <w:spacing w:line="280" w:lineRule="atLeast"/>
        <w:ind w:right="-143"/>
        <w:jc w:val="left"/>
        <w:rPr>
          <w:rFonts w:cs="Times New Roman"/>
          <w:bCs/>
          <w:szCs w:val="24"/>
        </w:rPr>
      </w:pPr>
    </w:p>
    <w:p w14:paraId="206EBA21" w14:textId="19BE563B"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Selvom kørslen medfører overtrædelse af straffelovens § 241, 2. pkt., om uagtsomt manddrab under særligt skærpende omstændigheder, eller § 249, 2. pkt., om uagtsom betydelig legemsbeskadigelse under særligt skærpende omstændigheder, skal spørgsmålet om førerretsfrakendelse afgøres efter færdselslovens regler. </w:t>
      </w:r>
    </w:p>
    <w:p w14:paraId="1242FCF5" w14:textId="77777777" w:rsidR="00CA46A1" w:rsidRPr="00573B96" w:rsidRDefault="00CA46A1" w:rsidP="00573B96">
      <w:pPr>
        <w:spacing w:line="280" w:lineRule="atLeast"/>
        <w:ind w:right="-143"/>
        <w:jc w:val="left"/>
        <w:rPr>
          <w:rFonts w:cs="Times New Roman"/>
          <w:bCs/>
          <w:szCs w:val="24"/>
        </w:rPr>
      </w:pPr>
    </w:p>
    <w:p w14:paraId="52E7501D" w14:textId="2E7EEC65" w:rsidR="003B0A56" w:rsidRPr="00573B96" w:rsidRDefault="003B0A56" w:rsidP="00573B96">
      <w:pPr>
        <w:spacing w:line="280" w:lineRule="atLeast"/>
        <w:ind w:right="-143"/>
        <w:jc w:val="left"/>
        <w:rPr>
          <w:rFonts w:cs="Times New Roman"/>
          <w:bCs/>
          <w:szCs w:val="24"/>
        </w:rPr>
      </w:pPr>
      <w:r w:rsidRPr="00573B96">
        <w:rPr>
          <w:rFonts w:cs="Times New Roman"/>
          <w:bCs/>
          <w:szCs w:val="24"/>
        </w:rPr>
        <w:t>Det forhold, at der i forbindelse med spirituskørsel eller narkokørsel er sket overtrædelse af straffelovens § 241, 2. pkt., eller § 249, 2. pkt., fører ikke i sig selv til, at der skal ske ubetinget frakendelse af førerretten efter færdselslovens regler. Hvis alkoholpromillen har været 1,2</w:t>
      </w:r>
      <w:r w:rsidR="00D56482" w:rsidRPr="00573B96">
        <w:rPr>
          <w:rFonts w:cs="Times New Roman"/>
          <w:bCs/>
          <w:szCs w:val="24"/>
        </w:rPr>
        <w:t>0</w:t>
      </w:r>
      <w:r w:rsidRPr="00573B96">
        <w:rPr>
          <w:rFonts w:cs="Times New Roman"/>
          <w:bCs/>
          <w:szCs w:val="24"/>
        </w:rPr>
        <w:t xml:space="preserve"> eller derunder, eller hvis THC-niveauet har været 0,009 mg pr. kilogram blod eller derunder, fører færdselslovens frakendelsesregler alene til en betinget frakendelse eller et klip i kørekortet (THC-kørsel med 0,003 mg </w:t>
      </w:r>
      <w:r w:rsidR="00D56482" w:rsidRPr="00573B96">
        <w:rPr>
          <w:rFonts w:cs="Times New Roman"/>
          <w:bCs/>
          <w:szCs w:val="24"/>
        </w:rPr>
        <w:t xml:space="preserve">THC </w:t>
      </w:r>
      <w:r w:rsidRPr="00573B96">
        <w:rPr>
          <w:rFonts w:cs="Times New Roman"/>
          <w:bCs/>
          <w:szCs w:val="24"/>
        </w:rPr>
        <w:t>pr. kilogram blod eller derunder), medmindre der foreligger sådanne konkrete omstændigheder, at det vurderes at være en overtrædelse af § 126, stk. 1, nr. 4, om særlig hensynsløs kørsel, eller eventuelt § 126, stk. 1, nr. 10 eller 11, om de groveste hastighedsovertrædelser.</w:t>
      </w:r>
    </w:p>
    <w:p w14:paraId="349529AA" w14:textId="77777777" w:rsidR="00CA46A1" w:rsidRPr="00573B96" w:rsidRDefault="00CA46A1" w:rsidP="00573B96">
      <w:pPr>
        <w:spacing w:line="280" w:lineRule="atLeast"/>
        <w:ind w:right="-143"/>
        <w:jc w:val="left"/>
        <w:rPr>
          <w:rFonts w:cs="Times New Roman"/>
          <w:bCs/>
          <w:szCs w:val="24"/>
        </w:rPr>
      </w:pPr>
    </w:p>
    <w:p w14:paraId="0EF9575B" w14:textId="66D470F2"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Der kan blandt andet henvises til Østre Landsrets dom af 22. september 2025, hvor der blev idømt en betinget frakendelse af førerretten, selvom føreren ved kørslen havde gjort sig skyldig i uagtsomt manddrab under påvirkning af THC på 0,0011 mg </w:t>
      </w:r>
      <w:r w:rsidR="00D56482" w:rsidRPr="00573B96">
        <w:rPr>
          <w:rFonts w:cs="Times New Roman"/>
          <w:bCs/>
          <w:szCs w:val="24"/>
        </w:rPr>
        <w:t xml:space="preserve">THC </w:t>
      </w:r>
      <w:r w:rsidRPr="00573B96">
        <w:rPr>
          <w:rFonts w:cs="Times New Roman"/>
          <w:bCs/>
          <w:szCs w:val="24"/>
        </w:rPr>
        <w:t xml:space="preserve">pr. kilogram blod. </w:t>
      </w:r>
    </w:p>
    <w:p w14:paraId="23D60485" w14:textId="77777777" w:rsidR="00CA46A1" w:rsidRPr="00573B96" w:rsidRDefault="00CA46A1" w:rsidP="00573B96">
      <w:pPr>
        <w:spacing w:line="280" w:lineRule="atLeast"/>
        <w:ind w:right="-143"/>
        <w:jc w:val="left"/>
        <w:rPr>
          <w:rFonts w:cs="Times New Roman"/>
          <w:bCs/>
          <w:szCs w:val="24"/>
        </w:rPr>
      </w:pPr>
    </w:p>
    <w:p w14:paraId="0E990A57" w14:textId="2FDDBE8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Der kan endvidere henvises til Højesterets dom af 27. juni 2025, hvor der ligeledes skete betinget frakendelse af førerretten, selvom føreren ved kørslen havde gjort sig skyldig i uagtsomt manddrab under påvirkning af THC på 0,0016 mg </w:t>
      </w:r>
      <w:r w:rsidR="00D56482" w:rsidRPr="00573B96">
        <w:rPr>
          <w:rFonts w:cs="Times New Roman"/>
          <w:bCs/>
          <w:szCs w:val="24"/>
        </w:rPr>
        <w:t xml:space="preserve">THC </w:t>
      </w:r>
      <w:r w:rsidRPr="00573B96">
        <w:rPr>
          <w:rFonts w:cs="Times New Roman"/>
          <w:bCs/>
          <w:szCs w:val="24"/>
        </w:rPr>
        <w:t xml:space="preserve">pr. kilogram blod. </w:t>
      </w:r>
    </w:p>
    <w:p w14:paraId="7147379E" w14:textId="77777777" w:rsidR="00CA46A1" w:rsidRPr="00573B96" w:rsidRDefault="00CA46A1" w:rsidP="00573B96">
      <w:pPr>
        <w:spacing w:line="280" w:lineRule="atLeast"/>
        <w:ind w:right="-143"/>
        <w:jc w:val="left"/>
        <w:rPr>
          <w:rFonts w:cs="Times New Roman"/>
          <w:bCs/>
          <w:szCs w:val="24"/>
        </w:rPr>
      </w:pPr>
    </w:p>
    <w:p w14:paraId="202E5BA3" w14:textId="64782C45"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I begge sager var niveauet af THC under den sanktionsmæssige grænse for betinget frakendelse og ville derfor isoleret set have medført et klip i kørekortet. Den betingede frakendelse skete således i medfør af § 125, stk. 1, nr. 1, der omhandler tilsidesættelse af væsentlige hensyn til færdselssikkerheden. </w:t>
      </w:r>
    </w:p>
    <w:p w14:paraId="754B3D78" w14:textId="77777777" w:rsidR="00CA46A1" w:rsidRPr="00573B96" w:rsidRDefault="00CA46A1" w:rsidP="00573B96">
      <w:pPr>
        <w:spacing w:line="280" w:lineRule="atLeast"/>
        <w:ind w:right="-143"/>
        <w:jc w:val="left"/>
        <w:rPr>
          <w:rFonts w:cs="Times New Roman"/>
          <w:bCs/>
          <w:szCs w:val="24"/>
        </w:rPr>
      </w:pPr>
    </w:p>
    <w:p w14:paraId="2D7E4040" w14:textId="7DA1D623" w:rsidR="003B0A56" w:rsidRPr="00573B96" w:rsidRDefault="003B0A56" w:rsidP="00573B96">
      <w:pPr>
        <w:spacing w:line="280" w:lineRule="atLeast"/>
        <w:ind w:right="-143"/>
        <w:jc w:val="left"/>
        <w:rPr>
          <w:rFonts w:cs="Times New Roman"/>
          <w:bCs/>
          <w:szCs w:val="24"/>
        </w:rPr>
      </w:pPr>
      <w:bookmarkStart w:id="133" w:name="_Hlk220019990"/>
      <w:r w:rsidRPr="00573B96">
        <w:rPr>
          <w:rFonts w:cs="Times New Roman"/>
          <w:bCs/>
          <w:szCs w:val="24"/>
        </w:rPr>
        <w:t xml:space="preserve">Justitsministeren har den 27. november 2025 fremsat lovforslag nr. L 83 om ændring af straffeloven, retsplejeloven, lov om fuldbyrdelse af straf m.v. </w:t>
      </w:r>
      <w:r w:rsidR="00D56482" w:rsidRPr="00573B96">
        <w:rPr>
          <w:rFonts w:cs="Times New Roman"/>
          <w:bCs/>
          <w:szCs w:val="24"/>
        </w:rPr>
        <w:t xml:space="preserve">og forskellige andre love. </w:t>
      </w:r>
      <w:r w:rsidRPr="00573B96">
        <w:rPr>
          <w:rFonts w:cs="Times New Roman"/>
          <w:bCs/>
          <w:szCs w:val="24"/>
        </w:rPr>
        <w:t xml:space="preserve">Hvis lovforslaget vedtages, vil lovændringerne træde i kraft 1. februar 2026. </w:t>
      </w:r>
    </w:p>
    <w:p w14:paraId="5F73AE64" w14:textId="77777777" w:rsidR="003B0A56" w:rsidRPr="00573B96" w:rsidRDefault="003B0A56" w:rsidP="00573B96">
      <w:pPr>
        <w:spacing w:line="280" w:lineRule="atLeast"/>
        <w:ind w:right="-143"/>
        <w:jc w:val="left"/>
        <w:rPr>
          <w:rFonts w:cs="Times New Roman"/>
          <w:bCs/>
          <w:szCs w:val="24"/>
        </w:rPr>
      </w:pPr>
    </w:p>
    <w:p w14:paraId="73F615AE"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Med lovforslaget foreslås der indsat en ny bestemmelse i straffeloven om trafikdrab som § 241 a.  Efter den foreslåede bestemmelse vil den, der uagtsomt forvolder en andens død i forbindelse med spirituskørsel, overtrædelse af færdselslovens § 54, stk. 1 eller 2, særligt hensynsløs kørsel eller de groveste hastighedsovertrædelser, skulle straffes for trafikdrab med fængsel indtil 10 år. Det forudsættes i den forbindelse, at strafniveauet vil skulle skærpes med 33 pct. i forhold til det gældende strafniveau efter § 241, 2. pkt. </w:t>
      </w:r>
    </w:p>
    <w:p w14:paraId="42AAAEDE" w14:textId="77777777" w:rsidR="003B0A56" w:rsidRPr="00573B96" w:rsidRDefault="003B0A56" w:rsidP="00573B96">
      <w:pPr>
        <w:spacing w:line="280" w:lineRule="atLeast"/>
        <w:ind w:right="-143"/>
        <w:jc w:val="left"/>
        <w:rPr>
          <w:rFonts w:cs="Times New Roman"/>
          <w:bCs/>
          <w:szCs w:val="24"/>
        </w:rPr>
      </w:pPr>
    </w:p>
    <w:p w14:paraId="290361D4"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Det foreslås for det andet at indsætte et nyt stk. 2 i straffelovens § 249, hvorefter det anses som en særligt skærpende omstændighed efter stk. 1, hvis forholdet er begået i forbindelse med spirituskørsel, overtrædelse af færdselslovens § 54, stk. 1 eller 2, særligt hensynsløs kørsel eller de groveste hastighedsovertrædelser. Det forudsættes i den forbindelse, at strafniveauet vil skulle skærpes med 33 pct. i forhold til det gældende strafniveau efter § 249, 2. pkt., der som konsekvens af det nye stk. 2 foreslås ophævet. </w:t>
      </w:r>
    </w:p>
    <w:bookmarkEnd w:id="133"/>
    <w:p w14:paraId="07564E24" w14:textId="77777777" w:rsidR="003B0A56" w:rsidRPr="00573B96" w:rsidRDefault="003B0A56" w:rsidP="00573B96">
      <w:pPr>
        <w:spacing w:line="280" w:lineRule="atLeast"/>
        <w:ind w:right="-143"/>
        <w:jc w:val="left"/>
        <w:rPr>
          <w:rFonts w:cs="Times New Roman"/>
          <w:b/>
          <w:szCs w:val="24"/>
        </w:rPr>
      </w:pPr>
    </w:p>
    <w:p w14:paraId="15006A70"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2.1.2. Transportministeriets overvejelser</w:t>
      </w:r>
    </w:p>
    <w:p w14:paraId="4BFFF65F" w14:textId="44866324" w:rsidR="003B0A56" w:rsidRPr="00573B96" w:rsidRDefault="0037151F" w:rsidP="00573B96">
      <w:pPr>
        <w:spacing w:line="280" w:lineRule="atLeast"/>
        <w:ind w:right="-143"/>
        <w:jc w:val="left"/>
        <w:rPr>
          <w:rFonts w:cs="Times New Roman"/>
          <w:bCs/>
          <w:szCs w:val="24"/>
        </w:rPr>
      </w:pPr>
      <w:r w:rsidRPr="00573B96">
        <w:rPr>
          <w:rFonts w:cs="Times New Roman"/>
          <w:bCs/>
          <w:szCs w:val="24"/>
        </w:rPr>
        <w:t>Som anført i lovforslagets indledning under pkt. 1, hører t</w:t>
      </w:r>
      <w:r w:rsidR="003B0A56" w:rsidRPr="00573B96">
        <w:rPr>
          <w:rFonts w:cs="Times New Roman"/>
          <w:bCs/>
          <w:szCs w:val="24"/>
        </w:rPr>
        <w:t xml:space="preserve">ilfælde af spiritus- og narkokørsel, som har medført meget alvorlige konsekvenser i form af dræbte eller alvorligt tilskadekomne, til blandt de mest triste og meningsløse færdselssager. I visse tilfælde rammer konsekvenserne ikke blot føreren selv, men også helt tilfældige mennesker, og der kan derfor ikke være tvivl om, at spiritus- og narkokørsel er ganske utilstedeligt. </w:t>
      </w:r>
    </w:p>
    <w:p w14:paraId="31A007C3" w14:textId="77777777" w:rsidR="00CA46A1" w:rsidRPr="00573B96" w:rsidRDefault="00CA46A1" w:rsidP="00573B96">
      <w:pPr>
        <w:spacing w:line="280" w:lineRule="atLeast"/>
        <w:ind w:right="-143"/>
        <w:jc w:val="left"/>
        <w:rPr>
          <w:rFonts w:cs="Times New Roman"/>
          <w:bCs/>
          <w:szCs w:val="24"/>
        </w:rPr>
      </w:pPr>
    </w:p>
    <w:p w14:paraId="359B7061" w14:textId="628208FF"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I tilfælde, der samtidig udgør en overtrædelse af straffelovens bestemmelser om uagtsomt manddrab under særligt skærpende omstændigheder (§ 241, 2. pkt.) eller uagtsom betydelig legemsbeskadigelse under særligt skærpende omstændigheder (§ 249, 2. pkt.), idømmes føreren derfor også ganske langvarige fængselsstraffe for overtrædelse af straffeloven. </w:t>
      </w:r>
    </w:p>
    <w:p w14:paraId="0C03185D" w14:textId="77777777" w:rsidR="00CA46A1" w:rsidRPr="00573B96" w:rsidRDefault="00CA46A1" w:rsidP="00573B96">
      <w:pPr>
        <w:spacing w:line="280" w:lineRule="atLeast"/>
        <w:ind w:right="-143"/>
        <w:jc w:val="left"/>
        <w:rPr>
          <w:rFonts w:cs="Times New Roman"/>
          <w:bCs/>
          <w:szCs w:val="24"/>
        </w:rPr>
      </w:pPr>
    </w:p>
    <w:p w14:paraId="27331939" w14:textId="6356979C"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Der forekommer dog tilfælde af sådanne sager, hvor færdselslovens frakendelsesregler alene kan føre til betinget frakendelse af førerretten eller klip i kørekortet. </w:t>
      </w:r>
    </w:p>
    <w:p w14:paraId="0552DF94" w14:textId="77777777" w:rsidR="00CA46A1" w:rsidRPr="00573B96" w:rsidRDefault="00CA46A1" w:rsidP="00573B96">
      <w:pPr>
        <w:spacing w:line="280" w:lineRule="atLeast"/>
        <w:ind w:right="-143"/>
        <w:jc w:val="left"/>
        <w:rPr>
          <w:rFonts w:cs="Times New Roman"/>
          <w:bCs/>
          <w:szCs w:val="24"/>
        </w:rPr>
      </w:pPr>
    </w:p>
    <w:p w14:paraId="6E5B6D55" w14:textId="6DCA4F58"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Færdselslovens frakendelsesmæssige sanktionssystem er generelt tilrettelagt med henblik på at afspejle både overtrædelsens grovhed og den færdselssikkerhedsmæssige risiko. Det er dog Transportministeriets opfattelse, at der ikke altid er den nødvendige sammenhæng mellem de fængselsstraffe, der idømmes for overtrædelse af straffelovens bestemmelser om uagtsomt manddrab under særligt skærpende omstændigheder og uagtsom betydelig legemsbeskadigelse under særligt skærpende omstændigheder, og de frakendelsesmæssige sanktioner, der i de pågældende tilfælde følger af færdselsloven. </w:t>
      </w:r>
    </w:p>
    <w:p w14:paraId="62436B8A" w14:textId="77777777" w:rsidR="00CA46A1" w:rsidRPr="00573B96" w:rsidRDefault="00CA46A1" w:rsidP="00573B96">
      <w:pPr>
        <w:spacing w:line="280" w:lineRule="atLeast"/>
        <w:ind w:right="-143"/>
        <w:jc w:val="left"/>
        <w:rPr>
          <w:rFonts w:cs="Times New Roman"/>
          <w:bCs/>
          <w:szCs w:val="24"/>
        </w:rPr>
      </w:pPr>
    </w:p>
    <w:p w14:paraId="447E369D" w14:textId="5757E6F0"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Transportministeriet finder derfor, at en fører, der overtræder færdselslovens regler om spiritus- eller narkokørsel og uagtsomt forvolder en anden persons død eller påfører andre betydelig legemsbeskadigelse, som det klare udgangspunkt altid bør sanktioneres med en ubetinget frakendelse af førerretten, uanset promillens størrelse eller mængden af euforiserende stoffer i blodet. </w:t>
      </w:r>
    </w:p>
    <w:p w14:paraId="330A681D" w14:textId="77777777" w:rsidR="00CA46A1" w:rsidRPr="00573B96" w:rsidRDefault="00CA46A1" w:rsidP="00573B96">
      <w:pPr>
        <w:spacing w:line="280" w:lineRule="atLeast"/>
        <w:ind w:right="-143"/>
        <w:jc w:val="left"/>
        <w:rPr>
          <w:rFonts w:cs="Times New Roman"/>
          <w:bCs/>
          <w:szCs w:val="24"/>
        </w:rPr>
      </w:pPr>
    </w:p>
    <w:p w14:paraId="3901EBB1" w14:textId="4F816B9E" w:rsidR="003B0A56" w:rsidRPr="00573B96" w:rsidRDefault="003B0A56" w:rsidP="00573B96">
      <w:pPr>
        <w:spacing w:line="280" w:lineRule="atLeast"/>
        <w:ind w:right="-143"/>
        <w:jc w:val="left"/>
        <w:rPr>
          <w:rFonts w:cs="Times New Roman"/>
          <w:bCs/>
          <w:szCs w:val="24"/>
        </w:rPr>
      </w:pPr>
      <w:r w:rsidRPr="00573B96">
        <w:rPr>
          <w:rFonts w:cs="Times New Roman"/>
          <w:bCs/>
          <w:szCs w:val="24"/>
        </w:rPr>
        <w:t>Herved vil der blive skabt en bedre sammenhæng mellem straffen for overtrædelse af straffelovens regler og færdselslovens frakendelsesmæssige sanktioner i de tilfælde af spiritus- og narkokørsel, der har medført de mest alvorlige konsekvenser. Skærpelsen af de frakendelsesmæssige sanktioner vil samtidig være med til at understrege, at spiritus- og narkokørsel er særdeles forkasteligt.</w:t>
      </w:r>
    </w:p>
    <w:p w14:paraId="77EFFBD2" w14:textId="77777777" w:rsidR="003B0A56" w:rsidRPr="00573B96" w:rsidRDefault="003B0A56" w:rsidP="00573B96">
      <w:pPr>
        <w:spacing w:line="280" w:lineRule="atLeast"/>
        <w:ind w:right="-143"/>
        <w:jc w:val="left"/>
        <w:rPr>
          <w:rFonts w:cs="Times New Roman"/>
          <w:bCs/>
          <w:szCs w:val="24"/>
        </w:rPr>
      </w:pPr>
    </w:p>
    <w:p w14:paraId="19BBCA28"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2.1.3. Den foreslåede ordning</w:t>
      </w:r>
    </w:p>
    <w:p w14:paraId="544726BD"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Det foreslås at ændre færdselslovens § 126, stk. 1, nr. 1, således at der skal ske ubetinget frakendelse af førerretten i tilfælde, hvor føreren har gjort sig skyldig i spirituskørsel, hvis forholdet udgør en samtidig overtrædelse af straffelovens § 241, 2. pkt., eller § 249, 2. pkt. </w:t>
      </w:r>
    </w:p>
    <w:p w14:paraId="53DD3309" w14:textId="77777777" w:rsidR="00CA46A1" w:rsidRPr="00573B96" w:rsidRDefault="00CA46A1" w:rsidP="00573B96">
      <w:pPr>
        <w:spacing w:line="280" w:lineRule="atLeast"/>
        <w:ind w:right="-143"/>
        <w:jc w:val="left"/>
        <w:rPr>
          <w:rFonts w:cs="Times New Roman"/>
          <w:bCs/>
          <w:szCs w:val="24"/>
        </w:rPr>
      </w:pPr>
    </w:p>
    <w:p w14:paraId="48A60211" w14:textId="24889FA6"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Den foreslåede ændring </w:t>
      </w:r>
      <w:r w:rsidR="00D56482" w:rsidRPr="00573B96">
        <w:rPr>
          <w:rFonts w:cs="Times New Roman"/>
          <w:bCs/>
          <w:szCs w:val="24"/>
        </w:rPr>
        <w:t xml:space="preserve">vil </w:t>
      </w:r>
      <w:r w:rsidRPr="00573B96">
        <w:rPr>
          <w:rFonts w:cs="Times New Roman"/>
          <w:bCs/>
          <w:szCs w:val="24"/>
        </w:rPr>
        <w:t xml:space="preserve">medføre, at spirituskørsel med en alkoholkoncentration i blodet på over henholdsvis 0,50 </w:t>
      </w:r>
      <w:r w:rsidR="00D56482" w:rsidRPr="00573B96">
        <w:rPr>
          <w:rFonts w:cs="Times New Roman"/>
          <w:bCs/>
          <w:szCs w:val="24"/>
        </w:rPr>
        <w:t xml:space="preserve">promille </w:t>
      </w:r>
      <w:r w:rsidRPr="00573B96">
        <w:rPr>
          <w:rFonts w:cs="Times New Roman"/>
          <w:bCs/>
          <w:szCs w:val="24"/>
        </w:rPr>
        <w:t>(§ 53, stk. 1) og 0,20</w:t>
      </w:r>
      <w:r w:rsidR="0044306B" w:rsidRPr="00573B96">
        <w:rPr>
          <w:rFonts w:cs="Times New Roman"/>
          <w:bCs/>
          <w:szCs w:val="24"/>
        </w:rPr>
        <w:t xml:space="preserve"> promille</w:t>
      </w:r>
      <w:r w:rsidRPr="00573B96">
        <w:rPr>
          <w:rFonts w:cs="Times New Roman"/>
          <w:bCs/>
          <w:szCs w:val="24"/>
        </w:rPr>
        <w:t xml:space="preserve"> (§ 53, stk. 2), men ikke over 1,20 promille, som under normale omstændigheder vil medføre en betinget frakendelse af førerretten efter § 125, stk. 1, nr. 5, fremover vil skulle sanktioneres med ubetinget frakendelse, når forholdet samtidig udgør en overtrædelse af straffelovens § 241, 2. pkt., eller § 249, 2. pkt.</w:t>
      </w:r>
    </w:p>
    <w:p w14:paraId="23AA251D" w14:textId="77777777" w:rsidR="003B0A56" w:rsidRPr="00573B96" w:rsidRDefault="003B0A56" w:rsidP="00573B96">
      <w:pPr>
        <w:spacing w:line="280" w:lineRule="atLeast"/>
        <w:ind w:right="-143"/>
        <w:jc w:val="left"/>
        <w:rPr>
          <w:rFonts w:cs="Times New Roman"/>
          <w:bCs/>
          <w:szCs w:val="24"/>
        </w:rPr>
      </w:pPr>
    </w:p>
    <w:p w14:paraId="515E8254"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Det samme vil efter den foreslåede bestemmelse gøre sig gældende for den, der fører et motordrevet køretøj efter at have indtaget spiritus i et sådant omfang, at den pågældende ikke kan føre køretøjet på betryggende måde, jf. § 53, stk. 3, hvis forholdet udgør en samtidig overtrædelse af straffelovens § 241, 2. pkt., eller § 249, 2. pkt.</w:t>
      </w:r>
    </w:p>
    <w:p w14:paraId="3EC959B9" w14:textId="77777777" w:rsidR="00CA46A1" w:rsidRPr="00573B96" w:rsidRDefault="00CA46A1" w:rsidP="00573B96">
      <w:pPr>
        <w:spacing w:line="280" w:lineRule="atLeast"/>
        <w:ind w:right="-143"/>
        <w:jc w:val="left"/>
        <w:rPr>
          <w:rFonts w:cs="Times New Roman"/>
          <w:bCs/>
          <w:szCs w:val="24"/>
        </w:rPr>
      </w:pPr>
    </w:p>
    <w:p w14:paraId="31BAC495" w14:textId="67FBB7DC" w:rsidR="003B0A56" w:rsidRPr="00573B96" w:rsidRDefault="003B0A56" w:rsidP="00573B96">
      <w:pPr>
        <w:spacing w:line="280" w:lineRule="atLeast"/>
        <w:ind w:right="-143"/>
        <w:jc w:val="left"/>
        <w:rPr>
          <w:rFonts w:cs="Times New Roman"/>
          <w:bCs/>
          <w:szCs w:val="24"/>
        </w:rPr>
      </w:pPr>
      <w:r w:rsidRPr="00573B96">
        <w:rPr>
          <w:rFonts w:cs="Times New Roman"/>
          <w:bCs/>
          <w:szCs w:val="24"/>
        </w:rPr>
        <w:t>Det foreslås endvidere at ændre færdselslovens § 126, stk. 1, nr.  2, således at der skal ske ubetinget frakendelse af førerretten, når føreren har gjort sig skyldig i en overtrædelse af § 54, stk. 1, nr. 2-4, eller § 54, stk. 2, hvis forholdet udgør en samtidig overtrædelse af straffelovens § 241, 2. pkt., eller § 249, 2. pkt.</w:t>
      </w:r>
    </w:p>
    <w:p w14:paraId="59A05810" w14:textId="77777777" w:rsidR="00CA46A1" w:rsidRPr="00573B96" w:rsidRDefault="00CA46A1" w:rsidP="00573B96">
      <w:pPr>
        <w:spacing w:line="280" w:lineRule="atLeast"/>
        <w:ind w:right="-143"/>
        <w:jc w:val="left"/>
        <w:rPr>
          <w:rFonts w:cs="Times New Roman"/>
          <w:bCs/>
          <w:szCs w:val="24"/>
        </w:rPr>
      </w:pPr>
    </w:p>
    <w:p w14:paraId="65144977" w14:textId="391B546F"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Den foreslåede ændring </w:t>
      </w:r>
      <w:r w:rsidR="0044306B" w:rsidRPr="00573B96">
        <w:rPr>
          <w:rFonts w:cs="Times New Roman"/>
          <w:bCs/>
          <w:szCs w:val="24"/>
        </w:rPr>
        <w:t xml:space="preserve">vil </w:t>
      </w:r>
      <w:r w:rsidRPr="00573B96">
        <w:rPr>
          <w:rFonts w:cs="Times New Roman"/>
          <w:bCs/>
          <w:szCs w:val="24"/>
        </w:rPr>
        <w:t>medføre, at kørsel efter indtagelse af THC i et sådant omfang, at indholdet i blodet overstiger 0,001 mg THC pr. kilogram blod, men ikke overstiger 0,009 mg THC pr. kilogram blod, som efter normale omstændigheder vil medføre et klip i kørekortet eller en betinget frakendelse af førerretten efter § 125, stk. 1, nr. 6, og stk. 2, nr. 6, fremover vil skulle sanktioneres med ubetinget frakendelse, når forholdet samtidig udgør en overtrædelse af straffelovens § 241, 2. pkt., eller § 249, 2. pkt.</w:t>
      </w:r>
    </w:p>
    <w:p w14:paraId="1D1FF9BC" w14:textId="77777777" w:rsidR="00CA46A1" w:rsidRPr="00573B96" w:rsidRDefault="00CA46A1" w:rsidP="00573B96">
      <w:pPr>
        <w:spacing w:line="280" w:lineRule="atLeast"/>
        <w:ind w:right="-143"/>
        <w:jc w:val="left"/>
        <w:rPr>
          <w:rFonts w:cs="Times New Roman"/>
          <w:bCs/>
          <w:szCs w:val="24"/>
        </w:rPr>
      </w:pPr>
    </w:p>
    <w:p w14:paraId="5653430E" w14:textId="775F467C" w:rsidR="003B0A56" w:rsidRPr="00573B96" w:rsidRDefault="003B0A56" w:rsidP="00573B96">
      <w:pPr>
        <w:spacing w:line="280" w:lineRule="atLeast"/>
        <w:ind w:right="-143"/>
        <w:jc w:val="left"/>
        <w:rPr>
          <w:rFonts w:cs="Times New Roman"/>
          <w:bCs/>
          <w:szCs w:val="24"/>
        </w:rPr>
      </w:pPr>
      <w:r w:rsidRPr="00573B96">
        <w:rPr>
          <w:rFonts w:cs="Times New Roman"/>
          <w:bCs/>
          <w:szCs w:val="24"/>
        </w:rPr>
        <w:t>Den foreslåede bestemmelse vil endvidere medføre, at der vil skulle ske ubetinget frakendelse af førerretten ved overtrædelse af førerevnekriteriet i § 54, stk. 2, hvis forholdet udgør en samtidig overtrædelse af straffelovens § 241, 2. pkt., eller § 249, 2. pkt.</w:t>
      </w:r>
    </w:p>
    <w:p w14:paraId="4E2ED202" w14:textId="77777777" w:rsidR="00CA46A1" w:rsidRPr="00573B96" w:rsidRDefault="00CA46A1" w:rsidP="00573B96">
      <w:pPr>
        <w:spacing w:line="280" w:lineRule="atLeast"/>
        <w:ind w:right="-143"/>
        <w:jc w:val="left"/>
        <w:rPr>
          <w:rFonts w:cs="Times New Roman"/>
          <w:bCs/>
          <w:szCs w:val="24"/>
        </w:rPr>
      </w:pPr>
    </w:p>
    <w:p w14:paraId="53404E58" w14:textId="6EBC7058" w:rsidR="003B0A56" w:rsidRPr="00573B96" w:rsidRDefault="003B0A56" w:rsidP="00573B96">
      <w:pPr>
        <w:spacing w:line="280" w:lineRule="atLeast"/>
        <w:ind w:right="-143"/>
        <w:jc w:val="left"/>
        <w:rPr>
          <w:rFonts w:cs="Times New Roman"/>
          <w:bCs/>
          <w:szCs w:val="24"/>
        </w:rPr>
      </w:pPr>
      <w:r w:rsidRPr="00573B96">
        <w:rPr>
          <w:rFonts w:cs="Times New Roman"/>
          <w:bCs/>
          <w:szCs w:val="24"/>
        </w:rPr>
        <w:t>Efter de gældende regler i § 128, stk. 2, vil frakendelsen skulle udmåles til mindst 3 år. Domstolene vil fortsat kunne udmåle en længere frakendelsesperiode under hensyn til de konkrete omstændigheder ved sagen, herunder skadevirkningerne ved kørslen. Det forudsættes således, at de pågældende sager behandles i overensstemmelse med gældende praksis for ubetinget frakendelse af førerretten ved spiritus- og narkokørsel.</w:t>
      </w:r>
    </w:p>
    <w:p w14:paraId="3171E762" w14:textId="77777777" w:rsidR="003B0A56" w:rsidRPr="00573B96" w:rsidRDefault="003B0A56" w:rsidP="00573B96">
      <w:pPr>
        <w:spacing w:line="280" w:lineRule="atLeast"/>
        <w:ind w:right="-143"/>
        <w:jc w:val="left"/>
        <w:rPr>
          <w:rFonts w:cs="Times New Roman"/>
          <w:bCs/>
          <w:szCs w:val="24"/>
        </w:rPr>
      </w:pPr>
    </w:p>
    <w:p w14:paraId="650A7323" w14:textId="79C6598A" w:rsidR="003B0A56" w:rsidRPr="00573B96" w:rsidRDefault="003B0A56" w:rsidP="00573B96">
      <w:pPr>
        <w:spacing w:line="280" w:lineRule="atLeast"/>
        <w:ind w:right="-143"/>
        <w:jc w:val="left"/>
        <w:rPr>
          <w:rFonts w:cs="Times New Roman"/>
          <w:b/>
          <w:szCs w:val="24"/>
        </w:rPr>
      </w:pPr>
      <w:r w:rsidRPr="00573B96">
        <w:rPr>
          <w:rFonts w:cs="Times New Roman"/>
          <w:b/>
          <w:szCs w:val="24"/>
        </w:rPr>
        <w:t>2.2. Skærpelse af frakendelsesperioden ved særlig hensynsløs kørsel</w:t>
      </w:r>
    </w:p>
    <w:p w14:paraId="4965F326" w14:textId="77777777" w:rsidR="003B0A56" w:rsidRPr="00573B96" w:rsidRDefault="003B0A56" w:rsidP="00573B96">
      <w:pPr>
        <w:spacing w:line="280" w:lineRule="atLeast"/>
        <w:ind w:right="-143"/>
        <w:jc w:val="left"/>
        <w:rPr>
          <w:rFonts w:cs="Times New Roman"/>
          <w:b/>
          <w:szCs w:val="24"/>
        </w:rPr>
      </w:pPr>
    </w:p>
    <w:p w14:paraId="07009DD5" w14:textId="0B5F8C11" w:rsidR="00CA46A1" w:rsidRPr="00573B96" w:rsidRDefault="003B0A56" w:rsidP="00573B96">
      <w:pPr>
        <w:spacing w:line="280" w:lineRule="atLeast"/>
        <w:ind w:right="-143"/>
        <w:jc w:val="left"/>
        <w:rPr>
          <w:rFonts w:cs="Times New Roman"/>
          <w:bCs/>
          <w:i/>
          <w:iCs/>
          <w:szCs w:val="24"/>
        </w:rPr>
      </w:pPr>
      <w:r w:rsidRPr="00573B96">
        <w:rPr>
          <w:rFonts w:cs="Times New Roman"/>
          <w:bCs/>
          <w:i/>
          <w:iCs/>
          <w:szCs w:val="24"/>
        </w:rPr>
        <w:t>2.2.1. Gældende ret</w:t>
      </w:r>
    </w:p>
    <w:p w14:paraId="34AC6007" w14:textId="77777777" w:rsidR="00DA5191"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w:t>
      </w:r>
      <w:r w:rsidR="00586A37" w:rsidRPr="00573B96">
        <w:rPr>
          <w:rFonts w:cs="Times New Roman"/>
          <w:bCs/>
          <w:szCs w:val="24"/>
        </w:rPr>
        <w:t xml:space="preserve">færdselslovens </w:t>
      </w:r>
      <w:r w:rsidRPr="00573B96">
        <w:rPr>
          <w:rFonts w:cs="Times New Roman"/>
          <w:bCs/>
          <w:szCs w:val="24"/>
        </w:rPr>
        <w:t>§ 126, stk. 1, nr. 4, skal der ske ubetinget frakendelse af førerretten</w:t>
      </w:r>
      <w:r w:rsidR="00586A37" w:rsidRPr="00573B96">
        <w:rPr>
          <w:rFonts w:cs="Times New Roman"/>
          <w:bCs/>
          <w:szCs w:val="24"/>
        </w:rPr>
        <w:t>,</w:t>
      </w:r>
      <w:r w:rsidRPr="00573B96">
        <w:rPr>
          <w:rFonts w:cs="Times New Roman"/>
          <w:bCs/>
          <w:szCs w:val="24"/>
        </w:rPr>
        <w:t xml:space="preserve"> hvis føreren forsætligt har voldt skade på andres person eller ting, forsætligt har fremkaldt nærliggende fare herfor eller i øvrigt har ført motordrevet køretøj på særligt hensynsløs måde (særlig hensynsløs kørsel). </w:t>
      </w:r>
    </w:p>
    <w:p w14:paraId="5FB31030" w14:textId="77777777" w:rsidR="00586A37" w:rsidRPr="00573B96" w:rsidRDefault="00586A37" w:rsidP="00573B96">
      <w:pPr>
        <w:spacing w:line="280" w:lineRule="atLeast"/>
        <w:ind w:right="-143"/>
        <w:jc w:val="left"/>
        <w:rPr>
          <w:rFonts w:cs="Times New Roman"/>
          <w:bCs/>
          <w:szCs w:val="24"/>
        </w:rPr>
      </w:pPr>
    </w:p>
    <w:p w14:paraId="68C0A6F4" w14:textId="6C6A06E2" w:rsidR="003B0A56" w:rsidRPr="00573B96" w:rsidRDefault="003B0A56" w:rsidP="00573B96">
      <w:pPr>
        <w:spacing w:line="280" w:lineRule="atLeast"/>
        <w:ind w:right="-143"/>
        <w:jc w:val="left"/>
        <w:rPr>
          <w:rFonts w:cs="Times New Roman"/>
          <w:bCs/>
          <w:szCs w:val="24"/>
        </w:rPr>
      </w:pPr>
      <w:r w:rsidRPr="00573B96">
        <w:rPr>
          <w:rFonts w:cs="Times New Roman"/>
          <w:bCs/>
          <w:szCs w:val="24"/>
        </w:rPr>
        <w:t>Det centrale for anvendelsesområdet for § 126, stk. 1, nr. 4, er, at bestemmelsen skal anvendes ved kørsel, der er karakteriseret ved, at føreren bevidst sætter sig ud over hensynet til andre traf</w:t>
      </w:r>
      <w:r w:rsidR="00584E9E" w:rsidRPr="00573B96">
        <w:rPr>
          <w:rFonts w:cs="Times New Roman"/>
          <w:bCs/>
          <w:szCs w:val="24"/>
        </w:rPr>
        <w:t>i</w:t>
      </w:r>
      <w:r w:rsidRPr="00573B96">
        <w:rPr>
          <w:rFonts w:cs="Times New Roman"/>
          <w:bCs/>
          <w:szCs w:val="24"/>
        </w:rPr>
        <w:t xml:space="preserve">kanters sikkerhed, således at der stilles krav om en kvalificeret form for tilregnelse. </w:t>
      </w:r>
    </w:p>
    <w:p w14:paraId="06F49BA3" w14:textId="7103777B" w:rsidR="00584E9E" w:rsidRPr="00573B96" w:rsidRDefault="00584E9E" w:rsidP="00573B96">
      <w:pPr>
        <w:spacing w:line="280" w:lineRule="atLeast"/>
        <w:ind w:right="-143"/>
        <w:jc w:val="left"/>
        <w:rPr>
          <w:rFonts w:cs="Times New Roman"/>
          <w:bCs/>
          <w:szCs w:val="24"/>
        </w:rPr>
      </w:pPr>
    </w:p>
    <w:p w14:paraId="31A6F0A0" w14:textId="2DE2793D" w:rsidR="00584E9E" w:rsidRPr="00573B96" w:rsidRDefault="00584E9E" w:rsidP="00573B96">
      <w:pPr>
        <w:spacing w:line="280" w:lineRule="atLeast"/>
        <w:ind w:right="-143"/>
        <w:jc w:val="left"/>
        <w:rPr>
          <w:rFonts w:cs="Times New Roman"/>
          <w:bCs/>
          <w:szCs w:val="24"/>
        </w:rPr>
      </w:pPr>
      <w:r w:rsidRPr="00573B96">
        <w:rPr>
          <w:rFonts w:cs="Times New Roman"/>
          <w:bCs/>
          <w:szCs w:val="24"/>
        </w:rPr>
        <w:t>Ved lov nr. 534 af 27. marts 2021 blev der indført en række skærpede sanktioner for vanvidskørsel. Det fremgår af lovforslagets bemærkninger, jf. Folketingstidende 2020-21, tillæg A, L 127 som fremsat, side 4, at særlig hensynsløs kørsel omfattet af § 126, stk. 1, nr. 4, jf. § 118, stk. 10 (nu stk. 13), hører under afgrænsningen af de færdselsovertrædelser, som betegnes som vanvidskørsel.</w:t>
      </w:r>
    </w:p>
    <w:p w14:paraId="2D0B9D86" w14:textId="77777777" w:rsidR="00584E9E" w:rsidRPr="00573B96" w:rsidRDefault="00584E9E" w:rsidP="00573B96">
      <w:pPr>
        <w:spacing w:line="280" w:lineRule="atLeast"/>
        <w:ind w:right="-143"/>
        <w:jc w:val="left"/>
        <w:rPr>
          <w:rFonts w:cs="Times New Roman"/>
          <w:bCs/>
          <w:szCs w:val="24"/>
        </w:rPr>
      </w:pPr>
    </w:p>
    <w:p w14:paraId="41D1DD0B" w14:textId="1E60BB78"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 128, stk. 1, </w:t>
      </w:r>
      <w:r w:rsidR="00B12770" w:rsidRPr="00573B96">
        <w:rPr>
          <w:rFonts w:cs="Times New Roman"/>
          <w:bCs/>
          <w:szCs w:val="24"/>
        </w:rPr>
        <w:t xml:space="preserve">sker ubetinget frakendelse af førerretten for </w:t>
      </w:r>
      <w:r w:rsidRPr="00573B96">
        <w:rPr>
          <w:rFonts w:cs="Times New Roman"/>
          <w:bCs/>
          <w:szCs w:val="24"/>
        </w:rPr>
        <w:t xml:space="preserve">et tidsrum </w:t>
      </w:r>
      <w:r w:rsidR="00B12770" w:rsidRPr="00573B96">
        <w:rPr>
          <w:rFonts w:cs="Times New Roman"/>
          <w:bCs/>
          <w:szCs w:val="24"/>
        </w:rPr>
        <w:t xml:space="preserve">af </w:t>
      </w:r>
      <w:r w:rsidRPr="00573B96">
        <w:rPr>
          <w:rFonts w:cs="Times New Roman"/>
          <w:bCs/>
          <w:szCs w:val="24"/>
        </w:rPr>
        <w:t xml:space="preserve">mellem 6 måneder og 10 år.  </w:t>
      </w:r>
    </w:p>
    <w:p w14:paraId="2479F592" w14:textId="77777777" w:rsidR="00CA46A1" w:rsidRPr="00573B96" w:rsidRDefault="00CA46A1" w:rsidP="00573B96">
      <w:pPr>
        <w:spacing w:line="280" w:lineRule="atLeast"/>
        <w:ind w:right="-143"/>
        <w:jc w:val="left"/>
        <w:rPr>
          <w:rFonts w:cs="Times New Roman"/>
          <w:bCs/>
          <w:szCs w:val="24"/>
        </w:rPr>
      </w:pPr>
    </w:p>
    <w:p w14:paraId="19B00F18" w14:textId="1F5636D2"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I </w:t>
      </w:r>
      <w:r w:rsidR="00736028" w:rsidRPr="00573B96">
        <w:rPr>
          <w:rFonts w:cs="Times New Roman"/>
          <w:bCs/>
          <w:szCs w:val="24"/>
        </w:rPr>
        <w:t xml:space="preserve">medfør af </w:t>
      </w:r>
      <w:r w:rsidRPr="00573B96">
        <w:rPr>
          <w:rFonts w:cs="Times New Roman"/>
          <w:bCs/>
          <w:szCs w:val="24"/>
        </w:rPr>
        <w:t xml:space="preserve">§ 128, stk. 2, </w:t>
      </w:r>
      <w:r w:rsidR="00736028" w:rsidRPr="00573B96">
        <w:rPr>
          <w:rFonts w:cs="Times New Roman"/>
          <w:bCs/>
          <w:szCs w:val="24"/>
        </w:rPr>
        <w:t>sker ubetinget frakendelse af førerretten som følge af spirituskørsel, overtrædelse af § 54, stk. 1 og 2 (narkokørsel), og § 126, stk. 1, nr. 10-13, for et tidsrum af mindst tre år.</w:t>
      </w:r>
      <w:r w:rsidRPr="00573B96">
        <w:rPr>
          <w:rFonts w:cs="Times New Roman"/>
          <w:bCs/>
          <w:szCs w:val="24"/>
        </w:rPr>
        <w:t xml:space="preserve"> </w:t>
      </w:r>
    </w:p>
    <w:p w14:paraId="6D9C60B4" w14:textId="77777777" w:rsidR="00B03CB5" w:rsidRPr="00573B96" w:rsidRDefault="00B03CB5" w:rsidP="00573B96">
      <w:pPr>
        <w:spacing w:line="280" w:lineRule="atLeast"/>
        <w:ind w:right="-143"/>
        <w:jc w:val="left"/>
        <w:rPr>
          <w:rFonts w:cs="Times New Roman"/>
          <w:bCs/>
          <w:szCs w:val="24"/>
        </w:rPr>
      </w:pPr>
    </w:p>
    <w:p w14:paraId="123FD0F5" w14:textId="51D18092" w:rsidR="003B0A56" w:rsidRPr="00573B96" w:rsidRDefault="00736028" w:rsidP="00573B96">
      <w:pPr>
        <w:spacing w:line="280" w:lineRule="atLeast"/>
        <w:ind w:right="-143"/>
        <w:jc w:val="left"/>
        <w:rPr>
          <w:rFonts w:cs="Times New Roman"/>
          <w:bCs/>
          <w:szCs w:val="24"/>
        </w:rPr>
      </w:pPr>
      <w:r w:rsidRPr="00573B96">
        <w:rPr>
          <w:rFonts w:cs="Times New Roman"/>
          <w:bCs/>
          <w:szCs w:val="24"/>
        </w:rPr>
        <w:t xml:space="preserve">Ubetinget frakendelse af førerretten på grund af særlig hensynsløs kørsel er ikke omfattet af de tilfælde, hvor den ubetingede frakendelse skal ske for et tidsrum af mindste tre år. </w:t>
      </w:r>
      <w:r w:rsidR="003B0A56" w:rsidRPr="00573B96">
        <w:rPr>
          <w:rFonts w:cs="Times New Roman"/>
          <w:bCs/>
          <w:szCs w:val="24"/>
        </w:rPr>
        <w:t>Det indebærer, at der i tilfælde af ubetinget frakendelse som følge af særlig hensynsløs kørsel</w:t>
      </w:r>
      <w:r w:rsidRPr="00573B96">
        <w:rPr>
          <w:rFonts w:cs="Times New Roman"/>
          <w:bCs/>
          <w:szCs w:val="24"/>
        </w:rPr>
        <w:t xml:space="preserve"> omfattet af § 126, stk. 1, nr. 4,</w:t>
      </w:r>
      <w:r w:rsidR="003B0A56" w:rsidRPr="00573B96">
        <w:rPr>
          <w:rFonts w:cs="Times New Roman"/>
          <w:bCs/>
          <w:szCs w:val="24"/>
        </w:rPr>
        <w:t xml:space="preserve"> kan fastsættes en frakendelsestid på ned til 6 måneder, jf. § 128, stk. 1.</w:t>
      </w:r>
    </w:p>
    <w:p w14:paraId="071612B3" w14:textId="77777777" w:rsidR="00B03CB5" w:rsidRPr="00573B96" w:rsidRDefault="00B03CB5" w:rsidP="00573B96">
      <w:pPr>
        <w:spacing w:line="280" w:lineRule="atLeast"/>
        <w:ind w:right="-143"/>
        <w:jc w:val="left"/>
        <w:rPr>
          <w:rFonts w:cs="Times New Roman"/>
          <w:bCs/>
          <w:szCs w:val="24"/>
        </w:rPr>
      </w:pPr>
    </w:p>
    <w:p w14:paraId="1E23ABE0" w14:textId="113EB4F7" w:rsidR="00B03CB5" w:rsidRPr="00573B96" w:rsidRDefault="003B0A56" w:rsidP="00573B96">
      <w:pPr>
        <w:spacing w:line="280" w:lineRule="atLeast"/>
        <w:ind w:right="-143"/>
        <w:jc w:val="left"/>
        <w:rPr>
          <w:rFonts w:cs="Times New Roman"/>
          <w:bCs/>
          <w:szCs w:val="24"/>
        </w:rPr>
      </w:pPr>
      <w:r w:rsidRPr="00573B96">
        <w:rPr>
          <w:rFonts w:cs="Times New Roman"/>
          <w:bCs/>
          <w:szCs w:val="24"/>
        </w:rPr>
        <w:t xml:space="preserve">Ubetinget frakendelse efter § 126, stk. 1, nr. 4, </w:t>
      </w:r>
      <w:r w:rsidR="00736028" w:rsidRPr="00573B96">
        <w:rPr>
          <w:rFonts w:cs="Times New Roman"/>
          <w:bCs/>
          <w:szCs w:val="24"/>
        </w:rPr>
        <w:t>sker efter retspraksis ofte for en periode på tre år eller mere. R</w:t>
      </w:r>
      <w:r w:rsidRPr="00573B96">
        <w:rPr>
          <w:rFonts w:cs="Times New Roman"/>
          <w:bCs/>
          <w:szCs w:val="24"/>
        </w:rPr>
        <w:t xml:space="preserve">etspraksis </w:t>
      </w:r>
      <w:r w:rsidR="00736028" w:rsidRPr="00573B96">
        <w:rPr>
          <w:rFonts w:cs="Times New Roman"/>
          <w:bCs/>
          <w:szCs w:val="24"/>
        </w:rPr>
        <w:t>er i</w:t>
      </w:r>
      <w:r w:rsidRPr="00573B96">
        <w:rPr>
          <w:rFonts w:cs="Times New Roman"/>
          <w:bCs/>
          <w:szCs w:val="24"/>
        </w:rPr>
        <w:t>midlertid ikke entydig, og der findes flere eksempler</w:t>
      </w:r>
      <w:r w:rsidR="00EF0637" w:rsidRPr="00573B96">
        <w:rPr>
          <w:rFonts w:cs="Times New Roman"/>
          <w:bCs/>
          <w:szCs w:val="24"/>
        </w:rPr>
        <w:t xml:space="preserve"> på tilfælde af særlig hensynsløs kørsel</w:t>
      </w:r>
      <w:r w:rsidRPr="00573B96">
        <w:rPr>
          <w:rFonts w:cs="Times New Roman"/>
          <w:bCs/>
          <w:szCs w:val="24"/>
        </w:rPr>
        <w:t xml:space="preserve">, hvor førerretten er blevet frakendt i </w:t>
      </w:r>
      <w:r w:rsidR="00EF0637" w:rsidRPr="00573B96">
        <w:rPr>
          <w:rFonts w:cs="Times New Roman"/>
          <w:bCs/>
          <w:szCs w:val="24"/>
        </w:rPr>
        <w:t xml:space="preserve">mindre end </w:t>
      </w:r>
      <w:r w:rsidRPr="00573B96">
        <w:rPr>
          <w:rFonts w:cs="Times New Roman"/>
          <w:bCs/>
          <w:szCs w:val="24"/>
        </w:rPr>
        <w:t xml:space="preserve">tre år. </w:t>
      </w:r>
    </w:p>
    <w:p w14:paraId="71708488" w14:textId="77777777" w:rsidR="00B03CB5" w:rsidRPr="00573B96" w:rsidRDefault="00B03CB5" w:rsidP="00573B96">
      <w:pPr>
        <w:spacing w:line="280" w:lineRule="atLeast"/>
        <w:ind w:right="-143"/>
        <w:jc w:val="left"/>
        <w:rPr>
          <w:rFonts w:cs="Times New Roman"/>
          <w:bCs/>
          <w:szCs w:val="24"/>
        </w:rPr>
      </w:pPr>
    </w:p>
    <w:p w14:paraId="672730E2" w14:textId="6E94718B"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Der kan eksempelvis henvises til Østre Landsrets dom af </w:t>
      </w:r>
      <w:r w:rsidR="00586A37" w:rsidRPr="00573B96">
        <w:rPr>
          <w:rFonts w:cs="Times New Roman"/>
          <w:bCs/>
          <w:szCs w:val="24"/>
        </w:rPr>
        <w:t>28. februar 2023, TfK 2023.198,</w:t>
      </w:r>
      <w:r w:rsidRPr="00573B96">
        <w:rPr>
          <w:rFonts w:cs="Times New Roman"/>
          <w:bCs/>
          <w:szCs w:val="24"/>
        </w:rPr>
        <w:t xml:space="preserve"> hvor tiltalte</w:t>
      </w:r>
      <w:r w:rsidR="00586A37" w:rsidRPr="00573B96">
        <w:rPr>
          <w:rFonts w:cs="Times New Roman"/>
          <w:bCs/>
          <w:szCs w:val="24"/>
        </w:rPr>
        <w:t xml:space="preserve"> som passager havde skiftet plads med føreren af køretøjet, hvilket medførte, at køretøjet under førerskiftet slog så kraftigt ud, at køretøjet skiftede fra første vognbane til en buslomme og var ved at påkøre et busstoppested. Tiltalte blev fundet skyldig i særlig hensynsløs kørsel og blev blandt </w:t>
      </w:r>
      <w:r w:rsidR="006A774D" w:rsidRPr="00573B96">
        <w:rPr>
          <w:rFonts w:cs="Times New Roman"/>
          <w:bCs/>
          <w:szCs w:val="24"/>
        </w:rPr>
        <w:t xml:space="preserve">andet </w:t>
      </w:r>
      <w:r w:rsidR="00586A37" w:rsidRPr="00573B96">
        <w:rPr>
          <w:rFonts w:cs="Times New Roman"/>
          <w:bCs/>
          <w:szCs w:val="24"/>
        </w:rPr>
        <w:t>frakendt førerretten ubetinget i 6 måneder.</w:t>
      </w:r>
    </w:p>
    <w:p w14:paraId="5A8A97E3" w14:textId="77777777" w:rsidR="00586A37" w:rsidRPr="00573B96" w:rsidRDefault="00586A37" w:rsidP="00573B96">
      <w:pPr>
        <w:spacing w:line="280" w:lineRule="atLeast"/>
        <w:ind w:right="-143"/>
        <w:jc w:val="left"/>
        <w:rPr>
          <w:rFonts w:cs="Times New Roman"/>
          <w:bCs/>
          <w:szCs w:val="24"/>
        </w:rPr>
      </w:pPr>
    </w:p>
    <w:p w14:paraId="71879D37"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2.2.2. Transportministeriets overvejelser</w:t>
      </w:r>
    </w:p>
    <w:p w14:paraId="4F9222F3" w14:textId="77777777" w:rsidR="00E276D3" w:rsidRPr="00573B96" w:rsidRDefault="003B0A56" w:rsidP="00573B96">
      <w:pPr>
        <w:spacing w:line="280" w:lineRule="atLeast"/>
        <w:ind w:right="-143"/>
        <w:jc w:val="left"/>
        <w:rPr>
          <w:rFonts w:cs="Times New Roman"/>
          <w:bCs/>
          <w:szCs w:val="24"/>
        </w:rPr>
      </w:pPr>
      <w:r w:rsidRPr="00573B96">
        <w:rPr>
          <w:rFonts w:cs="Times New Roman"/>
          <w:bCs/>
          <w:szCs w:val="24"/>
        </w:rPr>
        <w:t>Særlig hensynsløs kørsel</w:t>
      </w:r>
      <w:r w:rsidR="006A774D" w:rsidRPr="00573B96">
        <w:rPr>
          <w:rFonts w:cs="Times New Roman"/>
          <w:bCs/>
          <w:szCs w:val="24"/>
        </w:rPr>
        <w:t xml:space="preserve"> omfattet af § 126, stk. 1, nr. 4,</w:t>
      </w:r>
      <w:r w:rsidRPr="00573B96">
        <w:rPr>
          <w:rFonts w:cs="Times New Roman"/>
          <w:bCs/>
          <w:szCs w:val="24"/>
        </w:rPr>
        <w:t xml:space="preserve"> hører til blandt de mest alvorlige overtrædelser af færdselslov</w:t>
      </w:r>
      <w:r w:rsidR="006A774D" w:rsidRPr="00573B96">
        <w:rPr>
          <w:rFonts w:cs="Times New Roman"/>
          <w:bCs/>
          <w:szCs w:val="24"/>
        </w:rPr>
        <w:t>en</w:t>
      </w:r>
      <w:r w:rsidRPr="00573B96">
        <w:rPr>
          <w:rFonts w:cs="Times New Roman"/>
          <w:bCs/>
          <w:szCs w:val="24"/>
        </w:rPr>
        <w:t xml:space="preserve">. Adfærden indebærer en betydelig risiko for andre trafikanters liv og helbred og kan føre til alvorlige konsekvenser. </w:t>
      </w:r>
    </w:p>
    <w:p w14:paraId="097DB8B3" w14:textId="77777777" w:rsidR="00E276D3" w:rsidRPr="00573B96" w:rsidRDefault="00E276D3" w:rsidP="00573B96">
      <w:pPr>
        <w:spacing w:line="280" w:lineRule="atLeast"/>
        <w:ind w:right="-143"/>
        <w:jc w:val="left"/>
        <w:rPr>
          <w:rFonts w:cs="Times New Roman"/>
          <w:bCs/>
          <w:szCs w:val="24"/>
        </w:rPr>
      </w:pPr>
    </w:p>
    <w:p w14:paraId="63ED2106" w14:textId="4B3513B5" w:rsidR="00E276D3" w:rsidRPr="00573B96" w:rsidRDefault="00E276D3" w:rsidP="00573B96">
      <w:pPr>
        <w:spacing w:line="280" w:lineRule="atLeast"/>
        <w:ind w:right="-143"/>
        <w:jc w:val="left"/>
        <w:rPr>
          <w:rFonts w:cs="Times New Roman"/>
          <w:bCs/>
          <w:szCs w:val="24"/>
        </w:rPr>
      </w:pPr>
      <w:r w:rsidRPr="00573B96">
        <w:rPr>
          <w:rFonts w:cs="Times New Roman"/>
          <w:bCs/>
          <w:szCs w:val="24"/>
        </w:rPr>
        <w:t xml:space="preserve">På trods af, at særlig hensynsløs kørsel omfatter kørsler af meget forskellig karakter, </w:t>
      </w:r>
      <w:r w:rsidR="0040301D" w:rsidRPr="00573B96">
        <w:rPr>
          <w:rFonts w:cs="Times New Roman"/>
          <w:bCs/>
          <w:szCs w:val="24"/>
        </w:rPr>
        <w:t>er det en grundlæggende betingelse, at føreren bevidst har sat sig ud over hensynet til andre trafikanters sikkerhed og kørt groft uforsvarligt.</w:t>
      </w:r>
    </w:p>
    <w:p w14:paraId="08A68541" w14:textId="7752BAAB" w:rsidR="0040301D" w:rsidRPr="00573B96" w:rsidRDefault="0040301D" w:rsidP="00573B96">
      <w:pPr>
        <w:spacing w:line="280" w:lineRule="atLeast"/>
        <w:ind w:right="-143"/>
        <w:jc w:val="left"/>
        <w:rPr>
          <w:rFonts w:cs="Times New Roman"/>
          <w:bCs/>
          <w:szCs w:val="24"/>
        </w:rPr>
      </w:pPr>
    </w:p>
    <w:p w14:paraId="4D945E75" w14:textId="77777777" w:rsidR="006452A1" w:rsidRPr="00573B96" w:rsidRDefault="006452A1" w:rsidP="00573B96">
      <w:pPr>
        <w:spacing w:line="280" w:lineRule="atLeast"/>
        <w:ind w:right="-143"/>
        <w:jc w:val="left"/>
        <w:rPr>
          <w:rFonts w:cs="Times New Roman"/>
          <w:bCs/>
          <w:szCs w:val="24"/>
        </w:rPr>
      </w:pPr>
      <w:r w:rsidRPr="00573B96">
        <w:rPr>
          <w:rFonts w:cs="Times New Roman"/>
          <w:bCs/>
          <w:szCs w:val="24"/>
        </w:rPr>
        <w:t xml:space="preserve">Uanset om kørslen har medført konkrete skadevirkninger, er det </w:t>
      </w:r>
      <w:r w:rsidR="0040301D" w:rsidRPr="00573B96">
        <w:rPr>
          <w:rFonts w:cs="Times New Roman"/>
          <w:bCs/>
          <w:szCs w:val="24"/>
        </w:rPr>
        <w:t xml:space="preserve">Transportministeriets opfattelse, at sådanne kørsler altid bør sanktioneres med en ubetinget førerretsfrakendelse af en periode på mindst tre år. </w:t>
      </w:r>
    </w:p>
    <w:p w14:paraId="0BD5B22E" w14:textId="77777777" w:rsidR="006452A1" w:rsidRPr="00573B96" w:rsidRDefault="006452A1" w:rsidP="00573B96">
      <w:pPr>
        <w:spacing w:line="280" w:lineRule="atLeast"/>
        <w:ind w:right="-143"/>
        <w:jc w:val="left"/>
        <w:rPr>
          <w:rFonts w:cs="Times New Roman"/>
          <w:bCs/>
          <w:szCs w:val="24"/>
        </w:rPr>
      </w:pPr>
    </w:p>
    <w:p w14:paraId="343A173E" w14:textId="2976D055" w:rsidR="003B0A56" w:rsidRPr="00573B96" w:rsidRDefault="006452A1" w:rsidP="00573B96">
      <w:pPr>
        <w:spacing w:line="280" w:lineRule="atLeast"/>
        <w:ind w:right="-143"/>
        <w:jc w:val="left"/>
        <w:rPr>
          <w:rFonts w:cs="Times New Roman"/>
          <w:bCs/>
          <w:szCs w:val="24"/>
        </w:rPr>
      </w:pPr>
      <w:r w:rsidRPr="00573B96">
        <w:rPr>
          <w:rFonts w:cs="Times New Roman"/>
          <w:bCs/>
          <w:szCs w:val="24"/>
        </w:rPr>
        <w:t>Herved vil det frakendelsesmæssige sanktionsniveau endvidere komme på niveau med sanktionsniveauet for de øvrige færdselsovertrædelser, der betegnes som vanvidskørsel.</w:t>
      </w:r>
    </w:p>
    <w:p w14:paraId="294B3A69" w14:textId="77777777" w:rsidR="003B0A56" w:rsidRPr="00573B96" w:rsidRDefault="003B0A56" w:rsidP="00573B96">
      <w:pPr>
        <w:spacing w:line="280" w:lineRule="atLeast"/>
        <w:ind w:right="-143"/>
        <w:jc w:val="left"/>
        <w:rPr>
          <w:rFonts w:cs="Times New Roman"/>
          <w:bCs/>
          <w:szCs w:val="24"/>
        </w:rPr>
      </w:pPr>
    </w:p>
    <w:p w14:paraId="339A6D3B"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2.2.3. Den foreslåede ordning</w:t>
      </w:r>
    </w:p>
    <w:p w14:paraId="465D43C1" w14:textId="3B1EEAFD"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Det foreslås at </w:t>
      </w:r>
      <w:r w:rsidR="006452A1" w:rsidRPr="00573B96">
        <w:rPr>
          <w:rFonts w:cs="Times New Roman"/>
          <w:bCs/>
          <w:szCs w:val="24"/>
        </w:rPr>
        <w:t xml:space="preserve">tilføje en henvisning til §126, stk. 1, nr. 4, i </w:t>
      </w:r>
      <w:r w:rsidRPr="00573B96">
        <w:rPr>
          <w:rFonts w:cs="Times New Roman"/>
          <w:bCs/>
          <w:szCs w:val="24"/>
        </w:rPr>
        <w:t>færdselslovens § 128, stk. 2, 2. pkt., således at ubetinget frakendelse i medfør af § 126, stk. 1, nr. 4</w:t>
      </w:r>
      <w:r w:rsidR="006452A1" w:rsidRPr="00573B96">
        <w:rPr>
          <w:rFonts w:cs="Times New Roman"/>
          <w:bCs/>
          <w:szCs w:val="24"/>
        </w:rPr>
        <w:t xml:space="preserve">, om </w:t>
      </w:r>
      <w:r w:rsidRPr="00573B96">
        <w:rPr>
          <w:rFonts w:cs="Times New Roman"/>
          <w:bCs/>
          <w:szCs w:val="24"/>
        </w:rPr>
        <w:t xml:space="preserve">særlig hensynsløs kørsel vil skulle ske for et tidsrum af mindst </w:t>
      </w:r>
      <w:r w:rsidR="006452A1" w:rsidRPr="00573B96">
        <w:rPr>
          <w:rFonts w:cs="Times New Roman"/>
          <w:bCs/>
          <w:szCs w:val="24"/>
        </w:rPr>
        <w:t>tre</w:t>
      </w:r>
      <w:r w:rsidRPr="00573B96">
        <w:rPr>
          <w:rFonts w:cs="Times New Roman"/>
          <w:bCs/>
          <w:szCs w:val="24"/>
        </w:rPr>
        <w:t xml:space="preserve"> år. </w:t>
      </w:r>
    </w:p>
    <w:p w14:paraId="08FBE9ED" w14:textId="77777777" w:rsidR="00B03CB5" w:rsidRPr="00573B96" w:rsidRDefault="00B03CB5" w:rsidP="00573B96">
      <w:pPr>
        <w:spacing w:line="280" w:lineRule="atLeast"/>
        <w:ind w:right="-143"/>
        <w:jc w:val="left"/>
        <w:rPr>
          <w:rFonts w:cs="Times New Roman"/>
          <w:bCs/>
          <w:szCs w:val="24"/>
        </w:rPr>
      </w:pPr>
    </w:p>
    <w:p w14:paraId="43358F59" w14:textId="443D7BAC"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Konkrete forhold </w:t>
      </w:r>
      <w:r w:rsidR="006452A1" w:rsidRPr="00573B96">
        <w:rPr>
          <w:rFonts w:cs="Times New Roman"/>
          <w:bCs/>
          <w:szCs w:val="24"/>
        </w:rPr>
        <w:t xml:space="preserve">vil </w:t>
      </w:r>
      <w:r w:rsidRPr="00573B96">
        <w:rPr>
          <w:rFonts w:cs="Times New Roman"/>
          <w:bCs/>
          <w:szCs w:val="24"/>
        </w:rPr>
        <w:t xml:space="preserve">fortsat </w:t>
      </w:r>
      <w:r w:rsidR="006452A1" w:rsidRPr="00573B96">
        <w:rPr>
          <w:rFonts w:cs="Times New Roman"/>
          <w:bCs/>
          <w:szCs w:val="24"/>
        </w:rPr>
        <w:t>kunne</w:t>
      </w:r>
      <w:r w:rsidR="000F46A2" w:rsidRPr="00573B96">
        <w:rPr>
          <w:rFonts w:cs="Times New Roman"/>
          <w:bCs/>
          <w:szCs w:val="24"/>
        </w:rPr>
        <w:t xml:space="preserve"> </w:t>
      </w:r>
      <w:r w:rsidRPr="00573B96">
        <w:rPr>
          <w:rFonts w:cs="Times New Roman"/>
          <w:bCs/>
          <w:szCs w:val="24"/>
        </w:rPr>
        <w:t xml:space="preserve">medføre, at der udmåles en længere frakendelsesperiode end </w:t>
      </w:r>
      <w:r w:rsidR="000F46A2" w:rsidRPr="00573B96">
        <w:rPr>
          <w:rFonts w:cs="Times New Roman"/>
          <w:bCs/>
          <w:szCs w:val="24"/>
        </w:rPr>
        <w:t xml:space="preserve">tre </w:t>
      </w:r>
      <w:r w:rsidRPr="00573B96">
        <w:rPr>
          <w:rFonts w:cs="Times New Roman"/>
          <w:bCs/>
          <w:szCs w:val="24"/>
        </w:rPr>
        <w:t xml:space="preserve">år. Det vil </w:t>
      </w:r>
      <w:r w:rsidR="000F46A2" w:rsidRPr="00573B96">
        <w:rPr>
          <w:rFonts w:cs="Times New Roman"/>
          <w:bCs/>
          <w:szCs w:val="24"/>
        </w:rPr>
        <w:t>for eksempel</w:t>
      </w:r>
      <w:r w:rsidRPr="00573B96">
        <w:rPr>
          <w:rFonts w:cs="Times New Roman"/>
          <w:bCs/>
          <w:szCs w:val="24"/>
        </w:rPr>
        <w:t xml:space="preserve"> kunne være tilfældet på grund af konkrete forhold ved det enkelte kørselsforløb, at kørslen samtidig er sket i spiritus- eller narkopåvirket tilstand, ved samtidig overtrædelse af straffeloven eller på grund af tidligere forstraffe med relevans for sagen. </w:t>
      </w:r>
    </w:p>
    <w:p w14:paraId="4A4F5715" w14:textId="77777777" w:rsidR="00B03CB5" w:rsidRPr="00573B96" w:rsidRDefault="00B03CB5" w:rsidP="00573B96">
      <w:pPr>
        <w:spacing w:line="280" w:lineRule="atLeast"/>
        <w:ind w:right="-143"/>
        <w:jc w:val="left"/>
        <w:rPr>
          <w:rFonts w:cs="Times New Roman"/>
          <w:bCs/>
          <w:szCs w:val="24"/>
        </w:rPr>
      </w:pPr>
    </w:p>
    <w:p w14:paraId="78C91D53" w14:textId="77777777" w:rsidR="003B0A56" w:rsidRPr="00573B96" w:rsidRDefault="003B0A56" w:rsidP="00573B96">
      <w:pPr>
        <w:spacing w:line="280" w:lineRule="atLeast"/>
        <w:ind w:right="-143"/>
        <w:jc w:val="left"/>
        <w:rPr>
          <w:rFonts w:cs="Times New Roman"/>
          <w:b/>
          <w:szCs w:val="24"/>
        </w:rPr>
      </w:pPr>
      <w:r w:rsidRPr="00573B96">
        <w:rPr>
          <w:rFonts w:cs="Times New Roman"/>
          <w:b/>
          <w:szCs w:val="24"/>
        </w:rPr>
        <w:t xml:space="preserve">2.3. Udvidet adgang til konfiskation af motordrevne køretøjer ved spiritus- og narkokørsel i forbindelse med uagtsomt manddrab og uagtsom betydelig legemsbeskadigelse </w:t>
      </w:r>
    </w:p>
    <w:p w14:paraId="567701BF" w14:textId="77777777" w:rsidR="003B0A56" w:rsidRPr="00573B96" w:rsidRDefault="003B0A56" w:rsidP="00573B96">
      <w:pPr>
        <w:spacing w:line="280" w:lineRule="atLeast"/>
        <w:ind w:right="-143"/>
        <w:jc w:val="left"/>
        <w:rPr>
          <w:rFonts w:cs="Times New Roman"/>
          <w:b/>
          <w:szCs w:val="24"/>
        </w:rPr>
      </w:pPr>
    </w:p>
    <w:p w14:paraId="2E8ADB52"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 xml:space="preserve">2.3.1. Gældende ret </w:t>
      </w:r>
    </w:p>
    <w:p w14:paraId="200CB7F3"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Færdselslovens § 133 a, stk. 2-10, og 13, indeholder regler for obligatorisk konfiskation. </w:t>
      </w:r>
    </w:p>
    <w:p w14:paraId="355EEC95" w14:textId="77777777" w:rsidR="00056675" w:rsidRPr="00573B96" w:rsidRDefault="00056675" w:rsidP="00573B96">
      <w:pPr>
        <w:spacing w:line="280" w:lineRule="atLeast"/>
        <w:ind w:right="-143"/>
        <w:jc w:val="left"/>
        <w:rPr>
          <w:rFonts w:cs="Times New Roman"/>
          <w:bCs/>
          <w:szCs w:val="24"/>
        </w:rPr>
      </w:pPr>
    </w:p>
    <w:p w14:paraId="22F9B2FB" w14:textId="639CDF50" w:rsidR="003B0A56" w:rsidRPr="00573B96" w:rsidRDefault="003B0A56" w:rsidP="00573B96">
      <w:pPr>
        <w:spacing w:line="280" w:lineRule="atLeast"/>
        <w:ind w:right="-143"/>
        <w:jc w:val="left"/>
        <w:rPr>
          <w:rFonts w:cs="Times New Roman"/>
          <w:bCs/>
          <w:szCs w:val="24"/>
        </w:rPr>
      </w:pPr>
      <w:r w:rsidRPr="00573B96">
        <w:rPr>
          <w:rFonts w:cs="Times New Roman"/>
          <w:bCs/>
          <w:szCs w:val="24"/>
        </w:rPr>
        <w:t>Efter § 133 a</w:t>
      </w:r>
      <w:r w:rsidR="00832F9B" w:rsidRPr="00573B96">
        <w:rPr>
          <w:rFonts w:cs="Times New Roman"/>
          <w:bCs/>
          <w:szCs w:val="24"/>
        </w:rPr>
        <w:t>,</w:t>
      </w:r>
      <w:r w:rsidRPr="00573B96">
        <w:rPr>
          <w:rFonts w:cs="Times New Roman"/>
          <w:bCs/>
          <w:szCs w:val="24"/>
        </w:rPr>
        <w:t xml:space="preserve"> stk. 2, 1. pkt., skal der ske konfiskation, hvis ejeren af et motordrevet køretøj, hvortil der kræves kørekort, bortset fra lille knallert, har gjort sig skyldig i spirituskørsel med en alkoholkoncentration i blodet under eller efter kørslen på over 2,00 promille eller en alkoholkoncentration i udåndingsluften under eller efter kørslen på over 1,00 mg pr. l luft eller i et forhold, der medfører ubetinget frakendelse af førerretten efter § 126, stk. 1, nr. 4, (særlig hensynsløs kørsel), § 126, stk. 1, nr. 10 (</w:t>
      </w:r>
      <w:r w:rsidR="00832F9B" w:rsidRPr="00573B96">
        <w:rPr>
          <w:rFonts w:cs="Times New Roman"/>
          <w:bCs/>
          <w:szCs w:val="24"/>
        </w:rPr>
        <w:t xml:space="preserve">kørsel </w:t>
      </w:r>
      <w:r w:rsidRPr="00573B96">
        <w:rPr>
          <w:rFonts w:cs="Times New Roman"/>
          <w:bCs/>
          <w:szCs w:val="24"/>
        </w:rPr>
        <w:t xml:space="preserve">med en hastighed på 200 km i timen eller derover,) eller § 126, stk. 1, nr. 11 (kørsel med en hastighed på mere end 100 km i timen </w:t>
      </w:r>
      <w:r w:rsidR="00832F9B" w:rsidRPr="00573B96">
        <w:rPr>
          <w:rFonts w:cs="Times New Roman"/>
          <w:bCs/>
          <w:szCs w:val="24"/>
        </w:rPr>
        <w:t xml:space="preserve">med en samtidig </w:t>
      </w:r>
      <w:r w:rsidRPr="00573B96">
        <w:rPr>
          <w:rFonts w:cs="Times New Roman"/>
          <w:bCs/>
          <w:szCs w:val="24"/>
        </w:rPr>
        <w:t>overskr</w:t>
      </w:r>
      <w:r w:rsidR="00832F9B" w:rsidRPr="00573B96">
        <w:rPr>
          <w:rFonts w:cs="Times New Roman"/>
          <w:bCs/>
          <w:szCs w:val="24"/>
        </w:rPr>
        <w:t>idelse af den fastsatte hastighedsgrænse</w:t>
      </w:r>
      <w:r w:rsidRPr="00573B96">
        <w:rPr>
          <w:rFonts w:cs="Times New Roman"/>
          <w:bCs/>
          <w:szCs w:val="24"/>
        </w:rPr>
        <w:t xml:space="preserve"> med mere end 100 pct).</w:t>
      </w:r>
    </w:p>
    <w:p w14:paraId="3CD29EA4" w14:textId="77777777" w:rsidR="00056675" w:rsidRPr="00573B96" w:rsidRDefault="00056675" w:rsidP="00573B96">
      <w:pPr>
        <w:spacing w:line="280" w:lineRule="atLeast"/>
        <w:ind w:right="-143"/>
        <w:jc w:val="left"/>
        <w:rPr>
          <w:rFonts w:cs="Times New Roman"/>
          <w:bCs/>
          <w:szCs w:val="24"/>
        </w:rPr>
      </w:pPr>
    </w:p>
    <w:p w14:paraId="60540885" w14:textId="155093C1" w:rsidR="003B0A56" w:rsidRPr="00573B96" w:rsidRDefault="004B4D9D" w:rsidP="00573B96">
      <w:pPr>
        <w:spacing w:line="280" w:lineRule="atLeast"/>
        <w:ind w:right="-143"/>
        <w:jc w:val="left"/>
        <w:rPr>
          <w:rFonts w:cs="Times New Roman"/>
          <w:bCs/>
          <w:szCs w:val="24"/>
        </w:rPr>
      </w:pPr>
      <w:r w:rsidRPr="00573B96">
        <w:rPr>
          <w:rFonts w:cs="Times New Roman"/>
          <w:bCs/>
          <w:szCs w:val="24"/>
        </w:rPr>
        <w:t xml:space="preserve">Det følger af </w:t>
      </w:r>
      <w:r w:rsidR="003B0A56" w:rsidRPr="00573B96">
        <w:rPr>
          <w:rFonts w:cs="Times New Roman"/>
          <w:bCs/>
          <w:szCs w:val="24"/>
        </w:rPr>
        <w:t xml:space="preserve">§ 133 a, stk. 2, 2. pkt., </w:t>
      </w:r>
      <w:r w:rsidRPr="00573B96">
        <w:rPr>
          <w:rFonts w:cs="Times New Roman"/>
          <w:bCs/>
          <w:szCs w:val="24"/>
        </w:rPr>
        <w:t xml:space="preserve">at </w:t>
      </w:r>
      <w:r w:rsidR="003B0A56" w:rsidRPr="00573B96">
        <w:rPr>
          <w:rFonts w:cs="Times New Roman"/>
          <w:bCs/>
          <w:szCs w:val="24"/>
        </w:rPr>
        <w:t xml:space="preserve">der i tilfælde, hvor køretøjet føres af en anden person end køretøjets ejer, og føreren har gjort sig skyldig i </w:t>
      </w:r>
      <w:r w:rsidRPr="00573B96">
        <w:rPr>
          <w:rFonts w:cs="Times New Roman"/>
          <w:bCs/>
          <w:szCs w:val="24"/>
        </w:rPr>
        <w:t>en eller flere af de i 1. pkt. nævnte overtrædelser, skal konfiskation ske, medmindre konfiskation må anses for uforholdsmæssigt indgribende, navnlig henset til ejerens mulighed for at kunne vide, at køretøjet ville blive anvendt ved en eller flere af de overtrædelser, der nævnes i 1. pkt., og for at tage alle rimelige skridt til at sikre sin økonomiske stilling i anledning af overdragelsen af køretøjet til den anden person</w:t>
      </w:r>
      <w:r w:rsidR="003B0A56" w:rsidRPr="00573B96">
        <w:rPr>
          <w:rFonts w:cs="Times New Roman"/>
          <w:bCs/>
          <w:szCs w:val="24"/>
        </w:rPr>
        <w:t xml:space="preserve">. </w:t>
      </w:r>
    </w:p>
    <w:p w14:paraId="1EFC2DB8" w14:textId="77777777" w:rsidR="00056675" w:rsidRPr="00573B96" w:rsidRDefault="00056675" w:rsidP="00573B96">
      <w:pPr>
        <w:spacing w:line="280" w:lineRule="atLeast"/>
        <w:ind w:right="-143"/>
        <w:jc w:val="left"/>
        <w:rPr>
          <w:rFonts w:cs="Times New Roman"/>
          <w:bCs/>
          <w:szCs w:val="24"/>
        </w:rPr>
      </w:pPr>
    </w:p>
    <w:p w14:paraId="3B161E6A" w14:textId="43A83DD1" w:rsidR="003B0A56" w:rsidRPr="00573B96" w:rsidRDefault="00555C27" w:rsidP="00573B96">
      <w:pPr>
        <w:spacing w:line="280" w:lineRule="atLeast"/>
        <w:ind w:right="-143"/>
        <w:jc w:val="left"/>
        <w:rPr>
          <w:rFonts w:cs="Times New Roman"/>
          <w:bCs/>
          <w:szCs w:val="24"/>
        </w:rPr>
      </w:pPr>
      <w:r w:rsidRPr="00573B96">
        <w:rPr>
          <w:rFonts w:cs="Times New Roman"/>
          <w:bCs/>
          <w:szCs w:val="24"/>
        </w:rPr>
        <w:t xml:space="preserve">I medfør af </w:t>
      </w:r>
      <w:r w:rsidR="003B0A56" w:rsidRPr="00573B96">
        <w:rPr>
          <w:rFonts w:cs="Times New Roman"/>
          <w:bCs/>
          <w:szCs w:val="24"/>
        </w:rPr>
        <w:t xml:space="preserve">§ 133 a, stk. 13, </w:t>
      </w:r>
      <w:r w:rsidRPr="00573B96">
        <w:rPr>
          <w:rFonts w:cs="Times New Roman"/>
          <w:bCs/>
          <w:szCs w:val="24"/>
        </w:rPr>
        <w:t xml:space="preserve">kan konfiskation efter stk. 2 endvidere undlades, når </w:t>
      </w:r>
      <w:r w:rsidR="003B0A56" w:rsidRPr="00573B96">
        <w:rPr>
          <w:rFonts w:cs="Times New Roman"/>
          <w:bCs/>
          <w:szCs w:val="24"/>
        </w:rPr>
        <w:t>særlige grunde måtte tale derfor. Det vil navnlig kunne være tilfældet i situationer, hvor eksempelvis ganske særlige familiemæssige eller sociale forhold vil bevirke, at konfiskation i det konkrete tilfælde vil have en uforholdsmæssigt indgribende betydning for den pågældende.</w:t>
      </w:r>
    </w:p>
    <w:p w14:paraId="285842A2" w14:textId="77777777" w:rsidR="00555C27" w:rsidRPr="00573B96" w:rsidRDefault="00555C27" w:rsidP="00573B96">
      <w:pPr>
        <w:spacing w:line="280" w:lineRule="atLeast"/>
        <w:ind w:right="-143"/>
        <w:jc w:val="left"/>
        <w:rPr>
          <w:rFonts w:cs="Times New Roman"/>
          <w:bCs/>
          <w:szCs w:val="24"/>
        </w:rPr>
      </w:pPr>
    </w:p>
    <w:p w14:paraId="5A999502"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I medfør af færdselslovens § 126, stk. 1, nr. 1, skal føreren af et motordrevet køretøj, hvortil der kræves kørekort, bortset fra lille knallert, ubetinget frakendes førerretten, når føreren har gjort sig skyldig i spirituskørsel med en alkoholkoncentration i blodet under eller efter kørslen over 1,20 promille eller en alkoholkoncentration i udåndingsluften under eller efter kørslen over 0,60 mg pr. liter luft.  </w:t>
      </w:r>
    </w:p>
    <w:p w14:paraId="50F65906" w14:textId="77777777" w:rsidR="003B0A56" w:rsidRPr="00573B96" w:rsidRDefault="003B0A56" w:rsidP="00573B96">
      <w:pPr>
        <w:spacing w:line="280" w:lineRule="atLeast"/>
        <w:ind w:right="-143"/>
        <w:jc w:val="left"/>
        <w:rPr>
          <w:rFonts w:cs="Times New Roman"/>
          <w:bCs/>
          <w:szCs w:val="24"/>
        </w:rPr>
      </w:pPr>
    </w:p>
    <w:p w14:paraId="15C21938" w14:textId="2672527B"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I medfør af færdselslovens § 126, stk. 1, nr. 2, skal føreren af et motordrevet køretøj, hvortil der kræves kørekort, bortset fra lille knallert, ubetinget frakendes førerretten, når føreren har gjort sig skyldig i overtrædelse af § 54, stk. 1, nr. 1 (narkokørsel med undtagelse af THC-kørsel), eller § 54, stk. 1, nr. 2, når indholdet af THC i blodet overstiger 0,009 mg pr. kilogram blod, eller under skærpende omstændigheder har gjort sig skyldig i overtrædelse af § 54, stk. 2, (føreevnekriteriet). </w:t>
      </w:r>
    </w:p>
    <w:p w14:paraId="0AD309C2" w14:textId="5D2A1F7B" w:rsidR="00555C27" w:rsidRPr="00573B96" w:rsidRDefault="00555C27" w:rsidP="00573B96">
      <w:pPr>
        <w:spacing w:line="280" w:lineRule="atLeast"/>
        <w:ind w:right="-143"/>
        <w:jc w:val="left"/>
        <w:rPr>
          <w:rFonts w:cs="Times New Roman"/>
          <w:bCs/>
          <w:szCs w:val="24"/>
        </w:rPr>
      </w:pPr>
    </w:p>
    <w:p w14:paraId="3406A0E1" w14:textId="38F0DA91" w:rsidR="00555C27" w:rsidRPr="00573B96" w:rsidRDefault="00555C27" w:rsidP="00573B96">
      <w:pPr>
        <w:spacing w:line="280" w:lineRule="atLeast"/>
        <w:ind w:right="-143"/>
        <w:jc w:val="left"/>
        <w:rPr>
          <w:rFonts w:cs="Times New Roman"/>
          <w:bCs/>
          <w:szCs w:val="24"/>
        </w:rPr>
      </w:pPr>
      <w:r w:rsidRPr="00573B96">
        <w:rPr>
          <w:rFonts w:cs="Times New Roman"/>
          <w:bCs/>
          <w:szCs w:val="24"/>
        </w:rPr>
        <w:t xml:space="preserve">Færdselslovens § 133 a, stk. 2, om obligatorisk konfiskation i førstegangstilfælde uanset ejerforhold, omfatter ikke tilfælde af spirituskørsel med en alkoholpromille på 2,00 og derunder eller </w:t>
      </w:r>
      <w:r w:rsidR="00186467" w:rsidRPr="00573B96">
        <w:rPr>
          <w:rFonts w:cs="Times New Roman"/>
          <w:bCs/>
          <w:szCs w:val="24"/>
        </w:rPr>
        <w:t>tilfælde af narkokørsel.</w:t>
      </w:r>
      <w:r w:rsidRPr="00573B96">
        <w:rPr>
          <w:rFonts w:cs="Times New Roman"/>
          <w:bCs/>
          <w:szCs w:val="24"/>
        </w:rPr>
        <w:t xml:space="preserve"> </w:t>
      </w:r>
    </w:p>
    <w:p w14:paraId="524E2B3F" w14:textId="77777777" w:rsidR="003B0A56" w:rsidRPr="00573B96" w:rsidRDefault="003B0A56" w:rsidP="00573B96">
      <w:pPr>
        <w:spacing w:line="280" w:lineRule="atLeast"/>
        <w:ind w:right="-143"/>
        <w:jc w:val="left"/>
        <w:rPr>
          <w:rFonts w:cs="Times New Roman"/>
          <w:bCs/>
          <w:szCs w:val="24"/>
        </w:rPr>
      </w:pPr>
    </w:p>
    <w:p w14:paraId="1BDDE8AE"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straffelovens § 241, 1. pkt., straffes uagtsomt manddrab under særligt skærpende omstændigheder med fængsel indtil 10 år. Efter 2. pkt. skal det anses som en særligt skærpende omstændighed, hvis forholdet er begået i forbindelse med spirituskørsel, overtrædelse af færdselslovens § 54, stk. 1 eller 2, særlig hensynsløs kørsel, eller de groveste hastighedsovertrædelser. </w:t>
      </w:r>
    </w:p>
    <w:p w14:paraId="0D6FB53A" w14:textId="77777777" w:rsidR="00555C27" w:rsidRPr="00573B96" w:rsidRDefault="00555C27" w:rsidP="00573B96">
      <w:pPr>
        <w:spacing w:line="280" w:lineRule="atLeast"/>
        <w:ind w:right="-143"/>
        <w:jc w:val="left"/>
        <w:rPr>
          <w:rFonts w:cs="Times New Roman"/>
          <w:bCs/>
          <w:szCs w:val="24"/>
        </w:rPr>
      </w:pPr>
    </w:p>
    <w:p w14:paraId="2B34180E" w14:textId="5D01142C"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Efter straffelovens § 249, 1, pkt., straffes uagtsom betydelig legemsbeskadigelse under særligt skærpende omstændigheder med fængsel indtil 8 år. Efter § 249, 2. pkt., skal det anses som en særligt skærpende omstændighed, hvis forholdet er begået i forbindelse med spirituskørsel, overtrædelse af færdselslovens § 54, stk. 1 eller 2, særlig hensynsløs kørsel, eller de groveste hastighedsovertrædelser. </w:t>
      </w:r>
    </w:p>
    <w:p w14:paraId="470909A3" w14:textId="77777777" w:rsidR="00056675" w:rsidRPr="00573B96" w:rsidRDefault="00056675" w:rsidP="00573B96">
      <w:pPr>
        <w:spacing w:line="280" w:lineRule="atLeast"/>
        <w:ind w:right="-143"/>
        <w:jc w:val="left"/>
        <w:rPr>
          <w:rFonts w:cs="Times New Roman"/>
          <w:bCs/>
          <w:szCs w:val="24"/>
        </w:rPr>
      </w:pPr>
    </w:p>
    <w:p w14:paraId="6E3DB964" w14:textId="1982B93D"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Justitsministeren har den 27. november 2025 fremsat lovforslag nr. L 83 om ændring af straffeloven, retsplejeloven, lov om fuldbyrdelse af straf m.v. Hvis lovforslaget vedtages, vil lovændringerne træde i kraft 1. februar 2026. </w:t>
      </w:r>
    </w:p>
    <w:p w14:paraId="50FE2E62" w14:textId="77777777" w:rsidR="003B0A56" w:rsidRPr="00573B96" w:rsidRDefault="003B0A56" w:rsidP="00573B96">
      <w:pPr>
        <w:spacing w:line="280" w:lineRule="atLeast"/>
        <w:ind w:right="-143"/>
        <w:jc w:val="left"/>
        <w:rPr>
          <w:rFonts w:cs="Times New Roman"/>
          <w:bCs/>
          <w:szCs w:val="24"/>
        </w:rPr>
      </w:pPr>
    </w:p>
    <w:p w14:paraId="42464596"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Med lovforslaget foreslås der indsat en ny bestemmelse i straffeloven om trafikdrab som § 241 a.  Efter den foreslåede bestemmelse vil den, der uagtsomt forvolder en andens død i forbindelse med spirituskørsel, overtrædelse af færdselslovens § 54, stk. 1 eller 2, særligt hensynsløs kørsel eller de groveste hastighedsovertrædelser, skulle straffes for trafikdrab med fængsel indtil 10 år. Det forudsættes i den forbindelse, at strafniveauet vil skulle skærpes med 33 pct. i forhold til det gældende strafniveau efter § 241, 2. pkt. </w:t>
      </w:r>
    </w:p>
    <w:p w14:paraId="1CE8591F" w14:textId="77777777" w:rsidR="003B0A56" w:rsidRPr="00573B96" w:rsidRDefault="003B0A56" w:rsidP="00573B96">
      <w:pPr>
        <w:spacing w:line="280" w:lineRule="atLeast"/>
        <w:ind w:right="-143"/>
        <w:jc w:val="left"/>
        <w:rPr>
          <w:rFonts w:cs="Times New Roman"/>
          <w:bCs/>
          <w:szCs w:val="24"/>
        </w:rPr>
      </w:pPr>
    </w:p>
    <w:p w14:paraId="18AFB4A2" w14:textId="77777777" w:rsidR="003B0A56" w:rsidRPr="00573B96" w:rsidRDefault="003B0A56" w:rsidP="00573B96">
      <w:pPr>
        <w:spacing w:line="280" w:lineRule="atLeast"/>
        <w:ind w:right="-143"/>
        <w:jc w:val="left"/>
        <w:rPr>
          <w:rFonts w:cs="Times New Roman"/>
          <w:bCs/>
          <w:szCs w:val="24"/>
        </w:rPr>
      </w:pPr>
      <w:r w:rsidRPr="00573B96">
        <w:rPr>
          <w:rFonts w:cs="Times New Roman"/>
          <w:bCs/>
          <w:szCs w:val="24"/>
        </w:rPr>
        <w:t xml:space="preserve">Det foreslås for det andet at indsætte et nyt stk. 2 i straffelovens § 249, hvorefter det anses som en særligt skærpende omstændighed efter stk. 1, hvis forholdet er begået i forbindelse med spirituskørsel, overtrædelse af færdselslovens § 54, stk. 1 eller 2, særligt hensynsløs kørsel eller de groveste hastighedsovertrædelser. Det forudsættes i den forbindelse, at strafniveauet vil skulle skærpes med 33 pct. i forhold til det gældende strafniveau efter § 249, 2. pkt., der som konsekvens af det nye stk. 2 foreslås ophævet. </w:t>
      </w:r>
    </w:p>
    <w:p w14:paraId="27B17170" w14:textId="77777777" w:rsidR="003B0A56" w:rsidRPr="00573B96" w:rsidRDefault="003B0A56" w:rsidP="00573B96">
      <w:pPr>
        <w:spacing w:line="280" w:lineRule="atLeast"/>
        <w:ind w:right="-143"/>
        <w:jc w:val="left"/>
        <w:rPr>
          <w:rFonts w:cs="Times New Roman"/>
          <w:bCs/>
          <w:szCs w:val="24"/>
        </w:rPr>
      </w:pPr>
    </w:p>
    <w:p w14:paraId="4F8B1AF2" w14:textId="77777777" w:rsidR="003B0A56" w:rsidRPr="00573B96" w:rsidRDefault="003B0A56" w:rsidP="00573B96">
      <w:pPr>
        <w:spacing w:line="280" w:lineRule="atLeast"/>
        <w:ind w:right="-143"/>
        <w:jc w:val="left"/>
        <w:rPr>
          <w:rFonts w:cs="Times New Roman"/>
          <w:b/>
          <w:szCs w:val="24"/>
        </w:rPr>
      </w:pPr>
    </w:p>
    <w:p w14:paraId="269596F3" w14:textId="4DB84514"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 xml:space="preserve">2.3.2. Transportministeriets overvejelser </w:t>
      </w:r>
    </w:p>
    <w:p w14:paraId="456A0C0F" w14:textId="56CE42CD" w:rsidR="00316FBA" w:rsidRPr="00573B96" w:rsidRDefault="0086518E" w:rsidP="00573B96">
      <w:pPr>
        <w:spacing w:line="280" w:lineRule="atLeast"/>
        <w:ind w:right="-143"/>
        <w:jc w:val="left"/>
        <w:rPr>
          <w:rFonts w:cs="Times New Roman"/>
          <w:bCs/>
          <w:szCs w:val="24"/>
        </w:rPr>
      </w:pPr>
      <w:r w:rsidRPr="00573B96">
        <w:rPr>
          <w:rFonts w:cs="Times New Roman"/>
          <w:bCs/>
          <w:szCs w:val="24"/>
        </w:rPr>
        <w:t>Som anført i pkt. 2.1.2 i lovforslagets almindelige bemærkninger hører de t</w:t>
      </w:r>
      <w:r w:rsidR="00316FBA" w:rsidRPr="00573B96">
        <w:rPr>
          <w:rFonts w:cs="Times New Roman"/>
          <w:bCs/>
          <w:szCs w:val="24"/>
        </w:rPr>
        <w:t xml:space="preserve">ilfælde af spiritus- og narkokørsel, som har medført meget alvorlige konsekvenser i form af dræbte eller alvorligt tilskadekomne, til blandt de mest triste og meningsløse færdselssager. I </w:t>
      </w:r>
      <w:r w:rsidRPr="00573B96">
        <w:rPr>
          <w:rFonts w:cs="Times New Roman"/>
          <w:bCs/>
          <w:szCs w:val="24"/>
        </w:rPr>
        <w:t xml:space="preserve">de tilfælde, hvor </w:t>
      </w:r>
      <w:r w:rsidR="00316FBA" w:rsidRPr="00573B96">
        <w:rPr>
          <w:rFonts w:cs="Times New Roman"/>
          <w:bCs/>
          <w:szCs w:val="24"/>
        </w:rPr>
        <w:t xml:space="preserve">konsekvenserne ikke blot </w:t>
      </w:r>
      <w:r w:rsidRPr="00573B96">
        <w:rPr>
          <w:rFonts w:cs="Times New Roman"/>
          <w:bCs/>
          <w:szCs w:val="24"/>
        </w:rPr>
        <w:t xml:space="preserve">rammer </w:t>
      </w:r>
      <w:r w:rsidR="00316FBA" w:rsidRPr="00573B96">
        <w:rPr>
          <w:rFonts w:cs="Times New Roman"/>
          <w:bCs/>
          <w:szCs w:val="24"/>
        </w:rPr>
        <w:t xml:space="preserve">føreren selv, men </w:t>
      </w:r>
      <w:r w:rsidRPr="00573B96">
        <w:rPr>
          <w:rFonts w:cs="Times New Roman"/>
          <w:bCs/>
          <w:szCs w:val="24"/>
        </w:rPr>
        <w:t>rammer</w:t>
      </w:r>
      <w:r w:rsidR="00316FBA" w:rsidRPr="00573B96">
        <w:rPr>
          <w:rFonts w:cs="Times New Roman"/>
          <w:bCs/>
          <w:szCs w:val="24"/>
        </w:rPr>
        <w:t xml:space="preserve"> helt tilfældige mennesker, </w:t>
      </w:r>
      <w:r w:rsidRPr="00573B96">
        <w:rPr>
          <w:rFonts w:cs="Times New Roman"/>
          <w:bCs/>
          <w:szCs w:val="24"/>
        </w:rPr>
        <w:t>er</w:t>
      </w:r>
      <w:r w:rsidR="00316FBA" w:rsidRPr="00573B96">
        <w:rPr>
          <w:rFonts w:cs="Times New Roman"/>
          <w:bCs/>
          <w:szCs w:val="24"/>
        </w:rPr>
        <w:t xml:space="preserve"> spiritus- og narkokørsel </w:t>
      </w:r>
      <w:r w:rsidR="00FE372C" w:rsidRPr="00573B96">
        <w:rPr>
          <w:rFonts w:cs="Times New Roman"/>
          <w:bCs/>
          <w:szCs w:val="24"/>
        </w:rPr>
        <w:t>særlig</w:t>
      </w:r>
      <w:r w:rsidR="00316FBA" w:rsidRPr="00573B96">
        <w:rPr>
          <w:rFonts w:cs="Times New Roman"/>
          <w:bCs/>
          <w:szCs w:val="24"/>
        </w:rPr>
        <w:t xml:space="preserve"> utilstedeligt. </w:t>
      </w:r>
    </w:p>
    <w:p w14:paraId="5044EBE1" w14:textId="7F19F9A4" w:rsidR="0086518E" w:rsidRPr="00573B96" w:rsidRDefault="0086518E" w:rsidP="00573B96">
      <w:pPr>
        <w:spacing w:line="280" w:lineRule="atLeast"/>
        <w:ind w:right="-143"/>
        <w:jc w:val="left"/>
        <w:rPr>
          <w:rFonts w:cs="Times New Roman"/>
          <w:bCs/>
          <w:szCs w:val="24"/>
        </w:rPr>
      </w:pPr>
    </w:p>
    <w:p w14:paraId="228AFFCB" w14:textId="775C51F6" w:rsidR="0086518E" w:rsidRPr="00573B96" w:rsidRDefault="00C81BEF" w:rsidP="00573B96">
      <w:pPr>
        <w:spacing w:line="280" w:lineRule="atLeast"/>
        <w:ind w:right="-143"/>
        <w:jc w:val="left"/>
        <w:rPr>
          <w:rFonts w:cs="Times New Roman"/>
          <w:bCs/>
          <w:szCs w:val="24"/>
        </w:rPr>
      </w:pPr>
      <w:r w:rsidRPr="00573B96">
        <w:rPr>
          <w:rFonts w:cs="Times New Roman"/>
          <w:bCs/>
          <w:szCs w:val="24"/>
        </w:rPr>
        <w:t>Det er Transportministeriets opfattelse, at der</w:t>
      </w:r>
      <w:r w:rsidR="00BF3A67" w:rsidRPr="00573B96">
        <w:rPr>
          <w:rFonts w:cs="Times New Roman"/>
          <w:bCs/>
          <w:szCs w:val="24"/>
        </w:rPr>
        <w:t xml:space="preserve"> udover førerretsfrakendelse bør </w:t>
      </w:r>
      <w:r w:rsidR="003C6D16" w:rsidRPr="00573B96">
        <w:rPr>
          <w:rFonts w:cs="Times New Roman"/>
          <w:bCs/>
          <w:szCs w:val="24"/>
        </w:rPr>
        <w:t>indføres yderligere tiltag, som kan medvirke til at hindre, at en fører</w:t>
      </w:r>
      <w:r w:rsidR="00DD3D4B" w:rsidRPr="00573B96">
        <w:rPr>
          <w:rFonts w:cs="Times New Roman"/>
          <w:bCs/>
          <w:szCs w:val="24"/>
        </w:rPr>
        <w:t xml:space="preserve"> i de ovennævnte tilfælde efterfølgende fortsætter sin farlige og risikofyldte kørselsadfærd.</w:t>
      </w:r>
    </w:p>
    <w:p w14:paraId="30234E1C" w14:textId="55784B75" w:rsidR="001D24AD" w:rsidRPr="00573B96" w:rsidRDefault="001D24AD" w:rsidP="00573B96">
      <w:pPr>
        <w:spacing w:line="280" w:lineRule="atLeast"/>
        <w:ind w:right="-143"/>
        <w:jc w:val="left"/>
        <w:rPr>
          <w:rFonts w:cs="Times New Roman"/>
          <w:bCs/>
          <w:szCs w:val="24"/>
        </w:rPr>
      </w:pPr>
    </w:p>
    <w:p w14:paraId="02F3A5B1" w14:textId="33AB2C32" w:rsidR="001D24AD" w:rsidRPr="00573B96" w:rsidRDefault="001D24AD" w:rsidP="00573B96">
      <w:pPr>
        <w:spacing w:line="280" w:lineRule="atLeast"/>
        <w:ind w:right="-143"/>
        <w:jc w:val="left"/>
        <w:rPr>
          <w:rFonts w:cs="Times New Roman"/>
          <w:bCs/>
          <w:szCs w:val="24"/>
        </w:rPr>
      </w:pPr>
      <w:r w:rsidRPr="00573B96">
        <w:rPr>
          <w:rFonts w:cs="Times New Roman"/>
          <w:bCs/>
          <w:szCs w:val="24"/>
        </w:rPr>
        <w:t xml:space="preserve">Transportministeriet finder derfor, at tilfælde, hvor en fører overtræder færdselslovens regler om spiritus- eller narkokørsel og uagtsomt forvolder en anden persons død eller påfører andre betydelig legemsbeskadigelse, bør omfattes af færdselslovens regler om konfiskation af køretøjer i førstegangstilfælde uanset ejerforhold. </w:t>
      </w:r>
    </w:p>
    <w:p w14:paraId="48CB549A" w14:textId="3B797B00" w:rsidR="001D24AD" w:rsidRPr="00573B96" w:rsidRDefault="001D24AD" w:rsidP="00573B96">
      <w:pPr>
        <w:spacing w:line="280" w:lineRule="atLeast"/>
        <w:ind w:right="-143"/>
        <w:jc w:val="left"/>
        <w:rPr>
          <w:rFonts w:cs="Times New Roman"/>
          <w:bCs/>
          <w:szCs w:val="24"/>
        </w:rPr>
      </w:pPr>
    </w:p>
    <w:p w14:paraId="3E708DC9" w14:textId="10731C93" w:rsidR="001D24AD" w:rsidRPr="00573B96" w:rsidRDefault="001D24AD" w:rsidP="00573B96">
      <w:pPr>
        <w:spacing w:line="280" w:lineRule="atLeast"/>
        <w:ind w:right="-143"/>
        <w:jc w:val="left"/>
        <w:rPr>
          <w:rFonts w:cs="Times New Roman"/>
          <w:bCs/>
          <w:szCs w:val="24"/>
        </w:rPr>
      </w:pPr>
      <w:r w:rsidRPr="00573B96">
        <w:rPr>
          <w:rFonts w:cs="Times New Roman"/>
          <w:bCs/>
          <w:szCs w:val="24"/>
        </w:rPr>
        <w:t xml:space="preserve">Herved vil konfiskationsreglerne komme til at svare til de konfiskationsregler, der gælder i tilfælde af vanvidskørsel, hvilket samtidig vil sende et klar signal om, at spiritus- og narkokørsel er fuldstændig uacceptabelt. </w:t>
      </w:r>
    </w:p>
    <w:p w14:paraId="147E3770" w14:textId="49218BFE" w:rsidR="00C81BEF" w:rsidRPr="00573B96" w:rsidRDefault="00C81BEF" w:rsidP="00573B96">
      <w:pPr>
        <w:spacing w:line="280" w:lineRule="atLeast"/>
        <w:ind w:right="-143"/>
        <w:jc w:val="left"/>
        <w:rPr>
          <w:rFonts w:cs="Times New Roman"/>
          <w:bCs/>
          <w:szCs w:val="24"/>
        </w:rPr>
      </w:pPr>
    </w:p>
    <w:p w14:paraId="1847F0ED" w14:textId="77777777" w:rsidR="003B0A56" w:rsidRPr="00573B96" w:rsidRDefault="003B0A56" w:rsidP="00573B96">
      <w:pPr>
        <w:spacing w:line="280" w:lineRule="atLeast"/>
        <w:ind w:right="-143"/>
        <w:jc w:val="left"/>
        <w:rPr>
          <w:rFonts w:cs="Times New Roman"/>
          <w:bCs/>
          <w:i/>
          <w:iCs/>
          <w:szCs w:val="24"/>
        </w:rPr>
      </w:pPr>
      <w:r w:rsidRPr="00573B96">
        <w:rPr>
          <w:rFonts w:cs="Times New Roman"/>
          <w:bCs/>
          <w:i/>
          <w:iCs/>
          <w:szCs w:val="24"/>
        </w:rPr>
        <w:t>2.3.3. Den foreslåede ordning</w:t>
      </w:r>
    </w:p>
    <w:p w14:paraId="1AF25FDC" w14:textId="2B9669CD" w:rsidR="003B0A56" w:rsidRPr="00573B96" w:rsidRDefault="003B0A56" w:rsidP="00573B96">
      <w:pPr>
        <w:spacing w:line="280" w:lineRule="atLeast"/>
        <w:ind w:right="-143"/>
        <w:jc w:val="left"/>
        <w:rPr>
          <w:rFonts w:cs="Times New Roman"/>
          <w:bCs/>
          <w:szCs w:val="24"/>
        </w:rPr>
      </w:pPr>
      <w:r w:rsidRPr="00573B96">
        <w:rPr>
          <w:rFonts w:cs="Times New Roman"/>
          <w:bCs/>
          <w:szCs w:val="24"/>
        </w:rPr>
        <w:t>Det foreslås at ændre § 133 a, stk. 2, 1. pkt.</w:t>
      </w:r>
      <w:r w:rsidR="007E3A6E" w:rsidRPr="00573B96">
        <w:rPr>
          <w:rFonts w:cs="Times New Roman"/>
          <w:bCs/>
          <w:szCs w:val="24"/>
        </w:rPr>
        <w:t>,</w:t>
      </w:r>
      <w:r w:rsidRPr="00573B96">
        <w:rPr>
          <w:rFonts w:cs="Times New Roman"/>
          <w:bCs/>
          <w:szCs w:val="24"/>
        </w:rPr>
        <w:t xml:space="preserve"> således at </w:t>
      </w:r>
      <w:r w:rsidR="007E3A6E" w:rsidRPr="00573B96">
        <w:rPr>
          <w:rFonts w:cs="Times New Roman"/>
          <w:bCs/>
          <w:szCs w:val="24"/>
        </w:rPr>
        <w:t xml:space="preserve">det indsættes, at </w:t>
      </w:r>
      <w:r w:rsidRPr="00573B96">
        <w:rPr>
          <w:rFonts w:cs="Times New Roman"/>
          <w:bCs/>
          <w:szCs w:val="24"/>
        </w:rPr>
        <w:t>konfiskation af køretøjet</w:t>
      </w:r>
      <w:r w:rsidR="007E3A6E" w:rsidRPr="00573B96">
        <w:rPr>
          <w:rFonts w:cs="Times New Roman"/>
          <w:bCs/>
          <w:szCs w:val="24"/>
        </w:rPr>
        <w:t xml:space="preserve"> skal ske</w:t>
      </w:r>
      <w:r w:rsidRPr="00573B96">
        <w:rPr>
          <w:rFonts w:cs="Times New Roman"/>
          <w:bCs/>
          <w:szCs w:val="24"/>
        </w:rPr>
        <w:t xml:space="preserve">, hvis </w:t>
      </w:r>
      <w:r w:rsidR="007E3A6E" w:rsidRPr="00573B96">
        <w:rPr>
          <w:rFonts w:cs="Times New Roman"/>
          <w:bCs/>
          <w:szCs w:val="24"/>
        </w:rPr>
        <w:t xml:space="preserve">føreren </w:t>
      </w:r>
      <w:r w:rsidRPr="00573B96">
        <w:rPr>
          <w:rFonts w:cs="Times New Roman"/>
          <w:bCs/>
          <w:szCs w:val="24"/>
        </w:rPr>
        <w:t xml:space="preserve">har gjort sig skyldig i et forhold, der medfører ubetinget frakendelse af førerretten efter § 126, stk. 1, nr. 1 eller 2, hvis forholdet udgør en samtidig overtrædelse af straffelovens § 241, 2. pkt., eller § 249, 2. pkt. </w:t>
      </w:r>
    </w:p>
    <w:p w14:paraId="2F6AADFD" w14:textId="77777777" w:rsidR="00056675" w:rsidRPr="00573B96" w:rsidRDefault="00056675" w:rsidP="00573B96">
      <w:pPr>
        <w:spacing w:line="280" w:lineRule="atLeast"/>
        <w:ind w:right="-143"/>
        <w:jc w:val="left"/>
        <w:rPr>
          <w:rFonts w:cs="Times New Roman"/>
          <w:bCs/>
          <w:szCs w:val="24"/>
        </w:rPr>
      </w:pPr>
    </w:p>
    <w:p w14:paraId="5F543165" w14:textId="40A0088A" w:rsidR="003B0A56" w:rsidRPr="00573B96" w:rsidRDefault="003B0A56" w:rsidP="00573B96">
      <w:pPr>
        <w:spacing w:line="280" w:lineRule="atLeast"/>
        <w:ind w:right="-143"/>
        <w:jc w:val="left"/>
        <w:rPr>
          <w:rFonts w:cs="Times New Roman"/>
          <w:bCs/>
          <w:szCs w:val="24"/>
        </w:rPr>
      </w:pPr>
      <w:r w:rsidRPr="00573B96">
        <w:rPr>
          <w:rFonts w:cs="Times New Roman"/>
          <w:bCs/>
          <w:szCs w:val="24"/>
        </w:rPr>
        <w:t>Med de</w:t>
      </w:r>
      <w:r w:rsidR="007E3A6E" w:rsidRPr="00573B96">
        <w:rPr>
          <w:rFonts w:cs="Times New Roman"/>
          <w:bCs/>
          <w:szCs w:val="24"/>
        </w:rPr>
        <w:t>n</w:t>
      </w:r>
      <w:r w:rsidRPr="00573B96">
        <w:rPr>
          <w:rFonts w:cs="Times New Roman"/>
          <w:bCs/>
          <w:szCs w:val="24"/>
        </w:rPr>
        <w:t xml:space="preserve"> foreslåede ændringer</w:t>
      </w:r>
      <w:r w:rsidR="007E3A6E" w:rsidRPr="00573B96">
        <w:rPr>
          <w:rFonts w:cs="Times New Roman"/>
          <w:bCs/>
          <w:szCs w:val="24"/>
        </w:rPr>
        <w:t xml:space="preserve"> vil tilfælde, hvor føreren ubetinget skal frakendes føreretten på grund af spiritus- eller narkokørsel og samtidig har gjort sig skyldig i uagtsom betydelig legemsbeskadigelse eller uagtsomt manddrab efter straffeloven, blive omfattet af færdselslovens særlige konfiskationsregler for vanvidskørsel.</w:t>
      </w:r>
    </w:p>
    <w:p w14:paraId="567476DD" w14:textId="4D00E93B" w:rsidR="0072044A" w:rsidRPr="00573B96" w:rsidRDefault="0072044A" w:rsidP="00573B96">
      <w:pPr>
        <w:spacing w:line="280" w:lineRule="atLeast"/>
        <w:ind w:right="-143"/>
        <w:jc w:val="left"/>
        <w:rPr>
          <w:rFonts w:cs="Times New Roman"/>
          <w:bCs/>
          <w:szCs w:val="24"/>
        </w:rPr>
      </w:pPr>
    </w:p>
    <w:p w14:paraId="2395C61F" w14:textId="77777777" w:rsidR="0072044A" w:rsidRPr="00573B96" w:rsidRDefault="0072044A" w:rsidP="00573B96">
      <w:pPr>
        <w:spacing w:line="280" w:lineRule="atLeast"/>
        <w:ind w:right="-143"/>
        <w:jc w:val="left"/>
        <w:rPr>
          <w:rFonts w:cs="Times New Roman"/>
          <w:bCs/>
          <w:szCs w:val="24"/>
        </w:rPr>
      </w:pPr>
      <w:r w:rsidRPr="00573B96">
        <w:rPr>
          <w:rFonts w:cs="Times New Roman"/>
          <w:bCs/>
          <w:szCs w:val="24"/>
        </w:rPr>
        <w:t>Forslaget indebærer såedes, at der i de pågældende tilfælde skal ske konfiskation af køretøjet allerede i førstegangstilfælde, og at dette som udgangspunkt skal ske uanset ejerforhold. Det vil sige også i tilfælde, hvor føreren ikke selv er ejer af køretøjet, men har benyttet et køretøj, der tilhører tredjemand.</w:t>
      </w:r>
    </w:p>
    <w:p w14:paraId="108F36E6" w14:textId="77777777" w:rsidR="00056675" w:rsidRPr="00573B96" w:rsidRDefault="00056675" w:rsidP="00573B96">
      <w:pPr>
        <w:spacing w:line="280" w:lineRule="atLeast"/>
        <w:ind w:right="-143"/>
        <w:jc w:val="left"/>
        <w:rPr>
          <w:rFonts w:cs="Times New Roman"/>
          <w:bCs/>
          <w:szCs w:val="24"/>
        </w:rPr>
      </w:pPr>
    </w:p>
    <w:p w14:paraId="204D178E" w14:textId="77777777" w:rsidR="00057B99" w:rsidRPr="00573B96" w:rsidRDefault="002F04F0" w:rsidP="00573B96">
      <w:pPr>
        <w:spacing w:line="280" w:lineRule="atLeast"/>
        <w:ind w:right="-143"/>
        <w:jc w:val="left"/>
        <w:rPr>
          <w:rFonts w:cs="Times New Roman"/>
          <w:bCs/>
          <w:szCs w:val="24"/>
        </w:rPr>
      </w:pPr>
      <w:r w:rsidRPr="00573B96">
        <w:rPr>
          <w:rFonts w:cs="Times New Roman"/>
          <w:bCs/>
          <w:szCs w:val="24"/>
        </w:rPr>
        <w:t xml:space="preserve">Konfiskation vil med forslaget skulle ske i de tilfælde, hvor spiritus- og narkokørsel medfører en ubetinget frakendelse af førerretten. </w:t>
      </w:r>
    </w:p>
    <w:p w14:paraId="75F3FE63" w14:textId="77777777" w:rsidR="00057B99" w:rsidRPr="00573B96" w:rsidRDefault="00057B99" w:rsidP="00573B96">
      <w:pPr>
        <w:spacing w:line="280" w:lineRule="atLeast"/>
        <w:ind w:right="-143"/>
        <w:jc w:val="left"/>
        <w:rPr>
          <w:rFonts w:cs="Times New Roman"/>
          <w:bCs/>
          <w:szCs w:val="24"/>
        </w:rPr>
      </w:pPr>
    </w:p>
    <w:p w14:paraId="226696B2" w14:textId="6C1BCDC7" w:rsidR="00057B99" w:rsidRPr="00573B96" w:rsidRDefault="00057B99" w:rsidP="00573B96">
      <w:pPr>
        <w:spacing w:line="280" w:lineRule="atLeast"/>
        <w:ind w:right="-143"/>
        <w:jc w:val="left"/>
        <w:rPr>
          <w:rFonts w:cs="Times New Roman"/>
          <w:bCs/>
          <w:szCs w:val="24"/>
        </w:rPr>
      </w:pPr>
      <w:r w:rsidRPr="00573B96">
        <w:rPr>
          <w:rFonts w:cs="Times New Roman"/>
          <w:bCs/>
          <w:szCs w:val="24"/>
        </w:rPr>
        <w:t xml:space="preserve">Som anført i pkt. 2.1.3 i lovforslagets almindelige bemærkninger, foreslås endvidere en </w:t>
      </w:r>
      <w:r w:rsidR="002F04F0" w:rsidRPr="00573B96">
        <w:rPr>
          <w:rFonts w:cs="Times New Roman"/>
          <w:bCs/>
          <w:szCs w:val="24"/>
        </w:rPr>
        <w:t>ændring af § 126, stk. 1, nr. 1 og 2, hvor</w:t>
      </w:r>
      <w:r w:rsidRPr="00573B96">
        <w:rPr>
          <w:rFonts w:cs="Times New Roman"/>
          <w:bCs/>
          <w:szCs w:val="24"/>
        </w:rPr>
        <w:t xml:space="preserve">efter </w:t>
      </w:r>
      <w:r w:rsidR="002F04F0" w:rsidRPr="00573B96">
        <w:rPr>
          <w:rFonts w:cs="Times New Roman"/>
          <w:bCs/>
          <w:szCs w:val="24"/>
        </w:rPr>
        <w:t xml:space="preserve">førerretten </w:t>
      </w:r>
      <w:r w:rsidRPr="00573B96">
        <w:rPr>
          <w:rFonts w:cs="Times New Roman"/>
          <w:bCs/>
          <w:szCs w:val="24"/>
        </w:rPr>
        <w:t xml:space="preserve">vil </w:t>
      </w:r>
      <w:r w:rsidR="002F04F0" w:rsidRPr="00573B96">
        <w:rPr>
          <w:rFonts w:cs="Times New Roman"/>
          <w:bCs/>
          <w:szCs w:val="24"/>
        </w:rPr>
        <w:t>sk</w:t>
      </w:r>
      <w:r w:rsidRPr="00573B96">
        <w:rPr>
          <w:rFonts w:cs="Times New Roman"/>
          <w:bCs/>
          <w:szCs w:val="24"/>
        </w:rPr>
        <w:t>ulle</w:t>
      </w:r>
      <w:r w:rsidR="002F04F0" w:rsidRPr="00573B96">
        <w:rPr>
          <w:rFonts w:cs="Times New Roman"/>
          <w:bCs/>
          <w:szCs w:val="24"/>
        </w:rPr>
        <w:t xml:space="preserve"> frakendes ubetinget i alle tilfælde af spiritus- og narkokørsel, hvis forholdet samtidig udgør en overtrædelse af straffelovens § 241, 2. pkt., eller § 249, 2. pkt</w:t>
      </w:r>
      <w:r w:rsidRPr="00573B96">
        <w:rPr>
          <w:rFonts w:cs="Times New Roman"/>
          <w:bCs/>
          <w:szCs w:val="24"/>
        </w:rPr>
        <w:t>.</w:t>
      </w:r>
    </w:p>
    <w:p w14:paraId="01B234CC" w14:textId="2CA01FFF" w:rsidR="00057B99" w:rsidRPr="00573B96" w:rsidRDefault="00057B99" w:rsidP="00573B96">
      <w:pPr>
        <w:spacing w:line="280" w:lineRule="atLeast"/>
        <w:ind w:right="-143"/>
        <w:jc w:val="left"/>
        <w:rPr>
          <w:rFonts w:cs="Times New Roman"/>
          <w:bCs/>
          <w:szCs w:val="24"/>
        </w:rPr>
      </w:pPr>
    </w:p>
    <w:p w14:paraId="7F669AA5" w14:textId="12DC161C" w:rsidR="00056675" w:rsidRPr="00573B96" w:rsidRDefault="00057B99" w:rsidP="00573B96">
      <w:pPr>
        <w:spacing w:line="280" w:lineRule="atLeast"/>
        <w:ind w:right="-143"/>
        <w:jc w:val="left"/>
        <w:rPr>
          <w:rFonts w:cs="Times New Roman"/>
          <w:bCs/>
          <w:szCs w:val="24"/>
        </w:rPr>
      </w:pPr>
      <w:r w:rsidRPr="00573B96">
        <w:rPr>
          <w:rFonts w:cs="Times New Roman"/>
          <w:bCs/>
          <w:szCs w:val="24"/>
        </w:rPr>
        <w:t xml:space="preserve">Denne ændring vil i samspil med den foreslåede ændring af § 133 a, stk. 2, 1. pkt., således medføre, at der </w:t>
      </w:r>
      <w:r w:rsidR="002F04F0" w:rsidRPr="00573B96">
        <w:rPr>
          <w:rFonts w:cs="Times New Roman"/>
          <w:bCs/>
          <w:szCs w:val="24"/>
        </w:rPr>
        <w:t xml:space="preserve">vil </w:t>
      </w:r>
      <w:r w:rsidRPr="00573B96">
        <w:rPr>
          <w:rFonts w:cs="Times New Roman"/>
          <w:bCs/>
          <w:szCs w:val="24"/>
        </w:rPr>
        <w:t xml:space="preserve">skulle ske </w:t>
      </w:r>
      <w:r w:rsidR="002F04F0" w:rsidRPr="00573B96">
        <w:rPr>
          <w:rFonts w:cs="Times New Roman"/>
          <w:bCs/>
          <w:szCs w:val="24"/>
        </w:rPr>
        <w:t>konfiskatio</w:t>
      </w:r>
      <w:r w:rsidRPr="00573B96">
        <w:rPr>
          <w:rFonts w:cs="Times New Roman"/>
          <w:bCs/>
          <w:szCs w:val="24"/>
        </w:rPr>
        <w:t xml:space="preserve">n </w:t>
      </w:r>
      <w:r w:rsidR="002F04F0" w:rsidRPr="00573B96">
        <w:rPr>
          <w:rFonts w:cs="Times New Roman"/>
          <w:bCs/>
          <w:szCs w:val="24"/>
        </w:rPr>
        <w:t xml:space="preserve">i alle tilfælde af spirituskørsel med en </w:t>
      </w:r>
      <w:r w:rsidR="00C4058D" w:rsidRPr="00573B96">
        <w:rPr>
          <w:rFonts w:cs="Times New Roman"/>
          <w:bCs/>
          <w:szCs w:val="24"/>
        </w:rPr>
        <w:t>alkohol</w:t>
      </w:r>
      <w:r w:rsidR="002F04F0" w:rsidRPr="00573B96">
        <w:rPr>
          <w:rFonts w:cs="Times New Roman"/>
          <w:bCs/>
          <w:szCs w:val="24"/>
        </w:rPr>
        <w:t>promille over henholdsvis</w:t>
      </w:r>
      <w:r w:rsidR="00C4058D" w:rsidRPr="00573B96">
        <w:rPr>
          <w:rFonts w:cs="Times New Roman"/>
          <w:bCs/>
          <w:szCs w:val="24"/>
        </w:rPr>
        <w:t xml:space="preserve"> 0,2 og 0,5 og i alle tilfælde af narkokørsel, inklusiv alle tilfælde af THC-kørsel </w:t>
      </w:r>
      <w:r w:rsidRPr="00573B96">
        <w:rPr>
          <w:rFonts w:cs="Times New Roman"/>
          <w:bCs/>
          <w:szCs w:val="24"/>
        </w:rPr>
        <w:t xml:space="preserve">med et </w:t>
      </w:r>
      <w:r w:rsidR="00C4058D" w:rsidRPr="00573B96">
        <w:rPr>
          <w:rFonts w:cs="Times New Roman"/>
          <w:bCs/>
          <w:szCs w:val="24"/>
        </w:rPr>
        <w:t>indhold i blodet</w:t>
      </w:r>
      <w:r w:rsidRPr="00573B96">
        <w:rPr>
          <w:rFonts w:cs="Times New Roman"/>
          <w:bCs/>
          <w:szCs w:val="24"/>
        </w:rPr>
        <w:t>, der</w:t>
      </w:r>
      <w:r w:rsidR="00C4058D" w:rsidRPr="00573B96">
        <w:rPr>
          <w:rFonts w:cs="Times New Roman"/>
          <w:bCs/>
          <w:szCs w:val="24"/>
        </w:rPr>
        <w:t xml:space="preserve"> overstiger 0,001 mg THC pr. kilogram blod</w:t>
      </w:r>
      <w:r w:rsidRPr="00573B96">
        <w:rPr>
          <w:rFonts w:cs="Times New Roman"/>
          <w:bCs/>
          <w:szCs w:val="24"/>
        </w:rPr>
        <w:t xml:space="preserve">, hvis forholdet samtidig udgør en overtrædelse af </w:t>
      </w:r>
      <w:r w:rsidR="003B0A56" w:rsidRPr="00573B96">
        <w:rPr>
          <w:rFonts w:cs="Times New Roman"/>
          <w:bCs/>
          <w:szCs w:val="24"/>
        </w:rPr>
        <w:t>straffelovens § 241, 2. pkt., eller § 249, 2. pkt.</w:t>
      </w:r>
    </w:p>
    <w:p w14:paraId="35B92EFC" w14:textId="1C4C43E1" w:rsidR="00493CBE" w:rsidRPr="00573B96" w:rsidRDefault="00493CBE" w:rsidP="00573B96">
      <w:pPr>
        <w:spacing w:line="280" w:lineRule="atLeast"/>
        <w:ind w:right="-143"/>
        <w:jc w:val="left"/>
        <w:rPr>
          <w:rFonts w:cs="Times New Roman"/>
          <w:bCs/>
          <w:szCs w:val="24"/>
        </w:rPr>
      </w:pPr>
    </w:p>
    <w:p w14:paraId="623F7D3C" w14:textId="6D685173" w:rsidR="00493CBE" w:rsidRPr="00573B96" w:rsidRDefault="00493CBE" w:rsidP="00573B96">
      <w:pPr>
        <w:spacing w:line="280" w:lineRule="atLeast"/>
        <w:ind w:right="-143"/>
        <w:jc w:val="left"/>
        <w:rPr>
          <w:rFonts w:cs="Times New Roman"/>
          <w:b/>
          <w:bCs/>
          <w:szCs w:val="24"/>
        </w:rPr>
      </w:pPr>
      <w:r w:rsidRPr="00573B96">
        <w:rPr>
          <w:rFonts w:cs="Times New Roman"/>
          <w:b/>
          <w:bCs/>
          <w:szCs w:val="24"/>
        </w:rPr>
        <w:t>2.4. Lempelse af frakendelsesmæssige sanktioner for førere af udrykningskøretøjer</w:t>
      </w:r>
    </w:p>
    <w:p w14:paraId="38B45A90" w14:textId="4A684528" w:rsidR="00493CBE" w:rsidRPr="00573B96" w:rsidRDefault="00493CBE" w:rsidP="00573B96">
      <w:pPr>
        <w:pStyle w:val="NormalWeb"/>
        <w:spacing w:line="280" w:lineRule="atLeast"/>
        <w:ind w:right="-143"/>
        <w:rPr>
          <w:i/>
          <w:iCs/>
        </w:rPr>
      </w:pPr>
      <w:r w:rsidRPr="00573B96">
        <w:rPr>
          <w:i/>
          <w:iCs/>
        </w:rPr>
        <w:t>2.4.1. Gældende ret</w:t>
      </w:r>
    </w:p>
    <w:p w14:paraId="7A031223" w14:textId="77777777" w:rsidR="00493CBE" w:rsidRPr="00573B96" w:rsidRDefault="00493CBE" w:rsidP="00573B96">
      <w:pPr>
        <w:pStyle w:val="NormalWeb"/>
        <w:spacing w:line="280" w:lineRule="atLeast"/>
        <w:ind w:right="-143"/>
      </w:pPr>
      <w:r w:rsidRPr="00573B96">
        <w:t xml:space="preserve">Reglerne om frakendelse af retten til at føre motordrevet køretøj findes i færdselslovens kapitel 18 og omfatter både betinget (§ 125) og ubetinget (§ 126) frakendelse af førerretten. </w:t>
      </w:r>
    </w:p>
    <w:p w14:paraId="62DBC206" w14:textId="77777777" w:rsidR="00493CBE" w:rsidRPr="00573B96" w:rsidRDefault="00493CBE" w:rsidP="00573B96">
      <w:pPr>
        <w:pStyle w:val="NormalWeb"/>
        <w:spacing w:line="280" w:lineRule="atLeast"/>
        <w:ind w:right="-143"/>
      </w:pPr>
      <w:r w:rsidRPr="00573B96">
        <w:t>Endvidere indeholder lovens § 125, stk. 2, nr. 1-6, en såkaldt klippekortordning. De overtrædelser, der medfører et klip i kørekortet, er kendetegnet ved at være egnet til at skabe trafikfarlige situationer, der ikke i sig selv medfører en betinget frakendelse i medfør af færdselslovens § 125, stk. 1.</w:t>
      </w:r>
    </w:p>
    <w:p w14:paraId="23AF3D05" w14:textId="77777777" w:rsidR="00493CBE" w:rsidRPr="00573B96" w:rsidRDefault="00493CBE" w:rsidP="00573B96">
      <w:pPr>
        <w:pStyle w:val="NormalWeb"/>
        <w:spacing w:line="280" w:lineRule="atLeast"/>
        <w:ind w:right="-143"/>
      </w:pPr>
      <w:r w:rsidRPr="00573B96">
        <w:t xml:space="preserve">De overtrædelser, der efter § 125, stk. 2, kan føre til klip i kørekortet, omfatter blandt andet visse hastighedsovertrædelser, fejl ved overhaling, kørsel i forkert vognbane, overtrædelse af regler om vigepligt, fremkørsel for rødt lys, kørsel med for kort afstand m.v. En fører, der inden for en periode af tre år gør sig skyldig i tre kliprelevante overtrædelser af færdselsloven, skal frakendes førerretten betinget i forbindelse med klip nummer tre. </w:t>
      </w:r>
    </w:p>
    <w:p w14:paraId="14C49E51" w14:textId="77777777" w:rsidR="00493CBE" w:rsidRPr="00573B96" w:rsidRDefault="00493CBE" w:rsidP="00573B96">
      <w:pPr>
        <w:pStyle w:val="NormalWeb"/>
        <w:spacing w:line="280" w:lineRule="atLeast"/>
        <w:ind w:right="-143"/>
      </w:pPr>
      <w:r w:rsidRPr="00573B96">
        <w:t>En fører, der inden for de første tre år efter førstegangserhvervelse af førerretten gør sig skyldig i to kliprelevante overtrædelser af færdselsloven, vil allerede i forbindelse med klip nummer to blive frakendt førerretten betinget og pålagt kørselsforbud, jf. § 127, jf. § 125, stk. 3. Der gælder således en skærpet udgave af klippekortordningen for førstegangserhververe, idet disse kun skal have gjort sig skyldig i to kliprelevante overtrædelser, før den betingede frakendelse indtræder.</w:t>
      </w:r>
    </w:p>
    <w:p w14:paraId="55FA576D" w14:textId="324C4C87" w:rsidR="00493CBE" w:rsidRPr="00573B96" w:rsidRDefault="00493CBE" w:rsidP="00573B96">
      <w:pPr>
        <w:pStyle w:val="NormalWeb"/>
        <w:spacing w:line="280" w:lineRule="atLeast"/>
        <w:ind w:right="-143"/>
      </w:pPr>
      <w:r w:rsidRPr="00573B96">
        <w:t xml:space="preserve">Overtrædelse af færdselslovens kliprelaterede bestemmer straffes desuden med bøde i medfør af færdselslovens § 117, stk. 1, nr. 1, og § 118, stk. 1, nr. 1, og stk. 2-5. </w:t>
      </w:r>
    </w:p>
    <w:p w14:paraId="7FF8CDCE" w14:textId="77777777" w:rsidR="00493CBE" w:rsidRPr="00573B96" w:rsidRDefault="00493CBE" w:rsidP="00573B96">
      <w:pPr>
        <w:pStyle w:val="NormalWeb"/>
        <w:spacing w:line="280" w:lineRule="atLeast"/>
        <w:ind w:right="-143"/>
      </w:pPr>
      <w:r w:rsidRPr="00573B96">
        <w:t xml:space="preserve">Efter færdselslovens § 7, stk. 1, fastsætter transportministeren nærmere bestemmelser om udrykningskørsel, og ministeren kan i den forbindelse fravige reglerne i færdselsloven. </w:t>
      </w:r>
    </w:p>
    <w:p w14:paraId="06FC568B" w14:textId="77777777" w:rsidR="00493CBE" w:rsidRPr="00573B96" w:rsidRDefault="00493CBE" w:rsidP="00573B96">
      <w:pPr>
        <w:pStyle w:val="NormalWeb"/>
        <w:spacing w:line="280" w:lineRule="atLeast"/>
        <w:ind w:right="-143"/>
        <w:rPr>
          <w:i/>
          <w:iCs/>
        </w:rPr>
      </w:pPr>
      <w:r w:rsidRPr="00573B96">
        <w:t>Reglerne om udrykningskørsel er fastsat i bekendtgørelse nr. 588 af 31. maj 2024 om udrykningskørsel m.v. (herefter udrykningsbekendtgørelsen). Udrykningsbekendtgørelsen fastsætter nærmere regler for, hvornår og under hvilke betingelser udrykningskørsel må finde sted.</w:t>
      </w:r>
    </w:p>
    <w:p w14:paraId="1990CBF8" w14:textId="77777777" w:rsidR="00493CBE" w:rsidRPr="00573B96" w:rsidRDefault="00493CBE" w:rsidP="00573B96">
      <w:pPr>
        <w:pStyle w:val="NormalWeb"/>
        <w:spacing w:line="280" w:lineRule="atLeast"/>
        <w:ind w:right="-143"/>
      </w:pPr>
      <w:r w:rsidRPr="00573B96">
        <w:t>Betingelserne for at køre udrykningskørsel fremgår af udrykningsbekendtgørelsens § 1, stk. 1. Det følger af bestemmelsen, at udrykningskørsel kun må foretages, når det skønnes nødvendigt af hensyn til politi - og militærmæssige opgaver, personredning, brand - og redningsopgaver, forureningsuheld, færdselsuheld, beskyttelse af militæraktiver, særlige personbefordringsopgaver, når tungtvejende sikkerhedsmæssige hensyn gør sig gældende, eller afværgelse af omfattede skader i øvrigt. Udrykningskørslen skal afsluttes, når betingelserne for at køre udrykningskørsel ikke længere er opfyldt, jf. § 1, stk. 2.</w:t>
      </w:r>
    </w:p>
    <w:p w14:paraId="62EDA8C8" w14:textId="3493DA20" w:rsidR="00493CBE" w:rsidRPr="00573B96" w:rsidRDefault="00493CBE" w:rsidP="00573B96">
      <w:pPr>
        <w:pStyle w:val="NormalWeb"/>
        <w:spacing w:line="280" w:lineRule="atLeast"/>
        <w:ind w:right="-143"/>
      </w:pPr>
      <w:r w:rsidRPr="00573B96">
        <w:t>Efter udrykningsbekendtgørelsens § 10, stk. 1, kan politiet foretage udrykningskørsel, når det skønnes nødvendigt af hensyn til politiets øvelses</w:t>
      </w:r>
      <w:r w:rsidR="00207751" w:rsidRPr="00573B96">
        <w:t xml:space="preserve">- </w:t>
      </w:r>
      <w:r w:rsidRPr="00573B96">
        <w:t xml:space="preserve">og uddannelsesaktiviteter. Efter § 10, stk. 2, skal Rigspolitiet udarbejde retningslinjer for kørsel efter stk. 1 og sikre, at kørsel sker i overensstemmelse hermed, jf. § 10, stk. 2. </w:t>
      </w:r>
    </w:p>
    <w:p w14:paraId="5270E9A1" w14:textId="77777777" w:rsidR="00493CBE" w:rsidRPr="00573B96" w:rsidRDefault="00493CBE" w:rsidP="00573B96">
      <w:pPr>
        <w:pStyle w:val="NormalWeb"/>
        <w:spacing w:line="280" w:lineRule="atLeast"/>
        <w:ind w:right="-143"/>
      </w:pPr>
      <w:r w:rsidRPr="00573B96">
        <w:t xml:space="preserve">Udrykningsbekendtgørelsens § 2 fastsætter regler for, hvem der må foretage udrykningskørsel. Efter § 2, stk. 1, må udrykningskørsel foretages af politiet, forsvaret, det statslige og kommunale redningsberedskab, det regionale sundhedsberedskab, kriminalforsorgen, og anden offentlig myndighed, der efter stk. 1 foretager udrykningskørsel som led i varetagelsen af myndighedens opgaver. </w:t>
      </w:r>
    </w:p>
    <w:p w14:paraId="25D418FB" w14:textId="77777777" w:rsidR="00207751" w:rsidRPr="00573B96" w:rsidRDefault="00493CBE" w:rsidP="00573B96">
      <w:pPr>
        <w:pStyle w:val="NormalWeb"/>
        <w:spacing w:line="280" w:lineRule="atLeast"/>
        <w:ind w:right="-143"/>
      </w:pPr>
      <w:r w:rsidRPr="00573B96">
        <w:t xml:space="preserve">Uanset stk. 1 kan fysiske og juridiske personer, der har indgået aftale om varetagelsen af opgaver omfattet af § 1, stk. 1, nr. 2-5 og 8, foretage udrykningskørsel, når ordregiveren har udstedt en erklæring om opgavevaretagelsen på en særlig blanket udarbejdet af Færdselsstyrelsen, jf. § 2, stk. 2. </w:t>
      </w:r>
    </w:p>
    <w:p w14:paraId="50BFB1AF" w14:textId="2723DCA3" w:rsidR="00493CBE" w:rsidRPr="00573B96" w:rsidRDefault="00493CBE" w:rsidP="00573B96">
      <w:pPr>
        <w:pStyle w:val="NormalWeb"/>
        <w:spacing w:line="280" w:lineRule="atLeast"/>
        <w:ind w:right="-143"/>
      </w:pPr>
      <w:r w:rsidRPr="00573B96">
        <w:t xml:space="preserve">Efter § 2, stk. 3, kan Færdselsstyrelsen uanset stk. 1 give tilladelse til, at fysiske eller juridiske personer, der udfører opgaver omfattet af § 1, stk. 1, nr. 2, kan foretage udrykningskørsel i op til 2 år, når opgaven følger af anden lovgivning eller er pålagt som vilkår i en offentlig myndigheds afgørelse, og behovet for at foretage udrykningskørsel er dokumenteret.  </w:t>
      </w:r>
    </w:p>
    <w:p w14:paraId="65106B80" w14:textId="77777777" w:rsidR="00493CBE" w:rsidRPr="00573B96" w:rsidRDefault="00493CBE" w:rsidP="00573B96">
      <w:pPr>
        <w:pStyle w:val="NormalWeb"/>
        <w:spacing w:line="280" w:lineRule="atLeast"/>
        <w:ind w:right="-143"/>
      </w:pPr>
      <w:r w:rsidRPr="00573B96">
        <w:t>Som udgangspunkt skal udrykningskørsel gennemføres i overensstemmelse med færdselslovens regler, jf. udrykningsbekendtgørelsens § 8, stk. 1.</w:t>
      </w:r>
    </w:p>
    <w:p w14:paraId="41F9010A" w14:textId="77777777" w:rsidR="00493CBE" w:rsidRPr="00573B96" w:rsidRDefault="00493CBE" w:rsidP="00573B96">
      <w:pPr>
        <w:pStyle w:val="NormalWeb"/>
        <w:spacing w:line="280" w:lineRule="atLeast"/>
        <w:ind w:right="-143"/>
      </w:pPr>
      <w:r w:rsidRPr="00573B96">
        <w:t xml:space="preserve">Efter § 8, stk. 2, kan førere af udrykningskøretøjer dog i særlige tilfælde fravige visse bestemmelser i færdselsloven. Det omfatter færdselslovens § 4, stk. 1, om at efterkomme de anvisninger for færdslen, som angives ved færdselstavler, afmærkning på kørebane eller cykelsti, signalanlæg m.v., reglerne i kapitel 4 om færdselsregler for kørende, kapitel 5 om hastighed, og kapitel 6 om særlige regler for færdsel på motorvej og motortrafikvej. De pågældende regler kan fraviges, når det skønnes påtrængende nødvendigt og forsvarligt efter en afvejning mellem formålet med udrykningskørslen og den færdselssikkerhedsmæssige risiko ved kørslen, og føreren udviser ganske særlig forsigtighed. </w:t>
      </w:r>
    </w:p>
    <w:p w14:paraId="08A9B9EC" w14:textId="12073BF8" w:rsidR="00493CBE" w:rsidRPr="00573B96" w:rsidRDefault="00493CBE" w:rsidP="00573B96">
      <w:pPr>
        <w:pStyle w:val="NormalWeb"/>
        <w:spacing w:line="280" w:lineRule="atLeast"/>
        <w:ind w:right="-143"/>
      </w:pPr>
      <w:r w:rsidRPr="00573B96">
        <w:t xml:space="preserve">Udrykningsbekendtgørelsens § 8, stk. 2, udgør en undtagelse til udgangspunktet om, at udrykningskørsel skal ske i overensstemmelse med færdselslovens regler. Hvis betingelserne for at køre udrykningskørsel er opfyldt, er føreren straffri for overtrædelse af de anførte regler i færdselsloven under udrykningskørsel. Det indebærer, at en fører af et udrykningskøretøj alene kan pålægges straf for en overtrædelse af færdselsloven, hvis føreren ikke har overholdt de særlige regler, der gælder for udrykningskørsel, herunder kravet om, at handlingen skal være påtrængende nødvendig, og at føreren skal udvise </w:t>
      </w:r>
      <w:r w:rsidR="00207751" w:rsidRPr="00573B96">
        <w:t>ganske særlig</w:t>
      </w:r>
      <w:r w:rsidRPr="00573B96">
        <w:t xml:space="preserve"> forsigtighed. Det gælder både forseelser, der sanktioneres med klip i kørekortet, og forseelser, der i sig selv medfører betinget eller ubetinget frakendelse af førerretten. </w:t>
      </w:r>
    </w:p>
    <w:p w14:paraId="724E4BAD" w14:textId="59564D7E" w:rsidR="00493CBE" w:rsidRPr="00573B96" w:rsidRDefault="00493CBE" w:rsidP="00573B96">
      <w:pPr>
        <w:pStyle w:val="NormalWeb"/>
        <w:spacing w:line="280" w:lineRule="atLeast"/>
        <w:ind w:right="-143"/>
      </w:pPr>
      <w:r w:rsidRPr="00573B96">
        <w:t xml:space="preserve">Udrykningsføreren kan for eksempel ikke tildeles klip i kørekortet for at køre over for rødt lys, hvis handlingen har været påtrængende nødvendig og føreren i øvrigt har udvist </w:t>
      </w:r>
      <w:r w:rsidR="00207751" w:rsidRPr="00573B96">
        <w:t>ganske særlig</w:t>
      </w:r>
      <w:r w:rsidRPr="00573B96">
        <w:t xml:space="preserve"> forsigtighed. Det gælder også, selvom kørslen måtte have medført en færdselsulykke</w:t>
      </w:r>
      <w:r w:rsidR="00207751" w:rsidRPr="00573B96">
        <w:t>, eve</w:t>
      </w:r>
      <w:r w:rsidR="00DA18CA" w:rsidRPr="00573B96">
        <w:t>ntuelt med personskade</w:t>
      </w:r>
      <w:r w:rsidRPr="00573B96">
        <w:t xml:space="preserve">. </w:t>
      </w:r>
    </w:p>
    <w:p w14:paraId="40BA2DD9" w14:textId="098D1646" w:rsidR="00493CBE" w:rsidRPr="00573B96" w:rsidRDefault="00493CBE" w:rsidP="00573B96">
      <w:pPr>
        <w:pStyle w:val="NormalWeb"/>
        <w:spacing w:line="280" w:lineRule="atLeast"/>
        <w:ind w:right="-143"/>
      </w:pPr>
      <w:r w:rsidRPr="00573B96">
        <w:t xml:space="preserve">I tilfælde, der ikke er omfattet af udrykningsbekendtgørelsens § 8, stk. 2, kan førere af udrykningskøretøjer ifalde både bøde og frakendelsesmæssige sanktioner efter færdselslovens almindelige regler. </w:t>
      </w:r>
    </w:p>
    <w:p w14:paraId="417DBD5E" w14:textId="1416515F" w:rsidR="00493CBE" w:rsidRPr="00573B96" w:rsidRDefault="00493CBE" w:rsidP="00573B96">
      <w:pPr>
        <w:pStyle w:val="NormalWeb"/>
        <w:spacing w:line="280" w:lineRule="atLeast"/>
        <w:ind w:right="-143"/>
      </w:pPr>
      <w:r w:rsidRPr="00573B96">
        <w:t xml:space="preserve">Det gælder dels </w:t>
      </w:r>
      <w:r w:rsidR="00DA18CA" w:rsidRPr="00573B96">
        <w:t xml:space="preserve">ved </w:t>
      </w:r>
      <w:r w:rsidRPr="00573B96">
        <w:t xml:space="preserve">overtrædelser af </w:t>
      </w:r>
      <w:r w:rsidR="00DA18CA" w:rsidRPr="00573B96">
        <w:t xml:space="preserve">de af </w:t>
      </w:r>
      <w:r w:rsidRPr="00573B96">
        <w:t>færdselsloven</w:t>
      </w:r>
      <w:r w:rsidR="00DA18CA" w:rsidRPr="00573B96">
        <w:t>s regler</w:t>
      </w:r>
      <w:r w:rsidRPr="00573B96">
        <w:t xml:space="preserve">, der ikke er </w:t>
      </w:r>
      <w:r w:rsidR="00DA18CA" w:rsidRPr="00573B96">
        <w:t>angivet</w:t>
      </w:r>
      <w:r w:rsidRPr="00573B96">
        <w:t xml:space="preserve"> i udrykningsbekendtgørelsens § 8, stk. 2. Dertil gælder det tilfælde, hvor udrykningskørslen ikke er berettiget, og tilfælde, hvor det ikke har været påtrængende nødvendig og forsvarlig at fravige færdselslovens regler, samt tilfælde, hvor føreren ikke har udvist ganske særlig forsigtighed i forbindelse med færdselsovertrædelsen.</w:t>
      </w:r>
    </w:p>
    <w:p w14:paraId="0FD68955" w14:textId="183F324E" w:rsidR="00493CBE" w:rsidRPr="00573B96" w:rsidRDefault="00493CBE" w:rsidP="00573B96">
      <w:pPr>
        <w:pStyle w:val="NormalWeb"/>
        <w:spacing w:line="280" w:lineRule="atLeast"/>
        <w:ind w:right="-143"/>
      </w:pPr>
      <w:r w:rsidRPr="00573B96">
        <w:t xml:space="preserve">Uanset § 8, stk. 2, skal føreren altid </w:t>
      </w:r>
      <w:r w:rsidR="00E83A07" w:rsidRPr="00573B96">
        <w:t xml:space="preserve">under udrykningskørsel </w:t>
      </w:r>
      <w:r w:rsidRPr="00573B96">
        <w:t>efterkomme de anvisninger for færdslen, som gives af politiet eller andre, som er bemyndiget til at regulere færdslen</w:t>
      </w:r>
      <w:r w:rsidR="00E83A07" w:rsidRPr="00573B96">
        <w:t>, ligesom f</w:t>
      </w:r>
      <w:r w:rsidRPr="00573B96">
        <w:t xml:space="preserve">øreren altid </w:t>
      </w:r>
      <w:r w:rsidR="00E83A07" w:rsidRPr="00573B96">
        <w:t xml:space="preserve">skal </w:t>
      </w:r>
      <w:r w:rsidRPr="00573B96">
        <w:t>efterkomme signaler eller andre anvisninger for færdslen ved jernbaneoverkørsler og broer, jf. § 8, stk. 3. Efter § 8, stk. 4</w:t>
      </w:r>
      <w:r w:rsidR="00E83A07" w:rsidRPr="00573B96">
        <w:t>,</w:t>
      </w:r>
      <w:r w:rsidRPr="00573B96">
        <w:t xml:space="preserve"> skal føreren ved fremkørsel i lysreguleret kryds mod rødt eller gult nedsætte hastigheden så meget, at der straks kan standes for eventuel tværgående trafik. Disse bestemmelser kan </w:t>
      </w:r>
      <w:r w:rsidR="00E52B0C" w:rsidRPr="00573B96">
        <w:t>aldrig</w:t>
      </w:r>
      <w:r w:rsidRPr="00573B96">
        <w:t xml:space="preserve"> fraviges</w:t>
      </w:r>
      <w:r w:rsidR="00E52B0C" w:rsidRPr="00573B96">
        <w:t xml:space="preserve"> under udrykningskørsel</w:t>
      </w:r>
      <w:r w:rsidRPr="00573B96">
        <w:t>, heller ikke i tilfælde</w:t>
      </w:r>
      <w:r w:rsidR="00E83A07" w:rsidRPr="00573B96">
        <w:t>,</w:t>
      </w:r>
      <w:r w:rsidRPr="00573B96">
        <w:t xml:space="preserve"> hvor det skønnes påtrængende nødvendig og forsvarligt og føreren udviser tilstrækkelig forsigtighed.  </w:t>
      </w:r>
    </w:p>
    <w:p w14:paraId="345F2E9D" w14:textId="77777777" w:rsidR="00493CBE" w:rsidRPr="00573B96" w:rsidRDefault="00493CBE" w:rsidP="00573B96">
      <w:pPr>
        <w:pStyle w:val="NormalWeb"/>
        <w:spacing w:line="280" w:lineRule="atLeast"/>
        <w:ind w:right="-143"/>
      </w:pPr>
      <w:r w:rsidRPr="00573B96">
        <w:t xml:space="preserve">Brug af udrykningssignaler fritager ikke føreren fra at vise hensyn og udvise agtpågivenhed, jf. § 8 stk. 5. </w:t>
      </w:r>
    </w:p>
    <w:p w14:paraId="428C015F" w14:textId="77777777" w:rsidR="00493CBE" w:rsidRPr="00573B96" w:rsidRDefault="00493CBE" w:rsidP="00573B96">
      <w:pPr>
        <w:pStyle w:val="NormalWeb"/>
        <w:spacing w:line="280" w:lineRule="atLeast"/>
        <w:ind w:right="-143"/>
      </w:pPr>
      <w:r w:rsidRPr="00573B96">
        <w:t xml:space="preserve">Overtrædelse af udrykningsbekendtgørelsens § 1, § 3, § 7, stk. 1, 1 pkt., stk. 2 og 4, § 8, stk. 3-5, § 9, stk. 3, og § 11, stk. 4, straffes med bøde, jf. udrykningsbekendtgørelsens § 13. </w:t>
      </w:r>
    </w:p>
    <w:p w14:paraId="101D662B" w14:textId="1EBE9417" w:rsidR="00493CBE" w:rsidRPr="00573B96" w:rsidRDefault="00493CBE" w:rsidP="00573B96">
      <w:pPr>
        <w:spacing w:before="100" w:beforeAutospacing="1" w:after="100" w:afterAutospacing="1" w:line="280" w:lineRule="atLeast"/>
        <w:ind w:right="-143"/>
        <w:jc w:val="left"/>
        <w:rPr>
          <w:rFonts w:cs="Times New Roman"/>
          <w:i/>
          <w:iCs/>
          <w:szCs w:val="24"/>
        </w:rPr>
      </w:pPr>
      <w:r w:rsidRPr="00573B96">
        <w:rPr>
          <w:rFonts w:cs="Times New Roman"/>
          <w:i/>
          <w:iCs/>
          <w:szCs w:val="24"/>
        </w:rPr>
        <w:t>2.4.2. Transportministeriets overvejelser</w:t>
      </w:r>
    </w:p>
    <w:p w14:paraId="52E52C21" w14:textId="77777777" w:rsidR="00493CBE" w:rsidRPr="00573B96" w:rsidRDefault="00493CBE" w:rsidP="00573B96">
      <w:pPr>
        <w:spacing w:before="100" w:beforeAutospacing="1" w:after="100" w:afterAutospacing="1" w:line="280" w:lineRule="atLeast"/>
        <w:ind w:right="-143"/>
        <w:jc w:val="left"/>
        <w:rPr>
          <w:rFonts w:eastAsia="Times New Roman" w:cs="Times New Roman"/>
          <w:szCs w:val="24"/>
          <w:lang w:eastAsia="da-DK"/>
        </w:rPr>
      </w:pPr>
      <w:r w:rsidRPr="00573B96">
        <w:rPr>
          <w:rFonts w:eastAsia="Times New Roman" w:cs="Times New Roman"/>
          <w:szCs w:val="24"/>
          <w:lang w:eastAsia="da-DK"/>
        </w:rPr>
        <w:t>Udrykningsberedskabet udfører et centralt og livsvigtigt arbejde, hvor hurtig indsats ofte er afgørende for at redde liv og begrænse skade på personer, ejendom eller miljø. U</w:t>
      </w:r>
      <w:r w:rsidRPr="00573B96">
        <w:rPr>
          <w:rFonts w:cs="Times New Roman"/>
          <w:szCs w:val="24"/>
        </w:rPr>
        <w:t>drykningskørsel indebærer dog betydelige færdselssikkerhedsmæssige risici. Det er derfor en grundlæggende forudsætning, at udrykningsførere kun fraviger færdselslovens regler, når det er påtrængende nødvendigt og forsvarligt, og at føreren altid udviser tilstrækkelig forsigtighed i forbindelse hermed.</w:t>
      </w:r>
    </w:p>
    <w:p w14:paraId="3CDAC3C8" w14:textId="77777777" w:rsidR="00493CBE" w:rsidRPr="00573B96" w:rsidRDefault="00493CBE" w:rsidP="00573B96">
      <w:pPr>
        <w:spacing w:before="100" w:beforeAutospacing="1" w:after="100" w:afterAutospacing="1" w:line="280" w:lineRule="atLeast"/>
        <w:ind w:right="-143"/>
        <w:jc w:val="left"/>
        <w:rPr>
          <w:rFonts w:cs="Times New Roman"/>
          <w:szCs w:val="24"/>
        </w:rPr>
      </w:pPr>
      <w:r w:rsidRPr="00573B96">
        <w:rPr>
          <w:rFonts w:cs="Times New Roman"/>
          <w:szCs w:val="24"/>
        </w:rPr>
        <w:t xml:space="preserve">Færdselslovens og udrykningsbekendtgørelsens regler er derfor også indrettet således, at de søger at afspejle en balance mellem formålet med udrykningskørsel og hensynet til den generelle færdselssikkerhed og øvrige trafikanter. Udrykningsførere kan således under udrykningskørsel fravige udvalgte regler i færdselsloven uden at blive straffet herfor, hvis de har udvist tilstrækkelig forsigtighed. </w:t>
      </w:r>
    </w:p>
    <w:p w14:paraId="2F95A8AC" w14:textId="22BDF384" w:rsidR="00493CBE" w:rsidRPr="00573B96" w:rsidRDefault="00493CBE" w:rsidP="00573B96">
      <w:pPr>
        <w:spacing w:before="100" w:beforeAutospacing="1" w:after="100" w:afterAutospacing="1" w:line="280" w:lineRule="atLeast"/>
        <w:ind w:right="-143"/>
        <w:jc w:val="left"/>
        <w:rPr>
          <w:rFonts w:eastAsia="Times New Roman" w:cs="Times New Roman"/>
          <w:szCs w:val="24"/>
          <w:lang w:eastAsia="da-DK"/>
        </w:rPr>
      </w:pPr>
      <w:r w:rsidRPr="00573B96">
        <w:rPr>
          <w:rFonts w:eastAsia="Times New Roman" w:cs="Times New Roman"/>
          <w:szCs w:val="24"/>
          <w:lang w:eastAsia="da-DK"/>
        </w:rPr>
        <w:t xml:space="preserve">Udrykningsførere bliver i forbindelse med udførelsen af deres arbejde sat i situationer, hvor de under stort tidspres skal foretage skøn over, hvordan de bedst kommer frem til indsatsstedet, samtidig med at de skal tage hensyn til trafiksikkerhed og </w:t>
      </w:r>
      <w:r w:rsidR="00A27120">
        <w:rPr>
          <w:rFonts w:eastAsia="Times New Roman" w:cs="Times New Roman"/>
          <w:szCs w:val="24"/>
          <w:lang w:eastAsia="da-DK"/>
        </w:rPr>
        <w:t>undgå</w:t>
      </w:r>
      <w:r w:rsidR="00CA3308">
        <w:rPr>
          <w:rFonts w:eastAsia="Times New Roman" w:cs="Times New Roman"/>
          <w:szCs w:val="24"/>
          <w:lang w:eastAsia="da-DK"/>
        </w:rPr>
        <w:t xml:space="preserve"> </w:t>
      </w:r>
      <w:r w:rsidR="00A27120">
        <w:rPr>
          <w:rFonts w:eastAsia="Times New Roman" w:cs="Times New Roman"/>
          <w:szCs w:val="24"/>
          <w:lang w:eastAsia="da-DK"/>
        </w:rPr>
        <w:t>at påføre skade</w:t>
      </w:r>
      <w:r w:rsidRPr="00573B96">
        <w:rPr>
          <w:rFonts w:eastAsia="Times New Roman" w:cs="Times New Roman"/>
          <w:szCs w:val="24"/>
          <w:lang w:eastAsia="da-DK"/>
        </w:rPr>
        <w:t xml:space="preserve"> på personer eller ejendom. </w:t>
      </w:r>
    </w:p>
    <w:p w14:paraId="1B74A03C" w14:textId="77777777" w:rsidR="00493CBE" w:rsidRPr="00573B96" w:rsidRDefault="00493CBE" w:rsidP="00573B96">
      <w:pPr>
        <w:spacing w:before="100" w:beforeAutospacing="1" w:after="100" w:afterAutospacing="1" w:line="280" w:lineRule="atLeast"/>
        <w:ind w:right="-143"/>
        <w:jc w:val="left"/>
        <w:rPr>
          <w:rFonts w:eastAsia="Times New Roman" w:cs="Times New Roman"/>
          <w:szCs w:val="24"/>
          <w:lang w:eastAsia="da-DK"/>
        </w:rPr>
      </w:pPr>
      <w:r w:rsidRPr="00573B96">
        <w:rPr>
          <w:rFonts w:eastAsia="Times New Roman" w:cs="Times New Roman"/>
          <w:szCs w:val="24"/>
          <w:lang w:eastAsia="da-DK"/>
        </w:rPr>
        <w:t xml:space="preserve">De komplekse vurderinger og det betydelige tidspres, som førerne ofte står overfor, kan medføre mindre fejlskøn, uden at det nødvendigvis afspejler uforsvarlig kørsel. </w:t>
      </w:r>
    </w:p>
    <w:p w14:paraId="6433D7CA" w14:textId="77777777" w:rsidR="00493CBE" w:rsidRPr="00573B96" w:rsidRDefault="00493CBE" w:rsidP="00573B96">
      <w:pPr>
        <w:spacing w:before="100" w:beforeAutospacing="1" w:after="100" w:afterAutospacing="1" w:line="280" w:lineRule="atLeast"/>
        <w:ind w:right="-143"/>
        <w:jc w:val="left"/>
        <w:rPr>
          <w:rFonts w:eastAsia="Times New Roman" w:cs="Times New Roman"/>
          <w:szCs w:val="24"/>
          <w:lang w:eastAsia="da-DK"/>
        </w:rPr>
      </w:pPr>
      <w:r w:rsidRPr="00573B96">
        <w:rPr>
          <w:rFonts w:eastAsia="Times New Roman" w:cs="Times New Roman"/>
          <w:szCs w:val="24"/>
          <w:lang w:eastAsia="da-DK"/>
        </w:rPr>
        <w:t xml:space="preserve">Udrykningsførere er afhængige af deres kørekort for at kunne udøve deres erhverv, og Transportministeriet finder det ikke rimeligt, at udrykningsførere under udførelsen af deres arbejde skal frygte at få klip i kørekortet på grund af mindre fejlvurderinger. </w:t>
      </w:r>
      <w:r w:rsidRPr="00573B96">
        <w:rPr>
          <w:rFonts w:cs="Times New Roman"/>
          <w:szCs w:val="24"/>
        </w:rPr>
        <w:t>Reglerne på området bør derfor tage bedre højde for den særlige situation, som udrykningsberedskabet befinder sig i</w:t>
      </w:r>
      <w:r w:rsidRPr="00573B96">
        <w:rPr>
          <w:rFonts w:eastAsia="Times New Roman" w:cs="Times New Roman"/>
          <w:szCs w:val="24"/>
          <w:lang w:eastAsia="da-DK"/>
        </w:rPr>
        <w:t>.</w:t>
      </w:r>
    </w:p>
    <w:p w14:paraId="33EA50DA" w14:textId="77777777" w:rsidR="00493CBE" w:rsidRPr="00573B96" w:rsidRDefault="00493CBE" w:rsidP="00573B96">
      <w:pPr>
        <w:pStyle w:val="NormalWeb"/>
        <w:spacing w:line="280" w:lineRule="atLeast"/>
        <w:ind w:right="-143"/>
      </w:pPr>
      <w:r w:rsidRPr="00573B96">
        <w:t xml:space="preserve">I tilfælde, hvor betingelserne for at køre udrykningskørsel er opfyldt, er det derfor Transportministeriets opfattelse, at de frakendelsesmæssige sanktioner bør lempes, således at førere af udrykningskøretøjer ikke risikerer frakendelsesmæssige sanktionere for overtrædelse af de bestemmelser i færdselsloven, som de i medfør af udrykningsbekendtgørelsen kan fravige. Det bør være tilfældet, uanset at føreren efter en konkret vurdering ikke har udvist tilstrækkelig forsigtighed eller på grund af mindre fejlvurderinger i forhold til nødvendigheden af at overtræde færdselslovens regler. </w:t>
      </w:r>
    </w:p>
    <w:p w14:paraId="3F2C8753" w14:textId="77777777" w:rsidR="00493CBE" w:rsidRPr="00573B96" w:rsidRDefault="00493CBE" w:rsidP="00573B96">
      <w:pPr>
        <w:pStyle w:val="NormalWeb"/>
        <w:spacing w:line="280" w:lineRule="atLeast"/>
        <w:ind w:right="-143"/>
      </w:pPr>
      <w:r w:rsidRPr="00573B96">
        <w:t xml:space="preserve">Efter Transportministeriets opfattelse bør udrykningsførere fortsat kunne sanktioneres med bøde for overtrædelser af de færdselsregler, som de ellers kan fravige efter udrykningsbekendtgørelsen, hvis overtrædelsen ikke var nødvendig i den konkrete situation eller føreren ikke udviste tilstrækkelig forsigtighed. På den måde tilstræbes det, at reglerne for udrykningskørsel generelt overholdes, samtidig med at udrykningsførere ikke risikerer at miste kørekortet på grund af mindre fejlvurderinger. </w:t>
      </w:r>
    </w:p>
    <w:p w14:paraId="2A50439C" w14:textId="77777777" w:rsidR="00493CBE" w:rsidRPr="00573B96" w:rsidRDefault="00493CBE" w:rsidP="00573B96">
      <w:pPr>
        <w:pStyle w:val="NormalWeb"/>
        <w:spacing w:line="280" w:lineRule="atLeast"/>
        <w:ind w:right="-143"/>
      </w:pPr>
      <w:r w:rsidRPr="00573B96">
        <w:t>Af hensyn til færdselssikkerheden og hensynet til andre trafikanter, bør lempelsen efter Transportministeriets vurdering imidlertid alene være i forhold til de mindre alvorlige overtrædelser af færdselsloven, som efter de gældende regler vil medføre et klip i kørekortet. Hvis der er tale om overtrædelser, som i sig selv vil medføre en betinget eller ubetinget frakendelse, bør udrykningsførere fortsat sanktioneres med sådanne frakendelser, hvis de ikke i den konkrete situation har udvist den tilstrækkelige forsigtighed.</w:t>
      </w:r>
    </w:p>
    <w:p w14:paraId="643E83F2" w14:textId="286243E4" w:rsidR="00493CBE" w:rsidRPr="00573B96" w:rsidRDefault="00493CBE" w:rsidP="00573B96">
      <w:pPr>
        <w:pStyle w:val="NormalWeb"/>
        <w:spacing w:line="280" w:lineRule="atLeast"/>
        <w:ind w:right="-143"/>
        <w:rPr>
          <w:rFonts w:eastAsia="Calibri"/>
        </w:rPr>
      </w:pPr>
      <w:r w:rsidRPr="00573B96">
        <w:rPr>
          <w:rFonts w:eastAsia="Calibri"/>
        </w:rPr>
        <w:t>Fremkørsel mod rødt eller gult lyssignal i kryds er forbundet med en meget stor risiko for påkørsel, hvorfor det er af overordentlig stor betydning, at udrykningsbekendtgørelsens krav om nedsættelse af hastigheden overholdes. Det bør således alene være muligt at undgå klip i kørekortet for overtrædelse af færdselslovens § 4, stk. 1, i tilfælde, hvor der ikke er udvist tilstrækkelig forsigtighed, hvis føreren dog har nedsat hastigheden i tilstrækkeligt omfang til at kunne standse for mulig tværgående trafik.</w:t>
      </w:r>
    </w:p>
    <w:p w14:paraId="4D58D7AB" w14:textId="77777777" w:rsidR="00493CBE" w:rsidRPr="00573B96" w:rsidRDefault="00493CBE" w:rsidP="00573B96">
      <w:pPr>
        <w:pStyle w:val="NormalWeb"/>
        <w:spacing w:line="280" w:lineRule="atLeast"/>
        <w:ind w:right="-143"/>
      </w:pPr>
      <w:r w:rsidRPr="00573B96">
        <w:rPr>
          <w:rFonts w:eastAsia="Calibri"/>
        </w:rPr>
        <w:t>En sådan lempelse af færdselslovens frakendelsesmæssige sanktioner vil efter Transportministeriets opfattelse skabe en bedre balance mellem de særlige arbejdsbetingelser, som udrykningsførere er underlagt, og de færdselssikkerhedsmæssige hensyn til andre trafikanter.</w:t>
      </w:r>
    </w:p>
    <w:p w14:paraId="6456A584" w14:textId="1CAFD10A" w:rsidR="00493CBE" w:rsidRPr="00573B96" w:rsidRDefault="00493CBE" w:rsidP="00573B96">
      <w:pPr>
        <w:pStyle w:val="NormalWeb"/>
        <w:spacing w:line="280" w:lineRule="atLeast"/>
        <w:ind w:right="-143"/>
        <w:rPr>
          <w:rFonts w:eastAsia="Calibri"/>
        </w:rPr>
      </w:pPr>
      <w:r w:rsidRPr="00573B96">
        <w:rPr>
          <w:i/>
          <w:iCs/>
        </w:rPr>
        <w:t>2.4.3. Den foreslåede ordning</w:t>
      </w:r>
    </w:p>
    <w:p w14:paraId="6B18B675" w14:textId="1BACFDAC" w:rsidR="00493CBE" w:rsidRPr="00573B96" w:rsidRDefault="00493CBE" w:rsidP="00573B96">
      <w:pPr>
        <w:spacing w:line="280" w:lineRule="atLeast"/>
        <w:ind w:right="-143"/>
        <w:jc w:val="left"/>
        <w:rPr>
          <w:rFonts w:eastAsia="Calibri" w:cs="Times New Roman"/>
          <w:szCs w:val="24"/>
        </w:rPr>
      </w:pPr>
      <w:r w:rsidRPr="00573B96">
        <w:rPr>
          <w:rFonts w:eastAsia="Calibri" w:cs="Times New Roman"/>
          <w:szCs w:val="24"/>
        </w:rPr>
        <w:t xml:space="preserve">Det foreslås, at der i færdselslovens § 125 indsættes et nyt stykke 6, hvoraf det fremgår, at med undtagelse af forhold omfattet af § 4, stk. 2, § 5, stk. 2, og § 55 a, stk. 1, gælder § 125, stk. 2, nr. 1-5, ikke for førere af udrykningskøretøjer under udrykningskørsel, der er omfattet af regler udstedt i medfør af § 7, stk. 1, hvis betingelserne for at </w:t>
      </w:r>
      <w:r w:rsidR="002C7359" w:rsidRPr="00573B96">
        <w:rPr>
          <w:rFonts w:eastAsia="Calibri" w:cs="Times New Roman"/>
          <w:szCs w:val="24"/>
        </w:rPr>
        <w:t>foretage</w:t>
      </w:r>
      <w:r w:rsidRPr="00573B96">
        <w:rPr>
          <w:rFonts w:eastAsia="Calibri" w:cs="Times New Roman"/>
          <w:szCs w:val="24"/>
        </w:rPr>
        <w:t xml:space="preserve"> udrykningskørsel er opfyldt. Det vil endvidere af det foreslåede stk. 6 fremgå, at ved overtrædelse af § 4, stk. 1, i forbindelse med fremkørsel mod rødt eller gult lyssignal i kryds, vil den foreslåede lempelse alene finde anvendelse, hvis føreren har nedsat hastigheden i tilstrækkeligt omfang til, at der straks kan standes for tværgående trafik. </w:t>
      </w:r>
    </w:p>
    <w:p w14:paraId="2E1C89DC" w14:textId="77777777" w:rsidR="00493CBE" w:rsidRPr="00573B96" w:rsidRDefault="00493CBE" w:rsidP="00573B96">
      <w:pPr>
        <w:spacing w:line="280" w:lineRule="atLeast"/>
        <w:ind w:right="-143"/>
        <w:jc w:val="left"/>
        <w:rPr>
          <w:rFonts w:eastAsia="Calibri" w:cs="Times New Roman"/>
          <w:szCs w:val="24"/>
        </w:rPr>
      </w:pPr>
    </w:p>
    <w:p w14:paraId="17E1915E" w14:textId="77777777" w:rsidR="00493CBE" w:rsidRPr="00573B96" w:rsidRDefault="00493CBE" w:rsidP="00573B96">
      <w:pPr>
        <w:spacing w:line="280" w:lineRule="atLeast"/>
        <w:ind w:right="-143"/>
        <w:jc w:val="left"/>
        <w:rPr>
          <w:rFonts w:cs="Times New Roman"/>
          <w:szCs w:val="24"/>
        </w:rPr>
      </w:pPr>
      <w:r w:rsidRPr="00573B96">
        <w:rPr>
          <w:rFonts w:cs="Times New Roman"/>
          <w:szCs w:val="24"/>
        </w:rPr>
        <w:t>Det er en forudsætning for, at udrykningsførere vil være omfattet af det foreslåede stk. 6, at udrykningskørslen har været berettiget. Det vil sige, at udrykningskørslen skal have været nødvendig af hensyn til de opgaver, som fremgår af udrykningsbekendtgørelsens § 1, stk. 1.</w:t>
      </w:r>
    </w:p>
    <w:p w14:paraId="439291D3" w14:textId="1E97D84D" w:rsidR="00493CBE" w:rsidRPr="00573B96" w:rsidRDefault="00493CBE" w:rsidP="00573B96">
      <w:pPr>
        <w:spacing w:before="100" w:beforeAutospacing="1" w:after="100" w:afterAutospacing="1" w:line="280" w:lineRule="atLeast"/>
        <w:ind w:right="-143"/>
        <w:jc w:val="left"/>
        <w:outlineLvl w:val="2"/>
        <w:rPr>
          <w:rFonts w:eastAsia="Calibri" w:cs="Times New Roman"/>
          <w:szCs w:val="24"/>
        </w:rPr>
      </w:pPr>
      <w:r w:rsidRPr="00573B96">
        <w:rPr>
          <w:rFonts w:eastAsia="Calibri" w:cs="Times New Roman"/>
          <w:szCs w:val="24"/>
        </w:rPr>
        <w:t xml:space="preserve">Det er alene overtrædelser af de færdselsregler, der kan fraviges i medfør af udrykningsbekendtgørelsens § 8 stk. 2, der vil være omfattet af den foreslåede lempelse. Efter udrykningsbekendtgørelsens regler kan færdselslovens § 4, stk. 2 (pligt til at efterkomme politiets anvisninger for færdslen), § 5, stk. 2 (pligt til standsning ved jernbanespor), og § 55 a (forbud mod brug af håndholdt teleudstyr) ikke fraviges under udrykningskørsel. Overtrædelse af disse bestemmelser under udrykningskørsel vil således fortsat medføre klip i kørekortet i medfør af § 125, stk. 2, nr. 1 og 2. I forhold til § 55 a vil der dog i medfør af </w:t>
      </w:r>
      <w:r w:rsidR="005E24AE" w:rsidRPr="00573B96">
        <w:rPr>
          <w:rFonts w:eastAsia="Calibri" w:cs="Times New Roman"/>
          <w:szCs w:val="24"/>
        </w:rPr>
        <w:t>færdselslovens</w:t>
      </w:r>
      <w:r w:rsidRPr="00573B96">
        <w:rPr>
          <w:rFonts w:eastAsia="Calibri" w:cs="Times New Roman"/>
          <w:szCs w:val="24"/>
        </w:rPr>
        <w:t xml:space="preserve"> gældende regler alene kunne tildeles udrykningsførere et klip i kørekortet for at anvende håndholdt teleudstyr under udrykningskørsel, hvis brugen ikke har været nødvendig for den operative indsats, jf. § 55 a, stk. 5.</w:t>
      </w:r>
    </w:p>
    <w:p w14:paraId="68F11AD9" w14:textId="3819ECD6" w:rsidR="00493CBE" w:rsidRPr="00573B96" w:rsidRDefault="00493CBE" w:rsidP="00573B96">
      <w:pPr>
        <w:spacing w:before="100" w:beforeAutospacing="1" w:after="100" w:afterAutospacing="1" w:line="280" w:lineRule="atLeast"/>
        <w:ind w:right="-143"/>
        <w:jc w:val="left"/>
        <w:outlineLvl w:val="2"/>
        <w:rPr>
          <w:rFonts w:eastAsia="Calibri" w:cs="Times New Roman"/>
          <w:szCs w:val="24"/>
        </w:rPr>
      </w:pPr>
      <w:r w:rsidRPr="00573B96">
        <w:rPr>
          <w:rFonts w:eastAsia="Calibri" w:cs="Times New Roman"/>
          <w:szCs w:val="24"/>
        </w:rPr>
        <w:t xml:space="preserve">Tilsvarende kan færdselslovens regler om kørsel under påvirkning af euforiserende stoffer ikke fraviges under udrykningskørsel, hvorfor den foreslåede bestemmelse ikke omfatter klip </w:t>
      </w:r>
      <w:r w:rsidR="005E24AE" w:rsidRPr="00573B96">
        <w:rPr>
          <w:rFonts w:eastAsia="Calibri" w:cs="Times New Roman"/>
          <w:szCs w:val="24"/>
        </w:rPr>
        <w:t>i kørekortet</w:t>
      </w:r>
      <w:r w:rsidRPr="00573B96">
        <w:rPr>
          <w:rFonts w:eastAsia="Calibri" w:cs="Times New Roman"/>
          <w:szCs w:val="24"/>
        </w:rPr>
        <w:t xml:space="preserve"> efter § 125, stk. 2, nr. 6 (THC-kørsel i det laveste interval mellem 0,001</w:t>
      </w:r>
      <w:r w:rsidR="005E24AE" w:rsidRPr="00573B96">
        <w:rPr>
          <w:rFonts w:eastAsia="Calibri" w:cs="Times New Roman"/>
          <w:szCs w:val="24"/>
        </w:rPr>
        <w:t>1</w:t>
      </w:r>
      <w:r w:rsidRPr="00573B96">
        <w:rPr>
          <w:rFonts w:eastAsia="Calibri" w:cs="Times New Roman"/>
          <w:szCs w:val="24"/>
        </w:rPr>
        <w:t>-0,003 mg THC pr. kilogram blod).</w:t>
      </w:r>
    </w:p>
    <w:p w14:paraId="049FF6D0" w14:textId="77777777" w:rsidR="00493CBE" w:rsidRPr="00573B96" w:rsidRDefault="00493CBE" w:rsidP="00573B96">
      <w:pPr>
        <w:spacing w:line="280" w:lineRule="atLeast"/>
        <w:ind w:right="-143"/>
        <w:jc w:val="left"/>
        <w:rPr>
          <w:rFonts w:cs="Times New Roman"/>
          <w:szCs w:val="24"/>
        </w:rPr>
      </w:pPr>
      <w:r w:rsidRPr="00573B96">
        <w:rPr>
          <w:rFonts w:cs="Times New Roman"/>
          <w:szCs w:val="24"/>
        </w:rPr>
        <w:t>I tilfælde, hvor udrykningskørslen har været berettiget, medfører den foreslåede bestemmelse således, at førere af udrykningskøretøjer ikke vil skulle tildeles klip i kørekortet for overtrædelser af de omhandlede bestemmelser af færdselsloven. Dette vil gælde uanset, om selve overtrædelsen har været påtrængende nødvendig, eller om føreren har udvist tilstrækkelig forsigtighed.</w:t>
      </w:r>
    </w:p>
    <w:p w14:paraId="07CC4655" w14:textId="77777777" w:rsidR="00493CBE" w:rsidRPr="00573B96" w:rsidRDefault="00493CBE" w:rsidP="00573B96">
      <w:pPr>
        <w:spacing w:line="280" w:lineRule="atLeast"/>
        <w:ind w:right="-143"/>
        <w:jc w:val="left"/>
        <w:rPr>
          <w:rFonts w:cs="Times New Roman"/>
          <w:szCs w:val="24"/>
        </w:rPr>
      </w:pPr>
    </w:p>
    <w:p w14:paraId="42B2EA45" w14:textId="77777777" w:rsidR="00493CBE" w:rsidRPr="00573B96" w:rsidRDefault="00493CBE" w:rsidP="00573B96">
      <w:pPr>
        <w:spacing w:line="280" w:lineRule="atLeast"/>
        <w:ind w:right="-143"/>
        <w:jc w:val="left"/>
        <w:rPr>
          <w:rFonts w:cs="Times New Roman"/>
          <w:szCs w:val="24"/>
        </w:rPr>
      </w:pPr>
      <w:r w:rsidRPr="00573B96">
        <w:rPr>
          <w:rFonts w:cs="Times New Roman"/>
          <w:szCs w:val="24"/>
        </w:rPr>
        <w:t xml:space="preserve">Ved overtrædelser af § 4, stk. 1, om fremkørsel for rødt eller gult lyssignal, vil udrykningsføreren dog kun være omfattet af den foreslåede lempelse, i det omfang føreren har nedsat hastigheden tilstrækkeligt til at kunne standse for eventuel tværgående trafik. </w:t>
      </w:r>
    </w:p>
    <w:p w14:paraId="64D2262A" w14:textId="3BF3E1FE" w:rsidR="00493CBE" w:rsidRPr="00573B96" w:rsidRDefault="00493CBE" w:rsidP="00573B96">
      <w:pPr>
        <w:spacing w:before="100" w:beforeAutospacing="1" w:after="100" w:afterAutospacing="1" w:line="280" w:lineRule="atLeast"/>
        <w:ind w:right="-143"/>
        <w:jc w:val="left"/>
        <w:outlineLvl w:val="2"/>
        <w:rPr>
          <w:rFonts w:cs="Times New Roman"/>
          <w:szCs w:val="24"/>
        </w:rPr>
      </w:pPr>
      <w:r w:rsidRPr="00573B96">
        <w:rPr>
          <w:rFonts w:cs="Times New Roman"/>
          <w:szCs w:val="24"/>
        </w:rPr>
        <w:t xml:space="preserve">Den foreslåede lempelse omfatter ikke overtrædelser af færdselsloven, der medfører betinget eller ubetinget frakendelse af førerretten efter § 125, stk. 1, eller § 126. Føreren vil derfor fortsat </w:t>
      </w:r>
      <w:r w:rsidR="002C7359" w:rsidRPr="00573B96">
        <w:rPr>
          <w:rFonts w:cs="Times New Roman"/>
          <w:szCs w:val="24"/>
        </w:rPr>
        <w:t>skulle</w:t>
      </w:r>
      <w:r w:rsidRPr="00573B96">
        <w:rPr>
          <w:rFonts w:cs="Times New Roman"/>
          <w:szCs w:val="24"/>
        </w:rPr>
        <w:t xml:space="preserve"> frakendes førerretten betinget eller ubetinget for overtrædelser omfattet af færdselslovens bestemmelser herom, hvis overtrædelserne ikke har være påtrængende nødvendige, og hvis føreren ikke har udvist tilstrækkelig forsigtighed.</w:t>
      </w:r>
    </w:p>
    <w:p w14:paraId="6D0F15F0" w14:textId="2819C172" w:rsidR="00493CBE" w:rsidRPr="00573B96" w:rsidRDefault="00493CBE" w:rsidP="00573B96">
      <w:pPr>
        <w:spacing w:before="100" w:beforeAutospacing="1" w:after="100" w:afterAutospacing="1" w:line="280" w:lineRule="atLeast"/>
        <w:ind w:right="-143"/>
        <w:jc w:val="left"/>
        <w:outlineLvl w:val="2"/>
        <w:rPr>
          <w:rFonts w:cs="Times New Roman"/>
          <w:szCs w:val="24"/>
        </w:rPr>
      </w:pPr>
      <w:r w:rsidRPr="00573B96">
        <w:rPr>
          <w:rFonts w:cs="Times New Roman"/>
          <w:szCs w:val="24"/>
        </w:rPr>
        <w:t xml:space="preserve">De foreslåede ændringer har ikke betydning for straffastsættelsen i de pågældende sager. Udrykningsførere vil således fortsat kunne straffes med bøde, hvis de overtræder færdselslovens regler, uden at udrykningsbekendtgørelsens betingelser herfor er opfyldt. </w:t>
      </w:r>
    </w:p>
    <w:p w14:paraId="6C0C010C" w14:textId="2F04C847" w:rsidR="00441A5B" w:rsidRPr="00573B96" w:rsidRDefault="00493CBE" w:rsidP="00573B96">
      <w:pPr>
        <w:spacing w:line="280" w:lineRule="atLeast"/>
        <w:ind w:right="-143"/>
        <w:jc w:val="left"/>
        <w:rPr>
          <w:rFonts w:cs="Times New Roman"/>
          <w:b/>
          <w:bCs/>
          <w:szCs w:val="24"/>
        </w:rPr>
      </w:pPr>
      <w:r w:rsidRPr="00573B96">
        <w:rPr>
          <w:rFonts w:cs="Times New Roman"/>
          <w:b/>
          <w:bCs/>
          <w:szCs w:val="24"/>
        </w:rPr>
        <w:t xml:space="preserve">2.5. </w:t>
      </w:r>
      <w:r w:rsidR="000A06CD" w:rsidRPr="00573B96">
        <w:rPr>
          <w:rFonts w:cs="Times New Roman"/>
          <w:b/>
          <w:bCs/>
          <w:szCs w:val="24"/>
        </w:rPr>
        <w:t xml:space="preserve">Bemyndigelse til dispensation fra færdselsreglerne i forbindelse med gennemførelse af </w:t>
      </w:r>
      <w:r w:rsidR="000703C3">
        <w:rPr>
          <w:rFonts w:cs="Times New Roman"/>
          <w:b/>
          <w:bCs/>
          <w:szCs w:val="24"/>
        </w:rPr>
        <w:t>blokvognskørsel</w:t>
      </w:r>
      <w:r w:rsidR="000A06CD" w:rsidRPr="00573B96" w:rsidDel="000A06CD">
        <w:rPr>
          <w:rFonts w:cs="Times New Roman"/>
          <w:b/>
          <w:bCs/>
          <w:szCs w:val="24"/>
        </w:rPr>
        <w:t xml:space="preserve"> </w:t>
      </w:r>
    </w:p>
    <w:p w14:paraId="116D5CA7" w14:textId="77777777" w:rsidR="00441A5B" w:rsidRPr="00573B96" w:rsidRDefault="00441A5B" w:rsidP="00573B96">
      <w:pPr>
        <w:spacing w:line="280" w:lineRule="atLeast"/>
        <w:ind w:right="-143"/>
        <w:jc w:val="left"/>
        <w:rPr>
          <w:rFonts w:cs="Times New Roman"/>
          <w:b/>
          <w:bCs/>
          <w:szCs w:val="24"/>
        </w:rPr>
      </w:pPr>
    </w:p>
    <w:p w14:paraId="1E381355" w14:textId="1FE759BB" w:rsidR="00441A5B" w:rsidRPr="00573B96" w:rsidRDefault="00441A5B" w:rsidP="00573B96">
      <w:pPr>
        <w:spacing w:line="280" w:lineRule="atLeast"/>
        <w:ind w:right="-143"/>
        <w:jc w:val="left"/>
        <w:rPr>
          <w:rFonts w:cs="Times New Roman"/>
          <w:i/>
          <w:iCs/>
          <w:szCs w:val="24"/>
        </w:rPr>
      </w:pPr>
      <w:r w:rsidRPr="00573B96">
        <w:rPr>
          <w:rFonts w:cs="Times New Roman"/>
          <w:i/>
          <w:iCs/>
          <w:szCs w:val="24"/>
        </w:rPr>
        <w:t>2.5.1. Gældende ret</w:t>
      </w:r>
    </w:p>
    <w:p w14:paraId="3329D8A3" w14:textId="6DD336F4" w:rsidR="000A06CD" w:rsidRPr="00573B96" w:rsidRDefault="000A06CD" w:rsidP="00573B96">
      <w:pPr>
        <w:spacing w:line="280" w:lineRule="atLeast"/>
        <w:ind w:right="-143"/>
        <w:jc w:val="left"/>
        <w:rPr>
          <w:rFonts w:cs="Times New Roman"/>
          <w:szCs w:val="24"/>
        </w:rPr>
      </w:pPr>
      <w:r w:rsidRPr="00573B96">
        <w:rPr>
          <w:rFonts w:cs="Times New Roman"/>
          <w:szCs w:val="24"/>
        </w:rPr>
        <w:t xml:space="preserve">Bestemmelsen i den gældende § 86 gælder ifølge sin ordlyd for kørsel med blokvogne, som overskrider bestemmelserne om maksimal længde, bredde, højde samt vægt og akseltryk i medfør af §§ 84 og 85. I henhold til stk. 1, 1. pkt. kan politiet efter forhandling med vejmyndigheden meddele tilladelse til sådanne </w:t>
      </w:r>
      <w:r w:rsidR="000703C3">
        <w:rPr>
          <w:rFonts w:cs="Times New Roman"/>
          <w:szCs w:val="24"/>
        </w:rPr>
        <w:t>blokvognskørsler</w:t>
      </w:r>
      <w:r w:rsidRPr="00573B96">
        <w:rPr>
          <w:rFonts w:cs="Times New Roman"/>
          <w:szCs w:val="24"/>
        </w:rPr>
        <w:t>. Politiets tilladelse kan, jf. § 86, stk. 1, 2. pkt., gives til kørsel på en bestemt strækning eller inden for et bestemt område. Endelig fremgår det af stk. 1, 3. pkt., at blokvogne kun må anvendes til transport, som ikke med rimelighed vil kunne gennemføres på anden måde.</w:t>
      </w:r>
    </w:p>
    <w:p w14:paraId="7E97345A" w14:textId="77777777" w:rsidR="000A06CD" w:rsidRPr="00573B96" w:rsidRDefault="000A06CD" w:rsidP="00573B96">
      <w:pPr>
        <w:spacing w:line="280" w:lineRule="atLeast"/>
        <w:ind w:right="-143"/>
        <w:jc w:val="left"/>
        <w:rPr>
          <w:rFonts w:cs="Times New Roman"/>
          <w:szCs w:val="24"/>
        </w:rPr>
      </w:pPr>
    </w:p>
    <w:p w14:paraId="6768A2F4" w14:textId="08891EF2" w:rsidR="000A06CD" w:rsidRPr="00573B96" w:rsidRDefault="000A06CD" w:rsidP="00573B96">
      <w:pPr>
        <w:spacing w:line="280" w:lineRule="atLeast"/>
        <w:ind w:right="-143"/>
        <w:jc w:val="left"/>
        <w:rPr>
          <w:rFonts w:cs="Times New Roman"/>
          <w:szCs w:val="24"/>
        </w:rPr>
      </w:pPr>
      <w:r w:rsidRPr="00573B96">
        <w:rPr>
          <w:rFonts w:cs="Times New Roman"/>
          <w:szCs w:val="24"/>
        </w:rPr>
        <w:t>Det fremgår af § 84, stk. 1, at transportministeren fastsætter bestemmelser om køretøjers og vogntogs største bredde, længde og højde i såvel belæsset som ubelæsset stand, herunder om kørsel med særligt brede, lange eller høje køretøjer eller vogntog.</w:t>
      </w:r>
    </w:p>
    <w:p w14:paraId="0F74E257" w14:textId="77777777" w:rsidR="000A06CD" w:rsidRPr="00573B96" w:rsidRDefault="000A06CD" w:rsidP="00573B96">
      <w:pPr>
        <w:spacing w:line="280" w:lineRule="atLeast"/>
        <w:ind w:right="-143"/>
        <w:jc w:val="left"/>
        <w:rPr>
          <w:rFonts w:cs="Times New Roman"/>
          <w:szCs w:val="24"/>
        </w:rPr>
      </w:pPr>
    </w:p>
    <w:p w14:paraId="34405E42" w14:textId="08C79A88" w:rsidR="000A06CD" w:rsidRPr="00573B96" w:rsidRDefault="000A06CD" w:rsidP="00573B96">
      <w:pPr>
        <w:spacing w:line="280" w:lineRule="atLeast"/>
        <w:ind w:right="-143"/>
        <w:jc w:val="left"/>
        <w:rPr>
          <w:rFonts w:cs="Times New Roman"/>
          <w:szCs w:val="24"/>
        </w:rPr>
      </w:pPr>
      <w:r w:rsidRPr="00573B96">
        <w:rPr>
          <w:rFonts w:cs="Times New Roman"/>
          <w:szCs w:val="24"/>
        </w:rPr>
        <w:t xml:space="preserve">Det fremgår endvidere af § 85, stk. 1, at transportministeren fastsætter bestemmelser om største tilladte akseltryk og totalvægt for køretøjer i såvel belæsset som ubelæsset stand. </w:t>
      </w:r>
    </w:p>
    <w:p w14:paraId="6C800994" w14:textId="77777777" w:rsidR="000A06CD" w:rsidRPr="00573B96" w:rsidRDefault="000A06CD" w:rsidP="00573B96">
      <w:pPr>
        <w:spacing w:line="280" w:lineRule="atLeast"/>
        <w:ind w:right="-143"/>
        <w:jc w:val="left"/>
        <w:rPr>
          <w:rFonts w:cs="Times New Roman"/>
          <w:szCs w:val="24"/>
        </w:rPr>
      </w:pPr>
    </w:p>
    <w:p w14:paraId="246CC7DF" w14:textId="33DC7B61" w:rsidR="000A06CD" w:rsidRPr="00573B96" w:rsidRDefault="000A06CD" w:rsidP="00573B96">
      <w:pPr>
        <w:spacing w:line="280" w:lineRule="atLeast"/>
        <w:ind w:right="-143"/>
        <w:jc w:val="left"/>
        <w:rPr>
          <w:rFonts w:cs="Times New Roman"/>
          <w:szCs w:val="24"/>
        </w:rPr>
      </w:pPr>
      <w:r w:rsidRPr="00573B96">
        <w:rPr>
          <w:rFonts w:cs="Times New Roman"/>
          <w:szCs w:val="24"/>
        </w:rPr>
        <w:t>I henhold til § 86, stk. 2 fastsætter transportministeren bestemmelser om blokvognskørsel. Transportministeren fastsætter efter forhandling med justitsministeren bestemmelser om betaling for påkrævet politiassistance efter politiets skøn ved gennemførelse af sådanne transporter.</w:t>
      </w:r>
    </w:p>
    <w:p w14:paraId="2C760497" w14:textId="77777777" w:rsidR="000A06CD" w:rsidRPr="00573B96" w:rsidRDefault="000A06CD" w:rsidP="00573B96">
      <w:pPr>
        <w:spacing w:line="280" w:lineRule="atLeast"/>
        <w:ind w:right="-143"/>
        <w:jc w:val="left"/>
        <w:rPr>
          <w:rFonts w:cs="Times New Roman"/>
          <w:szCs w:val="24"/>
        </w:rPr>
      </w:pPr>
    </w:p>
    <w:p w14:paraId="7C3C6AD5" w14:textId="28A0EC61" w:rsidR="000A06CD" w:rsidRPr="00573B96" w:rsidRDefault="000A06CD" w:rsidP="00573B96">
      <w:pPr>
        <w:spacing w:line="280" w:lineRule="atLeast"/>
        <w:ind w:right="-143"/>
        <w:jc w:val="left"/>
        <w:rPr>
          <w:rFonts w:cs="Times New Roman"/>
          <w:szCs w:val="24"/>
        </w:rPr>
      </w:pPr>
      <w:bookmarkStart w:id="134" w:name="_Hlk218754318"/>
      <w:r w:rsidRPr="00573B96">
        <w:rPr>
          <w:rFonts w:cs="Times New Roman"/>
          <w:szCs w:val="24"/>
        </w:rPr>
        <w:t>Ved den politiske aftale om politiets og anklagemyndighedens økonomi 2021-2023 – Politiforliget fra december 2020 – blev kompetencen til at udstede særtransporttilladelser pr. 1. oktober 2021 overdraget fra politiet til Vejdirektoratet.</w:t>
      </w:r>
    </w:p>
    <w:p w14:paraId="4099182F" w14:textId="77777777" w:rsidR="000A06CD" w:rsidRPr="00573B96" w:rsidRDefault="000A06CD" w:rsidP="00573B96">
      <w:pPr>
        <w:spacing w:line="280" w:lineRule="atLeast"/>
        <w:ind w:right="-143"/>
        <w:jc w:val="left"/>
        <w:rPr>
          <w:rFonts w:cs="Times New Roman"/>
          <w:szCs w:val="24"/>
        </w:rPr>
      </w:pPr>
    </w:p>
    <w:bookmarkEnd w:id="134"/>
    <w:p w14:paraId="34DB6FC1" w14:textId="4998F902" w:rsidR="000A06CD" w:rsidRPr="00573B96" w:rsidRDefault="000A06CD" w:rsidP="00573B96">
      <w:pPr>
        <w:spacing w:line="280" w:lineRule="atLeast"/>
        <w:ind w:right="-143"/>
        <w:jc w:val="left"/>
        <w:rPr>
          <w:rFonts w:cs="Times New Roman"/>
          <w:szCs w:val="24"/>
        </w:rPr>
      </w:pPr>
      <w:r w:rsidRPr="00573B96">
        <w:rPr>
          <w:rFonts w:cs="Times New Roman"/>
          <w:szCs w:val="24"/>
        </w:rPr>
        <w:t>Transportministeren har i bekendtgørelse nr. 635 af 31. maj 2023 om særtransport fastsat nærmere regler for særtransporter, herunder hvilke særtransporter der kræver Vejdirektoratets tilladelse</w:t>
      </w:r>
      <w:r w:rsidR="00573B96">
        <w:rPr>
          <w:rFonts w:cs="Times New Roman"/>
          <w:szCs w:val="24"/>
        </w:rPr>
        <w:t>,</w:t>
      </w:r>
      <w:r w:rsidRPr="00573B96">
        <w:rPr>
          <w:rFonts w:cs="Times New Roman"/>
          <w:szCs w:val="24"/>
        </w:rPr>
        <w:t xml:space="preserve"> og hvilke der er tilladelsesfrie. Bekendtgørelsen er blandt andet udstedt i medfør af færdselslovens § 84, stk. 1, § 85, stk. 1 og § 86, stk. 2, 1. pkt.</w:t>
      </w:r>
    </w:p>
    <w:p w14:paraId="3CC39E7E" w14:textId="77777777" w:rsidR="000A06CD" w:rsidRPr="00573B96" w:rsidRDefault="000A06CD" w:rsidP="00573B96">
      <w:pPr>
        <w:spacing w:line="280" w:lineRule="atLeast"/>
        <w:ind w:right="-143"/>
        <w:jc w:val="left"/>
        <w:rPr>
          <w:rFonts w:cs="Times New Roman"/>
          <w:szCs w:val="24"/>
        </w:rPr>
      </w:pPr>
    </w:p>
    <w:p w14:paraId="615B1B0C" w14:textId="744E867E" w:rsidR="000A06CD" w:rsidRPr="00573B96" w:rsidRDefault="000A06CD" w:rsidP="00573B96">
      <w:pPr>
        <w:spacing w:line="280" w:lineRule="atLeast"/>
        <w:ind w:right="-143"/>
        <w:jc w:val="left"/>
        <w:rPr>
          <w:rFonts w:cs="Times New Roman"/>
          <w:szCs w:val="24"/>
        </w:rPr>
      </w:pPr>
      <w:r w:rsidRPr="00573B96">
        <w:rPr>
          <w:rFonts w:cs="Times New Roman"/>
          <w:szCs w:val="24"/>
        </w:rPr>
        <w:t>Det fremgår af bekendtgørelsens § 1, stk. 1, at bekendtgørelsen fastsætter regler for særtransport, hvorved, medmindre andet er bestemt, forstås transport af udeleligt gods, der nødvendiggør overskridelse af en eller flere af bestemmelserne i bekendtgørelse om køretøjers største bredde, længde, højde, vægt og akseltryk (dimensionsbekendtgørelsen), på lastbil og vogntog bestående af lastbil og påhængs-/sættevogn.</w:t>
      </w:r>
    </w:p>
    <w:p w14:paraId="038A8C75" w14:textId="77777777" w:rsidR="000A06CD" w:rsidRPr="00573B96" w:rsidRDefault="000A06CD" w:rsidP="00573B96">
      <w:pPr>
        <w:spacing w:line="280" w:lineRule="atLeast"/>
        <w:ind w:right="-143"/>
        <w:jc w:val="left"/>
        <w:rPr>
          <w:rFonts w:cs="Times New Roman"/>
          <w:szCs w:val="24"/>
        </w:rPr>
      </w:pPr>
    </w:p>
    <w:p w14:paraId="7F2996B0" w14:textId="32D7884B" w:rsidR="000A06CD" w:rsidRPr="00573B96" w:rsidRDefault="000A06CD" w:rsidP="00573B96">
      <w:pPr>
        <w:spacing w:line="280" w:lineRule="atLeast"/>
        <w:ind w:right="-143"/>
        <w:jc w:val="left"/>
        <w:rPr>
          <w:rFonts w:cs="Times New Roman"/>
          <w:szCs w:val="24"/>
        </w:rPr>
      </w:pPr>
      <w:r w:rsidRPr="00573B96">
        <w:rPr>
          <w:rFonts w:cs="Times New Roman"/>
          <w:szCs w:val="24"/>
        </w:rPr>
        <w:t>Bekendtgørelsen omfatter endvidere kørsel med mobilkran, stort motorredskab, stort påhængsredskab og blokvogn, jf. stk. 2.</w:t>
      </w:r>
    </w:p>
    <w:p w14:paraId="119475CC" w14:textId="77777777" w:rsidR="000A06CD" w:rsidRPr="00573B96" w:rsidRDefault="000A06CD" w:rsidP="00573B96">
      <w:pPr>
        <w:spacing w:line="280" w:lineRule="atLeast"/>
        <w:ind w:right="-143"/>
        <w:jc w:val="left"/>
        <w:rPr>
          <w:rFonts w:cs="Times New Roman"/>
          <w:szCs w:val="24"/>
        </w:rPr>
      </w:pPr>
    </w:p>
    <w:p w14:paraId="7986DD63" w14:textId="0E8D233E" w:rsidR="000A06CD" w:rsidRPr="00573B96" w:rsidRDefault="000A06CD" w:rsidP="00573B96">
      <w:pPr>
        <w:spacing w:line="280" w:lineRule="atLeast"/>
        <w:ind w:right="-143"/>
        <w:jc w:val="left"/>
        <w:rPr>
          <w:rFonts w:cs="Times New Roman"/>
          <w:szCs w:val="24"/>
        </w:rPr>
      </w:pPr>
      <w:r w:rsidRPr="00573B96">
        <w:rPr>
          <w:rFonts w:cs="Times New Roman"/>
          <w:szCs w:val="24"/>
        </w:rPr>
        <w:t>Bekendtgørelsen omfatter også returkørsel fra nødretsopgaver med køretøj, hvis konstruktion nødvendiggør overskridelse af en eller flere af bestemmelserne i dimensionsbekendtgørelsen, i belæsset såvel som ubelæsset stand, jf. stk. 3. Bekendtgørelsen gælder også særtransport, der gennemføres med udenlandsk registrerede køretøjer, jf. stk. 4.</w:t>
      </w:r>
    </w:p>
    <w:p w14:paraId="578DCA94" w14:textId="77777777" w:rsidR="000A06CD" w:rsidRPr="00573B96" w:rsidRDefault="000A06CD" w:rsidP="00573B96">
      <w:pPr>
        <w:spacing w:line="280" w:lineRule="atLeast"/>
        <w:ind w:right="-143"/>
        <w:jc w:val="left"/>
        <w:rPr>
          <w:rFonts w:cs="Times New Roman"/>
          <w:szCs w:val="24"/>
        </w:rPr>
      </w:pPr>
    </w:p>
    <w:p w14:paraId="684A55EE" w14:textId="4157D6F3" w:rsidR="00441A5B" w:rsidRPr="00573B96" w:rsidRDefault="000A06CD" w:rsidP="00573B96">
      <w:pPr>
        <w:spacing w:line="280" w:lineRule="atLeast"/>
        <w:ind w:right="-143"/>
        <w:jc w:val="left"/>
        <w:rPr>
          <w:rFonts w:cs="Times New Roman"/>
          <w:szCs w:val="24"/>
        </w:rPr>
      </w:pPr>
      <w:r w:rsidRPr="00573B96">
        <w:rPr>
          <w:rFonts w:cs="Times New Roman"/>
          <w:szCs w:val="24"/>
        </w:rPr>
        <w:t>Blokvogn er defineret som en bil, sættevogn eller påhængsvogn, hvis vægt, akseltryk, dimensioner eller øvrige konstruktion udelukker køretøjet fra registrering som bil, sættevogn eller påhængsvogn, og som er beregnet til transport af særlig tungt eller omfangsrigt gods, jf. § 2, stk. 1, nr. 1.</w:t>
      </w:r>
    </w:p>
    <w:p w14:paraId="06CF7231" w14:textId="77777777" w:rsidR="00441A5B" w:rsidRPr="00573B96" w:rsidRDefault="00441A5B" w:rsidP="00573B96">
      <w:pPr>
        <w:spacing w:line="280" w:lineRule="atLeast"/>
        <w:ind w:right="-143"/>
        <w:jc w:val="left"/>
        <w:rPr>
          <w:rFonts w:cs="Times New Roman"/>
          <w:szCs w:val="24"/>
        </w:rPr>
      </w:pPr>
    </w:p>
    <w:p w14:paraId="5F5C7666" w14:textId="1187EED8" w:rsidR="00441A5B" w:rsidRPr="00573B96" w:rsidRDefault="00441A5B" w:rsidP="00573B96">
      <w:pPr>
        <w:pStyle w:val="Listeafsnit"/>
        <w:numPr>
          <w:ilvl w:val="2"/>
          <w:numId w:val="22"/>
        </w:numPr>
        <w:spacing w:line="280" w:lineRule="atLeast"/>
        <w:ind w:right="-143"/>
        <w:jc w:val="left"/>
        <w:rPr>
          <w:rFonts w:cs="Times New Roman"/>
          <w:i/>
          <w:iCs/>
          <w:szCs w:val="24"/>
        </w:rPr>
      </w:pPr>
      <w:r w:rsidRPr="00573B96">
        <w:rPr>
          <w:rFonts w:cs="Times New Roman"/>
          <w:i/>
          <w:iCs/>
          <w:szCs w:val="24"/>
        </w:rPr>
        <w:t>Transportministeriets overvejelser</w:t>
      </w:r>
    </w:p>
    <w:p w14:paraId="57DDA79B" w14:textId="53A465CE" w:rsidR="000A06CD" w:rsidRPr="00573B96" w:rsidRDefault="000A06CD" w:rsidP="00573B96">
      <w:pPr>
        <w:spacing w:line="280" w:lineRule="atLeast"/>
        <w:ind w:right="-143"/>
        <w:jc w:val="left"/>
        <w:rPr>
          <w:rFonts w:cs="Times New Roman"/>
          <w:szCs w:val="24"/>
        </w:rPr>
      </w:pPr>
      <w:r w:rsidRPr="00573B96">
        <w:rPr>
          <w:rFonts w:cs="Times New Roman"/>
          <w:szCs w:val="24"/>
        </w:rPr>
        <w:t xml:space="preserve">Som følge af den politiske aftale om politiets og anklagemyndighedens økonomi 2021-2023 – Politiforliget fra december 2020 – har Vejdirektoratet haft kompetencen til at udstede særtransporttilladelser siden 1. oktober 2021, da denne blev overdraget fra politiet. </w:t>
      </w:r>
    </w:p>
    <w:p w14:paraId="0BE4006A" w14:textId="77777777" w:rsidR="000A06CD" w:rsidRPr="00573B96" w:rsidRDefault="000A06CD" w:rsidP="00573B96">
      <w:pPr>
        <w:spacing w:line="280" w:lineRule="atLeast"/>
        <w:ind w:right="-143"/>
        <w:jc w:val="left"/>
        <w:rPr>
          <w:rFonts w:cs="Times New Roman"/>
          <w:szCs w:val="24"/>
        </w:rPr>
      </w:pPr>
    </w:p>
    <w:p w14:paraId="6D73CC08" w14:textId="51EE9E61" w:rsidR="000A06CD" w:rsidRPr="00573B96" w:rsidRDefault="000A06CD" w:rsidP="00573B96">
      <w:pPr>
        <w:spacing w:line="280" w:lineRule="atLeast"/>
        <w:ind w:right="-143"/>
        <w:jc w:val="left"/>
        <w:rPr>
          <w:rFonts w:cs="Times New Roman"/>
          <w:szCs w:val="24"/>
        </w:rPr>
      </w:pPr>
      <w:r w:rsidRPr="00573B96">
        <w:rPr>
          <w:rFonts w:cs="Times New Roman"/>
          <w:szCs w:val="24"/>
        </w:rPr>
        <w:t>Som konsekvens heraf foreslås det, at politiet erstattes med Vejdirektoratet i § 86, stk. 1, da det siden 1. oktober 2021, er Vejdirektoratet der udsteder s</w:t>
      </w:r>
      <w:r w:rsidR="000703C3">
        <w:rPr>
          <w:rFonts w:cs="Times New Roman"/>
          <w:szCs w:val="24"/>
        </w:rPr>
        <w:t>ærtransport</w:t>
      </w:r>
      <w:r w:rsidRPr="00573B96">
        <w:rPr>
          <w:rFonts w:cs="Times New Roman"/>
          <w:szCs w:val="24"/>
        </w:rPr>
        <w:t>tilladelser i overensstemmelse hermed.</w:t>
      </w:r>
    </w:p>
    <w:p w14:paraId="5B4C8284" w14:textId="77777777" w:rsidR="000A06CD" w:rsidRPr="00573B96" w:rsidRDefault="000A06CD" w:rsidP="00573B96">
      <w:pPr>
        <w:spacing w:line="280" w:lineRule="atLeast"/>
        <w:ind w:right="-143"/>
        <w:jc w:val="left"/>
        <w:rPr>
          <w:rFonts w:cs="Times New Roman"/>
          <w:szCs w:val="24"/>
        </w:rPr>
      </w:pPr>
    </w:p>
    <w:p w14:paraId="0E67503C" w14:textId="73604FBB" w:rsidR="000A06CD" w:rsidRPr="00573B96" w:rsidRDefault="000A06CD" w:rsidP="00573B96">
      <w:pPr>
        <w:spacing w:line="280" w:lineRule="atLeast"/>
        <w:ind w:right="-143"/>
        <w:jc w:val="left"/>
        <w:rPr>
          <w:rFonts w:cs="Times New Roman"/>
          <w:szCs w:val="24"/>
        </w:rPr>
      </w:pPr>
      <w:r w:rsidRPr="00573B96">
        <w:rPr>
          <w:rFonts w:cs="Times New Roman"/>
          <w:szCs w:val="24"/>
        </w:rPr>
        <w:t>Vejdirektoratet behandler over 30.000 ansøgninger om særtransporter om året. Vejdirektoratet har i de seneste år noteret sig en stigning af ansøgninger om særtransporter, hvor der søges om tilladelse til at køre i strid med færdselslovens regler.</w:t>
      </w:r>
    </w:p>
    <w:p w14:paraId="169C4F19" w14:textId="77777777" w:rsidR="000A06CD" w:rsidRPr="00573B96" w:rsidRDefault="000A06CD" w:rsidP="00573B96">
      <w:pPr>
        <w:spacing w:line="280" w:lineRule="atLeast"/>
        <w:ind w:right="-143"/>
        <w:jc w:val="left"/>
        <w:rPr>
          <w:rFonts w:cs="Times New Roman"/>
          <w:szCs w:val="24"/>
        </w:rPr>
      </w:pPr>
    </w:p>
    <w:p w14:paraId="2C7DD50E" w14:textId="640C98D5" w:rsidR="000A06CD" w:rsidRPr="00573B96" w:rsidRDefault="000A06CD" w:rsidP="00573B96">
      <w:pPr>
        <w:spacing w:line="280" w:lineRule="atLeast"/>
        <w:ind w:right="-143"/>
        <w:jc w:val="left"/>
        <w:rPr>
          <w:rFonts w:cs="Times New Roman"/>
          <w:szCs w:val="24"/>
        </w:rPr>
      </w:pPr>
      <w:r w:rsidRPr="00573B96">
        <w:rPr>
          <w:rFonts w:cs="Times New Roman"/>
          <w:szCs w:val="24"/>
        </w:rPr>
        <w:t xml:space="preserve">Gennemførelsen af en række </w:t>
      </w:r>
      <w:r w:rsidR="000703C3">
        <w:rPr>
          <w:rFonts w:cs="Times New Roman"/>
          <w:szCs w:val="24"/>
        </w:rPr>
        <w:t>blokvognskørsler</w:t>
      </w:r>
      <w:r w:rsidRPr="00573B96">
        <w:rPr>
          <w:rFonts w:cs="Times New Roman"/>
          <w:szCs w:val="24"/>
        </w:rPr>
        <w:t xml:space="preserve"> kan på grund af transportens længde, bredde eller godsets karakter i praksis kun gennemføres ved tilsidesættelse af en række bestemmelser i færdselsloven.</w:t>
      </w:r>
    </w:p>
    <w:p w14:paraId="7819B768" w14:textId="77777777" w:rsidR="000A06CD" w:rsidRPr="00573B96" w:rsidRDefault="000A06CD" w:rsidP="00573B96">
      <w:pPr>
        <w:spacing w:line="280" w:lineRule="atLeast"/>
        <w:ind w:right="-143"/>
        <w:jc w:val="left"/>
        <w:rPr>
          <w:rFonts w:cs="Times New Roman"/>
          <w:szCs w:val="24"/>
        </w:rPr>
      </w:pPr>
    </w:p>
    <w:p w14:paraId="726349F5" w14:textId="7BE42B89" w:rsidR="000A06CD" w:rsidRPr="00573B96" w:rsidRDefault="000A06CD" w:rsidP="00573B96">
      <w:pPr>
        <w:spacing w:line="280" w:lineRule="atLeast"/>
        <w:ind w:right="-143"/>
        <w:jc w:val="left"/>
        <w:rPr>
          <w:rFonts w:cs="Times New Roman"/>
          <w:szCs w:val="24"/>
        </w:rPr>
      </w:pPr>
      <w:r w:rsidRPr="00573B96">
        <w:rPr>
          <w:rFonts w:cs="Times New Roman"/>
          <w:szCs w:val="24"/>
        </w:rPr>
        <w:t>Et eksempel på</w:t>
      </w:r>
      <w:r w:rsidR="00573B96">
        <w:rPr>
          <w:rFonts w:cs="Times New Roman"/>
          <w:szCs w:val="24"/>
        </w:rPr>
        <w:t>,</w:t>
      </w:r>
      <w:r w:rsidRPr="00573B96">
        <w:rPr>
          <w:rFonts w:cs="Times New Roman"/>
          <w:szCs w:val="24"/>
        </w:rPr>
        <w:t xml:space="preserve"> at </w:t>
      </w:r>
      <w:r w:rsidR="000703C3">
        <w:rPr>
          <w:rFonts w:cs="Times New Roman"/>
          <w:szCs w:val="24"/>
        </w:rPr>
        <w:t>blokvognskørsel sker</w:t>
      </w:r>
      <w:r w:rsidRPr="00573B96">
        <w:rPr>
          <w:rFonts w:cs="Times New Roman"/>
          <w:szCs w:val="24"/>
        </w:rPr>
        <w:t xml:space="preserve"> i strid med færdselslovens regler kan for eksempel være, at </w:t>
      </w:r>
      <w:r w:rsidR="000703C3">
        <w:rPr>
          <w:rFonts w:cs="Times New Roman"/>
          <w:szCs w:val="24"/>
        </w:rPr>
        <w:t>kørsel med blokvogn sker</w:t>
      </w:r>
      <w:r w:rsidRPr="00573B96">
        <w:rPr>
          <w:rFonts w:cs="Times New Roman"/>
          <w:szCs w:val="24"/>
        </w:rPr>
        <w:t xml:space="preserve"> venstre om i en rundkørsel, da transportens kørekurver taler for denne løsning. Der kan også ske overskridelse af spærreflader, spærrelinjer og ubrudte kantlinjer m.m. </w:t>
      </w:r>
    </w:p>
    <w:p w14:paraId="1D4CFB7E" w14:textId="77777777" w:rsidR="000A06CD" w:rsidRPr="00573B96" w:rsidRDefault="000A06CD" w:rsidP="00573B96">
      <w:pPr>
        <w:spacing w:line="280" w:lineRule="atLeast"/>
        <w:ind w:right="-143"/>
        <w:jc w:val="left"/>
        <w:rPr>
          <w:rFonts w:cs="Times New Roman"/>
          <w:szCs w:val="24"/>
        </w:rPr>
      </w:pPr>
    </w:p>
    <w:p w14:paraId="66192DF8" w14:textId="0E314F78" w:rsidR="000A06CD" w:rsidRPr="00573B96" w:rsidRDefault="000A06CD" w:rsidP="00573B96">
      <w:pPr>
        <w:spacing w:line="280" w:lineRule="atLeast"/>
        <w:ind w:right="-143"/>
        <w:jc w:val="left"/>
        <w:rPr>
          <w:rFonts w:cs="Times New Roman"/>
          <w:szCs w:val="24"/>
        </w:rPr>
      </w:pPr>
      <w:r w:rsidRPr="00573B96">
        <w:rPr>
          <w:rFonts w:cs="Times New Roman"/>
          <w:szCs w:val="24"/>
        </w:rPr>
        <w:t xml:space="preserve">I og med at der i dag ikke er hjemmel til, at der kan dispenseres fra færdselsreglerne, og at dette i stigende grad har vist sig nødvendigt, finder Transportministeriet det hensigtsmæssigt, at tilvejebringe en sådan hjemmel. </w:t>
      </w:r>
    </w:p>
    <w:p w14:paraId="561B28D3" w14:textId="77777777" w:rsidR="000A06CD" w:rsidRPr="00573B96" w:rsidRDefault="000A06CD" w:rsidP="00573B96">
      <w:pPr>
        <w:spacing w:line="280" w:lineRule="atLeast"/>
        <w:ind w:right="-143"/>
        <w:jc w:val="left"/>
        <w:rPr>
          <w:rFonts w:cs="Times New Roman"/>
          <w:szCs w:val="24"/>
        </w:rPr>
      </w:pPr>
    </w:p>
    <w:p w14:paraId="6F056792" w14:textId="1A27E325" w:rsidR="000A06CD" w:rsidRPr="00573B96" w:rsidRDefault="000A06CD" w:rsidP="00573B96">
      <w:pPr>
        <w:spacing w:line="280" w:lineRule="atLeast"/>
        <w:ind w:right="-143"/>
        <w:jc w:val="left"/>
        <w:rPr>
          <w:rFonts w:cs="Times New Roman"/>
          <w:szCs w:val="24"/>
        </w:rPr>
      </w:pPr>
      <w:r w:rsidRPr="00573B96">
        <w:rPr>
          <w:rFonts w:cs="Times New Roman"/>
          <w:szCs w:val="24"/>
        </w:rPr>
        <w:t>Det er derfor hensigten med lovforslaget, at der i forbindelse med Vejdirektoratets tilladelse, jf. den foreslåede ændring ved færdselslovens § 86, stk. 2, kan gives dispensation til at fravige færdselsreglerne på en række områder</w:t>
      </w:r>
      <w:r w:rsidR="00573B96">
        <w:rPr>
          <w:rFonts w:cs="Times New Roman"/>
          <w:szCs w:val="24"/>
        </w:rPr>
        <w:t>,</w:t>
      </w:r>
      <w:r w:rsidRPr="00573B96">
        <w:rPr>
          <w:rFonts w:cs="Times New Roman"/>
          <w:szCs w:val="24"/>
        </w:rPr>
        <w:t xml:space="preserve"> således at der kan ske gennemførelse af kørsel med </w:t>
      </w:r>
      <w:r w:rsidR="000703C3">
        <w:rPr>
          <w:rFonts w:cs="Times New Roman"/>
          <w:szCs w:val="24"/>
        </w:rPr>
        <w:t>blokvognskørslerne</w:t>
      </w:r>
      <w:r w:rsidRPr="00573B96">
        <w:rPr>
          <w:rFonts w:cs="Times New Roman"/>
          <w:szCs w:val="24"/>
        </w:rPr>
        <w:t xml:space="preserve">. </w:t>
      </w:r>
    </w:p>
    <w:p w14:paraId="231F1303" w14:textId="77777777" w:rsidR="000A06CD" w:rsidRPr="00573B96" w:rsidRDefault="000A06CD" w:rsidP="00573B96">
      <w:pPr>
        <w:spacing w:line="280" w:lineRule="atLeast"/>
        <w:ind w:right="-143"/>
        <w:jc w:val="left"/>
        <w:rPr>
          <w:rFonts w:cs="Times New Roman"/>
          <w:szCs w:val="24"/>
        </w:rPr>
      </w:pPr>
    </w:p>
    <w:p w14:paraId="26E288EC" w14:textId="51884B31" w:rsidR="00441A5B" w:rsidRPr="00573B96" w:rsidRDefault="000A06CD" w:rsidP="00573B96">
      <w:pPr>
        <w:spacing w:line="280" w:lineRule="atLeast"/>
        <w:ind w:right="-143"/>
        <w:jc w:val="left"/>
        <w:rPr>
          <w:rFonts w:cs="Times New Roman"/>
          <w:i/>
          <w:iCs/>
          <w:szCs w:val="24"/>
        </w:rPr>
      </w:pPr>
      <w:r w:rsidRPr="00573B96">
        <w:rPr>
          <w:rFonts w:cs="Times New Roman"/>
          <w:szCs w:val="24"/>
        </w:rPr>
        <w:t>Vejdirektoratet kan udstede særtransporttilladelse til kørsel med lastbil og vogntog bestående af lastbil og påhængs-/sættevogn, blokvogn, stort p</w:t>
      </w:r>
      <w:r w:rsidR="002801E1" w:rsidRPr="00573B96">
        <w:rPr>
          <w:rFonts w:cs="Times New Roman"/>
          <w:szCs w:val="24"/>
        </w:rPr>
        <w:t>å</w:t>
      </w:r>
      <w:r w:rsidRPr="00573B96">
        <w:rPr>
          <w:rFonts w:cs="Times New Roman"/>
          <w:szCs w:val="24"/>
        </w:rPr>
        <w:t xml:space="preserve">hængsredskab, mobilkran og stort motorredskab, jf. bekendtgørelse om særtransporter §§ 15-19. Det er Transportministeriets vurdering, at hjemlen til at udstede særtransporttilladelser findes i færdselslovens § 86, stk. 1, 1. pkt., hvorefter transportministeren kan fastsætte bestemmelser af blokvognskørsel med bemyndigelsen, jf. § 86, stk. 2, 1. pkt. Det vurderes på den baggrund, at Vejdirektoratets særtransporttilladelser efter bekendtgørelsens §§ 15-19, er omfattet heraf. </w:t>
      </w:r>
    </w:p>
    <w:p w14:paraId="042D0069" w14:textId="53A1BF47" w:rsidR="00441A5B" w:rsidRPr="00573B96" w:rsidRDefault="00441A5B" w:rsidP="00573B96">
      <w:pPr>
        <w:spacing w:line="280" w:lineRule="atLeast"/>
        <w:ind w:right="-143"/>
        <w:jc w:val="left"/>
        <w:rPr>
          <w:rFonts w:cs="Times New Roman"/>
          <w:i/>
          <w:iCs/>
          <w:szCs w:val="24"/>
        </w:rPr>
      </w:pPr>
    </w:p>
    <w:p w14:paraId="041DD9F3" w14:textId="79A1F1FF" w:rsidR="00441A5B" w:rsidRPr="00573B96" w:rsidRDefault="00441A5B" w:rsidP="00573B96">
      <w:pPr>
        <w:spacing w:line="280" w:lineRule="atLeast"/>
        <w:ind w:right="-143"/>
        <w:jc w:val="left"/>
        <w:rPr>
          <w:rFonts w:cs="Times New Roman"/>
          <w:i/>
          <w:iCs/>
          <w:szCs w:val="24"/>
        </w:rPr>
      </w:pPr>
      <w:r w:rsidRPr="00573B96">
        <w:rPr>
          <w:rFonts w:cs="Times New Roman"/>
          <w:i/>
          <w:iCs/>
          <w:szCs w:val="24"/>
        </w:rPr>
        <w:t>2.5.3. Den foreslåede ordning</w:t>
      </w:r>
    </w:p>
    <w:p w14:paraId="019EF9CD" w14:textId="2EA8CA10" w:rsidR="002801E1" w:rsidRPr="00573B96" w:rsidRDefault="002801E1" w:rsidP="00573B96">
      <w:pPr>
        <w:spacing w:line="280" w:lineRule="atLeast"/>
        <w:ind w:right="-143"/>
        <w:jc w:val="left"/>
        <w:rPr>
          <w:rFonts w:cs="Times New Roman"/>
          <w:szCs w:val="24"/>
        </w:rPr>
      </w:pPr>
      <w:r w:rsidRPr="00573B96">
        <w:rPr>
          <w:rFonts w:cs="Times New Roman"/>
          <w:szCs w:val="24"/>
        </w:rPr>
        <w:t xml:space="preserve">Det foreslås, at ændre færdselslovens § 86, stk. 1, således at Vejdirektoratet skrives ind i stedet for politiet, da Vejdirektoratet siden 1. oktober 2021 har haft kompetencen til at udstede særtransporttilladelser, da denne blev overdraget fra politiet. </w:t>
      </w:r>
    </w:p>
    <w:p w14:paraId="1C5CA015" w14:textId="77777777" w:rsidR="002801E1" w:rsidRPr="00573B96" w:rsidRDefault="002801E1" w:rsidP="00573B96">
      <w:pPr>
        <w:spacing w:line="280" w:lineRule="atLeast"/>
        <w:ind w:right="-143"/>
        <w:jc w:val="left"/>
        <w:rPr>
          <w:rFonts w:cs="Times New Roman"/>
          <w:szCs w:val="24"/>
        </w:rPr>
      </w:pPr>
    </w:p>
    <w:p w14:paraId="4AE1CBD1" w14:textId="2EE0AA58" w:rsidR="002801E1" w:rsidRPr="00573B96" w:rsidRDefault="002801E1" w:rsidP="00573B96">
      <w:pPr>
        <w:spacing w:line="280" w:lineRule="atLeast"/>
        <w:ind w:right="-143"/>
        <w:jc w:val="left"/>
        <w:rPr>
          <w:rFonts w:cs="Times New Roman"/>
          <w:szCs w:val="24"/>
        </w:rPr>
      </w:pPr>
      <w:r w:rsidRPr="00573B96">
        <w:rPr>
          <w:rFonts w:cs="Times New Roman"/>
          <w:szCs w:val="24"/>
        </w:rPr>
        <w:t>Det foreslåede vil alene medføre en ændring af sproglig karakter, da Vejdirektoratet siden 1. oktober 2021 har haft kompetencen til at udstede særtransporttilladelser</w:t>
      </w:r>
      <w:r w:rsidR="00573B96">
        <w:rPr>
          <w:rFonts w:cs="Times New Roman"/>
          <w:szCs w:val="24"/>
        </w:rPr>
        <w:t xml:space="preserve">, jf. </w:t>
      </w:r>
      <w:r w:rsidRPr="00573B96">
        <w:rPr>
          <w:rFonts w:cs="Times New Roman"/>
          <w:szCs w:val="24"/>
        </w:rPr>
        <w:t>bekendtgørelse om særtransport §§ 15-19.</w:t>
      </w:r>
    </w:p>
    <w:p w14:paraId="0764EE0D" w14:textId="77777777" w:rsidR="002801E1" w:rsidRPr="00573B96" w:rsidRDefault="002801E1" w:rsidP="00573B96">
      <w:pPr>
        <w:spacing w:line="280" w:lineRule="atLeast"/>
        <w:ind w:right="-143"/>
        <w:jc w:val="left"/>
        <w:rPr>
          <w:rFonts w:cs="Times New Roman"/>
          <w:szCs w:val="24"/>
        </w:rPr>
      </w:pPr>
    </w:p>
    <w:p w14:paraId="5355006B" w14:textId="09199D27" w:rsidR="002801E1" w:rsidRPr="00573B96" w:rsidRDefault="002801E1" w:rsidP="00573B96">
      <w:pPr>
        <w:spacing w:line="280" w:lineRule="atLeast"/>
        <w:ind w:right="-143"/>
        <w:jc w:val="left"/>
        <w:rPr>
          <w:rFonts w:cs="Times New Roman"/>
          <w:szCs w:val="24"/>
        </w:rPr>
      </w:pPr>
      <w:r w:rsidRPr="00573B96">
        <w:rPr>
          <w:rFonts w:cs="Times New Roman"/>
          <w:szCs w:val="24"/>
        </w:rPr>
        <w:t>Det foreslås endvidere at indføre et nyt stk. 2 i færdselslovens § 86, således at der i forbindelse med tilladelse, jf. bestemmelsens stk. 1, kan gives dispensation til at fravige bestemmelserne om at efterkomme de anvisninger for færdslen, som gives ved færdselstavler, afmærkning på kørebanen eller cykelsti, signalanlæg, m.v. (færdselslovens § 4, stk. 1), kapitel 4 om færdselsregler for kørende §§ 14, stk. 1 og 5, § 15, stk. 1-4, § 16, stk. 1, 3-5, § 17, stk. 1, § 18, § 20, stk. 1, § 22, § 28, stk. 1-2, § 29, stk. 1, nr. 7-10</w:t>
      </w:r>
      <w:r w:rsidR="00C24F3C" w:rsidRPr="00573B96">
        <w:rPr>
          <w:rFonts w:cs="Times New Roman"/>
          <w:szCs w:val="24"/>
        </w:rPr>
        <w:t xml:space="preserve"> </w:t>
      </w:r>
      <w:r w:rsidRPr="00573B96">
        <w:rPr>
          <w:rFonts w:cs="Times New Roman"/>
          <w:szCs w:val="24"/>
        </w:rPr>
        <w:t>, og kapitel 6 om særlige regler for færdsel på motorvej og motortrafikvej§ 44, stk. 1-2, § 46, stk. 1-3, § 48.</w:t>
      </w:r>
    </w:p>
    <w:p w14:paraId="12127749" w14:textId="77777777" w:rsidR="002801E1" w:rsidRPr="00573B96" w:rsidRDefault="002801E1" w:rsidP="00573B96">
      <w:pPr>
        <w:spacing w:line="280" w:lineRule="atLeast"/>
        <w:ind w:right="-143"/>
        <w:jc w:val="left"/>
        <w:rPr>
          <w:rFonts w:cs="Times New Roman"/>
          <w:szCs w:val="24"/>
        </w:rPr>
      </w:pPr>
    </w:p>
    <w:p w14:paraId="7EFDF8F6" w14:textId="6598725D" w:rsidR="002801E1" w:rsidRPr="00573B96" w:rsidRDefault="002801E1" w:rsidP="00573B96">
      <w:pPr>
        <w:spacing w:line="280" w:lineRule="atLeast"/>
        <w:ind w:right="-143"/>
        <w:jc w:val="left"/>
        <w:rPr>
          <w:rFonts w:cs="Times New Roman"/>
          <w:szCs w:val="24"/>
        </w:rPr>
      </w:pPr>
      <w:r w:rsidRPr="00573B96">
        <w:rPr>
          <w:rFonts w:cs="Times New Roman"/>
          <w:szCs w:val="24"/>
        </w:rPr>
        <w:t>Det foreslåede vil medføre, at Vejdirektoratet i forbindelse med direktoratets tilladelse kan give dispensation til at fravige færdselsreglerne på en række områder</w:t>
      </w:r>
      <w:r w:rsidR="00573B96">
        <w:rPr>
          <w:rFonts w:cs="Times New Roman"/>
          <w:szCs w:val="24"/>
        </w:rPr>
        <w:t>,</w:t>
      </w:r>
      <w:r w:rsidRPr="00573B96">
        <w:rPr>
          <w:rFonts w:cs="Times New Roman"/>
          <w:szCs w:val="24"/>
        </w:rPr>
        <w:t xml:space="preserve"> således at der kan ske gennemførelse af kørsel med </w:t>
      </w:r>
      <w:r w:rsidR="000703C3">
        <w:rPr>
          <w:rFonts w:cs="Times New Roman"/>
          <w:szCs w:val="24"/>
        </w:rPr>
        <w:t>blokvogn</w:t>
      </w:r>
      <w:r w:rsidR="00573B96">
        <w:rPr>
          <w:rFonts w:cs="Times New Roman"/>
          <w:szCs w:val="24"/>
        </w:rPr>
        <w:t>,</w:t>
      </w:r>
      <w:r w:rsidRPr="00573B96">
        <w:rPr>
          <w:rFonts w:cs="Times New Roman"/>
          <w:szCs w:val="24"/>
        </w:rPr>
        <w:t xml:space="preserve"> der </w:t>
      </w:r>
      <w:r w:rsidR="00573B96">
        <w:rPr>
          <w:rFonts w:cs="Times New Roman"/>
          <w:szCs w:val="24"/>
        </w:rPr>
        <w:t>på grund af køretøjernes samlede længde eller bredde eller på grund af det transporterede gods dimensioner</w:t>
      </w:r>
      <w:r w:rsidR="009E4A26">
        <w:rPr>
          <w:rFonts w:cs="Times New Roman"/>
          <w:szCs w:val="24"/>
        </w:rPr>
        <w:t xml:space="preserve"> ikke ville kunne gennemføres i overensstemmelse med de pågældende færdselsregler.</w:t>
      </w:r>
    </w:p>
    <w:p w14:paraId="1D1C89D9" w14:textId="6AE0FA6C" w:rsidR="00493CBE" w:rsidRPr="00573B96" w:rsidRDefault="00493CBE" w:rsidP="00573B96">
      <w:pPr>
        <w:spacing w:line="280" w:lineRule="atLeast"/>
        <w:ind w:right="-143"/>
        <w:jc w:val="left"/>
        <w:rPr>
          <w:rFonts w:cs="Times New Roman"/>
          <w:szCs w:val="24"/>
        </w:rPr>
      </w:pPr>
    </w:p>
    <w:p w14:paraId="4ED8D626" w14:textId="5A6B9E4F" w:rsidR="00493CBE" w:rsidRPr="00573B96" w:rsidRDefault="00493CBE" w:rsidP="00573B96">
      <w:pPr>
        <w:spacing w:line="280" w:lineRule="atLeast"/>
        <w:ind w:right="-143"/>
        <w:jc w:val="left"/>
        <w:rPr>
          <w:rFonts w:cs="Times New Roman"/>
          <w:b/>
          <w:bCs/>
          <w:i/>
          <w:iCs/>
          <w:szCs w:val="24"/>
        </w:rPr>
      </w:pPr>
      <w:r w:rsidRPr="00573B96">
        <w:rPr>
          <w:rFonts w:cs="Times New Roman"/>
          <w:b/>
          <w:bCs/>
          <w:szCs w:val="24"/>
        </w:rPr>
        <w:t xml:space="preserve">2.6. </w:t>
      </w:r>
      <w:r w:rsidR="002C61A4" w:rsidRPr="00573B96">
        <w:rPr>
          <w:rFonts w:cs="Times New Roman"/>
          <w:b/>
          <w:bCs/>
          <w:szCs w:val="24"/>
        </w:rPr>
        <w:t>Færdselsstyrelsens kontrol og opkrævning af bøder for manglende betaling af vejafgift</w:t>
      </w:r>
    </w:p>
    <w:p w14:paraId="48E1F8A6" w14:textId="200CD525" w:rsidR="00493CBE" w:rsidRPr="00573B96" w:rsidRDefault="00493CBE" w:rsidP="00573B96">
      <w:pPr>
        <w:spacing w:line="280" w:lineRule="atLeast"/>
        <w:ind w:right="-143"/>
        <w:jc w:val="left"/>
        <w:rPr>
          <w:rFonts w:cs="Times New Roman"/>
          <w:szCs w:val="24"/>
        </w:rPr>
      </w:pPr>
    </w:p>
    <w:p w14:paraId="2759AD68" w14:textId="7487FCB2" w:rsidR="00493CBE" w:rsidRPr="00573B96" w:rsidRDefault="00493CBE" w:rsidP="00573B96">
      <w:pPr>
        <w:spacing w:line="280" w:lineRule="atLeast"/>
        <w:ind w:right="-143"/>
        <w:jc w:val="left"/>
        <w:rPr>
          <w:rFonts w:cs="Times New Roman"/>
          <w:i/>
          <w:iCs/>
          <w:szCs w:val="24"/>
        </w:rPr>
      </w:pPr>
      <w:r w:rsidRPr="00573B96">
        <w:rPr>
          <w:rFonts w:cs="Times New Roman"/>
          <w:i/>
          <w:iCs/>
          <w:szCs w:val="24"/>
        </w:rPr>
        <w:t>2.6.1. Gældende ret</w:t>
      </w:r>
    </w:p>
    <w:p w14:paraId="037FC37A" w14:textId="77777777" w:rsidR="00D563C2" w:rsidRPr="00573B96" w:rsidRDefault="00D1124E" w:rsidP="00573B96">
      <w:pPr>
        <w:spacing w:line="280" w:lineRule="atLeast"/>
        <w:ind w:right="-143"/>
        <w:jc w:val="left"/>
        <w:rPr>
          <w:rFonts w:cs="Times New Roman"/>
          <w:szCs w:val="24"/>
        </w:rPr>
      </w:pPr>
      <w:r w:rsidRPr="00573B96">
        <w:rPr>
          <w:rFonts w:cs="Times New Roman"/>
          <w:szCs w:val="24"/>
        </w:rPr>
        <w:t xml:space="preserve">Det fremgår af § 6, stk. 1 og 2, i bekendtgørelse nr. 647 af 28. maj 2025 af lov om vejafgift med senere ændringer (herefter vejafgiftsloven), at Sund &amp; Bælt Holding A/S på vegne af staten opkræver vejafgifter efter vejafgiftsloven gennem salg af rutebilletter og ved anvendelse af køretøjsudstyr. </w:t>
      </w:r>
    </w:p>
    <w:p w14:paraId="1FAD79FF" w14:textId="77777777" w:rsidR="00D563C2" w:rsidRPr="00573B96" w:rsidRDefault="00D563C2" w:rsidP="00573B96">
      <w:pPr>
        <w:spacing w:line="280" w:lineRule="atLeast"/>
        <w:ind w:right="-143"/>
        <w:jc w:val="left"/>
        <w:rPr>
          <w:rFonts w:cs="Times New Roman"/>
          <w:szCs w:val="24"/>
        </w:rPr>
      </w:pPr>
    </w:p>
    <w:p w14:paraId="0DAA8A2D" w14:textId="577ADE42" w:rsidR="0008193A" w:rsidRPr="00573B96" w:rsidRDefault="00D1124E" w:rsidP="00573B96">
      <w:pPr>
        <w:spacing w:line="280" w:lineRule="atLeast"/>
        <w:ind w:right="-143"/>
        <w:jc w:val="left"/>
        <w:rPr>
          <w:rFonts w:cs="Times New Roman"/>
          <w:szCs w:val="24"/>
        </w:rPr>
      </w:pPr>
      <w:r w:rsidRPr="00573B96">
        <w:rPr>
          <w:rFonts w:cs="Times New Roman"/>
          <w:szCs w:val="24"/>
        </w:rPr>
        <w:t>Endvidere fremgår det af vejafgiftslovens § 6, stk. 4, at Sund &amp; Bælt Holding A/S fører kontrol med, at reglerne i vejafgiftsloven overholdes, og at kontrollen foretages digitalt (digital håndhævelse).</w:t>
      </w:r>
    </w:p>
    <w:p w14:paraId="493ECBF4" w14:textId="092329C8" w:rsidR="0008193A" w:rsidRPr="00573B96" w:rsidRDefault="0008193A" w:rsidP="00573B96">
      <w:pPr>
        <w:spacing w:line="280" w:lineRule="atLeast"/>
        <w:ind w:right="-143"/>
        <w:jc w:val="left"/>
        <w:rPr>
          <w:rFonts w:cs="Times New Roman"/>
          <w:szCs w:val="24"/>
        </w:rPr>
      </w:pPr>
    </w:p>
    <w:p w14:paraId="2506A4D7" w14:textId="0B7A0EB5" w:rsidR="0008193A" w:rsidRPr="00573B96" w:rsidRDefault="00736B9D" w:rsidP="00573B96">
      <w:pPr>
        <w:spacing w:line="280" w:lineRule="atLeast"/>
        <w:ind w:right="-143"/>
        <w:jc w:val="left"/>
        <w:rPr>
          <w:rFonts w:cs="Times New Roman"/>
          <w:szCs w:val="24"/>
        </w:rPr>
      </w:pPr>
      <w:r w:rsidRPr="00573B96">
        <w:rPr>
          <w:rFonts w:cs="Times New Roman"/>
          <w:szCs w:val="24"/>
        </w:rPr>
        <w:t xml:space="preserve">I medfør af vejafgiftslovens </w:t>
      </w:r>
      <w:r w:rsidR="0008193A" w:rsidRPr="00573B96">
        <w:rPr>
          <w:rFonts w:cs="Times New Roman"/>
          <w:szCs w:val="24"/>
        </w:rPr>
        <w:t>§ 17</w:t>
      </w:r>
      <w:r w:rsidRPr="00573B96">
        <w:rPr>
          <w:rFonts w:cs="Times New Roman"/>
          <w:szCs w:val="24"/>
        </w:rPr>
        <w:t>, stk. 1, kan Færdselsstyrelsen i</w:t>
      </w:r>
      <w:r w:rsidR="0008193A" w:rsidRPr="00573B96">
        <w:rPr>
          <w:rFonts w:cs="Times New Roman"/>
          <w:szCs w:val="24"/>
        </w:rPr>
        <w:t xml:space="preserve"> sager om overtrædelse af </w:t>
      </w:r>
      <w:r w:rsidRPr="00573B96">
        <w:rPr>
          <w:rFonts w:cs="Times New Roman"/>
          <w:szCs w:val="24"/>
        </w:rPr>
        <w:t>vejafgiftsloven</w:t>
      </w:r>
      <w:r w:rsidR="0008193A" w:rsidRPr="00573B96">
        <w:rPr>
          <w:rFonts w:cs="Times New Roman"/>
          <w:szCs w:val="24"/>
        </w:rPr>
        <w:t xml:space="preserve"> i et bødeforelæg tilkendegive, at sagen kan afgøres uden retssag, hvis den afgiftspligtige erklærer sig skyldig i overtrædelsen og erklærer sig rede til inden for en nærmere angivet frist at betale en bøde som angivet i bødeforelægget. Retsplejelovens § 752 finder tilsvarende anvendelse i disse sager.</w:t>
      </w:r>
    </w:p>
    <w:p w14:paraId="69AF1F7D" w14:textId="77777777" w:rsidR="000C6AD3" w:rsidRPr="00573B96" w:rsidRDefault="000C6AD3" w:rsidP="00573B96">
      <w:pPr>
        <w:spacing w:line="280" w:lineRule="atLeast"/>
        <w:ind w:right="-143"/>
        <w:jc w:val="left"/>
        <w:rPr>
          <w:rFonts w:cs="Times New Roman"/>
          <w:szCs w:val="24"/>
        </w:rPr>
      </w:pPr>
    </w:p>
    <w:p w14:paraId="3B5A90BA" w14:textId="1AF78D12" w:rsidR="000C6AD3" w:rsidRPr="00573B96" w:rsidRDefault="000C6AD3" w:rsidP="00573B96">
      <w:pPr>
        <w:spacing w:line="280" w:lineRule="atLeast"/>
        <w:ind w:right="-143"/>
        <w:jc w:val="left"/>
        <w:rPr>
          <w:rFonts w:cs="Times New Roman"/>
          <w:szCs w:val="24"/>
        </w:rPr>
      </w:pPr>
      <w:r w:rsidRPr="00573B96">
        <w:rPr>
          <w:rFonts w:cs="Times New Roman"/>
          <w:szCs w:val="24"/>
        </w:rPr>
        <w:t>Sund og Bælt Holding A/S</w:t>
      </w:r>
      <w:r w:rsidR="00315243" w:rsidRPr="00573B96">
        <w:rPr>
          <w:rFonts w:cs="Times New Roman"/>
          <w:szCs w:val="24"/>
        </w:rPr>
        <w:t>, der</w:t>
      </w:r>
      <w:r w:rsidRPr="00573B96">
        <w:rPr>
          <w:rFonts w:cs="Times New Roman"/>
          <w:szCs w:val="24"/>
        </w:rPr>
        <w:t xml:space="preserve"> varetage</w:t>
      </w:r>
      <w:r w:rsidR="00736B9D" w:rsidRPr="00573B96">
        <w:rPr>
          <w:rFonts w:cs="Times New Roman"/>
          <w:szCs w:val="24"/>
        </w:rPr>
        <w:t>r</w:t>
      </w:r>
      <w:r w:rsidRPr="00573B96">
        <w:rPr>
          <w:rFonts w:cs="Times New Roman"/>
          <w:szCs w:val="24"/>
        </w:rPr>
        <w:t xml:space="preserve"> opgaven med indsamling af data til brug for Færdselsstyrelsens håndhævelse af vejafgiftsordningen med administrative bødeforelæg</w:t>
      </w:r>
      <w:r w:rsidR="00315243" w:rsidRPr="00573B96">
        <w:rPr>
          <w:rFonts w:cs="Times New Roman"/>
          <w:szCs w:val="24"/>
        </w:rPr>
        <w:t>, sender relevante oplysninger til Færdselsstyrelsen</w:t>
      </w:r>
      <w:r w:rsidR="00D563C2" w:rsidRPr="00573B96">
        <w:rPr>
          <w:rFonts w:cs="Times New Roman"/>
          <w:szCs w:val="24"/>
        </w:rPr>
        <w:t xml:space="preserve">, hvis kontrollen viser, at </w:t>
      </w:r>
      <w:r w:rsidR="00315243" w:rsidRPr="00573B96">
        <w:rPr>
          <w:rFonts w:cs="Times New Roman"/>
          <w:szCs w:val="24"/>
        </w:rPr>
        <w:t xml:space="preserve">der </w:t>
      </w:r>
      <w:r w:rsidR="00D563C2" w:rsidRPr="00573B96">
        <w:rPr>
          <w:rFonts w:cs="Times New Roman"/>
          <w:szCs w:val="24"/>
        </w:rPr>
        <w:t xml:space="preserve">for et køretøj </w:t>
      </w:r>
      <w:r w:rsidR="00315243" w:rsidRPr="00573B96">
        <w:rPr>
          <w:rFonts w:cs="Times New Roman"/>
          <w:szCs w:val="24"/>
        </w:rPr>
        <w:t>ikke er betalt vejafgift i overensstemmelse med vejafgiftslovens regler</w:t>
      </w:r>
      <w:r w:rsidR="00D563C2" w:rsidRPr="00573B96">
        <w:rPr>
          <w:rFonts w:cs="Times New Roman"/>
          <w:szCs w:val="24"/>
        </w:rPr>
        <w:t xml:space="preserve">. </w:t>
      </w:r>
    </w:p>
    <w:p w14:paraId="10AF5E4C" w14:textId="32C130F3" w:rsidR="00A258A5" w:rsidRPr="00573B96" w:rsidRDefault="00A258A5" w:rsidP="00573B96">
      <w:pPr>
        <w:spacing w:line="280" w:lineRule="atLeast"/>
        <w:ind w:right="-143"/>
        <w:jc w:val="left"/>
        <w:rPr>
          <w:rFonts w:cs="Times New Roman"/>
          <w:szCs w:val="24"/>
        </w:rPr>
      </w:pPr>
    </w:p>
    <w:p w14:paraId="0B9197F2" w14:textId="0B0907B9" w:rsidR="00A258A5" w:rsidRPr="00573B96" w:rsidRDefault="00D563C2" w:rsidP="00573B96">
      <w:pPr>
        <w:spacing w:line="280" w:lineRule="atLeast"/>
        <w:ind w:right="-143"/>
        <w:jc w:val="left"/>
        <w:rPr>
          <w:rFonts w:cs="Times New Roman"/>
          <w:szCs w:val="24"/>
        </w:rPr>
      </w:pPr>
      <w:r w:rsidRPr="00573B96">
        <w:rPr>
          <w:rFonts w:cs="Times New Roman"/>
          <w:szCs w:val="24"/>
        </w:rPr>
        <w:t>Færdselsstyrelsen udsteder administrative bødeforelæg på baggrund af de modtagne oplysninger, og h</w:t>
      </w:r>
      <w:r w:rsidR="00A258A5" w:rsidRPr="00573B96">
        <w:rPr>
          <w:rFonts w:cs="Times New Roman"/>
          <w:szCs w:val="24"/>
        </w:rPr>
        <w:t xml:space="preserve">vis der efter en påmindelsesprocedure ikke modtages en vedtagelse og betaling eller relevante indvendinger fra den sigtede, </w:t>
      </w:r>
      <w:r w:rsidRPr="00573B96">
        <w:rPr>
          <w:rFonts w:cs="Times New Roman"/>
          <w:szCs w:val="24"/>
        </w:rPr>
        <w:t xml:space="preserve">overdrager </w:t>
      </w:r>
      <w:r w:rsidR="00A258A5" w:rsidRPr="00573B96">
        <w:rPr>
          <w:rFonts w:cs="Times New Roman"/>
          <w:szCs w:val="24"/>
        </w:rPr>
        <w:t>Færdselsstyrelsen sagen til politiet med henblik på en afgørelse ved domstolene.</w:t>
      </w:r>
    </w:p>
    <w:p w14:paraId="3F64F236" w14:textId="1EACEA12" w:rsidR="00343E4B" w:rsidRPr="00573B96" w:rsidRDefault="00343E4B" w:rsidP="00573B96">
      <w:pPr>
        <w:spacing w:line="280" w:lineRule="atLeast"/>
        <w:ind w:right="-143"/>
        <w:jc w:val="left"/>
        <w:rPr>
          <w:rFonts w:cs="Times New Roman"/>
          <w:szCs w:val="24"/>
        </w:rPr>
      </w:pPr>
    </w:p>
    <w:p w14:paraId="021CAD63" w14:textId="149DA954" w:rsidR="00343E4B" w:rsidRPr="00573B96" w:rsidRDefault="00343E4B" w:rsidP="00573B96">
      <w:pPr>
        <w:spacing w:line="280" w:lineRule="atLeast"/>
        <w:ind w:right="-143"/>
        <w:jc w:val="left"/>
        <w:rPr>
          <w:rFonts w:cs="Times New Roman"/>
          <w:szCs w:val="24"/>
        </w:rPr>
      </w:pPr>
      <w:r w:rsidRPr="00573B96">
        <w:rPr>
          <w:rFonts w:cs="Times New Roman"/>
          <w:szCs w:val="24"/>
        </w:rPr>
        <w:t>Gældsstyrelsen står for at inddrive gæld for offentlige myndigheder i Danmark, herunder blandt andet ubetalte kontrolafgifter, jf. § 2, stk. 1, i lov om inddrivelse af gæld til det offentlige, jf. lovbekendtgørelse nr. 1063 af 26. september 2024 med senere ændringer (herefter gældsinddrivelsesloven). Gældsstyrelsen er således restanceinddrivelsesmyndighed for gæld til det offentlige. Fordringer overdrages til restanceinddrivelsesmyndigheden af fordringshaveren efter reglerne i gældsinddrivelsesloven efter forgæves opkrævning af fordringen.</w:t>
      </w:r>
    </w:p>
    <w:p w14:paraId="612033EF" w14:textId="77777777" w:rsidR="00343E4B" w:rsidRPr="00573B96" w:rsidRDefault="00343E4B" w:rsidP="00573B96">
      <w:pPr>
        <w:spacing w:line="280" w:lineRule="atLeast"/>
        <w:ind w:right="-143"/>
        <w:jc w:val="left"/>
        <w:rPr>
          <w:rFonts w:cs="Times New Roman"/>
          <w:szCs w:val="24"/>
        </w:rPr>
      </w:pPr>
    </w:p>
    <w:p w14:paraId="1D80832F" w14:textId="77777777" w:rsidR="00AD2551" w:rsidRPr="00573B96" w:rsidRDefault="00343E4B" w:rsidP="00573B96">
      <w:pPr>
        <w:spacing w:line="280" w:lineRule="atLeast"/>
        <w:ind w:right="-143"/>
        <w:jc w:val="left"/>
        <w:rPr>
          <w:rFonts w:cs="Times New Roman"/>
          <w:szCs w:val="24"/>
        </w:rPr>
      </w:pPr>
      <w:r w:rsidRPr="00573B96">
        <w:rPr>
          <w:rFonts w:cs="Times New Roman"/>
          <w:szCs w:val="24"/>
        </w:rPr>
        <w:t>Reglerne om fuldbyrdelse af strafferetlige bøder følger af lov om fuldbyrdelse af straf m.v., jf. lovbekendtgørelse nr. 201 af 28. februar 2023 med senere ændringer (herefter straffuldbyrdelsesloven) og bekendtgørelse nr. 1</w:t>
      </w:r>
      <w:r w:rsidR="00AD2551" w:rsidRPr="00573B96">
        <w:rPr>
          <w:rFonts w:cs="Times New Roman"/>
          <w:szCs w:val="24"/>
        </w:rPr>
        <w:t>071 af 28. august 2025</w:t>
      </w:r>
      <w:r w:rsidRPr="00573B96">
        <w:rPr>
          <w:rFonts w:cs="Times New Roman"/>
          <w:szCs w:val="24"/>
        </w:rPr>
        <w:t xml:space="preserve"> om opkrævning af visse bøder, offerbidrag, konfiskationsbeløb, sagsomkostninger m.v. samt afgørelse om udståelse af forvandlingsstraf for bøde </w:t>
      </w:r>
      <w:r w:rsidR="00AD2551" w:rsidRPr="00573B96">
        <w:rPr>
          <w:rFonts w:cs="Times New Roman"/>
          <w:szCs w:val="24"/>
        </w:rPr>
        <w:t>med senere ændringer</w:t>
      </w:r>
      <w:r w:rsidRPr="00573B96">
        <w:rPr>
          <w:rFonts w:cs="Times New Roman"/>
          <w:szCs w:val="24"/>
        </w:rPr>
        <w:t xml:space="preserve"> (herefter bødebekendtgørelsen). </w:t>
      </w:r>
    </w:p>
    <w:p w14:paraId="2774A015" w14:textId="77777777" w:rsidR="00AD2551" w:rsidRPr="00573B96" w:rsidRDefault="00AD2551" w:rsidP="00573B96">
      <w:pPr>
        <w:spacing w:line="280" w:lineRule="atLeast"/>
        <w:ind w:right="-143"/>
        <w:jc w:val="left"/>
        <w:rPr>
          <w:rFonts w:cs="Times New Roman"/>
          <w:szCs w:val="24"/>
        </w:rPr>
      </w:pPr>
    </w:p>
    <w:p w14:paraId="224BE4C5" w14:textId="663557C2" w:rsidR="00073878" w:rsidRPr="00573B96" w:rsidRDefault="00343E4B" w:rsidP="00573B96">
      <w:pPr>
        <w:spacing w:line="280" w:lineRule="atLeast"/>
        <w:ind w:right="-143"/>
        <w:jc w:val="left"/>
        <w:rPr>
          <w:rFonts w:cs="Times New Roman"/>
          <w:szCs w:val="24"/>
        </w:rPr>
      </w:pPr>
      <w:r w:rsidRPr="00573B96">
        <w:rPr>
          <w:rFonts w:cs="Times New Roman"/>
          <w:szCs w:val="24"/>
        </w:rPr>
        <w:t>Efter straffuldbyrdelseslovens § 91, stk. 1, inddrives bødekrav af restanceinddrivelsesmyndigheden (Gældsstyrelsen)</w:t>
      </w:r>
      <w:r w:rsidR="000A0BA9" w:rsidRPr="00573B96">
        <w:rPr>
          <w:rFonts w:cs="Times New Roman"/>
          <w:szCs w:val="24"/>
        </w:rPr>
        <w:t xml:space="preserve">. </w:t>
      </w:r>
    </w:p>
    <w:p w14:paraId="53349D95" w14:textId="77777777" w:rsidR="00073878" w:rsidRPr="00573B96" w:rsidRDefault="00073878" w:rsidP="00573B96">
      <w:pPr>
        <w:spacing w:line="280" w:lineRule="atLeast"/>
        <w:ind w:right="-143"/>
        <w:jc w:val="left"/>
        <w:rPr>
          <w:rFonts w:cs="Times New Roman"/>
          <w:szCs w:val="24"/>
        </w:rPr>
      </w:pPr>
    </w:p>
    <w:p w14:paraId="65CF9FBD" w14:textId="77777777" w:rsidR="00177C0C" w:rsidRPr="00573B96" w:rsidRDefault="000A0BA9" w:rsidP="00573B96">
      <w:pPr>
        <w:spacing w:line="280" w:lineRule="atLeast"/>
        <w:ind w:right="-143"/>
        <w:jc w:val="left"/>
        <w:rPr>
          <w:rFonts w:cs="Times New Roman"/>
          <w:szCs w:val="24"/>
        </w:rPr>
      </w:pPr>
      <w:r w:rsidRPr="00573B96">
        <w:rPr>
          <w:rFonts w:cs="Times New Roman"/>
          <w:color w:val="000000" w:themeColor="text1"/>
          <w:szCs w:val="24"/>
        </w:rPr>
        <w:t xml:space="preserve">Efter </w:t>
      </w:r>
      <w:r w:rsidR="00073878" w:rsidRPr="00573B96">
        <w:rPr>
          <w:rFonts w:cs="Times New Roman"/>
          <w:color w:val="000000" w:themeColor="text1"/>
          <w:szCs w:val="24"/>
        </w:rPr>
        <w:t xml:space="preserve">straffuldbyrdelseslovens </w:t>
      </w:r>
      <w:r w:rsidRPr="00573B96">
        <w:rPr>
          <w:rFonts w:cs="Times New Roman"/>
          <w:color w:val="000000" w:themeColor="text1"/>
          <w:szCs w:val="24"/>
        </w:rPr>
        <w:t>§ 91, stk. 2, kan oversendelse til restanceinddrivelsesmyndigheden dog undlades, når bødestraf er idømt eller vedtaget her i landet mod fysiske eller juridiske personer, der har fast bopæl eller hjemsted i udlandet, med henblik på at myndighederne i det pågældende land anmodes om at fuldbyrde bødestraffen.</w:t>
      </w:r>
      <w:r w:rsidR="00343E4B" w:rsidRPr="00573B96">
        <w:rPr>
          <w:rFonts w:cs="Times New Roman"/>
          <w:szCs w:val="24"/>
        </w:rPr>
        <w:t xml:space="preserve"> </w:t>
      </w:r>
      <w:r w:rsidR="00073878" w:rsidRPr="00573B96">
        <w:rPr>
          <w:rFonts w:cs="Times New Roman"/>
          <w:szCs w:val="24"/>
        </w:rPr>
        <w:t>Bestemmelsen medfører, at politiet i de pågældende tilfælde ikke er forpligtet til at oversende bøder til inddrivelse i sager mod udenlandske skyldnere i de tilfælde, hvor politiet ikke er lykkedes med at opkræve bøden. Det er dog fortsat en mulighed</w:t>
      </w:r>
      <w:r w:rsidR="00177C0C" w:rsidRPr="00573B96">
        <w:rPr>
          <w:rFonts w:cs="Times New Roman"/>
          <w:szCs w:val="24"/>
        </w:rPr>
        <w:t xml:space="preserve"> at oversende bødekrav til restanceinddrivelsesmyndigheden, hvis det af politiet vurderes, at restanceinddrivelsesmyndigheden i den konkrete situation vil kunne foretage inddrivelse, for eksempel hvis det undtagelsesvist konstateres, at skyldneren har aktiver af væsentlig værdi i Danmark, som restanceinddrivelsesmyndigheden vil kunne gøre udlæg i.</w:t>
      </w:r>
    </w:p>
    <w:p w14:paraId="52A0288A" w14:textId="77777777" w:rsidR="00343E4B" w:rsidRPr="00573B96" w:rsidRDefault="00343E4B" w:rsidP="00573B96">
      <w:pPr>
        <w:spacing w:line="280" w:lineRule="atLeast"/>
        <w:ind w:right="-143"/>
        <w:jc w:val="left"/>
        <w:rPr>
          <w:rFonts w:cs="Times New Roman"/>
          <w:szCs w:val="24"/>
        </w:rPr>
      </w:pPr>
    </w:p>
    <w:p w14:paraId="6A9C6FF4" w14:textId="6F263323" w:rsidR="00343E4B" w:rsidRPr="00573B96" w:rsidRDefault="00343E4B" w:rsidP="00573B96">
      <w:pPr>
        <w:spacing w:line="280" w:lineRule="atLeast"/>
        <w:ind w:right="-143"/>
        <w:jc w:val="left"/>
        <w:rPr>
          <w:rFonts w:cs="Times New Roman"/>
          <w:szCs w:val="24"/>
        </w:rPr>
      </w:pPr>
      <w:r w:rsidRPr="00573B96">
        <w:rPr>
          <w:rFonts w:cs="Times New Roman"/>
          <w:szCs w:val="24"/>
        </w:rPr>
        <w:t>De danske myndigheder kan i henhold til en række forskellige regler om fuldbyrdelse af strafferetlige afgørelser anmode bopælslandet om at overtage fuldbyrdelsen af en bøde, der er pålagt en person bosiddende i udlandet, for forhold begået i Danmark. Der henvises herved nærmere til Rådets Rammeafgørelse 2005/214/RIA af 24. februar 2005 om anvendelse af princippet om gensidig anerkendelse på bødestraffe, lov om fuldbyrdelse af visse strafferetlige afgørelser i Den Europæiske Union, jf. lovbekendtgørelse nr. 213 af 22. februar 2013 med senere ændringer, Europarådets konvention om straffedommes internationale retsvirkninger, lov om international fuldbyrdelse af straf m.v., jf. lovbekendtgørelse nr. 740 af 18. juli 2005 med senere ændringer og lovbekendtgørelse nr. 555 af 25. maj 2011 om samarbejde med Finland, Island, Norge og Sverige angående fuldbyrdelse af straf m.v</w:t>
      </w:r>
      <w:r w:rsidR="00CF3087" w:rsidRPr="00573B96">
        <w:rPr>
          <w:rFonts w:cs="Times New Roman"/>
          <w:szCs w:val="24"/>
        </w:rPr>
        <w:t xml:space="preserve">. med senere ændringer. </w:t>
      </w:r>
    </w:p>
    <w:p w14:paraId="3FA0C670" w14:textId="15E981FE" w:rsidR="000C6AD3" w:rsidRPr="00573B96" w:rsidRDefault="000C6AD3" w:rsidP="00573B96">
      <w:pPr>
        <w:spacing w:line="280" w:lineRule="atLeast"/>
        <w:ind w:right="-143"/>
        <w:jc w:val="left"/>
        <w:rPr>
          <w:rFonts w:cs="Times New Roman"/>
          <w:szCs w:val="24"/>
        </w:rPr>
      </w:pPr>
    </w:p>
    <w:p w14:paraId="3A51A666" w14:textId="65D3088A" w:rsidR="000C6AD3" w:rsidRPr="00573B96" w:rsidRDefault="00AF23E6" w:rsidP="00573B96">
      <w:pPr>
        <w:spacing w:line="280" w:lineRule="atLeast"/>
        <w:ind w:right="-143"/>
        <w:jc w:val="left"/>
        <w:rPr>
          <w:rFonts w:cs="Times New Roman"/>
          <w:szCs w:val="24"/>
        </w:rPr>
      </w:pPr>
      <w:r w:rsidRPr="00573B96">
        <w:rPr>
          <w:rFonts w:cs="Times New Roman"/>
          <w:szCs w:val="24"/>
        </w:rPr>
        <w:t>For overtrædelser af vejafgiftsloven, hvor skyldneren og det motordrevne køretøj er hjemmehørende i udlandet, kan endelig afgjorte og forfaldne bøder idømt eller udenretligt vedtaget</w:t>
      </w:r>
      <w:r w:rsidR="00B863DA" w:rsidRPr="00573B96">
        <w:rPr>
          <w:rFonts w:cs="Times New Roman"/>
          <w:szCs w:val="24"/>
        </w:rPr>
        <w:t xml:space="preserve"> endvidere i medfør af færdselslovens § 120 c, stk. 1, jf. stk. 3 og 5,</w:t>
      </w:r>
      <w:r w:rsidRPr="00573B96">
        <w:rPr>
          <w:rFonts w:cs="Times New Roman"/>
          <w:szCs w:val="24"/>
        </w:rPr>
        <w:t xml:space="preserve"> oversendes til Sund &amp; Bælt Holding A/S med henblik på opkrævning af det skyldige beløb.</w:t>
      </w:r>
    </w:p>
    <w:p w14:paraId="67E05630" w14:textId="24574BD3" w:rsidR="00B863DA" w:rsidRPr="00573B96" w:rsidRDefault="00B863DA" w:rsidP="00573B96">
      <w:pPr>
        <w:spacing w:line="280" w:lineRule="atLeast"/>
        <w:ind w:right="-143"/>
        <w:jc w:val="left"/>
        <w:rPr>
          <w:rFonts w:cs="Times New Roman"/>
          <w:szCs w:val="24"/>
        </w:rPr>
      </w:pPr>
    </w:p>
    <w:p w14:paraId="4404B611" w14:textId="1705C821" w:rsidR="00B863DA" w:rsidRPr="00573B96" w:rsidRDefault="00B863DA" w:rsidP="00573B96">
      <w:pPr>
        <w:spacing w:line="280" w:lineRule="atLeast"/>
        <w:ind w:right="-143"/>
        <w:jc w:val="left"/>
        <w:rPr>
          <w:rFonts w:cs="Times New Roman"/>
          <w:szCs w:val="24"/>
        </w:rPr>
      </w:pPr>
      <w:r w:rsidRPr="00573B96">
        <w:rPr>
          <w:rFonts w:cs="Times New Roman"/>
          <w:szCs w:val="24"/>
        </w:rPr>
        <w:t>Sund &amp; Bælt Holding A/S´ opkrævning sker ved, at de køretøjer, hvortil der er knyttet forfaldne og ubetalte bøder, og som er oversendt til selskabet til opkrævning, nægtes passage af Storbæltforbindelsen</w:t>
      </w:r>
      <w:r w:rsidR="008705A5" w:rsidRPr="00573B96">
        <w:rPr>
          <w:rFonts w:cs="Times New Roman"/>
          <w:szCs w:val="24"/>
        </w:rPr>
        <w:t>, indtil betaling er sket</w:t>
      </w:r>
      <w:r w:rsidRPr="00573B96">
        <w:rPr>
          <w:rFonts w:cs="Times New Roman"/>
          <w:szCs w:val="24"/>
        </w:rPr>
        <w:t xml:space="preserve">. </w:t>
      </w:r>
    </w:p>
    <w:p w14:paraId="4742F611" w14:textId="6EE6C4E9" w:rsidR="00B863DA" w:rsidRPr="00573B96" w:rsidRDefault="00B863DA" w:rsidP="00573B96">
      <w:pPr>
        <w:spacing w:line="280" w:lineRule="atLeast"/>
        <w:ind w:right="-143"/>
        <w:jc w:val="left"/>
        <w:rPr>
          <w:rFonts w:cs="Times New Roman"/>
          <w:szCs w:val="24"/>
        </w:rPr>
      </w:pPr>
    </w:p>
    <w:p w14:paraId="77D39EB9" w14:textId="3D841863" w:rsidR="00B863DA" w:rsidRPr="00573B96" w:rsidRDefault="00B863DA" w:rsidP="00573B96">
      <w:pPr>
        <w:spacing w:line="280" w:lineRule="atLeast"/>
        <w:ind w:right="-143"/>
        <w:jc w:val="left"/>
        <w:rPr>
          <w:rFonts w:cs="Times New Roman"/>
          <w:szCs w:val="24"/>
        </w:rPr>
      </w:pPr>
      <w:r w:rsidRPr="00573B96">
        <w:rPr>
          <w:rFonts w:cs="Times New Roman"/>
          <w:szCs w:val="24"/>
        </w:rPr>
        <w:t>I bekendtgørelse nr. 799 af 16. juni 2025 om Sund &amp; Bælt Holding A/S´ opkrævning af forfaldne bøder for overtrædelse af lov om vejafgift (herefter passagenægtelsesbekendtgørelsen) er der fastsat nærmere regler om</w:t>
      </w:r>
      <w:r w:rsidR="008705A5" w:rsidRPr="00573B96">
        <w:rPr>
          <w:rFonts w:cs="Times New Roman"/>
          <w:szCs w:val="24"/>
        </w:rPr>
        <w:t xml:space="preserve"> blandt andet udveksling af oplysninger mellem politiet og Sund &amp; Bælt Holding A/S, opkrævningsperiodens længde og ordningens administration m.v.</w:t>
      </w:r>
    </w:p>
    <w:p w14:paraId="0FA858F9" w14:textId="4869F51D" w:rsidR="008705A5" w:rsidRPr="00573B96" w:rsidRDefault="008705A5" w:rsidP="00573B96">
      <w:pPr>
        <w:spacing w:line="280" w:lineRule="atLeast"/>
        <w:ind w:right="-143"/>
        <w:jc w:val="left"/>
        <w:rPr>
          <w:rFonts w:cs="Times New Roman"/>
          <w:szCs w:val="24"/>
        </w:rPr>
      </w:pPr>
    </w:p>
    <w:p w14:paraId="2530CEE3" w14:textId="6511DC9D" w:rsidR="0085768C" w:rsidRPr="00573B96" w:rsidRDefault="008705A5" w:rsidP="00573B96">
      <w:pPr>
        <w:spacing w:line="280" w:lineRule="atLeast"/>
        <w:ind w:right="-143"/>
        <w:jc w:val="left"/>
        <w:rPr>
          <w:rFonts w:cs="Times New Roman"/>
          <w:szCs w:val="24"/>
        </w:rPr>
      </w:pPr>
      <w:r w:rsidRPr="00573B96">
        <w:rPr>
          <w:rFonts w:cs="Times New Roman"/>
          <w:szCs w:val="24"/>
        </w:rPr>
        <w:t>Det fremgår endvidere af passagenægtelsesbekendtgørelsens § 3, stk. 3, at</w:t>
      </w:r>
      <w:r w:rsidR="0085768C" w:rsidRPr="00573B96">
        <w:rPr>
          <w:rFonts w:cs="Times New Roman"/>
          <w:szCs w:val="24"/>
        </w:rPr>
        <w:t xml:space="preserve"> politiet ikke må sende bøden til opkrævning hos Sund &amp; Bælt Holding A/S på Storebæltsforbindelsen, hvis</w:t>
      </w:r>
      <w:r w:rsidRPr="00573B96">
        <w:rPr>
          <w:rFonts w:cs="Times New Roman"/>
          <w:szCs w:val="24"/>
        </w:rPr>
        <w:t xml:space="preserve"> </w:t>
      </w:r>
      <w:r w:rsidR="0085768C" w:rsidRPr="00573B96">
        <w:rPr>
          <w:rFonts w:cs="Times New Roman"/>
          <w:szCs w:val="24"/>
        </w:rPr>
        <w:t>bøden er sendt til inddrivelse hos restanceinddrivelsesmyndigheden, eller hvis de kompetente myndigheder i andre lande er anmodet om at fuldbyrde bødekravet.</w:t>
      </w:r>
    </w:p>
    <w:p w14:paraId="15B16CEA" w14:textId="77777777" w:rsidR="0085768C" w:rsidRPr="00573B96" w:rsidRDefault="0085768C" w:rsidP="00573B96">
      <w:pPr>
        <w:spacing w:line="280" w:lineRule="atLeast"/>
        <w:ind w:right="-143"/>
        <w:jc w:val="left"/>
        <w:rPr>
          <w:rFonts w:cs="Times New Roman"/>
          <w:szCs w:val="24"/>
        </w:rPr>
      </w:pPr>
    </w:p>
    <w:p w14:paraId="23ED3D44" w14:textId="0170F77C" w:rsidR="008705A5" w:rsidRPr="00573B96" w:rsidRDefault="0085768C" w:rsidP="00573B96">
      <w:pPr>
        <w:spacing w:line="280" w:lineRule="atLeast"/>
        <w:ind w:right="-143"/>
        <w:jc w:val="left"/>
        <w:rPr>
          <w:rFonts w:cs="Times New Roman"/>
          <w:szCs w:val="24"/>
        </w:rPr>
      </w:pPr>
      <w:r w:rsidRPr="00573B96">
        <w:rPr>
          <w:rFonts w:cs="Times New Roman"/>
          <w:szCs w:val="24"/>
        </w:rPr>
        <w:t>Efter bekendtgørelsens § 3, stk. 4, må politiet endvidere ikke sende bøden til inddrivelse hos restanceinddrivelsesmyndigheden eller anmode de kompetente myndigheder i andre lande om at fuldbyrde bødekravet i den periode, hvor bøden er til opkrævning hos Sund &amp; Bælt Holding A/S. Opkrævningsperioden er i medfør af bekendtgørelsens § 6, stk. 1, fastsat til seks måneder efter politiets oversendelse af oplysninger om bøden.</w:t>
      </w:r>
    </w:p>
    <w:p w14:paraId="2FA3C14B" w14:textId="77777777" w:rsidR="00872BEA" w:rsidRPr="00573B96" w:rsidRDefault="00872BEA" w:rsidP="00573B96">
      <w:pPr>
        <w:spacing w:line="280" w:lineRule="atLeast"/>
        <w:ind w:right="-143"/>
        <w:jc w:val="left"/>
        <w:rPr>
          <w:rFonts w:cs="Times New Roman"/>
          <w:szCs w:val="24"/>
        </w:rPr>
      </w:pPr>
    </w:p>
    <w:p w14:paraId="3972BAC6" w14:textId="6423D91D" w:rsidR="00872BEA" w:rsidRPr="00573B96" w:rsidRDefault="0075127E" w:rsidP="00573B96">
      <w:pPr>
        <w:pStyle w:val="stk2"/>
        <w:spacing w:before="0" w:beforeAutospacing="0" w:after="0" w:afterAutospacing="0" w:line="280" w:lineRule="atLeast"/>
        <w:ind w:right="-143"/>
      </w:pPr>
      <w:r w:rsidRPr="00573B96">
        <w:t>Bødebekendtgørelsen</w:t>
      </w:r>
      <w:r w:rsidR="00872BEA" w:rsidRPr="00573B96">
        <w:t xml:space="preserve"> indeholder endvidere i § 7</w:t>
      </w:r>
      <w:r w:rsidR="00B96A06" w:rsidRPr="00573B96">
        <w:t>, stk. 2,</w:t>
      </w:r>
      <w:r w:rsidR="00872BEA" w:rsidRPr="00573B96">
        <w:t xml:space="preserve"> krav om, at opkrævningsskrivelsen, jf. § 3, i sager, der er omfattet af passagenægtelsesbekendtgørelsen, skal indeholde orientering om, at manglende betaling medfører, at oplysninger om sagen oversendes til Sund </w:t>
      </w:r>
      <w:r w:rsidR="00B96A06" w:rsidRPr="00573B96">
        <w:t>&amp;</w:t>
      </w:r>
      <w:r w:rsidR="00872BEA" w:rsidRPr="00573B96">
        <w:t xml:space="preserve"> Bælt Holding A/S med henblik på opkrævning af det skyldige beløb.</w:t>
      </w:r>
    </w:p>
    <w:p w14:paraId="32132A25" w14:textId="24449EF7" w:rsidR="00B96A06" w:rsidRPr="00573B96" w:rsidRDefault="00B96A06" w:rsidP="00573B96">
      <w:pPr>
        <w:pStyle w:val="stk2"/>
        <w:spacing w:before="0" w:beforeAutospacing="0" w:after="0" w:afterAutospacing="0" w:line="280" w:lineRule="atLeast"/>
        <w:ind w:right="-143"/>
      </w:pPr>
    </w:p>
    <w:p w14:paraId="01740FAE" w14:textId="0F74E650" w:rsidR="00872BEA" w:rsidRPr="00573B96" w:rsidRDefault="00B96A06" w:rsidP="00573B96">
      <w:pPr>
        <w:pStyle w:val="stk2"/>
        <w:spacing w:before="0" w:beforeAutospacing="0" w:after="0" w:afterAutospacing="0" w:line="280" w:lineRule="atLeast"/>
        <w:ind w:right="-143"/>
      </w:pPr>
      <w:r w:rsidRPr="00573B96">
        <w:t>I medfør af bødebekendtgørelsens § 7, stk. 3, skal o</w:t>
      </w:r>
      <w:r w:rsidR="00872BEA" w:rsidRPr="00573B96">
        <w:t xml:space="preserve">pkrævningsskrivelsen </w:t>
      </w:r>
      <w:r w:rsidRPr="00573B96">
        <w:t xml:space="preserve">i de pågældende sager </w:t>
      </w:r>
      <w:r w:rsidR="00872BEA" w:rsidRPr="00573B96">
        <w:t>desuden indeholde orientering om, at sager</w:t>
      </w:r>
      <w:r w:rsidRPr="00573B96">
        <w:t>ne</w:t>
      </w:r>
      <w:r w:rsidR="00872BEA" w:rsidRPr="00573B96">
        <w:t xml:space="preserve"> kan oversendes til restanceinddrivelsesmyndigheden med henblik på inddrivelse eller til myndighederne i det pågældende land, hvor skyldner har bopæl eller hjemsted med anmodning om fuldbyrdelse af bødekravet, hvis politiet modtager meddelelse fra Sund </w:t>
      </w:r>
      <w:r w:rsidRPr="00573B96">
        <w:t>&amp;</w:t>
      </w:r>
      <w:r w:rsidR="00872BEA" w:rsidRPr="00573B96">
        <w:t xml:space="preserve"> Bælt Holding A/S om, at opkrævningsperioden for bøden er udløbet, og det skyldige beløb ikke er betalt.</w:t>
      </w:r>
    </w:p>
    <w:p w14:paraId="76B8F840" w14:textId="7EE0CF0D" w:rsidR="00CF3087" w:rsidRPr="00573B96" w:rsidRDefault="00872BEA" w:rsidP="00573B96">
      <w:pPr>
        <w:pStyle w:val="stk2"/>
        <w:spacing w:before="0" w:beforeAutospacing="0" w:after="0" w:afterAutospacing="0" w:line="280" w:lineRule="atLeast"/>
        <w:ind w:right="-143"/>
      </w:pPr>
      <w:r w:rsidRPr="00573B96">
        <w:t xml:space="preserve">Politiet skal </w:t>
      </w:r>
      <w:r w:rsidR="00B96A06" w:rsidRPr="00573B96">
        <w:t>endvidere s</w:t>
      </w:r>
      <w:r w:rsidRPr="00573B96">
        <w:t xml:space="preserve">kriftligt orientere skyldneren om sagens oversendelse til Sund </w:t>
      </w:r>
      <w:r w:rsidR="00B96A06" w:rsidRPr="00573B96">
        <w:t>&amp;</w:t>
      </w:r>
      <w:r w:rsidRPr="00573B96">
        <w:t xml:space="preserve"> Bælt Holding A/S</w:t>
      </w:r>
      <w:r w:rsidR="00B96A06" w:rsidRPr="00573B96">
        <w:t>, jf. § 7, stk. 4</w:t>
      </w:r>
      <w:r w:rsidRPr="00573B96">
        <w:t>.</w:t>
      </w:r>
    </w:p>
    <w:p w14:paraId="35EE00C1" w14:textId="069FCBCD" w:rsidR="0085768C" w:rsidRPr="00573B96" w:rsidRDefault="0085768C" w:rsidP="00573B96">
      <w:pPr>
        <w:spacing w:line="280" w:lineRule="atLeast"/>
        <w:ind w:right="-143"/>
        <w:jc w:val="left"/>
        <w:rPr>
          <w:rFonts w:cs="Times New Roman"/>
          <w:szCs w:val="24"/>
        </w:rPr>
      </w:pPr>
    </w:p>
    <w:p w14:paraId="0B6D9063" w14:textId="62D137B9" w:rsidR="00EB452E" w:rsidRPr="00573B96" w:rsidRDefault="00EB452E" w:rsidP="00573B96">
      <w:pPr>
        <w:spacing w:line="280" w:lineRule="atLeast"/>
        <w:ind w:right="-143"/>
        <w:jc w:val="left"/>
        <w:rPr>
          <w:rFonts w:cs="Times New Roman"/>
          <w:szCs w:val="24"/>
        </w:rPr>
      </w:pPr>
      <w:r w:rsidRPr="00573B96">
        <w:rPr>
          <w:rFonts w:cs="Times New Roman"/>
          <w:szCs w:val="24"/>
        </w:rPr>
        <w:t>Det følger af § 11, stk. 1, i lov nr. 774 af 20. juni 2025 om godkendelse og syn af køretøjer (herefter synsloven), at Færdselsstyrelsen kan foretage syn ved vejsiden af erhvervskøretøjer og motorcykler og i den forbindelse anvise og ledsage køretøjer til et kontrolsted.</w:t>
      </w:r>
    </w:p>
    <w:p w14:paraId="0F5392C5" w14:textId="14324BE3" w:rsidR="00CE3E0C" w:rsidRPr="00573B96" w:rsidRDefault="00CE3E0C" w:rsidP="00573B96">
      <w:pPr>
        <w:spacing w:line="280" w:lineRule="atLeast"/>
        <w:ind w:right="-143"/>
        <w:jc w:val="left"/>
        <w:rPr>
          <w:rFonts w:cs="Times New Roman"/>
          <w:szCs w:val="24"/>
        </w:rPr>
      </w:pPr>
    </w:p>
    <w:p w14:paraId="5D741E9B" w14:textId="0634F20E" w:rsidR="00CE3E0C" w:rsidRPr="00573B96" w:rsidRDefault="00CE3E0C" w:rsidP="00573B96">
      <w:pPr>
        <w:spacing w:line="280" w:lineRule="atLeast"/>
        <w:ind w:right="-143"/>
        <w:jc w:val="left"/>
        <w:rPr>
          <w:rFonts w:cs="Times New Roman"/>
          <w:szCs w:val="24"/>
        </w:rPr>
      </w:pPr>
      <w:r w:rsidRPr="00573B96">
        <w:rPr>
          <w:rFonts w:cs="Times New Roman"/>
          <w:szCs w:val="24"/>
        </w:rPr>
        <w:t>Syn ved vejsiden er en uvarslet teknisk kontrol af et køretøj, udført ved vejsiden, jf. definition i synslovens § 2, nr. 4.</w:t>
      </w:r>
    </w:p>
    <w:p w14:paraId="3836AB79" w14:textId="245D1720" w:rsidR="00560EBC" w:rsidRPr="00573B96" w:rsidRDefault="00560EBC" w:rsidP="00573B96">
      <w:pPr>
        <w:spacing w:line="280" w:lineRule="atLeast"/>
        <w:ind w:right="-143"/>
        <w:jc w:val="left"/>
        <w:rPr>
          <w:rFonts w:cs="Times New Roman"/>
          <w:szCs w:val="24"/>
        </w:rPr>
      </w:pPr>
    </w:p>
    <w:p w14:paraId="7E70EE66" w14:textId="550F6E43" w:rsidR="00560EBC" w:rsidRPr="00573B96" w:rsidRDefault="00560EBC" w:rsidP="00573B96">
      <w:pPr>
        <w:spacing w:line="280" w:lineRule="atLeast"/>
        <w:ind w:right="-143"/>
        <w:jc w:val="left"/>
        <w:rPr>
          <w:rFonts w:cs="Times New Roman"/>
          <w:szCs w:val="24"/>
        </w:rPr>
      </w:pPr>
      <w:r w:rsidRPr="00573B96">
        <w:rPr>
          <w:rFonts w:cs="Times New Roman"/>
          <w:szCs w:val="24"/>
        </w:rPr>
        <w:t>Bestemmelse i § 11, stk. 1, giver ikke Færdselsstyrelsen beføjelser til at tvinge erhvervskøretøjer eller motorcykler til standsning. Færdselsstyrelsen har alene hjemmel til ved tydelig afmærkning af kontrolstedet og synsinspektørerne at anvise erhvervskøretøjerne og motorcyklerne til et kontrolsted. Færdselsstyrelsen kan således ikke eftersætte et køretøj for at gennemtvinge et vejsidesyn.</w:t>
      </w:r>
    </w:p>
    <w:p w14:paraId="224CFC1F" w14:textId="77777777" w:rsidR="00560EBC" w:rsidRPr="00573B96" w:rsidRDefault="00560EBC" w:rsidP="00573B96">
      <w:pPr>
        <w:spacing w:line="280" w:lineRule="atLeast"/>
        <w:ind w:right="-143"/>
        <w:jc w:val="left"/>
        <w:rPr>
          <w:rFonts w:cs="Times New Roman"/>
          <w:szCs w:val="24"/>
        </w:rPr>
      </w:pPr>
    </w:p>
    <w:p w14:paraId="3B5A293A" w14:textId="7A72D84C" w:rsidR="0085768C" w:rsidRPr="00573B96" w:rsidRDefault="00EB452E" w:rsidP="00573B96">
      <w:pPr>
        <w:spacing w:line="280" w:lineRule="atLeast"/>
        <w:ind w:right="-143"/>
        <w:jc w:val="left"/>
        <w:rPr>
          <w:rFonts w:cs="Times New Roman"/>
          <w:szCs w:val="24"/>
        </w:rPr>
      </w:pPr>
      <w:r w:rsidRPr="00573B96">
        <w:rPr>
          <w:rFonts w:cs="Times New Roman"/>
          <w:szCs w:val="24"/>
        </w:rPr>
        <w:t>Ifølge § 11, stk. 2, kan Færdselsstyrelsen fastsætte nærmere regler om syn ved vejsiden af erhvervskøretøjer og motorcykler, om Færdselsstyrelsens adgang til at anvise og ledsage erhvervskøretøjer og motorcykler efter stk. 1, herunder om indretning og afmærkning af køretøjer og kontrolsteder, og om krav til de inspektører, der skal anvise og ledsage køretøjer til kontrol.</w:t>
      </w:r>
      <w:r w:rsidR="006403B9" w:rsidRPr="00573B96">
        <w:rPr>
          <w:rFonts w:cs="Times New Roman"/>
          <w:szCs w:val="24"/>
        </w:rPr>
        <w:t xml:space="preserve"> Bemyndigelsen er udnyttet i bekendtgørelse nr. 1655 af 5. december 2025 om udførelse af syn af erhvervskøretøjer ved vejsiden (herefter vejsidesynsbekendtgørelsen).</w:t>
      </w:r>
    </w:p>
    <w:p w14:paraId="25E594B9" w14:textId="73875445" w:rsidR="00CE3E0C" w:rsidRPr="00573B96" w:rsidRDefault="00CE3E0C" w:rsidP="00573B96">
      <w:pPr>
        <w:spacing w:line="280" w:lineRule="atLeast"/>
        <w:ind w:right="-143"/>
        <w:jc w:val="left"/>
        <w:rPr>
          <w:rFonts w:cs="Times New Roman"/>
          <w:szCs w:val="24"/>
        </w:rPr>
      </w:pPr>
    </w:p>
    <w:p w14:paraId="15A971AD" w14:textId="07795354" w:rsidR="00EB452E" w:rsidRPr="00573B96" w:rsidRDefault="00EB452E" w:rsidP="00573B96">
      <w:pPr>
        <w:spacing w:line="280" w:lineRule="atLeast"/>
        <w:ind w:right="-143"/>
        <w:jc w:val="left"/>
        <w:rPr>
          <w:rFonts w:cs="Times New Roman"/>
          <w:szCs w:val="24"/>
        </w:rPr>
      </w:pPr>
      <w:r w:rsidRPr="00573B96">
        <w:rPr>
          <w:rFonts w:cs="Times New Roman"/>
          <w:szCs w:val="24"/>
        </w:rPr>
        <w:t>Efter synslovens § 36, stk. 3, straffes en fører af et erhvervskøretøj eller en motorcykel, der ikke efterkommer Færdselsstyrelsens anvisninger ved syn ved vejsiden efter § 11, stk. 1</w:t>
      </w:r>
      <w:r w:rsidR="00CC2ED4" w:rsidRPr="00573B96">
        <w:rPr>
          <w:rFonts w:cs="Times New Roman"/>
          <w:szCs w:val="24"/>
        </w:rPr>
        <w:t>, med bøde. Ifølge bestemmelsens forarbejder forudsættes bøden som udgangspunkt udmålt til 1.500 kr., jf. Folketingstidende 2024-25, tillæg A</w:t>
      </w:r>
      <w:r w:rsidRPr="00573B96">
        <w:rPr>
          <w:rFonts w:cs="Times New Roman"/>
          <w:szCs w:val="24"/>
        </w:rPr>
        <w:t xml:space="preserve">, </w:t>
      </w:r>
      <w:r w:rsidR="00CC2ED4" w:rsidRPr="00573B96">
        <w:rPr>
          <w:rFonts w:cs="Times New Roman"/>
          <w:szCs w:val="24"/>
        </w:rPr>
        <w:t>L 170 som fremsat, side 53.</w:t>
      </w:r>
    </w:p>
    <w:p w14:paraId="547E66A6" w14:textId="1034E3CC" w:rsidR="00CC2ED4" w:rsidRPr="00573B96" w:rsidRDefault="00CC2ED4" w:rsidP="00573B96">
      <w:pPr>
        <w:spacing w:line="280" w:lineRule="atLeast"/>
        <w:ind w:right="-143"/>
        <w:jc w:val="left"/>
        <w:rPr>
          <w:rFonts w:cs="Times New Roman"/>
          <w:szCs w:val="24"/>
        </w:rPr>
      </w:pPr>
    </w:p>
    <w:p w14:paraId="5813B564" w14:textId="6C1F81AB" w:rsidR="00CC2ED4" w:rsidRPr="00573B96" w:rsidRDefault="00CC2ED4" w:rsidP="00573B96">
      <w:pPr>
        <w:spacing w:line="280" w:lineRule="atLeast"/>
        <w:ind w:right="-143"/>
        <w:jc w:val="left"/>
        <w:rPr>
          <w:rFonts w:cs="Times New Roman"/>
          <w:szCs w:val="24"/>
        </w:rPr>
      </w:pPr>
      <w:r w:rsidRPr="00573B96">
        <w:rPr>
          <w:rFonts w:cs="Times New Roman"/>
          <w:szCs w:val="24"/>
        </w:rPr>
        <w:t>Synslovens bestemmelser om vejsidesyn giver alene Færdselsstyrelsen mulighed for</w:t>
      </w:r>
      <w:r w:rsidR="0075127E" w:rsidRPr="00573B96">
        <w:rPr>
          <w:rFonts w:cs="Times New Roman"/>
          <w:szCs w:val="24"/>
        </w:rPr>
        <w:t xml:space="preserve"> at foretage tekniske kontroller af køretøjer. Færdselsstyrelsen har således ikke hjemmel til at foretage kontroller af andre forhold, herunder kontrol og opkrævning af forfaldne bøder.</w:t>
      </w:r>
    </w:p>
    <w:p w14:paraId="7D704A7E" w14:textId="57E6C03A" w:rsidR="00493CBE" w:rsidRPr="00573B96" w:rsidRDefault="00493CBE" w:rsidP="00573B96">
      <w:pPr>
        <w:spacing w:line="280" w:lineRule="atLeast"/>
        <w:ind w:right="-143"/>
        <w:jc w:val="left"/>
        <w:rPr>
          <w:rFonts w:cs="Times New Roman"/>
          <w:szCs w:val="24"/>
        </w:rPr>
      </w:pPr>
    </w:p>
    <w:p w14:paraId="4A696608" w14:textId="1FF62DA1" w:rsidR="00493CBE" w:rsidRPr="00573B96" w:rsidRDefault="00493CBE" w:rsidP="00573B96">
      <w:pPr>
        <w:spacing w:line="280" w:lineRule="atLeast"/>
        <w:ind w:right="-143"/>
        <w:jc w:val="left"/>
        <w:rPr>
          <w:rFonts w:cs="Times New Roman"/>
          <w:i/>
          <w:iCs/>
          <w:szCs w:val="24"/>
        </w:rPr>
      </w:pPr>
      <w:r w:rsidRPr="00573B96">
        <w:rPr>
          <w:rFonts w:cs="Times New Roman"/>
          <w:i/>
          <w:iCs/>
          <w:szCs w:val="24"/>
        </w:rPr>
        <w:t>2.6.2. Transportministeriets overvejelser</w:t>
      </w:r>
    </w:p>
    <w:p w14:paraId="002BAEF1" w14:textId="60CA0F24" w:rsidR="009D7707" w:rsidRPr="00573B96" w:rsidRDefault="009D7707" w:rsidP="00573B96">
      <w:pPr>
        <w:spacing w:line="280" w:lineRule="atLeast"/>
        <w:ind w:right="-143"/>
        <w:jc w:val="left"/>
        <w:rPr>
          <w:rFonts w:cs="Times New Roman"/>
          <w:szCs w:val="24"/>
        </w:rPr>
      </w:pPr>
      <w:r w:rsidRPr="00573B96">
        <w:rPr>
          <w:rFonts w:cs="Times New Roman"/>
          <w:szCs w:val="24"/>
        </w:rPr>
        <w:t>Opkrævning og fuldbyrdelse af strafferetlige bøder til udlændinge for forhold begået i Danmark, er i praksis betydeligt vanskeligere end opkrævning og inddrivelse hos danske skyldnere.</w:t>
      </w:r>
    </w:p>
    <w:p w14:paraId="22D38135" w14:textId="77777777" w:rsidR="009D7707" w:rsidRPr="00573B96" w:rsidRDefault="009D7707" w:rsidP="00573B96">
      <w:pPr>
        <w:spacing w:line="280" w:lineRule="atLeast"/>
        <w:ind w:right="-143"/>
        <w:jc w:val="left"/>
        <w:rPr>
          <w:rFonts w:cs="Times New Roman"/>
          <w:szCs w:val="24"/>
        </w:rPr>
      </w:pPr>
    </w:p>
    <w:p w14:paraId="1CC3B11F" w14:textId="1A4B376D" w:rsidR="009D7707" w:rsidRPr="00573B96" w:rsidRDefault="009D7707" w:rsidP="00573B96">
      <w:pPr>
        <w:spacing w:line="280" w:lineRule="atLeast"/>
        <w:ind w:right="-143"/>
        <w:jc w:val="left"/>
        <w:rPr>
          <w:rFonts w:cs="Times New Roman"/>
          <w:szCs w:val="24"/>
        </w:rPr>
      </w:pPr>
      <w:r w:rsidRPr="00573B96">
        <w:rPr>
          <w:rFonts w:cs="Times New Roman"/>
          <w:szCs w:val="24"/>
        </w:rPr>
        <w:t>Det er ikke alene vigtigt for den præventive effekt af bøder og afgifter på færdselsområdet, at de bagvedliggende regler er underlagt en effektiv kontrol og håndhævelse. Det er tilsvarende vigtigt, at bøder og afgifter også kan opkræves effektivt. Hvis det ikke er tilfældet, kan det føre til en oplevelse af, at det er konsekvensfrit at undlade at betale skyldige bøder og afgifter, hvilket kan medføre, at udenlandske førere og transportvirksomheder vil være langt mindre tilbøjelige til at efterleve reglerne under</w:t>
      </w:r>
      <w:r w:rsidR="006D4413" w:rsidRPr="00573B96">
        <w:rPr>
          <w:rFonts w:cs="Times New Roman"/>
          <w:szCs w:val="24"/>
        </w:rPr>
        <w:t xml:space="preserve"> </w:t>
      </w:r>
      <w:r w:rsidRPr="00573B96">
        <w:rPr>
          <w:rFonts w:cs="Times New Roman"/>
          <w:szCs w:val="24"/>
        </w:rPr>
        <w:t>ophold i Danmark.</w:t>
      </w:r>
    </w:p>
    <w:p w14:paraId="4CF4D300" w14:textId="77777777" w:rsidR="009D7707" w:rsidRPr="00573B96" w:rsidRDefault="009D7707" w:rsidP="00573B96">
      <w:pPr>
        <w:spacing w:line="280" w:lineRule="atLeast"/>
        <w:ind w:right="-143"/>
        <w:jc w:val="left"/>
        <w:rPr>
          <w:rFonts w:cs="Times New Roman"/>
          <w:szCs w:val="24"/>
        </w:rPr>
      </w:pPr>
    </w:p>
    <w:p w14:paraId="0E33D814" w14:textId="4BA9A07C" w:rsidR="009D7707" w:rsidRPr="00573B96" w:rsidRDefault="009D7707" w:rsidP="00573B96">
      <w:pPr>
        <w:spacing w:line="280" w:lineRule="atLeast"/>
        <w:ind w:right="-143"/>
        <w:jc w:val="left"/>
        <w:rPr>
          <w:rFonts w:cs="Times New Roman"/>
          <w:szCs w:val="24"/>
        </w:rPr>
      </w:pPr>
      <w:r w:rsidRPr="00573B96">
        <w:rPr>
          <w:rFonts w:cs="Times New Roman"/>
          <w:szCs w:val="24"/>
        </w:rPr>
        <w:t>I forhold til transporterhvervet giver det også anledning til ulige konkurrencevilkår, at udenlandske chauffører og transportvirksomheder i praksis ikke er underlagt de samme opkrævnings- og inddrivelsesmuligheder som danske chauffører og transportvirksomheder.</w:t>
      </w:r>
    </w:p>
    <w:p w14:paraId="22989383" w14:textId="77777777" w:rsidR="009D7707" w:rsidRPr="00573B96" w:rsidRDefault="009D7707" w:rsidP="00573B96">
      <w:pPr>
        <w:spacing w:line="280" w:lineRule="atLeast"/>
        <w:ind w:right="-143"/>
        <w:jc w:val="left"/>
        <w:rPr>
          <w:rFonts w:cs="Times New Roman"/>
          <w:szCs w:val="24"/>
        </w:rPr>
      </w:pPr>
    </w:p>
    <w:p w14:paraId="025B77C4" w14:textId="2F6FE08D" w:rsidR="009D7707" w:rsidRPr="00573B96" w:rsidRDefault="009D7707" w:rsidP="00573B96">
      <w:pPr>
        <w:spacing w:line="280" w:lineRule="atLeast"/>
        <w:ind w:right="-143"/>
        <w:jc w:val="left"/>
        <w:rPr>
          <w:rFonts w:cs="Times New Roman"/>
          <w:szCs w:val="24"/>
        </w:rPr>
      </w:pPr>
      <w:r w:rsidRPr="00573B96">
        <w:rPr>
          <w:rFonts w:cs="Times New Roman"/>
          <w:szCs w:val="24"/>
        </w:rPr>
        <w:t>Særligt i forhold til den kilometerbaserede vejafgift, der er indført ved lov nr. 763 af 13. juni 2023, er en effektiv opkrævning af bøder for manglende betaling af afgiften væsentlig for efterlevelsen af vejafgiftsordningen.</w:t>
      </w:r>
    </w:p>
    <w:p w14:paraId="7206512B" w14:textId="7764D78D" w:rsidR="004A786D" w:rsidRPr="00573B96" w:rsidRDefault="004A786D" w:rsidP="00573B96">
      <w:pPr>
        <w:spacing w:line="280" w:lineRule="atLeast"/>
        <w:ind w:right="-143"/>
        <w:jc w:val="left"/>
        <w:rPr>
          <w:rFonts w:cs="Times New Roman"/>
          <w:szCs w:val="24"/>
        </w:rPr>
      </w:pPr>
    </w:p>
    <w:p w14:paraId="72AE4304" w14:textId="310721E7" w:rsidR="004A786D" w:rsidRPr="00573B96" w:rsidRDefault="004A786D" w:rsidP="00573B96">
      <w:pPr>
        <w:spacing w:line="280" w:lineRule="atLeast"/>
        <w:ind w:right="-143"/>
        <w:jc w:val="left"/>
        <w:rPr>
          <w:rFonts w:cs="Times New Roman"/>
          <w:szCs w:val="24"/>
        </w:rPr>
      </w:pPr>
      <w:r w:rsidRPr="00573B96">
        <w:rPr>
          <w:rFonts w:cs="Times New Roman"/>
          <w:szCs w:val="24"/>
        </w:rPr>
        <w:t xml:space="preserve">Ved lov nr. </w:t>
      </w:r>
      <w:r w:rsidR="0037328F" w:rsidRPr="00573B96">
        <w:rPr>
          <w:rFonts w:cs="Times New Roman"/>
          <w:szCs w:val="24"/>
        </w:rPr>
        <w:t>440 af 6. maj 2025</w:t>
      </w:r>
      <w:r w:rsidRPr="00573B96">
        <w:rPr>
          <w:rFonts w:cs="Times New Roman"/>
          <w:szCs w:val="24"/>
        </w:rPr>
        <w:t xml:space="preserve"> blev der skabt hjemme til, at Sund &amp; Bælt Holding A/S som et opkrævningstiltag på statens vegne kan nægte udenlandske køretøjer passage af </w:t>
      </w:r>
      <w:r w:rsidR="0037328F" w:rsidRPr="00573B96">
        <w:rPr>
          <w:rFonts w:cs="Times New Roman"/>
          <w:szCs w:val="24"/>
        </w:rPr>
        <w:t>faste forbindelser</w:t>
      </w:r>
      <w:r w:rsidRPr="00573B96">
        <w:rPr>
          <w:rFonts w:cs="Times New Roman"/>
          <w:szCs w:val="24"/>
        </w:rPr>
        <w:t>, hvis der til køretøjet</w:t>
      </w:r>
      <w:r w:rsidR="0037328F" w:rsidRPr="00573B96">
        <w:rPr>
          <w:rFonts w:cs="Times New Roman"/>
          <w:szCs w:val="24"/>
        </w:rPr>
        <w:t xml:space="preserve"> er registreret endelig afgjorte forfaldne køretøjsrelaterede bøder og kontrolafgifter. Ved passagenægtelsesbekendtgørelsen er der fastsat nærmere regler om, at passagenægtelse sker ved Storbæltsforbindelsen for udenlandske køretøjer, hvortil der er knyttet forfaldne bøder for overtrædelse af lov om vejafgift.</w:t>
      </w:r>
    </w:p>
    <w:p w14:paraId="79AC6698" w14:textId="65E8C097" w:rsidR="00C721B1" w:rsidRPr="00573B96" w:rsidRDefault="00C721B1" w:rsidP="00573B96">
      <w:pPr>
        <w:spacing w:line="280" w:lineRule="atLeast"/>
        <w:ind w:right="-143"/>
        <w:jc w:val="left"/>
        <w:rPr>
          <w:rFonts w:cs="Times New Roman"/>
          <w:szCs w:val="24"/>
        </w:rPr>
      </w:pPr>
    </w:p>
    <w:p w14:paraId="2D3145EF" w14:textId="7EBAEDF1" w:rsidR="00C721B1" w:rsidRPr="00573B96" w:rsidRDefault="00C721B1" w:rsidP="00573B96">
      <w:pPr>
        <w:spacing w:line="280" w:lineRule="atLeast"/>
        <w:ind w:right="-143"/>
        <w:jc w:val="left"/>
        <w:rPr>
          <w:rFonts w:cs="Times New Roman"/>
          <w:szCs w:val="24"/>
        </w:rPr>
      </w:pPr>
      <w:r w:rsidRPr="00573B96">
        <w:rPr>
          <w:rFonts w:cs="Times New Roman"/>
          <w:szCs w:val="24"/>
        </w:rPr>
        <w:t xml:space="preserve">Ca. 20 pct. af den udenlandske godstrafik passerer Storebæltsforbindelsen. Transportministeriet finder derfor, at der bør indføres tiltag, som retter sig mod den </w:t>
      </w:r>
      <w:r w:rsidR="009E4A26">
        <w:rPr>
          <w:rFonts w:cs="Times New Roman"/>
          <w:szCs w:val="24"/>
        </w:rPr>
        <w:t xml:space="preserve">relativt store </w:t>
      </w:r>
      <w:r w:rsidRPr="00573B96">
        <w:rPr>
          <w:rFonts w:cs="Times New Roman"/>
          <w:szCs w:val="24"/>
        </w:rPr>
        <w:t>del af godstransporten, der ikke passerer Storebæl</w:t>
      </w:r>
      <w:r w:rsidR="009E4A26">
        <w:rPr>
          <w:rFonts w:cs="Times New Roman"/>
          <w:szCs w:val="24"/>
        </w:rPr>
        <w:t>tsforbindelsen</w:t>
      </w:r>
      <w:r w:rsidRPr="00573B96">
        <w:rPr>
          <w:rFonts w:cs="Times New Roman"/>
          <w:szCs w:val="24"/>
        </w:rPr>
        <w:t>.</w:t>
      </w:r>
    </w:p>
    <w:p w14:paraId="2270F111" w14:textId="61DCEB12" w:rsidR="006D4413" w:rsidRPr="00573B96" w:rsidRDefault="006D4413" w:rsidP="00573B96">
      <w:pPr>
        <w:spacing w:line="280" w:lineRule="atLeast"/>
        <w:ind w:right="-143"/>
        <w:jc w:val="left"/>
        <w:rPr>
          <w:rFonts w:cs="Times New Roman"/>
          <w:szCs w:val="24"/>
        </w:rPr>
      </w:pPr>
    </w:p>
    <w:p w14:paraId="7332FFD5" w14:textId="7F93EACA" w:rsidR="006D4413" w:rsidRPr="00573B96" w:rsidRDefault="006D4413" w:rsidP="00573B96">
      <w:pPr>
        <w:spacing w:line="280" w:lineRule="atLeast"/>
        <w:ind w:right="-143"/>
        <w:jc w:val="left"/>
        <w:rPr>
          <w:rFonts w:cs="Times New Roman"/>
          <w:szCs w:val="24"/>
        </w:rPr>
      </w:pPr>
      <w:r w:rsidRPr="00573B96">
        <w:rPr>
          <w:rFonts w:cs="Times New Roman"/>
          <w:szCs w:val="24"/>
        </w:rPr>
        <w:t xml:space="preserve">Færdselsstyrelsen er allerede til stede på vejene i forbindelse med </w:t>
      </w:r>
      <w:r w:rsidR="0003515B" w:rsidRPr="00573B96">
        <w:rPr>
          <w:rFonts w:cs="Times New Roman"/>
          <w:szCs w:val="24"/>
        </w:rPr>
        <w:t xml:space="preserve">styrelsens afholdelse af </w:t>
      </w:r>
      <w:r w:rsidRPr="00573B96">
        <w:rPr>
          <w:rFonts w:cs="Times New Roman"/>
          <w:szCs w:val="24"/>
        </w:rPr>
        <w:t xml:space="preserve">vejsidesyn. Transportministeriet finder derfor, at der </w:t>
      </w:r>
      <w:r w:rsidR="000975B3" w:rsidRPr="00573B96">
        <w:rPr>
          <w:rFonts w:cs="Times New Roman"/>
          <w:szCs w:val="24"/>
        </w:rPr>
        <w:t>med fordel kan etableres en ordning, hvorefter</w:t>
      </w:r>
      <w:r w:rsidRPr="00573B96">
        <w:rPr>
          <w:rFonts w:cs="Times New Roman"/>
          <w:szCs w:val="24"/>
        </w:rPr>
        <w:t xml:space="preserve"> Færdselsstyrelsen også kan kon</w:t>
      </w:r>
      <w:r w:rsidR="0003515B" w:rsidRPr="00573B96">
        <w:rPr>
          <w:rFonts w:cs="Times New Roman"/>
          <w:szCs w:val="24"/>
        </w:rPr>
        <w:t>t</w:t>
      </w:r>
      <w:r w:rsidRPr="00573B96">
        <w:rPr>
          <w:rFonts w:cs="Times New Roman"/>
          <w:szCs w:val="24"/>
        </w:rPr>
        <w:t>rollere og opkræve</w:t>
      </w:r>
      <w:r w:rsidR="0003515B" w:rsidRPr="00573B96">
        <w:rPr>
          <w:rFonts w:eastAsia="Calibri" w:cs="Times New Roman"/>
          <w:szCs w:val="24"/>
        </w:rPr>
        <w:t xml:space="preserve"> endelig afgjorte og forfaldne bøder for overtrædelse af lov om vejafgift, hvis skyldneren og det motordrevne køretøj, med hvilket overtrædelsen er begået, er hjemmehørende i udlandet.</w:t>
      </w:r>
      <w:r w:rsidRPr="00573B96">
        <w:rPr>
          <w:rFonts w:cs="Times New Roman"/>
          <w:szCs w:val="24"/>
        </w:rPr>
        <w:t xml:space="preserve"> </w:t>
      </w:r>
      <w:r w:rsidR="0003515B" w:rsidRPr="00573B96">
        <w:rPr>
          <w:rFonts w:cs="Times New Roman"/>
          <w:szCs w:val="24"/>
        </w:rPr>
        <w:t>En sådan kontrol- og opkrævningsmulighed</w:t>
      </w:r>
      <w:r w:rsidRPr="00573B96">
        <w:rPr>
          <w:rFonts w:cs="Times New Roman"/>
          <w:szCs w:val="24"/>
        </w:rPr>
        <w:t xml:space="preserve"> vil udgøre et effektivt supplement til </w:t>
      </w:r>
      <w:r w:rsidR="0003515B" w:rsidRPr="00573B96">
        <w:rPr>
          <w:rFonts w:cs="Times New Roman"/>
          <w:szCs w:val="24"/>
        </w:rPr>
        <w:t>den opkrævning</w:t>
      </w:r>
      <w:r w:rsidR="003900E4" w:rsidRPr="00573B96">
        <w:rPr>
          <w:rFonts w:cs="Times New Roman"/>
          <w:szCs w:val="24"/>
        </w:rPr>
        <w:t xml:space="preserve"> af ubetalte vejafgiftsbøder</w:t>
      </w:r>
      <w:r w:rsidR="0003515B" w:rsidRPr="00573B96">
        <w:rPr>
          <w:rFonts w:cs="Times New Roman"/>
          <w:szCs w:val="24"/>
        </w:rPr>
        <w:t>, der varetages af Sund &amp; Bælt Holding A/S</w:t>
      </w:r>
      <w:r w:rsidR="003900E4" w:rsidRPr="00573B96">
        <w:rPr>
          <w:rFonts w:cs="Times New Roman"/>
          <w:szCs w:val="24"/>
        </w:rPr>
        <w:t>, i forhold til de udenlandske køretøjer, der ikke passerer Storebæltsforbindelsen.</w:t>
      </w:r>
    </w:p>
    <w:p w14:paraId="47C1CBF9" w14:textId="77777777" w:rsidR="003900E4" w:rsidRPr="00573B96" w:rsidRDefault="003900E4" w:rsidP="00573B96">
      <w:pPr>
        <w:spacing w:line="280" w:lineRule="atLeast"/>
        <w:ind w:right="-143"/>
        <w:jc w:val="left"/>
        <w:rPr>
          <w:rFonts w:cs="Times New Roman"/>
          <w:szCs w:val="24"/>
        </w:rPr>
      </w:pPr>
    </w:p>
    <w:p w14:paraId="7A2EBEDC" w14:textId="3DA8CBBB" w:rsidR="00E016E6" w:rsidRPr="00573B96" w:rsidRDefault="007B46D3" w:rsidP="00573B96">
      <w:pPr>
        <w:spacing w:line="280" w:lineRule="atLeast"/>
        <w:ind w:right="-143"/>
        <w:jc w:val="left"/>
        <w:rPr>
          <w:rFonts w:cs="Times New Roman"/>
          <w:szCs w:val="24"/>
        </w:rPr>
      </w:pPr>
      <w:r w:rsidRPr="00573B96">
        <w:rPr>
          <w:rFonts w:cs="Times New Roman"/>
          <w:szCs w:val="24"/>
        </w:rPr>
        <w:t xml:space="preserve">Da Færdselsstyrelsens kontrol og opkrævning forudsættes i vidt omfang at skulle foregå samtidig med styrelsens vejsidesyn, uden dog at være begrænset hertil, bør der gælde tilsvarende regler for Færdselsstyrelsens kontrol og opkrævning. </w:t>
      </w:r>
      <w:r w:rsidR="00F90B57" w:rsidRPr="00573B96">
        <w:rPr>
          <w:rFonts w:cs="Times New Roman"/>
          <w:szCs w:val="24"/>
        </w:rPr>
        <w:t>Færdselsstyrelsen bør derfor have en tilsvarende anvisningsret af køretøjer til kontrol og opkrævning, som Færdselsstyrelsen har i forbindelse med vejsidesyn.</w:t>
      </w:r>
    </w:p>
    <w:p w14:paraId="0F9C8E97" w14:textId="77777777" w:rsidR="00761C13" w:rsidRPr="00573B96" w:rsidRDefault="00761C13" w:rsidP="00573B96">
      <w:pPr>
        <w:spacing w:line="280" w:lineRule="atLeast"/>
        <w:ind w:right="-143"/>
        <w:jc w:val="left"/>
        <w:rPr>
          <w:rFonts w:cs="Times New Roman"/>
          <w:szCs w:val="24"/>
        </w:rPr>
      </w:pPr>
    </w:p>
    <w:p w14:paraId="67E047DA" w14:textId="6DE4D8EC" w:rsidR="00E016E6" w:rsidRPr="00573B96" w:rsidRDefault="00E016E6" w:rsidP="00573B96">
      <w:pPr>
        <w:spacing w:line="280" w:lineRule="atLeast"/>
        <w:ind w:right="-143"/>
        <w:jc w:val="left"/>
        <w:rPr>
          <w:rFonts w:cs="Times New Roman"/>
          <w:szCs w:val="24"/>
        </w:rPr>
      </w:pPr>
      <w:r w:rsidRPr="00573B96">
        <w:rPr>
          <w:rFonts w:cs="Times New Roman"/>
          <w:szCs w:val="24"/>
        </w:rPr>
        <w:t xml:space="preserve">For at sikre, at Færdselsstyrelsens anvisninger følges, finder Transportministeriet, at det </w:t>
      </w:r>
      <w:r w:rsidR="00884C08" w:rsidRPr="00573B96">
        <w:rPr>
          <w:rFonts w:cs="Times New Roman"/>
          <w:szCs w:val="24"/>
        </w:rPr>
        <w:t>bør</w:t>
      </w:r>
      <w:r w:rsidRPr="00573B96">
        <w:rPr>
          <w:rFonts w:cs="Times New Roman"/>
          <w:szCs w:val="24"/>
        </w:rPr>
        <w:t xml:space="preserve"> være strafbelagt med bøde, hvis Færdselsstyrelsens anvisninger ikke følges. Det vil også understøtte</w:t>
      </w:r>
      <w:r w:rsidR="00884C08" w:rsidRPr="00573B96">
        <w:rPr>
          <w:rFonts w:cs="Times New Roman"/>
          <w:szCs w:val="24"/>
        </w:rPr>
        <w:t>,</w:t>
      </w:r>
      <w:r w:rsidRPr="00573B96">
        <w:rPr>
          <w:rFonts w:cs="Times New Roman"/>
          <w:szCs w:val="24"/>
        </w:rPr>
        <w:t xml:space="preserve"> at Færdselsstyrelsen uden politiets tilstedeværelse effektivt kan gennemføre </w:t>
      </w:r>
      <w:r w:rsidR="00884C08" w:rsidRPr="00573B96">
        <w:rPr>
          <w:rFonts w:cs="Times New Roman"/>
          <w:szCs w:val="24"/>
        </w:rPr>
        <w:t>den foreslåede kontrol og opkrævning.</w:t>
      </w:r>
    </w:p>
    <w:p w14:paraId="7F62C380" w14:textId="0AF309C1" w:rsidR="003900E4" w:rsidRPr="00573B96" w:rsidRDefault="003900E4" w:rsidP="00573B96">
      <w:pPr>
        <w:spacing w:line="280" w:lineRule="atLeast"/>
        <w:ind w:right="-143"/>
        <w:jc w:val="left"/>
        <w:rPr>
          <w:rFonts w:cs="Times New Roman"/>
          <w:szCs w:val="24"/>
        </w:rPr>
      </w:pPr>
    </w:p>
    <w:p w14:paraId="28C9D528" w14:textId="11DD728F" w:rsidR="003900E4" w:rsidRPr="00573B96" w:rsidRDefault="00761C13" w:rsidP="00573B96">
      <w:pPr>
        <w:spacing w:line="280" w:lineRule="atLeast"/>
        <w:ind w:right="-143"/>
        <w:jc w:val="left"/>
        <w:rPr>
          <w:rFonts w:cs="Times New Roman"/>
          <w:szCs w:val="24"/>
        </w:rPr>
      </w:pPr>
      <w:r w:rsidRPr="00573B96">
        <w:rPr>
          <w:rFonts w:cs="Times New Roman"/>
          <w:szCs w:val="24"/>
        </w:rPr>
        <w:t xml:space="preserve">De sager, der skal kunne </w:t>
      </w:r>
      <w:r w:rsidR="002341CA" w:rsidRPr="00573B96">
        <w:rPr>
          <w:rFonts w:cs="Times New Roman"/>
          <w:szCs w:val="24"/>
        </w:rPr>
        <w:t xml:space="preserve">sendes til Færdselsstyrelsen til opkrævning, vil skulle være de samme sager, som kan sendes til opkrævning hos Sund &amp; Bælt Holding A/S i medfør af færdselslovens § 120 c, stk. 1, jf. stk. 3 og 5. </w:t>
      </w:r>
      <w:r w:rsidR="00C721B1" w:rsidRPr="00573B96">
        <w:rPr>
          <w:rFonts w:cs="Times New Roman"/>
          <w:szCs w:val="24"/>
        </w:rPr>
        <w:t>Der vil således blive tale om, at de pågældende bøder er til opkrævning samtidig hos Sund &amp; Bælt Holding A/S og Færdselsstyrelsen.</w:t>
      </w:r>
    </w:p>
    <w:p w14:paraId="4D19B4A0" w14:textId="6E333258" w:rsidR="009E6A62" w:rsidRPr="00573B96" w:rsidRDefault="009E6A62" w:rsidP="00573B96">
      <w:pPr>
        <w:spacing w:line="280" w:lineRule="atLeast"/>
        <w:ind w:right="-143"/>
        <w:jc w:val="left"/>
        <w:rPr>
          <w:rFonts w:cs="Times New Roman"/>
          <w:szCs w:val="24"/>
        </w:rPr>
      </w:pPr>
    </w:p>
    <w:p w14:paraId="05E6A364" w14:textId="66811B7B" w:rsidR="00F90B57" w:rsidRPr="00573B96" w:rsidRDefault="002341CA" w:rsidP="00573B96">
      <w:pPr>
        <w:spacing w:line="280" w:lineRule="atLeast"/>
        <w:ind w:right="-143"/>
        <w:jc w:val="left"/>
        <w:rPr>
          <w:rFonts w:cs="Times New Roman"/>
          <w:szCs w:val="24"/>
        </w:rPr>
      </w:pPr>
      <w:r w:rsidRPr="00573B96">
        <w:rPr>
          <w:rFonts w:cs="Times New Roman"/>
          <w:szCs w:val="24"/>
        </w:rPr>
        <w:t xml:space="preserve">Politiet er på statens vegne fordringshaver i forhold til idømte eller vedtagne bøder for manglende betaling af vejafgift. Det vil politiet </w:t>
      </w:r>
      <w:r w:rsidR="00F90B57" w:rsidRPr="00573B96">
        <w:rPr>
          <w:rFonts w:cs="Times New Roman"/>
          <w:szCs w:val="24"/>
        </w:rPr>
        <w:t xml:space="preserve">vedblive med at være. </w:t>
      </w:r>
      <w:r w:rsidRPr="00573B96">
        <w:rPr>
          <w:rFonts w:cs="Times New Roman"/>
          <w:szCs w:val="24"/>
        </w:rPr>
        <w:t xml:space="preserve">Færdselsstyrelsen </w:t>
      </w:r>
      <w:r w:rsidR="00F90B57" w:rsidRPr="00573B96">
        <w:rPr>
          <w:rFonts w:cs="Times New Roman"/>
          <w:szCs w:val="24"/>
        </w:rPr>
        <w:t>vil sålede</w:t>
      </w:r>
      <w:r w:rsidRPr="00573B96">
        <w:rPr>
          <w:rFonts w:cs="Times New Roman"/>
          <w:szCs w:val="24"/>
        </w:rPr>
        <w:t xml:space="preserve">s – på samme måde som Sund &amp; Bælt Holding A/S – </w:t>
      </w:r>
      <w:r w:rsidR="00F90B57" w:rsidRPr="00573B96">
        <w:rPr>
          <w:rFonts w:cs="Times New Roman"/>
          <w:szCs w:val="24"/>
        </w:rPr>
        <w:t xml:space="preserve">ikke blive fordringshaver i de pågældende situationer, idet der alene vil være tale om, at </w:t>
      </w:r>
      <w:r w:rsidRPr="00573B96">
        <w:rPr>
          <w:rFonts w:cs="Times New Roman"/>
          <w:szCs w:val="24"/>
        </w:rPr>
        <w:t xml:space="preserve">Færdselsstyrelsen samtidig med </w:t>
      </w:r>
      <w:r w:rsidR="00F90B57" w:rsidRPr="00573B96">
        <w:rPr>
          <w:rFonts w:cs="Times New Roman"/>
          <w:szCs w:val="24"/>
        </w:rPr>
        <w:t xml:space="preserve">Sund &amp; Bælt Holding A/S opkræver den pågældende fordring på </w:t>
      </w:r>
      <w:r w:rsidRPr="00573B96">
        <w:rPr>
          <w:rFonts w:cs="Times New Roman"/>
          <w:szCs w:val="24"/>
        </w:rPr>
        <w:t xml:space="preserve">politiets </w:t>
      </w:r>
      <w:r w:rsidR="00F90B57" w:rsidRPr="00573B96">
        <w:rPr>
          <w:rFonts w:cs="Times New Roman"/>
          <w:szCs w:val="24"/>
        </w:rPr>
        <w:t>vegne.</w:t>
      </w:r>
    </w:p>
    <w:p w14:paraId="4D1288A3" w14:textId="77777777" w:rsidR="00F90B57" w:rsidRPr="00573B96" w:rsidRDefault="00F90B57" w:rsidP="00573B96">
      <w:pPr>
        <w:spacing w:line="280" w:lineRule="atLeast"/>
        <w:ind w:right="-143"/>
        <w:jc w:val="left"/>
        <w:rPr>
          <w:rFonts w:cs="Times New Roman"/>
          <w:szCs w:val="24"/>
        </w:rPr>
      </w:pPr>
    </w:p>
    <w:p w14:paraId="2D217822" w14:textId="0CADAAE2" w:rsidR="00F90B57" w:rsidRPr="00573B96" w:rsidRDefault="009E6A62" w:rsidP="00573B96">
      <w:pPr>
        <w:spacing w:line="280" w:lineRule="atLeast"/>
        <w:ind w:right="-143"/>
        <w:jc w:val="left"/>
        <w:rPr>
          <w:rFonts w:cs="Times New Roman"/>
          <w:szCs w:val="24"/>
        </w:rPr>
      </w:pPr>
      <w:r w:rsidRPr="00573B96">
        <w:rPr>
          <w:rFonts w:cs="Times New Roman"/>
          <w:szCs w:val="24"/>
        </w:rPr>
        <w:t>Færdselsstyrelsen vil</w:t>
      </w:r>
      <w:r w:rsidR="00F90B57" w:rsidRPr="00573B96">
        <w:rPr>
          <w:rFonts w:cs="Times New Roman"/>
          <w:szCs w:val="24"/>
        </w:rPr>
        <w:t xml:space="preserve"> i forbindelse med </w:t>
      </w:r>
      <w:r w:rsidRPr="00573B96">
        <w:rPr>
          <w:rFonts w:cs="Times New Roman"/>
          <w:szCs w:val="24"/>
        </w:rPr>
        <w:t>kontrol- og opkrævningssituationen sk</w:t>
      </w:r>
      <w:r w:rsidR="00F90B57" w:rsidRPr="00573B96">
        <w:rPr>
          <w:rFonts w:cs="Times New Roman"/>
          <w:szCs w:val="24"/>
        </w:rPr>
        <w:t>ulle give den aktuelle fører de nødvendige oplysninger om, hvordan fordringen kan betales til fordringshaveren. For bøder vedrørende udenlandske skyldnere og køretøjer vil det f</w:t>
      </w:r>
      <w:r w:rsidRPr="00573B96">
        <w:rPr>
          <w:rFonts w:cs="Times New Roman"/>
          <w:szCs w:val="24"/>
        </w:rPr>
        <w:t>or eksempel</w:t>
      </w:r>
      <w:r w:rsidR="00F90B57" w:rsidRPr="00573B96">
        <w:rPr>
          <w:rFonts w:cs="Times New Roman"/>
          <w:szCs w:val="24"/>
        </w:rPr>
        <w:t xml:space="preserve"> kunne dreje sig om oplysning</w:t>
      </w:r>
      <w:r w:rsidRPr="00573B96">
        <w:rPr>
          <w:rFonts w:cs="Times New Roman"/>
          <w:szCs w:val="24"/>
        </w:rPr>
        <w:t>er</w:t>
      </w:r>
      <w:r w:rsidR="00F90B57" w:rsidRPr="00573B96">
        <w:rPr>
          <w:rFonts w:cs="Times New Roman"/>
          <w:szCs w:val="24"/>
        </w:rPr>
        <w:t xml:space="preserve"> om relevant betalingsside eller IBAN-nummer og SWIFT-adresse. Når den aktuelle fører kan fremvise dokumentation for, at betaling er sket, vil </w:t>
      </w:r>
      <w:r w:rsidRPr="00573B96">
        <w:rPr>
          <w:rFonts w:cs="Times New Roman"/>
          <w:szCs w:val="24"/>
        </w:rPr>
        <w:t>køretøjet kunne forlade kontrolstedet</w:t>
      </w:r>
      <w:r w:rsidR="00F90B57" w:rsidRPr="00573B96">
        <w:rPr>
          <w:rFonts w:cs="Times New Roman"/>
          <w:szCs w:val="24"/>
        </w:rPr>
        <w:t>.</w:t>
      </w:r>
    </w:p>
    <w:p w14:paraId="4B882CC9" w14:textId="77777777" w:rsidR="00F90B57" w:rsidRPr="00573B96" w:rsidRDefault="00F90B57" w:rsidP="00573B96">
      <w:pPr>
        <w:spacing w:line="280" w:lineRule="atLeast"/>
        <w:ind w:right="-143"/>
        <w:jc w:val="left"/>
        <w:rPr>
          <w:rFonts w:cs="Times New Roman"/>
          <w:szCs w:val="24"/>
        </w:rPr>
      </w:pPr>
    </w:p>
    <w:p w14:paraId="000561FF" w14:textId="3CB8869E" w:rsidR="00F90B57" w:rsidRPr="00573B96" w:rsidRDefault="00F90B57" w:rsidP="00573B96">
      <w:pPr>
        <w:spacing w:line="280" w:lineRule="atLeast"/>
        <w:ind w:right="-143"/>
        <w:jc w:val="left"/>
        <w:rPr>
          <w:rFonts w:cs="Times New Roman"/>
          <w:szCs w:val="24"/>
        </w:rPr>
      </w:pPr>
      <w:r w:rsidRPr="00573B96">
        <w:rPr>
          <w:rFonts w:cs="Times New Roman"/>
          <w:szCs w:val="24"/>
        </w:rPr>
        <w:t xml:space="preserve">Forfaldne </w:t>
      </w:r>
      <w:r w:rsidR="009E6A62" w:rsidRPr="00573B96">
        <w:rPr>
          <w:rFonts w:cs="Times New Roman"/>
          <w:szCs w:val="24"/>
        </w:rPr>
        <w:t xml:space="preserve">bøder for manglende betaling af vejafgift </w:t>
      </w:r>
      <w:r w:rsidRPr="00573B96">
        <w:rPr>
          <w:rFonts w:cs="Times New Roman"/>
          <w:szCs w:val="24"/>
        </w:rPr>
        <w:t xml:space="preserve">vil således fortsat </w:t>
      </w:r>
      <w:r w:rsidR="009E6A62" w:rsidRPr="00573B96">
        <w:rPr>
          <w:rFonts w:cs="Times New Roman"/>
          <w:szCs w:val="24"/>
        </w:rPr>
        <w:t xml:space="preserve">skulle </w:t>
      </w:r>
      <w:r w:rsidRPr="00573B96">
        <w:rPr>
          <w:rFonts w:cs="Times New Roman"/>
          <w:szCs w:val="24"/>
        </w:rPr>
        <w:t>betal</w:t>
      </w:r>
      <w:r w:rsidR="009E6A62" w:rsidRPr="00573B96">
        <w:rPr>
          <w:rFonts w:cs="Times New Roman"/>
          <w:szCs w:val="24"/>
        </w:rPr>
        <w:t>es</w:t>
      </w:r>
      <w:r w:rsidRPr="00573B96">
        <w:rPr>
          <w:rFonts w:cs="Times New Roman"/>
          <w:szCs w:val="24"/>
        </w:rPr>
        <w:t xml:space="preserve"> direkte til politiet, jf. straffuldbyrdelseslovens § 90, stk. 1.</w:t>
      </w:r>
    </w:p>
    <w:p w14:paraId="3AE85350" w14:textId="7DD0EA7E" w:rsidR="00F90B57" w:rsidRPr="00573B96" w:rsidRDefault="00F90B57" w:rsidP="00573B96">
      <w:pPr>
        <w:spacing w:line="280" w:lineRule="atLeast"/>
        <w:ind w:right="-143"/>
        <w:jc w:val="left"/>
        <w:rPr>
          <w:rFonts w:cs="Times New Roman"/>
          <w:szCs w:val="24"/>
        </w:rPr>
      </w:pPr>
    </w:p>
    <w:p w14:paraId="7D4C48DF" w14:textId="5B7C24B5" w:rsidR="00E016E6" w:rsidRPr="00573B96" w:rsidRDefault="00F90B57" w:rsidP="00573B96">
      <w:pPr>
        <w:spacing w:line="280" w:lineRule="atLeast"/>
        <w:ind w:right="-143"/>
        <w:jc w:val="left"/>
        <w:rPr>
          <w:rFonts w:cs="Times New Roman"/>
          <w:szCs w:val="24"/>
        </w:rPr>
      </w:pPr>
      <w:r w:rsidRPr="00573B96">
        <w:rPr>
          <w:rFonts w:cs="Times New Roman"/>
          <w:szCs w:val="24"/>
        </w:rPr>
        <w:t xml:space="preserve">Der vil </w:t>
      </w:r>
      <w:r w:rsidR="00C32E7C" w:rsidRPr="00573B96">
        <w:rPr>
          <w:rFonts w:cs="Times New Roman"/>
          <w:szCs w:val="24"/>
        </w:rPr>
        <w:t>blive</w:t>
      </w:r>
      <w:r w:rsidRPr="00573B96">
        <w:rPr>
          <w:rFonts w:cs="Times New Roman"/>
          <w:szCs w:val="24"/>
        </w:rPr>
        <w:t xml:space="preserve"> tale om et </w:t>
      </w:r>
      <w:r w:rsidR="00C32E7C" w:rsidRPr="00573B96">
        <w:rPr>
          <w:rFonts w:cs="Times New Roman"/>
          <w:szCs w:val="24"/>
        </w:rPr>
        <w:t xml:space="preserve">samlet </w:t>
      </w:r>
      <w:r w:rsidRPr="00573B96">
        <w:rPr>
          <w:rFonts w:cs="Times New Roman"/>
          <w:szCs w:val="24"/>
        </w:rPr>
        <w:t>opkrævningstiltag</w:t>
      </w:r>
      <w:r w:rsidR="00C32E7C" w:rsidRPr="00573B96">
        <w:rPr>
          <w:rFonts w:cs="Times New Roman"/>
          <w:szCs w:val="24"/>
        </w:rPr>
        <w:t xml:space="preserve"> hos Sund &amp; Bælt Holding A/S og Færdselsstyrelsen</w:t>
      </w:r>
      <w:r w:rsidRPr="00573B96">
        <w:rPr>
          <w:rFonts w:cs="Times New Roman"/>
          <w:szCs w:val="24"/>
        </w:rPr>
        <w:t xml:space="preserve">, som </w:t>
      </w:r>
      <w:r w:rsidR="009E6A62" w:rsidRPr="00573B96">
        <w:rPr>
          <w:rFonts w:cs="Times New Roman"/>
          <w:szCs w:val="24"/>
        </w:rPr>
        <w:t>politiet</w:t>
      </w:r>
      <w:r w:rsidRPr="00573B96">
        <w:rPr>
          <w:rFonts w:cs="Times New Roman"/>
          <w:szCs w:val="24"/>
        </w:rPr>
        <w:t xml:space="preserve"> vil kunne benytte sig af i forlængelse af øvrige opkrævningsforanstaltninger. Hvis fordringer sendes til opkrævning hos Sund &amp; Bælt Holding A/S</w:t>
      </w:r>
      <w:r w:rsidR="00C32E7C" w:rsidRPr="00573B96">
        <w:rPr>
          <w:rFonts w:cs="Times New Roman"/>
          <w:szCs w:val="24"/>
        </w:rPr>
        <w:t xml:space="preserve"> og Færdselsstyrelsen</w:t>
      </w:r>
      <w:r w:rsidRPr="00573B96">
        <w:rPr>
          <w:rFonts w:cs="Times New Roman"/>
          <w:szCs w:val="24"/>
        </w:rPr>
        <w:t>, vil</w:t>
      </w:r>
      <w:r w:rsidR="009E6A62" w:rsidRPr="00573B96">
        <w:rPr>
          <w:rFonts w:cs="Times New Roman"/>
          <w:szCs w:val="24"/>
        </w:rPr>
        <w:t xml:space="preserve"> </w:t>
      </w:r>
      <w:r w:rsidRPr="00573B96">
        <w:rPr>
          <w:rFonts w:cs="Times New Roman"/>
          <w:szCs w:val="24"/>
        </w:rPr>
        <w:t xml:space="preserve">det således skulle ske forud for overdragelse af fordringen til inddrivelse hos Gældsstyrelsen. Der vil derfor ikke blive tale om sideløbende inddrivelsesforløb. Fordringer, der er sendt til inddrivelse hos Gældsstyrelsen, vil ikke kunne opkræves af </w:t>
      </w:r>
      <w:r w:rsidR="00C32E7C" w:rsidRPr="00573B96">
        <w:rPr>
          <w:rFonts w:cs="Times New Roman"/>
          <w:szCs w:val="24"/>
        </w:rPr>
        <w:t xml:space="preserve">Færdselsstyrelsen (og </w:t>
      </w:r>
      <w:r w:rsidRPr="00573B96">
        <w:rPr>
          <w:rFonts w:cs="Times New Roman"/>
          <w:szCs w:val="24"/>
        </w:rPr>
        <w:t>Sund &amp; Bælt Holding A/S</w:t>
      </w:r>
      <w:r w:rsidR="00C32E7C" w:rsidRPr="00573B96">
        <w:rPr>
          <w:rFonts w:cs="Times New Roman"/>
          <w:szCs w:val="24"/>
        </w:rPr>
        <w:t>)</w:t>
      </w:r>
      <w:r w:rsidRPr="00573B96">
        <w:rPr>
          <w:rFonts w:cs="Times New Roman"/>
          <w:szCs w:val="24"/>
        </w:rPr>
        <w:t xml:space="preserve"> efter den foreslåede</w:t>
      </w:r>
      <w:r w:rsidR="009E6A62" w:rsidRPr="00573B96">
        <w:rPr>
          <w:rFonts w:cs="Times New Roman"/>
          <w:szCs w:val="24"/>
        </w:rPr>
        <w:t xml:space="preserve"> </w:t>
      </w:r>
      <w:r w:rsidRPr="00573B96">
        <w:rPr>
          <w:rFonts w:cs="Times New Roman"/>
          <w:szCs w:val="24"/>
        </w:rPr>
        <w:t>ordning. Gældsstyrelsen vil fortsat være restanceinddrivelsesmyndighed, og overdragelse af fordringer til inddrivelse hos Gældsstyrelsen vil således fortsat skulle ske efter reglerne i gældsinddrivelsesloven, straffuldbyrdelseslovens §§ 91-92 og bødebekendtgørelsens § 5.</w:t>
      </w:r>
    </w:p>
    <w:p w14:paraId="407A4748" w14:textId="2E0D72D1" w:rsidR="00493CBE" w:rsidRPr="00573B96" w:rsidRDefault="00493CBE" w:rsidP="00573B96">
      <w:pPr>
        <w:spacing w:line="280" w:lineRule="atLeast"/>
        <w:ind w:right="-143"/>
        <w:jc w:val="left"/>
        <w:rPr>
          <w:rFonts w:cs="Times New Roman"/>
          <w:szCs w:val="24"/>
        </w:rPr>
      </w:pPr>
    </w:p>
    <w:p w14:paraId="54FA97B6" w14:textId="34848202" w:rsidR="00493CBE" w:rsidRPr="00573B96" w:rsidRDefault="001C0984" w:rsidP="00573B96">
      <w:pPr>
        <w:spacing w:line="280" w:lineRule="atLeast"/>
        <w:ind w:right="-143"/>
        <w:jc w:val="left"/>
        <w:rPr>
          <w:rFonts w:cs="Times New Roman"/>
          <w:i/>
          <w:iCs/>
          <w:szCs w:val="24"/>
        </w:rPr>
      </w:pPr>
      <w:r w:rsidRPr="00573B96">
        <w:rPr>
          <w:rFonts w:cs="Times New Roman"/>
          <w:i/>
          <w:iCs/>
          <w:szCs w:val="24"/>
        </w:rPr>
        <w:t>2.6.3. Den foreslåede ordning</w:t>
      </w:r>
    </w:p>
    <w:p w14:paraId="66332849" w14:textId="6232B39D" w:rsidR="001F0D95" w:rsidRPr="00573B96" w:rsidRDefault="001F0D95" w:rsidP="00573B96">
      <w:pPr>
        <w:spacing w:line="280" w:lineRule="atLeast"/>
        <w:ind w:right="-143"/>
        <w:jc w:val="left"/>
        <w:rPr>
          <w:rFonts w:eastAsia="Calibri" w:cs="Times New Roman"/>
          <w:szCs w:val="24"/>
        </w:rPr>
      </w:pPr>
      <w:r w:rsidRPr="00573B96">
        <w:rPr>
          <w:rFonts w:cs="Times New Roman"/>
          <w:szCs w:val="24"/>
        </w:rPr>
        <w:t xml:space="preserve">Det foreslås, at der i synsloven indsættes </w:t>
      </w:r>
      <w:r w:rsidR="001D4B32" w:rsidRPr="00573B96">
        <w:rPr>
          <w:rFonts w:cs="Times New Roman"/>
          <w:szCs w:val="24"/>
        </w:rPr>
        <w:t>en ny bestemmelse som § 12 a</w:t>
      </w:r>
      <w:r w:rsidR="003B2452" w:rsidRPr="00573B96">
        <w:rPr>
          <w:rFonts w:cs="Times New Roman"/>
          <w:szCs w:val="24"/>
        </w:rPr>
        <w:t xml:space="preserve">, hvor det af stk. 1 fremgår, at </w:t>
      </w:r>
      <w:r w:rsidRPr="00573B96">
        <w:rPr>
          <w:rFonts w:eastAsia="Calibri" w:cs="Times New Roman"/>
          <w:szCs w:val="24"/>
        </w:rPr>
        <w:t xml:space="preserve">Færdselsstyrelsen ved vejsiden </w:t>
      </w:r>
      <w:r w:rsidR="003B2452" w:rsidRPr="00573B96">
        <w:rPr>
          <w:rFonts w:eastAsia="Calibri" w:cs="Times New Roman"/>
          <w:szCs w:val="24"/>
        </w:rPr>
        <w:t xml:space="preserve">kan </w:t>
      </w:r>
      <w:r w:rsidRPr="00573B96">
        <w:rPr>
          <w:rFonts w:eastAsia="Calibri" w:cs="Times New Roman"/>
          <w:szCs w:val="24"/>
        </w:rPr>
        <w:t xml:space="preserve">foretage kontrol og opkrævning af endelig afgjorte og forfaldne bøder for overtrædelse af lov om vejafgift, hvis skyldneren og det motordrevne køretøj, med hvilket overtrædelsen er begået, er hjemmehørende i udlandet. </w:t>
      </w:r>
      <w:r w:rsidR="003B2452" w:rsidRPr="00573B96">
        <w:rPr>
          <w:rFonts w:eastAsia="Calibri" w:cs="Times New Roman"/>
          <w:szCs w:val="24"/>
        </w:rPr>
        <w:t xml:space="preserve">Det foreslås endvidere, at </w:t>
      </w:r>
      <w:r w:rsidRPr="00573B96">
        <w:rPr>
          <w:rFonts w:eastAsia="Calibri" w:cs="Times New Roman"/>
          <w:szCs w:val="24"/>
        </w:rPr>
        <w:t xml:space="preserve">Færdselsstyrelsen i den forbindelse </w:t>
      </w:r>
      <w:r w:rsidR="003B2452" w:rsidRPr="00573B96">
        <w:rPr>
          <w:rFonts w:eastAsia="Calibri" w:cs="Times New Roman"/>
          <w:szCs w:val="24"/>
        </w:rPr>
        <w:t xml:space="preserve">kan </w:t>
      </w:r>
      <w:r w:rsidRPr="00573B96">
        <w:rPr>
          <w:rFonts w:eastAsia="Calibri" w:cs="Times New Roman"/>
          <w:szCs w:val="24"/>
        </w:rPr>
        <w:t>anvise og ledsage køretøjet til et kontrolsted, som køretøjet ikke må forlade, før betalingsforholdet er afklaret.</w:t>
      </w:r>
    </w:p>
    <w:p w14:paraId="4E218A31" w14:textId="77BF52D0" w:rsidR="00C93F23" w:rsidRPr="00573B96" w:rsidRDefault="00C93F23" w:rsidP="00573B96">
      <w:pPr>
        <w:spacing w:line="280" w:lineRule="atLeast"/>
        <w:ind w:right="-143"/>
        <w:jc w:val="left"/>
        <w:rPr>
          <w:rFonts w:eastAsia="Calibri" w:cs="Times New Roman"/>
          <w:szCs w:val="24"/>
        </w:rPr>
      </w:pPr>
    </w:p>
    <w:p w14:paraId="01D8EDAD" w14:textId="2EEA5EE3" w:rsidR="00C93F23" w:rsidRPr="00573B96" w:rsidRDefault="00C93F23" w:rsidP="00573B96">
      <w:pPr>
        <w:spacing w:line="280" w:lineRule="atLeast"/>
        <w:ind w:right="-143"/>
        <w:jc w:val="left"/>
        <w:rPr>
          <w:rFonts w:eastAsia="Calibri" w:cs="Times New Roman"/>
          <w:szCs w:val="24"/>
        </w:rPr>
      </w:pPr>
      <w:r w:rsidRPr="00573B96">
        <w:rPr>
          <w:rFonts w:eastAsia="Calibri" w:cs="Times New Roman"/>
          <w:szCs w:val="24"/>
        </w:rPr>
        <w:t>Der henvises til bemærkningerne til lovforslagets § 2, nr. 1, til den foreslåede § 12 a, stk. 1, i synsloven.</w:t>
      </w:r>
    </w:p>
    <w:p w14:paraId="2F976212" w14:textId="7E6BA126" w:rsidR="003B2452" w:rsidRPr="00573B96" w:rsidRDefault="003B2452" w:rsidP="00573B96">
      <w:pPr>
        <w:spacing w:line="280" w:lineRule="atLeast"/>
        <w:ind w:right="-143"/>
        <w:jc w:val="left"/>
        <w:rPr>
          <w:rFonts w:eastAsia="Calibri" w:cs="Times New Roman"/>
          <w:szCs w:val="24"/>
        </w:rPr>
      </w:pPr>
    </w:p>
    <w:p w14:paraId="119ABAED" w14:textId="1825F0E5" w:rsidR="004A5254" w:rsidRPr="00573B96" w:rsidRDefault="004A5254" w:rsidP="00573B96">
      <w:pPr>
        <w:spacing w:line="280" w:lineRule="atLeast"/>
        <w:ind w:right="-143"/>
        <w:jc w:val="left"/>
        <w:rPr>
          <w:rFonts w:eastAsia="Calibri" w:cs="Times New Roman"/>
          <w:szCs w:val="24"/>
        </w:rPr>
      </w:pPr>
      <w:r w:rsidRPr="00573B96">
        <w:rPr>
          <w:rFonts w:eastAsia="Calibri" w:cs="Times New Roman"/>
          <w:szCs w:val="24"/>
        </w:rPr>
        <w:t>I forhold til de nordiske lande (Finland, Island, Norge og Sverige) er der særligt lette muligheder for inddrivelse af strafferetlige bøder i henhold til lov om samarbejde med Finland, Island, Norge og Sverige angående fuldbyrdelse af straf m.v., jf. lovbekendtgørelse nr. 555 af 25. maj 2011 med senere ændringer.</w:t>
      </w:r>
    </w:p>
    <w:p w14:paraId="7757014E" w14:textId="77777777" w:rsidR="004A5254" w:rsidRPr="00573B96" w:rsidRDefault="004A5254" w:rsidP="00573B96">
      <w:pPr>
        <w:spacing w:line="280" w:lineRule="atLeast"/>
        <w:ind w:right="-143"/>
        <w:jc w:val="left"/>
        <w:rPr>
          <w:rFonts w:eastAsia="Calibri" w:cs="Times New Roman"/>
          <w:szCs w:val="24"/>
        </w:rPr>
      </w:pPr>
    </w:p>
    <w:p w14:paraId="650E531B" w14:textId="3D9ADC7A" w:rsidR="004A5254" w:rsidRPr="00573B96" w:rsidRDefault="003B2452" w:rsidP="00573B96">
      <w:pPr>
        <w:spacing w:line="280" w:lineRule="atLeast"/>
        <w:ind w:right="-143"/>
        <w:jc w:val="left"/>
        <w:rPr>
          <w:rFonts w:eastAsia="Calibri" w:cs="Times New Roman"/>
          <w:szCs w:val="24"/>
        </w:rPr>
      </w:pPr>
      <w:r w:rsidRPr="00573B96">
        <w:rPr>
          <w:rFonts w:eastAsia="Calibri" w:cs="Times New Roman"/>
          <w:szCs w:val="24"/>
        </w:rPr>
        <w:t>Det foreslås</w:t>
      </w:r>
      <w:r w:rsidR="004A5254" w:rsidRPr="00573B96">
        <w:rPr>
          <w:rFonts w:eastAsia="Calibri" w:cs="Times New Roman"/>
          <w:szCs w:val="24"/>
        </w:rPr>
        <w:t xml:space="preserve"> derfor</w:t>
      </w:r>
      <w:r w:rsidRPr="00573B96">
        <w:rPr>
          <w:rFonts w:eastAsia="Calibri" w:cs="Times New Roman"/>
          <w:szCs w:val="24"/>
        </w:rPr>
        <w:t xml:space="preserve"> i § 12 a, stk. 2, at s</w:t>
      </w:r>
      <w:r w:rsidR="001F0D95" w:rsidRPr="00573B96">
        <w:rPr>
          <w:rFonts w:eastAsia="Calibri" w:cs="Times New Roman"/>
          <w:szCs w:val="24"/>
        </w:rPr>
        <w:t xml:space="preserve">tk. 1 </w:t>
      </w:r>
      <w:r w:rsidRPr="00573B96">
        <w:rPr>
          <w:rFonts w:eastAsia="Calibri" w:cs="Times New Roman"/>
          <w:szCs w:val="24"/>
        </w:rPr>
        <w:t xml:space="preserve">ikke </w:t>
      </w:r>
      <w:r w:rsidR="001F0D95" w:rsidRPr="00573B96">
        <w:rPr>
          <w:rFonts w:eastAsia="Calibri" w:cs="Times New Roman"/>
          <w:szCs w:val="24"/>
        </w:rPr>
        <w:t>finder anvendelse med hensyn til skyldnere, der er hjemmehørende i Finland, Island, Norge eller Sverige.</w:t>
      </w:r>
    </w:p>
    <w:p w14:paraId="49E44CF4" w14:textId="56690CC6" w:rsidR="003B2452" w:rsidRPr="00573B96" w:rsidRDefault="003B2452" w:rsidP="00573B96">
      <w:pPr>
        <w:spacing w:line="280" w:lineRule="atLeast"/>
        <w:ind w:right="-143"/>
        <w:jc w:val="left"/>
        <w:rPr>
          <w:rFonts w:eastAsia="Calibri" w:cs="Times New Roman"/>
          <w:szCs w:val="24"/>
        </w:rPr>
      </w:pPr>
    </w:p>
    <w:p w14:paraId="0BBBC27B" w14:textId="7046EAD3" w:rsidR="001F0D95" w:rsidRPr="00573B96" w:rsidRDefault="003B2452" w:rsidP="00573B96">
      <w:pPr>
        <w:spacing w:line="280" w:lineRule="atLeast"/>
        <w:ind w:right="-143"/>
        <w:jc w:val="left"/>
        <w:rPr>
          <w:rFonts w:eastAsia="Calibri" w:cs="Times New Roman"/>
          <w:szCs w:val="24"/>
        </w:rPr>
      </w:pPr>
      <w:r w:rsidRPr="00573B96">
        <w:rPr>
          <w:rFonts w:eastAsia="Calibri" w:cs="Times New Roman"/>
          <w:szCs w:val="24"/>
        </w:rPr>
        <w:t>Det foreslås i § 12 a, stk. 3, at t</w:t>
      </w:r>
      <w:r w:rsidR="001F0D95" w:rsidRPr="00573B96">
        <w:rPr>
          <w:rFonts w:eastAsia="Calibri" w:cs="Times New Roman"/>
          <w:szCs w:val="24"/>
        </w:rPr>
        <w:t>ransportministeren kan fastsætte nærmere regler om kontrol og opkrævning efter stk. 1, herunder at regler fastsat i medfør af § 11, stk. 2, finder tilsvarende anvendelse ved kontrol og opkrævning efter stk. 1.</w:t>
      </w:r>
      <w:r w:rsidRPr="00573B96">
        <w:rPr>
          <w:rFonts w:eastAsia="Calibri" w:cs="Times New Roman"/>
          <w:szCs w:val="24"/>
        </w:rPr>
        <w:t xml:space="preserve"> Det foreslås endvidere, at t</w:t>
      </w:r>
      <w:r w:rsidR="001F0D95" w:rsidRPr="00573B96">
        <w:rPr>
          <w:rFonts w:eastAsia="Calibri" w:cs="Times New Roman"/>
          <w:szCs w:val="24"/>
        </w:rPr>
        <w:t xml:space="preserve">ransportministeren efter forhandling med justitsministeren </w:t>
      </w:r>
      <w:r w:rsidRPr="00573B96">
        <w:rPr>
          <w:rFonts w:eastAsia="Calibri" w:cs="Times New Roman"/>
          <w:szCs w:val="24"/>
        </w:rPr>
        <w:t xml:space="preserve">kan </w:t>
      </w:r>
      <w:r w:rsidR="001F0D95" w:rsidRPr="00573B96">
        <w:rPr>
          <w:rFonts w:eastAsia="Calibri" w:cs="Times New Roman"/>
          <w:szCs w:val="24"/>
        </w:rPr>
        <w:t>fastsætte nærmere regler om oversendelse af sager til kontrol og opkrævning.</w:t>
      </w:r>
    </w:p>
    <w:p w14:paraId="6BABA1FA" w14:textId="3271E171" w:rsidR="00C93F23" w:rsidRPr="00573B96" w:rsidRDefault="00C93F23" w:rsidP="00573B96">
      <w:pPr>
        <w:spacing w:line="280" w:lineRule="atLeast"/>
        <w:ind w:right="-143"/>
        <w:jc w:val="left"/>
        <w:rPr>
          <w:rFonts w:eastAsia="Calibri" w:cs="Times New Roman"/>
          <w:szCs w:val="24"/>
        </w:rPr>
      </w:pPr>
    </w:p>
    <w:p w14:paraId="55E27C00" w14:textId="41F83F5E" w:rsidR="00C93F23" w:rsidRPr="00573B96" w:rsidRDefault="00C93F23" w:rsidP="00573B96">
      <w:pPr>
        <w:spacing w:line="280" w:lineRule="atLeast"/>
        <w:ind w:right="-143"/>
        <w:jc w:val="left"/>
        <w:rPr>
          <w:rFonts w:eastAsia="Calibri" w:cs="Times New Roman"/>
          <w:szCs w:val="24"/>
        </w:rPr>
      </w:pPr>
      <w:r w:rsidRPr="00573B96">
        <w:rPr>
          <w:rFonts w:eastAsia="Calibri" w:cs="Times New Roman"/>
          <w:szCs w:val="24"/>
        </w:rPr>
        <w:t>Det er hensigten at benytte bemyndigelsesbestemmelsen i den foreslåede § 12 a, stk. 3, 1. pkt., til at ændre regler</w:t>
      </w:r>
      <w:r w:rsidR="00712A94" w:rsidRPr="00573B96">
        <w:rPr>
          <w:rFonts w:eastAsia="Calibri" w:cs="Times New Roman"/>
          <w:szCs w:val="24"/>
        </w:rPr>
        <w:t xml:space="preserve">ne </w:t>
      </w:r>
      <w:r w:rsidRPr="00573B96">
        <w:rPr>
          <w:rFonts w:eastAsia="Calibri" w:cs="Times New Roman"/>
          <w:szCs w:val="24"/>
        </w:rPr>
        <w:t xml:space="preserve">i vejsidesynsbekendtgørelsen, således at bekendtgørelsens regler om </w:t>
      </w:r>
      <w:r w:rsidR="001414C3" w:rsidRPr="00573B96">
        <w:rPr>
          <w:rFonts w:eastAsia="Calibri" w:cs="Times New Roman"/>
          <w:szCs w:val="24"/>
        </w:rPr>
        <w:t>blandt andet indretning og afmærkning af køretøjer og kontrolsteder</w:t>
      </w:r>
      <w:r w:rsidRPr="00573B96">
        <w:rPr>
          <w:rFonts w:eastAsia="Calibri" w:cs="Times New Roman"/>
          <w:szCs w:val="24"/>
        </w:rPr>
        <w:t xml:space="preserve"> også vil finde anvendelse</w:t>
      </w:r>
      <w:r w:rsidR="00712A94" w:rsidRPr="00573B96">
        <w:rPr>
          <w:rFonts w:eastAsia="Calibri" w:cs="Times New Roman"/>
          <w:szCs w:val="24"/>
        </w:rPr>
        <w:t xml:space="preserve"> i forbindelse med den kontrol og opkrævning af forfaldne bøder for manglende betaling af vejafgift, som det foreslås, at styrelsen kan foretage.</w:t>
      </w:r>
      <w:r w:rsidR="003C722F" w:rsidRPr="00573B96">
        <w:rPr>
          <w:rFonts w:eastAsia="Calibri" w:cs="Times New Roman"/>
          <w:szCs w:val="24"/>
        </w:rPr>
        <w:t xml:space="preserve"> Tilsvarende er det hensigten at fastsætte nærmere regler om gennemførelse af kontrollen og opkrævningen, herunder vejledning af føreren om betaling, og opkrævningsperiodens længde.</w:t>
      </w:r>
      <w:r w:rsidR="001414C3" w:rsidRPr="00573B96">
        <w:rPr>
          <w:rFonts w:eastAsia="Calibri" w:cs="Times New Roman"/>
          <w:szCs w:val="24"/>
        </w:rPr>
        <w:t xml:space="preserve"> </w:t>
      </w:r>
    </w:p>
    <w:p w14:paraId="1E6BB1D1" w14:textId="2491630A" w:rsidR="00712A94" w:rsidRPr="00573B96" w:rsidRDefault="00712A94" w:rsidP="00573B96">
      <w:pPr>
        <w:spacing w:line="280" w:lineRule="atLeast"/>
        <w:ind w:right="-143"/>
        <w:jc w:val="left"/>
        <w:rPr>
          <w:rFonts w:eastAsia="Calibri" w:cs="Times New Roman"/>
          <w:szCs w:val="24"/>
        </w:rPr>
      </w:pPr>
    </w:p>
    <w:p w14:paraId="78912E60" w14:textId="26497649" w:rsidR="00712A94" w:rsidRPr="00573B96" w:rsidRDefault="00712A94" w:rsidP="00573B96">
      <w:pPr>
        <w:spacing w:line="280" w:lineRule="atLeast"/>
        <w:ind w:right="-143"/>
        <w:jc w:val="left"/>
        <w:rPr>
          <w:rFonts w:eastAsia="Calibri" w:cs="Times New Roman"/>
          <w:szCs w:val="24"/>
        </w:rPr>
      </w:pPr>
      <w:r w:rsidRPr="00573B96">
        <w:rPr>
          <w:rFonts w:eastAsia="Calibri" w:cs="Times New Roman"/>
          <w:szCs w:val="24"/>
        </w:rPr>
        <w:t xml:space="preserve">Det er endvidere hensigten at benytte bemyndigelsesbestemmelsen i den foreslåede § 12 a, stk. 3, 1. pkt., til efter forhandling med justitsministeren at ændre reglerne i passagenægtelsesbekendtgørelsen, således at </w:t>
      </w:r>
      <w:r w:rsidR="00E5787F" w:rsidRPr="00573B96">
        <w:rPr>
          <w:rFonts w:eastAsia="Calibri" w:cs="Times New Roman"/>
          <w:szCs w:val="24"/>
        </w:rPr>
        <w:t xml:space="preserve">bekendtgørelsens regler om </w:t>
      </w:r>
      <w:r w:rsidR="003C722F" w:rsidRPr="00573B96">
        <w:rPr>
          <w:rFonts w:eastAsia="Calibri" w:cs="Times New Roman"/>
          <w:szCs w:val="24"/>
        </w:rPr>
        <w:t xml:space="preserve">udveksling af oplysninger mellem politiet og Sund &amp; Bælt Holding A/S, herunder </w:t>
      </w:r>
      <w:r w:rsidR="00E5787F" w:rsidRPr="00573B96">
        <w:rPr>
          <w:rFonts w:eastAsia="Calibri" w:cs="Times New Roman"/>
          <w:szCs w:val="24"/>
        </w:rPr>
        <w:t>oversendelse af bøder til opkrævning hos Sund &amp; Bælt Holding A/S, og</w:t>
      </w:r>
      <w:r w:rsidR="003C722F" w:rsidRPr="00573B96">
        <w:rPr>
          <w:rFonts w:eastAsia="Calibri" w:cs="Times New Roman"/>
          <w:szCs w:val="24"/>
        </w:rPr>
        <w:t>så vil finde anvendelse i forhold til Færdselsstyrelsen.</w:t>
      </w:r>
      <w:r w:rsidR="00E5787F" w:rsidRPr="00573B96">
        <w:rPr>
          <w:rFonts w:eastAsia="Calibri" w:cs="Times New Roman"/>
          <w:szCs w:val="24"/>
        </w:rPr>
        <w:t xml:space="preserve"> </w:t>
      </w:r>
    </w:p>
    <w:p w14:paraId="255D9BAC" w14:textId="77777777" w:rsidR="003B2452" w:rsidRPr="00573B96" w:rsidRDefault="003B2452" w:rsidP="00573B96">
      <w:pPr>
        <w:spacing w:line="280" w:lineRule="atLeast"/>
        <w:ind w:right="-143"/>
        <w:jc w:val="left"/>
        <w:rPr>
          <w:rFonts w:eastAsia="Calibri" w:cs="Times New Roman"/>
          <w:szCs w:val="24"/>
        </w:rPr>
      </w:pPr>
    </w:p>
    <w:p w14:paraId="0A612673" w14:textId="4E41D8F6" w:rsidR="00DE0BCE" w:rsidRPr="00573B96" w:rsidRDefault="00DE0BCE" w:rsidP="00573B96">
      <w:pPr>
        <w:spacing w:line="280" w:lineRule="atLeast"/>
        <w:ind w:right="-143"/>
        <w:jc w:val="left"/>
        <w:rPr>
          <w:rFonts w:cs="Times New Roman"/>
          <w:szCs w:val="24"/>
        </w:rPr>
      </w:pPr>
      <w:r w:rsidRPr="00573B96">
        <w:rPr>
          <w:rFonts w:eastAsia="Calibri" w:cs="Times New Roman"/>
          <w:szCs w:val="24"/>
        </w:rPr>
        <w:t>Det foreslås endvidere, at der i</w:t>
      </w:r>
      <w:r w:rsidR="001F0D95" w:rsidRPr="00573B96">
        <w:rPr>
          <w:rFonts w:eastAsia="Calibri" w:cs="Times New Roman"/>
          <w:szCs w:val="24"/>
        </w:rPr>
        <w:t xml:space="preserve"> </w:t>
      </w:r>
      <w:r w:rsidR="001F0D95" w:rsidRPr="00573B96">
        <w:rPr>
          <w:rFonts w:eastAsia="Calibri" w:cs="Times New Roman"/>
          <w:iCs/>
          <w:szCs w:val="24"/>
        </w:rPr>
        <w:t>§ 36, stk. 3,</w:t>
      </w:r>
      <w:r w:rsidR="001F0D95" w:rsidRPr="00573B96">
        <w:rPr>
          <w:rFonts w:eastAsia="Calibri" w:cs="Times New Roman"/>
          <w:szCs w:val="24"/>
        </w:rPr>
        <w:t xml:space="preserve"> </w:t>
      </w:r>
      <w:r w:rsidRPr="00573B96">
        <w:rPr>
          <w:rFonts w:eastAsia="Calibri" w:cs="Times New Roman"/>
          <w:szCs w:val="24"/>
        </w:rPr>
        <w:t xml:space="preserve">indsættes en henvisning til den foreslåede </w:t>
      </w:r>
      <w:r w:rsidR="001F0D95" w:rsidRPr="00573B96">
        <w:rPr>
          <w:rFonts w:eastAsia="Calibri" w:cs="Times New Roman"/>
          <w:szCs w:val="24"/>
        </w:rPr>
        <w:t>§ 12 a, stk. 1.</w:t>
      </w:r>
      <w:r w:rsidRPr="00573B96">
        <w:rPr>
          <w:rFonts w:eastAsia="Calibri" w:cs="Times New Roman"/>
          <w:szCs w:val="24"/>
        </w:rPr>
        <w:t xml:space="preserve"> Herved vil det blive </w:t>
      </w:r>
      <w:r w:rsidRPr="00573B96">
        <w:rPr>
          <w:rFonts w:cs="Times New Roman"/>
          <w:szCs w:val="24"/>
        </w:rPr>
        <w:t xml:space="preserve">strafbelagt med bøde, hvis Færdselsstyrelsens anvisninger </w:t>
      </w:r>
      <w:r w:rsidR="00A422D7" w:rsidRPr="00573B96">
        <w:rPr>
          <w:rFonts w:cs="Times New Roman"/>
          <w:szCs w:val="24"/>
        </w:rPr>
        <w:t xml:space="preserve">efter den foreslåede § 12 a, stk. 1, </w:t>
      </w:r>
      <w:r w:rsidRPr="00573B96">
        <w:rPr>
          <w:rFonts w:cs="Times New Roman"/>
          <w:szCs w:val="24"/>
        </w:rPr>
        <w:t>ikke følges, jf. bemærkningerne til den foreslåede § 36, stk. 3.</w:t>
      </w:r>
    </w:p>
    <w:p w14:paraId="3D20915F" w14:textId="4C0CBB4E" w:rsidR="001F0D95" w:rsidRPr="00573B96" w:rsidRDefault="001F0D95" w:rsidP="00573B96">
      <w:pPr>
        <w:spacing w:line="280" w:lineRule="atLeast"/>
        <w:ind w:right="-143"/>
        <w:jc w:val="left"/>
        <w:rPr>
          <w:rFonts w:eastAsia="Calibri" w:cs="Times New Roman"/>
          <w:szCs w:val="24"/>
        </w:rPr>
      </w:pPr>
    </w:p>
    <w:p w14:paraId="4E7A0B73" w14:textId="5A3073FE" w:rsidR="00DE0BCE" w:rsidRPr="00573B96" w:rsidRDefault="00DE0BCE" w:rsidP="00573B96">
      <w:pPr>
        <w:spacing w:line="280" w:lineRule="atLeast"/>
        <w:ind w:right="-143"/>
        <w:jc w:val="left"/>
        <w:rPr>
          <w:rFonts w:cs="Times New Roman"/>
          <w:szCs w:val="24"/>
        </w:rPr>
      </w:pPr>
      <w:r w:rsidRPr="00573B96">
        <w:rPr>
          <w:rFonts w:cs="Times New Roman"/>
          <w:szCs w:val="24"/>
        </w:rPr>
        <w:t>Det forudsættes, at bødeniveauet fastsættes til 1.500 kr.</w:t>
      </w:r>
      <w:r w:rsidR="00A422D7" w:rsidRPr="00573B96">
        <w:rPr>
          <w:rFonts w:cs="Times New Roman"/>
          <w:szCs w:val="24"/>
        </w:rPr>
        <w:t xml:space="preserve"> Det</w:t>
      </w:r>
      <w:r w:rsidRPr="00573B96">
        <w:rPr>
          <w:rFonts w:cs="Times New Roman"/>
          <w:szCs w:val="24"/>
        </w:rPr>
        <w:t xml:space="preserve"> svarer til bødeniveauet for </w:t>
      </w:r>
      <w:r w:rsidR="00A422D7" w:rsidRPr="00573B96">
        <w:rPr>
          <w:rFonts w:cs="Times New Roman"/>
          <w:szCs w:val="24"/>
        </w:rPr>
        <w:t xml:space="preserve">overtrædelse af færdselslovens § 4, stk. 2, om trafikanters pligt til at efterkomme politiets anvisninger for færdslen, lige så vel som det svarer til bødeniveauet for overtrædelse af synslovens § 11, stk. 1, om pligt til at efterkommer Færdselsstyrelsens anvisninger ved vejsidesyn. </w:t>
      </w:r>
    </w:p>
    <w:p w14:paraId="3B162553" w14:textId="77777777" w:rsidR="00DE0BCE" w:rsidRPr="00573B96" w:rsidRDefault="00DE0BCE" w:rsidP="00573B96">
      <w:pPr>
        <w:spacing w:line="280" w:lineRule="atLeast"/>
        <w:ind w:right="-143"/>
        <w:jc w:val="left"/>
        <w:rPr>
          <w:rFonts w:cs="Times New Roman"/>
          <w:szCs w:val="24"/>
        </w:rPr>
      </w:pPr>
    </w:p>
    <w:p w14:paraId="5BA2C63B" w14:textId="0FDEBFE0" w:rsidR="00DE0BCE" w:rsidRPr="00573B96" w:rsidRDefault="00DE0BCE" w:rsidP="00573B96">
      <w:pPr>
        <w:spacing w:line="280" w:lineRule="atLeast"/>
        <w:ind w:right="-143"/>
        <w:jc w:val="left"/>
        <w:rPr>
          <w:rFonts w:cs="Times New Roman"/>
          <w:szCs w:val="24"/>
        </w:rPr>
      </w:pPr>
      <w:r w:rsidRPr="00573B96">
        <w:rPr>
          <w:rFonts w:cs="Times New Roman"/>
          <w:szCs w:val="24"/>
        </w:rPr>
        <w:t>Den angivne retningslinje afskærer ikke domstolene fra efter en konkret vurdering i det enkelte tilfælde af samtlige omstændigheder i sagen at fravige det angivne bødeniveau i op- eller nedadgående retning, hvis der i den konkrete sag foreligger skærpende eller formildende omstændigheder.</w:t>
      </w:r>
    </w:p>
    <w:p w14:paraId="6F73BDBA" w14:textId="4642821B" w:rsidR="00A422D7" w:rsidRPr="00573B96" w:rsidRDefault="00A422D7" w:rsidP="00573B96">
      <w:pPr>
        <w:spacing w:line="280" w:lineRule="atLeast"/>
        <w:ind w:right="-143"/>
        <w:jc w:val="left"/>
        <w:rPr>
          <w:rFonts w:cs="Times New Roman"/>
          <w:szCs w:val="24"/>
        </w:rPr>
      </w:pPr>
    </w:p>
    <w:p w14:paraId="00861144" w14:textId="71FE5E2B" w:rsidR="00A422D7" w:rsidRPr="00573B96" w:rsidRDefault="00A422D7" w:rsidP="00573B96">
      <w:pPr>
        <w:spacing w:line="280" w:lineRule="atLeast"/>
        <w:ind w:right="-143"/>
        <w:jc w:val="left"/>
        <w:rPr>
          <w:rFonts w:cs="Times New Roman"/>
          <w:szCs w:val="24"/>
        </w:rPr>
      </w:pPr>
      <w:r w:rsidRPr="00573B96">
        <w:rPr>
          <w:rFonts w:cs="Times New Roman"/>
          <w:szCs w:val="24"/>
        </w:rPr>
        <w:t>Der henvises i øvrigt til bemærkningerne til lovforslagets § 2, nr. 2.</w:t>
      </w:r>
    </w:p>
    <w:p w14:paraId="388250FA" w14:textId="77777777" w:rsidR="00DE0BCE" w:rsidRPr="00573B96" w:rsidRDefault="00DE0BCE" w:rsidP="00573B96">
      <w:pPr>
        <w:spacing w:line="280" w:lineRule="atLeast"/>
        <w:ind w:right="-143"/>
        <w:jc w:val="left"/>
        <w:rPr>
          <w:rFonts w:cs="Times New Roman"/>
          <w:szCs w:val="24"/>
        </w:rPr>
      </w:pPr>
    </w:p>
    <w:p w14:paraId="2C3C5F27" w14:textId="076031C1" w:rsidR="00694305" w:rsidRPr="00573B96" w:rsidRDefault="00694305" w:rsidP="00573B96">
      <w:pPr>
        <w:pStyle w:val="Overskrift1"/>
        <w:numPr>
          <w:ilvl w:val="0"/>
          <w:numId w:val="7"/>
        </w:numPr>
        <w:spacing w:line="280" w:lineRule="atLeast"/>
        <w:ind w:right="-143"/>
        <w:jc w:val="left"/>
        <w:rPr>
          <w:rFonts w:ascii="Times New Roman" w:hAnsi="Times New Roman" w:cs="Times New Roman"/>
          <w:bCs w:val="0"/>
          <w:iCs/>
          <w:szCs w:val="24"/>
        </w:rPr>
      </w:pPr>
      <w:bookmarkStart w:id="135" w:name="_Toc505180549"/>
      <w:bookmarkStart w:id="136" w:name="_Toc505690202"/>
      <w:bookmarkStart w:id="137" w:name="_Toc505701755"/>
      <w:bookmarkStart w:id="138" w:name="_Toc505759547"/>
      <w:bookmarkStart w:id="139" w:name="_Toc505759564"/>
      <w:bookmarkStart w:id="140" w:name="_Toc505762657"/>
      <w:bookmarkStart w:id="141" w:name="_Toc505785997"/>
      <w:bookmarkStart w:id="142" w:name="_Toc506799582"/>
      <w:bookmarkStart w:id="143" w:name="_Toc506799599"/>
      <w:bookmarkStart w:id="144" w:name="_Toc506894558"/>
      <w:bookmarkStart w:id="145" w:name="_Toc507486295"/>
      <w:bookmarkStart w:id="146" w:name="_Toc515271230"/>
      <w:bookmarkStart w:id="147" w:name="_Toc515271553"/>
      <w:bookmarkStart w:id="148" w:name="_Toc515271581"/>
      <w:bookmarkStart w:id="149" w:name="_Toc515280489"/>
      <w:bookmarkStart w:id="150" w:name="_Toc515280640"/>
      <w:bookmarkStart w:id="151" w:name="_Toc515352792"/>
      <w:bookmarkStart w:id="152" w:name="_Toc515540865"/>
      <w:bookmarkStart w:id="153" w:name="_Toc515543705"/>
      <w:bookmarkStart w:id="154" w:name="_Toc515543890"/>
      <w:bookmarkStart w:id="155" w:name="_Toc515551691"/>
      <w:bookmarkStart w:id="156" w:name="_Toc515627633"/>
      <w:bookmarkStart w:id="157" w:name="_Toc516039943"/>
      <w:bookmarkStart w:id="158" w:name="_Toc516155366"/>
      <w:bookmarkStart w:id="159" w:name="_Toc516490267"/>
      <w:bookmarkStart w:id="160" w:name="_Toc518037949"/>
      <w:bookmarkStart w:id="161" w:name="_Toc524599601"/>
      <w:bookmarkStart w:id="162" w:name="_Toc526154934"/>
      <w:bookmarkStart w:id="163" w:name="_Toc526155480"/>
      <w:bookmarkStart w:id="164" w:name="_Toc526155553"/>
      <w:bookmarkStart w:id="165" w:name="_Toc526253990"/>
      <w:bookmarkStart w:id="166" w:name="_Toc526348415"/>
      <w:bookmarkStart w:id="167" w:name="_Toc526374606"/>
      <w:bookmarkStart w:id="168" w:name="_Toc526374622"/>
      <w:bookmarkStart w:id="169" w:name="_Toc526406485"/>
      <w:bookmarkStart w:id="170" w:name="_Toc526409511"/>
      <w:bookmarkStart w:id="171" w:name="_Toc526491410"/>
      <w:bookmarkStart w:id="172" w:name="_Toc526505522"/>
      <w:bookmarkStart w:id="173" w:name="_Toc526756614"/>
      <w:r w:rsidRPr="00573B96">
        <w:rPr>
          <w:rFonts w:ascii="Times New Roman" w:hAnsi="Times New Roman" w:cs="Times New Roman"/>
          <w:bCs w:val="0"/>
          <w:iCs/>
          <w:szCs w:val="24"/>
        </w:rPr>
        <w:t>Økonomiske konsekvenser og implementeringskonsekvenser for det offentlige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EECF7A3" w14:textId="77777777" w:rsidR="000703C3" w:rsidRDefault="000703C3" w:rsidP="00573B96">
      <w:pPr>
        <w:pStyle w:val="Normaludenluft"/>
        <w:spacing w:line="280" w:lineRule="atLeast"/>
        <w:ind w:right="-143"/>
        <w:jc w:val="left"/>
        <w:rPr>
          <w:rFonts w:cs="Times New Roman"/>
          <w:szCs w:val="24"/>
        </w:rPr>
      </w:pPr>
    </w:p>
    <w:p w14:paraId="36B8FFCC" w14:textId="2BE6AA45" w:rsidR="00C12A3B" w:rsidRPr="00573B96" w:rsidRDefault="00C12A3B" w:rsidP="00573B96">
      <w:pPr>
        <w:pStyle w:val="Normaludenluft"/>
        <w:spacing w:line="280" w:lineRule="atLeast"/>
        <w:ind w:right="-143"/>
        <w:jc w:val="left"/>
        <w:rPr>
          <w:rFonts w:cs="Times New Roman"/>
          <w:szCs w:val="24"/>
        </w:rPr>
      </w:pPr>
      <w:r w:rsidRPr="00573B96">
        <w:rPr>
          <w:rFonts w:cs="Times New Roman"/>
          <w:szCs w:val="24"/>
        </w:rPr>
        <w:t>Lovforslagets § 1</w:t>
      </w:r>
      <w:r w:rsidR="00576EE2">
        <w:rPr>
          <w:rFonts w:cs="Times New Roman"/>
          <w:szCs w:val="24"/>
        </w:rPr>
        <w:t>, nr. 2, kan have positive økonomiske konsekvenser for vejmyndighederne,</w:t>
      </w:r>
      <w:r w:rsidRPr="00573B96">
        <w:rPr>
          <w:rFonts w:cs="Times New Roman"/>
          <w:szCs w:val="24"/>
        </w:rPr>
        <w:t xml:space="preserve"> idet det vil </w:t>
      </w:r>
      <w:r w:rsidR="00576EE2">
        <w:rPr>
          <w:rFonts w:cs="Times New Roman"/>
          <w:szCs w:val="24"/>
        </w:rPr>
        <w:t xml:space="preserve">blive </w:t>
      </w:r>
      <w:r w:rsidRPr="00573B96">
        <w:rPr>
          <w:rFonts w:cs="Times New Roman"/>
          <w:szCs w:val="24"/>
        </w:rPr>
        <w:t xml:space="preserve">muligt at gennemføre </w:t>
      </w:r>
      <w:r w:rsidR="000703C3">
        <w:rPr>
          <w:rFonts w:cs="Times New Roman"/>
          <w:szCs w:val="24"/>
        </w:rPr>
        <w:t>blokvognskørsel</w:t>
      </w:r>
      <w:r w:rsidRPr="00573B96">
        <w:rPr>
          <w:rFonts w:cs="Times New Roman"/>
          <w:szCs w:val="24"/>
        </w:rPr>
        <w:t xml:space="preserve"> på en mere skånsom måde for vejen og dens inventar.</w:t>
      </w:r>
    </w:p>
    <w:p w14:paraId="2E2D03FD" w14:textId="77777777" w:rsidR="00C12A3B" w:rsidRPr="00573B96" w:rsidRDefault="00C12A3B" w:rsidP="00573B96">
      <w:pPr>
        <w:spacing w:line="280" w:lineRule="atLeast"/>
        <w:ind w:right="-143"/>
        <w:jc w:val="left"/>
        <w:rPr>
          <w:rFonts w:cs="Times New Roman"/>
          <w:szCs w:val="24"/>
        </w:rPr>
      </w:pPr>
    </w:p>
    <w:p w14:paraId="004A681F" w14:textId="52194305" w:rsidR="00756392" w:rsidRPr="00573B96" w:rsidRDefault="00CC56BC" w:rsidP="00573B96">
      <w:pPr>
        <w:spacing w:line="280" w:lineRule="atLeast"/>
        <w:ind w:right="-143"/>
        <w:jc w:val="left"/>
        <w:rPr>
          <w:rFonts w:cs="Times New Roman"/>
          <w:szCs w:val="24"/>
        </w:rPr>
      </w:pPr>
      <w:r w:rsidRPr="00573B96">
        <w:rPr>
          <w:rFonts w:cs="Times New Roman"/>
          <w:szCs w:val="24"/>
        </w:rPr>
        <w:t xml:space="preserve">Lovforslagets § 2 om Færdselsstyrelsens kontrol og opkrævning af forfaldne bøder for manglende betaling af vejafgift </w:t>
      </w:r>
      <w:r w:rsidR="00756392" w:rsidRPr="00573B96">
        <w:rPr>
          <w:rFonts w:cs="Times New Roman"/>
          <w:szCs w:val="24"/>
        </w:rPr>
        <w:t xml:space="preserve">forventes </w:t>
      </w:r>
      <w:r w:rsidR="00697308" w:rsidRPr="00573B96">
        <w:rPr>
          <w:rFonts w:cs="Times New Roman"/>
          <w:szCs w:val="24"/>
        </w:rPr>
        <w:t xml:space="preserve">at understøtte opkrævning af provenuet fra vejafgiftsordningen på ca. 1,5-2 mia. kr. årligt til staten (efter adfærd og tilbageløb), ligesom den foreslåede kontrol- og opkrævningsadgang vil kunne understøtte opkrævning af ubetalte forfaldne bøder for manglende betaling af vejafgift. </w:t>
      </w:r>
    </w:p>
    <w:p w14:paraId="42D9B9EE" w14:textId="77777777" w:rsidR="00756392" w:rsidRPr="00573B96" w:rsidRDefault="00756392" w:rsidP="00573B96">
      <w:pPr>
        <w:spacing w:line="280" w:lineRule="atLeast"/>
        <w:ind w:right="-143"/>
        <w:jc w:val="left"/>
        <w:rPr>
          <w:rFonts w:cs="Times New Roman"/>
          <w:szCs w:val="24"/>
        </w:rPr>
      </w:pPr>
    </w:p>
    <w:p w14:paraId="4C374790" w14:textId="46759DFD" w:rsidR="00CC56BC" w:rsidRPr="00573B96" w:rsidRDefault="00756392" w:rsidP="00573B96">
      <w:pPr>
        <w:spacing w:line="280" w:lineRule="atLeast"/>
        <w:ind w:right="-143"/>
        <w:jc w:val="left"/>
        <w:rPr>
          <w:rFonts w:cs="Times New Roman"/>
          <w:szCs w:val="24"/>
        </w:rPr>
      </w:pPr>
      <w:r w:rsidRPr="00573B96">
        <w:rPr>
          <w:rFonts w:cs="Times New Roman"/>
          <w:szCs w:val="24"/>
        </w:rPr>
        <w:t xml:space="preserve">Den foreslåede ordning </w:t>
      </w:r>
      <w:r w:rsidR="00CC56BC" w:rsidRPr="00573B96">
        <w:rPr>
          <w:rFonts w:cs="Times New Roman"/>
          <w:szCs w:val="24"/>
        </w:rPr>
        <w:t>vil kunne medføre øgede omkostninger til administration i mindre omfang hos Færdselsstyrelsen. Udgifterne afholdes inden for Færdselsstyrelsens eksisterende bevillingsmæssige ramme.</w:t>
      </w:r>
    </w:p>
    <w:p w14:paraId="327841D1" w14:textId="77777777" w:rsidR="00CC56BC" w:rsidRPr="00573B96" w:rsidRDefault="00CC56BC" w:rsidP="00573B96">
      <w:pPr>
        <w:spacing w:line="280" w:lineRule="atLeast"/>
        <w:ind w:right="-143"/>
        <w:jc w:val="left"/>
        <w:rPr>
          <w:rFonts w:cs="Times New Roman"/>
          <w:szCs w:val="24"/>
        </w:rPr>
      </w:pPr>
    </w:p>
    <w:p w14:paraId="197C8028" w14:textId="5EE6C69A" w:rsidR="00A43C78" w:rsidRPr="00573B96" w:rsidRDefault="00A43C78" w:rsidP="00573B96">
      <w:pPr>
        <w:spacing w:line="280" w:lineRule="atLeast"/>
        <w:ind w:right="-143"/>
        <w:jc w:val="left"/>
        <w:rPr>
          <w:rFonts w:cs="Times New Roman"/>
          <w:szCs w:val="24"/>
        </w:rPr>
      </w:pPr>
      <w:r w:rsidRPr="00573B96">
        <w:rPr>
          <w:rFonts w:cs="Times New Roman"/>
          <w:szCs w:val="24"/>
        </w:rPr>
        <w:t xml:space="preserve">Lovforslaget indebærer </w:t>
      </w:r>
      <w:r w:rsidR="00CC56BC" w:rsidRPr="00573B96">
        <w:rPr>
          <w:rFonts w:cs="Times New Roman"/>
          <w:szCs w:val="24"/>
        </w:rPr>
        <w:t xml:space="preserve">i øvrigt </w:t>
      </w:r>
      <w:r w:rsidRPr="00573B96">
        <w:rPr>
          <w:rFonts w:cs="Times New Roman"/>
          <w:szCs w:val="24"/>
        </w:rPr>
        <w:t xml:space="preserve">ikke økonomiske og administrative konsekvenser for </w:t>
      </w:r>
      <w:r w:rsidR="00CC56BC" w:rsidRPr="00573B96">
        <w:rPr>
          <w:rFonts w:cs="Times New Roman"/>
          <w:szCs w:val="24"/>
        </w:rPr>
        <w:t xml:space="preserve">det offentlige, herunder </w:t>
      </w:r>
      <w:r w:rsidRPr="00573B96">
        <w:rPr>
          <w:rFonts w:cs="Times New Roman"/>
          <w:szCs w:val="24"/>
        </w:rPr>
        <w:t xml:space="preserve">kommunerne </w:t>
      </w:r>
      <w:r w:rsidR="00CC56BC" w:rsidRPr="00573B96">
        <w:rPr>
          <w:rFonts w:cs="Times New Roman"/>
          <w:szCs w:val="24"/>
        </w:rPr>
        <w:t xml:space="preserve">og </w:t>
      </w:r>
      <w:r w:rsidRPr="00573B96">
        <w:rPr>
          <w:rFonts w:cs="Times New Roman"/>
          <w:szCs w:val="24"/>
        </w:rPr>
        <w:t>regionerne.</w:t>
      </w:r>
    </w:p>
    <w:p w14:paraId="584D2CE9" w14:textId="77777777" w:rsidR="00A43C78" w:rsidRPr="00573B96" w:rsidRDefault="00A43C78" w:rsidP="00573B96">
      <w:pPr>
        <w:spacing w:line="280" w:lineRule="atLeast"/>
        <w:ind w:right="-143"/>
        <w:jc w:val="left"/>
        <w:rPr>
          <w:rFonts w:cs="Times New Roman"/>
          <w:iCs/>
          <w:szCs w:val="24"/>
        </w:rPr>
      </w:pPr>
    </w:p>
    <w:p w14:paraId="5487D008" w14:textId="536C48A5" w:rsidR="00531A16" w:rsidRPr="00573B96" w:rsidRDefault="00A43C78" w:rsidP="00573B96">
      <w:pPr>
        <w:spacing w:line="280" w:lineRule="atLeast"/>
        <w:ind w:right="-143"/>
        <w:jc w:val="left"/>
        <w:rPr>
          <w:rFonts w:cs="Times New Roman"/>
          <w:szCs w:val="24"/>
        </w:rPr>
      </w:pPr>
      <w:r w:rsidRPr="00573B96">
        <w:rPr>
          <w:rFonts w:cs="Times New Roman"/>
          <w:szCs w:val="24"/>
        </w:rPr>
        <w:t>Lovforslaget vurderes at være i overensstemmelse med</w:t>
      </w:r>
      <w:r w:rsidR="0099359F" w:rsidRPr="00573B96">
        <w:rPr>
          <w:rFonts w:cs="Times New Roman"/>
          <w:szCs w:val="24"/>
        </w:rPr>
        <w:t xml:space="preserve"> de syv</w:t>
      </w:r>
      <w:r w:rsidRPr="00573B96">
        <w:rPr>
          <w:rFonts w:cs="Times New Roman"/>
          <w:szCs w:val="24"/>
        </w:rPr>
        <w:t xml:space="preserve"> principper for digitaliseringsklar lovgivning.</w:t>
      </w:r>
    </w:p>
    <w:p w14:paraId="7833E98A" w14:textId="77777777" w:rsidR="00AB64FA" w:rsidRPr="00573B96" w:rsidRDefault="00AB64FA" w:rsidP="00573B96">
      <w:pPr>
        <w:spacing w:line="280" w:lineRule="atLeast"/>
        <w:ind w:right="-143"/>
        <w:jc w:val="left"/>
        <w:rPr>
          <w:rFonts w:cs="Times New Roman"/>
          <w:iCs/>
          <w:szCs w:val="24"/>
        </w:rPr>
      </w:pPr>
    </w:p>
    <w:p w14:paraId="231B3409" w14:textId="61F65E55" w:rsidR="00694305" w:rsidRPr="00573B96" w:rsidRDefault="00694305" w:rsidP="00573B96">
      <w:pPr>
        <w:pStyle w:val="Overskrift1"/>
        <w:numPr>
          <w:ilvl w:val="0"/>
          <w:numId w:val="7"/>
        </w:numPr>
        <w:spacing w:line="280" w:lineRule="atLeast"/>
        <w:ind w:right="-143"/>
        <w:jc w:val="left"/>
        <w:rPr>
          <w:rFonts w:ascii="Times New Roman" w:hAnsi="Times New Roman" w:cs="Times New Roman"/>
          <w:bCs w:val="0"/>
          <w:iCs/>
          <w:szCs w:val="24"/>
        </w:rPr>
      </w:pPr>
      <w:bookmarkStart w:id="174" w:name="_Toc515271231"/>
      <w:bookmarkStart w:id="175" w:name="_Toc515271554"/>
      <w:bookmarkStart w:id="176" w:name="_Toc515271582"/>
      <w:bookmarkStart w:id="177" w:name="_Toc515280490"/>
      <w:bookmarkStart w:id="178" w:name="_Toc515280641"/>
      <w:bookmarkStart w:id="179" w:name="_Toc515352793"/>
      <w:bookmarkStart w:id="180" w:name="_Toc515540866"/>
      <w:bookmarkStart w:id="181" w:name="_Toc515543706"/>
      <w:bookmarkStart w:id="182" w:name="_Toc515543891"/>
      <w:bookmarkStart w:id="183" w:name="_Toc515551692"/>
      <w:bookmarkStart w:id="184" w:name="_Toc515627634"/>
      <w:bookmarkStart w:id="185" w:name="_Toc516039944"/>
      <w:bookmarkStart w:id="186" w:name="_Toc516155367"/>
      <w:bookmarkStart w:id="187" w:name="_Toc516490268"/>
      <w:bookmarkStart w:id="188" w:name="_Toc518037950"/>
      <w:bookmarkStart w:id="189" w:name="_Toc524599602"/>
      <w:bookmarkStart w:id="190" w:name="_Toc526154935"/>
      <w:bookmarkStart w:id="191" w:name="_Toc526155481"/>
      <w:bookmarkStart w:id="192" w:name="_Toc526155554"/>
      <w:bookmarkStart w:id="193" w:name="_Toc526253991"/>
      <w:bookmarkStart w:id="194" w:name="_Toc526348416"/>
      <w:bookmarkStart w:id="195" w:name="_Toc526374607"/>
      <w:bookmarkStart w:id="196" w:name="_Toc526374623"/>
      <w:bookmarkStart w:id="197" w:name="_Toc526406486"/>
      <w:bookmarkStart w:id="198" w:name="_Toc526409512"/>
      <w:bookmarkStart w:id="199" w:name="_Toc526491411"/>
      <w:bookmarkStart w:id="200" w:name="_Toc526505523"/>
      <w:bookmarkStart w:id="201" w:name="_Toc526756615"/>
      <w:r w:rsidRPr="00573B96">
        <w:rPr>
          <w:rFonts w:ascii="Times New Roman" w:hAnsi="Times New Roman" w:cs="Times New Roman"/>
          <w:bCs w:val="0"/>
          <w:iCs/>
          <w:szCs w:val="24"/>
        </w:rPr>
        <w:t>Økonomiske og administrative konsekvenser for erhvervslivet m.v.</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AA1DF3F" w14:textId="77777777" w:rsidR="000703C3" w:rsidRDefault="000703C3" w:rsidP="00573B96">
      <w:pPr>
        <w:spacing w:line="280" w:lineRule="atLeast"/>
        <w:ind w:right="-143"/>
        <w:jc w:val="left"/>
        <w:rPr>
          <w:rFonts w:cs="Times New Roman"/>
          <w:szCs w:val="24"/>
        </w:rPr>
      </w:pPr>
      <w:bookmarkStart w:id="202" w:name="_Toc329931205"/>
      <w:bookmarkStart w:id="203" w:name="_Toc329931316"/>
      <w:bookmarkStart w:id="204" w:name="_Toc442277391"/>
      <w:bookmarkStart w:id="205" w:name="_Toc442281309"/>
      <w:bookmarkStart w:id="206" w:name="_Toc442281339"/>
      <w:bookmarkStart w:id="207" w:name="_Toc442777849"/>
      <w:bookmarkStart w:id="208" w:name="_Toc442787246"/>
      <w:bookmarkStart w:id="209" w:name="_Toc442787538"/>
      <w:bookmarkStart w:id="210" w:name="_Toc442953244"/>
      <w:bookmarkStart w:id="211" w:name="_Toc443047628"/>
      <w:bookmarkStart w:id="212" w:name="_Toc444095988"/>
      <w:bookmarkStart w:id="213" w:name="_Toc444244514"/>
      <w:bookmarkStart w:id="214" w:name="_Toc498557229"/>
      <w:bookmarkStart w:id="215" w:name="_Toc498557299"/>
      <w:bookmarkStart w:id="216" w:name="_Toc498590033"/>
      <w:bookmarkStart w:id="217" w:name="_Toc498681516"/>
      <w:bookmarkStart w:id="218" w:name="_Toc499152788"/>
      <w:bookmarkStart w:id="219" w:name="_Toc499158747"/>
      <w:bookmarkStart w:id="220" w:name="_Toc499648620"/>
      <w:bookmarkStart w:id="221" w:name="_Toc499728113"/>
      <w:bookmarkStart w:id="222" w:name="_Toc499732961"/>
      <w:bookmarkStart w:id="223" w:name="_Toc499736992"/>
      <w:bookmarkStart w:id="224" w:name="_Toc499812932"/>
      <w:bookmarkStart w:id="225" w:name="_Toc499813735"/>
      <w:bookmarkStart w:id="226" w:name="_Toc500921482"/>
      <w:bookmarkStart w:id="227" w:name="_Toc500921508"/>
      <w:bookmarkStart w:id="228" w:name="_Toc500921619"/>
      <w:bookmarkStart w:id="229" w:name="_Toc501019229"/>
      <w:bookmarkStart w:id="230" w:name="_Toc504483874"/>
      <w:bookmarkStart w:id="231" w:name="_Toc505180552"/>
      <w:bookmarkStart w:id="232" w:name="_Toc505690205"/>
      <w:bookmarkStart w:id="233" w:name="_Toc505701758"/>
      <w:bookmarkStart w:id="234" w:name="_Toc505759550"/>
      <w:bookmarkStart w:id="235" w:name="_Toc505759567"/>
      <w:bookmarkStart w:id="236" w:name="_Toc505762660"/>
      <w:bookmarkStart w:id="237" w:name="_Toc505786000"/>
      <w:bookmarkStart w:id="238" w:name="_Toc506799585"/>
      <w:bookmarkStart w:id="239" w:name="_Toc506799602"/>
      <w:bookmarkStart w:id="240" w:name="_Toc506894561"/>
      <w:bookmarkStart w:id="241" w:name="_Toc507486298"/>
      <w:bookmarkStart w:id="242" w:name="_Toc515271233"/>
      <w:bookmarkStart w:id="243" w:name="_Toc515271556"/>
      <w:bookmarkStart w:id="244" w:name="_Toc515271584"/>
      <w:bookmarkStart w:id="245" w:name="_Toc515280492"/>
      <w:bookmarkStart w:id="246" w:name="_Toc515280643"/>
      <w:bookmarkStart w:id="247" w:name="_Toc515352795"/>
      <w:bookmarkStart w:id="248" w:name="_Toc515540868"/>
      <w:bookmarkStart w:id="249" w:name="_Toc515543708"/>
      <w:bookmarkStart w:id="250" w:name="_Toc515543893"/>
      <w:bookmarkStart w:id="251" w:name="_Toc515551694"/>
      <w:bookmarkStart w:id="252" w:name="_Toc515627636"/>
      <w:bookmarkStart w:id="253" w:name="_Toc516039946"/>
      <w:bookmarkStart w:id="254" w:name="_Toc516155369"/>
      <w:bookmarkStart w:id="255" w:name="_Toc516490270"/>
      <w:bookmarkStart w:id="256" w:name="_Toc518037952"/>
      <w:bookmarkStart w:id="257" w:name="_Toc524599604"/>
      <w:bookmarkStart w:id="258" w:name="_Toc526154937"/>
      <w:bookmarkStart w:id="259" w:name="_Toc526155483"/>
      <w:bookmarkStart w:id="260" w:name="_Toc526155556"/>
      <w:bookmarkStart w:id="261" w:name="_Toc526253993"/>
      <w:bookmarkStart w:id="262" w:name="_Toc526348418"/>
      <w:bookmarkStart w:id="263" w:name="_Toc526374609"/>
      <w:bookmarkStart w:id="264" w:name="_Toc526374625"/>
      <w:bookmarkStart w:id="265" w:name="_Toc526406488"/>
      <w:bookmarkStart w:id="266" w:name="_Toc526409514"/>
      <w:bookmarkStart w:id="267" w:name="_Toc526491413"/>
      <w:bookmarkStart w:id="268" w:name="_Toc526505525"/>
      <w:bookmarkStart w:id="269" w:name="_Toc526756617"/>
    </w:p>
    <w:p w14:paraId="0FECAE29" w14:textId="051A4D7A" w:rsidR="00A43C78" w:rsidRPr="00573B96" w:rsidRDefault="00C12A3B" w:rsidP="00573B96">
      <w:pPr>
        <w:spacing w:line="280" w:lineRule="atLeast"/>
        <w:ind w:right="-143"/>
        <w:jc w:val="left"/>
        <w:rPr>
          <w:rFonts w:cs="Times New Roman"/>
          <w:szCs w:val="24"/>
        </w:rPr>
      </w:pPr>
      <w:r w:rsidRPr="00573B96">
        <w:rPr>
          <w:rFonts w:cs="Times New Roman"/>
          <w:szCs w:val="24"/>
        </w:rPr>
        <w:t>For lovforslagets § 1</w:t>
      </w:r>
      <w:r w:rsidR="000703C3">
        <w:rPr>
          <w:rFonts w:cs="Times New Roman"/>
          <w:szCs w:val="24"/>
        </w:rPr>
        <w:t>, nr. 2,</w:t>
      </w:r>
      <w:r w:rsidRPr="00573B96">
        <w:rPr>
          <w:rFonts w:cs="Times New Roman"/>
          <w:szCs w:val="24"/>
        </w:rPr>
        <w:t xml:space="preserve"> om bemyndigelse til dispensation fra færdselsreglerne i forbindelse med gennemførelse af </w:t>
      </w:r>
      <w:r w:rsidR="000703C3">
        <w:rPr>
          <w:rFonts w:cs="Times New Roman"/>
          <w:szCs w:val="24"/>
        </w:rPr>
        <w:t>blokvognskørsel</w:t>
      </w:r>
      <w:r w:rsidRPr="00573B96">
        <w:rPr>
          <w:rFonts w:cs="Times New Roman"/>
          <w:szCs w:val="24"/>
        </w:rPr>
        <w:t xml:space="preserve"> vurderes det, at forslaget hverken har positive eller negative konsekvenser for erhvervslivet, idet fravigelse af færdselsreglerne antages at være undtagelsen</w:t>
      </w:r>
      <w:r w:rsidR="000703C3">
        <w:rPr>
          <w:rFonts w:cs="Times New Roman"/>
          <w:szCs w:val="24"/>
        </w:rPr>
        <w:t xml:space="preserve"> </w:t>
      </w:r>
      <w:r w:rsidRPr="00573B96">
        <w:rPr>
          <w:rFonts w:cs="Times New Roman"/>
          <w:szCs w:val="24"/>
        </w:rPr>
        <w:t xml:space="preserve">og </w:t>
      </w:r>
      <w:r w:rsidR="000703C3">
        <w:rPr>
          <w:rFonts w:cs="Times New Roman"/>
          <w:szCs w:val="24"/>
        </w:rPr>
        <w:t xml:space="preserve">vil </w:t>
      </w:r>
      <w:r w:rsidRPr="00573B96">
        <w:rPr>
          <w:rFonts w:cs="Times New Roman"/>
          <w:szCs w:val="24"/>
        </w:rPr>
        <w:t xml:space="preserve">i praksis </w:t>
      </w:r>
      <w:r w:rsidR="000703C3">
        <w:rPr>
          <w:rFonts w:cs="Times New Roman"/>
          <w:szCs w:val="24"/>
        </w:rPr>
        <w:t xml:space="preserve">derfor </w:t>
      </w:r>
      <w:r w:rsidRPr="00573B96">
        <w:rPr>
          <w:rFonts w:cs="Times New Roman"/>
          <w:szCs w:val="24"/>
        </w:rPr>
        <w:t xml:space="preserve">ikke </w:t>
      </w:r>
      <w:r w:rsidR="000703C3">
        <w:rPr>
          <w:rFonts w:cs="Times New Roman"/>
          <w:szCs w:val="24"/>
        </w:rPr>
        <w:t>ændre</w:t>
      </w:r>
      <w:r w:rsidRPr="00573B96">
        <w:rPr>
          <w:rFonts w:cs="Times New Roman"/>
          <w:szCs w:val="24"/>
        </w:rPr>
        <w:t xml:space="preserve"> på mulighederne for at gennemføre </w:t>
      </w:r>
      <w:r w:rsidR="000703C3">
        <w:rPr>
          <w:rFonts w:cs="Times New Roman"/>
          <w:szCs w:val="24"/>
        </w:rPr>
        <w:t>blokvognskørsel</w:t>
      </w:r>
      <w:r w:rsidRPr="00573B96">
        <w:rPr>
          <w:rFonts w:cs="Times New Roman"/>
          <w:szCs w:val="24"/>
        </w:rPr>
        <w:t xml:space="preserve"> på vejnettet.</w:t>
      </w:r>
    </w:p>
    <w:p w14:paraId="1AD5F5FC" w14:textId="77777777" w:rsidR="00C12A3B" w:rsidRPr="00573B96" w:rsidRDefault="00C12A3B" w:rsidP="00573B96">
      <w:pPr>
        <w:spacing w:line="280" w:lineRule="atLeast"/>
        <w:ind w:right="-143"/>
        <w:jc w:val="left"/>
        <w:rPr>
          <w:rFonts w:cs="Times New Roman"/>
          <w:szCs w:val="24"/>
        </w:rPr>
      </w:pPr>
    </w:p>
    <w:p w14:paraId="2E2C5AF9" w14:textId="2D77BE98" w:rsidR="00A43C78" w:rsidRPr="00573B96" w:rsidRDefault="00A43C78" w:rsidP="00573B96">
      <w:pPr>
        <w:spacing w:line="280" w:lineRule="atLeast"/>
        <w:ind w:right="-143"/>
        <w:jc w:val="left"/>
        <w:rPr>
          <w:rFonts w:cs="Times New Roman"/>
          <w:szCs w:val="24"/>
        </w:rPr>
      </w:pPr>
      <w:r w:rsidRPr="00573B96">
        <w:rPr>
          <w:rFonts w:cs="Times New Roman"/>
          <w:szCs w:val="24"/>
        </w:rPr>
        <w:t xml:space="preserve">Lovforslaget </w:t>
      </w:r>
      <w:r w:rsidR="0099359F" w:rsidRPr="00573B96">
        <w:rPr>
          <w:rFonts w:cs="Times New Roman"/>
          <w:szCs w:val="24"/>
        </w:rPr>
        <w:t xml:space="preserve">har </w:t>
      </w:r>
      <w:r w:rsidR="00BA21D6">
        <w:rPr>
          <w:rFonts w:cs="Times New Roman"/>
          <w:szCs w:val="24"/>
        </w:rPr>
        <w:t xml:space="preserve">i øvrigt </w:t>
      </w:r>
      <w:r w:rsidR="0099359F" w:rsidRPr="00573B96">
        <w:rPr>
          <w:rFonts w:cs="Times New Roman"/>
          <w:szCs w:val="24"/>
        </w:rPr>
        <w:t xml:space="preserve">ingen </w:t>
      </w:r>
      <w:r w:rsidRPr="00573B96">
        <w:rPr>
          <w:rFonts w:cs="Times New Roman"/>
          <w:szCs w:val="24"/>
        </w:rPr>
        <w:t xml:space="preserve">økonomiske eller administrative konsekvenser for erhvervslivet. </w:t>
      </w:r>
    </w:p>
    <w:p w14:paraId="61224811" w14:textId="77777777" w:rsidR="00AB64FA" w:rsidRPr="00573B96" w:rsidRDefault="00AB64FA" w:rsidP="00573B96">
      <w:pPr>
        <w:spacing w:line="280" w:lineRule="atLeast"/>
        <w:ind w:right="-143"/>
        <w:jc w:val="left"/>
        <w:rPr>
          <w:rFonts w:eastAsia="Calibri" w:cs="Times New Roman"/>
          <w:szCs w:val="24"/>
        </w:rPr>
      </w:pPr>
    </w:p>
    <w:p w14:paraId="081E4D06" w14:textId="292813B8" w:rsidR="00A57D76" w:rsidRPr="00573B96" w:rsidRDefault="00F4025D" w:rsidP="00573B96">
      <w:pPr>
        <w:pStyle w:val="Listeafsnit"/>
        <w:numPr>
          <w:ilvl w:val="0"/>
          <w:numId w:val="7"/>
        </w:numPr>
        <w:spacing w:after="280" w:line="280" w:lineRule="atLeast"/>
        <w:ind w:right="-143"/>
        <w:jc w:val="left"/>
        <w:rPr>
          <w:rFonts w:cs="Times New Roman"/>
          <w:b/>
          <w:iCs/>
          <w:szCs w:val="24"/>
        </w:rPr>
      </w:pPr>
      <w:bookmarkStart w:id="270" w:name="_Toc329931204"/>
      <w:bookmarkStart w:id="271" w:name="_Toc329931315"/>
      <w:bookmarkStart w:id="272" w:name="_Toc442277390"/>
      <w:bookmarkStart w:id="273" w:name="_Toc442281308"/>
      <w:bookmarkStart w:id="274" w:name="_Toc442281338"/>
      <w:bookmarkStart w:id="275" w:name="_Toc442777848"/>
      <w:bookmarkStart w:id="276" w:name="_Toc442787245"/>
      <w:bookmarkStart w:id="277" w:name="_Toc442787537"/>
      <w:bookmarkStart w:id="278" w:name="_Toc442953243"/>
      <w:bookmarkStart w:id="279" w:name="_Toc443047627"/>
      <w:bookmarkStart w:id="280" w:name="_Toc444095987"/>
      <w:bookmarkStart w:id="281" w:name="_Toc444244513"/>
      <w:bookmarkStart w:id="282" w:name="_Toc498557228"/>
      <w:bookmarkStart w:id="283" w:name="_Toc498557298"/>
      <w:bookmarkStart w:id="284" w:name="_Toc498590032"/>
      <w:bookmarkStart w:id="285" w:name="_Toc498681515"/>
      <w:bookmarkStart w:id="286" w:name="_Toc499152787"/>
      <w:bookmarkStart w:id="287" w:name="_Toc499158746"/>
      <w:bookmarkStart w:id="288" w:name="_Toc499648619"/>
      <w:bookmarkStart w:id="289" w:name="_Toc499728112"/>
      <w:bookmarkStart w:id="290" w:name="_Toc499732960"/>
      <w:bookmarkStart w:id="291" w:name="_Toc499736991"/>
      <w:bookmarkStart w:id="292" w:name="_Toc499812931"/>
      <w:bookmarkStart w:id="293" w:name="_Toc499813734"/>
      <w:bookmarkStart w:id="294" w:name="_Toc500921481"/>
      <w:bookmarkStart w:id="295" w:name="_Toc500921507"/>
      <w:bookmarkStart w:id="296" w:name="_Toc500921618"/>
      <w:bookmarkStart w:id="297" w:name="_Toc501019228"/>
      <w:bookmarkStart w:id="298" w:name="_Toc504483873"/>
      <w:bookmarkStart w:id="299" w:name="_Toc505180551"/>
      <w:bookmarkStart w:id="300" w:name="_Toc505690204"/>
      <w:bookmarkStart w:id="301" w:name="_Toc505701757"/>
      <w:bookmarkStart w:id="302" w:name="_Toc505759549"/>
      <w:bookmarkStart w:id="303" w:name="_Toc505759566"/>
      <w:bookmarkStart w:id="304" w:name="_Toc505762659"/>
      <w:bookmarkStart w:id="305" w:name="_Toc505785999"/>
      <w:bookmarkStart w:id="306" w:name="_Toc506799584"/>
      <w:bookmarkStart w:id="307" w:name="_Toc506799601"/>
      <w:bookmarkStart w:id="308" w:name="_Toc506894560"/>
      <w:bookmarkStart w:id="309" w:name="_Toc507486297"/>
      <w:bookmarkStart w:id="310" w:name="_Toc515271232"/>
      <w:bookmarkStart w:id="311" w:name="_Toc515271555"/>
      <w:bookmarkStart w:id="312" w:name="_Toc515271583"/>
      <w:bookmarkStart w:id="313" w:name="_Toc515280491"/>
      <w:bookmarkStart w:id="314" w:name="_Toc515280642"/>
      <w:bookmarkStart w:id="315" w:name="_Toc515352794"/>
      <w:bookmarkStart w:id="316" w:name="_Toc515540867"/>
      <w:bookmarkStart w:id="317" w:name="_Toc515543707"/>
      <w:bookmarkStart w:id="318" w:name="_Toc515543892"/>
      <w:bookmarkStart w:id="319" w:name="_Toc515551693"/>
      <w:bookmarkStart w:id="320" w:name="_Toc515627635"/>
      <w:bookmarkStart w:id="321" w:name="_Toc516039945"/>
      <w:bookmarkStart w:id="322" w:name="_Toc516155368"/>
      <w:bookmarkStart w:id="323" w:name="_Toc516490269"/>
      <w:bookmarkStart w:id="324" w:name="_Toc518037951"/>
      <w:bookmarkStart w:id="325" w:name="_Toc524599603"/>
      <w:bookmarkStart w:id="326" w:name="_Toc526154936"/>
      <w:bookmarkStart w:id="327" w:name="_Toc526155482"/>
      <w:bookmarkStart w:id="328" w:name="_Toc526155555"/>
      <w:bookmarkStart w:id="329" w:name="_Toc526253992"/>
      <w:bookmarkStart w:id="330" w:name="_Toc526348417"/>
      <w:bookmarkStart w:id="331" w:name="_Toc526374608"/>
      <w:bookmarkStart w:id="332" w:name="_Toc526374624"/>
      <w:bookmarkStart w:id="333" w:name="_Toc526406487"/>
      <w:bookmarkStart w:id="334" w:name="_Toc526409513"/>
      <w:bookmarkStart w:id="335" w:name="_Toc526491412"/>
      <w:bookmarkStart w:id="336" w:name="_Toc526505524"/>
      <w:bookmarkStart w:id="337" w:name="_Toc526756616"/>
      <w:r w:rsidRPr="00573B96">
        <w:rPr>
          <w:rFonts w:cs="Times New Roman"/>
          <w:b/>
          <w:iCs/>
          <w:szCs w:val="24"/>
        </w:rPr>
        <w:t>Administrative konsekvenser for borgerne</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19BEB36" w14:textId="28429C0B" w:rsidR="00F4025D" w:rsidRPr="00573B96" w:rsidRDefault="00F4025D" w:rsidP="00573B96">
      <w:pPr>
        <w:spacing w:after="280" w:line="280" w:lineRule="atLeast"/>
        <w:ind w:right="-143"/>
        <w:jc w:val="left"/>
        <w:rPr>
          <w:rFonts w:cs="Times New Roman"/>
          <w:b/>
          <w:iCs/>
          <w:szCs w:val="24"/>
        </w:rPr>
      </w:pPr>
      <w:r w:rsidRPr="00573B96">
        <w:rPr>
          <w:rFonts w:cs="Times New Roman"/>
          <w:szCs w:val="24"/>
        </w:rPr>
        <w:t xml:space="preserve">Lovforslaget </w:t>
      </w:r>
      <w:r w:rsidR="0099359F" w:rsidRPr="00573B96">
        <w:rPr>
          <w:rFonts w:cs="Times New Roman"/>
          <w:szCs w:val="24"/>
        </w:rPr>
        <w:t xml:space="preserve">har </w:t>
      </w:r>
      <w:r w:rsidRPr="00573B96">
        <w:rPr>
          <w:rFonts w:cs="Times New Roman"/>
          <w:szCs w:val="24"/>
        </w:rPr>
        <w:t>ikke administrative konsekvenser for borgerne.</w:t>
      </w:r>
    </w:p>
    <w:p w14:paraId="2A920B85" w14:textId="25015F2B" w:rsidR="00531A16" w:rsidRPr="00573B96" w:rsidRDefault="00694305" w:rsidP="00573B96">
      <w:pPr>
        <w:pStyle w:val="Overskrift1"/>
        <w:numPr>
          <w:ilvl w:val="0"/>
          <w:numId w:val="7"/>
        </w:numPr>
        <w:spacing w:line="280" w:lineRule="atLeast"/>
        <w:ind w:right="-143"/>
        <w:jc w:val="left"/>
        <w:rPr>
          <w:rFonts w:ascii="Times New Roman" w:hAnsi="Times New Roman" w:cs="Times New Roman"/>
          <w:szCs w:val="24"/>
        </w:rPr>
      </w:pPr>
      <w:r w:rsidRPr="00573B96">
        <w:rPr>
          <w:rFonts w:ascii="Times New Roman" w:hAnsi="Times New Roman" w:cs="Times New Roman"/>
          <w:szCs w:val="24"/>
        </w:rPr>
        <w:t>Klimamæssige konsekvenser</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ED601CD" w14:textId="77777777" w:rsidR="002D2395" w:rsidRPr="00573B96" w:rsidRDefault="002D2395" w:rsidP="00573B96">
      <w:pPr>
        <w:spacing w:line="280" w:lineRule="atLeast"/>
        <w:ind w:right="-143"/>
        <w:jc w:val="left"/>
        <w:rPr>
          <w:rFonts w:cs="Times New Roman"/>
          <w:szCs w:val="24"/>
          <w:lang w:eastAsia="da-DK"/>
        </w:rPr>
      </w:pPr>
    </w:p>
    <w:p w14:paraId="016C4FE9" w14:textId="33D7CC5E" w:rsidR="00D77140" w:rsidRPr="00573B96" w:rsidRDefault="00D77140" w:rsidP="00573B96">
      <w:pPr>
        <w:spacing w:line="280" w:lineRule="atLeast"/>
        <w:ind w:right="-143"/>
        <w:jc w:val="left"/>
        <w:rPr>
          <w:rFonts w:cs="Times New Roman"/>
          <w:szCs w:val="24"/>
          <w:lang w:eastAsia="da-DK"/>
        </w:rPr>
      </w:pPr>
      <w:r w:rsidRPr="00573B96">
        <w:rPr>
          <w:rFonts w:cs="Times New Roman"/>
          <w:szCs w:val="24"/>
          <w:lang w:eastAsia="da-DK"/>
        </w:rPr>
        <w:t xml:space="preserve">Lovforslagets § 2 om </w:t>
      </w:r>
      <w:r w:rsidRPr="00573B96">
        <w:rPr>
          <w:rFonts w:cs="Times New Roman"/>
          <w:szCs w:val="24"/>
        </w:rPr>
        <w:t>Færdselsstyrelsens kontrol og opkrævning af forfaldne bøder for manglende betaling af vejafgift</w:t>
      </w:r>
      <w:r w:rsidRPr="00573B96">
        <w:rPr>
          <w:rFonts w:cs="Times New Roman"/>
          <w:szCs w:val="24"/>
          <w:lang w:eastAsia="da-DK"/>
        </w:rPr>
        <w:t xml:space="preserve"> kan have positive klimamæssige konsekvenser, idet forslaget vil bidrage til at sikre efterlevelse af reglerne om den kilometerbaserede vejafgift. Det forventes, at efterlevelsen af den kilometerbaserede vejafgift kan medføre CO</w:t>
      </w:r>
      <w:r w:rsidRPr="00576EE2">
        <w:rPr>
          <w:rFonts w:cs="Times New Roman"/>
          <w:szCs w:val="24"/>
          <w:vertAlign w:val="subscript"/>
          <w:lang w:eastAsia="da-DK"/>
        </w:rPr>
        <w:t>2</w:t>
      </w:r>
      <w:r w:rsidRPr="00573B96">
        <w:rPr>
          <w:rFonts w:cs="Times New Roman"/>
          <w:szCs w:val="24"/>
          <w:lang w:eastAsia="da-DK"/>
        </w:rPr>
        <w:t>-reduktioner fra en reduktion af trafikarbejdet med lastbiler og i mindre grad fra udbredelsen af energieffektive og grønne lastbiler.</w:t>
      </w:r>
    </w:p>
    <w:p w14:paraId="10BEF47E" w14:textId="77777777" w:rsidR="00D77140" w:rsidRPr="00573B96" w:rsidRDefault="00D77140" w:rsidP="00573B96">
      <w:pPr>
        <w:spacing w:line="280" w:lineRule="atLeast"/>
        <w:ind w:right="-143"/>
        <w:jc w:val="left"/>
        <w:rPr>
          <w:rFonts w:cs="Times New Roman"/>
          <w:szCs w:val="24"/>
          <w:lang w:eastAsia="da-DK"/>
        </w:rPr>
      </w:pPr>
    </w:p>
    <w:p w14:paraId="030FEE44" w14:textId="33424788" w:rsidR="002D2395" w:rsidRPr="00573B96" w:rsidRDefault="002D2395" w:rsidP="00573B96">
      <w:pPr>
        <w:spacing w:line="280" w:lineRule="atLeast"/>
        <w:ind w:right="-143"/>
        <w:jc w:val="left"/>
        <w:rPr>
          <w:rFonts w:cs="Times New Roman"/>
          <w:szCs w:val="24"/>
          <w:lang w:eastAsia="da-DK"/>
        </w:rPr>
      </w:pPr>
      <w:r w:rsidRPr="00573B96">
        <w:rPr>
          <w:rFonts w:cs="Times New Roman"/>
          <w:szCs w:val="24"/>
          <w:lang w:eastAsia="da-DK"/>
        </w:rPr>
        <w:t xml:space="preserve">Lovforslaget skønnes i øvrigt ikke at have klimamæssige konsekvenser. </w:t>
      </w:r>
    </w:p>
    <w:p w14:paraId="1534638C" w14:textId="77777777" w:rsidR="002D2395" w:rsidRPr="00573B96" w:rsidRDefault="002D2395" w:rsidP="00573B96">
      <w:pPr>
        <w:spacing w:line="280" w:lineRule="atLeast"/>
        <w:ind w:right="-143"/>
        <w:jc w:val="left"/>
        <w:rPr>
          <w:rFonts w:eastAsia="Calibri" w:cs="Times New Roman"/>
          <w:szCs w:val="24"/>
        </w:rPr>
      </w:pPr>
    </w:p>
    <w:p w14:paraId="2F8A7F3C" w14:textId="6C948572" w:rsidR="00A57D76" w:rsidRPr="00573B96" w:rsidRDefault="002D2395" w:rsidP="00573B96">
      <w:pPr>
        <w:pStyle w:val="Listeafsnit"/>
        <w:numPr>
          <w:ilvl w:val="0"/>
          <w:numId w:val="7"/>
        </w:numPr>
        <w:spacing w:line="280" w:lineRule="atLeast"/>
        <w:ind w:right="-143"/>
        <w:jc w:val="left"/>
        <w:rPr>
          <w:rFonts w:cs="Times New Roman"/>
          <w:b/>
          <w:iCs/>
          <w:szCs w:val="24"/>
        </w:rPr>
      </w:pPr>
      <w:r w:rsidRPr="00573B96">
        <w:rPr>
          <w:rFonts w:cs="Times New Roman"/>
          <w:b/>
          <w:iCs/>
          <w:szCs w:val="24"/>
        </w:rPr>
        <w:t>Miljø- og naturmæssige konsekvenser</w:t>
      </w:r>
    </w:p>
    <w:p w14:paraId="44787D9B" w14:textId="77777777" w:rsidR="00531A16" w:rsidRPr="00573B96" w:rsidRDefault="00531A16" w:rsidP="00573B96">
      <w:pPr>
        <w:spacing w:line="280" w:lineRule="atLeast"/>
        <w:ind w:right="-143"/>
        <w:jc w:val="left"/>
        <w:rPr>
          <w:rFonts w:cs="Times New Roman"/>
          <w:szCs w:val="24"/>
        </w:rPr>
      </w:pPr>
    </w:p>
    <w:p w14:paraId="0E8675D8" w14:textId="0824ECF7" w:rsidR="00D77140" w:rsidRPr="00573B96" w:rsidRDefault="00D77140" w:rsidP="00573B96">
      <w:pPr>
        <w:spacing w:line="280" w:lineRule="atLeast"/>
        <w:ind w:right="-143"/>
        <w:jc w:val="left"/>
        <w:rPr>
          <w:rFonts w:cs="Times New Roman"/>
          <w:szCs w:val="24"/>
          <w:lang w:eastAsia="da-DK"/>
        </w:rPr>
      </w:pPr>
      <w:r w:rsidRPr="00573B96">
        <w:rPr>
          <w:rFonts w:cs="Times New Roman"/>
          <w:szCs w:val="24"/>
          <w:lang w:eastAsia="da-DK"/>
        </w:rPr>
        <w:t xml:space="preserve">Lovforslagets § 2 om </w:t>
      </w:r>
      <w:r w:rsidRPr="00573B96">
        <w:rPr>
          <w:rFonts w:cs="Times New Roman"/>
          <w:szCs w:val="24"/>
        </w:rPr>
        <w:t>Færdselsstyrelsens kontrol og opkrævning af forfaldne bøder for manglende betaling af vejafgift</w:t>
      </w:r>
      <w:r w:rsidRPr="00573B96">
        <w:rPr>
          <w:rFonts w:cs="Times New Roman"/>
          <w:szCs w:val="24"/>
          <w:lang w:eastAsia="da-DK"/>
        </w:rPr>
        <w:t xml:space="preserve"> kan have positive miljøkonsekvenser, idet forslaget vil bidrage til at sikre efterlevelse af reglerne om den kilometerbaserede vejafgift. Det forventes, at efterlevelsen af den kilometerbaserede vejafgift kan reducere trafikarbejdet med lastbiler og dermed blandt andet bidrage til en reduktion af luftforurening.</w:t>
      </w:r>
    </w:p>
    <w:p w14:paraId="248742E1" w14:textId="77777777" w:rsidR="00D77140" w:rsidRPr="00573B96" w:rsidRDefault="00D77140" w:rsidP="00573B96">
      <w:pPr>
        <w:spacing w:line="280" w:lineRule="atLeast"/>
        <w:ind w:right="-143"/>
        <w:jc w:val="left"/>
        <w:rPr>
          <w:rFonts w:cs="Times New Roman"/>
          <w:szCs w:val="24"/>
          <w:lang w:eastAsia="da-DK"/>
        </w:rPr>
      </w:pPr>
    </w:p>
    <w:p w14:paraId="281495D0" w14:textId="5763A394" w:rsidR="002D2395" w:rsidRPr="00573B96" w:rsidRDefault="002D2395" w:rsidP="00573B96">
      <w:pPr>
        <w:spacing w:line="280" w:lineRule="atLeast"/>
        <w:ind w:right="-143"/>
        <w:jc w:val="left"/>
        <w:rPr>
          <w:rFonts w:cs="Times New Roman"/>
          <w:szCs w:val="24"/>
          <w:lang w:eastAsia="da-DK"/>
        </w:rPr>
      </w:pPr>
      <w:r w:rsidRPr="00573B96">
        <w:rPr>
          <w:rFonts w:cs="Times New Roman"/>
          <w:szCs w:val="24"/>
          <w:lang w:eastAsia="da-DK"/>
        </w:rPr>
        <w:t xml:space="preserve">Lovforslaget skønnes i øvrigt ikke at have miljø- og naturmæssige konsekvenser. </w:t>
      </w:r>
    </w:p>
    <w:p w14:paraId="1DA31D98" w14:textId="77777777" w:rsidR="002D2395" w:rsidRPr="00573B96" w:rsidRDefault="002D2395" w:rsidP="00573B96">
      <w:pPr>
        <w:spacing w:line="280" w:lineRule="atLeast"/>
        <w:ind w:right="-143"/>
        <w:jc w:val="left"/>
        <w:rPr>
          <w:rFonts w:cs="Times New Roman"/>
          <w:szCs w:val="24"/>
        </w:rPr>
      </w:pPr>
    </w:p>
    <w:p w14:paraId="0B9948C5" w14:textId="2DB2CC62" w:rsidR="00A57D76" w:rsidRPr="00573B96" w:rsidRDefault="00694305" w:rsidP="00573B96">
      <w:pPr>
        <w:pStyle w:val="Overskrift1"/>
        <w:numPr>
          <w:ilvl w:val="0"/>
          <w:numId w:val="7"/>
        </w:numPr>
        <w:spacing w:line="280" w:lineRule="atLeast"/>
        <w:ind w:right="-143"/>
        <w:jc w:val="left"/>
        <w:rPr>
          <w:rFonts w:ascii="Times New Roman" w:hAnsi="Times New Roman" w:cs="Times New Roman"/>
          <w:bCs w:val="0"/>
          <w:iCs/>
          <w:szCs w:val="24"/>
        </w:rPr>
      </w:pPr>
      <w:bookmarkStart w:id="338" w:name="_Toc329931206"/>
      <w:bookmarkStart w:id="339" w:name="_Toc329931317"/>
      <w:bookmarkStart w:id="340" w:name="_Toc442277392"/>
      <w:bookmarkStart w:id="341" w:name="_Toc442281310"/>
      <w:bookmarkStart w:id="342" w:name="_Toc442281340"/>
      <w:bookmarkStart w:id="343" w:name="_Toc442777850"/>
      <w:bookmarkStart w:id="344" w:name="_Toc442787247"/>
      <w:bookmarkStart w:id="345" w:name="_Toc442787539"/>
      <w:bookmarkStart w:id="346" w:name="_Toc442953245"/>
      <w:bookmarkStart w:id="347" w:name="_Toc443047629"/>
      <w:bookmarkStart w:id="348" w:name="_Toc444095989"/>
      <w:bookmarkStart w:id="349" w:name="_Toc444244515"/>
      <w:bookmarkStart w:id="350" w:name="_Toc498557230"/>
      <w:bookmarkStart w:id="351" w:name="_Toc498557300"/>
      <w:bookmarkStart w:id="352" w:name="_Toc498590034"/>
      <w:bookmarkStart w:id="353" w:name="_Toc498681517"/>
      <w:bookmarkStart w:id="354" w:name="_Toc499152789"/>
      <w:bookmarkStart w:id="355" w:name="_Toc499158748"/>
      <w:bookmarkStart w:id="356" w:name="_Toc499648621"/>
      <w:bookmarkStart w:id="357" w:name="_Toc499728114"/>
      <w:bookmarkStart w:id="358" w:name="_Toc499732962"/>
      <w:bookmarkStart w:id="359" w:name="_Toc499736993"/>
      <w:bookmarkStart w:id="360" w:name="_Toc499812933"/>
      <w:bookmarkStart w:id="361" w:name="_Toc499813736"/>
      <w:bookmarkStart w:id="362" w:name="_Toc500921483"/>
      <w:bookmarkStart w:id="363" w:name="_Toc500921509"/>
      <w:bookmarkStart w:id="364" w:name="_Toc500921620"/>
      <w:bookmarkStart w:id="365" w:name="_Toc501019230"/>
      <w:bookmarkStart w:id="366" w:name="_Toc504483875"/>
      <w:bookmarkStart w:id="367" w:name="_Toc505180553"/>
      <w:bookmarkStart w:id="368" w:name="_Toc505690206"/>
      <w:bookmarkStart w:id="369" w:name="_Toc505701759"/>
      <w:bookmarkStart w:id="370" w:name="_Toc505759551"/>
      <w:bookmarkStart w:id="371" w:name="_Toc505759568"/>
      <w:bookmarkStart w:id="372" w:name="_Toc505762661"/>
      <w:bookmarkStart w:id="373" w:name="_Toc505786001"/>
      <w:bookmarkStart w:id="374" w:name="_Toc506799586"/>
      <w:bookmarkStart w:id="375" w:name="_Toc506799603"/>
      <w:bookmarkStart w:id="376" w:name="_Toc506894562"/>
      <w:bookmarkStart w:id="377" w:name="_Toc507486299"/>
      <w:bookmarkStart w:id="378" w:name="_Toc515271234"/>
      <w:bookmarkStart w:id="379" w:name="_Toc515271557"/>
      <w:bookmarkStart w:id="380" w:name="_Toc515271585"/>
      <w:bookmarkStart w:id="381" w:name="_Toc515280493"/>
      <w:bookmarkStart w:id="382" w:name="_Toc515280644"/>
      <w:bookmarkStart w:id="383" w:name="_Toc515352796"/>
      <w:bookmarkStart w:id="384" w:name="_Toc515540869"/>
      <w:bookmarkStart w:id="385" w:name="_Toc515543709"/>
      <w:bookmarkStart w:id="386" w:name="_Toc515543894"/>
      <w:bookmarkStart w:id="387" w:name="_Toc515551695"/>
      <w:bookmarkStart w:id="388" w:name="_Toc515627637"/>
      <w:bookmarkStart w:id="389" w:name="_Toc516039947"/>
      <w:bookmarkStart w:id="390" w:name="_Toc516155370"/>
      <w:bookmarkStart w:id="391" w:name="_Toc516490271"/>
      <w:bookmarkStart w:id="392" w:name="_Toc518037953"/>
      <w:bookmarkStart w:id="393" w:name="_Toc524599605"/>
      <w:bookmarkStart w:id="394" w:name="_Toc526154938"/>
      <w:bookmarkStart w:id="395" w:name="_Toc526155484"/>
      <w:bookmarkStart w:id="396" w:name="_Toc526155557"/>
      <w:bookmarkStart w:id="397" w:name="_Toc526253994"/>
      <w:bookmarkStart w:id="398" w:name="_Toc526348419"/>
      <w:bookmarkStart w:id="399" w:name="_Toc526374610"/>
      <w:bookmarkStart w:id="400" w:name="_Toc526374626"/>
      <w:bookmarkStart w:id="401" w:name="_Toc526406489"/>
      <w:bookmarkStart w:id="402" w:name="_Toc526409515"/>
      <w:bookmarkStart w:id="403" w:name="_Toc526491414"/>
      <w:bookmarkStart w:id="404" w:name="_Toc526505526"/>
      <w:bookmarkStart w:id="405" w:name="_Toc526756618"/>
      <w:r w:rsidRPr="00573B96">
        <w:rPr>
          <w:rFonts w:ascii="Times New Roman" w:hAnsi="Times New Roman" w:cs="Times New Roman"/>
          <w:bCs w:val="0"/>
          <w:iCs/>
          <w:szCs w:val="24"/>
        </w:rPr>
        <w:t>Forholdet til EU-retten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9850972" w14:textId="70E4D2A5" w:rsidR="00531A16" w:rsidRPr="00573B96" w:rsidRDefault="00531A16" w:rsidP="00573B96">
      <w:pPr>
        <w:spacing w:line="280" w:lineRule="atLeast"/>
        <w:ind w:right="-143"/>
        <w:jc w:val="left"/>
        <w:rPr>
          <w:rFonts w:cs="Times New Roman"/>
          <w:szCs w:val="24"/>
        </w:rPr>
      </w:pPr>
    </w:p>
    <w:p w14:paraId="7D6A11F4" w14:textId="55C7EE9C" w:rsidR="00C90070" w:rsidRPr="00573B96" w:rsidRDefault="00D974F1" w:rsidP="00573B96">
      <w:pPr>
        <w:spacing w:line="280" w:lineRule="atLeast"/>
        <w:ind w:right="-143"/>
        <w:jc w:val="left"/>
        <w:rPr>
          <w:rFonts w:cs="Times New Roman"/>
          <w:szCs w:val="24"/>
        </w:rPr>
      </w:pPr>
      <w:r w:rsidRPr="00573B96">
        <w:rPr>
          <w:rFonts w:cs="Times New Roman"/>
          <w:szCs w:val="24"/>
        </w:rPr>
        <w:t>Færdselsstyrelsens adgang til at kontrollere og opkræve forfaldne bøder for manglende betaling af vejafgift, som foreslås med lovforslagets § 2,</w:t>
      </w:r>
      <w:r w:rsidR="00C90070" w:rsidRPr="00573B96">
        <w:rPr>
          <w:rFonts w:cs="Times New Roman"/>
          <w:szCs w:val="24"/>
        </w:rPr>
        <w:t xml:space="preserve"> vil kun finde anvendelse for </w:t>
      </w:r>
      <w:r w:rsidRPr="00573B96">
        <w:rPr>
          <w:rFonts w:cs="Times New Roman"/>
          <w:szCs w:val="24"/>
        </w:rPr>
        <w:t>bøder</w:t>
      </w:r>
      <w:r w:rsidR="00C90070" w:rsidRPr="00573B96">
        <w:rPr>
          <w:rFonts w:cs="Times New Roman"/>
          <w:szCs w:val="24"/>
        </w:rPr>
        <w:t>, hvis skyldneren og det køretøj, hvormed forseelsen er begået, er hjemmehørende i udlandet.</w:t>
      </w:r>
    </w:p>
    <w:p w14:paraId="72F14B4E" w14:textId="77777777" w:rsidR="00C90070" w:rsidRPr="00573B96" w:rsidRDefault="00C90070" w:rsidP="00573B96">
      <w:pPr>
        <w:spacing w:line="280" w:lineRule="atLeast"/>
        <w:ind w:right="-143"/>
        <w:jc w:val="left"/>
        <w:rPr>
          <w:rFonts w:cs="Times New Roman"/>
          <w:szCs w:val="24"/>
        </w:rPr>
      </w:pPr>
    </w:p>
    <w:p w14:paraId="39637114" w14:textId="1E45FD4A" w:rsidR="00C90070" w:rsidRPr="00573B96" w:rsidRDefault="00C90070" w:rsidP="00573B96">
      <w:pPr>
        <w:spacing w:line="280" w:lineRule="atLeast"/>
        <w:ind w:right="-143"/>
        <w:jc w:val="left"/>
        <w:rPr>
          <w:rFonts w:cs="Times New Roman"/>
          <w:szCs w:val="24"/>
        </w:rPr>
      </w:pPr>
      <w:r w:rsidRPr="00573B96">
        <w:rPr>
          <w:rFonts w:cs="Times New Roman"/>
          <w:szCs w:val="24"/>
        </w:rPr>
        <w:t xml:space="preserve">Det bemærkes, at der alene er tale om et </w:t>
      </w:r>
      <w:r w:rsidR="00D974F1" w:rsidRPr="00573B96">
        <w:rPr>
          <w:rFonts w:cs="Times New Roman"/>
          <w:szCs w:val="24"/>
        </w:rPr>
        <w:t xml:space="preserve">kontrol- og </w:t>
      </w:r>
      <w:r w:rsidRPr="00573B96">
        <w:rPr>
          <w:rFonts w:cs="Times New Roman"/>
          <w:szCs w:val="24"/>
        </w:rPr>
        <w:t>opkrævningstiltag for forfaldne bøder, hvorimod de bagvedliggende regler, som bøder</w:t>
      </w:r>
      <w:r w:rsidR="00D974F1" w:rsidRPr="00573B96">
        <w:rPr>
          <w:rFonts w:cs="Times New Roman"/>
          <w:szCs w:val="24"/>
        </w:rPr>
        <w:t xml:space="preserve">ne </w:t>
      </w:r>
      <w:r w:rsidRPr="00573B96">
        <w:rPr>
          <w:rFonts w:cs="Times New Roman"/>
          <w:szCs w:val="24"/>
        </w:rPr>
        <w:t>kan udstedes for overtrædelse af, er ens for udenlandske og danske personer og køretøjer.</w:t>
      </w:r>
    </w:p>
    <w:p w14:paraId="4F66EC01" w14:textId="77777777" w:rsidR="00C90070" w:rsidRPr="00573B96" w:rsidRDefault="00C90070" w:rsidP="00573B96">
      <w:pPr>
        <w:spacing w:line="280" w:lineRule="atLeast"/>
        <w:ind w:right="-143"/>
        <w:jc w:val="left"/>
        <w:rPr>
          <w:rFonts w:cs="Times New Roman"/>
          <w:szCs w:val="24"/>
        </w:rPr>
      </w:pPr>
    </w:p>
    <w:p w14:paraId="662D6D31" w14:textId="11799E7D" w:rsidR="00C90070" w:rsidRPr="00573B96" w:rsidRDefault="00C90070" w:rsidP="00573B96">
      <w:pPr>
        <w:spacing w:line="280" w:lineRule="atLeast"/>
        <w:ind w:right="-143"/>
        <w:jc w:val="left"/>
        <w:rPr>
          <w:rFonts w:cs="Times New Roman"/>
          <w:szCs w:val="24"/>
        </w:rPr>
      </w:pPr>
      <w:r w:rsidRPr="00573B96">
        <w:rPr>
          <w:rFonts w:cs="Times New Roman"/>
          <w:szCs w:val="24"/>
        </w:rPr>
        <w:t xml:space="preserve">Endvidere har den aktuelle føreres nationale tilhørsforhold ingen betydningen i selve </w:t>
      </w:r>
      <w:r w:rsidR="00D974F1" w:rsidRPr="00573B96">
        <w:rPr>
          <w:rFonts w:cs="Times New Roman"/>
          <w:szCs w:val="24"/>
        </w:rPr>
        <w:t>kontrol- og opkrævnings</w:t>
      </w:r>
      <w:r w:rsidRPr="00573B96">
        <w:rPr>
          <w:rFonts w:cs="Times New Roman"/>
          <w:szCs w:val="24"/>
        </w:rPr>
        <w:t xml:space="preserve">situationen. Her vil såvel en dansk som en udenlandsk fører kunne </w:t>
      </w:r>
      <w:r w:rsidR="00D974F1" w:rsidRPr="00573B96">
        <w:rPr>
          <w:rFonts w:cs="Times New Roman"/>
          <w:szCs w:val="24"/>
        </w:rPr>
        <w:t>kontrolleres og bøden opkræves</w:t>
      </w:r>
      <w:r w:rsidRPr="00573B96">
        <w:rPr>
          <w:rFonts w:cs="Times New Roman"/>
          <w:szCs w:val="24"/>
        </w:rPr>
        <w:t>, hvis det benyttede køretøj er hjemmehørende i udlandet, og der til det udenlandske køretøj er knyttet forfaldne</w:t>
      </w:r>
      <w:r w:rsidR="00D974F1" w:rsidRPr="00573B96">
        <w:rPr>
          <w:rFonts w:cs="Times New Roman"/>
          <w:szCs w:val="24"/>
        </w:rPr>
        <w:t xml:space="preserve"> </w:t>
      </w:r>
      <w:r w:rsidRPr="00573B96">
        <w:rPr>
          <w:rFonts w:cs="Times New Roman"/>
          <w:szCs w:val="24"/>
        </w:rPr>
        <w:t>fordringer med en udenlandsk skyldner.</w:t>
      </w:r>
    </w:p>
    <w:p w14:paraId="54994176" w14:textId="77777777" w:rsidR="00C90070" w:rsidRPr="00573B96" w:rsidRDefault="00C90070" w:rsidP="00573B96">
      <w:pPr>
        <w:spacing w:line="280" w:lineRule="atLeast"/>
        <w:ind w:right="-143"/>
        <w:jc w:val="left"/>
        <w:rPr>
          <w:rFonts w:cs="Times New Roman"/>
          <w:szCs w:val="24"/>
        </w:rPr>
      </w:pPr>
    </w:p>
    <w:p w14:paraId="34A37EB8" w14:textId="1458A608" w:rsidR="00C90070" w:rsidRPr="00573B96" w:rsidRDefault="00C90070" w:rsidP="00573B96">
      <w:pPr>
        <w:spacing w:line="280" w:lineRule="atLeast"/>
        <w:ind w:right="-143"/>
        <w:jc w:val="left"/>
        <w:rPr>
          <w:rFonts w:cs="Times New Roman"/>
          <w:szCs w:val="24"/>
        </w:rPr>
      </w:pPr>
      <w:r w:rsidRPr="00573B96">
        <w:rPr>
          <w:rFonts w:cs="Times New Roman"/>
          <w:szCs w:val="24"/>
        </w:rPr>
        <w:t xml:space="preserve">Den del af det foreslåede </w:t>
      </w:r>
      <w:r w:rsidR="00D974F1" w:rsidRPr="00573B96">
        <w:rPr>
          <w:rFonts w:cs="Times New Roman"/>
          <w:szCs w:val="24"/>
        </w:rPr>
        <w:t xml:space="preserve">kontrol- og </w:t>
      </w:r>
      <w:r w:rsidRPr="00573B96">
        <w:rPr>
          <w:rFonts w:cs="Times New Roman"/>
          <w:szCs w:val="24"/>
        </w:rPr>
        <w:t>opkrævningstiltag, hvor skyldnerens nationale tilhørsforhold er afgørende, er nødvendig for at skabe lighed mellem udenlandske og danske skyldnere, idet det er betydeligt vanskeligere at opkræve og inddrive forfaldne fordringer hos skyldnere, der er hjemmehørende i udlandet, end hos skyldnere, der er hjemmehørende i Danmark.</w:t>
      </w:r>
    </w:p>
    <w:p w14:paraId="43D8EC92" w14:textId="77777777" w:rsidR="00C90070" w:rsidRPr="00573B96" w:rsidRDefault="00C90070" w:rsidP="00573B96">
      <w:pPr>
        <w:spacing w:line="280" w:lineRule="atLeast"/>
        <w:ind w:right="-143"/>
        <w:jc w:val="left"/>
        <w:rPr>
          <w:rFonts w:cs="Times New Roman"/>
          <w:szCs w:val="24"/>
        </w:rPr>
      </w:pPr>
    </w:p>
    <w:p w14:paraId="25359F79" w14:textId="3B2239C2" w:rsidR="00C90070" w:rsidRPr="00573B96" w:rsidRDefault="00C90070" w:rsidP="00573B96">
      <w:pPr>
        <w:spacing w:line="280" w:lineRule="atLeast"/>
        <w:ind w:right="-143"/>
        <w:jc w:val="left"/>
        <w:rPr>
          <w:rFonts w:cs="Times New Roman"/>
          <w:szCs w:val="24"/>
        </w:rPr>
      </w:pPr>
      <w:r w:rsidRPr="00573B96">
        <w:rPr>
          <w:rFonts w:cs="Times New Roman"/>
          <w:szCs w:val="24"/>
        </w:rPr>
        <w:t xml:space="preserve">Det er Transportministeriets vurdering, at intensiteten ved det foreslåede </w:t>
      </w:r>
      <w:r w:rsidR="00D974F1" w:rsidRPr="00573B96">
        <w:rPr>
          <w:rFonts w:cs="Times New Roman"/>
          <w:szCs w:val="24"/>
        </w:rPr>
        <w:t xml:space="preserve">kontrol- og </w:t>
      </w:r>
      <w:r w:rsidRPr="00573B96">
        <w:rPr>
          <w:rFonts w:cs="Times New Roman"/>
          <w:szCs w:val="24"/>
        </w:rPr>
        <w:t>opkrævningstiltag ikke står i misforhold til de gældende opkrævnings- og inddrivelsestiltag, som danske skyldnere kan mødes med.</w:t>
      </w:r>
    </w:p>
    <w:p w14:paraId="13A9F884" w14:textId="77777777" w:rsidR="00C90070" w:rsidRPr="00573B96" w:rsidRDefault="00C90070" w:rsidP="00573B96">
      <w:pPr>
        <w:spacing w:line="280" w:lineRule="atLeast"/>
        <w:ind w:right="-143"/>
        <w:jc w:val="left"/>
        <w:rPr>
          <w:rFonts w:cs="Times New Roman"/>
          <w:szCs w:val="24"/>
        </w:rPr>
      </w:pPr>
    </w:p>
    <w:p w14:paraId="42CABE0F" w14:textId="52D26FA9" w:rsidR="00C90070" w:rsidRPr="00573B96" w:rsidRDefault="00C90070" w:rsidP="00573B96">
      <w:pPr>
        <w:spacing w:line="280" w:lineRule="atLeast"/>
        <w:ind w:right="-143"/>
        <w:jc w:val="left"/>
        <w:rPr>
          <w:rFonts w:cs="Times New Roman"/>
          <w:szCs w:val="24"/>
        </w:rPr>
      </w:pPr>
      <w:r w:rsidRPr="00573B96">
        <w:rPr>
          <w:rFonts w:cs="Times New Roman"/>
          <w:szCs w:val="24"/>
        </w:rPr>
        <w:t>Det vurderes på den baggrund, at ordningen ikke er i strid med de EU-retslige regler om den frie udveksling af transportydelser.</w:t>
      </w:r>
    </w:p>
    <w:p w14:paraId="58C278F7" w14:textId="77777777" w:rsidR="00C90070" w:rsidRPr="00573B96" w:rsidRDefault="00C90070" w:rsidP="00573B96">
      <w:pPr>
        <w:spacing w:line="280" w:lineRule="atLeast"/>
        <w:ind w:right="-143"/>
        <w:jc w:val="left"/>
        <w:rPr>
          <w:rFonts w:cs="Times New Roman"/>
          <w:szCs w:val="24"/>
        </w:rPr>
      </w:pPr>
    </w:p>
    <w:p w14:paraId="7AC629E1" w14:textId="6E128D45" w:rsidR="00694305" w:rsidRPr="00573B96" w:rsidRDefault="00CE27B0" w:rsidP="00573B96">
      <w:pPr>
        <w:spacing w:line="280" w:lineRule="atLeast"/>
        <w:ind w:right="-143"/>
        <w:jc w:val="left"/>
        <w:rPr>
          <w:rFonts w:cs="Times New Roman"/>
          <w:szCs w:val="24"/>
        </w:rPr>
      </w:pPr>
      <w:r w:rsidRPr="00573B96">
        <w:rPr>
          <w:rFonts w:cs="Times New Roman"/>
          <w:szCs w:val="24"/>
        </w:rPr>
        <w:t xml:space="preserve">Lovforslaget indeholder ikke EU-retslige aspekter i øvrigt. </w:t>
      </w:r>
    </w:p>
    <w:p w14:paraId="48B6CC27" w14:textId="77777777" w:rsidR="00CE27B0" w:rsidRPr="00573B96" w:rsidRDefault="00CE27B0" w:rsidP="00573B96">
      <w:pPr>
        <w:spacing w:line="280" w:lineRule="atLeast"/>
        <w:ind w:right="-143"/>
        <w:jc w:val="left"/>
        <w:rPr>
          <w:rFonts w:cs="Times New Roman"/>
          <w:szCs w:val="24"/>
        </w:rPr>
      </w:pPr>
    </w:p>
    <w:p w14:paraId="0ED42FED" w14:textId="59DF31DD" w:rsidR="00531A16" w:rsidRPr="00573B96" w:rsidRDefault="00694305" w:rsidP="00573B96">
      <w:pPr>
        <w:pStyle w:val="Overskrift1"/>
        <w:numPr>
          <w:ilvl w:val="0"/>
          <w:numId w:val="7"/>
        </w:numPr>
        <w:spacing w:line="280" w:lineRule="atLeast"/>
        <w:ind w:right="-143"/>
        <w:jc w:val="left"/>
        <w:rPr>
          <w:rFonts w:ascii="Times New Roman" w:hAnsi="Times New Roman" w:cs="Times New Roman"/>
          <w:bCs w:val="0"/>
          <w:iCs/>
          <w:szCs w:val="24"/>
        </w:rPr>
      </w:pPr>
      <w:bookmarkStart w:id="406" w:name="_Toc243705913"/>
      <w:bookmarkStart w:id="407" w:name="_Toc329931207"/>
      <w:bookmarkStart w:id="408" w:name="_Toc329931318"/>
      <w:bookmarkStart w:id="409" w:name="_Toc442277393"/>
      <w:bookmarkStart w:id="410" w:name="_Toc442281311"/>
      <w:bookmarkStart w:id="411" w:name="_Toc442281341"/>
      <w:bookmarkStart w:id="412" w:name="_Toc442777851"/>
      <w:bookmarkStart w:id="413" w:name="_Toc442787248"/>
      <w:bookmarkStart w:id="414" w:name="_Toc442787540"/>
      <w:bookmarkStart w:id="415" w:name="_Toc442953246"/>
      <w:bookmarkStart w:id="416" w:name="_Toc443047630"/>
      <w:bookmarkStart w:id="417" w:name="_Toc444095990"/>
      <w:bookmarkStart w:id="418" w:name="_Toc444244516"/>
      <w:bookmarkStart w:id="419" w:name="_Toc498557231"/>
      <w:bookmarkStart w:id="420" w:name="_Toc498557301"/>
      <w:bookmarkStart w:id="421" w:name="_Toc498590035"/>
      <w:bookmarkStart w:id="422" w:name="_Toc498681518"/>
      <w:bookmarkStart w:id="423" w:name="_Toc499152790"/>
      <w:bookmarkStart w:id="424" w:name="_Toc499158749"/>
      <w:bookmarkStart w:id="425" w:name="_Toc499648622"/>
      <w:bookmarkStart w:id="426" w:name="_Toc499728115"/>
      <w:bookmarkStart w:id="427" w:name="_Toc499732963"/>
      <w:bookmarkStart w:id="428" w:name="_Toc499736994"/>
      <w:bookmarkStart w:id="429" w:name="_Toc499812934"/>
      <w:bookmarkStart w:id="430" w:name="_Toc499813737"/>
      <w:bookmarkStart w:id="431" w:name="_Toc500921484"/>
      <w:bookmarkStart w:id="432" w:name="_Toc500921510"/>
      <w:bookmarkStart w:id="433" w:name="_Toc500921621"/>
      <w:bookmarkStart w:id="434" w:name="_Toc501019231"/>
      <w:bookmarkStart w:id="435" w:name="_Toc504483876"/>
      <w:bookmarkStart w:id="436" w:name="_Toc505180554"/>
      <w:bookmarkStart w:id="437" w:name="_Toc505690207"/>
      <w:bookmarkStart w:id="438" w:name="_Toc505701760"/>
      <w:bookmarkStart w:id="439" w:name="_Toc505759552"/>
      <w:bookmarkStart w:id="440" w:name="_Toc505759569"/>
      <w:bookmarkStart w:id="441" w:name="_Toc505762662"/>
      <w:bookmarkStart w:id="442" w:name="_Toc505786002"/>
      <w:bookmarkStart w:id="443" w:name="_Toc506799587"/>
      <w:bookmarkStart w:id="444" w:name="_Toc506799604"/>
      <w:bookmarkStart w:id="445" w:name="_Toc506894563"/>
      <w:bookmarkStart w:id="446" w:name="_Toc507486300"/>
      <w:bookmarkStart w:id="447" w:name="_Toc515271235"/>
      <w:bookmarkStart w:id="448" w:name="_Toc515271558"/>
      <w:bookmarkStart w:id="449" w:name="_Toc515271586"/>
      <w:bookmarkStart w:id="450" w:name="_Toc515280494"/>
      <w:bookmarkStart w:id="451" w:name="_Toc515280645"/>
      <w:bookmarkStart w:id="452" w:name="_Toc515352797"/>
      <w:bookmarkStart w:id="453" w:name="_Toc515540870"/>
      <w:bookmarkStart w:id="454" w:name="_Toc515543710"/>
      <w:bookmarkStart w:id="455" w:name="_Toc515543895"/>
      <w:bookmarkStart w:id="456" w:name="_Toc515551696"/>
      <w:bookmarkStart w:id="457" w:name="_Toc515627638"/>
      <w:bookmarkStart w:id="458" w:name="_Toc516039948"/>
      <w:bookmarkStart w:id="459" w:name="_Toc516155371"/>
      <w:bookmarkStart w:id="460" w:name="_Toc516490272"/>
      <w:bookmarkStart w:id="461" w:name="_Toc518037954"/>
      <w:bookmarkStart w:id="462" w:name="_Toc524599606"/>
      <w:bookmarkStart w:id="463" w:name="_Toc526154939"/>
      <w:bookmarkStart w:id="464" w:name="_Toc526155485"/>
      <w:bookmarkStart w:id="465" w:name="_Toc526155558"/>
      <w:bookmarkStart w:id="466" w:name="_Toc526253995"/>
      <w:bookmarkStart w:id="467" w:name="_Toc526348420"/>
      <w:bookmarkStart w:id="468" w:name="_Toc526374611"/>
      <w:bookmarkStart w:id="469" w:name="_Toc526374627"/>
      <w:bookmarkStart w:id="470" w:name="_Toc526406490"/>
      <w:bookmarkStart w:id="471" w:name="_Toc526409516"/>
      <w:bookmarkStart w:id="472" w:name="_Toc526491415"/>
      <w:bookmarkStart w:id="473" w:name="_Toc526505527"/>
      <w:bookmarkStart w:id="474" w:name="_Toc526756619"/>
      <w:r w:rsidRPr="00573B96">
        <w:rPr>
          <w:rFonts w:ascii="Times New Roman" w:hAnsi="Times New Roman" w:cs="Times New Roman"/>
          <w:bCs w:val="0"/>
          <w:iCs/>
          <w:szCs w:val="24"/>
        </w:rPr>
        <w:t>Hørte myndigheder og organisationer m.v.</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288C6B2" w14:textId="77777777" w:rsidR="0021744F" w:rsidRPr="00573B96" w:rsidRDefault="0021744F" w:rsidP="00573B96">
      <w:pPr>
        <w:spacing w:line="280" w:lineRule="atLeast"/>
        <w:ind w:right="-143"/>
        <w:jc w:val="left"/>
        <w:rPr>
          <w:rFonts w:cs="Times New Roman"/>
          <w:szCs w:val="24"/>
        </w:rPr>
      </w:pPr>
    </w:p>
    <w:p w14:paraId="41DBF661" w14:textId="5C28AD76" w:rsidR="00694305" w:rsidRDefault="00694305" w:rsidP="00573B96">
      <w:pPr>
        <w:spacing w:after="240" w:line="280" w:lineRule="atLeast"/>
        <w:ind w:right="-143"/>
        <w:jc w:val="left"/>
        <w:rPr>
          <w:rFonts w:cs="Times New Roman"/>
          <w:szCs w:val="24"/>
        </w:rPr>
      </w:pPr>
      <w:r w:rsidRPr="00573B96">
        <w:rPr>
          <w:rFonts w:cs="Times New Roman"/>
          <w:szCs w:val="24"/>
        </w:rPr>
        <w:t>Et udkast til lovforslag har i perioden fra den</w:t>
      </w:r>
      <w:r w:rsidR="0015028A" w:rsidRPr="00573B96">
        <w:rPr>
          <w:rFonts w:cs="Times New Roman"/>
          <w:szCs w:val="24"/>
        </w:rPr>
        <w:t xml:space="preserve"> </w:t>
      </w:r>
      <w:r w:rsidR="00511977">
        <w:rPr>
          <w:rFonts w:cs="Times New Roman"/>
          <w:szCs w:val="24"/>
        </w:rPr>
        <w:t>3</w:t>
      </w:r>
      <w:r w:rsidR="0015028A" w:rsidRPr="00573B96">
        <w:rPr>
          <w:rFonts w:cs="Times New Roman"/>
          <w:szCs w:val="24"/>
        </w:rPr>
        <w:t xml:space="preserve">. </w:t>
      </w:r>
      <w:r w:rsidR="00511977">
        <w:rPr>
          <w:rFonts w:cs="Times New Roman"/>
          <w:szCs w:val="24"/>
        </w:rPr>
        <w:t>februar</w:t>
      </w:r>
      <w:r w:rsidR="0015028A" w:rsidRPr="00573B96">
        <w:rPr>
          <w:rFonts w:cs="Times New Roman"/>
          <w:szCs w:val="24"/>
        </w:rPr>
        <w:t xml:space="preserve"> 202</w:t>
      </w:r>
      <w:r w:rsidR="001C0984" w:rsidRPr="00573B96">
        <w:rPr>
          <w:rFonts w:cs="Times New Roman"/>
          <w:szCs w:val="24"/>
        </w:rPr>
        <w:t>6</w:t>
      </w:r>
      <w:r w:rsidRPr="00573B96">
        <w:rPr>
          <w:rFonts w:cs="Times New Roman"/>
          <w:szCs w:val="24"/>
        </w:rPr>
        <w:t xml:space="preserve"> til den </w:t>
      </w:r>
      <w:r w:rsidR="00511977">
        <w:rPr>
          <w:rFonts w:cs="Times New Roman"/>
          <w:szCs w:val="24"/>
        </w:rPr>
        <w:t>23</w:t>
      </w:r>
      <w:r w:rsidR="001C0984" w:rsidRPr="00573B96">
        <w:rPr>
          <w:rFonts w:cs="Times New Roman"/>
          <w:szCs w:val="24"/>
        </w:rPr>
        <w:t>. februar</w:t>
      </w:r>
      <w:r w:rsidR="0015028A" w:rsidRPr="00573B96">
        <w:rPr>
          <w:rFonts w:cs="Times New Roman"/>
          <w:szCs w:val="24"/>
        </w:rPr>
        <w:t xml:space="preserve"> 202</w:t>
      </w:r>
      <w:r w:rsidR="001C0984" w:rsidRPr="00573B96">
        <w:rPr>
          <w:rFonts w:cs="Times New Roman"/>
          <w:szCs w:val="24"/>
        </w:rPr>
        <w:t>6</w:t>
      </w:r>
      <w:r w:rsidR="0015028A" w:rsidRPr="00573B96">
        <w:rPr>
          <w:rFonts w:cs="Times New Roman"/>
          <w:szCs w:val="24"/>
        </w:rPr>
        <w:t xml:space="preserve"> </w:t>
      </w:r>
      <w:r w:rsidRPr="00573B96">
        <w:rPr>
          <w:rFonts w:cs="Times New Roman"/>
          <w:szCs w:val="24"/>
        </w:rPr>
        <w:t>(</w:t>
      </w:r>
      <w:r w:rsidR="00511977">
        <w:rPr>
          <w:rFonts w:cs="Times New Roman"/>
          <w:szCs w:val="24"/>
        </w:rPr>
        <w:t>21</w:t>
      </w:r>
      <w:r w:rsidRPr="00573B96">
        <w:rPr>
          <w:rFonts w:cs="Times New Roman"/>
          <w:szCs w:val="24"/>
        </w:rPr>
        <w:t xml:space="preserve"> dage) været sendt i høring hos følgende myndigheder og organisationer m.v.:</w:t>
      </w:r>
    </w:p>
    <w:p w14:paraId="6CD2DCE2" w14:textId="77777777" w:rsidR="009A53B8" w:rsidRDefault="009A53B8" w:rsidP="009A53B8">
      <w:pPr>
        <w:spacing w:after="240" w:line="280" w:lineRule="atLeast"/>
        <w:rPr>
          <w:szCs w:val="24"/>
        </w:rPr>
      </w:pPr>
      <w:r w:rsidRPr="001F3777">
        <w:rPr>
          <w:szCs w:val="24"/>
        </w:rPr>
        <w:t>3F Fælles Fagligt Forbund</w:t>
      </w:r>
      <w:r>
        <w:rPr>
          <w:szCs w:val="24"/>
        </w:rPr>
        <w:t xml:space="preserve">, </w:t>
      </w:r>
      <w:r w:rsidRPr="00583ED5">
        <w:rPr>
          <w:szCs w:val="24"/>
        </w:rPr>
        <w:t xml:space="preserve">Advokatrådet, Alkohol og Samfund, </w:t>
      </w:r>
      <w:r w:rsidRPr="001F3777">
        <w:rPr>
          <w:szCs w:val="24"/>
        </w:rPr>
        <w:t>AMU Transport Danmark</w:t>
      </w:r>
      <w:r>
        <w:rPr>
          <w:szCs w:val="24"/>
        </w:rPr>
        <w:t>,</w:t>
      </w:r>
      <w:r w:rsidRPr="00F122DF">
        <w:rPr>
          <w:szCs w:val="24"/>
        </w:rPr>
        <w:t xml:space="preserve"> </w:t>
      </w:r>
      <w:r w:rsidRPr="001F3777">
        <w:rPr>
          <w:szCs w:val="24"/>
        </w:rPr>
        <w:t xml:space="preserve">Arbejdstilsynet, </w:t>
      </w:r>
      <w:r w:rsidRPr="00583ED5">
        <w:rPr>
          <w:szCs w:val="24"/>
        </w:rPr>
        <w:t xml:space="preserve"> </w:t>
      </w:r>
      <w:r w:rsidRPr="001F3777">
        <w:rPr>
          <w:szCs w:val="24"/>
        </w:rPr>
        <w:t xml:space="preserve">ATAX Arbejdsgiverforening for persontransport, ATL - Transportens arbejdsgivere, </w:t>
      </w:r>
      <w:r w:rsidRPr="00583ED5">
        <w:rPr>
          <w:szCs w:val="24"/>
        </w:rPr>
        <w:t>Autobranchen Danmark, Automobilbranchens Handels- og Industriforening,</w:t>
      </w:r>
      <w:r>
        <w:rPr>
          <w:szCs w:val="24"/>
        </w:rPr>
        <w:t xml:space="preserve"> </w:t>
      </w:r>
      <w:r w:rsidRPr="00583ED5">
        <w:rPr>
          <w:szCs w:val="24"/>
        </w:rPr>
        <w:t xml:space="preserve">samtlige byretter, </w:t>
      </w:r>
      <w:r w:rsidRPr="001F3777">
        <w:rPr>
          <w:szCs w:val="24"/>
        </w:rPr>
        <w:t>BilsynsBranchen.dk,</w:t>
      </w:r>
      <w:r>
        <w:rPr>
          <w:szCs w:val="24"/>
        </w:rPr>
        <w:t xml:space="preserve"> </w:t>
      </w:r>
      <w:r w:rsidRPr="00583ED5">
        <w:rPr>
          <w:szCs w:val="24"/>
        </w:rPr>
        <w:t>Cyklistforbundet,</w:t>
      </w:r>
      <w:r>
        <w:rPr>
          <w:szCs w:val="24"/>
        </w:rPr>
        <w:t xml:space="preserve"> Danmarks Frie Autocampere, </w:t>
      </w:r>
      <w:r w:rsidRPr="00583ED5">
        <w:rPr>
          <w:szCs w:val="24"/>
        </w:rPr>
        <w:t>Danmarks Motor Union, Danmarks Tekniske Universitet</w:t>
      </w:r>
      <w:r>
        <w:rPr>
          <w:szCs w:val="24"/>
        </w:rPr>
        <w:t xml:space="preserve"> </w:t>
      </w:r>
      <w:r w:rsidRPr="00583ED5">
        <w:rPr>
          <w:szCs w:val="24"/>
        </w:rPr>
        <w:t>–</w:t>
      </w:r>
      <w:r>
        <w:rPr>
          <w:szCs w:val="24"/>
        </w:rPr>
        <w:t xml:space="preserve"> </w:t>
      </w:r>
      <w:r w:rsidRPr="00583ED5">
        <w:rPr>
          <w:szCs w:val="24"/>
        </w:rPr>
        <w:t xml:space="preserve">Institut for Transport (DTU Transport), </w:t>
      </w:r>
      <w:r w:rsidRPr="001F3777">
        <w:rPr>
          <w:szCs w:val="24"/>
        </w:rPr>
        <w:t>Dansk Agroindustri,</w:t>
      </w:r>
      <w:r>
        <w:rPr>
          <w:szCs w:val="24"/>
        </w:rPr>
        <w:t xml:space="preserve"> </w:t>
      </w:r>
      <w:r w:rsidRPr="00583ED5">
        <w:rPr>
          <w:szCs w:val="24"/>
        </w:rPr>
        <w:t xml:space="preserve">Dansk Bilbrancheråd, Dansk Bilforhandler Union, </w:t>
      </w:r>
      <w:r>
        <w:rPr>
          <w:szCs w:val="24"/>
        </w:rPr>
        <w:t xml:space="preserve">Dansk Byggeri, </w:t>
      </w:r>
      <w:r w:rsidRPr="00583ED5">
        <w:rPr>
          <w:szCs w:val="24"/>
        </w:rPr>
        <w:t xml:space="preserve">Dansk Erhverv, Dansk Industri (DI), </w:t>
      </w:r>
      <w:r w:rsidRPr="001F3777">
        <w:rPr>
          <w:szCs w:val="24"/>
        </w:rPr>
        <w:t>Dansk Kranforening (DKF),</w:t>
      </w:r>
      <w:r>
        <w:rPr>
          <w:szCs w:val="24"/>
        </w:rPr>
        <w:t xml:space="preserve"> </w:t>
      </w:r>
      <w:r w:rsidRPr="00583ED5">
        <w:rPr>
          <w:szCs w:val="24"/>
        </w:rPr>
        <w:t xml:space="preserve">Dansk Kørelærer-Union, Dansk Køreskole Forening, </w:t>
      </w:r>
      <w:r w:rsidRPr="001F3777">
        <w:rPr>
          <w:szCs w:val="24"/>
        </w:rPr>
        <w:t>Dansk Maskinhandlerforening,</w:t>
      </w:r>
      <w:r>
        <w:rPr>
          <w:szCs w:val="24"/>
        </w:rPr>
        <w:t xml:space="preserve"> </w:t>
      </w:r>
      <w:r w:rsidRPr="00583ED5">
        <w:rPr>
          <w:szCs w:val="24"/>
        </w:rPr>
        <w:t xml:space="preserve">Dansk Mobilitet, </w:t>
      </w:r>
      <w:r w:rsidRPr="001F3777">
        <w:rPr>
          <w:szCs w:val="24"/>
        </w:rPr>
        <w:t>Dansk PersonTransport (DPT),</w:t>
      </w:r>
      <w:r>
        <w:rPr>
          <w:szCs w:val="24"/>
        </w:rPr>
        <w:t xml:space="preserve"> </w:t>
      </w:r>
      <w:r w:rsidRPr="00583ED5">
        <w:rPr>
          <w:szCs w:val="24"/>
        </w:rPr>
        <w:t>Dansk Standard, Dansk Transport</w:t>
      </w:r>
      <w:r>
        <w:rPr>
          <w:szCs w:val="24"/>
        </w:rPr>
        <w:t xml:space="preserve"> </w:t>
      </w:r>
      <w:r w:rsidRPr="00583ED5">
        <w:rPr>
          <w:szCs w:val="24"/>
        </w:rPr>
        <w:t>&amp; Logistik (DTL), Danske Advokater, Danske Biludlejere,</w:t>
      </w:r>
      <w:r>
        <w:rPr>
          <w:szCs w:val="24"/>
        </w:rPr>
        <w:t xml:space="preserve"> </w:t>
      </w:r>
      <w:r w:rsidRPr="00583ED5">
        <w:rPr>
          <w:szCs w:val="24"/>
        </w:rPr>
        <w:t>Danske Kørelæreres Landsforbund, Danske Motorcyklister,</w:t>
      </w:r>
      <w:r>
        <w:rPr>
          <w:szCs w:val="24"/>
        </w:rPr>
        <w:t xml:space="preserve"> </w:t>
      </w:r>
      <w:r w:rsidRPr="00583ED5">
        <w:rPr>
          <w:szCs w:val="24"/>
        </w:rPr>
        <w:t xml:space="preserve">Danske Regioner, </w:t>
      </w:r>
      <w:r w:rsidRPr="001F3777">
        <w:rPr>
          <w:szCs w:val="24"/>
        </w:rPr>
        <w:t>Danske Speditører, Danske Synsvirksomheder,</w:t>
      </w:r>
      <w:r>
        <w:rPr>
          <w:szCs w:val="24"/>
        </w:rPr>
        <w:t xml:space="preserve"> </w:t>
      </w:r>
      <w:r w:rsidRPr="00583ED5">
        <w:rPr>
          <w:szCs w:val="24"/>
        </w:rPr>
        <w:t>De Danske Bilimportører, Den Danske</w:t>
      </w:r>
      <w:r>
        <w:rPr>
          <w:szCs w:val="24"/>
        </w:rPr>
        <w:t xml:space="preserve"> </w:t>
      </w:r>
      <w:r w:rsidRPr="00583ED5">
        <w:rPr>
          <w:szCs w:val="24"/>
        </w:rPr>
        <w:t xml:space="preserve">Dommerforening, DFIM, </w:t>
      </w:r>
      <w:r w:rsidRPr="001F3777">
        <w:rPr>
          <w:szCs w:val="24"/>
        </w:rPr>
        <w:t>DTL's arbejdsgiverforening</w:t>
      </w:r>
      <w:r>
        <w:rPr>
          <w:szCs w:val="24"/>
        </w:rPr>
        <w:t xml:space="preserve">, </w:t>
      </w:r>
      <w:r w:rsidRPr="00583ED5">
        <w:rPr>
          <w:szCs w:val="24"/>
        </w:rPr>
        <w:t>Dommerfuldmægtigforeningen, Falck Danmark A/S,</w:t>
      </w:r>
      <w:r>
        <w:rPr>
          <w:szCs w:val="24"/>
        </w:rPr>
        <w:t xml:space="preserve"> </w:t>
      </w:r>
      <w:r w:rsidRPr="00583ED5">
        <w:rPr>
          <w:szCs w:val="24"/>
        </w:rPr>
        <w:t>Finans og Leasing,</w:t>
      </w:r>
      <w:r>
        <w:rPr>
          <w:szCs w:val="24"/>
        </w:rPr>
        <w:t xml:space="preserve"> FOA, Fodgængerforbundet,</w:t>
      </w:r>
      <w:r w:rsidRPr="00583ED5">
        <w:rPr>
          <w:szCs w:val="24"/>
        </w:rPr>
        <w:t xml:space="preserve"> Forbrugerombudsmanden, Forbrugerrådet Tænk, Forenede Danske Motorejere (FDM), Foreningen</w:t>
      </w:r>
      <w:r>
        <w:rPr>
          <w:szCs w:val="24"/>
        </w:rPr>
        <w:t xml:space="preserve"> </w:t>
      </w:r>
      <w:r w:rsidRPr="00583ED5">
        <w:rPr>
          <w:szCs w:val="24"/>
        </w:rPr>
        <w:t xml:space="preserve">af Frie Kørelærere, Foreningen af offentlige anklagere, </w:t>
      </w:r>
      <w:r w:rsidRPr="001F3777">
        <w:rPr>
          <w:szCs w:val="24"/>
        </w:rPr>
        <w:t>Foreningen Tekniske Konsulenter for Vejtransport</w:t>
      </w:r>
      <w:r>
        <w:rPr>
          <w:szCs w:val="24"/>
        </w:rPr>
        <w:t>,</w:t>
      </w:r>
      <w:r w:rsidRPr="00583ED5">
        <w:rPr>
          <w:szCs w:val="24"/>
        </w:rPr>
        <w:t xml:space="preserve"> Forsikring &amp; Pension, Frie Danske Lastbilvognmænd (FDL),</w:t>
      </w:r>
      <w:r>
        <w:rPr>
          <w:szCs w:val="24"/>
        </w:rPr>
        <w:t xml:space="preserve"> </w:t>
      </w:r>
      <w:r w:rsidRPr="00583ED5">
        <w:rPr>
          <w:szCs w:val="24"/>
        </w:rPr>
        <w:t xml:space="preserve">Håndværksrådet, Institut for Menneskerettigheder, International Transport Danmark (ITD), </w:t>
      </w:r>
      <w:r>
        <w:rPr>
          <w:szCs w:val="24"/>
        </w:rPr>
        <w:t xml:space="preserve">KRAN BLOK Erfa, </w:t>
      </w:r>
      <w:r w:rsidRPr="00583ED5">
        <w:rPr>
          <w:szCs w:val="24"/>
        </w:rPr>
        <w:t xml:space="preserve">KL, Køreprøvesagkyndiges Landsforening, </w:t>
      </w:r>
      <w:r>
        <w:rPr>
          <w:szCs w:val="24"/>
        </w:rPr>
        <w:t xml:space="preserve"> </w:t>
      </w:r>
      <w:r w:rsidRPr="00546F62">
        <w:rPr>
          <w:szCs w:val="24"/>
        </w:rPr>
        <w:t>Landbrugserhvervets Færdselsgruppe</w:t>
      </w:r>
      <w:r>
        <w:rPr>
          <w:szCs w:val="24"/>
        </w:rPr>
        <w:t>,</w:t>
      </w:r>
      <w:r w:rsidRPr="00662B20">
        <w:rPr>
          <w:szCs w:val="24"/>
        </w:rPr>
        <w:t xml:space="preserve"> </w:t>
      </w:r>
      <w:r w:rsidRPr="001F3777">
        <w:rPr>
          <w:szCs w:val="24"/>
        </w:rPr>
        <w:t>Landbrug &amp; Fødevarer</w:t>
      </w:r>
      <w:r>
        <w:rPr>
          <w:szCs w:val="24"/>
        </w:rPr>
        <w:t xml:space="preserve">, </w:t>
      </w:r>
      <w:r w:rsidRPr="00583ED5">
        <w:rPr>
          <w:szCs w:val="24"/>
        </w:rPr>
        <w:t>Landdistrikternes Fællesråd, Landsforeningen af Polio Trafik- og Ulykkesskadede, Landsforeningen Landsbyerne i Danmark, NOAH-Trafik, Politiforbundet</w:t>
      </w:r>
      <w:r>
        <w:rPr>
          <w:szCs w:val="24"/>
        </w:rPr>
        <w:t xml:space="preserve"> </w:t>
      </w:r>
      <w:r w:rsidRPr="00583ED5">
        <w:rPr>
          <w:szCs w:val="24"/>
        </w:rPr>
        <w:t xml:space="preserve">i Danmark, </w:t>
      </w:r>
      <w:r>
        <w:rPr>
          <w:szCs w:val="24"/>
        </w:rPr>
        <w:t xml:space="preserve">Reddernes Fagforening, </w:t>
      </w:r>
      <w:r w:rsidRPr="00583ED5">
        <w:rPr>
          <w:szCs w:val="24"/>
        </w:rPr>
        <w:t xml:space="preserve">Rådet for Bæredygtig Trafik, </w:t>
      </w:r>
      <w:r>
        <w:rPr>
          <w:szCs w:val="24"/>
        </w:rPr>
        <w:t xml:space="preserve">Rådet for Grøn Omstilling, </w:t>
      </w:r>
      <w:r w:rsidRPr="00583ED5">
        <w:rPr>
          <w:szCs w:val="24"/>
        </w:rPr>
        <w:t xml:space="preserve">Rådet for Sikker Trafik, </w:t>
      </w:r>
      <w:r w:rsidRPr="001F3777">
        <w:rPr>
          <w:szCs w:val="24"/>
        </w:rPr>
        <w:t>SEGES</w:t>
      </w:r>
      <w:r>
        <w:rPr>
          <w:szCs w:val="24"/>
        </w:rPr>
        <w:t xml:space="preserve">, Sikre veje, </w:t>
      </w:r>
      <w:r w:rsidRPr="001F3777">
        <w:rPr>
          <w:szCs w:val="24"/>
        </w:rPr>
        <w:t>SLD - Specialforeningen for Logistik og Distribution</w:t>
      </w:r>
      <w:r>
        <w:rPr>
          <w:szCs w:val="24"/>
        </w:rPr>
        <w:t xml:space="preserve">, Trafikforbundet, </w:t>
      </w:r>
      <w:r w:rsidRPr="00583ED5">
        <w:rPr>
          <w:szCs w:val="24"/>
        </w:rPr>
        <w:t xml:space="preserve">Trafikforskningsgruppen ved Aalborg Universitet, </w:t>
      </w:r>
      <w:r w:rsidRPr="001F3777">
        <w:rPr>
          <w:szCs w:val="24"/>
        </w:rPr>
        <w:t>Trafik og Transport ved Aalborg Universitet</w:t>
      </w:r>
      <w:r>
        <w:rPr>
          <w:szCs w:val="24"/>
        </w:rPr>
        <w:t>,</w:t>
      </w:r>
      <w:r w:rsidRPr="00583ED5">
        <w:rPr>
          <w:szCs w:val="24"/>
        </w:rPr>
        <w:t xml:space="preserve"> Trafiksikkerheds Venner i</w:t>
      </w:r>
      <w:r>
        <w:rPr>
          <w:szCs w:val="24"/>
        </w:rPr>
        <w:t xml:space="preserve"> </w:t>
      </w:r>
      <w:r w:rsidRPr="00583ED5">
        <w:rPr>
          <w:szCs w:val="24"/>
        </w:rPr>
        <w:t xml:space="preserve">Danmark, </w:t>
      </w:r>
      <w:r w:rsidRPr="001F3777">
        <w:rPr>
          <w:szCs w:val="24"/>
        </w:rPr>
        <w:t>Transporterhvervets Uddannelser (TUR)</w:t>
      </w:r>
      <w:r>
        <w:rPr>
          <w:szCs w:val="24"/>
        </w:rPr>
        <w:t xml:space="preserve">, </w:t>
      </w:r>
      <w:r w:rsidRPr="00583ED5">
        <w:rPr>
          <w:szCs w:val="24"/>
        </w:rPr>
        <w:t>Veteranknallertklubben Aktiv og Vestre og Østre</w:t>
      </w:r>
      <w:r>
        <w:rPr>
          <w:szCs w:val="24"/>
        </w:rPr>
        <w:t xml:space="preserve"> </w:t>
      </w:r>
      <w:r w:rsidRPr="00583ED5">
        <w:rPr>
          <w:szCs w:val="24"/>
        </w:rPr>
        <w:t>Landsret.</w:t>
      </w:r>
    </w:p>
    <w:p w14:paraId="20D3BB45" w14:textId="2BAD5B42" w:rsidR="003245D5" w:rsidRPr="0053500B" w:rsidRDefault="003245D5" w:rsidP="003245D5">
      <w:pPr>
        <w:pStyle w:val="Overskrift1"/>
        <w:numPr>
          <w:ilvl w:val="0"/>
          <w:numId w:val="7"/>
        </w:numPr>
        <w:rPr>
          <w:rFonts w:ascii="Times New Roman" w:hAnsi="Times New Roman" w:cs="Times New Roman"/>
          <w:bCs w:val="0"/>
          <w:iCs/>
          <w:szCs w:val="24"/>
        </w:rPr>
      </w:pPr>
      <w:r w:rsidRPr="0053500B">
        <w:rPr>
          <w:rFonts w:ascii="Times New Roman" w:hAnsi="Times New Roman" w:cs="Times New Roman"/>
          <w:bCs w:val="0"/>
          <w:iCs/>
          <w:szCs w:val="24"/>
        </w:rPr>
        <w:t>Sammenfattende skema</w:t>
      </w:r>
    </w:p>
    <w:tbl>
      <w:tblPr>
        <w:tblW w:w="8930" w:type="dxa"/>
        <w:tblInd w:w="299" w:type="dxa"/>
        <w:tblLook w:val="04A0" w:firstRow="1" w:lastRow="0" w:firstColumn="1" w:lastColumn="0" w:noHBand="0" w:noVBand="1"/>
      </w:tblPr>
      <w:tblGrid>
        <w:gridCol w:w="1676"/>
        <w:gridCol w:w="3627"/>
        <w:gridCol w:w="58"/>
        <w:gridCol w:w="3569"/>
      </w:tblGrid>
      <w:tr w:rsidR="00694305" w:rsidRPr="0053500B" w14:paraId="2FB96E4A" w14:textId="77777777" w:rsidTr="00694305">
        <w:tc>
          <w:tcPr>
            <w:tcW w:w="8930"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67D4B2B" w14:textId="3FF9D30F" w:rsidR="00694305" w:rsidRPr="0053500B" w:rsidRDefault="00694305">
            <w:pPr>
              <w:pStyle w:val="Overskrift1"/>
              <w:rPr>
                <w:rFonts w:ascii="Times New Roman" w:hAnsi="Times New Roman" w:cs="Times New Roman"/>
                <w:iCs/>
                <w:szCs w:val="24"/>
              </w:rPr>
            </w:pPr>
          </w:p>
        </w:tc>
      </w:tr>
      <w:tr w:rsidR="00694305" w:rsidRPr="0053500B" w14:paraId="1B0A603D"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C8D32A" w14:textId="77777777" w:rsidR="00694305" w:rsidRPr="0053500B" w:rsidRDefault="00694305">
            <w:pPr>
              <w:spacing w:after="240"/>
              <w:ind w:firstLine="238"/>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E59DAA1" w14:textId="77777777" w:rsidR="00694305" w:rsidRPr="0053500B" w:rsidRDefault="00694305">
            <w:pPr>
              <w:spacing w:after="240"/>
              <w:ind w:firstLine="238"/>
              <w:contextualSpacing/>
              <w:jc w:val="center"/>
              <w:rPr>
                <w:rFonts w:eastAsia="Times New Roman" w:cs="Times New Roman"/>
                <w:color w:val="000000"/>
                <w:szCs w:val="24"/>
                <w:lang w:eastAsia="da-DK"/>
              </w:rPr>
            </w:pPr>
            <w:r w:rsidRPr="0053500B">
              <w:rPr>
                <w:rFonts w:eastAsia="Times New Roman" w:cs="Times New Roman"/>
                <w:color w:val="000000"/>
                <w:szCs w:val="24"/>
                <w:lang w:eastAsia="da-DK"/>
              </w:rPr>
              <w:t>Positive konsekvenser/mindreudgifter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2553BE" w14:textId="77777777" w:rsidR="00694305" w:rsidRPr="0053500B" w:rsidRDefault="00694305">
            <w:pPr>
              <w:spacing w:after="240"/>
              <w:ind w:firstLine="238"/>
              <w:contextualSpacing/>
              <w:jc w:val="center"/>
              <w:rPr>
                <w:rFonts w:eastAsia="Times New Roman" w:cs="Times New Roman"/>
                <w:color w:val="000000"/>
                <w:szCs w:val="24"/>
                <w:lang w:eastAsia="da-DK"/>
              </w:rPr>
            </w:pPr>
            <w:r w:rsidRPr="0053500B">
              <w:rPr>
                <w:rFonts w:eastAsia="Times New Roman" w:cs="Times New Roman"/>
                <w:color w:val="000000"/>
                <w:szCs w:val="24"/>
                <w:lang w:eastAsia="da-DK"/>
              </w:rPr>
              <w:t>Negative konsekvenser/merudgifter (hvis ja, angiv omfang/hvis nej, anfør »Ingen«)</w:t>
            </w:r>
          </w:p>
        </w:tc>
      </w:tr>
      <w:tr w:rsidR="00694305" w:rsidRPr="0053500B" w14:paraId="722CDECC"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81AD12F" w14:textId="77777777" w:rsidR="00694305" w:rsidRPr="0053500B" w:rsidRDefault="00694305" w:rsidP="00E95314">
            <w:pPr>
              <w:spacing w:after="240"/>
              <w:contextualSpacing/>
              <w:rPr>
                <w:rFonts w:eastAsia="Times New Roman" w:cs="Times New Roman"/>
                <w:color w:val="000000"/>
                <w:szCs w:val="24"/>
                <w:lang w:eastAsia="da-DK"/>
              </w:rPr>
            </w:pPr>
            <w:r w:rsidRPr="0053500B">
              <w:rPr>
                <w:rFonts w:eastAsia="Times New Roman" w:cs="Times New Roman"/>
                <w:color w:val="000000"/>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F9B12DD" w14:textId="22A84304" w:rsidR="004B0839" w:rsidRDefault="004B0839" w:rsidP="00BD109A">
            <w:pPr>
              <w:rPr>
                <w:rFonts w:cs="Times New Roman"/>
              </w:rPr>
            </w:pPr>
            <w:r w:rsidRPr="004B0839">
              <w:rPr>
                <w:rFonts w:cs="Times New Roman"/>
              </w:rPr>
              <w:t>Lovforslagets §1</w:t>
            </w:r>
            <w:r w:rsidR="00576EE2">
              <w:rPr>
                <w:rFonts w:cs="Times New Roman"/>
              </w:rPr>
              <w:t>, nr. 2, kan have</w:t>
            </w:r>
            <w:r w:rsidRPr="004B0839">
              <w:rPr>
                <w:rFonts w:cs="Times New Roman"/>
              </w:rPr>
              <w:t xml:space="preserve"> positiv</w:t>
            </w:r>
            <w:r w:rsidR="00576EE2">
              <w:rPr>
                <w:rFonts w:cs="Times New Roman"/>
              </w:rPr>
              <w:t>e</w:t>
            </w:r>
            <w:r w:rsidRPr="004B0839">
              <w:rPr>
                <w:rFonts w:cs="Times New Roman"/>
              </w:rPr>
              <w:t xml:space="preserve"> økonomisk</w:t>
            </w:r>
            <w:r w:rsidR="000703C3">
              <w:rPr>
                <w:rFonts w:cs="Times New Roman"/>
              </w:rPr>
              <w:t>e</w:t>
            </w:r>
            <w:r w:rsidRPr="004B0839">
              <w:rPr>
                <w:rFonts w:cs="Times New Roman"/>
              </w:rPr>
              <w:t xml:space="preserve"> </w:t>
            </w:r>
            <w:r w:rsidR="00576EE2">
              <w:rPr>
                <w:rFonts w:cs="Times New Roman"/>
              </w:rPr>
              <w:t>konsekvenser</w:t>
            </w:r>
            <w:r w:rsidRPr="004B0839">
              <w:rPr>
                <w:rFonts w:cs="Times New Roman"/>
              </w:rPr>
              <w:t xml:space="preserve"> for vejmyndighederne, idet det vil </w:t>
            </w:r>
            <w:r w:rsidR="00576EE2">
              <w:rPr>
                <w:rFonts w:cs="Times New Roman"/>
              </w:rPr>
              <w:t>blive</w:t>
            </w:r>
            <w:r w:rsidRPr="004B0839">
              <w:rPr>
                <w:rFonts w:cs="Times New Roman"/>
              </w:rPr>
              <w:t xml:space="preserve"> mulig at gennemføre </w:t>
            </w:r>
            <w:r w:rsidR="000703C3">
              <w:rPr>
                <w:rFonts w:cs="Times New Roman"/>
              </w:rPr>
              <w:t>blokvognskørsel</w:t>
            </w:r>
            <w:r w:rsidRPr="004B0839">
              <w:rPr>
                <w:rFonts w:cs="Times New Roman"/>
              </w:rPr>
              <w:t xml:space="preserve"> på en mere skånsom måde for vejen og dens inventar.</w:t>
            </w:r>
          </w:p>
          <w:p w14:paraId="59F2DA52" w14:textId="77777777" w:rsidR="004B0839" w:rsidRDefault="004B0839" w:rsidP="00BD109A">
            <w:pPr>
              <w:rPr>
                <w:rFonts w:cs="Times New Roman"/>
              </w:rPr>
            </w:pPr>
          </w:p>
          <w:p w14:paraId="46B7F3DC" w14:textId="466B5B51" w:rsidR="00BD109A" w:rsidRDefault="00BD109A" w:rsidP="00BD109A">
            <w:pPr>
              <w:rPr>
                <w:rFonts w:cs="Times New Roman"/>
              </w:rPr>
            </w:pPr>
            <w:r>
              <w:rPr>
                <w:rFonts w:cs="Times New Roman"/>
              </w:rPr>
              <w:t xml:space="preserve">Lovforslagets § 2 forventes at understøtte sikring af provenu fra vejafgiftsordningen på ca. 1,5-2 mia. kr. årligt til staten (efter adfærd og tilbageløb), ligesom den foreslåede kontrol- og opkrævningsadgang vil kunne understøtte opkrævning af ubetalte forfaldne bøder for manglende betaling af vejafgift. </w:t>
            </w:r>
          </w:p>
          <w:p w14:paraId="37D7EDCA" w14:textId="73D8295E" w:rsidR="00694305" w:rsidRPr="0053500B" w:rsidRDefault="00694305">
            <w:pPr>
              <w:rPr>
                <w:rFonts w:eastAsia="Times New Roman" w:cs="Times New Roman"/>
                <w:color w:val="000000"/>
                <w:szCs w:val="24"/>
                <w:lang w:eastAsia="da-DK"/>
              </w:rPr>
            </w:pP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B6F328B" w14:textId="43F2B51E" w:rsidR="00E95314" w:rsidRDefault="00E95314" w:rsidP="00E95314">
            <w:pPr>
              <w:rPr>
                <w:rFonts w:cs="Times New Roman"/>
              </w:rPr>
            </w:pPr>
            <w:r>
              <w:rPr>
                <w:rFonts w:cs="Times New Roman"/>
              </w:rPr>
              <w:t>Lovforslagets § 2 vil kunne medføre øgede omkostninger til administration i mindre omfang hos Færdselsstyrelsen. Udgifterne afholdes inden for Færdselsstyrelsens eksisterende bevillingsmæssige ramme.</w:t>
            </w:r>
          </w:p>
          <w:p w14:paraId="71CA1FA5" w14:textId="77777777" w:rsidR="00694305" w:rsidRPr="0053500B" w:rsidRDefault="00694305" w:rsidP="007A3F9E">
            <w:pPr>
              <w:rPr>
                <w:rFonts w:cs="Times New Roman"/>
                <w:sz w:val="20"/>
                <w:szCs w:val="20"/>
                <w:lang w:eastAsia="da-DK"/>
              </w:rPr>
            </w:pPr>
          </w:p>
        </w:tc>
      </w:tr>
      <w:tr w:rsidR="00694305" w:rsidRPr="0053500B" w14:paraId="18732EC3"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E6C1AA4"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46DA05" w14:textId="14F4989D" w:rsidR="00694305" w:rsidRPr="0053500B" w:rsidRDefault="009D7326">
            <w:pPr>
              <w:rPr>
                <w:rFonts w:eastAsia="Times New Roman" w:cs="Times New Roman"/>
                <w:color w:val="000000"/>
                <w:szCs w:val="24"/>
                <w:lang w:eastAsia="da-DK"/>
              </w:rPr>
            </w:pPr>
            <w:r w:rsidRPr="0053500B">
              <w:rPr>
                <w:rFonts w:eastAsia="Times New Roman" w:cs="Times New Roman"/>
                <w:color w:val="000000"/>
                <w:szCs w:val="24"/>
                <w:lang w:eastAsia="da-DK"/>
              </w:rPr>
              <w:t xml:space="preserve">Ingen </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D26E6DB" w14:textId="22CE899F" w:rsidR="00694305" w:rsidRPr="00E95314" w:rsidRDefault="009D7326">
            <w:pPr>
              <w:spacing w:line="276" w:lineRule="auto"/>
              <w:jc w:val="left"/>
              <w:rPr>
                <w:rFonts w:cs="Times New Roman"/>
                <w:szCs w:val="24"/>
                <w:lang w:eastAsia="da-DK"/>
              </w:rPr>
            </w:pPr>
            <w:r w:rsidRPr="00E95314">
              <w:rPr>
                <w:rFonts w:cs="Times New Roman"/>
                <w:szCs w:val="24"/>
                <w:lang w:eastAsia="da-DK"/>
              </w:rPr>
              <w:t>Ingen</w:t>
            </w:r>
          </w:p>
        </w:tc>
      </w:tr>
      <w:tr w:rsidR="00694305" w:rsidRPr="0053500B" w14:paraId="3506BE93"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5D5A218"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B82F7C" w14:textId="29E98128" w:rsidR="00694305" w:rsidRPr="0053500B" w:rsidRDefault="00B42239">
            <w:pPr>
              <w:rPr>
                <w:rFonts w:eastAsia="Times New Roman" w:cs="Times New Roman"/>
                <w:color w:val="000000"/>
                <w:szCs w:val="24"/>
                <w:lang w:eastAsia="da-DK"/>
              </w:rPr>
            </w:pPr>
            <w:r w:rsidRPr="0053500B">
              <w:rPr>
                <w:rFonts w:eastAsia="Times New Roman" w:cs="Times New Roman"/>
                <w:color w:val="000000"/>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8028DCD" w14:textId="1728BD84" w:rsidR="00694305" w:rsidRPr="00E95314" w:rsidRDefault="00B42239">
            <w:pPr>
              <w:spacing w:line="276" w:lineRule="auto"/>
              <w:jc w:val="left"/>
              <w:rPr>
                <w:rFonts w:cs="Times New Roman"/>
                <w:szCs w:val="24"/>
                <w:lang w:eastAsia="da-DK"/>
              </w:rPr>
            </w:pPr>
            <w:r w:rsidRPr="00E95314">
              <w:rPr>
                <w:rFonts w:cs="Times New Roman"/>
                <w:szCs w:val="24"/>
                <w:lang w:eastAsia="da-DK"/>
              </w:rPr>
              <w:t xml:space="preserve">Ingen </w:t>
            </w:r>
          </w:p>
        </w:tc>
      </w:tr>
      <w:tr w:rsidR="00694305" w:rsidRPr="0053500B" w14:paraId="51DE7648"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C9E3B8" w14:textId="77777777" w:rsidR="00694305" w:rsidRPr="0053500B" w:rsidRDefault="00694305" w:rsidP="00E95314">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231ED47" w14:textId="533CD4DB" w:rsidR="00694305" w:rsidRPr="0053500B" w:rsidRDefault="00B42239">
            <w:pPr>
              <w:rPr>
                <w:rFonts w:eastAsia="Times New Roman" w:cs="Times New Roman"/>
                <w:color w:val="000000"/>
                <w:szCs w:val="24"/>
                <w:lang w:eastAsia="da-DK"/>
              </w:rPr>
            </w:pPr>
            <w:r w:rsidRPr="0053500B">
              <w:rPr>
                <w:rFonts w:eastAsia="Times New Roman" w:cs="Times New Roman"/>
                <w:color w:val="000000"/>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06871B1" w14:textId="364525D7" w:rsidR="00694305" w:rsidRPr="00E95314" w:rsidRDefault="00B42239">
            <w:pPr>
              <w:spacing w:line="276" w:lineRule="auto"/>
              <w:jc w:val="left"/>
              <w:rPr>
                <w:rFonts w:cs="Times New Roman"/>
                <w:szCs w:val="24"/>
                <w:lang w:eastAsia="da-DK"/>
              </w:rPr>
            </w:pPr>
            <w:r w:rsidRPr="00E95314">
              <w:rPr>
                <w:rFonts w:cs="Times New Roman"/>
                <w:szCs w:val="24"/>
                <w:lang w:eastAsia="da-DK"/>
              </w:rPr>
              <w:t>Ingen</w:t>
            </w:r>
          </w:p>
        </w:tc>
      </w:tr>
      <w:tr w:rsidR="00694305" w:rsidRPr="0053500B" w14:paraId="287FB65B"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6C96F9"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6E8C11A" w14:textId="50F5063E" w:rsidR="00694305" w:rsidRPr="0053500B" w:rsidRDefault="00B42239" w:rsidP="00E95314">
            <w:pPr>
              <w:rPr>
                <w:rFonts w:eastAsia="Times New Roman" w:cs="Times New Roman"/>
                <w:color w:val="000000"/>
                <w:szCs w:val="24"/>
                <w:lang w:eastAsia="da-DK"/>
              </w:rPr>
            </w:pPr>
            <w:r w:rsidRPr="0053500B">
              <w:rPr>
                <w:rFonts w:eastAsia="Times New Roman" w:cs="Times New Roman"/>
                <w:color w:val="000000"/>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44B27A" w14:textId="1D8B3D2B" w:rsidR="00694305" w:rsidRPr="00E95314" w:rsidRDefault="00B42239">
            <w:pPr>
              <w:spacing w:line="276" w:lineRule="auto"/>
              <w:jc w:val="left"/>
              <w:rPr>
                <w:rFonts w:cs="Times New Roman"/>
                <w:szCs w:val="24"/>
                <w:lang w:eastAsia="da-DK"/>
              </w:rPr>
            </w:pPr>
            <w:r w:rsidRPr="00E95314">
              <w:rPr>
                <w:rFonts w:cs="Times New Roman"/>
                <w:szCs w:val="24"/>
                <w:lang w:eastAsia="da-DK"/>
              </w:rPr>
              <w:t>Ingen</w:t>
            </w:r>
          </w:p>
        </w:tc>
      </w:tr>
      <w:tr w:rsidR="00694305" w:rsidRPr="0053500B" w14:paraId="0499AACC" w14:textId="77777777" w:rsidTr="00694305">
        <w:tc>
          <w:tcPr>
            <w:tcW w:w="1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6839833"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172BFE2" w14:textId="30458D86" w:rsidR="00694305" w:rsidRPr="0053500B" w:rsidRDefault="00E95314" w:rsidP="00B42239">
            <w:pPr>
              <w:spacing w:after="240"/>
              <w:contextualSpacing/>
              <w:jc w:val="left"/>
              <w:rPr>
                <w:rFonts w:eastAsia="Times New Roman" w:cs="Times New Roman"/>
                <w:color w:val="000000"/>
                <w:szCs w:val="24"/>
                <w:lang w:eastAsia="da-DK"/>
              </w:rPr>
            </w:pPr>
            <w:r>
              <w:rPr>
                <w:rFonts w:eastAsia="Times New Roman" w:cs="Times New Roman"/>
                <w:color w:val="000000"/>
                <w:szCs w:val="24"/>
                <w:lang w:eastAsia="da-DK"/>
              </w:rPr>
              <w:t>Lovforslagets § 2 kan have positive klimamæssige konsekvenser, idet forslaget vil bidrage til at sikre efterlevelse af reglerne om den kilometerbaserede vejafgift.</w:t>
            </w:r>
            <w:r w:rsidR="00B42239" w:rsidRPr="0053500B">
              <w:rPr>
                <w:rFonts w:eastAsia="Times New Roman" w:cs="Times New Roman"/>
                <w:color w:val="000000"/>
                <w:szCs w:val="24"/>
                <w:lang w:eastAsia="da-DK"/>
              </w:rPr>
              <w:t xml:space="preserve"> </w:t>
            </w:r>
            <w:r>
              <w:rPr>
                <w:rFonts w:eastAsia="Times New Roman" w:cs="Times New Roman"/>
                <w:color w:val="000000"/>
                <w:szCs w:val="24"/>
                <w:lang w:eastAsia="da-DK"/>
              </w:rPr>
              <w:t>Det forventes, at efterlevelsen af den kilometerbaserede vejafgift kan medføre CO</w:t>
            </w:r>
            <w:r w:rsidRPr="00576EE2">
              <w:rPr>
                <w:rFonts w:eastAsia="Times New Roman" w:cs="Times New Roman"/>
                <w:color w:val="000000"/>
                <w:szCs w:val="24"/>
                <w:vertAlign w:val="subscript"/>
                <w:lang w:eastAsia="da-DK"/>
              </w:rPr>
              <w:t>2</w:t>
            </w:r>
            <w:r>
              <w:rPr>
                <w:rFonts w:eastAsia="Times New Roman" w:cs="Times New Roman"/>
                <w:color w:val="000000"/>
                <w:szCs w:val="24"/>
                <w:lang w:eastAsia="da-DK"/>
              </w:rPr>
              <w:t>-reguktioner fra en reduktion af trafikarbejdet med lastbiler og i mindre grad fra udbredelsen af energieffektive og grønne lastbiler.</w:t>
            </w:r>
          </w:p>
        </w:tc>
        <w:tc>
          <w:tcPr>
            <w:tcW w:w="3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A381565" w14:textId="10637F5E" w:rsidR="00694305" w:rsidRPr="0053500B" w:rsidRDefault="00694305" w:rsidP="00197890">
            <w:pPr>
              <w:rPr>
                <w:rFonts w:cs="Times New Roman"/>
              </w:rPr>
            </w:pPr>
          </w:p>
        </w:tc>
      </w:tr>
      <w:tr w:rsidR="00694305" w:rsidRPr="0053500B" w14:paraId="7A548B0A" w14:textId="77777777" w:rsidTr="00694305">
        <w:tc>
          <w:tcPr>
            <w:tcW w:w="1676" w:type="dxa"/>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163A0531"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4AE5DB4D" w14:textId="70474474" w:rsidR="00694305" w:rsidRPr="0053500B" w:rsidRDefault="00E95314">
            <w:pPr>
              <w:rPr>
                <w:rFonts w:eastAsia="Times New Roman" w:cs="Times New Roman"/>
                <w:color w:val="000000"/>
                <w:szCs w:val="24"/>
                <w:lang w:eastAsia="da-DK"/>
              </w:rPr>
            </w:pPr>
            <w:r>
              <w:rPr>
                <w:rFonts w:eastAsia="Times New Roman" w:cs="Times New Roman"/>
                <w:color w:val="000000"/>
                <w:szCs w:val="24"/>
                <w:lang w:eastAsia="da-DK"/>
              </w:rPr>
              <w:t>Lovforslagets § 2 kan have positive miljøkonsekvenser, idet forslaget vil bidrage til at sikre efterlevelse af reglerne om den kilometerbaserede vejafgift.</w:t>
            </w:r>
            <w:r w:rsidRPr="0053500B">
              <w:rPr>
                <w:rFonts w:eastAsia="Times New Roman" w:cs="Times New Roman"/>
                <w:color w:val="000000"/>
                <w:szCs w:val="24"/>
                <w:lang w:eastAsia="da-DK"/>
              </w:rPr>
              <w:t xml:space="preserve"> </w:t>
            </w:r>
            <w:r>
              <w:rPr>
                <w:rFonts w:eastAsia="Times New Roman" w:cs="Times New Roman"/>
                <w:color w:val="000000"/>
                <w:szCs w:val="24"/>
                <w:lang w:eastAsia="da-DK"/>
              </w:rPr>
              <w:t>Det forventes, at efterlevelsen af den kilometerbaserede vejafgift kan reducere trafikarbejdet med lastbiler og dermed blandt andet bidrage til en reduktion af luftforurening.</w:t>
            </w:r>
          </w:p>
        </w:tc>
        <w:tc>
          <w:tcPr>
            <w:tcW w:w="3569" w:type="dxa"/>
            <w:tcBorders>
              <w:top w:val="single" w:sz="8" w:space="0" w:color="000000"/>
              <w:left w:val="single" w:sz="8" w:space="0" w:color="000000"/>
              <w:bottom w:val="single" w:sz="18" w:space="0" w:color="auto"/>
              <w:right w:val="single" w:sz="8" w:space="0" w:color="000000"/>
            </w:tcBorders>
            <w:tcMar>
              <w:top w:w="15" w:type="dxa"/>
              <w:left w:w="15" w:type="dxa"/>
              <w:bottom w:w="15" w:type="dxa"/>
              <w:right w:w="15" w:type="dxa"/>
            </w:tcMar>
            <w:hideMark/>
          </w:tcPr>
          <w:p w14:paraId="6F1B0325" w14:textId="77777777" w:rsidR="00694305" w:rsidRPr="0053500B" w:rsidRDefault="00694305" w:rsidP="007A3F9E">
            <w:pPr>
              <w:jc w:val="left"/>
              <w:rPr>
                <w:rFonts w:cs="Times New Roman"/>
                <w:sz w:val="20"/>
                <w:szCs w:val="20"/>
                <w:lang w:eastAsia="da-DK"/>
              </w:rPr>
            </w:pPr>
          </w:p>
        </w:tc>
      </w:tr>
      <w:tr w:rsidR="00694305" w:rsidRPr="0053500B" w14:paraId="140080D3" w14:textId="77777777" w:rsidTr="00694305">
        <w:tc>
          <w:tcPr>
            <w:tcW w:w="1676" w:type="dxa"/>
            <w:tcBorders>
              <w:top w:val="single" w:sz="18" w:space="0" w:color="auto"/>
              <w:left w:val="single" w:sz="8" w:space="0" w:color="000000"/>
              <w:bottom w:val="single" w:sz="4" w:space="0" w:color="auto"/>
              <w:right w:val="single" w:sz="8" w:space="0" w:color="000000"/>
            </w:tcBorders>
            <w:tcMar>
              <w:top w:w="15" w:type="dxa"/>
              <w:left w:w="15" w:type="dxa"/>
              <w:bottom w:w="15" w:type="dxa"/>
              <w:right w:w="15" w:type="dxa"/>
            </w:tcMar>
            <w:hideMark/>
          </w:tcPr>
          <w:p w14:paraId="1866EE5B" w14:textId="77777777"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tcMar>
              <w:top w:w="15" w:type="dxa"/>
              <w:left w:w="15" w:type="dxa"/>
              <w:bottom w:w="15" w:type="dxa"/>
              <w:right w:w="15" w:type="dxa"/>
            </w:tcMar>
            <w:hideMark/>
          </w:tcPr>
          <w:p w14:paraId="3FD2C5F1" w14:textId="131C9551" w:rsidR="00694305" w:rsidRPr="0053500B" w:rsidRDefault="00C10DB9">
            <w:pPr>
              <w:spacing w:after="240"/>
              <w:contextualSpacing/>
              <w:jc w:val="left"/>
              <w:rPr>
                <w:rFonts w:cs="Times New Roman"/>
                <w:szCs w:val="24"/>
              </w:rPr>
            </w:pPr>
            <w:r>
              <w:rPr>
                <w:rFonts w:cs="Times New Roman"/>
                <w:szCs w:val="24"/>
              </w:rPr>
              <w:t>Det er vurderingen, at det ikke er i strid med de EU-retlige regler om den frie udveksling af transportydelser at indføre en kontrol- og opkrævningsadgang for Færdselsstyrelsen vedrørende forfaldne bøder for manglende betaling af vejafgift, der er idømt eller vedtaget af udenlandske skyldnere.</w:t>
            </w:r>
          </w:p>
        </w:tc>
      </w:tr>
      <w:tr w:rsidR="00694305" w:rsidRPr="0053500B" w14:paraId="1632503A" w14:textId="77777777" w:rsidTr="00694305">
        <w:tc>
          <w:tcPr>
            <w:tcW w:w="1676" w:type="dxa"/>
            <w:tcBorders>
              <w:top w:val="single" w:sz="4" w:space="0" w:color="auto"/>
              <w:left w:val="single" w:sz="8" w:space="0" w:color="000000"/>
              <w:bottom w:val="single" w:sz="8" w:space="0" w:color="000000"/>
              <w:right w:val="single" w:sz="8" w:space="0" w:color="auto"/>
            </w:tcBorders>
            <w:tcMar>
              <w:top w:w="15" w:type="dxa"/>
              <w:left w:w="15" w:type="dxa"/>
              <w:bottom w:w="15" w:type="dxa"/>
              <w:right w:w="15" w:type="dxa"/>
            </w:tcMar>
            <w:hideMark/>
          </w:tcPr>
          <w:p w14:paraId="725AE30F" w14:textId="609B1400" w:rsidR="00694305" w:rsidRPr="0053500B" w:rsidRDefault="00694305">
            <w:pPr>
              <w:spacing w:after="240"/>
              <w:contextualSpacing/>
              <w:jc w:val="left"/>
              <w:rPr>
                <w:rFonts w:eastAsia="Times New Roman" w:cs="Times New Roman"/>
                <w:color w:val="000000"/>
                <w:szCs w:val="24"/>
                <w:lang w:eastAsia="da-DK"/>
              </w:rPr>
            </w:pPr>
            <w:r w:rsidRPr="0053500B">
              <w:rPr>
                <w:rFonts w:eastAsia="Times New Roman" w:cs="Times New Roman"/>
                <w:color w:val="000000"/>
                <w:szCs w:val="24"/>
                <w:lang w:eastAsia="da-DK"/>
              </w:rPr>
              <w:t xml:space="preserve">Er i strid med de fem principper for implementering af erhvervsrettet EU-regulering (der i relevant omfang også gælder ved implementering af ikke-erhvervsrettet EU-regulering) </w:t>
            </w:r>
          </w:p>
        </w:tc>
        <w:tc>
          <w:tcPr>
            <w:tcW w:w="3627" w:type="dxa"/>
            <w:tcBorders>
              <w:top w:val="single" w:sz="8" w:space="0" w:color="auto"/>
              <w:left w:val="single" w:sz="8" w:space="0" w:color="auto"/>
              <w:bottom w:val="single" w:sz="8" w:space="0" w:color="auto"/>
              <w:right w:val="nil"/>
            </w:tcBorders>
            <w:tcMar>
              <w:top w:w="15" w:type="dxa"/>
              <w:left w:w="15" w:type="dxa"/>
              <w:bottom w:w="15" w:type="dxa"/>
              <w:right w:w="15" w:type="dxa"/>
            </w:tcMar>
          </w:tcPr>
          <w:p w14:paraId="23C5B06F" w14:textId="77777777" w:rsidR="00694305" w:rsidRPr="0053500B" w:rsidRDefault="00694305">
            <w:pPr>
              <w:spacing w:after="240"/>
              <w:ind w:firstLine="238"/>
              <w:contextualSpacing/>
              <w:jc w:val="center"/>
              <w:rPr>
                <w:rFonts w:cs="Times New Roman"/>
                <w:szCs w:val="24"/>
              </w:rPr>
            </w:pPr>
            <w:r w:rsidRPr="0053500B">
              <w:rPr>
                <w:rFonts w:cs="Times New Roman"/>
                <w:szCs w:val="24"/>
              </w:rPr>
              <w:t>Ja</w:t>
            </w:r>
          </w:p>
          <w:p w14:paraId="720E6112" w14:textId="77777777" w:rsidR="00694305" w:rsidRPr="0053500B" w:rsidRDefault="00694305">
            <w:pPr>
              <w:spacing w:after="240"/>
              <w:ind w:firstLine="238"/>
              <w:contextualSpacing/>
              <w:jc w:val="center"/>
              <w:rPr>
                <w:rFonts w:cs="Times New Roman"/>
                <w:szCs w:val="24"/>
              </w:rPr>
            </w:pPr>
          </w:p>
          <w:p w14:paraId="2CAEEC12" w14:textId="305C6C32" w:rsidR="00694305" w:rsidRPr="0053500B" w:rsidRDefault="00694305">
            <w:pPr>
              <w:spacing w:after="240"/>
              <w:ind w:firstLine="238"/>
              <w:contextualSpacing/>
              <w:jc w:val="center"/>
              <w:rPr>
                <w:rFonts w:cs="Times New Roman"/>
                <w:szCs w:val="24"/>
              </w:rPr>
            </w:pPr>
          </w:p>
        </w:tc>
        <w:tc>
          <w:tcPr>
            <w:tcW w:w="3627"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tcPr>
          <w:p w14:paraId="4DA3442E" w14:textId="77777777" w:rsidR="00694305" w:rsidRPr="0053500B" w:rsidRDefault="00694305">
            <w:pPr>
              <w:tabs>
                <w:tab w:val="left" w:pos="1991"/>
                <w:tab w:val="left" w:pos="5522"/>
              </w:tabs>
              <w:spacing w:after="240"/>
              <w:contextualSpacing/>
              <w:jc w:val="center"/>
              <w:rPr>
                <w:rFonts w:cs="Times New Roman"/>
                <w:szCs w:val="24"/>
              </w:rPr>
            </w:pPr>
            <w:r w:rsidRPr="0053500B">
              <w:rPr>
                <w:rFonts w:cs="Times New Roman"/>
                <w:szCs w:val="24"/>
              </w:rPr>
              <w:t>Nej</w:t>
            </w:r>
          </w:p>
          <w:p w14:paraId="0B7B8A28" w14:textId="77777777" w:rsidR="00694305" w:rsidRPr="0053500B" w:rsidRDefault="00694305">
            <w:pPr>
              <w:tabs>
                <w:tab w:val="left" w:pos="1991"/>
                <w:tab w:val="left" w:pos="5522"/>
              </w:tabs>
              <w:spacing w:after="240"/>
              <w:contextualSpacing/>
              <w:jc w:val="center"/>
              <w:rPr>
                <w:rFonts w:cs="Times New Roman"/>
                <w:szCs w:val="24"/>
              </w:rPr>
            </w:pPr>
          </w:p>
          <w:p w14:paraId="1D6FD429" w14:textId="41192FE9" w:rsidR="00694305" w:rsidRPr="0053500B" w:rsidRDefault="00A43C78">
            <w:pPr>
              <w:tabs>
                <w:tab w:val="left" w:pos="1991"/>
                <w:tab w:val="left" w:pos="5522"/>
              </w:tabs>
              <w:spacing w:after="240"/>
              <w:contextualSpacing/>
              <w:jc w:val="center"/>
              <w:rPr>
                <w:rFonts w:cs="Times New Roman"/>
                <w:szCs w:val="24"/>
              </w:rPr>
            </w:pPr>
            <w:r w:rsidRPr="0053500B">
              <w:rPr>
                <w:rFonts w:cs="Times New Roman"/>
                <w:szCs w:val="24"/>
              </w:rPr>
              <w:t>x</w:t>
            </w:r>
          </w:p>
          <w:p w14:paraId="662AE223" w14:textId="77777777" w:rsidR="00694305" w:rsidRPr="0053500B" w:rsidRDefault="00694305">
            <w:pPr>
              <w:tabs>
                <w:tab w:val="left" w:pos="2116"/>
              </w:tabs>
              <w:spacing w:after="240"/>
              <w:contextualSpacing/>
              <w:jc w:val="center"/>
              <w:rPr>
                <w:rFonts w:cs="Times New Roman"/>
                <w:szCs w:val="24"/>
              </w:rPr>
            </w:pPr>
          </w:p>
        </w:tc>
      </w:tr>
    </w:tbl>
    <w:p w14:paraId="233C900C" w14:textId="77777777" w:rsidR="00694305" w:rsidRPr="0053500B" w:rsidRDefault="00694305" w:rsidP="00694305">
      <w:pPr>
        <w:spacing w:after="160"/>
        <w:rPr>
          <w:rFonts w:eastAsia="Calibri" w:cs="Times New Roman"/>
          <w:szCs w:val="24"/>
        </w:rPr>
      </w:pPr>
    </w:p>
    <w:p w14:paraId="656EE111" w14:textId="77777777" w:rsidR="00694305" w:rsidRPr="0053500B" w:rsidRDefault="00694305" w:rsidP="00694305">
      <w:pPr>
        <w:jc w:val="left"/>
        <w:rPr>
          <w:rFonts w:eastAsia="Calibri" w:cs="Times New Roman"/>
          <w:i/>
          <w:szCs w:val="24"/>
        </w:rPr>
        <w:sectPr w:rsidR="00694305" w:rsidRPr="0053500B">
          <w:footerReference w:type="default" r:id="rId8"/>
          <w:pgSz w:w="11906" w:h="16838"/>
          <w:pgMar w:top="1418" w:right="3260" w:bottom="1134" w:left="1418" w:header="0" w:footer="709" w:gutter="0"/>
          <w:paperSrc w:first="15" w:other="15"/>
          <w:cols w:space="708"/>
        </w:sectPr>
      </w:pPr>
    </w:p>
    <w:p w14:paraId="69BD38AB" w14:textId="77777777" w:rsidR="00694305" w:rsidRPr="00573B96" w:rsidRDefault="00694305" w:rsidP="00573B96">
      <w:pPr>
        <w:spacing w:after="240" w:line="280" w:lineRule="atLeast"/>
        <w:ind w:right="1813" w:firstLine="238"/>
        <w:jc w:val="center"/>
        <w:rPr>
          <w:rFonts w:eastAsia="Calibri" w:cs="Times New Roman"/>
          <w:i/>
          <w:szCs w:val="24"/>
        </w:rPr>
      </w:pPr>
      <w:r w:rsidRPr="00573B96">
        <w:rPr>
          <w:rFonts w:eastAsia="Calibri" w:cs="Times New Roman"/>
          <w:i/>
          <w:szCs w:val="24"/>
        </w:rPr>
        <w:t>Bemærkninger til lovforslagets enkelte bestemmelser</w:t>
      </w:r>
    </w:p>
    <w:p w14:paraId="1B33DCC1" w14:textId="77777777" w:rsidR="00694305" w:rsidRPr="00573B96" w:rsidRDefault="00694305" w:rsidP="00573B96">
      <w:pPr>
        <w:spacing w:after="240" w:line="280" w:lineRule="atLeast"/>
        <w:ind w:right="1813" w:firstLine="238"/>
        <w:jc w:val="center"/>
        <w:rPr>
          <w:rFonts w:eastAsia="Calibri" w:cs="Times New Roman"/>
          <w:i/>
          <w:szCs w:val="24"/>
        </w:rPr>
      </w:pPr>
      <w:r w:rsidRPr="00573B96">
        <w:rPr>
          <w:rFonts w:eastAsia="Calibri" w:cs="Times New Roman"/>
          <w:i/>
          <w:szCs w:val="24"/>
        </w:rPr>
        <w:t>Til § 1</w:t>
      </w:r>
    </w:p>
    <w:p w14:paraId="2FA8896B" w14:textId="6511A769" w:rsidR="00694305" w:rsidRPr="00573B96" w:rsidRDefault="00694305" w:rsidP="00573B96">
      <w:pPr>
        <w:spacing w:line="280" w:lineRule="atLeast"/>
        <w:ind w:right="1813"/>
        <w:jc w:val="left"/>
        <w:rPr>
          <w:rFonts w:cs="Times New Roman"/>
          <w:szCs w:val="24"/>
        </w:rPr>
      </w:pPr>
      <w:r w:rsidRPr="00573B96">
        <w:rPr>
          <w:rFonts w:cs="Times New Roman"/>
          <w:szCs w:val="24"/>
        </w:rPr>
        <w:t>Til</w:t>
      </w:r>
      <w:r w:rsidR="00A931DF" w:rsidRPr="00573B96">
        <w:rPr>
          <w:rFonts w:cs="Times New Roman"/>
          <w:szCs w:val="24"/>
        </w:rPr>
        <w:t xml:space="preserve"> nr. 1</w:t>
      </w:r>
    </w:p>
    <w:p w14:paraId="715051B1" w14:textId="315AD861" w:rsidR="00A931DF" w:rsidRPr="00573B96" w:rsidRDefault="00A931DF" w:rsidP="00573B96">
      <w:pPr>
        <w:spacing w:line="280" w:lineRule="atLeast"/>
        <w:ind w:right="1813"/>
        <w:jc w:val="left"/>
        <w:rPr>
          <w:rFonts w:cs="Times New Roman"/>
          <w:szCs w:val="24"/>
        </w:rPr>
      </w:pPr>
    </w:p>
    <w:p w14:paraId="6CCDF73C" w14:textId="6702C639" w:rsidR="0004564D" w:rsidRPr="00573B96" w:rsidRDefault="0004564D" w:rsidP="00573B96">
      <w:pPr>
        <w:spacing w:line="280" w:lineRule="atLeast"/>
        <w:ind w:right="1813"/>
        <w:jc w:val="left"/>
        <w:rPr>
          <w:rFonts w:cs="Times New Roman"/>
          <w:szCs w:val="24"/>
        </w:rPr>
      </w:pPr>
      <w:r w:rsidRPr="00573B96">
        <w:rPr>
          <w:rFonts w:cs="Times New Roman"/>
          <w:szCs w:val="24"/>
        </w:rPr>
        <w:t>Det fremgår af færdselslovens § 86, stk. 1, at kørsel med blokvogn, som medfører overskridelse af bestemmelser fastsat i medfør af §§ 84 og 85, kun må ske med politiets tilladelse, der meddeles efter forhandling med vedkommende vejmyndighed. Tilladelse gives til en enkelt kørsel eller til kørsel på en bestemt strækning eller inden for et bestemt område. Blokvogn må kun anvendes til transport, som ikke med rimelighed vil kunne gennemføres på anden måde.</w:t>
      </w:r>
    </w:p>
    <w:p w14:paraId="707B72D6" w14:textId="77777777" w:rsidR="0004564D" w:rsidRPr="00573B96" w:rsidRDefault="0004564D" w:rsidP="00573B96">
      <w:pPr>
        <w:spacing w:line="280" w:lineRule="atLeast"/>
        <w:ind w:right="1813"/>
        <w:jc w:val="left"/>
        <w:rPr>
          <w:rFonts w:cs="Times New Roman"/>
          <w:szCs w:val="24"/>
        </w:rPr>
      </w:pPr>
    </w:p>
    <w:p w14:paraId="34929E53" w14:textId="367CCE98" w:rsidR="0004564D" w:rsidRPr="00573B96" w:rsidRDefault="0004564D" w:rsidP="00573B96">
      <w:pPr>
        <w:spacing w:line="280" w:lineRule="atLeast"/>
        <w:ind w:right="1813"/>
        <w:jc w:val="left"/>
        <w:rPr>
          <w:rFonts w:cs="Times New Roman"/>
          <w:szCs w:val="24"/>
        </w:rPr>
      </w:pPr>
      <w:r w:rsidRPr="00573B96">
        <w:rPr>
          <w:rFonts w:cs="Times New Roman"/>
          <w:szCs w:val="24"/>
        </w:rPr>
        <w:t>Det fremgår af færdselslovens § 86, stk. 2, at transportministeren fastsætter bestemmelser om blokvognskørsel. Transportministeren fastsætter efter forhandling med justitsministeren bestemmelser om betaling for politimæssig assistance, der efter politiets skøn er påkrævet ved gennemførelse af sådanne transporter.</w:t>
      </w:r>
    </w:p>
    <w:p w14:paraId="6D0E6945" w14:textId="77777777" w:rsidR="0004564D" w:rsidRPr="00573B96" w:rsidRDefault="0004564D" w:rsidP="00573B96">
      <w:pPr>
        <w:spacing w:line="280" w:lineRule="atLeast"/>
        <w:ind w:right="1813"/>
        <w:jc w:val="left"/>
        <w:rPr>
          <w:rFonts w:cs="Times New Roman"/>
          <w:szCs w:val="24"/>
        </w:rPr>
      </w:pPr>
    </w:p>
    <w:p w14:paraId="77D0B4C9" w14:textId="2F70DBCA" w:rsidR="0004564D" w:rsidRPr="00573B96" w:rsidRDefault="0004564D" w:rsidP="00573B96">
      <w:pPr>
        <w:spacing w:line="280" w:lineRule="atLeast"/>
        <w:ind w:right="1813"/>
        <w:jc w:val="left"/>
        <w:rPr>
          <w:rFonts w:cs="Times New Roman"/>
          <w:szCs w:val="24"/>
        </w:rPr>
      </w:pPr>
      <w:r w:rsidRPr="00573B96">
        <w:rPr>
          <w:rFonts w:cs="Times New Roman"/>
          <w:szCs w:val="24"/>
        </w:rPr>
        <w:t xml:space="preserve">Det foreslås i </w:t>
      </w:r>
      <w:r w:rsidRPr="00573B96">
        <w:rPr>
          <w:rFonts w:cs="Times New Roman"/>
          <w:i/>
          <w:iCs/>
          <w:szCs w:val="24"/>
        </w:rPr>
        <w:t>§ 86, stk. 1</w:t>
      </w:r>
      <w:r w:rsidRPr="00573B96">
        <w:rPr>
          <w:rFonts w:cs="Times New Roman"/>
          <w:szCs w:val="24"/>
        </w:rPr>
        <w:t>, at »politiets« til: »Vejdirektoratets«.</w:t>
      </w:r>
    </w:p>
    <w:p w14:paraId="17ACA6E2" w14:textId="77777777" w:rsidR="0004564D" w:rsidRPr="00573B96" w:rsidRDefault="0004564D" w:rsidP="00573B96">
      <w:pPr>
        <w:spacing w:line="280" w:lineRule="atLeast"/>
        <w:ind w:right="1813"/>
        <w:jc w:val="left"/>
        <w:rPr>
          <w:rFonts w:cs="Times New Roman"/>
          <w:szCs w:val="24"/>
        </w:rPr>
      </w:pPr>
    </w:p>
    <w:p w14:paraId="1CB46CAC" w14:textId="70A25F12" w:rsidR="0004564D" w:rsidRPr="00573B96" w:rsidRDefault="0004564D" w:rsidP="00573B96">
      <w:pPr>
        <w:spacing w:line="280" w:lineRule="atLeast"/>
        <w:ind w:right="1813"/>
        <w:jc w:val="left"/>
        <w:rPr>
          <w:rFonts w:cs="Times New Roman"/>
          <w:szCs w:val="24"/>
        </w:rPr>
      </w:pPr>
      <w:r w:rsidRPr="00573B96">
        <w:rPr>
          <w:rFonts w:cs="Times New Roman"/>
          <w:szCs w:val="24"/>
        </w:rPr>
        <w:t>Transportministeren har i bekendtgørelse nr. 635 af 31. maj 2023 om særtransport fastsat nærmere regler for særtransporter, herunder hvilke særtransporter der kræver tilladelse, og hvilke der er tilladelsesfrie.</w:t>
      </w:r>
    </w:p>
    <w:p w14:paraId="20261F7D" w14:textId="77777777" w:rsidR="0004564D" w:rsidRPr="00573B96" w:rsidRDefault="0004564D" w:rsidP="00573B96">
      <w:pPr>
        <w:spacing w:line="280" w:lineRule="atLeast"/>
        <w:ind w:right="1813"/>
        <w:jc w:val="left"/>
        <w:rPr>
          <w:rFonts w:cs="Times New Roman"/>
          <w:szCs w:val="24"/>
        </w:rPr>
      </w:pPr>
    </w:p>
    <w:p w14:paraId="50B9BA75" w14:textId="729E7C69" w:rsidR="0004564D" w:rsidRPr="00573B96" w:rsidRDefault="0004564D" w:rsidP="00573B96">
      <w:pPr>
        <w:spacing w:line="280" w:lineRule="atLeast"/>
        <w:ind w:right="1813"/>
        <w:jc w:val="left"/>
        <w:rPr>
          <w:rFonts w:cs="Times New Roman"/>
          <w:szCs w:val="24"/>
        </w:rPr>
      </w:pPr>
      <w:r w:rsidRPr="00573B96">
        <w:rPr>
          <w:rFonts w:cs="Times New Roman"/>
          <w:szCs w:val="24"/>
        </w:rPr>
        <w:t xml:space="preserve">Den foreslåede ændring vil alene medføre, en ændring af karakter af en sproglig opdatering, da kompetencen til at udstede særtransporttilladelser har været overdraget fra politiet til Vejdirektoratet siden 1. oktober 2021 til at udstede særtransporttilladelser, </w:t>
      </w:r>
      <w:r w:rsidR="00576EE2">
        <w:rPr>
          <w:rFonts w:cs="Times New Roman"/>
          <w:szCs w:val="24"/>
        </w:rPr>
        <w:t>jf.</w:t>
      </w:r>
      <w:r w:rsidRPr="00573B96">
        <w:rPr>
          <w:rFonts w:cs="Times New Roman"/>
          <w:szCs w:val="24"/>
        </w:rPr>
        <w:t xml:space="preserve"> bekendtgørelse om særtransport §§ 15-19.</w:t>
      </w:r>
    </w:p>
    <w:p w14:paraId="2A0A333A" w14:textId="77777777" w:rsidR="0004564D" w:rsidRPr="00573B96" w:rsidRDefault="0004564D" w:rsidP="00573B96">
      <w:pPr>
        <w:spacing w:line="280" w:lineRule="atLeast"/>
        <w:ind w:right="1813"/>
        <w:jc w:val="left"/>
        <w:rPr>
          <w:rFonts w:cs="Times New Roman"/>
          <w:szCs w:val="24"/>
        </w:rPr>
      </w:pPr>
    </w:p>
    <w:p w14:paraId="0032E849" w14:textId="284F2AE5" w:rsidR="0004564D" w:rsidRPr="00573B96" w:rsidRDefault="0004564D" w:rsidP="00573B96">
      <w:pPr>
        <w:spacing w:line="280" w:lineRule="atLeast"/>
        <w:ind w:right="1813"/>
        <w:jc w:val="left"/>
        <w:rPr>
          <w:rFonts w:cs="Times New Roman"/>
          <w:szCs w:val="24"/>
        </w:rPr>
      </w:pPr>
      <w:r w:rsidRPr="00573B96">
        <w:rPr>
          <w:rFonts w:cs="Times New Roman"/>
          <w:szCs w:val="24"/>
        </w:rPr>
        <w:t>Der henvises i øvrigt til pkt. 2.5 i lovforslagets almindelige bemærkninger.</w:t>
      </w:r>
    </w:p>
    <w:p w14:paraId="062E8522" w14:textId="6B3CDD99" w:rsidR="0004564D" w:rsidRPr="00573B96" w:rsidRDefault="0004564D" w:rsidP="00573B96">
      <w:pPr>
        <w:spacing w:line="280" w:lineRule="atLeast"/>
        <w:ind w:right="1813"/>
        <w:jc w:val="left"/>
        <w:rPr>
          <w:rFonts w:cs="Times New Roman"/>
          <w:szCs w:val="24"/>
        </w:rPr>
      </w:pPr>
    </w:p>
    <w:p w14:paraId="190E1751" w14:textId="4C79538D" w:rsidR="0004564D" w:rsidRPr="00573B96" w:rsidRDefault="0004564D" w:rsidP="00573B96">
      <w:pPr>
        <w:spacing w:line="280" w:lineRule="atLeast"/>
        <w:ind w:right="1813"/>
        <w:jc w:val="left"/>
        <w:rPr>
          <w:rFonts w:cs="Times New Roman"/>
          <w:szCs w:val="24"/>
        </w:rPr>
      </w:pPr>
      <w:r w:rsidRPr="00573B96">
        <w:rPr>
          <w:rFonts w:cs="Times New Roman"/>
          <w:szCs w:val="24"/>
        </w:rPr>
        <w:t>Til nr. 2</w:t>
      </w:r>
    </w:p>
    <w:p w14:paraId="65872D73" w14:textId="3EC7F5B3" w:rsidR="0004564D" w:rsidRPr="00573B96" w:rsidRDefault="0004564D" w:rsidP="00573B96">
      <w:pPr>
        <w:spacing w:line="280" w:lineRule="atLeast"/>
        <w:ind w:right="1813"/>
        <w:jc w:val="left"/>
        <w:rPr>
          <w:rFonts w:cs="Times New Roman"/>
          <w:szCs w:val="24"/>
        </w:rPr>
      </w:pPr>
    </w:p>
    <w:p w14:paraId="5A685CB3" w14:textId="62C46236" w:rsidR="0004564D" w:rsidRPr="00573B96" w:rsidRDefault="0004564D" w:rsidP="00573B96">
      <w:pPr>
        <w:spacing w:line="280" w:lineRule="atLeast"/>
        <w:ind w:right="1813"/>
        <w:jc w:val="left"/>
        <w:rPr>
          <w:rFonts w:cs="Times New Roman"/>
          <w:szCs w:val="24"/>
        </w:rPr>
      </w:pPr>
      <w:r w:rsidRPr="00573B96">
        <w:rPr>
          <w:rFonts w:cs="Times New Roman"/>
          <w:szCs w:val="24"/>
        </w:rPr>
        <w:t xml:space="preserve">Det foreslås at indsætte et nyt </w:t>
      </w:r>
      <w:r w:rsidRPr="00573B96">
        <w:rPr>
          <w:rFonts w:cs="Times New Roman"/>
          <w:i/>
          <w:iCs/>
          <w:szCs w:val="24"/>
        </w:rPr>
        <w:t>stk. 2</w:t>
      </w:r>
      <w:r w:rsidRPr="00573B96">
        <w:rPr>
          <w:rFonts w:cs="Times New Roman"/>
          <w:szCs w:val="24"/>
        </w:rPr>
        <w:t xml:space="preserve"> i § 86, hvorefter det fremgår, at </w:t>
      </w:r>
      <w:r w:rsidR="000A1E7C">
        <w:rPr>
          <w:rFonts w:cs="Times New Roman"/>
          <w:szCs w:val="24"/>
        </w:rPr>
        <w:t>Vejdirektoratet</w:t>
      </w:r>
      <w:r w:rsidRPr="00573B96">
        <w:rPr>
          <w:rFonts w:cs="Times New Roman"/>
          <w:szCs w:val="24"/>
        </w:rPr>
        <w:t xml:space="preserve"> i forbindelse med tilladelse, jf. stk. 1, kan give dispensation til at fravige bestemmelserne i § 4, stk. 1, § 14, stk. 1 og 5, § 15, stk. 1-4, § 16, stk. 1, 3-5, § 17, stk. 1, § 18, § 20, stk. 1, § 22, § 28, stk. 1-2, § 29, stk. 1, nr. 7-10, § 44, stk. 1</w:t>
      </w:r>
      <w:r w:rsidR="000A1E7C">
        <w:rPr>
          <w:rFonts w:cs="Times New Roman"/>
          <w:szCs w:val="24"/>
        </w:rPr>
        <w:t xml:space="preserve"> og </w:t>
      </w:r>
      <w:r w:rsidRPr="00573B96">
        <w:rPr>
          <w:rFonts w:cs="Times New Roman"/>
          <w:szCs w:val="24"/>
        </w:rPr>
        <w:t>2, § 46, stk. 1-3, § 48,</w:t>
      </w:r>
      <w:r w:rsidR="000A1E7C" w:rsidRPr="000A1E7C">
        <w:rPr>
          <w:sz w:val="20"/>
          <w:szCs w:val="20"/>
        </w:rPr>
        <w:t xml:space="preserve"> </w:t>
      </w:r>
      <w:r w:rsidR="000A1E7C" w:rsidRPr="000A1E7C">
        <w:rPr>
          <w:rFonts w:cs="Times New Roman"/>
          <w:szCs w:val="24"/>
        </w:rPr>
        <w:t>hvis køretøjets samlede længde, bredde eller dimensionerne på det transporterede gods ikke gør det muligt at gennemføre transporten i overensstemmelse med de pågældende regler.</w:t>
      </w:r>
      <w:r w:rsidRPr="00573B96">
        <w:rPr>
          <w:rFonts w:cs="Times New Roman"/>
          <w:szCs w:val="24"/>
        </w:rPr>
        <w:t xml:space="preserve"> </w:t>
      </w:r>
    </w:p>
    <w:p w14:paraId="6DEC07FB" w14:textId="77777777" w:rsidR="0004564D" w:rsidRPr="00573B96" w:rsidRDefault="0004564D" w:rsidP="00573B96">
      <w:pPr>
        <w:spacing w:line="280" w:lineRule="atLeast"/>
        <w:ind w:right="1813"/>
        <w:jc w:val="left"/>
        <w:rPr>
          <w:rFonts w:cs="Times New Roman"/>
          <w:szCs w:val="24"/>
        </w:rPr>
      </w:pPr>
    </w:p>
    <w:p w14:paraId="70B91318" w14:textId="5E9AE3B5" w:rsidR="0004564D" w:rsidRPr="00573B96" w:rsidRDefault="0004564D" w:rsidP="00573B96">
      <w:pPr>
        <w:spacing w:line="280" w:lineRule="atLeast"/>
        <w:ind w:right="1813"/>
        <w:jc w:val="left"/>
        <w:rPr>
          <w:rFonts w:cs="Times New Roman"/>
          <w:szCs w:val="24"/>
        </w:rPr>
      </w:pPr>
      <w:r w:rsidRPr="00573B96">
        <w:rPr>
          <w:rFonts w:cs="Times New Roman"/>
          <w:szCs w:val="24"/>
        </w:rPr>
        <w:t xml:space="preserve">Den foreslåede bestemmelse vil medføre, at Vejdirektoratet i forbindelse med direktoratets tilladelse kan give dispensation til at fravige færdselsreglerne på en række områder således, at der kan ske gennemførelse af kørsel med </w:t>
      </w:r>
      <w:r w:rsidR="000703C3">
        <w:rPr>
          <w:rFonts w:cs="Times New Roman"/>
          <w:szCs w:val="24"/>
        </w:rPr>
        <w:t>blokvogn,</w:t>
      </w:r>
      <w:r w:rsidRPr="00573B96">
        <w:rPr>
          <w:rFonts w:cs="Times New Roman"/>
          <w:szCs w:val="24"/>
        </w:rPr>
        <w:t xml:space="preserve"> der vil overskride de gældende regler på grund af transportens længde, bredde eller godsets karakter. Der vil for eksempel kunne være tale om </w:t>
      </w:r>
      <w:r w:rsidR="000703C3">
        <w:rPr>
          <w:rFonts w:cs="Times New Roman"/>
          <w:szCs w:val="24"/>
        </w:rPr>
        <w:t>blokvognskørsel</w:t>
      </w:r>
      <w:r w:rsidRPr="00573B96">
        <w:rPr>
          <w:rFonts w:cs="Times New Roman"/>
          <w:szCs w:val="24"/>
        </w:rPr>
        <w:t>, som alene kan gennemføres ved kørsel hen over spærreflader eller fuldt optrukne linjer, enten fordi vognbanen er for smal til den pågældende transport, eller fordi længde og stabiliteten af godset indebærer, at svingmanøvrer ikke kan gennemføres inden for den dertil indrettede vognbane.</w:t>
      </w:r>
    </w:p>
    <w:p w14:paraId="419622F6" w14:textId="77777777" w:rsidR="0004564D" w:rsidRPr="00573B96" w:rsidRDefault="0004564D" w:rsidP="00573B96">
      <w:pPr>
        <w:spacing w:line="280" w:lineRule="atLeast"/>
        <w:ind w:right="1813"/>
        <w:jc w:val="left"/>
        <w:rPr>
          <w:rFonts w:cs="Times New Roman"/>
          <w:szCs w:val="24"/>
        </w:rPr>
      </w:pPr>
    </w:p>
    <w:p w14:paraId="071E7848" w14:textId="540BC7B7" w:rsidR="0004564D" w:rsidRPr="00573B96" w:rsidRDefault="0004564D" w:rsidP="00573B96">
      <w:pPr>
        <w:spacing w:line="280" w:lineRule="atLeast"/>
        <w:ind w:right="1813"/>
        <w:jc w:val="left"/>
        <w:rPr>
          <w:rFonts w:cs="Times New Roman"/>
          <w:szCs w:val="24"/>
        </w:rPr>
      </w:pPr>
      <w:r w:rsidRPr="00573B96">
        <w:rPr>
          <w:rFonts w:cs="Times New Roman"/>
          <w:szCs w:val="24"/>
        </w:rPr>
        <w:t>De mulige fravigelser af færdselslovens bestemmelser om at efterkomme anvisninger for færdslen angivet ved færdselstavler, afmærkning på kørebane eller cykelsti, signalanlæg m.v., §§ 14, stk. 1 og 5, § 15, stk. 1-4, § 16, stk. 1, 3-5, § 17, stk. 1, § 18, § 20, stk. 1, § 22, § 28, stk. 1-2, § 29, stk. 1, nr. 7-10, og § 44, stk. 1-2, § 46, stk. 1-3, § 48, er en undtagelsesbestemmelse, der kun tænkes anvendt i tilfælde, hvor Vejdirektoratet skønner det påtrængende nødvendigt og trafiksikkerhedsmæssigt forsvarligt efter en afvejning mellem formålet med transporten, transportens dimensioner, vægt og akseltryk samt godsets nærmere udformning, den ansøgte rutes forløb og fravige en række konkrete bestemmelser i de nævnte kapitler i færdselsloven.</w:t>
      </w:r>
    </w:p>
    <w:p w14:paraId="29001F9A" w14:textId="77777777" w:rsidR="0004564D" w:rsidRPr="00573B96" w:rsidRDefault="0004564D" w:rsidP="00573B96">
      <w:pPr>
        <w:spacing w:line="280" w:lineRule="atLeast"/>
        <w:ind w:right="1813"/>
        <w:jc w:val="left"/>
        <w:rPr>
          <w:rFonts w:cs="Times New Roman"/>
          <w:szCs w:val="24"/>
        </w:rPr>
      </w:pPr>
    </w:p>
    <w:p w14:paraId="7A279BA9" w14:textId="2346AEB5" w:rsidR="0004564D" w:rsidRPr="00573B96" w:rsidRDefault="0004564D" w:rsidP="00573B96">
      <w:pPr>
        <w:spacing w:line="280" w:lineRule="atLeast"/>
        <w:ind w:right="1813"/>
        <w:jc w:val="left"/>
        <w:rPr>
          <w:rFonts w:cs="Times New Roman"/>
          <w:szCs w:val="24"/>
        </w:rPr>
      </w:pPr>
      <w:r w:rsidRPr="00573B96">
        <w:rPr>
          <w:rFonts w:cs="Times New Roman"/>
          <w:szCs w:val="24"/>
        </w:rPr>
        <w:t>Der henvises i øvrigt til pkt. 2.5. i lovforslagets almindelige bemærkninger.</w:t>
      </w:r>
    </w:p>
    <w:p w14:paraId="19EC96E4" w14:textId="0E926359" w:rsidR="00A931DF" w:rsidRPr="00573B96" w:rsidRDefault="00A931DF" w:rsidP="00573B96">
      <w:pPr>
        <w:pStyle w:val="NormalWeb"/>
        <w:spacing w:line="280" w:lineRule="atLeast"/>
        <w:ind w:right="1813"/>
      </w:pPr>
      <w:r w:rsidRPr="00573B96">
        <w:t xml:space="preserve">Til nr. </w:t>
      </w:r>
      <w:r w:rsidR="00C14774" w:rsidRPr="00573B96">
        <w:t>3</w:t>
      </w:r>
      <w:r w:rsidRPr="00573B96">
        <w:t xml:space="preserve"> </w:t>
      </w:r>
    </w:p>
    <w:p w14:paraId="24655736" w14:textId="77777777" w:rsidR="00A931DF" w:rsidRPr="00573B96" w:rsidRDefault="00A931DF" w:rsidP="00573B96">
      <w:pPr>
        <w:pStyle w:val="NormalWeb"/>
        <w:spacing w:line="280" w:lineRule="atLeast"/>
        <w:ind w:right="1813"/>
      </w:pPr>
      <w:r w:rsidRPr="00573B96">
        <w:t xml:space="preserve">Det følger af færdselslovens § 125, stk. 2, at føreren skal frakendes retten betinget til at føre et motordrevet køretøj, hvortil der kræves kørekort, bortset fra lille knallert, hvis føreren har gjort sig skyldig i tre forhold, der ikke i sig selv medfører frakendelse af førerretten efter stk. 1, men er omfattet af 125, stk. 2, nr. 1-6. </w:t>
      </w:r>
    </w:p>
    <w:p w14:paraId="5ECF76CD" w14:textId="77777777" w:rsidR="00A931DF" w:rsidRPr="00573B96" w:rsidRDefault="00A931DF" w:rsidP="00573B96">
      <w:pPr>
        <w:pStyle w:val="NormalWeb"/>
        <w:spacing w:line="280" w:lineRule="atLeast"/>
        <w:ind w:right="1813"/>
      </w:pPr>
      <w:r w:rsidRPr="00573B96">
        <w:t>Der henvises i øvrigt til pkt. 4.4.1 i lovforslagets almindelige bemærkninger om gældende ret.</w:t>
      </w:r>
    </w:p>
    <w:p w14:paraId="580D7B8D" w14:textId="77777777" w:rsidR="00A931DF" w:rsidRPr="00573B96" w:rsidRDefault="00A931DF" w:rsidP="00573B96">
      <w:pPr>
        <w:spacing w:line="280" w:lineRule="atLeast"/>
        <w:ind w:right="1813"/>
        <w:jc w:val="left"/>
        <w:rPr>
          <w:rFonts w:eastAsia="Calibri" w:cs="Times New Roman"/>
          <w:szCs w:val="24"/>
        </w:rPr>
      </w:pPr>
      <w:r w:rsidRPr="00573B96">
        <w:rPr>
          <w:rFonts w:cs="Times New Roman"/>
          <w:szCs w:val="24"/>
        </w:rPr>
        <w:t xml:space="preserve">Det foreslås i </w:t>
      </w:r>
      <w:r w:rsidRPr="00573B96">
        <w:rPr>
          <w:rFonts w:eastAsia="Calibri" w:cs="Times New Roman"/>
          <w:i/>
          <w:szCs w:val="24"/>
        </w:rPr>
        <w:t>§ 125, stk. 2,</w:t>
      </w:r>
      <w:r w:rsidRPr="00573B96">
        <w:rPr>
          <w:rFonts w:eastAsia="Calibri" w:cs="Times New Roman"/>
          <w:szCs w:val="24"/>
        </w:rPr>
        <w:t xml:space="preserve"> at ændre »Føreren skal« til: »Med undtagelse af de tilfælde, der er omfattet af stk. 6, skal føreren«.</w:t>
      </w:r>
    </w:p>
    <w:p w14:paraId="1849AB57" w14:textId="77777777" w:rsidR="00A931DF" w:rsidRPr="00573B96" w:rsidRDefault="00A931DF" w:rsidP="00573B96">
      <w:pPr>
        <w:spacing w:line="280" w:lineRule="atLeast"/>
        <w:ind w:right="1813"/>
        <w:jc w:val="left"/>
        <w:rPr>
          <w:rFonts w:eastAsia="Calibri" w:cs="Times New Roman"/>
          <w:szCs w:val="24"/>
        </w:rPr>
      </w:pPr>
    </w:p>
    <w:p w14:paraId="5D3ED749" w14:textId="40ECD8C0"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Den foreslåede ændring vil sikre, at opmærksomheden henledes på den bestemmelse, som foreslås indsat ved forslagets § 1, nr. </w:t>
      </w:r>
      <w:r w:rsidR="00C14774" w:rsidRPr="00573B96">
        <w:rPr>
          <w:rFonts w:eastAsia="Calibri" w:cs="Times New Roman"/>
          <w:szCs w:val="24"/>
        </w:rPr>
        <w:t>4</w:t>
      </w:r>
      <w:r w:rsidRPr="00573B96">
        <w:rPr>
          <w:rFonts w:eastAsia="Calibri" w:cs="Times New Roman"/>
          <w:szCs w:val="24"/>
        </w:rPr>
        <w:t>, om udrykningsføreres undtagelse fra klippekortordningen i visse tilfælde. Der henvises nærmere til bemærkningerne til lovforslagets § 1, nr.</w:t>
      </w:r>
      <w:r w:rsidR="00C14774" w:rsidRPr="00573B96">
        <w:rPr>
          <w:rFonts w:eastAsia="Calibri" w:cs="Times New Roman"/>
          <w:szCs w:val="24"/>
        </w:rPr>
        <w:t xml:space="preserve"> 4</w:t>
      </w:r>
      <w:r w:rsidRPr="00573B96">
        <w:rPr>
          <w:rFonts w:eastAsia="Calibri" w:cs="Times New Roman"/>
          <w:szCs w:val="24"/>
        </w:rPr>
        <w:t xml:space="preserve">. </w:t>
      </w:r>
    </w:p>
    <w:p w14:paraId="4ED5EB94" w14:textId="25DF1B4B" w:rsidR="00A931DF" w:rsidRPr="00573B96" w:rsidRDefault="00A931DF" w:rsidP="00573B96">
      <w:pPr>
        <w:pStyle w:val="NormalWeb"/>
        <w:spacing w:line="280" w:lineRule="atLeast"/>
        <w:ind w:right="1813"/>
      </w:pPr>
      <w:r w:rsidRPr="00573B96">
        <w:t xml:space="preserve">Til nr. </w:t>
      </w:r>
      <w:r w:rsidR="00C14774" w:rsidRPr="00573B96">
        <w:t>4</w:t>
      </w:r>
    </w:p>
    <w:p w14:paraId="7FBB615B" w14:textId="77777777" w:rsidR="00A931DF" w:rsidRPr="00573B96" w:rsidRDefault="00A931DF" w:rsidP="00573B96">
      <w:pPr>
        <w:pStyle w:val="NormalWeb"/>
        <w:spacing w:line="280" w:lineRule="atLeast"/>
        <w:ind w:right="1813"/>
      </w:pPr>
      <w:r w:rsidRPr="00573B96">
        <w:t xml:space="preserve">Efter færdselslovens § 7, stk. 1, fastsætter transportministeren bestemmelser om udrykningskørsel, og ministeren kan i den forbindelse fravige reglerne i færdselsloven. Reglerne om udrykningskørsel er fastsat i udrykningsbekendtgørelsen.  </w:t>
      </w:r>
    </w:p>
    <w:p w14:paraId="5292E308" w14:textId="35FB6130" w:rsidR="00A931DF" w:rsidRPr="00573B96" w:rsidRDefault="00A931DF" w:rsidP="00573B96">
      <w:pPr>
        <w:pStyle w:val="NormalWeb"/>
        <w:spacing w:line="280" w:lineRule="atLeast"/>
        <w:ind w:right="1813"/>
      </w:pPr>
      <w:r w:rsidRPr="00573B96">
        <w:t xml:space="preserve">Det følger af udrykningsbekendtgørelsens § 8, stk. 2, at udrykningsførere kan fravige visse af færdselslovens regler, hvis det vurderes </w:t>
      </w:r>
      <w:r w:rsidRPr="00573B96">
        <w:rPr>
          <w:rStyle w:val="Strk"/>
          <w:b w:val="0"/>
          <w:bCs w:val="0"/>
        </w:rPr>
        <w:t>påtrængende nødvendigt og i øvrigt forsvarligt</w:t>
      </w:r>
      <w:r w:rsidRPr="00573B96">
        <w:rPr>
          <w:b/>
          <w:bCs/>
        </w:rPr>
        <w:t xml:space="preserve"> </w:t>
      </w:r>
      <w:r w:rsidRPr="00573B96">
        <w:t xml:space="preserve">ud fra en konkret afvejning mellem formålet med udrykningskørslen og den færdselssikkerhedsmæssige risiko, og føreren under udrykningskørslen udviser ganske særlig forsigtighed. I tilfælde, der ikke er omfattet af udrykningsbekendtgørelsens § 8, stk. 2, sanktioneres færdselslovsovertrædelser begået af en udrykningsfører </w:t>
      </w:r>
      <w:r w:rsidR="00AB2055" w:rsidRPr="00573B96">
        <w:t xml:space="preserve">under udrykningskørsel </w:t>
      </w:r>
      <w:r w:rsidRPr="00573B96">
        <w:t>efter færdselslovens almindelige regler.</w:t>
      </w:r>
    </w:p>
    <w:p w14:paraId="681C9739" w14:textId="77777777" w:rsidR="00A931DF" w:rsidRPr="00573B96" w:rsidRDefault="00A931DF" w:rsidP="00573B96">
      <w:pPr>
        <w:pStyle w:val="NormalWeb"/>
        <w:spacing w:line="280" w:lineRule="atLeast"/>
        <w:ind w:right="1813"/>
      </w:pPr>
      <w:r w:rsidRPr="00573B96">
        <w:t xml:space="preserve">Efter færdselslovens § 125, stk. 2, skal føreren frakendes retten betinget til at føre et motordrevet køretøj, hvortil der kræves kørekort, bortset fra lille knallert, hvis føreren har gjort sig skyldig i tre forhold, der ikke i sig selv medfører frakendelse af førerretten efter stk. 1, men er omfattet af 125, stk. 2, nr. 1-6. </w:t>
      </w:r>
    </w:p>
    <w:p w14:paraId="2BE2666F" w14:textId="77777777" w:rsidR="00A931DF" w:rsidRPr="00573B96" w:rsidRDefault="00A931DF" w:rsidP="00573B96">
      <w:pPr>
        <w:pStyle w:val="NormalWeb"/>
        <w:spacing w:line="280" w:lineRule="atLeast"/>
        <w:ind w:right="1813"/>
      </w:pPr>
      <w:r w:rsidRPr="00573B96">
        <w:t>Der henvises i øvrigt til pkt. 4.4.1 i lovforslagets almindelige bemærkninger om gældende ret.</w:t>
      </w:r>
    </w:p>
    <w:p w14:paraId="27808C6A" w14:textId="562AAE25"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Det foreslås, at der i færdselslovens</w:t>
      </w:r>
      <w:r w:rsidRPr="00573B96">
        <w:rPr>
          <w:rFonts w:eastAsia="Calibri" w:cs="Times New Roman"/>
          <w:i/>
          <w:iCs/>
          <w:szCs w:val="24"/>
        </w:rPr>
        <w:t xml:space="preserve"> § 125,</w:t>
      </w:r>
      <w:r w:rsidRPr="00573B96">
        <w:rPr>
          <w:rFonts w:eastAsia="Calibri" w:cs="Times New Roman"/>
          <w:szCs w:val="24"/>
        </w:rPr>
        <w:t xml:space="preserve"> indsættes et </w:t>
      </w:r>
      <w:r w:rsidRPr="00573B96">
        <w:rPr>
          <w:rFonts w:eastAsia="Calibri" w:cs="Times New Roman"/>
          <w:i/>
          <w:iCs/>
          <w:szCs w:val="24"/>
        </w:rPr>
        <w:t>nyt stykke 6,</w:t>
      </w:r>
      <w:r w:rsidRPr="00573B96">
        <w:rPr>
          <w:rFonts w:eastAsia="Calibri" w:cs="Times New Roman"/>
          <w:szCs w:val="24"/>
        </w:rPr>
        <w:t xml:space="preserve"> hvoraf det fremgår, at med undtagelse af forhold omfattet af § 4, stk. 2, § 5, stk. 2, og § 55 a, stk. 1, gælder § 125, stk. 2, nr. 1-5, ikke for førere af udrykningskøretøjer under udrykningskørsel, der er omfattet af regler udstedt i medfør af § 7, stk. 1, hvis betingelserne for at </w:t>
      </w:r>
      <w:r w:rsidR="004968DA" w:rsidRPr="00573B96">
        <w:rPr>
          <w:rFonts w:eastAsia="Calibri" w:cs="Times New Roman"/>
          <w:szCs w:val="24"/>
        </w:rPr>
        <w:t xml:space="preserve">foretage </w:t>
      </w:r>
      <w:r w:rsidRPr="00573B96">
        <w:rPr>
          <w:rFonts w:eastAsia="Calibri" w:cs="Times New Roman"/>
          <w:szCs w:val="24"/>
        </w:rPr>
        <w:t>udrykningskørsel er opfyldt. Det fremgår endvidere af den foreslåede bestemmelse</w:t>
      </w:r>
      <w:r w:rsidR="00AB2055" w:rsidRPr="00573B96">
        <w:rPr>
          <w:rFonts w:eastAsia="Calibri" w:cs="Times New Roman"/>
          <w:szCs w:val="24"/>
        </w:rPr>
        <w:t>s 2. pkt.</w:t>
      </w:r>
      <w:r w:rsidRPr="00573B96">
        <w:rPr>
          <w:rFonts w:eastAsia="Calibri" w:cs="Times New Roman"/>
          <w:szCs w:val="24"/>
        </w:rPr>
        <w:t>, at ved overtrædelse af § 4, stk. 1, i forbindelse med fremkørsel mod rødt eller gult lyssignal i kryds, finder 1. pkt. alene anvendelse, hvis føreren har nedsat hastigheden i tilstrækkeligt omfang til, at der straks kan standses for mulig tværgående trafik.</w:t>
      </w:r>
    </w:p>
    <w:p w14:paraId="09977B0E" w14:textId="3A525496" w:rsidR="00A931DF" w:rsidRPr="00573B96" w:rsidRDefault="00A931DF" w:rsidP="00573B96">
      <w:pPr>
        <w:pStyle w:val="NormalWeb"/>
        <w:spacing w:line="280" w:lineRule="atLeast"/>
        <w:ind w:right="1813"/>
      </w:pPr>
      <w:r w:rsidRPr="00573B96">
        <w:t xml:space="preserve">Betegnelsen </w:t>
      </w:r>
      <w:r w:rsidR="00AB2055" w:rsidRPr="00573B96">
        <w:rPr>
          <w:rFonts w:eastAsia="Calibri"/>
        </w:rPr>
        <w:t>»</w:t>
      </w:r>
      <w:r w:rsidR="00AB2055" w:rsidRPr="00573B96">
        <w:rPr>
          <w:rStyle w:val="Fremhv"/>
          <w:i w:val="0"/>
          <w:iCs w:val="0"/>
        </w:rPr>
        <w:t>førere af udrykningskøretøjer</w:t>
      </w:r>
      <w:r w:rsidR="00AB2055" w:rsidRPr="00573B96">
        <w:rPr>
          <w:rFonts w:eastAsia="Calibri"/>
        </w:rPr>
        <w:t>«</w:t>
      </w:r>
      <w:r w:rsidRPr="00573B96">
        <w:rPr>
          <w:i/>
        </w:rPr>
        <w:t xml:space="preserve"> </w:t>
      </w:r>
      <w:r w:rsidRPr="00573B96">
        <w:t xml:space="preserve">omfatter personer, der fører et køretøj godkendt til anvendelse som udrykningskøretøj i medfør af udrykningsbekendtgørelsens § 3, stk. 1, når kørslen sker som led i en konkret udrykningsopgave, der opfylder betingelserne i udrykningsbekendtgørelsens § 1. Udrykningsføreren skal i den forbindelse handle på vegne af en udrykningsaktør omfattet af udrykningsbekendtgørelsens § 2. Det omfatter de udrykningsaktører, der er nævnt i </w:t>
      </w:r>
      <w:r w:rsidR="00AB2055" w:rsidRPr="00573B96">
        <w:t xml:space="preserve">udrykningsbekendtgørelsens </w:t>
      </w:r>
      <w:r w:rsidRPr="00573B96">
        <w:t>§ 2, stk. 1, herunder politiet, forsvaret, det statslige og kommunale redningsberedskab, det regionale sundhedsberedskab, kriminalforsorgen samt andre offentlige myndigheder, der udfører udrykningskørsel som led i varetagelsen af deres opgaver. Det omfatter endvidere førere, der udfører udrykningskørsel for fysiske eller juridiske personer, som efter udrykningsbekendtgørelsens § 2, stk. 2, er bemyndiget hertil, samt førere af ambulancer, når disse udfører udrykningskørsel efter en midlertidig tilladelse meddelt i medfør af § 2, stk. 3.</w:t>
      </w:r>
    </w:p>
    <w:p w14:paraId="73EC881A" w14:textId="080F83C2" w:rsidR="00D079A4" w:rsidRPr="00573B96" w:rsidRDefault="00D43525" w:rsidP="00573B96">
      <w:pPr>
        <w:pStyle w:val="NormalWeb"/>
        <w:spacing w:line="280" w:lineRule="atLeast"/>
        <w:ind w:right="1813"/>
      </w:pPr>
      <w:r w:rsidRPr="00573B96">
        <w:t xml:space="preserve">Betegnelsen omfatter også personer, der kører udrykningskørsel som </w:t>
      </w:r>
      <w:r w:rsidR="00DD68F7" w:rsidRPr="00573B96">
        <w:t xml:space="preserve">led i </w:t>
      </w:r>
      <w:r w:rsidRPr="00573B96">
        <w:t xml:space="preserve">politiets </w:t>
      </w:r>
      <w:r w:rsidR="00DD68F7" w:rsidRPr="00573B96">
        <w:t>øvelses- og uddannelsesaktiviteter</w:t>
      </w:r>
      <w:r w:rsidRPr="00573B96">
        <w:t xml:space="preserve">, jf. </w:t>
      </w:r>
      <w:r w:rsidR="00D079A4" w:rsidRPr="00573B96">
        <w:t xml:space="preserve">udrykningsbekendtgørelsens § 10. </w:t>
      </w:r>
    </w:p>
    <w:p w14:paraId="13587293" w14:textId="18998B09" w:rsidR="00A931DF" w:rsidRPr="00573B96" w:rsidRDefault="00A931DF" w:rsidP="00573B96">
      <w:pPr>
        <w:pStyle w:val="NormalWeb"/>
        <w:spacing w:line="280" w:lineRule="atLeast"/>
        <w:ind w:right="1813"/>
      </w:pPr>
      <w:r w:rsidRPr="00573B96">
        <w:t>Det er efter den foreslåede bestemmelse et krav, at betingelserne for at køre udrykningskørsel er opfyldt. Herved skal forstås,</w:t>
      </w:r>
      <w:r w:rsidR="00700042" w:rsidRPr="00573B96">
        <w:t xml:space="preserve"> </w:t>
      </w:r>
      <w:r w:rsidRPr="00573B96">
        <w:t xml:space="preserve">at udrykningskørslen skal være nødvendig i forhold til de formål, der er angivet i </w:t>
      </w:r>
      <w:r w:rsidR="00D43525" w:rsidRPr="00573B96">
        <w:t xml:space="preserve">udrykningsbekendtgørelsens </w:t>
      </w:r>
      <w:r w:rsidRPr="00573B96">
        <w:t>§ 1, og at kørslen sker på vegne af en udrykningsaktør omfattet af udrykningsbekendtgørelsens § 2</w:t>
      </w:r>
      <w:r w:rsidR="00D43525" w:rsidRPr="00573B96">
        <w:t xml:space="preserve"> eller som led i politiets øvelses- og uddannelsesaktiviteter efter bekendtgørelsens § 10</w:t>
      </w:r>
      <w:r w:rsidRPr="00573B96">
        <w:t>.</w:t>
      </w:r>
    </w:p>
    <w:p w14:paraId="677241F6" w14:textId="3BC1130B" w:rsidR="00BD3822" w:rsidRPr="00573B96" w:rsidRDefault="00BD3822" w:rsidP="00573B96">
      <w:pPr>
        <w:spacing w:line="280" w:lineRule="atLeast"/>
        <w:ind w:right="1813"/>
        <w:jc w:val="left"/>
        <w:rPr>
          <w:rFonts w:cs="Times New Roman"/>
          <w:szCs w:val="24"/>
        </w:rPr>
      </w:pPr>
      <w:r w:rsidRPr="00573B96">
        <w:rPr>
          <w:rFonts w:cs="Times New Roman"/>
          <w:szCs w:val="24"/>
        </w:rPr>
        <w:t xml:space="preserve">I tilfælde, hvor udrykningskørslen har været berettiget, vil den foreslåede bestemmelse i § 125, stk. 6, medføre, at førere af udrykningskøretøjer ikke </w:t>
      </w:r>
      <w:r w:rsidR="00F35FCB" w:rsidRPr="00573B96">
        <w:rPr>
          <w:rFonts w:cs="Times New Roman"/>
          <w:szCs w:val="24"/>
        </w:rPr>
        <w:t xml:space="preserve">vil skulle </w:t>
      </w:r>
      <w:r w:rsidRPr="00573B96">
        <w:rPr>
          <w:rFonts w:cs="Times New Roman"/>
          <w:szCs w:val="24"/>
        </w:rPr>
        <w:t xml:space="preserve">tildeles klip </w:t>
      </w:r>
      <w:r w:rsidR="004968DA" w:rsidRPr="00573B96">
        <w:rPr>
          <w:rFonts w:cs="Times New Roman"/>
          <w:szCs w:val="24"/>
        </w:rPr>
        <w:t>i kørekortet f</w:t>
      </w:r>
      <w:r w:rsidRPr="00573B96">
        <w:rPr>
          <w:rFonts w:cs="Times New Roman"/>
          <w:szCs w:val="24"/>
        </w:rPr>
        <w:t>or overtrædelser af de</w:t>
      </w:r>
      <w:r w:rsidR="00F35FCB" w:rsidRPr="00573B96">
        <w:rPr>
          <w:rFonts w:cs="Times New Roman"/>
          <w:szCs w:val="24"/>
        </w:rPr>
        <w:t xml:space="preserve"> bestemmelser, der fremgår af § 125, stk. 2, nr. 1-5</w:t>
      </w:r>
      <w:r w:rsidR="00780073" w:rsidRPr="00573B96">
        <w:rPr>
          <w:rFonts w:cs="Times New Roman"/>
          <w:szCs w:val="24"/>
        </w:rPr>
        <w:t xml:space="preserve">, </w:t>
      </w:r>
      <w:r w:rsidRPr="00573B96">
        <w:rPr>
          <w:rFonts w:cs="Times New Roman"/>
          <w:szCs w:val="24"/>
        </w:rPr>
        <w:t>uanset at overtrædelsen ud fra en konkret vurdering ikke har været påtrængende nødvendig eller føreren ikke har udvist tilstrækkelig forsigtighed.</w:t>
      </w:r>
    </w:p>
    <w:p w14:paraId="7E10CA82" w14:textId="5C1DC094" w:rsidR="00056D9A" w:rsidRPr="00573B96" w:rsidRDefault="00056D9A" w:rsidP="00573B96">
      <w:pPr>
        <w:spacing w:before="100" w:beforeAutospacing="1" w:after="100" w:afterAutospacing="1" w:line="280" w:lineRule="atLeast"/>
        <w:ind w:right="1813"/>
        <w:jc w:val="left"/>
        <w:outlineLvl w:val="2"/>
        <w:rPr>
          <w:rFonts w:eastAsia="Calibri" w:cs="Times New Roman"/>
          <w:szCs w:val="24"/>
        </w:rPr>
      </w:pPr>
      <w:r w:rsidRPr="00573B96">
        <w:rPr>
          <w:rFonts w:eastAsia="Calibri" w:cs="Times New Roman"/>
          <w:szCs w:val="24"/>
        </w:rPr>
        <w:t xml:space="preserve">Det er imidlertid kun de af færdselslovens bestemmelser, der under udrykningskørsel kan fraviges efter udrykningsbekendtgørelsens regler, der er omfattet af lempelsen i den foreslåede § 125, stk. 6. </w:t>
      </w:r>
      <w:r w:rsidR="00F35FCB" w:rsidRPr="00573B96">
        <w:rPr>
          <w:rFonts w:eastAsia="Calibri" w:cs="Times New Roman"/>
          <w:szCs w:val="24"/>
        </w:rPr>
        <w:t xml:space="preserve">Da </w:t>
      </w:r>
      <w:r w:rsidR="00234DCA" w:rsidRPr="00573B96">
        <w:rPr>
          <w:rFonts w:eastAsia="Calibri" w:cs="Times New Roman"/>
          <w:szCs w:val="24"/>
        </w:rPr>
        <w:t>færdselslovens § 4, stk. 2</w:t>
      </w:r>
      <w:r w:rsidR="00BD3822" w:rsidRPr="00573B96">
        <w:rPr>
          <w:rFonts w:eastAsia="Calibri" w:cs="Times New Roman"/>
          <w:szCs w:val="24"/>
        </w:rPr>
        <w:t xml:space="preserve">, </w:t>
      </w:r>
      <w:r w:rsidR="00BD3822" w:rsidRPr="00573B96">
        <w:rPr>
          <w:rFonts w:cs="Times New Roman"/>
          <w:szCs w:val="24"/>
        </w:rPr>
        <w:t>om pligten til altid at efterkomme anvisninger fra politiet eller andre personer, der er bemyndiget til at regulere trafikken, § 5, stk. 2, om forbuddet mod at passere en jernbaneoverkørsel, når signaler, bomme eller jernbanens personale tilkendegiver, at der skal standses</w:t>
      </w:r>
      <w:r w:rsidR="00234DCA" w:rsidRPr="00573B96">
        <w:rPr>
          <w:rFonts w:eastAsia="Calibri" w:cs="Times New Roman"/>
          <w:szCs w:val="24"/>
        </w:rPr>
        <w:t xml:space="preserve">, og § 55 a </w:t>
      </w:r>
      <w:r w:rsidR="00BD3822" w:rsidRPr="00573B96">
        <w:rPr>
          <w:rFonts w:eastAsia="Calibri" w:cs="Times New Roman"/>
          <w:szCs w:val="24"/>
        </w:rPr>
        <w:t xml:space="preserve">om </w:t>
      </w:r>
      <w:r w:rsidR="00234DCA" w:rsidRPr="00573B96">
        <w:rPr>
          <w:rFonts w:eastAsia="Calibri" w:cs="Times New Roman"/>
          <w:szCs w:val="24"/>
        </w:rPr>
        <w:t xml:space="preserve">forbud mod brug af håndholdt teleudstyr ikke </w:t>
      </w:r>
      <w:r w:rsidRPr="00573B96">
        <w:rPr>
          <w:rFonts w:eastAsia="Calibri" w:cs="Times New Roman"/>
          <w:szCs w:val="24"/>
        </w:rPr>
        <w:t xml:space="preserve">kan </w:t>
      </w:r>
      <w:r w:rsidR="00234DCA" w:rsidRPr="00573B96">
        <w:rPr>
          <w:rFonts w:eastAsia="Calibri" w:cs="Times New Roman"/>
          <w:szCs w:val="24"/>
        </w:rPr>
        <w:t>fraviges under udrykningskørsel</w:t>
      </w:r>
      <w:r w:rsidR="00F35FCB" w:rsidRPr="00573B96">
        <w:rPr>
          <w:rFonts w:eastAsia="Calibri" w:cs="Times New Roman"/>
          <w:szCs w:val="24"/>
        </w:rPr>
        <w:t xml:space="preserve"> efter udrykningsbekendtgørelsens regler, er de nævnte bestemmelser undtaget fra den foreslåede lempelse i § 125, stk. 6</w:t>
      </w:r>
      <w:r w:rsidR="00234DCA" w:rsidRPr="00573B96">
        <w:rPr>
          <w:rFonts w:eastAsia="Calibri" w:cs="Times New Roman"/>
          <w:szCs w:val="24"/>
        </w:rPr>
        <w:t xml:space="preserve">. Overtrædelse af disse bestemmelser under udrykningskørsel vil således fortsat medføre klip i kørekortet i medfør af </w:t>
      </w:r>
      <w:r w:rsidR="004968DA" w:rsidRPr="00573B96">
        <w:rPr>
          <w:rFonts w:eastAsia="Calibri" w:cs="Times New Roman"/>
          <w:szCs w:val="24"/>
        </w:rPr>
        <w:t xml:space="preserve">den gældende </w:t>
      </w:r>
      <w:r w:rsidR="00234DCA" w:rsidRPr="00573B96">
        <w:rPr>
          <w:rFonts w:eastAsia="Calibri" w:cs="Times New Roman"/>
          <w:szCs w:val="24"/>
        </w:rPr>
        <w:t xml:space="preserve">§ 125, stk. 2, nr. 1 og 2. </w:t>
      </w:r>
    </w:p>
    <w:p w14:paraId="2CA15EF4" w14:textId="6535E465" w:rsidR="00234DCA" w:rsidRPr="00573B96" w:rsidRDefault="00234DCA" w:rsidP="00573B96">
      <w:pPr>
        <w:spacing w:before="100" w:beforeAutospacing="1" w:after="100" w:afterAutospacing="1" w:line="280" w:lineRule="atLeast"/>
        <w:ind w:right="1813"/>
        <w:jc w:val="left"/>
        <w:outlineLvl w:val="2"/>
        <w:rPr>
          <w:rFonts w:eastAsia="Calibri" w:cs="Times New Roman"/>
          <w:szCs w:val="24"/>
        </w:rPr>
      </w:pPr>
      <w:r w:rsidRPr="00573B96">
        <w:rPr>
          <w:rFonts w:eastAsia="Calibri" w:cs="Times New Roman"/>
          <w:szCs w:val="24"/>
        </w:rPr>
        <w:t>I forhold til § 55 a vil der dog i medfør af færdselslovens gældende regler alene kunne tildeles udrykningsførere et klip i kørekortet for at anvende håndholdt teleudstyr under udrykningskørsel, hvis brugen ikke har været nødvendig for den operative indsats, jf. § 55 a, stk. 5.</w:t>
      </w:r>
    </w:p>
    <w:p w14:paraId="27A228CA" w14:textId="1040DE77" w:rsidR="003F1B29" w:rsidRPr="00573B96" w:rsidRDefault="003F1B29" w:rsidP="00573B96">
      <w:pPr>
        <w:spacing w:line="280" w:lineRule="atLeast"/>
        <w:ind w:right="1813"/>
        <w:jc w:val="left"/>
        <w:rPr>
          <w:rFonts w:eastAsia="Calibri" w:cs="Times New Roman"/>
          <w:szCs w:val="24"/>
        </w:rPr>
      </w:pPr>
      <w:r w:rsidRPr="00573B96">
        <w:rPr>
          <w:rFonts w:cs="Times New Roman"/>
          <w:szCs w:val="24"/>
        </w:rPr>
        <w:t>I forhold til overtrædelse af færdselslovens § 4, stk. 1, om fremkørsel for rødt eller gult lyssignal, følger det af den foreslåede bestemmelses 2. pkt., at udrykningsføreren dog kun vil være omfattet af den foreslåede lempelse, i det omfang føreren har nedsat hastigheden tilstrækkeligt til at kunne standse for eventuel tværgående trafik. Har føreren ikke nedsat hastigheden på den angivne måde inde</w:t>
      </w:r>
      <w:r w:rsidR="006C5408" w:rsidRPr="00573B96">
        <w:rPr>
          <w:rFonts w:cs="Times New Roman"/>
          <w:szCs w:val="24"/>
        </w:rPr>
        <w:t>n</w:t>
      </w:r>
      <w:r w:rsidRPr="00573B96">
        <w:rPr>
          <w:rFonts w:cs="Times New Roman"/>
          <w:szCs w:val="24"/>
        </w:rPr>
        <w:t xml:space="preserve"> fremkørsel for rødt eller gult signallys, vil </w:t>
      </w:r>
      <w:r w:rsidR="00132A15" w:rsidRPr="00573B96">
        <w:rPr>
          <w:rFonts w:cs="Times New Roman"/>
          <w:szCs w:val="24"/>
        </w:rPr>
        <w:t>overtrædelsen fortsat medføre et klip i kørekortet efter den gældende § 125, stk. 2, nr. 2.</w:t>
      </w:r>
    </w:p>
    <w:p w14:paraId="45C46EFD" w14:textId="41953773" w:rsidR="00234DCA" w:rsidRPr="00573B96" w:rsidRDefault="00F35FCB" w:rsidP="00573B96">
      <w:pPr>
        <w:spacing w:before="100" w:beforeAutospacing="1" w:after="100" w:afterAutospacing="1" w:line="280" w:lineRule="atLeast"/>
        <w:ind w:right="1813"/>
        <w:jc w:val="left"/>
        <w:outlineLvl w:val="2"/>
        <w:rPr>
          <w:rFonts w:eastAsia="Calibri" w:cs="Times New Roman"/>
          <w:szCs w:val="24"/>
        </w:rPr>
      </w:pPr>
      <w:r w:rsidRPr="00573B96">
        <w:rPr>
          <w:rFonts w:eastAsia="Calibri" w:cs="Times New Roman"/>
          <w:szCs w:val="24"/>
        </w:rPr>
        <w:t xml:space="preserve">Da udrykningsbekendtgørelsen ikke giver mulighed </w:t>
      </w:r>
      <w:r w:rsidR="00374519" w:rsidRPr="00573B96">
        <w:rPr>
          <w:rFonts w:eastAsia="Calibri" w:cs="Times New Roman"/>
          <w:szCs w:val="24"/>
        </w:rPr>
        <w:t>for at fravige</w:t>
      </w:r>
      <w:r w:rsidR="00234DCA" w:rsidRPr="00573B96">
        <w:rPr>
          <w:rFonts w:eastAsia="Calibri" w:cs="Times New Roman"/>
          <w:szCs w:val="24"/>
        </w:rPr>
        <w:t xml:space="preserve"> færdselslovens regler om kørsel under påvirkning af </w:t>
      </w:r>
      <w:r w:rsidR="00374519" w:rsidRPr="00573B96">
        <w:rPr>
          <w:rFonts w:eastAsia="Calibri" w:cs="Times New Roman"/>
          <w:szCs w:val="24"/>
        </w:rPr>
        <w:t xml:space="preserve">bevidsthedspåvirkende </w:t>
      </w:r>
      <w:r w:rsidR="00234DCA" w:rsidRPr="00573B96">
        <w:rPr>
          <w:rFonts w:eastAsia="Calibri" w:cs="Times New Roman"/>
          <w:szCs w:val="24"/>
        </w:rPr>
        <w:t>stoffer</w:t>
      </w:r>
      <w:r w:rsidR="00374519" w:rsidRPr="00573B96">
        <w:rPr>
          <w:rFonts w:eastAsia="Calibri" w:cs="Times New Roman"/>
          <w:szCs w:val="24"/>
        </w:rPr>
        <w:t>, omfatter</w:t>
      </w:r>
      <w:r w:rsidR="00234DCA" w:rsidRPr="00573B96">
        <w:rPr>
          <w:rFonts w:eastAsia="Calibri" w:cs="Times New Roman"/>
          <w:szCs w:val="24"/>
        </w:rPr>
        <w:t xml:space="preserve"> den foreslåede bestemmelse ikke § 125, stk. 2, nr. 6</w:t>
      </w:r>
      <w:r w:rsidR="00374519" w:rsidRPr="00573B96">
        <w:rPr>
          <w:rFonts w:eastAsia="Calibri" w:cs="Times New Roman"/>
          <w:szCs w:val="24"/>
        </w:rPr>
        <w:t xml:space="preserve">, om </w:t>
      </w:r>
      <w:r w:rsidR="00234DCA" w:rsidRPr="00573B96">
        <w:rPr>
          <w:rFonts w:eastAsia="Calibri" w:cs="Times New Roman"/>
          <w:szCs w:val="24"/>
        </w:rPr>
        <w:t>THC-kørsel i det laveste interval mellem 0,0011</w:t>
      </w:r>
      <w:r w:rsidR="00374519" w:rsidRPr="00573B96">
        <w:rPr>
          <w:rFonts w:eastAsia="Calibri" w:cs="Times New Roman"/>
          <w:szCs w:val="24"/>
        </w:rPr>
        <w:t xml:space="preserve"> </w:t>
      </w:r>
      <w:r w:rsidR="00234DCA" w:rsidRPr="00573B96">
        <w:rPr>
          <w:rFonts w:eastAsia="Calibri" w:cs="Times New Roman"/>
          <w:szCs w:val="24"/>
        </w:rPr>
        <w:t>-</w:t>
      </w:r>
      <w:r w:rsidR="00374519" w:rsidRPr="00573B96">
        <w:rPr>
          <w:rFonts w:eastAsia="Calibri" w:cs="Times New Roman"/>
          <w:szCs w:val="24"/>
        </w:rPr>
        <w:t xml:space="preserve"> </w:t>
      </w:r>
      <w:r w:rsidR="00234DCA" w:rsidRPr="00573B96">
        <w:rPr>
          <w:rFonts w:eastAsia="Calibri" w:cs="Times New Roman"/>
          <w:szCs w:val="24"/>
        </w:rPr>
        <w:t>0,003 mg THC pr. kilogram blod.</w:t>
      </w:r>
      <w:r w:rsidR="00374519" w:rsidRPr="00573B96">
        <w:rPr>
          <w:rFonts w:eastAsia="Calibri" w:cs="Times New Roman"/>
          <w:szCs w:val="24"/>
        </w:rPr>
        <w:t xml:space="preserve"> Overtrædelse af § 54, stk. 1, nr. 2 og 4, i intervallet mellem 0,0011 - 0,003 mg THC pr. kilogram blod vil således fortsat medføre klip i kørekortet under udrykningskørsel i medfør af </w:t>
      </w:r>
      <w:r w:rsidR="003F1B29" w:rsidRPr="00573B96">
        <w:rPr>
          <w:rFonts w:eastAsia="Calibri" w:cs="Times New Roman"/>
          <w:szCs w:val="24"/>
        </w:rPr>
        <w:t xml:space="preserve">den gældende </w:t>
      </w:r>
      <w:r w:rsidR="00374519" w:rsidRPr="00573B96">
        <w:rPr>
          <w:rFonts w:eastAsia="Calibri" w:cs="Times New Roman"/>
          <w:szCs w:val="24"/>
        </w:rPr>
        <w:t>§ 125, stk. 2, nr. 6.</w:t>
      </w:r>
    </w:p>
    <w:p w14:paraId="627BE06C" w14:textId="43F070BA" w:rsidR="00234DCA" w:rsidRPr="00573B96" w:rsidRDefault="00234DCA" w:rsidP="00573B96">
      <w:pPr>
        <w:spacing w:before="100" w:beforeAutospacing="1" w:after="100" w:afterAutospacing="1" w:line="280" w:lineRule="atLeast"/>
        <w:ind w:right="1813"/>
        <w:jc w:val="left"/>
        <w:outlineLvl w:val="2"/>
        <w:rPr>
          <w:rFonts w:cs="Times New Roman"/>
          <w:szCs w:val="24"/>
        </w:rPr>
      </w:pPr>
      <w:r w:rsidRPr="00573B96">
        <w:rPr>
          <w:rFonts w:cs="Times New Roman"/>
          <w:szCs w:val="24"/>
        </w:rPr>
        <w:t xml:space="preserve">Den foreslåede lempelse omfatter ikke overtrædelser af færdselsloven, der medfører betinget eller ubetinget frakendelse af førerretten efter § 125, stk. 1, eller § 126. Føreren vil derfor fortsat </w:t>
      </w:r>
      <w:r w:rsidR="006C5408" w:rsidRPr="00573B96">
        <w:rPr>
          <w:rFonts w:cs="Times New Roman"/>
          <w:szCs w:val="24"/>
        </w:rPr>
        <w:t>skulle</w:t>
      </w:r>
      <w:r w:rsidRPr="00573B96">
        <w:rPr>
          <w:rFonts w:cs="Times New Roman"/>
          <w:szCs w:val="24"/>
        </w:rPr>
        <w:t xml:space="preserve"> frakendes førerretten betinget eller ubetinget for overtrædelser omfattet af færdselslovens bestemmelser herom, hvis overtrædelserne ikke har være påtrængende nødvendige, </w:t>
      </w:r>
      <w:r w:rsidR="00FF179D" w:rsidRPr="00573B96">
        <w:rPr>
          <w:rFonts w:cs="Times New Roman"/>
          <w:szCs w:val="24"/>
        </w:rPr>
        <w:t xml:space="preserve">eller </w:t>
      </w:r>
      <w:r w:rsidRPr="00573B96">
        <w:rPr>
          <w:rFonts w:cs="Times New Roman"/>
          <w:szCs w:val="24"/>
        </w:rPr>
        <w:t>hvis føreren ikke har udvist tilstrækkelig forsigtighed.</w:t>
      </w:r>
      <w:r w:rsidR="00056D9A" w:rsidRPr="00573B96">
        <w:rPr>
          <w:rFonts w:cs="Times New Roman"/>
          <w:szCs w:val="24"/>
        </w:rPr>
        <w:t xml:space="preserve"> Det vil gælde både for tilfælde, hvor en overtrædelse i sig selv medfører en betinget eller ubetinget frakendelse af førerretten, </w:t>
      </w:r>
      <w:r w:rsidR="0070044B" w:rsidRPr="00573B96">
        <w:rPr>
          <w:rFonts w:cs="Times New Roman"/>
          <w:szCs w:val="24"/>
        </w:rPr>
        <w:t xml:space="preserve">for eksempel overtrædelse af hastighedsgrænsen med mere end 60 pct., jf. § 125, stk. 1, nr. 3, </w:t>
      </w:r>
      <w:r w:rsidR="00056D9A" w:rsidRPr="00573B96">
        <w:rPr>
          <w:rFonts w:cs="Times New Roman"/>
          <w:szCs w:val="24"/>
        </w:rPr>
        <w:t xml:space="preserve">og i tilfælde, hvor </w:t>
      </w:r>
      <w:r w:rsidR="0070044B" w:rsidRPr="00573B96">
        <w:rPr>
          <w:rFonts w:cs="Times New Roman"/>
          <w:szCs w:val="24"/>
        </w:rPr>
        <w:t xml:space="preserve">flere overtrædelser i </w:t>
      </w:r>
      <w:r w:rsidR="00056D9A" w:rsidRPr="00573B96">
        <w:rPr>
          <w:rFonts w:cs="Times New Roman"/>
          <w:szCs w:val="24"/>
        </w:rPr>
        <w:t>et kørselsforløb</w:t>
      </w:r>
      <w:r w:rsidR="0070044B" w:rsidRPr="00573B96">
        <w:rPr>
          <w:rFonts w:cs="Times New Roman"/>
          <w:szCs w:val="24"/>
        </w:rPr>
        <w:t xml:space="preserve"> samlet vurderes til at udgøre en tilsidesættelse af væsentlige hensyn til færdselssikkerheden, jf. § 125, stk. 1, nr. 1, eller særlig hensynsløs kørsel efter § 126, stk. 1, nr. 4.</w:t>
      </w:r>
    </w:p>
    <w:p w14:paraId="455D7DFA" w14:textId="65739D06" w:rsidR="00234DCA" w:rsidRPr="00573B96" w:rsidRDefault="00234DCA" w:rsidP="00573B96">
      <w:pPr>
        <w:spacing w:before="100" w:beforeAutospacing="1" w:after="100" w:afterAutospacing="1" w:line="280" w:lineRule="atLeast"/>
        <w:ind w:right="1813"/>
        <w:jc w:val="left"/>
        <w:outlineLvl w:val="2"/>
        <w:rPr>
          <w:rFonts w:cs="Times New Roman"/>
          <w:szCs w:val="24"/>
        </w:rPr>
      </w:pPr>
      <w:r w:rsidRPr="00573B96">
        <w:rPr>
          <w:rFonts w:cs="Times New Roman"/>
          <w:szCs w:val="24"/>
        </w:rPr>
        <w:t>De</w:t>
      </w:r>
      <w:r w:rsidR="0070044B" w:rsidRPr="00573B96">
        <w:rPr>
          <w:rFonts w:cs="Times New Roman"/>
          <w:szCs w:val="24"/>
        </w:rPr>
        <w:t>n</w:t>
      </w:r>
      <w:r w:rsidRPr="00573B96">
        <w:rPr>
          <w:rFonts w:cs="Times New Roman"/>
          <w:szCs w:val="24"/>
        </w:rPr>
        <w:t xml:space="preserve"> foreslåede </w:t>
      </w:r>
      <w:r w:rsidR="0070044B" w:rsidRPr="00573B96">
        <w:rPr>
          <w:rFonts w:cs="Times New Roman"/>
          <w:szCs w:val="24"/>
        </w:rPr>
        <w:t xml:space="preserve">bestemmelse </w:t>
      </w:r>
      <w:r w:rsidRPr="00573B96">
        <w:rPr>
          <w:rFonts w:cs="Times New Roman"/>
          <w:szCs w:val="24"/>
        </w:rPr>
        <w:t xml:space="preserve">har ikke betydning for straffastsættelsen i de pågældende sager. Udrykningsførere vil således fortsat </w:t>
      </w:r>
      <w:r w:rsidR="0070044B" w:rsidRPr="00573B96">
        <w:rPr>
          <w:rFonts w:cs="Times New Roman"/>
          <w:szCs w:val="24"/>
        </w:rPr>
        <w:t xml:space="preserve">skulle </w:t>
      </w:r>
      <w:r w:rsidRPr="00573B96">
        <w:rPr>
          <w:rFonts w:cs="Times New Roman"/>
          <w:szCs w:val="24"/>
        </w:rPr>
        <w:t>straffes med bøde</w:t>
      </w:r>
      <w:r w:rsidR="00FF179D" w:rsidRPr="00573B96">
        <w:rPr>
          <w:rFonts w:cs="Times New Roman"/>
          <w:szCs w:val="24"/>
        </w:rPr>
        <w:t xml:space="preserve"> ved overtrædelser af færdselsloven</w:t>
      </w:r>
      <w:r w:rsidR="006C5408" w:rsidRPr="00573B96">
        <w:rPr>
          <w:rFonts w:cs="Times New Roman"/>
          <w:szCs w:val="24"/>
        </w:rPr>
        <w:t xml:space="preserve"> i</w:t>
      </w:r>
      <w:r w:rsidR="00FF179D" w:rsidRPr="00573B96">
        <w:rPr>
          <w:rFonts w:cs="Times New Roman"/>
          <w:szCs w:val="24"/>
        </w:rPr>
        <w:t xml:space="preserve"> de tilfælde, </w:t>
      </w:r>
      <w:r w:rsidR="004968DA" w:rsidRPr="00573B96">
        <w:rPr>
          <w:rFonts w:cs="Times New Roman"/>
          <w:szCs w:val="24"/>
        </w:rPr>
        <w:t xml:space="preserve">hvor den foreslåede bestemmelse </w:t>
      </w:r>
      <w:r w:rsidR="00FF179D" w:rsidRPr="00573B96">
        <w:rPr>
          <w:rFonts w:cs="Times New Roman"/>
          <w:szCs w:val="24"/>
        </w:rPr>
        <w:t>måtte føre til, at føreren ikke skal tildeles et klip i kørekortet.</w:t>
      </w:r>
    </w:p>
    <w:p w14:paraId="157E12DE" w14:textId="78F7722F"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 xml:space="preserve">Til nr. </w:t>
      </w:r>
      <w:r w:rsidR="002B41D8" w:rsidRPr="00573B96">
        <w:rPr>
          <w:rFonts w:eastAsia="Times New Roman" w:cs="Times New Roman"/>
          <w:szCs w:val="24"/>
          <w:lang w:eastAsia="da-DK"/>
        </w:rPr>
        <w:t>5</w:t>
      </w:r>
    </w:p>
    <w:p w14:paraId="20A68F50" w14:textId="77777777" w:rsidR="00A931DF" w:rsidRPr="00573B96" w:rsidRDefault="00A931DF" w:rsidP="00573B96">
      <w:pPr>
        <w:spacing w:line="280" w:lineRule="atLeast"/>
        <w:ind w:right="1813"/>
        <w:jc w:val="left"/>
        <w:rPr>
          <w:rFonts w:eastAsia="Times New Roman" w:cs="Times New Roman"/>
          <w:szCs w:val="24"/>
          <w:lang w:eastAsia="da-DK"/>
        </w:rPr>
      </w:pPr>
    </w:p>
    <w:p w14:paraId="5EB3D88E" w14:textId="5B28D5F7" w:rsidR="00A931DF" w:rsidRPr="00573B96" w:rsidRDefault="00A931DF" w:rsidP="00573B96">
      <w:pPr>
        <w:spacing w:line="280" w:lineRule="atLeast"/>
        <w:ind w:right="1813"/>
        <w:jc w:val="left"/>
        <w:rPr>
          <w:rFonts w:cs="Times New Roman"/>
          <w:szCs w:val="24"/>
        </w:rPr>
      </w:pPr>
      <w:r w:rsidRPr="00573B96">
        <w:rPr>
          <w:rFonts w:eastAsia="Times New Roman" w:cs="Times New Roman"/>
          <w:szCs w:val="24"/>
          <w:lang w:eastAsia="da-DK"/>
        </w:rPr>
        <w:t xml:space="preserve">I medfør af færdselslovens § 126, stk. 1, nr. 1, skal føreren af et motordrevet køretøj, hvortil der kræves kørekort, bortset fra lille knallert, ubetinget frakendes førerretten, når føreren har gjort sig skyldig i spirituskørsel med en alkoholkoncentration i blodet under eller efter kørslen over 1,20 promille eller en alkoholkoncentration i udåndingsluften under eller efter kørslen over 0,60 mg pr. liter luft.  </w:t>
      </w:r>
    </w:p>
    <w:p w14:paraId="48A54D2E" w14:textId="77777777" w:rsidR="00DB29DA" w:rsidRPr="00573B96" w:rsidRDefault="00DB29DA" w:rsidP="00573B96">
      <w:pPr>
        <w:spacing w:line="280" w:lineRule="atLeast"/>
        <w:ind w:right="1813"/>
        <w:jc w:val="left"/>
        <w:rPr>
          <w:rFonts w:cs="Times New Roman"/>
          <w:szCs w:val="24"/>
        </w:rPr>
      </w:pPr>
    </w:p>
    <w:p w14:paraId="34879C7F" w14:textId="25892B09"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Der henvises i øvrigt til pkt. 2.1.1 i lovforslagets almindelige bemærkninger</w:t>
      </w:r>
      <w:r w:rsidR="00B91DC7" w:rsidRPr="00573B96">
        <w:rPr>
          <w:rFonts w:eastAsia="Times New Roman" w:cs="Times New Roman"/>
          <w:szCs w:val="24"/>
          <w:lang w:eastAsia="da-DK"/>
        </w:rPr>
        <w:t xml:space="preserve"> om gældende ret</w:t>
      </w:r>
      <w:r w:rsidRPr="00573B96">
        <w:rPr>
          <w:rFonts w:eastAsia="Times New Roman" w:cs="Times New Roman"/>
          <w:szCs w:val="24"/>
          <w:lang w:eastAsia="da-DK"/>
        </w:rPr>
        <w:t>.</w:t>
      </w:r>
    </w:p>
    <w:p w14:paraId="518B96F7" w14:textId="77777777" w:rsidR="00A931DF" w:rsidRPr="00573B96" w:rsidRDefault="00A931DF" w:rsidP="00573B96">
      <w:pPr>
        <w:spacing w:line="280" w:lineRule="atLeast"/>
        <w:ind w:right="1813"/>
        <w:jc w:val="left"/>
        <w:rPr>
          <w:rFonts w:eastAsia="Times New Roman" w:cs="Times New Roman"/>
          <w:szCs w:val="24"/>
          <w:lang w:eastAsia="da-DK"/>
        </w:rPr>
      </w:pPr>
    </w:p>
    <w:p w14:paraId="732B71F8" w14:textId="1A44ABE6"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 xml:space="preserve">Det foreslås, at der i </w:t>
      </w:r>
      <w:r w:rsidRPr="00573B96">
        <w:rPr>
          <w:rFonts w:eastAsia="Times New Roman" w:cs="Times New Roman"/>
          <w:i/>
          <w:iCs/>
          <w:szCs w:val="24"/>
          <w:lang w:eastAsia="da-DK"/>
        </w:rPr>
        <w:t>§ 126, stk. 1, nr. 1,</w:t>
      </w:r>
      <w:r w:rsidRPr="00573B96">
        <w:rPr>
          <w:rFonts w:eastAsia="Times New Roman" w:cs="Times New Roman"/>
          <w:szCs w:val="24"/>
          <w:lang w:eastAsia="da-DK"/>
        </w:rPr>
        <w:t xml:space="preserve"> efter »luft« indsættes</w:t>
      </w:r>
      <w:r w:rsidR="00B91DC7" w:rsidRPr="00573B96">
        <w:rPr>
          <w:rFonts w:eastAsia="Times New Roman" w:cs="Times New Roman"/>
          <w:szCs w:val="24"/>
          <w:lang w:eastAsia="da-DK"/>
        </w:rPr>
        <w:t>:</w:t>
      </w:r>
      <w:r w:rsidRPr="00573B96">
        <w:rPr>
          <w:rFonts w:eastAsia="Times New Roman" w:cs="Times New Roman"/>
          <w:szCs w:val="24"/>
          <w:lang w:eastAsia="da-DK"/>
        </w:rPr>
        <w:t xml:space="preserve"> »eller har gjort sig skyldig i spirituskørsel, </w:t>
      </w:r>
      <w:bookmarkStart w:id="475" w:name="_Hlk216691448"/>
      <w:r w:rsidRPr="00573B96">
        <w:rPr>
          <w:rFonts w:eastAsia="Times New Roman" w:cs="Times New Roman"/>
          <w:szCs w:val="24"/>
          <w:lang w:eastAsia="da-DK"/>
        </w:rPr>
        <w:t>hvis forholdet udgør en samtidig overtrædelse af straffelovens § 241, 2. pkt., eller § 249, 2. pkt.</w:t>
      </w:r>
      <w:bookmarkEnd w:id="475"/>
      <w:r w:rsidRPr="00573B96">
        <w:rPr>
          <w:rFonts w:eastAsia="Times New Roman" w:cs="Times New Roman"/>
          <w:szCs w:val="24"/>
          <w:lang w:eastAsia="da-DK"/>
        </w:rPr>
        <w:t>«.</w:t>
      </w:r>
    </w:p>
    <w:p w14:paraId="64C03B0A" w14:textId="77777777" w:rsidR="00A931DF" w:rsidRPr="00573B96" w:rsidRDefault="00A931DF" w:rsidP="00573B96">
      <w:pPr>
        <w:pStyle w:val="Kommentartekst"/>
        <w:spacing w:line="280" w:lineRule="atLeast"/>
        <w:ind w:right="1813"/>
        <w:jc w:val="left"/>
        <w:rPr>
          <w:rFonts w:eastAsia="Times New Roman" w:cs="Times New Roman"/>
          <w:sz w:val="24"/>
          <w:szCs w:val="24"/>
          <w:lang w:eastAsia="da-DK"/>
        </w:rPr>
      </w:pPr>
    </w:p>
    <w:p w14:paraId="3DA5E9E4" w14:textId="77777777" w:rsidR="00A931DF" w:rsidRPr="00573B96" w:rsidRDefault="00A931DF" w:rsidP="00573B96">
      <w:pPr>
        <w:pStyle w:val="Kommentartekst"/>
        <w:spacing w:line="280" w:lineRule="atLeast"/>
        <w:ind w:right="1813"/>
        <w:jc w:val="left"/>
        <w:rPr>
          <w:rFonts w:eastAsia="Times New Roman" w:cs="Times New Roman"/>
          <w:sz w:val="24"/>
          <w:szCs w:val="24"/>
          <w:lang w:eastAsia="da-DK"/>
        </w:rPr>
      </w:pPr>
      <w:r w:rsidRPr="00573B96">
        <w:rPr>
          <w:rFonts w:eastAsia="Times New Roman" w:cs="Times New Roman"/>
          <w:sz w:val="24"/>
          <w:szCs w:val="24"/>
          <w:lang w:eastAsia="da-DK"/>
        </w:rPr>
        <w:t>Den foreslåede ændring vil medføre, at spirituskørsel med en alkoholkoncentration i blodet på over 0,50 promille, men ikke over 1,20 promille, som under normale omstændigheder vil medføre en betinget frakendelse af førerretten efter § 125, stk. 1, nr. 5, fremover vil skulle sanktioneres med en ubetinget frakendelse, når forholdet samtidig udgør en overtrædelse af straffelovens § 241, 2. pkt., eller § 249, 2. pkt.</w:t>
      </w:r>
    </w:p>
    <w:p w14:paraId="210AA1F4" w14:textId="77777777" w:rsidR="00A931DF" w:rsidRPr="00573B96" w:rsidRDefault="00A931DF" w:rsidP="00573B96">
      <w:pPr>
        <w:pStyle w:val="Kommentartekst"/>
        <w:spacing w:line="280" w:lineRule="atLeast"/>
        <w:ind w:right="1813"/>
        <w:jc w:val="left"/>
        <w:rPr>
          <w:rFonts w:eastAsia="Times New Roman" w:cs="Times New Roman"/>
          <w:sz w:val="24"/>
          <w:szCs w:val="24"/>
          <w:lang w:eastAsia="da-DK"/>
        </w:rPr>
      </w:pPr>
    </w:p>
    <w:p w14:paraId="2FF3C41D" w14:textId="3F319D4E" w:rsidR="00A931DF" w:rsidRPr="00573B96" w:rsidRDefault="00A931DF" w:rsidP="00573B96">
      <w:pPr>
        <w:pStyle w:val="Kommentartekst"/>
        <w:spacing w:line="280" w:lineRule="atLeast"/>
        <w:ind w:right="1813"/>
        <w:jc w:val="left"/>
        <w:rPr>
          <w:rFonts w:eastAsia="Times New Roman" w:cs="Times New Roman"/>
          <w:sz w:val="24"/>
          <w:szCs w:val="24"/>
          <w:lang w:eastAsia="da-DK"/>
        </w:rPr>
      </w:pPr>
      <w:r w:rsidRPr="00573B96">
        <w:rPr>
          <w:rFonts w:eastAsia="Times New Roman" w:cs="Times New Roman"/>
          <w:sz w:val="24"/>
          <w:szCs w:val="24"/>
          <w:lang w:eastAsia="da-DK"/>
        </w:rPr>
        <w:t xml:space="preserve">For de tilfælde, hvor der er en særlig nedsat </w:t>
      </w:r>
      <w:r w:rsidR="00B91DC7" w:rsidRPr="00573B96">
        <w:rPr>
          <w:rFonts w:eastAsia="Times New Roman" w:cs="Times New Roman"/>
          <w:sz w:val="24"/>
          <w:szCs w:val="24"/>
          <w:lang w:eastAsia="da-DK"/>
        </w:rPr>
        <w:t>alkohol</w:t>
      </w:r>
      <w:r w:rsidRPr="00573B96">
        <w:rPr>
          <w:rFonts w:eastAsia="Times New Roman" w:cs="Times New Roman"/>
          <w:sz w:val="24"/>
          <w:szCs w:val="24"/>
          <w:lang w:eastAsia="da-DK"/>
        </w:rPr>
        <w:t>promillegrænse på 0,20 efter § 53, stk. 2, vil den foreslåede ændring endvidere medføre, at spirituskørsel med en alkoholkoncentration i blodet på over 0,20 promille, men ikke over 1,20 promille, som under normale omstændigheder vil medføre en betinget frakendelse af førerretten efter § 125, stk. 1, nr. 5, fremover vil skulle sanktioneres med en ubetinget frakendelse, når forholdet samtidig udgør en overtrædelse af straffelovens § 241, 2. pkt., eller § 249, 2. pkt.</w:t>
      </w:r>
    </w:p>
    <w:p w14:paraId="35B76866" w14:textId="774F2A16"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Det samme vil </w:t>
      </w:r>
      <w:r w:rsidR="00B91DC7" w:rsidRPr="00573B96">
        <w:rPr>
          <w:rFonts w:cs="Times New Roman"/>
          <w:szCs w:val="24"/>
        </w:rPr>
        <w:t xml:space="preserve">efter den foreslåede bestemmelse </w:t>
      </w:r>
      <w:r w:rsidRPr="00573B96">
        <w:rPr>
          <w:rFonts w:cs="Times New Roman"/>
          <w:szCs w:val="24"/>
        </w:rPr>
        <w:t>gøre sig gældende, hvis føreren overtræder § 53, stk. 3, ved at føre et motordrevet køretøj efter indtagelse af spiritus i et sådant omfang, at kørslen ikke kan ske på betryggende måde, når forholdet samtidig udgør en overtrædelse af straffelovens § 241, 2. pkt., eller § 249, 2. pkt.</w:t>
      </w:r>
    </w:p>
    <w:p w14:paraId="582CDF0E"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Lovforslaget indeholder ikke ændringer af promillegrænserne i § 53, stk. 1 og 2, ligesom lovforslaget ikke vil medføre ændringer i førerevnekriteriet i § 53, stk. 3. De foreslåede ændringer vil således alene have betydning for de frakendelsesmæssige sanktioner i tilfælde, hvor føreren har gjort sig skyldig i spirituskørsel efter reglerne i den gældende § 53.</w:t>
      </w:r>
    </w:p>
    <w:p w14:paraId="4C75F94C" w14:textId="77777777" w:rsidR="00A931DF" w:rsidRPr="00573B96" w:rsidRDefault="00A931DF" w:rsidP="00573B96">
      <w:pPr>
        <w:spacing w:before="100" w:beforeAutospacing="1" w:after="100" w:afterAutospacing="1" w:line="280" w:lineRule="atLeast"/>
        <w:ind w:right="1813"/>
        <w:jc w:val="left"/>
        <w:rPr>
          <w:rFonts w:cs="Times New Roman"/>
          <w:szCs w:val="24"/>
        </w:rPr>
      </w:pPr>
      <w:bookmarkStart w:id="476" w:name="_Hlk216636766"/>
      <w:r w:rsidRPr="00573B96">
        <w:rPr>
          <w:rFonts w:cs="Times New Roman"/>
          <w:szCs w:val="24"/>
        </w:rPr>
        <w:t>Den gældende bestemmelse i § 126, stk. 2, hvorefter der under særlig formildende omstændigheder kan ske betinget frakendelse af førerretten i tilfælde, hvor frakendelse efter § 126, stk. 1, ellers skulle ske ubetinget, vil også finde anvendelse i forhold til tilfælde, der er omfattet af den foreslåede ændring af § 126, stk. 1, nr. 1.</w:t>
      </w:r>
      <w:bookmarkEnd w:id="476"/>
      <w:r w:rsidRPr="00573B96">
        <w:rPr>
          <w:rFonts w:cs="Times New Roman"/>
          <w:szCs w:val="24"/>
        </w:rPr>
        <w:t xml:space="preserve"> </w:t>
      </w:r>
    </w:p>
    <w:p w14:paraId="64E9B0F3"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Der er i den forbindelse ikke tilsigtet ændringer af praksis i forhold til anvendelsen af § 126, stk. 2. Der vil således fortsat alene yderst sjældent være grundlag for at undlade ubetinget frakendelse, og det vil derfor også i forhold til de tilfælde, der er omfattet af den foreslåede ændring af § 126, stk. 1, nr. 1, have undtagelsens karakter, at en ubetinget frakendelse vil skulle erstattes af en betinget frakendelse i medfør af den gældende § 126, stk. 2. </w:t>
      </w:r>
    </w:p>
    <w:p w14:paraId="74363A08"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Frakendelsestiden vil efter den gældende bestemmelse i § 128, stk. 2, 1. pkt., skulle ske for mindst 3 år. Konkrete forhold vil fortsat kunne medføre, at der udmåles en længere frakendelsesperiode end 3 år. Efter gældende praksis udmåles der således allerede i flere tilfælde en længere frakendelsesperiode i tilfælde, hvor kørslen er sket i spiritus- eller narkopåvirket tilstand og ved samtidig overtrædelse af straffeloven. En længere frakendelsesperiode vil for eksempel også kunne udmåles på grund af konkrete forhold ved det enkelte kørselsforløb eller på grund af tidligere forstraffe med relevans for sagen. Den foreslåede bestemmelse medfører således ikke en lempelse af de frakendelsesmæssige sanktioner i de tilfælde, hvor der efter gældende retspraksis allerede udmåles en frakendelsesperiode på mere end 3 år.</w:t>
      </w:r>
    </w:p>
    <w:p w14:paraId="5F5D4A5A" w14:textId="21E43D02" w:rsidR="00A931DF" w:rsidRPr="00573B96" w:rsidRDefault="00A931DF" w:rsidP="00573B96">
      <w:pPr>
        <w:spacing w:line="280" w:lineRule="atLeast"/>
        <w:ind w:right="1813"/>
        <w:jc w:val="left"/>
        <w:rPr>
          <w:rFonts w:cs="Times New Roman"/>
          <w:szCs w:val="24"/>
        </w:rPr>
      </w:pPr>
      <w:r w:rsidRPr="00573B96">
        <w:rPr>
          <w:rFonts w:cs="Times New Roman"/>
          <w:szCs w:val="24"/>
        </w:rPr>
        <w:t xml:space="preserve">Til nr. </w:t>
      </w:r>
      <w:r w:rsidR="002B41D8" w:rsidRPr="00573B96">
        <w:rPr>
          <w:rFonts w:cs="Times New Roman"/>
          <w:szCs w:val="24"/>
        </w:rPr>
        <w:t>6</w:t>
      </w:r>
    </w:p>
    <w:p w14:paraId="777B71C0" w14:textId="77777777" w:rsidR="00A931DF" w:rsidRPr="00573B96" w:rsidRDefault="00A931DF" w:rsidP="00573B96">
      <w:pPr>
        <w:spacing w:line="280" w:lineRule="atLeast"/>
        <w:ind w:right="1813"/>
        <w:jc w:val="left"/>
        <w:rPr>
          <w:rFonts w:cs="Times New Roman"/>
          <w:szCs w:val="24"/>
        </w:rPr>
      </w:pPr>
    </w:p>
    <w:p w14:paraId="18FA4BDE" w14:textId="4E1D190B"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 xml:space="preserve">I medfør af færdselslovens § 126, stk. 1, nr. 2, skal føreren af et motordrevet køretøj, hvortil der kræves kørekort, bortset fra lille knallert, ubetinget frakendes førerretten, når føreren har gjort sig skyldig i overtrædelse af § 54, stk. 1, nr. 1 (narkokørsel med undtagelse af THC-kørsel), eller § 54, stk. 1, nr. 2, når indholdet af THC i blodet overstiger 0,009 mg </w:t>
      </w:r>
      <w:r w:rsidR="00491903" w:rsidRPr="00573B96">
        <w:rPr>
          <w:rFonts w:eastAsia="Times New Roman" w:cs="Times New Roman"/>
          <w:szCs w:val="24"/>
          <w:lang w:eastAsia="da-DK"/>
        </w:rPr>
        <w:t xml:space="preserve">THC </w:t>
      </w:r>
      <w:r w:rsidRPr="00573B96">
        <w:rPr>
          <w:rFonts w:eastAsia="Times New Roman" w:cs="Times New Roman"/>
          <w:szCs w:val="24"/>
          <w:lang w:eastAsia="da-DK"/>
        </w:rPr>
        <w:t xml:space="preserve">pr. kilogram blod, eller under skærpende omstændigheder har gjort sig skyldig i overtrædelse af § 54, stk. 2, </w:t>
      </w:r>
      <w:r w:rsidRPr="00573B96">
        <w:rPr>
          <w:rFonts w:cs="Times New Roman"/>
          <w:szCs w:val="24"/>
        </w:rPr>
        <w:t>(føreevnekriteriet).</w:t>
      </w:r>
      <w:r w:rsidRPr="00573B96">
        <w:rPr>
          <w:rFonts w:eastAsia="Times New Roman" w:cs="Times New Roman"/>
          <w:szCs w:val="24"/>
          <w:lang w:eastAsia="da-DK"/>
        </w:rPr>
        <w:t xml:space="preserve"> </w:t>
      </w:r>
    </w:p>
    <w:p w14:paraId="6BB455B2" w14:textId="77777777" w:rsidR="00A931DF" w:rsidRPr="00573B96" w:rsidRDefault="00A931DF" w:rsidP="00573B96">
      <w:pPr>
        <w:spacing w:line="280" w:lineRule="atLeast"/>
        <w:ind w:right="1813"/>
        <w:jc w:val="left"/>
        <w:rPr>
          <w:rFonts w:eastAsia="Times New Roman" w:cs="Times New Roman"/>
          <w:szCs w:val="24"/>
          <w:lang w:eastAsia="da-DK"/>
        </w:rPr>
      </w:pPr>
    </w:p>
    <w:p w14:paraId="0048857B" w14:textId="0ED601F4"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Der henvises i øvrigt til pkt. 2.1.1 i lovforslagets almindelige bemærkninger</w:t>
      </w:r>
      <w:r w:rsidR="00491903" w:rsidRPr="00573B96">
        <w:rPr>
          <w:rFonts w:eastAsia="Times New Roman" w:cs="Times New Roman"/>
          <w:szCs w:val="24"/>
          <w:lang w:eastAsia="da-DK"/>
        </w:rPr>
        <w:t xml:space="preserve"> om gældende ret</w:t>
      </w:r>
      <w:r w:rsidRPr="00573B96">
        <w:rPr>
          <w:rFonts w:eastAsia="Times New Roman" w:cs="Times New Roman"/>
          <w:szCs w:val="24"/>
          <w:lang w:eastAsia="da-DK"/>
        </w:rPr>
        <w:t xml:space="preserve">. </w:t>
      </w:r>
    </w:p>
    <w:p w14:paraId="79355DE0" w14:textId="77777777" w:rsidR="00A931DF" w:rsidRPr="00573B96" w:rsidRDefault="00A931DF" w:rsidP="00573B96">
      <w:pPr>
        <w:spacing w:line="280" w:lineRule="atLeast"/>
        <w:ind w:right="1813"/>
        <w:jc w:val="left"/>
        <w:rPr>
          <w:rFonts w:cs="Times New Roman"/>
          <w:szCs w:val="24"/>
        </w:rPr>
      </w:pPr>
    </w:p>
    <w:p w14:paraId="0F5F624D" w14:textId="43159DE5"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 xml:space="preserve">Det foreslås i </w:t>
      </w:r>
      <w:r w:rsidRPr="00573B96">
        <w:rPr>
          <w:rFonts w:eastAsia="Times New Roman" w:cs="Times New Roman"/>
          <w:i/>
          <w:iCs/>
          <w:szCs w:val="24"/>
          <w:lang w:eastAsia="da-DK"/>
        </w:rPr>
        <w:t>§ 126, stk. 1, nr. 2,</w:t>
      </w:r>
      <w:r w:rsidRPr="00573B96">
        <w:rPr>
          <w:rFonts w:eastAsia="Times New Roman" w:cs="Times New Roman"/>
          <w:szCs w:val="24"/>
          <w:lang w:eastAsia="da-DK"/>
        </w:rPr>
        <w:t xml:space="preserve"> at »eller under« ændres til: »under« og efter »stk. 2,« indsættes: »eller har gjort sig skyldig i en overtrædelse af § 54, stk. 1, nr. 2-4, eller § 54, stk. 2, hvis forholdet udgør en samtidig overtrædelse af straffelovens § 241, 2. pkt., eller § 249, 2. pkt.«. </w:t>
      </w:r>
    </w:p>
    <w:p w14:paraId="594AD280" w14:textId="77777777" w:rsidR="00A931DF" w:rsidRPr="00573B96" w:rsidRDefault="00A931DF" w:rsidP="00573B96">
      <w:pPr>
        <w:spacing w:line="280" w:lineRule="atLeast"/>
        <w:ind w:right="1813"/>
        <w:jc w:val="left"/>
        <w:rPr>
          <w:rFonts w:eastAsia="Times New Roman" w:cs="Times New Roman"/>
          <w:szCs w:val="24"/>
          <w:lang w:eastAsia="da-DK"/>
        </w:rPr>
      </w:pPr>
    </w:p>
    <w:p w14:paraId="267A70FD" w14:textId="51EAE8CD" w:rsidR="00A931DF" w:rsidRPr="00573B96" w:rsidRDefault="00A931DF" w:rsidP="00573B96">
      <w:pPr>
        <w:spacing w:line="280" w:lineRule="atLeast"/>
        <w:ind w:right="1813"/>
        <w:jc w:val="left"/>
        <w:rPr>
          <w:rFonts w:cs="Times New Roman"/>
          <w:szCs w:val="24"/>
        </w:rPr>
      </w:pPr>
      <w:r w:rsidRPr="00573B96">
        <w:rPr>
          <w:rFonts w:cs="Times New Roman"/>
          <w:szCs w:val="24"/>
        </w:rPr>
        <w:t>Den foreslåede ændring vil medføre, at der vil skulle ske ubetinget frakendelse af førerretten i alle tilfælde af THC-kørsel, inkl</w:t>
      </w:r>
      <w:r w:rsidR="00491903" w:rsidRPr="00573B96">
        <w:rPr>
          <w:rFonts w:cs="Times New Roman"/>
          <w:szCs w:val="24"/>
        </w:rPr>
        <w:t>usiv</w:t>
      </w:r>
      <w:r w:rsidRPr="00573B96">
        <w:rPr>
          <w:rFonts w:cs="Times New Roman"/>
          <w:szCs w:val="24"/>
        </w:rPr>
        <w:t xml:space="preserve"> receptkørsel med THC, og i tilfælde med receptkørsel med andre stoffer end THC, hvis forholdet samtidig udgør en overtrædelse af straffelovens § 241, 2. pkt., eller § 249, 2. pkt.</w:t>
      </w:r>
    </w:p>
    <w:p w14:paraId="424D5062" w14:textId="77777777" w:rsidR="00A931DF" w:rsidRPr="00573B96" w:rsidRDefault="00A931DF" w:rsidP="00573B96">
      <w:pPr>
        <w:spacing w:line="280" w:lineRule="atLeast"/>
        <w:ind w:right="1813"/>
        <w:jc w:val="left"/>
        <w:rPr>
          <w:rFonts w:cs="Times New Roman"/>
          <w:szCs w:val="24"/>
        </w:rPr>
      </w:pPr>
    </w:p>
    <w:p w14:paraId="2B119B77" w14:textId="48CF7B0B" w:rsidR="00A931DF" w:rsidRPr="00573B96" w:rsidRDefault="00A931DF" w:rsidP="00573B96">
      <w:pPr>
        <w:spacing w:line="280" w:lineRule="atLeast"/>
        <w:ind w:right="1813"/>
        <w:jc w:val="left"/>
        <w:rPr>
          <w:rFonts w:cs="Times New Roman"/>
          <w:szCs w:val="24"/>
        </w:rPr>
      </w:pPr>
      <w:r w:rsidRPr="00573B96">
        <w:rPr>
          <w:rFonts w:cs="Times New Roman"/>
          <w:szCs w:val="24"/>
        </w:rPr>
        <w:t xml:space="preserve">Det vil således også gælde tilfælde, hvor indholdet af THC i blodet overstiger 0,001 mg THC pr. kilogram blod, men ikke overstiger 0,003 mg THC pr. kilogram blod, og </w:t>
      </w:r>
      <w:r w:rsidRPr="00573B96">
        <w:rPr>
          <w:rFonts w:eastAsia="Times New Roman" w:cs="Times New Roman"/>
          <w:szCs w:val="24"/>
          <w:lang w:eastAsia="da-DK"/>
        </w:rPr>
        <w:t>som under normale omstændigheder vil medføre et klip i kørekortet efter § 125, stk. 2, nr. 6,</w:t>
      </w:r>
    </w:p>
    <w:p w14:paraId="5D85F23B" w14:textId="77777777" w:rsidR="00A931DF" w:rsidRPr="00573B96" w:rsidRDefault="00A931DF" w:rsidP="00573B96">
      <w:pPr>
        <w:spacing w:line="280" w:lineRule="atLeast"/>
        <w:ind w:right="1813"/>
        <w:jc w:val="left"/>
        <w:rPr>
          <w:rFonts w:cs="Times New Roman"/>
          <w:szCs w:val="24"/>
        </w:rPr>
      </w:pPr>
    </w:p>
    <w:p w14:paraId="76AA9EA4" w14:textId="77777777" w:rsidR="00A931DF" w:rsidRPr="00573B96" w:rsidRDefault="00A931DF" w:rsidP="00573B96">
      <w:pPr>
        <w:spacing w:line="280" w:lineRule="atLeast"/>
        <w:ind w:right="1813"/>
        <w:jc w:val="left"/>
        <w:rPr>
          <w:rFonts w:eastAsia="Times New Roman" w:cs="Times New Roman"/>
          <w:szCs w:val="24"/>
          <w:lang w:eastAsia="da-DK"/>
        </w:rPr>
      </w:pPr>
      <w:r w:rsidRPr="00573B96">
        <w:rPr>
          <w:rFonts w:cs="Times New Roman"/>
          <w:szCs w:val="24"/>
        </w:rPr>
        <w:t xml:space="preserve">Det samme vil gøre sig gældende for tilfælde, hvor indholdet af THC i blodet overstiger 0,003 mg THC pr. kilogram blod, men ikke overstiger 0,009 mg THC pr. kilogram blod, og </w:t>
      </w:r>
      <w:r w:rsidRPr="00573B96">
        <w:rPr>
          <w:rFonts w:eastAsia="Times New Roman" w:cs="Times New Roman"/>
          <w:szCs w:val="24"/>
          <w:lang w:eastAsia="da-DK"/>
        </w:rPr>
        <w:t>som under normale omstændigheder vil medføre en betinget frakendelse af førerretten efter § 125, stk. 1, nr. 6.</w:t>
      </w:r>
    </w:p>
    <w:p w14:paraId="0A94F849" w14:textId="77777777" w:rsidR="00A931DF" w:rsidRPr="00573B96" w:rsidRDefault="00A931DF" w:rsidP="00573B96">
      <w:pPr>
        <w:spacing w:line="280" w:lineRule="atLeast"/>
        <w:ind w:right="1813"/>
        <w:jc w:val="left"/>
        <w:rPr>
          <w:rFonts w:eastAsia="Times New Roman" w:cs="Times New Roman"/>
          <w:szCs w:val="24"/>
          <w:lang w:eastAsia="da-DK"/>
        </w:rPr>
      </w:pPr>
    </w:p>
    <w:p w14:paraId="1005C1FE" w14:textId="77777777" w:rsidR="00A931DF" w:rsidRPr="00573B96" w:rsidRDefault="00A931DF" w:rsidP="00573B96">
      <w:pPr>
        <w:spacing w:line="280" w:lineRule="atLeast"/>
        <w:ind w:right="1813"/>
        <w:jc w:val="left"/>
        <w:rPr>
          <w:rFonts w:cs="Times New Roman"/>
          <w:szCs w:val="24"/>
        </w:rPr>
      </w:pPr>
      <w:r w:rsidRPr="00573B96">
        <w:rPr>
          <w:rFonts w:eastAsia="Times New Roman" w:cs="Times New Roman"/>
          <w:szCs w:val="24"/>
          <w:lang w:eastAsia="da-DK"/>
        </w:rPr>
        <w:t xml:space="preserve">Receptkørsel med THC efter § 54, stk. 1, nr. 4, og receptkørsel med andre euforiserende stoffer end THC efter § 54, stk. 1, nr. 3, vil også med den foreslåede ændring skulle sanktioneres med en ubetinget frakendelse af førerretten, hvis </w:t>
      </w:r>
      <w:r w:rsidRPr="00573B96">
        <w:rPr>
          <w:rFonts w:cs="Times New Roman"/>
          <w:szCs w:val="24"/>
        </w:rPr>
        <w:t>forholdet samtidig udgør en overtrædelse af straffelovens § 241, 2. pkt., eller § 249, 2. pkt.</w:t>
      </w:r>
    </w:p>
    <w:p w14:paraId="47EFECF6" w14:textId="6AE579D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Den foreslåede ændring indebærer endvidere, at der skal ske ubetinget frakendelse af førerretten, når føreren på grund af sygdom, svækkelse, overanstrengelse, søvnmangel, påvirkning af opstemmende eller bedøvende midler eller lignende årsager befinder sig i en sådan tilstand, at han eller hun er ude af stand til at føre køretøjet på fuldt betryggende måde (det almindelige føreevnekriterie i § 54, stk. 2), hvis forholdet samtidig udgør en overtrædelse af straffelovens § 241, 2. pkt., eller § 249, 2. pkt.</w:t>
      </w:r>
    </w:p>
    <w:p w14:paraId="5A628257" w14:textId="6E81C792"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Den foreslåede ændring indeholder ikke ændringer af de bagatelgrænser for bevidsthedspåvirkende stoffer, som i medfør af § 54, stk. 1, nr. 1, er fastsat ved bekendtgørelse nr. 1277 af 6. november 2025 om klassificering af færdselssikkerhedsfarlige stoffer. Ligeledes vil </w:t>
      </w:r>
      <w:r w:rsidR="00491903" w:rsidRPr="00573B96">
        <w:rPr>
          <w:rFonts w:cs="Times New Roman"/>
          <w:szCs w:val="24"/>
        </w:rPr>
        <w:t>den foreslåede bestemmelse</w:t>
      </w:r>
      <w:r w:rsidRPr="00573B96">
        <w:rPr>
          <w:rFonts w:cs="Times New Roman"/>
          <w:szCs w:val="24"/>
        </w:rPr>
        <w:t xml:space="preserve"> ikke medføre ændringer i føreevnekriteriet i § 54, stk. 2. Den foreslåede ændring vil således alene have betydning for de frakendelsesmæssige sanktioner i tilfælde, hvor føreren har begået narkokørsel efter reglerne i den gældende § 54.</w:t>
      </w:r>
    </w:p>
    <w:p w14:paraId="102F2FCE"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Den gældende bestemmelse i § 126, stk. 2, hvorefter der under særlig formildende omstændigheder kan ske betinget frakendelse af førerretten i tilfælde, hvor frakendelse efter § 126, stk. 1, ellers skulle ske ubetinget, vil også finde anvendelse i forhold til tilfælde, der er omfattet af den foreslåede ændring af § 126, stk. 1, nr. 2. </w:t>
      </w:r>
    </w:p>
    <w:p w14:paraId="7D49B066"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Der er i den forbindelse ikke tilsigtet ændringer af praksis i forhold til anvendelsen af § 126, stk. 2. Der vil således fortsat alene yderst sjældent være grundlag for at undlade ubetinget frakendelse, og det vil derfor også i forhold til de tilfælde, der er omfattet af den foreslåede ændring af § 126, stk. 1, nr. 2, have undtagelsens karakter, at en ubetinget frakendelse vil skulle erstattes af en betinget frakendelse i medfør af den gældende § 126, stk. 2. </w:t>
      </w:r>
    </w:p>
    <w:p w14:paraId="0F012C99" w14:textId="77777777" w:rsidR="00A931DF"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Frakendelsestiden vil efter den gældende bestemmelse i § 128, stk. 2, 1. pkt., skulle ske for mindst 3 år. Konkrete forhold vil fortsat kunne medføre, at der udmåles en længere frakendelsesperiode end 3 år. Efter gældende praksis udmåles der således allerede i flere tilfælde en længere frakendelsesperiode i tilfælde, hvor kørslen er sket i spiritus- eller narkopåvirket tilstand og ved samtidig overtrædelse af straffeloven. En længere frakendelsesperiode vil for eksempel også kunne udmåles på grund af konkrete forhold ved det enkelte kørselsforløb eller på grund af tidligere forstraffe med relevans for sagen. Den foreslåede bestemmelse medfører således ikke en lempelse af de frakendelsesmæssige sanktioner i de tilfælde, hvor der efter gældende retspraksis allerede udmåles en frakendelsesperiode på mere end 3 år.</w:t>
      </w:r>
    </w:p>
    <w:p w14:paraId="209BCA49" w14:textId="0026BDBE"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Til nr. </w:t>
      </w:r>
      <w:r w:rsidR="002B41D8" w:rsidRPr="00573B96">
        <w:rPr>
          <w:rFonts w:eastAsia="Calibri" w:cs="Times New Roman"/>
          <w:szCs w:val="24"/>
        </w:rPr>
        <w:t>7</w:t>
      </w:r>
    </w:p>
    <w:p w14:paraId="3AD813EA" w14:textId="4C52D3FF"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 </w:t>
      </w:r>
    </w:p>
    <w:p w14:paraId="0E80CB68" w14:textId="77777777" w:rsidR="00A931DF" w:rsidRPr="00573B96" w:rsidRDefault="00A931DF" w:rsidP="00573B96">
      <w:pPr>
        <w:spacing w:line="280" w:lineRule="atLeast"/>
        <w:ind w:right="1813"/>
        <w:jc w:val="left"/>
        <w:rPr>
          <w:rFonts w:cs="Times New Roman"/>
          <w:szCs w:val="24"/>
        </w:rPr>
      </w:pPr>
      <w:r w:rsidRPr="00573B96">
        <w:rPr>
          <w:rFonts w:cs="Times New Roman"/>
          <w:szCs w:val="24"/>
        </w:rPr>
        <w:t xml:space="preserve">I medfør af færdselslovens § 126, stk. 1, nr. 4, skal føreren af et motordrevet køretøj, hvortil der kræves kørekort, bortset fra lille knallert, ubetinget frakendes retten til at føre et sådant køretøj, hvis føreren forsætligt har voldt skade på andres person eller ting, forsætligt har fremkaldt nærliggende fare herfor eller i øvrigt har ført motordrevet køretøj på særligt hensynsløs måde. </w:t>
      </w:r>
    </w:p>
    <w:p w14:paraId="7E080E9F" w14:textId="77777777" w:rsidR="00A931DF" w:rsidRPr="00573B96" w:rsidRDefault="00A931DF" w:rsidP="00573B96">
      <w:pPr>
        <w:spacing w:line="280" w:lineRule="atLeast"/>
        <w:ind w:right="1813"/>
        <w:jc w:val="left"/>
        <w:rPr>
          <w:rFonts w:cs="Times New Roman"/>
          <w:szCs w:val="24"/>
        </w:rPr>
      </w:pPr>
    </w:p>
    <w:p w14:paraId="1625F2A9" w14:textId="77777777" w:rsidR="00A931DF" w:rsidRPr="00573B96" w:rsidRDefault="00A931DF" w:rsidP="00573B96">
      <w:pPr>
        <w:spacing w:line="280" w:lineRule="atLeast"/>
        <w:ind w:right="1813"/>
        <w:jc w:val="left"/>
        <w:rPr>
          <w:rFonts w:cs="Times New Roman"/>
          <w:szCs w:val="24"/>
        </w:rPr>
      </w:pPr>
      <w:r w:rsidRPr="00573B96">
        <w:rPr>
          <w:rFonts w:cs="Times New Roman"/>
          <w:szCs w:val="24"/>
        </w:rPr>
        <w:t>I § 128, stk. 2, fremgår hvilke forhold, der medfører, at frakendelse af førerretten skal ske for et tidsrum af minimum 3 år. Efter stk. 2, 1. pkt., gælder dette i tilfælde af spirituskørsel med en alkoholkoncentration på over 1,20 promille eller ved overtrædelse af færdselslovens § 54, stk. 1 eller 2. Efter § 128, stk. 2, 2. pkt., finder en frakendelsestid på mindst 3 år tilsvarende anvendelse ved de groveste hastighedsovertrædelser, ulovlig kap- og væddekørsel samt chikanøs kørsel mod politiet, der hindrer politiets eftersætning af andre køretøjer, jf. § 126, stk. 1, nr. 10-13.</w:t>
      </w:r>
    </w:p>
    <w:p w14:paraId="48DAEB7A" w14:textId="77777777" w:rsidR="00A931DF" w:rsidRPr="00573B96" w:rsidRDefault="00A931DF" w:rsidP="00573B96">
      <w:pPr>
        <w:spacing w:line="280" w:lineRule="atLeast"/>
        <w:ind w:right="1813"/>
        <w:jc w:val="left"/>
        <w:rPr>
          <w:rFonts w:cs="Times New Roman"/>
          <w:szCs w:val="24"/>
        </w:rPr>
      </w:pPr>
    </w:p>
    <w:p w14:paraId="11887600" w14:textId="514DEC76" w:rsidR="00A931DF" w:rsidRPr="00573B96" w:rsidRDefault="00A931DF" w:rsidP="00573B96">
      <w:pPr>
        <w:spacing w:line="280" w:lineRule="atLeast"/>
        <w:ind w:right="1813"/>
        <w:jc w:val="left"/>
        <w:rPr>
          <w:rFonts w:eastAsia="Times New Roman" w:cs="Times New Roman"/>
          <w:szCs w:val="24"/>
          <w:lang w:eastAsia="da-DK"/>
        </w:rPr>
      </w:pPr>
      <w:r w:rsidRPr="00573B96">
        <w:rPr>
          <w:rFonts w:eastAsia="Times New Roman" w:cs="Times New Roman"/>
          <w:szCs w:val="24"/>
          <w:lang w:eastAsia="da-DK"/>
        </w:rPr>
        <w:t>Der henvises i øvrigt til pkt. 2.2.1 i lovforslagets almindelige bemærkninger</w:t>
      </w:r>
      <w:r w:rsidR="00A44AC7" w:rsidRPr="00573B96">
        <w:rPr>
          <w:rFonts w:eastAsia="Times New Roman" w:cs="Times New Roman"/>
          <w:szCs w:val="24"/>
          <w:lang w:eastAsia="da-DK"/>
        </w:rPr>
        <w:t xml:space="preserve"> om gældende ret.</w:t>
      </w:r>
      <w:r w:rsidRPr="00573B96">
        <w:rPr>
          <w:rFonts w:eastAsia="Times New Roman" w:cs="Times New Roman"/>
          <w:szCs w:val="24"/>
          <w:lang w:eastAsia="da-DK"/>
        </w:rPr>
        <w:t xml:space="preserve"> </w:t>
      </w:r>
    </w:p>
    <w:p w14:paraId="3B2386D6" w14:textId="77777777" w:rsidR="00A931DF" w:rsidRPr="00573B96" w:rsidRDefault="00A931DF" w:rsidP="00573B96">
      <w:pPr>
        <w:spacing w:line="280" w:lineRule="atLeast"/>
        <w:ind w:right="1813"/>
        <w:jc w:val="left"/>
        <w:rPr>
          <w:rFonts w:eastAsia="Calibri" w:cs="Times New Roman"/>
          <w:szCs w:val="24"/>
        </w:rPr>
      </w:pPr>
    </w:p>
    <w:p w14:paraId="5CF8995B" w14:textId="77718858"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Det foreslås i </w:t>
      </w:r>
      <w:r w:rsidRPr="00573B96">
        <w:rPr>
          <w:rFonts w:eastAsia="Calibri" w:cs="Times New Roman"/>
          <w:i/>
          <w:iCs/>
          <w:szCs w:val="24"/>
        </w:rPr>
        <w:t>§ 128, stk. 2, 2. pkt.,</w:t>
      </w:r>
      <w:r w:rsidRPr="00573B96">
        <w:rPr>
          <w:rFonts w:eastAsia="Calibri" w:cs="Times New Roman"/>
          <w:szCs w:val="24"/>
        </w:rPr>
        <w:t xml:space="preserve"> at »4 eller« indsættes efter »nr.«</w:t>
      </w:r>
      <w:r w:rsidR="00A44AC7" w:rsidRPr="00573B96">
        <w:rPr>
          <w:rFonts w:eastAsia="Calibri" w:cs="Times New Roman"/>
          <w:szCs w:val="24"/>
        </w:rPr>
        <w:t>.</w:t>
      </w:r>
    </w:p>
    <w:p w14:paraId="48201B30" w14:textId="77777777" w:rsidR="00A931DF" w:rsidRPr="00573B96" w:rsidRDefault="00A931DF" w:rsidP="00573B96">
      <w:pPr>
        <w:spacing w:line="280" w:lineRule="atLeast"/>
        <w:ind w:right="1813"/>
        <w:jc w:val="left"/>
        <w:rPr>
          <w:rFonts w:eastAsia="Times New Roman" w:cs="Times New Roman"/>
          <w:szCs w:val="24"/>
          <w:lang w:eastAsia="da-DK"/>
        </w:rPr>
      </w:pPr>
    </w:p>
    <w:p w14:paraId="12BFE631" w14:textId="3EF7E7C7" w:rsidR="00A931DF" w:rsidRPr="00573B96" w:rsidRDefault="00A44AC7" w:rsidP="00573B96">
      <w:pPr>
        <w:spacing w:line="280" w:lineRule="atLeast"/>
        <w:ind w:right="1813"/>
        <w:jc w:val="left"/>
        <w:rPr>
          <w:rFonts w:cs="Times New Roman"/>
          <w:szCs w:val="24"/>
        </w:rPr>
      </w:pPr>
      <w:r w:rsidRPr="00573B96">
        <w:rPr>
          <w:rFonts w:cs="Times New Roman"/>
          <w:szCs w:val="24"/>
        </w:rPr>
        <w:t>D</w:t>
      </w:r>
      <w:r w:rsidR="00A931DF" w:rsidRPr="00573B96">
        <w:rPr>
          <w:rFonts w:cs="Times New Roman"/>
          <w:szCs w:val="24"/>
        </w:rPr>
        <w:t xml:space="preserve">en foreslåede </w:t>
      </w:r>
      <w:r w:rsidRPr="00573B96">
        <w:rPr>
          <w:rFonts w:cs="Times New Roman"/>
          <w:szCs w:val="24"/>
        </w:rPr>
        <w:t xml:space="preserve">ændring af </w:t>
      </w:r>
      <w:r w:rsidR="00A931DF" w:rsidRPr="00573B96">
        <w:rPr>
          <w:rFonts w:cs="Times New Roman"/>
          <w:szCs w:val="24"/>
        </w:rPr>
        <w:t xml:space="preserve">§ 128, stk. 2, 2. pkt., vil </w:t>
      </w:r>
      <w:r w:rsidRPr="00573B96">
        <w:rPr>
          <w:rFonts w:cs="Times New Roman"/>
          <w:szCs w:val="24"/>
        </w:rPr>
        <w:t xml:space="preserve">medføre, at </w:t>
      </w:r>
      <w:r w:rsidR="00A931DF" w:rsidRPr="00573B96">
        <w:rPr>
          <w:rFonts w:cs="Times New Roman"/>
          <w:szCs w:val="24"/>
        </w:rPr>
        <w:t xml:space="preserve">ubetinget frakendelse </w:t>
      </w:r>
      <w:r w:rsidR="00F43BC6" w:rsidRPr="00573B96">
        <w:rPr>
          <w:rFonts w:cs="Times New Roman"/>
          <w:szCs w:val="24"/>
        </w:rPr>
        <w:t xml:space="preserve">af </w:t>
      </w:r>
      <w:r w:rsidRPr="00573B96">
        <w:rPr>
          <w:rFonts w:cs="Times New Roman"/>
          <w:szCs w:val="24"/>
        </w:rPr>
        <w:t>førerretten på grund af</w:t>
      </w:r>
      <w:r w:rsidR="00A931DF" w:rsidRPr="00573B96">
        <w:rPr>
          <w:rFonts w:cs="Times New Roman"/>
          <w:szCs w:val="24"/>
        </w:rPr>
        <w:t xml:space="preserve"> særlig hensynsløs kørsel</w:t>
      </w:r>
      <w:r w:rsidRPr="00573B96">
        <w:rPr>
          <w:rFonts w:cs="Times New Roman"/>
          <w:szCs w:val="24"/>
        </w:rPr>
        <w:t xml:space="preserve"> omfattet af § 126, stk. 1, nr. 4,</w:t>
      </w:r>
      <w:r w:rsidR="00A931DF" w:rsidRPr="00573B96">
        <w:rPr>
          <w:rFonts w:cs="Times New Roman"/>
          <w:szCs w:val="24"/>
        </w:rPr>
        <w:t xml:space="preserve"> herefter </w:t>
      </w:r>
      <w:r w:rsidRPr="00573B96">
        <w:rPr>
          <w:rFonts w:cs="Times New Roman"/>
          <w:szCs w:val="24"/>
        </w:rPr>
        <w:t>vil skulle ske for en periode af mindst tre</w:t>
      </w:r>
      <w:r w:rsidR="00A931DF" w:rsidRPr="00573B96">
        <w:rPr>
          <w:rFonts w:cs="Times New Roman"/>
          <w:szCs w:val="24"/>
        </w:rPr>
        <w:t xml:space="preserve"> år. </w:t>
      </w:r>
    </w:p>
    <w:p w14:paraId="4A95509F" w14:textId="694D4895" w:rsidR="00F43BC6" w:rsidRPr="00573B96" w:rsidRDefault="00A931DF"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Konkrete forhold vil fortsat kunne medføre, at der udmåles en længere frakendelsesperiode end </w:t>
      </w:r>
      <w:r w:rsidR="00A44AC7" w:rsidRPr="00573B96">
        <w:rPr>
          <w:rFonts w:cs="Times New Roman"/>
          <w:szCs w:val="24"/>
        </w:rPr>
        <w:t>tre</w:t>
      </w:r>
      <w:r w:rsidRPr="00573B96">
        <w:rPr>
          <w:rFonts w:cs="Times New Roman"/>
          <w:szCs w:val="24"/>
        </w:rPr>
        <w:t xml:space="preserve"> år. En længere frakendelsesperiode vil </w:t>
      </w:r>
      <w:r w:rsidR="00A44AC7" w:rsidRPr="00573B96">
        <w:rPr>
          <w:rFonts w:cs="Times New Roman"/>
          <w:szCs w:val="24"/>
        </w:rPr>
        <w:t xml:space="preserve">i overensstemmelse med gældende retspraksis </w:t>
      </w:r>
      <w:r w:rsidRPr="00573B96">
        <w:rPr>
          <w:rFonts w:cs="Times New Roman"/>
          <w:szCs w:val="24"/>
        </w:rPr>
        <w:t xml:space="preserve">for eksempel kunne udmåles på grund af konkrete forhold ved det enkelte kørselsforløb, samtidig overtrædelse af straffelovens bestemmelser eller på grund af tidligere forstraffe med relevans for sagen. </w:t>
      </w:r>
      <w:r w:rsidR="00F43BC6" w:rsidRPr="00573B96">
        <w:rPr>
          <w:rFonts w:cs="Times New Roman"/>
          <w:szCs w:val="24"/>
        </w:rPr>
        <w:t>Den foreslåede bestemmelse medfører således ikke en lempelse af de frakendelsesmæssige sanktioner i de tilfælde, hvor der efter gældende retspraksis allerede udmåles en frakendelsesperiode på mere end 3 år.</w:t>
      </w:r>
    </w:p>
    <w:p w14:paraId="023A58EC" w14:textId="51E671C8"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Til nr. </w:t>
      </w:r>
      <w:r w:rsidR="002B41D8" w:rsidRPr="00573B96">
        <w:rPr>
          <w:rFonts w:eastAsia="Calibri" w:cs="Times New Roman"/>
          <w:szCs w:val="24"/>
        </w:rPr>
        <w:t>8</w:t>
      </w:r>
    </w:p>
    <w:p w14:paraId="03A8F16C" w14:textId="03427230" w:rsidR="00DB29DA" w:rsidRPr="00573B96" w:rsidRDefault="00DB29DA" w:rsidP="00573B96">
      <w:pPr>
        <w:spacing w:line="280" w:lineRule="atLeast"/>
        <w:ind w:right="1813"/>
        <w:jc w:val="left"/>
        <w:rPr>
          <w:rFonts w:eastAsia="Calibri" w:cs="Times New Roman"/>
          <w:szCs w:val="24"/>
        </w:rPr>
      </w:pPr>
    </w:p>
    <w:p w14:paraId="0F55472B" w14:textId="77777777" w:rsidR="00DB29DA" w:rsidRPr="00573B96" w:rsidRDefault="00DB29DA" w:rsidP="00573B96">
      <w:pPr>
        <w:spacing w:line="280" w:lineRule="atLeast"/>
        <w:ind w:right="1813"/>
        <w:jc w:val="left"/>
        <w:rPr>
          <w:rFonts w:cs="Times New Roman"/>
          <w:bCs/>
          <w:szCs w:val="24"/>
        </w:rPr>
      </w:pPr>
      <w:r w:rsidRPr="00573B96">
        <w:rPr>
          <w:rFonts w:cs="Times New Roman"/>
          <w:bCs/>
          <w:szCs w:val="24"/>
        </w:rPr>
        <w:t>Efter § 133 a, stk. 2, 1. pkt., skal der ske konfiskation, hvis ejeren af et motordrevet køretøj, hvortil der kræves kørekort, bortset fra lille knallert, har gjort sig skyldig i spirituskørsel med en alkoholkoncentration i blodet under eller efter kørslen på over 2,00 promille eller en alkoholkoncentration i udåndingsluften under eller efter kørslen på over 1,00 mg pr. l luft eller i et forhold, der medfører ubetinget frakendelse af førerretten efter § 126, stk. 1, nr. 4, (særlig hensynsløs kørsel), § 126, stk. 1, nr. 10 (kørsel med en hastighed på 200 km i timen eller derover,) eller § 126, stk. 1, nr. 11 (kørsel med en hastighed på mere end 100 km i timen med en samtidig overskridelse af den fastsatte hastighedsgrænse med mere end 100 pct).</w:t>
      </w:r>
    </w:p>
    <w:p w14:paraId="559807D9" w14:textId="77777777" w:rsidR="00DB29DA" w:rsidRPr="00573B96" w:rsidRDefault="00DB29DA" w:rsidP="00573B96">
      <w:pPr>
        <w:spacing w:line="280" w:lineRule="atLeast"/>
        <w:ind w:right="1813"/>
        <w:jc w:val="left"/>
        <w:rPr>
          <w:rFonts w:cs="Times New Roman"/>
          <w:bCs/>
          <w:szCs w:val="24"/>
        </w:rPr>
      </w:pPr>
    </w:p>
    <w:p w14:paraId="4471F7C2" w14:textId="77777777" w:rsidR="00DB29DA" w:rsidRPr="00573B96" w:rsidRDefault="00DB29DA" w:rsidP="00573B96">
      <w:pPr>
        <w:spacing w:line="280" w:lineRule="atLeast"/>
        <w:ind w:right="1813"/>
        <w:jc w:val="left"/>
        <w:rPr>
          <w:rFonts w:cs="Times New Roman"/>
          <w:bCs/>
          <w:szCs w:val="24"/>
        </w:rPr>
      </w:pPr>
      <w:r w:rsidRPr="00573B96">
        <w:rPr>
          <w:rFonts w:cs="Times New Roman"/>
          <w:bCs/>
          <w:szCs w:val="24"/>
        </w:rPr>
        <w:t xml:space="preserve">Det følger af § 133 a, stk. 2, 2. pkt., at der i tilfælde, hvor køretøjet føres af en anden person end køretøjets ejer, og føreren har gjort sig skyldig i en eller flere af de i 1. pkt. nævnte overtrædelser, skal konfiskation ske, medmindre konfiskation må anses for uforholdsmæssigt indgribende, navnlig henset til ejerens mulighed for at kunne vide, at køretøjet ville blive anvendt ved en eller flere af de overtrædelser, der nævnes i 1. pkt., og for at tage alle rimelige skridt til at sikre sin økonomiske stilling i anledning af overdragelsen af køretøjet til den anden person. </w:t>
      </w:r>
    </w:p>
    <w:p w14:paraId="5BAA943C" w14:textId="77777777" w:rsidR="00A931DF" w:rsidRPr="00573B96" w:rsidRDefault="00A931DF" w:rsidP="00573B96">
      <w:pPr>
        <w:spacing w:line="280" w:lineRule="atLeast"/>
        <w:ind w:right="1813"/>
        <w:jc w:val="left"/>
        <w:rPr>
          <w:rFonts w:cs="Times New Roman"/>
          <w:szCs w:val="24"/>
        </w:rPr>
      </w:pPr>
    </w:p>
    <w:p w14:paraId="3A05A899" w14:textId="28C82115" w:rsidR="00A931DF" w:rsidRPr="00573B96" w:rsidRDefault="00A931DF" w:rsidP="00573B96">
      <w:pPr>
        <w:spacing w:line="280" w:lineRule="atLeast"/>
        <w:ind w:right="1813"/>
        <w:jc w:val="left"/>
        <w:rPr>
          <w:rFonts w:eastAsia="Calibri" w:cs="Times New Roman"/>
          <w:szCs w:val="24"/>
        </w:rPr>
      </w:pPr>
      <w:r w:rsidRPr="00573B96">
        <w:rPr>
          <w:rFonts w:eastAsia="Times New Roman" w:cs="Times New Roman"/>
          <w:szCs w:val="24"/>
          <w:lang w:eastAsia="da-DK"/>
        </w:rPr>
        <w:t>Der henvises i øvrigt til pkt. 2.3.1 i lovforslagets almindelige bemærkninger</w:t>
      </w:r>
      <w:r w:rsidR="00DB29DA" w:rsidRPr="00573B96">
        <w:rPr>
          <w:rFonts w:eastAsia="Times New Roman" w:cs="Times New Roman"/>
          <w:szCs w:val="24"/>
          <w:lang w:eastAsia="da-DK"/>
        </w:rPr>
        <w:t xml:space="preserve"> om gældende ret</w:t>
      </w:r>
      <w:r w:rsidRPr="00573B96">
        <w:rPr>
          <w:rFonts w:eastAsia="Times New Roman" w:cs="Times New Roman"/>
          <w:szCs w:val="24"/>
          <w:lang w:eastAsia="da-DK"/>
        </w:rPr>
        <w:t>.</w:t>
      </w:r>
    </w:p>
    <w:p w14:paraId="0621D784" w14:textId="77777777" w:rsidR="00A931DF" w:rsidRPr="00573B96" w:rsidRDefault="00A931DF" w:rsidP="00573B96">
      <w:pPr>
        <w:pStyle w:val="Listeafsnit"/>
        <w:spacing w:line="280" w:lineRule="atLeast"/>
        <w:ind w:left="426" w:right="1813"/>
        <w:jc w:val="left"/>
        <w:rPr>
          <w:rFonts w:eastAsia="Calibri" w:cs="Times New Roman"/>
          <w:szCs w:val="24"/>
        </w:rPr>
      </w:pPr>
    </w:p>
    <w:p w14:paraId="5B55A5F0" w14:textId="480F644F" w:rsidR="00A931DF" w:rsidRPr="00573B96" w:rsidRDefault="00A931DF" w:rsidP="00573B96">
      <w:pPr>
        <w:spacing w:line="280" w:lineRule="atLeast"/>
        <w:ind w:right="1813"/>
        <w:jc w:val="left"/>
        <w:rPr>
          <w:rFonts w:eastAsia="Calibri" w:cs="Times New Roman"/>
          <w:szCs w:val="24"/>
        </w:rPr>
      </w:pPr>
      <w:r w:rsidRPr="00573B96">
        <w:rPr>
          <w:rFonts w:eastAsia="Calibri" w:cs="Times New Roman"/>
          <w:szCs w:val="24"/>
        </w:rPr>
        <w:t xml:space="preserve">Det foreslås i </w:t>
      </w:r>
      <w:r w:rsidRPr="00573B96">
        <w:rPr>
          <w:rFonts w:eastAsia="Calibri" w:cs="Times New Roman"/>
          <w:i/>
          <w:szCs w:val="24"/>
        </w:rPr>
        <w:t>§ 133 a, stk. 2, 1. pkt.,</w:t>
      </w:r>
      <w:r w:rsidRPr="00573B96">
        <w:rPr>
          <w:rFonts w:eastAsia="Calibri" w:cs="Times New Roman"/>
          <w:szCs w:val="24"/>
        </w:rPr>
        <w:t xml:space="preserve"> at »eller i et forhold« ændres til », har gjort sig skyldig i et forhold, der medfører ubetinget frakendelse af førerretten efter § 126, stk. 1, nr. 1 eller 2, hvis forholdet udgør en samtidig overtrædelse af straffelovens § 241, 2. pkt., eller § 249, 2. pkt., eller har gjort sig skyldig i et forhold«.</w:t>
      </w:r>
    </w:p>
    <w:p w14:paraId="118812B4" w14:textId="2C423B5D" w:rsidR="002B68C3" w:rsidRPr="00573B96" w:rsidRDefault="002B68C3" w:rsidP="00573B96">
      <w:pPr>
        <w:spacing w:line="280" w:lineRule="atLeast"/>
        <w:ind w:right="1813"/>
        <w:jc w:val="left"/>
        <w:rPr>
          <w:rFonts w:eastAsia="Calibri" w:cs="Times New Roman"/>
          <w:szCs w:val="24"/>
        </w:rPr>
      </w:pPr>
    </w:p>
    <w:p w14:paraId="1676589F" w14:textId="69A0EBA3" w:rsidR="002B68C3" w:rsidRPr="00573B96" w:rsidRDefault="002B68C3" w:rsidP="00573B96">
      <w:pPr>
        <w:spacing w:line="280" w:lineRule="atLeast"/>
        <w:ind w:right="1813"/>
        <w:jc w:val="left"/>
        <w:rPr>
          <w:rFonts w:cs="Times New Roman"/>
          <w:bCs/>
          <w:szCs w:val="24"/>
        </w:rPr>
      </w:pPr>
      <w:r w:rsidRPr="00573B96">
        <w:rPr>
          <w:rFonts w:cs="Times New Roman"/>
          <w:bCs/>
          <w:szCs w:val="24"/>
        </w:rPr>
        <w:t>Med den foreslåede ændringer vil tilfælde, hvor føreren ubetinget skal frakendes føreretten på grund af spiritus- eller narkokørsel og samtidig har gjort sig skyldig i uagtsom betydelig legemsbeskadigelse eller uagtsomt manddrab efter straffeloven, blive omfattet af færdselslovens særlige konfiskationsregler for vanvidskørsel</w:t>
      </w:r>
      <w:r w:rsidR="00E74271" w:rsidRPr="00573B96">
        <w:rPr>
          <w:rFonts w:cs="Times New Roman"/>
          <w:bCs/>
          <w:szCs w:val="24"/>
        </w:rPr>
        <w:t>, jf. den gældende bestemmelse i § 133 a, stk. 2, 2. pkt.</w:t>
      </w:r>
    </w:p>
    <w:p w14:paraId="55328A1A" w14:textId="77777777" w:rsidR="002B68C3" w:rsidRPr="00573B96" w:rsidRDefault="002B68C3" w:rsidP="00573B96">
      <w:pPr>
        <w:spacing w:line="280" w:lineRule="atLeast"/>
        <w:ind w:right="1813"/>
        <w:jc w:val="left"/>
        <w:rPr>
          <w:rFonts w:cs="Times New Roman"/>
          <w:bCs/>
          <w:szCs w:val="24"/>
        </w:rPr>
      </w:pPr>
    </w:p>
    <w:p w14:paraId="0EE8E615" w14:textId="0AEE8CB5" w:rsidR="002B68C3" w:rsidRPr="00573B96" w:rsidRDefault="00E74271" w:rsidP="00573B96">
      <w:pPr>
        <w:spacing w:line="280" w:lineRule="atLeast"/>
        <w:ind w:right="1813"/>
        <w:jc w:val="left"/>
        <w:rPr>
          <w:rFonts w:cs="Times New Roman"/>
          <w:bCs/>
          <w:szCs w:val="24"/>
        </w:rPr>
      </w:pPr>
      <w:r w:rsidRPr="00573B96">
        <w:rPr>
          <w:rFonts w:cs="Times New Roman"/>
          <w:bCs/>
          <w:szCs w:val="24"/>
        </w:rPr>
        <w:t xml:space="preserve">Den foreslåede bestemmelse </w:t>
      </w:r>
      <w:r w:rsidR="002B68C3" w:rsidRPr="00573B96">
        <w:rPr>
          <w:rFonts w:cs="Times New Roman"/>
          <w:bCs/>
          <w:szCs w:val="24"/>
        </w:rPr>
        <w:t xml:space="preserve">indebærer såedes, at der i de pågældende tilfælde </w:t>
      </w:r>
      <w:r w:rsidRPr="00573B96">
        <w:rPr>
          <w:rFonts w:cs="Times New Roman"/>
          <w:bCs/>
          <w:szCs w:val="24"/>
        </w:rPr>
        <w:t>vil skulle</w:t>
      </w:r>
      <w:r w:rsidR="002B68C3" w:rsidRPr="00573B96">
        <w:rPr>
          <w:rFonts w:cs="Times New Roman"/>
          <w:bCs/>
          <w:szCs w:val="24"/>
        </w:rPr>
        <w:t xml:space="preserve"> ske konfiskation af køretøjet allerede i førstegangstilfælde, og at dette som udgangspunkt </w:t>
      </w:r>
      <w:r w:rsidRPr="00573B96">
        <w:rPr>
          <w:rFonts w:cs="Times New Roman"/>
          <w:bCs/>
          <w:szCs w:val="24"/>
        </w:rPr>
        <w:t>vil skulle</w:t>
      </w:r>
      <w:r w:rsidR="002B68C3" w:rsidRPr="00573B96">
        <w:rPr>
          <w:rFonts w:cs="Times New Roman"/>
          <w:bCs/>
          <w:szCs w:val="24"/>
        </w:rPr>
        <w:t xml:space="preserve"> ske uanset ejerforhold. Det vil sige også i tilfælde, hvor føreren ikke selv er ejer af køretøjet, men har benyttet et køretøj, der tilhører tredjemand.</w:t>
      </w:r>
    </w:p>
    <w:p w14:paraId="17CF76EB" w14:textId="77777777" w:rsidR="002B68C3" w:rsidRPr="00573B96" w:rsidRDefault="002B68C3" w:rsidP="00573B96">
      <w:pPr>
        <w:spacing w:line="280" w:lineRule="atLeast"/>
        <w:ind w:right="1813"/>
        <w:jc w:val="left"/>
        <w:rPr>
          <w:rFonts w:cs="Times New Roman"/>
          <w:bCs/>
          <w:szCs w:val="24"/>
        </w:rPr>
      </w:pPr>
    </w:p>
    <w:p w14:paraId="0D11CD32" w14:textId="71CBB8C5" w:rsidR="002B68C3" w:rsidRPr="00573B96" w:rsidRDefault="002B68C3" w:rsidP="00573B96">
      <w:pPr>
        <w:spacing w:line="280" w:lineRule="atLeast"/>
        <w:ind w:right="1813"/>
        <w:jc w:val="left"/>
        <w:rPr>
          <w:rFonts w:cs="Times New Roman"/>
          <w:bCs/>
          <w:szCs w:val="24"/>
        </w:rPr>
      </w:pPr>
      <w:r w:rsidRPr="00573B96">
        <w:rPr>
          <w:rFonts w:cs="Times New Roman"/>
          <w:bCs/>
          <w:szCs w:val="24"/>
        </w:rPr>
        <w:t xml:space="preserve">Konfiskation vil med </w:t>
      </w:r>
      <w:r w:rsidR="00E74271" w:rsidRPr="00573B96">
        <w:rPr>
          <w:rFonts w:cs="Times New Roman"/>
          <w:bCs/>
          <w:szCs w:val="24"/>
        </w:rPr>
        <w:t>den foreslåede bestemmelse</w:t>
      </w:r>
      <w:r w:rsidRPr="00573B96">
        <w:rPr>
          <w:rFonts w:cs="Times New Roman"/>
          <w:bCs/>
          <w:szCs w:val="24"/>
        </w:rPr>
        <w:t xml:space="preserve"> skulle ske i de tilfælde, hvor spiritus- og narkokørsel medfører en ubetinget frakendelse af førerretten. </w:t>
      </w:r>
    </w:p>
    <w:p w14:paraId="7EF9B700" w14:textId="77777777" w:rsidR="002B68C3" w:rsidRPr="00573B96" w:rsidRDefault="002B68C3" w:rsidP="00573B96">
      <w:pPr>
        <w:spacing w:line="280" w:lineRule="atLeast"/>
        <w:ind w:right="1813"/>
        <w:jc w:val="left"/>
        <w:rPr>
          <w:rFonts w:cs="Times New Roman"/>
          <w:bCs/>
          <w:szCs w:val="24"/>
        </w:rPr>
      </w:pPr>
    </w:p>
    <w:p w14:paraId="4CEE71E9" w14:textId="42840F43" w:rsidR="002B68C3" w:rsidRPr="00573B96" w:rsidRDefault="00E74271" w:rsidP="00573B96">
      <w:pPr>
        <w:spacing w:line="280" w:lineRule="atLeast"/>
        <w:ind w:right="1813"/>
        <w:jc w:val="left"/>
        <w:rPr>
          <w:rFonts w:cs="Times New Roman"/>
          <w:bCs/>
          <w:szCs w:val="24"/>
        </w:rPr>
      </w:pPr>
      <w:r w:rsidRPr="00573B96">
        <w:rPr>
          <w:rFonts w:cs="Times New Roman"/>
          <w:bCs/>
          <w:szCs w:val="24"/>
        </w:rPr>
        <w:t>Det foreslås med lovforslagets § 1, nr. 5 og 6, at ændre</w:t>
      </w:r>
      <w:r w:rsidR="002B68C3" w:rsidRPr="00573B96">
        <w:rPr>
          <w:rFonts w:cs="Times New Roman"/>
          <w:bCs/>
          <w:szCs w:val="24"/>
        </w:rPr>
        <w:t xml:space="preserve"> § 126, stk. 1, nr. 1 og 2, </w:t>
      </w:r>
      <w:r w:rsidRPr="00573B96">
        <w:rPr>
          <w:rFonts w:cs="Times New Roman"/>
          <w:bCs/>
          <w:szCs w:val="24"/>
        </w:rPr>
        <w:t xml:space="preserve">således at </w:t>
      </w:r>
      <w:r w:rsidR="002B68C3" w:rsidRPr="00573B96">
        <w:rPr>
          <w:rFonts w:cs="Times New Roman"/>
          <w:bCs/>
          <w:szCs w:val="24"/>
        </w:rPr>
        <w:t>førerretten vil skulle frakendes ubetinget i alle tilfælde af spiritus- og narkokørsel, hvis forholdet samtidig udgør en overtrædelse af straffelovens § 241, 2. pkt., eller § 249, 2. pkt.</w:t>
      </w:r>
      <w:r w:rsidRPr="00573B96">
        <w:rPr>
          <w:rFonts w:cs="Times New Roman"/>
          <w:bCs/>
          <w:szCs w:val="24"/>
        </w:rPr>
        <w:t xml:space="preserve"> Der henvises herved nærmere til bemærkningerne til lovforslagets § 1, nr. 5 og 6.</w:t>
      </w:r>
    </w:p>
    <w:p w14:paraId="7294DBAC" w14:textId="77777777" w:rsidR="002B68C3" w:rsidRPr="00573B96" w:rsidRDefault="002B68C3" w:rsidP="00573B96">
      <w:pPr>
        <w:spacing w:line="280" w:lineRule="atLeast"/>
        <w:ind w:right="1813"/>
        <w:jc w:val="left"/>
        <w:rPr>
          <w:rFonts w:cs="Times New Roman"/>
          <w:bCs/>
          <w:szCs w:val="24"/>
        </w:rPr>
      </w:pPr>
    </w:p>
    <w:p w14:paraId="53BC4221" w14:textId="12E2F300" w:rsidR="002B68C3" w:rsidRPr="00573B96" w:rsidRDefault="00E74271" w:rsidP="00573B96">
      <w:pPr>
        <w:spacing w:line="280" w:lineRule="atLeast"/>
        <w:ind w:right="1813"/>
        <w:jc w:val="left"/>
        <w:rPr>
          <w:rFonts w:cs="Times New Roman"/>
          <w:bCs/>
          <w:szCs w:val="24"/>
        </w:rPr>
      </w:pPr>
      <w:r w:rsidRPr="00573B96">
        <w:rPr>
          <w:rFonts w:cs="Times New Roman"/>
          <w:bCs/>
          <w:szCs w:val="24"/>
        </w:rPr>
        <w:t>Lovforslagets § 1, nr. 5 og 6,</w:t>
      </w:r>
      <w:r w:rsidR="002B68C3" w:rsidRPr="00573B96">
        <w:rPr>
          <w:rFonts w:cs="Times New Roman"/>
          <w:bCs/>
          <w:szCs w:val="24"/>
        </w:rPr>
        <w:t xml:space="preserve"> vil i samspil med den foreslåede ændring af § 133 a, stk. 2, 1. pkt., således medføre, at der vil skulle ske konfiskation i alle tilfælde af spirituskørsel med en alkoholpromille over henholdsvis 0,2 og 0,5 og i alle tilfælde af narkokørsel, inklusiv alle tilfælde af THC-kørsel med et indhold i blodet, der overstiger 0,001 mg THC pr. kilogram blod, hvis forholdet samtidig udgør en overtrædelse af straffelovens § 241, 2. pkt., eller § 249, 2. pkt.</w:t>
      </w:r>
    </w:p>
    <w:p w14:paraId="2790F921" w14:textId="7FB22E51" w:rsidR="00E74271" w:rsidRPr="00573B96" w:rsidRDefault="00E74271" w:rsidP="00573B96">
      <w:pPr>
        <w:spacing w:line="280" w:lineRule="atLeast"/>
        <w:ind w:right="1813"/>
        <w:jc w:val="left"/>
        <w:rPr>
          <w:rFonts w:cs="Times New Roman"/>
          <w:bCs/>
          <w:szCs w:val="24"/>
        </w:rPr>
      </w:pPr>
    </w:p>
    <w:p w14:paraId="71A7D6A1" w14:textId="0BD96784" w:rsidR="00E74271" w:rsidRPr="00573B96" w:rsidRDefault="00E74271" w:rsidP="00573B96">
      <w:pPr>
        <w:spacing w:line="280" w:lineRule="atLeast"/>
        <w:ind w:right="1813"/>
        <w:jc w:val="left"/>
        <w:rPr>
          <w:rFonts w:cs="Times New Roman"/>
          <w:bCs/>
          <w:szCs w:val="24"/>
        </w:rPr>
      </w:pPr>
      <w:r w:rsidRPr="00573B96">
        <w:rPr>
          <w:rFonts w:cs="Times New Roman"/>
          <w:bCs/>
          <w:szCs w:val="24"/>
        </w:rPr>
        <w:t xml:space="preserve">Den foreslåede ændring vil ikke ændre ved, at der fortsat </w:t>
      </w:r>
      <w:r w:rsidR="00A658FA" w:rsidRPr="00573B96">
        <w:rPr>
          <w:rFonts w:cs="Times New Roman"/>
          <w:bCs/>
          <w:szCs w:val="24"/>
        </w:rPr>
        <w:t xml:space="preserve">i medfør af § 133 a, stk. 2, 1. pkt., </w:t>
      </w:r>
      <w:r w:rsidRPr="00573B96">
        <w:rPr>
          <w:rFonts w:cs="Times New Roman"/>
          <w:bCs/>
          <w:szCs w:val="24"/>
        </w:rPr>
        <w:t>vil skulle ske konfiskation af køretøjet</w:t>
      </w:r>
      <w:r w:rsidR="00A658FA" w:rsidRPr="00573B96">
        <w:rPr>
          <w:rFonts w:cs="Times New Roman"/>
          <w:bCs/>
          <w:szCs w:val="24"/>
        </w:rPr>
        <w:t xml:space="preserve"> i tilfælde af spirituskørsel med en alkoholpromille på over 2,00, uanset hvilke konsekvenser spirituskørslen har haft.</w:t>
      </w:r>
    </w:p>
    <w:p w14:paraId="5ACF3E6C" w14:textId="41A75D26" w:rsidR="00EF2E77" w:rsidRPr="00573B96" w:rsidRDefault="00EF2E77"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Den gældende bestemmelse i § 133 a, stk. 13, hvorefter konfiskation efter stk. 2 kan undlades, når særlige grunde undtagelsesvis taler herfor, vil også finde anvendelse i forhold til tilfælde, der er omfattet af den foreslåede ændring af § 133 a, stk. 2. </w:t>
      </w:r>
    </w:p>
    <w:p w14:paraId="68F53B4A" w14:textId="5A1D98BF" w:rsidR="000A7DBA" w:rsidRPr="00573B96" w:rsidRDefault="00EF2E77" w:rsidP="00573B96">
      <w:pPr>
        <w:spacing w:before="100" w:beforeAutospacing="1" w:after="100" w:afterAutospacing="1" w:line="280" w:lineRule="atLeast"/>
        <w:ind w:right="1813"/>
        <w:jc w:val="left"/>
        <w:rPr>
          <w:rFonts w:cs="Times New Roman"/>
          <w:szCs w:val="24"/>
        </w:rPr>
      </w:pPr>
      <w:r w:rsidRPr="00573B96">
        <w:rPr>
          <w:rFonts w:cs="Times New Roman"/>
          <w:szCs w:val="24"/>
        </w:rPr>
        <w:t xml:space="preserve">Der er i den forbindelse ikke tilsigtet ændringer af praksis i forhold til anvendelsen af § 133 a, stk. 13. Det vil således have undtagelses karakter, at konfiskation skal undlades i medfør af bestemmelsen, og det </w:t>
      </w:r>
      <w:r w:rsidR="00A931DF" w:rsidRPr="00573B96">
        <w:rPr>
          <w:rFonts w:cs="Times New Roman"/>
          <w:szCs w:val="24"/>
        </w:rPr>
        <w:t xml:space="preserve">vil navnlig </w:t>
      </w:r>
      <w:r w:rsidRPr="00573B96">
        <w:rPr>
          <w:rFonts w:cs="Times New Roman"/>
          <w:szCs w:val="24"/>
        </w:rPr>
        <w:t xml:space="preserve">kunne </w:t>
      </w:r>
      <w:r w:rsidR="00A931DF" w:rsidRPr="00573B96">
        <w:rPr>
          <w:rFonts w:cs="Times New Roman"/>
          <w:szCs w:val="24"/>
        </w:rPr>
        <w:t>være tilfældet i situationer, hvor eksempelvis ganske særlige familiemæssige eller sociale forhold vil bevirke, at konfiskation i det konkrete tilfælde vil have uforholdsmæssigt indgribende betydning for den pågældende.</w:t>
      </w:r>
    </w:p>
    <w:p w14:paraId="00888957" w14:textId="1109842F" w:rsidR="000A7DBA" w:rsidRPr="00573B96" w:rsidRDefault="000A7DBA" w:rsidP="00573B96">
      <w:pPr>
        <w:spacing w:line="280" w:lineRule="atLeast"/>
        <w:ind w:right="1813"/>
        <w:jc w:val="left"/>
        <w:rPr>
          <w:rFonts w:cs="Times New Roman"/>
          <w:szCs w:val="24"/>
        </w:rPr>
      </w:pPr>
    </w:p>
    <w:p w14:paraId="3520ADAF" w14:textId="05B00CC4" w:rsidR="000A7DBA" w:rsidRPr="00573B96" w:rsidRDefault="000A7DBA" w:rsidP="00573B96">
      <w:pPr>
        <w:spacing w:line="280" w:lineRule="atLeast"/>
        <w:ind w:right="1813"/>
        <w:jc w:val="center"/>
        <w:rPr>
          <w:rFonts w:cs="Times New Roman"/>
          <w:i/>
          <w:iCs/>
          <w:szCs w:val="24"/>
        </w:rPr>
      </w:pPr>
      <w:r w:rsidRPr="00573B96">
        <w:rPr>
          <w:rFonts w:cs="Times New Roman"/>
          <w:i/>
          <w:iCs/>
          <w:szCs w:val="24"/>
        </w:rPr>
        <w:t>Til § 2</w:t>
      </w:r>
    </w:p>
    <w:p w14:paraId="4DE671C0" w14:textId="1CA6B595" w:rsidR="000A7DBA" w:rsidRPr="00573B96" w:rsidRDefault="000A7DBA" w:rsidP="00573B96">
      <w:pPr>
        <w:spacing w:line="280" w:lineRule="atLeast"/>
        <w:ind w:right="1813"/>
        <w:jc w:val="left"/>
        <w:rPr>
          <w:rFonts w:cs="Times New Roman"/>
          <w:szCs w:val="24"/>
        </w:rPr>
      </w:pPr>
    </w:p>
    <w:p w14:paraId="4290DF02" w14:textId="5F39DC98" w:rsidR="000A7DBA" w:rsidRPr="00573B96" w:rsidRDefault="00884C08" w:rsidP="00573B96">
      <w:pPr>
        <w:spacing w:line="280" w:lineRule="atLeast"/>
        <w:ind w:right="1813"/>
        <w:jc w:val="left"/>
        <w:rPr>
          <w:rFonts w:cs="Times New Roman"/>
          <w:szCs w:val="24"/>
        </w:rPr>
      </w:pPr>
      <w:r w:rsidRPr="00573B96">
        <w:rPr>
          <w:rFonts w:cs="Times New Roman"/>
          <w:szCs w:val="24"/>
        </w:rPr>
        <w:t>Til nr. 1</w:t>
      </w:r>
    </w:p>
    <w:p w14:paraId="49D097C6" w14:textId="625B57A0" w:rsidR="00802FC6" w:rsidRPr="00573B96" w:rsidRDefault="00802FC6" w:rsidP="00573B96">
      <w:pPr>
        <w:spacing w:line="280" w:lineRule="atLeast"/>
        <w:ind w:right="1813"/>
        <w:jc w:val="left"/>
        <w:rPr>
          <w:rFonts w:cs="Times New Roman"/>
          <w:szCs w:val="24"/>
        </w:rPr>
      </w:pPr>
    </w:p>
    <w:p w14:paraId="047181E5"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Færdselsstyrelsen har ikke i medfør af gældende regler hjemmel til at kontrollere køretøjer med henblik på opkrævning af forfaldne bøder.</w:t>
      </w:r>
    </w:p>
    <w:p w14:paraId="1190CEB7" w14:textId="77777777" w:rsidR="00802FC6" w:rsidRPr="00573B96" w:rsidRDefault="00802FC6" w:rsidP="00573B96">
      <w:pPr>
        <w:spacing w:line="280" w:lineRule="atLeast"/>
        <w:ind w:right="1813"/>
        <w:jc w:val="left"/>
        <w:rPr>
          <w:rFonts w:cs="Times New Roman"/>
          <w:szCs w:val="24"/>
        </w:rPr>
      </w:pPr>
    </w:p>
    <w:p w14:paraId="7B56EF82" w14:textId="77777777" w:rsidR="00802FC6" w:rsidRPr="00573B96" w:rsidRDefault="00802FC6" w:rsidP="00573B96">
      <w:pPr>
        <w:spacing w:line="280" w:lineRule="atLeast"/>
        <w:ind w:right="1813"/>
        <w:jc w:val="left"/>
        <w:rPr>
          <w:rFonts w:eastAsia="Calibri" w:cs="Times New Roman"/>
          <w:szCs w:val="24"/>
        </w:rPr>
      </w:pPr>
      <w:r w:rsidRPr="00573B96">
        <w:rPr>
          <w:rFonts w:cs="Times New Roman"/>
          <w:szCs w:val="24"/>
        </w:rPr>
        <w:t xml:space="preserve">Det foreslås, at der i synsloven indsættes en </w:t>
      </w:r>
      <w:r w:rsidRPr="00573B96">
        <w:rPr>
          <w:rFonts w:cs="Times New Roman"/>
          <w:i/>
          <w:iCs/>
          <w:szCs w:val="24"/>
        </w:rPr>
        <w:t>§ 12 a</w:t>
      </w:r>
      <w:r w:rsidRPr="00573B96">
        <w:rPr>
          <w:rFonts w:cs="Times New Roman"/>
          <w:szCs w:val="24"/>
        </w:rPr>
        <w:t xml:space="preserve">, der i </w:t>
      </w:r>
      <w:r w:rsidRPr="00573B96">
        <w:rPr>
          <w:rFonts w:cs="Times New Roman"/>
          <w:i/>
          <w:iCs/>
          <w:szCs w:val="24"/>
        </w:rPr>
        <w:t>stk. 1</w:t>
      </w:r>
      <w:r w:rsidRPr="00573B96">
        <w:rPr>
          <w:rFonts w:cs="Times New Roman"/>
          <w:szCs w:val="24"/>
        </w:rPr>
        <w:t xml:space="preserve"> fastsætter, at </w:t>
      </w:r>
      <w:r w:rsidRPr="00573B96">
        <w:rPr>
          <w:rFonts w:eastAsia="Calibri" w:cs="Times New Roman"/>
          <w:szCs w:val="24"/>
        </w:rPr>
        <w:t>Færdselsstyrelsen ved vejsiden kan foretage kontrol og opkrævning af endelig afgjorte og forfaldne bøder for overtrædelse af lov om vejafgift, hvis skyldneren og det motordrevne køretøj, med hvilket overtrædelsen er begået, er hjemmehørende i udlandet. Det fremgår endvidere af den foreslåede § 12 a, stk. 1, at Færdselsstyrelsen i den forbindelse kan anvise og ledsage køretøjet til et kontrolsted, som køretøjet ikke må forlade, før betalingsforholdet er afklaret</w:t>
      </w:r>
    </w:p>
    <w:p w14:paraId="512F54CC" w14:textId="77777777" w:rsidR="00802FC6" w:rsidRPr="00573B96" w:rsidRDefault="00802FC6" w:rsidP="00573B96">
      <w:pPr>
        <w:spacing w:line="280" w:lineRule="atLeast"/>
        <w:ind w:right="1813"/>
        <w:jc w:val="left"/>
        <w:rPr>
          <w:rFonts w:cs="Times New Roman"/>
          <w:szCs w:val="24"/>
        </w:rPr>
      </w:pPr>
    </w:p>
    <w:p w14:paraId="1FD4F8A4"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 sager, der i medfør af den foreslåede bestemmelse vil kunne sendes til Færdselsstyrelsen til opkrævning, vil være de samme sager vedrørende bøder for manglende betaling af vejafgift, som kan sendes til opkrævning hos Sund &amp; Bælt Holding A/S i medfør af færdselslovens § 120 c, stk. 1, jf. stk. 3 og 5.</w:t>
      </w:r>
    </w:p>
    <w:p w14:paraId="48537FF2" w14:textId="77777777" w:rsidR="00802FC6" w:rsidRPr="00573B96" w:rsidRDefault="00802FC6" w:rsidP="00573B96">
      <w:pPr>
        <w:spacing w:line="280" w:lineRule="atLeast"/>
        <w:ind w:right="1813"/>
        <w:jc w:val="left"/>
        <w:rPr>
          <w:rFonts w:cs="Times New Roman"/>
          <w:szCs w:val="24"/>
        </w:rPr>
      </w:pPr>
    </w:p>
    <w:p w14:paraId="466054FC"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Det betyder, at bøden vil skulle være endelig afgjort enten ved dom eller udenretligt vedtaget.  Har skyldneren indgået en afdragsordning om betaling af en endelig afgjort bøde og misligholdes denne afdragsordning, vil den ubetalte del af bøden også kunne sendes til opkrævning hos Færdselsstyrelsen.</w:t>
      </w:r>
    </w:p>
    <w:p w14:paraId="78A91ADD" w14:textId="77777777" w:rsidR="00802FC6" w:rsidRPr="00573B96" w:rsidRDefault="00802FC6" w:rsidP="00573B96">
      <w:pPr>
        <w:spacing w:line="280" w:lineRule="atLeast"/>
        <w:ind w:right="1813"/>
        <w:jc w:val="left"/>
        <w:rPr>
          <w:rFonts w:cs="Times New Roman"/>
          <w:szCs w:val="24"/>
        </w:rPr>
      </w:pPr>
    </w:p>
    <w:p w14:paraId="0A788FE4"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Bøden vil endvidere skulle være forfalden. Det vil sige, at betalingsfristen for den pågældende fordring skal være udløbet. Det er ikke et krav efter den foreslåede bestemmelse, at der af fordringshaver har været iværksat og afsluttet en rykkerprocedure efter forfaldsdagen, før fordringen vil kunne opkræves via Færdselsstyrelsen. Den fordring, der i medfør af bestemmelsen vil kunne opkræves via Færdselsstyrelsen, vil imidlertid omfatte renter, rykkergebyrer og inkassogebyrer m.v., hvis sådanne måtte være tillagt fordringen efter rentelovens regler.</w:t>
      </w:r>
    </w:p>
    <w:p w14:paraId="4E34DE31" w14:textId="77777777" w:rsidR="00802FC6" w:rsidRPr="00573B96" w:rsidRDefault="00802FC6" w:rsidP="00573B96">
      <w:pPr>
        <w:spacing w:line="280" w:lineRule="atLeast"/>
        <w:ind w:right="1813"/>
        <w:jc w:val="left"/>
        <w:rPr>
          <w:rFonts w:cs="Times New Roman"/>
          <w:szCs w:val="24"/>
        </w:rPr>
      </w:pPr>
    </w:p>
    <w:p w14:paraId="5D3CD8C3"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Der vil blive tale om et samlet opkrævningstiltag hos Sund &amp; Bælt Holding A/S og Færdselsstyrelsen, som politiet vil kunne benytte sig af i forlængelse af øvrige opkrævningsforanstaltninger. Hvis fordringer sendes til opkrævning hos Sund &amp; Bælt Holding A/S og Færdselsstyrelsen, vil det således skulle ske forud for overdragelse af fordringen til inddrivelse hos Gældsstyrelsen. Der vil derfor ikke blive tale om sideløbende inddrivelsesforløb. Fordringer, der er sendt til inddrivelse hos Gældsstyrelsen, vil ikke kunne opkræves af Færdselsstyrelsen (og Sund &amp; Bælt Holding A/S) efter den foreslåede ordning. Gældsstyrelsen vil fortsat være restanceinddrivelsesmyndighed, og overdragelse af fordringer til inddrivelse hos Gældsstyrelsen vil således fortsat skulle ske efter reglerne i gældsinddrivelsesloven, straffuldbyrdelseslovens §§ 91-92 og bødebekendtgørelsens § 5.</w:t>
      </w:r>
    </w:p>
    <w:p w14:paraId="02549E50" w14:textId="77777777" w:rsidR="00802FC6" w:rsidRPr="00573B96" w:rsidRDefault="00802FC6" w:rsidP="00573B96">
      <w:pPr>
        <w:spacing w:line="280" w:lineRule="atLeast"/>
        <w:ind w:right="1813"/>
        <w:jc w:val="left"/>
        <w:rPr>
          <w:rFonts w:cs="Times New Roman"/>
          <w:szCs w:val="24"/>
        </w:rPr>
      </w:pPr>
    </w:p>
    <w:p w14:paraId="034A2501"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Den foreslåede adgang til at opkræve forfaldne bøder for manglende betaling af vejafgift vil kun finde anvendelse, hvis både den, som er blevet pålagt bøden, som andre, der måtte hæfter for bøden, og det motordrevne køretøj, med hvilket overtrædelsen er begået, er hjemmehørende i udlandet. </w:t>
      </w:r>
    </w:p>
    <w:p w14:paraId="4E7A44D9" w14:textId="77777777" w:rsidR="00802FC6" w:rsidRPr="00573B96" w:rsidRDefault="00802FC6" w:rsidP="00573B96">
      <w:pPr>
        <w:spacing w:line="280" w:lineRule="atLeast"/>
        <w:ind w:right="1813"/>
        <w:jc w:val="left"/>
        <w:rPr>
          <w:rFonts w:cs="Times New Roman"/>
          <w:szCs w:val="24"/>
        </w:rPr>
      </w:pPr>
    </w:p>
    <w:p w14:paraId="43B00D1F"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En fører, der er idømt eller har vedtaget en bøde for manglende betaling af vejafgift, og andre der eventuelt måtte hæfte for bøden, anses i den foreslåede bestemmelses forstand for hjemmehørende i udlandet, hvis vedkommende ikke har fast bopæl i Danmark. Det motordrevne køretøj anses i bestemmelsens forstand for hjemmehørende i udlandet, hvis køretøjet ikke er indregistreret i Danmark.</w:t>
      </w:r>
    </w:p>
    <w:p w14:paraId="53F43DB8" w14:textId="77777777" w:rsidR="00802FC6" w:rsidRPr="00573B96" w:rsidRDefault="00802FC6" w:rsidP="00573B96">
      <w:pPr>
        <w:spacing w:line="280" w:lineRule="atLeast"/>
        <w:ind w:right="1813"/>
        <w:jc w:val="left"/>
        <w:rPr>
          <w:rFonts w:cs="Times New Roman"/>
          <w:szCs w:val="24"/>
        </w:rPr>
      </w:pPr>
    </w:p>
    <w:p w14:paraId="5BF0A56B"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Da det er et krav efter den foreslåede bestemmelse, at både skyldneren, og andre der eventuelt måtte hæfte for bøden, og det motordrevne køretøj skal være hjemmehørende i udlandet, vil Færdselsstyrelsen ikke kunne opkræve bøden, hvis den der er blevet idømt eller har vedtaget bøden eller andre der måtte hæfte for bøden, er hjemmehørende her i landet, selv om køretøjet er indregistreret i udlandet, eller hvis den der er blevet idømt eller har vedtaget bøden eller andre der måtte hæfte for bøden, er hjemmehørende i udlandet, og køretøjet er indregistreret i Danmark</w:t>
      </w:r>
    </w:p>
    <w:p w14:paraId="3A06D117" w14:textId="77777777" w:rsidR="00802FC6" w:rsidRPr="00573B96" w:rsidRDefault="00802FC6" w:rsidP="00573B96">
      <w:pPr>
        <w:spacing w:line="280" w:lineRule="atLeast"/>
        <w:ind w:right="1813"/>
        <w:jc w:val="left"/>
        <w:rPr>
          <w:rFonts w:cs="Times New Roman"/>
          <w:szCs w:val="24"/>
        </w:rPr>
      </w:pPr>
    </w:p>
    <w:p w14:paraId="32902351"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Ifølge den foreslåede bestemmelses </w:t>
      </w:r>
      <w:r w:rsidRPr="00573B96">
        <w:rPr>
          <w:rFonts w:cs="Times New Roman"/>
          <w:i/>
          <w:iCs/>
          <w:szCs w:val="24"/>
        </w:rPr>
        <w:t>2. pkt.,</w:t>
      </w:r>
      <w:r w:rsidRPr="00573B96">
        <w:rPr>
          <w:rFonts w:cs="Times New Roman"/>
          <w:szCs w:val="24"/>
        </w:rPr>
        <w:t xml:space="preserve"> kan </w:t>
      </w:r>
      <w:r w:rsidRPr="00573B96">
        <w:rPr>
          <w:rFonts w:eastAsia="Calibri" w:cs="Times New Roman"/>
          <w:szCs w:val="24"/>
        </w:rPr>
        <w:t>Færdselsstyrelsen anvise og ledsage køretøjet til et kontrolsted, som køretøjet ikke må forlade, før betalingsforholdet er afklaret</w:t>
      </w:r>
      <w:r w:rsidRPr="00573B96">
        <w:rPr>
          <w:rFonts w:cs="Times New Roman"/>
          <w:szCs w:val="24"/>
        </w:rPr>
        <w:t>.</w:t>
      </w:r>
    </w:p>
    <w:p w14:paraId="5EA7AA99" w14:textId="77777777" w:rsidR="00802FC6" w:rsidRPr="00573B96" w:rsidRDefault="00802FC6" w:rsidP="00573B96">
      <w:pPr>
        <w:spacing w:line="280" w:lineRule="atLeast"/>
        <w:ind w:right="1813"/>
        <w:jc w:val="left"/>
        <w:rPr>
          <w:rFonts w:cs="Times New Roman"/>
          <w:szCs w:val="24"/>
        </w:rPr>
      </w:pPr>
    </w:p>
    <w:p w14:paraId="6148970E"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Den foreslåede bestemmelse giver ikke Færdselsstyrelsen beføjelser til at tvinge udenlandske køretøjer til standsning. Færdselsstyrelsen vil alene få alene hjemmel til ved tydelig afmærkning af kontrolstedet og kontrolpersonale at anvise køretøjerne til et kontrolsted. Færdselsstyrelsen vil således ikke kunne eftersætte et køretøj, der ikke følger styrelsens anvisninger om standsning.</w:t>
      </w:r>
    </w:p>
    <w:p w14:paraId="38D7EE5F" w14:textId="77777777" w:rsidR="00802FC6" w:rsidRPr="00573B96" w:rsidRDefault="00802FC6" w:rsidP="00573B96">
      <w:pPr>
        <w:spacing w:line="280" w:lineRule="atLeast"/>
        <w:ind w:right="1813"/>
        <w:jc w:val="left"/>
        <w:rPr>
          <w:rFonts w:cs="Times New Roman"/>
          <w:szCs w:val="24"/>
        </w:rPr>
      </w:pPr>
    </w:p>
    <w:p w14:paraId="4EE076C5"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Det foreslås med lovforslagets § 2, nr. 2, at det </w:t>
      </w:r>
      <w:r w:rsidRPr="00573B96">
        <w:rPr>
          <w:rFonts w:eastAsia="Calibri" w:cs="Times New Roman"/>
          <w:szCs w:val="24"/>
        </w:rPr>
        <w:t xml:space="preserve">vil være </w:t>
      </w:r>
      <w:r w:rsidRPr="00573B96">
        <w:rPr>
          <w:rFonts w:cs="Times New Roman"/>
          <w:szCs w:val="24"/>
        </w:rPr>
        <w:t>strafbelagt med bøde, hvis Færdselsstyrelsens anvisninger efter den foreslåede § 12 a, stk. 1, ikke følges. Der henvises herved nærmere til bemærkningerne til lovforslagets § 2, nr. 2.</w:t>
      </w:r>
    </w:p>
    <w:p w14:paraId="14394F9E" w14:textId="77777777" w:rsidR="00802FC6" w:rsidRPr="00573B96" w:rsidRDefault="00802FC6" w:rsidP="00573B96">
      <w:pPr>
        <w:spacing w:line="280" w:lineRule="atLeast"/>
        <w:ind w:right="1813"/>
        <w:jc w:val="left"/>
        <w:rPr>
          <w:rFonts w:cs="Times New Roman"/>
          <w:szCs w:val="24"/>
        </w:rPr>
      </w:pPr>
    </w:p>
    <w:p w14:paraId="75B01106"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I praksis vil Færdselsstyrelsen på baggrund af køretøjets nummerplade skulle indgive en anmeldelse til politiet, hvis det konstateres, at føreren kører videre, selv om Færdselsstyrelsens medarbejder har givet anvisninger til føreren. I forhold til udenlandske køretøjer skal politi og anklagemyndighed, på samme måde som for eksempel ved hastighedsoverskridelser, der konstateres ved fartkameraer, på baggrund af Færdselsstyrelsens anmeldelse igangsætte en efterforskning i samspil med relevante myndigheder i den medlemsstat, hvor køretøjet er indregistreret med henblik på at finde frem til, hvem der har ført køretøjet.</w:t>
      </w:r>
    </w:p>
    <w:p w14:paraId="7E8A0EF5" w14:textId="77777777" w:rsidR="00802FC6" w:rsidRPr="00573B96" w:rsidRDefault="00802FC6" w:rsidP="00573B96">
      <w:pPr>
        <w:spacing w:line="280" w:lineRule="atLeast"/>
        <w:ind w:right="1813"/>
        <w:jc w:val="left"/>
        <w:rPr>
          <w:rFonts w:cs="Times New Roman"/>
          <w:szCs w:val="24"/>
        </w:rPr>
      </w:pPr>
    </w:p>
    <w:p w14:paraId="116CCFE8"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Ifølge den foreslåede bestemmelse må køretøjet ikke forlade kontrolstedet, før betalingsforholdet er afklaret. Det betyder, at bøden enten skal betales på stedet, eller at føreren kan fremvise dokumentation for, at bøden er blevet betalt. Det sidstnævnte vil kunne være tilfældet, hvis føreren tidligere samme dag har betalt bøden, for eksempel i forbindelse med passage af Storebæltsforbindelsen. Det vil være Færdselsstyrelsen, som bestemmer, hvornår betalingsforholdet er afklaret, og dermed hvornår køretøjet kan forlade kontrolstedet. Hvis det kontrollerede køretøj er et vogntog, vil det alene være det trækkende køretøj, der ikke må forlade kontrolstedet. Et påhængskøretøj vil derimod kunne afhentes af et andet trækkende køretøj, hvortil der ikke er knyttet endelige og forfaldne bøder for manglende betaling af vejafgift. </w:t>
      </w:r>
    </w:p>
    <w:p w14:paraId="1670B759" w14:textId="77777777" w:rsidR="00802FC6" w:rsidRPr="00573B96" w:rsidRDefault="00802FC6" w:rsidP="00573B96">
      <w:pPr>
        <w:spacing w:line="280" w:lineRule="atLeast"/>
        <w:ind w:right="1813"/>
        <w:jc w:val="left"/>
        <w:rPr>
          <w:rFonts w:cs="Times New Roman"/>
          <w:szCs w:val="24"/>
        </w:rPr>
      </w:pPr>
    </w:p>
    <w:p w14:paraId="7D36906B"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Da de bøder, der kan opkræves, skal være endelige og forfaldne, vil føreren ikke kunne fremsætte indsigelser mod fordringens eksistens eller bødens størrelse over for Færdselsstyrelsen. Indsigelser, som føreren måtte have, til trods for, at bøden er endelig afgjort, for eksempel fordi føreren mener, at der er indberettet en for stor bøde, vil føreren være henvist til efterfølgende at rette til fordringshaveren, det vil sige politiet. </w:t>
      </w:r>
    </w:p>
    <w:p w14:paraId="314F56D4" w14:textId="77777777" w:rsidR="00802FC6" w:rsidRPr="00573B96" w:rsidRDefault="00802FC6" w:rsidP="00573B96">
      <w:pPr>
        <w:spacing w:line="280" w:lineRule="atLeast"/>
        <w:ind w:right="1813"/>
        <w:jc w:val="left"/>
        <w:rPr>
          <w:rFonts w:cs="Times New Roman"/>
          <w:szCs w:val="24"/>
        </w:rPr>
      </w:pPr>
    </w:p>
    <w:p w14:paraId="4BC2C387"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Bøder, der er pålagt udenlandske skyldnere, knytter sig i medfør af den foreslåede bestemmelse til det udenlandske køretøj, som overtrædelsen er begået med. Det vil således være uden betydning, at den aktuelle fører af køretøjet ikke er den skyldner, som oprindelig er blevet idømt eller har vedtaget bøden. Det vil for eksempel kunne være tilfældet, hvis køretøjet har skiftet ejer, siden bøden er blevet idømt eller vedtaget, eller fordi køretøjet tilhører en transportvirksomhed, hvis køretøjer benyttes af forskellige førere. Det vil for eksempel også kunne være tilfældet, hvis køretøjet er et udenlandsk udlejnings- eller leasingkøretøj, og bøden tidligere er blevet idømt eller vedtaget af en anden udenlandsk fører under brug af samme køretøj. Hvis den aktuelle fører i sådanne situationer vælger at betale bøden for at få mulighed for at forlade kontrolstedet, vil et sådant forhold skulle anses som et civilretligt anliggende mellem den betalende, aktuelle fører og den skyldner, der oprindelig blev idømt eller vedtog bøden.</w:t>
      </w:r>
    </w:p>
    <w:p w14:paraId="09D3FAF2" w14:textId="77777777" w:rsidR="00802FC6" w:rsidRPr="00573B96" w:rsidRDefault="00802FC6" w:rsidP="00573B96">
      <w:pPr>
        <w:spacing w:line="280" w:lineRule="atLeast"/>
        <w:ind w:right="1813"/>
        <w:jc w:val="left"/>
        <w:rPr>
          <w:rFonts w:cs="Times New Roman"/>
          <w:szCs w:val="24"/>
        </w:rPr>
      </w:pPr>
    </w:p>
    <w:p w14:paraId="244ED4C8"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Den foreslåede bestemmelse stiller ikke krav om, at den aktuelle fører skal være hjemmehørende i udlandet. Passage vil således kunne nægtes i medfør af bestemmelsen, uanset om den aktuelle fører er hjemmehørende i Danmark eller udlandet.</w:t>
      </w:r>
    </w:p>
    <w:p w14:paraId="7F45BF57" w14:textId="77777777" w:rsidR="00802FC6" w:rsidRPr="00573B96" w:rsidRDefault="00802FC6" w:rsidP="00573B96">
      <w:pPr>
        <w:spacing w:line="280" w:lineRule="atLeast"/>
        <w:ind w:right="1813"/>
        <w:jc w:val="left"/>
        <w:rPr>
          <w:rFonts w:cs="Times New Roman"/>
          <w:szCs w:val="24"/>
        </w:rPr>
      </w:pPr>
    </w:p>
    <w:p w14:paraId="31CA5FC5" w14:textId="77777777" w:rsidR="00802FC6" w:rsidRPr="00573B96" w:rsidRDefault="00802FC6" w:rsidP="00573B96">
      <w:pPr>
        <w:spacing w:line="280" w:lineRule="atLeast"/>
        <w:ind w:right="1813"/>
        <w:jc w:val="left"/>
        <w:rPr>
          <w:rFonts w:cs="Times New Roman"/>
          <w:color w:val="1F1F1F"/>
          <w:szCs w:val="24"/>
          <w:shd w:val="clear" w:color="auto" w:fill="FFFFFF"/>
        </w:rPr>
      </w:pPr>
      <w:r w:rsidRPr="00573B96">
        <w:rPr>
          <w:rFonts w:cs="Times New Roman"/>
          <w:color w:val="1F1F1F"/>
          <w:szCs w:val="24"/>
          <w:shd w:val="clear" w:color="auto" w:fill="FFFFFF"/>
        </w:rPr>
        <w:t xml:space="preserve">Det er hensigten, at kontrollen og opkrævningen i vidt omfang vil skulle udføres samtidig med Færdselsstyrelsens vejsidesyn, således at køretøjer, der er udvalgt til vejsidesyn efter synslovens og vejsidesynsbekendtgørelsens regler, samtidig vil kunne kontrolleres og opkræves for ubetalte bøder for manglende betaling af vejafgift. </w:t>
      </w:r>
    </w:p>
    <w:p w14:paraId="3BC8E973" w14:textId="77777777" w:rsidR="00802FC6" w:rsidRPr="00573B96" w:rsidRDefault="00802FC6" w:rsidP="00573B96">
      <w:pPr>
        <w:spacing w:line="280" w:lineRule="atLeast"/>
        <w:ind w:right="1813"/>
        <w:jc w:val="left"/>
        <w:rPr>
          <w:rFonts w:cs="Times New Roman"/>
          <w:color w:val="1F1F1F"/>
          <w:szCs w:val="24"/>
          <w:shd w:val="clear" w:color="auto" w:fill="FFFFFF"/>
        </w:rPr>
      </w:pPr>
    </w:p>
    <w:p w14:paraId="25B0B54C" w14:textId="77777777" w:rsidR="00802FC6" w:rsidRPr="00573B96" w:rsidRDefault="00802FC6" w:rsidP="00573B96">
      <w:pPr>
        <w:spacing w:line="280" w:lineRule="atLeast"/>
        <w:ind w:right="1813"/>
        <w:jc w:val="left"/>
        <w:rPr>
          <w:rFonts w:eastAsia="Times New Roman" w:cs="Times New Roman"/>
          <w:color w:val="1F1F1F"/>
          <w:szCs w:val="24"/>
          <w:lang w:eastAsia="da-DK"/>
        </w:rPr>
      </w:pPr>
      <w:r w:rsidRPr="00573B96">
        <w:rPr>
          <w:rFonts w:cs="Times New Roman"/>
          <w:color w:val="1F1F1F"/>
          <w:szCs w:val="24"/>
          <w:shd w:val="clear" w:color="auto" w:fill="FFFFFF"/>
        </w:rPr>
        <w:t>Da der i medfør af den foreslåede bestemmelse udelukkende vil kunne opkræves ubetalte bøder hos udenlandske køretøjer, vil Færdselsstyrelsens medarbejdere dog ikke kunne udvælge køretøjer til vejsidesyn alene på baggrund af oplysninger om ubetalte bøder for manglende betaling af vejafgift. Det ville være i med vejsidesynsdirektivets artikel 8, stk.1, der er implementeret i vejsidesynsbekendtgørelsens § 6, stk. 3, og som indeholder et forbud mod</w:t>
      </w:r>
      <w:r w:rsidRPr="00573B96">
        <w:rPr>
          <w:rFonts w:eastAsia="Times New Roman" w:cs="Times New Roman"/>
          <w:color w:val="1F1F1F"/>
          <w:szCs w:val="24"/>
          <w:lang w:eastAsia="da-DK"/>
        </w:rPr>
        <w:t xml:space="preserve"> enhver forskelsbehandling ved udvælgelsen på grund af førerens nationalitet eller køretøjets registrerings- eller ibrugtagningsland. Der</w:t>
      </w:r>
      <w:r w:rsidRPr="00573B96">
        <w:rPr>
          <w:rFonts w:cs="Times New Roman"/>
          <w:color w:val="1F1F1F"/>
          <w:szCs w:val="24"/>
          <w:shd w:val="clear" w:color="auto" w:fill="FFFFFF"/>
        </w:rPr>
        <w:t xml:space="preserve"> vil dog ikke være til hinder for, at køretøjer, der er udvalgt til selvstændig kontrol og opkrævning for ubetalte bøder, også undergives et vejsidesyn, hvis det viser sig, at det pågældende køretøj tilhører en virksomhed med en høj risikoklassificering, eller hvis der i øvrigt måtte være konkret forhold ved køretøjet (for eksempel synligt nedslidte dæk og lignende) eller chaufførens opførsel, som giver anledning til at undergive køretøjet et vejsidesyn.</w:t>
      </w:r>
    </w:p>
    <w:p w14:paraId="0727FA42" w14:textId="77777777" w:rsidR="00802FC6" w:rsidRPr="00573B96" w:rsidRDefault="00802FC6" w:rsidP="00573B96">
      <w:pPr>
        <w:spacing w:line="280" w:lineRule="atLeast"/>
        <w:ind w:right="1813"/>
        <w:jc w:val="left"/>
        <w:rPr>
          <w:rFonts w:eastAsia="Calibri" w:cs="Times New Roman"/>
          <w:szCs w:val="24"/>
        </w:rPr>
      </w:pPr>
    </w:p>
    <w:p w14:paraId="23B85AB2" w14:textId="77777777"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 xml:space="preserve">Det foreslås i </w:t>
      </w:r>
      <w:r w:rsidRPr="00573B96">
        <w:rPr>
          <w:rFonts w:eastAsia="Calibri" w:cs="Times New Roman"/>
          <w:i/>
          <w:iCs/>
          <w:szCs w:val="24"/>
        </w:rPr>
        <w:t>§ 12 a, stk. 2,</w:t>
      </w:r>
      <w:r w:rsidRPr="00573B96">
        <w:rPr>
          <w:rFonts w:eastAsia="Calibri" w:cs="Times New Roman"/>
          <w:szCs w:val="24"/>
        </w:rPr>
        <w:t xml:space="preserve"> at stk. 1 ikke finder anvendelse med hensyn til skyldnere, der er hjemmehørende i Finland, Island, Norge eller Sverige.</w:t>
      </w:r>
    </w:p>
    <w:p w14:paraId="727C1249" w14:textId="77777777" w:rsidR="00802FC6" w:rsidRPr="00573B96" w:rsidRDefault="00802FC6" w:rsidP="00573B96">
      <w:pPr>
        <w:spacing w:line="280" w:lineRule="atLeast"/>
        <w:ind w:right="1813"/>
        <w:jc w:val="left"/>
        <w:rPr>
          <w:rFonts w:eastAsia="Calibri" w:cs="Times New Roman"/>
          <w:szCs w:val="24"/>
        </w:rPr>
      </w:pPr>
    </w:p>
    <w:p w14:paraId="1CD6807E" w14:textId="5E177F92"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 xml:space="preserve">Baggrunden for, at den foreslåede </w:t>
      </w:r>
      <w:r w:rsidR="00C44823">
        <w:rPr>
          <w:rFonts w:eastAsia="Calibri" w:cs="Times New Roman"/>
          <w:szCs w:val="24"/>
        </w:rPr>
        <w:t xml:space="preserve">bestemmelse </w:t>
      </w:r>
      <w:r w:rsidRPr="00573B96">
        <w:rPr>
          <w:rFonts w:eastAsia="Calibri" w:cs="Times New Roman"/>
          <w:szCs w:val="24"/>
        </w:rPr>
        <w:t>ikke vil finde anvendelse med hensyn til skyldnere, som er hjemmehørende i Finland, Island, Norge eller Sverige, er, at der for disse lande er særligt lette muligheder for inddrivelse af strafferetlige bøder, jf. lov om samarbejde med Finland, Island, Norge og Sverige angående fuldbyrdelse af straf m.v., jf. lovbekendtgørelse nr. 555 af 25. maj 2011 med senere ændringer.</w:t>
      </w:r>
    </w:p>
    <w:p w14:paraId="6C0C32EB" w14:textId="77777777" w:rsidR="00802FC6" w:rsidRPr="00573B96" w:rsidRDefault="00802FC6" w:rsidP="00573B96">
      <w:pPr>
        <w:spacing w:line="280" w:lineRule="atLeast"/>
        <w:ind w:right="1813"/>
        <w:jc w:val="left"/>
        <w:rPr>
          <w:rFonts w:eastAsia="Calibri" w:cs="Times New Roman"/>
          <w:szCs w:val="24"/>
        </w:rPr>
      </w:pPr>
    </w:p>
    <w:p w14:paraId="2B0A56B6" w14:textId="77777777"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Det foreslås i</w:t>
      </w:r>
      <w:r w:rsidRPr="00573B96">
        <w:rPr>
          <w:rFonts w:eastAsia="Calibri" w:cs="Times New Roman"/>
          <w:i/>
          <w:iCs/>
          <w:szCs w:val="24"/>
        </w:rPr>
        <w:t xml:space="preserve"> § 12 a, stk. 3,</w:t>
      </w:r>
      <w:r w:rsidRPr="00573B96">
        <w:rPr>
          <w:rFonts w:eastAsia="Calibri" w:cs="Times New Roman"/>
          <w:szCs w:val="24"/>
        </w:rPr>
        <w:t xml:space="preserve"> at transportministeren kan fastsætte nærmere regler om kontrol og opkrævning efter stk. 1, herunder at regler fastsat i medfør af § 11, stk. 2, finder tilsvarende anvendelse ved kontrol og opkrævning efter stk. 1. Det fremgår endvidere af den foreslåede § 12 a, stk. 3, at transportministeren efter forhandling med justitsministeren kan fastsætte nærmere regler om oversendelse af sager til kontrol og opkrævning.</w:t>
      </w:r>
    </w:p>
    <w:p w14:paraId="46AD48FA" w14:textId="77777777" w:rsidR="00802FC6" w:rsidRPr="00573B96" w:rsidRDefault="00802FC6" w:rsidP="00573B96">
      <w:pPr>
        <w:spacing w:line="280" w:lineRule="atLeast"/>
        <w:ind w:right="1813"/>
        <w:jc w:val="left"/>
        <w:rPr>
          <w:rFonts w:eastAsia="Calibri" w:cs="Times New Roman"/>
          <w:szCs w:val="24"/>
        </w:rPr>
      </w:pPr>
    </w:p>
    <w:p w14:paraId="00D575E4" w14:textId="77777777"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 xml:space="preserve">Det er hensigten at benytte bemyndigelsesbestemmelsen i den foreslåede § 12 a, stk. 3, 1. pkt., til at ændre reglerne i vejsidesynsbekendtgørelsen, således at bekendtgørelsens regler om blandt andet indretning og afmærkning af køretøjer og kontrolsteder også vil finde anvendelse i forbindelse med den kontrol og opkrævning af forfaldne bøder for manglende betaling af vejafgift, som det foreslås, at Færdselsstyrelsen kan foretage. Tilsvarende er det hensigten at fastsætte nærmere regler om gennemførelse af kontrollen og opkrævningen, herunder vejledning af føreren om betaling og opkrævningsperiodens længde. </w:t>
      </w:r>
    </w:p>
    <w:p w14:paraId="181861DB" w14:textId="77777777" w:rsidR="00802FC6" w:rsidRPr="00573B96" w:rsidRDefault="00802FC6" w:rsidP="00573B96">
      <w:pPr>
        <w:spacing w:line="280" w:lineRule="atLeast"/>
        <w:ind w:right="1813"/>
        <w:jc w:val="left"/>
        <w:rPr>
          <w:rFonts w:eastAsia="Calibri" w:cs="Times New Roman"/>
          <w:szCs w:val="24"/>
        </w:rPr>
      </w:pPr>
    </w:p>
    <w:p w14:paraId="7A6EC09C" w14:textId="77777777"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 xml:space="preserve">Det er endvidere hensigten at benytte bemyndigelsesbestemmelsen i den foreslåede § 12 a, stk. 3, 2. pkt., til efter forhandling med justitsministeren at ændre reglerne i passagenægtelsesbekendtgørelsen, således at bekendtgørelsens regler om udveksling af oplysninger mellem politiet og Sund &amp; Bælt Holding A/S, herunder oversendelse af bøder til opkrævning hos Sund &amp; Bælt Holding A/S, også vil finde anvendelse i forhold til Færdselsstyrelsen. Det er således tanken, at politiet samtidig med, at politiet sender sager til opkrævning hos Sund &amp; Bælt Holding A/S skal sende de samme sager, inklusiv oplysninger om sagerne, til Færdselsstyrelsen. </w:t>
      </w:r>
    </w:p>
    <w:p w14:paraId="4EEC0999" w14:textId="77777777" w:rsidR="00C44823" w:rsidRDefault="00C44823" w:rsidP="00573B96">
      <w:pPr>
        <w:spacing w:line="280" w:lineRule="atLeast"/>
        <w:ind w:right="1813"/>
        <w:jc w:val="left"/>
        <w:rPr>
          <w:rFonts w:eastAsia="Calibri" w:cs="Times New Roman"/>
          <w:szCs w:val="24"/>
        </w:rPr>
      </w:pPr>
    </w:p>
    <w:p w14:paraId="05E012E7" w14:textId="3152C212"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Færdselsstyrelsen vil være selvstændig dataansvarlig for de herved indsamlede oplysninger og vil skulle behandle oplysningerne i overensstemmelse med de databeskyttelsesretlige regler, herunder databeskyttelsesforordningen og databeskyttelsesloven.</w:t>
      </w:r>
    </w:p>
    <w:p w14:paraId="0041EB48" w14:textId="77777777" w:rsidR="00802FC6" w:rsidRPr="00573B96" w:rsidRDefault="00802FC6" w:rsidP="00573B96">
      <w:pPr>
        <w:spacing w:line="280" w:lineRule="atLeast"/>
        <w:ind w:right="1813"/>
        <w:jc w:val="left"/>
        <w:rPr>
          <w:rFonts w:eastAsia="Calibri" w:cs="Times New Roman"/>
          <w:szCs w:val="24"/>
        </w:rPr>
      </w:pPr>
    </w:p>
    <w:p w14:paraId="7BEBE7F1"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Til nr. 2</w:t>
      </w:r>
    </w:p>
    <w:p w14:paraId="242E1100" w14:textId="77777777" w:rsidR="00802FC6" w:rsidRPr="00573B96" w:rsidRDefault="00802FC6" w:rsidP="00573B96">
      <w:pPr>
        <w:spacing w:line="280" w:lineRule="atLeast"/>
        <w:ind w:right="1813"/>
        <w:jc w:val="left"/>
        <w:rPr>
          <w:rFonts w:cs="Times New Roman"/>
          <w:szCs w:val="24"/>
        </w:rPr>
      </w:pPr>
    </w:p>
    <w:p w14:paraId="164EE606"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Det følger af synslovens § 36, stk. 3, at en fører af et erhvervskøretøj eller en motorcykel, der ikke efterkommer Færdselsstyrelsens anvisninger ved syn ved vejsiden efter § 11, stk. 1, straffes med bøde.</w:t>
      </w:r>
    </w:p>
    <w:p w14:paraId="6BDB306B" w14:textId="77777777" w:rsidR="00802FC6" w:rsidRPr="00573B96" w:rsidRDefault="00802FC6" w:rsidP="00573B96">
      <w:pPr>
        <w:spacing w:line="280" w:lineRule="atLeast"/>
        <w:ind w:right="1813"/>
        <w:jc w:val="left"/>
        <w:rPr>
          <w:rFonts w:cs="Times New Roman"/>
          <w:szCs w:val="24"/>
        </w:rPr>
      </w:pPr>
    </w:p>
    <w:p w14:paraId="52DD7A92" w14:textId="77777777" w:rsidR="00802FC6" w:rsidRPr="00573B96" w:rsidRDefault="00802FC6" w:rsidP="00573B96">
      <w:pPr>
        <w:spacing w:line="280" w:lineRule="atLeast"/>
        <w:ind w:right="1813"/>
        <w:jc w:val="left"/>
        <w:rPr>
          <w:rFonts w:eastAsia="Calibri" w:cs="Times New Roman"/>
          <w:szCs w:val="24"/>
        </w:rPr>
      </w:pPr>
      <w:r w:rsidRPr="00573B96">
        <w:rPr>
          <w:rFonts w:eastAsia="Calibri" w:cs="Times New Roman"/>
          <w:szCs w:val="24"/>
        </w:rPr>
        <w:t>Det foreslås at ændre</w:t>
      </w:r>
      <w:r w:rsidRPr="00573B96">
        <w:rPr>
          <w:rFonts w:eastAsia="Calibri" w:cs="Times New Roman"/>
          <w:i/>
          <w:iCs/>
          <w:szCs w:val="24"/>
        </w:rPr>
        <w:t xml:space="preserve"> § 36, stk. 3, </w:t>
      </w:r>
      <w:r w:rsidRPr="00573B96">
        <w:rPr>
          <w:rFonts w:eastAsia="Calibri" w:cs="Times New Roman"/>
          <w:szCs w:val="24"/>
        </w:rPr>
        <w:t>således at »ved syn ved vejsiden« udgår og efter »stk. 1« indsættes », eller § 12 a, stk. 1«.</w:t>
      </w:r>
    </w:p>
    <w:p w14:paraId="15B41D11" w14:textId="77777777" w:rsidR="00802FC6" w:rsidRPr="00573B96" w:rsidRDefault="00802FC6" w:rsidP="00573B96">
      <w:pPr>
        <w:spacing w:line="280" w:lineRule="atLeast"/>
        <w:ind w:right="1813"/>
        <w:jc w:val="left"/>
        <w:rPr>
          <w:rFonts w:eastAsia="Calibri" w:cs="Times New Roman"/>
          <w:szCs w:val="24"/>
        </w:rPr>
      </w:pPr>
    </w:p>
    <w:p w14:paraId="39CBC97A" w14:textId="77777777" w:rsidR="00802FC6" w:rsidRPr="00573B96" w:rsidRDefault="00802FC6" w:rsidP="00573B96">
      <w:pPr>
        <w:spacing w:line="280" w:lineRule="atLeast"/>
        <w:ind w:right="1813"/>
        <w:jc w:val="left"/>
        <w:rPr>
          <w:rFonts w:cs="Times New Roman"/>
          <w:szCs w:val="24"/>
        </w:rPr>
      </w:pPr>
      <w:r w:rsidRPr="00573B96">
        <w:rPr>
          <w:rFonts w:eastAsia="Calibri" w:cs="Times New Roman"/>
          <w:szCs w:val="24"/>
        </w:rPr>
        <w:t xml:space="preserve">Den foreslåede bestemmelse medfører, at det vil være </w:t>
      </w:r>
      <w:r w:rsidRPr="00573B96">
        <w:rPr>
          <w:rFonts w:cs="Times New Roman"/>
          <w:szCs w:val="24"/>
        </w:rPr>
        <w:t>strafbelagt med bøde, hvis Færdselsstyrelsens anvisninger efter den foreslåede § 12 a, stk. 1, ikke følges.</w:t>
      </w:r>
    </w:p>
    <w:p w14:paraId="59FD1EEA" w14:textId="77777777" w:rsidR="00802FC6" w:rsidRPr="00573B96" w:rsidRDefault="00802FC6" w:rsidP="00573B96">
      <w:pPr>
        <w:spacing w:line="280" w:lineRule="atLeast"/>
        <w:ind w:right="1813"/>
        <w:jc w:val="left"/>
        <w:rPr>
          <w:rFonts w:eastAsia="Calibri" w:cs="Times New Roman"/>
          <w:szCs w:val="24"/>
        </w:rPr>
      </w:pPr>
    </w:p>
    <w:p w14:paraId="5E97EFCA" w14:textId="77777777" w:rsidR="00802FC6" w:rsidRPr="00573B96" w:rsidRDefault="00802FC6" w:rsidP="00573B96">
      <w:pPr>
        <w:spacing w:line="280" w:lineRule="atLeast"/>
        <w:ind w:right="1813"/>
        <w:jc w:val="left"/>
        <w:rPr>
          <w:rFonts w:cs="Times New Roman"/>
          <w:szCs w:val="24"/>
        </w:rPr>
      </w:pPr>
      <w:r w:rsidRPr="00573B96">
        <w:rPr>
          <w:rFonts w:cs="Times New Roman"/>
          <w:szCs w:val="24"/>
        </w:rPr>
        <w:t xml:space="preserve">Det forudsættes, at bødeniveauet fastsættes til 1.500 kr. Det svarer til bødeniveauet for overtrædelse af færdselslovens § 4, stk. 2, om trafikanters pligt til at efterkomme politiets anvisninger for færdslen, lige så vel som det svarer til bødeniveauet for overtrædelse af synslovens § 11, stk. 1, om pligt til at efterkommer Færdselsstyrelsens anvisninger ved vejsidesyn. </w:t>
      </w:r>
    </w:p>
    <w:p w14:paraId="05D71119" w14:textId="77777777" w:rsidR="00802FC6" w:rsidRPr="00573B96" w:rsidRDefault="00802FC6" w:rsidP="00573B96">
      <w:pPr>
        <w:spacing w:line="280" w:lineRule="atLeast"/>
        <w:ind w:right="1813"/>
        <w:jc w:val="left"/>
        <w:rPr>
          <w:rFonts w:cs="Times New Roman"/>
          <w:szCs w:val="24"/>
        </w:rPr>
      </w:pPr>
    </w:p>
    <w:p w14:paraId="26B79119" w14:textId="32F71A41" w:rsidR="00802FC6" w:rsidRPr="00573B96" w:rsidRDefault="00802FC6" w:rsidP="00573B96">
      <w:pPr>
        <w:spacing w:line="280" w:lineRule="atLeast"/>
        <w:ind w:right="1813"/>
        <w:jc w:val="left"/>
        <w:rPr>
          <w:rFonts w:cs="Times New Roman"/>
          <w:szCs w:val="24"/>
        </w:rPr>
      </w:pPr>
      <w:r w:rsidRPr="00573B96">
        <w:rPr>
          <w:rFonts w:cs="Times New Roman"/>
          <w:szCs w:val="24"/>
        </w:rPr>
        <w:t>Den angivne retningslinje afskærer ikke domstolene fra efter en konkret vurdering i det enkelte tilfælde af samtlige omstændigheder i sagen at fravige det angivne bødeniveau i op- eller nedadgående retning, hvis der i den konkrete sag foreligger skærpende eller formildende omstændigheder.</w:t>
      </w:r>
    </w:p>
    <w:p w14:paraId="4CB6F78B" w14:textId="77777777" w:rsidR="002B41D8" w:rsidRPr="00573B96" w:rsidRDefault="002B41D8" w:rsidP="00573B96">
      <w:pPr>
        <w:spacing w:line="280" w:lineRule="atLeast"/>
        <w:ind w:right="1813"/>
        <w:jc w:val="left"/>
        <w:rPr>
          <w:rFonts w:cs="Times New Roman"/>
          <w:szCs w:val="24"/>
        </w:rPr>
      </w:pPr>
    </w:p>
    <w:p w14:paraId="798D5FAB" w14:textId="1582867D" w:rsidR="00694305" w:rsidRPr="00573B96" w:rsidRDefault="00694305" w:rsidP="00573B96">
      <w:pPr>
        <w:spacing w:after="240" w:line="280" w:lineRule="atLeast"/>
        <w:ind w:right="1813" w:firstLine="238"/>
        <w:jc w:val="center"/>
        <w:rPr>
          <w:rFonts w:cs="Times New Roman"/>
          <w:i/>
          <w:szCs w:val="24"/>
        </w:rPr>
      </w:pPr>
      <w:r w:rsidRPr="00573B96">
        <w:rPr>
          <w:rFonts w:cs="Times New Roman"/>
          <w:i/>
          <w:szCs w:val="24"/>
        </w:rPr>
        <w:t xml:space="preserve">Til § </w:t>
      </w:r>
      <w:r w:rsidR="000A7DBA" w:rsidRPr="00573B96">
        <w:rPr>
          <w:rFonts w:cs="Times New Roman"/>
          <w:i/>
          <w:szCs w:val="24"/>
        </w:rPr>
        <w:t>3</w:t>
      </w:r>
    </w:p>
    <w:p w14:paraId="27CE50AE" w14:textId="5AD6E264" w:rsidR="009F0914" w:rsidRPr="00573B96" w:rsidRDefault="009F0914" w:rsidP="00573B96">
      <w:pPr>
        <w:spacing w:line="280" w:lineRule="atLeast"/>
        <w:ind w:right="1813"/>
        <w:jc w:val="left"/>
        <w:rPr>
          <w:rFonts w:cs="Times New Roman"/>
          <w:szCs w:val="24"/>
        </w:rPr>
      </w:pPr>
      <w:r w:rsidRPr="00573B96">
        <w:rPr>
          <w:rFonts w:cs="Times New Roman"/>
          <w:szCs w:val="24"/>
        </w:rPr>
        <w:t>Det foreslås</w:t>
      </w:r>
      <w:r w:rsidR="0012410D" w:rsidRPr="00573B96">
        <w:rPr>
          <w:rFonts w:cs="Times New Roman"/>
          <w:szCs w:val="24"/>
        </w:rPr>
        <w:t xml:space="preserve"> i </w:t>
      </w:r>
      <w:r w:rsidR="0012410D" w:rsidRPr="00573B96">
        <w:rPr>
          <w:rFonts w:cs="Times New Roman"/>
          <w:i/>
          <w:iCs/>
          <w:szCs w:val="24"/>
        </w:rPr>
        <w:t>stk. 1.</w:t>
      </w:r>
      <w:r w:rsidRPr="00573B96">
        <w:rPr>
          <w:rFonts w:cs="Times New Roman"/>
          <w:i/>
          <w:szCs w:val="24"/>
        </w:rPr>
        <w:t>,</w:t>
      </w:r>
      <w:r w:rsidRPr="00573B96">
        <w:rPr>
          <w:rFonts w:cs="Times New Roman"/>
          <w:szCs w:val="24"/>
        </w:rPr>
        <w:t xml:space="preserve"> at loven træder i kraft den </w:t>
      </w:r>
      <w:r w:rsidR="000A7DBA" w:rsidRPr="00573B96">
        <w:rPr>
          <w:rFonts w:cs="Times New Roman"/>
          <w:szCs w:val="24"/>
        </w:rPr>
        <w:t>1. juli 2026</w:t>
      </w:r>
      <w:r w:rsidRPr="00573B96">
        <w:rPr>
          <w:rFonts w:cs="Times New Roman"/>
          <w:szCs w:val="24"/>
        </w:rPr>
        <w:t>.</w:t>
      </w:r>
    </w:p>
    <w:p w14:paraId="00B7FE08" w14:textId="2D993B5E" w:rsidR="0012410D" w:rsidRPr="00573B96" w:rsidRDefault="0012410D" w:rsidP="00573B96">
      <w:pPr>
        <w:spacing w:line="280" w:lineRule="atLeast"/>
        <w:ind w:right="1813"/>
        <w:jc w:val="left"/>
        <w:rPr>
          <w:rFonts w:cs="Times New Roman"/>
          <w:szCs w:val="24"/>
        </w:rPr>
      </w:pPr>
    </w:p>
    <w:p w14:paraId="2BF26462" w14:textId="229BFD05" w:rsidR="00245AD9" w:rsidRPr="00573B96" w:rsidRDefault="00992FE2" w:rsidP="00573B96">
      <w:pPr>
        <w:spacing w:line="280" w:lineRule="atLeast"/>
        <w:ind w:right="1813"/>
        <w:jc w:val="left"/>
        <w:rPr>
          <w:rFonts w:cs="Times New Roman"/>
          <w:szCs w:val="24"/>
        </w:rPr>
      </w:pPr>
      <w:r w:rsidRPr="00573B96">
        <w:rPr>
          <w:rFonts w:cs="Times New Roman"/>
          <w:szCs w:val="24"/>
        </w:rPr>
        <w:t>I forhold til andre retsfølger end straf indeholder s</w:t>
      </w:r>
      <w:r w:rsidR="0012410D" w:rsidRPr="00573B96">
        <w:rPr>
          <w:rFonts w:cs="Times New Roman"/>
          <w:szCs w:val="24"/>
        </w:rPr>
        <w:t>traffelovens § 4 generelle overgangsbestemmelse</w:t>
      </w:r>
      <w:r w:rsidRPr="00573B96">
        <w:rPr>
          <w:rFonts w:cs="Times New Roman"/>
          <w:szCs w:val="24"/>
        </w:rPr>
        <w:t>r,</w:t>
      </w:r>
      <w:r w:rsidR="00200423" w:rsidRPr="00573B96">
        <w:rPr>
          <w:rFonts w:cs="Times New Roman"/>
          <w:szCs w:val="24"/>
        </w:rPr>
        <w:t xml:space="preserve"> </w:t>
      </w:r>
      <w:r w:rsidR="0051035F" w:rsidRPr="00573B96">
        <w:rPr>
          <w:rFonts w:cs="Times New Roman"/>
          <w:szCs w:val="24"/>
        </w:rPr>
        <w:t xml:space="preserve">der regulerer tilfælde, hvor en handlig er foretaget før en ny lovs ikrafttræden, men ikke endelig afgjort ved den nye lovs ikrafttræden. </w:t>
      </w:r>
      <w:r w:rsidRPr="00573B96">
        <w:rPr>
          <w:rFonts w:cs="Times New Roman"/>
          <w:szCs w:val="24"/>
        </w:rPr>
        <w:t xml:space="preserve">Det følger af straffelovens § 4, stk. </w:t>
      </w:r>
      <w:r w:rsidR="008F7785" w:rsidRPr="00573B96">
        <w:rPr>
          <w:rFonts w:cs="Times New Roman"/>
          <w:szCs w:val="24"/>
        </w:rPr>
        <w:t>2</w:t>
      </w:r>
      <w:r w:rsidRPr="00573B96">
        <w:rPr>
          <w:rFonts w:cs="Times New Roman"/>
          <w:szCs w:val="24"/>
        </w:rPr>
        <w:t>, at spørgsmålet om idømmelse af</w:t>
      </w:r>
      <w:r w:rsidR="008F7785" w:rsidRPr="00573B96">
        <w:rPr>
          <w:rFonts w:cs="Times New Roman"/>
          <w:szCs w:val="24"/>
        </w:rPr>
        <w:t xml:space="preserve"> andre</w:t>
      </w:r>
      <w:r w:rsidRPr="00573B96">
        <w:rPr>
          <w:rFonts w:cs="Times New Roman"/>
          <w:szCs w:val="24"/>
        </w:rPr>
        <w:t xml:space="preserve"> retsfølger </w:t>
      </w:r>
      <w:r w:rsidR="008F7785" w:rsidRPr="00573B96">
        <w:rPr>
          <w:rFonts w:cs="Times New Roman"/>
          <w:szCs w:val="24"/>
        </w:rPr>
        <w:t xml:space="preserve">end de, der nævnes i </w:t>
      </w:r>
      <w:r w:rsidR="00245AD9" w:rsidRPr="00573B96">
        <w:rPr>
          <w:rFonts w:cs="Times New Roman"/>
          <w:szCs w:val="24"/>
        </w:rPr>
        <w:t xml:space="preserve">bestemmelsens </w:t>
      </w:r>
      <w:r w:rsidR="008F7785" w:rsidRPr="00573B96">
        <w:rPr>
          <w:rFonts w:cs="Times New Roman"/>
          <w:szCs w:val="24"/>
        </w:rPr>
        <w:t>stk. 1, afgøres efter den straffelovgivning, som er gældende på gerningstidspunktet</w:t>
      </w:r>
      <w:r w:rsidR="00245AD9" w:rsidRPr="00573B96">
        <w:rPr>
          <w:rFonts w:cs="Times New Roman"/>
          <w:szCs w:val="24"/>
        </w:rPr>
        <w:t>, medmindre andet er bestemt</w:t>
      </w:r>
      <w:r w:rsidR="008F7785" w:rsidRPr="00573B96">
        <w:rPr>
          <w:rFonts w:cs="Times New Roman"/>
          <w:szCs w:val="24"/>
        </w:rPr>
        <w:t>.</w:t>
      </w:r>
      <w:r w:rsidR="00245AD9" w:rsidRPr="00573B96">
        <w:rPr>
          <w:rFonts w:cs="Times New Roman"/>
          <w:szCs w:val="24"/>
        </w:rPr>
        <w:t xml:space="preserve"> </w:t>
      </w:r>
    </w:p>
    <w:p w14:paraId="1B488D59" w14:textId="77777777" w:rsidR="00245AD9" w:rsidRPr="00573B96" w:rsidRDefault="00245AD9" w:rsidP="00573B96">
      <w:pPr>
        <w:spacing w:line="280" w:lineRule="atLeast"/>
        <w:ind w:right="1813"/>
        <w:jc w:val="left"/>
        <w:rPr>
          <w:rFonts w:cs="Times New Roman"/>
          <w:szCs w:val="24"/>
        </w:rPr>
      </w:pPr>
    </w:p>
    <w:p w14:paraId="17FE71FD" w14:textId="5076AE92" w:rsidR="008F7785" w:rsidRPr="00573B96" w:rsidRDefault="00245AD9" w:rsidP="00573B96">
      <w:pPr>
        <w:spacing w:line="280" w:lineRule="atLeast"/>
        <w:ind w:right="1813"/>
        <w:jc w:val="left"/>
        <w:rPr>
          <w:rFonts w:cs="Times New Roman"/>
          <w:szCs w:val="24"/>
        </w:rPr>
      </w:pPr>
      <w:r w:rsidRPr="00573B96">
        <w:rPr>
          <w:rFonts w:cs="Times New Roman"/>
          <w:szCs w:val="24"/>
        </w:rPr>
        <w:t>Lovforslagets § 1, nr. 4 og 5, om skærpelse af den frakendelsesmæssige sanktion for spiritus- og narkokørsel i forbindelse med uagtsomt manddrab og uagtsom betydelig legemsbeskadigelse, lovforslagets § 1, nr. 6, om skærpelse af frakendelsesperioden ved særlig hensynsløs kørsel, og lovforslagets § 1, nr. 7, om konfiskation, vil således alene finde anvendelse for forhold, der er begået efter lovens ikrafttræden, jf. straffelovens § 4, stk. 2.</w:t>
      </w:r>
    </w:p>
    <w:p w14:paraId="7413EF3A" w14:textId="3BCD7C42" w:rsidR="00705FE6" w:rsidRPr="00573B96" w:rsidRDefault="00705FE6" w:rsidP="00573B96">
      <w:pPr>
        <w:spacing w:line="280" w:lineRule="atLeast"/>
        <w:ind w:right="1813"/>
        <w:jc w:val="left"/>
        <w:rPr>
          <w:rFonts w:cs="Times New Roman"/>
          <w:szCs w:val="24"/>
        </w:rPr>
      </w:pPr>
    </w:p>
    <w:p w14:paraId="6FD69B60" w14:textId="1D6CD624" w:rsidR="00CE7ECC" w:rsidRPr="00573B96" w:rsidRDefault="00CE7ECC" w:rsidP="00573B96">
      <w:pPr>
        <w:spacing w:after="240" w:line="280" w:lineRule="atLeast"/>
        <w:ind w:right="1813"/>
        <w:jc w:val="left"/>
        <w:rPr>
          <w:rFonts w:cs="Times New Roman"/>
          <w:szCs w:val="24"/>
        </w:rPr>
      </w:pPr>
      <w:r w:rsidRPr="00573B96">
        <w:rPr>
          <w:rFonts w:cs="Times New Roman"/>
          <w:szCs w:val="24"/>
        </w:rPr>
        <w:t xml:space="preserve">Det er Transportministeriets opfattelse, at lovforslagets § 1, nr. </w:t>
      </w:r>
      <w:r w:rsidR="00C14774" w:rsidRPr="00573B96">
        <w:rPr>
          <w:rFonts w:cs="Times New Roman"/>
          <w:szCs w:val="24"/>
        </w:rPr>
        <w:t>3</w:t>
      </w:r>
      <w:r w:rsidRPr="00573B96">
        <w:rPr>
          <w:rFonts w:cs="Times New Roman"/>
          <w:szCs w:val="24"/>
        </w:rPr>
        <w:t xml:space="preserve"> og </w:t>
      </w:r>
      <w:r w:rsidR="00C14774" w:rsidRPr="00573B96">
        <w:rPr>
          <w:rFonts w:cs="Times New Roman"/>
          <w:szCs w:val="24"/>
        </w:rPr>
        <w:t>4</w:t>
      </w:r>
      <w:r w:rsidRPr="00573B96">
        <w:rPr>
          <w:rFonts w:cs="Times New Roman"/>
          <w:szCs w:val="24"/>
        </w:rPr>
        <w:t>, om lempelse af visse af de frakendelsesmæssige sanktioner for førere af udrykningskøretøjer under berettiget udrykningskørsel, bør finde anvendelse på forhold, der er begået inden lovens ikrafttræden, men ikke endelig pådømt ved lovens ikrafttræden. Dette følger imidlertid ikke af straffelovens § 4, stk. 2, eller af straffelovens § 3, stk. 1, som alene regulerer spørgsmålet om strafbarhed og straf.</w:t>
      </w:r>
    </w:p>
    <w:p w14:paraId="242630CF" w14:textId="42B0697A" w:rsidR="00CE7ECC" w:rsidRPr="00573B96" w:rsidRDefault="00CE7ECC" w:rsidP="00573B96">
      <w:pPr>
        <w:spacing w:line="280" w:lineRule="atLeast"/>
        <w:ind w:right="1813"/>
        <w:jc w:val="left"/>
        <w:rPr>
          <w:rFonts w:eastAsia="Calibri" w:cs="Times New Roman"/>
          <w:bCs/>
          <w:szCs w:val="24"/>
        </w:rPr>
      </w:pPr>
      <w:r w:rsidRPr="00573B96">
        <w:rPr>
          <w:rFonts w:cs="Times New Roman"/>
          <w:szCs w:val="24"/>
        </w:rPr>
        <w:t xml:space="preserve">Det foreslås derfor i </w:t>
      </w:r>
      <w:r w:rsidRPr="00573B96">
        <w:rPr>
          <w:rFonts w:cs="Times New Roman"/>
          <w:i/>
          <w:iCs/>
          <w:szCs w:val="24"/>
        </w:rPr>
        <w:t>stk. 2,</w:t>
      </w:r>
      <w:r w:rsidRPr="00573B96">
        <w:rPr>
          <w:rFonts w:cs="Times New Roman"/>
          <w:szCs w:val="24"/>
        </w:rPr>
        <w:t xml:space="preserve"> at lovforslagets </w:t>
      </w:r>
      <w:r w:rsidRPr="00573B96">
        <w:rPr>
          <w:rFonts w:eastAsia="Calibri" w:cs="Times New Roman"/>
          <w:bCs/>
          <w:szCs w:val="24"/>
        </w:rPr>
        <w:t xml:space="preserve">§ 1, nr. </w:t>
      </w:r>
      <w:r w:rsidR="00C14774" w:rsidRPr="00573B96">
        <w:rPr>
          <w:rFonts w:eastAsia="Calibri" w:cs="Times New Roman"/>
          <w:bCs/>
          <w:szCs w:val="24"/>
        </w:rPr>
        <w:t>3</w:t>
      </w:r>
      <w:r w:rsidRPr="00573B96">
        <w:rPr>
          <w:rFonts w:eastAsia="Calibri" w:cs="Times New Roman"/>
          <w:bCs/>
          <w:szCs w:val="24"/>
        </w:rPr>
        <w:t xml:space="preserve"> og </w:t>
      </w:r>
      <w:r w:rsidR="00C14774" w:rsidRPr="00573B96">
        <w:rPr>
          <w:rFonts w:eastAsia="Calibri" w:cs="Times New Roman"/>
          <w:bCs/>
          <w:szCs w:val="24"/>
        </w:rPr>
        <w:t>4</w:t>
      </w:r>
      <w:r w:rsidRPr="00573B96">
        <w:rPr>
          <w:rFonts w:eastAsia="Calibri" w:cs="Times New Roman"/>
          <w:bCs/>
          <w:szCs w:val="24"/>
        </w:rPr>
        <w:t>, finder anvendelse på forhold, der er begået inden lovens ikrafttræden, men ikke endelig pådømt ved lovens ikrafttræden.</w:t>
      </w:r>
    </w:p>
    <w:p w14:paraId="5CB2B046" w14:textId="77777777" w:rsidR="00CE7ECC" w:rsidRPr="00573B96" w:rsidRDefault="00CE7ECC" w:rsidP="00573B96">
      <w:pPr>
        <w:spacing w:line="280" w:lineRule="atLeast"/>
        <w:ind w:right="1813"/>
        <w:jc w:val="left"/>
        <w:rPr>
          <w:rFonts w:eastAsia="Calibri" w:cs="Times New Roman"/>
          <w:bCs/>
          <w:szCs w:val="24"/>
        </w:rPr>
      </w:pPr>
    </w:p>
    <w:p w14:paraId="637E838F" w14:textId="7D53FB45" w:rsidR="00705FE6" w:rsidRPr="00573B96" w:rsidRDefault="00CE7ECC" w:rsidP="00573B96">
      <w:pPr>
        <w:spacing w:line="280" w:lineRule="atLeast"/>
        <w:ind w:right="1813"/>
        <w:jc w:val="left"/>
        <w:rPr>
          <w:rFonts w:cs="Times New Roman"/>
          <w:szCs w:val="24"/>
        </w:rPr>
      </w:pPr>
      <w:r w:rsidRPr="00573B96">
        <w:rPr>
          <w:rFonts w:eastAsia="Calibri" w:cs="Times New Roman"/>
          <w:bCs/>
          <w:szCs w:val="24"/>
        </w:rPr>
        <w:t>Den foreslåede bestemmelse</w:t>
      </w:r>
      <w:r w:rsidRPr="00573B96">
        <w:rPr>
          <w:rFonts w:cs="Times New Roman"/>
          <w:szCs w:val="24"/>
        </w:rPr>
        <w:t xml:space="preserve"> medfører, at for forhold, som måtte være begået før lovens ikrafttræden, men ikke endelig pådømt ved lovens ikrafttræden, skal spørgsmålet om idømmelse af klip i kørek</w:t>
      </w:r>
      <w:r w:rsidR="00705FE6" w:rsidRPr="00573B96">
        <w:rPr>
          <w:rFonts w:cs="Times New Roman"/>
          <w:szCs w:val="24"/>
        </w:rPr>
        <w:t>o</w:t>
      </w:r>
      <w:r w:rsidRPr="00573B96">
        <w:rPr>
          <w:rFonts w:cs="Times New Roman"/>
          <w:szCs w:val="24"/>
        </w:rPr>
        <w:t xml:space="preserve">rtet afgøres efter lovforslagets regler. </w:t>
      </w:r>
    </w:p>
    <w:p w14:paraId="19DB7171" w14:textId="77777777" w:rsidR="00705FE6" w:rsidRPr="00573B96" w:rsidRDefault="00705FE6" w:rsidP="00573B96">
      <w:pPr>
        <w:spacing w:line="280" w:lineRule="atLeast"/>
        <w:ind w:right="1813"/>
        <w:jc w:val="left"/>
        <w:rPr>
          <w:rFonts w:cs="Times New Roman"/>
          <w:szCs w:val="24"/>
        </w:rPr>
      </w:pPr>
    </w:p>
    <w:p w14:paraId="039B16E6" w14:textId="77777777" w:rsidR="00705FE6" w:rsidRPr="00573B96" w:rsidRDefault="00CE7ECC" w:rsidP="00573B96">
      <w:pPr>
        <w:spacing w:line="280" w:lineRule="atLeast"/>
        <w:ind w:right="1813"/>
        <w:jc w:val="left"/>
        <w:rPr>
          <w:rFonts w:cs="Times New Roman"/>
          <w:szCs w:val="24"/>
        </w:rPr>
      </w:pPr>
      <w:r w:rsidRPr="00573B96">
        <w:rPr>
          <w:rFonts w:cs="Times New Roman"/>
          <w:szCs w:val="24"/>
        </w:rPr>
        <w:t xml:space="preserve">Tilsvarende gælder for sager, der er pådømt i byretten før lovens ikrafttræden, og som pådømmes i landsretten efter lovens ikrafttræden. Også i disse sager vil spørgsmålet om </w:t>
      </w:r>
      <w:r w:rsidR="00705FE6" w:rsidRPr="00573B96">
        <w:rPr>
          <w:rFonts w:cs="Times New Roman"/>
          <w:szCs w:val="24"/>
        </w:rPr>
        <w:t>klip i kørekortet</w:t>
      </w:r>
      <w:r w:rsidRPr="00573B96">
        <w:rPr>
          <w:rFonts w:cs="Times New Roman"/>
          <w:szCs w:val="24"/>
        </w:rPr>
        <w:t xml:space="preserve"> skulle endeligt afgøres efter de nye regler</w:t>
      </w:r>
    </w:p>
    <w:p w14:paraId="58AD50A9" w14:textId="7A6EB177" w:rsidR="00CE7ECC" w:rsidRPr="00573B96" w:rsidRDefault="00CE7ECC" w:rsidP="00573B96">
      <w:pPr>
        <w:spacing w:line="280" w:lineRule="atLeast"/>
        <w:ind w:right="1813"/>
        <w:jc w:val="left"/>
        <w:rPr>
          <w:rFonts w:cs="Times New Roman"/>
          <w:szCs w:val="24"/>
        </w:rPr>
      </w:pPr>
      <w:r w:rsidRPr="00573B96">
        <w:rPr>
          <w:rFonts w:cs="Times New Roman"/>
          <w:szCs w:val="24"/>
        </w:rPr>
        <w:t>.</w:t>
      </w:r>
    </w:p>
    <w:p w14:paraId="1D40D687" w14:textId="05FBF0E8" w:rsidR="00991CB1" w:rsidRPr="00573B96" w:rsidRDefault="00991CB1" w:rsidP="00573B96">
      <w:pPr>
        <w:spacing w:after="240" w:line="280" w:lineRule="atLeast"/>
        <w:ind w:right="1813"/>
        <w:jc w:val="left"/>
        <w:rPr>
          <w:rFonts w:cs="Times New Roman"/>
          <w:szCs w:val="24"/>
        </w:rPr>
      </w:pPr>
      <w:r w:rsidRPr="00573B96">
        <w:rPr>
          <w:rFonts w:cs="Times New Roman"/>
          <w:szCs w:val="24"/>
        </w:rPr>
        <w:t xml:space="preserve">Ifølge færdselslovens § 143 </w:t>
      </w:r>
      <w:r w:rsidR="00E13CED" w:rsidRPr="00573B96">
        <w:rPr>
          <w:rFonts w:cs="Times New Roman"/>
          <w:szCs w:val="24"/>
        </w:rPr>
        <w:t xml:space="preserve">og synslovens § </w:t>
      </w:r>
      <w:r w:rsidR="00DF142C" w:rsidRPr="00573B96">
        <w:rPr>
          <w:rFonts w:cs="Times New Roman"/>
          <w:szCs w:val="24"/>
        </w:rPr>
        <w:t>39</w:t>
      </w:r>
      <w:r w:rsidR="00F670BF" w:rsidRPr="00573B96">
        <w:rPr>
          <w:rFonts w:cs="Times New Roman"/>
          <w:szCs w:val="24"/>
        </w:rPr>
        <w:t xml:space="preserve"> </w:t>
      </w:r>
      <w:r w:rsidRPr="00573B96">
        <w:rPr>
          <w:rFonts w:cs="Times New Roman"/>
          <w:szCs w:val="24"/>
        </w:rPr>
        <w:t>gælder loven</w:t>
      </w:r>
      <w:r w:rsidR="00E13CED" w:rsidRPr="00573B96">
        <w:rPr>
          <w:rFonts w:cs="Times New Roman"/>
          <w:szCs w:val="24"/>
        </w:rPr>
        <w:t>e</w:t>
      </w:r>
      <w:r w:rsidRPr="00573B96">
        <w:rPr>
          <w:rFonts w:cs="Times New Roman"/>
          <w:szCs w:val="24"/>
        </w:rPr>
        <w:t xml:space="preserve"> ikke for Færøerne og Grønland, og loven</w:t>
      </w:r>
      <w:r w:rsidR="00E13CED" w:rsidRPr="00573B96">
        <w:rPr>
          <w:rFonts w:cs="Times New Roman"/>
          <w:szCs w:val="24"/>
        </w:rPr>
        <w:t>e</w:t>
      </w:r>
      <w:r w:rsidRPr="00573B96">
        <w:rPr>
          <w:rFonts w:cs="Times New Roman"/>
          <w:szCs w:val="24"/>
        </w:rPr>
        <w:t xml:space="preserve"> indeholder ikke anordningsbestemmelse</w:t>
      </w:r>
      <w:r w:rsidR="00E13CED" w:rsidRPr="00573B96">
        <w:rPr>
          <w:rFonts w:cs="Times New Roman"/>
          <w:szCs w:val="24"/>
        </w:rPr>
        <w:t>r</w:t>
      </w:r>
      <w:r w:rsidRPr="00573B96">
        <w:rPr>
          <w:rFonts w:cs="Times New Roman"/>
          <w:szCs w:val="24"/>
        </w:rPr>
        <w:t xml:space="preserve"> om, at loven</w:t>
      </w:r>
      <w:r w:rsidR="00E13CED" w:rsidRPr="00573B96">
        <w:rPr>
          <w:rFonts w:cs="Times New Roman"/>
          <w:szCs w:val="24"/>
        </w:rPr>
        <w:t>e</w:t>
      </w:r>
      <w:r w:rsidRPr="00573B96">
        <w:rPr>
          <w:rFonts w:cs="Times New Roman"/>
          <w:szCs w:val="24"/>
        </w:rPr>
        <w:t>s regler kan sættes i kraft for Færøerne og Grønland. Lovforslaget vil derfor ikke finde anvendelse eller ved kongelig anordning kunne sættes i kraft for Færøerne eller Grønland.</w:t>
      </w:r>
    </w:p>
    <w:p w14:paraId="28177835" w14:textId="77777777" w:rsidR="00697779" w:rsidRPr="00573B96" w:rsidRDefault="00697779" w:rsidP="00573B96">
      <w:pPr>
        <w:spacing w:after="240" w:line="280" w:lineRule="atLeast"/>
        <w:rPr>
          <w:rFonts w:cs="Times New Roman"/>
          <w:szCs w:val="24"/>
        </w:rPr>
      </w:pPr>
    </w:p>
    <w:sectPr w:rsidR="00697779" w:rsidRPr="00573B96" w:rsidSect="00FD31F2">
      <w:headerReference w:type="default" r:id="rId9"/>
      <w:footerReference w:type="default" r:id="rId10"/>
      <w:headerReference w:type="first" r:id="rId11"/>
      <w:pgSz w:w="11906" w:h="16838" w:code="9"/>
      <w:pgMar w:top="1418" w:right="1361"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E888" w14:textId="77777777" w:rsidR="007B7729" w:rsidRDefault="007B7729" w:rsidP="00A56EBB">
      <w:pPr>
        <w:spacing w:line="240" w:lineRule="auto"/>
      </w:pPr>
      <w:r>
        <w:separator/>
      </w:r>
    </w:p>
  </w:endnote>
  <w:endnote w:type="continuationSeparator" w:id="0">
    <w:p w14:paraId="0F407807" w14:textId="77777777" w:rsidR="007B7729" w:rsidRDefault="007B7729"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875349"/>
      <w:docPartObj>
        <w:docPartGallery w:val="Page Numbers (Bottom of Page)"/>
        <w:docPartUnique/>
      </w:docPartObj>
    </w:sdtPr>
    <w:sdtEndPr/>
    <w:sdtContent>
      <w:p w14:paraId="2A87E405" w14:textId="4728FF55" w:rsidR="003245D5" w:rsidRDefault="003245D5">
        <w:pPr>
          <w:pStyle w:val="Sidefod"/>
          <w:jc w:val="right"/>
        </w:pPr>
        <w:r>
          <w:fldChar w:fldCharType="begin"/>
        </w:r>
        <w:r>
          <w:instrText>PAGE   \* MERGEFORMAT</w:instrText>
        </w:r>
        <w:r>
          <w:fldChar w:fldCharType="separate"/>
        </w:r>
        <w:r>
          <w:t>2</w:t>
        </w:r>
        <w:r>
          <w:fldChar w:fldCharType="end"/>
        </w:r>
      </w:p>
    </w:sdtContent>
  </w:sdt>
  <w:p w14:paraId="243AADAC" w14:textId="77777777" w:rsidR="003245D5" w:rsidRDefault="003245D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DED1" w14:textId="77777777" w:rsidR="003245D5" w:rsidRDefault="003245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C7A1" w14:textId="77777777" w:rsidR="007B7729" w:rsidRDefault="007B7729" w:rsidP="00A56EBB">
      <w:pPr>
        <w:spacing w:line="240" w:lineRule="auto"/>
      </w:pPr>
      <w:r>
        <w:separator/>
      </w:r>
    </w:p>
  </w:footnote>
  <w:footnote w:type="continuationSeparator" w:id="0">
    <w:p w14:paraId="7C5301FA" w14:textId="77777777" w:rsidR="007B7729" w:rsidRDefault="007B7729"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3245D5" w14:paraId="163EE332" w14:textId="77777777" w:rsidTr="00A32AD7">
      <w:trPr>
        <w:trHeight w:hRule="exact" w:val="794"/>
      </w:trPr>
      <w:tc>
        <w:tcPr>
          <w:tcW w:w="6521" w:type="dxa"/>
        </w:tcPr>
        <w:p w14:paraId="61C796E8" w14:textId="77777777" w:rsidR="003245D5" w:rsidRDefault="003245D5" w:rsidP="00630E97">
          <w:pPr>
            <w:pStyle w:val="Billedfelt"/>
          </w:pPr>
          <w:bookmarkStart w:id="477" w:name="Logo_Side2" w:colFirst="1" w:colLast="1"/>
        </w:p>
      </w:tc>
      <w:tc>
        <w:tcPr>
          <w:tcW w:w="3402" w:type="dxa"/>
        </w:tcPr>
        <w:p w14:paraId="40F51BF8" w14:textId="77777777" w:rsidR="003245D5" w:rsidRDefault="003245D5" w:rsidP="00630E97">
          <w:pPr>
            <w:pStyle w:val="Billedfelt"/>
          </w:pPr>
          <w:r>
            <w:rPr>
              <w:noProof/>
            </w:rPr>
            <w:drawing>
              <wp:inline distT="0" distB="0" distL="0" distR="0" wp14:anchorId="00D2CFA4" wp14:editId="3274678C">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3245D5" w14:paraId="34DF0E45" w14:textId="77777777" w:rsidTr="00B06CE9">
      <w:trPr>
        <w:trHeight w:hRule="exact" w:val="680"/>
      </w:trPr>
      <w:tc>
        <w:tcPr>
          <w:tcW w:w="6521" w:type="dxa"/>
          <w:vAlign w:val="bottom"/>
        </w:tcPr>
        <w:p w14:paraId="059EB070" w14:textId="77777777" w:rsidR="003245D5" w:rsidRDefault="003245D5" w:rsidP="00B06CE9">
          <w:bookmarkStart w:id="478" w:name="Sidetal" w:colFirst="1" w:colLast="1"/>
          <w:bookmarkEnd w:id="477"/>
        </w:p>
      </w:tc>
      <w:tc>
        <w:tcPr>
          <w:tcW w:w="3402" w:type="dxa"/>
          <w:vAlign w:val="bottom"/>
        </w:tcPr>
        <w:p w14:paraId="33E35FCD" w14:textId="77777777" w:rsidR="003245D5" w:rsidRPr="00B06CE9" w:rsidRDefault="003245D5"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fldChar w:fldCharType="begin"/>
          </w:r>
          <w:r>
            <w:instrText xml:space="preserve"> NUMPAGES </w:instrText>
          </w:r>
          <w:r>
            <w:fldChar w:fldCharType="separate"/>
          </w:r>
          <w:r w:rsidRPr="00B06CE9">
            <w:t>2</w:t>
          </w:r>
          <w:r>
            <w:fldChar w:fldCharType="end"/>
          </w:r>
        </w:p>
      </w:tc>
    </w:tr>
    <w:tr w:rsidR="003245D5" w14:paraId="4219B32D" w14:textId="77777777" w:rsidTr="00B06CE9">
      <w:trPr>
        <w:trHeight w:hRule="exact" w:val="397"/>
      </w:trPr>
      <w:tc>
        <w:tcPr>
          <w:tcW w:w="6521" w:type="dxa"/>
          <w:vAlign w:val="bottom"/>
        </w:tcPr>
        <w:p w14:paraId="6C333BE3" w14:textId="77777777" w:rsidR="003245D5" w:rsidRDefault="003245D5" w:rsidP="00B06CE9">
          <w:bookmarkStart w:id="479" w:name="AfstandEfterSidehoved2" w:colFirst="1" w:colLast="1"/>
          <w:bookmarkEnd w:id="478"/>
        </w:p>
      </w:tc>
      <w:tc>
        <w:tcPr>
          <w:tcW w:w="3402" w:type="dxa"/>
          <w:vAlign w:val="bottom"/>
        </w:tcPr>
        <w:p w14:paraId="048D76F8" w14:textId="77777777" w:rsidR="003245D5" w:rsidRPr="00B06CE9" w:rsidRDefault="003245D5" w:rsidP="0027154C">
          <w:pPr>
            <w:pStyle w:val="Sidenummerering"/>
          </w:pPr>
        </w:p>
      </w:tc>
    </w:tr>
    <w:bookmarkEnd w:id="479"/>
  </w:tbl>
  <w:p w14:paraId="6EFBB031" w14:textId="77777777" w:rsidR="003245D5" w:rsidRPr="00B06CE9" w:rsidRDefault="003245D5"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3245D5" w14:paraId="11B6AE3D" w14:textId="77777777" w:rsidTr="00213607">
      <w:trPr>
        <w:trHeight w:hRule="exact" w:val="794"/>
      </w:trPr>
      <w:tc>
        <w:tcPr>
          <w:tcW w:w="6520" w:type="dxa"/>
        </w:tcPr>
        <w:p w14:paraId="45B2F78A" w14:textId="77777777" w:rsidR="003245D5" w:rsidRPr="00630E97" w:rsidRDefault="003245D5" w:rsidP="00630E97">
          <w:pPr>
            <w:pStyle w:val="Billedfelt"/>
          </w:pPr>
          <w:bookmarkStart w:id="480" w:name="Logo_Side1" w:colFirst="1" w:colLast="1"/>
          <w:bookmarkStart w:id="481" w:name="AfstandHøjre_Logo1" w:colFirst="0" w:colLast="0"/>
        </w:p>
      </w:tc>
      <w:tc>
        <w:tcPr>
          <w:tcW w:w="3458" w:type="dxa"/>
        </w:tcPr>
        <w:p w14:paraId="7DCF387A" w14:textId="77777777" w:rsidR="003245D5" w:rsidRPr="00630E97" w:rsidRDefault="003245D5" w:rsidP="00630E97">
          <w:pPr>
            <w:pStyle w:val="Billedfelt"/>
          </w:pPr>
          <w:r>
            <w:rPr>
              <w:noProof/>
            </w:rPr>
            <w:drawing>
              <wp:inline distT="0" distB="0" distL="0" distR="0" wp14:anchorId="36B53CB4" wp14:editId="61E6985F">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r w:rsidR="003245D5" w14:paraId="2AB3371B" w14:textId="77777777" w:rsidTr="00FD31F2">
      <w:trPr>
        <w:trHeight w:hRule="exact" w:val="1191"/>
      </w:trPr>
      <w:tc>
        <w:tcPr>
          <w:tcW w:w="6520" w:type="dxa"/>
        </w:tcPr>
        <w:p w14:paraId="28470ED6" w14:textId="77777777" w:rsidR="003245D5" w:rsidRPr="00630E97" w:rsidRDefault="003245D5" w:rsidP="00630E97">
          <w:pPr>
            <w:pStyle w:val="Billedfelt"/>
          </w:pPr>
        </w:p>
      </w:tc>
      <w:tc>
        <w:tcPr>
          <w:tcW w:w="3458" w:type="dxa"/>
        </w:tcPr>
        <w:p w14:paraId="4910F5D1" w14:textId="77777777" w:rsidR="003245D5" w:rsidRPr="00630E97" w:rsidRDefault="003245D5" w:rsidP="00630E97">
          <w:pPr>
            <w:pStyle w:val="Billedfelt"/>
            <w:rPr>
              <w:noProof/>
            </w:rPr>
          </w:pPr>
        </w:p>
      </w:tc>
    </w:tr>
    <w:bookmarkEnd w:id="480"/>
    <w:bookmarkEnd w:id="481"/>
  </w:tbl>
  <w:p w14:paraId="3855DB07" w14:textId="77777777" w:rsidR="003245D5" w:rsidRPr="00B06CE9" w:rsidRDefault="003245D5" w:rsidP="001C5895">
    <w:pPr>
      <w:pStyle w:val="Minimeretafsni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39298D"/>
    <w:multiLevelType w:val="hybridMultilevel"/>
    <w:tmpl w:val="841ED3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2B07A2"/>
    <w:multiLevelType w:val="multilevel"/>
    <w:tmpl w:val="912015EE"/>
    <w:lvl w:ilvl="0">
      <w:start w:val="3"/>
      <w:numFmt w:val="decimal"/>
      <w:lvlText w:val="%1."/>
      <w:lvlJc w:val="left"/>
      <w:pPr>
        <w:ind w:left="360" w:hanging="360"/>
      </w:pPr>
    </w:lvl>
    <w:lvl w:ilvl="1">
      <w:start w:val="1"/>
      <w:numFmt w:val="decimal"/>
      <w:isLgl/>
      <w:lvlText w:val="%1.%2."/>
      <w:lvlJc w:val="left"/>
      <w:pPr>
        <w:ind w:left="540" w:hanging="540"/>
      </w:pPr>
      <w:rPr>
        <w:rFonts w:eastAsiaTheme="minorHAnsi"/>
        <w:i w:val="0"/>
      </w:rPr>
    </w:lvl>
    <w:lvl w:ilvl="2">
      <w:start w:val="1"/>
      <w:numFmt w:val="decimal"/>
      <w:isLgl/>
      <w:lvlText w:val="%1.%2.%3."/>
      <w:lvlJc w:val="left"/>
      <w:pPr>
        <w:ind w:left="720" w:hanging="720"/>
      </w:pPr>
      <w:rPr>
        <w:rFonts w:eastAsiaTheme="minorHAnsi"/>
        <w:i w:val="0"/>
      </w:rPr>
    </w:lvl>
    <w:lvl w:ilvl="3">
      <w:start w:val="1"/>
      <w:numFmt w:val="decimal"/>
      <w:isLgl/>
      <w:lvlText w:val="%1.%2.%3.%4."/>
      <w:lvlJc w:val="left"/>
      <w:pPr>
        <w:ind w:left="720" w:hanging="720"/>
      </w:pPr>
      <w:rPr>
        <w:rFonts w:eastAsiaTheme="minorHAnsi"/>
        <w:i w:val="0"/>
      </w:rPr>
    </w:lvl>
    <w:lvl w:ilvl="4">
      <w:start w:val="1"/>
      <w:numFmt w:val="decimal"/>
      <w:isLgl/>
      <w:lvlText w:val="%1.%2.%3.%4.%5."/>
      <w:lvlJc w:val="left"/>
      <w:pPr>
        <w:ind w:left="1080" w:hanging="1080"/>
      </w:pPr>
      <w:rPr>
        <w:rFonts w:eastAsiaTheme="minorHAnsi"/>
        <w:i w:val="0"/>
      </w:rPr>
    </w:lvl>
    <w:lvl w:ilvl="5">
      <w:start w:val="1"/>
      <w:numFmt w:val="decimal"/>
      <w:isLgl/>
      <w:lvlText w:val="%1.%2.%3.%4.%5.%6."/>
      <w:lvlJc w:val="left"/>
      <w:pPr>
        <w:ind w:left="1080" w:hanging="1080"/>
      </w:pPr>
      <w:rPr>
        <w:rFonts w:eastAsiaTheme="minorHAnsi"/>
        <w:i w:val="0"/>
      </w:rPr>
    </w:lvl>
    <w:lvl w:ilvl="6">
      <w:start w:val="1"/>
      <w:numFmt w:val="decimal"/>
      <w:isLgl/>
      <w:lvlText w:val="%1.%2.%3.%4.%5.%6.%7."/>
      <w:lvlJc w:val="left"/>
      <w:pPr>
        <w:ind w:left="1440" w:hanging="1440"/>
      </w:pPr>
      <w:rPr>
        <w:rFonts w:eastAsiaTheme="minorHAnsi"/>
        <w:i w:val="0"/>
      </w:rPr>
    </w:lvl>
    <w:lvl w:ilvl="7">
      <w:start w:val="1"/>
      <w:numFmt w:val="decimal"/>
      <w:isLgl/>
      <w:lvlText w:val="%1.%2.%3.%4.%5.%6.%7.%8."/>
      <w:lvlJc w:val="left"/>
      <w:pPr>
        <w:ind w:left="1440" w:hanging="1440"/>
      </w:pPr>
      <w:rPr>
        <w:rFonts w:eastAsiaTheme="minorHAnsi"/>
        <w:i w:val="0"/>
      </w:rPr>
    </w:lvl>
    <w:lvl w:ilvl="8">
      <w:start w:val="1"/>
      <w:numFmt w:val="decimal"/>
      <w:isLgl/>
      <w:lvlText w:val="%1.%2.%3.%4.%5.%6.%7.%8.%9."/>
      <w:lvlJc w:val="left"/>
      <w:pPr>
        <w:ind w:left="1800" w:hanging="1800"/>
      </w:pPr>
      <w:rPr>
        <w:rFonts w:eastAsiaTheme="minorHAnsi"/>
        <w:i w:val="0"/>
      </w:rPr>
    </w:lvl>
  </w:abstractNum>
  <w:abstractNum w:abstractNumId="3" w15:restartNumberingAfterBreak="0">
    <w:nsid w:val="2B504E38"/>
    <w:multiLevelType w:val="hybridMultilevel"/>
    <w:tmpl w:val="81CAB948"/>
    <w:lvl w:ilvl="0" w:tplc="59FC8DF8">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DF66DAF"/>
    <w:multiLevelType w:val="hybridMultilevel"/>
    <w:tmpl w:val="2B00198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32E5443D"/>
    <w:multiLevelType w:val="hybridMultilevel"/>
    <w:tmpl w:val="0F3CEF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4450522"/>
    <w:multiLevelType w:val="hybridMultilevel"/>
    <w:tmpl w:val="9578BC24"/>
    <w:lvl w:ilvl="0" w:tplc="0406000F">
      <w:start w:val="4"/>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70FBF"/>
    <w:multiLevelType w:val="hybridMultilevel"/>
    <w:tmpl w:val="F328C7EE"/>
    <w:lvl w:ilvl="0" w:tplc="153CE64E">
      <w:start w:val="1"/>
      <w:numFmt w:val="decimal"/>
      <w:lvlText w:val="%1."/>
      <w:lvlJc w:val="left"/>
      <w:pPr>
        <w:ind w:left="36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03B550D"/>
    <w:multiLevelType w:val="hybridMultilevel"/>
    <w:tmpl w:val="1AB85F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C504CDF"/>
    <w:multiLevelType w:val="hybridMultilevel"/>
    <w:tmpl w:val="C75CA3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1521E2"/>
    <w:multiLevelType w:val="hybridMultilevel"/>
    <w:tmpl w:val="1206F37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2" w15:restartNumberingAfterBreak="0">
    <w:nsid w:val="53B22775"/>
    <w:multiLevelType w:val="hybridMultilevel"/>
    <w:tmpl w:val="2196FF2E"/>
    <w:lvl w:ilvl="0" w:tplc="0406000F">
      <w:start w:val="6"/>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3B268A3"/>
    <w:multiLevelType w:val="hybridMultilevel"/>
    <w:tmpl w:val="7DEAFBDA"/>
    <w:lvl w:ilvl="0" w:tplc="9086FC5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6D41D51"/>
    <w:multiLevelType w:val="multilevel"/>
    <w:tmpl w:val="576ADD1E"/>
    <w:lvl w:ilvl="0">
      <w:start w:val="1"/>
      <w:numFmt w:val="decimal"/>
      <w:lvlText w:val="%1."/>
      <w:lvlJc w:val="left"/>
      <w:pPr>
        <w:ind w:left="360" w:hanging="360"/>
      </w:pPr>
      <w:rPr>
        <w:rFonts w:hint="default"/>
        <w:b/>
      </w:rPr>
    </w:lvl>
    <w:lvl w:ilvl="1">
      <w:start w:val="5"/>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7085DD7"/>
    <w:multiLevelType w:val="hybridMultilevel"/>
    <w:tmpl w:val="819A8D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ECB3732"/>
    <w:multiLevelType w:val="hybridMultilevel"/>
    <w:tmpl w:val="878445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2F61715"/>
    <w:multiLevelType w:val="hybridMultilevel"/>
    <w:tmpl w:val="F328C7EE"/>
    <w:lvl w:ilvl="0" w:tplc="153CE6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CF93C4F"/>
    <w:multiLevelType w:val="hybridMultilevel"/>
    <w:tmpl w:val="D1D08F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DBB36CE"/>
    <w:multiLevelType w:val="hybridMultilevel"/>
    <w:tmpl w:val="AD6819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7"/>
  </w:num>
  <w:num w:numId="5">
    <w:abstractNumId w:val="13"/>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6"/>
  </w:num>
  <w:num w:numId="13">
    <w:abstractNumId w:val="19"/>
  </w:num>
  <w:num w:numId="14">
    <w:abstractNumId w:val="8"/>
  </w:num>
  <w:num w:numId="15">
    <w:abstractNumId w:val="3"/>
  </w:num>
  <w:num w:numId="16">
    <w:abstractNumId w:val="18"/>
  </w:num>
  <w:num w:numId="17">
    <w:abstractNumId w:val="9"/>
  </w:num>
  <w:num w:numId="18">
    <w:abstractNumId w:val="16"/>
  </w:num>
  <w:num w:numId="19">
    <w:abstractNumId w:val="17"/>
  </w:num>
  <w:num w:numId="20">
    <w:abstractNumId w:val="1"/>
  </w:num>
  <w:num w:numId="21">
    <w:abstractNumId w:val="5"/>
  </w:num>
  <w:num w:numId="22">
    <w:abstractNumId w:val="15"/>
  </w:num>
  <w:num w:numId="23">
    <w:abstractNumId w:val="10"/>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96"/>
    <w:rsid w:val="00000FED"/>
    <w:rsid w:val="000019FC"/>
    <w:rsid w:val="00010BF7"/>
    <w:rsid w:val="00012CE1"/>
    <w:rsid w:val="00016421"/>
    <w:rsid w:val="00016A8D"/>
    <w:rsid w:val="0002218B"/>
    <w:rsid w:val="0002461F"/>
    <w:rsid w:val="00026EE3"/>
    <w:rsid w:val="00026F8C"/>
    <w:rsid w:val="00032A9F"/>
    <w:rsid w:val="00033221"/>
    <w:rsid w:val="00034F5F"/>
    <w:rsid w:val="0003515B"/>
    <w:rsid w:val="00036C29"/>
    <w:rsid w:val="00040793"/>
    <w:rsid w:val="000408F3"/>
    <w:rsid w:val="00043BB1"/>
    <w:rsid w:val="0004564D"/>
    <w:rsid w:val="000458F3"/>
    <w:rsid w:val="00051E41"/>
    <w:rsid w:val="00055044"/>
    <w:rsid w:val="00055235"/>
    <w:rsid w:val="00056675"/>
    <w:rsid w:val="00056D9A"/>
    <w:rsid w:val="00057A40"/>
    <w:rsid w:val="00057B99"/>
    <w:rsid w:val="00061AE8"/>
    <w:rsid w:val="00063C89"/>
    <w:rsid w:val="000645CF"/>
    <w:rsid w:val="00065597"/>
    <w:rsid w:val="000703C3"/>
    <w:rsid w:val="00073347"/>
    <w:rsid w:val="00073504"/>
    <w:rsid w:val="00073878"/>
    <w:rsid w:val="0008193A"/>
    <w:rsid w:val="0008784A"/>
    <w:rsid w:val="00095AF4"/>
    <w:rsid w:val="00096DC1"/>
    <w:rsid w:val="000975B3"/>
    <w:rsid w:val="000A06CD"/>
    <w:rsid w:val="000A0BA9"/>
    <w:rsid w:val="000A198D"/>
    <w:rsid w:val="000A1E7C"/>
    <w:rsid w:val="000A2ACD"/>
    <w:rsid w:val="000A7DBA"/>
    <w:rsid w:val="000B02E8"/>
    <w:rsid w:val="000B0B99"/>
    <w:rsid w:val="000B17C0"/>
    <w:rsid w:val="000B1ADE"/>
    <w:rsid w:val="000B4014"/>
    <w:rsid w:val="000B47E4"/>
    <w:rsid w:val="000B5C4F"/>
    <w:rsid w:val="000C11AA"/>
    <w:rsid w:val="000C1C1E"/>
    <w:rsid w:val="000C363C"/>
    <w:rsid w:val="000C6AD3"/>
    <w:rsid w:val="000D2A41"/>
    <w:rsid w:val="000D5905"/>
    <w:rsid w:val="000D5DF6"/>
    <w:rsid w:val="000D6EFE"/>
    <w:rsid w:val="000E2967"/>
    <w:rsid w:val="000E29A8"/>
    <w:rsid w:val="000E2BBC"/>
    <w:rsid w:val="000E3A3C"/>
    <w:rsid w:val="000E3C87"/>
    <w:rsid w:val="000E690F"/>
    <w:rsid w:val="000E75D0"/>
    <w:rsid w:val="000F0689"/>
    <w:rsid w:val="000F21F7"/>
    <w:rsid w:val="000F23BC"/>
    <w:rsid w:val="000F2C1F"/>
    <w:rsid w:val="000F3CD3"/>
    <w:rsid w:val="000F4312"/>
    <w:rsid w:val="000F46A2"/>
    <w:rsid w:val="000F77EA"/>
    <w:rsid w:val="00101594"/>
    <w:rsid w:val="001022B3"/>
    <w:rsid w:val="001029B0"/>
    <w:rsid w:val="00103307"/>
    <w:rsid w:val="001035AE"/>
    <w:rsid w:val="00107FA5"/>
    <w:rsid w:val="001101C3"/>
    <w:rsid w:val="00111C3B"/>
    <w:rsid w:val="00112A6E"/>
    <w:rsid w:val="0011699C"/>
    <w:rsid w:val="00117E9F"/>
    <w:rsid w:val="0012410D"/>
    <w:rsid w:val="00124746"/>
    <w:rsid w:val="001267C3"/>
    <w:rsid w:val="00126A5D"/>
    <w:rsid w:val="001277CB"/>
    <w:rsid w:val="00127D88"/>
    <w:rsid w:val="00131445"/>
    <w:rsid w:val="00132060"/>
    <w:rsid w:val="00132790"/>
    <w:rsid w:val="00132A15"/>
    <w:rsid w:val="00132C82"/>
    <w:rsid w:val="00133149"/>
    <w:rsid w:val="001359DC"/>
    <w:rsid w:val="00137887"/>
    <w:rsid w:val="001378A7"/>
    <w:rsid w:val="001414C3"/>
    <w:rsid w:val="00142554"/>
    <w:rsid w:val="00143F14"/>
    <w:rsid w:val="00145917"/>
    <w:rsid w:val="00147F8D"/>
    <w:rsid w:val="0015028A"/>
    <w:rsid w:val="00150518"/>
    <w:rsid w:val="001515D0"/>
    <w:rsid w:val="001524C3"/>
    <w:rsid w:val="0015554D"/>
    <w:rsid w:val="00157FDA"/>
    <w:rsid w:val="00166E12"/>
    <w:rsid w:val="001675D2"/>
    <w:rsid w:val="00170502"/>
    <w:rsid w:val="00171781"/>
    <w:rsid w:val="001743DD"/>
    <w:rsid w:val="00174B1A"/>
    <w:rsid w:val="00176685"/>
    <w:rsid w:val="00177C0C"/>
    <w:rsid w:val="00180E35"/>
    <w:rsid w:val="001839F0"/>
    <w:rsid w:val="00186051"/>
    <w:rsid w:val="00186467"/>
    <w:rsid w:val="0018737D"/>
    <w:rsid w:val="00187B39"/>
    <w:rsid w:val="001948B4"/>
    <w:rsid w:val="00197890"/>
    <w:rsid w:val="001A1309"/>
    <w:rsid w:val="001A7FF7"/>
    <w:rsid w:val="001B14AA"/>
    <w:rsid w:val="001B51FD"/>
    <w:rsid w:val="001C0984"/>
    <w:rsid w:val="001C0A5E"/>
    <w:rsid w:val="001C1AE6"/>
    <w:rsid w:val="001C37F1"/>
    <w:rsid w:val="001C5895"/>
    <w:rsid w:val="001C6184"/>
    <w:rsid w:val="001D049D"/>
    <w:rsid w:val="001D24AD"/>
    <w:rsid w:val="001D31D5"/>
    <w:rsid w:val="001D46D4"/>
    <w:rsid w:val="001D4A9E"/>
    <w:rsid w:val="001D4B32"/>
    <w:rsid w:val="001D5268"/>
    <w:rsid w:val="001E07DF"/>
    <w:rsid w:val="001E1F65"/>
    <w:rsid w:val="001E3675"/>
    <w:rsid w:val="001E4B9B"/>
    <w:rsid w:val="001E5BA3"/>
    <w:rsid w:val="001E6439"/>
    <w:rsid w:val="001E69D1"/>
    <w:rsid w:val="001F0D95"/>
    <w:rsid w:val="001F5F25"/>
    <w:rsid w:val="00200423"/>
    <w:rsid w:val="00204F00"/>
    <w:rsid w:val="00205245"/>
    <w:rsid w:val="00207751"/>
    <w:rsid w:val="00211771"/>
    <w:rsid w:val="00212980"/>
    <w:rsid w:val="00213607"/>
    <w:rsid w:val="002160E3"/>
    <w:rsid w:val="00216243"/>
    <w:rsid w:val="00216DFF"/>
    <w:rsid w:val="0021744F"/>
    <w:rsid w:val="00221114"/>
    <w:rsid w:val="00225336"/>
    <w:rsid w:val="002254E6"/>
    <w:rsid w:val="00226B28"/>
    <w:rsid w:val="00227624"/>
    <w:rsid w:val="00227A4F"/>
    <w:rsid w:val="00232A8F"/>
    <w:rsid w:val="002341CA"/>
    <w:rsid w:val="00234DCA"/>
    <w:rsid w:val="00241B14"/>
    <w:rsid w:val="00244338"/>
    <w:rsid w:val="00245AD9"/>
    <w:rsid w:val="00247108"/>
    <w:rsid w:val="00247AEC"/>
    <w:rsid w:val="00247B9C"/>
    <w:rsid w:val="00247BCB"/>
    <w:rsid w:val="00252317"/>
    <w:rsid w:val="00253DC0"/>
    <w:rsid w:val="00254D7D"/>
    <w:rsid w:val="00256B21"/>
    <w:rsid w:val="0025719F"/>
    <w:rsid w:val="002572DF"/>
    <w:rsid w:val="00257EE9"/>
    <w:rsid w:val="00263570"/>
    <w:rsid w:val="00264FA9"/>
    <w:rsid w:val="00264FD7"/>
    <w:rsid w:val="00270E54"/>
    <w:rsid w:val="0027154C"/>
    <w:rsid w:val="00272029"/>
    <w:rsid w:val="00277ADB"/>
    <w:rsid w:val="002801E1"/>
    <w:rsid w:val="00281B4E"/>
    <w:rsid w:val="0028368F"/>
    <w:rsid w:val="00285C32"/>
    <w:rsid w:val="00287C39"/>
    <w:rsid w:val="00294A5E"/>
    <w:rsid w:val="00296835"/>
    <w:rsid w:val="002A0B45"/>
    <w:rsid w:val="002B18B5"/>
    <w:rsid w:val="002B2417"/>
    <w:rsid w:val="002B41D8"/>
    <w:rsid w:val="002B68C3"/>
    <w:rsid w:val="002B6CF2"/>
    <w:rsid w:val="002C0713"/>
    <w:rsid w:val="002C4C0B"/>
    <w:rsid w:val="002C4D6C"/>
    <w:rsid w:val="002C53C3"/>
    <w:rsid w:val="002C53D8"/>
    <w:rsid w:val="002C5BC4"/>
    <w:rsid w:val="002C61A4"/>
    <w:rsid w:val="002C6436"/>
    <w:rsid w:val="002C7359"/>
    <w:rsid w:val="002C7404"/>
    <w:rsid w:val="002C7B43"/>
    <w:rsid w:val="002D2395"/>
    <w:rsid w:val="002D5C27"/>
    <w:rsid w:val="002E03F0"/>
    <w:rsid w:val="002E54B3"/>
    <w:rsid w:val="002E6EC0"/>
    <w:rsid w:val="002F04F0"/>
    <w:rsid w:val="002F222C"/>
    <w:rsid w:val="002F23D2"/>
    <w:rsid w:val="002F3C2D"/>
    <w:rsid w:val="002F46AB"/>
    <w:rsid w:val="002F4BFB"/>
    <w:rsid w:val="002F4CF9"/>
    <w:rsid w:val="002F611D"/>
    <w:rsid w:val="00300622"/>
    <w:rsid w:val="0030340F"/>
    <w:rsid w:val="00303889"/>
    <w:rsid w:val="003041E8"/>
    <w:rsid w:val="0031327A"/>
    <w:rsid w:val="00314094"/>
    <w:rsid w:val="00314F1B"/>
    <w:rsid w:val="00315243"/>
    <w:rsid w:val="00316FBA"/>
    <w:rsid w:val="00320F76"/>
    <w:rsid w:val="00321A95"/>
    <w:rsid w:val="003238B3"/>
    <w:rsid w:val="00323CD0"/>
    <w:rsid w:val="003243C9"/>
    <w:rsid w:val="003245D5"/>
    <w:rsid w:val="003258C5"/>
    <w:rsid w:val="00325E74"/>
    <w:rsid w:val="00330B03"/>
    <w:rsid w:val="003344C6"/>
    <w:rsid w:val="00334AE0"/>
    <w:rsid w:val="003370DF"/>
    <w:rsid w:val="00337D19"/>
    <w:rsid w:val="00340CEF"/>
    <w:rsid w:val="00342D63"/>
    <w:rsid w:val="00343E4B"/>
    <w:rsid w:val="00345EB2"/>
    <w:rsid w:val="003478AE"/>
    <w:rsid w:val="00351F18"/>
    <w:rsid w:val="00355295"/>
    <w:rsid w:val="0035581D"/>
    <w:rsid w:val="003566C3"/>
    <w:rsid w:val="00360B05"/>
    <w:rsid w:val="0036246E"/>
    <w:rsid w:val="00367904"/>
    <w:rsid w:val="0037151F"/>
    <w:rsid w:val="0037328F"/>
    <w:rsid w:val="0037357C"/>
    <w:rsid w:val="00374519"/>
    <w:rsid w:val="00376434"/>
    <w:rsid w:val="00382584"/>
    <w:rsid w:val="00383EB6"/>
    <w:rsid w:val="003846C9"/>
    <w:rsid w:val="003900E4"/>
    <w:rsid w:val="00392E80"/>
    <w:rsid w:val="003A058E"/>
    <w:rsid w:val="003A1711"/>
    <w:rsid w:val="003A23E6"/>
    <w:rsid w:val="003A5364"/>
    <w:rsid w:val="003B0A56"/>
    <w:rsid w:val="003B219F"/>
    <w:rsid w:val="003B22DE"/>
    <w:rsid w:val="003B2452"/>
    <w:rsid w:val="003B3C77"/>
    <w:rsid w:val="003B442D"/>
    <w:rsid w:val="003B6C6E"/>
    <w:rsid w:val="003B6DDA"/>
    <w:rsid w:val="003C5451"/>
    <w:rsid w:val="003C55BA"/>
    <w:rsid w:val="003C6D16"/>
    <w:rsid w:val="003C722F"/>
    <w:rsid w:val="003D2FBD"/>
    <w:rsid w:val="003E7472"/>
    <w:rsid w:val="003F1B29"/>
    <w:rsid w:val="003F5C69"/>
    <w:rsid w:val="003F692D"/>
    <w:rsid w:val="004002F2"/>
    <w:rsid w:val="00400938"/>
    <w:rsid w:val="00402977"/>
    <w:rsid w:val="0040301D"/>
    <w:rsid w:val="004051F6"/>
    <w:rsid w:val="004070D8"/>
    <w:rsid w:val="00407F75"/>
    <w:rsid w:val="00414605"/>
    <w:rsid w:val="00414954"/>
    <w:rsid w:val="00416608"/>
    <w:rsid w:val="0041668C"/>
    <w:rsid w:val="00416C24"/>
    <w:rsid w:val="004202D4"/>
    <w:rsid w:val="00421E8A"/>
    <w:rsid w:val="00423179"/>
    <w:rsid w:val="00423837"/>
    <w:rsid w:val="00425414"/>
    <w:rsid w:val="00426114"/>
    <w:rsid w:val="00430776"/>
    <w:rsid w:val="00430FB7"/>
    <w:rsid w:val="00432754"/>
    <w:rsid w:val="00433462"/>
    <w:rsid w:val="00441A40"/>
    <w:rsid w:val="00441A5B"/>
    <w:rsid w:val="0044306B"/>
    <w:rsid w:val="004446FA"/>
    <w:rsid w:val="0044526D"/>
    <w:rsid w:val="00447719"/>
    <w:rsid w:val="00447F79"/>
    <w:rsid w:val="0045088B"/>
    <w:rsid w:val="00455357"/>
    <w:rsid w:val="0045694B"/>
    <w:rsid w:val="00476AB4"/>
    <w:rsid w:val="00483C27"/>
    <w:rsid w:val="004851F9"/>
    <w:rsid w:val="00485B0A"/>
    <w:rsid w:val="00485CAF"/>
    <w:rsid w:val="00485F62"/>
    <w:rsid w:val="00491903"/>
    <w:rsid w:val="00493CBE"/>
    <w:rsid w:val="004968DA"/>
    <w:rsid w:val="004972AC"/>
    <w:rsid w:val="0049732D"/>
    <w:rsid w:val="004A04FD"/>
    <w:rsid w:val="004A19B7"/>
    <w:rsid w:val="004A1AF1"/>
    <w:rsid w:val="004A5254"/>
    <w:rsid w:val="004A786D"/>
    <w:rsid w:val="004B0839"/>
    <w:rsid w:val="004B089D"/>
    <w:rsid w:val="004B12E3"/>
    <w:rsid w:val="004B1C6A"/>
    <w:rsid w:val="004B4D9D"/>
    <w:rsid w:val="004B6227"/>
    <w:rsid w:val="004B6C9F"/>
    <w:rsid w:val="004C01C0"/>
    <w:rsid w:val="004C263B"/>
    <w:rsid w:val="004C3299"/>
    <w:rsid w:val="004C570F"/>
    <w:rsid w:val="004C7DF6"/>
    <w:rsid w:val="004D7A3E"/>
    <w:rsid w:val="004E1862"/>
    <w:rsid w:val="004E49BF"/>
    <w:rsid w:val="004F411A"/>
    <w:rsid w:val="004F4165"/>
    <w:rsid w:val="004F4985"/>
    <w:rsid w:val="004F5D4A"/>
    <w:rsid w:val="00504FDD"/>
    <w:rsid w:val="00505359"/>
    <w:rsid w:val="0051035F"/>
    <w:rsid w:val="00510915"/>
    <w:rsid w:val="00511977"/>
    <w:rsid w:val="00520B28"/>
    <w:rsid w:val="005267C7"/>
    <w:rsid w:val="00530A37"/>
    <w:rsid w:val="00531A16"/>
    <w:rsid w:val="00532A25"/>
    <w:rsid w:val="0053500B"/>
    <w:rsid w:val="00536E5F"/>
    <w:rsid w:val="00540735"/>
    <w:rsid w:val="00541561"/>
    <w:rsid w:val="005425FF"/>
    <w:rsid w:val="0054318A"/>
    <w:rsid w:val="005442B5"/>
    <w:rsid w:val="00545FAF"/>
    <w:rsid w:val="00546F65"/>
    <w:rsid w:val="00550676"/>
    <w:rsid w:val="00555BA9"/>
    <w:rsid w:val="00555C27"/>
    <w:rsid w:val="005565AC"/>
    <w:rsid w:val="00560BD1"/>
    <w:rsid w:val="00560EBC"/>
    <w:rsid w:val="00560F32"/>
    <w:rsid w:val="005644CD"/>
    <w:rsid w:val="00565198"/>
    <w:rsid w:val="005673E4"/>
    <w:rsid w:val="00572101"/>
    <w:rsid w:val="00573B96"/>
    <w:rsid w:val="00576EE2"/>
    <w:rsid w:val="00584E9E"/>
    <w:rsid w:val="00586A37"/>
    <w:rsid w:val="005933FC"/>
    <w:rsid w:val="0059472B"/>
    <w:rsid w:val="00594F44"/>
    <w:rsid w:val="00596BD7"/>
    <w:rsid w:val="005A0F8F"/>
    <w:rsid w:val="005A138A"/>
    <w:rsid w:val="005A50AD"/>
    <w:rsid w:val="005A5918"/>
    <w:rsid w:val="005B06A2"/>
    <w:rsid w:val="005B126C"/>
    <w:rsid w:val="005B5B0B"/>
    <w:rsid w:val="005C01A1"/>
    <w:rsid w:val="005C0F7C"/>
    <w:rsid w:val="005C484C"/>
    <w:rsid w:val="005D173D"/>
    <w:rsid w:val="005D280C"/>
    <w:rsid w:val="005D4598"/>
    <w:rsid w:val="005D5DF3"/>
    <w:rsid w:val="005D6E27"/>
    <w:rsid w:val="005E0353"/>
    <w:rsid w:val="005E24AE"/>
    <w:rsid w:val="005E394C"/>
    <w:rsid w:val="005E4A2D"/>
    <w:rsid w:val="005E5363"/>
    <w:rsid w:val="00601F1E"/>
    <w:rsid w:val="006030E4"/>
    <w:rsid w:val="00613509"/>
    <w:rsid w:val="0061679E"/>
    <w:rsid w:val="00616D97"/>
    <w:rsid w:val="00617895"/>
    <w:rsid w:val="0062338D"/>
    <w:rsid w:val="00630E97"/>
    <w:rsid w:val="0063279C"/>
    <w:rsid w:val="00635602"/>
    <w:rsid w:val="00637AD2"/>
    <w:rsid w:val="006403B9"/>
    <w:rsid w:val="00640F19"/>
    <w:rsid w:val="00642D10"/>
    <w:rsid w:val="006452A1"/>
    <w:rsid w:val="00666D18"/>
    <w:rsid w:val="00667391"/>
    <w:rsid w:val="00667738"/>
    <w:rsid w:val="00674FE9"/>
    <w:rsid w:val="0068122A"/>
    <w:rsid w:val="00682AF2"/>
    <w:rsid w:val="00682FB7"/>
    <w:rsid w:val="00686A34"/>
    <w:rsid w:val="00692583"/>
    <w:rsid w:val="00692C64"/>
    <w:rsid w:val="00694305"/>
    <w:rsid w:val="0069725A"/>
    <w:rsid w:val="00697308"/>
    <w:rsid w:val="00697779"/>
    <w:rsid w:val="006A07F7"/>
    <w:rsid w:val="006A117C"/>
    <w:rsid w:val="006A1325"/>
    <w:rsid w:val="006A774D"/>
    <w:rsid w:val="006A78FB"/>
    <w:rsid w:val="006B26D6"/>
    <w:rsid w:val="006C3C5C"/>
    <w:rsid w:val="006C501A"/>
    <w:rsid w:val="006C5408"/>
    <w:rsid w:val="006D0FA7"/>
    <w:rsid w:val="006D1BD9"/>
    <w:rsid w:val="006D2465"/>
    <w:rsid w:val="006D26D1"/>
    <w:rsid w:val="006D4413"/>
    <w:rsid w:val="006E27DB"/>
    <w:rsid w:val="006E4135"/>
    <w:rsid w:val="006E4F22"/>
    <w:rsid w:val="006E76A4"/>
    <w:rsid w:val="006F2A8D"/>
    <w:rsid w:val="006F4998"/>
    <w:rsid w:val="00700042"/>
    <w:rsid w:val="0070044B"/>
    <w:rsid w:val="00701F75"/>
    <w:rsid w:val="00702228"/>
    <w:rsid w:val="00705FE6"/>
    <w:rsid w:val="00712A94"/>
    <w:rsid w:val="00713C2B"/>
    <w:rsid w:val="00717116"/>
    <w:rsid w:val="00717C3C"/>
    <w:rsid w:val="00717E70"/>
    <w:rsid w:val="00717F04"/>
    <w:rsid w:val="0072044A"/>
    <w:rsid w:val="00723863"/>
    <w:rsid w:val="00723CCD"/>
    <w:rsid w:val="007246A3"/>
    <w:rsid w:val="007302E0"/>
    <w:rsid w:val="00730564"/>
    <w:rsid w:val="0073127D"/>
    <w:rsid w:val="00736028"/>
    <w:rsid w:val="00736B9D"/>
    <w:rsid w:val="00736FE4"/>
    <w:rsid w:val="00737691"/>
    <w:rsid w:val="00743F6B"/>
    <w:rsid w:val="0075127E"/>
    <w:rsid w:val="00752F78"/>
    <w:rsid w:val="00754E3A"/>
    <w:rsid w:val="00755DA7"/>
    <w:rsid w:val="00756392"/>
    <w:rsid w:val="00756ABF"/>
    <w:rsid w:val="007578D4"/>
    <w:rsid w:val="0076022D"/>
    <w:rsid w:val="00760297"/>
    <w:rsid w:val="00761C13"/>
    <w:rsid w:val="00762C39"/>
    <w:rsid w:val="00765591"/>
    <w:rsid w:val="00766FAD"/>
    <w:rsid w:val="00770104"/>
    <w:rsid w:val="00770864"/>
    <w:rsid w:val="00774A2F"/>
    <w:rsid w:val="00774C35"/>
    <w:rsid w:val="00777E75"/>
    <w:rsid w:val="00780073"/>
    <w:rsid w:val="0078571B"/>
    <w:rsid w:val="007918AD"/>
    <w:rsid w:val="00794E78"/>
    <w:rsid w:val="00797A9E"/>
    <w:rsid w:val="00797BC3"/>
    <w:rsid w:val="007A3F9E"/>
    <w:rsid w:val="007A4F38"/>
    <w:rsid w:val="007B0305"/>
    <w:rsid w:val="007B46D3"/>
    <w:rsid w:val="007B658E"/>
    <w:rsid w:val="007B7729"/>
    <w:rsid w:val="007B7B4A"/>
    <w:rsid w:val="007B7B63"/>
    <w:rsid w:val="007C0D9B"/>
    <w:rsid w:val="007C0F16"/>
    <w:rsid w:val="007C1D32"/>
    <w:rsid w:val="007C1FAB"/>
    <w:rsid w:val="007C2298"/>
    <w:rsid w:val="007C405D"/>
    <w:rsid w:val="007C4C7C"/>
    <w:rsid w:val="007C5484"/>
    <w:rsid w:val="007C7BBC"/>
    <w:rsid w:val="007D6F59"/>
    <w:rsid w:val="007D7521"/>
    <w:rsid w:val="007D7CE2"/>
    <w:rsid w:val="007E0F15"/>
    <w:rsid w:val="007E3A6E"/>
    <w:rsid w:val="007E5FB1"/>
    <w:rsid w:val="007E666F"/>
    <w:rsid w:val="007E6C57"/>
    <w:rsid w:val="007E6C68"/>
    <w:rsid w:val="007F48D0"/>
    <w:rsid w:val="007F4F51"/>
    <w:rsid w:val="007F6728"/>
    <w:rsid w:val="007F70AE"/>
    <w:rsid w:val="0080017A"/>
    <w:rsid w:val="00802FC6"/>
    <w:rsid w:val="00803C34"/>
    <w:rsid w:val="00806E9A"/>
    <w:rsid w:val="00807993"/>
    <w:rsid w:val="00812F1A"/>
    <w:rsid w:val="008152AA"/>
    <w:rsid w:val="00817D0F"/>
    <w:rsid w:val="00823280"/>
    <w:rsid w:val="00826A39"/>
    <w:rsid w:val="00826AE3"/>
    <w:rsid w:val="00830CB6"/>
    <w:rsid w:val="0083169A"/>
    <w:rsid w:val="00832F9B"/>
    <w:rsid w:val="00834AEF"/>
    <w:rsid w:val="0084264D"/>
    <w:rsid w:val="00843BB9"/>
    <w:rsid w:val="0085768C"/>
    <w:rsid w:val="00864B25"/>
    <w:rsid w:val="00864E0C"/>
    <w:rsid w:val="00864FC2"/>
    <w:rsid w:val="0086518E"/>
    <w:rsid w:val="00865B67"/>
    <w:rsid w:val="008705A5"/>
    <w:rsid w:val="00872BEA"/>
    <w:rsid w:val="008737F4"/>
    <w:rsid w:val="00875E50"/>
    <w:rsid w:val="00877043"/>
    <w:rsid w:val="00877E47"/>
    <w:rsid w:val="00881BA9"/>
    <w:rsid w:val="0088417C"/>
    <w:rsid w:val="00884C08"/>
    <w:rsid w:val="00885CFB"/>
    <w:rsid w:val="00887077"/>
    <w:rsid w:val="008878E1"/>
    <w:rsid w:val="008912FD"/>
    <w:rsid w:val="0089346F"/>
    <w:rsid w:val="00893A36"/>
    <w:rsid w:val="008962A7"/>
    <w:rsid w:val="008A4815"/>
    <w:rsid w:val="008A5EAA"/>
    <w:rsid w:val="008A7C45"/>
    <w:rsid w:val="008B04D1"/>
    <w:rsid w:val="008B2837"/>
    <w:rsid w:val="008B4459"/>
    <w:rsid w:val="008B7C59"/>
    <w:rsid w:val="008C0295"/>
    <w:rsid w:val="008C4FE1"/>
    <w:rsid w:val="008C6183"/>
    <w:rsid w:val="008D1731"/>
    <w:rsid w:val="008D193D"/>
    <w:rsid w:val="008D24B2"/>
    <w:rsid w:val="008D2DA7"/>
    <w:rsid w:val="008D3EFB"/>
    <w:rsid w:val="008D5571"/>
    <w:rsid w:val="008E1A0B"/>
    <w:rsid w:val="008E1B4B"/>
    <w:rsid w:val="008E6F8E"/>
    <w:rsid w:val="008F246A"/>
    <w:rsid w:val="008F24E0"/>
    <w:rsid w:val="008F7785"/>
    <w:rsid w:val="008F7E27"/>
    <w:rsid w:val="0090097E"/>
    <w:rsid w:val="009037E1"/>
    <w:rsid w:val="0090472D"/>
    <w:rsid w:val="00910089"/>
    <w:rsid w:val="009146C5"/>
    <w:rsid w:val="00914DBA"/>
    <w:rsid w:val="0091587D"/>
    <w:rsid w:val="009164B9"/>
    <w:rsid w:val="00920828"/>
    <w:rsid w:val="009216CA"/>
    <w:rsid w:val="009219FE"/>
    <w:rsid w:val="00931CD1"/>
    <w:rsid w:val="009344DA"/>
    <w:rsid w:val="00936696"/>
    <w:rsid w:val="009378C0"/>
    <w:rsid w:val="00940528"/>
    <w:rsid w:val="009414E6"/>
    <w:rsid w:val="00952ADE"/>
    <w:rsid w:val="0095533B"/>
    <w:rsid w:val="00955602"/>
    <w:rsid w:val="009556DB"/>
    <w:rsid w:val="00957279"/>
    <w:rsid w:val="009578B7"/>
    <w:rsid w:val="00962FAF"/>
    <w:rsid w:val="00967AE6"/>
    <w:rsid w:val="00971C82"/>
    <w:rsid w:val="00976278"/>
    <w:rsid w:val="00976413"/>
    <w:rsid w:val="0097697F"/>
    <w:rsid w:val="00981350"/>
    <w:rsid w:val="00991CB1"/>
    <w:rsid w:val="00992FE2"/>
    <w:rsid w:val="0099359F"/>
    <w:rsid w:val="0099665D"/>
    <w:rsid w:val="009966C6"/>
    <w:rsid w:val="009971DC"/>
    <w:rsid w:val="009978E9"/>
    <w:rsid w:val="00997E41"/>
    <w:rsid w:val="009A3416"/>
    <w:rsid w:val="009A37B2"/>
    <w:rsid w:val="009A482D"/>
    <w:rsid w:val="009A50EF"/>
    <w:rsid w:val="009A53B8"/>
    <w:rsid w:val="009B0D8D"/>
    <w:rsid w:val="009B1D2B"/>
    <w:rsid w:val="009B4621"/>
    <w:rsid w:val="009B6A78"/>
    <w:rsid w:val="009B7420"/>
    <w:rsid w:val="009C556F"/>
    <w:rsid w:val="009C67AE"/>
    <w:rsid w:val="009C67FB"/>
    <w:rsid w:val="009D30B8"/>
    <w:rsid w:val="009D40E2"/>
    <w:rsid w:val="009D551E"/>
    <w:rsid w:val="009D6F99"/>
    <w:rsid w:val="009D714E"/>
    <w:rsid w:val="009D7326"/>
    <w:rsid w:val="009D7707"/>
    <w:rsid w:val="009E01B0"/>
    <w:rsid w:val="009E0D9C"/>
    <w:rsid w:val="009E49AD"/>
    <w:rsid w:val="009E4A26"/>
    <w:rsid w:val="009E6A62"/>
    <w:rsid w:val="009F0914"/>
    <w:rsid w:val="009F2017"/>
    <w:rsid w:val="009F2CD9"/>
    <w:rsid w:val="009F2D78"/>
    <w:rsid w:val="009F3EDD"/>
    <w:rsid w:val="009F76AC"/>
    <w:rsid w:val="00A00256"/>
    <w:rsid w:val="00A02DFA"/>
    <w:rsid w:val="00A033A0"/>
    <w:rsid w:val="00A06A54"/>
    <w:rsid w:val="00A10821"/>
    <w:rsid w:val="00A12233"/>
    <w:rsid w:val="00A1258B"/>
    <w:rsid w:val="00A14E03"/>
    <w:rsid w:val="00A151BE"/>
    <w:rsid w:val="00A16225"/>
    <w:rsid w:val="00A2080F"/>
    <w:rsid w:val="00A24CBF"/>
    <w:rsid w:val="00A2528E"/>
    <w:rsid w:val="00A2543F"/>
    <w:rsid w:val="00A258A5"/>
    <w:rsid w:val="00A27120"/>
    <w:rsid w:val="00A275C9"/>
    <w:rsid w:val="00A277AD"/>
    <w:rsid w:val="00A31898"/>
    <w:rsid w:val="00A329B8"/>
    <w:rsid w:val="00A32AD7"/>
    <w:rsid w:val="00A33186"/>
    <w:rsid w:val="00A36DB8"/>
    <w:rsid w:val="00A37824"/>
    <w:rsid w:val="00A422D7"/>
    <w:rsid w:val="00A43C78"/>
    <w:rsid w:val="00A44AC7"/>
    <w:rsid w:val="00A45B49"/>
    <w:rsid w:val="00A47132"/>
    <w:rsid w:val="00A519EC"/>
    <w:rsid w:val="00A561EB"/>
    <w:rsid w:val="00A56EBB"/>
    <w:rsid w:val="00A57D76"/>
    <w:rsid w:val="00A619E9"/>
    <w:rsid w:val="00A623D7"/>
    <w:rsid w:val="00A64B87"/>
    <w:rsid w:val="00A658FA"/>
    <w:rsid w:val="00A65A9E"/>
    <w:rsid w:val="00A7164A"/>
    <w:rsid w:val="00A73651"/>
    <w:rsid w:val="00A773A5"/>
    <w:rsid w:val="00A82743"/>
    <w:rsid w:val="00A84F7E"/>
    <w:rsid w:val="00A856C2"/>
    <w:rsid w:val="00A85B21"/>
    <w:rsid w:val="00A86A8D"/>
    <w:rsid w:val="00A922E0"/>
    <w:rsid w:val="00A931DF"/>
    <w:rsid w:val="00A94F35"/>
    <w:rsid w:val="00A95662"/>
    <w:rsid w:val="00AA39E6"/>
    <w:rsid w:val="00AA46DD"/>
    <w:rsid w:val="00AB0507"/>
    <w:rsid w:val="00AB2055"/>
    <w:rsid w:val="00AB31A5"/>
    <w:rsid w:val="00AB4F75"/>
    <w:rsid w:val="00AB64FA"/>
    <w:rsid w:val="00AC5CE0"/>
    <w:rsid w:val="00AC747C"/>
    <w:rsid w:val="00AD0BD7"/>
    <w:rsid w:val="00AD2551"/>
    <w:rsid w:val="00AD33FD"/>
    <w:rsid w:val="00AD4820"/>
    <w:rsid w:val="00AD76F4"/>
    <w:rsid w:val="00AE11D9"/>
    <w:rsid w:val="00AE37EB"/>
    <w:rsid w:val="00AF08F8"/>
    <w:rsid w:val="00AF23E6"/>
    <w:rsid w:val="00AF2FC8"/>
    <w:rsid w:val="00AF3744"/>
    <w:rsid w:val="00AF3E2E"/>
    <w:rsid w:val="00AF6460"/>
    <w:rsid w:val="00AF7699"/>
    <w:rsid w:val="00B0332A"/>
    <w:rsid w:val="00B03CB5"/>
    <w:rsid w:val="00B04821"/>
    <w:rsid w:val="00B06CE9"/>
    <w:rsid w:val="00B11D45"/>
    <w:rsid w:val="00B12770"/>
    <w:rsid w:val="00B13569"/>
    <w:rsid w:val="00B13A81"/>
    <w:rsid w:val="00B15E20"/>
    <w:rsid w:val="00B1616F"/>
    <w:rsid w:val="00B22A5F"/>
    <w:rsid w:val="00B24ACA"/>
    <w:rsid w:val="00B24EB5"/>
    <w:rsid w:val="00B3027C"/>
    <w:rsid w:val="00B361AF"/>
    <w:rsid w:val="00B373DF"/>
    <w:rsid w:val="00B409E0"/>
    <w:rsid w:val="00B40C0B"/>
    <w:rsid w:val="00B42239"/>
    <w:rsid w:val="00B42723"/>
    <w:rsid w:val="00B43439"/>
    <w:rsid w:val="00B44ABF"/>
    <w:rsid w:val="00B46FB8"/>
    <w:rsid w:val="00B50CD6"/>
    <w:rsid w:val="00B56843"/>
    <w:rsid w:val="00B605D5"/>
    <w:rsid w:val="00B61AB0"/>
    <w:rsid w:val="00B665EC"/>
    <w:rsid w:val="00B6760D"/>
    <w:rsid w:val="00B714CA"/>
    <w:rsid w:val="00B7381D"/>
    <w:rsid w:val="00B73987"/>
    <w:rsid w:val="00B7452A"/>
    <w:rsid w:val="00B75A47"/>
    <w:rsid w:val="00B76274"/>
    <w:rsid w:val="00B7660A"/>
    <w:rsid w:val="00B77443"/>
    <w:rsid w:val="00B77598"/>
    <w:rsid w:val="00B80739"/>
    <w:rsid w:val="00B81204"/>
    <w:rsid w:val="00B85E8E"/>
    <w:rsid w:val="00B863DA"/>
    <w:rsid w:val="00B91DC7"/>
    <w:rsid w:val="00B93E11"/>
    <w:rsid w:val="00B96A06"/>
    <w:rsid w:val="00B97BE0"/>
    <w:rsid w:val="00BA03EE"/>
    <w:rsid w:val="00BA1338"/>
    <w:rsid w:val="00BA21D6"/>
    <w:rsid w:val="00BA3057"/>
    <w:rsid w:val="00BA5C12"/>
    <w:rsid w:val="00BA77AC"/>
    <w:rsid w:val="00BB01FC"/>
    <w:rsid w:val="00BB6ED9"/>
    <w:rsid w:val="00BB70A2"/>
    <w:rsid w:val="00BC2994"/>
    <w:rsid w:val="00BC4F09"/>
    <w:rsid w:val="00BD109A"/>
    <w:rsid w:val="00BD3822"/>
    <w:rsid w:val="00BD7D41"/>
    <w:rsid w:val="00BE0EF5"/>
    <w:rsid w:val="00BE4E4A"/>
    <w:rsid w:val="00BE543C"/>
    <w:rsid w:val="00BE765D"/>
    <w:rsid w:val="00BF3A67"/>
    <w:rsid w:val="00BF6FAC"/>
    <w:rsid w:val="00C0593A"/>
    <w:rsid w:val="00C06965"/>
    <w:rsid w:val="00C10DB9"/>
    <w:rsid w:val="00C127FD"/>
    <w:rsid w:val="00C12A3B"/>
    <w:rsid w:val="00C14774"/>
    <w:rsid w:val="00C147DC"/>
    <w:rsid w:val="00C14EB8"/>
    <w:rsid w:val="00C16817"/>
    <w:rsid w:val="00C21BA2"/>
    <w:rsid w:val="00C21C9A"/>
    <w:rsid w:val="00C21ED0"/>
    <w:rsid w:val="00C24F3C"/>
    <w:rsid w:val="00C31421"/>
    <w:rsid w:val="00C32E7C"/>
    <w:rsid w:val="00C33DF7"/>
    <w:rsid w:val="00C34A5A"/>
    <w:rsid w:val="00C34ED0"/>
    <w:rsid w:val="00C3727C"/>
    <w:rsid w:val="00C4058D"/>
    <w:rsid w:val="00C41640"/>
    <w:rsid w:val="00C41939"/>
    <w:rsid w:val="00C41F1C"/>
    <w:rsid w:val="00C44823"/>
    <w:rsid w:val="00C5063C"/>
    <w:rsid w:val="00C55BE7"/>
    <w:rsid w:val="00C63021"/>
    <w:rsid w:val="00C671D3"/>
    <w:rsid w:val="00C721B1"/>
    <w:rsid w:val="00C736C6"/>
    <w:rsid w:val="00C75AA9"/>
    <w:rsid w:val="00C81192"/>
    <w:rsid w:val="00C81AC3"/>
    <w:rsid w:val="00C81BEF"/>
    <w:rsid w:val="00C86C32"/>
    <w:rsid w:val="00C90070"/>
    <w:rsid w:val="00C93F23"/>
    <w:rsid w:val="00C95623"/>
    <w:rsid w:val="00CA0161"/>
    <w:rsid w:val="00CA01D3"/>
    <w:rsid w:val="00CA09C6"/>
    <w:rsid w:val="00CA1C17"/>
    <w:rsid w:val="00CA2CC8"/>
    <w:rsid w:val="00CA3308"/>
    <w:rsid w:val="00CA46A1"/>
    <w:rsid w:val="00CA62C2"/>
    <w:rsid w:val="00CB5776"/>
    <w:rsid w:val="00CB5B24"/>
    <w:rsid w:val="00CB7594"/>
    <w:rsid w:val="00CB7D8F"/>
    <w:rsid w:val="00CC2ED4"/>
    <w:rsid w:val="00CC330E"/>
    <w:rsid w:val="00CC4256"/>
    <w:rsid w:val="00CC56BC"/>
    <w:rsid w:val="00CC63FB"/>
    <w:rsid w:val="00CD1FA4"/>
    <w:rsid w:val="00CD3A33"/>
    <w:rsid w:val="00CD72BC"/>
    <w:rsid w:val="00CE2131"/>
    <w:rsid w:val="00CE27B0"/>
    <w:rsid w:val="00CE3AB6"/>
    <w:rsid w:val="00CE3E0C"/>
    <w:rsid w:val="00CE4320"/>
    <w:rsid w:val="00CE7ECC"/>
    <w:rsid w:val="00CF0BE5"/>
    <w:rsid w:val="00CF0FD5"/>
    <w:rsid w:val="00CF1996"/>
    <w:rsid w:val="00CF243F"/>
    <w:rsid w:val="00CF3087"/>
    <w:rsid w:val="00CF494E"/>
    <w:rsid w:val="00CF4B9F"/>
    <w:rsid w:val="00CF7825"/>
    <w:rsid w:val="00CF7A65"/>
    <w:rsid w:val="00D00937"/>
    <w:rsid w:val="00D02F15"/>
    <w:rsid w:val="00D0532D"/>
    <w:rsid w:val="00D079A4"/>
    <w:rsid w:val="00D07BCB"/>
    <w:rsid w:val="00D10371"/>
    <w:rsid w:val="00D10AC9"/>
    <w:rsid w:val="00D10CFD"/>
    <w:rsid w:val="00D1124E"/>
    <w:rsid w:val="00D1680C"/>
    <w:rsid w:val="00D176EE"/>
    <w:rsid w:val="00D22A36"/>
    <w:rsid w:val="00D22CB7"/>
    <w:rsid w:val="00D237AE"/>
    <w:rsid w:val="00D256CA"/>
    <w:rsid w:val="00D2636E"/>
    <w:rsid w:val="00D27268"/>
    <w:rsid w:val="00D27AFE"/>
    <w:rsid w:val="00D323F0"/>
    <w:rsid w:val="00D34885"/>
    <w:rsid w:val="00D411FB"/>
    <w:rsid w:val="00D43525"/>
    <w:rsid w:val="00D5138F"/>
    <w:rsid w:val="00D52672"/>
    <w:rsid w:val="00D52BAF"/>
    <w:rsid w:val="00D54FF7"/>
    <w:rsid w:val="00D563C2"/>
    <w:rsid w:val="00D56482"/>
    <w:rsid w:val="00D564E1"/>
    <w:rsid w:val="00D56605"/>
    <w:rsid w:val="00D57C3A"/>
    <w:rsid w:val="00D617F9"/>
    <w:rsid w:val="00D70F62"/>
    <w:rsid w:val="00D711B2"/>
    <w:rsid w:val="00D766D5"/>
    <w:rsid w:val="00D77140"/>
    <w:rsid w:val="00D81BA9"/>
    <w:rsid w:val="00D84AC5"/>
    <w:rsid w:val="00D84C5F"/>
    <w:rsid w:val="00D87C67"/>
    <w:rsid w:val="00D93A70"/>
    <w:rsid w:val="00D946E8"/>
    <w:rsid w:val="00D94B80"/>
    <w:rsid w:val="00D953AD"/>
    <w:rsid w:val="00D974F1"/>
    <w:rsid w:val="00DA18CA"/>
    <w:rsid w:val="00DA1921"/>
    <w:rsid w:val="00DA4412"/>
    <w:rsid w:val="00DA442A"/>
    <w:rsid w:val="00DA5191"/>
    <w:rsid w:val="00DA5BC4"/>
    <w:rsid w:val="00DB239B"/>
    <w:rsid w:val="00DB29DA"/>
    <w:rsid w:val="00DB2B23"/>
    <w:rsid w:val="00DB558C"/>
    <w:rsid w:val="00DC1472"/>
    <w:rsid w:val="00DC4BBB"/>
    <w:rsid w:val="00DC5B8A"/>
    <w:rsid w:val="00DD13F2"/>
    <w:rsid w:val="00DD3D4B"/>
    <w:rsid w:val="00DD56C7"/>
    <w:rsid w:val="00DD68F7"/>
    <w:rsid w:val="00DE02C3"/>
    <w:rsid w:val="00DE0BCE"/>
    <w:rsid w:val="00DF0596"/>
    <w:rsid w:val="00DF0DD8"/>
    <w:rsid w:val="00DF142C"/>
    <w:rsid w:val="00DF2559"/>
    <w:rsid w:val="00DF40C7"/>
    <w:rsid w:val="00DF4DBB"/>
    <w:rsid w:val="00DF5B28"/>
    <w:rsid w:val="00E01605"/>
    <w:rsid w:val="00E016E6"/>
    <w:rsid w:val="00E050A5"/>
    <w:rsid w:val="00E13A59"/>
    <w:rsid w:val="00E13CED"/>
    <w:rsid w:val="00E14E44"/>
    <w:rsid w:val="00E16C15"/>
    <w:rsid w:val="00E23AF6"/>
    <w:rsid w:val="00E26384"/>
    <w:rsid w:val="00E276D3"/>
    <w:rsid w:val="00E32481"/>
    <w:rsid w:val="00E34CF2"/>
    <w:rsid w:val="00E37242"/>
    <w:rsid w:val="00E41E1C"/>
    <w:rsid w:val="00E41E42"/>
    <w:rsid w:val="00E47E81"/>
    <w:rsid w:val="00E52B0C"/>
    <w:rsid w:val="00E532AA"/>
    <w:rsid w:val="00E5402B"/>
    <w:rsid w:val="00E56E39"/>
    <w:rsid w:val="00E5787F"/>
    <w:rsid w:val="00E609A0"/>
    <w:rsid w:val="00E61AC6"/>
    <w:rsid w:val="00E6260A"/>
    <w:rsid w:val="00E6738A"/>
    <w:rsid w:val="00E67F02"/>
    <w:rsid w:val="00E74271"/>
    <w:rsid w:val="00E74E0F"/>
    <w:rsid w:val="00E80C85"/>
    <w:rsid w:val="00E82C4C"/>
    <w:rsid w:val="00E83A07"/>
    <w:rsid w:val="00E8605D"/>
    <w:rsid w:val="00E868BC"/>
    <w:rsid w:val="00E87BEE"/>
    <w:rsid w:val="00E92CE8"/>
    <w:rsid w:val="00E92D9B"/>
    <w:rsid w:val="00E95314"/>
    <w:rsid w:val="00E9604A"/>
    <w:rsid w:val="00EA2DFA"/>
    <w:rsid w:val="00EB15C1"/>
    <w:rsid w:val="00EB452E"/>
    <w:rsid w:val="00EB4C0B"/>
    <w:rsid w:val="00EC10C1"/>
    <w:rsid w:val="00EC4919"/>
    <w:rsid w:val="00EC5078"/>
    <w:rsid w:val="00EC58D5"/>
    <w:rsid w:val="00EC7428"/>
    <w:rsid w:val="00EC7CF6"/>
    <w:rsid w:val="00ED2875"/>
    <w:rsid w:val="00ED2F65"/>
    <w:rsid w:val="00ED4594"/>
    <w:rsid w:val="00ED5413"/>
    <w:rsid w:val="00ED7B05"/>
    <w:rsid w:val="00EE007B"/>
    <w:rsid w:val="00EE01B5"/>
    <w:rsid w:val="00EE0B83"/>
    <w:rsid w:val="00EE5770"/>
    <w:rsid w:val="00EE6ECB"/>
    <w:rsid w:val="00EF0637"/>
    <w:rsid w:val="00EF2B0A"/>
    <w:rsid w:val="00EF2E77"/>
    <w:rsid w:val="00EF4164"/>
    <w:rsid w:val="00EF4B02"/>
    <w:rsid w:val="00F1196D"/>
    <w:rsid w:val="00F12794"/>
    <w:rsid w:val="00F129A2"/>
    <w:rsid w:val="00F12BFC"/>
    <w:rsid w:val="00F13600"/>
    <w:rsid w:val="00F1369A"/>
    <w:rsid w:val="00F246D5"/>
    <w:rsid w:val="00F3214C"/>
    <w:rsid w:val="00F35FCB"/>
    <w:rsid w:val="00F36152"/>
    <w:rsid w:val="00F40082"/>
    <w:rsid w:val="00F4025A"/>
    <w:rsid w:val="00F4025D"/>
    <w:rsid w:val="00F42951"/>
    <w:rsid w:val="00F42D95"/>
    <w:rsid w:val="00F42ED0"/>
    <w:rsid w:val="00F43BC6"/>
    <w:rsid w:val="00F44025"/>
    <w:rsid w:val="00F46A1C"/>
    <w:rsid w:val="00F47FD8"/>
    <w:rsid w:val="00F507CE"/>
    <w:rsid w:val="00F54A32"/>
    <w:rsid w:val="00F620CB"/>
    <w:rsid w:val="00F624CB"/>
    <w:rsid w:val="00F638F7"/>
    <w:rsid w:val="00F670BF"/>
    <w:rsid w:val="00F70BA1"/>
    <w:rsid w:val="00F711F6"/>
    <w:rsid w:val="00F7389D"/>
    <w:rsid w:val="00F73B85"/>
    <w:rsid w:val="00F760F2"/>
    <w:rsid w:val="00F87D11"/>
    <w:rsid w:val="00F90B57"/>
    <w:rsid w:val="00F9222A"/>
    <w:rsid w:val="00F94F59"/>
    <w:rsid w:val="00F96D54"/>
    <w:rsid w:val="00FA3C6E"/>
    <w:rsid w:val="00FA6734"/>
    <w:rsid w:val="00FB0B52"/>
    <w:rsid w:val="00FB3558"/>
    <w:rsid w:val="00FB4F88"/>
    <w:rsid w:val="00FC74A0"/>
    <w:rsid w:val="00FC7A09"/>
    <w:rsid w:val="00FD20A9"/>
    <w:rsid w:val="00FD31F2"/>
    <w:rsid w:val="00FD4B9D"/>
    <w:rsid w:val="00FD7BEE"/>
    <w:rsid w:val="00FE2746"/>
    <w:rsid w:val="00FE372C"/>
    <w:rsid w:val="00FE3CB8"/>
    <w:rsid w:val="00FE479A"/>
    <w:rsid w:val="00FE4839"/>
    <w:rsid w:val="00FE6C5F"/>
    <w:rsid w:val="00FF0234"/>
    <w:rsid w:val="00FF179D"/>
    <w:rsid w:val="00FF1A2E"/>
    <w:rsid w:val="00FF1F07"/>
    <w:rsid w:val="00FF684B"/>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3B9DF"/>
  <w15:docId w15:val="{A07C2B1D-9367-453C-BC6A-75DCDE1C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02D4"/>
    <w:pPr>
      <w:spacing w:after="0" w:line="300" w:lineRule="auto"/>
      <w:jc w:val="both"/>
    </w:pPr>
    <w:rPr>
      <w:rFonts w:ascii="Times New Roman" w:hAnsi="Times New Roman"/>
      <w:sz w:val="24"/>
    </w:rPr>
  </w:style>
  <w:style w:type="paragraph" w:styleId="Overskrift1">
    <w:name w:val="heading 1"/>
    <w:basedOn w:val="Normal"/>
    <w:next w:val="Normal"/>
    <w:link w:val="Overskrift1Tegn"/>
    <w:qFormat/>
    <w:rsid w:val="003478AE"/>
    <w:pPr>
      <w:keepNext/>
      <w:outlineLvl w:val="0"/>
    </w:pPr>
    <w:rPr>
      <w:rFonts w:asciiTheme="majorHAnsi" w:hAnsiTheme="majorHAnsi" w:cs="Arial"/>
      <w:b/>
      <w:bCs/>
      <w:kern w:val="32"/>
      <w:szCs w:val="32"/>
    </w:rPr>
  </w:style>
  <w:style w:type="paragraph" w:styleId="Overskrift2">
    <w:name w:val="heading 2"/>
    <w:basedOn w:val="Normal"/>
    <w:next w:val="Normal"/>
    <w:link w:val="Overskrift2Tegn"/>
    <w:qFormat/>
    <w:rsid w:val="003478AE"/>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3478AE"/>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3478AE"/>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3478AE"/>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3478AE"/>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3478AE"/>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3478AE"/>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3478AE"/>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3478AE"/>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3478AE"/>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3478AE"/>
    <w:rPr>
      <w:rFonts w:ascii="Georgia" w:hAnsi="Georgia"/>
      <w:color w:val="800080"/>
      <w:u w:val="single"/>
    </w:rPr>
  </w:style>
  <w:style w:type="paragraph" w:styleId="Billedtekst">
    <w:name w:val="caption"/>
    <w:basedOn w:val="Normal"/>
    <w:next w:val="Normal"/>
    <w:uiPriority w:val="35"/>
    <w:semiHidden/>
    <w:unhideWhenUsed/>
    <w:qFormat/>
    <w:rsid w:val="003478AE"/>
    <w:pPr>
      <w:spacing w:line="240" w:lineRule="auto"/>
    </w:pPr>
    <w:rPr>
      <w:b/>
      <w:bCs/>
      <w:color w:val="00A9E0" w:themeColor="accent1"/>
      <w:sz w:val="18"/>
      <w:szCs w:val="18"/>
    </w:rPr>
  </w:style>
  <w:style w:type="paragraph" w:styleId="Bloktekst">
    <w:name w:val="Block Text"/>
    <w:basedOn w:val="Normal"/>
    <w:uiPriority w:val="99"/>
    <w:semiHidden/>
    <w:unhideWhenUsed/>
    <w:rsid w:val="003478AE"/>
    <w:pPr>
      <w:pBdr>
        <w:top w:val="single" w:sz="2" w:space="10" w:color="00A9E0"/>
        <w:left w:val="single" w:sz="2" w:space="10" w:color="00A9E0"/>
        <w:bottom w:val="single" w:sz="2" w:space="10" w:color="00A9E0"/>
        <w:right w:val="single" w:sz="2" w:space="10" w:color="00A9E0"/>
      </w:pBdr>
      <w:ind w:left="1152" w:right="1152"/>
    </w:pPr>
    <w:rPr>
      <w:i/>
      <w:iCs/>
      <w:color w:val="00A9E0"/>
    </w:rPr>
  </w:style>
  <w:style w:type="table" w:customStyle="1" w:styleId="Tabel-TRMtal">
    <w:name w:val="Tabel - TRM tal"/>
    <w:basedOn w:val="Tabel-Normal"/>
    <w:rsid w:val="003478AE"/>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3478AE"/>
    <w:pPr>
      <w:spacing w:after="120"/>
    </w:pPr>
  </w:style>
  <w:style w:type="character" w:customStyle="1" w:styleId="BrdtekstTegn">
    <w:name w:val="Brødtekst Tegn"/>
    <w:basedOn w:val="Standardskrifttypeiafsnit"/>
    <w:link w:val="Brdtekst"/>
    <w:uiPriority w:val="99"/>
    <w:semiHidden/>
    <w:rsid w:val="003478AE"/>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3478AE"/>
    <w:rPr>
      <w:i/>
      <w:iCs/>
      <w:color w:val="000000" w:themeColor="text1"/>
    </w:rPr>
  </w:style>
  <w:style w:type="character" w:customStyle="1" w:styleId="CitatTegn">
    <w:name w:val="Citat Tegn"/>
    <w:basedOn w:val="Standardskrifttypeiafsnit"/>
    <w:link w:val="Citat"/>
    <w:uiPriority w:val="29"/>
    <w:semiHidden/>
    <w:rsid w:val="003478AE"/>
    <w:rPr>
      <w:rFonts w:eastAsiaTheme="minorEastAsia" w:cs="Georgia"/>
      <w:i/>
      <w:iCs/>
      <w:color w:val="000000" w:themeColor="text1"/>
      <w:sz w:val="21"/>
      <w:szCs w:val="21"/>
    </w:rPr>
  </w:style>
  <w:style w:type="character" w:styleId="Fremhv">
    <w:name w:val="Emphasis"/>
    <w:basedOn w:val="Standardskrifttypeiafsnit"/>
    <w:uiPriority w:val="20"/>
    <w:qFormat/>
    <w:rsid w:val="003478AE"/>
    <w:rPr>
      <w:i/>
      <w:iCs/>
    </w:rPr>
  </w:style>
  <w:style w:type="character" w:styleId="Hyperlink">
    <w:name w:val="Hyperlink"/>
    <w:basedOn w:val="Standardskrifttypeiafsnit"/>
    <w:uiPriority w:val="99"/>
    <w:rsid w:val="003478AE"/>
    <w:rPr>
      <w:rFonts w:ascii="Georgia" w:hAnsi="Georgia"/>
      <w:color w:val="0000FF"/>
      <w:u w:val="single"/>
    </w:rPr>
  </w:style>
  <w:style w:type="paragraph" w:styleId="Indholdsfortegnelse1">
    <w:name w:val="toc 1"/>
    <w:basedOn w:val="Normal"/>
    <w:next w:val="Normal"/>
    <w:autoRedefine/>
    <w:uiPriority w:val="39"/>
    <w:semiHidden/>
    <w:unhideWhenUsed/>
    <w:rsid w:val="003478AE"/>
    <w:pPr>
      <w:spacing w:after="100"/>
    </w:pPr>
  </w:style>
  <w:style w:type="character" w:styleId="Kraftigfremhvning">
    <w:name w:val="Intense Emphasis"/>
    <w:basedOn w:val="Standardskrifttypeiafsnit"/>
    <w:uiPriority w:val="21"/>
    <w:semiHidden/>
    <w:rsid w:val="003478AE"/>
    <w:rPr>
      <w:b/>
      <w:bCs/>
      <w:i/>
      <w:iCs/>
      <w:color w:val="00A9E0" w:themeColor="accent1"/>
    </w:rPr>
  </w:style>
  <w:style w:type="table" w:customStyle="1" w:styleId="Tabel-TRMtekst">
    <w:name w:val="Tabel - TRM tekst"/>
    <w:basedOn w:val="Tabel-Gitter"/>
    <w:uiPriority w:val="99"/>
    <w:rsid w:val="00347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3478AE"/>
    <w:pPr>
      <w:contextualSpacing/>
    </w:pPr>
  </w:style>
  <w:style w:type="table" w:styleId="Lysskygge">
    <w:name w:val="Light Shading"/>
    <w:basedOn w:val="Tabel-Normal"/>
    <w:uiPriority w:val="60"/>
    <w:rsid w:val="003478AE"/>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3478A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78AE"/>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3478AE"/>
    <w:pPr>
      <w:spacing w:line="190" w:lineRule="atLeast"/>
    </w:pPr>
    <w:rPr>
      <w:caps/>
      <w:color w:val="00A9E0"/>
      <w:sz w:val="15"/>
    </w:rPr>
  </w:style>
  <w:style w:type="paragraph" w:customStyle="1" w:styleId="Normal-Emne">
    <w:name w:val="Normal - Emne"/>
    <w:basedOn w:val="Normal"/>
    <w:link w:val="Normal-EmneChar"/>
    <w:semiHidden/>
    <w:rsid w:val="003478AE"/>
    <w:pPr>
      <w:spacing w:before="20"/>
    </w:pPr>
    <w:rPr>
      <w:caps/>
      <w:color w:val="F9BA04"/>
      <w:sz w:val="40"/>
    </w:rPr>
  </w:style>
  <w:style w:type="character" w:customStyle="1" w:styleId="Normal-EmneChar">
    <w:name w:val="Normal - Emne Char"/>
    <w:basedOn w:val="Standardskrifttypeiafsnit"/>
    <w:link w:val="Normal-Emne"/>
    <w:semiHidden/>
    <w:rsid w:val="003478AE"/>
    <w:rPr>
      <w:rFonts w:eastAsiaTheme="minorEastAsia" w:cs="Georgia"/>
      <w:caps/>
      <w:color w:val="F9BA04"/>
      <w:sz w:val="40"/>
      <w:szCs w:val="21"/>
    </w:rPr>
  </w:style>
  <w:style w:type="paragraph" w:customStyle="1" w:styleId="Normaludenluft">
    <w:name w:val="Normal uden luft"/>
    <w:basedOn w:val="Normal"/>
    <w:uiPriority w:val="1"/>
    <w:qFormat/>
    <w:rsid w:val="003478AE"/>
  </w:style>
  <w:style w:type="paragraph" w:customStyle="1" w:styleId="Normal-Punktliste">
    <w:name w:val="Normal - Punktliste"/>
    <w:basedOn w:val="Normal"/>
    <w:uiPriority w:val="2"/>
    <w:qFormat/>
    <w:rsid w:val="003478AE"/>
    <w:pPr>
      <w:numPr>
        <w:numId w:val="1"/>
      </w:numPr>
    </w:pPr>
  </w:style>
  <w:style w:type="paragraph" w:customStyle="1" w:styleId="Normal-Talliste">
    <w:name w:val="Normal - Talliste"/>
    <w:basedOn w:val="Normal"/>
    <w:uiPriority w:val="2"/>
    <w:qFormat/>
    <w:rsid w:val="003478AE"/>
    <w:pPr>
      <w:numPr>
        <w:numId w:val="2"/>
      </w:numPr>
      <w:tabs>
        <w:tab w:val="left" w:pos="567"/>
      </w:tabs>
    </w:pPr>
  </w:style>
  <w:style w:type="character" w:customStyle="1" w:styleId="Overskrift1Tegn">
    <w:name w:val="Overskrift 1 Tegn"/>
    <w:basedOn w:val="Standardskrifttypeiafsnit"/>
    <w:link w:val="Overskrift1"/>
    <w:rsid w:val="003478AE"/>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3478AE"/>
    <w:pPr>
      <w:outlineLvl w:val="9"/>
    </w:pPr>
  </w:style>
  <w:style w:type="character" w:customStyle="1" w:styleId="Overskrift2Tegn">
    <w:name w:val="Overskrift 2 Tegn"/>
    <w:basedOn w:val="Standardskrifttypeiafsnit"/>
    <w:link w:val="Overskrift2"/>
    <w:rsid w:val="003478AE"/>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3478AE"/>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3478AE"/>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3478AE"/>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3478AE"/>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3478AE"/>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3478AE"/>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3478AE"/>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3478AE"/>
    <w:pPr>
      <w:suppressAutoHyphens/>
    </w:pPr>
    <w:rPr>
      <w:rFonts w:eastAsia="Times New Roman"/>
      <w:szCs w:val="24"/>
      <w:lang w:eastAsia="ar-SA"/>
    </w:rPr>
  </w:style>
  <w:style w:type="paragraph" w:styleId="Sidefod">
    <w:name w:val="footer"/>
    <w:basedOn w:val="Normal"/>
    <w:link w:val="SidefodTegn"/>
    <w:uiPriority w:val="99"/>
    <w:rsid w:val="003478AE"/>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uiPriority w:val="99"/>
    <w:rsid w:val="003478AE"/>
    <w:rPr>
      <w:rFonts w:eastAsiaTheme="minorEastAsia" w:cs="Georgia"/>
      <w:color w:val="0D0D0D" w:themeColor="text1" w:themeTint="F2"/>
      <w:sz w:val="15"/>
      <w:szCs w:val="21"/>
    </w:rPr>
  </w:style>
  <w:style w:type="paragraph" w:styleId="Sidehoved">
    <w:name w:val="header"/>
    <w:basedOn w:val="Normal"/>
    <w:link w:val="SidehovedTegn"/>
    <w:semiHidden/>
    <w:rsid w:val="003478AE"/>
    <w:pPr>
      <w:tabs>
        <w:tab w:val="center" w:pos="4819"/>
        <w:tab w:val="right" w:pos="9638"/>
      </w:tabs>
    </w:pPr>
  </w:style>
  <w:style w:type="character" w:customStyle="1" w:styleId="SidehovedTegn">
    <w:name w:val="Sidehoved Tegn"/>
    <w:basedOn w:val="Standardskrifttypeiafsnit"/>
    <w:link w:val="Sidehoved"/>
    <w:semiHidden/>
    <w:rsid w:val="003478AE"/>
    <w:rPr>
      <w:rFonts w:eastAsiaTheme="minorEastAsia" w:cs="Georgia"/>
      <w:color w:val="0D0D0D" w:themeColor="text1" w:themeTint="F2"/>
      <w:sz w:val="21"/>
      <w:szCs w:val="21"/>
    </w:rPr>
  </w:style>
  <w:style w:type="character" w:styleId="Sidetal">
    <w:name w:val="page number"/>
    <w:basedOn w:val="Standardskrifttypeiafsnit"/>
    <w:semiHidden/>
    <w:rsid w:val="003478AE"/>
    <w:rPr>
      <w:rFonts w:ascii="Georgia" w:hAnsi="Georgia"/>
      <w:sz w:val="21"/>
    </w:rPr>
  </w:style>
  <w:style w:type="character" w:styleId="Strk">
    <w:name w:val="Strong"/>
    <w:basedOn w:val="Standardskrifttypeiafsnit"/>
    <w:uiPriority w:val="22"/>
    <w:qFormat/>
    <w:rsid w:val="003478AE"/>
    <w:rPr>
      <w:b/>
      <w:bCs/>
    </w:rPr>
  </w:style>
  <w:style w:type="paragraph" w:styleId="Strktcitat">
    <w:name w:val="Intense Quote"/>
    <w:basedOn w:val="Normal"/>
    <w:next w:val="Normal"/>
    <w:link w:val="StrktcitatTegn"/>
    <w:uiPriority w:val="30"/>
    <w:semiHidden/>
    <w:rsid w:val="003478AE"/>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3478AE"/>
    <w:rPr>
      <w:rFonts w:eastAsiaTheme="minorEastAsia" w:cs="Georgia"/>
      <w:b/>
      <w:bCs/>
      <w:i/>
      <w:iCs/>
      <w:color w:val="00A9E0"/>
      <w:sz w:val="21"/>
      <w:szCs w:val="21"/>
    </w:rPr>
  </w:style>
  <w:style w:type="character" w:styleId="Svagfremhvning">
    <w:name w:val="Subtle Emphasis"/>
    <w:basedOn w:val="Standardskrifttypeiafsnit"/>
    <w:uiPriority w:val="19"/>
    <w:semiHidden/>
    <w:rsid w:val="003478AE"/>
    <w:rPr>
      <w:i/>
      <w:iCs/>
      <w:color w:val="808080" w:themeColor="text1" w:themeTint="7F"/>
    </w:rPr>
  </w:style>
  <w:style w:type="table" w:styleId="Tabel-Gitter">
    <w:name w:val="Table Grid"/>
    <w:basedOn w:val="Tabel-Normal"/>
    <w:uiPriority w:val="59"/>
    <w:rsid w:val="003478AE"/>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3478AE"/>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3478AE"/>
    <w:pPr>
      <w:spacing w:line="240" w:lineRule="auto"/>
    </w:pPr>
    <w:rPr>
      <w:sz w:val="19"/>
      <w:szCs w:val="17"/>
    </w:rPr>
  </w:style>
  <w:style w:type="paragraph" w:customStyle="1" w:styleId="Template-Adresse">
    <w:name w:val="Template - Adresse"/>
    <w:basedOn w:val="Normaludenluft"/>
    <w:semiHidden/>
    <w:rsid w:val="003478AE"/>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3478AE"/>
    <w:pPr>
      <w:spacing w:line="240" w:lineRule="exact"/>
    </w:pPr>
    <w:rPr>
      <w:rFonts w:ascii="Verdana" w:hAnsi="Verdana"/>
      <w:b/>
      <w:caps/>
    </w:rPr>
  </w:style>
  <w:style w:type="character" w:customStyle="1" w:styleId="Template-DokumenttypeTegn">
    <w:name w:val="Template - Dokumenttype Tegn"/>
    <w:basedOn w:val="Standardskrifttypeiafsnit"/>
    <w:link w:val="Template-Dokumenttype"/>
    <w:uiPriority w:val="9"/>
    <w:semiHidden/>
    <w:rsid w:val="003478AE"/>
    <w:rPr>
      <w:rFonts w:ascii="Verdana" w:eastAsiaTheme="minorEastAsia" w:hAnsi="Verdana" w:cs="Georgia"/>
      <w:b/>
      <w:caps/>
      <w:sz w:val="24"/>
      <w:szCs w:val="21"/>
    </w:rPr>
  </w:style>
  <w:style w:type="paragraph" w:styleId="Titel">
    <w:name w:val="Title"/>
    <w:basedOn w:val="Normal"/>
    <w:next w:val="Normal"/>
    <w:link w:val="TitelTegn"/>
    <w:uiPriority w:val="10"/>
    <w:semiHidden/>
    <w:rsid w:val="003478AE"/>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3478AE"/>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3478AE"/>
    <w:pPr>
      <w:numPr>
        <w:ilvl w:val="1"/>
      </w:numPr>
    </w:pPr>
    <w:rPr>
      <w:rFonts w:asciiTheme="majorHAnsi" w:eastAsiaTheme="majorEastAsia" w:hAnsiTheme="majorHAnsi" w:cstheme="majorBidi"/>
      <w:i/>
      <w:iCs/>
      <w:color w:val="00A9E0" w:themeColor="accent1"/>
      <w:spacing w:val="15"/>
      <w:szCs w:val="24"/>
    </w:rPr>
  </w:style>
  <w:style w:type="character" w:customStyle="1" w:styleId="UndertitelTegn">
    <w:name w:val="Undertitel Tegn"/>
    <w:basedOn w:val="Standardskrifttypeiafsnit"/>
    <w:link w:val="Undertitel"/>
    <w:uiPriority w:val="11"/>
    <w:semiHidden/>
    <w:rsid w:val="003478AE"/>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3478AE"/>
    <w:rPr>
      <w:caps/>
      <w:color w:val="FF0000"/>
      <w:sz w:val="36"/>
      <w:szCs w:val="32"/>
    </w:rPr>
  </w:style>
  <w:style w:type="paragraph" w:styleId="Sluthilsen">
    <w:name w:val="Closing"/>
    <w:basedOn w:val="Normal"/>
    <w:link w:val="SluthilsenTegn"/>
    <w:uiPriority w:val="99"/>
    <w:semiHidden/>
    <w:rsid w:val="003478AE"/>
    <w:pPr>
      <w:spacing w:before="560" w:after="560"/>
    </w:pPr>
  </w:style>
  <w:style w:type="character" w:customStyle="1" w:styleId="SluthilsenTegn">
    <w:name w:val="Sluthilsen Tegn"/>
    <w:basedOn w:val="Standardskrifttypeiafsnit"/>
    <w:link w:val="Sluthilsen"/>
    <w:uiPriority w:val="99"/>
    <w:semiHidden/>
    <w:rsid w:val="003478AE"/>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3478AE"/>
    <w:pPr>
      <w:spacing w:line="280" w:lineRule="atLeast"/>
    </w:pPr>
    <w:rPr>
      <w:rFonts w:asciiTheme="majorHAnsi" w:hAnsiTheme="majorHAnsi"/>
      <w:b/>
      <w:bCs/>
      <w:color w:val="00A9E0" w:themeColor="accent1"/>
      <w:sz w:val="20"/>
    </w:rPr>
  </w:style>
  <w:style w:type="character" w:styleId="Ulstomtale">
    <w:name w:val="Unresolved Mention"/>
    <w:basedOn w:val="Standardskrifttypeiafsnit"/>
    <w:uiPriority w:val="99"/>
    <w:semiHidden/>
    <w:unhideWhenUsed/>
    <w:rsid w:val="003478AE"/>
    <w:rPr>
      <w:color w:val="605E5C"/>
      <w:shd w:val="clear" w:color="auto" w:fill="E1DFDD"/>
    </w:rPr>
  </w:style>
  <w:style w:type="paragraph" w:customStyle="1" w:styleId="Minimeretafsnit">
    <w:name w:val="Minimeret afsnit"/>
    <w:basedOn w:val="Normaludenluft"/>
    <w:uiPriority w:val="99"/>
    <w:semiHidden/>
    <w:rsid w:val="003478AE"/>
    <w:pPr>
      <w:spacing w:line="20" w:lineRule="exact"/>
    </w:pPr>
    <w:rPr>
      <w:sz w:val="2"/>
      <w:szCs w:val="2"/>
    </w:rPr>
  </w:style>
  <w:style w:type="paragraph" w:customStyle="1" w:styleId="Sidenummerering">
    <w:name w:val="Sidenummerering"/>
    <w:basedOn w:val="Template-Adresse"/>
    <w:uiPriority w:val="1"/>
    <w:semiHidden/>
    <w:rsid w:val="003478AE"/>
    <w:pPr>
      <w:spacing w:line="280" w:lineRule="atLeast"/>
    </w:pPr>
    <w:rPr>
      <w:sz w:val="21"/>
    </w:rPr>
  </w:style>
  <w:style w:type="paragraph" w:customStyle="1" w:styleId="Billedfelt">
    <w:name w:val="Billedfelt"/>
    <w:basedOn w:val="Normal"/>
    <w:uiPriority w:val="99"/>
    <w:semiHidden/>
    <w:rsid w:val="003478AE"/>
    <w:pPr>
      <w:spacing w:line="240" w:lineRule="auto"/>
    </w:pPr>
  </w:style>
  <w:style w:type="paragraph" w:customStyle="1" w:styleId="Normalindrykket">
    <w:name w:val="Normal indrykket"/>
    <w:basedOn w:val="Normal"/>
    <w:uiPriority w:val="1"/>
    <w:qFormat/>
    <w:rsid w:val="003478AE"/>
    <w:pPr>
      <w:ind w:left="340"/>
    </w:pPr>
  </w:style>
  <w:style w:type="paragraph" w:customStyle="1" w:styleId="Tabelkildehenvisning">
    <w:name w:val="Tabelkildehenvisning"/>
    <w:basedOn w:val="Normaludenluft"/>
    <w:link w:val="TabelkildehenvisningTegn"/>
    <w:uiPriority w:val="99"/>
    <w:semiHidden/>
    <w:rsid w:val="003478AE"/>
    <w:pPr>
      <w:spacing w:after="200" w:line="180" w:lineRule="exact"/>
    </w:pPr>
    <w:rPr>
      <w:rFonts w:ascii="Arial" w:eastAsia="Calibri" w:hAnsi="Arial" w:cs="Times New Roman"/>
      <w:sz w:val="14"/>
    </w:rPr>
  </w:style>
  <w:style w:type="character" w:customStyle="1" w:styleId="TabelkildehenvisningTegn">
    <w:name w:val="Tabelkildehenvisning Tegn"/>
    <w:link w:val="Tabelkildehenvisning"/>
    <w:uiPriority w:val="99"/>
    <w:semiHidden/>
    <w:rsid w:val="003478AE"/>
    <w:rPr>
      <w:rFonts w:ascii="Arial" w:eastAsia="Calibri" w:hAnsi="Arial" w:cs="Times New Roman"/>
      <w:sz w:val="14"/>
    </w:rPr>
  </w:style>
  <w:style w:type="paragraph" w:customStyle="1" w:styleId="Tabelkolonneoverskrift">
    <w:name w:val="Tabelkolonneoverskrift"/>
    <w:basedOn w:val="Normal"/>
    <w:uiPriority w:val="99"/>
    <w:semiHidden/>
    <w:qFormat/>
    <w:rsid w:val="003478AE"/>
    <w:pPr>
      <w:framePr w:hSpace="142" w:wrap="around" w:vAnchor="text" w:hAnchor="margin" w:x="1" w:y="1"/>
      <w:autoSpaceDE w:val="0"/>
      <w:autoSpaceDN w:val="0"/>
      <w:adjustRightInd w:val="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3478AE"/>
    <w:pPr>
      <w:pBdr>
        <w:top w:val="single" w:sz="18" w:space="5" w:color="00A9E0" w:themeColor="accent1"/>
      </w:pBdr>
    </w:pPr>
  </w:style>
  <w:style w:type="paragraph" w:customStyle="1" w:styleId="Tabeltekst">
    <w:name w:val="Tabeltekst"/>
    <w:basedOn w:val="Normal"/>
    <w:uiPriority w:val="99"/>
    <w:semiHidden/>
    <w:qFormat/>
    <w:rsid w:val="003478AE"/>
    <w:pPr>
      <w:framePr w:hSpace="142" w:wrap="around" w:vAnchor="text" w:hAnchor="margin" w:x="1" w:y="1"/>
      <w:autoSpaceDE w:val="0"/>
      <w:autoSpaceDN w:val="0"/>
      <w:adjustRightInd w:val="0"/>
      <w:suppressOverlap/>
    </w:pPr>
    <w:rPr>
      <w:rFonts w:cs="Cambria"/>
      <w:bCs/>
      <w:color w:val="000000"/>
      <w:sz w:val="14"/>
      <w:szCs w:val="14"/>
    </w:rPr>
  </w:style>
  <w:style w:type="paragraph" w:customStyle="1" w:styleId="Tabelrkkeoverskrift">
    <w:name w:val="Tabelrækkeoverskrift"/>
    <w:basedOn w:val="Tabeltekst"/>
    <w:uiPriority w:val="99"/>
    <w:semiHidden/>
    <w:qFormat/>
    <w:rsid w:val="003478AE"/>
    <w:pPr>
      <w:framePr w:wrap="around"/>
    </w:pPr>
    <w:rPr>
      <w:b/>
    </w:rPr>
  </w:style>
  <w:style w:type="paragraph" w:styleId="Kommentartekst">
    <w:name w:val="annotation text"/>
    <w:basedOn w:val="Normal"/>
    <w:link w:val="KommentartekstTegn"/>
    <w:uiPriority w:val="99"/>
    <w:unhideWhenUsed/>
    <w:rsid w:val="004202D4"/>
    <w:pPr>
      <w:spacing w:line="240" w:lineRule="auto"/>
    </w:pPr>
    <w:rPr>
      <w:sz w:val="20"/>
      <w:szCs w:val="20"/>
    </w:rPr>
  </w:style>
  <w:style w:type="character" w:customStyle="1" w:styleId="KommentartekstTegn">
    <w:name w:val="Kommentartekst Tegn"/>
    <w:basedOn w:val="Standardskrifttypeiafsnit"/>
    <w:link w:val="Kommentartekst"/>
    <w:uiPriority w:val="99"/>
    <w:rsid w:val="004202D4"/>
    <w:rPr>
      <w:rFonts w:ascii="Times New Roman" w:hAnsi="Times New Roman"/>
      <w:sz w:val="20"/>
      <w:szCs w:val="20"/>
    </w:rPr>
  </w:style>
  <w:style w:type="character" w:styleId="Kommentarhenvisning">
    <w:name w:val="annotation reference"/>
    <w:basedOn w:val="Standardskrifttypeiafsnit"/>
    <w:uiPriority w:val="99"/>
    <w:semiHidden/>
    <w:unhideWhenUsed/>
    <w:rsid w:val="004202D4"/>
    <w:rPr>
      <w:sz w:val="16"/>
      <w:szCs w:val="16"/>
    </w:rPr>
  </w:style>
  <w:style w:type="character" w:customStyle="1" w:styleId="Hyperlink1">
    <w:name w:val="Hyperlink1"/>
    <w:basedOn w:val="Standardskrifttypeiafsnit"/>
    <w:rsid w:val="004202D4"/>
  </w:style>
  <w:style w:type="paragraph" w:styleId="Kommentaremne">
    <w:name w:val="annotation subject"/>
    <w:basedOn w:val="Kommentartekst"/>
    <w:next w:val="Kommentartekst"/>
    <w:link w:val="KommentaremneTegn"/>
    <w:uiPriority w:val="99"/>
    <w:semiHidden/>
    <w:unhideWhenUsed/>
    <w:rsid w:val="00055235"/>
    <w:rPr>
      <w:b/>
      <w:bCs/>
    </w:rPr>
  </w:style>
  <w:style w:type="character" w:customStyle="1" w:styleId="KommentaremneTegn">
    <w:name w:val="Kommentaremne Tegn"/>
    <w:basedOn w:val="KommentartekstTegn"/>
    <w:link w:val="Kommentaremne"/>
    <w:uiPriority w:val="99"/>
    <w:semiHidden/>
    <w:rsid w:val="00055235"/>
    <w:rPr>
      <w:rFonts w:ascii="Times New Roman" w:hAnsi="Times New Roman"/>
      <w:b/>
      <w:bCs/>
      <w:sz w:val="20"/>
      <w:szCs w:val="20"/>
    </w:rPr>
  </w:style>
  <w:style w:type="paragraph" w:styleId="NormalWeb">
    <w:name w:val="Normal (Web)"/>
    <w:basedOn w:val="Normal"/>
    <w:uiPriority w:val="99"/>
    <w:unhideWhenUsed/>
    <w:rsid w:val="007D6F59"/>
    <w:pPr>
      <w:spacing w:before="100" w:beforeAutospacing="1" w:after="100" w:afterAutospacing="1" w:line="240" w:lineRule="auto"/>
      <w:jc w:val="left"/>
    </w:pPr>
    <w:rPr>
      <w:rFonts w:eastAsia="Times New Roman" w:cs="Times New Roman"/>
      <w:szCs w:val="24"/>
      <w:lang w:eastAsia="da-DK"/>
    </w:rPr>
  </w:style>
  <w:style w:type="character" w:customStyle="1" w:styleId="italic">
    <w:name w:val="italic"/>
    <w:basedOn w:val="Standardskrifttypeiafsnit"/>
    <w:rsid w:val="003B22DE"/>
  </w:style>
  <w:style w:type="paragraph" w:customStyle="1" w:styleId="paragraf">
    <w:name w:val="paragraf"/>
    <w:basedOn w:val="Normal"/>
    <w:rsid w:val="00AD2551"/>
    <w:pPr>
      <w:spacing w:before="100" w:beforeAutospacing="1" w:after="100" w:afterAutospacing="1" w:line="240" w:lineRule="auto"/>
      <w:jc w:val="left"/>
    </w:pPr>
    <w:rPr>
      <w:rFonts w:eastAsia="Times New Roman" w:cs="Times New Roman"/>
      <w:szCs w:val="24"/>
      <w:lang w:eastAsia="da-DK"/>
    </w:rPr>
  </w:style>
  <w:style w:type="character" w:customStyle="1" w:styleId="paragrafnr">
    <w:name w:val="paragrafnr"/>
    <w:basedOn w:val="Standardskrifttypeiafsnit"/>
    <w:rsid w:val="00AD2551"/>
  </w:style>
  <w:style w:type="paragraph" w:customStyle="1" w:styleId="liste1">
    <w:name w:val="liste1"/>
    <w:basedOn w:val="Normal"/>
    <w:rsid w:val="00AD2551"/>
    <w:pPr>
      <w:spacing w:before="100" w:beforeAutospacing="1" w:after="100" w:afterAutospacing="1" w:line="240" w:lineRule="auto"/>
      <w:jc w:val="left"/>
    </w:pPr>
    <w:rPr>
      <w:rFonts w:eastAsia="Times New Roman" w:cs="Times New Roman"/>
      <w:szCs w:val="24"/>
      <w:lang w:eastAsia="da-DK"/>
    </w:rPr>
  </w:style>
  <w:style w:type="character" w:customStyle="1" w:styleId="liste1nr">
    <w:name w:val="liste1nr"/>
    <w:basedOn w:val="Standardskrifttypeiafsnit"/>
    <w:rsid w:val="00AD2551"/>
  </w:style>
  <w:style w:type="paragraph" w:customStyle="1" w:styleId="stk2">
    <w:name w:val="stk2"/>
    <w:basedOn w:val="Normal"/>
    <w:rsid w:val="00AD2551"/>
    <w:pPr>
      <w:spacing w:before="100" w:beforeAutospacing="1" w:after="100" w:afterAutospacing="1" w:line="240" w:lineRule="auto"/>
      <w:jc w:val="left"/>
    </w:pPr>
    <w:rPr>
      <w:rFonts w:eastAsia="Times New Roman" w:cs="Times New Roman"/>
      <w:szCs w:val="24"/>
      <w:lang w:eastAsia="da-DK"/>
    </w:rPr>
  </w:style>
  <w:style w:type="character" w:customStyle="1" w:styleId="stknr">
    <w:name w:val="stknr"/>
    <w:basedOn w:val="Standardskrifttypeiafsnit"/>
    <w:rsid w:val="00AD2551"/>
  </w:style>
  <w:style w:type="paragraph" w:styleId="Korrektur">
    <w:name w:val="Revision"/>
    <w:hidden/>
    <w:uiPriority w:val="99"/>
    <w:semiHidden/>
    <w:rsid w:val="005565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382">
      <w:bodyDiv w:val="1"/>
      <w:marLeft w:val="0"/>
      <w:marRight w:val="0"/>
      <w:marTop w:val="0"/>
      <w:marBottom w:val="0"/>
      <w:divBdr>
        <w:top w:val="none" w:sz="0" w:space="0" w:color="auto"/>
        <w:left w:val="none" w:sz="0" w:space="0" w:color="auto"/>
        <w:bottom w:val="none" w:sz="0" w:space="0" w:color="auto"/>
        <w:right w:val="none" w:sz="0" w:space="0" w:color="auto"/>
      </w:divBdr>
    </w:div>
    <w:div w:id="64033679">
      <w:bodyDiv w:val="1"/>
      <w:marLeft w:val="0"/>
      <w:marRight w:val="0"/>
      <w:marTop w:val="0"/>
      <w:marBottom w:val="0"/>
      <w:divBdr>
        <w:top w:val="none" w:sz="0" w:space="0" w:color="auto"/>
        <w:left w:val="none" w:sz="0" w:space="0" w:color="auto"/>
        <w:bottom w:val="none" w:sz="0" w:space="0" w:color="auto"/>
        <w:right w:val="none" w:sz="0" w:space="0" w:color="auto"/>
      </w:divBdr>
    </w:div>
    <w:div w:id="91097664">
      <w:bodyDiv w:val="1"/>
      <w:marLeft w:val="0"/>
      <w:marRight w:val="0"/>
      <w:marTop w:val="0"/>
      <w:marBottom w:val="0"/>
      <w:divBdr>
        <w:top w:val="none" w:sz="0" w:space="0" w:color="auto"/>
        <w:left w:val="none" w:sz="0" w:space="0" w:color="auto"/>
        <w:bottom w:val="none" w:sz="0" w:space="0" w:color="auto"/>
        <w:right w:val="none" w:sz="0" w:space="0" w:color="auto"/>
      </w:divBdr>
    </w:div>
    <w:div w:id="107894397">
      <w:bodyDiv w:val="1"/>
      <w:marLeft w:val="0"/>
      <w:marRight w:val="0"/>
      <w:marTop w:val="0"/>
      <w:marBottom w:val="0"/>
      <w:divBdr>
        <w:top w:val="none" w:sz="0" w:space="0" w:color="auto"/>
        <w:left w:val="none" w:sz="0" w:space="0" w:color="auto"/>
        <w:bottom w:val="none" w:sz="0" w:space="0" w:color="auto"/>
        <w:right w:val="none" w:sz="0" w:space="0" w:color="auto"/>
      </w:divBdr>
    </w:div>
    <w:div w:id="113377964">
      <w:bodyDiv w:val="1"/>
      <w:marLeft w:val="0"/>
      <w:marRight w:val="0"/>
      <w:marTop w:val="0"/>
      <w:marBottom w:val="0"/>
      <w:divBdr>
        <w:top w:val="none" w:sz="0" w:space="0" w:color="auto"/>
        <w:left w:val="none" w:sz="0" w:space="0" w:color="auto"/>
        <w:bottom w:val="none" w:sz="0" w:space="0" w:color="auto"/>
        <w:right w:val="none" w:sz="0" w:space="0" w:color="auto"/>
      </w:divBdr>
    </w:div>
    <w:div w:id="175315990">
      <w:bodyDiv w:val="1"/>
      <w:marLeft w:val="0"/>
      <w:marRight w:val="0"/>
      <w:marTop w:val="0"/>
      <w:marBottom w:val="0"/>
      <w:divBdr>
        <w:top w:val="none" w:sz="0" w:space="0" w:color="auto"/>
        <w:left w:val="none" w:sz="0" w:space="0" w:color="auto"/>
        <w:bottom w:val="none" w:sz="0" w:space="0" w:color="auto"/>
        <w:right w:val="none" w:sz="0" w:space="0" w:color="auto"/>
      </w:divBdr>
    </w:div>
    <w:div w:id="266889247">
      <w:bodyDiv w:val="1"/>
      <w:marLeft w:val="0"/>
      <w:marRight w:val="0"/>
      <w:marTop w:val="0"/>
      <w:marBottom w:val="0"/>
      <w:divBdr>
        <w:top w:val="none" w:sz="0" w:space="0" w:color="auto"/>
        <w:left w:val="none" w:sz="0" w:space="0" w:color="auto"/>
        <w:bottom w:val="none" w:sz="0" w:space="0" w:color="auto"/>
        <w:right w:val="none" w:sz="0" w:space="0" w:color="auto"/>
      </w:divBdr>
    </w:div>
    <w:div w:id="270749833">
      <w:bodyDiv w:val="1"/>
      <w:marLeft w:val="0"/>
      <w:marRight w:val="0"/>
      <w:marTop w:val="0"/>
      <w:marBottom w:val="0"/>
      <w:divBdr>
        <w:top w:val="none" w:sz="0" w:space="0" w:color="auto"/>
        <w:left w:val="none" w:sz="0" w:space="0" w:color="auto"/>
        <w:bottom w:val="none" w:sz="0" w:space="0" w:color="auto"/>
        <w:right w:val="none" w:sz="0" w:space="0" w:color="auto"/>
      </w:divBdr>
    </w:div>
    <w:div w:id="272979894">
      <w:bodyDiv w:val="1"/>
      <w:marLeft w:val="0"/>
      <w:marRight w:val="0"/>
      <w:marTop w:val="0"/>
      <w:marBottom w:val="0"/>
      <w:divBdr>
        <w:top w:val="none" w:sz="0" w:space="0" w:color="auto"/>
        <w:left w:val="none" w:sz="0" w:space="0" w:color="auto"/>
        <w:bottom w:val="none" w:sz="0" w:space="0" w:color="auto"/>
        <w:right w:val="none" w:sz="0" w:space="0" w:color="auto"/>
      </w:divBdr>
    </w:div>
    <w:div w:id="283197483">
      <w:bodyDiv w:val="1"/>
      <w:marLeft w:val="0"/>
      <w:marRight w:val="0"/>
      <w:marTop w:val="0"/>
      <w:marBottom w:val="0"/>
      <w:divBdr>
        <w:top w:val="none" w:sz="0" w:space="0" w:color="auto"/>
        <w:left w:val="none" w:sz="0" w:space="0" w:color="auto"/>
        <w:bottom w:val="none" w:sz="0" w:space="0" w:color="auto"/>
        <w:right w:val="none" w:sz="0" w:space="0" w:color="auto"/>
      </w:divBdr>
    </w:div>
    <w:div w:id="313605391">
      <w:bodyDiv w:val="1"/>
      <w:marLeft w:val="0"/>
      <w:marRight w:val="0"/>
      <w:marTop w:val="0"/>
      <w:marBottom w:val="0"/>
      <w:divBdr>
        <w:top w:val="none" w:sz="0" w:space="0" w:color="auto"/>
        <w:left w:val="none" w:sz="0" w:space="0" w:color="auto"/>
        <w:bottom w:val="none" w:sz="0" w:space="0" w:color="auto"/>
        <w:right w:val="none" w:sz="0" w:space="0" w:color="auto"/>
      </w:divBdr>
    </w:div>
    <w:div w:id="368800131">
      <w:bodyDiv w:val="1"/>
      <w:marLeft w:val="0"/>
      <w:marRight w:val="0"/>
      <w:marTop w:val="0"/>
      <w:marBottom w:val="0"/>
      <w:divBdr>
        <w:top w:val="none" w:sz="0" w:space="0" w:color="auto"/>
        <w:left w:val="none" w:sz="0" w:space="0" w:color="auto"/>
        <w:bottom w:val="none" w:sz="0" w:space="0" w:color="auto"/>
        <w:right w:val="none" w:sz="0" w:space="0" w:color="auto"/>
      </w:divBdr>
    </w:div>
    <w:div w:id="373818668">
      <w:bodyDiv w:val="1"/>
      <w:marLeft w:val="0"/>
      <w:marRight w:val="0"/>
      <w:marTop w:val="0"/>
      <w:marBottom w:val="0"/>
      <w:divBdr>
        <w:top w:val="none" w:sz="0" w:space="0" w:color="auto"/>
        <w:left w:val="none" w:sz="0" w:space="0" w:color="auto"/>
        <w:bottom w:val="none" w:sz="0" w:space="0" w:color="auto"/>
        <w:right w:val="none" w:sz="0" w:space="0" w:color="auto"/>
      </w:divBdr>
    </w:div>
    <w:div w:id="828909216">
      <w:bodyDiv w:val="1"/>
      <w:marLeft w:val="0"/>
      <w:marRight w:val="0"/>
      <w:marTop w:val="0"/>
      <w:marBottom w:val="0"/>
      <w:divBdr>
        <w:top w:val="none" w:sz="0" w:space="0" w:color="auto"/>
        <w:left w:val="none" w:sz="0" w:space="0" w:color="auto"/>
        <w:bottom w:val="none" w:sz="0" w:space="0" w:color="auto"/>
        <w:right w:val="none" w:sz="0" w:space="0" w:color="auto"/>
      </w:divBdr>
    </w:div>
    <w:div w:id="931468721">
      <w:bodyDiv w:val="1"/>
      <w:marLeft w:val="0"/>
      <w:marRight w:val="0"/>
      <w:marTop w:val="0"/>
      <w:marBottom w:val="0"/>
      <w:divBdr>
        <w:top w:val="none" w:sz="0" w:space="0" w:color="auto"/>
        <w:left w:val="none" w:sz="0" w:space="0" w:color="auto"/>
        <w:bottom w:val="none" w:sz="0" w:space="0" w:color="auto"/>
        <w:right w:val="none" w:sz="0" w:space="0" w:color="auto"/>
      </w:divBdr>
    </w:div>
    <w:div w:id="1009482554">
      <w:bodyDiv w:val="1"/>
      <w:marLeft w:val="0"/>
      <w:marRight w:val="0"/>
      <w:marTop w:val="0"/>
      <w:marBottom w:val="0"/>
      <w:divBdr>
        <w:top w:val="none" w:sz="0" w:space="0" w:color="auto"/>
        <w:left w:val="none" w:sz="0" w:space="0" w:color="auto"/>
        <w:bottom w:val="none" w:sz="0" w:space="0" w:color="auto"/>
        <w:right w:val="none" w:sz="0" w:space="0" w:color="auto"/>
      </w:divBdr>
    </w:div>
    <w:div w:id="1096710839">
      <w:bodyDiv w:val="1"/>
      <w:marLeft w:val="0"/>
      <w:marRight w:val="0"/>
      <w:marTop w:val="0"/>
      <w:marBottom w:val="0"/>
      <w:divBdr>
        <w:top w:val="none" w:sz="0" w:space="0" w:color="auto"/>
        <w:left w:val="none" w:sz="0" w:space="0" w:color="auto"/>
        <w:bottom w:val="none" w:sz="0" w:space="0" w:color="auto"/>
        <w:right w:val="none" w:sz="0" w:space="0" w:color="auto"/>
      </w:divBdr>
    </w:div>
    <w:div w:id="1143498869">
      <w:bodyDiv w:val="1"/>
      <w:marLeft w:val="0"/>
      <w:marRight w:val="0"/>
      <w:marTop w:val="0"/>
      <w:marBottom w:val="0"/>
      <w:divBdr>
        <w:top w:val="none" w:sz="0" w:space="0" w:color="auto"/>
        <w:left w:val="none" w:sz="0" w:space="0" w:color="auto"/>
        <w:bottom w:val="none" w:sz="0" w:space="0" w:color="auto"/>
        <w:right w:val="none" w:sz="0" w:space="0" w:color="auto"/>
      </w:divBdr>
    </w:div>
    <w:div w:id="1587691537">
      <w:bodyDiv w:val="1"/>
      <w:marLeft w:val="0"/>
      <w:marRight w:val="0"/>
      <w:marTop w:val="0"/>
      <w:marBottom w:val="0"/>
      <w:divBdr>
        <w:top w:val="none" w:sz="0" w:space="0" w:color="auto"/>
        <w:left w:val="none" w:sz="0" w:space="0" w:color="auto"/>
        <w:bottom w:val="none" w:sz="0" w:space="0" w:color="auto"/>
        <w:right w:val="none" w:sz="0" w:space="0" w:color="auto"/>
      </w:divBdr>
    </w:div>
    <w:div w:id="1602908286">
      <w:bodyDiv w:val="1"/>
      <w:marLeft w:val="0"/>
      <w:marRight w:val="0"/>
      <w:marTop w:val="0"/>
      <w:marBottom w:val="0"/>
      <w:divBdr>
        <w:top w:val="none" w:sz="0" w:space="0" w:color="auto"/>
        <w:left w:val="none" w:sz="0" w:space="0" w:color="auto"/>
        <w:bottom w:val="none" w:sz="0" w:space="0" w:color="auto"/>
        <w:right w:val="none" w:sz="0" w:space="0" w:color="auto"/>
      </w:divBdr>
    </w:div>
    <w:div w:id="1662389519">
      <w:bodyDiv w:val="1"/>
      <w:marLeft w:val="0"/>
      <w:marRight w:val="0"/>
      <w:marTop w:val="0"/>
      <w:marBottom w:val="0"/>
      <w:divBdr>
        <w:top w:val="none" w:sz="0" w:space="0" w:color="auto"/>
        <w:left w:val="none" w:sz="0" w:space="0" w:color="auto"/>
        <w:bottom w:val="none" w:sz="0" w:space="0" w:color="auto"/>
        <w:right w:val="none" w:sz="0" w:space="0" w:color="auto"/>
      </w:divBdr>
    </w:div>
    <w:div w:id="1769495723">
      <w:bodyDiv w:val="1"/>
      <w:marLeft w:val="0"/>
      <w:marRight w:val="0"/>
      <w:marTop w:val="0"/>
      <w:marBottom w:val="0"/>
      <w:divBdr>
        <w:top w:val="none" w:sz="0" w:space="0" w:color="auto"/>
        <w:left w:val="none" w:sz="0" w:space="0" w:color="auto"/>
        <w:bottom w:val="none" w:sz="0" w:space="0" w:color="auto"/>
        <w:right w:val="none" w:sz="0" w:space="0" w:color="auto"/>
      </w:divBdr>
    </w:div>
    <w:div w:id="1845852045">
      <w:bodyDiv w:val="1"/>
      <w:marLeft w:val="0"/>
      <w:marRight w:val="0"/>
      <w:marTop w:val="0"/>
      <w:marBottom w:val="0"/>
      <w:divBdr>
        <w:top w:val="none" w:sz="0" w:space="0" w:color="auto"/>
        <w:left w:val="none" w:sz="0" w:space="0" w:color="auto"/>
        <w:bottom w:val="none" w:sz="0" w:space="0" w:color="auto"/>
        <w:right w:val="none" w:sz="0" w:space="0" w:color="auto"/>
      </w:divBdr>
    </w:div>
    <w:div w:id="1897932124">
      <w:bodyDiv w:val="1"/>
      <w:marLeft w:val="0"/>
      <w:marRight w:val="0"/>
      <w:marTop w:val="0"/>
      <w:marBottom w:val="0"/>
      <w:divBdr>
        <w:top w:val="none" w:sz="0" w:space="0" w:color="auto"/>
        <w:left w:val="none" w:sz="0" w:space="0" w:color="auto"/>
        <w:bottom w:val="none" w:sz="0" w:space="0" w:color="auto"/>
        <w:right w:val="none" w:sz="0" w:space="0" w:color="auto"/>
      </w:divBdr>
    </w:div>
    <w:div w:id="1976640720">
      <w:bodyDiv w:val="1"/>
      <w:marLeft w:val="0"/>
      <w:marRight w:val="0"/>
      <w:marTop w:val="0"/>
      <w:marBottom w:val="0"/>
      <w:divBdr>
        <w:top w:val="none" w:sz="0" w:space="0" w:color="auto"/>
        <w:left w:val="none" w:sz="0" w:space="0" w:color="auto"/>
        <w:bottom w:val="none" w:sz="0" w:space="0" w:color="auto"/>
        <w:right w:val="none" w:sz="0" w:space="0" w:color="auto"/>
      </w:divBdr>
    </w:div>
    <w:div w:id="2040547545">
      <w:bodyDiv w:val="1"/>
      <w:marLeft w:val="0"/>
      <w:marRight w:val="0"/>
      <w:marTop w:val="0"/>
      <w:marBottom w:val="0"/>
      <w:divBdr>
        <w:top w:val="none" w:sz="0" w:space="0" w:color="auto"/>
        <w:left w:val="none" w:sz="0" w:space="0" w:color="auto"/>
        <w:bottom w:val="none" w:sz="0" w:space="0" w:color="auto"/>
        <w:right w:val="none" w:sz="0" w:space="0" w:color="auto"/>
      </w:divBdr>
    </w:div>
    <w:div w:id="2046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51\AppData\Local\cBrain\F2\.tmp\12a720c148844cf59e349b936dec449a.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4E0A-8EB0-4B58-B3E7-06A12C3F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12a720c148844cf59e349b936dec449a.dotx</Template>
  <TotalTime>1</TotalTime>
  <Pages>5</Pages>
  <Words>18367</Words>
  <Characters>112042</Characters>
  <Application>Microsoft Office Word</Application>
  <DocSecurity>0</DocSecurity>
  <Lines>933</Lines>
  <Paragraphs>260</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Xenia Saxil Andersen</dc:creator>
  <cp:lastModifiedBy>Ulla Østergaard</cp:lastModifiedBy>
  <cp:revision>2</cp:revision>
  <cp:lastPrinted>2024-11-08T09:09:00Z</cp:lastPrinted>
  <dcterms:created xsi:type="dcterms:W3CDTF">2026-02-03T14:46:00Z</dcterms:created>
  <dcterms:modified xsi:type="dcterms:W3CDTF">2026-02-03T14:46:00Z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Smal</vt:lpwstr>
  </property>
  <property fmtid="{D5CDD505-2E9C-101B-9397-08002B2CF9AE}" pid="3" name="Sidehovedtype">
    <vt:lpwstr>Standard</vt:lpwstr>
  </property>
  <property fmtid="{D5CDD505-2E9C-101B-9397-08002B2CF9AE}" pid="4" name="Dokumenttype">
    <vt:lpwstr>Blank</vt:lpwstr>
  </property>
</Properties>
</file>