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008DD" w14:paraId="0189F55A" w14:textId="77777777" w:rsidTr="00125B14">
        <w:trPr>
          <w:trHeight w:val="947"/>
        </w:trPr>
        <w:tc>
          <w:tcPr>
            <w:tcW w:w="9628" w:type="dxa"/>
            <w:shd w:val="clear" w:color="auto" w:fill="auto"/>
          </w:tcPr>
          <w:p w14:paraId="764A3F23" w14:textId="77777777" w:rsidR="004008DD" w:rsidRDefault="004008DD" w:rsidP="002534E3"/>
          <w:p w14:paraId="19650A78" w14:textId="5D16E396" w:rsidR="004008DD" w:rsidRPr="00125B14" w:rsidRDefault="00CA6B25" w:rsidP="002534E3">
            <w:pPr>
              <w:pStyle w:val="Overskrift1"/>
            </w:pPr>
            <w:r>
              <w:t xml:space="preserve">3.8 </w:t>
            </w:r>
            <w:r w:rsidR="004D3740">
              <w:t xml:space="preserve">Årlig </w:t>
            </w:r>
            <w:r>
              <w:t>indberetning</w:t>
            </w:r>
            <w:r w:rsidR="004D3740">
              <w:t xml:space="preserve"> af tilsyns- og godkendelsesarbejdet</w:t>
            </w:r>
          </w:p>
          <w:p w14:paraId="544F4EAC" w14:textId="77777777" w:rsidR="004008DD" w:rsidRDefault="004008DD" w:rsidP="002534E3"/>
        </w:tc>
      </w:tr>
      <w:tr w:rsidR="00CA6B25" w14:paraId="0524A26C" w14:textId="77777777" w:rsidTr="00125B14">
        <w:tc>
          <w:tcPr>
            <w:tcW w:w="9628" w:type="dxa"/>
            <w:shd w:val="clear" w:color="auto" w:fill="auto"/>
          </w:tcPr>
          <w:p w14:paraId="4B8019D0" w14:textId="77777777" w:rsidR="00CA6B25" w:rsidRDefault="00CA6B25" w:rsidP="00CA6B25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14:paraId="0B7A5BE9" w14:textId="70AD9CEF" w:rsidR="00103C0B" w:rsidRPr="00FF46CA" w:rsidRDefault="00103C0B" w:rsidP="00FF46CA">
            <w:r w:rsidRPr="00FF46CA">
              <w:t>Senest den 1. april</w:t>
            </w:r>
            <w:r w:rsidR="006804C5">
              <w:t xml:space="preserve"> hvert år</w:t>
            </w:r>
            <w:r w:rsidRPr="00FF46CA">
              <w:t xml:space="preserve"> skal du </w:t>
            </w:r>
            <w:r w:rsidR="008C68B4">
              <w:t xml:space="preserve">bekræfte, at data </w:t>
            </w:r>
            <w:r w:rsidR="00795511">
              <w:t xml:space="preserve">om tilsyns- og godkendelsesarbejdet </w:t>
            </w:r>
            <w:r w:rsidR="008C68B4">
              <w:t>er afgivet og verificeret</w:t>
            </w:r>
            <w:r w:rsidRPr="00FF46CA">
              <w:t xml:space="preserve"> for det forudgående kalenderår</w:t>
            </w:r>
            <w:r w:rsidR="00CC6107">
              <w:t xml:space="preserve"> samt indsende </w:t>
            </w:r>
            <w:r w:rsidR="00795511">
              <w:t>din myndigheds</w:t>
            </w:r>
            <w:r w:rsidR="00CC6107">
              <w:t xml:space="preserve"> skriftlige vurdering af og bemærkninger til de indberettede data. Det fremgår af § 17</w:t>
            </w:r>
            <w:r w:rsidRPr="00FF46CA">
              <w:t xml:space="preserve">. </w:t>
            </w:r>
          </w:p>
          <w:p w14:paraId="7024B0CA" w14:textId="77777777" w:rsidR="00103C0B" w:rsidRPr="00FF46CA" w:rsidRDefault="00103C0B" w:rsidP="00FF46CA"/>
          <w:p w14:paraId="37651D23" w14:textId="28AE3D2A" w:rsidR="00103C0B" w:rsidRDefault="00103C0B" w:rsidP="00FF46CA">
            <w:r w:rsidRPr="00FF46CA">
              <w:t xml:space="preserve">Du skal benytte modulet "Årlig tilsynsindberetning", under "Indlæs data" i </w:t>
            </w:r>
            <w:hyperlink r:id="rId8" w:history="1">
              <w:r w:rsidR="00CE5D09" w:rsidRPr="00CE5D09">
                <w:rPr>
                  <w:rStyle w:val="Hyperlink"/>
                </w:rPr>
                <w:t>Digital MiljøAdministration (</w:t>
              </w:r>
              <w:r w:rsidRPr="00CE5D09">
                <w:rPr>
                  <w:rStyle w:val="Hyperlink"/>
                </w:rPr>
                <w:t>DMA</w:t>
              </w:r>
              <w:r w:rsidR="006804C5" w:rsidRPr="00CE5D09">
                <w:rPr>
                  <w:rStyle w:val="Hyperlink"/>
                </w:rPr>
                <w:t>)</w:t>
              </w:r>
            </w:hyperlink>
            <w:r w:rsidR="006804C5">
              <w:t xml:space="preserve">. </w:t>
            </w:r>
            <w:r w:rsidR="00993F4C">
              <w:t xml:space="preserve">Indberetningen er delt op i </w:t>
            </w:r>
            <w:r w:rsidR="007209E9">
              <w:t xml:space="preserve">tre dele: </w:t>
            </w:r>
            <w:r w:rsidR="00993F4C">
              <w:t xml:space="preserve">en afgørelsesdel, en tilsynsdel og en håndhævelsesdel. </w:t>
            </w:r>
            <w:r w:rsidR="00A357C1">
              <w:t xml:space="preserve">I indberetningsskemaerne </w:t>
            </w:r>
            <w:r>
              <w:t>genereres</w:t>
            </w:r>
            <w:r w:rsidRPr="00FF46CA">
              <w:t xml:space="preserve"> </w:t>
            </w:r>
            <w:r w:rsidR="007209E9">
              <w:t xml:space="preserve">der </w:t>
            </w:r>
            <w:r w:rsidRPr="00FF46CA">
              <w:t>automatisk en sammenstilling på aggregeret form af de oplysninger og data, som din kommune har afgivet i løbet af året</w:t>
            </w:r>
            <w:r w:rsidR="00A357C1">
              <w:t>.</w:t>
            </w:r>
            <w:r w:rsidRPr="00FF46CA">
              <w:t xml:space="preserve"> Det er </w:t>
            </w:r>
            <w:r>
              <w:t xml:space="preserve">oplysningerne i </w:t>
            </w:r>
            <w:r w:rsidRPr="00FF46CA">
              <w:t>d</w:t>
            </w:r>
            <w:r w:rsidR="00A357C1">
              <w:t>isse</w:t>
            </w:r>
            <w:r w:rsidRPr="00FF46CA">
              <w:t xml:space="preserve"> indberetningsskema</w:t>
            </w:r>
            <w:r w:rsidR="00A357C1">
              <w:t>er</w:t>
            </w:r>
            <w:r w:rsidRPr="00FF46CA">
              <w:t>, du skal</w:t>
            </w:r>
            <w:r w:rsidR="00335073">
              <w:t xml:space="preserve"> bekræfte, at du har afgivet og verificeret</w:t>
            </w:r>
            <w:r w:rsidR="00795511">
              <w:t>.</w:t>
            </w:r>
            <w:r w:rsidRPr="00FF46CA">
              <w:t xml:space="preserve"> </w:t>
            </w:r>
          </w:p>
          <w:p w14:paraId="353CB142" w14:textId="6CB21D32" w:rsidR="00000A56" w:rsidRDefault="00000A56" w:rsidP="00000A56"/>
          <w:p w14:paraId="7469080A" w14:textId="22D033D9" w:rsidR="00000A56" w:rsidRDefault="00D80059" w:rsidP="00000A5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081714" wp14:editId="5B47C49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861695</wp:posOffset>
                      </wp:positionV>
                      <wp:extent cx="5144135" cy="572135"/>
                      <wp:effectExtent l="0" t="0" r="18415" b="18415"/>
                      <wp:wrapTopAndBottom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413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BDFD5" w14:textId="77777777" w:rsidR="009C4B93" w:rsidRPr="00D80059" w:rsidRDefault="009C4B93" w:rsidP="009C4B93">
                                  <w:pPr>
                                    <w:pStyle w:val="Underoverskri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80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Faktaboks</w:t>
                                  </w:r>
                                </w:p>
                                <w:p w14:paraId="76E68F6B" w14:textId="2569D630" w:rsidR="009C4B93" w:rsidRPr="00D80059" w:rsidRDefault="009C4B93" w:rsidP="009C4B93">
                                  <w:pPr>
                                    <w:pStyle w:val="Underoverskrift"/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80059"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Vær opmærksom på, at oplysninger (bortset fra de udvalgte oplysninger fra tilsynsrapporten) om udførte tilsyn og håndhævelser m.v. meddelt i december måned, skal afgives senest 1. april det efterfølgende år.</w:t>
                                  </w:r>
                                </w:p>
                                <w:p w14:paraId="0619000D" w14:textId="77777777" w:rsidR="009C4B93" w:rsidRDefault="009C4B93" w:rsidP="009C4B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817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2.15pt;margin-top:67.85pt;width:405.05pt;height:4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">
                      <v:textbox>
                        <w:txbxContent>
                          <w:p w14:paraId="009BDFD5" w14:textId="77777777" w:rsidR="009C4B93" w:rsidRPr="00D80059" w:rsidRDefault="009C4B93" w:rsidP="009C4B93">
                            <w:pPr>
                              <w:pStyle w:val="Underoverskri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80059">
                              <w:rPr>
                                <w:bCs/>
                                <w:sz w:val="18"/>
                                <w:szCs w:val="18"/>
                              </w:rPr>
                              <w:t>Faktaboks</w:t>
                            </w:r>
                          </w:p>
                          <w:p w14:paraId="76E68F6B" w14:textId="2569D630" w:rsidR="009C4B93" w:rsidRPr="00D80059" w:rsidRDefault="009C4B93" w:rsidP="009C4B93">
                            <w:pPr>
                              <w:pStyle w:val="Underoverskrift"/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D80059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>Vær opmærksom på, at oplysninger (bortset fra de udvalgte oplysninger fra tilsynsrapporten) om udførte tilsyn og håndhævelser m.v. meddelt i december måned, skal afgives senest 1. april det efterfølgende år.</w:t>
                            </w:r>
                          </w:p>
                          <w:p w14:paraId="0619000D" w14:textId="77777777" w:rsidR="009C4B93" w:rsidRDefault="009C4B93" w:rsidP="009C4B93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000A56">
              <w:t xml:space="preserve">I </w:t>
            </w:r>
            <w:r w:rsidR="00000A56" w:rsidRPr="00CE5D09">
              <w:t>DMA</w:t>
            </w:r>
            <w:r w:rsidR="00000A56" w:rsidRPr="00CE7A51">
              <w:t xml:space="preserve"> </w:t>
            </w:r>
            <w:r w:rsidR="00000A56">
              <w:t>under "Indlæs data" og "Vejledninger til indlæs data", kan du få adgang til vejledning</w:t>
            </w:r>
            <w:r w:rsidR="006804C5">
              <w:t>en</w:t>
            </w:r>
            <w:r w:rsidR="00000A56">
              <w:t xml:space="preserve"> "Tilsynsindberetning"</w:t>
            </w:r>
            <w:r w:rsidR="006804C5">
              <w:t xml:space="preserve">, som kan guide dig detaljeret igennem, hvordan du </w:t>
            </w:r>
            <w:r w:rsidR="008C68B4">
              <w:t>bekræfter, at data er verificeret og afgivet</w:t>
            </w:r>
            <w:r w:rsidR="00000A56">
              <w:t xml:space="preserve">. Du skal være logget ind på </w:t>
            </w:r>
            <w:r w:rsidR="00000A56" w:rsidRPr="00CE5D09">
              <w:t>DMA</w:t>
            </w:r>
            <w:r w:rsidR="00000A56">
              <w:t xml:space="preserve"> for at få adgang til indberetningsskemaer og vejledning.</w:t>
            </w:r>
          </w:p>
          <w:p w14:paraId="7C666A61" w14:textId="5BA6A336" w:rsidR="00000A56" w:rsidRDefault="00000A56" w:rsidP="00795511"/>
          <w:p w14:paraId="326BC80F" w14:textId="678E79A1" w:rsidR="009C4B93" w:rsidRDefault="009C4B93" w:rsidP="009C4B93">
            <w:r>
              <w:t xml:space="preserve">Før du går i gang, skal du sikre dig, at I har afgivet alle relevante data til DMA. I vejledningen "Tilsynsindberetning" i </w:t>
            </w:r>
            <w:r w:rsidRPr="00CE5D09">
              <w:t>DMA</w:t>
            </w:r>
            <w:r>
              <w:t xml:space="preserve"> er oplistet en række forhold, som I skal være særlige opmærksomme på.</w:t>
            </w:r>
          </w:p>
          <w:p w14:paraId="6B1F51B1" w14:textId="182EAE41" w:rsidR="009C4B93" w:rsidRDefault="00E90EA1" w:rsidP="00E90EA1">
            <w:pPr>
              <w:pStyle w:val="Underoverskrift"/>
              <w:tabs>
                <w:tab w:val="left" w:pos="1787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ab/>
            </w:r>
          </w:p>
          <w:p w14:paraId="0C62C5A0" w14:textId="71B951F8" w:rsidR="00BB371B" w:rsidRDefault="00830839" w:rsidP="00BB371B">
            <w:pPr>
              <w:pStyle w:val="Underoverskrift"/>
              <w:rPr>
                <w:b w:val="0"/>
              </w:rPr>
            </w:pPr>
            <w:r>
              <w:rPr>
                <w:b w:val="0"/>
              </w:rPr>
              <w:t xml:space="preserve">Inden </w:t>
            </w:r>
            <w:r w:rsidR="001D05E3">
              <w:rPr>
                <w:b w:val="0"/>
              </w:rPr>
              <w:t xml:space="preserve">du </w:t>
            </w:r>
            <w:r w:rsidR="008C68B4">
              <w:rPr>
                <w:b w:val="0"/>
              </w:rPr>
              <w:t xml:space="preserve">bekræfter, at </w:t>
            </w:r>
            <w:r w:rsidR="00CC6107">
              <w:rPr>
                <w:b w:val="0"/>
              </w:rPr>
              <w:t xml:space="preserve">I </w:t>
            </w:r>
            <w:r w:rsidR="008C68B4">
              <w:rPr>
                <w:b w:val="0"/>
              </w:rPr>
              <w:t xml:space="preserve">har </w:t>
            </w:r>
            <w:r w:rsidR="00CC6107">
              <w:rPr>
                <w:b w:val="0"/>
              </w:rPr>
              <w:t xml:space="preserve">afgivet og </w:t>
            </w:r>
            <w:r w:rsidR="008C68B4">
              <w:rPr>
                <w:b w:val="0"/>
              </w:rPr>
              <w:t xml:space="preserve">verificeret </w:t>
            </w:r>
            <w:r w:rsidR="00CC6107">
              <w:rPr>
                <w:b w:val="0"/>
              </w:rPr>
              <w:t>alle</w:t>
            </w:r>
            <w:r w:rsidR="008C68B4">
              <w:rPr>
                <w:b w:val="0"/>
              </w:rPr>
              <w:t xml:space="preserve"> data</w:t>
            </w:r>
            <w:r w:rsidR="001D05E3">
              <w:rPr>
                <w:b w:val="0"/>
              </w:rPr>
              <w:t>,</w:t>
            </w:r>
            <w:r w:rsidR="00402E33">
              <w:rPr>
                <w:b w:val="0"/>
              </w:rPr>
              <w:t xml:space="preserve"> skal </w:t>
            </w:r>
            <w:r w:rsidR="001B317B">
              <w:rPr>
                <w:b w:val="0"/>
              </w:rPr>
              <w:t xml:space="preserve">du som </w:t>
            </w:r>
            <w:r w:rsidR="00402E33">
              <w:rPr>
                <w:b w:val="0"/>
              </w:rPr>
              <w:t xml:space="preserve">tilsyns- og godkendelsesmyndighed </w:t>
            </w:r>
            <w:r w:rsidR="001B317B">
              <w:rPr>
                <w:b w:val="0"/>
              </w:rPr>
              <w:t>tilføje følgende</w:t>
            </w:r>
            <w:r w:rsidR="00402E33">
              <w:rPr>
                <w:b w:val="0"/>
              </w:rPr>
              <w:t xml:space="preserve"> oplysninger</w:t>
            </w:r>
            <w:r w:rsidR="001B317B">
              <w:rPr>
                <w:b w:val="0"/>
              </w:rPr>
              <w:t xml:space="preserve"> i indberetningsskemaet</w:t>
            </w:r>
            <w:r w:rsidR="00402E33">
              <w:rPr>
                <w:b w:val="0"/>
              </w:rPr>
              <w:t>:</w:t>
            </w:r>
          </w:p>
          <w:p w14:paraId="5087F182" w14:textId="77983CA1" w:rsidR="00CA2475" w:rsidRDefault="008B513B" w:rsidP="00E5076C">
            <w:pPr>
              <w:pStyle w:val="Opstilling-punkttegn"/>
            </w:pPr>
            <w:r>
              <w:t>oplysninger om</w:t>
            </w:r>
            <w:r w:rsidR="00CA2475" w:rsidRPr="008B513B">
              <w:t xml:space="preserve"> brugerbetaling for godkendelses- og tilsynsarbejdet</w:t>
            </w:r>
            <w:r>
              <w:t>, der er</w:t>
            </w:r>
            <w:r w:rsidR="00F6101D">
              <w:t>,</w:t>
            </w:r>
            <w:r>
              <w:t xml:space="preserve"> </w:t>
            </w:r>
            <w:r w:rsidR="00F6101D">
              <w:t xml:space="preserve">eller </w:t>
            </w:r>
            <w:r>
              <w:t>vil blive</w:t>
            </w:r>
            <w:r w:rsidR="00F6101D">
              <w:t>,</w:t>
            </w:r>
            <w:r>
              <w:t xml:space="preserve"> opkrævet</w:t>
            </w:r>
            <w:r w:rsidR="00F6101D">
              <w:t xml:space="preserve"> for indberetningsåret</w:t>
            </w:r>
            <w:r w:rsidR="00D80059">
              <w:t xml:space="preserve"> (fra 1. januar til 31. december)</w:t>
            </w:r>
            <w:r>
              <w:t>.</w:t>
            </w:r>
            <w:r w:rsidR="001D58BD">
              <w:t xml:space="preserve"> </w:t>
            </w:r>
            <w:r w:rsidR="00834085">
              <w:t xml:space="preserve">I </w:t>
            </w:r>
            <w:r w:rsidR="006C382B">
              <w:t xml:space="preserve">de </w:t>
            </w:r>
            <w:r w:rsidR="00834085">
              <w:t>tilfælde, hvor der har været anvendt</w:t>
            </w:r>
            <w:r w:rsidR="001D58BD">
              <w:t xml:space="preserve"> fremmede tjenesteydelser</w:t>
            </w:r>
            <w:r w:rsidR="00834085">
              <w:t xml:space="preserve"> til sagsbehandlingen, indeholder brugerbetalingen det samlede beløb</w:t>
            </w:r>
            <w:r>
              <w:t>, der er</w:t>
            </w:r>
            <w:r w:rsidR="00F6101D">
              <w:t>,</w:t>
            </w:r>
            <w:r>
              <w:t xml:space="preserve"> eller vil blive</w:t>
            </w:r>
            <w:r w:rsidR="00F6101D">
              <w:t>,</w:t>
            </w:r>
            <w:r>
              <w:t xml:space="preserve"> opkrævet</w:t>
            </w:r>
            <w:r w:rsidR="00834085">
              <w:t xml:space="preserve"> hos virksomheden eller husdyrbruget m.v., altså opkrævning for kommunens timeforbrug + 57,79 % af </w:t>
            </w:r>
            <w:r w:rsidR="00834085" w:rsidRPr="00A357C1">
              <w:t xml:space="preserve">regningsbeløbet </w:t>
            </w:r>
            <w:r w:rsidR="00A357C1" w:rsidRPr="00A357C1">
              <w:t>e</w:t>
            </w:r>
            <w:r w:rsidR="00A357C1">
              <w:t xml:space="preserve">ksklusiv moms </w:t>
            </w:r>
            <w:r w:rsidR="00834085">
              <w:t xml:space="preserve">for tjenesteydelserne. Læs mere om brugerbetaling i </w:t>
            </w:r>
            <w:r w:rsidR="00F709E2">
              <w:t xml:space="preserve">afsnittet </w:t>
            </w:r>
            <w:r w:rsidR="00F709E2" w:rsidRPr="0052079C">
              <w:rPr>
                <w:color w:val="00B050"/>
              </w:rPr>
              <w:t>”</w:t>
            </w:r>
            <w:r w:rsidR="00834085" w:rsidRPr="006C382B">
              <w:rPr>
                <w:color w:val="00B050"/>
              </w:rPr>
              <w:t>Brugerbetaling</w:t>
            </w:r>
            <w:r w:rsidR="00F709E2">
              <w:rPr>
                <w:color w:val="00B050"/>
              </w:rPr>
              <w:t>”</w:t>
            </w:r>
            <w:r w:rsidR="00834085" w:rsidRPr="006C382B">
              <w:rPr>
                <w:color w:val="00B050"/>
              </w:rPr>
              <w:t xml:space="preserve"> (4.4)</w:t>
            </w:r>
          </w:p>
          <w:p w14:paraId="59C0D1D5" w14:textId="2369F436" w:rsidR="007515D0" w:rsidRDefault="007515D0" w:rsidP="00E5076C">
            <w:pPr>
              <w:pStyle w:val="Opstilling-punkttegn"/>
            </w:pPr>
            <w:r>
              <w:t xml:space="preserve">antal politianmeldelser og selvhjælpshandlinger på virksomheder, der er omfattet af </w:t>
            </w:r>
            <w:r w:rsidR="006F533C">
              <w:t>databeskyttelsesforordningen og databeskyttelsesloven</w:t>
            </w:r>
            <w:r>
              <w:t>, fordel</w:t>
            </w:r>
            <w:r w:rsidR="00C1196A">
              <w:t>t</w:t>
            </w:r>
            <w:r>
              <w:t xml:space="preserve"> på virksomhedsgrupperne i </w:t>
            </w:r>
            <w:r w:rsidR="001B317B">
              <w:t xml:space="preserve">bekendtgørelsens </w:t>
            </w:r>
            <w:r>
              <w:t>bilag 3</w:t>
            </w:r>
            <w:r w:rsidR="001D05E3">
              <w:t xml:space="preserve">. Se mere i afsnittet </w:t>
            </w:r>
            <w:r w:rsidR="001D05E3" w:rsidRPr="00035195">
              <w:rPr>
                <w:color w:val="00B050"/>
              </w:rPr>
              <w:t>”</w:t>
            </w:r>
            <w:r w:rsidR="006804C5">
              <w:rPr>
                <w:color w:val="00B050"/>
              </w:rPr>
              <w:t>Begrænsninger i afgivelse og offentliggørelse af oplysninger- h</w:t>
            </w:r>
            <w:r w:rsidR="00035195">
              <w:rPr>
                <w:color w:val="00B050"/>
              </w:rPr>
              <w:t>enstillinger, håndhævelser, selvhjælpshandlinger og politianmeldelser</w:t>
            </w:r>
            <w:r w:rsidR="001D05E3" w:rsidRPr="00035195">
              <w:rPr>
                <w:color w:val="00B050"/>
              </w:rPr>
              <w:t>” (3.7</w:t>
            </w:r>
            <w:r w:rsidR="00035195">
              <w:rPr>
                <w:color w:val="00B050"/>
              </w:rPr>
              <w:t>.6</w:t>
            </w:r>
            <w:r w:rsidR="001D05E3" w:rsidRPr="00035195">
              <w:rPr>
                <w:color w:val="00B050"/>
              </w:rPr>
              <w:t>)</w:t>
            </w:r>
          </w:p>
          <w:p w14:paraId="5DEA1F27" w14:textId="3FF64A57" w:rsidR="00CA2475" w:rsidRDefault="00BC2344" w:rsidP="00E5076C">
            <w:pPr>
              <w:pStyle w:val="Opstilling-punkttegn"/>
            </w:pPr>
            <w:r>
              <w:t>f</w:t>
            </w:r>
            <w:r w:rsidR="00CA2475">
              <w:t>or virksomheder og</w:t>
            </w:r>
            <w:r w:rsidR="006F533C">
              <w:t xml:space="preserve"> husdyrbrug m.v. </w:t>
            </w:r>
            <w:r w:rsidR="00CA2475">
              <w:t xml:space="preserve">der </w:t>
            </w:r>
            <w:r w:rsidR="00702E28" w:rsidRPr="000927E3">
              <w:rPr>
                <w:b/>
                <w:iCs/>
              </w:rPr>
              <w:t>ikke</w:t>
            </w:r>
            <w:r w:rsidR="00CA2475" w:rsidRPr="00CF444E">
              <w:rPr>
                <w:i/>
                <w:iCs/>
              </w:rPr>
              <w:t xml:space="preserve"> </w:t>
            </w:r>
            <w:r w:rsidR="00CA2475">
              <w:t xml:space="preserve">er omfattet af regelmæssige tilsyn: </w:t>
            </w:r>
          </w:p>
          <w:p w14:paraId="759867D1" w14:textId="7942F768" w:rsidR="00CA2475" w:rsidRDefault="00CA2475" w:rsidP="00E5076C">
            <w:pPr>
              <w:pStyle w:val="Opstilling-punkttegn"/>
              <w:ind w:left="720"/>
            </w:pPr>
            <w:r>
              <w:t xml:space="preserve">antal tilsyn (altid </w:t>
            </w:r>
            <w:r w:rsidRPr="0052079C">
              <w:rPr>
                <w:color w:val="00B050"/>
              </w:rPr>
              <w:t>”øvrige tilsyn”</w:t>
            </w:r>
            <w:r w:rsidR="00417FDD" w:rsidRPr="0052079C">
              <w:rPr>
                <w:color w:val="00B050"/>
              </w:rPr>
              <w:t xml:space="preserve"> (4.1.6)</w:t>
            </w:r>
            <w:r w:rsidR="000927E3" w:rsidRPr="000927E3">
              <w:t>)</w:t>
            </w:r>
            <w:r w:rsidRPr="000927E3">
              <w:t xml:space="preserve"> </w:t>
            </w:r>
            <w:r>
              <w:t xml:space="preserve">fordelt på virksomhedsgrupperne i </w:t>
            </w:r>
            <w:r w:rsidR="001B317B">
              <w:t>bekendtgørelsen</w:t>
            </w:r>
            <w:r w:rsidR="001D05E3">
              <w:t>s</w:t>
            </w:r>
            <w:r w:rsidR="001B317B">
              <w:t xml:space="preserve"> </w:t>
            </w:r>
            <w:r>
              <w:t>bilag 3, hvis oplysningerne ikke er afgivet løbende</w:t>
            </w:r>
          </w:p>
          <w:p w14:paraId="12A457BA" w14:textId="305B838C" w:rsidR="00CA2475" w:rsidRDefault="00C1196A" w:rsidP="00E5076C">
            <w:pPr>
              <w:pStyle w:val="Opstilling-punkttegn"/>
              <w:ind w:left="720"/>
            </w:pPr>
            <w:r>
              <w:t>a</w:t>
            </w:r>
            <w:r w:rsidR="00CA2475">
              <w:t xml:space="preserve">ntal </w:t>
            </w:r>
            <w:r>
              <w:t xml:space="preserve">henstillinger, </w:t>
            </w:r>
            <w:r w:rsidR="00CA2475">
              <w:t xml:space="preserve">håndhævelser, selvhjælpshandlinger og politianmeldelser fordelt på virksomhedsgrupperne i </w:t>
            </w:r>
            <w:r w:rsidR="001B317B">
              <w:t xml:space="preserve">bekendtgørelsens </w:t>
            </w:r>
            <w:r w:rsidR="00CA2475">
              <w:t>bilag 3, hvis oplysningerne ikke er afgivet løbende</w:t>
            </w:r>
          </w:p>
          <w:p w14:paraId="1EBDA411" w14:textId="7331A7D3" w:rsidR="00402E33" w:rsidRPr="00417FDD" w:rsidRDefault="00BC2344" w:rsidP="00E5076C">
            <w:pPr>
              <w:pStyle w:val="Opstilling-punkttegn"/>
            </w:pPr>
            <w:r>
              <w:t>a</w:t>
            </w:r>
            <w:r w:rsidR="00402E33">
              <w:t>ntal markstakke</w:t>
            </w:r>
            <w:r w:rsidR="007209E9">
              <w:t>, som du har</w:t>
            </w:r>
            <w:r w:rsidR="00402E33">
              <w:t xml:space="preserve"> konstateret ved tilsyn</w:t>
            </w:r>
            <w:r w:rsidR="00417FDD">
              <w:t xml:space="preserve"> på husdyrbrug m.v.</w:t>
            </w:r>
            <w:r w:rsidR="007515D0">
              <w:t xml:space="preserve"> samt antal </w:t>
            </w:r>
            <w:r w:rsidR="00C1196A">
              <w:t xml:space="preserve">henstillinger, </w:t>
            </w:r>
            <w:r w:rsidR="007515D0">
              <w:t>håndhævelser, selvhjælpshandlinger eller politianmeldelser i</w:t>
            </w:r>
            <w:r w:rsidR="00DD7FE5">
              <w:t xml:space="preserve"> </w:t>
            </w:r>
            <w:r w:rsidR="007515D0">
              <w:t>f</w:t>
            </w:r>
            <w:r w:rsidR="00DD7FE5">
              <w:t xml:space="preserve">orbindelse </w:t>
            </w:r>
            <w:r w:rsidR="007515D0">
              <w:t>m</w:t>
            </w:r>
            <w:r w:rsidR="00DD7FE5">
              <w:t>ed</w:t>
            </w:r>
            <w:r w:rsidR="00CE7A51">
              <w:t xml:space="preserve"> </w:t>
            </w:r>
            <w:r>
              <w:lastRenderedPageBreak/>
              <w:t>m</w:t>
            </w:r>
            <w:r w:rsidR="007515D0">
              <w:t>arkstakke</w:t>
            </w:r>
            <w:r w:rsidR="00993F4C">
              <w:t xml:space="preserve">. Hvis du i forbindelse med indlæsning af håndhævelser har angivet markstakke (under ”Miljøforhold”), </w:t>
            </w:r>
            <w:r w:rsidR="00993F4C" w:rsidRPr="00417FDD">
              <w:t>har DMA optalt d</w:t>
            </w:r>
            <w:r w:rsidR="007209E9" w:rsidRPr="00417FDD">
              <w:t>em</w:t>
            </w:r>
            <w:r w:rsidR="00993F4C" w:rsidRPr="00417FDD">
              <w:t>.</w:t>
            </w:r>
          </w:p>
          <w:p w14:paraId="58C3ED0C" w14:textId="429F1FD3" w:rsidR="00830839" w:rsidRPr="0052079C" w:rsidRDefault="00BC2344" w:rsidP="00E5076C">
            <w:pPr>
              <w:pStyle w:val="Opstilling-punkttegn"/>
            </w:pPr>
            <w:r w:rsidRPr="00417FDD">
              <w:t>e</w:t>
            </w:r>
            <w:r w:rsidR="00CA3721" w:rsidRPr="00417FDD">
              <w:t>n v</w:t>
            </w:r>
            <w:r w:rsidR="00830839" w:rsidRPr="00417FDD">
              <w:t>urdering af og bemærkninger til de oplysninger</w:t>
            </w:r>
            <w:r w:rsidR="001B317B" w:rsidRPr="00417FDD">
              <w:t>,</w:t>
            </w:r>
            <w:r w:rsidR="00830839" w:rsidRPr="00417FDD">
              <w:t xml:space="preserve"> d</w:t>
            </w:r>
            <w:r w:rsidR="007209E9" w:rsidRPr="00417FDD">
              <w:t>u</w:t>
            </w:r>
            <w:r w:rsidR="006B7128" w:rsidRPr="00417FDD">
              <w:t xml:space="preserve"> afgiver eller offentliggør</w:t>
            </w:r>
            <w:r w:rsidR="00830839" w:rsidRPr="00417FDD">
              <w:t xml:space="preserve">, herunder </w:t>
            </w:r>
            <w:r w:rsidR="00417FDD">
              <w:t xml:space="preserve">bemærkninger til </w:t>
            </w:r>
            <w:r w:rsidR="00830839" w:rsidRPr="00417FDD">
              <w:t>oplysninger o</w:t>
            </w:r>
            <w:r w:rsidR="00C1196A" w:rsidRPr="00417FDD">
              <w:t>m</w:t>
            </w:r>
            <w:r w:rsidR="00830839" w:rsidRPr="00417FDD">
              <w:t xml:space="preserve"> godkendelser</w:t>
            </w:r>
            <w:r w:rsidR="006B7128" w:rsidRPr="00417FDD">
              <w:t xml:space="preserve"> </w:t>
            </w:r>
            <w:r w:rsidR="0059395B" w:rsidRPr="00417FDD">
              <w:t xml:space="preserve">og revurderinger </w:t>
            </w:r>
            <w:r w:rsidR="00830839" w:rsidRPr="00417FDD">
              <w:t xml:space="preserve">der </w:t>
            </w:r>
            <w:r w:rsidR="006B7128" w:rsidRPr="00417FDD">
              <w:t>afgives</w:t>
            </w:r>
            <w:r w:rsidR="00830839" w:rsidRPr="00417FDD">
              <w:t xml:space="preserve"> i medfør af </w:t>
            </w:r>
            <w:r w:rsidR="00830839" w:rsidRPr="00417FDD">
              <w:rPr>
                <w:color w:val="00B050"/>
              </w:rPr>
              <w:t>godkendelsesbekendtgørelsens</w:t>
            </w:r>
            <w:r w:rsidR="00830839" w:rsidRPr="0052079C">
              <w:t xml:space="preserve"> § 51</w:t>
            </w:r>
            <w:r w:rsidR="00830839" w:rsidRPr="00417FDD">
              <w:t xml:space="preserve">, afgørelser om fravigelse af krav </w:t>
            </w:r>
            <w:r w:rsidR="006B7128" w:rsidRPr="00417FDD">
              <w:t xml:space="preserve">der afgives </w:t>
            </w:r>
            <w:r w:rsidR="00830839" w:rsidRPr="00417FDD">
              <w:t xml:space="preserve">i medfør af </w:t>
            </w:r>
            <w:r w:rsidR="00830839" w:rsidRPr="00417FDD">
              <w:rPr>
                <w:color w:val="00B050"/>
              </w:rPr>
              <w:t>maskinværkstedsbekendtgørelsens</w:t>
            </w:r>
            <w:r w:rsidR="00830839" w:rsidRPr="0052079C">
              <w:t xml:space="preserve"> § 45</w:t>
            </w:r>
            <w:r w:rsidR="00CA3721" w:rsidRPr="00417FDD">
              <w:t xml:space="preserve"> samt </w:t>
            </w:r>
            <w:r w:rsidR="0059395B" w:rsidRPr="00417FDD">
              <w:t xml:space="preserve">registreringer og </w:t>
            </w:r>
            <w:r w:rsidR="00CA3721" w:rsidRPr="00417FDD">
              <w:t>afgørelser om skærpede</w:t>
            </w:r>
            <w:r w:rsidR="002D7983" w:rsidRPr="00417FDD">
              <w:t>,</w:t>
            </w:r>
            <w:r w:rsidR="00CA3721" w:rsidRPr="00417FDD">
              <w:t xml:space="preserve"> supplerende krav </w:t>
            </w:r>
            <w:r w:rsidR="002D7983" w:rsidRPr="00417FDD">
              <w:t xml:space="preserve">eller dispensation </w:t>
            </w:r>
            <w:r w:rsidR="0059395B" w:rsidRPr="00417FDD">
              <w:t xml:space="preserve">der offentliggøres </w:t>
            </w:r>
            <w:r w:rsidR="00B92F55" w:rsidRPr="00417FDD">
              <w:t>i medfør a</w:t>
            </w:r>
            <w:r w:rsidR="00CA3721" w:rsidRPr="00417FDD">
              <w:t xml:space="preserve">f </w:t>
            </w:r>
            <w:r w:rsidR="00CA3721" w:rsidRPr="00417FDD">
              <w:rPr>
                <w:color w:val="00B050"/>
              </w:rPr>
              <w:t xml:space="preserve">bekendtgørelse </w:t>
            </w:r>
            <w:r w:rsidR="00C45831" w:rsidRPr="00417FDD">
              <w:rPr>
                <w:color w:val="00B050"/>
              </w:rPr>
              <w:t xml:space="preserve">om </w:t>
            </w:r>
            <w:r w:rsidR="00CA3721" w:rsidRPr="00417FDD">
              <w:rPr>
                <w:color w:val="00B050"/>
              </w:rPr>
              <w:t xml:space="preserve">mellemstore fyringsanlæg </w:t>
            </w:r>
            <w:r w:rsidR="00CA3721" w:rsidRPr="001B4373">
              <w:t>§ 9</w:t>
            </w:r>
            <w:r w:rsidR="00417FDD" w:rsidRPr="001B4373">
              <w:t>3</w:t>
            </w:r>
            <w:r w:rsidR="00B92F55" w:rsidRPr="001B4373">
              <w:t>.</w:t>
            </w:r>
          </w:p>
          <w:p w14:paraId="00D1D742" w14:textId="77777777" w:rsidR="00016C60" w:rsidRDefault="00016C60" w:rsidP="00EF2671"/>
          <w:p w14:paraId="24827B96" w14:textId="6DDE0E8D" w:rsidR="0098139B" w:rsidRDefault="0098139B" w:rsidP="00EF2671">
            <w:r>
              <w:t xml:space="preserve">Sammentællingerne i indberetningsskemaerne viser de data, </w:t>
            </w:r>
            <w:r w:rsidR="007209E9">
              <w:t>du</w:t>
            </w:r>
            <w:r>
              <w:t xml:space="preserve"> </w:t>
            </w:r>
            <w:r w:rsidR="00702E28">
              <w:t xml:space="preserve">som tilsyns- og godkendelsesmyndighed </w:t>
            </w:r>
            <w:r>
              <w:t xml:space="preserve">har </w:t>
            </w:r>
            <w:r w:rsidR="008C68B4">
              <w:t xml:space="preserve">afgivet til </w:t>
            </w:r>
            <w:hyperlink r:id="rId9" w:history="1">
              <w:r w:rsidRPr="001B4373">
                <w:rPr>
                  <w:rStyle w:val="Hyperlink"/>
                </w:rPr>
                <w:t>DMA</w:t>
              </w:r>
            </w:hyperlink>
            <w:r>
              <w:t>, enten direkte eller via et fagsystem.</w:t>
            </w:r>
          </w:p>
          <w:p w14:paraId="76AC07F3" w14:textId="77777777" w:rsidR="0098139B" w:rsidRDefault="0098139B" w:rsidP="00EF2671"/>
          <w:p w14:paraId="04AF15D2" w14:textId="1E800A78" w:rsidR="00EF2671" w:rsidRDefault="009F4B56" w:rsidP="00EF2671">
            <w:r>
              <w:t xml:space="preserve">Hvis der er </w:t>
            </w:r>
            <w:r w:rsidR="00EF2671">
              <w:t xml:space="preserve">uoverensstemmelser mellem </w:t>
            </w:r>
            <w:r w:rsidR="00016C60">
              <w:t>oplysningerne i indberetningsskemaet</w:t>
            </w:r>
            <w:r w:rsidR="00EF2671">
              <w:t xml:space="preserve"> og </w:t>
            </w:r>
            <w:r w:rsidR="007209E9">
              <w:t>dine</w:t>
            </w:r>
            <w:r w:rsidR="00EF2671">
              <w:t xml:space="preserve"> egne opgørelser, </w:t>
            </w:r>
            <w:r>
              <w:t xml:space="preserve">så </w:t>
            </w:r>
            <w:r w:rsidR="00EF2671">
              <w:t>skal du sikre</w:t>
            </w:r>
            <w:r>
              <w:t xml:space="preserve"> dig</w:t>
            </w:r>
            <w:r w:rsidR="00CE7A51">
              <w:t>,</w:t>
            </w:r>
            <w:r w:rsidR="00EF2671">
              <w:t xml:space="preserve"> at eventuelle fejl i afgivelser af data</w:t>
            </w:r>
            <w:r w:rsidR="00016C60">
              <w:t xml:space="preserve"> </w:t>
            </w:r>
            <w:r w:rsidR="00C1196A">
              <w:t>til</w:t>
            </w:r>
            <w:r w:rsidR="00CE7A51">
              <w:t xml:space="preserve"> </w:t>
            </w:r>
            <w:r w:rsidR="00CE7A51" w:rsidRPr="000927E3">
              <w:t>DMA</w:t>
            </w:r>
            <w:r w:rsidR="00EF2671" w:rsidRPr="000927E3">
              <w:t xml:space="preserve"> </w:t>
            </w:r>
            <w:r>
              <w:t xml:space="preserve">bliver </w:t>
            </w:r>
            <w:r w:rsidR="00EF2671">
              <w:t>rette</w:t>
            </w:r>
            <w:r>
              <w:t>t</w:t>
            </w:r>
            <w:r w:rsidR="00EF2671">
              <w:t xml:space="preserve">, inden </w:t>
            </w:r>
            <w:r>
              <w:t xml:space="preserve">du </w:t>
            </w:r>
            <w:r w:rsidR="008C68B4">
              <w:t xml:space="preserve">bekræfter </w:t>
            </w:r>
            <w:r w:rsidR="00EF2671">
              <w:t>årsindberetninge</w:t>
            </w:r>
            <w:r>
              <w:t>n</w:t>
            </w:r>
            <w:r w:rsidR="00EF2671">
              <w:t>.</w:t>
            </w:r>
            <w:r w:rsidR="00834085">
              <w:t xml:space="preserve"> Du skal </w:t>
            </w:r>
            <w:r w:rsidR="000F74EC">
              <w:t>i den forbindelse</w:t>
            </w:r>
            <w:r w:rsidR="00834085">
              <w:t xml:space="preserve"> være opmærksom på, om</w:t>
            </w:r>
            <w:r w:rsidR="006C382B">
              <w:t xml:space="preserve"> der er overensstemmelse mellem</w:t>
            </w:r>
            <w:r w:rsidR="00702E28">
              <w:t>,</w:t>
            </w:r>
            <w:r w:rsidR="006C382B">
              <w:t xml:space="preserve"> hvordan sammentællinge</w:t>
            </w:r>
            <w:r w:rsidR="00A54E19">
              <w:t>rne</w:t>
            </w:r>
            <w:r w:rsidR="006C382B">
              <w:t xml:space="preserve"> sker</w:t>
            </w:r>
            <w:r w:rsidR="00292F76">
              <w:t xml:space="preserve"> i </w:t>
            </w:r>
            <w:r w:rsidR="007209E9">
              <w:t>dine</w:t>
            </w:r>
            <w:r w:rsidR="00292F76">
              <w:t xml:space="preserve"> interne </w:t>
            </w:r>
            <w:r w:rsidR="00417FDD">
              <w:t>opgørelser</w:t>
            </w:r>
            <w:r w:rsidR="00292F76">
              <w:t xml:space="preserve"> og i </w:t>
            </w:r>
            <w:r w:rsidR="00292F76" w:rsidRPr="000927E3">
              <w:t>DMA</w:t>
            </w:r>
            <w:r w:rsidR="006C382B" w:rsidRPr="000927E3">
              <w:t>.</w:t>
            </w:r>
          </w:p>
          <w:p w14:paraId="4BE4C4F9" w14:textId="77777777" w:rsidR="00EF2671" w:rsidRDefault="00EF2671" w:rsidP="00EF2671"/>
          <w:p w14:paraId="2FE1A321" w14:textId="2A550229" w:rsidR="00834085" w:rsidRDefault="00EF2671" w:rsidP="00EF2671">
            <w:r>
              <w:t xml:space="preserve">Som hjælp til fejlfindingen kan du ved at </w:t>
            </w:r>
            <w:r w:rsidR="00417FDD">
              <w:t>klikke på de autogenerede tal</w:t>
            </w:r>
            <w:r>
              <w:t xml:space="preserve"> i indberetningsskemaet</w:t>
            </w:r>
            <w:r w:rsidR="00016C60">
              <w:t xml:space="preserve"> </w:t>
            </w:r>
            <w:r>
              <w:t xml:space="preserve">se, hvilke data der ligger til grund for </w:t>
            </w:r>
            <w:r w:rsidRPr="001B4373">
              <w:t>DMA’s</w:t>
            </w:r>
            <w:r w:rsidRPr="006F533C">
              <w:t xml:space="preserve"> sammentælling</w:t>
            </w:r>
            <w:r>
              <w:t>. På den måde har du mulighed for at se</w:t>
            </w:r>
            <w:r w:rsidR="00C1196A">
              <w:t>,</w:t>
            </w:r>
            <w:r>
              <w:t xml:space="preserve"> hvor der eventuelt er sket fejl i afgivelsen</w:t>
            </w:r>
            <w:r w:rsidR="007209E9">
              <w:t xml:space="preserve"> af data</w:t>
            </w:r>
            <w:r w:rsidR="00702E28">
              <w:t xml:space="preserve">. Herefter kan du </w:t>
            </w:r>
            <w:r>
              <w:t xml:space="preserve">rette fejlregistreringerne. </w:t>
            </w:r>
          </w:p>
          <w:p w14:paraId="17F12227" w14:textId="4F6E73E5" w:rsidR="00016C60" w:rsidRDefault="00016C60" w:rsidP="00EF2671"/>
          <w:p w14:paraId="7061D5FD" w14:textId="143CD314" w:rsidR="001D58BD" w:rsidRDefault="00016C60" w:rsidP="00CE7A51">
            <w:pPr>
              <w:autoSpaceDE w:val="0"/>
              <w:autoSpaceDN w:val="0"/>
              <w:adjustRightInd w:val="0"/>
            </w:pPr>
            <w:r w:rsidRPr="00A538AC">
              <w:t>I løbet af et kalenderår kan der ske ændri</w:t>
            </w:r>
            <w:r w:rsidR="00103C0B" w:rsidRPr="00A538AC">
              <w:t xml:space="preserve">nger, som </w:t>
            </w:r>
            <w:r w:rsidR="00702E28">
              <w:t>f</w:t>
            </w:r>
            <w:r w:rsidR="00CF444E">
              <w:t>x</w:t>
            </w:r>
            <w:r w:rsidR="00702E28">
              <w:t xml:space="preserve"> </w:t>
            </w:r>
            <w:r w:rsidR="00103C0B" w:rsidRPr="00A538AC">
              <w:t>at virksomheder skift</w:t>
            </w:r>
            <w:r w:rsidRPr="00A538AC">
              <w:t>er virksomhedsgruppe, kategori eller myndighed, sammenlægges</w:t>
            </w:r>
            <w:r w:rsidR="00417FDD">
              <w:t xml:space="preserve"> med en anden virksomhed</w:t>
            </w:r>
            <w:r w:rsidRPr="00A538AC">
              <w:t xml:space="preserve"> eller bliver </w:t>
            </w:r>
            <w:r w:rsidR="00103C0B" w:rsidRPr="00A538AC">
              <w:t>in</w:t>
            </w:r>
            <w:r w:rsidR="00CE7A51">
              <w:t>aktive</w:t>
            </w:r>
            <w:r w:rsidRPr="00A538AC">
              <w:t xml:space="preserve">. </w:t>
            </w:r>
            <w:r w:rsidR="00103C0B" w:rsidRPr="001B4373">
              <w:t>DMA</w:t>
            </w:r>
            <w:r w:rsidR="00103C0B" w:rsidRPr="006F533C">
              <w:t xml:space="preserve"> </w:t>
            </w:r>
            <w:r w:rsidR="009C4028" w:rsidRPr="006F533C">
              <w:t>s</w:t>
            </w:r>
            <w:r w:rsidR="009F4B56">
              <w:t>ørger</w:t>
            </w:r>
            <w:r w:rsidR="009C4028" w:rsidRPr="006F533C">
              <w:t xml:space="preserve"> </w:t>
            </w:r>
            <w:r w:rsidR="00103C0B" w:rsidRPr="00A538AC">
              <w:t>automatisk</w:t>
            </w:r>
            <w:r w:rsidR="009F4B56">
              <w:t xml:space="preserve"> for</w:t>
            </w:r>
            <w:r w:rsidR="00103C0B" w:rsidRPr="00A538AC">
              <w:t>, at ti</w:t>
            </w:r>
            <w:r w:rsidRPr="00A538AC">
              <w:t>lsynsindberetningen</w:t>
            </w:r>
            <w:r w:rsidR="00103C0B" w:rsidRPr="00A538AC">
              <w:t xml:space="preserve"> alti</w:t>
            </w:r>
            <w:r w:rsidRPr="00A538AC">
              <w:t xml:space="preserve">d </w:t>
            </w:r>
            <w:r w:rsidR="009F4B56">
              <w:t>viser</w:t>
            </w:r>
            <w:r w:rsidR="009F4B56" w:rsidRPr="00A538AC">
              <w:t xml:space="preserve"> </w:t>
            </w:r>
            <w:r w:rsidRPr="00CB2753">
              <w:t xml:space="preserve">de opdaterede registreringer </w:t>
            </w:r>
            <w:r w:rsidR="00417FDD">
              <w:t>for</w:t>
            </w:r>
            <w:r w:rsidRPr="00CB2753">
              <w:t xml:space="preserve"> virksomheder</w:t>
            </w:r>
            <w:r w:rsidR="00417FDD">
              <w:t xml:space="preserve"> og husdyrbrug m.v.</w:t>
            </w:r>
            <w:r w:rsidRPr="00CB2753">
              <w:t xml:space="preserve"> hos </w:t>
            </w:r>
            <w:r w:rsidR="00103C0B" w:rsidRPr="00CB2753">
              <w:t xml:space="preserve">din myndighed inden for de </w:t>
            </w:r>
            <w:r w:rsidR="00417FDD">
              <w:t>relevante</w:t>
            </w:r>
            <w:r w:rsidR="00417FDD" w:rsidRPr="00CB2753">
              <w:t xml:space="preserve"> </w:t>
            </w:r>
            <w:r w:rsidRPr="00CB2753">
              <w:t>virksomhedsgrupper</w:t>
            </w:r>
            <w:r w:rsidR="00702E28">
              <w:t xml:space="preserve">. </w:t>
            </w:r>
            <w:r w:rsidR="00702E28" w:rsidRPr="001B4373">
              <w:t>DMA</w:t>
            </w:r>
            <w:r w:rsidR="00702E28">
              <w:t xml:space="preserve"> viser også</w:t>
            </w:r>
            <w:r w:rsidRPr="00CB2753">
              <w:t xml:space="preserve"> </w:t>
            </w:r>
            <w:r w:rsidR="00CB2753">
              <w:t xml:space="preserve">udførte tilsyn og </w:t>
            </w:r>
            <w:r w:rsidRPr="00CB2753">
              <w:t>meddelte afgørelser og håndhævelser for kalenderåret.</w:t>
            </w:r>
            <w:r w:rsidR="00103C0B" w:rsidRPr="00A538AC">
              <w:t xml:space="preserve"> </w:t>
            </w:r>
          </w:p>
          <w:p w14:paraId="10D2B2DC" w14:textId="7E2452FF" w:rsidR="00F405DB" w:rsidRDefault="00F405DB" w:rsidP="00CE7A51">
            <w:pPr>
              <w:autoSpaceDE w:val="0"/>
              <w:autoSpaceDN w:val="0"/>
              <w:adjustRightInd w:val="0"/>
            </w:pPr>
          </w:p>
          <w:p w14:paraId="77149A53" w14:textId="4EA9040B" w:rsidR="00993F4C" w:rsidRPr="001D58BD" w:rsidRDefault="00993F4C" w:rsidP="00993F4C">
            <w:pPr>
              <w:autoSpaceDE w:val="0"/>
              <w:autoSpaceDN w:val="0"/>
              <w:adjustRightInd w:val="0"/>
            </w:pPr>
            <w:r w:rsidRPr="00885798">
              <w:t>Tilsyn</w:t>
            </w:r>
            <w:r w:rsidR="009F4B56" w:rsidRPr="00885798">
              <w:t>, der er</w:t>
            </w:r>
            <w:r w:rsidRPr="00885798">
              <w:t xml:space="preserve"> udført på virksomheder</w:t>
            </w:r>
            <w:r w:rsidR="009A24C6">
              <w:t xml:space="preserve"> eller husdyrbrug m.v.</w:t>
            </w:r>
            <w:r w:rsidRPr="00885798">
              <w:t>, som i løbet af kalenderåret har ski</w:t>
            </w:r>
            <w:r w:rsidR="001D58BD" w:rsidRPr="00885798">
              <w:t>ft</w:t>
            </w:r>
            <w:r w:rsidRPr="00885798">
              <w:t>et virksomhedsgruppe</w:t>
            </w:r>
            <w:r w:rsidR="00885798">
              <w:t xml:space="preserve"> eller kategori</w:t>
            </w:r>
            <w:r w:rsidRPr="00885798">
              <w:t>, tælles stadig med under den virksomhedsgruppe</w:t>
            </w:r>
            <w:r w:rsidR="00885798">
              <w:t xml:space="preserve"> eller kategori</w:t>
            </w:r>
            <w:r w:rsidRPr="00885798">
              <w:t>, som virksomheden var omfa</w:t>
            </w:r>
            <w:r w:rsidR="001D58BD" w:rsidRPr="00885798">
              <w:t>tt</w:t>
            </w:r>
            <w:r w:rsidRPr="00885798">
              <w:t xml:space="preserve">et af, da </w:t>
            </w:r>
            <w:r w:rsidR="001D58BD" w:rsidRPr="00885798">
              <w:t>ti</w:t>
            </w:r>
            <w:r w:rsidRPr="00885798">
              <w:t xml:space="preserve">lsynet blev udført. </w:t>
            </w:r>
            <w:r w:rsidR="00E656B4">
              <w:t>I</w:t>
            </w:r>
            <w:r w:rsidR="00E656B4" w:rsidRPr="00885798">
              <w:t>naktive virksomheder, som fik et tilsynsbesøg, inden de blev inaktive</w:t>
            </w:r>
            <w:r w:rsidR="00E656B4">
              <w:t>, tælles også med</w:t>
            </w:r>
            <w:r w:rsidR="00E656B4" w:rsidRPr="00885798">
              <w:t>.</w:t>
            </w:r>
            <w:r w:rsidR="00E656B4">
              <w:t xml:space="preserve"> </w:t>
            </w:r>
            <w:r w:rsidRPr="00885798">
              <w:t>Tilsyn udført på virksomheder, som inden for kalenderåret har ski</w:t>
            </w:r>
            <w:r w:rsidR="001D58BD" w:rsidRPr="00885798">
              <w:t>ft</w:t>
            </w:r>
            <w:r w:rsidRPr="00885798">
              <w:t xml:space="preserve">et myndighed, tælles med hos den myndighed, som har udført </w:t>
            </w:r>
            <w:r w:rsidR="001D58BD" w:rsidRPr="00885798">
              <w:t>ti</w:t>
            </w:r>
            <w:r w:rsidRPr="00885798">
              <w:t>lsynet</w:t>
            </w:r>
            <w:r w:rsidR="00E656B4">
              <w:t xml:space="preserve">, og tilsvarende </w:t>
            </w:r>
            <w:r w:rsidR="00582ACB">
              <w:t xml:space="preserve">bliver </w:t>
            </w:r>
            <w:r>
              <w:t xml:space="preserve">håndhævelsen </w:t>
            </w:r>
            <w:r w:rsidR="00582ACB">
              <w:t xml:space="preserve">opgjort </w:t>
            </w:r>
            <w:r>
              <w:t xml:space="preserve">hos den myndighed, som meddelte håndhævelsen. Desuden </w:t>
            </w:r>
            <w:r w:rsidR="00C1196A">
              <w:t xml:space="preserve">tælles </w:t>
            </w:r>
            <w:r>
              <w:t>håndhævelsen med, også selvom virksomheden er blevet inak</w:t>
            </w:r>
            <w:r w:rsidR="001D58BD">
              <w:t>ti</w:t>
            </w:r>
            <w:r>
              <w:t>v e</w:t>
            </w:r>
            <w:r w:rsidR="001D58BD">
              <w:t>ft</w:t>
            </w:r>
            <w:r>
              <w:t>er meddelelse af håndhævelsen.</w:t>
            </w:r>
          </w:p>
          <w:p w14:paraId="637FF42C" w14:textId="77777777" w:rsidR="001D58BD" w:rsidRDefault="001D58BD" w:rsidP="001D58BD">
            <w:pPr>
              <w:autoSpaceDE w:val="0"/>
              <w:autoSpaceDN w:val="0"/>
              <w:adjustRightInd w:val="0"/>
            </w:pPr>
          </w:p>
          <w:p w14:paraId="3EC73106" w14:textId="32772336" w:rsidR="001D58BD" w:rsidRDefault="001D58BD" w:rsidP="001D58BD">
            <w:pPr>
              <w:autoSpaceDE w:val="0"/>
              <w:autoSpaceDN w:val="0"/>
              <w:adjustRightInd w:val="0"/>
            </w:pPr>
            <w:r w:rsidRPr="00A538AC">
              <w:t xml:space="preserve">Du kan læse mere i </w:t>
            </w:r>
            <w:r w:rsidRPr="006F533C">
              <w:t>vejledningen</w:t>
            </w:r>
            <w:r w:rsidR="009C4B93">
              <w:t xml:space="preserve"> "Tilsynsindberetning"</w:t>
            </w:r>
            <w:r w:rsidRPr="006F533C">
              <w:t xml:space="preserve"> i DMA om</w:t>
            </w:r>
            <w:r>
              <w:t xml:space="preserve">, hvordan </w:t>
            </w:r>
            <w:r w:rsidR="0020507D">
              <w:t xml:space="preserve">de </w:t>
            </w:r>
            <w:r w:rsidR="00C1196A">
              <w:t>forskellige</w:t>
            </w:r>
            <w:r>
              <w:t xml:space="preserve"> ændringer tæller med i de aggregerede data.</w:t>
            </w:r>
          </w:p>
          <w:p w14:paraId="79581A4F" w14:textId="52037A2C" w:rsidR="003E64B7" w:rsidRDefault="003C7BF3" w:rsidP="008B513B">
            <w:pPr>
              <w:autoSpaceDE w:val="0"/>
              <w:autoSpaceDN w:val="0"/>
              <w:adjustRightInd w:val="0"/>
              <w:rPr>
                <w:bCs/>
              </w:rPr>
            </w:pPr>
            <w:r w:rsidRPr="003E64B7">
              <w:rPr>
                <w:bCs/>
              </w:rPr>
              <w:t xml:space="preserve"> </w:t>
            </w:r>
          </w:p>
          <w:p w14:paraId="0DFE4F00" w14:textId="2C13CE75" w:rsidR="00081C19" w:rsidRPr="00081C19" w:rsidRDefault="003C7BF3" w:rsidP="003E64B7">
            <w:pPr>
              <w:pStyle w:val="Underoverskri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Når du </w:t>
            </w:r>
            <w:r w:rsidR="008B513B">
              <w:rPr>
                <w:b w:val="0"/>
                <w:bCs/>
              </w:rPr>
              <w:t xml:space="preserve">på DMA </w:t>
            </w:r>
            <w:r w:rsidR="00103C0B" w:rsidRPr="006F533C">
              <w:rPr>
                <w:b w:val="0"/>
              </w:rPr>
              <w:t>godkende</w:t>
            </w:r>
            <w:r>
              <w:rPr>
                <w:b w:val="0"/>
              </w:rPr>
              <w:t xml:space="preserve">r årets indberetning, </w:t>
            </w:r>
            <w:r w:rsidR="00103C0B" w:rsidRPr="006F533C">
              <w:rPr>
                <w:b w:val="0"/>
              </w:rPr>
              <w:t>bekræfte</w:t>
            </w:r>
            <w:r w:rsidR="0057231B">
              <w:rPr>
                <w:b w:val="0"/>
              </w:rPr>
              <w:t>r du</w:t>
            </w:r>
            <w:r w:rsidR="00103C0B" w:rsidRPr="006F533C">
              <w:rPr>
                <w:b w:val="0"/>
              </w:rPr>
              <w:t xml:space="preserve">, at alle data </w:t>
            </w:r>
            <w:r w:rsidRPr="001D7BF9">
              <w:rPr>
                <w:b w:val="0"/>
                <w:bCs/>
              </w:rPr>
              <w:t xml:space="preserve">for det forudgående år </w:t>
            </w:r>
            <w:r w:rsidR="00103C0B" w:rsidRPr="006F533C">
              <w:rPr>
                <w:b w:val="0"/>
              </w:rPr>
              <w:t xml:space="preserve">er afgivet og verificeret, jf. § 17. </w:t>
            </w:r>
            <w:r>
              <w:rPr>
                <w:b w:val="0"/>
              </w:rPr>
              <w:t>Herefter</w:t>
            </w:r>
            <w:r w:rsidR="00CA6B25">
              <w:t xml:space="preserve"> </w:t>
            </w:r>
            <w:r w:rsidR="00CA6B25" w:rsidRPr="003E64B7">
              <w:rPr>
                <w:b w:val="0"/>
                <w:bCs/>
              </w:rPr>
              <w:t xml:space="preserve">vil </w:t>
            </w:r>
            <w:r w:rsidR="00402E33" w:rsidRPr="003E64B7">
              <w:rPr>
                <w:b w:val="0"/>
                <w:bCs/>
              </w:rPr>
              <w:t xml:space="preserve">årsindberetningen </w:t>
            </w:r>
            <w:r w:rsidR="00B717C4" w:rsidRPr="003E64B7">
              <w:rPr>
                <w:b w:val="0"/>
                <w:bCs/>
              </w:rPr>
              <w:t>blive offentliggjort</w:t>
            </w:r>
            <w:r w:rsidR="00920718" w:rsidRPr="003E64B7">
              <w:rPr>
                <w:b w:val="0"/>
                <w:bCs/>
              </w:rPr>
              <w:t xml:space="preserve"> på </w:t>
            </w:r>
            <w:r w:rsidR="003746C5" w:rsidRPr="003E64B7">
              <w:rPr>
                <w:b w:val="0"/>
                <w:bCs/>
              </w:rPr>
              <w:t>m</w:t>
            </w:r>
            <w:r w:rsidR="00920718" w:rsidRPr="003E64B7">
              <w:rPr>
                <w:b w:val="0"/>
                <w:bCs/>
              </w:rPr>
              <w:t>yndighedens side på DMA.</w:t>
            </w:r>
          </w:p>
          <w:p w14:paraId="5E0BC8D6" w14:textId="77777777" w:rsidR="00CA6B25" w:rsidRPr="004D7ABE" w:rsidRDefault="00CA6B25" w:rsidP="004C1E1E"/>
        </w:tc>
      </w:tr>
      <w:tr w:rsidR="00CA6B25" w14:paraId="0275ECF4" w14:textId="77777777" w:rsidTr="00125B14">
        <w:tc>
          <w:tcPr>
            <w:tcW w:w="9628" w:type="dxa"/>
            <w:shd w:val="clear" w:color="auto" w:fill="auto"/>
          </w:tcPr>
          <w:p w14:paraId="6977B331" w14:textId="1DFAED6C" w:rsidR="00CA6B25" w:rsidRDefault="00CA6B25" w:rsidP="00CA6B25">
            <w:pPr>
              <w:pStyle w:val="Underoverskrift"/>
            </w:pPr>
            <w:r w:rsidRPr="00D80059">
              <w:lastRenderedPageBreak/>
              <w:t>Retsgrundlag</w:t>
            </w:r>
          </w:p>
          <w:p w14:paraId="3E731B68" w14:textId="77777777" w:rsidR="000B54A4" w:rsidRPr="00D80059" w:rsidRDefault="000B54A4" w:rsidP="00CA6B25">
            <w:pPr>
              <w:pStyle w:val="Underoverskrift"/>
            </w:pPr>
            <w:bookmarkStart w:id="0" w:name="_GoBack"/>
            <w:bookmarkEnd w:id="0"/>
          </w:p>
          <w:p w14:paraId="6C1740E5" w14:textId="73341E50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i/>
                <w:color w:val="808080" w:themeColor="background1" w:themeShade="80"/>
                <w:sz w:val="18"/>
                <w:szCs w:val="18"/>
              </w:rPr>
              <w:t>Miljøtilsynsbekendtgørelsen</w:t>
            </w:r>
            <w:r w:rsidR="00D80059" w:rsidRPr="00D80059">
              <w:rPr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D80059">
              <w:rPr>
                <w:i/>
                <w:color w:val="808080" w:themeColor="background1" w:themeShade="80"/>
                <w:sz w:val="18"/>
                <w:szCs w:val="18"/>
              </w:rPr>
              <w:t xml:space="preserve"> § 17</w:t>
            </w:r>
            <w:r w:rsidRPr="00D80059">
              <w:rPr>
                <w:rFonts w:eastAsia="TimesNewRomanPS-BoldMT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752D8B1D" w14:textId="309F589D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Tilsyns- og godkendelsesmyndigheden skal hvert år senest den 1. april til Miljøstyrelsen med de</w:t>
            </w:r>
          </w:p>
          <w:p w14:paraId="6F3EC574" w14:textId="77777777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begrænsninger, der følger af anden lovgivning, indsende deres skriftlige vurdering af og bemærkninger til</w:t>
            </w:r>
          </w:p>
          <w:p w14:paraId="5629DEF6" w14:textId="77777777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lastRenderedPageBreak/>
              <w:t>de oplysninger, der skal meddeles efter §§ 14 og 15 i denne bekendtgørelse, efter § 51 i bekendtgørelse</w:t>
            </w:r>
          </w:p>
          <w:p w14:paraId="1F5B6BE5" w14:textId="77777777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om godkendelse af listevirksomhed, efter § 45 i bekendtgørelse om virksomheder, der forarbejder emner</w:t>
            </w:r>
          </w:p>
          <w:p w14:paraId="1146F295" w14:textId="77777777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af jern, stål eller andre metaller og efter § 93, stk. 1 og 2, og § 94 i bekendtgørelse om miljøkrav for</w:t>
            </w:r>
          </w:p>
          <w:p w14:paraId="69D4EF0E" w14:textId="77777777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mellemstore fyringsanlæg for det forudgående kalenderår, samt bekræfte, at alle data er afgivet og verificeret.</w:t>
            </w:r>
          </w:p>
          <w:p w14:paraId="28E3DD61" w14:textId="77777777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-ItalicMT"/>
                <w:iCs/>
                <w:color w:val="808080" w:themeColor="background1" w:themeShade="80"/>
                <w:sz w:val="18"/>
                <w:szCs w:val="18"/>
              </w:rPr>
              <w:t xml:space="preserve">Stk. 2. </w:t>
            </w: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Tilsyns- og godkendelsesmyndigheden skal endvidere hvert år senest den 1. april til Miljøstyrelsen</w:t>
            </w:r>
          </w:p>
          <w:p w14:paraId="48B09E4A" w14:textId="77777777" w:rsidR="00B448B5" w:rsidRPr="00D80059" w:rsidRDefault="00B448B5" w:rsidP="00B448B5">
            <w:pPr>
              <w:autoSpaceDE w:val="0"/>
              <w:autoSpaceDN w:val="0"/>
              <w:adjustRightInd w:val="0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om det forudgående år oplyse følgende:</w:t>
            </w:r>
          </w:p>
          <w:p w14:paraId="3AB564BC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1) Antal politianmeldelser og selvhjælpshandlinger for de virksomheder og husdyrbrug m.v., som er omfattet</w:t>
            </w:r>
          </w:p>
          <w:p w14:paraId="2DB292AF" w14:textId="254550A1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af persondataloven.</w:t>
            </w:r>
          </w:p>
          <w:p w14:paraId="36B20B22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2) Antal henstillinger, påbud, forbud, indskærpelser, selvhjælpshandlinger og politianmeldelser vedrørende</w:t>
            </w:r>
          </w:p>
          <w:p w14:paraId="6761DCBC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forhold, som berører markstakke.</w:t>
            </w:r>
          </w:p>
          <w:p w14:paraId="305DF9C8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3) Antal påbud, forbud, indskærpelser, henstillinger, selvhjælpshandlinger eller politianmeldelser, som</w:t>
            </w:r>
          </w:p>
          <w:p w14:paraId="20442D33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vedrører reglerne i eller afgørelser efter kapitel 3 og 4 samt § 46, stk. 1, nr. 1-6 og stk. 2, §§ 49, 54,</w:t>
            </w:r>
          </w:p>
          <w:p w14:paraId="7286B233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55, 56, 58, 59, 60, 61 og 62, § 73, stk. 5, § 74, stk. 5, §§ 75 og 79, § 81, stk. 1, nr. 2, § 82, § 83, stk. 1,</w:t>
            </w:r>
          </w:p>
          <w:p w14:paraId="346F42F8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nr. 1 og 2, § 84, § 86, nr. 2, § 88 og § 90, stk. 2, i bekendtgørelse om miljøkrav for mellemstore fyringsanlæg.</w:t>
            </w:r>
          </w:p>
          <w:p w14:paraId="2B68E210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Dette gælder dog ikke reglerne om emissionsgrænseværdier for spormetaller og CO, reglerne</w:t>
            </w:r>
          </w:p>
          <w:p w14:paraId="71B53B9A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rFonts w:eastAsia="TimesNewRomanPSMT"/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om egenkontrol for spormetaller, reglen om indretning af målested og reglerne om måling og</w:t>
            </w:r>
          </w:p>
          <w:p w14:paraId="50BC8133" w14:textId="77777777" w:rsidR="00B448B5" w:rsidRPr="00D80059" w:rsidRDefault="00B448B5" w:rsidP="00D80059">
            <w:pPr>
              <w:autoSpaceDE w:val="0"/>
              <w:autoSpaceDN w:val="0"/>
              <w:adjustRightInd w:val="0"/>
              <w:ind w:left="278"/>
              <w:rPr>
                <w:color w:val="808080" w:themeColor="background1" w:themeShade="80"/>
                <w:sz w:val="18"/>
                <w:szCs w:val="18"/>
              </w:rPr>
            </w:pPr>
            <w:r w:rsidRPr="00D80059">
              <w:rPr>
                <w:rFonts w:eastAsia="TimesNewRomanPSMT"/>
                <w:color w:val="808080" w:themeColor="background1" w:themeShade="80"/>
                <w:sz w:val="18"/>
                <w:szCs w:val="18"/>
              </w:rPr>
              <w:t>regulering af O2-indholdet i røggassen.</w:t>
            </w:r>
          </w:p>
          <w:p w14:paraId="58C7C24D" w14:textId="08F9674A" w:rsidR="00CA6B25" w:rsidRDefault="00CA6B25" w:rsidP="00BB69D1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5B21A38D" w14:textId="77777777" w:rsidR="00E1298C" w:rsidRDefault="00E1298C" w:rsidP="002534E3"/>
    <w:sectPr w:rsidR="00E1298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3EB2" w14:textId="77777777" w:rsidR="00047C1C" w:rsidRDefault="00047C1C" w:rsidP="002534E3">
      <w:r>
        <w:separator/>
      </w:r>
    </w:p>
  </w:endnote>
  <w:endnote w:type="continuationSeparator" w:id="0">
    <w:p w14:paraId="0D215A05" w14:textId="77777777" w:rsidR="00047C1C" w:rsidRDefault="00047C1C" w:rsidP="0025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65485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65428D3" w14:textId="29CD4751" w:rsidR="00E90EA1" w:rsidRPr="00E90EA1" w:rsidRDefault="00E90EA1">
        <w:pPr>
          <w:pStyle w:val="Sidefod"/>
          <w:jc w:val="center"/>
          <w:rPr>
            <w:sz w:val="18"/>
            <w:szCs w:val="18"/>
          </w:rPr>
        </w:pPr>
        <w:r w:rsidRPr="00E90EA1">
          <w:rPr>
            <w:sz w:val="18"/>
            <w:szCs w:val="18"/>
          </w:rPr>
          <w:fldChar w:fldCharType="begin"/>
        </w:r>
        <w:r w:rsidRPr="00E90EA1">
          <w:rPr>
            <w:sz w:val="18"/>
            <w:szCs w:val="18"/>
          </w:rPr>
          <w:instrText>PAGE   \* MERGEFORMAT</w:instrText>
        </w:r>
        <w:r w:rsidRPr="00E90EA1">
          <w:rPr>
            <w:sz w:val="18"/>
            <w:szCs w:val="18"/>
          </w:rPr>
          <w:fldChar w:fldCharType="separate"/>
        </w:r>
        <w:r w:rsidR="000B54A4">
          <w:rPr>
            <w:noProof/>
            <w:sz w:val="18"/>
            <w:szCs w:val="18"/>
          </w:rPr>
          <w:t>2</w:t>
        </w:r>
        <w:r w:rsidRPr="00E90EA1">
          <w:rPr>
            <w:sz w:val="18"/>
            <w:szCs w:val="18"/>
          </w:rPr>
          <w:fldChar w:fldCharType="end"/>
        </w:r>
      </w:p>
    </w:sdtContent>
  </w:sdt>
  <w:p w14:paraId="0B499AB7" w14:textId="77777777" w:rsidR="00E81D6B" w:rsidRDefault="00E81D6B" w:rsidP="002534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ECD2" w14:textId="77777777" w:rsidR="00047C1C" w:rsidRDefault="00047C1C" w:rsidP="002534E3">
      <w:r>
        <w:separator/>
      </w:r>
    </w:p>
  </w:footnote>
  <w:footnote w:type="continuationSeparator" w:id="0">
    <w:p w14:paraId="77E359D6" w14:textId="77777777" w:rsidR="00047C1C" w:rsidRDefault="00047C1C" w:rsidP="0025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F75F" w14:textId="4D36AF3A" w:rsidR="00E81D6B" w:rsidRDefault="000B54A4" w:rsidP="002534E3">
    <w:pPr>
      <w:pStyle w:val="Sidehoved"/>
    </w:pPr>
    <w:r>
      <w:rPr>
        <w:noProof/>
      </w:rPr>
      <w:pict w14:anchorId="57F78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9641" o:spid="_x0000_s2051" type="#_x0000_t136" alt="" style="position:absolute;margin-left:0;margin-top:0;width:509.55pt;height:16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429C" w14:textId="779952EC" w:rsidR="00E81D6B" w:rsidRDefault="000B54A4" w:rsidP="002534E3">
    <w:pPr>
      <w:pStyle w:val="Sidehoved"/>
    </w:pPr>
    <w:r>
      <w:rPr>
        <w:noProof/>
      </w:rPr>
      <w:pict w14:anchorId="3B5CF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9642" o:spid="_x0000_s2050" type="#_x0000_t136" alt="" style="position:absolute;margin-left:0;margin-top:0;width:509.55pt;height:169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7251" w14:textId="0A340653" w:rsidR="00E81D6B" w:rsidRDefault="000B54A4" w:rsidP="002534E3">
    <w:pPr>
      <w:pStyle w:val="Sidehoved"/>
    </w:pPr>
    <w:r>
      <w:rPr>
        <w:noProof/>
      </w:rPr>
      <w:pict w14:anchorId="0AA22A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9640" o:spid="_x0000_s2049" type="#_x0000_t136" alt="" style="position:absolute;margin-left:0;margin-top:0;width:509.55pt;height:169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06684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45644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E47A0"/>
    <w:multiLevelType w:val="hybridMultilevel"/>
    <w:tmpl w:val="F86853E4"/>
    <w:lvl w:ilvl="0" w:tplc="464C47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A8E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0EC07C50"/>
    <w:multiLevelType w:val="hybridMultilevel"/>
    <w:tmpl w:val="3C920A30"/>
    <w:lvl w:ilvl="0" w:tplc="BA34D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3AF2"/>
    <w:multiLevelType w:val="singleLevel"/>
    <w:tmpl w:val="472CD1D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867BA8"/>
    <w:multiLevelType w:val="singleLevel"/>
    <w:tmpl w:val="0B4CB6C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EA5AD3"/>
    <w:multiLevelType w:val="singleLevel"/>
    <w:tmpl w:val="4160744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EE7E0C"/>
    <w:multiLevelType w:val="singleLevel"/>
    <w:tmpl w:val="0406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 w15:restartNumberingAfterBreak="0">
    <w:nsid w:val="3F706D33"/>
    <w:multiLevelType w:val="hybridMultilevel"/>
    <w:tmpl w:val="113A39B2"/>
    <w:lvl w:ilvl="0" w:tplc="4D50609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BDB"/>
    <w:multiLevelType w:val="singleLevel"/>
    <w:tmpl w:val="0E08B77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892F00"/>
    <w:multiLevelType w:val="hybridMultilevel"/>
    <w:tmpl w:val="EDA8F2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282D"/>
    <w:multiLevelType w:val="multilevel"/>
    <w:tmpl w:val="F438C9E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7B65ED"/>
    <w:multiLevelType w:val="singleLevel"/>
    <w:tmpl w:val="921E01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2910B2"/>
    <w:multiLevelType w:val="singleLevel"/>
    <w:tmpl w:val="86FC1A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7F079B"/>
    <w:multiLevelType w:val="singleLevel"/>
    <w:tmpl w:val="8BFCC61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A803FB"/>
    <w:multiLevelType w:val="singleLevel"/>
    <w:tmpl w:val="C9DECD2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DDC24AC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C"/>
    <w:rsid w:val="00000A56"/>
    <w:rsid w:val="00001073"/>
    <w:rsid w:val="00005F00"/>
    <w:rsid w:val="00016C60"/>
    <w:rsid w:val="000279F0"/>
    <w:rsid w:val="00035195"/>
    <w:rsid w:val="00035AD1"/>
    <w:rsid w:val="00047C1C"/>
    <w:rsid w:val="00056381"/>
    <w:rsid w:val="000672E7"/>
    <w:rsid w:val="0007551B"/>
    <w:rsid w:val="000808BA"/>
    <w:rsid w:val="00081C19"/>
    <w:rsid w:val="00085024"/>
    <w:rsid w:val="000927E3"/>
    <w:rsid w:val="00093EAE"/>
    <w:rsid w:val="00094DA8"/>
    <w:rsid w:val="000A2B1F"/>
    <w:rsid w:val="000B54A4"/>
    <w:rsid w:val="000C09F0"/>
    <w:rsid w:val="000C3C5B"/>
    <w:rsid w:val="000C6418"/>
    <w:rsid w:val="000F1B6B"/>
    <w:rsid w:val="000F2C8B"/>
    <w:rsid w:val="000F74EC"/>
    <w:rsid w:val="00100FE8"/>
    <w:rsid w:val="00103C0B"/>
    <w:rsid w:val="00110701"/>
    <w:rsid w:val="00117026"/>
    <w:rsid w:val="0012273D"/>
    <w:rsid w:val="00125B14"/>
    <w:rsid w:val="00144223"/>
    <w:rsid w:val="00153006"/>
    <w:rsid w:val="00157052"/>
    <w:rsid w:val="001840E5"/>
    <w:rsid w:val="001848E7"/>
    <w:rsid w:val="001B317B"/>
    <w:rsid w:val="001B4373"/>
    <w:rsid w:val="001D05E3"/>
    <w:rsid w:val="001D58BD"/>
    <w:rsid w:val="001D6666"/>
    <w:rsid w:val="001D7BF9"/>
    <w:rsid w:val="001E0470"/>
    <w:rsid w:val="001F11AD"/>
    <w:rsid w:val="0020507D"/>
    <w:rsid w:val="0022377A"/>
    <w:rsid w:val="002244D9"/>
    <w:rsid w:val="002409EB"/>
    <w:rsid w:val="00252A74"/>
    <w:rsid w:val="002534E3"/>
    <w:rsid w:val="002552FE"/>
    <w:rsid w:val="00266991"/>
    <w:rsid w:val="00280D52"/>
    <w:rsid w:val="00292F76"/>
    <w:rsid w:val="00295EA8"/>
    <w:rsid w:val="002D30FE"/>
    <w:rsid w:val="002D7983"/>
    <w:rsid w:val="002F168A"/>
    <w:rsid w:val="00314478"/>
    <w:rsid w:val="00327A23"/>
    <w:rsid w:val="00335073"/>
    <w:rsid w:val="003367D7"/>
    <w:rsid w:val="00362FC1"/>
    <w:rsid w:val="00367BA4"/>
    <w:rsid w:val="003746C5"/>
    <w:rsid w:val="003747A2"/>
    <w:rsid w:val="003C7BF3"/>
    <w:rsid w:val="003D12A6"/>
    <w:rsid w:val="003E64B7"/>
    <w:rsid w:val="003F02BC"/>
    <w:rsid w:val="003F0EB1"/>
    <w:rsid w:val="003F3BA4"/>
    <w:rsid w:val="004008DD"/>
    <w:rsid w:val="00402E33"/>
    <w:rsid w:val="00403BA7"/>
    <w:rsid w:val="00407B88"/>
    <w:rsid w:val="00417FDD"/>
    <w:rsid w:val="004455CC"/>
    <w:rsid w:val="0049583B"/>
    <w:rsid w:val="004A0343"/>
    <w:rsid w:val="004C1E1E"/>
    <w:rsid w:val="004D3740"/>
    <w:rsid w:val="004D7ABE"/>
    <w:rsid w:val="004E69B9"/>
    <w:rsid w:val="004F2F9C"/>
    <w:rsid w:val="0050114F"/>
    <w:rsid w:val="00501C81"/>
    <w:rsid w:val="00514433"/>
    <w:rsid w:val="0052079C"/>
    <w:rsid w:val="005365C5"/>
    <w:rsid w:val="005400CC"/>
    <w:rsid w:val="00547CB1"/>
    <w:rsid w:val="0057231B"/>
    <w:rsid w:val="00582ACB"/>
    <w:rsid w:val="005844AC"/>
    <w:rsid w:val="0058671E"/>
    <w:rsid w:val="0059395B"/>
    <w:rsid w:val="005972F0"/>
    <w:rsid w:val="005B54F0"/>
    <w:rsid w:val="005B7463"/>
    <w:rsid w:val="005D6C06"/>
    <w:rsid w:val="005F2A5E"/>
    <w:rsid w:val="005F4400"/>
    <w:rsid w:val="0061613C"/>
    <w:rsid w:val="006361FF"/>
    <w:rsid w:val="006367BC"/>
    <w:rsid w:val="006505FF"/>
    <w:rsid w:val="00665660"/>
    <w:rsid w:val="006804C5"/>
    <w:rsid w:val="006834D5"/>
    <w:rsid w:val="006952E9"/>
    <w:rsid w:val="006B4059"/>
    <w:rsid w:val="006B677C"/>
    <w:rsid w:val="006B7128"/>
    <w:rsid w:val="006C382B"/>
    <w:rsid w:val="006E24B1"/>
    <w:rsid w:val="006F43D3"/>
    <w:rsid w:val="006F533C"/>
    <w:rsid w:val="00702E28"/>
    <w:rsid w:val="00710D91"/>
    <w:rsid w:val="007209E9"/>
    <w:rsid w:val="00720FDB"/>
    <w:rsid w:val="0073144C"/>
    <w:rsid w:val="00732D29"/>
    <w:rsid w:val="00736FB6"/>
    <w:rsid w:val="007515D0"/>
    <w:rsid w:val="007613A3"/>
    <w:rsid w:val="00762121"/>
    <w:rsid w:val="007637F9"/>
    <w:rsid w:val="00773C58"/>
    <w:rsid w:val="00786EF1"/>
    <w:rsid w:val="00793D43"/>
    <w:rsid w:val="00795511"/>
    <w:rsid w:val="0079574D"/>
    <w:rsid w:val="007A62C7"/>
    <w:rsid w:val="007C50A5"/>
    <w:rsid w:val="007D12BF"/>
    <w:rsid w:val="007E33AE"/>
    <w:rsid w:val="007E60B4"/>
    <w:rsid w:val="007F7C44"/>
    <w:rsid w:val="00806A51"/>
    <w:rsid w:val="00830839"/>
    <w:rsid w:val="00834085"/>
    <w:rsid w:val="00834C35"/>
    <w:rsid w:val="008576C9"/>
    <w:rsid w:val="008636C3"/>
    <w:rsid w:val="008737CE"/>
    <w:rsid w:val="00885798"/>
    <w:rsid w:val="008A05F3"/>
    <w:rsid w:val="008A77E7"/>
    <w:rsid w:val="008B0235"/>
    <w:rsid w:val="008B1190"/>
    <w:rsid w:val="008B23F8"/>
    <w:rsid w:val="008B3210"/>
    <w:rsid w:val="008B513B"/>
    <w:rsid w:val="008C3F97"/>
    <w:rsid w:val="008C68B4"/>
    <w:rsid w:val="008D6B64"/>
    <w:rsid w:val="008D704D"/>
    <w:rsid w:val="008E049E"/>
    <w:rsid w:val="009027A9"/>
    <w:rsid w:val="00912B09"/>
    <w:rsid w:val="00920718"/>
    <w:rsid w:val="0092073F"/>
    <w:rsid w:val="00923F81"/>
    <w:rsid w:val="009318FA"/>
    <w:rsid w:val="009408C3"/>
    <w:rsid w:val="00964BDF"/>
    <w:rsid w:val="00966117"/>
    <w:rsid w:val="00977D7C"/>
    <w:rsid w:val="00980758"/>
    <w:rsid w:val="0098139B"/>
    <w:rsid w:val="00993F4C"/>
    <w:rsid w:val="009A24C6"/>
    <w:rsid w:val="009C4028"/>
    <w:rsid w:val="009C4B93"/>
    <w:rsid w:val="009D01C1"/>
    <w:rsid w:val="009D721F"/>
    <w:rsid w:val="009E6A90"/>
    <w:rsid w:val="009F4B56"/>
    <w:rsid w:val="00A059E2"/>
    <w:rsid w:val="00A06C5B"/>
    <w:rsid w:val="00A20D8F"/>
    <w:rsid w:val="00A25C20"/>
    <w:rsid w:val="00A357C1"/>
    <w:rsid w:val="00A35A4E"/>
    <w:rsid w:val="00A538AC"/>
    <w:rsid w:val="00A54E19"/>
    <w:rsid w:val="00A63DB8"/>
    <w:rsid w:val="00AB5974"/>
    <w:rsid w:val="00AC773E"/>
    <w:rsid w:val="00AF00C0"/>
    <w:rsid w:val="00AF2E26"/>
    <w:rsid w:val="00AF59DB"/>
    <w:rsid w:val="00B13D60"/>
    <w:rsid w:val="00B20D0B"/>
    <w:rsid w:val="00B27B08"/>
    <w:rsid w:val="00B341DB"/>
    <w:rsid w:val="00B423F8"/>
    <w:rsid w:val="00B448B5"/>
    <w:rsid w:val="00B51857"/>
    <w:rsid w:val="00B559FE"/>
    <w:rsid w:val="00B675B0"/>
    <w:rsid w:val="00B717C4"/>
    <w:rsid w:val="00B90903"/>
    <w:rsid w:val="00B92F55"/>
    <w:rsid w:val="00BA18AC"/>
    <w:rsid w:val="00BA5A9D"/>
    <w:rsid w:val="00BB371B"/>
    <w:rsid w:val="00BB69D1"/>
    <w:rsid w:val="00BC2344"/>
    <w:rsid w:val="00BE4A9B"/>
    <w:rsid w:val="00C1196A"/>
    <w:rsid w:val="00C13251"/>
    <w:rsid w:val="00C309AB"/>
    <w:rsid w:val="00C4335C"/>
    <w:rsid w:val="00C45831"/>
    <w:rsid w:val="00C463D0"/>
    <w:rsid w:val="00C56CC0"/>
    <w:rsid w:val="00C61C66"/>
    <w:rsid w:val="00C6430D"/>
    <w:rsid w:val="00C66F6E"/>
    <w:rsid w:val="00C756EB"/>
    <w:rsid w:val="00C77097"/>
    <w:rsid w:val="00C82462"/>
    <w:rsid w:val="00C8518F"/>
    <w:rsid w:val="00C866F9"/>
    <w:rsid w:val="00C8739B"/>
    <w:rsid w:val="00C90B7F"/>
    <w:rsid w:val="00CA2475"/>
    <w:rsid w:val="00CA3721"/>
    <w:rsid w:val="00CA6B25"/>
    <w:rsid w:val="00CB2753"/>
    <w:rsid w:val="00CC0871"/>
    <w:rsid w:val="00CC6107"/>
    <w:rsid w:val="00CE5D09"/>
    <w:rsid w:val="00CE7A51"/>
    <w:rsid w:val="00CF2240"/>
    <w:rsid w:val="00CF3AAC"/>
    <w:rsid w:val="00CF444E"/>
    <w:rsid w:val="00D109EB"/>
    <w:rsid w:val="00D57347"/>
    <w:rsid w:val="00D705B8"/>
    <w:rsid w:val="00D74E8A"/>
    <w:rsid w:val="00D75CD9"/>
    <w:rsid w:val="00D80059"/>
    <w:rsid w:val="00DA3C8E"/>
    <w:rsid w:val="00DC5B6D"/>
    <w:rsid w:val="00DD3BAC"/>
    <w:rsid w:val="00DD7FE5"/>
    <w:rsid w:val="00DF0D23"/>
    <w:rsid w:val="00E1223E"/>
    <w:rsid w:val="00E1298C"/>
    <w:rsid w:val="00E24BC9"/>
    <w:rsid w:val="00E5076C"/>
    <w:rsid w:val="00E62E88"/>
    <w:rsid w:val="00E656B4"/>
    <w:rsid w:val="00E81D6B"/>
    <w:rsid w:val="00E839F9"/>
    <w:rsid w:val="00E90EA1"/>
    <w:rsid w:val="00E91207"/>
    <w:rsid w:val="00E951AD"/>
    <w:rsid w:val="00E960D5"/>
    <w:rsid w:val="00E964FD"/>
    <w:rsid w:val="00EA2A9D"/>
    <w:rsid w:val="00EA64DD"/>
    <w:rsid w:val="00EB739C"/>
    <w:rsid w:val="00ED30EC"/>
    <w:rsid w:val="00EE4DC4"/>
    <w:rsid w:val="00EF2671"/>
    <w:rsid w:val="00F405DB"/>
    <w:rsid w:val="00F40A9B"/>
    <w:rsid w:val="00F6101D"/>
    <w:rsid w:val="00F709E2"/>
    <w:rsid w:val="00F86268"/>
    <w:rsid w:val="00F9183E"/>
    <w:rsid w:val="00F9567B"/>
    <w:rsid w:val="00FD073C"/>
    <w:rsid w:val="00FD4F63"/>
    <w:rsid w:val="00FE16F7"/>
    <w:rsid w:val="00FE1B4D"/>
    <w:rsid w:val="00FE2428"/>
    <w:rsid w:val="00FE33DE"/>
    <w:rsid w:val="00FF2D05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1482D2F"/>
  <w15:chartTrackingRefBased/>
  <w15:docId w15:val="{83E25C69-76C7-4C47-9E22-48F6F74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E3"/>
    <w:rPr>
      <w:sz w:val="24"/>
      <w:szCs w:val="24"/>
    </w:rPr>
  </w:style>
  <w:style w:type="paragraph" w:styleId="Overskrift1">
    <w:name w:val="heading 1"/>
    <w:aliases w:val="Kapitel overskrift"/>
    <w:basedOn w:val="Normal"/>
    <w:next w:val="Normal"/>
    <w:link w:val="Overskrift1Tegn"/>
    <w:qFormat/>
    <w:rsid w:val="00125B14"/>
    <w:pPr>
      <w:outlineLvl w:val="0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0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E81D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81D6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81D6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1D6B"/>
    <w:rPr>
      <w:sz w:val="24"/>
      <w:szCs w:val="24"/>
    </w:rPr>
  </w:style>
  <w:style w:type="paragraph" w:styleId="Opstilling-punkttegn">
    <w:name w:val="List Bullet"/>
    <w:basedOn w:val="Normal"/>
    <w:rsid w:val="003367D7"/>
    <w:pPr>
      <w:numPr>
        <w:numId w:val="1"/>
      </w:numPr>
      <w:contextualSpacing/>
    </w:pPr>
  </w:style>
  <w:style w:type="character" w:styleId="Hyperlink">
    <w:name w:val="Hyperlink"/>
    <w:rsid w:val="008E049E"/>
    <w:rPr>
      <w:color w:val="0000FF"/>
      <w:u w:val="single"/>
    </w:rPr>
  </w:style>
  <w:style w:type="paragraph" w:styleId="Opstilling-talellerbogst">
    <w:name w:val="List Number"/>
    <w:basedOn w:val="Normal"/>
    <w:rsid w:val="003747A2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B6B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0F1B6B"/>
    <w:rPr>
      <w:i/>
      <w:iCs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059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059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Kapitel overskrift Tegn"/>
    <w:basedOn w:val="Standardskrifttypeiafsnit"/>
    <w:link w:val="Overskrift1"/>
    <w:rsid w:val="00125B14"/>
    <w:rPr>
      <w:b/>
      <w:sz w:val="28"/>
      <w:szCs w:val="28"/>
    </w:rPr>
  </w:style>
  <w:style w:type="paragraph" w:customStyle="1" w:styleId="Underoverskrift">
    <w:name w:val="Underoverskrift"/>
    <w:basedOn w:val="Normal"/>
    <w:qFormat/>
    <w:rsid w:val="00125B14"/>
    <w:rPr>
      <w:b/>
    </w:rPr>
  </w:style>
  <w:style w:type="paragraph" w:styleId="Listeafsnit">
    <w:name w:val="List Paragraph"/>
    <w:basedOn w:val="Normal"/>
    <w:uiPriority w:val="34"/>
    <w:qFormat/>
    <w:rsid w:val="002534E3"/>
    <w:pPr>
      <w:ind w:left="720"/>
      <w:contextualSpacing/>
    </w:pPr>
  </w:style>
  <w:style w:type="character" w:styleId="Fremhv">
    <w:name w:val="Emphasis"/>
    <w:basedOn w:val="Standardskrifttypeiafsnit"/>
    <w:qFormat/>
    <w:rsid w:val="002534E3"/>
    <w:rPr>
      <w:i/>
      <w:iCs/>
    </w:rPr>
  </w:style>
  <w:style w:type="character" w:styleId="Strk">
    <w:name w:val="Strong"/>
    <w:basedOn w:val="Standardskrifttypeiafsnit"/>
    <w:qFormat/>
    <w:rsid w:val="008D704D"/>
    <w:rPr>
      <w:b/>
      <w:bCs/>
    </w:rPr>
  </w:style>
  <w:style w:type="character" w:styleId="Kommentarhenvisning">
    <w:name w:val="annotation reference"/>
    <w:basedOn w:val="Standardskrifttypeiafsnit"/>
    <w:rsid w:val="00CA6B2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A6B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A6B25"/>
  </w:style>
  <w:style w:type="paragraph" w:styleId="Kommentaremne">
    <w:name w:val="annotation subject"/>
    <w:basedOn w:val="Kommentartekst"/>
    <w:next w:val="Kommentartekst"/>
    <w:link w:val="KommentaremneTegn"/>
    <w:rsid w:val="00CA6B2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A6B25"/>
    <w:rPr>
      <w:b/>
      <w:bCs/>
    </w:rPr>
  </w:style>
  <w:style w:type="character" w:customStyle="1" w:styleId="LedetekstFed">
    <w:name w:val="Ledetekst Fed"/>
    <w:basedOn w:val="Standardskrifttypeiafsnit"/>
    <w:uiPriority w:val="1"/>
    <w:qFormat/>
    <w:rsid w:val="00FE16F7"/>
    <w:rPr>
      <w:b/>
    </w:rPr>
  </w:style>
  <w:style w:type="paragraph" w:styleId="Korrektur">
    <w:name w:val="Revision"/>
    <w:hidden/>
    <w:uiPriority w:val="99"/>
    <w:semiHidden/>
    <w:rsid w:val="00597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.mst.d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ma.mst.d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3809-6944-4169-B533-3850CAA0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1096</Words>
  <Characters>6591</Characters>
  <Application>Microsoft Office Word</Application>
  <DocSecurity>0</DocSecurity>
  <Lines>111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afsnit til godkendelsesvejledning</vt:lpstr>
    </vt:vector>
  </TitlesOfParts>
  <Company>Miljøministeriet</Company>
  <LinksUpToDate>false</LinksUpToDate>
  <CharactersWithSpaces>7639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http://www.nmkn.dk/Klagevejledning/klageregler_lovomraader/Klageregler_Miljoebeskyttelsesloven/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mailto:nmkn@nmkn.dk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afsnit til godkendelsesvejledning</dc:title>
  <dc:subject/>
  <dc:creator>Hanne Lylov Nielsen</dc:creator>
  <cp:keywords/>
  <cp:lastModifiedBy>Sandra Fisker</cp:lastModifiedBy>
  <cp:revision>13</cp:revision>
  <dcterms:created xsi:type="dcterms:W3CDTF">2020-02-10T12:21:00Z</dcterms:created>
  <dcterms:modified xsi:type="dcterms:W3CDTF">2020-02-14T09:38:00Z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