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52BD" w14:textId="77777777" w:rsidR="008D7AD2" w:rsidRPr="008D7AD2" w:rsidRDefault="008D7AD2" w:rsidP="008D7AD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7AD2" w:rsidRPr="008D7AD2" w14:paraId="5D445014" w14:textId="77777777" w:rsidTr="00550B57">
        <w:trPr>
          <w:trHeight w:val="947"/>
        </w:trPr>
        <w:tc>
          <w:tcPr>
            <w:tcW w:w="9628" w:type="dxa"/>
            <w:shd w:val="clear" w:color="auto" w:fill="auto"/>
          </w:tcPr>
          <w:p w14:paraId="4F8D8474" w14:textId="77777777" w:rsidR="00057DB2" w:rsidRDefault="00057DB2" w:rsidP="00550B57">
            <w:pPr>
              <w:pStyle w:val="Overskrift1"/>
              <w:rPr>
                <w:sz w:val="24"/>
                <w:szCs w:val="24"/>
              </w:rPr>
            </w:pPr>
          </w:p>
          <w:p w14:paraId="031F27BE" w14:textId="77777777" w:rsidR="008D7AD2" w:rsidRPr="008D7AD2" w:rsidRDefault="008D7AD2" w:rsidP="00550B57">
            <w:pPr>
              <w:pStyle w:val="Overskrift1"/>
            </w:pPr>
            <w:r w:rsidRPr="000B64A0">
              <w:t>4.2</w:t>
            </w:r>
            <w:r w:rsidRPr="008D7AD2">
              <w:t xml:space="preserve"> Bekendtgørelsens indhold, hjemmelsgrundlag og anvendelsesområde</w:t>
            </w:r>
            <w:r w:rsidRPr="008D7AD2" w:rsidDel="006943FE">
              <w:t xml:space="preserve"> </w:t>
            </w:r>
          </w:p>
        </w:tc>
      </w:tr>
      <w:tr w:rsidR="008D7AD2" w:rsidRPr="008D7AD2" w14:paraId="594F5D5B" w14:textId="77777777" w:rsidTr="00550B57">
        <w:tc>
          <w:tcPr>
            <w:tcW w:w="9628" w:type="dxa"/>
            <w:shd w:val="clear" w:color="auto" w:fill="auto"/>
          </w:tcPr>
          <w:p w14:paraId="285BE434" w14:textId="35AF2D80" w:rsidR="00057DB2" w:rsidRPr="008D7AD2" w:rsidRDefault="00057DB2" w:rsidP="00550B57">
            <w:pPr>
              <w:pStyle w:val="Opstilling-punkttegn"/>
              <w:numPr>
                <w:ilvl w:val="0"/>
                <w:numId w:val="0"/>
              </w:numPr>
            </w:pPr>
            <w:r>
              <w:t>Underafsnit:</w:t>
            </w:r>
          </w:p>
          <w:p w14:paraId="684E6552" w14:textId="77777777" w:rsidR="008D7AD2" w:rsidRPr="000B64A0" w:rsidRDefault="008D7AD2" w:rsidP="00550B57">
            <w:pPr>
              <w:pStyle w:val="Opstilling-punkttegn"/>
            </w:pPr>
            <w:r w:rsidRPr="00EA1034">
              <w:rPr>
                <w:color w:val="00B050"/>
              </w:rPr>
              <w:t>Hvilke tilsyn er omfattet? (4.2.1</w:t>
            </w:r>
            <w:r w:rsidR="00057DB2">
              <w:rPr>
                <w:color w:val="00B050"/>
              </w:rPr>
              <w:t>)</w:t>
            </w:r>
          </w:p>
          <w:p w14:paraId="2291F11A" w14:textId="77777777" w:rsidR="008D7AD2" w:rsidRPr="000B64A0" w:rsidRDefault="008D7AD2" w:rsidP="00550B57">
            <w:pPr>
              <w:pStyle w:val="Opstilling-punkttegn"/>
              <w:ind w:left="720"/>
            </w:pPr>
            <w:r w:rsidRPr="00EA1034">
              <w:rPr>
                <w:color w:val="00B050"/>
              </w:rPr>
              <w:t>Forholdet til jordforureningsloven (4.2.1.1)</w:t>
            </w:r>
          </w:p>
          <w:p w14:paraId="53DB4504" w14:textId="11F2F131" w:rsidR="008D7AD2" w:rsidRPr="000B64A0" w:rsidRDefault="005C5C88" w:rsidP="00550B57">
            <w:pPr>
              <w:pStyle w:val="Opstilling-punkttegn"/>
            </w:pPr>
            <w:r>
              <w:rPr>
                <w:color w:val="00B050"/>
              </w:rPr>
              <w:t xml:space="preserve">Eksempler på tilsyn, der ikke er </w:t>
            </w:r>
            <w:r w:rsidR="008D7AD2" w:rsidRPr="00EA1034">
              <w:rPr>
                <w:color w:val="00B050"/>
              </w:rPr>
              <w:t>omfattet (4.2.2)</w:t>
            </w:r>
          </w:p>
          <w:p w14:paraId="1DF38ABD" w14:textId="77777777" w:rsidR="008D7AD2" w:rsidRPr="00057DB2" w:rsidRDefault="008D7AD2" w:rsidP="00550B57">
            <w:pPr>
              <w:pStyle w:val="Opstilling-punkttegn"/>
            </w:pPr>
            <w:r w:rsidRPr="005C5C88">
              <w:rPr>
                <w:color w:val="00B050"/>
              </w:rPr>
              <w:t>F</w:t>
            </w:r>
            <w:r w:rsidRPr="00EA1034">
              <w:rPr>
                <w:color w:val="00B050"/>
              </w:rPr>
              <w:t xml:space="preserve">orholdet mellem miljøtilsynsbekendtgørelsen og andre regler </w:t>
            </w:r>
            <w:r w:rsidRPr="00057DB2">
              <w:rPr>
                <w:color w:val="00B050"/>
              </w:rPr>
              <w:t>(4.2.3)</w:t>
            </w:r>
          </w:p>
          <w:p w14:paraId="231E37CC" w14:textId="77777777" w:rsidR="008D7AD2" w:rsidRPr="008D7AD2" w:rsidRDefault="008D7AD2" w:rsidP="00550B57">
            <w:pPr>
              <w:pStyle w:val="Opstilling-punkttegn"/>
              <w:numPr>
                <w:ilvl w:val="0"/>
                <w:numId w:val="0"/>
              </w:numPr>
              <w:ind w:left="360"/>
            </w:pPr>
          </w:p>
        </w:tc>
      </w:tr>
      <w:tr w:rsidR="008D7AD2" w:rsidRPr="008D7AD2" w14:paraId="2124F4A8" w14:textId="77777777" w:rsidTr="00550B57">
        <w:tc>
          <w:tcPr>
            <w:tcW w:w="9628" w:type="dxa"/>
            <w:shd w:val="clear" w:color="auto" w:fill="auto"/>
          </w:tcPr>
          <w:p w14:paraId="2CC7B491" w14:textId="77777777" w:rsidR="00923F54" w:rsidRDefault="00923F54" w:rsidP="00550B57">
            <w:pPr>
              <w:pStyle w:val="Underoverskrift"/>
            </w:pPr>
          </w:p>
          <w:p w14:paraId="54BD5A81" w14:textId="5A87F4D0" w:rsidR="008D7AD2" w:rsidRPr="008D7AD2" w:rsidRDefault="008D7AD2" w:rsidP="00550B57">
            <w:pPr>
              <w:pStyle w:val="Underoverskrift"/>
            </w:pPr>
            <w:r w:rsidRPr="008D7AD2">
              <w:t>Bekendtgørelsens indhold og hjemmelsgrundlag</w:t>
            </w:r>
          </w:p>
          <w:p w14:paraId="7F45D6A9" w14:textId="77777777" w:rsidR="008D7AD2" w:rsidRDefault="008D7AD2" w:rsidP="0042292A">
            <w:pPr>
              <w:pStyle w:val="Underoverskrift"/>
              <w:rPr>
                <w:b w:val="0"/>
              </w:rPr>
            </w:pPr>
            <w:r w:rsidRPr="0042292A">
              <w:rPr>
                <w:b w:val="0"/>
              </w:rPr>
              <w:t>Bekendtgørelse</w:t>
            </w:r>
            <w:r w:rsidR="000B64A0">
              <w:rPr>
                <w:b w:val="0"/>
              </w:rPr>
              <w:t xml:space="preserve"> nr.</w:t>
            </w:r>
            <w:r w:rsidRPr="0042292A">
              <w:rPr>
                <w:b w:val="0"/>
              </w:rPr>
              <w:t xml:space="preserve"> 1536 af 9. december 2019 om miljøtilsyn (</w:t>
            </w:r>
            <w:hyperlink r:id="rId8" w:history="1">
              <w:r w:rsidRPr="00057DB2">
                <w:rPr>
                  <w:b w:val="0"/>
                  <w:color w:val="00B050"/>
                </w:rPr>
                <w:t>miljøtilsynsbekendtgørelsen</w:t>
              </w:r>
            </w:hyperlink>
            <w:r w:rsidRPr="0042292A">
              <w:rPr>
                <w:b w:val="0"/>
              </w:rPr>
              <w:t xml:space="preserve">) fastsætter regler om tilsyn efter lov om </w:t>
            </w:r>
            <w:r w:rsidRPr="00EA1034">
              <w:rPr>
                <w:b w:val="0"/>
              </w:rPr>
              <w:t>miljøbeskyttelse</w:t>
            </w:r>
            <w:r w:rsidR="000B64A0" w:rsidRPr="00EA1034">
              <w:rPr>
                <w:b w:val="0"/>
              </w:rPr>
              <w:t xml:space="preserve"> </w:t>
            </w:r>
            <w:r w:rsidR="000B64A0">
              <w:rPr>
                <w:b w:val="0"/>
                <w:color w:val="00B050"/>
              </w:rPr>
              <w:t>(miljøbeskyttelsesloven)</w:t>
            </w:r>
            <w:r w:rsidRPr="0042292A">
              <w:rPr>
                <w:b w:val="0"/>
              </w:rPr>
              <w:t xml:space="preserve">, </w:t>
            </w:r>
            <w:r w:rsidRPr="00EA1034">
              <w:rPr>
                <w:b w:val="0"/>
              </w:rPr>
              <w:t>lov om husdyrbrug og anvendelse af gødning</w:t>
            </w:r>
            <w:r w:rsidR="000B64A0">
              <w:rPr>
                <w:b w:val="0"/>
                <w:color w:val="00B050"/>
              </w:rPr>
              <w:t xml:space="preserve"> (</w:t>
            </w:r>
            <w:proofErr w:type="spellStart"/>
            <w:r w:rsidR="000B64A0">
              <w:rPr>
                <w:b w:val="0"/>
                <w:color w:val="00B050"/>
              </w:rPr>
              <w:t>husdyrbrugloven</w:t>
            </w:r>
            <w:proofErr w:type="spellEnd"/>
            <w:r w:rsidR="000B64A0">
              <w:rPr>
                <w:b w:val="0"/>
                <w:color w:val="00B050"/>
              </w:rPr>
              <w:t>)</w:t>
            </w:r>
            <w:r w:rsidRPr="0042292A">
              <w:rPr>
                <w:b w:val="0"/>
              </w:rPr>
              <w:t xml:space="preserve"> </w:t>
            </w:r>
            <w:r w:rsidRPr="00EA1034">
              <w:rPr>
                <w:b w:val="0"/>
              </w:rPr>
              <w:t>samt lov om forurenet jord</w:t>
            </w:r>
            <w:r w:rsidR="000B64A0" w:rsidRPr="00EA1034">
              <w:rPr>
                <w:b w:val="0"/>
              </w:rPr>
              <w:t xml:space="preserve"> </w:t>
            </w:r>
            <w:r w:rsidR="000B64A0">
              <w:rPr>
                <w:b w:val="0"/>
                <w:color w:val="00B050"/>
              </w:rPr>
              <w:t>(jordforureningsloven)</w:t>
            </w:r>
            <w:r w:rsidRPr="0042292A">
              <w:rPr>
                <w:b w:val="0"/>
              </w:rPr>
              <w:t>. Bekendtgørelsen indeholder bl.a. bestemmelser, der gennemfører dele af Europa-Parlamentets og Rådets direktiv om industrielle emissioner (IE-direktivet) og dele af Europa-Parlamentets og Rådets direktiv om offentlig adgang til miljøoplysninger (</w:t>
            </w:r>
            <w:r w:rsidRPr="00B75BAF">
              <w:rPr>
                <w:b w:val="0"/>
              </w:rPr>
              <w:t>miljøoplysningsdirektivet</w:t>
            </w:r>
            <w:r w:rsidRPr="0042292A">
              <w:rPr>
                <w:b w:val="0"/>
              </w:rPr>
              <w:t>).</w:t>
            </w:r>
          </w:p>
          <w:p w14:paraId="3548FC65" w14:textId="77777777" w:rsidR="0042292A" w:rsidRPr="0042292A" w:rsidRDefault="0042292A" w:rsidP="0042292A">
            <w:pPr>
              <w:pStyle w:val="Underoverskrift"/>
              <w:rPr>
                <w:b w:val="0"/>
              </w:rPr>
            </w:pPr>
          </w:p>
          <w:p w14:paraId="4C0770DA" w14:textId="77777777" w:rsidR="008D7AD2" w:rsidRPr="008D7AD2" w:rsidRDefault="008D7AD2" w:rsidP="00550B57">
            <w:pPr>
              <w:pStyle w:val="Underoverskrift"/>
              <w:rPr>
                <w:b w:val="0"/>
              </w:rPr>
            </w:pPr>
            <w:r w:rsidRPr="008D7AD2">
              <w:rPr>
                <w:b w:val="0"/>
              </w:rPr>
              <w:t>Bekendtgørelsen er delt op i 5 kapitler:</w:t>
            </w:r>
          </w:p>
          <w:p w14:paraId="548143F2" w14:textId="016D86CD" w:rsidR="008D7AD2" w:rsidRPr="008D7AD2" w:rsidRDefault="008D7AD2" w:rsidP="00550B57">
            <w:pPr>
              <w:pStyle w:val="Opstilling-punkttegn"/>
            </w:pPr>
            <w:r w:rsidRPr="008D7AD2">
              <w:t>Kapitel 1 (</w:t>
            </w:r>
            <w:r w:rsidRPr="008D7AD2">
              <w:rPr>
                <w:i/>
              </w:rPr>
              <w:t>Anvendelsesområde og definitioner</w:t>
            </w:r>
            <w:r w:rsidRPr="008D7AD2">
              <w:t>) beskriver bekendtgørelsens anvendelsesområde og definerer en række af bekendtgørelsens centrale begreber</w:t>
            </w:r>
          </w:p>
          <w:p w14:paraId="7E187234" w14:textId="61D91800" w:rsidR="008D7AD2" w:rsidRPr="008D7AD2" w:rsidRDefault="008D7AD2" w:rsidP="00550B57">
            <w:pPr>
              <w:pStyle w:val="Opstilling-punkttegn"/>
            </w:pPr>
            <w:r w:rsidRPr="008D7AD2">
              <w:t>Kapitel 2 (</w:t>
            </w:r>
            <w:r w:rsidRPr="008D7AD2">
              <w:rPr>
                <w:i/>
              </w:rPr>
              <w:t>Miljøtilsynsplan, miljørisikovurdering, tilsynsfrekvenser og tilsynsmål</w:t>
            </w:r>
            <w:r w:rsidRPr="008D7AD2">
              <w:t>) indeholder en række krav til tilsynsplanlægning samt til tilsynsaktivitet</w:t>
            </w:r>
          </w:p>
          <w:p w14:paraId="0AE22630" w14:textId="607A9450" w:rsidR="008D7AD2" w:rsidRPr="008D7AD2" w:rsidRDefault="008D7AD2" w:rsidP="00550B57">
            <w:pPr>
              <w:pStyle w:val="Opstilling-punkttegn"/>
            </w:pPr>
            <w:r w:rsidRPr="008D7AD2">
              <w:t>Kapitel 3 (</w:t>
            </w:r>
            <w:r w:rsidRPr="008D7AD2">
              <w:rPr>
                <w:i/>
              </w:rPr>
              <w:t>Tilsynsrapport, herunder offentliggørelse og friste</w:t>
            </w:r>
            <w:r w:rsidRPr="008D7AD2">
              <w:t>r) indeholder krav om udarbejdelse af tilsynsrapporten, offentliggørelse af udvalgte oplysninger fra tilsynsrapporten samt om offentliggørelse af visse oplysninger om opfølgning på håndhævelser</w:t>
            </w:r>
          </w:p>
          <w:p w14:paraId="20DFA521" w14:textId="59989DF9" w:rsidR="008D7AD2" w:rsidRPr="008D7AD2" w:rsidRDefault="008D7AD2" w:rsidP="00550B57">
            <w:pPr>
              <w:pStyle w:val="Opstilling-punkttegn"/>
            </w:pPr>
            <w:r w:rsidRPr="008D7AD2">
              <w:t>Kapitel 4 (</w:t>
            </w:r>
            <w:r w:rsidRPr="008D7AD2">
              <w:rPr>
                <w:i/>
              </w:rPr>
              <w:t>Tilsyns- og godkendelsesmyndighedens afgivelse af oplysninger og offentliggørelse heraf</w:t>
            </w:r>
            <w:r w:rsidRPr="008D7AD2">
              <w:t>) fastsætter regler om afgivelse og offentliggørelse af oplysninger</w:t>
            </w:r>
          </w:p>
          <w:p w14:paraId="3ECEA47A" w14:textId="4EF13C49" w:rsidR="008D7AD2" w:rsidRPr="008D7AD2" w:rsidRDefault="008D7AD2" w:rsidP="00550B57">
            <w:pPr>
              <w:pStyle w:val="Opstilling-punkttegn"/>
            </w:pPr>
            <w:r w:rsidRPr="008D7AD2">
              <w:t>Kapitel 5 (</w:t>
            </w:r>
            <w:r w:rsidRPr="008D7AD2">
              <w:rPr>
                <w:i/>
              </w:rPr>
              <w:t>Ikrafttrædelses- og overgangsbestemmelser</w:t>
            </w:r>
            <w:r w:rsidRPr="008D7AD2">
              <w:t>) indeholder bestemmelser om bekendtgørelsens ikrafttrædelse samt en række overgangsregler</w:t>
            </w:r>
          </w:p>
          <w:p w14:paraId="1888ACB9" w14:textId="77777777" w:rsidR="008D7AD2" w:rsidRPr="008D7AD2" w:rsidRDefault="008D7AD2" w:rsidP="00550B57">
            <w:pPr>
              <w:pStyle w:val="Underoverskrift"/>
              <w:rPr>
                <w:b w:val="0"/>
              </w:rPr>
            </w:pPr>
          </w:p>
          <w:p w14:paraId="4E56E4DC" w14:textId="43E6E56A" w:rsidR="008D7AD2" w:rsidRPr="008D7AD2" w:rsidRDefault="008D7AD2" w:rsidP="00550B57">
            <w:pPr>
              <w:pStyle w:val="Underoverskrift"/>
              <w:rPr>
                <w:b w:val="0"/>
              </w:rPr>
            </w:pPr>
            <w:r w:rsidRPr="008D7AD2">
              <w:rPr>
                <w:b w:val="0"/>
              </w:rPr>
              <w:t xml:space="preserve">Miljøtilsynsbekendtgørelsen fastsætter nærmere regler om </w:t>
            </w:r>
            <w:r w:rsidRPr="00EA1034">
              <w:rPr>
                <w:b w:val="0"/>
              </w:rPr>
              <w:t xml:space="preserve">myndighedernes </w:t>
            </w:r>
            <w:r w:rsidR="00B75BAF" w:rsidRPr="00EA1034">
              <w:rPr>
                <w:b w:val="0"/>
              </w:rPr>
              <w:t>miljø</w:t>
            </w:r>
            <w:r w:rsidRPr="00EA1034">
              <w:rPr>
                <w:b w:val="0"/>
              </w:rPr>
              <w:t xml:space="preserve">tilsyn </w:t>
            </w:r>
            <w:r w:rsidRPr="008D7AD2">
              <w:rPr>
                <w:b w:val="0"/>
              </w:rPr>
              <w:t xml:space="preserve">efter kapitel 9 i </w:t>
            </w:r>
            <w:hyperlink r:id="rId9" w:history="1">
              <w:r w:rsidRPr="00057DB2">
                <w:rPr>
                  <w:rStyle w:val="Hyperlink"/>
                  <w:b w:val="0"/>
                  <w:color w:val="00B050"/>
                  <w:u w:val="none"/>
                </w:rPr>
                <w:t>miljøbeskyttelsesloven</w:t>
              </w:r>
            </w:hyperlink>
            <w:r w:rsidRPr="008D7AD2">
              <w:rPr>
                <w:b w:val="0"/>
              </w:rPr>
              <w:t xml:space="preserve"> og efter kapitel 5 </w:t>
            </w:r>
            <w:hyperlink r:id="rId10" w:history="1">
              <w:proofErr w:type="spellStart"/>
              <w:r w:rsidRPr="00057DB2">
                <w:rPr>
                  <w:rStyle w:val="Hyperlink"/>
                  <w:b w:val="0"/>
                  <w:color w:val="00B050"/>
                  <w:u w:val="none"/>
                </w:rPr>
                <w:t>husdyrbrugloven</w:t>
              </w:r>
              <w:proofErr w:type="spellEnd"/>
            </w:hyperlink>
            <w:r w:rsidRPr="008D7AD2">
              <w:rPr>
                <w:b w:val="0"/>
              </w:rPr>
              <w:t xml:space="preserve">. </w:t>
            </w:r>
          </w:p>
          <w:p w14:paraId="7696B9D7" w14:textId="77777777" w:rsidR="008D7AD2" w:rsidRPr="008D7AD2" w:rsidRDefault="008D7AD2" w:rsidP="00550B57">
            <w:pPr>
              <w:pStyle w:val="Underoverskrift"/>
              <w:rPr>
                <w:b w:val="0"/>
              </w:rPr>
            </w:pPr>
          </w:p>
          <w:p w14:paraId="0F6458DB" w14:textId="77777777" w:rsidR="008D7AD2" w:rsidRPr="008D7AD2" w:rsidRDefault="008D7AD2" w:rsidP="00550B57">
            <w:pPr>
              <w:pStyle w:val="Underoverskrift"/>
              <w:rPr>
                <w:b w:val="0"/>
              </w:rPr>
            </w:pPr>
            <w:r w:rsidRPr="008D7AD2">
              <w:rPr>
                <w:b w:val="0"/>
              </w:rPr>
              <w:t xml:space="preserve">Bekendtgørelsen indeholder endvidere regler om: </w:t>
            </w:r>
          </w:p>
          <w:p w14:paraId="17B184D4" w14:textId="77777777" w:rsidR="008D7AD2" w:rsidRPr="008D7AD2" w:rsidRDefault="008D7AD2" w:rsidP="008D7AD2">
            <w:pPr>
              <w:pStyle w:val="Underoverskrift"/>
              <w:numPr>
                <w:ilvl w:val="0"/>
                <w:numId w:val="2"/>
              </w:numPr>
              <w:rPr>
                <w:b w:val="0"/>
              </w:rPr>
            </w:pPr>
            <w:r w:rsidRPr="008D7AD2">
              <w:rPr>
                <w:b w:val="0"/>
              </w:rPr>
              <w:t xml:space="preserve">afgivelse af oplysninger til Miljøstyrelsen, som er fastsat i medfør af miljøbeskyttelseslovens § 73, stk. 1, og </w:t>
            </w:r>
            <w:proofErr w:type="spellStart"/>
            <w:r w:rsidRPr="008D7AD2">
              <w:rPr>
                <w:b w:val="0"/>
              </w:rPr>
              <w:t>husdyrbruglovens</w:t>
            </w:r>
            <w:proofErr w:type="spellEnd"/>
            <w:r w:rsidRPr="008D7AD2">
              <w:rPr>
                <w:b w:val="0"/>
              </w:rPr>
              <w:t xml:space="preserve"> § 54, stk. 3. </w:t>
            </w:r>
          </w:p>
          <w:p w14:paraId="1041867F" w14:textId="698F9C25" w:rsidR="008D7AD2" w:rsidRPr="008D7AD2" w:rsidRDefault="008D7AD2" w:rsidP="008D7AD2">
            <w:pPr>
              <w:pStyle w:val="Underoverskrift"/>
              <w:numPr>
                <w:ilvl w:val="0"/>
                <w:numId w:val="2"/>
              </w:numPr>
              <w:rPr>
                <w:b w:val="0"/>
              </w:rPr>
            </w:pPr>
            <w:r w:rsidRPr="008D7AD2">
              <w:rPr>
                <w:b w:val="0"/>
              </w:rPr>
              <w:t>anvendelse af den digitale løsning, som Miljøstyrelsen stiller til rådighed (</w:t>
            </w:r>
            <w:r w:rsidRPr="00EA1034">
              <w:rPr>
                <w:b w:val="0"/>
                <w:color w:val="00B050"/>
              </w:rPr>
              <w:t xml:space="preserve">Digital Miljøadministration </w:t>
            </w:r>
            <w:r w:rsidR="000B64A0">
              <w:rPr>
                <w:b w:val="0"/>
                <w:color w:val="00B050"/>
              </w:rPr>
              <w:t>(</w:t>
            </w:r>
            <w:r w:rsidRPr="000B64A0">
              <w:rPr>
                <w:b w:val="0"/>
                <w:color w:val="00B050"/>
              </w:rPr>
              <w:t>DMA</w:t>
            </w:r>
            <w:r w:rsidR="000B64A0">
              <w:rPr>
                <w:b w:val="0"/>
                <w:color w:val="00B050"/>
              </w:rPr>
              <w:t>) (www.mst.dma.</w:t>
            </w:r>
            <w:r w:rsidR="000B64A0" w:rsidRPr="00EC7FF3">
              <w:rPr>
                <w:b w:val="0"/>
                <w:color w:val="00B050"/>
              </w:rPr>
              <w:t>dk</w:t>
            </w:r>
            <w:r w:rsidRPr="00EA1034">
              <w:rPr>
                <w:b w:val="0"/>
                <w:color w:val="00B050"/>
              </w:rPr>
              <w:t>)</w:t>
            </w:r>
            <w:r w:rsidRPr="008D7AD2">
              <w:rPr>
                <w:b w:val="0"/>
              </w:rPr>
              <w:t xml:space="preserve">, som er fastsat i medfør af </w:t>
            </w:r>
            <w:r w:rsidRPr="00EA1034">
              <w:rPr>
                <w:b w:val="0"/>
                <w:color w:val="00B050"/>
              </w:rPr>
              <w:t>miljøbeskyttelseslovens</w:t>
            </w:r>
            <w:r w:rsidRPr="008D7AD2">
              <w:rPr>
                <w:b w:val="0"/>
              </w:rPr>
              <w:t xml:space="preserve"> § 79 b, stk. 1, </w:t>
            </w:r>
            <w:proofErr w:type="spellStart"/>
            <w:r w:rsidRPr="00EA1034">
              <w:rPr>
                <w:b w:val="0"/>
                <w:color w:val="00B050"/>
              </w:rPr>
              <w:t>husdyrbruglovens</w:t>
            </w:r>
            <w:proofErr w:type="spellEnd"/>
            <w:r w:rsidRPr="008D7AD2">
              <w:rPr>
                <w:b w:val="0"/>
              </w:rPr>
              <w:t xml:space="preserve"> § 69, stk. 1 og 2, og</w:t>
            </w:r>
            <w:r w:rsidR="000B64A0">
              <w:rPr>
                <w:b w:val="0"/>
              </w:rPr>
              <w:t xml:space="preserve"> </w:t>
            </w:r>
            <w:r w:rsidR="000B64A0" w:rsidRPr="00057DB2">
              <w:rPr>
                <w:b w:val="0"/>
                <w:color w:val="00B050"/>
              </w:rPr>
              <w:t>jordforureningsloven</w:t>
            </w:r>
            <w:r w:rsidR="000B64A0">
              <w:rPr>
                <w:b w:val="0"/>
                <w:color w:val="00B050"/>
              </w:rPr>
              <w:t>s</w:t>
            </w:r>
            <w:r w:rsidR="000B64A0" w:rsidRPr="008D7AD2">
              <w:rPr>
                <w:b w:val="0"/>
              </w:rPr>
              <w:t xml:space="preserve"> </w:t>
            </w:r>
            <w:r w:rsidRPr="008D7AD2">
              <w:rPr>
                <w:b w:val="0"/>
              </w:rPr>
              <w:t>§ 64 a, stk. 1.</w:t>
            </w:r>
          </w:p>
          <w:p w14:paraId="3CD16292" w14:textId="77777777" w:rsidR="008D7AD2" w:rsidRPr="008D7AD2" w:rsidRDefault="008D7AD2" w:rsidP="008D7AD2">
            <w:pPr>
              <w:pStyle w:val="Underoverskrift"/>
              <w:numPr>
                <w:ilvl w:val="0"/>
                <w:numId w:val="2"/>
              </w:numPr>
              <w:rPr>
                <w:b w:val="0"/>
              </w:rPr>
            </w:pPr>
            <w:r w:rsidRPr="008D7AD2">
              <w:rPr>
                <w:b w:val="0"/>
              </w:rPr>
              <w:t xml:space="preserve">offentliggørelse digitalt af visse oplysninger, som er fastsat i medfør af miljøbeskyttelseslovens § 79 c, </w:t>
            </w:r>
            <w:proofErr w:type="spellStart"/>
            <w:r w:rsidRPr="008D7AD2">
              <w:rPr>
                <w:b w:val="0"/>
              </w:rPr>
              <w:t>husdyrbruglovens</w:t>
            </w:r>
            <w:proofErr w:type="spellEnd"/>
            <w:r w:rsidRPr="008D7AD2">
              <w:rPr>
                <w:b w:val="0"/>
              </w:rPr>
              <w:t xml:space="preserve"> § 69 a, og efter jordforureningslovens § 64 b.</w:t>
            </w:r>
          </w:p>
          <w:p w14:paraId="47BF49DD" w14:textId="77777777" w:rsidR="008D7AD2" w:rsidRPr="008D7AD2" w:rsidRDefault="008D7AD2" w:rsidP="00550B57">
            <w:pPr>
              <w:pStyle w:val="Underoverskrift"/>
              <w:rPr>
                <w:b w:val="0"/>
              </w:rPr>
            </w:pPr>
          </w:p>
          <w:p w14:paraId="1081806D" w14:textId="77777777" w:rsidR="008D7AD2" w:rsidRPr="008D7AD2" w:rsidRDefault="008D7AD2" w:rsidP="00550B57">
            <w:pPr>
              <w:pStyle w:val="Underoverskrift"/>
              <w:rPr>
                <w:b w:val="0"/>
                <w:color w:val="70AD47" w:themeColor="accent6"/>
              </w:rPr>
            </w:pPr>
            <w:r w:rsidRPr="008D7AD2">
              <w:rPr>
                <w:b w:val="0"/>
              </w:rPr>
              <w:t>Vær opmærksom på, at miljøtilsynsbekendtgørelsen hverken fastsætter regler om tilsynsmyndighedernes udøvelse af tilsynsvirksomhed efter jordforureningsloven eller om afgivelse af oplysninger om tilsyn efter jordforureningsloven til Miljøstyrelsen. Du kan læse mere om forholdet mellem miljøtilsynsbekendtgørelsen og jordforureningsloven i afsnittet ”</w:t>
            </w:r>
            <w:r w:rsidRPr="00057DB2">
              <w:rPr>
                <w:b w:val="0"/>
                <w:color w:val="00B050"/>
              </w:rPr>
              <w:t>Forholdet til jordforureningsloven” (4.2.1.1)</w:t>
            </w:r>
            <w:r w:rsidRPr="00057DB2">
              <w:rPr>
                <w:b w:val="0"/>
              </w:rPr>
              <w:t>.</w:t>
            </w:r>
          </w:p>
          <w:p w14:paraId="5328809B" w14:textId="77777777" w:rsidR="008D7AD2" w:rsidRPr="008D7AD2" w:rsidRDefault="008D7AD2" w:rsidP="00550B57">
            <w:pPr>
              <w:pStyle w:val="Underoverskrift"/>
              <w:rPr>
                <w:b w:val="0"/>
              </w:rPr>
            </w:pPr>
          </w:p>
          <w:p w14:paraId="53DA9E30" w14:textId="77777777" w:rsidR="008D7AD2" w:rsidRPr="008D7AD2" w:rsidRDefault="008D7AD2" w:rsidP="00550B57">
            <w:pPr>
              <w:pStyle w:val="Underoverskrift"/>
            </w:pPr>
            <w:r w:rsidRPr="008D7AD2">
              <w:t>Bekendtgørelsens anvendelsesområde</w:t>
            </w:r>
          </w:p>
          <w:p w14:paraId="04F37627" w14:textId="77777777" w:rsidR="008D7AD2" w:rsidRDefault="008D7AD2" w:rsidP="008D7AD2">
            <w:pPr>
              <w:pStyle w:val="Underoverskrift"/>
              <w:rPr>
                <w:b w:val="0"/>
              </w:rPr>
            </w:pPr>
            <w:r w:rsidRPr="008D7AD2">
              <w:rPr>
                <w:b w:val="0"/>
              </w:rPr>
              <w:t xml:space="preserve">Tilsyn med virksomheder og husdyrbrug m.v., som er nævnt i § 1, stk. 2, er underlagt alle miljøtilsynsbekendtgørelsens krav (kapitel 1-5). Tilsyn med øvrige virksomheder og husdyrbrug m.v. er alene omfattet af bekendtgørelsens kapitel 1, 4 og 5. Du kan læse mere om, hvilke virksomheder og husdyrbrug m.v. der er omfattet af bekendtgørelsen i afsnittet </w:t>
            </w:r>
            <w:r w:rsidRPr="00057DB2">
              <w:rPr>
                <w:b w:val="0"/>
                <w:color w:val="00B050"/>
              </w:rPr>
              <w:t>”Hvem er omfattet?” (4.3)</w:t>
            </w:r>
            <w:r w:rsidRPr="00057DB2">
              <w:rPr>
                <w:b w:val="0"/>
              </w:rPr>
              <w:t xml:space="preserve">. </w:t>
            </w:r>
          </w:p>
          <w:p w14:paraId="0B085A10" w14:textId="77777777" w:rsidR="008D7AD2" w:rsidRPr="008D7AD2" w:rsidRDefault="008D7AD2" w:rsidP="008D7AD2">
            <w:pPr>
              <w:pStyle w:val="Underoverskrift"/>
              <w:rPr>
                <w:b w:val="0"/>
              </w:rPr>
            </w:pPr>
          </w:p>
          <w:p w14:paraId="5A73CB83" w14:textId="05588203" w:rsidR="00124174" w:rsidRPr="00057DB2" w:rsidRDefault="008D7AD2" w:rsidP="00EA1034">
            <w:pPr>
              <w:pStyle w:val="Underoverskrift"/>
              <w:rPr>
                <w:color w:val="00B050"/>
              </w:rPr>
            </w:pPr>
            <w:r w:rsidRPr="008D7AD2">
              <w:rPr>
                <w:b w:val="0"/>
              </w:rPr>
              <w:t xml:space="preserve">Du kan læse </w:t>
            </w:r>
            <w:r w:rsidR="00A2168D">
              <w:rPr>
                <w:b w:val="0"/>
              </w:rPr>
              <w:t xml:space="preserve">mere i afsnittene: </w:t>
            </w:r>
            <w:r w:rsidRPr="00057DB2">
              <w:rPr>
                <w:b w:val="0"/>
                <w:color w:val="00B050"/>
              </w:rPr>
              <w:t>”Hvilke tilsyn er omfattet” (4.2.1)</w:t>
            </w:r>
            <w:r w:rsidR="00A2168D" w:rsidRPr="00057DB2">
              <w:rPr>
                <w:b w:val="0"/>
                <w:color w:val="00B050"/>
              </w:rPr>
              <w:t xml:space="preserve">, </w:t>
            </w:r>
            <w:r w:rsidR="00A2168D" w:rsidRPr="00EA1034">
              <w:rPr>
                <w:b w:val="0"/>
                <w:color w:val="00B050"/>
              </w:rPr>
              <w:t>” Hvilke tilsyn er ikke omfattet?”</w:t>
            </w:r>
            <w:r w:rsidRPr="00057DB2">
              <w:rPr>
                <w:b w:val="0"/>
                <w:color w:val="00B050"/>
              </w:rPr>
              <w:t xml:space="preserve"> </w:t>
            </w:r>
            <w:r w:rsidR="00A2168D" w:rsidRPr="00057DB2">
              <w:rPr>
                <w:b w:val="0"/>
                <w:color w:val="00B050"/>
              </w:rPr>
              <w:t>(</w:t>
            </w:r>
            <w:r w:rsidRPr="00057DB2">
              <w:rPr>
                <w:b w:val="0"/>
                <w:color w:val="00B050"/>
              </w:rPr>
              <w:t>4.2.2.</w:t>
            </w:r>
            <w:r w:rsidR="00A2168D" w:rsidRPr="00057DB2">
              <w:rPr>
                <w:b w:val="0"/>
                <w:color w:val="00B050"/>
              </w:rPr>
              <w:t>)</w:t>
            </w:r>
            <w:r w:rsidRPr="008D7AD2">
              <w:rPr>
                <w:b w:val="0"/>
                <w:color w:val="70AD47" w:themeColor="accent6"/>
              </w:rPr>
              <w:t xml:space="preserve"> </w:t>
            </w:r>
            <w:r w:rsidR="00A2168D" w:rsidRPr="00EA1034">
              <w:rPr>
                <w:b w:val="0"/>
              </w:rPr>
              <w:t>og</w:t>
            </w:r>
            <w:r w:rsidRPr="008D7AD2">
              <w:rPr>
                <w:b w:val="0"/>
              </w:rPr>
              <w:t xml:space="preserve"> ”</w:t>
            </w:r>
            <w:r w:rsidRPr="00057DB2">
              <w:rPr>
                <w:b w:val="0"/>
                <w:color w:val="00B050"/>
              </w:rPr>
              <w:t>Forholdet mellem miljøtilsynsbekendtgørelsen og andre regler” (4.2.3)</w:t>
            </w:r>
            <w:r w:rsidR="00124174" w:rsidRPr="00057DB2">
              <w:rPr>
                <w:b w:val="0"/>
              </w:rPr>
              <w:t>.</w:t>
            </w:r>
          </w:p>
          <w:p w14:paraId="40DE09A6" w14:textId="69A54BC4" w:rsidR="008D7AD2" w:rsidRPr="008D7AD2" w:rsidRDefault="008D7AD2" w:rsidP="00EA1034">
            <w:pPr>
              <w:pStyle w:val="Underoverskrift"/>
            </w:pPr>
            <w:r w:rsidRPr="008D7AD2">
              <w:rPr>
                <w:b w:val="0"/>
                <w:color w:val="70AD47" w:themeColor="accent6"/>
              </w:rPr>
              <w:t xml:space="preserve"> </w:t>
            </w:r>
          </w:p>
        </w:tc>
      </w:tr>
      <w:tr w:rsidR="008D7AD2" w:rsidRPr="008D7AD2" w14:paraId="329DED3C" w14:textId="77777777" w:rsidTr="00550B57">
        <w:tc>
          <w:tcPr>
            <w:tcW w:w="9628" w:type="dxa"/>
            <w:shd w:val="clear" w:color="auto" w:fill="auto"/>
          </w:tcPr>
          <w:p w14:paraId="21CA9239" w14:textId="2F805E78" w:rsidR="008D7AD2" w:rsidRDefault="008D7AD2" w:rsidP="00550B57">
            <w:pPr>
              <w:pStyle w:val="Underoverskrift"/>
            </w:pPr>
            <w:r w:rsidRPr="008D7AD2">
              <w:lastRenderedPageBreak/>
              <w:t>Retsgrundlag</w:t>
            </w:r>
          </w:p>
          <w:p w14:paraId="1CFE42F0" w14:textId="68BE8BFB" w:rsidR="008D7AD2" w:rsidRPr="00D62D81" w:rsidRDefault="008D7AD2" w:rsidP="008D7AD2">
            <w:pPr>
              <w:spacing w:after="0"/>
              <w:rPr>
                <w:rFonts w:ascii="Times New Roman" w:hAnsi="Times New Roman" w:cs="Times New Roman"/>
                <w:i/>
                <w:color w:val="808080" w:themeColor="background1" w:themeShade="80"/>
                <w:sz w:val="18"/>
                <w:szCs w:val="18"/>
              </w:rPr>
            </w:pPr>
            <w:r w:rsidRPr="00D62D81">
              <w:rPr>
                <w:rFonts w:ascii="Times New Roman" w:hAnsi="Times New Roman" w:cs="Times New Roman"/>
                <w:i/>
                <w:color w:val="808080" w:themeColor="background1" w:themeShade="80"/>
                <w:sz w:val="18"/>
                <w:szCs w:val="18"/>
              </w:rPr>
              <w:t xml:space="preserve">Miljøtilsynsbekendtgørelsen, § 1, stk. 1 </w:t>
            </w:r>
          </w:p>
          <w:p w14:paraId="615AB73E" w14:textId="32D12DB2"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Denne bekendtgørelse fastsætter regler om tilsyn efter lov om miljøbeskyttelse, lov om husdyrbrug og anvendelse af gødning</w:t>
            </w:r>
            <w:r w:rsidR="00D62D81">
              <w:rPr>
                <w:rFonts w:ascii="Times New Roman" w:hAnsi="Times New Roman" w:cs="Times New Roman"/>
                <w:color w:val="808080" w:themeColor="background1" w:themeShade="80"/>
                <w:sz w:val="18"/>
                <w:szCs w:val="18"/>
              </w:rPr>
              <w:t xml:space="preserve"> m.v. og lov om forurenet jord.</w:t>
            </w:r>
          </w:p>
          <w:p w14:paraId="7034BF5B" w14:textId="77777777" w:rsidR="008D7AD2" w:rsidRPr="008D7AD2" w:rsidRDefault="008D7AD2" w:rsidP="008D7AD2">
            <w:pPr>
              <w:spacing w:after="0"/>
              <w:rPr>
                <w:rFonts w:ascii="Times New Roman" w:hAnsi="Times New Roman" w:cs="Times New Roman"/>
              </w:rPr>
            </w:pPr>
          </w:p>
        </w:tc>
      </w:tr>
    </w:tbl>
    <w:p w14:paraId="172FB35C" w14:textId="77777777" w:rsidR="008D7AD2" w:rsidRPr="008D7AD2" w:rsidRDefault="008D7AD2" w:rsidP="008D7AD2">
      <w:pPr>
        <w:rPr>
          <w:rFonts w:ascii="Times New Roman" w:hAnsi="Times New Roman" w:cs="Times New Roman"/>
        </w:rPr>
      </w:pPr>
      <w:r w:rsidRPr="008D7AD2">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7AD2" w:rsidRPr="00057DB2" w14:paraId="64DC1902" w14:textId="77777777" w:rsidTr="00550B57">
        <w:trPr>
          <w:trHeight w:val="947"/>
        </w:trPr>
        <w:tc>
          <w:tcPr>
            <w:tcW w:w="9628" w:type="dxa"/>
            <w:shd w:val="clear" w:color="auto" w:fill="auto"/>
          </w:tcPr>
          <w:p w14:paraId="1C0081A7" w14:textId="77777777" w:rsidR="008D7AD2" w:rsidRPr="00EA1034" w:rsidRDefault="008D7AD2" w:rsidP="00EA1034">
            <w:pPr>
              <w:pStyle w:val="Overskrift1"/>
              <w:rPr>
                <w:sz w:val="24"/>
                <w:szCs w:val="24"/>
              </w:rPr>
            </w:pPr>
            <w:r w:rsidRPr="00EA1034">
              <w:rPr>
                <w:sz w:val="24"/>
                <w:szCs w:val="24"/>
              </w:rPr>
              <w:lastRenderedPageBreak/>
              <w:br w:type="page"/>
            </w:r>
          </w:p>
          <w:p w14:paraId="5A7AA41B" w14:textId="290DEE75" w:rsidR="008D7AD2" w:rsidRPr="000B64A0" w:rsidRDefault="008D7AD2" w:rsidP="00EA1034">
            <w:pPr>
              <w:pStyle w:val="Overskrift1"/>
            </w:pPr>
            <w:r w:rsidRPr="000B64A0">
              <w:t>4.2.1 Hvilke tilsyn er omfattet?</w:t>
            </w:r>
          </w:p>
          <w:p w14:paraId="2DF681BE" w14:textId="77777777" w:rsidR="008D7AD2" w:rsidRPr="00EA1034" w:rsidRDefault="008D7AD2" w:rsidP="00550B57">
            <w:pPr>
              <w:pStyle w:val="Overskrift1"/>
              <w:rPr>
                <w:sz w:val="24"/>
                <w:szCs w:val="24"/>
              </w:rPr>
            </w:pPr>
          </w:p>
        </w:tc>
      </w:tr>
      <w:tr w:rsidR="008D7AD2" w:rsidRPr="008D7AD2" w14:paraId="1F97279C" w14:textId="77777777" w:rsidTr="00550B57">
        <w:tc>
          <w:tcPr>
            <w:tcW w:w="9628" w:type="dxa"/>
            <w:shd w:val="clear" w:color="auto" w:fill="auto"/>
          </w:tcPr>
          <w:p w14:paraId="6AB84A66" w14:textId="77777777" w:rsidR="00EC7FF3" w:rsidRDefault="00EC7FF3" w:rsidP="00550B57">
            <w:pPr>
              <w:pStyle w:val="Underoverskrift"/>
              <w:rPr>
                <w:b w:val="0"/>
              </w:rPr>
            </w:pPr>
          </w:p>
          <w:p w14:paraId="3B0B21BE" w14:textId="6AB4EFF7" w:rsidR="008D7AD2" w:rsidRPr="00EA1034" w:rsidRDefault="008D7AD2" w:rsidP="00550B57">
            <w:pPr>
              <w:pStyle w:val="Underoverskrift"/>
              <w:rPr>
                <w:b w:val="0"/>
              </w:rPr>
            </w:pPr>
            <w:r w:rsidRPr="008D7AD2">
              <w:rPr>
                <w:b w:val="0"/>
              </w:rPr>
              <w:t xml:space="preserve">I bekendtgørelsens § 2, nr. 1 er tilsyn defineret som enhver form for udøvelse af tilsynsvirksomhed med henblik på at sikre, </w:t>
            </w:r>
            <w:r w:rsidRPr="00EA1034">
              <w:rPr>
                <w:b w:val="0"/>
              </w:rPr>
              <w:t>at virksomheder og husdyrbrug m.v</w:t>
            </w:r>
            <w:r w:rsidRPr="00EC7FF3">
              <w:rPr>
                <w:b w:val="0"/>
              </w:rPr>
              <w:t>.</w:t>
            </w:r>
            <w:r w:rsidRPr="008D7AD2">
              <w:rPr>
                <w:b w:val="0"/>
              </w:rPr>
              <w:t xml:space="preserve"> overholder </w:t>
            </w:r>
            <w:r w:rsidRPr="00EA1034">
              <w:rPr>
                <w:b w:val="0"/>
                <w:color w:val="00B050"/>
              </w:rPr>
              <w:t>miljøbeskyttelsesloven</w:t>
            </w:r>
            <w:r w:rsidRPr="008D7AD2">
              <w:rPr>
                <w:b w:val="0"/>
              </w:rPr>
              <w:t xml:space="preserve">, </w:t>
            </w:r>
            <w:proofErr w:type="spellStart"/>
            <w:r w:rsidRPr="00EA1034">
              <w:rPr>
                <w:b w:val="0"/>
                <w:color w:val="00B050"/>
              </w:rPr>
              <w:t>husdyrbrugloven</w:t>
            </w:r>
            <w:proofErr w:type="spellEnd"/>
            <w:r w:rsidRPr="008D7AD2">
              <w:rPr>
                <w:b w:val="0"/>
              </w:rPr>
              <w:t xml:space="preserve"> og </w:t>
            </w:r>
            <w:r w:rsidRPr="00EA1034">
              <w:rPr>
                <w:b w:val="0"/>
                <w:color w:val="00B050"/>
              </w:rPr>
              <w:t>jordforureningsloven</w:t>
            </w:r>
            <w:r w:rsidRPr="008D7AD2">
              <w:rPr>
                <w:b w:val="0"/>
              </w:rPr>
              <w:t xml:space="preserve">. Hensigten med miljøtilsynsbekendtgørelsen </w:t>
            </w:r>
            <w:r w:rsidRPr="00EA1034">
              <w:rPr>
                <w:b w:val="0"/>
              </w:rPr>
              <w:t xml:space="preserve">er </w:t>
            </w:r>
            <w:r w:rsidR="00D47D97" w:rsidRPr="00EA1034">
              <w:rPr>
                <w:b w:val="0"/>
              </w:rPr>
              <w:t xml:space="preserve">hermed </w:t>
            </w:r>
            <w:r w:rsidRPr="00EA1034">
              <w:rPr>
                <w:b w:val="0"/>
              </w:rPr>
              <w:t xml:space="preserve">ikke at omfatte alle tilsyn, der gennemføres med hjemmel i miljøbeskyttelsesloven, </w:t>
            </w:r>
            <w:proofErr w:type="spellStart"/>
            <w:r w:rsidRPr="00EA1034">
              <w:rPr>
                <w:b w:val="0"/>
              </w:rPr>
              <w:t>husdyrbrugloven</w:t>
            </w:r>
            <w:proofErr w:type="spellEnd"/>
            <w:r w:rsidRPr="00EA1034">
              <w:rPr>
                <w:b w:val="0"/>
              </w:rPr>
              <w:t xml:space="preserve"> eller jordforureningsloven, men alene virksomheds-/husdyrbrugsrettede miljøtilsyn. </w:t>
            </w:r>
          </w:p>
          <w:p w14:paraId="351A4513" w14:textId="77777777" w:rsidR="008D7AD2" w:rsidRPr="008D7AD2" w:rsidRDefault="008D7AD2" w:rsidP="00550B57">
            <w:pPr>
              <w:pStyle w:val="Underoverskrift"/>
              <w:rPr>
                <w:b w:val="0"/>
              </w:rPr>
            </w:pPr>
          </w:p>
          <w:p w14:paraId="4BD8B594" w14:textId="5EE24214" w:rsidR="008D7AD2" w:rsidRPr="008D7AD2" w:rsidRDefault="008D7AD2" w:rsidP="00550B57">
            <w:pPr>
              <w:pStyle w:val="Underoverskrift"/>
              <w:rPr>
                <w:b w:val="0"/>
                <w:color w:val="000000" w:themeColor="text1"/>
              </w:rPr>
            </w:pPr>
            <w:r w:rsidRPr="008D7AD2">
              <w:rPr>
                <w:b w:val="0"/>
              </w:rPr>
              <w:t xml:space="preserve">Virksomheds-/husdyrbrugsrettede </w:t>
            </w:r>
            <w:r w:rsidRPr="00EA1034">
              <w:rPr>
                <w:b w:val="0"/>
              </w:rPr>
              <w:t>miljøtilsyn omfatter</w:t>
            </w:r>
            <w:r w:rsidRPr="008D7AD2">
              <w:rPr>
                <w:b w:val="0"/>
              </w:rPr>
              <w:t xml:space="preserve"> kontrol med </w:t>
            </w:r>
            <w:r w:rsidRPr="008D7AD2">
              <w:rPr>
                <w:b w:val="0"/>
                <w:color w:val="000000" w:themeColor="text1"/>
              </w:rPr>
              <w:t xml:space="preserve">overholdelsen af gældende miljøkrav samt kontrol med, at forureningen fra virksomheden eller husdyrbruget m.v. er forenelig med </w:t>
            </w:r>
            <w:r w:rsidRPr="00EA1034">
              <w:rPr>
                <w:b w:val="0"/>
                <w:color w:val="00B050"/>
              </w:rPr>
              <w:t>miljøbeskyttelses</w:t>
            </w:r>
            <w:r w:rsidR="00EC7FF3" w:rsidRPr="00EA1034">
              <w:rPr>
                <w:b w:val="0"/>
                <w:color w:val="00B050"/>
              </w:rPr>
              <w:t>lovens</w:t>
            </w:r>
            <w:r w:rsidRPr="008D7AD2">
              <w:rPr>
                <w:b w:val="0"/>
                <w:color w:val="000000" w:themeColor="text1"/>
              </w:rPr>
              <w:t xml:space="preserve"> og/eller </w:t>
            </w:r>
            <w:proofErr w:type="spellStart"/>
            <w:r w:rsidRPr="00EA1034">
              <w:rPr>
                <w:b w:val="0"/>
                <w:color w:val="00B050"/>
              </w:rPr>
              <w:t>husdyrbruglovens</w:t>
            </w:r>
            <w:proofErr w:type="spellEnd"/>
            <w:r w:rsidRPr="008D7AD2">
              <w:rPr>
                <w:b w:val="0"/>
                <w:color w:val="000000" w:themeColor="text1"/>
              </w:rPr>
              <w:t xml:space="preserve"> formål. Derudover indebærer </w:t>
            </w:r>
            <w:r w:rsidRPr="008D7AD2">
              <w:rPr>
                <w:b w:val="0"/>
              </w:rPr>
              <w:t xml:space="preserve">miljøtilsynet også en pligt til løbende at </w:t>
            </w:r>
            <w:r w:rsidRPr="008D7AD2">
              <w:rPr>
                <w:b w:val="0"/>
                <w:color w:val="000000" w:themeColor="text1"/>
              </w:rPr>
              <w:t>tage stilling til, om virksomheden eller husdyrbruget m.v. giver anledning til uønskede miljøeffekter eller risiko herfor.</w:t>
            </w:r>
          </w:p>
          <w:p w14:paraId="53BADA23" w14:textId="77777777" w:rsidR="008D7AD2" w:rsidRPr="008D7AD2" w:rsidRDefault="008D7AD2" w:rsidP="00550B57">
            <w:pPr>
              <w:pStyle w:val="Underoverskrift"/>
              <w:rPr>
                <w:b w:val="0"/>
                <w:color w:val="000000" w:themeColor="text1"/>
              </w:rPr>
            </w:pPr>
          </w:p>
          <w:p w14:paraId="424F55B8" w14:textId="09EA2AA5" w:rsidR="008D7AD2" w:rsidRPr="008D7AD2" w:rsidRDefault="008D7AD2" w:rsidP="00550B57">
            <w:pPr>
              <w:pStyle w:val="Underoverskrift"/>
              <w:rPr>
                <w:b w:val="0"/>
                <w:color w:val="000000" w:themeColor="text1"/>
              </w:rPr>
            </w:pPr>
            <w:r w:rsidRPr="008D7AD2">
              <w:rPr>
                <w:b w:val="0"/>
                <w:color w:val="000000" w:themeColor="text1"/>
              </w:rPr>
              <w:t xml:space="preserve">Miljøtilsynsbekendtgørelsen fastlægger bl.a., hvor ofte tilsynsmyndigheden skal </w:t>
            </w:r>
            <w:r w:rsidR="00EA1034">
              <w:rPr>
                <w:b w:val="0"/>
                <w:color w:val="000000" w:themeColor="text1"/>
              </w:rPr>
              <w:t>føre miljøtilsyn med</w:t>
            </w:r>
            <w:r w:rsidR="000C2636">
              <w:rPr>
                <w:b w:val="0"/>
                <w:color w:val="000000" w:themeColor="text1"/>
              </w:rPr>
              <w:t xml:space="preserve"> </w:t>
            </w:r>
            <w:r w:rsidR="00EA1034">
              <w:rPr>
                <w:b w:val="0"/>
                <w:color w:val="000000" w:themeColor="text1"/>
              </w:rPr>
              <w:t xml:space="preserve">en </w:t>
            </w:r>
            <w:r w:rsidRPr="008D7AD2">
              <w:rPr>
                <w:b w:val="0"/>
                <w:color w:val="000000" w:themeColor="text1"/>
              </w:rPr>
              <w:t xml:space="preserve">virksomheds eller et husdyrbrugs m.v. </w:t>
            </w:r>
            <w:r w:rsidR="00EA1034">
              <w:rPr>
                <w:b w:val="0"/>
                <w:color w:val="000000" w:themeColor="text1"/>
              </w:rPr>
              <w:t xml:space="preserve">miljøforhold. </w:t>
            </w:r>
            <w:r w:rsidRPr="008D7AD2">
              <w:rPr>
                <w:b w:val="0"/>
                <w:color w:val="000000" w:themeColor="text1"/>
              </w:rPr>
              <w:t xml:space="preserve">Ved gennemgang af </w:t>
            </w:r>
            <w:r w:rsidR="000C2636">
              <w:rPr>
                <w:b w:val="0"/>
                <w:color w:val="000000" w:themeColor="text1"/>
              </w:rPr>
              <w:t>disse</w:t>
            </w:r>
            <w:r w:rsidRPr="008D7AD2">
              <w:rPr>
                <w:b w:val="0"/>
                <w:color w:val="000000" w:themeColor="text1"/>
              </w:rPr>
              <w:t xml:space="preserve"> miljøforhold skal du som tilsynsmyndighed kontrollere, om virksomheden eller husdyrbruget m.v. forurener omgivelserne ud over det acceptable. Det betyder, at du skal kontrollere emissioner fra virksomheden eller husdyrbruget m.v. i form af fx luft, lugt, støj samt hvilke foranstaltninger, der er taget til at forebygge forurening af jord, grundvand og overfladevand. Desuden skal du kontrollere, om virksomheden eller husdyrbruget m.v. begrænser spild af ressourcer mest muligt. </w:t>
            </w:r>
          </w:p>
          <w:p w14:paraId="789847FC" w14:textId="77777777" w:rsidR="008D7AD2" w:rsidRPr="008D7AD2" w:rsidRDefault="008D7AD2" w:rsidP="00550B57">
            <w:pPr>
              <w:pStyle w:val="Underoverskrift"/>
              <w:rPr>
                <w:b w:val="0"/>
              </w:rPr>
            </w:pPr>
          </w:p>
          <w:p w14:paraId="050E8E14" w14:textId="77777777" w:rsidR="008D7AD2" w:rsidRPr="008D7AD2" w:rsidRDefault="008D7AD2" w:rsidP="00550B57">
            <w:pPr>
              <w:pStyle w:val="Underoverskrift"/>
              <w:rPr>
                <w:b w:val="0"/>
                <w:color w:val="70AD47" w:themeColor="accent6"/>
              </w:rPr>
            </w:pPr>
            <w:r w:rsidRPr="008D7AD2">
              <w:rPr>
                <w:b w:val="0"/>
              </w:rPr>
              <w:t xml:space="preserve">Du kan læse mere om tilsynet med virksomhedens eller husdyrbrugets m.v. samlede miljøforhold i afsnittet </w:t>
            </w:r>
            <w:r w:rsidRPr="00057DB2">
              <w:rPr>
                <w:b w:val="0"/>
                <w:color w:val="00B050"/>
              </w:rPr>
              <w:t>”Basistilsyn” (4.1.1)</w:t>
            </w:r>
            <w:r w:rsidRPr="00057DB2">
              <w:rPr>
                <w:b w:val="0"/>
              </w:rPr>
              <w:t>.</w:t>
            </w:r>
          </w:p>
          <w:p w14:paraId="1A6D4EBD" w14:textId="77777777" w:rsidR="008D7AD2" w:rsidRPr="008D7AD2" w:rsidRDefault="008D7AD2" w:rsidP="00550B57">
            <w:pPr>
              <w:pStyle w:val="Underoverskrift"/>
              <w:rPr>
                <w:b w:val="0"/>
                <w:color w:val="70AD47" w:themeColor="accent6"/>
              </w:rPr>
            </w:pPr>
          </w:p>
          <w:p w14:paraId="6E726859" w14:textId="77777777" w:rsidR="008D7AD2" w:rsidRPr="008D7AD2" w:rsidRDefault="008D7AD2" w:rsidP="00550B57">
            <w:pPr>
              <w:pStyle w:val="Underoverskrift"/>
              <w:rPr>
                <w:b w:val="0"/>
                <w:color w:val="70AD47" w:themeColor="accent6"/>
              </w:rPr>
            </w:pPr>
            <w:r w:rsidRPr="008D7AD2">
              <w:rPr>
                <w:b w:val="0"/>
              </w:rPr>
              <w:t xml:space="preserve">Vær opmærksom på, at bekendtgørelsens kapitel 2 og 4 ikke gælder tilsyn efter lov om forurenet jord. Du kan læse mere om forholdet mellem miljøtilsynsbekendtgørelsen og jordforureningsloven i afsnittet </w:t>
            </w:r>
            <w:r w:rsidRPr="00057DB2">
              <w:rPr>
                <w:b w:val="0"/>
                <w:color w:val="00B050"/>
              </w:rPr>
              <w:t>”Forholdet til jordforureningsloven” (4.2.1.1</w:t>
            </w:r>
            <w:r w:rsidR="00057DB2">
              <w:rPr>
                <w:b w:val="0"/>
                <w:color w:val="00B050"/>
              </w:rPr>
              <w:t>)</w:t>
            </w:r>
            <w:r w:rsidR="00057DB2">
              <w:rPr>
                <w:b w:val="0"/>
              </w:rPr>
              <w:t>.</w:t>
            </w:r>
            <w:r w:rsidRPr="008D7AD2">
              <w:rPr>
                <w:color w:val="70AD47" w:themeColor="accent6"/>
              </w:rPr>
              <w:t xml:space="preserve"> </w:t>
            </w:r>
          </w:p>
          <w:p w14:paraId="361A074F" w14:textId="77777777" w:rsidR="008D7AD2" w:rsidRPr="008D7AD2" w:rsidRDefault="008D7AD2" w:rsidP="00550B57">
            <w:pPr>
              <w:pStyle w:val="Underoverskrift"/>
            </w:pPr>
          </w:p>
        </w:tc>
      </w:tr>
      <w:tr w:rsidR="008D7AD2" w:rsidRPr="008D7AD2" w14:paraId="251A4FA3" w14:textId="77777777" w:rsidTr="00550B57">
        <w:tc>
          <w:tcPr>
            <w:tcW w:w="9628" w:type="dxa"/>
            <w:shd w:val="clear" w:color="auto" w:fill="auto"/>
          </w:tcPr>
          <w:p w14:paraId="04D75136" w14:textId="1DD2C641" w:rsidR="008D7AD2" w:rsidRDefault="008D7AD2" w:rsidP="00550B57">
            <w:pPr>
              <w:pStyle w:val="Underoverskrift"/>
            </w:pPr>
            <w:r w:rsidRPr="008D7AD2">
              <w:t>Retsgrundlag</w:t>
            </w:r>
          </w:p>
          <w:p w14:paraId="3817DF5C" w14:textId="0AF5E102" w:rsidR="008D7AD2" w:rsidRPr="00D62D81" w:rsidRDefault="008D7AD2" w:rsidP="008D7AD2">
            <w:pPr>
              <w:spacing w:after="0"/>
              <w:rPr>
                <w:rFonts w:ascii="Times New Roman" w:hAnsi="Times New Roman" w:cs="Times New Roman"/>
                <w:i/>
                <w:color w:val="808080" w:themeColor="background1" w:themeShade="80"/>
                <w:sz w:val="18"/>
                <w:szCs w:val="18"/>
              </w:rPr>
            </w:pPr>
            <w:r w:rsidRPr="00D62D81">
              <w:rPr>
                <w:rFonts w:ascii="Times New Roman" w:hAnsi="Times New Roman" w:cs="Times New Roman"/>
                <w:i/>
                <w:color w:val="808080" w:themeColor="background1" w:themeShade="80"/>
                <w:sz w:val="18"/>
                <w:szCs w:val="18"/>
              </w:rPr>
              <w:t>Miljøtilsynsbekendtgørelsen, § 2, stk. 1, nr. 1</w:t>
            </w:r>
          </w:p>
          <w:p w14:paraId="73A1E6A5" w14:textId="4EB7B7CA" w:rsidR="008D7AD2" w:rsidRPr="00D62D81" w:rsidRDefault="008D7AD2" w:rsidP="00D62D81">
            <w:pPr>
              <w:spacing w:after="0"/>
              <w:rPr>
                <w:rFonts w:ascii="Times New Roman" w:hAnsi="Times New Roman" w:cs="Times New Roman"/>
              </w:rPr>
            </w:pPr>
            <w:r w:rsidRPr="00D62D81">
              <w:rPr>
                <w:rFonts w:ascii="Times New Roman" w:hAnsi="Times New Roman" w:cs="Times New Roman"/>
                <w:color w:val="808080" w:themeColor="background1" w:themeShade="80"/>
                <w:sz w:val="18"/>
                <w:szCs w:val="18"/>
              </w:rPr>
              <w:t xml:space="preserve">Tilsyn: Enhver form for udøvelse af tilsynsvirksomhed, herunder de aktiviteter, der indgår i myndighedens planlægning, forberedelse og gennemførelse af et konkret tilsynsbesøg, administrativ kontrol af eksempelvis registreringer og måledata, opfølgning i form af afrapportering og håndhævelse med henblik på at sikre, at virksomheder og husdyrbrug m.v. overholder lov om miljøbeskyttelse, lov om husdyrbrug og anvendelse af gødning m.v., lov om forurenet jord, regler udstedt i medfør af disse love samt afgørelser truffet i medfør af disse. Ved tilsyn forstås desuden revurderinger af godkendelser meddelt efter § 16 a, stk. 2, i lov om husdyrbrug og anvendelse af gødning m.v. eller efter de tidligere gældende regler i §§ 11 eller 12 i lov om miljøgodkendelse m.v. af husdyrbrug eller efter </w:t>
            </w:r>
            <w:r w:rsidR="00D62D81" w:rsidRPr="00D62D81">
              <w:rPr>
                <w:rFonts w:ascii="Times New Roman" w:hAnsi="Times New Roman" w:cs="Times New Roman"/>
                <w:color w:val="808080" w:themeColor="background1" w:themeShade="80"/>
                <w:sz w:val="18"/>
                <w:szCs w:val="18"/>
              </w:rPr>
              <w:t>§ 33 i lov om miljøbeskyttelse.</w:t>
            </w:r>
          </w:p>
        </w:tc>
      </w:tr>
      <w:tr w:rsidR="00D62D81" w:rsidRPr="008D7AD2" w14:paraId="5D1F016C" w14:textId="77777777" w:rsidTr="00550B57">
        <w:tc>
          <w:tcPr>
            <w:tcW w:w="9628" w:type="dxa"/>
            <w:shd w:val="clear" w:color="auto" w:fill="auto"/>
          </w:tcPr>
          <w:p w14:paraId="09866CD2" w14:textId="77777777" w:rsidR="00D62D81" w:rsidRPr="00D62D81" w:rsidRDefault="00D62D81" w:rsidP="00D62D81">
            <w:pPr>
              <w:pStyle w:val="Underoverskrift"/>
              <w:rPr>
                <w:bCs/>
              </w:rPr>
            </w:pPr>
            <w:r w:rsidRPr="00D62D81">
              <w:rPr>
                <w:bCs/>
              </w:rPr>
              <w:t>Vil du vide mere</w:t>
            </w:r>
          </w:p>
          <w:p w14:paraId="2B46ED22" w14:textId="77777777" w:rsidR="00D62D81" w:rsidRPr="00D62D81" w:rsidRDefault="00D62D81" w:rsidP="00D62D81">
            <w:pPr>
              <w:pStyle w:val="Underoverskrift"/>
              <w:rPr>
                <w:b w:val="0"/>
                <w:sz w:val="18"/>
                <w:szCs w:val="18"/>
              </w:rPr>
            </w:pPr>
          </w:p>
          <w:p w14:paraId="099BEE2E" w14:textId="4FB9A543" w:rsidR="00D62D81" w:rsidRPr="008D7AD2" w:rsidRDefault="00D62D81" w:rsidP="00D62D81">
            <w:pPr>
              <w:pStyle w:val="Underoverskrift"/>
            </w:pPr>
            <w:r w:rsidRPr="00D62D81">
              <w:rPr>
                <w:b w:val="0"/>
                <w:sz w:val="18"/>
                <w:szCs w:val="18"/>
              </w:rPr>
              <w:t xml:space="preserve">Du kan læse mere om miljøtilsynet i Rapport fra Virksomhedsudvalg II, s. 25: </w:t>
            </w:r>
            <w:hyperlink r:id="rId11" w:history="1">
              <w:r w:rsidRPr="00D62D81">
                <w:rPr>
                  <w:rStyle w:val="Hyperlink"/>
                  <w:b w:val="0"/>
                  <w:sz w:val="18"/>
                  <w:szCs w:val="18"/>
                </w:rPr>
                <w:t>https://www2.mst.dk/udgiv/publikationer/2011/11/978-87-92779-24-3.pdf</w:t>
              </w:r>
            </w:hyperlink>
            <w:r>
              <w:rPr>
                <w:b w:val="0"/>
              </w:rPr>
              <w:t xml:space="preserve"> </w:t>
            </w:r>
          </w:p>
          <w:p w14:paraId="561ACC5D" w14:textId="19A9C10E" w:rsidR="00D62D81" w:rsidRPr="008D7AD2" w:rsidRDefault="00D62D81" w:rsidP="00D62D81">
            <w:pPr>
              <w:pStyle w:val="Underoverskrift"/>
            </w:pPr>
          </w:p>
        </w:tc>
      </w:tr>
    </w:tbl>
    <w:p w14:paraId="6E9B9782" w14:textId="77777777" w:rsidR="008D7AD2" w:rsidRPr="008D7AD2" w:rsidRDefault="008D7AD2" w:rsidP="008D7AD2">
      <w:pPr>
        <w:rPr>
          <w:rFonts w:ascii="Times New Roman" w:hAnsi="Times New Roman" w:cs="Times New Roman"/>
        </w:rPr>
      </w:pPr>
      <w:r w:rsidRPr="008D7AD2">
        <w:rPr>
          <w:rFonts w:ascii="Times New Roman" w:hAnsi="Times New Roman" w:cs="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7AD2" w:rsidRPr="00057DB2" w14:paraId="36255C47" w14:textId="77777777" w:rsidTr="00550B57">
        <w:trPr>
          <w:trHeight w:val="428"/>
        </w:trPr>
        <w:tc>
          <w:tcPr>
            <w:tcW w:w="9628" w:type="dxa"/>
            <w:shd w:val="clear" w:color="auto" w:fill="auto"/>
          </w:tcPr>
          <w:p w14:paraId="62104724" w14:textId="77777777" w:rsidR="00057DB2" w:rsidRPr="00057DB2" w:rsidRDefault="00057DB2" w:rsidP="00550B57">
            <w:pPr>
              <w:pStyle w:val="Overskrift1"/>
              <w:rPr>
                <w:sz w:val="24"/>
                <w:szCs w:val="24"/>
              </w:rPr>
            </w:pPr>
          </w:p>
          <w:p w14:paraId="25862618" w14:textId="77777777" w:rsidR="008D7AD2" w:rsidRPr="00057DB2" w:rsidRDefault="008D7AD2" w:rsidP="00550B57">
            <w:pPr>
              <w:pStyle w:val="Overskrift1"/>
            </w:pPr>
            <w:r w:rsidRPr="00057DB2">
              <w:t>4.2.1.1 Forholdet til jordforureningsloven</w:t>
            </w:r>
          </w:p>
          <w:p w14:paraId="26701D6B" w14:textId="77777777" w:rsidR="00057DB2" w:rsidRPr="00057DB2" w:rsidRDefault="00057DB2" w:rsidP="00057DB2">
            <w:pPr>
              <w:pStyle w:val="Overskrift1"/>
              <w:rPr>
                <w:sz w:val="24"/>
                <w:szCs w:val="24"/>
              </w:rPr>
            </w:pPr>
          </w:p>
        </w:tc>
      </w:tr>
      <w:tr w:rsidR="008D7AD2" w:rsidRPr="008D7AD2" w14:paraId="71A2072C" w14:textId="77777777" w:rsidTr="00550B57">
        <w:tc>
          <w:tcPr>
            <w:tcW w:w="9628" w:type="dxa"/>
            <w:shd w:val="clear" w:color="auto" w:fill="auto"/>
          </w:tcPr>
          <w:p w14:paraId="52039F7F" w14:textId="77777777" w:rsidR="00840D2B" w:rsidRDefault="00840D2B" w:rsidP="00550B57">
            <w:pPr>
              <w:pStyle w:val="Underoverskrift"/>
              <w:rPr>
                <w:b w:val="0"/>
              </w:rPr>
            </w:pPr>
          </w:p>
          <w:p w14:paraId="5251D16E" w14:textId="686DA945" w:rsidR="008D7AD2" w:rsidRPr="008D7AD2" w:rsidRDefault="008D7AD2" w:rsidP="00550B57">
            <w:pPr>
              <w:pStyle w:val="Underoverskrift"/>
              <w:rPr>
                <w:b w:val="0"/>
              </w:rPr>
            </w:pPr>
            <w:r w:rsidRPr="008D7AD2">
              <w:rPr>
                <w:b w:val="0"/>
              </w:rPr>
              <w:t xml:space="preserve">Miljøtilsynsbekendtgørelsens regler om planlægning og mindstekrav til tilsynsaktivitet samt om tilsyns- og godkendelsesmyndighedens afgivelse og offentliggørelse af oplysninger gælder ikke tilsyn udført efter </w:t>
            </w:r>
            <w:r w:rsidRPr="00057DB2">
              <w:rPr>
                <w:b w:val="0"/>
                <w:color w:val="00B050"/>
              </w:rPr>
              <w:t>jordforureningsloven</w:t>
            </w:r>
            <w:r w:rsidRPr="008D7AD2">
              <w:rPr>
                <w:b w:val="0"/>
              </w:rPr>
              <w:t>. Det fremgår af bekendtgørelsens § 1, stk. 3.</w:t>
            </w:r>
          </w:p>
          <w:p w14:paraId="27DC474C" w14:textId="77777777" w:rsidR="008D7AD2" w:rsidRPr="008D7AD2" w:rsidRDefault="008D7AD2" w:rsidP="00550B57">
            <w:pPr>
              <w:pStyle w:val="Underoverskrift"/>
              <w:rPr>
                <w:b w:val="0"/>
              </w:rPr>
            </w:pPr>
          </w:p>
          <w:p w14:paraId="48A7FC62" w14:textId="5BE272FC" w:rsidR="008D7AD2" w:rsidRPr="008D7AD2" w:rsidRDefault="008D7AD2" w:rsidP="00550B57">
            <w:pPr>
              <w:pStyle w:val="Underoverskrift"/>
              <w:rPr>
                <w:b w:val="0"/>
              </w:rPr>
            </w:pPr>
            <w:r w:rsidRPr="008D7AD2">
              <w:rPr>
                <w:b w:val="0"/>
              </w:rPr>
              <w:t xml:space="preserve">Derfor er følgende </w:t>
            </w:r>
            <w:r w:rsidRPr="008D7AD2">
              <w:rPr>
                <w:b w:val="0"/>
                <w:i/>
              </w:rPr>
              <w:t>ikke</w:t>
            </w:r>
            <w:r w:rsidRPr="008D7AD2">
              <w:rPr>
                <w:b w:val="0"/>
              </w:rPr>
              <w:t xml:space="preserve"> en del af miljøtilsynet: Tilsyn med overholdelsen af jordforureningsloven, regler fastsat med hjemmel i </w:t>
            </w:r>
            <w:r w:rsidR="00EA1034">
              <w:rPr>
                <w:b w:val="0"/>
              </w:rPr>
              <w:t>jordforurenings</w:t>
            </w:r>
            <w:r w:rsidRPr="008D7AD2">
              <w:rPr>
                <w:b w:val="0"/>
              </w:rPr>
              <w:t xml:space="preserve">loven og vilkår fastsat i forbindelse med tilladelser og dispensationer i henhold til </w:t>
            </w:r>
            <w:r w:rsidR="00EA1034">
              <w:rPr>
                <w:b w:val="0"/>
              </w:rPr>
              <w:t>jordforurenings</w:t>
            </w:r>
            <w:r w:rsidRPr="008D7AD2">
              <w:rPr>
                <w:b w:val="0"/>
              </w:rPr>
              <w:t xml:space="preserve">loven, samt tilsyn med om påbud meddelt med hjemmel i </w:t>
            </w:r>
            <w:r w:rsidR="00050BCC">
              <w:rPr>
                <w:b w:val="0"/>
              </w:rPr>
              <w:t>jordforurenings</w:t>
            </w:r>
            <w:r w:rsidRPr="008D7AD2">
              <w:rPr>
                <w:b w:val="0"/>
              </w:rPr>
              <w:t>loven efterkommes.</w:t>
            </w:r>
          </w:p>
          <w:p w14:paraId="6F8A2A45" w14:textId="300C0A4A" w:rsidR="008D7AD2" w:rsidRDefault="008D7AD2" w:rsidP="00550B57">
            <w:pPr>
              <w:pStyle w:val="Underoverskrift"/>
              <w:rPr>
                <w:b w:val="0"/>
              </w:rPr>
            </w:pPr>
          </w:p>
          <w:p w14:paraId="58F39378" w14:textId="75745DB3" w:rsidR="00A14BC2" w:rsidRPr="00EA1034" w:rsidRDefault="00A14BC2" w:rsidP="00550B57">
            <w:pPr>
              <w:pStyle w:val="Underoverskrift"/>
            </w:pPr>
            <w:r w:rsidRPr="00EA1034">
              <w:t>Planlægning</w:t>
            </w:r>
            <w:r w:rsidR="00B96FB5" w:rsidRPr="00EA1034">
              <w:t xml:space="preserve">, tilsynsfrekvens og </w:t>
            </w:r>
            <w:r w:rsidRPr="00EA1034">
              <w:t>mindstekrav til tilsynsaktivitet</w:t>
            </w:r>
          </w:p>
          <w:p w14:paraId="2C9D85A1" w14:textId="19622596" w:rsidR="00A11263" w:rsidRPr="00EA1034" w:rsidRDefault="00A11263" w:rsidP="00A11263">
            <w:pPr>
              <w:pStyle w:val="Underoverskrift"/>
            </w:pPr>
            <w:r w:rsidRPr="00EA1034">
              <w:rPr>
                <w:b w:val="0"/>
              </w:rPr>
              <w:t>H</w:t>
            </w:r>
            <w:r w:rsidR="00B96FB5" w:rsidRPr="00EA1034">
              <w:rPr>
                <w:b w:val="0"/>
              </w:rPr>
              <w:t>åndhævelse</w:t>
            </w:r>
            <w:r w:rsidR="00EA1034" w:rsidRPr="00EA1034">
              <w:rPr>
                <w:b w:val="0"/>
              </w:rPr>
              <w:t>r</w:t>
            </w:r>
            <w:r w:rsidR="00B96FB5" w:rsidRPr="00EA1034">
              <w:rPr>
                <w:b w:val="0"/>
              </w:rPr>
              <w:t xml:space="preserve"> af </w:t>
            </w:r>
            <w:r w:rsidR="00B96FB5" w:rsidRPr="00EA1034">
              <w:rPr>
                <w:b w:val="0"/>
                <w:color w:val="00B050"/>
              </w:rPr>
              <w:t>jordforureningsloven</w:t>
            </w:r>
            <w:r w:rsidR="00B96FB5" w:rsidRPr="00EA1034">
              <w:rPr>
                <w:b w:val="0"/>
              </w:rPr>
              <w:t xml:space="preserve"> skal ikke indgå, </w:t>
            </w:r>
            <w:r w:rsidRPr="00EA1034">
              <w:rPr>
                <w:b w:val="0"/>
              </w:rPr>
              <w:t>når du gennemføre en miljørisikovurdering</w:t>
            </w:r>
            <w:r w:rsidRPr="00EA1034">
              <w:rPr>
                <w:b w:val="0"/>
                <w:color w:val="00B050"/>
              </w:rPr>
              <w:t xml:space="preserve"> </w:t>
            </w:r>
            <w:r w:rsidRPr="00EA1034">
              <w:rPr>
                <w:b w:val="0"/>
              </w:rPr>
              <w:t xml:space="preserve">af en virksomhed eller et husdyrbrug m.v. Du kan læse mere i afsnittet </w:t>
            </w:r>
            <w:r w:rsidRPr="00EA1034">
              <w:rPr>
                <w:b w:val="0"/>
                <w:color w:val="00B050"/>
              </w:rPr>
              <w:t>"Miljørisikovurdering" (3.2)</w:t>
            </w:r>
            <w:r w:rsidRPr="00EA1034">
              <w:rPr>
                <w:b w:val="0"/>
              </w:rPr>
              <w:t>, om gennemførelse af miljørisik</w:t>
            </w:r>
            <w:r w:rsidR="00840D2B" w:rsidRPr="00EA1034">
              <w:rPr>
                <w:b w:val="0"/>
              </w:rPr>
              <w:t>o</w:t>
            </w:r>
            <w:r w:rsidRPr="00EA1034">
              <w:rPr>
                <w:b w:val="0"/>
              </w:rPr>
              <w:t xml:space="preserve">vurderinger. </w:t>
            </w:r>
          </w:p>
          <w:p w14:paraId="67491F5D" w14:textId="052FA676" w:rsidR="00B96FB5" w:rsidRPr="00EA1034" w:rsidRDefault="00B96FB5" w:rsidP="00B96FB5">
            <w:pPr>
              <w:pStyle w:val="Underoverskrift"/>
              <w:rPr>
                <w:b w:val="0"/>
              </w:rPr>
            </w:pPr>
          </w:p>
          <w:p w14:paraId="5572786A" w14:textId="3F5A7256" w:rsidR="00B96FB5" w:rsidRPr="00EA1034" w:rsidRDefault="00A11263" w:rsidP="00550B57">
            <w:pPr>
              <w:pStyle w:val="Underoverskrift"/>
            </w:pPr>
            <w:r w:rsidRPr="00EA1034">
              <w:rPr>
                <w:b w:val="0"/>
              </w:rPr>
              <w:t xml:space="preserve">Tilsyn, der alene er udført efter jordforureningsloven, bidrager ikke til opfyldelse af årsmålet for myndighedens tilsynsindsats. Du kan læse mere i afsnittet </w:t>
            </w:r>
            <w:r w:rsidRPr="00EA1034">
              <w:rPr>
                <w:b w:val="0"/>
                <w:color w:val="00B050"/>
              </w:rPr>
              <w:t>"Tilsynsfrekvenser og planlægning af den årlige tilsynsaktivitet" (3.2)</w:t>
            </w:r>
            <w:r w:rsidRPr="00EA1034">
              <w:rPr>
                <w:b w:val="0"/>
              </w:rPr>
              <w:t xml:space="preserve">, om </w:t>
            </w:r>
            <w:proofErr w:type="spellStart"/>
            <w:r w:rsidRPr="00EA1034">
              <w:rPr>
                <w:b w:val="0"/>
              </w:rPr>
              <w:t>årsmål</w:t>
            </w:r>
            <w:proofErr w:type="spellEnd"/>
            <w:r w:rsidRPr="00EA1034">
              <w:rPr>
                <w:b w:val="0"/>
              </w:rPr>
              <w:t xml:space="preserve"> for myndighedens tilsynsindsats.</w:t>
            </w:r>
            <w:r>
              <w:rPr>
                <w:b w:val="0"/>
              </w:rPr>
              <w:t xml:space="preserve"> </w:t>
            </w:r>
          </w:p>
          <w:p w14:paraId="17A8D8DD" w14:textId="77777777" w:rsidR="00A14BC2" w:rsidRDefault="00A14BC2" w:rsidP="00550B57">
            <w:pPr>
              <w:pStyle w:val="Underoverskrift"/>
              <w:rPr>
                <w:b w:val="0"/>
              </w:rPr>
            </w:pPr>
          </w:p>
          <w:p w14:paraId="42CF2B8A" w14:textId="036D5BCE" w:rsidR="00A14BC2" w:rsidRPr="00EA1034" w:rsidRDefault="005C5C88" w:rsidP="00550B57">
            <w:pPr>
              <w:pStyle w:val="Underoverskrift"/>
            </w:pPr>
            <w:r>
              <w:t xml:space="preserve">Afgivelse og offentliggørelse </w:t>
            </w:r>
            <w:r w:rsidR="00A14BC2" w:rsidRPr="00EA1034">
              <w:t>af oplysninger</w:t>
            </w:r>
          </w:p>
          <w:p w14:paraId="60153F95" w14:textId="0F5C6F0E" w:rsidR="00A14BC2" w:rsidRDefault="00A14BC2" w:rsidP="00550B57">
            <w:pPr>
              <w:pStyle w:val="Underoverskrift"/>
              <w:rPr>
                <w:b w:val="0"/>
              </w:rPr>
            </w:pPr>
            <w:r w:rsidRPr="008D7AD2">
              <w:rPr>
                <w:b w:val="0"/>
              </w:rPr>
              <w:t xml:space="preserve">Bekendtgørelsen indeholder ikke en pligt til at udarbejde en rapport om tilsyn, der gennemføres efter jordforureningsloven, men alene pligt til digitalt at </w:t>
            </w:r>
            <w:r w:rsidRPr="008D7AD2">
              <w:rPr>
                <w:b w:val="0"/>
                <w:i/>
              </w:rPr>
              <w:t>offentliggøre</w:t>
            </w:r>
            <w:r w:rsidRPr="008D7AD2">
              <w:rPr>
                <w:b w:val="0"/>
              </w:rPr>
              <w:t xml:space="preserve"> de oplysninger, der fremgår af tilsynsbekendtgørelses § 11, stk. 1. Det betyder, at du som tilsynsmyndighed i tilsynsrapporten, jf. § 11, stk. 1, nr. 6, skal oplyse og offentliggøre, om der er konstateret jordforurening, hvis det er relevant. </w:t>
            </w:r>
            <w:r>
              <w:rPr>
                <w:b w:val="0"/>
              </w:rPr>
              <w:t>Dette følger af, at m</w:t>
            </w:r>
            <w:r w:rsidR="008D7AD2" w:rsidRPr="008D7AD2">
              <w:rPr>
                <w:b w:val="0"/>
              </w:rPr>
              <w:t>iljøtilsynsbekendtgørelsens kapitel 3 (</w:t>
            </w:r>
            <w:r w:rsidR="008D7AD2" w:rsidRPr="008D7AD2">
              <w:rPr>
                <w:b w:val="0"/>
                <w:i/>
              </w:rPr>
              <w:t>Tilsynsrapport</w:t>
            </w:r>
            <w:r w:rsidR="008D7AD2" w:rsidRPr="008D7AD2">
              <w:rPr>
                <w:b w:val="0"/>
              </w:rPr>
              <w:t xml:space="preserve">) er bl.a. udstedt med hjemmel i jordforureningslovens § 64 a, stk. 1, nr. 1-4, 6 og 7, og § 64 b. De pågældende bestemmelser indeholder hjemmel til at fastsætte regler om anvendelse af digital kommunikation og om offentliggørelse. </w:t>
            </w:r>
          </w:p>
          <w:p w14:paraId="681D2050" w14:textId="406D7EB2" w:rsidR="005C5C88" w:rsidRDefault="005C5C88" w:rsidP="00550B57">
            <w:pPr>
              <w:pStyle w:val="Underoverskrift"/>
              <w:rPr>
                <w:b w:val="0"/>
              </w:rPr>
            </w:pPr>
          </w:p>
          <w:p w14:paraId="43A24024" w14:textId="428377E0" w:rsidR="005C5C88" w:rsidRPr="00057DB2" w:rsidRDefault="005C5C88" w:rsidP="00550B57">
            <w:pPr>
              <w:pStyle w:val="Underoverskrift"/>
              <w:rPr>
                <w:b w:val="0"/>
                <w:color w:val="00B050"/>
              </w:rPr>
            </w:pPr>
            <w:r w:rsidRPr="008D7AD2">
              <w:rPr>
                <w:b w:val="0"/>
              </w:rPr>
              <w:t xml:space="preserve">Du kan læse nærmere om tilsynsrapportens indhold i afsnittet </w:t>
            </w:r>
            <w:r w:rsidRPr="00057DB2">
              <w:rPr>
                <w:b w:val="0"/>
                <w:color w:val="00B050"/>
              </w:rPr>
              <w:t>”Tilsynsrapport” (3.4)</w:t>
            </w:r>
            <w:r w:rsidRPr="00057DB2">
              <w:rPr>
                <w:b w:val="0"/>
              </w:rPr>
              <w:t>.</w:t>
            </w:r>
          </w:p>
          <w:p w14:paraId="4FD9CD33" w14:textId="77777777" w:rsidR="008D7AD2" w:rsidRPr="008D7AD2" w:rsidRDefault="008D7AD2" w:rsidP="00550B57">
            <w:pPr>
              <w:pStyle w:val="Underoverskrift"/>
            </w:pPr>
          </w:p>
        </w:tc>
      </w:tr>
      <w:tr w:rsidR="008D7AD2" w:rsidRPr="008D7AD2" w14:paraId="70C33BDC" w14:textId="77777777" w:rsidTr="00550B57">
        <w:tc>
          <w:tcPr>
            <w:tcW w:w="9628" w:type="dxa"/>
            <w:shd w:val="clear" w:color="auto" w:fill="auto"/>
          </w:tcPr>
          <w:p w14:paraId="6FFA2788" w14:textId="7912AEE6" w:rsidR="008D7AD2" w:rsidRDefault="008D7AD2" w:rsidP="00550B57">
            <w:pPr>
              <w:pStyle w:val="Underoverskrift"/>
            </w:pPr>
            <w:r w:rsidRPr="008D7AD2">
              <w:t>Retsgrundlag</w:t>
            </w:r>
          </w:p>
          <w:p w14:paraId="7D6D5A5B" w14:textId="77777777" w:rsidR="00D62D81" w:rsidRPr="00D62D81" w:rsidRDefault="008D7AD2" w:rsidP="008D7AD2">
            <w:pPr>
              <w:spacing w:after="0"/>
              <w:rPr>
                <w:rFonts w:ascii="Times New Roman" w:hAnsi="Times New Roman" w:cs="Times New Roman"/>
                <w:i/>
                <w:color w:val="808080" w:themeColor="background1" w:themeShade="80"/>
                <w:sz w:val="18"/>
                <w:szCs w:val="18"/>
              </w:rPr>
            </w:pPr>
            <w:r w:rsidRPr="00D62D81">
              <w:rPr>
                <w:rFonts w:ascii="Times New Roman" w:hAnsi="Times New Roman" w:cs="Times New Roman"/>
                <w:i/>
                <w:color w:val="808080" w:themeColor="background1" w:themeShade="80"/>
                <w:sz w:val="18"/>
                <w:szCs w:val="18"/>
              </w:rPr>
              <w:t>Miljøtilsynsbekendtgørelsen, § 1, stk. 3</w:t>
            </w:r>
          </w:p>
          <w:p w14:paraId="19FB7B2B" w14:textId="0402FAA8"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Bekendtgørelsens kapitel 2 og 4 gælder ikke tilsyn efter lov om forurene</w:t>
            </w:r>
            <w:r w:rsidR="00D62D81" w:rsidRPr="00D62D81">
              <w:rPr>
                <w:rFonts w:ascii="Times New Roman" w:hAnsi="Times New Roman" w:cs="Times New Roman"/>
                <w:color w:val="808080" w:themeColor="background1" w:themeShade="80"/>
                <w:sz w:val="18"/>
                <w:szCs w:val="18"/>
              </w:rPr>
              <w:t>t jord.</w:t>
            </w:r>
          </w:p>
          <w:p w14:paraId="5FB0E122" w14:textId="77777777" w:rsidR="008D7AD2" w:rsidRPr="00D62D81" w:rsidRDefault="008D7AD2" w:rsidP="008D7AD2">
            <w:pPr>
              <w:spacing w:after="0"/>
              <w:rPr>
                <w:rFonts w:ascii="Times New Roman" w:hAnsi="Times New Roman" w:cs="Times New Roman"/>
                <w:i/>
                <w:color w:val="808080" w:themeColor="background1" w:themeShade="80"/>
                <w:sz w:val="18"/>
                <w:szCs w:val="18"/>
              </w:rPr>
            </w:pPr>
          </w:p>
          <w:p w14:paraId="1FB9BE41" w14:textId="75E2B8B5" w:rsidR="008D7AD2" w:rsidRPr="00D62D81" w:rsidRDefault="008D7AD2" w:rsidP="008D7AD2">
            <w:pPr>
              <w:spacing w:after="0"/>
              <w:rPr>
                <w:rFonts w:ascii="Times New Roman" w:hAnsi="Times New Roman" w:cs="Times New Roman"/>
                <w:i/>
                <w:color w:val="808080" w:themeColor="background1" w:themeShade="80"/>
                <w:sz w:val="18"/>
                <w:szCs w:val="18"/>
              </w:rPr>
            </w:pPr>
            <w:r w:rsidRPr="00D62D81">
              <w:rPr>
                <w:rFonts w:ascii="Times New Roman" w:hAnsi="Times New Roman" w:cs="Times New Roman"/>
                <w:i/>
                <w:color w:val="808080" w:themeColor="background1" w:themeShade="80"/>
                <w:sz w:val="18"/>
                <w:szCs w:val="18"/>
              </w:rPr>
              <w:t>Miljøtilsy</w:t>
            </w:r>
            <w:r w:rsidR="00D62D81" w:rsidRPr="00D62D81">
              <w:rPr>
                <w:rFonts w:ascii="Times New Roman" w:hAnsi="Times New Roman" w:cs="Times New Roman"/>
                <w:i/>
                <w:color w:val="808080" w:themeColor="background1" w:themeShade="80"/>
                <w:sz w:val="18"/>
                <w:szCs w:val="18"/>
              </w:rPr>
              <w:t>nsbekendtgørelsen, § 11, stk. 1</w:t>
            </w:r>
          </w:p>
          <w:p w14:paraId="33C4827B" w14:textId="15D4E47B"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Tilsynsmyndigheden udarbejder efter hvert fysisk tilsyn på virksomheden eller husdyrbruget m.v. en tilsynsrapport, der beskriver, om virksomheden eller husdyrbruget m.v. overholder de love, regler og afgørelser, der er genstand for tilsyn. Tilsynsrapporten skal som minimum indeholde følgende oplysninger:</w:t>
            </w:r>
          </w:p>
          <w:p w14:paraId="14CE6B5F" w14:textId="77777777"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1) Baggrunden for tilsynet.</w:t>
            </w:r>
          </w:p>
          <w:p w14:paraId="4DF9E850" w14:textId="77777777"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2) Navn, adresse, CVR-nummer, eventuelt P-nummer og eventuelt CHR-nummer på virksomheden eller husdyrbruget m.v.</w:t>
            </w:r>
          </w:p>
          <w:p w14:paraId="075225E0" w14:textId="77777777"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3) Typen af virksomheden eller husdyrbruget m.v.</w:t>
            </w:r>
          </w:p>
          <w:p w14:paraId="7583A98F" w14:textId="77777777"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4) Dato for tilsynsbesøgets udførelse.</w:t>
            </w:r>
          </w:p>
          <w:p w14:paraId="570CD313" w14:textId="77777777"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5) Hvad der er ført tilsyn med.</w:t>
            </w:r>
          </w:p>
          <w:p w14:paraId="220A711F" w14:textId="77777777"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6) Om der er konstateret jordforurening, hvis det er relevant.</w:t>
            </w:r>
          </w:p>
          <w:p w14:paraId="05A27759" w14:textId="77777777"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7) Om der er meddelt påbud, forbud eller indskærpelser til virksomheden eller husdyrbruget m.v.</w:t>
            </w:r>
          </w:p>
          <w:p w14:paraId="44C956F1" w14:textId="00201DA0"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8) Konklusioner på virksomhedens eller husdyrbrugets m.v. seneste indberetninger om egenkontrol, herunder om indberetningen har givet tilsynsmyndigheden anledning til at udstede påb</w:t>
            </w:r>
            <w:r w:rsidR="00D62D81" w:rsidRPr="00D62D81">
              <w:rPr>
                <w:rFonts w:ascii="Times New Roman" w:hAnsi="Times New Roman" w:cs="Times New Roman"/>
                <w:color w:val="808080" w:themeColor="background1" w:themeShade="80"/>
                <w:sz w:val="18"/>
                <w:szCs w:val="18"/>
              </w:rPr>
              <w:t>ud, forbud eller indskærpelser.</w:t>
            </w:r>
          </w:p>
          <w:p w14:paraId="7B192B92" w14:textId="77777777" w:rsidR="008D7AD2" w:rsidRPr="00D62D81" w:rsidRDefault="008D7AD2" w:rsidP="008D7AD2">
            <w:pPr>
              <w:spacing w:after="0"/>
              <w:rPr>
                <w:rFonts w:ascii="Times New Roman" w:hAnsi="Times New Roman" w:cs="Times New Roman"/>
                <w:color w:val="808080" w:themeColor="background1" w:themeShade="80"/>
                <w:sz w:val="18"/>
                <w:szCs w:val="18"/>
              </w:rPr>
            </w:pPr>
          </w:p>
          <w:p w14:paraId="0FA97FF2" w14:textId="57F02435" w:rsidR="008D7AD2" w:rsidRPr="00D62D81" w:rsidRDefault="008D7AD2" w:rsidP="008D7AD2">
            <w:pPr>
              <w:spacing w:after="0"/>
              <w:rPr>
                <w:rFonts w:ascii="Times New Roman" w:hAnsi="Times New Roman" w:cs="Times New Roman"/>
                <w:i/>
                <w:color w:val="808080" w:themeColor="background1" w:themeShade="80"/>
                <w:sz w:val="18"/>
                <w:szCs w:val="18"/>
              </w:rPr>
            </w:pPr>
            <w:r w:rsidRPr="00D62D81">
              <w:rPr>
                <w:rFonts w:ascii="Times New Roman" w:hAnsi="Times New Roman" w:cs="Times New Roman"/>
                <w:i/>
                <w:color w:val="808080" w:themeColor="background1" w:themeShade="80"/>
                <w:sz w:val="18"/>
                <w:szCs w:val="18"/>
              </w:rPr>
              <w:t>Miljøtilsynsbekendtgøre</w:t>
            </w:r>
            <w:r w:rsidR="00D62D81" w:rsidRPr="00D62D81">
              <w:rPr>
                <w:rFonts w:ascii="Times New Roman" w:hAnsi="Times New Roman" w:cs="Times New Roman"/>
                <w:i/>
                <w:color w:val="808080" w:themeColor="background1" w:themeShade="80"/>
                <w:sz w:val="18"/>
                <w:szCs w:val="18"/>
              </w:rPr>
              <w:t>lsen, § 12, stk. 4</w:t>
            </w:r>
          </w:p>
          <w:p w14:paraId="749E1CC9" w14:textId="66BEE415" w:rsidR="008D7AD2" w:rsidRPr="008D7AD2" w:rsidRDefault="008D7AD2" w:rsidP="008D7AD2">
            <w:pPr>
              <w:spacing w:after="0"/>
              <w:rPr>
                <w:rFonts w:ascii="Times New Roman" w:hAnsi="Times New Roman" w:cs="Times New Roman"/>
              </w:rPr>
            </w:pPr>
            <w:r w:rsidRPr="00D62D81">
              <w:rPr>
                <w:rFonts w:ascii="Times New Roman" w:hAnsi="Times New Roman" w:cs="Times New Roman"/>
                <w:color w:val="808080" w:themeColor="background1" w:themeShade="80"/>
                <w:sz w:val="18"/>
                <w:szCs w:val="18"/>
              </w:rPr>
              <w:t>Tilsynsmyndigheden offentliggør ikke sagsbehandlingsskridt i forbindelse med varsling og meddelelse af påb</w:t>
            </w:r>
            <w:r w:rsidR="00D62D81" w:rsidRPr="00D62D81">
              <w:rPr>
                <w:rFonts w:ascii="Times New Roman" w:hAnsi="Times New Roman" w:cs="Times New Roman"/>
                <w:color w:val="808080" w:themeColor="background1" w:themeShade="80"/>
                <w:sz w:val="18"/>
                <w:szCs w:val="18"/>
              </w:rPr>
              <w:t>ud efter lov om forurenet jord.</w:t>
            </w:r>
          </w:p>
        </w:tc>
      </w:tr>
    </w:tbl>
    <w:p w14:paraId="0CDC560B" w14:textId="77777777" w:rsidR="008D7AD2" w:rsidRPr="008D7AD2" w:rsidRDefault="008D7AD2" w:rsidP="008D7AD2">
      <w:pPr>
        <w:rPr>
          <w:rFonts w:ascii="Times New Roman" w:hAnsi="Times New Roman" w:cs="Times New Roman"/>
        </w:rPr>
      </w:pPr>
    </w:p>
    <w:p w14:paraId="0130B5CD" w14:textId="77777777" w:rsidR="008D7AD2" w:rsidRPr="008D7AD2" w:rsidRDefault="008D7AD2" w:rsidP="008D7AD2">
      <w:pPr>
        <w:rPr>
          <w:rFonts w:ascii="Times New Roman" w:hAnsi="Times New Roman" w:cs="Times New Roman"/>
        </w:rPr>
      </w:pPr>
    </w:p>
    <w:p w14:paraId="44BB3B09" w14:textId="77777777" w:rsidR="008D7AD2" w:rsidRPr="008D7AD2" w:rsidRDefault="008D7AD2" w:rsidP="008D7AD2">
      <w:pPr>
        <w:rPr>
          <w:rFonts w:ascii="Times New Roman" w:hAnsi="Times New Roman" w:cs="Times New Roman"/>
        </w:rPr>
      </w:pPr>
    </w:p>
    <w:p w14:paraId="5DD49FA3" w14:textId="05F0BAC6" w:rsidR="00840D2B" w:rsidRDefault="00840D2B">
      <w:pPr>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7AD2" w:rsidRPr="00057DB2" w14:paraId="57861767" w14:textId="77777777" w:rsidTr="00550B57">
        <w:trPr>
          <w:trHeight w:val="947"/>
        </w:trPr>
        <w:tc>
          <w:tcPr>
            <w:tcW w:w="9628" w:type="dxa"/>
            <w:shd w:val="clear" w:color="auto" w:fill="auto"/>
          </w:tcPr>
          <w:p w14:paraId="40FD0D93" w14:textId="77777777" w:rsidR="008D7AD2" w:rsidRPr="00057DB2" w:rsidRDefault="008D7AD2" w:rsidP="00057DB2">
            <w:pPr>
              <w:pStyle w:val="Overskrift1"/>
              <w:rPr>
                <w:sz w:val="24"/>
                <w:szCs w:val="24"/>
              </w:rPr>
            </w:pPr>
          </w:p>
          <w:p w14:paraId="62491767" w14:textId="697EBC84" w:rsidR="004747EB" w:rsidRPr="005C5C88" w:rsidRDefault="008D7AD2" w:rsidP="00057DB2">
            <w:pPr>
              <w:pStyle w:val="Overskrift1"/>
            </w:pPr>
            <w:r w:rsidRPr="005C5C88">
              <w:t xml:space="preserve">4.2.2. </w:t>
            </w:r>
            <w:r w:rsidR="004747EB" w:rsidRPr="005C5C88">
              <w:t>Eksempler på tilsyn, der ikke er omfattet</w:t>
            </w:r>
          </w:p>
          <w:p w14:paraId="324D38BA" w14:textId="77777777" w:rsidR="008D7AD2" w:rsidRPr="00057DB2" w:rsidRDefault="008D7AD2">
            <w:pPr>
              <w:pStyle w:val="Overskrift1"/>
              <w:rPr>
                <w:sz w:val="24"/>
                <w:szCs w:val="24"/>
              </w:rPr>
            </w:pPr>
          </w:p>
        </w:tc>
      </w:tr>
      <w:tr w:rsidR="008D7AD2" w:rsidRPr="008D7AD2" w14:paraId="6083CED1" w14:textId="77777777" w:rsidTr="00550B57">
        <w:tc>
          <w:tcPr>
            <w:tcW w:w="9628" w:type="dxa"/>
            <w:shd w:val="clear" w:color="auto" w:fill="auto"/>
          </w:tcPr>
          <w:p w14:paraId="059BB8D7" w14:textId="77777777" w:rsidR="005C5C88" w:rsidRDefault="005C5C88" w:rsidP="00550B57">
            <w:pPr>
              <w:pStyle w:val="Underoverskrift"/>
              <w:rPr>
                <w:i/>
              </w:rPr>
            </w:pPr>
          </w:p>
          <w:p w14:paraId="4E3CB078" w14:textId="388FF44B" w:rsidR="008D7AD2" w:rsidRPr="00D62D81" w:rsidRDefault="008D7AD2" w:rsidP="00550B57">
            <w:pPr>
              <w:pStyle w:val="Underoverskrift"/>
            </w:pPr>
            <w:r w:rsidRPr="00D62D81">
              <w:t>Tilsyn efter andre love</w:t>
            </w:r>
          </w:p>
          <w:p w14:paraId="094AD492" w14:textId="420ED08B" w:rsidR="008D7AD2" w:rsidRPr="005C5C88" w:rsidRDefault="00B75BAF" w:rsidP="00550B57">
            <w:pPr>
              <w:pStyle w:val="Underoverskrift"/>
              <w:rPr>
                <w:b w:val="0"/>
              </w:rPr>
            </w:pPr>
            <w:r>
              <w:rPr>
                <w:b w:val="0"/>
              </w:rPr>
              <w:t>M</w:t>
            </w:r>
            <w:r w:rsidRPr="008D7AD2">
              <w:rPr>
                <w:b w:val="0"/>
              </w:rPr>
              <w:t xml:space="preserve">iljøtilsynsbekendtgørelsen </w:t>
            </w:r>
            <w:r w:rsidR="00B4238C" w:rsidRPr="008D7AD2">
              <w:rPr>
                <w:b w:val="0"/>
              </w:rPr>
              <w:t xml:space="preserve">fastsætter nærmere regler om myndighedernes </w:t>
            </w:r>
            <w:r w:rsidR="00B4238C">
              <w:rPr>
                <w:b w:val="0"/>
              </w:rPr>
              <w:t>miljø</w:t>
            </w:r>
            <w:r w:rsidR="00B4238C" w:rsidRPr="008D7AD2">
              <w:rPr>
                <w:b w:val="0"/>
              </w:rPr>
              <w:t>tilsyn</w:t>
            </w:r>
            <w:r w:rsidR="00B4238C">
              <w:rPr>
                <w:b w:val="0"/>
              </w:rPr>
              <w:t xml:space="preserve"> </w:t>
            </w:r>
            <w:r w:rsidRPr="00B75BAF">
              <w:rPr>
                <w:b w:val="0"/>
              </w:rPr>
              <w:t>efter kapitel 9 i lov om miljøbeskyttelse (</w:t>
            </w:r>
            <w:r w:rsidRPr="005C5C88">
              <w:rPr>
                <w:b w:val="0"/>
                <w:color w:val="00B050"/>
              </w:rPr>
              <w:t>miljøbeskyttelsesloven</w:t>
            </w:r>
            <w:r w:rsidRPr="00B75BAF">
              <w:rPr>
                <w:b w:val="0"/>
              </w:rPr>
              <w:t>) og efter kapitel 5 i lov om husdyrbrug og anvendelse af gødning m.v. (</w:t>
            </w:r>
            <w:proofErr w:type="spellStart"/>
            <w:r w:rsidRPr="005C5C88">
              <w:rPr>
                <w:b w:val="0"/>
                <w:color w:val="00B050"/>
              </w:rPr>
              <w:t>husdyrbrugloven</w:t>
            </w:r>
            <w:proofErr w:type="spellEnd"/>
            <w:r w:rsidRPr="00B75BAF">
              <w:rPr>
                <w:b w:val="0"/>
              </w:rPr>
              <w:t>).</w:t>
            </w:r>
            <w:r w:rsidR="00B4238C">
              <w:rPr>
                <w:b w:val="0"/>
              </w:rPr>
              <w:t xml:space="preserve"> </w:t>
            </w:r>
            <w:r w:rsidR="008D7AD2" w:rsidRPr="008D7AD2">
              <w:rPr>
                <w:b w:val="0"/>
              </w:rPr>
              <w:t xml:space="preserve">Virksomheder og husdyrbrug m.v., som er omfattet af miljøtilsynsbekendtgørelsens krav, kan være underlagt tilsyn efter andre love end miljøbeskyttelses-, husdyrbug- og jordforureningsloven. Tilsyn efter andre love er </w:t>
            </w:r>
            <w:r w:rsidR="008D7AD2" w:rsidRPr="008D7AD2">
              <w:rPr>
                <w:b w:val="0"/>
                <w:i/>
              </w:rPr>
              <w:t xml:space="preserve">ikke </w:t>
            </w:r>
            <w:r w:rsidR="008D7AD2" w:rsidRPr="008D7AD2">
              <w:rPr>
                <w:b w:val="0"/>
              </w:rPr>
              <w:t xml:space="preserve">omfattet af miljøtilsynsbekendtgørelsen. Der kan </w:t>
            </w:r>
            <w:r w:rsidR="007E0298">
              <w:rPr>
                <w:b w:val="0"/>
              </w:rPr>
              <w:t>fx</w:t>
            </w:r>
            <w:r w:rsidR="008D7AD2" w:rsidRPr="008D7AD2">
              <w:rPr>
                <w:b w:val="0"/>
              </w:rPr>
              <w:t xml:space="preserve"> være tale om tilsyn efter kemikalieloven, naturbeskyttelsesloven, planloven, vandløbsloven, miljøvurderingsloven eller byggeloven.</w:t>
            </w:r>
            <w:r w:rsidR="008D7AD2" w:rsidRPr="008D7AD2">
              <w:t xml:space="preserve"> </w:t>
            </w:r>
          </w:p>
          <w:p w14:paraId="16C9AAE0" w14:textId="77777777" w:rsidR="008D7AD2" w:rsidRPr="008D7AD2" w:rsidRDefault="008D7AD2" w:rsidP="00550B57">
            <w:pPr>
              <w:pStyle w:val="Underoverskrift"/>
            </w:pPr>
          </w:p>
          <w:p w14:paraId="51AD11F0" w14:textId="77777777" w:rsidR="00B4238C" w:rsidRDefault="00B4238C" w:rsidP="00B4238C">
            <w:pPr>
              <w:pStyle w:val="Underoverskrift"/>
              <w:rPr>
                <w:b w:val="0"/>
              </w:rPr>
            </w:pPr>
            <w:r w:rsidRPr="008D7AD2">
              <w:rPr>
                <w:b w:val="0"/>
              </w:rPr>
              <w:t xml:space="preserve">For tilsyn udført efter jordforureningsloven gælder alene miljøtilsynsbekendtgørelsens kapitel 1 (Anvendelsesområde og definitioner) og kapitel 3 (Tilsynsrapport), jf. § 1, stk. 3. Du kan læse mere om forholdet mellem miljøtilsynsbekendtgørelsen og lov om forurenet jord i afsnittet </w:t>
            </w:r>
            <w:r w:rsidRPr="00057DB2">
              <w:rPr>
                <w:b w:val="0"/>
                <w:color w:val="00B050"/>
              </w:rPr>
              <w:t>”Forholdet til jordforureningsloven” (4.2.1.1</w:t>
            </w:r>
            <w:r w:rsidR="000B64A0">
              <w:rPr>
                <w:b w:val="0"/>
                <w:color w:val="00B050"/>
              </w:rPr>
              <w:t>)</w:t>
            </w:r>
            <w:r w:rsidRPr="008D7AD2">
              <w:rPr>
                <w:b w:val="0"/>
              </w:rPr>
              <w:t xml:space="preserve">. </w:t>
            </w:r>
          </w:p>
          <w:p w14:paraId="779617B9" w14:textId="77777777" w:rsidR="00B4238C" w:rsidRPr="008D7AD2" w:rsidRDefault="00B4238C" w:rsidP="00B4238C">
            <w:pPr>
              <w:pStyle w:val="Underoverskrift"/>
              <w:rPr>
                <w:b w:val="0"/>
              </w:rPr>
            </w:pPr>
          </w:p>
          <w:p w14:paraId="541917DB" w14:textId="77777777" w:rsidR="008D7AD2" w:rsidRPr="00D62D81" w:rsidRDefault="008D7AD2" w:rsidP="00B4238C">
            <w:pPr>
              <w:pStyle w:val="Underoverskrift"/>
            </w:pPr>
            <w:r w:rsidRPr="00D62D81">
              <w:t>Tilsyn efter risikobekendtgørelsen</w:t>
            </w:r>
          </w:p>
          <w:p w14:paraId="61B50BF1" w14:textId="77777777" w:rsidR="008D7AD2" w:rsidRDefault="008D7AD2" w:rsidP="008D7AD2">
            <w:pPr>
              <w:pStyle w:val="Underoverskrift"/>
              <w:rPr>
                <w:b w:val="0"/>
              </w:rPr>
            </w:pPr>
            <w:r w:rsidRPr="008D7AD2">
              <w:rPr>
                <w:b w:val="0"/>
              </w:rPr>
              <w:t>Miljøtilsynsbekendtgørelsen gælder heller ikke tilsyn efter bekendtgørelse om kontrol med risikoen for større uheld med farlige stoffer (</w:t>
            </w:r>
            <w:r w:rsidRPr="00057DB2">
              <w:rPr>
                <w:b w:val="0"/>
                <w:color w:val="00B050"/>
              </w:rPr>
              <w:t>risikobekendtgørelsen</w:t>
            </w:r>
            <w:r w:rsidRPr="008D7AD2">
              <w:rPr>
                <w:b w:val="0"/>
              </w:rPr>
              <w:t xml:space="preserve">), jf. miljøtilsynsbekendtgørelsens § 1, stk. 4. </w:t>
            </w:r>
          </w:p>
          <w:p w14:paraId="7997FF27" w14:textId="77777777" w:rsidR="008D7AD2" w:rsidRPr="008D7AD2" w:rsidRDefault="008D7AD2" w:rsidP="008D7AD2">
            <w:pPr>
              <w:pStyle w:val="Underoverskrift"/>
              <w:rPr>
                <w:b w:val="0"/>
              </w:rPr>
            </w:pPr>
          </w:p>
          <w:p w14:paraId="57247CDE" w14:textId="77777777" w:rsidR="008D7AD2" w:rsidRDefault="008D7AD2" w:rsidP="008D7AD2">
            <w:pPr>
              <w:pStyle w:val="Underoverskrift"/>
              <w:rPr>
                <w:b w:val="0"/>
              </w:rPr>
            </w:pPr>
            <w:r w:rsidRPr="005C5C88">
              <w:rPr>
                <w:b w:val="0"/>
                <w:color w:val="00B050"/>
              </w:rPr>
              <w:t>Risikobekendtgørelsen</w:t>
            </w:r>
            <w:r w:rsidRPr="008D7AD2">
              <w:rPr>
                <w:b w:val="0"/>
              </w:rPr>
              <w:t xml:space="preserve"> varetager hensynet til sikkerhed med henblik på at forebygge større uheld på og omkring risikovirksomheder, der oplagrer farligt affald samt at begrænse følgerne af et større uheld for menneskers sundhed og for miljøet. </w:t>
            </w:r>
          </w:p>
          <w:p w14:paraId="2DD73AAC" w14:textId="77777777" w:rsidR="008D7AD2" w:rsidRPr="008D7AD2" w:rsidRDefault="008D7AD2" w:rsidP="008D7AD2">
            <w:pPr>
              <w:pStyle w:val="Underoverskrift"/>
              <w:rPr>
                <w:b w:val="0"/>
              </w:rPr>
            </w:pPr>
          </w:p>
          <w:p w14:paraId="34F2B326" w14:textId="77777777" w:rsidR="008D7AD2" w:rsidRPr="008D7AD2" w:rsidRDefault="008D7AD2" w:rsidP="008D7AD2">
            <w:pPr>
              <w:pStyle w:val="Underoverskrift"/>
              <w:rPr>
                <w:b w:val="0"/>
              </w:rPr>
            </w:pPr>
            <w:r w:rsidRPr="008D7AD2">
              <w:rPr>
                <w:b w:val="0"/>
              </w:rPr>
              <w:t xml:space="preserve">Tilsyn efter </w:t>
            </w:r>
            <w:r w:rsidRPr="00057DB2">
              <w:rPr>
                <w:b w:val="0"/>
                <w:color w:val="00B050"/>
              </w:rPr>
              <w:t>risikobekendtgørelsen</w:t>
            </w:r>
            <w:r w:rsidRPr="008D7AD2">
              <w:rPr>
                <w:b w:val="0"/>
              </w:rPr>
              <w:t xml:space="preserve"> (risikotilsynet) omfatter tilsyn med, at virksomheder, som er omfattet af risikobekendtgørelsen (risikovirksomheder), overholder risikobekendtgørelsens krav. Det kan eksempelvis være kontrol af interne foranstaltninger, systemer og rapporter og opfølgningsdokumenter samt opfølgning, som iværksættes af eller på vegne af en myndighed med det formål at sikre, at kravene i risikobekendtgørelsen overholdes. Risikotilsynet udføres af risikomyndighederne, som defineret i bekendtgørelsens § 4, nr. 19, og skal planlægges, forberedes og udføres efter reglerne i risikobekendtgørelsen. </w:t>
            </w:r>
          </w:p>
          <w:p w14:paraId="5DCF8A66" w14:textId="77777777" w:rsidR="008D7AD2" w:rsidRDefault="008D7AD2" w:rsidP="008D7AD2">
            <w:pPr>
              <w:pStyle w:val="Underoverskrift"/>
              <w:rPr>
                <w:b w:val="0"/>
              </w:rPr>
            </w:pPr>
          </w:p>
          <w:p w14:paraId="7DFD63D6" w14:textId="77777777" w:rsidR="008D7AD2" w:rsidRPr="008D7AD2" w:rsidRDefault="008D7AD2" w:rsidP="008D7AD2">
            <w:pPr>
              <w:pStyle w:val="Underoverskrift"/>
              <w:rPr>
                <w:b w:val="0"/>
              </w:rPr>
            </w:pPr>
            <w:r w:rsidRPr="008D7AD2">
              <w:rPr>
                <w:b w:val="0"/>
              </w:rPr>
              <w:t xml:space="preserve">Bemærk dog, at risikobekendtgørelsen også indeholder en række krav om afgivelse af oplysninger til Miljøstyrelsen og om offentliggørelse af visse oplysninger på DMA. </w:t>
            </w:r>
          </w:p>
          <w:p w14:paraId="7CEC0173" w14:textId="77777777" w:rsidR="008D7AD2" w:rsidRPr="008D7AD2" w:rsidRDefault="008D7AD2" w:rsidP="00550B57">
            <w:pPr>
              <w:rPr>
                <w:rFonts w:ascii="Times New Roman" w:hAnsi="Times New Roman" w:cs="Times New Roman"/>
                <w:sz w:val="24"/>
                <w:szCs w:val="24"/>
              </w:rPr>
            </w:pPr>
            <w:r w:rsidRPr="008D7AD2">
              <w:rPr>
                <w:rFonts w:ascii="Times New Roman" w:hAnsi="Times New Roman" w:cs="Times New Roman"/>
                <w:sz w:val="24"/>
                <w:szCs w:val="24"/>
              </w:rPr>
              <w:t xml:space="preserve">Du kan læse mere om tilsyn med risikovirksomheder på </w:t>
            </w:r>
            <w:hyperlink r:id="rId12" w:history="1">
              <w:r w:rsidRPr="008D7AD2">
                <w:rPr>
                  <w:rStyle w:val="Hyperlink"/>
                  <w:rFonts w:ascii="Times New Roman" w:hAnsi="Times New Roman" w:cs="Times New Roman"/>
                  <w:sz w:val="24"/>
                  <w:szCs w:val="24"/>
                </w:rPr>
                <w:t>https://risikohaandbogen.mst.dk/myndigheder/tilsyn/</w:t>
              </w:r>
            </w:hyperlink>
            <w:r w:rsidRPr="008D7AD2">
              <w:rPr>
                <w:rFonts w:ascii="Times New Roman" w:hAnsi="Times New Roman" w:cs="Times New Roman"/>
                <w:sz w:val="24"/>
                <w:szCs w:val="24"/>
              </w:rPr>
              <w:t>.</w:t>
            </w:r>
          </w:p>
          <w:p w14:paraId="05008A99" w14:textId="55DACBD7" w:rsidR="008D7AD2" w:rsidRDefault="008D7AD2" w:rsidP="008D7AD2">
            <w:pPr>
              <w:pStyle w:val="Underoverskrift"/>
              <w:rPr>
                <w:b w:val="0"/>
              </w:rPr>
            </w:pPr>
            <w:r w:rsidRPr="008D7AD2">
              <w:rPr>
                <w:b w:val="0"/>
              </w:rPr>
              <w:t xml:space="preserve">Du skal endvidere være opmærksom på, at </w:t>
            </w:r>
            <w:r w:rsidR="005C5C88">
              <w:rPr>
                <w:b w:val="0"/>
              </w:rPr>
              <w:t>v</w:t>
            </w:r>
            <w:r w:rsidR="005C5C88" w:rsidRPr="005C5C88">
              <w:rPr>
                <w:b w:val="0"/>
              </w:rPr>
              <w:t xml:space="preserve">irksomheds-/husdyrbrugsrettede </w:t>
            </w:r>
            <w:r w:rsidRPr="005C5C88">
              <w:rPr>
                <w:b w:val="0"/>
              </w:rPr>
              <w:t>miljøtilsyn</w:t>
            </w:r>
            <w:r w:rsidRPr="008D7AD2">
              <w:rPr>
                <w:b w:val="0"/>
              </w:rPr>
              <w:t xml:space="preserve"> på virksomheder omfattet af risikobekendtgørelsen er omfattet af miljøtilsynsbekendtgørelsens krav, herunder kravet om regelmæssige tilsyn, da alle risikovirksomheder skal have en godkendelse. </w:t>
            </w:r>
          </w:p>
          <w:p w14:paraId="00D1BFC4" w14:textId="77777777" w:rsidR="00281409" w:rsidRPr="008D7AD2" w:rsidRDefault="00281409" w:rsidP="008D7AD2">
            <w:pPr>
              <w:pStyle w:val="Underoverskrift"/>
              <w:rPr>
                <w:b w:val="0"/>
              </w:rPr>
            </w:pPr>
          </w:p>
          <w:p w14:paraId="22E9057A" w14:textId="77777777" w:rsidR="008D7AD2" w:rsidRPr="008D7AD2" w:rsidRDefault="008D7AD2" w:rsidP="005C5C88">
            <w:pPr>
              <w:pStyle w:val="Underoverskrift"/>
            </w:pPr>
          </w:p>
        </w:tc>
      </w:tr>
      <w:tr w:rsidR="008D7AD2" w:rsidRPr="008D7AD2" w14:paraId="53B0F82F" w14:textId="77777777" w:rsidTr="00550B57">
        <w:tc>
          <w:tcPr>
            <w:tcW w:w="9628" w:type="dxa"/>
            <w:shd w:val="clear" w:color="auto" w:fill="auto"/>
          </w:tcPr>
          <w:p w14:paraId="3BA21C4A" w14:textId="62D06B3D" w:rsidR="008D7AD2" w:rsidRDefault="008D7AD2" w:rsidP="00550B57">
            <w:pPr>
              <w:pStyle w:val="Underoverskrift"/>
            </w:pPr>
            <w:r w:rsidRPr="008D7AD2">
              <w:t>Retsgrundlag</w:t>
            </w:r>
          </w:p>
          <w:p w14:paraId="70AEEF6E" w14:textId="38B39746" w:rsidR="00923F54" w:rsidRPr="00923F54" w:rsidRDefault="00923F54" w:rsidP="00923F54">
            <w:pPr>
              <w:spacing w:after="0"/>
              <w:rPr>
                <w:rFonts w:ascii="Times New Roman" w:hAnsi="Times New Roman" w:cs="Times New Roman"/>
                <w:i/>
                <w:color w:val="808080" w:themeColor="background1" w:themeShade="80"/>
                <w:sz w:val="18"/>
                <w:szCs w:val="18"/>
              </w:rPr>
            </w:pPr>
            <w:r w:rsidRPr="00923F54">
              <w:rPr>
                <w:rFonts w:ascii="Times New Roman" w:hAnsi="Times New Roman" w:cs="Times New Roman"/>
                <w:i/>
                <w:color w:val="808080" w:themeColor="background1" w:themeShade="80"/>
                <w:sz w:val="18"/>
                <w:szCs w:val="18"/>
              </w:rPr>
              <w:t>Miljøtilsynsbekendtgørelsen, § 1, stk. 1</w:t>
            </w:r>
          </w:p>
          <w:p w14:paraId="405DEEC3" w14:textId="3FB6B2EF" w:rsidR="00923F54" w:rsidRPr="00923F54" w:rsidRDefault="00923F54" w:rsidP="00923F54">
            <w:pPr>
              <w:spacing w:after="0"/>
              <w:rPr>
                <w:rFonts w:ascii="Times New Roman" w:hAnsi="Times New Roman" w:cs="Times New Roman"/>
                <w:color w:val="808080" w:themeColor="background1" w:themeShade="80"/>
                <w:sz w:val="18"/>
                <w:szCs w:val="18"/>
              </w:rPr>
            </w:pPr>
            <w:r w:rsidRPr="00923F54">
              <w:rPr>
                <w:rFonts w:ascii="Times New Roman" w:hAnsi="Times New Roman" w:cs="Times New Roman"/>
                <w:color w:val="808080" w:themeColor="background1" w:themeShade="80"/>
                <w:sz w:val="18"/>
                <w:szCs w:val="18"/>
              </w:rPr>
              <w:t>Denne bekendtgørelse fastsætter regler om tilsyn efter lov om miljøbeskyttelse, lov om husdyrbrug og anvendelse af gødning m.v. og lov om forurenet jord.</w:t>
            </w:r>
          </w:p>
          <w:p w14:paraId="5EFB4EBC" w14:textId="77777777" w:rsidR="00923F54" w:rsidRPr="008D7AD2" w:rsidRDefault="00923F54" w:rsidP="00550B57">
            <w:pPr>
              <w:pStyle w:val="Underoverskrift"/>
            </w:pPr>
            <w:bookmarkStart w:id="0" w:name="_GoBack"/>
            <w:bookmarkEnd w:id="0"/>
          </w:p>
          <w:p w14:paraId="65F0110F" w14:textId="694FD74D" w:rsidR="008D7AD2" w:rsidRPr="00D62D81" w:rsidRDefault="008D7AD2" w:rsidP="008D7AD2">
            <w:pPr>
              <w:spacing w:after="0"/>
              <w:rPr>
                <w:rFonts w:ascii="Times New Roman" w:hAnsi="Times New Roman" w:cs="Times New Roman"/>
                <w:i/>
                <w:color w:val="808080" w:themeColor="background1" w:themeShade="80"/>
                <w:sz w:val="18"/>
                <w:szCs w:val="18"/>
              </w:rPr>
            </w:pPr>
            <w:r w:rsidRPr="00D62D81">
              <w:rPr>
                <w:rFonts w:ascii="Times New Roman" w:hAnsi="Times New Roman" w:cs="Times New Roman"/>
                <w:i/>
                <w:color w:val="808080" w:themeColor="background1" w:themeShade="80"/>
                <w:sz w:val="18"/>
                <w:szCs w:val="18"/>
              </w:rPr>
              <w:lastRenderedPageBreak/>
              <w:t>Miljøtils</w:t>
            </w:r>
            <w:r w:rsidR="00D62D81" w:rsidRPr="00D62D81">
              <w:rPr>
                <w:rFonts w:ascii="Times New Roman" w:hAnsi="Times New Roman" w:cs="Times New Roman"/>
                <w:i/>
                <w:color w:val="808080" w:themeColor="background1" w:themeShade="80"/>
                <w:sz w:val="18"/>
                <w:szCs w:val="18"/>
              </w:rPr>
              <w:t>ynsbekendtgørelsen, § 1, stk. 3</w:t>
            </w:r>
          </w:p>
          <w:p w14:paraId="45CB4C35" w14:textId="7FDAC30A"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Bekendtgørelsens kapitel 2 og 4 gælder ikke tils</w:t>
            </w:r>
            <w:r w:rsidR="00D62D81" w:rsidRPr="00D62D81">
              <w:rPr>
                <w:rFonts w:ascii="Times New Roman" w:hAnsi="Times New Roman" w:cs="Times New Roman"/>
                <w:color w:val="808080" w:themeColor="background1" w:themeShade="80"/>
                <w:sz w:val="18"/>
                <w:szCs w:val="18"/>
              </w:rPr>
              <w:t>yn efter lov om forurenet jord.</w:t>
            </w:r>
          </w:p>
          <w:p w14:paraId="23376C57" w14:textId="77777777" w:rsidR="008D7AD2" w:rsidRPr="00D62D81" w:rsidRDefault="008D7AD2" w:rsidP="008D7AD2">
            <w:pPr>
              <w:spacing w:after="0"/>
              <w:rPr>
                <w:rFonts w:ascii="Times New Roman" w:hAnsi="Times New Roman" w:cs="Times New Roman"/>
                <w:color w:val="808080" w:themeColor="background1" w:themeShade="80"/>
                <w:sz w:val="18"/>
                <w:szCs w:val="18"/>
              </w:rPr>
            </w:pPr>
          </w:p>
          <w:p w14:paraId="20440C57" w14:textId="7921B4C2" w:rsidR="008D7AD2" w:rsidRPr="00D62D81" w:rsidRDefault="008D7AD2" w:rsidP="008D7AD2">
            <w:pPr>
              <w:spacing w:after="0"/>
              <w:rPr>
                <w:rFonts w:ascii="Times New Roman" w:hAnsi="Times New Roman" w:cs="Times New Roman"/>
                <w:i/>
                <w:color w:val="808080" w:themeColor="background1" w:themeShade="80"/>
                <w:sz w:val="18"/>
                <w:szCs w:val="18"/>
              </w:rPr>
            </w:pPr>
            <w:r w:rsidRPr="00D62D81">
              <w:rPr>
                <w:rFonts w:ascii="Times New Roman" w:hAnsi="Times New Roman" w:cs="Times New Roman"/>
                <w:i/>
                <w:color w:val="808080" w:themeColor="background1" w:themeShade="80"/>
                <w:sz w:val="18"/>
                <w:szCs w:val="18"/>
              </w:rPr>
              <w:t>Miljøtils</w:t>
            </w:r>
            <w:r w:rsidR="00D62D81" w:rsidRPr="00D62D81">
              <w:rPr>
                <w:rFonts w:ascii="Times New Roman" w:hAnsi="Times New Roman" w:cs="Times New Roman"/>
                <w:i/>
                <w:color w:val="808080" w:themeColor="background1" w:themeShade="80"/>
                <w:sz w:val="18"/>
                <w:szCs w:val="18"/>
              </w:rPr>
              <w:t>ynsbekendtgørelsen, § 1, stk. 4</w:t>
            </w:r>
          </w:p>
          <w:p w14:paraId="1DA8116B" w14:textId="5ECE12C1" w:rsidR="008D7AD2" w:rsidRPr="008D7AD2" w:rsidRDefault="008D7AD2" w:rsidP="00D62D81">
            <w:pPr>
              <w:spacing w:after="0"/>
              <w:rPr>
                <w:rFonts w:ascii="Times New Roman" w:hAnsi="Times New Roman" w:cs="Times New Roman"/>
              </w:rPr>
            </w:pPr>
            <w:r w:rsidRPr="00D62D81">
              <w:rPr>
                <w:rFonts w:ascii="Times New Roman" w:hAnsi="Times New Roman" w:cs="Times New Roman"/>
                <w:color w:val="808080" w:themeColor="background1" w:themeShade="80"/>
                <w:sz w:val="18"/>
                <w:szCs w:val="18"/>
              </w:rPr>
              <w:t>Bekendtgørelsen gælder ikke tilsyn efter bekendtgørelse om kontrol med risikoen for st</w:t>
            </w:r>
            <w:r w:rsidR="00D62D81" w:rsidRPr="00D62D81">
              <w:rPr>
                <w:rFonts w:ascii="Times New Roman" w:hAnsi="Times New Roman" w:cs="Times New Roman"/>
                <w:color w:val="808080" w:themeColor="background1" w:themeShade="80"/>
                <w:sz w:val="18"/>
                <w:szCs w:val="18"/>
              </w:rPr>
              <w:t>ørre uheld med farlige stoffer.</w:t>
            </w:r>
          </w:p>
        </w:tc>
      </w:tr>
    </w:tbl>
    <w:p w14:paraId="761717DF" w14:textId="77777777" w:rsidR="008D7AD2" w:rsidRPr="008D7AD2" w:rsidRDefault="008D7AD2" w:rsidP="008D7AD2">
      <w:pPr>
        <w:rPr>
          <w:rFonts w:ascii="Times New Roman" w:hAnsi="Times New Roman" w:cs="Times New Roman"/>
        </w:rPr>
      </w:pPr>
      <w:r w:rsidRPr="008D7AD2">
        <w:rPr>
          <w:rFonts w:ascii="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7AD2" w:rsidRPr="00057DB2" w14:paraId="1AE98D07" w14:textId="77777777" w:rsidTr="00550B57">
        <w:trPr>
          <w:trHeight w:val="947"/>
        </w:trPr>
        <w:tc>
          <w:tcPr>
            <w:tcW w:w="9628" w:type="dxa"/>
            <w:shd w:val="clear" w:color="auto" w:fill="auto"/>
          </w:tcPr>
          <w:p w14:paraId="6EFBC084" w14:textId="77777777" w:rsidR="008D7AD2" w:rsidRPr="00057DB2" w:rsidRDefault="008D7AD2" w:rsidP="00057DB2">
            <w:pPr>
              <w:pStyle w:val="Overskrift1"/>
              <w:rPr>
                <w:sz w:val="24"/>
                <w:szCs w:val="24"/>
              </w:rPr>
            </w:pPr>
          </w:p>
          <w:p w14:paraId="4B15878E" w14:textId="74523676" w:rsidR="008D7AD2" w:rsidRPr="005C5C88" w:rsidRDefault="008D7AD2" w:rsidP="00550B57">
            <w:pPr>
              <w:pStyle w:val="Overskrift1"/>
            </w:pPr>
            <w:r w:rsidRPr="005C5C88">
              <w:t>4.2.3. Forholdet mellem miljøtilsynsbekendtgørelsen og andre regler</w:t>
            </w:r>
          </w:p>
          <w:p w14:paraId="13FE3951" w14:textId="77777777" w:rsidR="008D7AD2" w:rsidRPr="00057DB2" w:rsidRDefault="008D7AD2" w:rsidP="00057DB2">
            <w:pPr>
              <w:pStyle w:val="Overskrift1"/>
              <w:rPr>
                <w:sz w:val="24"/>
                <w:szCs w:val="24"/>
              </w:rPr>
            </w:pPr>
          </w:p>
        </w:tc>
      </w:tr>
      <w:tr w:rsidR="008D7AD2" w:rsidRPr="008D7AD2" w14:paraId="2DA32969" w14:textId="77777777" w:rsidTr="00550B57">
        <w:tc>
          <w:tcPr>
            <w:tcW w:w="9628" w:type="dxa"/>
            <w:shd w:val="clear" w:color="auto" w:fill="auto"/>
          </w:tcPr>
          <w:p w14:paraId="46500975" w14:textId="77777777" w:rsidR="008D7AD2" w:rsidRPr="008D7AD2" w:rsidRDefault="008D7AD2" w:rsidP="00550B57">
            <w:pPr>
              <w:pStyle w:val="Underoverskrift"/>
              <w:rPr>
                <w:b w:val="0"/>
              </w:rPr>
            </w:pPr>
          </w:p>
          <w:p w14:paraId="0787A420" w14:textId="608DBE59" w:rsidR="008D7AD2" w:rsidRPr="008D7AD2" w:rsidRDefault="004747EB" w:rsidP="00550B57">
            <w:pPr>
              <w:pStyle w:val="Underoverskrift"/>
              <w:rPr>
                <w:i/>
              </w:rPr>
            </w:pPr>
            <w:r w:rsidRPr="00D62D81">
              <w:t>Dambrugsbekendtgørelsen</w:t>
            </w:r>
          </w:p>
          <w:p w14:paraId="79B01233" w14:textId="06786EB1" w:rsidR="008D7AD2" w:rsidRPr="008D7AD2" w:rsidRDefault="008D7AD2" w:rsidP="00550B57">
            <w:pPr>
              <w:pStyle w:val="Underoverskrift"/>
              <w:rPr>
                <w:b w:val="0"/>
              </w:rPr>
            </w:pPr>
            <w:r w:rsidRPr="008D7AD2">
              <w:rPr>
                <w:b w:val="0"/>
              </w:rPr>
              <w:t>For nogle typer virksomheder eller husdyrbrug</w:t>
            </w:r>
            <w:r w:rsidR="00840D2B">
              <w:rPr>
                <w:b w:val="0"/>
              </w:rPr>
              <w:t xml:space="preserve"> m.v.</w:t>
            </w:r>
            <w:r w:rsidRPr="008D7AD2">
              <w:rPr>
                <w:b w:val="0"/>
              </w:rPr>
              <w:t xml:space="preserve"> kan der gælde særlige regler for tilsyn. </w:t>
            </w:r>
          </w:p>
          <w:p w14:paraId="72B71FAB" w14:textId="64E0A2D1" w:rsidR="008D7AD2" w:rsidRPr="008D7AD2" w:rsidRDefault="008D7AD2" w:rsidP="00550B57">
            <w:pPr>
              <w:pStyle w:val="Underoverskrift"/>
              <w:rPr>
                <w:b w:val="0"/>
              </w:rPr>
            </w:pPr>
            <w:r w:rsidRPr="008D7AD2">
              <w:rPr>
                <w:b w:val="0"/>
              </w:rPr>
              <w:t>Fx er tilsynet med ferskvandsdambrugene fastlagt i § 21 i bekendtgørelse om miljøgodkendelse og samtidig sagsbehandling af ferskvandsdambrug (</w:t>
            </w:r>
            <w:r w:rsidRPr="00057DB2">
              <w:rPr>
                <w:b w:val="0"/>
                <w:color w:val="00B050"/>
              </w:rPr>
              <w:t>dambrugsbekendtgørelsen</w:t>
            </w:r>
            <w:r w:rsidRPr="008D7AD2">
              <w:rPr>
                <w:b w:val="0"/>
              </w:rPr>
              <w:t xml:space="preserve">). Tilsynet omfatter mindst </w:t>
            </w:r>
            <w:r w:rsidRPr="005C5C88">
              <w:rPr>
                <w:b w:val="0"/>
              </w:rPr>
              <w:t xml:space="preserve">et årligt </w:t>
            </w:r>
            <w:r w:rsidR="00B61476" w:rsidRPr="005C5C88">
              <w:rPr>
                <w:b w:val="0"/>
                <w:color w:val="00B050"/>
              </w:rPr>
              <w:t>basis</w:t>
            </w:r>
            <w:r w:rsidR="00840D2B" w:rsidRPr="005C5C88">
              <w:rPr>
                <w:b w:val="0"/>
                <w:color w:val="00B050"/>
              </w:rPr>
              <w:t xml:space="preserve"> tilsyn</w:t>
            </w:r>
            <w:r w:rsidR="00B61476" w:rsidRPr="005C5C88">
              <w:rPr>
                <w:b w:val="0"/>
                <w:color w:val="00B050"/>
              </w:rPr>
              <w:t xml:space="preserve"> (4.1.1)</w:t>
            </w:r>
            <w:r w:rsidR="00840D2B" w:rsidRPr="00B61476">
              <w:rPr>
                <w:b w:val="0"/>
              </w:rPr>
              <w:t xml:space="preserve"> </w:t>
            </w:r>
            <w:r w:rsidR="00840D2B">
              <w:rPr>
                <w:b w:val="0"/>
              </w:rPr>
              <w:t>med</w:t>
            </w:r>
            <w:r w:rsidRPr="008D7AD2">
              <w:rPr>
                <w:b w:val="0"/>
              </w:rPr>
              <w:t xml:space="preserve"> alle dambrug i kommunen. Dambrugsbekendtgørelsens § 21, stk. 2, er en særregel, der (efter </w:t>
            </w:r>
            <w:r w:rsidRPr="008D7AD2">
              <w:rPr>
                <w:b w:val="0"/>
                <w:i/>
              </w:rPr>
              <w:t xml:space="preserve">lex </w:t>
            </w:r>
            <w:proofErr w:type="spellStart"/>
            <w:r w:rsidRPr="008D7AD2">
              <w:rPr>
                <w:b w:val="0"/>
                <w:i/>
              </w:rPr>
              <w:t>specialis</w:t>
            </w:r>
            <w:proofErr w:type="spellEnd"/>
            <w:r w:rsidRPr="008D7AD2">
              <w:rPr>
                <w:b w:val="0"/>
                <w:i/>
              </w:rPr>
              <w:t xml:space="preserve"> </w:t>
            </w:r>
            <w:r w:rsidRPr="008D7AD2">
              <w:rPr>
                <w:b w:val="0"/>
              </w:rPr>
              <w:t xml:space="preserve">princippet) går forud for miljøtilsynsbekendtgørelsens minimumskrav til tilsynsaktiviteten. </w:t>
            </w:r>
          </w:p>
          <w:p w14:paraId="7646C7BF" w14:textId="77777777" w:rsidR="008D7AD2" w:rsidRPr="008D7AD2" w:rsidRDefault="008D7AD2" w:rsidP="00550B57">
            <w:pPr>
              <w:pStyle w:val="Underoverskrift"/>
              <w:rPr>
                <w:b w:val="0"/>
              </w:rPr>
            </w:pPr>
          </w:p>
          <w:p w14:paraId="1469E87E" w14:textId="09FB39B1" w:rsidR="005D4670" w:rsidRDefault="008D7AD2" w:rsidP="00550B57">
            <w:pPr>
              <w:pStyle w:val="Underoverskrift"/>
              <w:rPr>
                <w:b w:val="0"/>
              </w:rPr>
            </w:pPr>
            <w:r w:rsidRPr="008D7AD2">
              <w:rPr>
                <w:b w:val="0"/>
              </w:rPr>
              <w:t xml:space="preserve">Som tilsynsmyndighed skal du altså ikke foretage risikovurdering af virksomheder, der er omfattet af dambrugsbekendtgørelsen. Dette fremgår af § 4, stk. 2. Vær opmærksom på, at ferskvandsdambrug er omfattet af de øvrige krav i miljøtilsynsbekendtgørelsen. Det omfatter kravet om </w:t>
            </w:r>
            <w:r w:rsidRPr="005C5C88">
              <w:rPr>
                <w:b w:val="0"/>
                <w:color w:val="00B050"/>
              </w:rPr>
              <w:t xml:space="preserve">udarbejdelse og offentliggørelse af tilsynsrapport </w:t>
            </w:r>
            <w:r w:rsidR="00B61476" w:rsidRPr="005C5C88">
              <w:rPr>
                <w:b w:val="0"/>
                <w:color w:val="00B050"/>
              </w:rPr>
              <w:t>(3.4)</w:t>
            </w:r>
            <w:r w:rsidRPr="008D7AD2">
              <w:rPr>
                <w:b w:val="0"/>
              </w:rPr>
              <w:t xml:space="preserve"> og afgivelse og offentliggørelse </w:t>
            </w:r>
            <w:r w:rsidRPr="005C5C88">
              <w:rPr>
                <w:b w:val="0"/>
                <w:color w:val="00B050"/>
              </w:rPr>
              <w:t xml:space="preserve">af oplysninger </w:t>
            </w:r>
            <w:r w:rsidR="00B61476" w:rsidRPr="005C5C88">
              <w:rPr>
                <w:b w:val="0"/>
                <w:color w:val="00B050"/>
              </w:rPr>
              <w:t>(3.5)"</w:t>
            </w:r>
            <w:r w:rsidRPr="008D7AD2">
              <w:rPr>
                <w:b w:val="0"/>
              </w:rPr>
              <w:t xml:space="preserve">. Du kan læse mere om ferskvandsdambrug i afsnittet </w:t>
            </w:r>
            <w:r w:rsidRPr="00057DB2">
              <w:rPr>
                <w:b w:val="0"/>
                <w:color w:val="00B050"/>
              </w:rPr>
              <w:t>”</w:t>
            </w:r>
            <w:r w:rsidR="005D4670" w:rsidRPr="005C5C88">
              <w:rPr>
                <w:b w:val="0"/>
                <w:color w:val="00B050"/>
              </w:rPr>
              <w:t>Virksomheder omfattet af kravet om regelmæssige tilsyn, men undtaget af nogle af bekendtgørelsens krav</w:t>
            </w:r>
            <w:r w:rsidR="005D4670" w:rsidRPr="00057DB2">
              <w:rPr>
                <w:b w:val="0"/>
                <w:color w:val="00B050"/>
              </w:rPr>
              <w:t>” (</w:t>
            </w:r>
            <w:r w:rsidR="005D4670" w:rsidRPr="005C5C88">
              <w:rPr>
                <w:b w:val="0"/>
                <w:color w:val="00B050"/>
              </w:rPr>
              <w:t>4.3.2</w:t>
            </w:r>
            <w:r w:rsidR="005D4670" w:rsidRPr="00057DB2">
              <w:rPr>
                <w:b w:val="0"/>
                <w:color w:val="00B050"/>
              </w:rPr>
              <w:t>)</w:t>
            </w:r>
            <w:r w:rsidR="005D4670" w:rsidRPr="000B64A0">
              <w:rPr>
                <w:b w:val="0"/>
              </w:rPr>
              <w:t>.</w:t>
            </w:r>
          </w:p>
          <w:p w14:paraId="7927835D" w14:textId="77777777" w:rsidR="008D7AD2" w:rsidRPr="008D7AD2" w:rsidRDefault="008D7AD2" w:rsidP="00550B57">
            <w:pPr>
              <w:pStyle w:val="Underoverskrift"/>
              <w:rPr>
                <w:b w:val="0"/>
              </w:rPr>
            </w:pPr>
          </w:p>
          <w:p w14:paraId="3BE15B26" w14:textId="5C21B18B" w:rsidR="004747EB" w:rsidRPr="00D62D81" w:rsidRDefault="004747EB" w:rsidP="00550B57">
            <w:pPr>
              <w:pStyle w:val="Underoverskrift"/>
            </w:pPr>
            <w:r w:rsidRPr="00D62D81">
              <w:t>Risikobekendtgørelsen</w:t>
            </w:r>
          </w:p>
          <w:p w14:paraId="7BE76CC2" w14:textId="64067748" w:rsidR="008D7AD2" w:rsidRPr="008D7AD2" w:rsidRDefault="008D7AD2" w:rsidP="00550B57">
            <w:pPr>
              <w:pStyle w:val="Underoverskrift"/>
              <w:rPr>
                <w:b w:val="0"/>
              </w:rPr>
            </w:pPr>
            <w:r w:rsidRPr="008D7AD2">
              <w:rPr>
                <w:b w:val="0"/>
              </w:rPr>
              <w:t>Risikotilsyn på virksomheder, der er omfattet af bekendtgørelse om kontrol med risikoen for større uheld med farlige stoffer (</w:t>
            </w:r>
            <w:r w:rsidRPr="00057DB2">
              <w:rPr>
                <w:b w:val="0"/>
                <w:color w:val="00B050"/>
              </w:rPr>
              <w:t>risikobekendtgørelsen</w:t>
            </w:r>
            <w:r w:rsidRPr="008D7AD2">
              <w:rPr>
                <w:b w:val="0"/>
              </w:rPr>
              <w:t>), skal planlægges, forberedes og udføres efter reglerne i risikobekendtgørelsen, dvs. på grundlag af et tilsynsprogram for planlagte tilsyn og efter nærmere fastsatte retningslinjer for ikke-planlagte tilsyn</w:t>
            </w:r>
            <w:r w:rsidR="00B61476">
              <w:rPr>
                <w:b w:val="0"/>
              </w:rPr>
              <w:t xml:space="preserve"> iht. §§ 20-22 i </w:t>
            </w:r>
            <w:r w:rsidR="00B61476" w:rsidRPr="005C5C88">
              <w:rPr>
                <w:b w:val="0"/>
                <w:color w:val="00B050"/>
              </w:rPr>
              <w:t>risikobekendtgørelsen</w:t>
            </w:r>
            <w:r w:rsidRPr="008D7AD2">
              <w:rPr>
                <w:b w:val="0"/>
              </w:rPr>
              <w:t xml:space="preserve">. Dette følger udtrykkeligt af miljøtilsynsbekendtgørelsens § 1, stk. 4, hvor det fremgår, at miljøtilsynsbekendtgørelsen ikke gælder tilsyn efter risikobekendtgørelsen. </w:t>
            </w:r>
          </w:p>
          <w:p w14:paraId="784456EB" w14:textId="77777777" w:rsidR="008D7AD2" w:rsidRPr="005D4670" w:rsidRDefault="008D7AD2" w:rsidP="00550B57">
            <w:pPr>
              <w:pStyle w:val="Underoverskrift"/>
              <w:rPr>
                <w:b w:val="0"/>
              </w:rPr>
            </w:pPr>
          </w:p>
          <w:p w14:paraId="70C76CBB" w14:textId="77777777" w:rsidR="008D7AD2" w:rsidRPr="008D7AD2" w:rsidRDefault="008D7AD2" w:rsidP="008D7AD2">
            <w:pPr>
              <w:rPr>
                <w:rFonts w:ascii="Times New Roman" w:hAnsi="Times New Roman" w:cs="Times New Roman"/>
              </w:rPr>
            </w:pPr>
            <w:r w:rsidRPr="005C5C88">
              <w:rPr>
                <w:rFonts w:ascii="Times New Roman" w:hAnsi="Times New Roman" w:cs="Times New Roman"/>
                <w:sz w:val="24"/>
                <w:szCs w:val="24"/>
              </w:rPr>
              <w:t>Du kan læse mere om risikotilsynet i afsnittet ”</w:t>
            </w:r>
            <w:r w:rsidRPr="005C5C88">
              <w:rPr>
                <w:rFonts w:ascii="Times New Roman" w:hAnsi="Times New Roman" w:cs="Times New Roman"/>
                <w:color w:val="00B050"/>
                <w:sz w:val="24"/>
                <w:szCs w:val="24"/>
              </w:rPr>
              <w:t>Hvilke tilsyn er ikke omfattet?” (4.2.2)</w:t>
            </w:r>
            <w:r w:rsidRPr="005C5C88">
              <w:rPr>
                <w:rFonts w:ascii="Times New Roman" w:hAnsi="Times New Roman" w:cs="Times New Roman"/>
                <w:sz w:val="24"/>
                <w:szCs w:val="24"/>
              </w:rPr>
              <w:t>.</w:t>
            </w:r>
          </w:p>
        </w:tc>
      </w:tr>
      <w:tr w:rsidR="008D7AD2" w:rsidRPr="008D7AD2" w14:paraId="71D3B4B6" w14:textId="77777777" w:rsidTr="00550B57">
        <w:tc>
          <w:tcPr>
            <w:tcW w:w="9628" w:type="dxa"/>
            <w:shd w:val="clear" w:color="auto" w:fill="auto"/>
          </w:tcPr>
          <w:p w14:paraId="67787523" w14:textId="77777777" w:rsidR="008D7AD2" w:rsidRPr="008D7AD2" w:rsidRDefault="008D7AD2" w:rsidP="00550B57">
            <w:pPr>
              <w:pStyle w:val="Underoverskrift"/>
            </w:pPr>
            <w:r w:rsidRPr="008D7AD2">
              <w:t>Retsgrundlag</w:t>
            </w:r>
          </w:p>
          <w:p w14:paraId="1AC8E544" w14:textId="22B26ADB" w:rsidR="008D7AD2" w:rsidRPr="00D62D81" w:rsidRDefault="008D7AD2" w:rsidP="008D7AD2">
            <w:pPr>
              <w:spacing w:after="0"/>
              <w:rPr>
                <w:rFonts w:ascii="Times New Roman" w:hAnsi="Times New Roman" w:cs="Times New Roman"/>
                <w:i/>
                <w:color w:val="808080" w:themeColor="background1" w:themeShade="80"/>
                <w:sz w:val="18"/>
                <w:szCs w:val="18"/>
              </w:rPr>
            </w:pPr>
            <w:r w:rsidRPr="00D62D81">
              <w:rPr>
                <w:rFonts w:ascii="Times New Roman" w:hAnsi="Times New Roman" w:cs="Times New Roman"/>
                <w:i/>
                <w:color w:val="808080" w:themeColor="background1" w:themeShade="80"/>
                <w:sz w:val="18"/>
                <w:szCs w:val="18"/>
              </w:rPr>
              <w:t>Miljøtilsynsbekendtgørelsen, § 1, stk. 4</w:t>
            </w:r>
          </w:p>
          <w:p w14:paraId="281012B5" w14:textId="77005440" w:rsidR="008D7AD2" w:rsidRPr="00D62D81" w:rsidRDefault="008D7AD2" w:rsidP="008D7AD2">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Bekendtgørelsen gælder ikke tilsyn efter bekendtgørelse om kontrol med risikoen for større uheld med farlige stoffer.</w:t>
            </w:r>
          </w:p>
          <w:p w14:paraId="0BAA7BA7" w14:textId="77777777" w:rsidR="008D7AD2" w:rsidRPr="00D62D81" w:rsidRDefault="008D7AD2" w:rsidP="008D7AD2">
            <w:pPr>
              <w:spacing w:after="0"/>
              <w:rPr>
                <w:rFonts w:ascii="Times New Roman" w:hAnsi="Times New Roman" w:cs="Times New Roman"/>
                <w:color w:val="808080" w:themeColor="background1" w:themeShade="80"/>
                <w:sz w:val="18"/>
                <w:szCs w:val="18"/>
              </w:rPr>
            </w:pPr>
          </w:p>
          <w:p w14:paraId="483FE429" w14:textId="77777777" w:rsidR="00D62D81" w:rsidRPr="00D62D81" w:rsidRDefault="008D7AD2" w:rsidP="008D7AD2">
            <w:pPr>
              <w:spacing w:after="0"/>
              <w:rPr>
                <w:rFonts w:ascii="Times New Roman" w:hAnsi="Times New Roman" w:cs="Times New Roman"/>
                <w:i/>
                <w:color w:val="808080" w:themeColor="background1" w:themeShade="80"/>
                <w:sz w:val="18"/>
                <w:szCs w:val="18"/>
              </w:rPr>
            </w:pPr>
            <w:r w:rsidRPr="00D62D81">
              <w:rPr>
                <w:rFonts w:ascii="Times New Roman" w:hAnsi="Times New Roman" w:cs="Times New Roman"/>
                <w:i/>
                <w:color w:val="808080" w:themeColor="background1" w:themeShade="80"/>
                <w:sz w:val="18"/>
                <w:szCs w:val="18"/>
              </w:rPr>
              <w:t>Miljøtilsynsbekendtgørelsen, § 5, stk. 3</w:t>
            </w:r>
          </w:p>
          <w:p w14:paraId="35BF2E4D" w14:textId="1DF9E706" w:rsidR="008D7AD2" w:rsidRPr="00D62D81" w:rsidRDefault="008D7AD2" w:rsidP="00D62D81">
            <w:pPr>
              <w:spacing w:after="0"/>
              <w:rPr>
                <w:rFonts w:ascii="Times New Roman" w:hAnsi="Times New Roman" w:cs="Times New Roman"/>
                <w:color w:val="808080" w:themeColor="background1" w:themeShade="80"/>
                <w:sz w:val="18"/>
                <w:szCs w:val="18"/>
              </w:rPr>
            </w:pPr>
            <w:r w:rsidRPr="00D62D81">
              <w:rPr>
                <w:rFonts w:ascii="Times New Roman" w:hAnsi="Times New Roman" w:cs="Times New Roman"/>
                <w:color w:val="808080" w:themeColor="background1" w:themeShade="80"/>
                <w:sz w:val="18"/>
                <w:szCs w:val="18"/>
              </w:rPr>
              <w:t xml:space="preserve">For virksomheder omfattet af bekendtgørelse om miljøgodkendelse og samtidig sagsbehandling af ferskvandsdambrug gælder </w:t>
            </w:r>
            <w:r w:rsidR="00D62D81">
              <w:rPr>
                <w:rFonts w:ascii="Times New Roman" w:hAnsi="Times New Roman" w:cs="Times New Roman"/>
                <w:color w:val="808080" w:themeColor="background1" w:themeShade="80"/>
                <w:sz w:val="18"/>
                <w:szCs w:val="18"/>
              </w:rPr>
              <w:t>tilsynsfrekvensen fastsat heri.</w:t>
            </w:r>
          </w:p>
          <w:p w14:paraId="01E2B8AF" w14:textId="0A3887D2" w:rsidR="00D62D81" w:rsidRPr="008D7AD2" w:rsidRDefault="00D62D81" w:rsidP="00D62D81">
            <w:pPr>
              <w:spacing w:after="0"/>
              <w:rPr>
                <w:rFonts w:ascii="Times New Roman" w:hAnsi="Times New Roman" w:cs="Times New Roman"/>
              </w:rPr>
            </w:pPr>
          </w:p>
        </w:tc>
      </w:tr>
    </w:tbl>
    <w:p w14:paraId="1BC12647" w14:textId="77777777" w:rsidR="00446459" w:rsidRPr="008D7AD2" w:rsidRDefault="00446459" w:rsidP="008008E8">
      <w:pPr>
        <w:rPr>
          <w:rFonts w:ascii="Times New Roman" w:hAnsi="Times New Roman" w:cs="Times New Roman"/>
        </w:rPr>
      </w:pPr>
    </w:p>
    <w:sectPr w:rsidR="00446459" w:rsidRPr="008D7AD2">
      <w:headerReference w:type="even" r:id="rId13"/>
      <w:headerReference w:type="default" r:id="rId14"/>
      <w:footerReference w:type="default" r:id="rId15"/>
      <w:head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5840" w14:textId="77777777" w:rsidR="005D31AB" w:rsidRDefault="005D4670">
      <w:pPr>
        <w:spacing w:after="0" w:line="240" w:lineRule="auto"/>
      </w:pPr>
      <w:r>
        <w:separator/>
      </w:r>
    </w:p>
  </w:endnote>
  <w:endnote w:type="continuationSeparator" w:id="0">
    <w:p w14:paraId="227AF734" w14:textId="77777777" w:rsidR="005D31AB" w:rsidRDefault="005D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39040499"/>
      <w:docPartObj>
        <w:docPartGallery w:val="Page Numbers (Bottom of Page)"/>
        <w:docPartUnique/>
      </w:docPartObj>
    </w:sdtPr>
    <w:sdtEndPr/>
    <w:sdtContent>
      <w:p w14:paraId="65307149" w14:textId="76B71CE5" w:rsidR="00E03EDC" w:rsidRPr="00E03EDC" w:rsidRDefault="00E03EDC">
        <w:pPr>
          <w:pStyle w:val="Sidefod"/>
          <w:jc w:val="center"/>
          <w:rPr>
            <w:sz w:val="18"/>
            <w:szCs w:val="18"/>
          </w:rPr>
        </w:pPr>
        <w:r w:rsidRPr="00E03EDC">
          <w:rPr>
            <w:sz w:val="18"/>
            <w:szCs w:val="18"/>
          </w:rPr>
          <w:fldChar w:fldCharType="begin"/>
        </w:r>
        <w:r w:rsidRPr="00E03EDC">
          <w:rPr>
            <w:sz w:val="18"/>
            <w:szCs w:val="18"/>
          </w:rPr>
          <w:instrText>PAGE   \* MERGEFORMAT</w:instrText>
        </w:r>
        <w:r w:rsidRPr="00E03EDC">
          <w:rPr>
            <w:sz w:val="18"/>
            <w:szCs w:val="18"/>
          </w:rPr>
          <w:fldChar w:fldCharType="separate"/>
        </w:r>
        <w:r w:rsidR="00923F54">
          <w:rPr>
            <w:noProof/>
            <w:sz w:val="18"/>
            <w:szCs w:val="18"/>
          </w:rPr>
          <w:t>8</w:t>
        </w:r>
        <w:r w:rsidRPr="00E03EDC">
          <w:rPr>
            <w:sz w:val="18"/>
            <w:szCs w:val="18"/>
          </w:rPr>
          <w:fldChar w:fldCharType="end"/>
        </w:r>
      </w:p>
    </w:sdtContent>
  </w:sdt>
  <w:p w14:paraId="7B87FE74" w14:textId="77777777" w:rsidR="00A22660" w:rsidRDefault="00923F54" w:rsidP="002534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78A5F" w14:textId="77777777" w:rsidR="005D31AB" w:rsidRDefault="005D4670">
      <w:pPr>
        <w:spacing w:after="0" w:line="240" w:lineRule="auto"/>
      </w:pPr>
      <w:r>
        <w:separator/>
      </w:r>
    </w:p>
  </w:footnote>
  <w:footnote w:type="continuationSeparator" w:id="0">
    <w:p w14:paraId="2B25162A" w14:textId="77777777" w:rsidR="005D31AB" w:rsidRDefault="005D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A104" w14:textId="77777777" w:rsidR="00A22660" w:rsidRDefault="00923F54" w:rsidP="002534E3">
    <w:pPr>
      <w:pStyle w:val="Sidehoved"/>
    </w:pPr>
    <w:r>
      <w:rPr>
        <w:noProof/>
      </w:rPr>
      <w:pict w14:anchorId="1A100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7157" o:spid="_x0000_s2050" type="#_x0000_t136" alt="" style="position:absolute;margin-left:0;margin-top:0;width:509.55pt;height:169.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2608" w14:textId="77777777" w:rsidR="00A22660" w:rsidRDefault="00923F54" w:rsidP="002534E3">
    <w:pPr>
      <w:pStyle w:val="Sidehoved"/>
    </w:pPr>
    <w:r>
      <w:rPr>
        <w:noProof/>
      </w:rPr>
      <w:pict w14:anchorId="74982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7158" o:spid="_x0000_s2051"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3210" w14:textId="77777777" w:rsidR="00A22660" w:rsidRDefault="00923F54" w:rsidP="002534E3">
    <w:pPr>
      <w:pStyle w:val="Sidehoved"/>
    </w:pPr>
    <w:r>
      <w:rPr>
        <w:noProof/>
      </w:rPr>
      <w:pict w14:anchorId="0BC77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7156" o:spid="_x0000_s2049" type="#_x0000_t136" alt="" style="position:absolute;margin-left:0;margin-top:0;width:509.55pt;height:169.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48C3E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E8A3DAD"/>
    <w:multiLevelType w:val="hybridMultilevel"/>
    <w:tmpl w:val="9F4E0C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D2"/>
    <w:rsid w:val="000036D3"/>
    <w:rsid w:val="00004D2B"/>
    <w:rsid w:val="00006B08"/>
    <w:rsid w:val="000116E9"/>
    <w:rsid w:val="00016866"/>
    <w:rsid w:val="000240F3"/>
    <w:rsid w:val="0002541A"/>
    <w:rsid w:val="00030DB5"/>
    <w:rsid w:val="00036B50"/>
    <w:rsid w:val="000419FA"/>
    <w:rsid w:val="00041F9F"/>
    <w:rsid w:val="00050BCC"/>
    <w:rsid w:val="00055BCC"/>
    <w:rsid w:val="00057DB2"/>
    <w:rsid w:val="00062B68"/>
    <w:rsid w:val="000652C3"/>
    <w:rsid w:val="00066DE8"/>
    <w:rsid w:val="00070B08"/>
    <w:rsid w:val="000752C4"/>
    <w:rsid w:val="00075CC7"/>
    <w:rsid w:val="00077DEF"/>
    <w:rsid w:val="00081BAF"/>
    <w:rsid w:val="00082321"/>
    <w:rsid w:val="0008531F"/>
    <w:rsid w:val="000A0713"/>
    <w:rsid w:val="000A27B9"/>
    <w:rsid w:val="000A29E6"/>
    <w:rsid w:val="000A313F"/>
    <w:rsid w:val="000A71EB"/>
    <w:rsid w:val="000B4C2E"/>
    <w:rsid w:val="000B64A0"/>
    <w:rsid w:val="000C0BC2"/>
    <w:rsid w:val="000C2636"/>
    <w:rsid w:val="000C5406"/>
    <w:rsid w:val="000C58D1"/>
    <w:rsid w:val="000C5DA9"/>
    <w:rsid w:val="000D1138"/>
    <w:rsid w:val="000D2129"/>
    <w:rsid w:val="000D6481"/>
    <w:rsid w:val="000E4B3E"/>
    <w:rsid w:val="000E6C4C"/>
    <w:rsid w:val="000F1826"/>
    <w:rsid w:val="000F2D7B"/>
    <w:rsid w:val="000F6171"/>
    <w:rsid w:val="000F79F8"/>
    <w:rsid w:val="00103FD6"/>
    <w:rsid w:val="00106069"/>
    <w:rsid w:val="001111E9"/>
    <w:rsid w:val="00111EB3"/>
    <w:rsid w:val="001160CD"/>
    <w:rsid w:val="00116CB7"/>
    <w:rsid w:val="00120D5D"/>
    <w:rsid w:val="00121EBA"/>
    <w:rsid w:val="00121FAD"/>
    <w:rsid w:val="001223AC"/>
    <w:rsid w:val="0012316C"/>
    <w:rsid w:val="00124174"/>
    <w:rsid w:val="00130D2E"/>
    <w:rsid w:val="00133BA5"/>
    <w:rsid w:val="00135855"/>
    <w:rsid w:val="001436D4"/>
    <w:rsid w:val="00147B83"/>
    <w:rsid w:val="00154166"/>
    <w:rsid w:val="00160A63"/>
    <w:rsid w:val="00164AB5"/>
    <w:rsid w:val="001700ED"/>
    <w:rsid w:val="00174B8B"/>
    <w:rsid w:val="0017509A"/>
    <w:rsid w:val="00176011"/>
    <w:rsid w:val="0018397F"/>
    <w:rsid w:val="001866D2"/>
    <w:rsid w:val="00186E91"/>
    <w:rsid w:val="001910D2"/>
    <w:rsid w:val="001A2D3F"/>
    <w:rsid w:val="001A4E1C"/>
    <w:rsid w:val="001B5745"/>
    <w:rsid w:val="001C034F"/>
    <w:rsid w:val="001C26F3"/>
    <w:rsid w:val="001C32A2"/>
    <w:rsid w:val="001D0851"/>
    <w:rsid w:val="001D3133"/>
    <w:rsid w:val="001D5D66"/>
    <w:rsid w:val="001E106C"/>
    <w:rsid w:val="001E2112"/>
    <w:rsid w:val="001E296F"/>
    <w:rsid w:val="001E3CB2"/>
    <w:rsid w:val="001E3D65"/>
    <w:rsid w:val="00201C43"/>
    <w:rsid w:val="00203F4B"/>
    <w:rsid w:val="0020479E"/>
    <w:rsid w:val="00204F91"/>
    <w:rsid w:val="0021163C"/>
    <w:rsid w:val="00212AF3"/>
    <w:rsid w:val="00222476"/>
    <w:rsid w:val="00226473"/>
    <w:rsid w:val="00226C06"/>
    <w:rsid w:val="00227DF1"/>
    <w:rsid w:val="002310B4"/>
    <w:rsid w:val="00231950"/>
    <w:rsid w:val="00233416"/>
    <w:rsid w:val="00243117"/>
    <w:rsid w:val="00255BC7"/>
    <w:rsid w:val="002579E5"/>
    <w:rsid w:val="00260A2E"/>
    <w:rsid w:val="00261E9A"/>
    <w:rsid w:val="002637F0"/>
    <w:rsid w:val="00263DD1"/>
    <w:rsid w:val="00264DE9"/>
    <w:rsid w:val="002676A8"/>
    <w:rsid w:val="00270058"/>
    <w:rsid w:val="00272392"/>
    <w:rsid w:val="00273964"/>
    <w:rsid w:val="00274806"/>
    <w:rsid w:val="00281409"/>
    <w:rsid w:val="002857AA"/>
    <w:rsid w:val="00286549"/>
    <w:rsid w:val="00294FD3"/>
    <w:rsid w:val="00296788"/>
    <w:rsid w:val="00296F20"/>
    <w:rsid w:val="0029781C"/>
    <w:rsid w:val="002A2D56"/>
    <w:rsid w:val="002A380F"/>
    <w:rsid w:val="002A400D"/>
    <w:rsid w:val="002A7529"/>
    <w:rsid w:val="002B1DB7"/>
    <w:rsid w:val="002B6480"/>
    <w:rsid w:val="002B7D5E"/>
    <w:rsid w:val="002C37A9"/>
    <w:rsid w:val="002C618C"/>
    <w:rsid w:val="002D3D07"/>
    <w:rsid w:val="002D422E"/>
    <w:rsid w:val="002D4583"/>
    <w:rsid w:val="002E2BBE"/>
    <w:rsid w:val="002E6645"/>
    <w:rsid w:val="002F4CEC"/>
    <w:rsid w:val="002F54BA"/>
    <w:rsid w:val="003001B9"/>
    <w:rsid w:val="003079E0"/>
    <w:rsid w:val="00310058"/>
    <w:rsid w:val="00321468"/>
    <w:rsid w:val="003251AD"/>
    <w:rsid w:val="0032592B"/>
    <w:rsid w:val="003307D4"/>
    <w:rsid w:val="00333FC8"/>
    <w:rsid w:val="00336A71"/>
    <w:rsid w:val="00337DBC"/>
    <w:rsid w:val="00340D93"/>
    <w:rsid w:val="0034717D"/>
    <w:rsid w:val="003556F2"/>
    <w:rsid w:val="003576B3"/>
    <w:rsid w:val="00363013"/>
    <w:rsid w:val="0036335D"/>
    <w:rsid w:val="003647E9"/>
    <w:rsid w:val="0036573A"/>
    <w:rsid w:val="00372B67"/>
    <w:rsid w:val="00372E05"/>
    <w:rsid w:val="0037492C"/>
    <w:rsid w:val="003755B8"/>
    <w:rsid w:val="00377CD3"/>
    <w:rsid w:val="0038654C"/>
    <w:rsid w:val="003917A5"/>
    <w:rsid w:val="00393889"/>
    <w:rsid w:val="003943E8"/>
    <w:rsid w:val="003945E0"/>
    <w:rsid w:val="003959A7"/>
    <w:rsid w:val="00397937"/>
    <w:rsid w:val="003A00A7"/>
    <w:rsid w:val="003B1C71"/>
    <w:rsid w:val="003B374F"/>
    <w:rsid w:val="003B4557"/>
    <w:rsid w:val="003C2EE4"/>
    <w:rsid w:val="003C4403"/>
    <w:rsid w:val="003D7A85"/>
    <w:rsid w:val="003E22D0"/>
    <w:rsid w:val="003E45FA"/>
    <w:rsid w:val="00403961"/>
    <w:rsid w:val="00420F0B"/>
    <w:rsid w:val="00421916"/>
    <w:rsid w:val="00421B43"/>
    <w:rsid w:val="00421CAE"/>
    <w:rsid w:val="004228D2"/>
    <w:rsid w:val="0042292A"/>
    <w:rsid w:val="00430207"/>
    <w:rsid w:val="00433E50"/>
    <w:rsid w:val="0044062D"/>
    <w:rsid w:val="00441013"/>
    <w:rsid w:val="0044151E"/>
    <w:rsid w:val="00445B64"/>
    <w:rsid w:val="00446079"/>
    <w:rsid w:val="00446459"/>
    <w:rsid w:val="00452739"/>
    <w:rsid w:val="00452D56"/>
    <w:rsid w:val="00453F6F"/>
    <w:rsid w:val="00455426"/>
    <w:rsid w:val="004572B8"/>
    <w:rsid w:val="004737B4"/>
    <w:rsid w:val="004747EB"/>
    <w:rsid w:val="00475584"/>
    <w:rsid w:val="00476DEE"/>
    <w:rsid w:val="004814AE"/>
    <w:rsid w:val="00483B78"/>
    <w:rsid w:val="004849EA"/>
    <w:rsid w:val="0049323D"/>
    <w:rsid w:val="004933B3"/>
    <w:rsid w:val="004960D9"/>
    <w:rsid w:val="004A0CD7"/>
    <w:rsid w:val="004A570F"/>
    <w:rsid w:val="004B26FB"/>
    <w:rsid w:val="004B4FAC"/>
    <w:rsid w:val="004B50B1"/>
    <w:rsid w:val="004B7E78"/>
    <w:rsid w:val="004C213E"/>
    <w:rsid w:val="004D1533"/>
    <w:rsid w:val="004D198C"/>
    <w:rsid w:val="004D1E26"/>
    <w:rsid w:val="004D466B"/>
    <w:rsid w:val="004D6562"/>
    <w:rsid w:val="004E0220"/>
    <w:rsid w:val="004F19B1"/>
    <w:rsid w:val="004F41EE"/>
    <w:rsid w:val="004F4D84"/>
    <w:rsid w:val="004F52CB"/>
    <w:rsid w:val="0050675D"/>
    <w:rsid w:val="00510AEE"/>
    <w:rsid w:val="00512F75"/>
    <w:rsid w:val="00517224"/>
    <w:rsid w:val="00517AE6"/>
    <w:rsid w:val="0052104C"/>
    <w:rsid w:val="005228B4"/>
    <w:rsid w:val="005252EC"/>
    <w:rsid w:val="00525D04"/>
    <w:rsid w:val="00531018"/>
    <w:rsid w:val="005351EB"/>
    <w:rsid w:val="00541539"/>
    <w:rsid w:val="005441DA"/>
    <w:rsid w:val="00544CF5"/>
    <w:rsid w:val="00545D75"/>
    <w:rsid w:val="00550FE6"/>
    <w:rsid w:val="0055147B"/>
    <w:rsid w:val="00552541"/>
    <w:rsid w:val="00553AC3"/>
    <w:rsid w:val="00553F4B"/>
    <w:rsid w:val="00560A1E"/>
    <w:rsid w:val="005640A7"/>
    <w:rsid w:val="005648DA"/>
    <w:rsid w:val="00566D67"/>
    <w:rsid w:val="00573D5F"/>
    <w:rsid w:val="005810AC"/>
    <w:rsid w:val="005841D6"/>
    <w:rsid w:val="0058569D"/>
    <w:rsid w:val="005915AC"/>
    <w:rsid w:val="00591A1B"/>
    <w:rsid w:val="00596BAE"/>
    <w:rsid w:val="005A5949"/>
    <w:rsid w:val="005B4EC1"/>
    <w:rsid w:val="005B5527"/>
    <w:rsid w:val="005C0185"/>
    <w:rsid w:val="005C11C9"/>
    <w:rsid w:val="005C296F"/>
    <w:rsid w:val="005C524B"/>
    <w:rsid w:val="005C5C88"/>
    <w:rsid w:val="005C6404"/>
    <w:rsid w:val="005C6E04"/>
    <w:rsid w:val="005D31AB"/>
    <w:rsid w:val="005D4670"/>
    <w:rsid w:val="005D5F14"/>
    <w:rsid w:val="005D6CA3"/>
    <w:rsid w:val="005D7D6E"/>
    <w:rsid w:val="005E1E87"/>
    <w:rsid w:val="005E409C"/>
    <w:rsid w:val="005E55C0"/>
    <w:rsid w:val="005E5626"/>
    <w:rsid w:val="005F04F9"/>
    <w:rsid w:val="005F30EF"/>
    <w:rsid w:val="005F3CEC"/>
    <w:rsid w:val="006015C5"/>
    <w:rsid w:val="00607FB4"/>
    <w:rsid w:val="00632C9C"/>
    <w:rsid w:val="0064189D"/>
    <w:rsid w:val="00650BC5"/>
    <w:rsid w:val="00653010"/>
    <w:rsid w:val="00653D93"/>
    <w:rsid w:val="00657652"/>
    <w:rsid w:val="00661A24"/>
    <w:rsid w:val="006671E3"/>
    <w:rsid w:val="0067195D"/>
    <w:rsid w:val="0067472C"/>
    <w:rsid w:val="006777FA"/>
    <w:rsid w:val="00686328"/>
    <w:rsid w:val="006879B7"/>
    <w:rsid w:val="00690795"/>
    <w:rsid w:val="006A4834"/>
    <w:rsid w:val="006B43CC"/>
    <w:rsid w:val="006C1083"/>
    <w:rsid w:val="006C3717"/>
    <w:rsid w:val="006C5FAE"/>
    <w:rsid w:val="006D767C"/>
    <w:rsid w:val="006E0693"/>
    <w:rsid w:val="006E5459"/>
    <w:rsid w:val="006F1F37"/>
    <w:rsid w:val="006F4CED"/>
    <w:rsid w:val="006F59B9"/>
    <w:rsid w:val="006F6C33"/>
    <w:rsid w:val="00700039"/>
    <w:rsid w:val="00702F59"/>
    <w:rsid w:val="0070469A"/>
    <w:rsid w:val="007059BB"/>
    <w:rsid w:val="00705FC8"/>
    <w:rsid w:val="007116C6"/>
    <w:rsid w:val="007205E3"/>
    <w:rsid w:val="00722507"/>
    <w:rsid w:val="00723395"/>
    <w:rsid w:val="007254EA"/>
    <w:rsid w:val="00732529"/>
    <w:rsid w:val="00732870"/>
    <w:rsid w:val="00732E25"/>
    <w:rsid w:val="007379DA"/>
    <w:rsid w:val="00741859"/>
    <w:rsid w:val="00742F3C"/>
    <w:rsid w:val="007550CC"/>
    <w:rsid w:val="00756707"/>
    <w:rsid w:val="00760BDB"/>
    <w:rsid w:val="00772D38"/>
    <w:rsid w:val="00774A5E"/>
    <w:rsid w:val="007853A5"/>
    <w:rsid w:val="00785D88"/>
    <w:rsid w:val="00786C66"/>
    <w:rsid w:val="0079259C"/>
    <w:rsid w:val="007B3A1E"/>
    <w:rsid w:val="007B6C75"/>
    <w:rsid w:val="007C493A"/>
    <w:rsid w:val="007D1F8D"/>
    <w:rsid w:val="007D4120"/>
    <w:rsid w:val="007D6907"/>
    <w:rsid w:val="007D6E01"/>
    <w:rsid w:val="007D7316"/>
    <w:rsid w:val="007E0298"/>
    <w:rsid w:val="007E1E45"/>
    <w:rsid w:val="007E2A49"/>
    <w:rsid w:val="007F60CF"/>
    <w:rsid w:val="007F7FC9"/>
    <w:rsid w:val="0080005B"/>
    <w:rsid w:val="008008E8"/>
    <w:rsid w:val="00801496"/>
    <w:rsid w:val="00804973"/>
    <w:rsid w:val="00804EB9"/>
    <w:rsid w:val="008050F1"/>
    <w:rsid w:val="00807C63"/>
    <w:rsid w:val="00810215"/>
    <w:rsid w:val="0081373F"/>
    <w:rsid w:val="0081421B"/>
    <w:rsid w:val="00816D58"/>
    <w:rsid w:val="00823DA3"/>
    <w:rsid w:val="00826E84"/>
    <w:rsid w:val="00827647"/>
    <w:rsid w:val="00834665"/>
    <w:rsid w:val="0083634C"/>
    <w:rsid w:val="00840101"/>
    <w:rsid w:val="00840D2B"/>
    <w:rsid w:val="00845D20"/>
    <w:rsid w:val="008460ED"/>
    <w:rsid w:val="00865262"/>
    <w:rsid w:val="00882D43"/>
    <w:rsid w:val="00884C67"/>
    <w:rsid w:val="00884CEC"/>
    <w:rsid w:val="00884EDB"/>
    <w:rsid w:val="00886751"/>
    <w:rsid w:val="00886AE0"/>
    <w:rsid w:val="008927CA"/>
    <w:rsid w:val="008A005F"/>
    <w:rsid w:val="008A61D0"/>
    <w:rsid w:val="008A798F"/>
    <w:rsid w:val="008C156A"/>
    <w:rsid w:val="008D050F"/>
    <w:rsid w:val="008D716C"/>
    <w:rsid w:val="008D7AD2"/>
    <w:rsid w:val="008E74E2"/>
    <w:rsid w:val="008E7A38"/>
    <w:rsid w:val="008F0EA7"/>
    <w:rsid w:val="008F3F9E"/>
    <w:rsid w:val="008F449A"/>
    <w:rsid w:val="008F6D31"/>
    <w:rsid w:val="00906822"/>
    <w:rsid w:val="0090689F"/>
    <w:rsid w:val="00911619"/>
    <w:rsid w:val="00911E20"/>
    <w:rsid w:val="009140B2"/>
    <w:rsid w:val="00915B51"/>
    <w:rsid w:val="00916A71"/>
    <w:rsid w:val="00920E1B"/>
    <w:rsid w:val="00923A2D"/>
    <w:rsid w:val="00923F54"/>
    <w:rsid w:val="00943BDB"/>
    <w:rsid w:val="00943BEE"/>
    <w:rsid w:val="0094549A"/>
    <w:rsid w:val="00945EB7"/>
    <w:rsid w:val="009469F8"/>
    <w:rsid w:val="00947501"/>
    <w:rsid w:val="0095085D"/>
    <w:rsid w:val="00952B45"/>
    <w:rsid w:val="00956699"/>
    <w:rsid w:val="00960B1B"/>
    <w:rsid w:val="009616EA"/>
    <w:rsid w:val="00964423"/>
    <w:rsid w:val="0096532A"/>
    <w:rsid w:val="00966745"/>
    <w:rsid w:val="00970B3A"/>
    <w:rsid w:val="00975514"/>
    <w:rsid w:val="00976E21"/>
    <w:rsid w:val="00977FA5"/>
    <w:rsid w:val="00980A94"/>
    <w:rsid w:val="00981C28"/>
    <w:rsid w:val="00983339"/>
    <w:rsid w:val="00990607"/>
    <w:rsid w:val="0099130D"/>
    <w:rsid w:val="009A31C1"/>
    <w:rsid w:val="009A4634"/>
    <w:rsid w:val="009A5802"/>
    <w:rsid w:val="009A75F6"/>
    <w:rsid w:val="009A76F1"/>
    <w:rsid w:val="009B192F"/>
    <w:rsid w:val="009B1A1F"/>
    <w:rsid w:val="009B3324"/>
    <w:rsid w:val="009B7C1F"/>
    <w:rsid w:val="009C3B97"/>
    <w:rsid w:val="009C6C48"/>
    <w:rsid w:val="009E121F"/>
    <w:rsid w:val="009F1047"/>
    <w:rsid w:val="009F2376"/>
    <w:rsid w:val="009F5FCF"/>
    <w:rsid w:val="00A03F50"/>
    <w:rsid w:val="00A04DF8"/>
    <w:rsid w:val="00A065E7"/>
    <w:rsid w:val="00A11263"/>
    <w:rsid w:val="00A13B89"/>
    <w:rsid w:val="00A14BC2"/>
    <w:rsid w:val="00A20981"/>
    <w:rsid w:val="00A20E6E"/>
    <w:rsid w:val="00A20EED"/>
    <w:rsid w:val="00A2168D"/>
    <w:rsid w:val="00A235AD"/>
    <w:rsid w:val="00A24536"/>
    <w:rsid w:val="00A25A08"/>
    <w:rsid w:val="00A3081E"/>
    <w:rsid w:val="00A345D9"/>
    <w:rsid w:val="00A35E0E"/>
    <w:rsid w:val="00A46145"/>
    <w:rsid w:val="00A51321"/>
    <w:rsid w:val="00A5144D"/>
    <w:rsid w:val="00A54BC7"/>
    <w:rsid w:val="00A55B6A"/>
    <w:rsid w:val="00A63885"/>
    <w:rsid w:val="00A65396"/>
    <w:rsid w:val="00A66C57"/>
    <w:rsid w:val="00A66E96"/>
    <w:rsid w:val="00A7165C"/>
    <w:rsid w:val="00A72A0C"/>
    <w:rsid w:val="00A72A47"/>
    <w:rsid w:val="00A752D9"/>
    <w:rsid w:val="00A809EE"/>
    <w:rsid w:val="00A80D3F"/>
    <w:rsid w:val="00A878E3"/>
    <w:rsid w:val="00A933A4"/>
    <w:rsid w:val="00AA107F"/>
    <w:rsid w:val="00AA1968"/>
    <w:rsid w:val="00AC2957"/>
    <w:rsid w:val="00AC584C"/>
    <w:rsid w:val="00AE0CB2"/>
    <w:rsid w:val="00AF0AB6"/>
    <w:rsid w:val="00AF3425"/>
    <w:rsid w:val="00AF3989"/>
    <w:rsid w:val="00AF3C39"/>
    <w:rsid w:val="00AF42B3"/>
    <w:rsid w:val="00AF60C5"/>
    <w:rsid w:val="00AF6920"/>
    <w:rsid w:val="00AF6AAF"/>
    <w:rsid w:val="00B02540"/>
    <w:rsid w:val="00B02AC7"/>
    <w:rsid w:val="00B12437"/>
    <w:rsid w:val="00B1689C"/>
    <w:rsid w:val="00B17367"/>
    <w:rsid w:val="00B269CC"/>
    <w:rsid w:val="00B26F21"/>
    <w:rsid w:val="00B31332"/>
    <w:rsid w:val="00B352D5"/>
    <w:rsid w:val="00B36722"/>
    <w:rsid w:val="00B4238C"/>
    <w:rsid w:val="00B44BF0"/>
    <w:rsid w:val="00B50006"/>
    <w:rsid w:val="00B55863"/>
    <w:rsid w:val="00B57262"/>
    <w:rsid w:val="00B6105B"/>
    <w:rsid w:val="00B61476"/>
    <w:rsid w:val="00B63212"/>
    <w:rsid w:val="00B67858"/>
    <w:rsid w:val="00B726C2"/>
    <w:rsid w:val="00B75BAF"/>
    <w:rsid w:val="00B80CEF"/>
    <w:rsid w:val="00B814EB"/>
    <w:rsid w:val="00B81710"/>
    <w:rsid w:val="00B85E7E"/>
    <w:rsid w:val="00B86BE0"/>
    <w:rsid w:val="00B91875"/>
    <w:rsid w:val="00B925B3"/>
    <w:rsid w:val="00B9268B"/>
    <w:rsid w:val="00B95ECC"/>
    <w:rsid w:val="00B96FB5"/>
    <w:rsid w:val="00BA34AD"/>
    <w:rsid w:val="00BA4551"/>
    <w:rsid w:val="00BA735F"/>
    <w:rsid w:val="00BA7A2D"/>
    <w:rsid w:val="00BB5644"/>
    <w:rsid w:val="00BB5C41"/>
    <w:rsid w:val="00BB66A9"/>
    <w:rsid w:val="00BC2A1E"/>
    <w:rsid w:val="00BC42A4"/>
    <w:rsid w:val="00BC548D"/>
    <w:rsid w:val="00BC5596"/>
    <w:rsid w:val="00BC5E69"/>
    <w:rsid w:val="00BD1D3E"/>
    <w:rsid w:val="00BD1F7A"/>
    <w:rsid w:val="00BD4FBB"/>
    <w:rsid w:val="00BD75D5"/>
    <w:rsid w:val="00BE022D"/>
    <w:rsid w:val="00BE092D"/>
    <w:rsid w:val="00BE3AA7"/>
    <w:rsid w:val="00BE428A"/>
    <w:rsid w:val="00BE5CCA"/>
    <w:rsid w:val="00BE68FA"/>
    <w:rsid w:val="00BE7697"/>
    <w:rsid w:val="00BF15F1"/>
    <w:rsid w:val="00BF3BB4"/>
    <w:rsid w:val="00C02295"/>
    <w:rsid w:val="00C04138"/>
    <w:rsid w:val="00C0793C"/>
    <w:rsid w:val="00C13A28"/>
    <w:rsid w:val="00C17B50"/>
    <w:rsid w:val="00C17BBF"/>
    <w:rsid w:val="00C24A38"/>
    <w:rsid w:val="00C24DB6"/>
    <w:rsid w:val="00C302F4"/>
    <w:rsid w:val="00C31594"/>
    <w:rsid w:val="00C3260C"/>
    <w:rsid w:val="00C332C3"/>
    <w:rsid w:val="00C352EF"/>
    <w:rsid w:val="00C425FF"/>
    <w:rsid w:val="00C457AB"/>
    <w:rsid w:val="00C51001"/>
    <w:rsid w:val="00C52961"/>
    <w:rsid w:val="00C56ADF"/>
    <w:rsid w:val="00C64144"/>
    <w:rsid w:val="00C65DAB"/>
    <w:rsid w:val="00C73AC6"/>
    <w:rsid w:val="00C75940"/>
    <w:rsid w:val="00C80D90"/>
    <w:rsid w:val="00C83A4C"/>
    <w:rsid w:val="00C83A50"/>
    <w:rsid w:val="00C9419A"/>
    <w:rsid w:val="00C979D7"/>
    <w:rsid w:val="00CA3B70"/>
    <w:rsid w:val="00CA4283"/>
    <w:rsid w:val="00CA5F18"/>
    <w:rsid w:val="00CB15E7"/>
    <w:rsid w:val="00CB1D37"/>
    <w:rsid w:val="00CB467E"/>
    <w:rsid w:val="00CB6ECC"/>
    <w:rsid w:val="00CC79F0"/>
    <w:rsid w:val="00CC7C42"/>
    <w:rsid w:val="00CD2F62"/>
    <w:rsid w:val="00CD4B4F"/>
    <w:rsid w:val="00CE2F5A"/>
    <w:rsid w:val="00CE322B"/>
    <w:rsid w:val="00CE48DC"/>
    <w:rsid w:val="00CE5C51"/>
    <w:rsid w:val="00CE7C29"/>
    <w:rsid w:val="00CE7C39"/>
    <w:rsid w:val="00CF30DE"/>
    <w:rsid w:val="00CF4241"/>
    <w:rsid w:val="00CF5FF4"/>
    <w:rsid w:val="00D10521"/>
    <w:rsid w:val="00D13335"/>
    <w:rsid w:val="00D1772C"/>
    <w:rsid w:val="00D20218"/>
    <w:rsid w:val="00D26EDC"/>
    <w:rsid w:val="00D30539"/>
    <w:rsid w:val="00D311C9"/>
    <w:rsid w:val="00D36DD3"/>
    <w:rsid w:val="00D405A3"/>
    <w:rsid w:val="00D47D97"/>
    <w:rsid w:val="00D56F81"/>
    <w:rsid w:val="00D57F45"/>
    <w:rsid w:val="00D60248"/>
    <w:rsid w:val="00D607C9"/>
    <w:rsid w:val="00D62D81"/>
    <w:rsid w:val="00D721C1"/>
    <w:rsid w:val="00D74B8D"/>
    <w:rsid w:val="00D74EB6"/>
    <w:rsid w:val="00D7740E"/>
    <w:rsid w:val="00D83658"/>
    <w:rsid w:val="00D852EB"/>
    <w:rsid w:val="00D91ED2"/>
    <w:rsid w:val="00D95A8C"/>
    <w:rsid w:val="00D96301"/>
    <w:rsid w:val="00D97B36"/>
    <w:rsid w:val="00DA0BC2"/>
    <w:rsid w:val="00DA3EBC"/>
    <w:rsid w:val="00DB31C8"/>
    <w:rsid w:val="00DB45B5"/>
    <w:rsid w:val="00DD4410"/>
    <w:rsid w:val="00DD5E78"/>
    <w:rsid w:val="00DD78BF"/>
    <w:rsid w:val="00DE228F"/>
    <w:rsid w:val="00DE2579"/>
    <w:rsid w:val="00DE45EC"/>
    <w:rsid w:val="00DE646A"/>
    <w:rsid w:val="00DE6E00"/>
    <w:rsid w:val="00DF0C9E"/>
    <w:rsid w:val="00DF1E25"/>
    <w:rsid w:val="00DF24AC"/>
    <w:rsid w:val="00DF25C2"/>
    <w:rsid w:val="00DF4604"/>
    <w:rsid w:val="00DF4BCA"/>
    <w:rsid w:val="00DF59D2"/>
    <w:rsid w:val="00E02F2D"/>
    <w:rsid w:val="00E03EDC"/>
    <w:rsid w:val="00E0739C"/>
    <w:rsid w:val="00E205C8"/>
    <w:rsid w:val="00E2076E"/>
    <w:rsid w:val="00E21A00"/>
    <w:rsid w:val="00E21E68"/>
    <w:rsid w:val="00E24CC6"/>
    <w:rsid w:val="00E25DB0"/>
    <w:rsid w:val="00E46F21"/>
    <w:rsid w:val="00E539BB"/>
    <w:rsid w:val="00E56259"/>
    <w:rsid w:val="00E62648"/>
    <w:rsid w:val="00E63480"/>
    <w:rsid w:val="00E63643"/>
    <w:rsid w:val="00E745DE"/>
    <w:rsid w:val="00E91284"/>
    <w:rsid w:val="00E93B6B"/>
    <w:rsid w:val="00E93FEE"/>
    <w:rsid w:val="00EA1034"/>
    <w:rsid w:val="00EA1F50"/>
    <w:rsid w:val="00EA27B6"/>
    <w:rsid w:val="00EA2C26"/>
    <w:rsid w:val="00EA5B3D"/>
    <w:rsid w:val="00EA6FD2"/>
    <w:rsid w:val="00EB693F"/>
    <w:rsid w:val="00EC4B40"/>
    <w:rsid w:val="00EC7FF3"/>
    <w:rsid w:val="00ED00CF"/>
    <w:rsid w:val="00ED0B9C"/>
    <w:rsid w:val="00ED16DC"/>
    <w:rsid w:val="00ED461C"/>
    <w:rsid w:val="00EE013C"/>
    <w:rsid w:val="00EE28F6"/>
    <w:rsid w:val="00EE4E27"/>
    <w:rsid w:val="00EE68C4"/>
    <w:rsid w:val="00EF2E8F"/>
    <w:rsid w:val="00F04793"/>
    <w:rsid w:val="00F06F86"/>
    <w:rsid w:val="00F1402C"/>
    <w:rsid w:val="00F1498B"/>
    <w:rsid w:val="00F14A86"/>
    <w:rsid w:val="00F17D29"/>
    <w:rsid w:val="00F2083D"/>
    <w:rsid w:val="00F21559"/>
    <w:rsid w:val="00F24210"/>
    <w:rsid w:val="00F30A48"/>
    <w:rsid w:val="00F31250"/>
    <w:rsid w:val="00F33BD3"/>
    <w:rsid w:val="00F33F37"/>
    <w:rsid w:val="00F345C7"/>
    <w:rsid w:val="00F43E49"/>
    <w:rsid w:val="00F43EE4"/>
    <w:rsid w:val="00F47DA2"/>
    <w:rsid w:val="00F502A2"/>
    <w:rsid w:val="00F533C2"/>
    <w:rsid w:val="00F545E3"/>
    <w:rsid w:val="00F54B6D"/>
    <w:rsid w:val="00F54B84"/>
    <w:rsid w:val="00F57377"/>
    <w:rsid w:val="00F61397"/>
    <w:rsid w:val="00F642D4"/>
    <w:rsid w:val="00F64F61"/>
    <w:rsid w:val="00F66832"/>
    <w:rsid w:val="00F70367"/>
    <w:rsid w:val="00F72F17"/>
    <w:rsid w:val="00F73A73"/>
    <w:rsid w:val="00F769C8"/>
    <w:rsid w:val="00F77AB0"/>
    <w:rsid w:val="00F8070D"/>
    <w:rsid w:val="00F80799"/>
    <w:rsid w:val="00F831A7"/>
    <w:rsid w:val="00F83D89"/>
    <w:rsid w:val="00F841F1"/>
    <w:rsid w:val="00F91CE2"/>
    <w:rsid w:val="00F94164"/>
    <w:rsid w:val="00F94C6E"/>
    <w:rsid w:val="00F95E63"/>
    <w:rsid w:val="00F97007"/>
    <w:rsid w:val="00FA0663"/>
    <w:rsid w:val="00FA2CF6"/>
    <w:rsid w:val="00FA5171"/>
    <w:rsid w:val="00FA6CC8"/>
    <w:rsid w:val="00FB1C14"/>
    <w:rsid w:val="00FB50EC"/>
    <w:rsid w:val="00FB63A8"/>
    <w:rsid w:val="00FC0F61"/>
    <w:rsid w:val="00FC5311"/>
    <w:rsid w:val="00FC601F"/>
    <w:rsid w:val="00FC66AD"/>
    <w:rsid w:val="00FD1975"/>
    <w:rsid w:val="00FD2629"/>
    <w:rsid w:val="00FD433F"/>
    <w:rsid w:val="00FD45A4"/>
    <w:rsid w:val="00FD7736"/>
    <w:rsid w:val="00FE4C43"/>
    <w:rsid w:val="00FE77C5"/>
    <w:rsid w:val="00FE7F92"/>
    <w:rsid w:val="00FF0637"/>
    <w:rsid w:val="00FF4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125E4D"/>
  <w15:chartTrackingRefBased/>
  <w15:docId w15:val="{77B6F0CA-4666-4D32-9758-EE321A1C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aliases w:val="Kapitel overskrift"/>
    <w:basedOn w:val="Normal"/>
    <w:next w:val="Normal"/>
    <w:link w:val="Overskrift1Tegn"/>
    <w:qFormat/>
    <w:rsid w:val="008D7AD2"/>
    <w:pPr>
      <w:spacing w:after="0" w:line="240" w:lineRule="auto"/>
      <w:outlineLvl w:val="0"/>
    </w:pPr>
    <w:rPr>
      <w:rFonts w:ascii="Times New Roman" w:eastAsia="Times New Roman" w:hAnsi="Times New Roman" w:cs="Times New Roman"/>
      <w:b/>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Kapitel overskrift Tegn"/>
    <w:basedOn w:val="Standardskrifttypeiafsnit"/>
    <w:link w:val="Overskrift1"/>
    <w:rsid w:val="008D7AD2"/>
    <w:rPr>
      <w:rFonts w:ascii="Times New Roman" w:eastAsia="Times New Roman" w:hAnsi="Times New Roman" w:cs="Times New Roman"/>
      <w:b/>
      <w:sz w:val="28"/>
      <w:szCs w:val="28"/>
      <w:lang w:eastAsia="da-DK"/>
    </w:rPr>
  </w:style>
  <w:style w:type="paragraph" w:styleId="Sidehoved">
    <w:name w:val="header"/>
    <w:basedOn w:val="Normal"/>
    <w:link w:val="SidehovedTegn"/>
    <w:rsid w:val="008D7AD2"/>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rsid w:val="008D7AD2"/>
    <w:rPr>
      <w:rFonts w:ascii="Times New Roman" w:eastAsia="Times New Roman" w:hAnsi="Times New Roman" w:cs="Times New Roman"/>
      <w:sz w:val="24"/>
      <w:szCs w:val="24"/>
      <w:lang w:eastAsia="da-DK"/>
    </w:rPr>
  </w:style>
  <w:style w:type="paragraph" w:styleId="Sidefod">
    <w:name w:val="footer"/>
    <w:basedOn w:val="Normal"/>
    <w:link w:val="SidefodTegn"/>
    <w:uiPriority w:val="99"/>
    <w:rsid w:val="008D7AD2"/>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rsid w:val="008D7AD2"/>
    <w:rPr>
      <w:rFonts w:ascii="Times New Roman" w:eastAsia="Times New Roman" w:hAnsi="Times New Roman" w:cs="Times New Roman"/>
      <w:sz w:val="24"/>
      <w:szCs w:val="24"/>
      <w:lang w:eastAsia="da-DK"/>
    </w:rPr>
  </w:style>
  <w:style w:type="paragraph" w:styleId="Opstilling-punkttegn">
    <w:name w:val="List Bullet"/>
    <w:basedOn w:val="Normal"/>
    <w:rsid w:val="008D7AD2"/>
    <w:pPr>
      <w:numPr>
        <w:numId w:val="1"/>
      </w:numPr>
      <w:spacing w:after="0" w:line="240" w:lineRule="auto"/>
      <w:contextualSpacing/>
    </w:pPr>
    <w:rPr>
      <w:rFonts w:ascii="Times New Roman" w:eastAsia="Times New Roman" w:hAnsi="Times New Roman" w:cs="Times New Roman"/>
      <w:sz w:val="24"/>
      <w:szCs w:val="24"/>
      <w:lang w:eastAsia="da-DK"/>
    </w:rPr>
  </w:style>
  <w:style w:type="character" w:styleId="Hyperlink">
    <w:name w:val="Hyperlink"/>
    <w:rsid w:val="008D7AD2"/>
    <w:rPr>
      <w:color w:val="0000FF"/>
      <w:u w:val="single"/>
    </w:rPr>
  </w:style>
  <w:style w:type="paragraph" w:customStyle="1" w:styleId="Underoverskrift">
    <w:name w:val="Underoverskrift"/>
    <w:basedOn w:val="Normal"/>
    <w:qFormat/>
    <w:rsid w:val="008D7AD2"/>
    <w:pPr>
      <w:spacing w:after="0" w:line="240" w:lineRule="auto"/>
    </w:pPr>
    <w:rPr>
      <w:rFonts w:ascii="Times New Roman" w:eastAsia="Times New Roman" w:hAnsi="Times New Roman" w:cs="Times New Roman"/>
      <w:b/>
      <w:sz w:val="24"/>
      <w:szCs w:val="24"/>
      <w:lang w:eastAsia="da-DK"/>
    </w:rPr>
  </w:style>
  <w:style w:type="character" w:styleId="Strk">
    <w:name w:val="Strong"/>
    <w:basedOn w:val="Standardskrifttypeiafsnit"/>
    <w:qFormat/>
    <w:rsid w:val="008D7AD2"/>
    <w:rPr>
      <w:b/>
      <w:bCs/>
    </w:rPr>
  </w:style>
  <w:style w:type="paragraph" w:styleId="Markeringsbobletekst">
    <w:name w:val="Balloon Text"/>
    <w:basedOn w:val="Normal"/>
    <w:link w:val="MarkeringsbobletekstTegn"/>
    <w:uiPriority w:val="99"/>
    <w:semiHidden/>
    <w:unhideWhenUsed/>
    <w:rsid w:val="00B75B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5BAF"/>
    <w:rPr>
      <w:rFonts w:ascii="Segoe UI" w:hAnsi="Segoe UI" w:cs="Segoe UI"/>
      <w:sz w:val="18"/>
      <w:szCs w:val="18"/>
    </w:rPr>
  </w:style>
  <w:style w:type="character" w:styleId="BesgtLink">
    <w:name w:val="FollowedHyperlink"/>
    <w:basedOn w:val="Standardskrifttypeiafsnit"/>
    <w:uiPriority w:val="99"/>
    <w:semiHidden/>
    <w:unhideWhenUsed/>
    <w:rsid w:val="007E0298"/>
    <w:rPr>
      <w:color w:val="954F72" w:themeColor="followedHyperlink"/>
      <w:u w:val="single"/>
    </w:rPr>
  </w:style>
  <w:style w:type="character" w:styleId="Kommentarhenvisning">
    <w:name w:val="annotation reference"/>
    <w:basedOn w:val="Standardskrifttypeiafsnit"/>
    <w:uiPriority w:val="99"/>
    <w:semiHidden/>
    <w:unhideWhenUsed/>
    <w:rsid w:val="000B64A0"/>
    <w:rPr>
      <w:sz w:val="16"/>
      <w:szCs w:val="16"/>
    </w:rPr>
  </w:style>
  <w:style w:type="paragraph" w:styleId="Kommentartekst">
    <w:name w:val="annotation text"/>
    <w:basedOn w:val="Normal"/>
    <w:link w:val="KommentartekstTegn"/>
    <w:uiPriority w:val="99"/>
    <w:semiHidden/>
    <w:unhideWhenUsed/>
    <w:rsid w:val="000B64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64A0"/>
    <w:rPr>
      <w:sz w:val="20"/>
      <w:szCs w:val="20"/>
    </w:rPr>
  </w:style>
  <w:style w:type="paragraph" w:styleId="Kommentaremne">
    <w:name w:val="annotation subject"/>
    <w:basedOn w:val="Kommentartekst"/>
    <w:next w:val="Kommentartekst"/>
    <w:link w:val="KommentaremneTegn"/>
    <w:uiPriority w:val="99"/>
    <w:semiHidden/>
    <w:unhideWhenUsed/>
    <w:rsid w:val="000B64A0"/>
    <w:rPr>
      <w:b/>
      <w:bCs/>
    </w:rPr>
  </w:style>
  <w:style w:type="character" w:customStyle="1" w:styleId="KommentaremneTegn">
    <w:name w:val="Kommentaremne Tegn"/>
    <w:basedOn w:val="KommentartekstTegn"/>
    <w:link w:val="Kommentaremne"/>
    <w:uiPriority w:val="99"/>
    <w:semiHidden/>
    <w:rsid w:val="000B64A0"/>
    <w:rPr>
      <w:b/>
      <w:bCs/>
      <w:sz w:val="20"/>
      <w:szCs w:val="20"/>
    </w:rPr>
  </w:style>
  <w:style w:type="paragraph" w:styleId="Korrektur">
    <w:name w:val="Revision"/>
    <w:hidden/>
    <w:uiPriority w:val="99"/>
    <w:semiHidden/>
    <w:rsid w:val="00EC7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20652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sikohaandbogen.mst.dk/myndigheder/tils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mst.dk/udgiv/publikationer/2011/11/978-87-92779-24-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tsinformation.dk/Forms/R0710.aspx?id=209111" TargetMode="External"/><Relationship Id="rId4" Type="http://schemas.openxmlformats.org/officeDocument/2006/relationships/settings" Target="settings.xml"/><Relationship Id="rId9" Type="http://schemas.openxmlformats.org/officeDocument/2006/relationships/hyperlink" Target="https://www.retsinformation.dk/Forms/R0710.aspx?id=209531"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56A1-29BA-464B-B932-2BF91127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2035</Words>
  <Characters>14044</Characters>
  <Application>Microsoft Office Word</Application>
  <DocSecurity>0</DocSecurity>
  <Lines>280</Lines>
  <Paragraphs>107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Fisker</dc:creator>
  <cp:keywords/>
  <dc:description/>
  <cp:lastModifiedBy>Sandra Fisker</cp:lastModifiedBy>
  <cp:revision>17</cp:revision>
  <dcterms:created xsi:type="dcterms:W3CDTF">2020-01-21T15:04:00Z</dcterms:created>
  <dcterms:modified xsi:type="dcterms:W3CDTF">2020-02-14T12:56:00Z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