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08DD" w14:paraId="044D660A" w14:textId="77777777" w:rsidTr="00125B14">
        <w:trPr>
          <w:trHeight w:val="947"/>
        </w:trPr>
        <w:tc>
          <w:tcPr>
            <w:tcW w:w="9628" w:type="dxa"/>
            <w:shd w:val="clear" w:color="auto" w:fill="auto"/>
          </w:tcPr>
          <w:p w14:paraId="3ECA3BFA" w14:textId="77777777" w:rsidR="004008DD" w:rsidRDefault="004008DD" w:rsidP="002534E3"/>
          <w:p w14:paraId="6F6BCBB8" w14:textId="77777777" w:rsidR="004008DD" w:rsidRPr="00125B14" w:rsidRDefault="00E06F48" w:rsidP="002534E3">
            <w:pPr>
              <w:pStyle w:val="Overskrift1"/>
            </w:pPr>
            <w:r>
              <w:t xml:space="preserve">4.3 </w:t>
            </w:r>
            <w:r w:rsidR="003C6AEF">
              <w:t>Hvem er omfattet</w:t>
            </w:r>
            <w:r w:rsidR="00B47395">
              <w:t>?</w:t>
            </w:r>
          </w:p>
          <w:p w14:paraId="1573533F" w14:textId="77777777" w:rsidR="004008DD" w:rsidRDefault="004008DD" w:rsidP="002534E3"/>
        </w:tc>
      </w:tr>
      <w:tr w:rsidR="00FA490A" w:rsidRPr="00FA490A" w14:paraId="2C76A2F9" w14:textId="77777777" w:rsidTr="00791F6D">
        <w:tc>
          <w:tcPr>
            <w:tcW w:w="9628" w:type="dxa"/>
            <w:shd w:val="clear" w:color="auto" w:fill="auto"/>
          </w:tcPr>
          <w:p w14:paraId="750DA168" w14:textId="16FDA338" w:rsidR="00FA490A" w:rsidRPr="00FA490A" w:rsidRDefault="00FA490A" w:rsidP="001F0A30">
            <w:pPr>
              <w:pStyle w:val="Opstilling-punkttegn"/>
              <w:numPr>
                <w:ilvl w:val="0"/>
                <w:numId w:val="0"/>
              </w:numPr>
              <w:ind w:left="360" w:hanging="360"/>
            </w:pPr>
            <w:r w:rsidRPr="00FA490A">
              <w:t>Underafsnit:</w:t>
            </w:r>
          </w:p>
          <w:p w14:paraId="67A8EE7D" w14:textId="44771A49" w:rsidR="00125B14" w:rsidRPr="00FA490A" w:rsidRDefault="00FA490A" w:rsidP="00BB14E5">
            <w:pPr>
              <w:pStyle w:val="Opstilling-punkttegn"/>
            </w:pPr>
            <w:r w:rsidRPr="00FA490A">
              <w:rPr>
                <w:color w:val="00B050"/>
              </w:rPr>
              <w:t xml:space="preserve">Hvilke </w:t>
            </w:r>
            <w:r w:rsidR="00BB14E5" w:rsidRPr="001F0A30">
              <w:rPr>
                <w:color w:val="00B050"/>
              </w:rPr>
              <w:t>virksomheder, husdyrbrug m</w:t>
            </w:r>
            <w:r w:rsidR="006F06A6" w:rsidRPr="001F0A30">
              <w:rPr>
                <w:color w:val="00B050"/>
              </w:rPr>
              <w:t>.</w:t>
            </w:r>
            <w:r w:rsidR="00BB14E5" w:rsidRPr="001F0A30">
              <w:rPr>
                <w:color w:val="00B050"/>
              </w:rPr>
              <w:t>v</w:t>
            </w:r>
            <w:r w:rsidR="006F06A6" w:rsidRPr="001F0A30">
              <w:rPr>
                <w:color w:val="00B050"/>
              </w:rPr>
              <w:t>.</w:t>
            </w:r>
            <w:r w:rsidR="00BB14E5" w:rsidRPr="001F0A30">
              <w:rPr>
                <w:color w:val="00B050"/>
              </w:rPr>
              <w:t xml:space="preserve"> er omfattet af bekendtgørelsens krav om regelmæssige tilsyn? (4.3.</w:t>
            </w:r>
            <w:r>
              <w:rPr>
                <w:color w:val="00B050"/>
              </w:rPr>
              <w:t>1)</w:t>
            </w:r>
          </w:p>
          <w:p w14:paraId="0D755769" w14:textId="76DAB979" w:rsidR="007B366E" w:rsidRPr="00FA490A" w:rsidRDefault="007B366E" w:rsidP="007B366E">
            <w:pPr>
              <w:pStyle w:val="Opstilling-punkttegn"/>
              <w:ind w:left="720"/>
            </w:pPr>
            <w:r w:rsidRPr="001F0A30">
              <w:rPr>
                <w:color w:val="00B050"/>
              </w:rPr>
              <w:t>Virksomheder og husdyrbrug m.v. omfattet af kravet om regelmæssige tilsyn (4.3.1.</w:t>
            </w:r>
            <w:r w:rsidR="00FA490A">
              <w:rPr>
                <w:color w:val="00B050"/>
              </w:rPr>
              <w:t>1)</w:t>
            </w:r>
          </w:p>
          <w:p w14:paraId="6A5E233F" w14:textId="36C8B47C" w:rsidR="00BB14E5" w:rsidRPr="00FA490A" w:rsidRDefault="00775B37" w:rsidP="00775B37">
            <w:pPr>
              <w:pStyle w:val="Opstilling-punkttegn"/>
            </w:pPr>
            <w:r w:rsidRPr="001F0A30">
              <w:rPr>
                <w:color w:val="00B050"/>
              </w:rPr>
              <w:t>Virksomheder omfattet af kravet om regelmæssige tilsyn, men undtaget af nogle af bekendtgørelsens krav (4.</w:t>
            </w:r>
            <w:r w:rsidR="00BB14E5" w:rsidRPr="001F0A30">
              <w:rPr>
                <w:color w:val="00B050"/>
              </w:rPr>
              <w:t>3.2)</w:t>
            </w:r>
          </w:p>
          <w:p w14:paraId="1C364B47" w14:textId="01DDB3EA" w:rsidR="00BB14E5" w:rsidRPr="00FA490A" w:rsidRDefault="00BB14E5" w:rsidP="00BB14E5">
            <w:pPr>
              <w:pStyle w:val="Opstilling-punkttegn"/>
            </w:pPr>
            <w:r w:rsidRPr="001F0A30">
              <w:rPr>
                <w:color w:val="00B050"/>
              </w:rPr>
              <w:t>Hvilke virksomheder, husdyrbrug m.v. er alene omfattet af bekendtgørelsens øvrige bestemmelser</w:t>
            </w:r>
            <w:r w:rsidR="006F06A6" w:rsidRPr="001F0A30">
              <w:rPr>
                <w:color w:val="00B050"/>
              </w:rPr>
              <w:t>?</w:t>
            </w:r>
            <w:r w:rsidRPr="001F0A30">
              <w:rPr>
                <w:color w:val="00B050"/>
              </w:rPr>
              <w:t xml:space="preserve"> (4.3.</w:t>
            </w:r>
            <w:r w:rsidR="00FA490A">
              <w:rPr>
                <w:color w:val="00B050"/>
              </w:rPr>
              <w:t>3)</w:t>
            </w:r>
          </w:p>
          <w:p w14:paraId="09E751F5" w14:textId="287AD899" w:rsidR="004C4319" w:rsidRPr="00FA490A" w:rsidRDefault="004C4319" w:rsidP="004C4319">
            <w:pPr>
              <w:pStyle w:val="Opstilling-punkttegn"/>
              <w:ind w:left="720"/>
            </w:pPr>
            <w:r w:rsidRPr="001F0A30">
              <w:rPr>
                <w:color w:val="00B050"/>
              </w:rPr>
              <w:t xml:space="preserve">Hvilke </w:t>
            </w:r>
            <w:r w:rsidR="00476E6C">
              <w:rPr>
                <w:color w:val="00B050"/>
              </w:rPr>
              <w:t>regler</w:t>
            </w:r>
            <w:r w:rsidRPr="001F0A30">
              <w:rPr>
                <w:color w:val="00B050"/>
              </w:rPr>
              <w:t xml:space="preserve"> gælder i forhold til øvrige virksomheder og </w:t>
            </w:r>
            <w:r w:rsidR="007B366E" w:rsidRPr="001F0A30">
              <w:rPr>
                <w:color w:val="00B050"/>
              </w:rPr>
              <w:t>husdyrbrug</w:t>
            </w:r>
            <w:r w:rsidRPr="001F0A30">
              <w:rPr>
                <w:color w:val="00B050"/>
              </w:rPr>
              <w:t xml:space="preserve"> m.v. </w:t>
            </w:r>
            <w:r w:rsidRPr="00FA490A">
              <w:rPr>
                <w:color w:val="00B050"/>
              </w:rPr>
              <w:t>(4.3.3.1</w:t>
            </w:r>
            <w:r w:rsidR="00FA490A" w:rsidRPr="00FA490A">
              <w:rPr>
                <w:color w:val="00B050"/>
              </w:rPr>
              <w:t>)</w:t>
            </w:r>
          </w:p>
          <w:p w14:paraId="2850526B" w14:textId="7E0D84B4" w:rsidR="00676204" w:rsidRPr="00FA490A" w:rsidRDefault="00676204" w:rsidP="00227C4D">
            <w:pPr>
              <w:pStyle w:val="Opstilling-punkttegn"/>
              <w:numPr>
                <w:ilvl w:val="0"/>
                <w:numId w:val="0"/>
              </w:numPr>
              <w:ind w:left="360"/>
            </w:pPr>
          </w:p>
        </w:tc>
      </w:tr>
      <w:tr w:rsidR="004008DD" w14:paraId="38643F02" w14:textId="77777777" w:rsidTr="00125B14">
        <w:tc>
          <w:tcPr>
            <w:tcW w:w="9628" w:type="dxa"/>
            <w:shd w:val="clear" w:color="auto" w:fill="auto"/>
          </w:tcPr>
          <w:p w14:paraId="23A4985E" w14:textId="77777777" w:rsidR="00FA490A" w:rsidRDefault="00FA490A" w:rsidP="003C6AEF"/>
          <w:p w14:paraId="540241CA" w14:textId="73E497E8" w:rsidR="007F5656" w:rsidRDefault="007F5656" w:rsidP="003C6AEF">
            <w:r w:rsidRPr="007F5656">
              <w:t xml:space="preserve">Miljøtilsynsbekendtgørelsen </w:t>
            </w:r>
            <w:r w:rsidR="00013E60">
              <w:t>gælder for</w:t>
            </w:r>
            <w:r w:rsidR="00013E60" w:rsidRPr="007F5656">
              <w:t xml:space="preserve"> </w:t>
            </w:r>
            <w:r w:rsidRPr="007F5656">
              <w:t>virksomheder, husdyrbrug, husdyranlæg, gødnings- og ensilageopbevaringsanlæg.</w:t>
            </w:r>
            <w:r>
              <w:t xml:space="preserve"> </w:t>
            </w:r>
            <w:r w:rsidR="002C5E23">
              <w:t>Her</w:t>
            </w:r>
            <w:r w:rsidR="00BD18A5" w:rsidRPr="007F5656">
              <w:t xml:space="preserve"> kan du læse</w:t>
            </w:r>
            <w:r w:rsidR="00BD18A5">
              <w:t xml:space="preserve"> om, hvilke typer af virksomheder og husdyrbrug m.v. der er omfattet af hvilke regler. </w:t>
            </w:r>
          </w:p>
          <w:p w14:paraId="316520C0" w14:textId="0FA6340E" w:rsidR="007F5656" w:rsidRDefault="007F5656" w:rsidP="003C6AEF"/>
          <w:p w14:paraId="3C946DDA" w14:textId="7EAF213D" w:rsidR="00A533C0" w:rsidRPr="00FC5E81" w:rsidRDefault="00860AD7" w:rsidP="003C6AEF">
            <w:pPr>
              <w:rPr>
                <w:b/>
              </w:rPr>
            </w:pPr>
            <w:r w:rsidRPr="00FC5E81">
              <w:rPr>
                <w:b/>
              </w:rPr>
              <w:t>Virksomheder og husdyrbrug m.v. omfattet af kravet om regelmæssige tilsyn</w:t>
            </w:r>
          </w:p>
          <w:p w14:paraId="727FFF50" w14:textId="6BF38B98" w:rsidR="00BD18A5" w:rsidRDefault="00BB2C88" w:rsidP="003C6AEF">
            <w:r>
              <w:t>Tilsyn med v</w:t>
            </w:r>
            <w:r w:rsidR="00E06F48" w:rsidRPr="00E06F48">
              <w:t>irksomheder og husdyrbrug m.v.</w:t>
            </w:r>
            <w:r w:rsidR="00316534">
              <w:t>,</w:t>
            </w:r>
            <w:r w:rsidR="00E06F48" w:rsidRPr="00E06F48">
              <w:t xml:space="preserve"> </w:t>
            </w:r>
            <w:r w:rsidR="00E72429">
              <w:t>som</w:t>
            </w:r>
            <w:r w:rsidR="004B2C61">
              <w:t xml:space="preserve"> er </w:t>
            </w:r>
            <w:r w:rsidR="00E06F48">
              <w:t>nævnt i b</w:t>
            </w:r>
            <w:r>
              <w:t xml:space="preserve">ekendtgørelsens § 1, stk. 2, er underlagt alle regler i miljøtilsynsbekendtgørelsen </w:t>
            </w:r>
            <w:r w:rsidR="00BD18A5">
              <w:t>(</w:t>
            </w:r>
            <w:r w:rsidR="00552BE2">
              <w:t>k</w:t>
            </w:r>
            <w:r w:rsidR="00BD18A5">
              <w:t>apitel 1-5)</w:t>
            </w:r>
            <w:r w:rsidR="009215F7">
              <w:t xml:space="preserve">. Det omfatter </w:t>
            </w:r>
            <w:r w:rsidR="00E06F48">
              <w:t xml:space="preserve">regler om tilsynsplanlægning, mindstekrav til tilsynsaktivitet </w:t>
            </w:r>
            <w:r w:rsidR="007D0A4B">
              <w:t>(</w:t>
            </w:r>
            <w:r w:rsidR="00552BE2">
              <w:t>k</w:t>
            </w:r>
            <w:r w:rsidR="007D0A4B">
              <w:t xml:space="preserve">apitel 2) </w:t>
            </w:r>
            <w:r w:rsidR="00E06F48">
              <w:t>og tilsynsrapport</w:t>
            </w:r>
            <w:r w:rsidR="007D0A4B">
              <w:t xml:space="preserve"> </w:t>
            </w:r>
            <w:r w:rsidR="00552BE2">
              <w:t>(k</w:t>
            </w:r>
            <w:r w:rsidR="007D0A4B">
              <w:t>apitel 3)</w:t>
            </w:r>
            <w:r w:rsidR="007D545A">
              <w:t xml:space="preserve"> samt regler for </w:t>
            </w:r>
            <w:r w:rsidR="00BD18A5">
              <w:t xml:space="preserve">afgivelse af oplysninger og offentliggørelse heraf </w:t>
            </w:r>
            <w:r w:rsidR="00552BE2">
              <w:t>(k</w:t>
            </w:r>
            <w:r w:rsidR="00BD18A5">
              <w:t xml:space="preserve">apitel 4). Bemærk, at bekendtgørelsens overgangsbestemmelser i kapitel 5 </w:t>
            </w:r>
            <w:r w:rsidR="00552BE2">
              <w:t>f</w:t>
            </w:r>
            <w:r w:rsidR="00BD18A5">
              <w:t xml:space="preserve">ortsat </w:t>
            </w:r>
            <w:r w:rsidR="00552BE2">
              <w:t xml:space="preserve">kan </w:t>
            </w:r>
            <w:r w:rsidR="00BD18A5">
              <w:t xml:space="preserve">være relevante. </w:t>
            </w:r>
          </w:p>
          <w:p w14:paraId="16D10566" w14:textId="77777777" w:rsidR="00BD18A5" w:rsidRDefault="00BD18A5" w:rsidP="003C6AEF"/>
          <w:p w14:paraId="20AE10CC" w14:textId="7C761600" w:rsidR="002871A6" w:rsidRDefault="00966BC2" w:rsidP="003C6AEF">
            <w:r>
              <w:t xml:space="preserve">Du kan læse mere om, hvilke virksomheder og husdyrbrug m.v. </w:t>
            </w:r>
            <w:r w:rsidR="00552BE2">
              <w:t xml:space="preserve">der </w:t>
            </w:r>
            <w:r>
              <w:t xml:space="preserve">er omfattet af § 1, stk. 2, i afsnittet </w:t>
            </w:r>
            <w:r w:rsidR="004C4319" w:rsidRPr="00FA490A">
              <w:rPr>
                <w:color w:val="00B050"/>
              </w:rPr>
              <w:t>”</w:t>
            </w:r>
            <w:r w:rsidRPr="00FA490A">
              <w:rPr>
                <w:color w:val="00B050"/>
              </w:rPr>
              <w:t xml:space="preserve">Hvilke virksomheder, husdyrbrug mv er omfattet af </w:t>
            </w:r>
            <w:r w:rsidR="00FC607C" w:rsidRPr="00FA490A">
              <w:rPr>
                <w:color w:val="00B050"/>
              </w:rPr>
              <w:t>bekendtgørelsens krav om regelmæssige tilsyn</w:t>
            </w:r>
            <w:r w:rsidRPr="00FA490A">
              <w:rPr>
                <w:color w:val="00B050"/>
              </w:rPr>
              <w:t>?” (4.3.1)</w:t>
            </w:r>
            <w:r w:rsidR="00FA490A" w:rsidRPr="00FA490A">
              <w:t>.</w:t>
            </w:r>
          </w:p>
          <w:p w14:paraId="50C72B50" w14:textId="1FB1ED5E" w:rsidR="002871A6" w:rsidRDefault="002871A6" w:rsidP="003C6AEF"/>
          <w:p w14:paraId="07EBFB81" w14:textId="057C1411" w:rsidR="00860AD7" w:rsidRPr="00FC5E81" w:rsidRDefault="00860AD7" w:rsidP="003C6AEF">
            <w:pPr>
              <w:rPr>
                <w:b/>
              </w:rPr>
            </w:pPr>
            <w:r w:rsidRPr="00FC5E81">
              <w:rPr>
                <w:b/>
              </w:rPr>
              <w:t xml:space="preserve">Virksomheder omfattet af kravet om regelmæssige tilsyn, men </w:t>
            </w:r>
            <w:r w:rsidR="00CD7242" w:rsidRPr="00FC5E81">
              <w:rPr>
                <w:b/>
              </w:rPr>
              <w:t>undtaget af nogle af bekendtgørelsens</w:t>
            </w:r>
            <w:r w:rsidR="00AD6F78" w:rsidRPr="00FC5E81">
              <w:rPr>
                <w:b/>
              </w:rPr>
              <w:t xml:space="preserve"> krav</w:t>
            </w:r>
          </w:p>
          <w:p w14:paraId="73431C89" w14:textId="29ACEFBF" w:rsidR="007D0A4B" w:rsidRDefault="00BB2C88" w:rsidP="007D0A4B">
            <w:r>
              <w:t xml:space="preserve">Tilsyn med visse </w:t>
            </w:r>
            <w:r w:rsidR="007D0A4B">
              <w:t>virksomheder er omfattet af bekendtgørelsens</w:t>
            </w:r>
            <w:r w:rsidR="00860AD7">
              <w:t xml:space="preserve"> krav om regelmæssige tilsyn, </w:t>
            </w:r>
            <w:r w:rsidR="007D0A4B">
              <w:t xml:space="preserve">men undtaget </w:t>
            </w:r>
            <w:r w:rsidR="00CD7242">
              <w:t>af</w:t>
            </w:r>
            <w:r w:rsidR="007D0A4B">
              <w:t xml:space="preserve"> </w:t>
            </w:r>
            <w:r w:rsidR="00CD7242">
              <w:t xml:space="preserve">nogle </w:t>
            </w:r>
            <w:r w:rsidR="007D0A4B">
              <w:t xml:space="preserve">af bekendtgørelsens krav, herunder kravet om miljørisikovurdering. </w:t>
            </w:r>
            <w:r w:rsidR="00655F29">
              <w:t>I afsnit</w:t>
            </w:r>
            <w:r w:rsidR="00C82A70">
              <w:t xml:space="preserve">tet </w:t>
            </w:r>
            <w:r w:rsidR="00C82A70" w:rsidRPr="00FA490A">
              <w:rPr>
                <w:color w:val="00B050"/>
              </w:rPr>
              <w:t>”</w:t>
            </w:r>
            <w:r w:rsidR="00775B37" w:rsidRPr="00FA490A">
              <w:rPr>
                <w:color w:val="00B050"/>
              </w:rPr>
              <w:t xml:space="preserve">Virksomheder omfattet af kravet om regelmæssige tilsyn, men undtaget af nogle af bekendtgørelsens krav” </w:t>
            </w:r>
            <w:r w:rsidR="00C82A70" w:rsidRPr="00FA490A">
              <w:rPr>
                <w:color w:val="00B050"/>
              </w:rPr>
              <w:t>(</w:t>
            </w:r>
            <w:r w:rsidR="007D0A4B" w:rsidRPr="00FA490A">
              <w:rPr>
                <w:color w:val="00B050"/>
              </w:rPr>
              <w:t>4.3.2</w:t>
            </w:r>
            <w:r w:rsidR="00C82A70" w:rsidRPr="00FA490A">
              <w:rPr>
                <w:color w:val="00B050"/>
              </w:rPr>
              <w:t>)</w:t>
            </w:r>
            <w:r w:rsidR="00CD7242" w:rsidRPr="00FA490A">
              <w:rPr>
                <w:color w:val="00B050"/>
              </w:rPr>
              <w:t xml:space="preserve"> </w:t>
            </w:r>
            <w:r w:rsidR="00CD7242">
              <w:t xml:space="preserve">kan du læse om de regler, </w:t>
            </w:r>
            <w:r w:rsidR="007D0A4B">
              <w:t xml:space="preserve">der gælder </w:t>
            </w:r>
            <w:r w:rsidR="00802D36">
              <w:t>for</w:t>
            </w:r>
            <w:r w:rsidR="007D0A4B" w:rsidRPr="00844A92">
              <w:t xml:space="preserve"> </w:t>
            </w:r>
            <w:r w:rsidR="00CD7242">
              <w:t>ferskvands</w:t>
            </w:r>
            <w:r w:rsidR="007D0A4B" w:rsidRPr="00844A92">
              <w:t>dambrug og mellemstore fyringsanlæg</w:t>
            </w:r>
            <w:r w:rsidR="004A1495">
              <w:t xml:space="preserve">, </w:t>
            </w:r>
            <w:r w:rsidR="004A1495" w:rsidRPr="004A1495">
              <w:t>som er teknisk og forureningsmæssigt forbundet med en virksomhed eller et husdyrbrug m.v.</w:t>
            </w:r>
            <w:r w:rsidR="004A1495">
              <w:t xml:space="preserve"> omfattet af kravet om regelmæssige tilsyn.</w:t>
            </w:r>
            <w:r w:rsidR="007D0A4B" w:rsidRPr="00844A92">
              <w:t xml:space="preserve"> </w:t>
            </w:r>
          </w:p>
          <w:p w14:paraId="32ACE82A" w14:textId="6F2A4F43" w:rsidR="00F97EBE" w:rsidRPr="00FC607C" w:rsidRDefault="00F97EBE" w:rsidP="007D0A4B">
            <w:pPr>
              <w:rPr>
                <w:i/>
              </w:rPr>
            </w:pPr>
          </w:p>
          <w:p w14:paraId="452FB1DA" w14:textId="7ADEB2A3" w:rsidR="00AD6F78" w:rsidRPr="00FC5E81" w:rsidRDefault="00AD6F78" w:rsidP="007D0A4B">
            <w:pPr>
              <w:rPr>
                <w:b/>
              </w:rPr>
            </w:pPr>
            <w:r w:rsidRPr="00FC5E81">
              <w:rPr>
                <w:b/>
              </w:rPr>
              <w:t xml:space="preserve">Øvrige virksomheder og </w:t>
            </w:r>
            <w:r w:rsidR="004C4319" w:rsidRPr="00FC5E81">
              <w:rPr>
                <w:b/>
              </w:rPr>
              <w:t>husdyrbrug m.v.</w:t>
            </w:r>
          </w:p>
          <w:p w14:paraId="3396A528" w14:textId="02001A55" w:rsidR="004B2C61" w:rsidRDefault="00BB2C88" w:rsidP="00BB2C88">
            <w:r>
              <w:t xml:space="preserve">Tilsyn med </w:t>
            </w:r>
            <w:r w:rsidR="00E06F48">
              <w:t>virksomheder og</w:t>
            </w:r>
            <w:r w:rsidR="004C4319">
              <w:t xml:space="preserve"> husdyrbrug m.v.</w:t>
            </w:r>
            <w:r w:rsidR="00E06F48">
              <w:t xml:space="preserve">, som ikke er omfattet af </w:t>
            </w:r>
            <w:r w:rsidR="00AD6F78">
              <w:t xml:space="preserve">bekendtgørelsens krav om regelmæssige tilsyn, </w:t>
            </w:r>
            <w:r w:rsidR="00E06F48">
              <w:t xml:space="preserve">er </w:t>
            </w:r>
            <w:r w:rsidR="0067253E">
              <w:t xml:space="preserve">alene </w:t>
            </w:r>
            <w:r w:rsidR="00E06F48">
              <w:t>omfattet af bekendtgørelsens kapitel 1</w:t>
            </w:r>
            <w:r w:rsidR="004B2C61">
              <w:t xml:space="preserve"> (</w:t>
            </w:r>
            <w:r w:rsidR="002369ED" w:rsidRPr="00AD6F78">
              <w:rPr>
                <w:i/>
              </w:rPr>
              <w:t>Anvendelsesområde og definitioner</w:t>
            </w:r>
            <w:r w:rsidR="004B2C61">
              <w:rPr>
                <w:i/>
              </w:rPr>
              <w:t>)</w:t>
            </w:r>
            <w:r w:rsidR="002369ED">
              <w:t xml:space="preserve"> </w:t>
            </w:r>
            <w:r w:rsidR="00E06F48">
              <w:t xml:space="preserve">og </w:t>
            </w:r>
            <w:r w:rsidR="002369ED">
              <w:t xml:space="preserve">kapitel </w:t>
            </w:r>
            <w:r w:rsidR="00E06F48">
              <w:t>4</w:t>
            </w:r>
            <w:r w:rsidR="004B2C61">
              <w:t xml:space="preserve"> (</w:t>
            </w:r>
            <w:r w:rsidR="002369ED" w:rsidRPr="00AD6F78">
              <w:rPr>
                <w:i/>
              </w:rPr>
              <w:t>Tilsyns- og godkendelsesmyndighedens afgivelse af oplysninger og offentliggørelse heraf</w:t>
            </w:r>
            <w:r w:rsidR="004B2C61">
              <w:rPr>
                <w:i/>
              </w:rPr>
              <w:t>)</w:t>
            </w:r>
            <w:r w:rsidR="00E06F48" w:rsidRPr="00AD6F78">
              <w:rPr>
                <w:i/>
              </w:rPr>
              <w:t>.</w:t>
            </w:r>
            <w:r w:rsidR="00E06F48">
              <w:t xml:space="preserve"> </w:t>
            </w:r>
            <w:r w:rsidR="004B2C61">
              <w:t xml:space="preserve">Dog kan </w:t>
            </w:r>
            <w:r>
              <w:t>visse overgangsbestemmelser i kapitel 5</w:t>
            </w:r>
            <w:r w:rsidR="004B2C61">
              <w:t xml:space="preserve"> (</w:t>
            </w:r>
            <w:r w:rsidRPr="009A7B88">
              <w:rPr>
                <w:i/>
              </w:rPr>
              <w:t xml:space="preserve">Ikrafttrædelses- og </w:t>
            </w:r>
            <w:r w:rsidRPr="001453FF">
              <w:rPr>
                <w:i/>
              </w:rPr>
              <w:t>overgangsbestemmelser</w:t>
            </w:r>
            <w:r w:rsidR="004B2C61">
              <w:rPr>
                <w:i/>
              </w:rPr>
              <w:t>)</w:t>
            </w:r>
            <w:r>
              <w:t xml:space="preserve"> fortsat være relevante. </w:t>
            </w:r>
          </w:p>
          <w:p w14:paraId="67EE04DC" w14:textId="77777777" w:rsidR="00BB2C88" w:rsidRDefault="00BB2C88" w:rsidP="003C6AEF"/>
          <w:p w14:paraId="3B46C516" w14:textId="0C8324DA" w:rsidR="007F5656" w:rsidRPr="00FA490A" w:rsidRDefault="00F41EB6" w:rsidP="003C6AEF">
            <w:pPr>
              <w:rPr>
                <w:b/>
                <w:i/>
              </w:rPr>
            </w:pPr>
            <w:r>
              <w:lastRenderedPageBreak/>
              <w:t xml:space="preserve">Du kan læse mere om, hvilke virksomheder og husdyrbrug m.v. </w:t>
            </w:r>
            <w:r w:rsidR="002C5E23">
              <w:t>der</w:t>
            </w:r>
            <w:r w:rsidR="0067253E">
              <w:t xml:space="preserve"> kun</w:t>
            </w:r>
            <w:r w:rsidR="002C5E23">
              <w:t xml:space="preserve"> </w:t>
            </w:r>
            <w:r>
              <w:t>er omfattet af bekendtgørelsens kapitel 1</w:t>
            </w:r>
            <w:r w:rsidR="0067253E">
              <w:t>, 4 og 5</w:t>
            </w:r>
            <w:r>
              <w:t xml:space="preserve"> i afsnit</w:t>
            </w:r>
            <w:r w:rsidR="00E72429">
              <w:t>tet</w:t>
            </w:r>
            <w:r w:rsidR="00AD6F78">
              <w:t xml:space="preserve"> </w:t>
            </w:r>
            <w:r w:rsidR="00AD6F78" w:rsidRPr="00FA490A">
              <w:rPr>
                <w:color w:val="00B050"/>
              </w:rPr>
              <w:t>”Hvilke virksomheder, husdyrbrug mv er alene omfattet af bekendtgørelsens øvrige bestemmelser</w:t>
            </w:r>
            <w:r w:rsidR="00C81370" w:rsidRPr="00FA490A">
              <w:rPr>
                <w:color w:val="00B050"/>
              </w:rPr>
              <w:t>?</w:t>
            </w:r>
            <w:r w:rsidR="00AD6F78" w:rsidRPr="00FA490A">
              <w:rPr>
                <w:color w:val="00B050"/>
              </w:rPr>
              <w:t>” (</w:t>
            </w:r>
            <w:r w:rsidRPr="00FA490A">
              <w:rPr>
                <w:color w:val="00B050"/>
              </w:rPr>
              <w:t>4.3.3</w:t>
            </w:r>
            <w:r w:rsidR="00AD6F78" w:rsidRPr="00FA490A">
              <w:rPr>
                <w:color w:val="00B050"/>
              </w:rPr>
              <w:t>)</w:t>
            </w:r>
            <w:r w:rsidR="00FA490A">
              <w:t>.</w:t>
            </w:r>
          </w:p>
          <w:p w14:paraId="3E28A58F" w14:textId="77777777" w:rsidR="002534E3" w:rsidRPr="004D7ABE" w:rsidRDefault="002534E3" w:rsidP="00FC607C"/>
        </w:tc>
      </w:tr>
      <w:tr w:rsidR="004008DD" w14:paraId="44C982CF" w14:textId="77777777" w:rsidTr="00125B14">
        <w:tc>
          <w:tcPr>
            <w:tcW w:w="9628" w:type="dxa"/>
            <w:shd w:val="clear" w:color="auto" w:fill="auto"/>
          </w:tcPr>
          <w:p w14:paraId="78D20451" w14:textId="77777777" w:rsidR="00407B88" w:rsidRPr="00D81398" w:rsidRDefault="002534E3" w:rsidP="008D704D">
            <w:pPr>
              <w:pStyle w:val="Underoverskrift"/>
            </w:pPr>
            <w:r w:rsidRPr="00D81398">
              <w:lastRenderedPageBreak/>
              <w:t>Retsgrundlag</w:t>
            </w:r>
          </w:p>
          <w:p w14:paraId="14BC2861" w14:textId="020B9678" w:rsidR="002534E3" w:rsidRPr="007A1B15" w:rsidRDefault="002534E3" w:rsidP="002534E3">
            <w:pPr>
              <w:rPr>
                <w:i/>
                <w:color w:val="808080" w:themeColor="background1" w:themeShade="80"/>
                <w:sz w:val="18"/>
                <w:szCs w:val="18"/>
              </w:rPr>
            </w:pPr>
            <w:r w:rsidRPr="007A1B15">
              <w:rPr>
                <w:i/>
                <w:color w:val="808080" w:themeColor="background1" w:themeShade="80"/>
                <w:sz w:val="18"/>
                <w:szCs w:val="18"/>
              </w:rPr>
              <w:t>Miljøtil</w:t>
            </w:r>
            <w:r w:rsidR="003A047D" w:rsidRPr="007A1B15">
              <w:rPr>
                <w:i/>
                <w:color w:val="808080" w:themeColor="background1" w:themeShade="80"/>
                <w:sz w:val="18"/>
                <w:szCs w:val="18"/>
              </w:rPr>
              <w:t>synsbekendtgørelsen, § 1, stk. 1-2</w:t>
            </w:r>
          </w:p>
          <w:p w14:paraId="1165C53E" w14:textId="6F131F8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Denne bekendtgørelse fastsætter regler om tilsyn efter lov om miljøbeskyttelse, lov om husdyrbrug og anvendelse af gødning m.v. og lov om forurenet jord.</w:t>
            </w:r>
          </w:p>
          <w:p w14:paraId="084C9140" w14:textId="7777777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Stk. 2. Bekendtgørelsens kapitel 2 og 3 gælder alene for tilsyn med</w:t>
            </w:r>
          </w:p>
          <w:p w14:paraId="7CC43C97" w14:textId="7777777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1) virksomheder, der er optaget på bilag 1 eller 2 til bekendtgørelse om godkendelse af listevirksomhed,</w:t>
            </w:r>
          </w:p>
          <w:p w14:paraId="0F556CC3" w14:textId="7777777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2) virksomheder, der er omfattet af bekendtgørelse om virksomheder, der forarbejder emner af jern, stål eller andre metaller,</w:t>
            </w:r>
          </w:p>
          <w:p w14:paraId="5B3A2AB6" w14:textId="2353702B"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3) husdyrbrug, der er godkendt eller tilladt efter §§ 16 a eller 16 b i lov om husdyrbrug og anvendelse af gødning m.v. eller efter de tidligere gældende regler i §§ 11 eller 12 i lov om miljøgodkendelse m.v. af husdyrbrug</w:t>
            </w:r>
            <w:r w:rsidR="001F0A30" w:rsidRPr="00FC5E81">
              <w:rPr>
                <w:color w:val="808080" w:themeColor="background1" w:themeShade="80"/>
                <w:sz w:val="18"/>
                <w:szCs w:val="18"/>
              </w:rPr>
              <w:t xml:space="preserve"> eller § 33 i lov om miljøbeskyttelse, </w:t>
            </w:r>
          </w:p>
          <w:p w14:paraId="618578F5" w14:textId="7777777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4) ejendomme med erhvervsmæssigt dyrehold, som inden den 1. august 2017 var omfattet af regelmæssigt tilsyn efter reglerne i bekendtgørelse nr. 1519 af 7. december 2016 om miljøtilsyn, indtil kommunalbestyrelsen meddeler godkendelse eller tilladelse efter §§ 16 a eller 16 b, jf. nr. 3, i dette stykke, eller træffer afgørelse om, at ejendommen med erhvervsmæssigt dyrehold ikke er omfattet af krav om godkendelse eller tilladelse efter §§ 16 a eller 16 b,</w:t>
            </w:r>
          </w:p>
          <w:p w14:paraId="587E3DF9" w14:textId="7777777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5) virksomheder, der er optaget på bilag 1 til bekendtgørelse om brugerbetaling for godkendelse m.v. og tilsyn efter lov om miljøbeskyttelse og lov om husdyrbrug og anvendelse af gødning m.v.,</w:t>
            </w:r>
          </w:p>
          <w:p w14:paraId="7E1C53AB" w14:textId="7777777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6) virksomheder, der er omfattet af bekendtgørelse om miljøkrav i forbindelse med etablering og drift af autoværksteder m.v.,</w:t>
            </w:r>
          </w:p>
          <w:p w14:paraId="1FC2BBA3" w14:textId="7777777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7) virksomheder, der er omfattet af bekendtgørelse om etablering og drift af renserier, og</w:t>
            </w:r>
          </w:p>
          <w:p w14:paraId="0CA52114" w14:textId="7777777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8) mellemstore fyringsanlæg med</w:t>
            </w:r>
          </w:p>
          <w:p w14:paraId="35F2ACF8" w14:textId="7777777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 xml:space="preserve">a) en nominel </w:t>
            </w:r>
            <w:proofErr w:type="spellStart"/>
            <w:r w:rsidRPr="00FC5E81">
              <w:rPr>
                <w:color w:val="808080" w:themeColor="background1" w:themeShade="80"/>
                <w:sz w:val="18"/>
                <w:szCs w:val="18"/>
              </w:rPr>
              <w:t>indfyret</w:t>
            </w:r>
            <w:proofErr w:type="spellEnd"/>
            <w:r w:rsidRPr="00FC5E81">
              <w:rPr>
                <w:color w:val="808080" w:themeColor="background1" w:themeShade="80"/>
                <w:sz w:val="18"/>
                <w:szCs w:val="18"/>
              </w:rPr>
              <w:t xml:space="preserve"> termisk effekt på mere end eller lig med 1 MW, som er omfattet af bekendtgørelse om miljøkrav for mellemstore fyringsanlæg, og som var i drift den 20. december 2018 eller senere,</w:t>
            </w:r>
          </w:p>
          <w:p w14:paraId="39E2827B" w14:textId="77777777" w:rsidR="000175AB" w:rsidRPr="00FC5E81" w:rsidRDefault="000175AB" w:rsidP="000175AB">
            <w:pPr>
              <w:rPr>
                <w:color w:val="808080" w:themeColor="background1" w:themeShade="80"/>
                <w:sz w:val="18"/>
                <w:szCs w:val="18"/>
              </w:rPr>
            </w:pPr>
            <w:r w:rsidRPr="00FC5E81">
              <w:rPr>
                <w:color w:val="808080" w:themeColor="background1" w:themeShade="80"/>
                <w:sz w:val="18"/>
                <w:szCs w:val="18"/>
              </w:rPr>
              <w:t xml:space="preserve">b) en nominel </w:t>
            </w:r>
            <w:proofErr w:type="spellStart"/>
            <w:r w:rsidRPr="00FC5E81">
              <w:rPr>
                <w:color w:val="808080" w:themeColor="background1" w:themeShade="80"/>
                <w:sz w:val="18"/>
                <w:szCs w:val="18"/>
              </w:rPr>
              <w:t>indfyret</w:t>
            </w:r>
            <w:proofErr w:type="spellEnd"/>
            <w:r w:rsidRPr="00FC5E81">
              <w:rPr>
                <w:color w:val="808080" w:themeColor="background1" w:themeShade="80"/>
                <w:sz w:val="18"/>
                <w:szCs w:val="18"/>
              </w:rPr>
              <w:t xml:space="preserve"> termisk effekt på mere end 5 MW og mindre end 50 MW, som er omfattet af bekendtgørelse om miljøkrav for mellemstore fyringsanlæg, og som er defineret som et bestående fyringsanlæg i samme bekendtgørelse, fra den 1. januar 2025, eller</w:t>
            </w:r>
          </w:p>
          <w:p w14:paraId="41B48119" w14:textId="573066E5" w:rsidR="000175AB" w:rsidRPr="00FC5E81" w:rsidRDefault="000175AB" w:rsidP="000175AB">
            <w:pPr>
              <w:rPr>
                <w:i/>
                <w:color w:val="808080" w:themeColor="background1" w:themeShade="80"/>
                <w:sz w:val="18"/>
                <w:szCs w:val="18"/>
              </w:rPr>
            </w:pPr>
            <w:r w:rsidRPr="00FC5E81">
              <w:rPr>
                <w:color w:val="808080" w:themeColor="background1" w:themeShade="80"/>
                <w:sz w:val="18"/>
                <w:szCs w:val="18"/>
              </w:rPr>
              <w:t xml:space="preserve">c) en nominel </w:t>
            </w:r>
            <w:proofErr w:type="spellStart"/>
            <w:r w:rsidRPr="00FC5E81">
              <w:rPr>
                <w:color w:val="808080" w:themeColor="background1" w:themeShade="80"/>
                <w:sz w:val="18"/>
                <w:szCs w:val="18"/>
              </w:rPr>
              <w:t>indfyret</w:t>
            </w:r>
            <w:proofErr w:type="spellEnd"/>
            <w:r w:rsidRPr="00FC5E81">
              <w:rPr>
                <w:color w:val="808080" w:themeColor="background1" w:themeShade="80"/>
                <w:sz w:val="18"/>
                <w:szCs w:val="18"/>
              </w:rPr>
              <w:t xml:space="preserve"> termisk effekt på mere end eller lig med 1 MW og mindre end eller lig med 5 MW, som er omfattet af bekendtgørelse om miljøkrav for mellemstore fyringsanlæg, og som er defineret som et bestående fyringsanlæg i samme bekendtgørelse, fra den 1. januar 2030.</w:t>
            </w:r>
          </w:p>
        </w:tc>
      </w:tr>
    </w:tbl>
    <w:p w14:paraId="574D634B" w14:textId="77777777" w:rsidR="004008DD" w:rsidRDefault="004008DD" w:rsidP="002534E3"/>
    <w:p w14:paraId="4EE70ACA" w14:textId="5865ED4C" w:rsidR="002414CA" w:rsidRDefault="002414CA"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6D65" w14:paraId="44637ABB" w14:textId="77777777" w:rsidTr="007B6D65">
        <w:trPr>
          <w:trHeight w:val="947"/>
        </w:trPr>
        <w:tc>
          <w:tcPr>
            <w:tcW w:w="9628" w:type="dxa"/>
            <w:tcBorders>
              <w:top w:val="single" w:sz="4" w:space="0" w:color="auto"/>
              <w:left w:val="single" w:sz="4" w:space="0" w:color="auto"/>
              <w:bottom w:val="single" w:sz="4" w:space="0" w:color="auto"/>
              <w:right w:val="single" w:sz="4" w:space="0" w:color="auto"/>
            </w:tcBorders>
          </w:tcPr>
          <w:p w14:paraId="31102E98" w14:textId="77777777" w:rsidR="007B6D65" w:rsidRDefault="007B6D65"/>
          <w:p w14:paraId="47C71F2E" w14:textId="77777777" w:rsidR="007B6D65" w:rsidRDefault="007B6D65" w:rsidP="00FC607C">
            <w:pPr>
              <w:rPr>
                <w:b/>
                <w:sz w:val="28"/>
                <w:szCs w:val="28"/>
              </w:rPr>
            </w:pPr>
            <w:r w:rsidRPr="004C4319">
              <w:rPr>
                <w:b/>
                <w:sz w:val="28"/>
                <w:szCs w:val="28"/>
              </w:rPr>
              <w:t xml:space="preserve">4.3.1. </w:t>
            </w:r>
            <w:r w:rsidR="00FC607C" w:rsidRPr="004C4319">
              <w:rPr>
                <w:b/>
                <w:sz w:val="28"/>
                <w:szCs w:val="28"/>
              </w:rPr>
              <w:t>Hvilke virksomheder, husdyrbrug m</w:t>
            </w:r>
            <w:r w:rsidR="007B366E">
              <w:rPr>
                <w:b/>
                <w:sz w:val="28"/>
                <w:szCs w:val="28"/>
              </w:rPr>
              <w:t>.</w:t>
            </w:r>
            <w:r w:rsidR="00FC607C" w:rsidRPr="004C4319">
              <w:rPr>
                <w:b/>
                <w:sz w:val="28"/>
                <w:szCs w:val="28"/>
              </w:rPr>
              <w:t>v</w:t>
            </w:r>
            <w:r w:rsidR="007B366E">
              <w:rPr>
                <w:b/>
                <w:sz w:val="28"/>
                <w:szCs w:val="28"/>
              </w:rPr>
              <w:t>.</w:t>
            </w:r>
            <w:r w:rsidR="00FC607C" w:rsidRPr="004C4319">
              <w:rPr>
                <w:b/>
                <w:sz w:val="28"/>
                <w:szCs w:val="28"/>
              </w:rPr>
              <w:t xml:space="preserve"> er omfattet af bekendtgørelsens krav om regelmæssige tilsyn?</w:t>
            </w:r>
          </w:p>
          <w:p w14:paraId="06DC16CD" w14:textId="495E754E" w:rsidR="007B366E" w:rsidRPr="004C4319" w:rsidRDefault="007B366E" w:rsidP="00FC607C">
            <w:pPr>
              <w:rPr>
                <w:sz w:val="28"/>
                <w:szCs w:val="28"/>
              </w:rPr>
            </w:pPr>
          </w:p>
        </w:tc>
      </w:tr>
      <w:tr w:rsidR="007B6D65" w14:paraId="653AD1D8" w14:textId="77777777" w:rsidTr="007B6D65">
        <w:tc>
          <w:tcPr>
            <w:tcW w:w="9628" w:type="dxa"/>
            <w:tcBorders>
              <w:top w:val="single" w:sz="4" w:space="0" w:color="auto"/>
              <w:left w:val="single" w:sz="4" w:space="0" w:color="auto"/>
              <w:bottom w:val="single" w:sz="4" w:space="0" w:color="auto"/>
              <w:right w:val="single" w:sz="4" w:space="0" w:color="auto"/>
            </w:tcBorders>
          </w:tcPr>
          <w:p w14:paraId="63A7474E" w14:textId="77777777" w:rsidR="004D7FCE" w:rsidRDefault="004D7FCE" w:rsidP="006F6A71"/>
          <w:p w14:paraId="3166CEFA" w14:textId="2A679AB8" w:rsidR="007B366E" w:rsidRPr="00E67997" w:rsidRDefault="007B6D65" w:rsidP="006F6A71">
            <w:pPr>
              <w:rPr>
                <w:i/>
              </w:rPr>
            </w:pPr>
            <w:r>
              <w:t xml:space="preserve">Det er </w:t>
            </w:r>
            <w:r w:rsidR="0067253E">
              <w:t>kun</w:t>
            </w:r>
            <w:r>
              <w:t xml:space="preserve"> </w:t>
            </w:r>
            <w:r w:rsidR="00E67997">
              <w:t xml:space="preserve">tilsyn med </w:t>
            </w:r>
            <w:r>
              <w:t xml:space="preserve">de virksomheder og husdyrbrug m.v., som </w:t>
            </w:r>
            <w:r w:rsidR="00573C01">
              <w:t xml:space="preserve">er </w:t>
            </w:r>
            <w:r>
              <w:t xml:space="preserve">nævnt i bekendtgørelsens § 1, stk. 2, </w:t>
            </w:r>
            <w:r w:rsidR="00E67997">
              <w:t xml:space="preserve">der er </w:t>
            </w:r>
            <w:r>
              <w:t xml:space="preserve">omfattet af </w:t>
            </w:r>
            <w:r w:rsidR="00FC607C">
              <w:t>alle krav i miljøtilsynsbekendtgørelsen, herunder krav</w:t>
            </w:r>
            <w:r w:rsidR="00E72429">
              <w:t>et</w:t>
            </w:r>
            <w:r w:rsidR="00FC607C">
              <w:t xml:space="preserve"> om regelmæssige tilsyn</w:t>
            </w:r>
            <w:r>
              <w:t>.</w:t>
            </w:r>
            <w:r w:rsidR="006F6A71">
              <w:t xml:space="preserve"> </w:t>
            </w:r>
            <w:r w:rsidR="0034715C">
              <w:t>Du kan læse mere om, hvilke typer virksomheder og husdyrbrug m.v. der er omfattet i</w:t>
            </w:r>
            <w:r w:rsidR="006F6A71">
              <w:t xml:space="preserve"> afsnittet </w:t>
            </w:r>
            <w:r w:rsidR="006F6A71" w:rsidRPr="00FA490A">
              <w:rPr>
                <w:color w:val="00B050"/>
              </w:rPr>
              <w:t>”</w:t>
            </w:r>
            <w:r w:rsidR="007B366E" w:rsidRPr="00FA490A">
              <w:rPr>
                <w:color w:val="00B050"/>
              </w:rPr>
              <w:t xml:space="preserve">Virksomheder og husdyrbrug m.v. omfattet af kravet om regelmæssige tilsyn” </w:t>
            </w:r>
            <w:r w:rsidR="006F6A71" w:rsidRPr="00FA490A">
              <w:rPr>
                <w:color w:val="00B050"/>
              </w:rPr>
              <w:t>(4.3.1.1</w:t>
            </w:r>
            <w:r w:rsidR="007B366E" w:rsidRPr="00FA490A">
              <w:rPr>
                <w:color w:val="00B050"/>
              </w:rPr>
              <w:t>)</w:t>
            </w:r>
            <w:r w:rsidR="007B366E" w:rsidRPr="00FA490A">
              <w:t>.</w:t>
            </w:r>
          </w:p>
          <w:p w14:paraId="0F22ECDF" w14:textId="49E5E700" w:rsidR="00E67997" w:rsidRDefault="00E67997" w:rsidP="007B6D65"/>
          <w:p w14:paraId="71CD75C2" w14:textId="4C354F25" w:rsidR="00E67997" w:rsidRPr="00FC5E81" w:rsidRDefault="00E67997" w:rsidP="00E67997">
            <w:pPr>
              <w:rPr>
                <w:b/>
              </w:rPr>
            </w:pPr>
            <w:r w:rsidRPr="00FC5E81">
              <w:rPr>
                <w:b/>
              </w:rPr>
              <w:t>Hvornår</w:t>
            </w:r>
            <w:r w:rsidR="009A7B88" w:rsidRPr="00FC5E81">
              <w:rPr>
                <w:b/>
              </w:rPr>
              <w:t xml:space="preserve"> er </w:t>
            </w:r>
            <w:r w:rsidRPr="00FC5E81">
              <w:rPr>
                <w:b/>
              </w:rPr>
              <w:t>en virksomhed eller et husdyrbrug m.v. omfattet af kravet om regelmæssige tilsyn?</w:t>
            </w:r>
          </w:p>
          <w:p w14:paraId="4EFD0B6A" w14:textId="24F46D62" w:rsidR="003D2F86" w:rsidRDefault="00B43EC8" w:rsidP="00E67997">
            <w:r>
              <w:t xml:space="preserve">I henhold til miljøbeskyttelseslovens kapitel 9 og </w:t>
            </w:r>
            <w:proofErr w:type="spellStart"/>
            <w:r>
              <w:t>husdyrbruglovens</w:t>
            </w:r>
            <w:proofErr w:type="spellEnd"/>
            <w:r>
              <w:t xml:space="preserve"> kapitel 5 er det virksomhedens eller husdyrbrugets m.v. drift, dvs. de forurenende aktiviteter, der reguleres af disse love, </w:t>
            </w:r>
            <w:r w:rsidR="00D2341D">
              <w:t xml:space="preserve">og </w:t>
            </w:r>
            <w:r>
              <w:t xml:space="preserve">som tilsynsmyndigheden er forpligtet til at føre tilsyn med. </w:t>
            </w:r>
            <w:r w:rsidR="00585911">
              <w:t>E</w:t>
            </w:r>
            <w:r>
              <w:t xml:space="preserve">n </w:t>
            </w:r>
            <w:r w:rsidR="00E67997">
              <w:t>virksomhed eller et husdyrbrug m.v. omfattes</w:t>
            </w:r>
            <w:r w:rsidR="00266958">
              <w:t xml:space="preserve"> </w:t>
            </w:r>
            <w:r w:rsidR="00585911">
              <w:t xml:space="preserve">derfor </w:t>
            </w:r>
            <w:r w:rsidR="00266958">
              <w:t xml:space="preserve">af kravet om regelmæssige </w:t>
            </w:r>
            <w:r w:rsidR="00E67997">
              <w:t>tilsyn</w:t>
            </w:r>
            <w:r w:rsidR="002C5E23">
              <w:t>,</w:t>
            </w:r>
            <w:r w:rsidR="00E67997">
              <w:t xml:space="preserve"> når </w:t>
            </w:r>
            <w:r w:rsidR="00573C01">
              <w:t xml:space="preserve">driften </w:t>
            </w:r>
            <w:r w:rsidR="00E67997">
              <w:t>påbegynde</w:t>
            </w:r>
            <w:r w:rsidR="00573C01">
              <w:t>s</w:t>
            </w:r>
            <w:r w:rsidR="00E67997">
              <w:t xml:space="preserve">. </w:t>
            </w:r>
          </w:p>
          <w:p w14:paraId="45A07B96" w14:textId="77777777" w:rsidR="003D2F86" w:rsidRDefault="003D2F86" w:rsidP="00E67997"/>
          <w:p w14:paraId="50CC2484" w14:textId="3489FE27" w:rsidR="007A5C03" w:rsidRDefault="002C5E23" w:rsidP="00E67997">
            <w:r>
              <w:t>Som</w:t>
            </w:r>
            <w:r w:rsidR="00E67997">
              <w:t xml:space="preserve"> tilsynsmyndighed skal</w:t>
            </w:r>
            <w:r>
              <w:t xml:space="preserve"> du</w:t>
            </w:r>
            <w:r w:rsidR="00E67997">
              <w:t xml:space="preserve"> planlægge tilsynene på baggrund af dit kendskab til, om virksomheden eller husdyrbruget m.v. er i drift. </w:t>
            </w:r>
            <w:r w:rsidR="007A5C03">
              <w:t xml:space="preserve"> </w:t>
            </w:r>
            <w:r w:rsidR="007A5C03" w:rsidRPr="007A5C03">
              <w:t xml:space="preserve">Du kan læse mere om tilsynsplanlægning i </w:t>
            </w:r>
            <w:r w:rsidR="00436839">
              <w:t>afsnittet</w:t>
            </w:r>
            <w:r w:rsidR="007A5C03" w:rsidRPr="007A5C03">
              <w:t xml:space="preserve"> </w:t>
            </w:r>
            <w:r w:rsidR="007A5C03" w:rsidRPr="00FA490A">
              <w:rPr>
                <w:color w:val="00B050"/>
              </w:rPr>
              <w:t xml:space="preserve">”Tilsynsplanlægning og frekvenser” </w:t>
            </w:r>
            <w:r w:rsidR="006F6A71" w:rsidRPr="00FA490A">
              <w:rPr>
                <w:color w:val="00B050"/>
              </w:rPr>
              <w:t>(3.2)</w:t>
            </w:r>
            <w:r w:rsidR="006F6A71" w:rsidRPr="00FA490A">
              <w:t>.</w:t>
            </w:r>
            <w:r w:rsidR="006F6A71" w:rsidRPr="00FA490A">
              <w:rPr>
                <w:color w:val="00B050"/>
              </w:rPr>
              <w:t xml:space="preserve"> </w:t>
            </w:r>
            <w:r w:rsidR="00E67997">
              <w:t xml:space="preserve">Vær opmærksom på, at det kun er visse typer virksomheder, der er forpligtet til at orientere myndigheden om, at de er påbegyndt driften. </w:t>
            </w:r>
          </w:p>
          <w:p w14:paraId="46CE6CF6" w14:textId="6E0BBA35" w:rsidR="00B81796" w:rsidRDefault="00B81796" w:rsidP="00E67997"/>
          <w:p w14:paraId="5C1174AB" w14:textId="5302EE1F" w:rsidR="003D2F86" w:rsidRDefault="003D2F86" w:rsidP="00535B34">
            <w:r>
              <w:t>Driften anses for ophørt, når eventuelle miljømæssige foranstaltninger</w:t>
            </w:r>
            <w:r w:rsidR="00573C01">
              <w:t xml:space="preserve"> i forbindelse med </w:t>
            </w:r>
            <w:r>
              <w:t>ophøret</w:t>
            </w:r>
            <w:r w:rsidR="0072153D">
              <w:t xml:space="preserve"> er foretaget</w:t>
            </w:r>
            <w:r>
              <w:t xml:space="preserve">, fx tømning af tanke, oprydning af oplag mv. Bemærk, at tilsyn på affaldsdeponier, som er omfattet af bekendtgørelse om deponeringsanlæg </w:t>
            </w:r>
            <w:r w:rsidRPr="003D4197">
              <w:t>(</w:t>
            </w:r>
            <w:r w:rsidR="003D4197" w:rsidRPr="00FA490A">
              <w:rPr>
                <w:color w:val="00B050"/>
              </w:rPr>
              <w:t>deponeringsbekendtgørelsen</w:t>
            </w:r>
            <w:r w:rsidR="003D4197" w:rsidRPr="003D4197">
              <w:t>)</w:t>
            </w:r>
            <w:r w:rsidR="003D4197">
              <w:t xml:space="preserve">, er </w:t>
            </w:r>
            <w:r>
              <w:t>omfattet af kravet om regelmæssige tilsyn også i perioden efter meddelelsen af afgørelsen om nedlukning og efterbehandling. Kravet om regelmæssige tilsyn ophører først</w:t>
            </w:r>
            <w:r w:rsidR="0072153D">
              <w:t>,</w:t>
            </w:r>
            <w:r>
              <w:t xml:space="preserve"> når myndigheden har truffet en afgørelse om, at deponeringsanlægget overgår</w:t>
            </w:r>
            <w:r w:rsidR="003D4197">
              <w:t xml:space="preserve"> til passiv tilstand, jf. </w:t>
            </w:r>
            <w:r w:rsidR="003D4197" w:rsidRPr="00FA490A">
              <w:rPr>
                <w:color w:val="00B050"/>
              </w:rPr>
              <w:t>deponerings</w:t>
            </w:r>
            <w:r w:rsidRPr="00FA490A">
              <w:rPr>
                <w:color w:val="00B050"/>
              </w:rPr>
              <w:t>bekendtgørelsens</w:t>
            </w:r>
            <w:r>
              <w:t xml:space="preserve"> § 27. </w:t>
            </w:r>
          </w:p>
          <w:p w14:paraId="30C56F3F" w14:textId="21498108" w:rsidR="009523CF" w:rsidRDefault="009523CF" w:rsidP="003D2F86"/>
          <w:p w14:paraId="1BE7CBC7" w14:textId="100F0859" w:rsidR="009523CF" w:rsidRPr="00FC5E81" w:rsidRDefault="009523CF" w:rsidP="003D2F86">
            <w:pPr>
              <w:rPr>
                <w:b/>
                <w:i/>
              </w:rPr>
            </w:pPr>
            <w:r w:rsidRPr="00FC5E81">
              <w:rPr>
                <w:b/>
                <w:i/>
              </w:rPr>
              <w:t>Særligt for mellemstore fyring</w:t>
            </w:r>
            <w:r w:rsidR="00A62331" w:rsidRPr="00FC5E81">
              <w:rPr>
                <w:b/>
                <w:i/>
              </w:rPr>
              <w:t>s</w:t>
            </w:r>
            <w:r w:rsidRPr="00FC5E81">
              <w:rPr>
                <w:b/>
                <w:i/>
              </w:rPr>
              <w:t>anlæg</w:t>
            </w:r>
          </w:p>
          <w:p w14:paraId="77E064FF" w14:textId="650EB17C" w:rsidR="009C6A2E" w:rsidRPr="00552BE2" w:rsidRDefault="009C6A2E" w:rsidP="003D2F86">
            <w:r w:rsidRPr="00552BE2">
              <w:t xml:space="preserve">Miljøtilsynsbekendtgørelsen, herunder kravet om regelmæssige tilsyn, </w:t>
            </w:r>
            <w:r w:rsidR="00B43DEA">
              <w:t xml:space="preserve">gælder for </w:t>
            </w:r>
            <w:r w:rsidRPr="00552BE2">
              <w:t xml:space="preserve">mellemstore fyringsanlæg, som er omfattet af </w:t>
            </w:r>
            <w:r w:rsidRPr="00FA490A">
              <w:rPr>
                <w:color w:val="00B050"/>
              </w:rPr>
              <w:t>bekendtgørelse om mellemstore fyringsanlæg</w:t>
            </w:r>
            <w:r w:rsidR="00A62331" w:rsidRPr="00FA490A">
              <w:rPr>
                <w:color w:val="00B050"/>
              </w:rPr>
              <w:t xml:space="preserve"> </w:t>
            </w:r>
            <w:r w:rsidRPr="00552BE2">
              <w:t>med</w:t>
            </w:r>
            <w:r w:rsidR="00C92BFD">
              <w:t>:</w:t>
            </w:r>
            <w:r w:rsidRPr="00552BE2">
              <w:t xml:space="preserve"> </w:t>
            </w:r>
          </w:p>
          <w:p w14:paraId="605CF237" w14:textId="48E290D0" w:rsidR="009523CF" w:rsidRPr="00552BE2" w:rsidRDefault="009523CF" w:rsidP="009523CF">
            <w:pPr>
              <w:pStyle w:val="Listeafsnit"/>
              <w:numPr>
                <w:ilvl w:val="0"/>
                <w:numId w:val="22"/>
              </w:numPr>
            </w:pPr>
            <w:r w:rsidRPr="00552BE2">
              <w:t xml:space="preserve">en nominel </w:t>
            </w:r>
            <w:proofErr w:type="spellStart"/>
            <w:r w:rsidRPr="00552BE2">
              <w:t>indfyret</w:t>
            </w:r>
            <w:proofErr w:type="spellEnd"/>
            <w:r w:rsidRPr="00552BE2">
              <w:t xml:space="preserve"> termisk effekt på mere end eller lig med 1 MW, som var i drift den 20. december 2018 eller senere,</w:t>
            </w:r>
          </w:p>
          <w:p w14:paraId="6E014A04" w14:textId="19D95EFA" w:rsidR="009523CF" w:rsidRPr="00552BE2" w:rsidRDefault="009C6A2E" w:rsidP="009523CF">
            <w:pPr>
              <w:pStyle w:val="Listeafsnit"/>
              <w:numPr>
                <w:ilvl w:val="0"/>
                <w:numId w:val="22"/>
              </w:numPr>
            </w:pPr>
            <w:r w:rsidRPr="00552BE2">
              <w:t xml:space="preserve">en nominel </w:t>
            </w:r>
            <w:proofErr w:type="spellStart"/>
            <w:r w:rsidRPr="00552BE2">
              <w:t>indfyret</w:t>
            </w:r>
            <w:proofErr w:type="spellEnd"/>
            <w:r w:rsidRPr="00552BE2">
              <w:t xml:space="preserve"> termisk effekt på mere end 5 MW og mindre end 50 MW, som er defineret som et bestående fyringsanlæg i samme bekendtgørelse, fra den 1. januar 2025, eller</w:t>
            </w:r>
          </w:p>
          <w:p w14:paraId="086BE976" w14:textId="36DA5481" w:rsidR="009C6A2E" w:rsidRPr="00552BE2" w:rsidRDefault="009C6A2E" w:rsidP="009523CF">
            <w:pPr>
              <w:pStyle w:val="Listeafsnit"/>
              <w:numPr>
                <w:ilvl w:val="0"/>
                <w:numId w:val="22"/>
              </w:numPr>
            </w:pPr>
            <w:r w:rsidRPr="00552BE2">
              <w:t xml:space="preserve">en nominel </w:t>
            </w:r>
            <w:proofErr w:type="spellStart"/>
            <w:r w:rsidRPr="00552BE2">
              <w:t>indfyret</w:t>
            </w:r>
            <w:proofErr w:type="spellEnd"/>
            <w:r w:rsidRPr="00552BE2">
              <w:t xml:space="preserve"> termisk effekt på mere end eller lig med 1 MW og mind</w:t>
            </w:r>
            <w:r w:rsidR="00D2341D">
              <w:t>re</w:t>
            </w:r>
            <w:r w:rsidRPr="00552BE2">
              <w:t xml:space="preserve"> end eller lig med 5 MW, som er defineret som et bestående fyringsanlæg i samme bekendtgørelse, fra den 1. januar 2030.</w:t>
            </w:r>
          </w:p>
          <w:p w14:paraId="2CF132DE" w14:textId="67F57D3E" w:rsidR="009523CF" w:rsidRDefault="009523CF" w:rsidP="003D2F86"/>
          <w:p w14:paraId="2BEBC63D" w14:textId="51CDFAB0" w:rsidR="00A62331" w:rsidRDefault="00D028CA" w:rsidP="005D40B0">
            <w:r w:rsidRPr="005D40B0">
              <w:t>Bestående m</w:t>
            </w:r>
            <w:r w:rsidR="00A62331" w:rsidRPr="005D40B0">
              <w:t>el</w:t>
            </w:r>
            <w:r w:rsidR="009C6A2E" w:rsidRPr="005D40B0">
              <w:t>lemstore fyringsanlæg</w:t>
            </w:r>
            <w:r w:rsidR="009C6A2E" w:rsidRPr="00552BE2">
              <w:t xml:space="preserve"> på 5-50 MW </w:t>
            </w:r>
            <w:r w:rsidR="00A62331" w:rsidRPr="00552BE2">
              <w:t xml:space="preserve">bliver </w:t>
            </w:r>
            <w:r w:rsidR="009C6A2E" w:rsidRPr="00552BE2">
              <w:t>fra den 1. januar</w:t>
            </w:r>
            <w:r w:rsidR="00A62331" w:rsidRPr="00552BE2">
              <w:t xml:space="preserve"> </w:t>
            </w:r>
            <w:r w:rsidR="009C6A2E" w:rsidRPr="00552BE2">
              <w:t>2025 omfattet af bekendtgørelse om mellemstore fyringsanlæg</w:t>
            </w:r>
            <w:r w:rsidR="00A62331" w:rsidRPr="00552BE2">
              <w:t>. F</w:t>
            </w:r>
            <w:r w:rsidR="009C6A2E" w:rsidRPr="00552BE2">
              <w:t>ra den 1. januar 2030 bliver</w:t>
            </w:r>
            <w:r w:rsidR="00A62331" w:rsidRPr="00552BE2">
              <w:t xml:space="preserve"> </w:t>
            </w:r>
            <w:r>
              <w:t xml:space="preserve">bestående </w:t>
            </w:r>
            <w:r w:rsidR="009C6A2E" w:rsidRPr="00552BE2">
              <w:t>fyringsanlæg på 1-5 MW omfattet af samme bekendtgørelse.</w:t>
            </w:r>
            <w:r w:rsidR="00A62331" w:rsidRPr="00552BE2">
              <w:t xml:space="preserve"> </w:t>
            </w:r>
            <w:r w:rsidR="005D40B0" w:rsidRPr="005D40B0">
              <w:t>Bestående fyringsanlæg</w:t>
            </w:r>
            <w:r w:rsidR="005D40B0">
              <w:t xml:space="preserve"> er fyringsanlæg, der er sat i drift </w:t>
            </w:r>
            <w:r w:rsidR="005D40B0" w:rsidRPr="005D40B0">
              <w:t xml:space="preserve">før den 20. december 2018, eller som har fået meddelt godkendelse </w:t>
            </w:r>
            <w:r w:rsidR="005D40B0" w:rsidRPr="005D40B0">
              <w:lastRenderedPageBreak/>
              <w:t>efter lovens § 33 inden den 19. december 2017, forudsat at anlægget sættes i drift senest den 20. december 2018.</w:t>
            </w:r>
          </w:p>
          <w:p w14:paraId="54DEEDF1" w14:textId="075B1424" w:rsidR="00FC7E02" w:rsidRDefault="00FC7E02" w:rsidP="006F6A71">
            <w:pPr>
              <w:autoSpaceDE w:val="0"/>
              <w:autoSpaceDN w:val="0"/>
              <w:adjustRightInd w:val="0"/>
            </w:pPr>
          </w:p>
          <w:tbl>
            <w:tblPr>
              <w:tblStyle w:val="Tabel-Gitter"/>
              <w:tblW w:w="0" w:type="auto"/>
              <w:tblInd w:w="594" w:type="dxa"/>
              <w:tblLook w:val="04A0" w:firstRow="1" w:lastRow="0" w:firstColumn="1" w:lastColumn="0" w:noHBand="0" w:noVBand="1"/>
            </w:tblPr>
            <w:tblGrid>
              <w:gridCol w:w="8080"/>
            </w:tblGrid>
            <w:tr w:rsidR="00FC7E02" w14:paraId="77451DC9" w14:textId="77777777" w:rsidTr="00D81398">
              <w:tc>
                <w:tcPr>
                  <w:tcW w:w="8080" w:type="dxa"/>
                </w:tcPr>
                <w:p w14:paraId="7081149B" w14:textId="03796480" w:rsidR="00FA449F" w:rsidRPr="00FC5E81" w:rsidRDefault="00FA449F" w:rsidP="00FC7E02">
                  <w:pPr>
                    <w:autoSpaceDE w:val="0"/>
                    <w:autoSpaceDN w:val="0"/>
                    <w:adjustRightInd w:val="0"/>
                    <w:rPr>
                      <w:b/>
                      <w:sz w:val="18"/>
                      <w:szCs w:val="18"/>
                    </w:rPr>
                  </w:pPr>
                  <w:proofErr w:type="spellStart"/>
                  <w:r w:rsidRPr="00FC5E81">
                    <w:rPr>
                      <w:b/>
                      <w:sz w:val="18"/>
                      <w:szCs w:val="18"/>
                    </w:rPr>
                    <w:t>Faktaboks</w:t>
                  </w:r>
                  <w:proofErr w:type="spellEnd"/>
                </w:p>
                <w:p w14:paraId="67317789" w14:textId="0BCD76BA" w:rsidR="00FC7E02" w:rsidRPr="00FC5E81" w:rsidRDefault="00FC7E02" w:rsidP="00FC7E02">
                  <w:pPr>
                    <w:autoSpaceDE w:val="0"/>
                    <w:autoSpaceDN w:val="0"/>
                    <w:adjustRightInd w:val="0"/>
                    <w:rPr>
                      <w:i/>
                      <w:sz w:val="18"/>
                      <w:szCs w:val="18"/>
                    </w:rPr>
                  </w:pPr>
                  <w:r w:rsidRPr="00FC5E81">
                    <w:rPr>
                      <w:i/>
                      <w:sz w:val="18"/>
                      <w:szCs w:val="18"/>
                    </w:rPr>
                    <w:t>Bestående fyringsanlæg på 1-5 MW</w:t>
                  </w:r>
                </w:p>
                <w:p w14:paraId="47A40546" w14:textId="77777777" w:rsidR="00FC5E81" w:rsidRPr="00FC5E81" w:rsidRDefault="00FC5E81" w:rsidP="00FC7E02">
                  <w:pPr>
                    <w:autoSpaceDE w:val="0"/>
                    <w:autoSpaceDN w:val="0"/>
                    <w:adjustRightInd w:val="0"/>
                    <w:rPr>
                      <w:sz w:val="18"/>
                      <w:szCs w:val="18"/>
                    </w:rPr>
                  </w:pPr>
                </w:p>
                <w:p w14:paraId="405D6820" w14:textId="76E844CB" w:rsidR="00D6559F" w:rsidRPr="00FC5E81" w:rsidRDefault="00E22EB1" w:rsidP="00FC7E02">
                  <w:pPr>
                    <w:autoSpaceDE w:val="0"/>
                    <w:autoSpaceDN w:val="0"/>
                    <w:adjustRightInd w:val="0"/>
                    <w:rPr>
                      <w:sz w:val="18"/>
                      <w:szCs w:val="18"/>
                    </w:rPr>
                  </w:pPr>
                  <w:r w:rsidRPr="00FC5E81">
                    <w:rPr>
                      <w:sz w:val="18"/>
                      <w:szCs w:val="18"/>
                    </w:rPr>
                    <w:t xml:space="preserve">Bestående fyringsanlæg </w:t>
                  </w:r>
                  <w:r w:rsidR="00AD5241" w:rsidRPr="00FC5E81">
                    <w:rPr>
                      <w:sz w:val="18"/>
                      <w:szCs w:val="18"/>
                    </w:rPr>
                    <w:t xml:space="preserve">med en nominel </w:t>
                  </w:r>
                  <w:proofErr w:type="spellStart"/>
                  <w:r w:rsidR="00AD5241" w:rsidRPr="00FC5E81">
                    <w:rPr>
                      <w:sz w:val="18"/>
                      <w:szCs w:val="18"/>
                    </w:rPr>
                    <w:t>indfyret</w:t>
                  </w:r>
                  <w:proofErr w:type="spellEnd"/>
                  <w:r w:rsidR="00AD5241" w:rsidRPr="00FC5E81">
                    <w:rPr>
                      <w:sz w:val="18"/>
                      <w:szCs w:val="18"/>
                    </w:rPr>
                    <w:t xml:space="preserve"> termisk effekt på mere end eller lig med 1 MW og mindre end eller lig med 5 MW </w:t>
                  </w:r>
                  <w:r w:rsidRPr="00FC5E81">
                    <w:rPr>
                      <w:sz w:val="18"/>
                      <w:szCs w:val="18"/>
                    </w:rPr>
                    <w:t xml:space="preserve">bliver omfattet af bekendtgørelse om mellemstore fyringsanlæg den 1. januar 2030. </w:t>
                  </w:r>
                  <w:r w:rsidR="00D6559F" w:rsidRPr="00FC5E81">
                    <w:rPr>
                      <w:sz w:val="18"/>
                      <w:szCs w:val="18"/>
                    </w:rPr>
                    <w:t>Det følger af miljøtilsynsbekendtgørelsens § 1, stk. 2, nr. 8, litra c), at disse anlæg bliver omfattet af kravet om regelmæssige tilsyn d. 1</w:t>
                  </w:r>
                  <w:r w:rsidR="00FC5E81" w:rsidRPr="00FC5E81">
                    <w:rPr>
                      <w:sz w:val="18"/>
                      <w:szCs w:val="18"/>
                    </w:rPr>
                    <w:t>.</w:t>
                  </w:r>
                  <w:r w:rsidR="00D6559F" w:rsidRPr="00FC5E81">
                    <w:rPr>
                      <w:sz w:val="18"/>
                      <w:szCs w:val="18"/>
                    </w:rPr>
                    <w:t xml:space="preserve"> januar 2030.</w:t>
                  </w:r>
                </w:p>
                <w:p w14:paraId="0CBCF763" w14:textId="486B4244" w:rsidR="00F57ACC" w:rsidRPr="00FC5E81" w:rsidRDefault="00F57ACC" w:rsidP="00FC7E02">
                  <w:pPr>
                    <w:autoSpaceDE w:val="0"/>
                    <w:autoSpaceDN w:val="0"/>
                    <w:adjustRightInd w:val="0"/>
                    <w:rPr>
                      <w:sz w:val="18"/>
                      <w:szCs w:val="18"/>
                    </w:rPr>
                  </w:pPr>
                </w:p>
                <w:p w14:paraId="1AA758EB" w14:textId="36550F82" w:rsidR="00D6559F" w:rsidRPr="00FC5E81" w:rsidRDefault="00F57ACC" w:rsidP="00D6559F">
                  <w:pPr>
                    <w:autoSpaceDE w:val="0"/>
                    <w:autoSpaceDN w:val="0"/>
                    <w:adjustRightInd w:val="0"/>
                    <w:rPr>
                      <w:sz w:val="18"/>
                      <w:szCs w:val="18"/>
                    </w:rPr>
                  </w:pPr>
                  <w:r w:rsidRPr="00FC5E81">
                    <w:rPr>
                      <w:sz w:val="18"/>
                      <w:szCs w:val="18"/>
                    </w:rPr>
                    <w:t xml:space="preserve">Indtil d. 1. januar 2030 er disse anlæg omfattet af den tilsynsregulering, som er gældende for den virksomhedstype, som de udgør indtil da. Det betyder, at disse anlæg er omfattet af kravet om regelmæssige tilsyn, hvis de er omfattet af et listepunkt på godkendelsesbekendtgørelsens bilag 1 eller 2 (fx listepunkt G 202), eller er teknisk </w:t>
                  </w:r>
                  <w:r w:rsidR="00D6559F" w:rsidRPr="00FC5E81">
                    <w:rPr>
                      <w:sz w:val="18"/>
                      <w:szCs w:val="18"/>
                    </w:rPr>
                    <w:t>og forureningsmæssig forbundet med en anden virksomhed eller husdyrbrug m.v., som er omfattet af kravet om regelmæssige tilsyn.</w:t>
                  </w:r>
                </w:p>
                <w:p w14:paraId="210AEDA4" w14:textId="77777777" w:rsidR="00D6559F" w:rsidRPr="00FC5E81" w:rsidRDefault="00D6559F" w:rsidP="00D6559F">
                  <w:pPr>
                    <w:autoSpaceDE w:val="0"/>
                    <w:autoSpaceDN w:val="0"/>
                    <w:adjustRightInd w:val="0"/>
                    <w:rPr>
                      <w:sz w:val="18"/>
                      <w:szCs w:val="18"/>
                      <w:highlight w:val="yellow"/>
                    </w:rPr>
                  </w:pPr>
                </w:p>
                <w:p w14:paraId="3B4B5DE2" w14:textId="5083AE33" w:rsidR="00D6559F" w:rsidRPr="00FC5E81" w:rsidRDefault="00D6559F" w:rsidP="00D6559F">
                  <w:pPr>
                    <w:autoSpaceDE w:val="0"/>
                    <w:autoSpaceDN w:val="0"/>
                    <w:adjustRightInd w:val="0"/>
                    <w:rPr>
                      <w:sz w:val="18"/>
                      <w:szCs w:val="18"/>
                    </w:rPr>
                  </w:pPr>
                  <w:r w:rsidRPr="00FC5E81">
                    <w:rPr>
                      <w:sz w:val="18"/>
                      <w:szCs w:val="18"/>
                    </w:rPr>
                    <w:t xml:space="preserve">Øvrige </w:t>
                  </w:r>
                  <w:r w:rsidR="00AD5241" w:rsidRPr="00FC5E81">
                    <w:rPr>
                      <w:sz w:val="18"/>
                      <w:szCs w:val="18"/>
                    </w:rPr>
                    <w:t xml:space="preserve">bestående fyringsanlæg på 1 MW og derover, men mindre end 5 MW, er ikke omfattet af kravet om regelmæssige tilsyn indtil til den 1. januar 2030. </w:t>
                  </w:r>
                  <w:r w:rsidRPr="00FC5E81">
                    <w:rPr>
                      <w:sz w:val="18"/>
                      <w:szCs w:val="18"/>
                    </w:rPr>
                    <w:t>Eksempelvis er et naturgasfyret fyringsanlæg på 4 MW på et gartneri ikke omfattet af kravet om regelmæssige tilsyn frem til den 1. januar 2030, da gartneriet og fyringsanlægget hverken er godkendelsespligtige eller opført på bilag 1 til brugerbetalingsbekendtgørelsen. Et sådan fyringsanlæg omfattes først af kravet om regelmæssig tilsyn fra den 1. januar 2030</w:t>
                  </w:r>
                  <w:r w:rsidR="00EA40E8" w:rsidRPr="00FC5E81">
                    <w:rPr>
                      <w:sz w:val="18"/>
                      <w:szCs w:val="18"/>
                    </w:rPr>
                    <w:t>.</w:t>
                  </w:r>
                </w:p>
                <w:p w14:paraId="74A4D004" w14:textId="192E31F2" w:rsidR="00FC7E02" w:rsidRPr="00FC5E81" w:rsidRDefault="00FC7E02" w:rsidP="00FC7E02">
                  <w:pPr>
                    <w:autoSpaceDE w:val="0"/>
                    <w:autoSpaceDN w:val="0"/>
                    <w:adjustRightInd w:val="0"/>
                    <w:rPr>
                      <w:sz w:val="18"/>
                      <w:szCs w:val="18"/>
                      <w:highlight w:val="yellow"/>
                    </w:rPr>
                  </w:pPr>
                  <w:r w:rsidRPr="00FC5E81">
                    <w:rPr>
                      <w:sz w:val="18"/>
                      <w:szCs w:val="18"/>
                      <w:highlight w:val="yellow"/>
                    </w:rPr>
                    <w:t xml:space="preserve"> </w:t>
                  </w:r>
                </w:p>
                <w:p w14:paraId="66090C42" w14:textId="20C53E46" w:rsidR="00FC7E02" w:rsidRPr="00FC5E81" w:rsidRDefault="00FC7E02" w:rsidP="00FC7E02">
                  <w:pPr>
                    <w:autoSpaceDE w:val="0"/>
                    <w:autoSpaceDN w:val="0"/>
                    <w:adjustRightInd w:val="0"/>
                    <w:rPr>
                      <w:i/>
                      <w:sz w:val="18"/>
                      <w:szCs w:val="18"/>
                    </w:rPr>
                  </w:pPr>
                  <w:r w:rsidRPr="00FC5E81">
                    <w:rPr>
                      <w:i/>
                      <w:sz w:val="18"/>
                      <w:szCs w:val="18"/>
                    </w:rPr>
                    <w:t>B</w:t>
                  </w:r>
                  <w:r w:rsidR="00AD5241" w:rsidRPr="00FC5E81">
                    <w:rPr>
                      <w:i/>
                      <w:sz w:val="18"/>
                      <w:szCs w:val="18"/>
                    </w:rPr>
                    <w:t xml:space="preserve">estående fyringsanlæg på 5-50 </w:t>
                  </w:r>
                  <w:r w:rsidRPr="00FC5E81">
                    <w:rPr>
                      <w:i/>
                      <w:sz w:val="18"/>
                      <w:szCs w:val="18"/>
                    </w:rPr>
                    <w:t xml:space="preserve">MW </w:t>
                  </w:r>
                </w:p>
                <w:p w14:paraId="3B7E67F2" w14:textId="0D87E2D6" w:rsidR="002D0E06" w:rsidRPr="00FC5E81" w:rsidRDefault="00AD5241" w:rsidP="002D0E06">
                  <w:pPr>
                    <w:autoSpaceDE w:val="0"/>
                    <w:autoSpaceDN w:val="0"/>
                    <w:adjustRightInd w:val="0"/>
                    <w:rPr>
                      <w:sz w:val="18"/>
                      <w:szCs w:val="18"/>
                    </w:rPr>
                  </w:pPr>
                  <w:r w:rsidRPr="00FC5E81">
                    <w:rPr>
                      <w:sz w:val="18"/>
                      <w:szCs w:val="18"/>
                    </w:rPr>
                    <w:t>Bestående</w:t>
                  </w:r>
                  <w:r w:rsidR="00FC7E02" w:rsidRPr="00FC5E81">
                    <w:rPr>
                      <w:sz w:val="18"/>
                      <w:szCs w:val="18"/>
                    </w:rPr>
                    <w:t xml:space="preserve"> fyringsanlæg med en nominel </w:t>
                  </w:r>
                  <w:proofErr w:type="spellStart"/>
                  <w:r w:rsidR="005F390D" w:rsidRPr="00FC5E81">
                    <w:rPr>
                      <w:sz w:val="18"/>
                      <w:szCs w:val="18"/>
                    </w:rPr>
                    <w:t>indfyret</w:t>
                  </w:r>
                  <w:proofErr w:type="spellEnd"/>
                  <w:r w:rsidR="00FC7E02" w:rsidRPr="00FC5E81">
                    <w:rPr>
                      <w:sz w:val="18"/>
                      <w:szCs w:val="18"/>
                    </w:rPr>
                    <w:t xml:space="preserve"> termisk effekt på </w:t>
                  </w:r>
                  <w:r w:rsidRPr="00FC5E81">
                    <w:rPr>
                      <w:sz w:val="18"/>
                      <w:szCs w:val="18"/>
                    </w:rPr>
                    <w:t xml:space="preserve">mere end 5 MW og mindre end 50 MW bliver omfattet af bekendtgørelse om mellemstore fyringsanlæg d. 1. januar 2025. </w:t>
                  </w:r>
                  <w:r w:rsidR="002D0E06" w:rsidRPr="00FC5E81">
                    <w:rPr>
                      <w:sz w:val="18"/>
                      <w:szCs w:val="18"/>
                    </w:rPr>
                    <w:t>Det følger af miljøtilsynsbekendtgørelsens § 1, stk. 2, nr. 8, litra b), at disse anlæg bliver omfattet af kravet om regelmæssige tilsyn d. 1 januar 2025.</w:t>
                  </w:r>
                </w:p>
                <w:p w14:paraId="718195D0" w14:textId="135D4832" w:rsidR="00EA40E8" w:rsidRPr="00FC5E81" w:rsidRDefault="00EA40E8" w:rsidP="00FC7E02">
                  <w:pPr>
                    <w:autoSpaceDE w:val="0"/>
                    <w:autoSpaceDN w:val="0"/>
                    <w:adjustRightInd w:val="0"/>
                    <w:rPr>
                      <w:sz w:val="18"/>
                      <w:szCs w:val="18"/>
                      <w:highlight w:val="yellow"/>
                    </w:rPr>
                  </w:pPr>
                </w:p>
                <w:p w14:paraId="052B6413" w14:textId="2496072A" w:rsidR="002D0E06" w:rsidRPr="00FC5E81" w:rsidRDefault="00EA40E8" w:rsidP="00FC7E02">
                  <w:pPr>
                    <w:autoSpaceDE w:val="0"/>
                    <w:autoSpaceDN w:val="0"/>
                    <w:adjustRightInd w:val="0"/>
                    <w:rPr>
                      <w:sz w:val="18"/>
                      <w:szCs w:val="18"/>
                    </w:rPr>
                  </w:pPr>
                  <w:r w:rsidRPr="00FC5E81">
                    <w:rPr>
                      <w:sz w:val="18"/>
                      <w:szCs w:val="18"/>
                    </w:rPr>
                    <w:t>Indtil d. 1. januar 20</w:t>
                  </w:r>
                  <w:r w:rsidR="002D0E06" w:rsidRPr="00FC5E81">
                    <w:rPr>
                      <w:sz w:val="18"/>
                      <w:szCs w:val="18"/>
                    </w:rPr>
                    <w:t>25</w:t>
                  </w:r>
                  <w:r w:rsidRPr="00FC5E81">
                    <w:rPr>
                      <w:sz w:val="18"/>
                      <w:szCs w:val="18"/>
                    </w:rPr>
                    <w:t xml:space="preserve"> er disse anlæg omfattet af den tilsynsregulering, som er gældende for den virksomhedstype, som de udgør indtil da</w:t>
                  </w:r>
                  <w:r w:rsidR="002D0E06" w:rsidRPr="00FC5E81">
                    <w:rPr>
                      <w:sz w:val="18"/>
                      <w:szCs w:val="18"/>
                    </w:rPr>
                    <w:t xml:space="preserve">. </w:t>
                  </w:r>
                  <w:r w:rsidR="00AD5241" w:rsidRPr="00FC5E81">
                    <w:rPr>
                      <w:sz w:val="18"/>
                      <w:szCs w:val="18"/>
                    </w:rPr>
                    <w:t>Indtil d. 1. januar 20</w:t>
                  </w:r>
                  <w:r w:rsidRPr="00FC5E81">
                    <w:rPr>
                      <w:sz w:val="18"/>
                      <w:szCs w:val="18"/>
                    </w:rPr>
                    <w:t>25</w:t>
                  </w:r>
                  <w:r w:rsidR="00AD5241" w:rsidRPr="00FC5E81">
                    <w:rPr>
                      <w:sz w:val="18"/>
                      <w:szCs w:val="18"/>
                    </w:rPr>
                    <w:t xml:space="preserve"> er </w:t>
                  </w:r>
                  <w:r w:rsidR="00FC7E02" w:rsidRPr="00FC5E81">
                    <w:rPr>
                      <w:sz w:val="18"/>
                      <w:szCs w:val="18"/>
                    </w:rPr>
                    <w:t xml:space="preserve">bestående fyringsanlæg på </w:t>
                  </w:r>
                  <w:r w:rsidR="00AD5241" w:rsidRPr="00FC5E81">
                    <w:rPr>
                      <w:sz w:val="18"/>
                      <w:szCs w:val="18"/>
                    </w:rPr>
                    <w:t xml:space="preserve">mere end </w:t>
                  </w:r>
                  <w:r w:rsidR="00FC7E02" w:rsidRPr="00FC5E81">
                    <w:rPr>
                      <w:sz w:val="18"/>
                      <w:szCs w:val="18"/>
                    </w:rPr>
                    <w:t xml:space="preserve">5 MW </w:t>
                  </w:r>
                  <w:r w:rsidRPr="00FC5E81">
                    <w:rPr>
                      <w:sz w:val="18"/>
                      <w:szCs w:val="18"/>
                    </w:rPr>
                    <w:t>og mindre end 50 MW</w:t>
                  </w:r>
                  <w:r w:rsidR="002D0E06" w:rsidRPr="00FC5E81">
                    <w:rPr>
                      <w:sz w:val="18"/>
                      <w:szCs w:val="18"/>
                    </w:rPr>
                    <w:t xml:space="preserve"> omfattet af kravet om regelmæssige tilsyn, da disse anlæg er godkendelsespligtige i henhold til godkendelsesbekendtgørelsen. </w:t>
                  </w:r>
                </w:p>
                <w:p w14:paraId="6B344B66" w14:textId="77777777" w:rsidR="00FC7E02" w:rsidRPr="00FC5E81" w:rsidRDefault="00FC7E02" w:rsidP="00FC7E02">
                  <w:pPr>
                    <w:autoSpaceDE w:val="0"/>
                    <w:autoSpaceDN w:val="0"/>
                    <w:adjustRightInd w:val="0"/>
                    <w:rPr>
                      <w:sz w:val="18"/>
                      <w:szCs w:val="18"/>
                      <w:highlight w:val="yellow"/>
                    </w:rPr>
                  </w:pPr>
                </w:p>
                <w:p w14:paraId="503D7839" w14:textId="06C79535" w:rsidR="00FC7E02" w:rsidRPr="00FC5E81" w:rsidRDefault="00FC7E02" w:rsidP="00FC7E02">
                  <w:pPr>
                    <w:autoSpaceDE w:val="0"/>
                    <w:autoSpaceDN w:val="0"/>
                    <w:adjustRightInd w:val="0"/>
                    <w:rPr>
                      <w:i/>
                      <w:sz w:val="18"/>
                      <w:szCs w:val="18"/>
                    </w:rPr>
                  </w:pPr>
                  <w:r w:rsidRPr="00FC5E81">
                    <w:rPr>
                      <w:i/>
                      <w:sz w:val="18"/>
                      <w:szCs w:val="18"/>
                    </w:rPr>
                    <w:t>Fyringsanlæg på mindre end 1 MW på en G</w:t>
                  </w:r>
                  <w:r w:rsidR="00FC5E81">
                    <w:rPr>
                      <w:i/>
                      <w:sz w:val="18"/>
                      <w:szCs w:val="18"/>
                    </w:rPr>
                    <w:t xml:space="preserve"> </w:t>
                  </w:r>
                  <w:r w:rsidRPr="00FC5E81">
                    <w:rPr>
                      <w:i/>
                      <w:sz w:val="18"/>
                      <w:szCs w:val="18"/>
                    </w:rPr>
                    <w:t>201 eller G</w:t>
                  </w:r>
                  <w:r w:rsidR="00FC5E81">
                    <w:rPr>
                      <w:i/>
                      <w:sz w:val="18"/>
                      <w:szCs w:val="18"/>
                    </w:rPr>
                    <w:t xml:space="preserve"> </w:t>
                  </w:r>
                  <w:r w:rsidRPr="00FC5E81">
                    <w:rPr>
                      <w:i/>
                      <w:sz w:val="18"/>
                      <w:szCs w:val="18"/>
                    </w:rPr>
                    <w:t>202 virksomhed</w:t>
                  </w:r>
                </w:p>
                <w:p w14:paraId="25CC96D5" w14:textId="31B3B9BE" w:rsidR="00EA40E8" w:rsidRPr="00FC5E81" w:rsidRDefault="00EA40E8" w:rsidP="00EA40E8">
                  <w:pPr>
                    <w:autoSpaceDE w:val="0"/>
                    <w:autoSpaceDN w:val="0"/>
                    <w:adjustRightInd w:val="0"/>
                    <w:rPr>
                      <w:sz w:val="18"/>
                      <w:szCs w:val="18"/>
                    </w:rPr>
                  </w:pPr>
                  <w:r w:rsidRPr="00FC5E81">
                    <w:rPr>
                      <w:sz w:val="18"/>
                      <w:szCs w:val="18"/>
                    </w:rPr>
                    <w:t>Fyringsanlæg på mindre end 1 MW, som udgør en del af en virksomhed omfattet af listepunkt G</w:t>
                  </w:r>
                  <w:r w:rsidR="00FC5E81">
                    <w:rPr>
                      <w:sz w:val="18"/>
                      <w:szCs w:val="18"/>
                    </w:rPr>
                    <w:t xml:space="preserve"> </w:t>
                  </w:r>
                  <w:r w:rsidRPr="00FC5E81">
                    <w:rPr>
                      <w:sz w:val="18"/>
                      <w:szCs w:val="18"/>
                    </w:rPr>
                    <w:t>201</w:t>
                  </w:r>
                </w:p>
                <w:p w14:paraId="2886FE24" w14:textId="7A6B2D10" w:rsidR="00EA40E8" w:rsidRPr="00FC5E81" w:rsidRDefault="00EA40E8" w:rsidP="00FC7E02">
                  <w:pPr>
                    <w:autoSpaceDE w:val="0"/>
                    <w:autoSpaceDN w:val="0"/>
                    <w:adjustRightInd w:val="0"/>
                    <w:rPr>
                      <w:sz w:val="18"/>
                      <w:szCs w:val="18"/>
                    </w:rPr>
                  </w:pPr>
                  <w:r w:rsidRPr="00FC5E81">
                    <w:rPr>
                      <w:sz w:val="18"/>
                      <w:szCs w:val="18"/>
                    </w:rPr>
                    <w:t>eller G</w:t>
                  </w:r>
                  <w:r w:rsidR="00FC5E81">
                    <w:rPr>
                      <w:sz w:val="18"/>
                      <w:szCs w:val="18"/>
                    </w:rPr>
                    <w:t xml:space="preserve"> </w:t>
                  </w:r>
                  <w:r w:rsidRPr="00FC5E81">
                    <w:rPr>
                      <w:sz w:val="18"/>
                      <w:szCs w:val="18"/>
                    </w:rPr>
                    <w:t>201</w:t>
                  </w:r>
                  <w:r w:rsidR="00FC5E81" w:rsidRPr="00FC5E81">
                    <w:rPr>
                      <w:sz w:val="18"/>
                      <w:szCs w:val="18"/>
                    </w:rPr>
                    <w:t xml:space="preserve"> på godkendelsesbekendtgørelsens bilag 2</w:t>
                  </w:r>
                  <w:r w:rsidRPr="00FC5E81">
                    <w:rPr>
                      <w:sz w:val="18"/>
                      <w:szCs w:val="18"/>
                    </w:rPr>
                    <w:t>, er i dag omfattet af miljøtilsynsbekendtgørelsens krav om regelmæssige tilsyn. Disse anlæg omfattes ikke kravet om regelmæssige tilsyn efter d. 1. januar 2025 eller d. 1. januar 2030, hvis</w:t>
                  </w:r>
                  <w:r w:rsidR="00FC5E81" w:rsidRPr="00FC5E81">
                    <w:rPr>
                      <w:sz w:val="18"/>
                      <w:szCs w:val="18"/>
                    </w:rPr>
                    <w:t xml:space="preserve"> de</w:t>
                  </w:r>
                  <w:r w:rsidR="00FC7E02" w:rsidRPr="00FC5E81">
                    <w:rPr>
                      <w:sz w:val="18"/>
                      <w:szCs w:val="18"/>
                    </w:rPr>
                    <w:t xml:space="preserve"> ikke er teknisk og forureningsmæssigt forbundet til anden virksomhed eller et husdyrbrug m.v., som er omfattet af </w:t>
                  </w:r>
                  <w:r w:rsidR="007A3664" w:rsidRPr="00FC5E81">
                    <w:rPr>
                      <w:sz w:val="18"/>
                      <w:szCs w:val="18"/>
                    </w:rPr>
                    <w:t xml:space="preserve">kravet </w:t>
                  </w:r>
                  <w:r w:rsidR="00FC7E02" w:rsidRPr="00FC5E81">
                    <w:rPr>
                      <w:sz w:val="18"/>
                      <w:szCs w:val="18"/>
                    </w:rPr>
                    <w:t xml:space="preserve">om regelmæssige tilsyn. </w:t>
                  </w:r>
                </w:p>
                <w:p w14:paraId="23C17A75" w14:textId="77777777" w:rsidR="00EA40E8" w:rsidRPr="00FC5E81" w:rsidRDefault="00EA40E8" w:rsidP="00FC7E02">
                  <w:pPr>
                    <w:autoSpaceDE w:val="0"/>
                    <w:autoSpaceDN w:val="0"/>
                    <w:adjustRightInd w:val="0"/>
                    <w:rPr>
                      <w:sz w:val="18"/>
                      <w:szCs w:val="18"/>
                    </w:rPr>
                  </w:pPr>
                </w:p>
                <w:p w14:paraId="6139F966" w14:textId="7049982C" w:rsidR="00FC7E02" w:rsidRPr="00FC5E81" w:rsidRDefault="00FC7E02" w:rsidP="00FC7E02">
                  <w:pPr>
                    <w:autoSpaceDE w:val="0"/>
                    <w:autoSpaceDN w:val="0"/>
                    <w:adjustRightInd w:val="0"/>
                    <w:rPr>
                      <w:sz w:val="18"/>
                      <w:szCs w:val="18"/>
                    </w:rPr>
                  </w:pPr>
                  <w:r w:rsidRPr="00FC5E81">
                    <w:rPr>
                      <w:sz w:val="18"/>
                      <w:szCs w:val="18"/>
                    </w:rPr>
                    <w:t>På et fjernvarmeværk med bestående fyringsanlæg på hhv. 900 kW og 6 MW,</w:t>
                  </w:r>
                  <w:r w:rsidR="00E3509D" w:rsidRPr="00FC5E81">
                    <w:rPr>
                      <w:sz w:val="18"/>
                      <w:szCs w:val="18"/>
                    </w:rPr>
                    <w:t xml:space="preserve"> der ikke er tekni</w:t>
                  </w:r>
                  <w:r w:rsidR="00EA40E8" w:rsidRPr="00FC5E81">
                    <w:rPr>
                      <w:sz w:val="18"/>
                      <w:szCs w:val="18"/>
                    </w:rPr>
                    <w:t>s</w:t>
                  </w:r>
                  <w:r w:rsidR="00E3509D" w:rsidRPr="00FC5E81">
                    <w:rPr>
                      <w:sz w:val="18"/>
                      <w:szCs w:val="18"/>
                    </w:rPr>
                    <w:t>k og forureningsmæssig forbundet</w:t>
                  </w:r>
                  <w:r w:rsidR="00EA40E8" w:rsidRPr="00FC5E81">
                    <w:rPr>
                      <w:sz w:val="18"/>
                      <w:szCs w:val="18"/>
                    </w:rPr>
                    <w:t xml:space="preserve">, </w:t>
                  </w:r>
                  <w:r w:rsidRPr="00FC5E81">
                    <w:rPr>
                      <w:sz w:val="18"/>
                      <w:szCs w:val="18"/>
                    </w:rPr>
                    <w:t>vil anlægget på 900 kW ikke længere være omfattet af kravet om regelmæssige tilsyn efter den 1. januar 2025, da anlægget på 900 kW ikke er godkendelsespligtig efter denne dato og heller ikke bliver omfattet af bekendtgørelse om mellemstore fyringsanlæg. Anlægget på 900 kW er heller ikke opført på bilag 1 til brugerbetalingsbekendtgørelsen.</w:t>
                  </w:r>
                </w:p>
                <w:p w14:paraId="3B52EC6E" w14:textId="77777777" w:rsidR="00FC7E02" w:rsidRPr="00FC5E81" w:rsidRDefault="00FC7E02" w:rsidP="006F6A71">
                  <w:pPr>
                    <w:autoSpaceDE w:val="0"/>
                    <w:autoSpaceDN w:val="0"/>
                    <w:adjustRightInd w:val="0"/>
                    <w:rPr>
                      <w:sz w:val="18"/>
                      <w:szCs w:val="18"/>
                    </w:rPr>
                  </w:pPr>
                </w:p>
              </w:tc>
            </w:tr>
          </w:tbl>
          <w:p w14:paraId="4C205789" w14:textId="77777777" w:rsidR="00FC7E02" w:rsidRPr="00552BE2" w:rsidRDefault="00FC7E02" w:rsidP="006F6A71">
            <w:pPr>
              <w:autoSpaceDE w:val="0"/>
              <w:autoSpaceDN w:val="0"/>
              <w:adjustRightInd w:val="0"/>
            </w:pPr>
          </w:p>
          <w:p w14:paraId="1E670C65" w14:textId="24111A18" w:rsidR="00B81796" w:rsidRPr="005572E0" w:rsidRDefault="00B81796" w:rsidP="00E67997">
            <w:pPr>
              <w:rPr>
                <w:b/>
                <w:i/>
              </w:rPr>
            </w:pPr>
            <w:r w:rsidRPr="005572E0">
              <w:rPr>
                <w:b/>
                <w:i/>
              </w:rPr>
              <w:t>Særligt for ejendomme med erhvervsmæssigt dyrehold</w:t>
            </w:r>
          </w:p>
          <w:p w14:paraId="2AFFD1D3" w14:textId="0A9AFE03" w:rsidR="009702A2" w:rsidRDefault="009702A2" w:rsidP="009702A2">
            <w:r>
              <w:t>K</w:t>
            </w:r>
            <w:r w:rsidR="00B81796" w:rsidRPr="009702A2">
              <w:t>rav</w:t>
            </w:r>
            <w:r>
              <w:t>et</w:t>
            </w:r>
            <w:r w:rsidR="00B81796" w:rsidRPr="009702A2">
              <w:t xml:space="preserve"> om regelmæssige tilsyn </w:t>
            </w:r>
            <w:r>
              <w:t xml:space="preserve">gælder for </w:t>
            </w:r>
            <w:r w:rsidR="00B81796" w:rsidRPr="009702A2">
              <w:t>ejendomme med erhvervsmæssigt dyrehold, som inden den 1. august 2017 var omfattet af regelmæssigt tilsyn efter reglerne i bekendtgørelse nr. 1519 af 7. december 2016 om miljøtilsyn, indtil kommunalbestyrelsen meddeler godkendelse eller tilladelse efter §§ 16 a eller 16 b</w:t>
            </w:r>
            <w:r w:rsidR="00315848">
              <w:t xml:space="preserve"> i </w:t>
            </w:r>
            <w:r w:rsidR="00315848" w:rsidRPr="001F0A30">
              <w:rPr>
                <w:color w:val="00B050"/>
              </w:rPr>
              <w:t>lov om husdyrbrug og anvendelse af gødning m.v.</w:t>
            </w:r>
            <w:r w:rsidR="00B81796" w:rsidRPr="001F0A30">
              <w:rPr>
                <w:color w:val="00B050"/>
              </w:rPr>
              <w:t xml:space="preserve">, </w:t>
            </w:r>
            <w:r w:rsidR="00B81796" w:rsidRPr="009702A2">
              <w:t>eller træffer afgørelse om, at ejendommen ikke er omfattet af krav om godkendelse eller tilladelse efter §§ 16 a eller 16 b.</w:t>
            </w:r>
            <w:r w:rsidR="00B81796" w:rsidRPr="00B81796">
              <w:t xml:space="preserve"> </w:t>
            </w:r>
            <w:r>
              <w:t>Dette fremgår af</w:t>
            </w:r>
            <w:r w:rsidRPr="009702A2">
              <w:t xml:space="preserve"> </w:t>
            </w:r>
            <w:r w:rsidR="007A3664">
              <w:t>miljøtilsyns</w:t>
            </w:r>
            <w:r w:rsidR="001F0A30">
              <w:t xml:space="preserve">bekendtgørelsens § 1, stk. 2, </w:t>
            </w:r>
            <w:r w:rsidRPr="009702A2">
              <w:t>nr. 4</w:t>
            </w:r>
            <w:r>
              <w:t>.</w:t>
            </w:r>
          </w:p>
          <w:p w14:paraId="757EEC4F" w14:textId="2D740F26" w:rsidR="00B81796" w:rsidRDefault="00B81796" w:rsidP="00B81796"/>
          <w:p w14:paraId="35301C18" w14:textId="3BEBCA24" w:rsidR="00B81796" w:rsidRPr="00552BE2" w:rsidRDefault="000506E2" w:rsidP="00B81796">
            <w:r>
              <w:t>E</w:t>
            </w:r>
            <w:r w:rsidR="00212C59" w:rsidRPr="00552BE2">
              <w:t>jendomme m</w:t>
            </w:r>
            <w:r w:rsidR="00B81796" w:rsidRPr="00552BE2">
              <w:t>ed erhvervsmæssigt dyrehold, som inden den 1. august 2017 udgjorde et husdyrbrug over 3 dyreenheder</w:t>
            </w:r>
            <w:r>
              <w:t>, er derfor</w:t>
            </w:r>
            <w:r w:rsidRPr="00552BE2">
              <w:t xml:space="preserve"> </w:t>
            </w:r>
            <w:r>
              <w:t>o</w:t>
            </w:r>
            <w:r w:rsidRPr="00552BE2">
              <w:t>mfattet af kravet om regelmæssige tilsyn</w:t>
            </w:r>
            <w:r w:rsidR="001F0A30">
              <w:t xml:space="preserve">. </w:t>
            </w:r>
            <w:r w:rsidR="00B81796" w:rsidRPr="00552BE2">
              <w:t>Begge betingelser skal være opfyldt samtidigt</w:t>
            </w:r>
            <w:r w:rsidR="00794A11">
              <w:t xml:space="preserve">, dvs. at </w:t>
            </w:r>
            <w:r w:rsidR="00B81796" w:rsidRPr="00552BE2">
              <w:t>ejendom</w:t>
            </w:r>
            <w:r w:rsidR="00794A11">
              <w:t xml:space="preserve">men både skal have </w:t>
            </w:r>
            <w:r w:rsidR="00B81796" w:rsidRPr="00552BE2">
              <w:t xml:space="preserve">erhvervsmæssigt </w:t>
            </w:r>
            <w:r w:rsidR="00B81796" w:rsidRPr="00552BE2">
              <w:lastRenderedPageBreak/>
              <w:t>dyrehold og have været omfattet af kravet om regelmæssige tilsyn</w:t>
            </w:r>
            <w:r w:rsidR="00794A11">
              <w:t xml:space="preserve"> </w:t>
            </w:r>
            <w:r w:rsidR="00794A11" w:rsidRPr="00552BE2">
              <w:t>i overensstemmelse med de hidtil gældende regler</w:t>
            </w:r>
            <w:r w:rsidR="00B81796" w:rsidRPr="00552BE2">
              <w:t xml:space="preserve">. </w:t>
            </w:r>
          </w:p>
          <w:p w14:paraId="07A404BD" w14:textId="21E3EC3D" w:rsidR="00E3480B" w:rsidRPr="00552BE2" w:rsidRDefault="00E3480B" w:rsidP="00B81796"/>
          <w:p w14:paraId="6FEEC7DD" w14:textId="7979895F" w:rsidR="00E3480B" w:rsidRPr="00552BE2" w:rsidRDefault="00212C59" w:rsidP="00212C59">
            <w:r w:rsidRPr="001F0A30">
              <w:t xml:space="preserve">Det </w:t>
            </w:r>
            <w:r w:rsidR="000506E2" w:rsidRPr="001F0A30">
              <w:t>betyder</w:t>
            </w:r>
            <w:r w:rsidRPr="001F0A30">
              <w:t xml:space="preserve">, at en ejendom, som </w:t>
            </w:r>
            <w:r w:rsidR="000E16DF" w:rsidRPr="001F0A30">
              <w:t xml:space="preserve">er under </w:t>
            </w:r>
            <w:r w:rsidRPr="001F0A30">
              <w:t xml:space="preserve">grænsen for erhvervsmæssigt dyrehold. jf. </w:t>
            </w:r>
            <w:r w:rsidRPr="001F0A30">
              <w:rPr>
                <w:color w:val="00B050"/>
              </w:rPr>
              <w:t>miljøaktivitetsbekendtgørelsens</w:t>
            </w:r>
            <w:r w:rsidRPr="001F0A30">
              <w:t xml:space="preserve"> § 7, stk. 2, </w:t>
            </w:r>
            <w:r w:rsidR="000506E2" w:rsidRPr="001F0A30">
              <w:t xml:space="preserve">ikke </w:t>
            </w:r>
            <w:r w:rsidRPr="001F0A30">
              <w:t xml:space="preserve">som udgangspunkt </w:t>
            </w:r>
            <w:r w:rsidR="000506E2" w:rsidRPr="001F0A30">
              <w:t xml:space="preserve">vil </w:t>
            </w:r>
            <w:r w:rsidRPr="001F0A30">
              <w:t xml:space="preserve">være omfattet af miljøtilsynsbekendtgørelsens krav om regelmæssige tilsyn, uanset om ejendommen tidligere har anmeldt et dyrehold, </w:t>
            </w:r>
            <w:r w:rsidR="000E16DF" w:rsidRPr="001F0A30">
              <w:t xml:space="preserve">som er over </w:t>
            </w:r>
            <w:r w:rsidRPr="001F0A30">
              <w:t xml:space="preserve">grænsen for erhvervsmæssigt dyrehold (3 dyreenheder). </w:t>
            </w:r>
            <w:r w:rsidRPr="00552BE2">
              <w:t>En sådan ejendom vil imidlertid være omfattet af miljøtilsynsbekendtgørelsens øvrige bestemmelser, herunder kravet om afgivelse og offentliggørelse af oplysninger, jf. bekendtgørelsens kapitel 4. Kommunen er endvidere forpligtet</w:t>
            </w:r>
            <w:r w:rsidR="000506E2" w:rsidRPr="00552BE2">
              <w:t xml:space="preserve"> til at føre et aktivt tilsyn med ejendommen</w:t>
            </w:r>
            <w:r w:rsidRPr="00552BE2">
              <w:t xml:space="preserve"> uanset om ejendommen er eller ikke er omfattet af kravet om regelmæssige tilsyn.   </w:t>
            </w:r>
          </w:p>
          <w:p w14:paraId="39D52890" w14:textId="4181FB9F" w:rsidR="00212C59" w:rsidRPr="00552BE2" w:rsidRDefault="00212C59" w:rsidP="003D2F86"/>
          <w:p w14:paraId="686F2749" w14:textId="268323E3" w:rsidR="0075519A" w:rsidRDefault="006F6A71" w:rsidP="003D4197">
            <w:pPr>
              <w:rPr>
                <w:color w:val="00B050"/>
              </w:rPr>
            </w:pPr>
            <w:r>
              <w:t>Bemærk</w:t>
            </w:r>
            <w:r w:rsidR="007A3664">
              <w:t xml:space="preserve"> også</w:t>
            </w:r>
            <w:r>
              <w:t>, at t</w:t>
            </w:r>
            <w:r w:rsidR="00B81796" w:rsidRPr="00552BE2">
              <w:t>ilsyn med ejendomme med erhvervsmæssigt dyrehold, som ikke er omfattet af kravet om regelmæssige tilsyn</w:t>
            </w:r>
            <w:r w:rsidR="000506E2">
              <w:t>,</w:t>
            </w:r>
            <w:r w:rsidR="00B81796" w:rsidRPr="00552BE2">
              <w:t xml:space="preserve"> skal tilrettelægges i overensstemmelse med </w:t>
            </w:r>
            <w:r w:rsidR="00B81796" w:rsidRPr="001F0A30">
              <w:rPr>
                <w:color w:val="00B050"/>
              </w:rPr>
              <w:t>husdyrgødningsbekendtgørelsens</w:t>
            </w:r>
            <w:r w:rsidR="00B81796" w:rsidRPr="00552BE2">
              <w:t xml:space="preserve"> § 53. Kommunen skal bl.a. mindst hvert 6</w:t>
            </w:r>
            <w:r w:rsidR="00552BE2">
              <w:t>.</w:t>
            </w:r>
            <w:r w:rsidR="00B81796" w:rsidRPr="00552BE2">
              <w:t xml:space="preserve"> år påse, at reglerne i bekendtgørelsens kapitel 6 om opbevaring af fast husdyrgødning og bundfald overholdes, jf. § 53. stk. 2.</w:t>
            </w:r>
            <w:r w:rsidR="003D4197">
              <w:t xml:space="preserve"> Oplysningerne om disse tilsyn vil efterfølgende skulle afgives og offentliggøres efter de relevante regler i kapitel 4</w:t>
            </w:r>
            <w:r w:rsidR="003A206F">
              <w:t xml:space="preserve"> i miljøtilsynsbekendtgørelsen</w:t>
            </w:r>
            <w:r w:rsidR="003D4197">
              <w:t xml:space="preserve">. Du kan læse mere i afsnittet </w:t>
            </w:r>
            <w:r w:rsidR="003D4197" w:rsidRPr="00FA490A">
              <w:rPr>
                <w:color w:val="00B050"/>
              </w:rPr>
              <w:t>”Afgivelse af oplysninger og offentliggørelse” (3.5).</w:t>
            </w:r>
          </w:p>
          <w:p w14:paraId="1004820D" w14:textId="17FDE43F" w:rsidR="001D02F4" w:rsidRDefault="001D02F4" w:rsidP="003D4197">
            <w:pPr>
              <w:rPr>
                <w:color w:val="00B050"/>
              </w:rPr>
            </w:pPr>
          </w:p>
          <w:p w14:paraId="022A0F38" w14:textId="1C0D19AB" w:rsidR="001D02F4" w:rsidRPr="001F0A30" w:rsidRDefault="001D02F4" w:rsidP="003D4197">
            <w:pPr>
              <w:rPr>
                <w:b/>
                <w:i/>
              </w:rPr>
            </w:pPr>
            <w:r w:rsidRPr="001F0A30">
              <w:rPr>
                <w:b/>
                <w:i/>
              </w:rPr>
              <w:t>Særligt for</w:t>
            </w:r>
            <w:r w:rsidR="001F0A30" w:rsidRPr="001F0A30">
              <w:rPr>
                <w:b/>
                <w:i/>
              </w:rPr>
              <w:t xml:space="preserve"> udbringningsarealer for husdyrgødning</w:t>
            </w:r>
          </w:p>
          <w:p w14:paraId="03A6AA0E" w14:textId="5678AD31" w:rsidR="001D02F4" w:rsidRDefault="001D02F4" w:rsidP="00FC5E81">
            <w:pPr>
              <w:pStyle w:val="Underoverskrift"/>
              <w:tabs>
                <w:tab w:val="left" w:pos="255"/>
              </w:tabs>
            </w:pPr>
            <w:r w:rsidRPr="001F0A30">
              <w:rPr>
                <w:b w:val="0"/>
              </w:rPr>
              <w:t>Vær opmærksom på, at udbringningsarealer for husdyrgødning efter den 1. august 2017 ikke længere er omfattet af krav</w:t>
            </w:r>
            <w:r w:rsidR="001F0A30" w:rsidRPr="001F0A30">
              <w:rPr>
                <w:b w:val="0"/>
              </w:rPr>
              <w:t>et</w:t>
            </w:r>
            <w:r w:rsidRPr="001F0A30">
              <w:rPr>
                <w:b w:val="0"/>
              </w:rPr>
              <w:t xml:space="preserve"> om regelmæssige tilsyn, jf. § 22, stk. 5. Som tilsynsmyndighed skal du efter den 1. august 2017 tilrettelægge dit almindelige tilsyn efter kapitel 5 i </w:t>
            </w:r>
            <w:r w:rsidRPr="001F0A30">
              <w:rPr>
                <w:b w:val="0"/>
                <w:color w:val="00B050"/>
              </w:rPr>
              <w:t>lov om husdyrbrug og anvendelse af gødning m.v.</w:t>
            </w:r>
            <w:r w:rsidRPr="001F0A30">
              <w:rPr>
                <w:b w:val="0"/>
              </w:rPr>
              <w:t>, så du mindst hvert 6. år påser, at sådanne ejendomme overholder reglerne i husdyrgødningsbekendtgørelses kapitel 6 om opbevaring af fast husdyrgødning og bundfald.</w:t>
            </w:r>
            <w:r w:rsidRPr="00096BAF">
              <w:rPr>
                <w:b w:val="0"/>
              </w:rPr>
              <w:t xml:space="preserve"> </w:t>
            </w:r>
            <w:r>
              <w:rPr>
                <w:b w:val="0"/>
              </w:rPr>
              <w:t xml:space="preserve"> </w:t>
            </w:r>
          </w:p>
          <w:p w14:paraId="7B50C8F8" w14:textId="7210A569" w:rsidR="001D02F4" w:rsidRDefault="001D02F4" w:rsidP="003D4197"/>
        </w:tc>
      </w:tr>
      <w:tr w:rsidR="007B6D65" w14:paraId="10D513A6" w14:textId="77777777" w:rsidTr="007B6D65">
        <w:tc>
          <w:tcPr>
            <w:tcW w:w="9628" w:type="dxa"/>
            <w:tcBorders>
              <w:top w:val="single" w:sz="4" w:space="0" w:color="auto"/>
              <w:left w:val="single" w:sz="4" w:space="0" w:color="auto"/>
              <w:bottom w:val="single" w:sz="4" w:space="0" w:color="auto"/>
              <w:right w:val="single" w:sz="4" w:space="0" w:color="auto"/>
            </w:tcBorders>
          </w:tcPr>
          <w:p w14:paraId="1C914022" w14:textId="77777777" w:rsidR="007B6D65" w:rsidRDefault="007B6D65">
            <w:pPr>
              <w:pStyle w:val="Underoverskrift"/>
            </w:pPr>
            <w:r>
              <w:lastRenderedPageBreak/>
              <w:t>Retsgrundlag</w:t>
            </w:r>
          </w:p>
          <w:p w14:paraId="3AD4D2CE" w14:textId="3101B322" w:rsidR="00FC5E81" w:rsidRPr="007A1B15" w:rsidRDefault="00FC5E81" w:rsidP="00FC5E81">
            <w:pPr>
              <w:rPr>
                <w:i/>
                <w:color w:val="808080" w:themeColor="background1" w:themeShade="80"/>
                <w:sz w:val="18"/>
                <w:szCs w:val="18"/>
              </w:rPr>
            </w:pPr>
            <w:r w:rsidRPr="007A1B15">
              <w:rPr>
                <w:i/>
                <w:color w:val="808080" w:themeColor="background1" w:themeShade="80"/>
                <w:sz w:val="18"/>
                <w:szCs w:val="18"/>
              </w:rPr>
              <w:t>Miljøtilsynsbekendtgørelsen, § 1, stk. 2</w:t>
            </w:r>
          </w:p>
          <w:p w14:paraId="756D192A" w14:textId="3C61A1D3"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Bekendtgørelsens kapitel 2 og 3 gælder alene for tilsyn med</w:t>
            </w:r>
          </w:p>
          <w:p w14:paraId="756B4E40"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1) virksomheder, der er optaget på bilag 1 eller 2 til bekendtgørelse om godkendelse af listevirksomhed,</w:t>
            </w:r>
          </w:p>
          <w:p w14:paraId="30A5DFF7"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2) virksomheder, der er omfattet af bekendtgørelse om virksomheder, der forarbejder emner af jern, stål eller andre metaller,</w:t>
            </w:r>
          </w:p>
          <w:p w14:paraId="668DE42A"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 xml:space="preserve">3) husdyrbrug, der er godkendt eller tilladt efter §§ 16 a eller 16 b i lov om husdyrbrug og anvendelse af gødning m.v. eller efter de tidligere gældende regler i §§ 11 eller 12 i lov om miljøgodkendelse m.v. af husdyrbrug eller § 33 i lov om miljøbeskyttelse, </w:t>
            </w:r>
          </w:p>
          <w:p w14:paraId="6C770C80"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4) ejendomme med erhvervsmæssigt dyrehold, som inden den 1. august 2017 var omfattet af regelmæssigt tilsyn efter reglerne i bekendtgørelse nr. 1519 af 7. december 2016 om miljøtilsyn, indtil kommunalbestyrelsen meddeler godkendelse eller tilladelse efter §§ 16 a eller 16 b, jf. nr. 3, i dette stykke, eller træffer afgørelse om, at ejendommen med erhvervsmæssigt dyrehold ikke er omfattet af krav om godkendelse eller tilladelse efter §§ 16 a eller 16 b,</w:t>
            </w:r>
          </w:p>
          <w:p w14:paraId="2E278443"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5) virksomheder, der er optaget på bilag 1 til bekendtgørelse om brugerbetaling for godkendelse m.v. og tilsyn efter lov om miljøbeskyttelse og lov om husdyrbrug og anvendelse af gødning m.v.,</w:t>
            </w:r>
          </w:p>
          <w:p w14:paraId="3D09B843"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6) virksomheder, der er omfattet af bekendtgørelse om miljøkrav i forbindelse med etablering og drift af autoværksteder m.v.,</w:t>
            </w:r>
          </w:p>
          <w:p w14:paraId="38EEA57A"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7) virksomheder, der er omfattet af bekendtgørelse om etablering og drift af renserier, og</w:t>
            </w:r>
          </w:p>
          <w:p w14:paraId="364F0992"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8) mellemstore fyringsanlæg med</w:t>
            </w:r>
          </w:p>
          <w:p w14:paraId="112EEE20"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 xml:space="preserve">a) en nominel </w:t>
            </w:r>
            <w:proofErr w:type="spellStart"/>
            <w:r w:rsidRPr="00FC5E81">
              <w:rPr>
                <w:color w:val="808080" w:themeColor="background1" w:themeShade="80"/>
                <w:sz w:val="18"/>
                <w:szCs w:val="18"/>
              </w:rPr>
              <w:t>indfyret</w:t>
            </w:r>
            <w:proofErr w:type="spellEnd"/>
            <w:r w:rsidRPr="00FC5E81">
              <w:rPr>
                <w:color w:val="808080" w:themeColor="background1" w:themeShade="80"/>
                <w:sz w:val="18"/>
                <w:szCs w:val="18"/>
              </w:rPr>
              <w:t xml:space="preserve"> termisk effekt på mere end eller lig med 1 MW, som er omfattet af bekendtgørelse om miljøkrav for mellemstore fyringsanlæg, og som var i drift den 20. december 2018 eller senere,</w:t>
            </w:r>
          </w:p>
          <w:p w14:paraId="5071EB0F"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 xml:space="preserve">b) en nominel </w:t>
            </w:r>
            <w:proofErr w:type="spellStart"/>
            <w:r w:rsidRPr="00FC5E81">
              <w:rPr>
                <w:color w:val="808080" w:themeColor="background1" w:themeShade="80"/>
                <w:sz w:val="18"/>
                <w:szCs w:val="18"/>
              </w:rPr>
              <w:t>indfyret</w:t>
            </w:r>
            <w:proofErr w:type="spellEnd"/>
            <w:r w:rsidRPr="00FC5E81">
              <w:rPr>
                <w:color w:val="808080" w:themeColor="background1" w:themeShade="80"/>
                <w:sz w:val="18"/>
                <w:szCs w:val="18"/>
              </w:rPr>
              <w:t xml:space="preserve"> termisk effekt på mere end 5 MW og mindre end 50 MW, som er omfattet af bekendtgørelse om miljøkrav for mellemstore fyringsanlæg, og som er defineret som et bestående fyringsanlæg i samme bekendtgørelse, fra den 1. januar 2025, eller</w:t>
            </w:r>
          </w:p>
          <w:p w14:paraId="5723BB4B" w14:textId="725F59EF" w:rsidR="00CE7A50" w:rsidRDefault="00FC5E81" w:rsidP="00FC5E81">
            <w:r w:rsidRPr="00FC5E81">
              <w:rPr>
                <w:color w:val="808080" w:themeColor="background1" w:themeShade="80"/>
                <w:sz w:val="18"/>
                <w:szCs w:val="18"/>
              </w:rPr>
              <w:t xml:space="preserve">c) en nominel </w:t>
            </w:r>
            <w:proofErr w:type="spellStart"/>
            <w:r w:rsidRPr="00FC5E81">
              <w:rPr>
                <w:color w:val="808080" w:themeColor="background1" w:themeShade="80"/>
                <w:sz w:val="18"/>
                <w:szCs w:val="18"/>
              </w:rPr>
              <w:t>indfyret</w:t>
            </w:r>
            <w:proofErr w:type="spellEnd"/>
            <w:r w:rsidRPr="00FC5E81">
              <w:rPr>
                <w:color w:val="808080" w:themeColor="background1" w:themeShade="80"/>
                <w:sz w:val="18"/>
                <w:szCs w:val="18"/>
              </w:rPr>
              <w:t xml:space="preserve"> termisk effekt på mere end eller lig med 1 MW og mindre end eller lig med 5 MW, som er omfattet af bekendtgørelse om miljøkrav for mellemstore fyringsanlæg, og som er defineret som et bestående fyringsanlæg i samme bekendtgørelse, fra den 1. januar 2030.</w:t>
            </w:r>
          </w:p>
        </w:tc>
      </w:tr>
    </w:tbl>
    <w:p w14:paraId="0F60C441" w14:textId="77777777" w:rsidR="007B366E" w:rsidRDefault="007B366E" w:rsidP="002534E3"/>
    <w:p w14:paraId="63133BD8" w14:textId="77777777" w:rsidR="007B366E" w:rsidRDefault="007B366E"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366E" w14:paraId="1BA4C077" w14:textId="77777777" w:rsidTr="00740C57">
        <w:trPr>
          <w:trHeight w:val="947"/>
        </w:trPr>
        <w:tc>
          <w:tcPr>
            <w:tcW w:w="9628" w:type="dxa"/>
            <w:tcBorders>
              <w:top w:val="single" w:sz="4" w:space="0" w:color="auto"/>
              <w:left w:val="single" w:sz="4" w:space="0" w:color="auto"/>
              <w:bottom w:val="single" w:sz="4" w:space="0" w:color="auto"/>
              <w:right w:val="single" w:sz="4" w:space="0" w:color="auto"/>
            </w:tcBorders>
          </w:tcPr>
          <w:p w14:paraId="73EBA907" w14:textId="77777777" w:rsidR="007B366E" w:rsidRDefault="007B366E" w:rsidP="00740C57"/>
          <w:p w14:paraId="49D07AE5" w14:textId="673D1B17" w:rsidR="007B366E" w:rsidRDefault="007B366E" w:rsidP="007B366E">
            <w:pPr>
              <w:rPr>
                <w:b/>
                <w:sz w:val="28"/>
                <w:szCs w:val="28"/>
              </w:rPr>
            </w:pPr>
            <w:r w:rsidRPr="004C4319">
              <w:rPr>
                <w:b/>
                <w:sz w:val="28"/>
                <w:szCs w:val="28"/>
              </w:rPr>
              <w:t>4.3.1.</w:t>
            </w:r>
            <w:r>
              <w:rPr>
                <w:b/>
                <w:sz w:val="28"/>
                <w:szCs w:val="28"/>
              </w:rPr>
              <w:t>1.</w:t>
            </w:r>
            <w:r w:rsidRPr="004C4319">
              <w:rPr>
                <w:b/>
                <w:sz w:val="28"/>
                <w:szCs w:val="28"/>
              </w:rPr>
              <w:t xml:space="preserve"> </w:t>
            </w:r>
            <w:r w:rsidRPr="007B366E">
              <w:rPr>
                <w:b/>
                <w:sz w:val="28"/>
                <w:szCs w:val="28"/>
              </w:rPr>
              <w:t xml:space="preserve">Virksomheder og husdyrbrug m.v. omfattet af kravet om regelmæssige tilsyn </w:t>
            </w:r>
          </w:p>
          <w:p w14:paraId="32C07066" w14:textId="64C73887" w:rsidR="007B366E" w:rsidRPr="004C4319" w:rsidRDefault="007B366E" w:rsidP="007B366E">
            <w:pPr>
              <w:rPr>
                <w:sz w:val="28"/>
                <w:szCs w:val="28"/>
              </w:rPr>
            </w:pPr>
          </w:p>
        </w:tc>
      </w:tr>
      <w:tr w:rsidR="007B366E" w14:paraId="0C5092AF" w14:textId="77777777" w:rsidTr="00740C57">
        <w:tc>
          <w:tcPr>
            <w:tcW w:w="9628" w:type="dxa"/>
            <w:tcBorders>
              <w:top w:val="single" w:sz="4" w:space="0" w:color="auto"/>
              <w:left w:val="single" w:sz="4" w:space="0" w:color="auto"/>
              <w:bottom w:val="single" w:sz="4" w:space="0" w:color="auto"/>
              <w:right w:val="single" w:sz="4" w:space="0" w:color="auto"/>
            </w:tcBorders>
          </w:tcPr>
          <w:p w14:paraId="52FFF0B0" w14:textId="77777777" w:rsidR="00FC5E81" w:rsidRDefault="00FC5E81" w:rsidP="00740C57"/>
          <w:p w14:paraId="284C9ABB" w14:textId="4F0A237A" w:rsidR="007B366E" w:rsidRDefault="007B366E" w:rsidP="00740C57">
            <w:r>
              <w:t>Tilsyn med følgende virksomheder og husdyrbrug m.v. er omfattet af bekendtgørelsens kapitel 2</w:t>
            </w:r>
          </w:p>
          <w:p w14:paraId="360FA84C" w14:textId="79BD373D" w:rsidR="007B366E" w:rsidRDefault="00802D36" w:rsidP="00740C57">
            <w:r>
              <w:rPr>
                <w:i/>
              </w:rPr>
              <w:t>(</w:t>
            </w:r>
            <w:r w:rsidR="007B366E" w:rsidRPr="003D2F86">
              <w:rPr>
                <w:i/>
              </w:rPr>
              <w:t>Miljøtilsynsplan, miljørisikovurdering, tilsynsfrekvenser og tilsynsmål</w:t>
            </w:r>
            <w:r w:rsidR="007B366E">
              <w:t xml:space="preserve">) </w:t>
            </w:r>
            <w:r w:rsidR="007B366E" w:rsidRPr="00791F6D">
              <w:t xml:space="preserve">og </w:t>
            </w:r>
            <w:r>
              <w:t xml:space="preserve">kapitel </w:t>
            </w:r>
            <w:r w:rsidR="007B366E" w:rsidRPr="00791F6D">
              <w:t>3</w:t>
            </w:r>
            <w:r w:rsidR="007B366E">
              <w:t xml:space="preserve"> (</w:t>
            </w:r>
            <w:r w:rsidR="007B366E" w:rsidRPr="003D2F86">
              <w:rPr>
                <w:i/>
              </w:rPr>
              <w:t>Tilsynsrapport, herunder offentliggørelse og frister</w:t>
            </w:r>
            <w:r w:rsidR="007B366E">
              <w:t>) samt af bekendtgørelsens øvrige bestemmelser:</w:t>
            </w:r>
          </w:p>
          <w:p w14:paraId="53169E55" w14:textId="77777777" w:rsidR="007B366E" w:rsidRDefault="007B366E" w:rsidP="00740C57"/>
          <w:p w14:paraId="11B83B09" w14:textId="77777777" w:rsidR="007B366E" w:rsidRDefault="007B366E" w:rsidP="00740C57">
            <w:pPr>
              <w:pStyle w:val="Listeafsnit"/>
              <w:numPr>
                <w:ilvl w:val="0"/>
                <w:numId w:val="17"/>
              </w:numPr>
            </w:pPr>
            <w:r>
              <w:t>virksomheder, der er optaget på bilag 1 eller 2 til bekendtgørelse om godkendelse af listevirksomhed,</w:t>
            </w:r>
          </w:p>
          <w:p w14:paraId="63BD906C" w14:textId="77777777" w:rsidR="007B366E" w:rsidRDefault="007B366E" w:rsidP="00740C57">
            <w:pPr>
              <w:pStyle w:val="Listeafsnit"/>
              <w:numPr>
                <w:ilvl w:val="0"/>
                <w:numId w:val="17"/>
              </w:numPr>
            </w:pPr>
            <w:r>
              <w:t>virksomheder, der er omfattet af bekendtgørelse om virksomheder, der forarbejder emner af jern, stål eller andre metaller,</w:t>
            </w:r>
          </w:p>
          <w:p w14:paraId="7A5A7C5D" w14:textId="266CAD4E" w:rsidR="007B366E" w:rsidRDefault="007B366E" w:rsidP="00740C57">
            <w:pPr>
              <w:pStyle w:val="Listeafsnit"/>
              <w:numPr>
                <w:ilvl w:val="0"/>
                <w:numId w:val="17"/>
              </w:numPr>
            </w:pPr>
            <w:r>
              <w:t>husdyrbrug, der er godkendt eller tilladt efter §§ 16 a eller 16 b i lov om husdyrbrug og anvendelse af gødning m.v. eller efter de tidligere gældende regler i §§ 11 eller 12 i lov om miljøgodkendelse m.v. af husdyrbrug</w:t>
            </w:r>
            <w:r w:rsidR="00787910">
              <w:t xml:space="preserve"> eller § 33 i lov om miljøbeskyttelse</w:t>
            </w:r>
            <w:r>
              <w:t>,</w:t>
            </w:r>
          </w:p>
          <w:p w14:paraId="7C61E2A9" w14:textId="4FEDE256" w:rsidR="007B366E" w:rsidRDefault="007B366E" w:rsidP="00740C57">
            <w:pPr>
              <w:pStyle w:val="Listeafsnit"/>
              <w:numPr>
                <w:ilvl w:val="0"/>
                <w:numId w:val="17"/>
              </w:numPr>
            </w:pPr>
            <w:r>
              <w:t>ejendomme med erhvervsmæssigt dyrehold, som inden den 1. august 2017 var omfattet af regelmæssigt tilsyn efter reglerne i bekendtgørelse nr. 1519 af 7. december 2016 om miljøtilsyn, indtil kommunalbestyrelsen meddeler godkendelse eller tilladelse efter §§ 16 a eller 16 b eller træffer afgørelse om, at ejendommen med erhvervsmæssigt dyrehold ikke er omfattet af krav om godkendelse eller tilladelse efter §§ 16 a eller 16 b,</w:t>
            </w:r>
          </w:p>
          <w:p w14:paraId="5241565E" w14:textId="77777777" w:rsidR="007B366E" w:rsidRDefault="007B366E" w:rsidP="00740C57">
            <w:pPr>
              <w:pStyle w:val="Listeafsnit"/>
              <w:numPr>
                <w:ilvl w:val="0"/>
                <w:numId w:val="17"/>
              </w:numPr>
            </w:pPr>
            <w:r>
              <w:t>virksomheder, der er optaget på bilag 1 til bekendtgørelse om brugerbetaling for godkendelse m.v. og tilsyn efter lov om miljøbeskyttelse og lov om husdyrbrug og anvendelse af gødning m.v.,</w:t>
            </w:r>
          </w:p>
          <w:p w14:paraId="2F9B406C" w14:textId="77777777" w:rsidR="007B366E" w:rsidRDefault="007B366E" w:rsidP="00740C57">
            <w:pPr>
              <w:pStyle w:val="Listeafsnit"/>
              <w:numPr>
                <w:ilvl w:val="0"/>
                <w:numId w:val="17"/>
              </w:numPr>
            </w:pPr>
            <w:r>
              <w:t>virksomheder, der er omfattet af bekendtgørelse om miljøkrav i forbindelse med etablering og drift af autoværksteder m.v.,</w:t>
            </w:r>
          </w:p>
          <w:p w14:paraId="720334C4" w14:textId="77777777" w:rsidR="007B366E" w:rsidRDefault="007B366E" w:rsidP="00740C57">
            <w:pPr>
              <w:pStyle w:val="Listeafsnit"/>
              <w:numPr>
                <w:ilvl w:val="0"/>
                <w:numId w:val="17"/>
              </w:numPr>
            </w:pPr>
            <w:r>
              <w:t>virksomheder, der er omfattet af bekendtgørelse om etablering og drift af renserier, og</w:t>
            </w:r>
          </w:p>
          <w:p w14:paraId="000C32A0" w14:textId="77777777" w:rsidR="007B366E" w:rsidRDefault="007B366E" w:rsidP="00740C57">
            <w:pPr>
              <w:pStyle w:val="Listeafsnit"/>
              <w:numPr>
                <w:ilvl w:val="0"/>
                <w:numId w:val="17"/>
              </w:numPr>
            </w:pPr>
            <w:r>
              <w:t>mellemstore fyringsanlæg med</w:t>
            </w:r>
          </w:p>
          <w:p w14:paraId="6EFEDB7F" w14:textId="77777777" w:rsidR="007B366E" w:rsidRDefault="007B366E" w:rsidP="00740C57">
            <w:pPr>
              <w:pStyle w:val="Listeafsnit"/>
              <w:numPr>
                <w:ilvl w:val="1"/>
                <w:numId w:val="17"/>
              </w:numPr>
            </w:pPr>
            <w:r>
              <w:t xml:space="preserve">en nominel </w:t>
            </w:r>
            <w:proofErr w:type="spellStart"/>
            <w:r>
              <w:t>indfyret</w:t>
            </w:r>
            <w:proofErr w:type="spellEnd"/>
            <w:r>
              <w:t xml:space="preserve"> termisk effekt på mere end eller lig med 1 MW, som er omfattet af bekendtgørelse om miljøkrav for mellemstore fyringsanlæg, og som var i drift den 20. december 2018 eller senere,</w:t>
            </w:r>
          </w:p>
          <w:p w14:paraId="423779E5" w14:textId="77777777" w:rsidR="007B366E" w:rsidRDefault="007B366E" w:rsidP="00740C57">
            <w:pPr>
              <w:pStyle w:val="Listeafsnit"/>
              <w:numPr>
                <w:ilvl w:val="1"/>
                <w:numId w:val="17"/>
              </w:numPr>
            </w:pPr>
            <w:r>
              <w:t xml:space="preserve">en nominel </w:t>
            </w:r>
            <w:proofErr w:type="spellStart"/>
            <w:r>
              <w:t>indfyret</w:t>
            </w:r>
            <w:proofErr w:type="spellEnd"/>
            <w:r>
              <w:t xml:space="preserve"> termisk effekt på mere end 5 MW og mindre end 50 MW, som er omfattet af bekendtgørelse om miljøkrav for mellemstore fyringsanlæg, og som er defineret som et bestående fyringsanlæg i samme bekendtgørelse, fra den 1. januar 2025, eller,</w:t>
            </w:r>
          </w:p>
          <w:p w14:paraId="654C16E3" w14:textId="77777777" w:rsidR="007B366E" w:rsidRPr="00D768BF" w:rsidRDefault="007B366E" w:rsidP="00740C57">
            <w:pPr>
              <w:pStyle w:val="Listeafsnit"/>
              <w:numPr>
                <w:ilvl w:val="1"/>
                <w:numId w:val="17"/>
              </w:numPr>
              <w:autoSpaceDE w:val="0"/>
              <w:autoSpaceDN w:val="0"/>
              <w:adjustRightInd w:val="0"/>
              <w:rPr>
                <w:b/>
              </w:rPr>
            </w:pPr>
            <w:r>
              <w:t xml:space="preserve">en nominel </w:t>
            </w:r>
            <w:proofErr w:type="spellStart"/>
            <w:r>
              <w:t>indfyret</w:t>
            </w:r>
            <w:proofErr w:type="spellEnd"/>
            <w:r>
              <w:t xml:space="preserve"> termisk effekt på mere end eller lig med 1 MW og mindre end eller lig med 5 MW, som er omfattet af bekendtgørelse om miljøkrav for mellemstore fyringsanlæg, og som er defineret som et bestående fyringsanlæg i samme bekendtgørelse, fra den 1. januar 2030.</w:t>
            </w:r>
          </w:p>
          <w:p w14:paraId="7DE9E304" w14:textId="77777777" w:rsidR="007B366E" w:rsidRDefault="007B366E" w:rsidP="00740C57">
            <w:pPr>
              <w:rPr>
                <w:b/>
                <w:i/>
              </w:rPr>
            </w:pPr>
          </w:p>
          <w:p w14:paraId="10B70A37" w14:textId="77777777" w:rsidR="007B366E" w:rsidRPr="00FC5E81" w:rsidRDefault="007B366E" w:rsidP="00740C57">
            <w:pPr>
              <w:rPr>
                <w:b/>
              </w:rPr>
            </w:pPr>
            <w:r w:rsidRPr="00FC5E81">
              <w:rPr>
                <w:b/>
              </w:rPr>
              <w:t>Opdeling af virksomheder og husdyrbrug m.v. i kategorier (1a, 1b og 2)</w:t>
            </w:r>
          </w:p>
          <w:p w14:paraId="590F99E6" w14:textId="65967CD6" w:rsidR="007B366E" w:rsidRDefault="007B366E" w:rsidP="00740C57">
            <w:r>
              <w:t xml:space="preserve">Virksomheder og husdyrbrug m.v., som er nævnt i § 1, stk. 2, er opdelt i 3 kategorier: 1a, 1b og 2. </w:t>
            </w:r>
            <w:r w:rsidR="00283EB8">
              <w:t>K</w:t>
            </w:r>
            <w:r>
              <w:t>ategorie</w:t>
            </w:r>
            <w:r w:rsidR="00283EB8">
              <w:t>n</w:t>
            </w:r>
            <w:r>
              <w:t xml:space="preserve"> </w:t>
            </w:r>
            <w:r w:rsidR="00F47F2A">
              <w:t>afgør</w:t>
            </w:r>
            <w:r>
              <w:t xml:space="preserve"> bl.a., hvor tit den pågældende virksomhed eller husdyrbrug m.v. skal have et basistilsyn, jf. § 6. Du kan læse mere om tilsynsplanlægning i </w:t>
            </w:r>
            <w:r w:rsidR="00356036">
              <w:t xml:space="preserve">afsnittet </w:t>
            </w:r>
            <w:r w:rsidRPr="00FA490A">
              <w:rPr>
                <w:color w:val="00B050"/>
              </w:rPr>
              <w:t>”Tilsynsplanlægning og frekvenser” (3.2)</w:t>
            </w:r>
            <w:r w:rsidRPr="00FA490A">
              <w:t>.</w:t>
            </w:r>
          </w:p>
          <w:p w14:paraId="468FF60E" w14:textId="77777777" w:rsidR="007B366E" w:rsidRDefault="007B366E" w:rsidP="00740C57"/>
          <w:p w14:paraId="1BDF4756" w14:textId="77777777" w:rsidR="007B366E" w:rsidRDefault="007B366E" w:rsidP="00740C57">
            <w:r>
              <w:t>Kategori 1a omfatter (</w:t>
            </w:r>
            <w:r w:rsidRPr="003D5B2C">
              <w:rPr>
                <w:i/>
              </w:rPr>
              <w:t>IED-virksomheder og -husdyrbrug m.v.</w:t>
            </w:r>
            <w:r>
              <w:t>):</w:t>
            </w:r>
          </w:p>
          <w:p w14:paraId="5FC07652" w14:textId="77777777" w:rsidR="007B366E" w:rsidRPr="005D4C07" w:rsidRDefault="007B366E" w:rsidP="00740C57">
            <w:pPr>
              <w:pStyle w:val="liste2"/>
              <w:rPr>
                <w:rFonts w:ascii="Times New Roman" w:hAnsi="Times New Roman" w:cs="Times New Roman"/>
                <w:color w:val="auto"/>
              </w:rPr>
            </w:pPr>
            <w:r w:rsidRPr="005D4C07">
              <w:rPr>
                <w:rFonts w:ascii="Times New Roman" w:hAnsi="Times New Roman" w:cs="Times New Roman"/>
                <w:color w:val="auto"/>
              </w:rPr>
              <w:lastRenderedPageBreak/>
              <w:t>a) Virksomheder, der er optaget på bilag 1 til bekendtgørelse om godkendelse af listevirksomhed,</w:t>
            </w:r>
          </w:p>
          <w:p w14:paraId="75881DF3" w14:textId="77777777" w:rsidR="007B366E" w:rsidRPr="005D4C07" w:rsidRDefault="007B366E" w:rsidP="00740C57">
            <w:pPr>
              <w:pStyle w:val="liste2"/>
              <w:rPr>
                <w:rFonts w:ascii="Times New Roman" w:hAnsi="Times New Roman" w:cs="Times New Roman"/>
                <w:color w:val="auto"/>
              </w:rPr>
            </w:pPr>
            <w:r w:rsidRPr="005D4C07">
              <w:rPr>
                <w:rFonts w:ascii="Times New Roman" w:hAnsi="Times New Roman" w:cs="Times New Roman"/>
                <w:color w:val="auto"/>
              </w:rPr>
              <w:t>b) husdyrbrug, hvor dyreholdet overstiger en stipladsgrænse efter § 16 a, stk. 2, i lov om husdyrbrug og anvendelse af gødning m.v. eller en stiplads- eller dyreenhedsgrænse efter de tidligere gældende regler i § 12, stk. 1, nr. 1-3, i lov om miljøgodkendelse m.v. af husdyrbrug, og</w:t>
            </w:r>
          </w:p>
          <w:p w14:paraId="36E90BF5" w14:textId="4D1EEEB4" w:rsidR="007B366E" w:rsidRDefault="007B366E" w:rsidP="001F0A30">
            <w:pPr>
              <w:pStyle w:val="liste2"/>
              <w:rPr>
                <w:rFonts w:ascii="Times New Roman" w:hAnsi="Times New Roman" w:cs="Times New Roman"/>
                <w:color w:val="auto"/>
              </w:rPr>
            </w:pPr>
            <w:r w:rsidRPr="005D4C07">
              <w:rPr>
                <w:rFonts w:ascii="Times New Roman" w:hAnsi="Times New Roman" w:cs="Times New Roman"/>
                <w:color w:val="auto"/>
              </w:rPr>
              <w:t xml:space="preserve">c) anlæg omfattet af bekendtgørelse om miljøkrav for mellemstore fyringsanlæg, jf. § 1, stk. 2, nr. 8, som er teknisk og forureningsmæssigt forbundet med </w:t>
            </w:r>
            <w:r w:rsidR="001F0A30">
              <w:rPr>
                <w:rFonts w:ascii="Times New Roman" w:hAnsi="Times New Roman" w:cs="Times New Roman"/>
                <w:color w:val="auto"/>
              </w:rPr>
              <w:t>enten en virksomhed eller et husdyrbrug i kategori 1a, jf. § 2, nr. 4, litra a) eller b).</w:t>
            </w:r>
          </w:p>
          <w:p w14:paraId="36B83D51" w14:textId="77777777" w:rsidR="001F0A30" w:rsidRDefault="001F0A30" w:rsidP="001F0A30">
            <w:pPr>
              <w:pStyle w:val="liste2"/>
            </w:pPr>
          </w:p>
          <w:p w14:paraId="257C7865" w14:textId="77777777" w:rsidR="007B366E" w:rsidRDefault="007B366E" w:rsidP="00740C57">
            <w:r>
              <w:t xml:space="preserve">Kategori 1b omfatter: </w:t>
            </w:r>
          </w:p>
          <w:p w14:paraId="332382A0" w14:textId="77777777" w:rsidR="007B366E" w:rsidRPr="005D4C07" w:rsidRDefault="007B366E" w:rsidP="00740C57">
            <w:pPr>
              <w:pStyle w:val="liste2"/>
              <w:rPr>
                <w:rFonts w:ascii="Times New Roman" w:hAnsi="Times New Roman" w:cs="Times New Roman"/>
                <w:color w:val="auto"/>
              </w:rPr>
            </w:pPr>
            <w:r w:rsidRPr="005D4C07">
              <w:rPr>
                <w:rFonts w:ascii="Times New Roman" w:hAnsi="Times New Roman" w:cs="Times New Roman"/>
                <w:color w:val="auto"/>
              </w:rPr>
              <w:t>a) Virksomheder, der er optaget på bilag 2 til bekendtgørelse om godkendelse af listevirksomhed,</w:t>
            </w:r>
          </w:p>
          <w:p w14:paraId="7456F5FC" w14:textId="77777777" w:rsidR="007B366E" w:rsidRPr="005D4C07" w:rsidRDefault="007B366E" w:rsidP="00740C57">
            <w:pPr>
              <w:pStyle w:val="liste2"/>
              <w:rPr>
                <w:rFonts w:ascii="Times New Roman" w:hAnsi="Times New Roman" w:cs="Times New Roman"/>
                <w:color w:val="auto"/>
              </w:rPr>
            </w:pPr>
            <w:r w:rsidRPr="005D4C07">
              <w:rPr>
                <w:rFonts w:ascii="Times New Roman" w:hAnsi="Times New Roman" w:cs="Times New Roman"/>
                <w:color w:val="auto"/>
              </w:rPr>
              <w:t>b) virksomheder, der er omfattet af bekendtgørelse om virksomheder, der forarbejder emner af jern, stål eller andre metaller,</w:t>
            </w:r>
          </w:p>
          <w:p w14:paraId="4727B7C9" w14:textId="36D11D4E" w:rsidR="007B366E" w:rsidRDefault="007B366E" w:rsidP="00740C57">
            <w:pPr>
              <w:pStyle w:val="liste2"/>
              <w:rPr>
                <w:rFonts w:ascii="Times New Roman" w:hAnsi="Times New Roman" w:cs="Times New Roman"/>
                <w:color w:val="auto"/>
              </w:rPr>
            </w:pPr>
            <w:r w:rsidRPr="005D4C07">
              <w:rPr>
                <w:rFonts w:ascii="Times New Roman" w:hAnsi="Times New Roman" w:cs="Times New Roman"/>
                <w:color w:val="auto"/>
              </w:rPr>
              <w:t>c) husdyrbrug, der er godkendt efter § 16 a, stk. 1, i lov om husdyrbrug og anvendelse af gødning m.v., husdyrbrug, der er tilladt efter § 16 b i lov om husdyrbrug og anvendelse af gødning m.v., hvor der i tilladelsen er fastsat vilkår, jf. § 27, stk. 2, i lov om husdyrbrug og anvendelse af gødning m.v., som sikrer reduktion af ammoniakemissionen ved anvendelse af den bedste tilgængelige teknik som følge af en ammoniakemission på mere end 750 kg NH3-N pr. år, eller husdyrbrug, der er godkendt efter de tidligere gældende regler i §§ 11 eller 12 i lov om miljøgodkendelse m.v. af husdyrbrug, undtagen</w:t>
            </w:r>
            <w:r>
              <w:rPr>
                <w:rFonts w:ascii="Times New Roman" w:hAnsi="Times New Roman" w:cs="Times New Roman"/>
                <w:color w:val="auto"/>
              </w:rPr>
              <w:t xml:space="preserve"> efter § 12, stk. 1, nr. 1-3</w:t>
            </w:r>
            <w:r w:rsidR="00787910">
              <w:rPr>
                <w:rFonts w:ascii="Times New Roman" w:hAnsi="Times New Roman" w:cs="Times New Roman"/>
                <w:color w:val="auto"/>
              </w:rPr>
              <w:t>, eller husdyrbryg, der er godkendt efter § 33 i lov om miljøbeskyttelse og som ikke er omfattet af § 2, nr. 4</w:t>
            </w:r>
            <w:r>
              <w:rPr>
                <w:rFonts w:ascii="Times New Roman" w:hAnsi="Times New Roman" w:cs="Times New Roman"/>
                <w:color w:val="auto"/>
              </w:rPr>
              <w:t xml:space="preserve">, </w:t>
            </w:r>
          </w:p>
          <w:p w14:paraId="59C281F2" w14:textId="2FB20570" w:rsidR="007B366E" w:rsidRPr="005D4C07" w:rsidRDefault="007B366E" w:rsidP="00740C57">
            <w:pPr>
              <w:pStyle w:val="liste2"/>
              <w:rPr>
                <w:rFonts w:ascii="Times New Roman" w:hAnsi="Times New Roman" w:cs="Times New Roman"/>
                <w:color w:val="auto"/>
              </w:rPr>
            </w:pPr>
            <w:r>
              <w:rPr>
                <w:rFonts w:ascii="Times New Roman" w:hAnsi="Times New Roman" w:cs="Times New Roman"/>
                <w:color w:val="auto"/>
              </w:rPr>
              <w:t>d</w:t>
            </w:r>
            <w:r w:rsidRPr="005D4C07">
              <w:rPr>
                <w:rFonts w:ascii="Times New Roman" w:hAnsi="Times New Roman" w:cs="Times New Roman"/>
                <w:color w:val="auto"/>
              </w:rPr>
              <w:t>) anlæg omfattet af bekendtgørelse om miljøkrav for mellemstore fyringsanlæg, jf. § 1, stk. 2, nr. 8, som er teknisk og forureningsmæssigt forbundet med en virksomhed</w:t>
            </w:r>
            <w:r w:rsidR="001F0A30">
              <w:rPr>
                <w:rFonts w:ascii="Times New Roman" w:hAnsi="Times New Roman" w:cs="Times New Roman"/>
                <w:color w:val="auto"/>
              </w:rPr>
              <w:t xml:space="preserve"> eller et husdyrbrug i kategori 1b, jf. § 2, nr. 5</w:t>
            </w:r>
            <w:r w:rsidR="00476E6C">
              <w:rPr>
                <w:rFonts w:ascii="Times New Roman" w:hAnsi="Times New Roman" w:cs="Times New Roman"/>
                <w:color w:val="auto"/>
              </w:rPr>
              <w:t>, litra a), b) eller c).</w:t>
            </w:r>
            <w:r w:rsidRPr="005D4C07">
              <w:rPr>
                <w:rFonts w:ascii="Times New Roman" w:hAnsi="Times New Roman" w:cs="Times New Roman"/>
                <w:color w:val="auto"/>
              </w:rPr>
              <w:t xml:space="preserve"> </w:t>
            </w:r>
          </w:p>
          <w:p w14:paraId="15FFF849" w14:textId="77777777" w:rsidR="007B366E" w:rsidRDefault="007B366E" w:rsidP="00740C57"/>
          <w:p w14:paraId="17E4B40E" w14:textId="77777777" w:rsidR="007B366E" w:rsidRDefault="007B366E" w:rsidP="00740C57">
            <w:r>
              <w:t xml:space="preserve">Kategori 2 omfatter resten af de virksomheder og husdyrbrug m.v., der er omfattet af bekendtgørelsens § 1, stk. 2, jf. § 2, nr. 6. </w:t>
            </w:r>
          </w:p>
          <w:p w14:paraId="3BDC4505" w14:textId="77777777" w:rsidR="007B366E" w:rsidRDefault="007B366E" w:rsidP="00740C57">
            <w:r>
              <w:t xml:space="preserve"> </w:t>
            </w:r>
          </w:p>
        </w:tc>
      </w:tr>
      <w:tr w:rsidR="007B366E" w14:paraId="1BA62437" w14:textId="77777777" w:rsidTr="00740C57">
        <w:tc>
          <w:tcPr>
            <w:tcW w:w="9628" w:type="dxa"/>
            <w:tcBorders>
              <w:top w:val="single" w:sz="4" w:space="0" w:color="auto"/>
              <w:left w:val="single" w:sz="4" w:space="0" w:color="auto"/>
              <w:bottom w:val="single" w:sz="4" w:space="0" w:color="auto"/>
              <w:right w:val="single" w:sz="4" w:space="0" w:color="auto"/>
            </w:tcBorders>
          </w:tcPr>
          <w:p w14:paraId="0A17EA17" w14:textId="77777777" w:rsidR="007B366E" w:rsidRPr="00476E6C" w:rsidRDefault="007B366E" w:rsidP="00740C57">
            <w:pPr>
              <w:pStyle w:val="Underoverskrift"/>
            </w:pPr>
            <w:r w:rsidRPr="00476E6C">
              <w:lastRenderedPageBreak/>
              <w:t>Retsgrundlag</w:t>
            </w:r>
          </w:p>
          <w:p w14:paraId="434CCA27" w14:textId="32429282" w:rsidR="00FC5E81" w:rsidRPr="007A1B15" w:rsidRDefault="00FC5E81" w:rsidP="00FC5E81">
            <w:pPr>
              <w:rPr>
                <w:i/>
                <w:color w:val="808080" w:themeColor="background1" w:themeShade="80"/>
                <w:sz w:val="18"/>
                <w:szCs w:val="18"/>
              </w:rPr>
            </w:pPr>
            <w:r w:rsidRPr="007A1B15">
              <w:rPr>
                <w:i/>
                <w:color w:val="808080" w:themeColor="background1" w:themeShade="80"/>
                <w:sz w:val="18"/>
                <w:szCs w:val="18"/>
              </w:rPr>
              <w:t>Miljøtilsynsbekendtgørelsen, § 1, stk. 2</w:t>
            </w:r>
          </w:p>
          <w:p w14:paraId="755A2646" w14:textId="71B3802E"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Bekendtgørelsens kapitel 2 og 3 gælder alene for tilsyn med</w:t>
            </w:r>
          </w:p>
          <w:p w14:paraId="1E7B53BA"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1) virksomheder, der er optaget på bilag 1 eller 2 til bekendtgørelse om godkendelse af listevirksomhed,</w:t>
            </w:r>
          </w:p>
          <w:p w14:paraId="7C47C9A1"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2) virksomheder, der er omfattet af bekendtgørelse om virksomheder, der forarbejder emner af jern, stål eller andre metaller,</w:t>
            </w:r>
          </w:p>
          <w:p w14:paraId="690F1521"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 xml:space="preserve">3) husdyrbrug, der er godkendt eller tilladt efter §§ 16 a eller 16 b i lov om husdyrbrug og anvendelse af gødning m.v. eller efter de tidligere gældende regler i §§ 11 eller 12 i lov om miljøgodkendelse m.v. af husdyrbrug eller § 33 i lov om miljøbeskyttelse, </w:t>
            </w:r>
          </w:p>
          <w:p w14:paraId="02AA85B5"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4) ejendomme med erhvervsmæssigt dyrehold, som inden den 1. august 2017 var omfattet af regelmæssigt tilsyn efter reglerne i bekendtgørelse nr. 1519 af 7. december 2016 om miljøtilsyn, indtil kommunalbestyrelsen meddeler godkendelse eller tilladelse efter §§ 16 a eller 16 b, jf. nr. 3, i dette stykke, eller træffer afgørelse om, at ejendommen med erhvervsmæssigt dyrehold ikke er omfattet af krav om godkendelse eller tilladelse efter §§ 16 a eller 16 b,</w:t>
            </w:r>
          </w:p>
          <w:p w14:paraId="62D827C0"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5) virksomheder, der er optaget på bilag 1 til bekendtgørelse om brugerbetaling for godkendelse m.v. og tilsyn efter lov om miljøbeskyttelse og lov om husdyrbrug og anvendelse af gødning m.v.,</w:t>
            </w:r>
          </w:p>
          <w:p w14:paraId="1979D708"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6) virksomheder, der er omfattet af bekendtgørelse om miljøkrav i forbindelse med etablering og drift af autoværksteder m.v.,</w:t>
            </w:r>
          </w:p>
          <w:p w14:paraId="723B160F"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7) virksomheder, der er omfattet af bekendtgørelse om etablering og drift af renserier, og</w:t>
            </w:r>
          </w:p>
          <w:p w14:paraId="5FCA3A94"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8) mellemstore fyringsanlæg med</w:t>
            </w:r>
          </w:p>
          <w:p w14:paraId="6C3626CA"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 xml:space="preserve">a) en nominel </w:t>
            </w:r>
            <w:proofErr w:type="spellStart"/>
            <w:r w:rsidRPr="00FC5E81">
              <w:rPr>
                <w:color w:val="808080" w:themeColor="background1" w:themeShade="80"/>
                <w:sz w:val="18"/>
                <w:szCs w:val="18"/>
              </w:rPr>
              <w:t>indfyret</w:t>
            </w:r>
            <w:proofErr w:type="spellEnd"/>
            <w:r w:rsidRPr="00FC5E81">
              <w:rPr>
                <w:color w:val="808080" w:themeColor="background1" w:themeShade="80"/>
                <w:sz w:val="18"/>
                <w:szCs w:val="18"/>
              </w:rPr>
              <w:t xml:space="preserve"> termisk effekt på mere end eller lig med 1 MW, som er omfattet af bekendtgørelse om miljøkrav for mellemstore fyringsanlæg, og som var i drift den 20. december 2018 eller senere,</w:t>
            </w:r>
          </w:p>
          <w:p w14:paraId="747B0A37" w14:textId="77777777" w:rsidR="00FC5E81" w:rsidRPr="00FC5E81" w:rsidRDefault="00FC5E81" w:rsidP="00FC5E81">
            <w:pPr>
              <w:rPr>
                <w:color w:val="808080" w:themeColor="background1" w:themeShade="80"/>
                <w:sz w:val="18"/>
                <w:szCs w:val="18"/>
              </w:rPr>
            </w:pPr>
            <w:r w:rsidRPr="00FC5E81">
              <w:rPr>
                <w:color w:val="808080" w:themeColor="background1" w:themeShade="80"/>
                <w:sz w:val="18"/>
                <w:szCs w:val="18"/>
              </w:rPr>
              <w:t xml:space="preserve">b) en nominel </w:t>
            </w:r>
            <w:proofErr w:type="spellStart"/>
            <w:r w:rsidRPr="00FC5E81">
              <w:rPr>
                <w:color w:val="808080" w:themeColor="background1" w:themeShade="80"/>
                <w:sz w:val="18"/>
                <w:szCs w:val="18"/>
              </w:rPr>
              <w:t>indfyret</w:t>
            </w:r>
            <w:proofErr w:type="spellEnd"/>
            <w:r w:rsidRPr="00FC5E81">
              <w:rPr>
                <w:color w:val="808080" w:themeColor="background1" w:themeShade="80"/>
                <w:sz w:val="18"/>
                <w:szCs w:val="18"/>
              </w:rPr>
              <w:t xml:space="preserve"> termisk effekt på mere end 5 MW og mindre end 50 MW, som er omfattet af bekendtgørelse om miljøkrav for mellemstore fyringsanlæg, og som er defineret som et bestående fyringsanlæg i samme bekendtgørelse, fra den 1. januar 2025, eller</w:t>
            </w:r>
          </w:p>
          <w:p w14:paraId="37E76650" w14:textId="2F43E37B" w:rsidR="00FC5E81" w:rsidRPr="00476E6C" w:rsidRDefault="00FC5E81" w:rsidP="00FC5E81">
            <w:r w:rsidRPr="00FC5E81">
              <w:rPr>
                <w:color w:val="808080" w:themeColor="background1" w:themeShade="80"/>
                <w:sz w:val="18"/>
                <w:szCs w:val="18"/>
              </w:rPr>
              <w:lastRenderedPageBreak/>
              <w:t xml:space="preserve">c) en nominel </w:t>
            </w:r>
            <w:proofErr w:type="spellStart"/>
            <w:r w:rsidRPr="00FC5E81">
              <w:rPr>
                <w:color w:val="808080" w:themeColor="background1" w:themeShade="80"/>
                <w:sz w:val="18"/>
                <w:szCs w:val="18"/>
              </w:rPr>
              <w:t>indfyret</w:t>
            </w:r>
            <w:proofErr w:type="spellEnd"/>
            <w:r w:rsidRPr="00FC5E81">
              <w:rPr>
                <w:color w:val="808080" w:themeColor="background1" w:themeShade="80"/>
                <w:sz w:val="18"/>
                <w:szCs w:val="18"/>
              </w:rPr>
              <w:t xml:space="preserve"> termisk effekt på mere end eller lig med 1 MW og mindre end eller lig med 5 MW, som er omfattet af bekendtgørelse om miljøkrav for mellemstore fyringsanlæg, og som er defineret som et bestående fyringsanlæg i samme bekendtgørelse, fra den 1. januar 2030.</w:t>
            </w:r>
          </w:p>
          <w:p w14:paraId="3F3CD437" w14:textId="7F0475B4" w:rsidR="007B366E" w:rsidRPr="00476E6C" w:rsidRDefault="007B366E" w:rsidP="00FC5E81"/>
        </w:tc>
      </w:tr>
    </w:tbl>
    <w:p w14:paraId="2C67C50C" w14:textId="0837E32F" w:rsidR="004C4319" w:rsidRDefault="004C4319" w:rsidP="002534E3">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D0A4B" w14:paraId="33154EC8" w14:textId="77777777" w:rsidTr="00BB14E5">
        <w:trPr>
          <w:trHeight w:val="699"/>
        </w:trPr>
        <w:tc>
          <w:tcPr>
            <w:tcW w:w="9628" w:type="dxa"/>
            <w:tcBorders>
              <w:top w:val="single" w:sz="4" w:space="0" w:color="auto"/>
              <w:left w:val="single" w:sz="4" w:space="0" w:color="auto"/>
              <w:bottom w:val="single" w:sz="4" w:space="0" w:color="auto"/>
              <w:right w:val="single" w:sz="4" w:space="0" w:color="auto"/>
            </w:tcBorders>
          </w:tcPr>
          <w:p w14:paraId="7668C343" w14:textId="1A8A7D45" w:rsidR="007D0A4B" w:rsidRDefault="007D0A4B">
            <w:r>
              <w:lastRenderedPageBreak/>
              <w:br w:type="page"/>
            </w:r>
          </w:p>
          <w:p w14:paraId="2C903385" w14:textId="3F39C8A2" w:rsidR="007D0A4B" w:rsidRPr="00775B37" w:rsidRDefault="007D0A4B" w:rsidP="00775B37">
            <w:pPr>
              <w:autoSpaceDE w:val="0"/>
              <w:autoSpaceDN w:val="0"/>
              <w:adjustRightInd w:val="0"/>
              <w:rPr>
                <w:b/>
                <w:sz w:val="28"/>
                <w:szCs w:val="28"/>
              </w:rPr>
            </w:pPr>
            <w:r w:rsidRPr="004C4319">
              <w:rPr>
                <w:b/>
                <w:sz w:val="28"/>
                <w:szCs w:val="28"/>
              </w:rPr>
              <w:t xml:space="preserve">4.3.2. Virksomheder </w:t>
            </w:r>
            <w:r w:rsidR="00775B37">
              <w:rPr>
                <w:b/>
                <w:sz w:val="28"/>
                <w:szCs w:val="28"/>
              </w:rPr>
              <w:t xml:space="preserve">omfattet af </w:t>
            </w:r>
            <w:r w:rsidR="00775B37" w:rsidRPr="00775B37">
              <w:rPr>
                <w:b/>
                <w:sz w:val="28"/>
                <w:szCs w:val="28"/>
              </w:rPr>
              <w:t>kravet om regelmæssige tilsyn, men undtaget af nogle af bekendtgørelsens krav</w:t>
            </w:r>
          </w:p>
        </w:tc>
      </w:tr>
      <w:tr w:rsidR="007D0A4B" w14:paraId="135F2875" w14:textId="77777777" w:rsidTr="007D0A4B">
        <w:tc>
          <w:tcPr>
            <w:tcW w:w="9628" w:type="dxa"/>
            <w:tcBorders>
              <w:top w:val="single" w:sz="4" w:space="0" w:color="auto"/>
              <w:left w:val="single" w:sz="4" w:space="0" w:color="auto"/>
              <w:bottom w:val="single" w:sz="4" w:space="0" w:color="auto"/>
              <w:right w:val="single" w:sz="4" w:space="0" w:color="auto"/>
            </w:tcBorders>
          </w:tcPr>
          <w:p w14:paraId="2FAA13CD" w14:textId="77777777" w:rsidR="00FC5E81" w:rsidRDefault="00FC5E81" w:rsidP="007D0A4B"/>
          <w:p w14:paraId="002801B5" w14:textId="0889F5DF" w:rsidR="00791F6D" w:rsidRPr="00791F6D" w:rsidRDefault="00C82A70" w:rsidP="007D0A4B">
            <w:pPr>
              <w:rPr>
                <w:b/>
                <w:i/>
              </w:rPr>
            </w:pPr>
            <w:r>
              <w:t>Tilsyn med v</w:t>
            </w:r>
            <w:r w:rsidR="00791F6D" w:rsidRPr="00791F6D">
              <w:t xml:space="preserve">isse virksomheder er omfattet af bekendtgørelsens </w:t>
            </w:r>
            <w:r w:rsidR="007B366E">
              <w:t>k</w:t>
            </w:r>
            <w:r w:rsidR="00791F6D" w:rsidRPr="00791F6D">
              <w:t xml:space="preserve">apitel 2 </w:t>
            </w:r>
            <w:r w:rsidR="003D2F86">
              <w:t>(</w:t>
            </w:r>
            <w:r w:rsidR="003D2F86" w:rsidRPr="003D2F86">
              <w:rPr>
                <w:i/>
              </w:rPr>
              <w:t>Miljøtilsynsplan, miljørisikovurdering, tilsynsfrekvenser og tilsynsmål</w:t>
            </w:r>
            <w:r w:rsidR="003D2F86">
              <w:t xml:space="preserve">) </w:t>
            </w:r>
            <w:r w:rsidR="00791F6D" w:rsidRPr="00791F6D">
              <w:t xml:space="preserve">og </w:t>
            </w:r>
            <w:r w:rsidR="00F47F2A">
              <w:t xml:space="preserve">kapitel </w:t>
            </w:r>
            <w:r w:rsidR="00791F6D" w:rsidRPr="00791F6D">
              <w:t>3</w:t>
            </w:r>
            <w:r w:rsidR="003D2F86">
              <w:t xml:space="preserve"> (</w:t>
            </w:r>
            <w:r w:rsidR="003D2F86" w:rsidRPr="003D2F86">
              <w:rPr>
                <w:i/>
              </w:rPr>
              <w:t>Tilsynsrapport, herunder offentliggørelse og frister</w:t>
            </w:r>
            <w:r w:rsidR="003D2F86">
              <w:t>)</w:t>
            </w:r>
            <w:r w:rsidR="00791F6D" w:rsidRPr="00791F6D">
              <w:t xml:space="preserve">, men undtaget fra </w:t>
            </w:r>
            <w:r w:rsidR="0068537C">
              <w:t xml:space="preserve">nogle </w:t>
            </w:r>
            <w:r w:rsidR="00791F6D" w:rsidRPr="00791F6D">
              <w:t>af bekendtgørelsens krav</w:t>
            </w:r>
            <w:r w:rsidR="00820241">
              <w:t xml:space="preserve"> i disse kapitler</w:t>
            </w:r>
            <w:r w:rsidR="00791F6D" w:rsidRPr="00791F6D">
              <w:t xml:space="preserve">, herunder kravet om </w:t>
            </w:r>
            <w:r w:rsidR="00787910">
              <w:t xml:space="preserve">(en særskilt) </w:t>
            </w:r>
            <w:r w:rsidR="00791F6D" w:rsidRPr="00791F6D">
              <w:t>miljørisikovurderin</w:t>
            </w:r>
            <w:r>
              <w:t xml:space="preserve">g. Her kan du læse om de regler, </w:t>
            </w:r>
            <w:r w:rsidR="00791F6D" w:rsidRPr="00791F6D">
              <w:t xml:space="preserve">der gælder </w:t>
            </w:r>
            <w:r w:rsidR="00F47F2A">
              <w:t>for</w:t>
            </w:r>
            <w:r w:rsidR="00791F6D" w:rsidRPr="00791F6D">
              <w:t xml:space="preserve"> dambrug og mellemstore fyringsanlæg.</w:t>
            </w:r>
          </w:p>
          <w:p w14:paraId="486F9FD5" w14:textId="77777777" w:rsidR="00791F6D" w:rsidRPr="00791F6D" w:rsidRDefault="00791F6D" w:rsidP="007D0A4B">
            <w:pPr>
              <w:rPr>
                <w:b/>
                <w:i/>
              </w:rPr>
            </w:pPr>
          </w:p>
          <w:p w14:paraId="7DFC4DFA" w14:textId="116F70FE" w:rsidR="007D0A4B" w:rsidRPr="00FC5E81" w:rsidRDefault="00820241" w:rsidP="007D0A4B">
            <w:pPr>
              <w:rPr>
                <w:b/>
              </w:rPr>
            </w:pPr>
            <w:r w:rsidRPr="00FC5E81">
              <w:rPr>
                <w:b/>
              </w:rPr>
              <w:t>Ferskvandsd</w:t>
            </w:r>
            <w:r w:rsidR="007D0A4B" w:rsidRPr="00FC5E81">
              <w:rPr>
                <w:b/>
              </w:rPr>
              <w:t>ambrug</w:t>
            </w:r>
          </w:p>
          <w:p w14:paraId="7D5D3D89" w14:textId="3A148EAB" w:rsidR="00C82A70" w:rsidRDefault="00820241" w:rsidP="007D0A4B">
            <w:r>
              <w:t>Ferskvandsd</w:t>
            </w:r>
            <w:r w:rsidR="007D0A4B">
              <w:t xml:space="preserve">ambrug, </w:t>
            </w:r>
            <w:r w:rsidR="00F47F2A">
              <w:t xml:space="preserve">der er </w:t>
            </w:r>
            <w:r w:rsidR="007D0A4B">
              <w:t xml:space="preserve">omfattet af bekendtgørelse </w:t>
            </w:r>
            <w:r w:rsidR="007D0A4B" w:rsidRPr="00B2378C">
              <w:t>om miljøgodkendelse og samtidig sagsbehandling af ferskvandsdambrug</w:t>
            </w:r>
            <w:r w:rsidR="007D0A4B">
              <w:t xml:space="preserve"> (</w:t>
            </w:r>
            <w:r w:rsidR="007D0A4B" w:rsidRPr="00FA490A">
              <w:rPr>
                <w:color w:val="00B050"/>
              </w:rPr>
              <w:t>dambrugsbekendtgørelsen</w:t>
            </w:r>
            <w:r w:rsidR="007D0A4B">
              <w:t>), er underlagt dambrugsbekendtgørelsens krav om mindst et tilsynsbesøg om år</w:t>
            </w:r>
            <w:r w:rsidR="00F47F2A">
              <w:t>et</w:t>
            </w:r>
            <w:r w:rsidR="007D0A4B">
              <w:t xml:space="preserve">. </w:t>
            </w:r>
            <w:r w:rsidR="00F47F2A">
              <w:t xml:space="preserve">Derfor </w:t>
            </w:r>
            <w:r w:rsidR="001F2DCD">
              <w:t xml:space="preserve">skal </w:t>
            </w:r>
            <w:r w:rsidR="00F47F2A">
              <w:t xml:space="preserve">du </w:t>
            </w:r>
            <w:r w:rsidR="007D0A4B">
              <w:t xml:space="preserve">hverken foretage </w:t>
            </w:r>
            <w:r w:rsidR="006860BC">
              <w:t>miljø</w:t>
            </w:r>
            <w:r w:rsidR="007D0A4B">
              <w:t>risikovurdering eller fastsætte tilsynsfrekvens efter miljøtilsynsbekendtgørelsens regler</w:t>
            </w:r>
            <w:r w:rsidR="003A206F">
              <w:t xml:space="preserve"> for denne type virksomheder</w:t>
            </w:r>
            <w:r w:rsidR="007D0A4B">
              <w:t xml:space="preserve">. </w:t>
            </w:r>
            <w:r w:rsidR="00C82A70">
              <w:t xml:space="preserve">Det fremgår af § 4, stk. 2, og § 5, stk. 3. </w:t>
            </w:r>
          </w:p>
          <w:p w14:paraId="298FCC81" w14:textId="77777777" w:rsidR="00C82A70" w:rsidRDefault="00C82A70" w:rsidP="007D0A4B"/>
          <w:p w14:paraId="21C461F5" w14:textId="03CC9170" w:rsidR="00BF4412" w:rsidRPr="004C4319" w:rsidRDefault="007D0A4B" w:rsidP="007D0A4B">
            <w:pPr>
              <w:rPr>
                <w:color w:val="70AD47" w:themeColor="accent6"/>
              </w:rPr>
            </w:pPr>
            <w:r>
              <w:t xml:space="preserve">Fysiske tilsyn med </w:t>
            </w:r>
            <w:r w:rsidR="00FF5388">
              <w:t xml:space="preserve">disse </w:t>
            </w:r>
            <w:r>
              <w:t>dambrug</w:t>
            </w:r>
            <w:r w:rsidR="00FF5388">
              <w:t xml:space="preserve"> </w:t>
            </w:r>
            <w:r>
              <w:t xml:space="preserve">indgår heller ikke i opgørelsen af de årlige mål for tilsynsaktiviteten, jf. § 10, stk. 2. </w:t>
            </w:r>
            <w:r w:rsidRPr="00DC3F14">
              <w:t>Du kan læse</w:t>
            </w:r>
            <w:r>
              <w:t xml:space="preserve"> mere om, hvilke tilsyn</w:t>
            </w:r>
            <w:r w:rsidR="00F47F2A">
              <w:t>,</w:t>
            </w:r>
            <w:r>
              <w:t xml:space="preserve"> der indgår i op</w:t>
            </w:r>
            <w:r w:rsidR="003D6B0A">
              <w:t>g</w:t>
            </w:r>
            <w:r>
              <w:t>ørelsen af de årlige mål for tilsynsaktiviteten</w:t>
            </w:r>
            <w:r w:rsidR="00BF4412">
              <w:t xml:space="preserve"> i </w:t>
            </w:r>
            <w:r w:rsidR="00F42291">
              <w:t xml:space="preserve">afsnittet </w:t>
            </w:r>
            <w:r w:rsidR="00BF4412" w:rsidRPr="00FA490A">
              <w:rPr>
                <w:color w:val="00B050"/>
              </w:rPr>
              <w:t xml:space="preserve">”Tilsynsplanlægning og frekvenser” </w:t>
            </w:r>
            <w:r w:rsidR="004C4319" w:rsidRPr="00FA490A">
              <w:rPr>
                <w:color w:val="00B050"/>
              </w:rPr>
              <w:t>(</w:t>
            </w:r>
            <w:r w:rsidR="007B366E" w:rsidRPr="00FA490A">
              <w:rPr>
                <w:color w:val="00B050"/>
              </w:rPr>
              <w:t>3.2</w:t>
            </w:r>
            <w:r w:rsidR="004C4319" w:rsidRPr="00FA490A">
              <w:rPr>
                <w:color w:val="00B050"/>
              </w:rPr>
              <w:t>)</w:t>
            </w:r>
            <w:r w:rsidR="004C4319" w:rsidRPr="00FA490A">
              <w:t>.</w:t>
            </w:r>
          </w:p>
          <w:p w14:paraId="2CFA7C7D" w14:textId="338C733B" w:rsidR="000338EB" w:rsidRDefault="000338EB" w:rsidP="007D0A4B"/>
          <w:p w14:paraId="2E2D756D" w14:textId="71BA8F6B" w:rsidR="000338EB" w:rsidRDefault="003D5B2C" w:rsidP="007D0A4B">
            <w:r>
              <w:t xml:space="preserve">I </w:t>
            </w:r>
            <w:r w:rsidR="00F42291">
              <w:t xml:space="preserve">afsnittet </w:t>
            </w:r>
            <w:r w:rsidR="000338EB" w:rsidRPr="00FA490A">
              <w:rPr>
                <w:color w:val="00B050"/>
              </w:rPr>
              <w:t xml:space="preserve">"Afgivelser og offentliggørelse af oplysninger" (3.5) </w:t>
            </w:r>
            <w:r w:rsidR="000338EB">
              <w:t>kan du læse om afgivelse og offentliggørelse af oplysninger om tilsyn med ferskv</w:t>
            </w:r>
            <w:r w:rsidR="00956110">
              <w:t>a</w:t>
            </w:r>
            <w:r w:rsidR="000338EB">
              <w:t>ndsdambrug.</w:t>
            </w:r>
          </w:p>
          <w:p w14:paraId="3BE688C7" w14:textId="77777777" w:rsidR="007D0A4B" w:rsidRDefault="007D0A4B" w:rsidP="007D0A4B"/>
          <w:p w14:paraId="161A1B1A" w14:textId="77777777" w:rsidR="007D0A4B" w:rsidRPr="00FC5E81" w:rsidRDefault="007D0A4B" w:rsidP="007D0A4B">
            <w:pPr>
              <w:rPr>
                <w:b/>
              </w:rPr>
            </w:pPr>
            <w:r w:rsidRPr="00FC5E81">
              <w:rPr>
                <w:b/>
              </w:rPr>
              <w:t xml:space="preserve">Mellemstore fyringsanlæg </w:t>
            </w:r>
          </w:p>
          <w:p w14:paraId="07295321" w14:textId="4A23C74E" w:rsidR="007D0A4B" w:rsidRDefault="00787AEE" w:rsidP="007D0A4B">
            <w:r>
              <w:t>M</w:t>
            </w:r>
            <w:r w:rsidR="007D0A4B">
              <w:t xml:space="preserve">ellemstore fyringsanlæg, som </w:t>
            </w:r>
            <w:r w:rsidR="007D0A4B" w:rsidRPr="005572E0">
              <w:rPr>
                <w:i/>
              </w:rPr>
              <w:t xml:space="preserve">teknisk og forureningsmæssigt </w:t>
            </w:r>
            <w:r w:rsidR="00FD4159">
              <w:t xml:space="preserve">er </w:t>
            </w:r>
            <w:r w:rsidR="007D0A4B">
              <w:t>forbundet med en virksomhed</w:t>
            </w:r>
            <w:r w:rsidR="001F2DCD">
              <w:t xml:space="preserve"> eller</w:t>
            </w:r>
            <w:r w:rsidR="0068537C">
              <w:t xml:space="preserve"> </w:t>
            </w:r>
            <w:r w:rsidR="001F2DCD">
              <w:t>et husdyrbrug</w:t>
            </w:r>
            <w:r>
              <w:t xml:space="preserve"> m.v.</w:t>
            </w:r>
            <w:r w:rsidR="007D0A4B">
              <w:t xml:space="preserve">, </w:t>
            </w:r>
            <w:r>
              <w:t xml:space="preserve">der er omfattet kravet om regelmæssige tilsyn, betragtes </w:t>
            </w:r>
            <w:r w:rsidR="007D0A4B">
              <w:t>som en del af virksomhed</w:t>
            </w:r>
            <w:r w:rsidR="000338EB">
              <w:t>en</w:t>
            </w:r>
            <w:r w:rsidR="007D0A4B">
              <w:t xml:space="preserve"> </w:t>
            </w:r>
            <w:r>
              <w:t>eller husdyrbrug</w:t>
            </w:r>
            <w:r w:rsidR="000338EB">
              <w:t>et</w:t>
            </w:r>
            <w:r w:rsidR="00787910">
              <w:t xml:space="preserve"> m.v.</w:t>
            </w:r>
            <w:r w:rsidR="007D4277">
              <w:t xml:space="preserve"> </w:t>
            </w:r>
            <w:r w:rsidR="004142B4">
              <w:t>Disse</w:t>
            </w:r>
            <w:r w:rsidR="007D4277">
              <w:t xml:space="preserve"> fyringsanlæg </w:t>
            </w:r>
            <w:r w:rsidR="00787910">
              <w:t xml:space="preserve">skal indgå i den samlede </w:t>
            </w:r>
            <w:r w:rsidR="00787910" w:rsidRPr="00476E6C">
              <w:rPr>
                <w:color w:val="00B050"/>
              </w:rPr>
              <w:t>miljørisikovurdering</w:t>
            </w:r>
            <w:r w:rsidR="00025B04" w:rsidRPr="00476E6C">
              <w:rPr>
                <w:color w:val="00B050"/>
              </w:rPr>
              <w:t xml:space="preserve"> (3.3)</w:t>
            </w:r>
            <w:r w:rsidR="00787910">
              <w:t xml:space="preserve">, som tilsynsmyndigheden foretager af den samlede virksomhed eller husdyrbrug m.v. Du skal derfor ikke </w:t>
            </w:r>
            <w:r w:rsidR="007D0A4B">
              <w:t xml:space="preserve">foretage en </w:t>
            </w:r>
            <w:r w:rsidR="00787910">
              <w:t xml:space="preserve">særskilt </w:t>
            </w:r>
            <w:r w:rsidR="007D0A4B">
              <w:t xml:space="preserve">miljørisikovurdering af </w:t>
            </w:r>
            <w:r w:rsidR="007D4277">
              <w:t>anlæggene</w:t>
            </w:r>
            <w:r w:rsidR="007D0A4B">
              <w:t xml:space="preserve">. </w:t>
            </w:r>
            <w:r w:rsidR="00787910">
              <w:t xml:space="preserve">Det fremgår af § </w:t>
            </w:r>
            <w:r w:rsidR="005572E0">
              <w:t xml:space="preserve">4, stk. 4. </w:t>
            </w:r>
          </w:p>
          <w:p w14:paraId="354CB767" w14:textId="5B24B8CB" w:rsidR="005572E0" w:rsidRDefault="005572E0" w:rsidP="007D0A4B"/>
          <w:p w14:paraId="1BFE5714" w14:textId="0A37BE46" w:rsidR="007D0A4B" w:rsidRDefault="007D0A4B" w:rsidP="007D0A4B">
            <w:r>
              <w:t>For at være ”</w:t>
            </w:r>
            <w:r w:rsidRPr="002D7020">
              <w:rPr>
                <w:i/>
              </w:rPr>
              <w:t>teknisk og forureningsmæssigt forbundet</w:t>
            </w:r>
            <w:r>
              <w:t>” med en anden virksomhed eller husdyrbrug</w:t>
            </w:r>
            <w:r w:rsidR="00787AEE">
              <w:t xml:space="preserve"> m.v.</w:t>
            </w:r>
            <w:r>
              <w:t xml:space="preserve">, skal følgende tre kriterier som udgangspunkt alle være opfyldt: </w:t>
            </w:r>
          </w:p>
          <w:p w14:paraId="075F6A5E" w14:textId="41B21116" w:rsidR="007D0A4B" w:rsidRPr="00476E6C" w:rsidRDefault="007D0A4B" w:rsidP="007D0A4B">
            <w:pPr>
              <w:pStyle w:val="NormalWeb"/>
              <w:numPr>
                <w:ilvl w:val="0"/>
                <w:numId w:val="19"/>
              </w:numPr>
            </w:pPr>
            <w:r w:rsidRPr="00476E6C">
              <w:t>Aktiviteterne skal være nært forbundet i en direkte operationel forstand, således at den ene aktivitet ikke kan udføres uden den anden</w:t>
            </w:r>
          </w:p>
          <w:p w14:paraId="7280524A" w14:textId="67464019" w:rsidR="007D0A4B" w:rsidRPr="00476E6C" w:rsidRDefault="00787AEE" w:rsidP="00A72D83">
            <w:pPr>
              <w:pStyle w:val="NormalWeb"/>
              <w:numPr>
                <w:ilvl w:val="0"/>
                <w:numId w:val="19"/>
              </w:numPr>
            </w:pPr>
            <w:r w:rsidRPr="00476E6C">
              <w:t>Mellemstore fyringsanlæg skal være i</w:t>
            </w:r>
            <w:r w:rsidR="007D0A4B" w:rsidRPr="00476E6C">
              <w:t>ntegreret i et teknisk forløb med den</w:t>
            </w:r>
            <w:r w:rsidRPr="00476E6C">
              <w:t xml:space="preserve"> virksomhed eller det husdyrbrug</w:t>
            </w:r>
            <w:r w:rsidR="003A206F" w:rsidRPr="00476E6C">
              <w:t xml:space="preserve"> m.v.</w:t>
            </w:r>
            <w:r w:rsidRPr="00476E6C">
              <w:t>, som er omfattet af bekendtgørelsens krav om regelmæssige tilsyn</w:t>
            </w:r>
          </w:p>
          <w:p w14:paraId="3FE1DF4A" w14:textId="0D15E763" w:rsidR="007D0A4B" w:rsidRPr="00AC5F69" w:rsidRDefault="00540FCE" w:rsidP="007D0A4B">
            <w:pPr>
              <w:pStyle w:val="NormalWeb"/>
              <w:numPr>
                <w:ilvl w:val="0"/>
                <w:numId w:val="19"/>
              </w:numPr>
            </w:pPr>
            <w:r>
              <w:t>Mellemstore fyringsanlæg</w:t>
            </w:r>
            <w:r w:rsidR="007D0A4B" w:rsidRPr="00AC5F69">
              <w:t xml:space="preserve"> skal bidrage til den samlede forurening. Det er ikke en forudsætning, at der er tale om det samme stof eller forurening</w:t>
            </w:r>
          </w:p>
          <w:p w14:paraId="573FDDD7" w14:textId="5EC1DF22" w:rsidR="007D0A4B" w:rsidRPr="00FA490A" w:rsidRDefault="007D0A4B" w:rsidP="007D0A4B">
            <w:pPr>
              <w:rPr>
                <w:color w:val="00B050"/>
              </w:rPr>
            </w:pPr>
            <w:r>
              <w:t>Du kan læse mere om, hvad der forstås ved ”</w:t>
            </w:r>
            <w:hyperlink r:id="rId8" w:tgtFrame="_blank" w:history="1">
              <w:r w:rsidRPr="002D7020">
                <w:rPr>
                  <w:i/>
                </w:rPr>
                <w:t>teknisk og forureningsmæssigt forbundet</w:t>
              </w:r>
            </w:hyperlink>
            <w:r>
              <w:t>”</w:t>
            </w:r>
            <w:r w:rsidRPr="00AC5F69">
              <w:t xml:space="preserve"> </w:t>
            </w:r>
            <w:r w:rsidR="00BF4412">
              <w:t xml:space="preserve">i </w:t>
            </w:r>
            <w:r w:rsidR="00BF4412" w:rsidRPr="00FA490A">
              <w:rPr>
                <w:color w:val="00B050"/>
              </w:rPr>
              <w:t>Miljøstyrelsens godkendelsesvejledning</w:t>
            </w:r>
            <w:r w:rsidR="00FA490A">
              <w:t xml:space="preserve"> </w:t>
            </w:r>
            <w:hyperlink r:id="rId9" w:history="1">
              <w:r w:rsidR="00FA490A" w:rsidRPr="00D81398">
                <w:rPr>
                  <w:rStyle w:val="Hyperlink"/>
                  <w:color w:val="00B050"/>
                  <w:u w:val="none"/>
                </w:rPr>
                <w:t>(</w:t>
              </w:r>
            </w:hyperlink>
            <w:hyperlink r:id="rId10" w:history="1">
              <w:r w:rsidR="00D81398" w:rsidRPr="001A0DD1">
                <w:rPr>
                  <w:rStyle w:val="Hyperlink"/>
                </w:rPr>
                <w:t>https://miljogodkendelsesvejledningen.dk/opslag/53-godkendelsespligt/539-godkendelsespligtens-udstraekning/</w:t>
              </w:r>
            </w:hyperlink>
            <w:r w:rsidR="00FA490A" w:rsidRPr="00D81398">
              <w:rPr>
                <w:rStyle w:val="Hyperlink"/>
                <w:color w:val="00B050"/>
                <w:u w:val="none"/>
              </w:rPr>
              <w:t>)</w:t>
            </w:r>
            <w:r w:rsidRPr="00D81398">
              <w:t>.</w:t>
            </w:r>
          </w:p>
          <w:p w14:paraId="48AD17A5" w14:textId="77777777" w:rsidR="004142B4" w:rsidRPr="00AC5F69" w:rsidRDefault="004142B4" w:rsidP="007D0A4B">
            <w:pPr>
              <w:rPr>
                <w:color w:val="000000"/>
              </w:rPr>
            </w:pPr>
          </w:p>
          <w:p w14:paraId="18B05EB0" w14:textId="5A7DA8BB" w:rsidR="00195D8B" w:rsidRDefault="007D0A4B" w:rsidP="00BF4412">
            <w:r>
              <w:t xml:space="preserve">Du skal endvidere være opmærksom på, at tilsyn på anlæg, som er omfattet af </w:t>
            </w:r>
            <w:r w:rsidRPr="00476E6C">
              <w:rPr>
                <w:color w:val="00B050"/>
              </w:rPr>
              <w:t>bekendtgørelse om mellemstore fyringsanlæg</w:t>
            </w:r>
            <w:r>
              <w:t xml:space="preserve">, og som er teknisk og forureningsmæssigt forbundet med en </w:t>
            </w:r>
            <w:r>
              <w:lastRenderedPageBreak/>
              <w:t>virksomhed eller et husdyrbrug</w:t>
            </w:r>
            <w:r w:rsidR="0094148D">
              <w:t xml:space="preserve"> m.v.</w:t>
            </w:r>
            <w:r>
              <w:t xml:space="preserve">, som er omfattet § 1, stk. 2, nr. 1-7, ikke indgår særskilt i opgørelsen af de årlige mål for tilsynsaktiviteten, jf. miljøtilsynsbekendtgørelsens § 10, stk. 4. </w:t>
            </w:r>
            <w:r w:rsidRPr="00DC3F14">
              <w:t>Du kan læse</w:t>
            </w:r>
            <w:r>
              <w:t xml:space="preserve"> mere om, hvilke tilsyn der indgår i op</w:t>
            </w:r>
            <w:r w:rsidR="003D6B0A">
              <w:t>g</w:t>
            </w:r>
            <w:r>
              <w:t>ørelsen af de årlige mål for tilsynsaktiviteten</w:t>
            </w:r>
            <w:r w:rsidR="00BF4412">
              <w:t xml:space="preserve"> i </w:t>
            </w:r>
            <w:r w:rsidR="00F42291">
              <w:t xml:space="preserve">afsnittet </w:t>
            </w:r>
            <w:r w:rsidR="00BF4412" w:rsidRPr="00FA490A">
              <w:rPr>
                <w:color w:val="00B050"/>
              </w:rPr>
              <w:t xml:space="preserve">”Tilsynsplanlægning og frekvenser” </w:t>
            </w:r>
            <w:r w:rsidR="004C4319" w:rsidRPr="00FA490A">
              <w:rPr>
                <w:color w:val="00B050"/>
              </w:rPr>
              <w:t>(</w:t>
            </w:r>
            <w:r w:rsidR="007B366E" w:rsidRPr="00FA490A">
              <w:rPr>
                <w:color w:val="00B050"/>
              </w:rPr>
              <w:t>3.2</w:t>
            </w:r>
            <w:r w:rsidR="004C4319" w:rsidRPr="00FA490A">
              <w:rPr>
                <w:color w:val="00B050"/>
              </w:rPr>
              <w:t>)</w:t>
            </w:r>
            <w:r w:rsidR="004C4319" w:rsidRPr="00FA490A">
              <w:t>.</w:t>
            </w:r>
            <w:r w:rsidR="00BF4412" w:rsidRPr="00FA490A">
              <w:rPr>
                <w:color w:val="00B050"/>
              </w:rPr>
              <w:t xml:space="preserve"> </w:t>
            </w:r>
          </w:p>
          <w:p w14:paraId="64E3D494" w14:textId="2D8DAAA3" w:rsidR="0094148D" w:rsidRDefault="0094148D" w:rsidP="005572E0"/>
        </w:tc>
      </w:tr>
      <w:tr w:rsidR="007D0A4B" w14:paraId="6F4515EC" w14:textId="77777777" w:rsidTr="007D0A4B">
        <w:tc>
          <w:tcPr>
            <w:tcW w:w="9628" w:type="dxa"/>
            <w:tcBorders>
              <w:top w:val="single" w:sz="4" w:space="0" w:color="auto"/>
              <w:left w:val="single" w:sz="4" w:space="0" w:color="auto"/>
              <w:bottom w:val="single" w:sz="4" w:space="0" w:color="auto"/>
              <w:right w:val="single" w:sz="4" w:space="0" w:color="auto"/>
            </w:tcBorders>
          </w:tcPr>
          <w:p w14:paraId="449FB931" w14:textId="77777777" w:rsidR="007D0A4B" w:rsidRDefault="007D0A4B">
            <w:pPr>
              <w:pStyle w:val="Underoverskrift"/>
            </w:pPr>
            <w:r>
              <w:lastRenderedPageBreak/>
              <w:t>Retsgrundlag</w:t>
            </w:r>
          </w:p>
          <w:p w14:paraId="429F2BB1" w14:textId="775F72F1" w:rsidR="007D0A4B" w:rsidRPr="007A1B15" w:rsidRDefault="00BF4412">
            <w:pPr>
              <w:rPr>
                <w:i/>
                <w:color w:val="808080" w:themeColor="background1" w:themeShade="80"/>
                <w:sz w:val="18"/>
                <w:szCs w:val="18"/>
              </w:rPr>
            </w:pPr>
            <w:r w:rsidRPr="007A1B15">
              <w:rPr>
                <w:i/>
                <w:color w:val="808080" w:themeColor="background1" w:themeShade="80"/>
                <w:sz w:val="18"/>
                <w:szCs w:val="18"/>
              </w:rPr>
              <w:t>Miljøtilsynsbekendtgørelsen, § 4</w:t>
            </w:r>
            <w:r w:rsidR="007D0A4B" w:rsidRPr="007A1B15">
              <w:rPr>
                <w:i/>
                <w:color w:val="808080" w:themeColor="background1" w:themeShade="80"/>
                <w:sz w:val="18"/>
                <w:szCs w:val="18"/>
              </w:rPr>
              <w:t xml:space="preserve">, stk. </w:t>
            </w:r>
            <w:r w:rsidRPr="007A1B15">
              <w:rPr>
                <w:i/>
                <w:color w:val="808080" w:themeColor="background1" w:themeShade="80"/>
                <w:sz w:val="18"/>
                <w:szCs w:val="18"/>
              </w:rPr>
              <w:t>2-4</w:t>
            </w:r>
          </w:p>
          <w:p w14:paraId="696334B6" w14:textId="37A7A2EC" w:rsidR="003D2F86" w:rsidRPr="007A1B15" w:rsidRDefault="003D2F86" w:rsidP="003D2F86">
            <w:pPr>
              <w:rPr>
                <w:color w:val="808080" w:themeColor="background1" w:themeShade="80"/>
                <w:sz w:val="18"/>
                <w:szCs w:val="18"/>
              </w:rPr>
            </w:pPr>
            <w:r w:rsidRPr="007A1B15">
              <w:rPr>
                <w:color w:val="808080" w:themeColor="background1" w:themeShade="80"/>
                <w:sz w:val="18"/>
                <w:szCs w:val="18"/>
              </w:rPr>
              <w:t>Stk. 2. Der skal ikke foretages en miljørisikovurdering af virksomheder omfattet af bekendtgørelse om miljøgodkendelse og samtidig sagsbehandling af ferskvandsdambrug.</w:t>
            </w:r>
          </w:p>
          <w:p w14:paraId="37500C89" w14:textId="77777777" w:rsidR="003D2F86" w:rsidRPr="007A1B15" w:rsidRDefault="003D2F86" w:rsidP="003D2F86">
            <w:pPr>
              <w:rPr>
                <w:color w:val="808080" w:themeColor="background1" w:themeShade="80"/>
                <w:sz w:val="18"/>
                <w:szCs w:val="18"/>
              </w:rPr>
            </w:pPr>
            <w:r w:rsidRPr="007A1B15">
              <w:rPr>
                <w:color w:val="808080" w:themeColor="background1" w:themeShade="80"/>
                <w:sz w:val="18"/>
                <w:szCs w:val="18"/>
              </w:rPr>
              <w:t>Stk. 3. Anlæg, som er omfattet af bekendtgørelse om miljøkrav for mellemstore fyringsanlæg, som ikke er teknisk og forureningsmæssigt forbundet med en virksomhed eller et husdyrbrug omfattet af § 1, stk. 2, nr. 1-7, og som er drifts- og lokaliseringsmæssigt samlet, skal miljørisikovurderes som et enkelt anlæg.</w:t>
            </w:r>
          </w:p>
          <w:p w14:paraId="40389A78" w14:textId="7587D767" w:rsidR="007D0A4B" w:rsidRPr="007A1B15" w:rsidRDefault="003D2F86" w:rsidP="003D2F86">
            <w:pPr>
              <w:rPr>
                <w:color w:val="808080" w:themeColor="background1" w:themeShade="80"/>
                <w:sz w:val="18"/>
                <w:szCs w:val="18"/>
              </w:rPr>
            </w:pPr>
            <w:r w:rsidRPr="007A1B15">
              <w:rPr>
                <w:color w:val="808080" w:themeColor="background1" w:themeShade="80"/>
                <w:sz w:val="18"/>
                <w:szCs w:val="18"/>
              </w:rPr>
              <w:t>Stk. 4. Der skal ikke foretages en særskilt miljørisikovurdering af anlæg, der er omfattet af bekendtgørelse om miljøkrav for mellemstore fyringsanlæg, jf. § 1, stk. 2, nr. 8, hvis det er teknisk og forureningsmæssigt forbundet med enten en virksomhed eller et husdyrbrug, som er om</w:t>
            </w:r>
            <w:r w:rsidR="007A1B15" w:rsidRPr="007A1B15">
              <w:rPr>
                <w:color w:val="808080" w:themeColor="background1" w:themeShade="80"/>
                <w:sz w:val="18"/>
                <w:szCs w:val="18"/>
              </w:rPr>
              <w:t>fattet af § 1, stk. 2, nr. 1-7.</w:t>
            </w:r>
          </w:p>
          <w:p w14:paraId="2DAD9213" w14:textId="77777777" w:rsidR="003D2F86" w:rsidRPr="007A1B15" w:rsidRDefault="003D2F86" w:rsidP="003D2F86">
            <w:pPr>
              <w:rPr>
                <w:color w:val="808080" w:themeColor="background1" w:themeShade="80"/>
                <w:sz w:val="18"/>
                <w:szCs w:val="18"/>
              </w:rPr>
            </w:pPr>
          </w:p>
          <w:p w14:paraId="3479B57A" w14:textId="01E8F137" w:rsidR="00BF4412" w:rsidRPr="007A1B15" w:rsidRDefault="00BF4412" w:rsidP="00BF4412">
            <w:pPr>
              <w:rPr>
                <w:i/>
                <w:color w:val="808080" w:themeColor="background1" w:themeShade="80"/>
                <w:sz w:val="18"/>
                <w:szCs w:val="18"/>
              </w:rPr>
            </w:pPr>
            <w:r w:rsidRPr="007A1B15">
              <w:rPr>
                <w:i/>
                <w:color w:val="808080" w:themeColor="background1" w:themeShade="80"/>
                <w:sz w:val="18"/>
                <w:szCs w:val="18"/>
              </w:rPr>
              <w:t>Miljøtilsyns</w:t>
            </w:r>
            <w:r w:rsidR="007A1B15" w:rsidRPr="007A1B15">
              <w:rPr>
                <w:i/>
                <w:color w:val="808080" w:themeColor="background1" w:themeShade="80"/>
                <w:sz w:val="18"/>
                <w:szCs w:val="18"/>
              </w:rPr>
              <w:t>bekendtgørelsen, § 10, stk. 2-4</w:t>
            </w:r>
          </w:p>
          <w:p w14:paraId="36EF4A1E" w14:textId="607A7264" w:rsidR="00FA6E9F" w:rsidRPr="007A1B15" w:rsidRDefault="00FA6E9F" w:rsidP="00FA6E9F">
            <w:pPr>
              <w:rPr>
                <w:color w:val="808080" w:themeColor="background1" w:themeShade="80"/>
                <w:sz w:val="18"/>
                <w:szCs w:val="18"/>
              </w:rPr>
            </w:pPr>
            <w:r w:rsidRPr="007A1B15">
              <w:rPr>
                <w:color w:val="808080" w:themeColor="background1" w:themeShade="80"/>
                <w:sz w:val="18"/>
                <w:szCs w:val="18"/>
              </w:rPr>
              <w:t>Stk. 2. Fysiske tilsyn med dambrug omfattet af bekendtgørelse om miljøgodkendelse og samtidig sagsbehandling af ferskvandsdambrug indgår ikke i opgørelsen af de årlige mål for tilsynsaktiviteten, jf. bilag 2.</w:t>
            </w:r>
          </w:p>
          <w:p w14:paraId="014EE146" w14:textId="77777777" w:rsidR="00FA6E9F" w:rsidRPr="007A1B15" w:rsidRDefault="00FA6E9F" w:rsidP="00FA6E9F">
            <w:pPr>
              <w:rPr>
                <w:color w:val="808080" w:themeColor="background1" w:themeShade="80"/>
                <w:sz w:val="18"/>
                <w:szCs w:val="18"/>
              </w:rPr>
            </w:pPr>
            <w:r w:rsidRPr="007A1B15">
              <w:rPr>
                <w:color w:val="808080" w:themeColor="background1" w:themeShade="80"/>
                <w:sz w:val="18"/>
                <w:szCs w:val="18"/>
              </w:rPr>
              <w:t>Stk. 3. Tilsyn på to eller flere anlæg, som er omfattet af bekendtgørelse om miljøkrav for mellemstore fyringsanlæg, og som drifts- og lokaliseringsmæssigt er samlet, skal medregnes i de årlige tilsynsmål som tilsyn på en enkelt virksomhed.</w:t>
            </w:r>
          </w:p>
          <w:p w14:paraId="3C33EB67" w14:textId="4D60B658" w:rsidR="00BF4412" w:rsidRPr="007A1B15" w:rsidRDefault="00FA6E9F" w:rsidP="00FA6E9F">
            <w:pPr>
              <w:rPr>
                <w:color w:val="808080" w:themeColor="background1" w:themeShade="80"/>
                <w:sz w:val="18"/>
                <w:szCs w:val="18"/>
              </w:rPr>
            </w:pPr>
            <w:r w:rsidRPr="007A1B15">
              <w:rPr>
                <w:color w:val="808080" w:themeColor="background1" w:themeShade="80"/>
                <w:sz w:val="18"/>
                <w:szCs w:val="18"/>
              </w:rPr>
              <w:t>Stk. 4. Tilsyn på anlæg, som er omfattet af bekendtgørelse om miljøkrav for mellemstore fyringsanlæg, jf. § 1, stk. 2, nr. 8, og som er teknisk og forureningsmæssigt forbundet med en virksomhed eller et husdyrbrug m.v. omfattet af § 1, stk. 2, nr. 1-7, indgår ikke særskilt i opgørelsen af de årlige mål for t</w:t>
            </w:r>
            <w:r w:rsidR="007A1B15" w:rsidRPr="007A1B15">
              <w:rPr>
                <w:color w:val="808080" w:themeColor="background1" w:themeShade="80"/>
                <w:sz w:val="18"/>
                <w:szCs w:val="18"/>
              </w:rPr>
              <w:t>ilsynsaktiviteten, jf. bilag 2.</w:t>
            </w:r>
          </w:p>
          <w:p w14:paraId="3904267B" w14:textId="568AD4FE" w:rsidR="00BF4412" w:rsidRDefault="00BF4412"/>
        </w:tc>
      </w:tr>
    </w:tbl>
    <w:p w14:paraId="428075D7" w14:textId="374337C8" w:rsidR="00BB14E5" w:rsidRDefault="00BB14E5" w:rsidP="002534E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076C" w14:paraId="73018DA9" w14:textId="77777777" w:rsidTr="00BB14E5">
        <w:trPr>
          <w:trHeight w:val="699"/>
        </w:trPr>
        <w:tc>
          <w:tcPr>
            <w:tcW w:w="9628" w:type="dxa"/>
            <w:tcBorders>
              <w:top w:val="single" w:sz="4" w:space="0" w:color="auto"/>
              <w:left w:val="single" w:sz="4" w:space="0" w:color="auto"/>
              <w:bottom w:val="single" w:sz="4" w:space="0" w:color="auto"/>
              <w:right w:val="single" w:sz="4" w:space="0" w:color="auto"/>
            </w:tcBorders>
          </w:tcPr>
          <w:p w14:paraId="6DD63331" w14:textId="4BA7E5A1" w:rsidR="00E2076C" w:rsidRPr="004C4319" w:rsidRDefault="00F97EBE" w:rsidP="00E2076C">
            <w:pPr>
              <w:rPr>
                <w:b/>
                <w:sz w:val="28"/>
                <w:szCs w:val="28"/>
              </w:rPr>
            </w:pPr>
            <w:r>
              <w:lastRenderedPageBreak/>
              <w:br w:type="page"/>
            </w:r>
            <w:r w:rsidR="00E2076C" w:rsidRPr="004C4319">
              <w:rPr>
                <w:b/>
                <w:sz w:val="28"/>
                <w:szCs w:val="28"/>
              </w:rPr>
              <w:t>4.3.</w:t>
            </w:r>
            <w:r w:rsidR="00F41EB6" w:rsidRPr="004C4319">
              <w:rPr>
                <w:b/>
                <w:sz w:val="28"/>
                <w:szCs w:val="28"/>
              </w:rPr>
              <w:t>3</w:t>
            </w:r>
            <w:r w:rsidR="00E2076C" w:rsidRPr="004C4319">
              <w:rPr>
                <w:b/>
                <w:sz w:val="28"/>
                <w:szCs w:val="28"/>
              </w:rPr>
              <w:t>. Hvilke virksomheder, husdyrbrug m</w:t>
            </w:r>
            <w:r w:rsidR="00C81370" w:rsidRPr="004C4319">
              <w:rPr>
                <w:b/>
                <w:sz w:val="28"/>
                <w:szCs w:val="28"/>
              </w:rPr>
              <w:t>.</w:t>
            </w:r>
            <w:r w:rsidR="00E2076C" w:rsidRPr="004C4319">
              <w:rPr>
                <w:b/>
                <w:sz w:val="28"/>
                <w:szCs w:val="28"/>
              </w:rPr>
              <w:t>v</w:t>
            </w:r>
            <w:r w:rsidR="00C81370" w:rsidRPr="004C4319">
              <w:rPr>
                <w:b/>
                <w:sz w:val="28"/>
                <w:szCs w:val="28"/>
              </w:rPr>
              <w:t>.</w:t>
            </w:r>
            <w:r w:rsidR="00E2076C" w:rsidRPr="004C4319">
              <w:rPr>
                <w:b/>
                <w:sz w:val="28"/>
                <w:szCs w:val="28"/>
              </w:rPr>
              <w:t xml:space="preserve"> er </w:t>
            </w:r>
            <w:r w:rsidR="00AD6F78" w:rsidRPr="004C4319">
              <w:rPr>
                <w:b/>
                <w:sz w:val="28"/>
                <w:szCs w:val="28"/>
              </w:rPr>
              <w:t xml:space="preserve">alene </w:t>
            </w:r>
            <w:r w:rsidR="00E2076C" w:rsidRPr="004C4319">
              <w:rPr>
                <w:b/>
                <w:sz w:val="28"/>
                <w:szCs w:val="28"/>
              </w:rPr>
              <w:t>omfattet af bekendtgørelsens øvrige bestemmelser</w:t>
            </w:r>
            <w:r w:rsidR="00F41EB6" w:rsidRPr="004C4319">
              <w:rPr>
                <w:b/>
                <w:sz w:val="28"/>
                <w:szCs w:val="28"/>
              </w:rPr>
              <w:t>?</w:t>
            </w:r>
          </w:p>
          <w:p w14:paraId="25ACD8B0" w14:textId="2AC408EA" w:rsidR="00E2076C" w:rsidRPr="00E2076C" w:rsidRDefault="00E2076C" w:rsidP="00E2076C">
            <w:pPr>
              <w:rPr>
                <w:b/>
              </w:rPr>
            </w:pPr>
          </w:p>
        </w:tc>
      </w:tr>
      <w:tr w:rsidR="00E2076C" w14:paraId="3799DF98" w14:textId="77777777" w:rsidTr="00E2076C">
        <w:tc>
          <w:tcPr>
            <w:tcW w:w="9628" w:type="dxa"/>
            <w:tcBorders>
              <w:top w:val="single" w:sz="4" w:space="0" w:color="auto"/>
              <w:left w:val="single" w:sz="4" w:space="0" w:color="auto"/>
              <w:bottom w:val="single" w:sz="4" w:space="0" w:color="auto"/>
              <w:right w:val="single" w:sz="4" w:space="0" w:color="auto"/>
            </w:tcBorders>
          </w:tcPr>
          <w:p w14:paraId="41A0293E" w14:textId="77777777" w:rsidR="007A1B15" w:rsidRDefault="007A1B15" w:rsidP="000D68DE"/>
          <w:p w14:paraId="17FF8CCC" w14:textId="1240238A" w:rsidR="000D68DE" w:rsidRDefault="00E2076C" w:rsidP="000D68DE">
            <w:r>
              <w:t xml:space="preserve">Af </w:t>
            </w:r>
            <w:r w:rsidR="00262C25">
              <w:t>m</w:t>
            </w:r>
            <w:r w:rsidR="004B2C61" w:rsidRPr="002D7020">
              <w:t>iljøtilsyns</w:t>
            </w:r>
            <w:r>
              <w:t xml:space="preserve">bekendtgørelsens § 14, stk. 3, fremgår det, at de forpligtelser, der påhviler tilsynsmyndigheden efter bekendtgørelsens kapitel 4, alene </w:t>
            </w:r>
            <w:r w:rsidR="00227C4D">
              <w:t xml:space="preserve">gælder for </w:t>
            </w:r>
            <w:r>
              <w:t>”</w:t>
            </w:r>
            <w:r w:rsidRPr="00FA17B9">
              <w:rPr>
                <w:i/>
              </w:rPr>
              <w:t>øvrige virksomheder og husdyrbrug m.v</w:t>
            </w:r>
            <w:r>
              <w:t>.”</w:t>
            </w:r>
            <w:r w:rsidR="000D68DE">
              <w:t>, men det præciseres ikke, hvilke virksomheder og husdyrbrug m.v., der er tale om.</w:t>
            </w:r>
          </w:p>
          <w:p w14:paraId="5244B90A" w14:textId="77777777" w:rsidR="000D68DE" w:rsidRDefault="000D68DE" w:rsidP="00E2076C"/>
          <w:p w14:paraId="3A6D0970" w14:textId="70C7C04A" w:rsidR="005C2F81" w:rsidRPr="007A1B15" w:rsidRDefault="005C2F81" w:rsidP="00E2076C">
            <w:pPr>
              <w:rPr>
                <w:b/>
              </w:rPr>
            </w:pPr>
            <w:r w:rsidRPr="007A1B15">
              <w:rPr>
                <w:b/>
              </w:rPr>
              <w:t>Virksomheder</w:t>
            </w:r>
          </w:p>
          <w:p w14:paraId="35E1F2D0" w14:textId="5878AD6D" w:rsidR="00E2076C" w:rsidRDefault="00E2076C" w:rsidP="00E2076C">
            <w:r>
              <w:t>Begrebet ”</w:t>
            </w:r>
            <w:r w:rsidRPr="00342EE0">
              <w:rPr>
                <w:i/>
              </w:rPr>
              <w:t>virksomhed</w:t>
            </w:r>
            <w:r>
              <w:t>” er defineret i § 2, nr. 2, som ”virksomheder, anlæg, indretninger og aktiviteter”. Begrebet skal som udgangspunkt tolkes i lyset af miljøtilsynsbekendtgørelsens § 1, stk. 1, hvor det fremgår</w:t>
            </w:r>
            <w:r w:rsidR="00956110">
              <w:t>,</w:t>
            </w:r>
            <w:r>
              <w:t xml:space="preserve"> at bekendtgørelsen </w:t>
            </w:r>
            <w:r w:rsidR="000F70E4">
              <w:t xml:space="preserve">gælder for </w:t>
            </w:r>
            <w:r w:rsidR="003D5B2C">
              <w:t>virksomhedsrettede</w:t>
            </w:r>
            <w:r w:rsidR="00C81370">
              <w:t>/</w:t>
            </w:r>
            <w:r w:rsidR="003D5B2C">
              <w:t>husdyrbrugsrettede</w:t>
            </w:r>
            <w:r w:rsidR="00C81370">
              <w:t xml:space="preserve"> miljøtilsyn. Du kan læse om bek</w:t>
            </w:r>
            <w:r w:rsidR="003D5B2C">
              <w:t>endtgørelsens anvendelsesområde</w:t>
            </w:r>
            <w:r w:rsidR="00C81370">
              <w:t xml:space="preserve"> i </w:t>
            </w:r>
            <w:r w:rsidR="00F42291">
              <w:t xml:space="preserve">afsnittet </w:t>
            </w:r>
            <w:r w:rsidR="00C81370" w:rsidRPr="00FA490A">
              <w:rPr>
                <w:color w:val="00B050"/>
              </w:rPr>
              <w:t>”</w:t>
            </w:r>
            <w:r w:rsidR="00CB421E" w:rsidRPr="00FA490A">
              <w:rPr>
                <w:color w:val="00B050"/>
              </w:rPr>
              <w:t xml:space="preserve">Bekendtgørelsens indhold, hjemmelsgrundlag og anvendelsesområde” </w:t>
            </w:r>
            <w:r w:rsidR="00C81370" w:rsidRPr="00FA490A">
              <w:rPr>
                <w:color w:val="00B050"/>
              </w:rPr>
              <w:t>(4.2)</w:t>
            </w:r>
            <w:r w:rsidR="00C81370" w:rsidRPr="00FA490A">
              <w:t>.</w:t>
            </w:r>
          </w:p>
          <w:p w14:paraId="5338D749" w14:textId="46A7DF5D" w:rsidR="00C81370" w:rsidRDefault="00C81370" w:rsidP="00E2076C"/>
          <w:p w14:paraId="0A4859B6" w14:textId="11C6C7FD" w:rsidR="00C81370" w:rsidRDefault="00E2076C" w:rsidP="00C81370">
            <w:r>
              <w:t xml:space="preserve">Tilsyn </w:t>
            </w:r>
            <w:r w:rsidR="00C81370">
              <w:t xml:space="preserve">med forurenende virksomheder, jf. miljøbeskyttelseslovens kapitel 5 og 9, omfatter </w:t>
            </w:r>
            <w:r>
              <w:t xml:space="preserve">tilsyn med </w:t>
            </w:r>
            <w:r w:rsidR="00076A31" w:rsidRPr="00076A31">
              <w:t>erhvervsmæssige virksomheder. Det er ikke afgørende, om en virksomhed drives på forretningsmæssig basis.</w:t>
            </w:r>
            <w:r w:rsidR="00076A31">
              <w:t xml:space="preserve"> Miljøbeskyttelseslovens § 42, der indeholder hjemmel til at udstede påbud om at </w:t>
            </w:r>
            <w:r w:rsidR="00B81077">
              <w:t xml:space="preserve">nedbringe </w:t>
            </w:r>
            <w:r w:rsidR="00076A31">
              <w:t xml:space="preserve">forureningen </w:t>
            </w:r>
            <w:r w:rsidR="00B81077">
              <w:t>og</w:t>
            </w:r>
            <w:r w:rsidR="00076A31">
              <w:t xml:space="preserve"> gennemføre</w:t>
            </w:r>
            <w:r w:rsidR="00B81077">
              <w:t xml:space="preserve"> </w:t>
            </w:r>
            <w:r w:rsidR="00076A31">
              <w:t xml:space="preserve">bestemte foranstaltninger, </w:t>
            </w:r>
            <w:r w:rsidR="00B81077">
              <w:t xml:space="preserve">gælder for </w:t>
            </w:r>
            <w:r w:rsidR="00076A31" w:rsidRPr="00076A31">
              <w:t>alle former for virksomhed, der har samme karakter og tilsvarende forureningsforhold, som</w:t>
            </w:r>
            <w:r w:rsidR="00076A31">
              <w:t xml:space="preserve"> en egentlig erhvervsvirksomhed. </w:t>
            </w:r>
          </w:p>
          <w:p w14:paraId="1CC84627" w14:textId="1466EF5C" w:rsidR="007A159F" w:rsidRDefault="007A159F" w:rsidP="00C81370"/>
          <w:p w14:paraId="4BF96015" w14:textId="28D188AF" w:rsidR="005C2F81" w:rsidRPr="007A1B15" w:rsidRDefault="005C2F81" w:rsidP="00C81370">
            <w:pPr>
              <w:rPr>
                <w:b/>
                <w:bCs/>
              </w:rPr>
            </w:pPr>
            <w:r w:rsidRPr="007A1B15">
              <w:rPr>
                <w:b/>
                <w:bCs/>
              </w:rPr>
              <w:t>Husdyrbrug m.v.</w:t>
            </w:r>
          </w:p>
          <w:p w14:paraId="0ECCD5DE" w14:textId="001F4F59" w:rsidR="00AC1B1C" w:rsidRDefault="00994178" w:rsidP="00994178">
            <w:r w:rsidRPr="004C4319">
              <w:t>De</w:t>
            </w:r>
            <w:r w:rsidRPr="004C4319">
              <w:rPr>
                <w:i/>
              </w:rPr>
              <w:t xml:space="preserve"> </w:t>
            </w:r>
            <w:r w:rsidR="004C4319" w:rsidRPr="004C4319">
              <w:t>husdyrbrug m.v.</w:t>
            </w:r>
            <w:r w:rsidR="00841753" w:rsidRPr="004C4319">
              <w:t>,</w:t>
            </w:r>
            <w:r w:rsidR="00076A31" w:rsidRPr="004C4319">
              <w:t xml:space="preserve"> </w:t>
            </w:r>
            <w:r w:rsidR="00AC1B1C" w:rsidRPr="004C4319">
              <w:t>hvor kommunen</w:t>
            </w:r>
            <w:r w:rsidR="009242D2">
              <w:t xml:space="preserve"> har </w:t>
            </w:r>
            <w:r w:rsidR="00AC1B1C" w:rsidRPr="004C4319">
              <w:t>generel tilsynspligt</w:t>
            </w:r>
            <w:r w:rsidR="009242D2">
              <w:t xml:space="preserve"> </w:t>
            </w:r>
            <w:r w:rsidR="00AC1B1C" w:rsidRPr="004C4319">
              <w:t>i</w:t>
            </w:r>
            <w:r w:rsidR="009242D2">
              <w:t>følge</w:t>
            </w:r>
            <w:r w:rsidR="00AC1B1C" w:rsidRPr="004C4319">
              <w:t xml:space="preserve"> </w:t>
            </w:r>
            <w:r w:rsidR="00AC1B1C" w:rsidRPr="00476E6C">
              <w:rPr>
                <w:color w:val="00B050"/>
              </w:rPr>
              <w:t>husdyrbrug</w:t>
            </w:r>
            <w:r w:rsidR="00AC1B1C" w:rsidRPr="004C4319">
              <w:t xml:space="preserve">- og/eller </w:t>
            </w:r>
            <w:r w:rsidR="00AC1B1C" w:rsidRPr="00476E6C">
              <w:rPr>
                <w:color w:val="00B050"/>
              </w:rPr>
              <w:t>miljøbeskyttelsesloven</w:t>
            </w:r>
            <w:r w:rsidR="00AC1B1C" w:rsidRPr="004C4319">
              <w:t xml:space="preserve">, </w:t>
            </w:r>
            <w:r w:rsidRPr="004C4319">
              <w:t>og som ikke er omfattet af kravet om regelmæssige tilsyn (</w:t>
            </w:r>
            <w:r w:rsidR="007B366E">
              <w:t>k</w:t>
            </w:r>
            <w:r w:rsidRPr="004C4319">
              <w:t>apitel 2 og 3)</w:t>
            </w:r>
            <w:r w:rsidR="009242D2">
              <w:t>,</w:t>
            </w:r>
            <w:r w:rsidRPr="004C4319">
              <w:t xml:space="preserve"> er omfattet af</w:t>
            </w:r>
            <w:r>
              <w:t xml:space="preserve"> kravene i </w:t>
            </w:r>
            <w:r w:rsidR="007B366E">
              <w:t>k</w:t>
            </w:r>
            <w:r>
              <w:t>apitel 1, 4 og 5</w:t>
            </w:r>
            <w:r w:rsidR="009242D2">
              <w:t xml:space="preserve">. Det omfatter </w:t>
            </w:r>
            <w:r w:rsidR="000D39A6">
              <w:t xml:space="preserve">kravet om afgivelse og offentliggørelse af oplysninger. </w:t>
            </w:r>
          </w:p>
          <w:p w14:paraId="5D391825" w14:textId="67110C08" w:rsidR="00FA6E9F" w:rsidRDefault="00FA6E9F" w:rsidP="00994178"/>
          <w:p w14:paraId="45B6E763" w14:textId="2B80FA75" w:rsidR="00FA6E9F" w:rsidRDefault="009242D2" w:rsidP="00FA6E9F">
            <w:r>
              <w:t xml:space="preserve">Det vil </w:t>
            </w:r>
            <w:r w:rsidR="00FA6E9F">
              <w:t xml:space="preserve">som udgangspunkt være landbrug og aktiviteter, hvor kommunen er tilsynsmyndighed inden for anvendelsesområderne af </w:t>
            </w:r>
            <w:proofErr w:type="spellStart"/>
            <w:r w:rsidR="00FA6E9F">
              <w:t>husdyrbrugloven</w:t>
            </w:r>
            <w:proofErr w:type="spellEnd"/>
            <w:r w:rsidR="00FA6E9F">
              <w:t>, husdyrgødningsbekendtgørelsen og miljøaktivitetsbekendtgørelsen. Samtidig skal der stadig være tale om husdyrbrug m.v., som ikke er omfattet af bekendtgørelsens § 1, stk. 2</w:t>
            </w:r>
            <w:r w:rsidR="00476E6C">
              <w:t xml:space="preserve">. </w:t>
            </w:r>
          </w:p>
          <w:p w14:paraId="14D7A2AD" w14:textId="77777777" w:rsidR="00FA6E9F" w:rsidRDefault="00FA6E9F" w:rsidP="00FA6E9F"/>
          <w:p w14:paraId="25EAA27D" w14:textId="0E151361" w:rsidR="00AC1B1C" w:rsidRDefault="00AC1B1C" w:rsidP="00AC1B1C">
            <w:r>
              <w:t>Kommunen skal være opmærksom på de ejendomme med erhvervsmæssigt dyrehold, som inden 1. august 2017 var omfattet af regelmæssigt tilsyn. Hvis disse ejendomme er blevet anmeldt efter</w:t>
            </w:r>
            <w:r w:rsidR="00E3480B">
              <w:t xml:space="preserve"> de nye regler i bekendtgørelse </w:t>
            </w:r>
            <w:r w:rsidR="00E3480B" w:rsidRPr="00E3480B">
              <w:t>om miljøregulering af dyrehold og om opbevaring og anvendelse af gødning</w:t>
            </w:r>
            <w:r w:rsidR="00E3480B">
              <w:t xml:space="preserve"> (husdyrgødningsbekendtgørelsen), </w:t>
            </w:r>
            <w:r>
              <w:t xml:space="preserve">uden at det har udløst krav om tilladelse eller godkendelse, vil ejendommen </w:t>
            </w:r>
            <w:r w:rsidR="00025B04">
              <w:t>ikke længere være omfattet af</w:t>
            </w:r>
            <w:r>
              <w:t xml:space="preserve"> bekendtgørelsens krav om regelmæssige tilsyn, jf. § 1, stk. 2. Dog vil ejendommen stadig være omfattet af kapitel 1, 4 og 5.</w:t>
            </w:r>
          </w:p>
          <w:p w14:paraId="35684B6F" w14:textId="7D22B9BC" w:rsidR="00AC1B1C" w:rsidRDefault="00AC1B1C" w:rsidP="00AC1B1C">
            <w:pPr>
              <w:pStyle w:val="Kommentartekst"/>
            </w:pPr>
          </w:p>
          <w:p w14:paraId="4A814990" w14:textId="69CE5D33" w:rsidR="00AC1B1C" w:rsidRDefault="00B16983" w:rsidP="00994178">
            <w:r>
              <w:t xml:space="preserve">I afsnittet </w:t>
            </w:r>
            <w:r w:rsidRPr="00FA490A">
              <w:rPr>
                <w:color w:val="00B050"/>
              </w:rPr>
              <w:t>”Hvilke pligter der gælder i forhold til øvrige v</w:t>
            </w:r>
            <w:r w:rsidR="007B366E" w:rsidRPr="00FA490A">
              <w:rPr>
                <w:color w:val="00B050"/>
              </w:rPr>
              <w:t>irksomheder og husdyrbrug</w:t>
            </w:r>
            <w:r w:rsidRPr="00FA490A">
              <w:rPr>
                <w:color w:val="00B050"/>
              </w:rPr>
              <w:t xml:space="preserve"> m.v.” (4.3.3.1)</w:t>
            </w:r>
            <w:r>
              <w:t xml:space="preserve"> kan du læse om, hvilke forpligtelser du særlig</w:t>
            </w:r>
            <w:r w:rsidR="00FD4159">
              <w:t>t</w:t>
            </w:r>
            <w:r>
              <w:t xml:space="preserve"> skal være opmærksom på</w:t>
            </w:r>
            <w:r w:rsidRPr="00B16983">
              <w:t>.</w:t>
            </w:r>
          </w:p>
          <w:p w14:paraId="011C5948" w14:textId="028FC720" w:rsidR="00883C24" w:rsidRDefault="00883C24" w:rsidP="00B16983"/>
        </w:tc>
      </w:tr>
      <w:tr w:rsidR="00E2076C" w14:paraId="3E4CCC3E" w14:textId="77777777" w:rsidTr="00E2076C">
        <w:tc>
          <w:tcPr>
            <w:tcW w:w="9628" w:type="dxa"/>
            <w:tcBorders>
              <w:top w:val="single" w:sz="4" w:space="0" w:color="auto"/>
              <w:left w:val="single" w:sz="4" w:space="0" w:color="auto"/>
              <w:bottom w:val="single" w:sz="4" w:space="0" w:color="auto"/>
              <w:right w:val="single" w:sz="4" w:space="0" w:color="auto"/>
            </w:tcBorders>
          </w:tcPr>
          <w:p w14:paraId="2523AC27" w14:textId="77777777" w:rsidR="00E2076C" w:rsidRPr="00D81398" w:rsidRDefault="00E2076C">
            <w:pPr>
              <w:pStyle w:val="Underoverskrift"/>
            </w:pPr>
            <w:r w:rsidRPr="00D81398">
              <w:t>Retsgrundlag</w:t>
            </w:r>
          </w:p>
          <w:p w14:paraId="4823D66D" w14:textId="43FDA97A" w:rsidR="00CB421E" w:rsidRPr="007A1B15" w:rsidRDefault="00CB421E">
            <w:pPr>
              <w:rPr>
                <w:i/>
                <w:color w:val="808080" w:themeColor="background1" w:themeShade="80"/>
                <w:sz w:val="18"/>
                <w:szCs w:val="18"/>
              </w:rPr>
            </w:pPr>
            <w:bookmarkStart w:id="0" w:name="_GoBack"/>
            <w:bookmarkEnd w:id="0"/>
            <w:r w:rsidRPr="007A1B15">
              <w:rPr>
                <w:i/>
                <w:color w:val="808080" w:themeColor="background1" w:themeShade="80"/>
                <w:sz w:val="18"/>
                <w:szCs w:val="18"/>
              </w:rPr>
              <w:t>Miljøtilsynsbeke</w:t>
            </w:r>
            <w:r w:rsidR="007A1B15" w:rsidRPr="007A1B15">
              <w:rPr>
                <w:i/>
                <w:color w:val="808080" w:themeColor="background1" w:themeShade="80"/>
                <w:sz w:val="18"/>
                <w:szCs w:val="18"/>
              </w:rPr>
              <w:t>ndtgørelsens § 1, stk. 2, nr. 4</w:t>
            </w:r>
          </w:p>
          <w:p w14:paraId="0E986C11" w14:textId="729BC140" w:rsidR="00CB421E" w:rsidRPr="007A1B15" w:rsidRDefault="00CB421E">
            <w:pPr>
              <w:rPr>
                <w:color w:val="808080" w:themeColor="background1" w:themeShade="80"/>
                <w:sz w:val="18"/>
                <w:szCs w:val="18"/>
              </w:rPr>
            </w:pPr>
            <w:r w:rsidRPr="007A1B15">
              <w:rPr>
                <w:color w:val="808080" w:themeColor="background1" w:themeShade="80"/>
                <w:sz w:val="18"/>
                <w:szCs w:val="18"/>
              </w:rPr>
              <w:t xml:space="preserve">4) ejendomme med erhvervsmæssigt dyrehold, som inden den 1. august 2017 var omfattet af regelmæssigt tilsyn efter reglerne i bekendtgørelse nr. 1519 af 7. december 2016 om miljøtilsyn, indtil kommunalbestyrelsen meddeler godkendelse eller tilladelse </w:t>
            </w:r>
            <w:r w:rsidRPr="007A1B15">
              <w:rPr>
                <w:color w:val="808080" w:themeColor="background1" w:themeShade="80"/>
                <w:sz w:val="18"/>
                <w:szCs w:val="18"/>
              </w:rPr>
              <w:lastRenderedPageBreak/>
              <w:t>efter §§ 16 a eller 16 b, jf. nr. 3, i dette stykke, eller træffer afgørelse om, at ejendommen med erhvervsmæssigt dyrehold ikke er omfattet af krav om godkendelse eller tilla</w:t>
            </w:r>
            <w:r w:rsidR="007A1B15">
              <w:rPr>
                <w:color w:val="808080" w:themeColor="background1" w:themeShade="80"/>
                <w:sz w:val="18"/>
                <w:szCs w:val="18"/>
              </w:rPr>
              <w:t>delse efter §§ 16 a eller 16 b.</w:t>
            </w:r>
          </w:p>
          <w:p w14:paraId="0AF2A8F6" w14:textId="77777777" w:rsidR="00CB421E" w:rsidRPr="007A1B15" w:rsidRDefault="00CB421E">
            <w:pPr>
              <w:rPr>
                <w:i/>
                <w:color w:val="808080" w:themeColor="background1" w:themeShade="80"/>
                <w:sz w:val="18"/>
                <w:szCs w:val="18"/>
              </w:rPr>
            </w:pPr>
          </w:p>
          <w:p w14:paraId="088CE80F" w14:textId="755B7EB1" w:rsidR="00E2076C" w:rsidRPr="007A1B15" w:rsidRDefault="00E2076C">
            <w:pPr>
              <w:rPr>
                <w:i/>
                <w:color w:val="808080" w:themeColor="background1" w:themeShade="80"/>
                <w:sz w:val="18"/>
                <w:szCs w:val="18"/>
              </w:rPr>
            </w:pPr>
            <w:r w:rsidRPr="007A1B15">
              <w:rPr>
                <w:i/>
                <w:color w:val="808080" w:themeColor="background1" w:themeShade="80"/>
                <w:sz w:val="18"/>
                <w:szCs w:val="18"/>
              </w:rPr>
              <w:t xml:space="preserve">Miljøtilsynsbekendtgørelsen, § </w:t>
            </w:r>
            <w:r w:rsidR="00CB421E" w:rsidRPr="007A1B15">
              <w:rPr>
                <w:i/>
                <w:color w:val="808080" w:themeColor="background1" w:themeShade="80"/>
                <w:sz w:val="18"/>
                <w:szCs w:val="18"/>
              </w:rPr>
              <w:t>2, nr. 2</w:t>
            </w:r>
          </w:p>
          <w:p w14:paraId="20AF4711" w14:textId="6EBE4EF2" w:rsidR="00E2076C" w:rsidRPr="007A1B15" w:rsidRDefault="00CB421E">
            <w:pPr>
              <w:rPr>
                <w:color w:val="808080" w:themeColor="background1" w:themeShade="80"/>
                <w:sz w:val="18"/>
                <w:szCs w:val="18"/>
              </w:rPr>
            </w:pPr>
            <w:r w:rsidRPr="007A1B15">
              <w:rPr>
                <w:color w:val="808080" w:themeColor="background1" w:themeShade="80"/>
                <w:sz w:val="18"/>
                <w:szCs w:val="18"/>
              </w:rPr>
              <w:t>Virksomheder: Virksomheder, anlæ</w:t>
            </w:r>
            <w:r w:rsidR="007A1B15">
              <w:rPr>
                <w:color w:val="808080" w:themeColor="background1" w:themeShade="80"/>
                <w:sz w:val="18"/>
                <w:szCs w:val="18"/>
              </w:rPr>
              <w:t>g, indretninger og aktiviteter.</w:t>
            </w:r>
          </w:p>
          <w:p w14:paraId="0AA2265E" w14:textId="09A6A7AA" w:rsidR="00CB421E" w:rsidRPr="007A1B15" w:rsidRDefault="00CB421E">
            <w:pPr>
              <w:rPr>
                <w:color w:val="808080" w:themeColor="background1" w:themeShade="80"/>
                <w:sz w:val="18"/>
                <w:szCs w:val="18"/>
              </w:rPr>
            </w:pPr>
          </w:p>
          <w:p w14:paraId="56CF3E1A" w14:textId="14138E8F" w:rsidR="00CB421E" w:rsidRPr="007A1B15" w:rsidRDefault="00CB421E" w:rsidP="00CB421E">
            <w:pPr>
              <w:rPr>
                <w:i/>
                <w:color w:val="808080" w:themeColor="background1" w:themeShade="80"/>
                <w:sz w:val="18"/>
                <w:szCs w:val="18"/>
              </w:rPr>
            </w:pPr>
            <w:r w:rsidRPr="007A1B15">
              <w:rPr>
                <w:i/>
                <w:color w:val="808080" w:themeColor="background1" w:themeShade="80"/>
                <w:sz w:val="18"/>
                <w:szCs w:val="18"/>
              </w:rPr>
              <w:t>Miljøtilsy</w:t>
            </w:r>
            <w:r w:rsidR="007A1B15" w:rsidRPr="007A1B15">
              <w:rPr>
                <w:i/>
                <w:color w:val="808080" w:themeColor="background1" w:themeShade="80"/>
                <w:sz w:val="18"/>
                <w:szCs w:val="18"/>
              </w:rPr>
              <w:t>nsbekendtgørelsen, § 14, stk. 3</w:t>
            </w:r>
          </w:p>
          <w:p w14:paraId="597ACB1F" w14:textId="01004E9E" w:rsidR="00CB421E" w:rsidRPr="007A1B15" w:rsidRDefault="00CB421E">
            <w:pPr>
              <w:rPr>
                <w:color w:val="808080" w:themeColor="background1" w:themeShade="80"/>
                <w:sz w:val="18"/>
                <w:szCs w:val="18"/>
              </w:rPr>
            </w:pPr>
            <w:r w:rsidRPr="007A1B15">
              <w:rPr>
                <w:color w:val="808080" w:themeColor="background1" w:themeShade="80"/>
                <w:sz w:val="18"/>
                <w:szCs w:val="18"/>
              </w:rPr>
              <w:t xml:space="preserve">For øvrige virksomheder og husdyrbrug m.v. end dem, som er omfattet af § 1, stk. 2, afgiver tilsynsmyndigheden oplysningerne efter stk. 1 og 2 efter enten hvert tilsyn eller oplysningerne i stk. 1, nr. 4-7 og stk. 2 årligt senest den 1. april for det forudgående kalenderår fordelt på de relevante grupper af virksomheder og husdyrbrug m.v., som ikke er omfattet af § 1, </w:t>
            </w:r>
            <w:r w:rsidR="007A1B15">
              <w:rPr>
                <w:color w:val="808080" w:themeColor="background1" w:themeShade="80"/>
                <w:sz w:val="18"/>
                <w:szCs w:val="18"/>
              </w:rPr>
              <w:t>stk. 2, som fremgår af bilag 3.</w:t>
            </w:r>
          </w:p>
          <w:p w14:paraId="7F4612D1" w14:textId="77777777" w:rsidR="00E2076C" w:rsidRPr="007A1B15" w:rsidRDefault="00E2076C">
            <w:pPr>
              <w:rPr>
                <w:color w:val="808080" w:themeColor="background1" w:themeShade="80"/>
                <w:sz w:val="18"/>
                <w:szCs w:val="18"/>
              </w:rPr>
            </w:pPr>
          </w:p>
        </w:tc>
      </w:tr>
    </w:tbl>
    <w:p w14:paraId="5398F7DE" w14:textId="437C09D4" w:rsidR="00E2076C" w:rsidRDefault="00E2076C" w:rsidP="002534E3">
      <w:r>
        <w:lastRenderedPageBreak/>
        <w:br w:type="page"/>
      </w:r>
    </w:p>
    <w:p w14:paraId="5CAA1F99" w14:textId="77777777" w:rsidR="00E84258" w:rsidRDefault="00E84258" w:rsidP="00253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84258" w14:paraId="7D342CF9" w14:textId="77777777" w:rsidTr="00E84258">
        <w:trPr>
          <w:trHeight w:val="947"/>
        </w:trPr>
        <w:tc>
          <w:tcPr>
            <w:tcW w:w="9628" w:type="dxa"/>
            <w:tcBorders>
              <w:top w:val="single" w:sz="4" w:space="0" w:color="auto"/>
              <w:left w:val="single" w:sz="4" w:space="0" w:color="auto"/>
              <w:bottom w:val="single" w:sz="4" w:space="0" w:color="auto"/>
              <w:right w:val="single" w:sz="4" w:space="0" w:color="auto"/>
            </w:tcBorders>
          </w:tcPr>
          <w:p w14:paraId="52BA545B" w14:textId="77777777" w:rsidR="00E84258" w:rsidRDefault="00E84258"/>
          <w:p w14:paraId="13389837" w14:textId="59951E8B" w:rsidR="00E84258" w:rsidRPr="007B366E" w:rsidRDefault="00F97EBE" w:rsidP="00025B04">
            <w:pPr>
              <w:pStyle w:val="Overskrift1"/>
            </w:pPr>
            <w:r w:rsidRPr="007B366E">
              <w:t>4.3.</w:t>
            </w:r>
            <w:r w:rsidR="00FD2C05">
              <w:t>3</w:t>
            </w:r>
            <w:r w:rsidR="00E84258" w:rsidRPr="007B366E">
              <w:t>.</w:t>
            </w:r>
            <w:r w:rsidR="00FD2C05">
              <w:t>1</w:t>
            </w:r>
            <w:r w:rsidR="00E84258" w:rsidRPr="007B366E">
              <w:t xml:space="preserve"> </w:t>
            </w:r>
            <w:r w:rsidR="00B16983" w:rsidRPr="007B366E">
              <w:t xml:space="preserve">Hvilke </w:t>
            </w:r>
            <w:r w:rsidR="00025B04">
              <w:t>regler</w:t>
            </w:r>
            <w:r w:rsidR="00025B04" w:rsidRPr="007B366E">
              <w:t xml:space="preserve"> </w:t>
            </w:r>
            <w:r w:rsidR="00B16983" w:rsidRPr="007B366E">
              <w:t xml:space="preserve">gælder i forhold til øvrige virksomheder og </w:t>
            </w:r>
            <w:r w:rsidR="007B366E">
              <w:t>husdyrbrug</w:t>
            </w:r>
            <w:r w:rsidR="00B16983" w:rsidRPr="007B366E">
              <w:t xml:space="preserve"> m.v.?</w:t>
            </w:r>
          </w:p>
        </w:tc>
      </w:tr>
      <w:tr w:rsidR="00E84258" w14:paraId="5664AAA6" w14:textId="77777777" w:rsidTr="00E84258">
        <w:tc>
          <w:tcPr>
            <w:tcW w:w="9628" w:type="dxa"/>
            <w:tcBorders>
              <w:top w:val="single" w:sz="4" w:space="0" w:color="auto"/>
              <w:left w:val="single" w:sz="4" w:space="0" w:color="auto"/>
              <w:bottom w:val="single" w:sz="4" w:space="0" w:color="auto"/>
              <w:right w:val="single" w:sz="4" w:space="0" w:color="auto"/>
            </w:tcBorders>
          </w:tcPr>
          <w:p w14:paraId="04FD3380" w14:textId="77777777" w:rsidR="007A1B15" w:rsidRDefault="007A1B15" w:rsidP="00B16983">
            <w:pPr>
              <w:rPr>
                <w:b/>
                <w:i/>
              </w:rPr>
            </w:pPr>
          </w:p>
          <w:p w14:paraId="3D00B10F" w14:textId="5218302E" w:rsidR="00B16983" w:rsidRPr="007A1B15" w:rsidRDefault="00B16983" w:rsidP="00B16983">
            <w:pPr>
              <w:rPr>
                <w:b/>
              </w:rPr>
            </w:pPr>
            <w:r w:rsidRPr="007A1B15">
              <w:rPr>
                <w:b/>
              </w:rPr>
              <w:t xml:space="preserve">Krav i henhold til bekendtgørelsens </w:t>
            </w:r>
            <w:r w:rsidR="00FD2C05" w:rsidRPr="007A1B15">
              <w:rPr>
                <w:b/>
              </w:rPr>
              <w:t>k</w:t>
            </w:r>
            <w:r w:rsidRPr="007A1B15">
              <w:rPr>
                <w:b/>
              </w:rPr>
              <w:t>apitel 1, 4 og 5</w:t>
            </w:r>
          </w:p>
          <w:p w14:paraId="532D65EB" w14:textId="4F0FFA61" w:rsidR="00B16983" w:rsidRDefault="00B16983" w:rsidP="00B16983">
            <w:r w:rsidRPr="00B16983">
              <w:t xml:space="preserve">For virksomheder og </w:t>
            </w:r>
            <w:r w:rsidRPr="004C4319">
              <w:t>husdyrbrug m.v.,</w:t>
            </w:r>
            <w:r w:rsidRPr="00B16983">
              <w:t xml:space="preserve"> som ikke er omfatte</w:t>
            </w:r>
            <w:r>
              <w:t xml:space="preserve">t </w:t>
            </w:r>
            <w:r w:rsidR="00FD4159">
              <w:t xml:space="preserve">af </w:t>
            </w:r>
            <w:r>
              <w:t xml:space="preserve">kravet om regelmæssige tilsyn, </w:t>
            </w:r>
            <w:r w:rsidRPr="00B16983">
              <w:t xml:space="preserve">skal du afgive og offentliggøre visse oplysninger, som </w:t>
            </w:r>
            <w:r w:rsidR="006C2FE0">
              <w:t xml:space="preserve">er </w:t>
            </w:r>
            <w:r w:rsidRPr="00B16983">
              <w:t xml:space="preserve">nærmere beskrevet i bekendtgørelsens kapitel 4. Du kan læse om, hvilke oplysninger, der skal afgives, og hvilke oplysninger, der skal offentliggøres i </w:t>
            </w:r>
            <w:r w:rsidR="00F42291">
              <w:t>afsnittet</w:t>
            </w:r>
            <w:r w:rsidR="00F42291" w:rsidRPr="00B16983">
              <w:t xml:space="preserve"> </w:t>
            </w:r>
            <w:r w:rsidRPr="00FA490A">
              <w:rPr>
                <w:color w:val="00B050"/>
              </w:rPr>
              <w:t>”Afgivelse og offentliggørelse af oplysninger” (3.5)</w:t>
            </w:r>
            <w:r w:rsidRPr="00B16983">
              <w:t>.</w:t>
            </w:r>
            <w:r>
              <w:t xml:space="preserve"> Du skal endvidere være opmærksom på, at bekendtgørelsens kapitel 5 indeholder en række overgangsbestemmelser, som forsat kan være relevante. </w:t>
            </w:r>
          </w:p>
          <w:p w14:paraId="24F5AB15" w14:textId="5345AF3F" w:rsidR="000235D5" w:rsidRDefault="000235D5" w:rsidP="00B16983"/>
          <w:p w14:paraId="596B47D7" w14:textId="6A56E2B2" w:rsidR="000235D5" w:rsidRPr="007A1B15" w:rsidRDefault="000235D5" w:rsidP="000235D5">
            <w:pPr>
              <w:rPr>
                <w:b/>
              </w:rPr>
            </w:pPr>
            <w:r w:rsidRPr="007A1B15">
              <w:rPr>
                <w:b/>
              </w:rPr>
              <w:t>Den almindelige tilsynspligt</w:t>
            </w:r>
          </w:p>
          <w:p w14:paraId="41F524ED" w14:textId="033C7459" w:rsidR="00B16983" w:rsidRPr="00476E6C" w:rsidRDefault="000235D5" w:rsidP="00B16983">
            <w:r>
              <w:t>S</w:t>
            </w:r>
            <w:r w:rsidRPr="007A159F">
              <w:t xml:space="preserve">elvom en virksomhed eller </w:t>
            </w:r>
            <w:r>
              <w:t>et husdyrbrug m.v.</w:t>
            </w:r>
            <w:r w:rsidRPr="007A159F">
              <w:t xml:space="preserve"> ikke er omfattet af miljøtilsynsbekendtgørelsens krav om</w:t>
            </w:r>
            <w:r>
              <w:t xml:space="preserve"> regelmæssige tilsyn, </w:t>
            </w:r>
            <w:r w:rsidR="00D538BD">
              <w:t>har</w:t>
            </w:r>
            <w:r>
              <w:t xml:space="preserve"> du som tilsynsmyndighed</w:t>
            </w:r>
            <w:r w:rsidR="00D538BD">
              <w:t xml:space="preserve"> </w:t>
            </w:r>
            <w:r w:rsidR="00D538BD" w:rsidRPr="007A159F">
              <w:t xml:space="preserve">en almindelig tilsynspligt i forhold til overholdelse af </w:t>
            </w:r>
            <w:r w:rsidR="00D538BD" w:rsidRPr="00476E6C">
              <w:rPr>
                <w:color w:val="00B050"/>
              </w:rPr>
              <w:t>miljøbeskyttelsesloven</w:t>
            </w:r>
            <w:r w:rsidR="00D538BD" w:rsidRPr="007A159F">
              <w:t xml:space="preserve"> og </w:t>
            </w:r>
            <w:proofErr w:type="spellStart"/>
            <w:r w:rsidR="00D538BD" w:rsidRPr="00476E6C">
              <w:rPr>
                <w:color w:val="00B050"/>
              </w:rPr>
              <w:t>husdyrbrugloven</w:t>
            </w:r>
            <w:proofErr w:type="spellEnd"/>
            <w:r w:rsidR="00D538BD" w:rsidRPr="007A159F">
              <w:t xml:space="preserve"> </w:t>
            </w:r>
            <w:r w:rsidR="00D538BD">
              <w:t>samt</w:t>
            </w:r>
            <w:r w:rsidR="00D538BD" w:rsidRPr="007A159F">
              <w:t xml:space="preserve"> de regler, der er fastsat med hjemmel i lovene</w:t>
            </w:r>
            <w:r>
              <w:t>, j</w:t>
            </w:r>
            <w:r w:rsidR="00B16983" w:rsidRPr="007A159F">
              <w:t xml:space="preserve">f. </w:t>
            </w:r>
            <w:r w:rsidR="00B16983" w:rsidRPr="00476E6C">
              <w:t xml:space="preserve">miljøbeskyttelseslovens § 65, stk. 1, og § 66, stk. 2, og </w:t>
            </w:r>
            <w:proofErr w:type="spellStart"/>
            <w:r w:rsidR="00B16983" w:rsidRPr="00476E6C">
              <w:t>husdyrbruglovens</w:t>
            </w:r>
            <w:proofErr w:type="spellEnd"/>
            <w:r w:rsidR="00B16983" w:rsidRPr="00476E6C">
              <w:t xml:space="preserve"> § 44, stk. 1</w:t>
            </w:r>
            <w:r w:rsidR="00D538BD" w:rsidRPr="00476E6C">
              <w:t>.</w:t>
            </w:r>
          </w:p>
          <w:p w14:paraId="74966DBD" w14:textId="77777777" w:rsidR="00B16983" w:rsidRPr="007A159F" w:rsidRDefault="00B16983" w:rsidP="00B16983"/>
          <w:p w14:paraId="49FCDD1A" w14:textId="5114517E" w:rsidR="00B16983" w:rsidRDefault="00D538BD" w:rsidP="00B16983">
            <w:r>
              <w:t>D</w:t>
            </w:r>
            <w:r w:rsidR="00B16983" w:rsidRPr="007A159F">
              <w:t xml:space="preserve">u </w:t>
            </w:r>
            <w:r>
              <w:t xml:space="preserve">er </w:t>
            </w:r>
            <w:r w:rsidR="00B16983" w:rsidRPr="007A159F">
              <w:t xml:space="preserve">endvidere forpligtet til at føre tilsyn med at påbud og forbud efterkommes, </w:t>
            </w:r>
            <w:r w:rsidR="00B16983" w:rsidRPr="00476E6C">
              <w:t>og at vilkår i tilladelser overholdes.</w:t>
            </w:r>
            <w:r w:rsidR="00B16983" w:rsidRPr="007A159F">
              <w:t xml:space="preserve"> Der er tale </w:t>
            </w:r>
            <w:r w:rsidR="00B16983" w:rsidRPr="00476E6C">
              <w:t xml:space="preserve">om en pligt til at føre et aktivt tilsyn, så det kan konstateres, om </w:t>
            </w:r>
            <w:r w:rsidRPr="00476E6C">
              <w:t xml:space="preserve">virksomheden eller husdyrbruget m.v. overholder </w:t>
            </w:r>
            <w:r w:rsidR="00B16983" w:rsidRPr="00476E6C">
              <w:t>loven og de administrativt fastsatte regler</w:t>
            </w:r>
            <w:r w:rsidR="0071350E" w:rsidRPr="00476E6C">
              <w:t>,</w:t>
            </w:r>
            <w:r w:rsidR="00476E6C">
              <w:t xml:space="preserve"> </w:t>
            </w:r>
            <w:r w:rsidR="00B16983" w:rsidRPr="00476E6C">
              <w:t xml:space="preserve">tilladelser og påbud. Ligeledes har du pligt til at gennemføre de nødvendige håndhævelser jf. </w:t>
            </w:r>
            <w:r w:rsidR="00B16983" w:rsidRPr="00476E6C">
              <w:rPr>
                <w:color w:val="00B050"/>
              </w:rPr>
              <w:t>miljøbeskyttelseslovens</w:t>
            </w:r>
            <w:r w:rsidR="00B16983" w:rsidRPr="00476E6C">
              <w:t xml:space="preserve"> §§ 68-70 og </w:t>
            </w:r>
            <w:proofErr w:type="spellStart"/>
            <w:r w:rsidR="00B16983" w:rsidRPr="00476E6C">
              <w:t>husdyrbruglovens</w:t>
            </w:r>
            <w:proofErr w:type="spellEnd"/>
            <w:r w:rsidR="00B16983" w:rsidRPr="00476E6C">
              <w:t xml:space="preserve"> §§ 46</w:t>
            </w:r>
            <w:r w:rsidR="00B16983" w:rsidRPr="007A159F">
              <w:t xml:space="preserve">-48. </w:t>
            </w:r>
          </w:p>
          <w:p w14:paraId="1FBCE0AC" w14:textId="07A979E3" w:rsidR="00B16983" w:rsidRDefault="00B16983" w:rsidP="00B16983"/>
          <w:tbl>
            <w:tblPr>
              <w:tblStyle w:val="Tabel-Gitter"/>
              <w:tblW w:w="0" w:type="auto"/>
              <w:tblInd w:w="306" w:type="dxa"/>
              <w:tblLook w:val="04A0" w:firstRow="1" w:lastRow="0" w:firstColumn="1" w:lastColumn="0" w:noHBand="0" w:noVBand="1"/>
            </w:tblPr>
            <w:tblGrid>
              <w:gridCol w:w="8646"/>
            </w:tblGrid>
            <w:tr w:rsidR="00F36D89" w14:paraId="4B48AC96" w14:textId="77777777" w:rsidTr="00F36D89">
              <w:tc>
                <w:tcPr>
                  <w:tcW w:w="8646" w:type="dxa"/>
                </w:tcPr>
                <w:p w14:paraId="07977E5B" w14:textId="472D3A4E" w:rsidR="00025B04" w:rsidRPr="007A1B15" w:rsidRDefault="00025B04" w:rsidP="00F36D89">
                  <w:pPr>
                    <w:rPr>
                      <w:b/>
                      <w:sz w:val="18"/>
                      <w:szCs w:val="18"/>
                    </w:rPr>
                  </w:pPr>
                  <w:proofErr w:type="spellStart"/>
                  <w:r w:rsidRPr="007A1B15">
                    <w:rPr>
                      <w:b/>
                      <w:sz w:val="18"/>
                      <w:szCs w:val="18"/>
                    </w:rPr>
                    <w:t>Faktaboks</w:t>
                  </w:r>
                  <w:proofErr w:type="spellEnd"/>
                </w:p>
                <w:p w14:paraId="3C6E35AE" w14:textId="6A3244CC" w:rsidR="00F36D89" w:rsidRPr="007A1B15" w:rsidRDefault="00D538BD" w:rsidP="00F36D89">
                  <w:pPr>
                    <w:rPr>
                      <w:i/>
                      <w:sz w:val="18"/>
                      <w:szCs w:val="18"/>
                    </w:rPr>
                  </w:pPr>
                  <w:r w:rsidRPr="007A1B15">
                    <w:rPr>
                      <w:i/>
                      <w:sz w:val="18"/>
                      <w:szCs w:val="18"/>
                    </w:rPr>
                    <w:t>E</w:t>
                  </w:r>
                  <w:r w:rsidR="00F36D89" w:rsidRPr="007A1B15">
                    <w:rPr>
                      <w:i/>
                      <w:sz w:val="18"/>
                      <w:szCs w:val="18"/>
                    </w:rPr>
                    <w:t>t aktivt tilsyn</w:t>
                  </w:r>
                </w:p>
                <w:p w14:paraId="16567F5E" w14:textId="77777777" w:rsidR="007A1B15" w:rsidRPr="007A1B15" w:rsidRDefault="007A1B15" w:rsidP="00F36D89">
                  <w:pPr>
                    <w:rPr>
                      <w:sz w:val="18"/>
                      <w:szCs w:val="18"/>
                    </w:rPr>
                  </w:pPr>
                </w:p>
                <w:p w14:paraId="49313805" w14:textId="00AD605D" w:rsidR="00F36D89" w:rsidRPr="007A1B15" w:rsidRDefault="00D538BD" w:rsidP="00F36D89">
                  <w:pPr>
                    <w:rPr>
                      <w:sz w:val="18"/>
                      <w:szCs w:val="18"/>
                    </w:rPr>
                  </w:pPr>
                  <w:r w:rsidRPr="007A1B15">
                    <w:rPr>
                      <w:sz w:val="18"/>
                      <w:szCs w:val="18"/>
                    </w:rPr>
                    <w:t>E</w:t>
                  </w:r>
                  <w:r w:rsidR="00F36D89" w:rsidRPr="007A1B15">
                    <w:rPr>
                      <w:sz w:val="18"/>
                      <w:szCs w:val="18"/>
                    </w:rPr>
                    <w:t>t aktivt tilsyn beror på en konkret vurdering af, hvad der i hvert enkelt tilfælde er nødvendigt for at sikre en effektiv kontrol med lovenes overholdelse. Ved et aktiv</w:t>
                  </w:r>
                  <w:r w:rsidR="000A0962" w:rsidRPr="007A1B15">
                    <w:rPr>
                      <w:sz w:val="18"/>
                      <w:szCs w:val="18"/>
                    </w:rPr>
                    <w:t>t</w:t>
                  </w:r>
                  <w:r w:rsidR="00F36D89" w:rsidRPr="007A1B15">
                    <w:rPr>
                      <w:sz w:val="18"/>
                      <w:szCs w:val="18"/>
                    </w:rPr>
                    <w:t xml:space="preserve"> tilsyn skal du sikre:</w:t>
                  </w:r>
                </w:p>
                <w:p w14:paraId="003EF03C" w14:textId="77777777" w:rsidR="00F36D89" w:rsidRPr="007A1B15" w:rsidRDefault="00F36D89" w:rsidP="00F36D89">
                  <w:pPr>
                    <w:pStyle w:val="Listeafsnit"/>
                    <w:numPr>
                      <w:ilvl w:val="0"/>
                      <w:numId w:val="20"/>
                    </w:numPr>
                    <w:rPr>
                      <w:sz w:val="18"/>
                      <w:szCs w:val="18"/>
                    </w:rPr>
                  </w:pPr>
                  <w:r w:rsidRPr="007A1B15">
                    <w:rPr>
                      <w:sz w:val="18"/>
                      <w:szCs w:val="18"/>
                    </w:rPr>
                    <w:t>at forurening fra virksomheden eller husdyrbruget m.v., der ikke er reguleret af tilladelser, godkendelser eller påbud ikke giver anledning til uønskede miljøeffekter eller risiko herfor,</w:t>
                  </w:r>
                </w:p>
                <w:p w14:paraId="0992EE2A" w14:textId="77777777" w:rsidR="00F36D89" w:rsidRPr="007A1B15" w:rsidRDefault="00F36D89" w:rsidP="00F36D89">
                  <w:pPr>
                    <w:pStyle w:val="Listeafsnit"/>
                    <w:numPr>
                      <w:ilvl w:val="0"/>
                      <w:numId w:val="20"/>
                    </w:numPr>
                    <w:rPr>
                      <w:sz w:val="18"/>
                      <w:szCs w:val="18"/>
                    </w:rPr>
                  </w:pPr>
                  <w:r w:rsidRPr="007A1B15">
                    <w:rPr>
                      <w:sz w:val="18"/>
                      <w:szCs w:val="18"/>
                    </w:rPr>
                    <w:t xml:space="preserve">at fornødne tilladelser og godkendelser foreligger som forudsat i </w:t>
                  </w:r>
                  <w:r w:rsidRPr="007A1B15">
                    <w:rPr>
                      <w:color w:val="00B050"/>
                      <w:sz w:val="18"/>
                      <w:szCs w:val="18"/>
                    </w:rPr>
                    <w:t>miljøbeskyttelsesloven</w:t>
                  </w:r>
                  <w:r w:rsidRPr="007A1B15">
                    <w:rPr>
                      <w:sz w:val="18"/>
                      <w:szCs w:val="18"/>
                    </w:rPr>
                    <w:t xml:space="preserve"> og </w:t>
                  </w:r>
                  <w:proofErr w:type="spellStart"/>
                  <w:r w:rsidRPr="007A1B15">
                    <w:rPr>
                      <w:color w:val="00B050"/>
                      <w:sz w:val="18"/>
                      <w:szCs w:val="18"/>
                    </w:rPr>
                    <w:t>husdyrbrugloven</w:t>
                  </w:r>
                  <w:proofErr w:type="spellEnd"/>
                  <w:r w:rsidRPr="007A1B15">
                    <w:rPr>
                      <w:sz w:val="18"/>
                      <w:szCs w:val="18"/>
                    </w:rPr>
                    <w:t>,</w:t>
                  </w:r>
                </w:p>
                <w:p w14:paraId="64C775DB" w14:textId="77777777" w:rsidR="00F36D89" w:rsidRPr="007A1B15" w:rsidRDefault="00F36D89" w:rsidP="00F36D89">
                  <w:pPr>
                    <w:pStyle w:val="Listeafsnit"/>
                    <w:numPr>
                      <w:ilvl w:val="0"/>
                      <w:numId w:val="20"/>
                    </w:numPr>
                    <w:rPr>
                      <w:sz w:val="18"/>
                      <w:szCs w:val="18"/>
                    </w:rPr>
                  </w:pPr>
                  <w:r w:rsidRPr="007A1B15">
                    <w:rPr>
                      <w:sz w:val="18"/>
                      <w:szCs w:val="18"/>
                    </w:rPr>
                    <w:t>at meddelte tilladelser og godkendelser overholdes,</w:t>
                  </w:r>
                </w:p>
                <w:p w14:paraId="53014E68" w14:textId="77777777" w:rsidR="00F36D89" w:rsidRPr="007A1B15" w:rsidRDefault="00F36D89" w:rsidP="00F36D89">
                  <w:pPr>
                    <w:pStyle w:val="Listeafsnit"/>
                    <w:numPr>
                      <w:ilvl w:val="0"/>
                      <w:numId w:val="20"/>
                    </w:numPr>
                    <w:rPr>
                      <w:sz w:val="18"/>
                      <w:szCs w:val="18"/>
                    </w:rPr>
                  </w:pPr>
                  <w:r w:rsidRPr="007A1B15">
                    <w:rPr>
                      <w:sz w:val="18"/>
                      <w:szCs w:val="18"/>
                    </w:rPr>
                    <w:t xml:space="preserve">at relevante sager om forurening kommer i behandling og afgøres efter </w:t>
                  </w:r>
                  <w:r w:rsidRPr="007A1B15">
                    <w:rPr>
                      <w:color w:val="00B050"/>
                      <w:sz w:val="18"/>
                      <w:szCs w:val="18"/>
                    </w:rPr>
                    <w:t xml:space="preserve">miljøbeskyttelseslovens og </w:t>
                  </w:r>
                  <w:proofErr w:type="spellStart"/>
                  <w:r w:rsidRPr="007A1B15">
                    <w:rPr>
                      <w:color w:val="00B050"/>
                      <w:sz w:val="18"/>
                      <w:szCs w:val="18"/>
                    </w:rPr>
                    <w:t>husdyrbruglovens</w:t>
                  </w:r>
                  <w:proofErr w:type="spellEnd"/>
                  <w:r w:rsidRPr="007A1B15">
                    <w:rPr>
                      <w:color w:val="00B050"/>
                      <w:sz w:val="18"/>
                      <w:szCs w:val="18"/>
                    </w:rPr>
                    <w:t xml:space="preserve"> </w:t>
                  </w:r>
                  <w:r w:rsidRPr="007A1B15">
                    <w:rPr>
                      <w:sz w:val="18"/>
                      <w:szCs w:val="18"/>
                    </w:rPr>
                    <w:t xml:space="preserve">regler herom. </w:t>
                  </w:r>
                </w:p>
                <w:p w14:paraId="7429BFFF" w14:textId="77777777" w:rsidR="00F36D89" w:rsidRPr="007A1B15" w:rsidRDefault="00F36D89" w:rsidP="00F36D89">
                  <w:pPr>
                    <w:rPr>
                      <w:sz w:val="18"/>
                      <w:szCs w:val="18"/>
                    </w:rPr>
                  </w:pPr>
                </w:p>
                <w:p w14:paraId="00B7A023" w14:textId="4B5330DD" w:rsidR="00F36D89" w:rsidRPr="007A1B15" w:rsidRDefault="00F36D89" w:rsidP="00F36D89">
                  <w:pPr>
                    <w:rPr>
                      <w:sz w:val="18"/>
                      <w:szCs w:val="18"/>
                    </w:rPr>
                  </w:pPr>
                  <w:r w:rsidRPr="007A1B15">
                    <w:rPr>
                      <w:sz w:val="18"/>
                      <w:szCs w:val="18"/>
                    </w:rPr>
                    <w:t>Tilsyn</w:t>
                  </w:r>
                  <w:r w:rsidR="00D538BD" w:rsidRPr="007A1B15">
                    <w:rPr>
                      <w:sz w:val="18"/>
                      <w:szCs w:val="18"/>
                    </w:rPr>
                    <w:t xml:space="preserve"> </w:t>
                  </w:r>
                  <w:r w:rsidRPr="007A1B15">
                    <w:rPr>
                      <w:sz w:val="18"/>
                      <w:szCs w:val="18"/>
                    </w:rPr>
                    <w:t xml:space="preserve">skal </w:t>
                  </w:r>
                  <w:r w:rsidR="00D538BD" w:rsidRPr="007A1B15">
                    <w:rPr>
                      <w:sz w:val="18"/>
                      <w:szCs w:val="18"/>
                    </w:rPr>
                    <w:t xml:space="preserve">desuden </w:t>
                  </w:r>
                  <w:r w:rsidRPr="007A1B15">
                    <w:rPr>
                      <w:sz w:val="18"/>
                      <w:szCs w:val="18"/>
                    </w:rPr>
                    <w:t xml:space="preserve">være opsøgende – det er ikke tilstrækkeligt alene at reagere på klager. </w:t>
                  </w:r>
                  <w:r w:rsidR="00D538BD" w:rsidRPr="007A1B15">
                    <w:rPr>
                      <w:sz w:val="18"/>
                      <w:szCs w:val="18"/>
                    </w:rPr>
                    <w:t xml:space="preserve">Du </w:t>
                  </w:r>
                  <w:r w:rsidRPr="007A1B15">
                    <w:rPr>
                      <w:sz w:val="18"/>
                      <w:szCs w:val="18"/>
                    </w:rPr>
                    <w:t xml:space="preserve">skal </w:t>
                  </w:r>
                  <w:r w:rsidRPr="007A1B15">
                    <w:rPr>
                      <w:i/>
                      <w:sz w:val="18"/>
                      <w:szCs w:val="18"/>
                    </w:rPr>
                    <w:t>under alle omstændigheder</w:t>
                  </w:r>
                  <w:r w:rsidRPr="007A1B15">
                    <w:rPr>
                      <w:sz w:val="18"/>
                      <w:szCs w:val="18"/>
                    </w:rPr>
                    <w:t xml:space="preserve"> foretage tilsyn:</w:t>
                  </w:r>
                </w:p>
                <w:p w14:paraId="1F8713FE" w14:textId="138735F4" w:rsidR="00F36D89" w:rsidRPr="007A1B15" w:rsidRDefault="00F36D89" w:rsidP="00F36D89">
                  <w:pPr>
                    <w:pStyle w:val="Opstilling-punkttegn"/>
                    <w:rPr>
                      <w:sz w:val="18"/>
                      <w:szCs w:val="18"/>
                    </w:rPr>
                  </w:pPr>
                  <w:r w:rsidRPr="007A1B15">
                    <w:rPr>
                      <w:sz w:val="18"/>
                      <w:szCs w:val="18"/>
                    </w:rPr>
                    <w:t xml:space="preserve">når indholdet af en afgørelse – </w:t>
                  </w:r>
                  <w:r w:rsidR="00025B04" w:rsidRPr="007A1B15">
                    <w:rPr>
                      <w:sz w:val="18"/>
                      <w:szCs w:val="18"/>
                    </w:rPr>
                    <w:t>fx</w:t>
                  </w:r>
                  <w:r w:rsidRPr="007A1B15">
                    <w:rPr>
                      <w:sz w:val="18"/>
                      <w:szCs w:val="18"/>
                    </w:rPr>
                    <w:t xml:space="preserve"> et påbud eller forbud – indicerer et behov herfor</w:t>
                  </w:r>
                </w:p>
                <w:p w14:paraId="1C16B05F" w14:textId="77777777" w:rsidR="00F36D89" w:rsidRPr="007A1B15" w:rsidRDefault="00F36D89" w:rsidP="00F36D89">
                  <w:pPr>
                    <w:pStyle w:val="Opstilling-punkttegn"/>
                    <w:rPr>
                      <w:sz w:val="18"/>
                      <w:szCs w:val="18"/>
                    </w:rPr>
                  </w:pPr>
                  <w:r w:rsidRPr="007A1B15">
                    <w:rPr>
                      <w:sz w:val="18"/>
                      <w:szCs w:val="18"/>
                    </w:rPr>
                    <w:t>når der modtages klager eller anmeldelser, som ikke er åbenbart grundløse eller bagatelagtig</w:t>
                  </w:r>
                </w:p>
                <w:p w14:paraId="246D2DB3" w14:textId="77777777" w:rsidR="00F36D89" w:rsidRPr="007A1B15" w:rsidRDefault="00F36D89" w:rsidP="00F36D89">
                  <w:pPr>
                    <w:pStyle w:val="Opstilling-punkttegn"/>
                    <w:rPr>
                      <w:sz w:val="18"/>
                      <w:szCs w:val="18"/>
                    </w:rPr>
                  </w:pPr>
                  <w:r w:rsidRPr="007A1B15">
                    <w:rPr>
                      <w:sz w:val="18"/>
                      <w:szCs w:val="18"/>
                    </w:rPr>
                    <w:t>når der foreligger en konkret begrundet mistanke om ulovlig adfærd</w:t>
                  </w:r>
                </w:p>
                <w:p w14:paraId="659975CA" w14:textId="13865B67" w:rsidR="00025B04" w:rsidRDefault="00025B04" w:rsidP="00476E6C">
                  <w:pPr>
                    <w:pStyle w:val="Opstilling-punkttegn"/>
                    <w:numPr>
                      <w:ilvl w:val="0"/>
                      <w:numId w:val="0"/>
                    </w:numPr>
                    <w:ind w:left="360"/>
                  </w:pPr>
                </w:p>
              </w:tc>
            </w:tr>
          </w:tbl>
          <w:p w14:paraId="2CF3E7DE" w14:textId="77777777" w:rsidR="00F36D89" w:rsidRPr="007A1B15" w:rsidRDefault="00F36D89" w:rsidP="00B16983"/>
          <w:p w14:paraId="6A047C04" w14:textId="6AD88EC6" w:rsidR="000235D5" w:rsidRPr="007A1B15" w:rsidRDefault="000235D5" w:rsidP="00B16983">
            <w:pPr>
              <w:rPr>
                <w:b/>
              </w:rPr>
            </w:pPr>
            <w:r w:rsidRPr="007A1B15">
              <w:rPr>
                <w:b/>
              </w:rPr>
              <w:t>Krav i henhold til husdyrgødningsbekendtgørelsen</w:t>
            </w:r>
          </w:p>
          <w:p w14:paraId="72FA39AF" w14:textId="0C434D41" w:rsidR="0026620E" w:rsidRDefault="0026620E" w:rsidP="00B16983">
            <w:r>
              <w:t>Du skal være opmærksom på visse krav</w:t>
            </w:r>
            <w:r w:rsidR="00025B04">
              <w:t>, når du</w:t>
            </w:r>
            <w:r>
              <w:t xml:space="preserve"> tilrettelægge</w:t>
            </w:r>
            <w:r w:rsidR="007C1436">
              <w:t>r</w:t>
            </w:r>
            <w:r>
              <w:t xml:space="preserve"> tilsyn </w:t>
            </w:r>
            <w:r w:rsidR="007C1436">
              <w:t>med</w:t>
            </w:r>
            <w:r w:rsidRPr="007A159F" w:rsidDel="0026620E">
              <w:t xml:space="preserve"> </w:t>
            </w:r>
            <w:r w:rsidR="00B16983" w:rsidRPr="007A159F">
              <w:t xml:space="preserve">ejendomme, </w:t>
            </w:r>
            <w:r w:rsidR="00636377">
              <w:t xml:space="preserve">der er </w:t>
            </w:r>
            <w:r w:rsidR="00B16983" w:rsidRPr="007A159F">
              <w:t xml:space="preserve">omfattet af </w:t>
            </w:r>
            <w:r w:rsidR="00B16983" w:rsidRPr="00DD34F7">
              <w:rPr>
                <w:color w:val="00B050"/>
              </w:rPr>
              <w:t xml:space="preserve">bekendtgørelse om miljøregulering af dyrehold og om opbevaring og anvendelse af gødning (husdyrgødningsbekendtgørelsen). </w:t>
            </w:r>
            <w:r w:rsidR="00B16983">
              <w:t xml:space="preserve">Ifølge </w:t>
            </w:r>
            <w:r w:rsidR="00B16983" w:rsidRPr="00DD34F7">
              <w:rPr>
                <w:color w:val="00B050"/>
              </w:rPr>
              <w:t>husdyrgødningsbekendtgørelsens</w:t>
            </w:r>
            <w:r w:rsidR="00B16983">
              <w:t xml:space="preserve"> § 53, stk. 2, skal kommunen mindst </w:t>
            </w:r>
            <w:r w:rsidR="00B16983" w:rsidRPr="00C92F03">
              <w:t xml:space="preserve">hvert 6. år påse, at reglerne i </w:t>
            </w:r>
            <w:r w:rsidR="00B16983" w:rsidRPr="00DD34F7">
              <w:rPr>
                <w:color w:val="00B050"/>
              </w:rPr>
              <w:t>husdyrgødningsbekendtgørelsens</w:t>
            </w:r>
            <w:r w:rsidR="00B16983">
              <w:t xml:space="preserve"> </w:t>
            </w:r>
            <w:r w:rsidR="00B16983" w:rsidRPr="00C92F03">
              <w:t xml:space="preserve">kapitel 6 </w:t>
            </w:r>
            <w:r w:rsidR="00B16983" w:rsidRPr="00C92F03">
              <w:lastRenderedPageBreak/>
              <w:t>om opbevaring af fast husdyrgødning og bundfald overholdes på ejendomme, der ikke er omfattet af krav om regelmæssigt tilsyn</w:t>
            </w:r>
            <w:r>
              <w:t>.</w:t>
            </w:r>
          </w:p>
          <w:p w14:paraId="33693142" w14:textId="77777777" w:rsidR="00F36D89" w:rsidRDefault="00F36D89" w:rsidP="00B16983"/>
          <w:p w14:paraId="59A9ADD6" w14:textId="10DE18C6" w:rsidR="00B16983" w:rsidRPr="00C92F03" w:rsidRDefault="00B16983" w:rsidP="00B16983">
            <w:r>
              <w:t xml:space="preserve">Du kan læse mere om tilsyn efter husdyrgødningsbekendtgørelsen i Husdyrvejledningen: </w:t>
            </w:r>
            <w:hyperlink r:id="rId11" w:history="1">
              <w:r w:rsidRPr="007853A3">
                <w:rPr>
                  <w:rStyle w:val="Hyperlink"/>
                </w:rPr>
                <w:t>https://husdyrvejledning.mst.dk/vejledning-til-bekendtgoerelserne/husdyrgoednings-bekendtgoerelsen/14-administrative-bestemmelser/</w:t>
              </w:r>
            </w:hyperlink>
          </w:p>
          <w:p w14:paraId="45A497E9" w14:textId="712328B4" w:rsidR="00B16983" w:rsidRPr="00E84258" w:rsidRDefault="00B16983" w:rsidP="000235D5"/>
        </w:tc>
      </w:tr>
    </w:tbl>
    <w:p w14:paraId="477446EE" w14:textId="52D20029" w:rsidR="004008DD" w:rsidRDefault="004008DD" w:rsidP="002534E3"/>
    <w:p w14:paraId="5D5D192F" w14:textId="579BF651" w:rsidR="00E84258" w:rsidRDefault="00E84258" w:rsidP="002534E3"/>
    <w:p w14:paraId="15455DE4" w14:textId="212FACDA" w:rsidR="00E84258" w:rsidRDefault="00E84258" w:rsidP="002534E3"/>
    <w:p w14:paraId="3D06E370" w14:textId="4C501B06" w:rsidR="00E84258" w:rsidRDefault="00E84258" w:rsidP="002534E3"/>
    <w:p w14:paraId="38299F21" w14:textId="2FCA88AF" w:rsidR="00E84258" w:rsidRDefault="00E84258" w:rsidP="002534E3"/>
    <w:p w14:paraId="6A347E32" w14:textId="77777777" w:rsidR="00E1298C" w:rsidRDefault="00E1298C" w:rsidP="002534E3"/>
    <w:p w14:paraId="7ADA4111" w14:textId="77777777" w:rsidR="00E1298C" w:rsidRDefault="00E1298C" w:rsidP="002534E3"/>
    <w:p w14:paraId="21FF2183" w14:textId="77777777" w:rsidR="00E1298C" w:rsidRDefault="00E1298C" w:rsidP="002534E3"/>
    <w:p w14:paraId="53B56DA3" w14:textId="77777777" w:rsidR="00E1298C" w:rsidRDefault="00E1298C" w:rsidP="002534E3"/>
    <w:p w14:paraId="723BF841" w14:textId="77777777" w:rsidR="00E1298C" w:rsidRDefault="00E1298C" w:rsidP="002534E3"/>
    <w:p w14:paraId="01AFC0FD" w14:textId="77777777" w:rsidR="00E1298C" w:rsidRDefault="00E1298C" w:rsidP="002534E3"/>
    <w:p w14:paraId="4E8B68A0" w14:textId="77777777" w:rsidR="00E1298C" w:rsidRDefault="00E1298C" w:rsidP="002534E3"/>
    <w:sectPr w:rsidR="00E1298C">
      <w:headerReference w:type="even" r:id="rId12"/>
      <w:headerReference w:type="default" r:id="rId13"/>
      <w:footerReference w:type="default" r:id="rId14"/>
      <w:head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411E7" w14:textId="77777777" w:rsidR="00E16478" w:rsidRDefault="00E16478" w:rsidP="002534E3">
      <w:r>
        <w:separator/>
      </w:r>
    </w:p>
  </w:endnote>
  <w:endnote w:type="continuationSeparator" w:id="0">
    <w:p w14:paraId="432372FA" w14:textId="77777777" w:rsidR="00E16478" w:rsidRDefault="00E16478" w:rsidP="002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741332"/>
      <w:docPartObj>
        <w:docPartGallery w:val="Page Numbers (Bottom of Page)"/>
        <w:docPartUnique/>
      </w:docPartObj>
    </w:sdtPr>
    <w:sdtEndPr>
      <w:rPr>
        <w:sz w:val="18"/>
        <w:szCs w:val="18"/>
      </w:rPr>
    </w:sdtEndPr>
    <w:sdtContent>
      <w:p w14:paraId="6B12E87B" w14:textId="6675A1B2" w:rsidR="00614B93" w:rsidRPr="00614B93" w:rsidRDefault="00614B93">
        <w:pPr>
          <w:pStyle w:val="Sidefod"/>
          <w:jc w:val="center"/>
          <w:rPr>
            <w:sz w:val="18"/>
            <w:szCs w:val="18"/>
          </w:rPr>
        </w:pPr>
        <w:r w:rsidRPr="00614B93">
          <w:rPr>
            <w:sz w:val="18"/>
            <w:szCs w:val="18"/>
          </w:rPr>
          <w:fldChar w:fldCharType="begin"/>
        </w:r>
        <w:r w:rsidRPr="00614B93">
          <w:rPr>
            <w:sz w:val="18"/>
            <w:szCs w:val="18"/>
          </w:rPr>
          <w:instrText>PAGE   \* MERGEFORMAT</w:instrText>
        </w:r>
        <w:r w:rsidRPr="00614B93">
          <w:rPr>
            <w:sz w:val="18"/>
            <w:szCs w:val="18"/>
          </w:rPr>
          <w:fldChar w:fldCharType="separate"/>
        </w:r>
        <w:r w:rsidR="00D81398">
          <w:rPr>
            <w:noProof/>
            <w:sz w:val="18"/>
            <w:szCs w:val="18"/>
          </w:rPr>
          <w:t>14</w:t>
        </w:r>
        <w:r w:rsidRPr="00614B93">
          <w:rPr>
            <w:sz w:val="18"/>
            <w:szCs w:val="18"/>
          </w:rPr>
          <w:fldChar w:fldCharType="end"/>
        </w:r>
      </w:p>
    </w:sdtContent>
  </w:sdt>
  <w:p w14:paraId="5CA5F26B" w14:textId="77777777" w:rsidR="00740C57" w:rsidRDefault="00740C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10AF7" w14:textId="77777777" w:rsidR="00E16478" w:rsidRDefault="00E16478" w:rsidP="002534E3">
      <w:r>
        <w:separator/>
      </w:r>
    </w:p>
  </w:footnote>
  <w:footnote w:type="continuationSeparator" w:id="0">
    <w:p w14:paraId="411F87E9" w14:textId="77777777" w:rsidR="00E16478" w:rsidRDefault="00E16478" w:rsidP="0025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09C99" w14:textId="0D9314E3" w:rsidR="00740C57" w:rsidRDefault="00D81398">
    <w:pPr>
      <w:pStyle w:val="Sidehoved"/>
    </w:pPr>
    <w:r>
      <w:rPr>
        <w:noProof/>
      </w:rPr>
      <w:pict w14:anchorId="5EB14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23016" o:spid="_x0000_s2051"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F780" w14:textId="0FBBAFCB" w:rsidR="00740C57" w:rsidRDefault="00D81398">
    <w:pPr>
      <w:pStyle w:val="Sidehoved"/>
    </w:pPr>
    <w:r>
      <w:rPr>
        <w:noProof/>
      </w:rPr>
      <w:pict w14:anchorId="2243A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23017" o:spid="_x0000_s2050"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6591" w14:textId="71935666" w:rsidR="00740C57" w:rsidRDefault="00D81398">
    <w:pPr>
      <w:pStyle w:val="Sidehoved"/>
    </w:pPr>
    <w:r>
      <w:rPr>
        <w:noProof/>
      </w:rPr>
      <w:pict w14:anchorId="0DFF1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23015" o:spid="_x0000_s2049" type="#_x0000_t136" alt="" style="position:absolute;margin-left:0;margin-top:0;width:509.55pt;height:16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6684E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91EC81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993AF2"/>
    <w:multiLevelType w:val="hybridMultilevel"/>
    <w:tmpl w:val="E8B029E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96E63E0"/>
    <w:multiLevelType w:val="hybridMultilevel"/>
    <w:tmpl w:val="ADB814A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5C7A8E"/>
    <w:multiLevelType w:val="singleLevel"/>
    <w:tmpl w:val="0406000F"/>
    <w:lvl w:ilvl="0">
      <w:start w:val="1"/>
      <w:numFmt w:val="decimal"/>
      <w:lvlText w:val="%1."/>
      <w:lvlJc w:val="left"/>
      <w:pPr>
        <w:ind w:left="360" w:hanging="360"/>
      </w:pPr>
    </w:lvl>
  </w:abstractNum>
  <w:abstractNum w:abstractNumId="5" w15:restartNumberingAfterBreak="0">
    <w:nsid w:val="0EC07C50"/>
    <w:multiLevelType w:val="hybridMultilevel"/>
    <w:tmpl w:val="3C920A30"/>
    <w:lvl w:ilvl="0" w:tplc="BA34D7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7513AF2"/>
    <w:multiLevelType w:val="singleLevel"/>
    <w:tmpl w:val="472CD1D4"/>
    <w:lvl w:ilvl="0">
      <w:start w:val="1"/>
      <w:numFmt w:val="decimal"/>
      <w:lvlRestart w:val="0"/>
      <w:lvlText w:val="%1."/>
      <w:lvlJc w:val="left"/>
      <w:pPr>
        <w:tabs>
          <w:tab w:val="num" w:pos="360"/>
        </w:tabs>
        <w:ind w:left="360" w:hanging="360"/>
      </w:pPr>
    </w:lvl>
  </w:abstractNum>
  <w:abstractNum w:abstractNumId="7" w15:restartNumberingAfterBreak="0">
    <w:nsid w:val="20867BA8"/>
    <w:multiLevelType w:val="singleLevel"/>
    <w:tmpl w:val="0B4CB6C6"/>
    <w:lvl w:ilvl="0">
      <w:start w:val="1"/>
      <w:numFmt w:val="decimal"/>
      <w:lvlRestart w:val="0"/>
      <w:lvlText w:val="%1."/>
      <w:lvlJc w:val="left"/>
      <w:pPr>
        <w:tabs>
          <w:tab w:val="num" w:pos="360"/>
        </w:tabs>
        <w:ind w:left="360" w:hanging="360"/>
      </w:pPr>
    </w:lvl>
  </w:abstractNum>
  <w:abstractNum w:abstractNumId="8" w15:restartNumberingAfterBreak="0">
    <w:nsid w:val="20EA5AD3"/>
    <w:multiLevelType w:val="singleLevel"/>
    <w:tmpl w:val="41607446"/>
    <w:lvl w:ilvl="0">
      <w:start w:val="1"/>
      <w:numFmt w:val="decimal"/>
      <w:lvlRestart w:val="0"/>
      <w:lvlText w:val="%1."/>
      <w:lvlJc w:val="left"/>
      <w:pPr>
        <w:tabs>
          <w:tab w:val="num" w:pos="360"/>
        </w:tabs>
        <w:ind w:left="360" w:hanging="360"/>
      </w:pPr>
    </w:lvl>
  </w:abstractNum>
  <w:abstractNum w:abstractNumId="9" w15:restartNumberingAfterBreak="0">
    <w:nsid w:val="2BEE7E0C"/>
    <w:multiLevelType w:val="singleLevel"/>
    <w:tmpl w:val="04060011"/>
    <w:lvl w:ilvl="0">
      <w:start w:val="1"/>
      <w:numFmt w:val="decimal"/>
      <w:lvlText w:val="%1)"/>
      <w:lvlJc w:val="left"/>
      <w:pPr>
        <w:ind w:left="360" w:hanging="360"/>
      </w:pPr>
    </w:lvl>
  </w:abstractNum>
  <w:abstractNum w:abstractNumId="10" w15:restartNumberingAfterBreak="0">
    <w:nsid w:val="41F3417F"/>
    <w:multiLevelType w:val="hybridMultilevel"/>
    <w:tmpl w:val="90A2F96A"/>
    <w:lvl w:ilvl="0" w:tplc="04060011">
      <w:start w:val="1"/>
      <w:numFmt w:val="decimal"/>
      <w:lvlText w:val="%1)"/>
      <w:lvlJc w:val="left"/>
      <w:pPr>
        <w:ind w:left="720" w:hanging="360"/>
      </w:pPr>
      <w:rPr>
        <w:rFonts w:hint="default"/>
      </w:rPr>
    </w:lvl>
    <w:lvl w:ilvl="1" w:tplc="F2DC7D58">
      <w:start w:val="1"/>
      <w:numFmt w:val="lowerLetter"/>
      <w:lvlText w:val="%2."/>
      <w:lvlJc w:val="left"/>
      <w:pPr>
        <w:ind w:left="1440" w:hanging="360"/>
      </w:pPr>
      <w:rPr>
        <w:b w:val="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4D7AFB"/>
    <w:multiLevelType w:val="hybridMultilevel"/>
    <w:tmpl w:val="EE6AEA8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46F0638"/>
    <w:multiLevelType w:val="hybridMultilevel"/>
    <w:tmpl w:val="BAFC0E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7BF2BDB"/>
    <w:multiLevelType w:val="singleLevel"/>
    <w:tmpl w:val="0E08B774"/>
    <w:lvl w:ilvl="0">
      <w:start w:val="1"/>
      <w:numFmt w:val="decimal"/>
      <w:lvlRestart w:val="0"/>
      <w:lvlText w:val="%1."/>
      <w:lvlJc w:val="left"/>
      <w:pPr>
        <w:tabs>
          <w:tab w:val="num" w:pos="360"/>
        </w:tabs>
        <w:ind w:left="360" w:hanging="360"/>
      </w:pPr>
    </w:lvl>
  </w:abstractNum>
  <w:abstractNum w:abstractNumId="14" w15:restartNumberingAfterBreak="0">
    <w:nsid w:val="4A892F00"/>
    <w:multiLevelType w:val="hybridMultilevel"/>
    <w:tmpl w:val="EDA8F2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F73282D"/>
    <w:multiLevelType w:val="multilevel"/>
    <w:tmpl w:val="F438C9E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200359"/>
    <w:multiLevelType w:val="multilevel"/>
    <w:tmpl w:val="3CE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7B65ED"/>
    <w:multiLevelType w:val="singleLevel"/>
    <w:tmpl w:val="921E017E"/>
    <w:lvl w:ilvl="0">
      <w:start w:val="1"/>
      <w:numFmt w:val="decimal"/>
      <w:lvlRestart w:val="0"/>
      <w:lvlText w:val="%1."/>
      <w:lvlJc w:val="left"/>
      <w:pPr>
        <w:tabs>
          <w:tab w:val="num" w:pos="360"/>
        </w:tabs>
        <w:ind w:left="360" w:hanging="360"/>
      </w:pPr>
    </w:lvl>
  </w:abstractNum>
  <w:abstractNum w:abstractNumId="18" w15:restartNumberingAfterBreak="0">
    <w:nsid w:val="5E2910B2"/>
    <w:multiLevelType w:val="singleLevel"/>
    <w:tmpl w:val="86FC1A70"/>
    <w:lvl w:ilvl="0">
      <w:start w:val="1"/>
      <w:numFmt w:val="decimal"/>
      <w:lvlRestart w:val="0"/>
      <w:lvlText w:val="%1."/>
      <w:lvlJc w:val="left"/>
      <w:pPr>
        <w:tabs>
          <w:tab w:val="num" w:pos="360"/>
        </w:tabs>
        <w:ind w:left="360" w:hanging="360"/>
      </w:pPr>
    </w:lvl>
  </w:abstractNum>
  <w:abstractNum w:abstractNumId="19" w15:restartNumberingAfterBreak="0">
    <w:nsid w:val="6C7F079B"/>
    <w:multiLevelType w:val="singleLevel"/>
    <w:tmpl w:val="8BFCC61C"/>
    <w:lvl w:ilvl="0">
      <w:start w:val="1"/>
      <w:numFmt w:val="decimal"/>
      <w:lvlRestart w:val="0"/>
      <w:lvlText w:val="%1."/>
      <w:lvlJc w:val="left"/>
      <w:pPr>
        <w:tabs>
          <w:tab w:val="num" w:pos="360"/>
        </w:tabs>
        <w:ind w:left="360" w:hanging="360"/>
      </w:pPr>
    </w:lvl>
  </w:abstractNum>
  <w:abstractNum w:abstractNumId="20" w15:restartNumberingAfterBreak="0">
    <w:nsid w:val="7CA803FB"/>
    <w:multiLevelType w:val="singleLevel"/>
    <w:tmpl w:val="C9DECD28"/>
    <w:lvl w:ilvl="0">
      <w:start w:val="1"/>
      <w:numFmt w:val="decimal"/>
      <w:lvlRestart w:val="0"/>
      <w:lvlText w:val="%1."/>
      <w:lvlJc w:val="left"/>
      <w:pPr>
        <w:tabs>
          <w:tab w:val="num" w:pos="360"/>
        </w:tabs>
        <w:ind w:left="360" w:hanging="360"/>
      </w:pPr>
    </w:lvl>
  </w:abstractNum>
  <w:abstractNum w:abstractNumId="21" w15:restartNumberingAfterBreak="0">
    <w:nsid w:val="7DDC24AC"/>
    <w:multiLevelType w:val="singleLevel"/>
    <w:tmpl w:val="0406000F"/>
    <w:lvl w:ilvl="0">
      <w:start w:val="1"/>
      <w:numFmt w:val="decimal"/>
      <w:lvlText w:val="%1."/>
      <w:lvlJc w:val="left"/>
      <w:pPr>
        <w:ind w:left="720" w:hanging="360"/>
      </w:pPr>
    </w:lvl>
  </w:abstractNum>
  <w:num w:numId="1">
    <w:abstractNumId w:val="1"/>
  </w:num>
  <w:num w:numId="2">
    <w:abstractNumId w:val="15"/>
  </w:num>
  <w:num w:numId="3">
    <w:abstractNumId w:val="0"/>
  </w:num>
  <w:num w:numId="4">
    <w:abstractNumId w:val="7"/>
  </w:num>
  <w:num w:numId="5">
    <w:abstractNumId w:val="17"/>
  </w:num>
  <w:num w:numId="6">
    <w:abstractNumId w:val="14"/>
  </w:num>
  <w:num w:numId="7">
    <w:abstractNumId w:val="18"/>
  </w:num>
  <w:num w:numId="8">
    <w:abstractNumId w:val="20"/>
  </w:num>
  <w:num w:numId="9">
    <w:abstractNumId w:val="4"/>
  </w:num>
  <w:num w:numId="10">
    <w:abstractNumId w:val="21"/>
  </w:num>
  <w:num w:numId="11">
    <w:abstractNumId w:val="13"/>
  </w:num>
  <w:num w:numId="12">
    <w:abstractNumId w:val="8"/>
  </w:num>
  <w:num w:numId="13">
    <w:abstractNumId w:val="19"/>
  </w:num>
  <w:num w:numId="14">
    <w:abstractNumId w:val="6"/>
  </w:num>
  <w:num w:numId="15">
    <w:abstractNumId w:val="9"/>
  </w:num>
  <w:num w:numId="16">
    <w:abstractNumId w:val="5"/>
  </w:num>
  <w:num w:numId="17">
    <w:abstractNumId w:val="10"/>
  </w:num>
  <w:num w:numId="18">
    <w:abstractNumId w:val="3"/>
  </w:num>
  <w:num w:numId="19">
    <w:abstractNumId w:val="11"/>
  </w:num>
  <w:num w:numId="20">
    <w:abstractNumId w:val="12"/>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C"/>
    <w:rsid w:val="00001073"/>
    <w:rsid w:val="000047D8"/>
    <w:rsid w:val="0000651F"/>
    <w:rsid w:val="00007A9A"/>
    <w:rsid w:val="00013E60"/>
    <w:rsid w:val="000175AB"/>
    <w:rsid w:val="00020F89"/>
    <w:rsid w:val="000235D5"/>
    <w:rsid w:val="00025B04"/>
    <w:rsid w:val="000279F0"/>
    <w:rsid w:val="000338EB"/>
    <w:rsid w:val="00035AD1"/>
    <w:rsid w:val="000447F8"/>
    <w:rsid w:val="000506E2"/>
    <w:rsid w:val="00056381"/>
    <w:rsid w:val="00065853"/>
    <w:rsid w:val="000672E7"/>
    <w:rsid w:val="00076A31"/>
    <w:rsid w:val="000808BA"/>
    <w:rsid w:val="00083843"/>
    <w:rsid w:val="00085024"/>
    <w:rsid w:val="0008522A"/>
    <w:rsid w:val="00093EAE"/>
    <w:rsid w:val="00094E11"/>
    <w:rsid w:val="000A0962"/>
    <w:rsid w:val="000A2B1F"/>
    <w:rsid w:val="000A4241"/>
    <w:rsid w:val="000C3C5B"/>
    <w:rsid w:val="000D39A6"/>
    <w:rsid w:val="000D68DE"/>
    <w:rsid w:val="000D7617"/>
    <w:rsid w:val="000E056B"/>
    <w:rsid w:val="000E1275"/>
    <w:rsid w:val="000E16DF"/>
    <w:rsid w:val="000F1B6B"/>
    <w:rsid w:val="000F2C8B"/>
    <w:rsid w:val="000F70E4"/>
    <w:rsid w:val="001008D4"/>
    <w:rsid w:val="00100FE8"/>
    <w:rsid w:val="00110701"/>
    <w:rsid w:val="00117026"/>
    <w:rsid w:val="00117FF0"/>
    <w:rsid w:val="00124CF6"/>
    <w:rsid w:val="00125B14"/>
    <w:rsid w:val="00144223"/>
    <w:rsid w:val="001453FF"/>
    <w:rsid w:val="00152E87"/>
    <w:rsid w:val="00153006"/>
    <w:rsid w:val="00156A20"/>
    <w:rsid w:val="00157052"/>
    <w:rsid w:val="0017274A"/>
    <w:rsid w:val="00173859"/>
    <w:rsid w:val="001840E5"/>
    <w:rsid w:val="00195D8B"/>
    <w:rsid w:val="001B1B2C"/>
    <w:rsid w:val="001B590D"/>
    <w:rsid w:val="001C0A6F"/>
    <w:rsid w:val="001D02F4"/>
    <w:rsid w:val="001D0554"/>
    <w:rsid w:val="001D6666"/>
    <w:rsid w:val="001E0470"/>
    <w:rsid w:val="001E55D9"/>
    <w:rsid w:val="001F0A30"/>
    <w:rsid w:val="001F2DCD"/>
    <w:rsid w:val="001F3B0F"/>
    <w:rsid w:val="0020553E"/>
    <w:rsid w:val="00206704"/>
    <w:rsid w:val="00212C59"/>
    <w:rsid w:val="0022377A"/>
    <w:rsid w:val="002244D9"/>
    <w:rsid w:val="00227C4D"/>
    <w:rsid w:val="00234687"/>
    <w:rsid w:val="002369ED"/>
    <w:rsid w:val="002409EB"/>
    <w:rsid w:val="002414CA"/>
    <w:rsid w:val="00252A74"/>
    <w:rsid w:val="002534E3"/>
    <w:rsid w:val="002552FE"/>
    <w:rsid w:val="00262C25"/>
    <w:rsid w:val="0026620E"/>
    <w:rsid w:val="002667DA"/>
    <w:rsid w:val="00266958"/>
    <w:rsid w:val="00266991"/>
    <w:rsid w:val="00274C1B"/>
    <w:rsid w:val="00277385"/>
    <w:rsid w:val="00283EB8"/>
    <w:rsid w:val="002871A6"/>
    <w:rsid w:val="00295EA8"/>
    <w:rsid w:val="002B3943"/>
    <w:rsid w:val="002B4989"/>
    <w:rsid w:val="002B540A"/>
    <w:rsid w:val="002C5E23"/>
    <w:rsid w:val="002D0E06"/>
    <w:rsid w:val="002D7020"/>
    <w:rsid w:val="002E3199"/>
    <w:rsid w:val="002F1168"/>
    <w:rsid w:val="002F168A"/>
    <w:rsid w:val="00303975"/>
    <w:rsid w:val="00310A99"/>
    <w:rsid w:val="00314478"/>
    <w:rsid w:val="00315848"/>
    <w:rsid w:val="00316534"/>
    <w:rsid w:val="003234AA"/>
    <w:rsid w:val="00323F5A"/>
    <w:rsid w:val="00324DA8"/>
    <w:rsid w:val="00327A23"/>
    <w:rsid w:val="00333D6F"/>
    <w:rsid w:val="003367D7"/>
    <w:rsid w:val="00342EE0"/>
    <w:rsid w:val="0034715C"/>
    <w:rsid w:val="00353D67"/>
    <w:rsid w:val="00356036"/>
    <w:rsid w:val="00362FC1"/>
    <w:rsid w:val="00367BA4"/>
    <w:rsid w:val="003747A2"/>
    <w:rsid w:val="003A047D"/>
    <w:rsid w:val="003A206F"/>
    <w:rsid w:val="003B01BA"/>
    <w:rsid w:val="003C6AEF"/>
    <w:rsid w:val="003D2F86"/>
    <w:rsid w:val="003D3616"/>
    <w:rsid w:val="003D4197"/>
    <w:rsid w:val="003D5B2C"/>
    <w:rsid w:val="003D6B0A"/>
    <w:rsid w:val="003E2242"/>
    <w:rsid w:val="003F02BC"/>
    <w:rsid w:val="003F0EB1"/>
    <w:rsid w:val="003F178E"/>
    <w:rsid w:val="004008DD"/>
    <w:rsid w:val="00403BA7"/>
    <w:rsid w:val="00407B88"/>
    <w:rsid w:val="004142B4"/>
    <w:rsid w:val="00425299"/>
    <w:rsid w:val="004304B2"/>
    <w:rsid w:val="00436839"/>
    <w:rsid w:val="0044101D"/>
    <w:rsid w:val="00441675"/>
    <w:rsid w:val="004420CD"/>
    <w:rsid w:val="004455CC"/>
    <w:rsid w:val="00453241"/>
    <w:rsid w:val="004537B6"/>
    <w:rsid w:val="00454265"/>
    <w:rsid w:val="00463177"/>
    <w:rsid w:val="0047298E"/>
    <w:rsid w:val="00476E6C"/>
    <w:rsid w:val="004829E8"/>
    <w:rsid w:val="0049583B"/>
    <w:rsid w:val="00496BCF"/>
    <w:rsid w:val="004A0343"/>
    <w:rsid w:val="004A1495"/>
    <w:rsid w:val="004B2C61"/>
    <w:rsid w:val="004C06CD"/>
    <w:rsid w:val="004C4319"/>
    <w:rsid w:val="004D1E85"/>
    <w:rsid w:val="004D7ABE"/>
    <w:rsid w:val="004D7FCE"/>
    <w:rsid w:val="004F2F9C"/>
    <w:rsid w:val="0050114F"/>
    <w:rsid w:val="00501C81"/>
    <w:rsid w:val="00514433"/>
    <w:rsid w:val="005222C0"/>
    <w:rsid w:val="00535227"/>
    <w:rsid w:val="00535B34"/>
    <w:rsid w:val="005365C5"/>
    <w:rsid w:val="005400CC"/>
    <w:rsid w:val="00540FCE"/>
    <w:rsid w:val="00547CB1"/>
    <w:rsid w:val="00552BE2"/>
    <w:rsid w:val="0055414F"/>
    <w:rsid w:val="005572E0"/>
    <w:rsid w:val="00573C01"/>
    <w:rsid w:val="0057625A"/>
    <w:rsid w:val="00585911"/>
    <w:rsid w:val="00592B8B"/>
    <w:rsid w:val="005A4A68"/>
    <w:rsid w:val="005B4B2F"/>
    <w:rsid w:val="005B7463"/>
    <w:rsid w:val="005C2F81"/>
    <w:rsid w:val="005D0B50"/>
    <w:rsid w:val="005D40B0"/>
    <w:rsid w:val="005D4C07"/>
    <w:rsid w:val="005E24F2"/>
    <w:rsid w:val="005F2A5E"/>
    <w:rsid w:val="005F390D"/>
    <w:rsid w:val="005F4400"/>
    <w:rsid w:val="0060432E"/>
    <w:rsid w:val="00605D6F"/>
    <w:rsid w:val="006121D2"/>
    <w:rsid w:val="00614B93"/>
    <w:rsid w:val="0061613C"/>
    <w:rsid w:val="00617AA4"/>
    <w:rsid w:val="00623DA1"/>
    <w:rsid w:val="00636377"/>
    <w:rsid w:val="00643397"/>
    <w:rsid w:val="006502E1"/>
    <w:rsid w:val="00652676"/>
    <w:rsid w:val="00655F29"/>
    <w:rsid w:val="00657806"/>
    <w:rsid w:val="0067253E"/>
    <w:rsid w:val="00676204"/>
    <w:rsid w:val="006834D5"/>
    <w:rsid w:val="0068537C"/>
    <w:rsid w:val="006860BC"/>
    <w:rsid w:val="006867E8"/>
    <w:rsid w:val="006952E9"/>
    <w:rsid w:val="006A5688"/>
    <w:rsid w:val="006A6231"/>
    <w:rsid w:val="006B4059"/>
    <w:rsid w:val="006C25FA"/>
    <w:rsid w:val="006C2FE0"/>
    <w:rsid w:val="006E1B66"/>
    <w:rsid w:val="006E24B1"/>
    <w:rsid w:val="006F06A6"/>
    <w:rsid w:val="006F6A71"/>
    <w:rsid w:val="006F7658"/>
    <w:rsid w:val="0070277D"/>
    <w:rsid w:val="00711296"/>
    <w:rsid w:val="0071350E"/>
    <w:rsid w:val="00720FDB"/>
    <w:rsid w:val="0072153D"/>
    <w:rsid w:val="0073144C"/>
    <w:rsid w:val="00732D29"/>
    <w:rsid w:val="00736FB6"/>
    <w:rsid w:val="007407DF"/>
    <w:rsid w:val="00740C57"/>
    <w:rsid w:val="007507AA"/>
    <w:rsid w:val="0075519A"/>
    <w:rsid w:val="00756650"/>
    <w:rsid w:val="007613A3"/>
    <w:rsid w:val="00762121"/>
    <w:rsid w:val="007637F9"/>
    <w:rsid w:val="00775B37"/>
    <w:rsid w:val="00786EF1"/>
    <w:rsid w:val="00787910"/>
    <w:rsid w:val="00787AEE"/>
    <w:rsid w:val="00790442"/>
    <w:rsid w:val="00791F6D"/>
    <w:rsid w:val="00793D43"/>
    <w:rsid w:val="00794A11"/>
    <w:rsid w:val="0079574D"/>
    <w:rsid w:val="007A159F"/>
    <w:rsid w:val="007A1B15"/>
    <w:rsid w:val="007A3664"/>
    <w:rsid w:val="007A5C03"/>
    <w:rsid w:val="007A62C7"/>
    <w:rsid w:val="007A6ACB"/>
    <w:rsid w:val="007B366E"/>
    <w:rsid w:val="007B6D65"/>
    <w:rsid w:val="007C1436"/>
    <w:rsid w:val="007C2846"/>
    <w:rsid w:val="007C38FF"/>
    <w:rsid w:val="007D0A4B"/>
    <w:rsid w:val="007D12BF"/>
    <w:rsid w:val="007D4277"/>
    <w:rsid w:val="007D545A"/>
    <w:rsid w:val="007D75C9"/>
    <w:rsid w:val="007E33AE"/>
    <w:rsid w:val="007E60B4"/>
    <w:rsid w:val="007F0407"/>
    <w:rsid w:val="007F5656"/>
    <w:rsid w:val="00802D36"/>
    <w:rsid w:val="00806A51"/>
    <w:rsid w:val="00820241"/>
    <w:rsid w:val="00821D2D"/>
    <w:rsid w:val="00824D21"/>
    <w:rsid w:val="00834C35"/>
    <w:rsid w:val="0083548E"/>
    <w:rsid w:val="00841753"/>
    <w:rsid w:val="00844A92"/>
    <w:rsid w:val="008576C9"/>
    <w:rsid w:val="00860AD7"/>
    <w:rsid w:val="0086164D"/>
    <w:rsid w:val="008636C3"/>
    <w:rsid w:val="00867EC1"/>
    <w:rsid w:val="008737CE"/>
    <w:rsid w:val="00883C24"/>
    <w:rsid w:val="008A05F3"/>
    <w:rsid w:val="008A77E7"/>
    <w:rsid w:val="008B1190"/>
    <w:rsid w:val="008B23F8"/>
    <w:rsid w:val="008B3210"/>
    <w:rsid w:val="008B70DB"/>
    <w:rsid w:val="008C21A8"/>
    <w:rsid w:val="008C3F97"/>
    <w:rsid w:val="008D6B64"/>
    <w:rsid w:val="008D704D"/>
    <w:rsid w:val="008E049E"/>
    <w:rsid w:val="00900F49"/>
    <w:rsid w:val="009027A9"/>
    <w:rsid w:val="00912B09"/>
    <w:rsid w:val="00914597"/>
    <w:rsid w:val="0091622D"/>
    <w:rsid w:val="0091655E"/>
    <w:rsid w:val="009215F7"/>
    <w:rsid w:val="00923F81"/>
    <w:rsid w:val="009242D2"/>
    <w:rsid w:val="009408C3"/>
    <w:rsid w:val="0094148D"/>
    <w:rsid w:val="009523CF"/>
    <w:rsid w:val="009540F8"/>
    <w:rsid w:val="00954561"/>
    <w:rsid w:val="00956110"/>
    <w:rsid w:val="009571D9"/>
    <w:rsid w:val="00964434"/>
    <w:rsid w:val="00966117"/>
    <w:rsid w:val="00966BC2"/>
    <w:rsid w:val="009702A2"/>
    <w:rsid w:val="00977D7C"/>
    <w:rsid w:val="00994178"/>
    <w:rsid w:val="009A7B88"/>
    <w:rsid w:val="009B49E6"/>
    <w:rsid w:val="009C6A2E"/>
    <w:rsid w:val="009D01C1"/>
    <w:rsid w:val="009D0B1A"/>
    <w:rsid w:val="009E0C98"/>
    <w:rsid w:val="009E4039"/>
    <w:rsid w:val="009E6A90"/>
    <w:rsid w:val="009E7B20"/>
    <w:rsid w:val="00A059E2"/>
    <w:rsid w:val="00A06CB4"/>
    <w:rsid w:val="00A153E7"/>
    <w:rsid w:val="00A20D8F"/>
    <w:rsid w:val="00A25C20"/>
    <w:rsid w:val="00A30724"/>
    <w:rsid w:val="00A35A4E"/>
    <w:rsid w:val="00A43B75"/>
    <w:rsid w:val="00A533C0"/>
    <w:rsid w:val="00A57880"/>
    <w:rsid w:val="00A62331"/>
    <w:rsid w:val="00A652CA"/>
    <w:rsid w:val="00A72D83"/>
    <w:rsid w:val="00A74993"/>
    <w:rsid w:val="00AA0955"/>
    <w:rsid w:val="00AA3E00"/>
    <w:rsid w:val="00AB5974"/>
    <w:rsid w:val="00AC1B1C"/>
    <w:rsid w:val="00AC5F69"/>
    <w:rsid w:val="00AD3AA0"/>
    <w:rsid w:val="00AD5241"/>
    <w:rsid w:val="00AD6F78"/>
    <w:rsid w:val="00AE4F46"/>
    <w:rsid w:val="00AF00C0"/>
    <w:rsid w:val="00AF2E26"/>
    <w:rsid w:val="00AF59DB"/>
    <w:rsid w:val="00AF7F9D"/>
    <w:rsid w:val="00B03C01"/>
    <w:rsid w:val="00B04582"/>
    <w:rsid w:val="00B04F83"/>
    <w:rsid w:val="00B14903"/>
    <w:rsid w:val="00B1538E"/>
    <w:rsid w:val="00B16983"/>
    <w:rsid w:val="00B20D0B"/>
    <w:rsid w:val="00B22DA9"/>
    <w:rsid w:val="00B27B08"/>
    <w:rsid w:val="00B341DB"/>
    <w:rsid w:val="00B418AB"/>
    <w:rsid w:val="00B423F8"/>
    <w:rsid w:val="00B43DEA"/>
    <w:rsid w:val="00B43EC8"/>
    <w:rsid w:val="00B47395"/>
    <w:rsid w:val="00B51EBD"/>
    <w:rsid w:val="00B5393F"/>
    <w:rsid w:val="00B53E81"/>
    <w:rsid w:val="00B638B2"/>
    <w:rsid w:val="00B667F8"/>
    <w:rsid w:val="00B675B0"/>
    <w:rsid w:val="00B67611"/>
    <w:rsid w:val="00B81077"/>
    <w:rsid w:val="00B81796"/>
    <w:rsid w:val="00B86852"/>
    <w:rsid w:val="00B90E00"/>
    <w:rsid w:val="00BA18AC"/>
    <w:rsid w:val="00BA5A9D"/>
    <w:rsid w:val="00BB14E5"/>
    <w:rsid w:val="00BB2C88"/>
    <w:rsid w:val="00BB3896"/>
    <w:rsid w:val="00BC1319"/>
    <w:rsid w:val="00BD18A5"/>
    <w:rsid w:val="00BE4A9B"/>
    <w:rsid w:val="00BF2EFB"/>
    <w:rsid w:val="00BF4412"/>
    <w:rsid w:val="00BF69AF"/>
    <w:rsid w:val="00C0244D"/>
    <w:rsid w:val="00C070A8"/>
    <w:rsid w:val="00C107E3"/>
    <w:rsid w:val="00C13251"/>
    <w:rsid w:val="00C276B3"/>
    <w:rsid w:val="00C309AB"/>
    <w:rsid w:val="00C31864"/>
    <w:rsid w:val="00C33D20"/>
    <w:rsid w:val="00C4134E"/>
    <w:rsid w:val="00C4335C"/>
    <w:rsid w:val="00C44D18"/>
    <w:rsid w:val="00C56346"/>
    <w:rsid w:val="00C61C66"/>
    <w:rsid w:val="00C62D14"/>
    <w:rsid w:val="00C6430D"/>
    <w:rsid w:val="00C66F6E"/>
    <w:rsid w:val="00C756EB"/>
    <w:rsid w:val="00C77097"/>
    <w:rsid w:val="00C81370"/>
    <w:rsid w:val="00C82A70"/>
    <w:rsid w:val="00C8518F"/>
    <w:rsid w:val="00C90B7F"/>
    <w:rsid w:val="00C92BFD"/>
    <w:rsid w:val="00C92F03"/>
    <w:rsid w:val="00CA54F9"/>
    <w:rsid w:val="00CB421E"/>
    <w:rsid w:val="00CB5572"/>
    <w:rsid w:val="00CC0871"/>
    <w:rsid w:val="00CD7242"/>
    <w:rsid w:val="00CE13E8"/>
    <w:rsid w:val="00CE1DA7"/>
    <w:rsid w:val="00CE7A50"/>
    <w:rsid w:val="00CF0E26"/>
    <w:rsid w:val="00CF2240"/>
    <w:rsid w:val="00CF3AAC"/>
    <w:rsid w:val="00D00242"/>
    <w:rsid w:val="00D028CA"/>
    <w:rsid w:val="00D109EB"/>
    <w:rsid w:val="00D202FE"/>
    <w:rsid w:val="00D2341D"/>
    <w:rsid w:val="00D338E7"/>
    <w:rsid w:val="00D538BD"/>
    <w:rsid w:val="00D57347"/>
    <w:rsid w:val="00D6559F"/>
    <w:rsid w:val="00D705B8"/>
    <w:rsid w:val="00D70E01"/>
    <w:rsid w:val="00D74E8A"/>
    <w:rsid w:val="00D75CD9"/>
    <w:rsid w:val="00D76703"/>
    <w:rsid w:val="00D768BF"/>
    <w:rsid w:val="00D81398"/>
    <w:rsid w:val="00D86F1A"/>
    <w:rsid w:val="00DA2CE9"/>
    <w:rsid w:val="00DA3C8E"/>
    <w:rsid w:val="00DA4C20"/>
    <w:rsid w:val="00DB4290"/>
    <w:rsid w:val="00DB5B71"/>
    <w:rsid w:val="00DB5B97"/>
    <w:rsid w:val="00DB6A99"/>
    <w:rsid w:val="00DB6FDF"/>
    <w:rsid w:val="00DC3F14"/>
    <w:rsid w:val="00DC5B6D"/>
    <w:rsid w:val="00DD34F7"/>
    <w:rsid w:val="00DD3BAC"/>
    <w:rsid w:val="00DF0D23"/>
    <w:rsid w:val="00E00E0F"/>
    <w:rsid w:val="00E06F48"/>
    <w:rsid w:val="00E1298C"/>
    <w:rsid w:val="00E16478"/>
    <w:rsid w:val="00E2076C"/>
    <w:rsid w:val="00E229B3"/>
    <w:rsid w:val="00E22EB1"/>
    <w:rsid w:val="00E24BC9"/>
    <w:rsid w:val="00E3480B"/>
    <w:rsid w:val="00E3509D"/>
    <w:rsid w:val="00E35E6E"/>
    <w:rsid w:val="00E46C5D"/>
    <w:rsid w:val="00E544EB"/>
    <w:rsid w:val="00E56D1B"/>
    <w:rsid w:val="00E657A0"/>
    <w:rsid w:val="00E67997"/>
    <w:rsid w:val="00E72429"/>
    <w:rsid w:val="00E81D6B"/>
    <w:rsid w:val="00E839F9"/>
    <w:rsid w:val="00E84258"/>
    <w:rsid w:val="00E86619"/>
    <w:rsid w:val="00E951AD"/>
    <w:rsid w:val="00E964FD"/>
    <w:rsid w:val="00EA1C54"/>
    <w:rsid w:val="00EA2A9D"/>
    <w:rsid w:val="00EA40E8"/>
    <w:rsid w:val="00ED1C50"/>
    <w:rsid w:val="00ED30EC"/>
    <w:rsid w:val="00EE4DC4"/>
    <w:rsid w:val="00EF1EBF"/>
    <w:rsid w:val="00EF1F45"/>
    <w:rsid w:val="00EF2D53"/>
    <w:rsid w:val="00EF4294"/>
    <w:rsid w:val="00EF79D3"/>
    <w:rsid w:val="00F00E27"/>
    <w:rsid w:val="00F227F6"/>
    <w:rsid w:val="00F2560B"/>
    <w:rsid w:val="00F36D89"/>
    <w:rsid w:val="00F40A9B"/>
    <w:rsid w:val="00F41EB6"/>
    <w:rsid w:val="00F42291"/>
    <w:rsid w:val="00F47F2A"/>
    <w:rsid w:val="00F55643"/>
    <w:rsid w:val="00F57ACC"/>
    <w:rsid w:val="00F91361"/>
    <w:rsid w:val="00F9183E"/>
    <w:rsid w:val="00F975A6"/>
    <w:rsid w:val="00F97EBE"/>
    <w:rsid w:val="00FA17B9"/>
    <w:rsid w:val="00FA449F"/>
    <w:rsid w:val="00FA490A"/>
    <w:rsid w:val="00FA53EE"/>
    <w:rsid w:val="00FA6E9F"/>
    <w:rsid w:val="00FB02C2"/>
    <w:rsid w:val="00FB4F84"/>
    <w:rsid w:val="00FB7551"/>
    <w:rsid w:val="00FC5E81"/>
    <w:rsid w:val="00FC607C"/>
    <w:rsid w:val="00FC7E02"/>
    <w:rsid w:val="00FD073C"/>
    <w:rsid w:val="00FD1756"/>
    <w:rsid w:val="00FD2C05"/>
    <w:rsid w:val="00FD4159"/>
    <w:rsid w:val="00FD4F63"/>
    <w:rsid w:val="00FE1B4D"/>
    <w:rsid w:val="00FE2428"/>
    <w:rsid w:val="00FE33DE"/>
    <w:rsid w:val="00FF2D05"/>
    <w:rsid w:val="00FF53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095556"/>
  <w15:chartTrackingRefBased/>
  <w15:docId w15:val="{FCED4BA0-A231-420F-9414-11883358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E3"/>
    <w:rPr>
      <w:sz w:val="24"/>
      <w:szCs w:val="24"/>
    </w:rPr>
  </w:style>
  <w:style w:type="paragraph" w:styleId="Overskrift1">
    <w:name w:val="heading 1"/>
    <w:aliases w:val="Kapitel overskrift"/>
    <w:basedOn w:val="Normal"/>
    <w:next w:val="Normal"/>
    <w:link w:val="Overskrift1Tegn"/>
    <w:qFormat/>
    <w:rsid w:val="00125B14"/>
    <w:pPr>
      <w:outlineLvl w:val="0"/>
    </w:pPr>
    <w:rPr>
      <w:b/>
      <w:sz w:val="28"/>
      <w:szCs w:val="28"/>
    </w:rPr>
  </w:style>
  <w:style w:type="paragraph" w:styleId="Overskrift6">
    <w:name w:val="heading 6"/>
    <w:basedOn w:val="Normal"/>
    <w:next w:val="Normal"/>
    <w:link w:val="Overskrift6Tegn"/>
    <w:semiHidden/>
    <w:unhideWhenUsed/>
    <w:qFormat/>
    <w:rsid w:val="00956110"/>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0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E81D6B"/>
    <w:pPr>
      <w:tabs>
        <w:tab w:val="center" w:pos="4819"/>
        <w:tab w:val="right" w:pos="9638"/>
      </w:tabs>
    </w:pPr>
  </w:style>
  <w:style w:type="character" w:customStyle="1" w:styleId="SidehovedTegn">
    <w:name w:val="Sidehoved Tegn"/>
    <w:link w:val="Sidehoved"/>
    <w:rsid w:val="00E81D6B"/>
    <w:rPr>
      <w:sz w:val="24"/>
      <w:szCs w:val="24"/>
    </w:rPr>
  </w:style>
  <w:style w:type="paragraph" w:styleId="Sidefod">
    <w:name w:val="footer"/>
    <w:basedOn w:val="Normal"/>
    <w:link w:val="SidefodTegn"/>
    <w:uiPriority w:val="99"/>
    <w:rsid w:val="00E81D6B"/>
    <w:pPr>
      <w:tabs>
        <w:tab w:val="center" w:pos="4819"/>
        <w:tab w:val="right" w:pos="9638"/>
      </w:tabs>
    </w:pPr>
  </w:style>
  <w:style w:type="character" w:customStyle="1" w:styleId="SidefodTegn">
    <w:name w:val="Sidefod Tegn"/>
    <w:link w:val="Sidefod"/>
    <w:uiPriority w:val="99"/>
    <w:rsid w:val="00E81D6B"/>
    <w:rPr>
      <w:sz w:val="24"/>
      <w:szCs w:val="24"/>
    </w:rPr>
  </w:style>
  <w:style w:type="paragraph" w:styleId="Opstilling-punkttegn">
    <w:name w:val="List Bullet"/>
    <w:basedOn w:val="Normal"/>
    <w:rsid w:val="003367D7"/>
    <w:pPr>
      <w:numPr>
        <w:numId w:val="1"/>
      </w:numPr>
      <w:contextualSpacing/>
    </w:pPr>
  </w:style>
  <w:style w:type="character" w:styleId="Hyperlink">
    <w:name w:val="Hyperlink"/>
    <w:rsid w:val="008E049E"/>
    <w:rPr>
      <w:color w:val="0000FF"/>
      <w:u w:val="single"/>
    </w:rPr>
  </w:style>
  <w:style w:type="paragraph" w:styleId="Opstilling-talellerbogst">
    <w:name w:val="List Number"/>
    <w:basedOn w:val="Normal"/>
    <w:rsid w:val="003747A2"/>
    <w:pPr>
      <w:numPr>
        <w:numId w:val="3"/>
      </w:numPr>
      <w:contextualSpacing/>
    </w:pPr>
  </w:style>
  <w:style w:type="paragraph" w:styleId="Citat">
    <w:name w:val="Quote"/>
    <w:basedOn w:val="Normal"/>
    <w:next w:val="Normal"/>
    <w:link w:val="CitatTegn"/>
    <w:uiPriority w:val="29"/>
    <w:qFormat/>
    <w:rsid w:val="000F1B6B"/>
    <w:rPr>
      <w:i/>
      <w:iCs/>
      <w:color w:val="000000"/>
    </w:rPr>
  </w:style>
  <w:style w:type="character" w:customStyle="1" w:styleId="CitatTegn">
    <w:name w:val="Citat Tegn"/>
    <w:link w:val="Citat"/>
    <w:uiPriority w:val="29"/>
    <w:rsid w:val="000F1B6B"/>
    <w:rPr>
      <w:i/>
      <w:iCs/>
      <w:color w:val="000000"/>
      <w:sz w:val="24"/>
      <w:szCs w:val="24"/>
    </w:rPr>
  </w:style>
  <w:style w:type="paragraph" w:styleId="Markeringsbobletekst">
    <w:name w:val="Balloon Text"/>
    <w:basedOn w:val="Normal"/>
    <w:link w:val="MarkeringsbobletekstTegn"/>
    <w:rsid w:val="00A059E2"/>
    <w:rPr>
      <w:rFonts w:ascii="Tahoma" w:hAnsi="Tahoma" w:cs="Tahoma"/>
      <w:sz w:val="16"/>
      <w:szCs w:val="16"/>
    </w:rPr>
  </w:style>
  <w:style w:type="character" w:customStyle="1" w:styleId="MarkeringsbobletekstTegn">
    <w:name w:val="Markeringsbobletekst Tegn"/>
    <w:link w:val="Markeringsbobletekst"/>
    <w:rsid w:val="00A059E2"/>
    <w:rPr>
      <w:rFonts w:ascii="Tahoma" w:hAnsi="Tahoma" w:cs="Tahoma"/>
      <w:sz w:val="16"/>
      <w:szCs w:val="16"/>
    </w:rPr>
  </w:style>
  <w:style w:type="character" w:customStyle="1" w:styleId="Overskrift1Tegn">
    <w:name w:val="Overskrift 1 Tegn"/>
    <w:aliases w:val="Kapitel overskrift Tegn"/>
    <w:basedOn w:val="Standardskrifttypeiafsnit"/>
    <w:link w:val="Overskrift1"/>
    <w:rsid w:val="00125B14"/>
    <w:rPr>
      <w:b/>
      <w:sz w:val="28"/>
      <w:szCs w:val="28"/>
    </w:rPr>
  </w:style>
  <w:style w:type="paragraph" w:customStyle="1" w:styleId="Underoverskrift">
    <w:name w:val="Underoverskrift"/>
    <w:basedOn w:val="Normal"/>
    <w:qFormat/>
    <w:rsid w:val="00125B14"/>
    <w:rPr>
      <w:b/>
    </w:rPr>
  </w:style>
  <w:style w:type="paragraph" w:styleId="Listeafsnit">
    <w:name w:val="List Paragraph"/>
    <w:basedOn w:val="Normal"/>
    <w:uiPriority w:val="34"/>
    <w:qFormat/>
    <w:rsid w:val="002534E3"/>
    <w:pPr>
      <w:ind w:left="720"/>
      <w:contextualSpacing/>
    </w:pPr>
  </w:style>
  <w:style w:type="character" w:styleId="Fremhv">
    <w:name w:val="Emphasis"/>
    <w:basedOn w:val="Standardskrifttypeiafsnit"/>
    <w:uiPriority w:val="20"/>
    <w:qFormat/>
    <w:rsid w:val="002534E3"/>
    <w:rPr>
      <w:i/>
      <w:iCs/>
    </w:rPr>
  </w:style>
  <w:style w:type="character" w:styleId="Strk">
    <w:name w:val="Strong"/>
    <w:basedOn w:val="Standardskrifttypeiafsnit"/>
    <w:qFormat/>
    <w:rsid w:val="008D704D"/>
    <w:rPr>
      <w:b/>
      <w:bCs/>
    </w:rPr>
  </w:style>
  <w:style w:type="character" w:customStyle="1" w:styleId="paragrafnr1">
    <w:name w:val="paragrafnr1"/>
    <w:basedOn w:val="Standardskrifttypeiafsnit"/>
    <w:rsid w:val="003C6AEF"/>
    <w:rPr>
      <w:rFonts w:ascii="Tahoma" w:hAnsi="Tahoma" w:cs="Tahoma" w:hint="default"/>
      <w:b/>
      <w:bCs/>
      <w:color w:val="000000"/>
      <w:sz w:val="24"/>
      <w:szCs w:val="24"/>
      <w:shd w:val="clear" w:color="auto" w:fill="auto"/>
    </w:rPr>
  </w:style>
  <w:style w:type="paragraph" w:styleId="NormalWeb">
    <w:name w:val="Normal (Web)"/>
    <w:basedOn w:val="Normal"/>
    <w:uiPriority w:val="99"/>
    <w:unhideWhenUsed/>
    <w:rsid w:val="00B14903"/>
    <w:pPr>
      <w:spacing w:before="150" w:after="150"/>
    </w:pPr>
  </w:style>
  <w:style w:type="character" w:styleId="BesgtLink">
    <w:name w:val="FollowedHyperlink"/>
    <w:basedOn w:val="Standardskrifttypeiafsnit"/>
    <w:rsid w:val="00AC5F69"/>
    <w:rPr>
      <w:color w:val="954F72" w:themeColor="followedHyperlink"/>
      <w:u w:val="single"/>
    </w:rPr>
  </w:style>
  <w:style w:type="character" w:customStyle="1" w:styleId="kortnavn2">
    <w:name w:val="kortnavn2"/>
    <w:basedOn w:val="Standardskrifttypeiafsnit"/>
    <w:rsid w:val="00E06F48"/>
    <w:rPr>
      <w:rFonts w:ascii="Tahoma" w:hAnsi="Tahoma" w:cs="Tahoma" w:hint="default"/>
      <w:color w:val="000000"/>
      <w:sz w:val="24"/>
      <w:szCs w:val="24"/>
      <w:shd w:val="clear" w:color="auto" w:fill="auto"/>
    </w:rPr>
  </w:style>
  <w:style w:type="character" w:customStyle="1" w:styleId="temph">
    <w:name w:val="temph"/>
    <w:basedOn w:val="Standardskrifttypeiafsnit"/>
    <w:rsid w:val="00FB7551"/>
  </w:style>
  <w:style w:type="character" w:customStyle="1" w:styleId="liste1nr1">
    <w:name w:val="liste1nr1"/>
    <w:basedOn w:val="Standardskrifttypeiafsnit"/>
    <w:rsid w:val="00643397"/>
    <w:rPr>
      <w:rFonts w:ascii="Tahoma" w:hAnsi="Tahoma" w:cs="Tahoma" w:hint="default"/>
      <w:color w:val="000000"/>
      <w:sz w:val="24"/>
      <w:szCs w:val="24"/>
      <w:shd w:val="clear" w:color="auto" w:fill="auto"/>
    </w:rPr>
  </w:style>
  <w:style w:type="paragraph" w:customStyle="1" w:styleId="liste1">
    <w:name w:val="liste1"/>
    <w:basedOn w:val="Normal"/>
    <w:rsid w:val="005D4C07"/>
    <w:pPr>
      <w:ind w:left="280"/>
    </w:pPr>
    <w:rPr>
      <w:rFonts w:ascii="Tahoma" w:hAnsi="Tahoma" w:cs="Tahoma"/>
      <w:color w:val="000000"/>
    </w:rPr>
  </w:style>
  <w:style w:type="paragraph" w:customStyle="1" w:styleId="liste2">
    <w:name w:val="liste2"/>
    <w:basedOn w:val="Normal"/>
    <w:rsid w:val="005D4C07"/>
    <w:pPr>
      <w:ind w:left="560"/>
    </w:pPr>
    <w:rPr>
      <w:rFonts w:ascii="Tahoma" w:hAnsi="Tahoma" w:cs="Tahoma"/>
      <w:color w:val="000000"/>
    </w:rPr>
  </w:style>
  <w:style w:type="character" w:customStyle="1" w:styleId="liste2nr1">
    <w:name w:val="liste2nr1"/>
    <w:basedOn w:val="Standardskrifttypeiafsnit"/>
    <w:rsid w:val="005D4C07"/>
    <w:rPr>
      <w:rFonts w:ascii="Tahoma" w:hAnsi="Tahoma" w:cs="Tahoma" w:hint="default"/>
      <w:color w:val="000000"/>
      <w:sz w:val="24"/>
      <w:szCs w:val="24"/>
      <w:shd w:val="clear" w:color="auto" w:fill="auto"/>
    </w:rPr>
  </w:style>
  <w:style w:type="character" w:customStyle="1" w:styleId="subscript1">
    <w:name w:val="subscript1"/>
    <w:basedOn w:val="Standardskrifttypeiafsnit"/>
    <w:rsid w:val="005D4C07"/>
    <w:rPr>
      <w:rFonts w:ascii="Tahoma" w:hAnsi="Tahoma" w:cs="Tahoma" w:hint="default"/>
      <w:color w:val="000000"/>
      <w:sz w:val="17"/>
      <w:szCs w:val="17"/>
      <w:shd w:val="clear" w:color="auto" w:fill="auto"/>
      <w:vertAlign w:val="subscript"/>
    </w:rPr>
  </w:style>
  <w:style w:type="character" w:styleId="Kommentarhenvisning">
    <w:name w:val="annotation reference"/>
    <w:basedOn w:val="Standardskrifttypeiafsnit"/>
    <w:rsid w:val="00EF1F45"/>
    <w:rPr>
      <w:sz w:val="16"/>
      <w:szCs w:val="16"/>
    </w:rPr>
  </w:style>
  <w:style w:type="paragraph" w:styleId="Kommentartekst">
    <w:name w:val="annotation text"/>
    <w:basedOn w:val="Normal"/>
    <w:link w:val="KommentartekstTegn"/>
    <w:rsid w:val="00EF1F45"/>
    <w:rPr>
      <w:sz w:val="20"/>
      <w:szCs w:val="20"/>
    </w:rPr>
  </w:style>
  <w:style w:type="character" w:customStyle="1" w:styleId="KommentartekstTegn">
    <w:name w:val="Kommentartekst Tegn"/>
    <w:basedOn w:val="Standardskrifttypeiafsnit"/>
    <w:link w:val="Kommentartekst"/>
    <w:rsid w:val="00EF1F45"/>
  </w:style>
  <w:style w:type="paragraph" w:styleId="Kommentaremne">
    <w:name w:val="annotation subject"/>
    <w:basedOn w:val="Kommentartekst"/>
    <w:next w:val="Kommentartekst"/>
    <w:link w:val="KommentaremneTegn"/>
    <w:rsid w:val="00EF1F45"/>
    <w:rPr>
      <w:b/>
      <w:bCs/>
    </w:rPr>
  </w:style>
  <w:style w:type="character" w:customStyle="1" w:styleId="KommentaremneTegn">
    <w:name w:val="Kommentaremne Tegn"/>
    <w:basedOn w:val="KommentartekstTegn"/>
    <w:link w:val="Kommentaremne"/>
    <w:rsid w:val="00EF1F45"/>
    <w:rPr>
      <w:b/>
      <w:bCs/>
    </w:rPr>
  </w:style>
  <w:style w:type="paragraph" w:customStyle="1" w:styleId="Default">
    <w:name w:val="Default"/>
    <w:rsid w:val="00844A92"/>
    <w:pPr>
      <w:autoSpaceDE w:val="0"/>
      <w:autoSpaceDN w:val="0"/>
      <w:adjustRightInd w:val="0"/>
    </w:pPr>
    <w:rPr>
      <w:rFonts w:ascii="EUAlbertina" w:hAnsi="EUAlbertina" w:cs="EUAlbertina"/>
      <w:color w:val="000000"/>
      <w:sz w:val="24"/>
      <w:szCs w:val="24"/>
    </w:rPr>
  </w:style>
  <w:style w:type="character" w:customStyle="1" w:styleId="st1">
    <w:name w:val="st1"/>
    <w:basedOn w:val="Standardskrifttypeiafsnit"/>
    <w:rsid w:val="00A43B75"/>
  </w:style>
  <w:style w:type="paragraph" w:styleId="Korrektur">
    <w:name w:val="Revision"/>
    <w:hidden/>
    <w:uiPriority w:val="99"/>
    <w:semiHidden/>
    <w:rsid w:val="002C5E23"/>
    <w:rPr>
      <w:sz w:val="24"/>
      <w:szCs w:val="24"/>
    </w:rPr>
  </w:style>
  <w:style w:type="character" w:customStyle="1" w:styleId="Overskrift6Tegn">
    <w:name w:val="Overskrift 6 Tegn"/>
    <w:basedOn w:val="Standardskrifttypeiafsnit"/>
    <w:link w:val="Overskrift6"/>
    <w:semiHidden/>
    <w:rsid w:val="009561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3000">
      <w:bodyDiv w:val="1"/>
      <w:marLeft w:val="0"/>
      <w:marRight w:val="0"/>
      <w:marTop w:val="0"/>
      <w:marBottom w:val="0"/>
      <w:divBdr>
        <w:top w:val="none" w:sz="0" w:space="0" w:color="auto"/>
        <w:left w:val="none" w:sz="0" w:space="0" w:color="auto"/>
        <w:bottom w:val="none" w:sz="0" w:space="0" w:color="auto"/>
        <w:right w:val="none" w:sz="0" w:space="0" w:color="auto"/>
      </w:divBdr>
    </w:div>
    <w:div w:id="129519581">
      <w:bodyDiv w:val="1"/>
      <w:marLeft w:val="0"/>
      <w:marRight w:val="0"/>
      <w:marTop w:val="0"/>
      <w:marBottom w:val="0"/>
      <w:divBdr>
        <w:top w:val="none" w:sz="0" w:space="0" w:color="auto"/>
        <w:left w:val="none" w:sz="0" w:space="0" w:color="auto"/>
        <w:bottom w:val="none" w:sz="0" w:space="0" w:color="auto"/>
        <w:right w:val="none" w:sz="0" w:space="0" w:color="auto"/>
      </w:divBdr>
    </w:div>
    <w:div w:id="290792924">
      <w:bodyDiv w:val="1"/>
      <w:marLeft w:val="0"/>
      <w:marRight w:val="0"/>
      <w:marTop w:val="0"/>
      <w:marBottom w:val="0"/>
      <w:divBdr>
        <w:top w:val="none" w:sz="0" w:space="0" w:color="auto"/>
        <w:left w:val="none" w:sz="0" w:space="0" w:color="auto"/>
        <w:bottom w:val="none" w:sz="0" w:space="0" w:color="auto"/>
        <w:right w:val="none" w:sz="0" w:space="0" w:color="auto"/>
      </w:divBdr>
      <w:divsChild>
        <w:div w:id="1972855932">
          <w:marLeft w:val="0"/>
          <w:marRight w:val="0"/>
          <w:marTop w:val="0"/>
          <w:marBottom w:val="0"/>
          <w:divBdr>
            <w:top w:val="none" w:sz="0" w:space="0" w:color="auto"/>
            <w:left w:val="none" w:sz="0" w:space="0" w:color="auto"/>
            <w:bottom w:val="none" w:sz="0" w:space="0" w:color="auto"/>
            <w:right w:val="none" w:sz="0" w:space="0" w:color="auto"/>
          </w:divBdr>
          <w:divsChild>
            <w:div w:id="907230469">
              <w:marLeft w:val="0"/>
              <w:marRight w:val="0"/>
              <w:marTop w:val="0"/>
              <w:marBottom w:val="0"/>
              <w:divBdr>
                <w:top w:val="none" w:sz="0" w:space="0" w:color="auto"/>
                <w:left w:val="none" w:sz="0" w:space="0" w:color="auto"/>
                <w:bottom w:val="none" w:sz="0" w:space="0" w:color="auto"/>
                <w:right w:val="none" w:sz="0" w:space="0" w:color="auto"/>
              </w:divBdr>
              <w:divsChild>
                <w:div w:id="41684534">
                  <w:marLeft w:val="0"/>
                  <w:marRight w:val="0"/>
                  <w:marTop w:val="0"/>
                  <w:marBottom w:val="0"/>
                  <w:divBdr>
                    <w:top w:val="none" w:sz="0" w:space="0" w:color="auto"/>
                    <w:left w:val="none" w:sz="0" w:space="0" w:color="auto"/>
                    <w:bottom w:val="none" w:sz="0" w:space="0" w:color="auto"/>
                    <w:right w:val="none" w:sz="0" w:space="0" w:color="auto"/>
                  </w:divBdr>
                  <w:divsChild>
                    <w:div w:id="770012435">
                      <w:marLeft w:val="0"/>
                      <w:marRight w:val="0"/>
                      <w:marTop w:val="0"/>
                      <w:marBottom w:val="0"/>
                      <w:divBdr>
                        <w:top w:val="none" w:sz="0" w:space="0" w:color="auto"/>
                        <w:left w:val="none" w:sz="0" w:space="0" w:color="auto"/>
                        <w:bottom w:val="none" w:sz="0" w:space="0" w:color="auto"/>
                        <w:right w:val="none" w:sz="0" w:space="0" w:color="auto"/>
                      </w:divBdr>
                      <w:divsChild>
                        <w:div w:id="1642541024">
                          <w:marLeft w:val="-150"/>
                          <w:marRight w:val="-150"/>
                          <w:marTop w:val="0"/>
                          <w:marBottom w:val="0"/>
                          <w:divBdr>
                            <w:top w:val="none" w:sz="0" w:space="0" w:color="auto"/>
                            <w:left w:val="none" w:sz="0" w:space="0" w:color="auto"/>
                            <w:bottom w:val="none" w:sz="0" w:space="0" w:color="auto"/>
                            <w:right w:val="none" w:sz="0" w:space="0" w:color="auto"/>
                          </w:divBdr>
                          <w:divsChild>
                            <w:div w:id="691341619">
                              <w:marLeft w:val="0"/>
                              <w:marRight w:val="0"/>
                              <w:marTop w:val="0"/>
                              <w:marBottom w:val="0"/>
                              <w:divBdr>
                                <w:top w:val="none" w:sz="0" w:space="0" w:color="auto"/>
                                <w:left w:val="none" w:sz="0" w:space="0" w:color="auto"/>
                                <w:bottom w:val="none" w:sz="0" w:space="0" w:color="auto"/>
                                <w:right w:val="none" w:sz="0" w:space="0" w:color="auto"/>
                              </w:divBdr>
                              <w:divsChild>
                                <w:div w:id="1038553304">
                                  <w:marLeft w:val="-150"/>
                                  <w:marRight w:val="-150"/>
                                  <w:marTop w:val="0"/>
                                  <w:marBottom w:val="0"/>
                                  <w:divBdr>
                                    <w:top w:val="none" w:sz="0" w:space="0" w:color="auto"/>
                                    <w:left w:val="none" w:sz="0" w:space="0" w:color="auto"/>
                                    <w:bottom w:val="none" w:sz="0" w:space="0" w:color="auto"/>
                                    <w:right w:val="none" w:sz="0" w:space="0" w:color="auto"/>
                                  </w:divBdr>
                                  <w:divsChild>
                                    <w:div w:id="9851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436908">
      <w:bodyDiv w:val="1"/>
      <w:marLeft w:val="0"/>
      <w:marRight w:val="0"/>
      <w:marTop w:val="0"/>
      <w:marBottom w:val="0"/>
      <w:divBdr>
        <w:top w:val="none" w:sz="0" w:space="0" w:color="auto"/>
        <w:left w:val="none" w:sz="0" w:space="0" w:color="auto"/>
        <w:bottom w:val="none" w:sz="0" w:space="0" w:color="auto"/>
        <w:right w:val="none" w:sz="0" w:space="0" w:color="auto"/>
      </w:divBdr>
    </w:div>
    <w:div w:id="777796100">
      <w:bodyDiv w:val="1"/>
      <w:marLeft w:val="0"/>
      <w:marRight w:val="0"/>
      <w:marTop w:val="1200"/>
      <w:marBottom w:val="0"/>
      <w:divBdr>
        <w:top w:val="none" w:sz="0" w:space="0" w:color="auto"/>
        <w:left w:val="none" w:sz="0" w:space="0" w:color="auto"/>
        <w:bottom w:val="none" w:sz="0" w:space="0" w:color="auto"/>
        <w:right w:val="none" w:sz="0" w:space="0" w:color="auto"/>
      </w:divBdr>
      <w:divsChild>
        <w:div w:id="1394504139">
          <w:marLeft w:val="0"/>
          <w:marRight w:val="0"/>
          <w:marTop w:val="0"/>
          <w:marBottom w:val="0"/>
          <w:divBdr>
            <w:top w:val="none" w:sz="0" w:space="0" w:color="auto"/>
            <w:left w:val="none" w:sz="0" w:space="0" w:color="auto"/>
            <w:bottom w:val="none" w:sz="0" w:space="0" w:color="auto"/>
            <w:right w:val="none" w:sz="0" w:space="0" w:color="auto"/>
          </w:divBdr>
        </w:div>
      </w:divsChild>
    </w:div>
    <w:div w:id="804543093">
      <w:bodyDiv w:val="1"/>
      <w:marLeft w:val="0"/>
      <w:marRight w:val="0"/>
      <w:marTop w:val="0"/>
      <w:marBottom w:val="0"/>
      <w:divBdr>
        <w:top w:val="none" w:sz="0" w:space="0" w:color="auto"/>
        <w:left w:val="none" w:sz="0" w:space="0" w:color="auto"/>
        <w:bottom w:val="none" w:sz="0" w:space="0" w:color="auto"/>
        <w:right w:val="none" w:sz="0" w:space="0" w:color="auto"/>
      </w:divBdr>
    </w:div>
    <w:div w:id="825975321">
      <w:bodyDiv w:val="1"/>
      <w:marLeft w:val="0"/>
      <w:marRight w:val="0"/>
      <w:marTop w:val="0"/>
      <w:marBottom w:val="0"/>
      <w:divBdr>
        <w:top w:val="none" w:sz="0" w:space="0" w:color="auto"/>
        <w:left w:val="none" w:sz="0" w:space="0" w:color="auto"/>
        <w:bottom w:val="none" w:sz="0" w:space="0" w:color="auto"/>
        <w:right w:val="none" w:sz="0" w:space="0" w:color="auto"/>
      </w:divBdr>
      <w:divsChild>
        <w:div w:id="137577031">
          <w:marLeft w:val="0"/>
          <w:marRight w:val="0"/>
          <w:marTop w:val="0"/>
          <w:marBottom w:val="0"/>
          <w:divBdr>
            <w:top w:val="none" w:sz="0" w:space="0" w:color="auto"/>
            <w:left w:val="none" w:sz="0" w:space="0" w:color="auto"/>
            <w:bottom w:val="none" w:sz="0" w:space="0" w:color="auto"/>
            <w:right w:val="none" w:sz="0" w:space="0" w:color="auto"/>
          </w:divBdr>
          <w:divsChild>
            <w:div w:id="1897206435">
              <w:marLeft w:val="0"/>
              <w:marRight w:val="0"/>
              <w:marTop w:val="0"/>
              <w:marBottom w:val="0"/>
              <w:divBdr>
                <w:top w:val="none" w:sz="0" w:space="0" w:color="auto"/>
                <w:left w:val="none" w:sz="0" w:space="0" w:color="auto"/>
                <w:bottom w:val="none" w:sz="0" w:space="0" w:color="auto"/>
                <w:right w:val="none" w:sz="0" w:space="0" w:color="auto"/>
              </w:divBdr>
              <w:divsChild>
                <w:div w:id="101997147">
                  <w:marLeft w:val="0"/>
                  <w:marRight w:val="0"/>
                  <w:marTop w:val="0"/>
                  <w:marBottom w:val="0"/>
                  <w:divBdr>
                    <w:top w:val="none" w:sz="0" w:space="0" w:color="auto"/>
                    <w:left w:val="none" w:sz="0" w:space="0" w:color="auto"/>
                    <w:bottom w:val="none" w:sz="0" w:space="0" w:color="auto"/>
                    <w:right w:val="none" w:sz="0" w:space="0" w:color="auto"/>
                  </w:divBdr>
                  <w:divsChild>
                    <w:div w:id="1160778847">
                      <w:marLeft w:val="0"/>
                      <w:marRight w:val="0"/>
                      <w:marTop w:val="0"/>
                      <w:marBottom w:val="0"/>
                      <w:divBdr>
                        <w:top w:val="none" w:sz="0" w:space="0" w:color="auto"/>
                        <w:left w:val="none" w:sz="0" w:space="0" w:color="auto"/>
                        <w:bottom w:val="none" w:sz="0" w:space="0" w:color="auto"/>
                        <w:right w:val="none" w:sz="0" w:space="0" w:color="auto"/>
                      </w:divBdr>
                      <w:divsChild>
                        <w:div w:id="866916205">
                          <w:marLeft w:val="-150"/>
                          <w:marRight w:val="-150"/>
                          <w:marTop w:val="0"/>
                          <w:marBottom w:val="0"/>
                          <w:divBdr>
                            <w:top w:val="none" w:sz="0" w:space="0" w:color="auto"/>
                            <w:left w:val="none" w:sz="0" w:space="0" w:color="auto"/>
                            <w:bottom w:val="none" w:sz="0" w:space="0" w:color="auto"/>
                            <w:right w:val="none" w:sz="0" w:space="0" w:color="auto"/>
                          </w:divBdr>
                          <w:divsChild>
                            <w:div w:id="1523594181">
                              <w:marLeft w:val="0"/>
                              <w:marRight w:val="0"/>
                              <w:marTop w:val="0"/>
                              <w:marBottom w:val="0"/>
                              <w:divBdr>
                                <w:top w:val="none" w:sz="0" w:space="0" w:color="auto"/>
                                <w:left w:val="none" w:sz="0" w:space="0" w:color="auto"/>
                                <w:bottom w:val="none" w:sz="0" w:space="0" w:color="auto"/>
                                <w:right w:val="none" w:sz="0" w:space="0" w:color="auto"/>
                              </w:divBdr>
                              <w:divsChild>
                                <w:div w:id="1882932745">
                                  <w:marLeft w:val="-150"/>
                                  <w:marRight w:val="-150"/>
                                  <w:marTop w:val="0"/>
                                  <w:marBottom w:val="0"/>
                                  <w:divBdr>
                                    <w:top w:val="none" w:sz="0" w:space="0" w:color="auto"/>
                                    <w:left w:val="none" w:sz="0" w:space="0" w:color="auto"/>
                                    <w:bottom w:val="none" w:sz="0" w:space="0" w:color="auto"/>
                                    <w:right w:val="none" w:sz="0" w:space="0" w:color="auto"/>
                                  </w:divBdr>
                                  <w:divsChild>
                                    <w:div w:id="10277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73602">
      <w:bodyDiv w:val="1"/>
      <w:marLeft w:val="0"/>
      <w:marRight w:val="0"/>
      <w:marTop w:val="0"/>
      <w:marBottom w:val="0"/>
      <w:divBdr>
        <w:top w:val="none" w:sz="0" w:space="0" w:color="auto"/>
        <w:left w:val="none" w:sz="0" w:space="0" w:color="auto"/>
        <w:bottom w:val="none" w:sz="0" w:space="0" w:color="auto"/>
        <w:right w:val="none" w:sz="0" w:space="0" w:color="auto"/>
      </w:divBdr>
      <w:divsChild>
        <w:div w:id="77602166">
          <w:marLeft w:val="0"/>
          <w:marRight w:val="0"/>
          <w:marTop w:val="0"/>
          <w:marBottom w:val="300"/>
          <w:divBdr>
            <w:top w:val="none" w:sz="0" w:space="0" w:color="auto"/>
            <w:left w:val="none" w:sz="0" w:space="0" w:color="auto"/>
            <w:bottom w:val="none" w:sz="0" w:space="0" w:color="auto"/>
            <w:right w:val="none" w:sz="0" w:space="0" w:color="auto"/>
          </w:divBdr>
          <w:divsChild>
            <w:div w:id="1593392082">
              <w:marLeft w:val="0"/>
              <w:marRight w:val="0"/>
              <w:marTop w:val="0"/>
              <w:marBottom w:val="0"/>
              <w:divBdr>
                <w:top w:val="none" w:sz="0" w:space="0" w:color="auto"/>
                <w:left w:val="single" w:sz="6" w:space="1" w:color="FFFFFF"/>
                <w:bottom w:val="none" w:sz="0" w:space="0" w:color="auto"/>
                <w:right w:val="single" w:sz="6" w:space="1" w:color="FFFFFF"/>
              </w:divBdr>
              <w:divsChild>
                <w:div w:id="1082949436">
                  <w:marLeft w:val="0"/>
                  <w:marRight w:val="0"/>
                  <w:marTop w:val="0"/>
                  <w:marBottom w:val="0"/>
                  <w:divBdr>
                    <w:top w:val="none" w:sz="0" w:space="0" w:color="auto"/>
                    <w:left w:val="none" w:sz="0" w:space="0" w:color="auto"/>
                    <w:bottom w:val="none" w:sz="0" w:space="0" w:color="auto"/>
                    <w:right w:val="none" w:sz="0" w:space="0" w:color="auto"/>
                  </w:divBdr>
                  <w:divsChild>
                    <w:div w:id="1882280037">
                      <w:marLeft w:val="0"/>
                      <w:marRight w:val="0"/>
                      <w:marTop w:val="0"/>
                      <w:marBottom w:val="0"/>
                      <w:divBdr>
                        <w:top w:val="none" w:sz="0" w:space="0" w:color="auto"/>
                        <w:left w:val="none" w:sz="0" w:space="0" w:color="auto"/>
                        <w:bottom w:val="none" w:sz="0" w:space="0" w:color="auto"/>
                        <w:right w:val="none" w:sz="0" w:space="0" w:color="auto"/>
                      </w:divBdr>
                      <w:divsChild>
                        <w:div w:id="2024043437">
                          <w:marLeft w:val="0"/>
                          <w:marRight w:val="0"/>
                          <w:marTop w:val="0"/>
                          <w:marBottom w:val="0"/>
                          <w:divBdr>
                            <w:top w:val="none" w:sz="0" w:space="0" w:color="auto"/>
                            <w:left w:val="none" w:sz="0" w:space="0" w:color="auto"/>
                            <w:bottom w:val="none" w:sz="0" w:space="0" w:color="auto"/>
                            <w:right w:val="none" w:sz="0" w:space="0" w:color="auto"/>
                          </w:divBdr>
                          <w:divsChild>
                            <w:div w:id="119959226">
                              <w:marLeft w:val="0"/>
                              <w:marRight w:val="0"/>
                              <w:marTop w:val="0"/>
                              <w:marBottom w:val="0"/>
                              <w:divBdr>
                                <w:top w:val="none" w:sz="0" w:space="0" w:color="auto"/>
                                <w:left w:val="none" w:sz="0" w:space="0" w:color="auto"/>
                                <w:bottom w:val="none" w:sz="0" w:space="0" w:color="auto"/>
                                <w:right w:val="none" w:sz="0" w:space="0" w:color="auto"/>
                              </w:divBdr>
                              <w:divsChild>
                                <w:div w:id="137772233">
                                  <w:marLeft w:val="0"/>
                                  <w:marRight w:val="0"/>
                                  <w:marTop w:val="0"/>
                                  <w:marBottom w:val="0"/>
                                  <w:divBdr>
                                    <w:top w:val="none" w:sz="0" w:space="0" w:color="auto"/>
                                    <w:left w:val="none" w:sz="0" w:space="0" w:color="auto"/>
                                    <w:bottom w:val="none" w:sz="0" w:space="0" w:color="auto"/>
                                    <w:right w:val="none" w:sz="0" w:space="0" w:color="auto"/>
                                  </w:divBdr>
                                  <w:divsChild>
                                    <w:div w:id="6355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45750">
      <w:bodyDiv w:val="1"/>
      <w:marLeft w:val="0"/>
      <w:marRight w:val="0"/>
      <w:marTop w:val="0"/>
      <w:marBottom w:val="0"/>
      <w:divBdr>
        <w:top w:val="none" w:sz="0" w:space="0" w:color="auto"/>
        <w:left w:val="none" w:sz="0" w:space="0" w:color="auto"/>
        <w:bottom w:val="none" w:sz="0" w:space="0" w:color="auto"/>
        <w:right w:val="none" w:sz="0" w:space="0" w:color="auto"/>
      </w:divBdr>
      <w:divsChild>
        <w:div w:id="1558198011">
          <w:marLeft w:val="0"/>
          <w:marRight w:val="0"/>
          <w:marTop w:val="0"/>
          <w:marBottom w:val="0"/>
          <w:divBdr>
            <w:top w:val="none" w:sz="0" w:space="0" w:color="auto"/>
            <w:left w:val="none" w:sz="0" w:space="0" w:color="auto"/>
            <w:bottom w:val="none" w:sz="0" w:space="0" w:color="auto"/>
            <w:right w:val="none" w:sz="0" w:space="0" w:color="auto"/>
          </w:divBdr>
          <w:divsChild>
            <w:div w:id="10541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4859">
      <w:bodyDiv w:val="1"/>
      <w:marLeft w:val="0"/>
      <w:marRight w:val="0"/>
      <w:marTop w:val="0"/>
      <w:marBottom w:val="0"/>
      <w:divBdr>
        <w:top w:val="none" w:sz="0" w:space="0" w:color="auto"/>
        <w:left w:val="none" w:sz="0" w:space="0" w:color="auto"/>
        <w:bottom w:val="none" w:sz="0" w:space="0" w:color="auto"/>
        <w:right w:val="none" w:sz="0" w:space="0" w:color="auto"/>
      </w:divBdr>
    </w:div>
    <w:div w:id="1634947412">
      <w:bodyDiv w:val="1"/>
      <w:marLeft w:val="0"/>
      <w:marRight w:val="0"/>
      <w:marTop w:val="0"/>
      <w:marBottom w:val="0"/>
      <w:divBdr>
        <w:top w:val="none" w:sz="0" w:space="0" w:color="auto"/>
        <w:left w:val="none" w:sz="0" w:space="0" w:color="auto"/>
        <w:bottom w:val="none" w:sz="0" w:space="0" w:color="auto"/>
        <w:right w:val="none" w:sz="0" w:space="0" w:color="auto"/>
      </w:divBdr>
    </w:div>
    <w:div w:id="2004628569">
      <w:bodyDiv w:val="1"/>
      <w:marLeft w:val="0"/>
      <w:marRight w:val="0"/>
      <w:marTop w:val="0"/>
      <w:marBottom w:val="0"/>
      <w:divBdr>
        <w:top w:val="none" w:sz="0" w:space="0" w:color="auto"/>
        <w:left w:val="none" w:sz="0" w:space="0" w:color="auto"/>
        <w:bottom w:val="none" w:sz="0" w:space="0" w:color="auto"/>
        <w:right w:val="none" w:sz="0" w:space="0" w:color="auto"/>
      </w:divBdr>
    </w:div>
    <w:div w:id="2012835076">
      <w:bodyDiv w:val="1"/>
      <w:marLeft w:val="0"/>
      <w:marRight w:val="0"/>
      <w:marTop w:val="0"/>
      <w:marBottom w:val="0"/>
      <w:divBdr>
        <w:top w:val="none" w:sz="0" w:space="0" w:color="auto"/>
        <w:left w:val="none" w:sz="0" w:space="0" w:color="auto"/>
        <w:bottom w:val="none" w:sz="0" w:space="0" w:color="auto"/>
        <w:right w:val="none" w:sz="0" w:space="0" w:color="auto"/>
      </w:divBdr>
      <w:divsChild>
        <w:div w:id="214784086">
          <w:marLeft w:val="0"/>
          <w:marRight w:val="0"/>
          <w:marTop w:val="0"/>
          <w:marBottom w:val="300"/>
          <w:divBdr>
            <w:top w:val="none" w:sz="0" w:space="0" w:color="auto"/>
            <w:left w:val="none" w:sz="0" w:space="0" w:color="auto"/>
            <w:bottom w:val="none" w:sz="0" w:space="0" w:color="auto"/>
            <w:right w:val="none" w:sz="0" w:space="0" w:color="auto"/>
          </w:divBdr>
          <w:divsChild>
            <w:div w:id="1212155221">
              <w:marLeft w:val="0"/>
              <w:marRight w:val="0"/>
              <w:marTop w:val="0"/>
              <w:marBottom w:val="0"/>
              <w:divBdr>
                <w:top w:val="none" w:sz="0" w:space="0" w:color="auto"/>
                <w:left w:val="single" w:sz="6" w:space="1" w:color="FFFFFF"/>
                <w:bottom w:val="none" w:sz="0" w:space="0" w:color="auto"/>
                <w:right w:val="single" w:sz="6" w:space="1" w:color="FFFFFF"/>
              </w:divBdr>
              <w:divsChild>
                <w:div w:id="1470976695">
                  <w:marLeft w:val="0"/>
                  <w:marRight w:val="0"/>
                  <w:marTop w:val="0"/>
                  <w:marBottom w:val="0"/>
                  <w:divBdr>
                    <w:top w:val="none" w:sz="0" w:space="0" w:color="auto"/>
                    <w:left w:val="none" w:sz="0" w:space="0" w:color="auto"/>
                    <w:bottom w:val="none" w:sz="0" w:space="0" w:color="auto"/>
                    <w:right w:val="none" w:sz="0" w:space="0" w:color="auto"/>
                  </w:divBdr>
                  <w:divsChild>
                    <w:div w:id="1618177861">
                      <w:marLeft w:val="0"/>
                      <w:marRight w:val="0"/>
                      <w:marTop w:val="0"/>
                      <w:marBottom w:val="0"/>
                      <w:divBdr>
                        <w:top w:val="none" w:sz="0" w:space="0" w:color="auto"/>
                        <w:left w:val="none" w:sz="0" w:space="0" w:color="auto"/>
                        <w:bottom w:val="none" w:sz="0" w:space="0" w:color="auto"/>
                        <w:right w:val="none" w:sz="0" w:space="0" w:color="auto"/>
                      </w:divBdr>
                      <w:divsChild>
                        <w:div w:id="602803280">
                          <w:marLeft w:val="0"/>
                          <w:marRight w:val="0"/>
                          <w:marTop w:val="0"/>
                          <w:marBottom w:val="0"/>
                          <w:divBdr>
                            <w:top w:val="none" w:sz="0" w:space="0" w:color="auto"/>
                            <w:left w:val="none" w:sz="0" w:space="0" w:color="auto"/>
                            <w:bottom w:val="none" w:sz="0" w:space="0" w:color="auto"/>
                            <w:right w:val="none" w:sz="0" w:space="0" w:color="auto"/>
                          </w:divBdr>
                          <w:divsChild>
                            <w:div w:id="1623003091">
                              <w:marLeft w:val="0"/>
                              <w:marRight w:val="0"/>
                              <w:marTop w:val="0"/>
                              <w:marBottom w:val="0"/>
                              <w:divBdr>
                                <w:top w:val="none" w:sz="0" w:space="0" w:color="auto"/>
                                <w:left w:val="none" w:sz="0" w:space="0" w:color="auto"/>
                                <w:bottom w:val="none" w:sz="0" w:space="0" w:color="auto"/>
                                <w:right w:val="none" w:sz="0" w:space="0" w:color="auto"/>
                              </w:divBdr>
                              <w:divsChild>
                                <w:div w:id="1485783194">
                                  <w:marLeft w:val="0"/>
                                  <w:marRight w:val="0"/>
                                  <w:marTop w:val="0"/>
                                  <w:marBottom w:val="0"/>
                                  <w:divBdr>
                                    <w:top w:val="none" w:sz="0" w:space="0" w:color="auto"/>
                                    <w:left w:val="none" w:sz="0" w:space="0" w:color="auto"/>
                                    <w:bottom w:val="none" w:sz="0" w:space="0" w:color="auto"/>
                                    <w:right w:val="none" w:sz="0" w:space="0" w:color="auto"/>
                                  </w:divBdr>
                                  <w:divsChild>
                                    <w:div w:id="20576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ljogodkendelsesvejledningen.dk/opslag/53-godkendelsespligt/539-godkendelsespligtens-udstraekn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sdyrvejledning.mst.dk/vejledning-til-bekendtgoerelserne/husdyrgoednings-bekendtgoerelsen/14-administrative-bestemmelse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iljogodkendelsesvejledningen.dk/opslag/53-godkendelsespligt/539-godkendelsespligtens-udstraekning/" TargetMode="External"/><Relationship Id="rId4" Type="http://schemas.openxmlformats.org/officeDocument/2006/relationships/settings" Target="settings.xml"/><Relationship Id="rId9" Type="http://schemas.openxmlformats.org/officeDocument/2006/relationships/hyperlink" Target="https://miljogodkendelsesvejledningen.dk/opslag/53-godkendelsespligt/539-godkendelsespligtens-udstraekning/"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F4AA-81FB-4854-A029-BBB9CD6C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14</Pages>
  <Words>5332</Words>
  <Characters>31008</Characters>
  <Application>Microsoft Office Word</Application>
  <DocSecurity>0</DocSecurity>
  <Lines>563</Lines>
  <Paragraphs>210</Paragraphs>
  <ScaleCrop>false</ScaleCrop>
  <HeadingPairs>
    <vt:vector size="2" baseType="variant">
      <vt:variant>
        <vt:lpstr>Titel</vt:lpstr>
      </vt:variant>
      <vt:variant>
        <vt:i4>1</vt:i4>
      </vt:variant>
    </vt:vector>
  </HeadingPairs>
  <TitlesOfParts>
    <vt:vector size="1" baseType="lpstr">
      <vt:lpstr>Skabelon for afsnit til godkendelsesvejledning</vt:lpstr>
    </vt:vector>
  </TitlesOfParts>
  <Company>Miljøministeriet</Company>
  <LinksUpToDate>false</LinksUpToDate>
  <CharactersWithSpaces>36130</CharactersWithSpaces>
  <SharedDoc>false</SharedDoc>
  <HLinks>
    <vt:vector size="12" baseType="variant">
      <vt:variant>
        <vt:i4>6815855</vt:i4>
      </vt:variant>
      <vt:variant>
        <vt:i4>3</vt:i4>
      </vt:variant>
      <vt:variant>
        <vt:i4>0</vt:i4>
      </vt:variant>
      <vt:variant>
        <vt:i4>5</vt:i4>
      </vt:variant>
      <vt:variant>
        <vt:lpwstr>http://www.nmkn.dk/Klagevejledning/klageregler_lovomraader/Klageregler_Miljoebeskyttelsesloven/</vt:lpwstr>
      </vt:variant>
      <vt:variant>
        <vt:lpwstr/>
      </vt:variant>
      <vt:variant>
        <vt:i4>4194402</vt:i4>
      </vt:variant>
      <vt:variant>
        <vt:i4>0</vt:i4>
      </vt:variant>
      <vt:variant>
        <vt:i4>0</vt:i4>
      </vt:variant>
      <vt:variant>
        <vt:i4>5</vt:i4>
      </vt:variant>
      <vt:variant>
        <vt:lpwstr>mailto:nmkn@nmkn.dk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afsnit til godkendelsesvejledning</dc:title>
  <dc:subject/>
  <dc:creator>Hanne Lylov Nielsen</dc:creator>
  <cp:keywords/>
  <dc:description/>
  <cp:lastModifiedBy>Sandra Fisker</cp:lastModifiedBy>
  <cp:revision>11</cp:revision>
  <dcterms:created xsi:type="dcterms:W3CDTF">2020-02-11T11:59:00Z</dcterms:created>
  <dcterms:modified xsi:type="dcterms:W3CDTF">2020-02-14T12:58:00Z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