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10A4ED2F" w14:textId="77777777" w:rsidTr="00125B14">
        <w:trPr>
          <w:trHeight w:val="947"/>
        </w:trPr>
        <w:tc>
          <w:tcPr>
            <w:tcW w:w="9628" w:type="dxa"/>
            <w:shd w:val="clear" w:color="auto" w:fill="auto"/>
          </w:tcPr>
          <w:p w14:paraId="4305D222" w14:textId="77777777" w:rsidR="004008DD" w:rsidRDefault="004008DD" w:rsidP="002534E3"/>
          <w:p w14:paraId="515B47F4" w14:textId="77777777" w:rsidR="004008DD" w:rsidRPr="00125B14" w:rsidRDefault="00212935" w:rsidP="002534E3">
            <w:pPr>
              <w:pStyle w:val="Overskrift1"/>
            </w:pPr>
            <w:r>
              <w:t>4.4 Brugerbetaling</w:t>
            </w:r>
          </w:p>
          <w:p w14:paraId="35E4412B" w14:textId="77777777" w:rsidR="004008DD" w:rsidRDefault="004008DD" w:rsidP="002534E3"/>
        </w:tc>
      </w:tr>
      <w:tr w:rsidR="004008DD" w14:paraId="084C3EA3" w14:textId="77777777" w:rsidTr="00125B14">
        <w:tc>
          <w:tcPr>
            <w:tcW w:w="9628" w:type="dxa"/>
            <w:shd w:val="clear" w:color="auto" w:fill="auto"/>
          </w:tcPr>
          <w:p w14:paraId="3F1266C9" w14:textId="555F470D" w:rsidR="000121CA" w:rsidRDefault="000121CA" w:rsidP="002C3111">
            <w:pPr>
              <w:pStyle w:val="Opstilling-punkttegn"/>
              <w:numPr>
                <w:ilvl w:val="0"/>
                <w:numId w:val="0"/>
              </w:numPr>
              <w:ind w:left="360" w:hanging="360"/>
            </w:pPr>
            <w:r>
              <w:t>Underafsnit:</w:t>
            </w:r>
          </w:p>
          <w:p w14:paraId="542BEB19" w14:textId="524E041F" w:rsidR="000121CA" w:rsidRPr="002C3111" w:rsidRDefault="00AD07F5" w:rsidP="000121CA">
            <w:pPr>
              <w:pStyle w:val="Opstilling-punkttegn"/>
            </w:pPr>
            <w:r w:rsidRPr="002C3111">
              <w:rPr>
                <w:color w:val="00B050"/>
              </w:rPr>
              <w:t>Hvad kan der opkræves brugerbetaling for? (4.4.1)</w:t>
            </w:r>
          </w:p>
          <w:p w14:paraId="687BCEAA" w14:textId="5F156E0E" w:rsidR="00AD07F5" w:rsidRDefault="00AD07F5" w:rsidP="00AD07F5">
            <w:pPr>
              <w:pStyle w:val="Opstilling-punkttegn"/>
            </w:pPr>
            <w:r w:rsidRPr="002C3111">
              <w:rPr>
                <w:color w:val="00B050"/>
              </w:rPr>
              <w:t>Hvad kan der ikke opkræves brugerbetaling for? (4.4.2)</w:t>
            </w:r>
          </w:p>
          <w:p w14:paraId="222BE065" w14:textId="79165305" w:rsidR="00AD07F5" w:rsidRDefault="00AD07F5" w:rsidP="00AD07F5">
            <w:pPr>
              <w:pStyle w:val="Opstilling-punkttegn"/>
              <w:numPr>
                <w:ilvl w:val="0"/>
                <w:numId w:val="0"/>
              </w:numPr>
              <w:ind w:left="360"/>
            </w:pPr>
          </w:p>
        </w:tc>
      </w:tr>
      <w:tr w:rsidR="004008DD" w14:paraId="3FEB2F16" w14:textId="77777777" w:rsidTr="00125B14">
        <w:tc>
          <w:tcPr>
            <w:tcW w:w="9628" w:type="dxa"/>
            <w:shd w:val="clear" w:color="auto" w:fill="auto"/>
          </w:tcPr>
          <w:p w14:paraId="4256CAF7" w14:textId="77777777" w:rsidR="00C21EC4" w:rsidRDefault="00C21EC4" w:rsidP="002534E3">
            <w:pPr>
              <w:pStyle w:val="Underoverskrift"/>
              <w:rPr>
                <w:b w:val="0"/>
              </w:rPr>
            </w:pPr>
          </w:p>
          <w:p w14:paraId="700BB2AD" w14:textId="2417DBC5" w:rsidR="00CD0CE8" w:rsidRDefault="00F308DB" w:rsidP="002534E3">
            <w:pPr>
              <w:pStyle w:val="Underoverskrift"/>
              <w:rPr>
                <w:b w:val="0"/>
              </w:rPr>
            </w:pPr>
            <w:bookmarkStart w:id="0" w:name="_GoBack"/>
            <w:bookmarkEnd w:id="0"/>
            <w:r>
              <w:rPr>
                <w:b w:val="0"/>
              </w:rPr>
              <w:t>De u</w:t>
            </w:r>
            <w:r w:rsidR="00CD0CE8" w:rsidRPr="00CD0CE8">
              <w:rPr>
                <w:b w:val="0"/>
              </w:rPr>
              <w:t>dgifter</w:t>
            </w:r>
            <w:r w:rsidR="00FD29A9">
              <w:rPr>
                <w:b w:val="0"/>
              </w:rPr>
              <w:t>,</w:t>
            </w:r>
            <w:r>
              <w:rPr>
                <w:b w:val="0"/>
              </w:rPr>
              <w:t xml:space="preserve"> der er forbundet med tilsynsmyndigheder</w:t>
            </w:r>
            <w:r w:rsidR="00AC15D2">
              <w:rPr>
                <w:b w:val="0"/>
              </w:rPr>
              <w:t>n</w:t>
            </w:r>
            <w:r w:rsidR="0047605B">
              <w:rPr>
                <w:b w:val="0"/>
              </w:rPr>
              <w:t>e</w:t>
            </w:r>
            <w:r>
              <w:rPr>
                <w:b w:val="0"/>
              </w:rPr>
              <w:t>s</w:t>
            </w:r>
            <w:r w:rsidR="00AC15D2">
              <w:rPr>
                <w:b w:val="0"/>
              </w:rPr>
              <w:t xml:space="preserve"> </w:t>
            </w:r>
            <w:r w:rsidR="00CD0CE8" w:rsidRPr="00CD0CE8">
              <w:rPr>
                <w:b w:val="0"/>
              </w:rPr>
              <w:t>miljøtilsyn</w:t>
            </w:r>
            <w:r>
              <w:rPr>
                <w:b w:val="0"/>
              </w:rPr>
              <w:t>sforpligtigelse</w:t>
            </w:r>
            <w:r w:rsidR="00FD29A9">
              <w:rPr>
                <w:b w:val="0"/>
              </w:rPr>
              <w:t>,</w:t>
            </w:r>
            <w:r w:rsidR="00CD0CE8" w:rsidRPr="00CD0CE8">
              <w:rPr>
                <w:b w:val="0"/>
              </w:rPr>
              <w:t xml:space="preserve"> finansieres bl.a. af brugerbetaling fra virksomheder og husdyrbrug m.v. Reglerne for brugerbetaling fremgår af bekendtgørelse om brugerbetaling for godkendelse m.v. og tilsyn efter lov om miljøbeskyttelse og lov om husdyrbrug og anvendelse af gødning m.v. (</w:t>
            </w:r>
            <w:r w:rsidR="00CD0CE8" w:rsidRPr="000121CA">
              <w:rPr>
                <w:b w:val="0"/>
                <w:color w:val="00B050"/>
              </w:rPr>
              <w:t>brugerbetalingsbekendtgørelsen</w:t>
            </w:r>
            <w:r w:rsidR="00CD0CE8" w:rsidRPr="00CD0CE8">
              <w:rPr>
                <w:b w:val="0"/>
              </w:rPr>
              <w:t>).</w:t>
            </w:r>
          </w:p>
          <w:p w14:paraId="0BD29149" w14:textId="77777777" w:rsidR="00F34D49" w:rsidRDefault="00F34D49" w:rsidP="002534E3">
            <w:pPr>
              <w:pStyle w:val="Underoverskrift"/>
              <w:rPr>
                <w:b w:val="0"/>
              </w:rPr>
            </w:pPr>
          </w:p>
          <w:p w14:paraId="55AF3082" w14:textId="70A0AF1E" w:rsidR="004314BF" w:rsidRDefault="00F34D49" w:rsidP="002534E3">
            <w:pPr>
              <w:pStyle w:val="Underoverskrift"/>
              <w:rPr>
                <w:b w:val="0"/>
              </w:rPr>
            </w:pPr>
            <w:r w:rsidRPr="00F34D49">
              <w:rPr>
                <w:b w:val="0"/>
              </w:rPr>
              <w:t xml:space="preserve">I </w:t>
            </w:r>
            <w:r w:rsidR="000121CA" w:rsidRPr="002C3111">
              <w:rPr>
                <w:b w:val="0"/>
                <w:color w:val="00B050"/>
              </w:rPr>
              <w:t xml:space="preserve">afsnittet </w:t>
            </w:r>
            <w:r w:rsidR="000121CA">
              <w:rPr>
                <w:b w:val="0"/>
                <w:color w:val="00B050"/>
              </w:rPr>
              <w:t>"</w:t>
            </w:r>
            <w:r w:rsidR="000121CA" w:rsidRPr="002C3111">
              <w:rPr>
                <w:b w:val="0"/>
                <w:color w:val="00B050"/>
              </w:rPr>
              <w:t>Hvad kan der opkræves brugerbetaling for?</w:t>
            </w:r>
            <w:r w:rsidR="000121CA">
              <w:rPr>
                <w:b w:val="0"/>
                <w:color w:val="00B050"/>
              </w:rPr>
              <w:t xml:space="preserve">" (4.4.1) </w:t>
            </w:r>
            <w:r w:rsidRPr="00F34D49">
              <w:rPr>
                <w:b w:val="0"/>
              </w:rPr>
              <w:t>kan du læse, hvad</w:t>
            </w:r>
            <w:r>
              <w:rPr>
                <w:b w:val="0"/>
              </w:rPr>
              <w:t xml:space="preserve"> der kan opkræves brugerbetaling for. I afsnittet </w:t>
            </w:r>
            <w:r w:rsidRPr="000121CA">
              <w:rPr>
                <w:b w:val="0"/>
                <w:color w:val="00B050"/>
              </w:rPr>
              <w:t>”Hvad kan der ikke opkræves brugerbetaling for</w:t>
            </w:r>
            <w:r w:rsidR="00BF43BB" w:rsidRPr="000121CA">
              <w:rPr>
                <w:b w:val="0"/>
                <w:color w:val="00B050"/>
              </w:rPr>
              <w:t>?</w:t>
            </w:r>
            <w:r w:rsidRPr="000121CA">
              <w:rPr>
                <w:b w:val="0"/>
                <w:color w:val="00B050"/>
              </w:rPr>
              <w:t>” (</w:t>
            </w:r>
            <w:r w:rsidR="00305A45" w:rsidRPr="000121CA">
              <w:rPr>
                <w:b w:val="0"/>
                <w:color w:val="00B050"/>
              </w:rPr>
              <w:t>4.4.2</w:t>
            </w:r>
            <w:r w:rsidRPr="000121CA">
              <w:rPr>
                <w:b w:val="0"/>
                <w:color w:val="00B050"/>
              </w:rPr>
              <w:t>)</w:t>
            </w:r>
            <w:r w:rsidRPr="00305A45">
              <w:rPr>
                <w:b w:val="0"/>
                <w:color w:val="70AD47" w:themeColor="accent6"/>
              </w:rPr>
              <w:t xml:space="preserve"> </w:t>
            </w:r>
            <w:r>
              <w:rPr>
                <w:b w:val="0"/>
              </w:rPr>
              <w:t xml:space="preserve">kan du læse, hvilke aktiviteter </w:t>
            </w:r>
            <w:r w:rsidR="00FD29A9">
              <w:rPr>
                <w:b w:val="0"/>
              </w:rPr>
              <w:t xml:space="preserve">der </w:t>
            </w:r>
            <w:r>
              <w:rPr>
                <w:b w:val="0"/>
              </w:rPr>
              <w:t xml:space="preserve">ikke er brugerbetalingsbelagte. </w:t>
            </w:r>
          </w:p>
          <w:p w14:paraId="19359A77" w14:textId="77777777" w:rsidR="00333843" w:rsidRDefault="00333843" w:rsidP="002534E3">
            <w:pPr>
              <w:pStyle w:val="Underoverskrift"/>
              <w:rPr>
                <w:i/>
              </w:rPr>
            </w:pPr>
          </w:p>
          <w:p w14:paraId="119C0B07" w14:textId="1C879A42" w:rsidR="00212935" w:rsidRPr="00333843" w:rsidRDefault="00212935" w:rsidP="002534E3">
            <w:pPr>
              <w:pStyle w:val="Underoverskrift"/>
            </w:pPr>
            <w:r w:rsidRPr="00333843">
              <w:t>Brugerbetalingstakster</w:t>
            </w:r>
          </w:p>
          <w:p w14:paraId="29391A3A" w14:textId="7810CBE6" w:rsidR="004E2F60" w:rsidRDefault="00212935" w:rsidP="00212935">
            <w:pPr>
              <w:pStyle w:val="Underoverskrift"/>
              <w:rPr>
                <w:b w:val="0"/>
              </w:rPr>
            </w:pPr>
            <w:r w:rsidRPr="00212935">
              <w:rPr>
                <w:b w:val="0"/>
              </w:rPr>
              <w:t xml:space="preserve">Brugerbetalingstakster fremgår af </w:t>
            </w:r>
            <w:r w:rsidR="004E2F60">
              <w:rPr>
                <w:b w:val="0"/>
              </w:rPr>
              <w:t>brugerbetalings</w:t>
            </w:r>
            <w:r w:rsidRPr="00212935">
              <w:rPr>
                <w:b w:val="0"/>
              </w:rPr>
              <w:t>bekendtgørelsens bilag 2, afsnit 1. Taksten bliver revideret hvert år og offentliggøre</w:t>
            </w:r>
            <w:r w:rsidR="004E2F60">
              <w:rPr>
                <w:b w:val="0"/>
              </w:rPr>
              <w:t xml:space="preserve">s på Miljøstyrelsens hjemmeside: </w:t>
            </w:r>
            <w:hyperlink r:id="rId8" w:history="1">
              <w:r w:rsidR="004E2F60" w:rsidRPr="00920FAA">
                <w:rPr>
                  <w:rStyle w:val="Hyperlink"/>
                  <w:b w:val="0"/>
                </w:rPr>
                <w:t>https://mst.dk/erhverv/industri/brugerbetaling/</w:t>
              </w:r>
            </w:hyperlink>
          </w:p>
          <w:p w14:paraId="006F4673" w14:textId="77777777" w:rsidR="004E2F60" w:rsidRDefault="004E2F60" w:rsidP="00212935">
            <w:pPr>
              <w:pStyle w:val="Underoverskrift"/>
              <w:rPr>
                <w:b w:val="0"/>
              </w:rPr>
            </w:pPr>
          </w:p>
          <w:p w14:paraId="2A5FB44E" w14:textId="6BC77E03" w:rsidR="00212935" w:rsidRPr="00212935" w:rsidRDefault="00212935" w:rsidP="00212935">
            <w:pPr>
              <w:pStyle w:val="Underoverskrift"/>
              <w:rPr>
                <w:b w:val="0"/>
              </w:rPr>
            </w:pPr>
            <w:r w:rsidRPr="00212935">
              <w:rPr>
                <w:b w:val="0"/>
              </w:rPr>
              <w:t xml:space="preserve">For fremmede tjenesteydelser, der er </w:t>
            </w:r>
            <w:r w:rsidR="002B6A2E">
              <w:rPr>
                <w:b w:val="0"/>
              </w:rPr>
              <w:t xml:space="preserve">brugt </w:t>
            </w:r>
            <w:r w:rsidR="00792EAA">
              <w:rPr>
                <w:b w:val="0"/>
              </w:rPr>
              <w:t xml:space="preserve">på </w:t>
            </w:r>
            <w:r w:rsidR="00FD29A9">
              <w:rPr>
                <w:b w:val="0"/>
              </w:rPr>
              <w:t xml:space="preserve">opgaver, som er nævnt </w:t>
            </w:r>
            <w:r w:rsidR="002B6A2E">
              <w:rPr>
                <w:b w:val="0"/>
              </w:rPr>
              <w:t xml:space="preserve">i bekendtgørelsens § 1, </w:t>
            </w:r>
            <w:r w:rsidRPr="00212935">
              <w:rPr>
                <w:b w:val="0"/>
              </w:rPr>
              <w:t xml:space="preserve">opkræves 57,79 pct. af regningsbeløbet. </w:t>
            </w:r>
          </w:p>
          <w:p w14:paraId="3494E6FC" w14:textId="77777777" w:rsidR="00212935" w:rsidRPr="00212935" w:rsidRDefault="00212935" w:rsidP="00212935">
            <w:pPr>
              <w:pStyle w:val="Underoverskrift"/>
              <w:rPr>
                <w:b w:val="0"/>
              </w:rPr>
            </w:pPr>
          </w:p>
          <w:p w14:paraId="4F6E126F" w14:textId="53C33628" w:rsidR="00212935" w:rsidRDefault="00212935" w:rsidP="00212935">
            <w:pPr>
              <w:pStyle w:val="Underoverskrift"/>
              <w:rPr>
                <w:b w:val="0"/>
              </w:rPr>
            </w:pPr>
            <w:r w:rsidRPr="00212935">
              <w:rPr>
                <w:b w:val="0"/>
              </w:rPr>
              <w:t>For godkendelses- eller tilladelsespligtige husdyrbrug m.v.</w:t>
            </w:r>
            <w:r w:rsidR="00FD29A9">
              <w:rPr>
                <w:b w:val="0"/>
              </w:rPr>
              <w:t>, der er</w:t>
            </w:r>
            <w:r w:rsidRPr="00212935">
              <w:rPr>
                <w:b w:val="0"/>
              </w:rPr>
              <w:t xml:space="preserve"> omfattet af </w:t>
            </w:r>
            <w:r w:rsidRPr="002C3111">
              <w:rPr>
                <w:b w:val="0"/>
                <w:color w:val="00B050"/>
              </w:rPr>
              <w:t>lov om husdyrbrug og anvendelse af gødning m.v.</w:t>
            </w:r>
            <w:r w:rsidRPr="00212935">
              <w:rPr>
                <w:b w:val="0"/>
              </w:rPr>
              <w:t xml:space="preserve"> og </w:t>
            </w:r>
            <w:r w:rsidRPr="002C3111">
              <w:rPr>
                <w:b w:val="0"/>
                <w:color w:val="00B050"/>
              </w:rPr>
              <w:t>lov om miljøgodkendelse m.v. af husdyrbrug</w:t>
            </w:r>
            <w:r w:rsidR="00FD29A9">
              <w:rPr>
                <w:b w:val="0"/>
              </w:rPr>
              <w:t>,</w:t>
            </w:r>
            <w:r w:rsidRPr="00212935">
              <w:rPr>
                <w:b w:val="0"/>
              </w:rPr>
              <w:t xml:space="preserve"> fastsættes brugerbetalingen for godkendelses- eller tilladelsesarbejdet efter henholdsvis § 16 a eller § 16 b eller efter de tidligere gældende regler i § 11 eller § 12 dog til 80 pct. af det samlede beløb, der </w:t>
            </w:r>
            <w:r w:rsidR="00EF3669">
              <w:rPr>
                <w:b w:val="0"/>
              </w:rPr>
              <w:t>er beregnet ved brug af de o</w:t>
            </w:r>
            <w:r w:rsidRPr="00212935">
              <w:rPr>
                <w:b w:val="0"/>
              </w:rPr>
              <w:t>vennævnte takster.</w:t>
            </w:r>
          </w:p>
          <w:p w14:paraId="118E1904" w14:textId="77777777" w:rsidR="00E40EB7" w:rsidRDefault="00E40EB7" w:rsidP="00E40EB7"/>
          <w:p w14:paraId="136269A6" w14:textId="2795F43A" w:rsidR="00E40EB7" w:rsidRPr="00333843" w:rsidRDefault="0047605B" w:rsidP="00E40EB7">
            <w:pPr>
              <w:rPr>
                <w:b/>
              </w:rPr>
            </w:pPr>
            <w:r w:rsidRPr="00333843">
              <w:rPr>
                <w:b/>
              </w:rPr>
              <w:t xml:space="preserve">Afgivelse af oplysninger til Miljøstyrelsen </w:t>
            </w:r>
          </w:p>
          <w:p w14:paraId="3EC7240C" w14:textId="5F3A243C" w:rsidR="0047605B" w:rsidRPr="0047605B" w:rsidRDefault="0047605B" w:rsidP="00E40EB7">
            <w:r>
              <w:t xml:space="preserve">I </w:t>
            </w:r>
            <w:r w:rsidR="00792EAA">
              <w:t xml:space="preserve">afsnittet </w:t>
            </w:r>
            <w:r w:rsidRPr="002C3111">
              <w:rPr>
                <w:color w:val="00B050"/>
              </w:rPr>
              <w:t>”Afgivelse af oplysninger og offentliggørelse”</w:t>
            </w:r>
            <w:r w:rsidR="00D25F94" w:rsidRPr="002C3111">
              <w:rPr>
                <w:color w:val="00B050"/>
              </w:rPr>
              <w:t xml:space="preserve"> (3.5) </w:t>
            </w:r>
            <w:r w:rsidR="00D25F94">
              <w:t xml:space="preserve">kan du læse, hvad der skal oplyses til Miljøstyrelsen med hensyn til </w:t>
            </w:r>
            <w:r>
              <w:t>de</w:t>
            </w:r>
            <w:r w:rsidR="00D25F94">
              <w:t xml:space="preserve">n opkrævede brugerbetaling. </w:t>
            </w:r>
          </w:p>
          <w:p w14:paraId="44CF6CAB" w14:textId="77777777" w:rsidR="0047605B" w:rsidRDefault="0047605B" w:rsidP="00E40EB7">
            <w:pPr>
              <w:rPr>
                <w:b/>
                <w:i/>
              </w:rPr>
            </w:pPr>
          </w:p>
          <w:p w14:paraId="476CA84A" w14:textId="5BD9B679" w:rsidR="004E2F60" w:rsidRPr="004E2F60" w:rsidRDefault="004E2F60" w:rsidP="004E2F60">
            <w:r w:rsidRPr="004E2F60">
              <w:t xml:space="preserve">Oplysninger om brugerbetaling, der skal afgives til Miljøstyrelsen, er de beløb, der er opkrævet hos virksomheden eller husdyrbruget m.v. i forbindelse </w:t>
            </w:r>
            <w:r w:rsidR="004A08F4">
              <w:t xml:space="preserve">med </w:t>
            </w:r>
            <w:r w:rsidRPr="004E2F60">
              <w:t>tilsyn, godkendelse m.v. iht.</w:t>
            </w:r>
            <w:r>
              <w:t xml:space="preserve"> brugerbetalingsbekendtgørelsen</w:t>
            </w:r>
            <w:r w:rsidRPr="004E2F60">
              <w:t>. H</w:t>
            </w:r>
            <w:r>
              <w:t xml:space="preserve">er medtages de beløb, </w:t>
            </w:r>
            <w:r w:rsidRPr="004E2F60">
              <w:t>der for kalenderåret opkræves hos virksomheden eller husdyrbruget m.v</w:t>
            </w:r>
            <w:r>
              <w:t>.</w:t>
            </w:r>
            <w:r w:rsidRPr="004E2F60">
              <w:t xml:space="preserve"> i forbindelse med kommunens egen sagsbehandling samt opkrævet brugerbetaling i forbindelse med fremmede tjenesteydelser. I de tilfælde, hvor der anvendes fremmede tjenesteydelser til løsning af bestemte opgaver, opkræves virksomheden/husdyrbruget</w:t>
            </w:r>
            <w:r w:rsidR="00FD29A9">
              <w:t xml:space="preserve"> m.v.</w:t>
            </w:r>
            <w:r w:rsidRPr="004E2F60">
              <w:t xml:space="preserve"> 57,79 % af regningsbeløbet (kommunens udgift til fremmede tjenesteydelse) eksklusiv moms, jf. brugerbetalingsbekendtgørelsen, bilag 2 afsnit 1. </w:t>
            </w:r>
          </w:p>
          <w:p w14:paraId="774F85F2" w14:textId="77777777" w:rsidR="004E2F60" w:rsidRPr="004E2F60" w:rsidRDefault="004E2F60" w:rsidP="004E2F60"/>
          <w:p w14:paraId="40D28130" w14:textId="5729969C" w:rsidR="004E2F60" w:rsidRPr="004E2F60" w:rsidRDefault="004E2F60" w:rsidP="004E2F60">
            <w:r w:rsidRPr="004E2F60">
              <w:t>Brugerbetaling = kommunens egne sagsbehandling + 57,79 % af regningsbeløbet eksklusiv moms for tjenesteydelser.</w:t>
            </w:r>
          </w:p>
          <w:p w14:paraId="6FBE4F34" w14:textId="72F15DF2" w:rsidR="0047605B" w:rsidRDefault="0047605B" w:rsidP="00E40EB7">
            <w:pPr>
              <w:rPr>
                <w:b/>
                <w:i/>
              </w:rPr>
            </w:pPr>
          </w:p>
          <w:p w14:paraId="30AE0806" w14:textId="202861A3" w:rsidR="0047605B" w:rsidRPr="00333843" w:rsidRDefault="0047605B" w:rsidP="00E40EB7">
            <w:pPr>
              <w:rPr>
                <w:b/>
              </w:rPr>
            </w:pPr>
            <w:r w:rsidRPr="00333843">
              <w:rPr>
                <w:b/>
              </w:rPr>
              <w:lastRenderedPageBreak/>
              <w:t>Opgørelse af tidsforbruget</w:t>
            </w:r>
          </w:p>
          <w:p w14:paraId="417BCBD0" w14:textId="3D8162AF" w:rsidR="00E40EB7" w:rsidRDefault="00E40EB7" w:rsidP="00E40EB7">
            <w:r>
              <w:t xml:space="preserve">Tidsforbruget skal opgøres </w:t>
            </w:r>
            <w:r w:rsidR="00AC15D2">
              <w:t>fordelt på tilsynsarbejdet på og uden</w:t>
            </w:r>
            <w:r w:rsidR="004A08F4">
              <w:t xml:space="preserve"> </w:t>
            </w:r>
            <w:r w:rsidR="00AC15D2">
              <w:t>for virksomheden eller husdyrbruget m.v., jf.</w:t>
            </w:r>
            <w:r>
              <w:t xml:space="preserve"> </w:t>
            </w:r>
            <w:r w:rsidRPr="002C3111">
              <w:rPr>
                <w:color w:val="00B050"/>
              </w:rPr>
              <w:t>brugerbetalingsbekendtgørelsens</w:t>
            </w:r>
            <w:r>
              <w:t xml:space="preserve"> bilag 2, afsnit 3.</w:t>
            </w:r>
          </w:p>
          <w:p w14:paraId="3B8AB1C9" w14:textId="52D33599" w:rsidR="000142EC" w:rsidRDefault="000142EC" w:rsidP="00E40EB7"/>
          <w:p w14:paraId="0333E07E" w14:textId="4A3A3140" w:rsidR="000142EC" w:rsidRDefault="000142EC" w:rsidP="000142EC">
            <w:r>
              <w:t>For listevirksomheder</w:t>
            </w:r>
            <w:r w:rsidR="004A08F4">
              <w:t xml:space="preserve">, der er </w:t>
            </w:r>
            <w:r>
              <w:t>omfattet af lov om miljøbeskyttelse</w:t>
            </w:r>
            <w:r w:rsidR="004A08F4">
              <w:t>,</w:t>
            </w:r>
            <w:r>
              <w:t xml:space="preserve"> opdeles registreringen mindst i følgende kategorier:</w:t>
            </w:r>
          </w:p>
          <w:p w14:paraId="7837EF54" w14:textId="77777777" w:rsidR="000142EC" w:rsidRDefault="000142EC" w:rsidP="000142EC"/>
          <w:p w14:paraId="14E55425" w14:textId="77777777" w:rsidR="000142EC" w:rsidRDefault="000142EC" w:rsidP="000142EC">
            <w:r>
              <w:t>1) Godkendelse – aktiviteter på virksomheden.</w:t>
            </w:r>
          </w:p>
          <w:p w14:paraId="0984BE22" w14:textId="77777777" w:rsidR="000142EC" w:rsidRDefault="000142EC" w:rsidP="000142EC">
            <w:r>
              <w:t>2) Godkendelse – aktiviteter uden for virksomheden.</w:t>
            </w:r>
          </w:p>
          <w:p w14:paraId="4FBA89E5" w14:textId="42E73815" w:rsidR="000142EC" w:rsidRDefault="000142EC" w:rsidP="000142EC">
            <w:r>
              <w:t>3) Tilsyn m.v. – aktiviteter på virksomheden.</w:t>
            </w:r>
          </w:p>
          <w:p w14:paraId="0401EB03" w14:textId="77777777" w:rsidR="000142EC" w:rsidRDefault="000142EC" w:rsidP="000142EC">
            <w:r>
              <w:t>4) Tilsyn m.v. – aktiviteter uden for virksomheden.</w:t>
            </w:r>
          </w:p>
          <w:p w14:paraId="58A18710" w14:textId="77777777" w:rsidR="000142EC" w:rsidRDefault="000142EC" w:rsidP="000142EC"/>
          <w:p w14:paraId="47C75AC3" w14:textId="3580304E" w:rsidR="000142EC" w:rsidRDefault="000142EC" w:rsidP="000142EC">
            <w:r>
              <w:t>For virksomheder</w:t>
            </w:r>
            <w:r w:rsidR="004A08F4">
              <w:t>, der er</w:t>
            </w:r>
            <w:r>
              <w:t xml:space="preserve"> omfattet af bekendtgørelse om virksomheder, </w:t>
            </w:r>
            <w:r w:rsidR="004A08F4">
              <w:t xml:space="preserve">som </w:t>
            </w:r>
            <w:r>
              <w:t>forarbejder emner af jern, stål eller andre metaller eller af bekendtgørelse om miljøkrav for mellemstore fyringsanlæg</w:t>
            </w:r>
            <w:r w:rsidR="004A08F4">
              <w:t>,</w:t>
            </w:r>
            <w:r>
              <w:t xml:space="preserve"> opdeles registreringen mindst i følgende kategorier:</w:t>
            </w:r>
          </w:p>
          <w:p w14:paraId="45F1BE89" w14:textId="77777777" w:rsidR="000142EC" w:rsidRDefault="000142EC" w:rsidP="000142EC"/>
          <w:p w14:paraId="6627637C" w14:textId="77777777" w:rsidR="000142EC" w:rsidRDefault="000142EC" w:rsidP="000142EC">
            <w:r>
              <w:t>1) Behandling af anmeldelse – aktiviteter på virksomheden.</w:t>
            </w:r>
          </w:p>
          <w:p w14:paraId="4A86525F" w14:textId="77777777" w:rsidR="000142EC" w:rsidRDefault="000142EC" w:rsidP="000142EC">
            <w:r>
              <w:t>2) Behandling af anmeldelse – aktiviteter uden for virksomheden.</w:t>
            </w:r>
          </w:p>
          <w:p w14:paraId="562163C3" w14:textId="77777777" w:rsidR="000142EC" w:rsidRDefault="000142EC" w:rsidP="000142EC">
            <w:r>
              <w:t>3) Tilsyn m.v. - aktiviteter på virksomheden.</w:t>
            </w:r>
          </w:p>
          <w:p w14:paraId="5C719DFC" w14:textId="77777777" w:rsidR="000142EC" w:rsidRDefault="000142EC" w:rsidP="000142EC">
            <w:r>
              <w:t>4) Tilsyn m.v. - aktiviteter uden for virksomheden.</w:t>
            </w:r>
          </w:p>
          <w:p w14:paraId="0DC6AA6F" w14:textId="77777777" w:rsidR="000142EC" w:rsidRDefault="000142EC" w:rsidP="000142EC"/>
          <w:p w14:paraId="19852EA8" w14:textId="16F2C729" w:rsidR="000142EC" w:rsidRDefault="000142EC" w:rsidP="000142EC">
            <w:r>
              <w:t>For godkendelses- og tilladelsespligtige husdyrbrug m.v.</w:t>
            </w:r>
            <w:r w:rsidR="004A08F4">
              <w:t>, der er</w:t>
            </w:r>
            <w:r>
              <w:t xml:space="preserve"> omfattet af lov om husdyrbrug og anvendelse af gødning m.v. eller lov om miljøgodkendelse m.v. af husdyrbrug</w:t>
            </w:r>
            <w:r w:rsidR="004A08F4">
              <w:t>,</w:t>
            </w:r>
            <w:r>
              <w:t xml:space="preserve"> opdeles registreringen mindst i følgende kategorier:</w:t>
            </w:r>
          </w:p>
          <w:p w14:paraId="255B9DB4" w14:textId="77777777" w:rsidR="000142EC" w:rsidRDefault="000142EC" w:rsidP="000142EC"/>
          <w:p w14:paraId="46BDBE7C" w14:textId="77777777" w:rsidR="000142EC" w:rsidRDefault="000142EC" w:rsidP="000142EC">
            <w:r>
              <w:t>1) Godkendelse efter § 11 eller § 12 – aktiviteter på husdyrbruget.</w:t>
            </w:r>
          </w:p>
          <w:p w14:paraId="0050CF9C" w14:textId="77777777" w:rsidR="000142EC" w:rsidRDefault="000142EC" w:rsidP="000142EC">
            <w:r>
              <w:t>2) Godkendelse efter § 11 eller § 12 – aktiviteter uden for husdyrbruget.</w:t>
            </w:r>
          </w:p>
          <w:p w14:paraId="2A62DA61" w14:textId="77777777" w:rsidR="000142EC" w:rsidRDefault="000142EC" w:rsidP="000142EC">
            <w:r>
              <w:t>3) Godkendelse eller tilladelse efter § 16 a eller § 16 b – aktiviteter på husdyrbruget.</w:t>
            </w:r>
          </w:p>
          <w:p w14:paraId="68EE63DB" w14:textId="77777777" w:rsidR="000142EC" w:rsidRDefault="000142EC" w:rsidP="000142EC">
            <w:r>
              <w:t>4) Godkendelse eller tilladelse efter § 16 a eller § 16 b – aktiviteter uden for husdyrbruget.</w:t>
            </w:r>
          </w:p>
          <w:p w14:paraId="03F2D6BA" w14:textId="77777777" w:rsidR="000142EC" w:rsidRDefault="000142EC" w:rsidP="000142EC">
            <w:r>
              <w:t>5) Tilsyn m.v. – aktiviteter på husdyrbruget.</w:t>
            </w:r>
          </w:p>
          <w:p w14:paraId="0AA7C6A3" w14:textId="77777777" w:rsidR="000142EC" w:rsidRDefault="000142EC" w:rsidP="000142EC">
            <w:r>
              <w:t>6) Tilsyn m.v. – aktiviteter uden for husdyrbruget.</w:t>
            </w:r>
          </w:p>
          <w:p w14:paraId="617C1B94" w14:textId="77777777" w:rsidR="000142EC" w:rsidRDefault="000142EC" w:rsidP="000142EC"/>
          <w:p w14:paraId="713AD7BA" w14:textId="77777777" w:rsidR="000142EC" w:rsidRDefault="000142EC" w:rsidP="000142EC">
            <w:r>
              <w:t>For andre husdyrbrug m.v. opdeles registreringen mindst i følgende kategorier:</w:t>
            </w:r>
          </w:p>
          <w:p w14:paraId="483CB002" w14:textId="77777777" w:rsidR="000142EC" w:rsidRDefault="000142EC" w:rsidP="000142EC">
            <w:r>
              <w:t>1) Tilsyn m.v. – aktiviteter på husdyrbruget m.v.</w:t>
            </w:r>
          </w:p>
          <w:p w14:paraId="384BC88A" w14:textId="2701C3E1" w:rsidR="000142EC" w:rsidRDefault="000142EC" w:rsidP="000142EC">
            <w:r>
              <w:t>2) Tilsyn m.v. – aktiviteter uden for husdyrbruget m.v.</w:t>
            </w:r>
          </w:p>
          <w:p w14:paraId="09C45D57" w14:textId="77777777" w:rsidR="00F065E6" w:rsidRDefault="00F065E6" w:rsidP="000142EC"/>
          <w:p w14:paraId="4B9B5745" w14:textId="77777777" w:rsidR="000142EC" w:rsidRDefault="000142EC" w:rsidP="000142EC">
            <w:r>
              <w:t>For andre virksomheder opdeles registreringen mindst i følgende kategorier:</w:t>
            </w:r>
          </w:p>
          <w:p w14:paraId="5AEDFDEF" w14:textId="77777777" w:rsidR="000142EC" w:rsidRDefault="000142EC" w:rsidP="000142EC">
            <w:r>
              <w:t>1) Tilsyn m.v. – aktiviteter på virksomheden.</w:t>
            </w:r>
          </w:p>
          <w:p w14:paraId="0FF13B3A" w14:textId="77777777" w:rsidR="000142EC" w:rsidRDefault="000142EC" w:rsidP="000142EC">
            <w:r>
              <w:t>2) Tilsyn m.v. – aktiviteter uden for virksomheden.</w:t>
            </w:r>
          </w:p>
          <w:p w14:paraId="3479DEF0" w14:textId="77777777" w:rsidR="000142EC" w:rsidRDefault="000142EC" w:rsidP="000142EC"/>
          <w:p w14:paraId="426A5FE0" w14:textId="77777777" w:rsidR="000142EC" w:rsidRDefault="000142EC" w:rsidP="000142EC">
            <w:r>
              <w:t>Alle omfattede aktiviteter, der ikke består i behandling af en godkendelsesansøgning eller anmeldelse, medregnes under tilsyn m.v.</w:t>
            </w:r>
          </w:p>
          <w:p w14:paraId="05ECE12E" w14:textId="77777777" w:rsidR="000142EC" w:rsidRDefault="000142EC" w:rsidP="000142EC"/>
          <w:p w14:paraId="46795A22" w14:textId="5F6B0343" w:rsidR="00E40EB7" w:rsidRDefault="00E40EB7" w:rsidP="00E40EB7">
            <w:r>
              <w:t>Registreringen skal ske som nærmeste halve time anvendt den pågældende dag pr. kategori. Afrundingen af tidsforbruget foretages således pr. dag pr. kategori. Tidsforbrug på under 15 minutter på en kategori på en dag registreres derfor ikke.</w:t>
            </w:r>
          </w:p>
          <w:p w14:paraId="3883AB03" w14:textId="77777777" w:rsidR="00E40EB7" w:rsidRDefault="00E40EB7" w:rsidP="00E40EB7"/>
          <w:p w14:paraId="2E4451B5" w14:textId="27691ACD" w:rsidR="00E40EB7" w:rsidRDefault="00E40EB7" w:rsidP="00E40EB7">
            <w:r>
              <w:lastRenderedPageBreak/>
              <w:t xml:space="preserve">Hvis der </w:t>
            </w:r>
            <w:r w:rsidR="00F065E6">
              <w:t>fx</w:t>
            </w:r>
            <w:r>
              <w:t xml:space="preserve"> en dag er brugt </w:t>
            </w:r>
            <w:r w:rsidR="00AC15D2">
              <w:t xml:space="preserve">10 </w:t>
            </w:r>
            <w:r>
              <w:t xml:space="preserve">minutter på tilsyn på husdyrbruget og </w:t>
            </w:r>
            <w:r w:rsidR="00AC15D2">
              <w:t xml:space="preserve">10 </w:t>
            </w:r>
            <w:r>
              <w:t>minutter på tilsyn uden for husdyrbruget, skal der for den pågældende dag registreres:</w:t>
            </w:r>
          </w:p>
          <w:p w14:paraId="15893B03" w14:textId="11C9E1D4" w:rsidR="00E40EB7" w:rsidRDefault="00E40EB7" w:rsidP="002C3111">
            <w:pPr>
              <w:tabs>
                <w:tab w:val="left" w:pos="240"/>
              </w:tabs>
            </w:pPr>
            <w:r>
              <w:t>•</w:t>
            </w:r>
            <w:r>
              <w:tab/>
              <w:t>Tilsyn m.v. – aktiviteter på husdyrbruget: 0 timer</w:t>
            </w:r>
          </w:p>
          <w:p w14:paraId="4CA9A048" w14:textId="77777777" w:rsidR="00E40EB7" w:rsidRDefault="00E40EB7" w:rsidP="002C3111">
            <w:pPr>
              <w:tabs>
                <w:tab w:val="left" w:pos="240"/>
              </w:tabs>
            </w:pPr>
            <w:r>
              <w:t>•</w:t>
            </w:r>
            <w:r>
              <w:tab/>
              <w:t>Tilsyn m.v. – aktiviteter uden for husdyrbruget: 0 timer</w:t>
            </w:r>
          </w:p>
          <w:p w14:paraId="2276BADB" w14:textId="77777777" w:rsidR="00C95883" w:rsidRPr="004D7ABE" w:rsidRDefault="00C95883" w:rsidP="0015415B"/>
        </w:tc>
      </w:tr>
    </w:tbl>
    <w:p w14:paraId="0548BADF" w14:textId="77777777" w:rsidR="004008DD" w:rsidRDefault="004008DD" w:rsidP="002534E3"/>
    <w:p w14:paraId="5235BC66" w14:textId="77777777" w:rsidR="00F34D49" w:rsidRDefault="00F34D49"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4D49" w14:paraId="7C31736A" w14:textId="77777777" w:rsidTr="00462699">
        <w:trPr>
          <w:trHeight w:val="947"/>
        </w:trPr>
        <w:tc>
          <w:tcPr>
            <w:tcW w:w="9628" w:type="dxa"/>
            <w:shd w:val="clear" w:color="auto" w:fill="auto"/>
          </w:tcPr>
          <w:p w14:paraId="72898884" w14:textId="77777777" w:rsidR="00F34D49" w:rsidRDefault="00F34D49" w:rsidP="00462699"/>
          <w:p w14:paraId="21472CA3" w14:textId="77777777" w:rsidR="00F34D49" w:rsidRPr="00125B14" w:rsidRDefault="00F34D49" w:rsidP="00462699">
            <w:pPr>
              <w:pStyle w:val="Overskrift1"/>
            </w:pPr>
            <w:r>
              <w:t xml:space="preserve">4.4.1. </w:t>
            </w:r>
            <w:r w:rsidRPr="00F34D49">
              <w:t>Hvad kan der opkræves brugerbetaling for?</w:t>
            </w:r>
          </w:p>
          <w:p w14:paraId="42882648" w14:textId="77777777" w:rsidR="00F34D49" w:rsidRDefault="00F34D49" w:rsidP="00462699"/>
        </w:tc>
      </w:tr>
      <w:tr w:rsidR="00F34D49" w14:paraId="319B1AA8" w14:textId="77777777" w:rsidTr="00462699">
        <w:tc>
          <w:tcPr>
            <w:tcW w:w="9628" w:type="dxa"/>
            <w:shd w:val="clear" w:color="auto" w:fill="auto"/>
          </w:tcPr>
          <w:p w14:paraId="41540222" w14:textId="77777777" w:rsidR="00333843" w:rsidRDefault="00333843" w:rsidP="00F34D49">
            <w:pPr>
              <w:rPr>
                <w:color w:val="00B050"/>
              </w:rPr>
            </w:pPr>
          </w:p>
          <w:p w14:paraId="7D265EC8" w14:textId="38737B75" w:rsidR="00F34D49" w:rsidRDefault="00F34D49" w:rsidP="00F34D49">
            <w:r w:rsidRPr="002C3111">
              <w:rPr>
                <w:color w:val="00B050"/>
              </w:rPr>
              <w:t>Brugerbetalingsbekendtgørelsen</w:t>
            </w:r>
            <w:r>
              <w:t xml:space="preserve"> indeholder to grundlægende betingelser for, at der kan opkræves brugerbetaling. </w:t>
            </w:r>
          </w:p>
          <w:p w14:paraId="440F0981" w14:textId="77777777" w:rsidR="00F34D49" w:rsidRDefault="00F34D49" w:rsidP="00F34D49"/>
          <w:p w14:paraId="0FEC749B" w14:textId="55571FF6" w:rsidR="00F34D49" w:rsidRDefault="00F34D49" w:rsidP="00F34D49">
            <w:r>
              <w:t>For det første skal der være tale om en virksomhed, anlæg eller indretning m.v. eller et husdyrbrug</w:t>
            </w:r>
            <w:r w:rsidR="00ED2B18">
              <w:t xml:space="preserve"> m.v.</w:t>
            </w:r>
            <w:r>
              <w:t xml:space="preserve">, der er omfattet af </w:t>
            </w:r>
            <w:r w:rsidRPr="002C3111">
              <w:rPr>
                <w:color w:val="00B050"/>
              </w:rPr>
              <w:t>brugerbetalingsbekendtgørelsens</w:t>
            </w:r>
            <w:r>
              <w:t xml:space="preserve"> § 2. For det andet skal der være tale om en aktivitet udført efter den lovgivning, som er nævnt i </w:t>
            </w:r>
            <w:r w:rsidRPr="002C3111">
              <w:rPr>
                <w:color w:val="00B050"/>
              </w:rPr>
              <w:t>brugerbetalingsbekendtgørelsens</w:t>
            </w:r>
            <w:r>
              <w:t xml:space="preserve"> § 1. Det er endvidere en forudsætning for at kunne opkræve brugerbetaling, at der er tale om en aktivitet, der er knyttet direkte til den pågældende virksomhed, anlæg eller indretning m.v. eller husdyrbrug.</w:t>
            </w:r>
          </w:p>
          <w:p w14:paraId="7D421082" w14:textId="77777777" w:rsidR="00F34D49" w:rsidRDefault="00F34D49" w:rsidP="00F34D49"/>
          <w:p w14:paraId="6A803FE3" w14:textId="542AEE50" w:rsidR="00F34D49" w:rsidRDefault="00F34D49" w:rsidP="00F34D49">
            <w:r>
              <w:t xml:space="preserve">Virksomheder, anlæg eller indretninger m.v. og husdyrbrug, jf. brugerbetalingsbekendtgørelsens § </w:t>
            </w:r>
            <w:r w:rsidR="00ED2B18">
              <w:t>2</w:t>
            </w:r>
            <w:r>
              <w:t>, er som følgende:</w:t>
            </w:r>
          </w:p>
          <w:p w14:paraId="551FE09F" w14:textId="77777777" w:rsidR="00F34D49" w:rsidRDefault="00F34D49" w:rsidP="002B6A2E">
            <w:pPr>
              <w:pStyle w:val="Listeafsnit"/>
              <w:numPr>
                <w:ilvl w:val="0"/>
                <w:numId w:val="19"/>
              </w:numPr>
              <w:ind w:left="457" w:hanging="457"/>
            </w:pPr>
            <w:r>
              <w:t>Virksomheder, anlæg eller indretninger m.v., der er omfattet af bekendtgørelse om godkendelse af listevirksomhed, jf. dog stk. 2.</w:t>
            </w:r>
          </w:p>
          <w:p w14:paraId="42F928F3" w14:textId="77777777" w:rsidR="00F34D49" w:rsidRDefault="00F34D49" w:rsidP="002B6A2E">
            <w:pPr>
              <w:pStyle w:val="Listeafsnit"/>
              <w:numPr>
                <w:ilvl w:val="0"/>
                <w:numId w:val="19"/>
              </w:numPr>
              <w:ind w:left="457" w:hanging="457"/>
            </w:pPr>
            <w:r>
              <w:t>Husdyrbrug, der er godkendt eller tilladt efter §§ 16 a eller 16 b i lov om husdyrbrug og anvendelse af gødning m.v. eller tilladt eller godkendt efter de tidligere gældende regler i §§ 10, 11 eller 12 i lov om miljøgodkendelse m.v. af husdyrbrug.</w:t>
            </w:r>
          </w:p>
          <w:p w14:paraId="6BA4CF69" w14:textId="77777777" w:rsidR="00F34D49" w:rsidRDefault="00F34D49" w:rsidP="002B6A2E">
            <w:pPr>
              <w:pStyle w:val="Listeafsnit"/>
              <w:numPr>
                <w:ilvl w:val="0"/>
                <w:numId w:val="19"/>
              </w:numPr>
              <w:ind w:left="457" w:hanging="457"/>
            </w:pPr>
            <w:r>
              <w:t>Arealer, der er omfattet af bekendtgørelse om erhvervsmæssigt dyrehold, husdyrgødning, ensilage m.v.</w:t>
            </w:r>
          </w:p>
          <w:p w14:paraId="2CB5E6E2" w14:textId="77777777" w:rsidR="00F34D49" w:rsidRDefault="00F34D49" w:rsidP="002B6A2E">
            <w:pPr>
              <w:pStyle w:val="Listeafsnit"/>
              <w:numPr>
                <w:ilvl w:val="0"/>
                <w:numId w:val="19"/>
              </w:numPr>
              <w:ind w:left="457" w:hanging="457"/>
            </w:pPr>
            <w:r>
              <w:t>Bestående husdyrbrug, der er omfattet af en miljøgodkendelse efter § 33 eller påbud efter § 41, jf. § 41 a og § 41 b i lov om miljøbeskyttelse, og som revurderes efter kapitel 4 i lov om husdyrbrug og anvendelse af gødning m.v.</w:t>
            </w:r>
          </w:p>
          <w:p w14:paraId="596729C4" w14:textId="77777777" w:rsidR="00F34D49" w:rsidRDefault="00F34D49" w:rsidP="002B6A2E">
            <w:pPr>
              <w:pStyle w:val="Listeafsnit"/>
              <w:numPr>
                <w:ilvl w:val="0"/>
                <w:numId w:val="19"/>
              </w:numPr>
              <w:ind w:left="457" w:hanging="457"/>
            </w:pPr>
            <w:r>
              <w:t>Erhvervsmæssigt dyrehold, som ikke er omfattet af nr. 1- 4.</w:t>
            </w:r>
          </w:p>
          <w:p w14:paraId="65BA30D9" w14:textId="77777777" w:rsidR="00F34D49" w:rsidRDefault="00F34D49" w:rsidP="002B6A2E">
            <w:pPr>
              <w:pStyle w:val="Listeafsnit"/>
              <w:numPr>
                <w:ilvl w:val="0"/>
                <w:numId w:val="19"/>
              </w:numPr>
              <w:ind w:left="457" w:hanging="457"/>
            </w:pPr>
            <w:r>
              <w:t>Virksomheder m.v., der er omfattet af bekendtgørelse om miljøkrav i forbindelse med etablering og drift af autoværksteder.</w:t>
            </w:r>
          </w:p>
          <w:p w14:paraId="32F0DD35" w14:textId="77777777" w:rsidR="00F34D49" w:rsidRDefault="00F34D49" w:rsidP="002B6A2E">
            <w:pPr>
              <w:pStyle w:val="Listeafsnit"/>
              <w:numPr>
                <w:ilvl w:val="0"/>
                <w:numId w:val="19"/>
              </w:numPr>
              <w:ind w:left="457" w:hanging="457"/>
            </w:pPr>
            <w:r>
              <w:t>Vindmøller, vindmølleparker og vindmøllegrupper, der er omfattet af bekendtgørelse om støj fra vindmøller, med undtagelse af vindmøller under 25 kilowatt.</w:t>
            </w:r>
          </w:p>
          <w:p w14:paraId="5D631511" w14:textId="77777777" w:rsidR="00F34D49" w:rsidRDefault="00F34D49" w:rsidP="002B6A2E">
            <w:pPr>
              <w:pStyle w:val="Listeafsnit"/>
              <w:numPr>
                <w:ilvl w:val="0"/>
                <w:numId w:val="19"/>
              </w:numPr>
              <w:ind w:left="457" w:hanging="457"/>
            </w:pPr>
            <w:r>
              <w:t>Virksomheder omfattet af bekendtgørelse om virksomheder, der forarbejder emner af jern, stål eller andre metaller.</w:t>
            </w:r>
          </w:p>
          <w:p w14:paraId="3D2C0CB6" w14:textId="77777777" w:rsidR="00F34D49" w:rsidRDefault="00F34D49" w:rsidP="002B6A2E">
            <w:pPr>
              <w:pStyle w:val="Listeafsnit"/>
              <w:numPr>
                <w:ilvl w:val="0"/>
                <w:numId w:val="19"/>
              </w:numPr>
              <w:ind w:left="457" w:hanging="457"/>
            </w:pPr>
            <w:r>
              <w:t>Anlæg omfattet af bekendtgørelse om miljøkrav for mellemstore fyringsanlæg.</w:t>
            </w:r>
          </w:p>
          <w:p w14:paraId="5DF06C4B" w14:textId="77777777" w:rsidR="00F34D49" w:rsidRDefault="00F34D49" w:rsidP="002B6A2E">
            <w:pPr>
              <w:pStyle w:val="Listeafsnit"/>
              <w:numPr>
                <w:ilvl w:val="0"/>
                <w:numId w:val="19"/>
              </w:numPr>
              <w:ind w:left="457" w:hanging="457"/>
            </w:pPr>
            <w:r>
              <w:t>Virksomheder m.v., der er optaget på bilag 1 i denne bekendtgørelse, jf. dog stk. 2.</w:t>
            </w:r>
          </w:p>
          <w:p w14:paraId="6B7772B4" w14:textId="77777777" w:rsidR="00F34D49" w:rsidRDefault="00F34D49" w:rsidP="00F34D49"/>
          <w:p w14:paraId="60784E16" w14:textId="64BFD195" w:rsidR="00F34D49" w:rsidRDefault="00F34D49" w:rsidP="00F34D49">
            <w:r>
              <w:t xml:space="preserve">Den anden grundlæggende betingelse for at kunne opkræve brugerbetaling er, at der skal være tale om en aktivitet udført efter den lovgivning, som er nævnt i </w:t>
            </w:r>
            <w:r w:rsidRPr="002C3111">
              <w:rPr>
                <w:color w:val="00B050"/>
              </w:rPr>
              <w:t>brugerbetalingsbekendtgørelsens</w:t>
            </w:r>
            <w:r>
              <w:t xml:space="preserve"> § 1. Af bekendtgørelsen fremgår det, at der kan opkræves brugerbetaling for tilsyn efter </w:t>
            </w:r>
            <w:r w:rsidRPr="002C3111">
              <w:rPr>
                <w:color w:val="00B050"/>
              </w:rPr>
              <w:t>miljøbeskyttelseslovens</w:t>
            </w:r>
            <w:r>
              <w:t xml:space="preserve"> kapitel 9, dvs. for tilsyn med overholdelsen af miljøbeskyttelsesloven, regler udstedt med hjemmel i miljøbeskyttelsesloven, afgørelser truffet med hjemmel i miljøbeskyttelsesloven og afgørelser truffet i medfør af regler, der er udstedt med hjemmel i miljøbeskyttelsesloven.</w:t>
            </w:r>
          </w:p>
          <w:p w14:paraId="02589503" w14:textId="77777777" w:rsidR="00F34D49" w:rsidRDefault="00F34D49" w:rsidP="00F34D49"/>
          <w:p w14:paraId="1B59409A" w14:textId="77777777" w:rsidR="00FF54CA" w:rsidRDefault="00F34D49" w:rsidP="00F34D49">
            <w:r>
              <w:t>Tilsynsarbejdet efter lovens kapitel 9 omfatter bl.a.</w:t>
            </w:r>
            <w:r w:rsidR="00FF54CA">
              <w:t>:</w:t>
            </w:r>
            <w:r>
              <w:t xml:space="preserve"> </w:t>
            </w:r>
          </w:p>
          <w:p w14:paraId="4A100361" w14:textId="7D546AAA" w:rsidR="00FF54CA" w:rsidRDefault="00F34D49" w:rsidP="002B6A2E">
            <w:pPr>
              <w:pStyle w:val="Opstilling-punkttegn"/>
            </w:pPr>
            <w:r>
              <w:t xml:space="preserve">forberedelse af tilsyn med den konkrete virksomhed eller husdyrbrug </w:t>
            </w:r>
          </w:p>
          <w:p w14:paraId="635E69E4" w14:textId="2A8CEB7A" w:rsidR="00FF54CA" w:rsidRDefault="00F34D49" w:rsidP="002B6A2E">
            <w:pPr>
              <w:pStyle w:val="Opstilling-punkttegn"/>
            </w:pPr>
            <w:r>
              <w:t xml:space="preserve">aktiv tilsynsvirksomhed i marken </w:t>
            </w:r>
          </w:p>
          <w:p w14:paraId="38113EDF" w14:textId="7B327A90" w:rsidR="00FF54CA" w:rsidRDefault="00F34D49" w:rsidP="002B6A2E">
            <w:pPr>
              <w:pStyle w:val="Opstilling-punkttegn"/>
            </w:pPr>
            <w:r>
              <w:lastRenderedPageBreak/>
              <w:t>prøveudtagning, analyser og målinger</w:t>
            </w:r>
          </w:p>
          <w:p w14:paraId="08A5D233" w14:textId="5A94DEF2" w:rsidR="00FF54CA" w:rsidRDefault="00F34D49" w:rsidP="002B6A2E">
            <w:pPr>
              <w:pStyle w:val="Opstilling-punkttegn"/>
            </w:pPr>
            <w:r>
              <w:t>udførelse af beregninger</w:t>
            </w:r>
          </w:p>
          <w:p w14:paraId="5C7D9231" w14:textId="1C39D4D7" w:rsidR="00FF54CA" w:rsidRDefault="00F34D49" w:rsidP="002B6A2E">
            <w:pPr>
              <w:pStyle w:val="Opstilling-punkttegn"/>
            </w:pPr>
            <w:r>
              <w:t>konkret vejledning af virksomheden om de krav, den skal opfylde</w:t>
            </w:r>
          </w:p>
          <w:p w14:paraId="585E4D52" w14:textId="77777777" w:rsidR="00FF54CA" w:rsidRDefault="00F34D49" w:rsidP="002B6A2E">
            <w:pPr>
              <w:pStyle w:val="Opstilling-punkttegn"/>
            </w:pPr>
            <w:r>
              <w:t xml:space="preserve">opfølgning af tilsyn i form af tilsynsrapporter </w:t>
            </w:r>
          </w:p>
          <w:p w14:paraId="34C935BB" w14:textId="2D6A0B7B" w:rsidR="00F34D49" w:rsidRDefault="00F34D49" w:rsidP="002B6A2E">
            <w:pPr>
              <w:pStyle w:val="Opstilling-punkttegn"/>
            </w:pPr>
            <w:r>
              <w:t>håndhævelse og politianmeldelser</w:t>
            </w:r>
          </w:p>
          <w:p w14:paraId="261F12D6" w14:textId="77777777" w:rsidR="00F34D49" w:rsidRDefault="00F34D49" w:rsidP="00F34D49"/>
          <w:p w14:paraId="112275A9" w14:textId="5E1747D9" w:rsidR="00F34D49" w:rsidRDefault="00F34D49" w:rsidP="00F34D49">
            <w:r w:rsidRPr="00D226C7">
              <w:t xml:space="preserve">Kontrol </w:t>
            </w:r>
            <w:r w:rsidR="00FF54CA">
              <w:t>med</w:t>
            </w:r>
            <w:r w:rsidRPr="00D226C7">
              <w:t xml:space="preserve"> at en virksomhed overholder de vilkår, der er fastsat i forbindelse med godkendelser og tilladelser efter </w:t>
            </w:r>
            <w:r>
              <w:t>miljøbeskyttelses</w:t>
            </w:r>
            <w:r w:rsidRPr="00D226C7">
              <w:t xml:space="preserve">loven, er en del af det tilsyn, som </w:t>
            </w:r>
            <w:r w:rsidR="002D7F53">
              <w:t xml:space="preserve">tilsynsmyndigheden </w:t>
            </w:r>
            <w:r w:rsidRPr="00D226C7">
              <w:t xml:space="preserve"> skal føre, jf. miljøbeskyttelseslovens § 65, stk. 2, nr. 2</w:t>
            </w:r>
            <w:r>
              <w:t xml:space="preserve">, og § 66, stk. 2. </w:t>
            </w:r>
            <w:r>
              <w:rPr>
                <w:rFonts w:ascii="Oxygen" w:hAnsi="Oxygen" w:cs="Arial"/>
                <w:color w:val="000000"/>
                <w:sz w:val="26"/>
                <w:szCs w:val="26"/>
              </w:rPr>
              <w:br/>
            </w:r>
          </w:p>
          <w:p w14:paraId="01E837FF" w14:textId="36D78BF1" w:rsidR="002B6A2E" w:rsidRDefault="00F34D49" w:rsidP="00F34D49">
            <w:r w:rsidRPr="00E40EB7">
              <w:t xml:space="preserve">Kravet om, at aktiviteten skal rette sig mod en konkret virksomhed, afgrænser aktiviteter, der medregnes. </w:t>
            </w:r>
            <w:r w:rsidR="002B6A2E">
              <w:t xml:space="preserve">Fx skal </w:t>
            </w:r>
            <w:r w:rsidR="00D577E1">
              <w:t>følgende ikke medregnes: G</w:t>
            </w:r>
            <w:r w:rsidRPr="00E40EB7">
              <w:t>enerel planlægning af tilsynsarbejde, generel vidensopbygning, efteruddannelse o. lign. samt arbejde med fastlæggelse af en g</w:t>
            </w:r>
            <w:r w:rsidR="002B6A2E">
              <w:t>enerel praksis.</w:t>
            </w:r>
          </w:p>
          <w:p w14:paraId="768BD773" w14:textId="77777777" w:rsidR="00F34D49" w:rsidRDefault="00F34D49" w:rsidP="00F34D49">
            <w:pPr>
              <w:pStyle w:val="Underoverskrift"/>
            </w:pPr>
          </w:p>
          <w:p w14:paraId="6DD552A2" w14:textId="1E7B1EB6" w:rsidR="00226F83" w:rsidRPr="00333843" w:rsidRDefault="003D324B" w:rsidP="00F34D49">
            <w:pPr>
              <w:pStyle w:val="Underoverskrift"/>
            </w:pPr>
            <w:r w:rsidRPr="00333843">
              <w:t>Dialog og v</w:t>
            </w:r>
            <w:r w:rsidR="00226F83" w:rsidRPr="00333843">
              <w:t>ejledning om reglernes konkrete anvendelse på en virksomhed eller et husdyrbrug m.v.</w:t>
            </w:r>
          </w:p>
          <w:p w14:paraId="293A09AE" w14:textId="279B5E4B" w:rsidR="003D324B" w:rsidRDefault="00226F83" w:rsidP="00226F83">
            <w:r>
              <w:t>Der kan kun opkræves brugerbetaling for den del af tilsynsarbejdet</w:t>
            </w:r>
            <w:r w:rsidR="00BB079A">
              <w:t>,</w:t>
            </w:r>
            <w:r>
              <w:t xml:space="preserve"> som knytter sig konkret til en given virksomhed eller husdyrbrug m.v. Der kan således opkræves brugerbetaling for </w:t>
            </w:r>
            <w:r w:rsidR="003D324B">
              <w:t xml:space="preserve">dialog og </w:t>
            </w:r>
            <w:r>
              <w:t>v</w:t>
            </w:r>
            <w:r w:rsidRPr="00EB574B">
              <w:t xml:space="preserve">ejledning om reglernes konkrete anvendelse på en virksomhed </w:t>
            </w:r>
            <w:r>
              <w:t xml:space="preserve">eller et husdyrbrug </w:t>
            </w:r>
            <w:r w:rsidRPr="00EB574B">
              <w:t xml:space="preserve">og om, hvordan </w:t>
            </w:r>
            <w:r>
              <w:t>virksomheden eller husdyrbruget</w:t>
            </w:r>
            <w:r w:rsidRPr="00EB574B">
              <w:t xml:space="preserve"> kan opfy</w:t>
            </w:r>
            <w:r>
              <w:t>lde dem.</w:t>
            </w:r>
            <w:r w:rsidR="003D324B">
              <w:t xml:space="preserve"> Det betyder, at d</w:t>
            </w:r>
            <w:r w:rsidR="003D324B" w:rsidRPr="003D324B">
              <w:t>ialog med virksomheden eller husdyrbruget m.v. om forhold, der er fastsat regler om i forhold til virksomhede</w:t>
            </w:r>
            <w:r w:rsidR="00D577E1">
              <w:t>n</w:t>
            </w:r>
            <w:r w:rsidR="003D324B" w:rsidRPr="003D324B">
              <w:t xml:space="preserve"> eller husdyrbruget m.v., eller som overvejes reguleret i påbud eller vilkår i forhold til virksomheden m.v. eller husdyrbruget m.v., skal medregnes.</w:t>
            </w:r>
            <w:r w:rsidR="003D324B">
              <w:rPr>
                <w:sz w:val="17"/>
                <w:szCs w:val="17"/>
              </w:rPr>
              <w:t xml:space="preserve"> </w:t>
            </w:r>
          </w:p>
          <w:p w14:paraId="659BB551" w14:textId="77777777" w:rsidR="00226F83" w:rsidRDefault="00226F83" w:rsidP="00F34D49">
            <w:pPr>
              <w:pStyle w:val="Underoverskrift"/>
              <w:rPr>
                <w:i/>
              </w:rPr>
            </w:pPr>
          </w:p>
          <w:p w14:paraId="2187D7AB" w14:textId="77777777" w:rsidR="00F34D49" w:rsidRPr="00333843" w:rsidRDefault="00F34D49" w:rsidP="00F34D49">
            <w:pPr>
              <w:pStyle w:val="Underoverskrift"/>
            </w:pPr>
            <w:r w:rsidRPr="00333843">
              <w:t>Brug af fremmede tjenesteydelser</w:t>
            </w:r>
          </w:p>
          <w:p w14:paraId="73697C88" w14:textId="0E7D2DCE" w:rsidR="00F34D49" w:rsidRDefault="00F34D49" w:rsidP="00F34D49">
            <w:r>
              <w:t xml:space="preserve">Der ikke fastsat regler for, hvornår </w:t>
            </w:r>
            <w:r w:rsidR="00D577E1">
              <w:t xml:space="preserve">du som </w:t>
            </w:r>
            <w:r>
              <w:t>myndighed</w:t>
            </w:r>
            <w:r w:rsidR="00D577E1">
              <w:t xml:space="preserve"> </w:t>
            </w:r>
            <w:r>
              <w:t>kan anvende fremmede tjenesteydelser til løsningen af opgaver, og hvornår myndigheden selv skal stå for opgaveløsningen. Det er forudsat, at myndigheden selv foretager denne afvejning.</w:t>
            </w:r>
          </w:p>
          <w:p w14:paraId="30DB5D33" w14:textId="77777777" w:rsidR="00F34D49" w:rsidRDefault="00F34D49" w:rsidP="00F34D49"/>
          <w:p w14:paraId="6A9347AA" w14:textId="3E2C4911" w:rsidR="00F34D49" w:rsidRDefault="00F34D49" w:rsidP="00F34D49">
            <w:r>
              <w:t>Myndigheden skal altid foretage en konkret vurdering af, hvor meget tid</w:t>
            </w:r>
            <w:r w:rsidR="002D7F53">
              <w:t>,</w:t>
            </w:r>
            <w:r>
              <w:t xml:space="preserve"> hvor mange og hvilke</w:t>
            </w:r>
          </w:p>
          <w:p w14:paraId="2F31324E" w14:textId="77777777" w:rsidR="00F34D49" w:rsidRDefault="00F34D49" w:rsidP="00F34D49">
            <w:r>
              <w:t>ressourcer, der er nødvendige for at løse opgaven i hvert enkelt tilfælde. Det følger af den almindelige forvaltningsret, at myndigheden skal kunne begrunde nødvendigheden af alle foretagne sagsbehandlingsskridt, og at proportionalitetsprincippet skal være opfyldt.</w:t>
            </w:r>
          </w:p>
          <w:p w14:paraId="0D63A33F" w14:textId="77777777" w:rsidR="00F34D49" w:rsidRDefault="00F34D49" w:rsidP="00F34D49"/>
          <w:p w14:paraId="427A513F" w14:textId="7352E10B" w:rsidR="0015415B" w:rsidRDefault="00F34D49" w:rsidP="00F34D49">
            <w:r>
              <w:t>I forhold til opkrævning af brugerbetaling skal de</w:t>
            </w:r>
            <w:r w:rsidR="004B3D6A">
              <w:t>t</w:t>
            </w:r>
            <w:r>
              <w:t xml:space="preserve"> </w:t>
            </w:r>
            <w:r w:rsidR="00877123">
              <w:t xml:space="preserve">fremhæves, </w:t>
            </w:r>
            <w:r>
              <w:t>at</w:t>
            </w:r>
            <w:r w:rsidR="00AB4F3F">
              <w:t xml:space="preserve"> </w:t>
            </w:r>
            <w:r w:rsidR="00877123">
              <w:t>der</w:t>
            </w:r>
            <w:r>
              <w:t xml:space="preserve"> for at kunne forlange brugerbetaling skal være tale om en opgave</w:t>
            </w:r>
            <w:r w:rsidR="004B3D6A">
              <w:t>,</w:t>
            </w:r>
            <w:r>
              <w:t xml:space="preserve"> som </w:t>
            </w:r>
            <w:r w:rsidR="004B3D6A">
              <w:t xml:space="preserve">er </w:t>
            </w:r>
            <w:r>
              <w:t xml:space="preserve">nævnt i brugerbetalingsbekendtgørelsens § 1. Dvs. myndigheden kan kun opkræve betaling for det timeforbrug, der er anvendt til udførelsen af opgaver efter den lovgivning, som </w:t>
            </w:r>
            <w:r w:rsidR="00877123">
              <w:t xml:space="preserve">er </w:t>
            </w:r>
            <w:r>
              <w:t xml:space="preserve">anført i § 1 og beskrevet i bilag 2, afsnit 2, til </w:t>
            </w:r>
            <w:r w:rsidRPr="002C3111">
              <w:rPr>
                <w:color w:val="00B050"/>
              </w:rPr>
              <w:t>brugerbetalingsbekendtgørelsen</w:t>
            </w:r>
            <w:r>
              <w:t xml:space="preserve">. </w:t>
            </w:r>
            <w:r w:rsidR="00D577E1">
              <w:t>Vær også opmærksom på</w:t>
            </w:r>
            <w:r>
              <w:t>, at hvor der anvendes fremmede tjenesteydelser til løsning af opgaver nævnt i § 1, betaler virksomheden 57,79 % af regningsbeløbet eksklusiv moms, jf. bilag 2, afsnit 1, til brugerbetalingsbekendtgørelsen. Resten betaler myndigheden.</w:t>
            </w:r>
          </w:p>
          <w:p w14:paraId="698BC1EA" w14:textId="77777777" w:rsidR="00F34D49" w:rsidRPr="004D7ABE" w:rsidRDefault="00F34D49" w:rsidP="00462699"/>
        </w:tc>
      </w:tr>
    </w:tbl>
    <w:p w14:paraId="3C2C2B5C" w14:textId="77777777" w:rsidR="00E1298C" w:rsidRDefault="00E1298C" w:rsidP="002534E3"/>
    <w:p w14:paraId="058837C6" w14:textId="77777777" w:rsidR="00E1298C" w:rsidRDefault="00E1298C" w:rsidP="002534E3"/>
    <w:p w14:paraId="55D0681E" w14:textId="77777777" w:rsidR="00E1298C" w:rsidRDefault="00E1298C" w:rsidP="002534E3"/>
    <w:p w14:paraId="373721CA" w14:textId="77777777" w:rsidR="00F34D49" w:rsidRDefault="00F34D49"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4D49" w14:paraId="6D6DDB29" w14:textId="77777777" w:rsidTr="00462699">
        <w:trPr>
          <w:trHeight w:val="947"/>
        </w:trPr>
        <w:tc>
          <w:tcPr>
            <w:tcW w:w="9628" w:type="dxa"/>
            <w:shd w:val="clear" w:color="auto" w:fill="auto"/>
          </w:tcPr>
          <w:p w14:paraId="59180285" w14:textId="77777777" w:rsidR="00F34D49" w:rsidRDefault="00F34D49" w:rsidP="00462699"/>
          <w:p w14:paraId="092594BE" w14:textId="77777777" w:rsidR="00F34D49" w:rsidRPr="00F34D49" w:rsidRDefault="00F34D49" w:rsidP="00F34D49">
            <w:pPr>
              <w:pStyle w:val="Underoverskrift"/>
              <w:rPr>
                <w:sz w:val="28"/>
                <w:szCs w:val="28"/>
              </w:rPr>
            </w:pPr>
            <w:r>
              <w:rPr>
                <w:sz w:val="28"/>
                <w:szCs w:val="28"/>
              </w:rPr>
              <w:t xml:space="preserve">4.4.2. </w:t>
            </w:r>
            <w:r w:rsidRPr="00F34D49">
              <w:rPr>
                <w:sz w:val="28"/>
                <w:szCs w:val="28"/>
              </w:rPr>
              <w:t>Hvad kan der ikke opkræves brugerbetaling for?</w:t>
            </w:r>
          </w:p>
          <w:p w14:paraId="01C7EA22" w14:textId="77777777" w:rsidR="00F34D49" w:rsidRDefault="00F34D49" w:rsidP="00F34D49">
            <w:pPr>
              <w:pStyle w:val="Overskrift1"/>
            </w:pPr>
          </w:p>
        </w:tc>
      </w:tr>
      <w:tr w:rsidR="00F34D49" w14:paraId="0F7E990E" w14:textId="77777777" w:rsidTr="00462699">
        <w:tc>
          <w:tcPr>
            <w:tcW w:w="9628" w:type="dxa"/>
            <w:shd w:val="clear" w:color="auto" w:fill="auto"/>
          </w:tcPr>
          <w:p w14:paraId="3C347B7E" w14:textId="77777777" w:rsidR="002D7F53" w:rsidRDefault="002D7F53" w:rsidP="0015415B">
            <w:pPr>
              <w:pStyle w:val="Underoverskrift"/>
              <w:rPr>
                <w:b w:val="0"/>
              </w:rPr>
            </w:pPr>
          </w:p>
          <w:p w14:paraId="513C35D1" w14:textId="168D0CE5" w:rsidR="004E2F60" w:rsidRDefault="0015415B" w:rsidP="0015415B">
            <w:pPr>
              <w:pStyle w:val="Underoverskrift"/>
              <w:rPr>
                <w:b w:val="0"/>
              </w:rPr>
            </w:pPr>
            <w:r>
              <w:rPr>
                <w:b w:val="0"/>
              </w:rPr>
              <w:t>De</w:t>
            </w:r>
            <w:r w:rsidR="00D577E1">
              <w:rPr>
                <w:b w:val="0"/>
              </w:rPr>
              <w:t>r</w:t>
            </w:r>
            <w:r>
              <w:rPr>
                <w:b w:val="0"/>
              </w:rPr>
              <w:t xml:space="preserve"> kan ikke opkræves brugerbetaling for aktiviteter</w:t>
            </w:r>
            <w:r w:rsidR="008D7650">
              <w:rPr>
                <w:b w:val="0"/>
              </w:rPr>
              <w:t>, der</w:t>
            </w:r>
            <w:r>
              <w:rPr>
                <w:b w:val="0"/>
              </w:rPr>
              <w:t xml:space="preserve"> ikke </w:t>
            </w:r>
            <w:r w:rsidR="004E2F60">
              <w:rPr>
                <w:b w:val="0"/>
              </w:rPr>
              <w:t xml:space="preserve">er </w:t>
            </w:r>
            <w:r>
              <w:rPr>
                <w:b w:val="0"/>
              </w:rPr>
              <w:t xml:space="preserve">anført på </w:t>
            </w:r>
            <w:r w:rsidRPr="002C3111">
              <w:rPr>
                <w:b w:val="0"/>
                <w:color w:val="00B050"/>
              </w:rPr>
              <w:t>brugerbetalingsbekendtgørelsens</w:t>
            </w:r>
            <w:r>
              <w:rPr>
                <w:b w:val="0"/>
              </w:rPr>
              <w:t xml:space="preserve"> § 2. Der kan heller ikke opkræves brugerbetaling for aktiviteter på de virksomheder og husdyrbrug m.v., som ikke er nævnt i </w:t>
            </w:r>
            <w:r w:rsidRPr="002C3111">
              <w:rPr>
                <w:b w:val="0"/>
                <w:color w:val="00B050"/>
              </w:rPr>
              <w:t>brugerbetalingsbekendtgørelsens</w:t>
            </w:r>
            <w:r>
              <w:rPr>
                <w:b w:val="0"/>
              </w:rPr>
              <w:t xml:space="preserve"> § 1. </w:t>
            </w:r>
            <w:r w:rsidR="00877123" w:rsidRPr="0015415B">
              <w:rPr>
                <w:b w:val="0"/>
              </w:rPr>
              <w:t>De</w:t>
            </w:r>
            <w:r w:rsidR="00877123">
              <w:rPr>
                <w:b w:val="0"/>
              </w:rPr>
              <w:t>r</w:t>
            </w:r>
            <w:r w:rsidR="00877123" w:rsidRPr="0015415B">
              <w:rPr>
                <w:b w:val="0"/>
              </w:rPr>
              <w:t xml:space="preserve"> </w:t>
            </w:r>
            <w:r>
              <w:rPr>
                <w:b w:val="0"/>
              </w:rPr>
              <w:t xml:space="preserve">kan </w:t>
            </w:r>
            <w:r w:rsidRPr="0015415B">
              <w:rPr>
                <w:b w:val="0"/>
              </w:rPr>
              <w:t xml:space="preserve">endvidere </w:t>
            </w:r>
            <w:r>
              <w:rPr>
                <w:b w:val="0"/>
              </w:rPr>
              <w:t>ikke opkræves br</w:t>
            </w:r>
            <w:r w:rsidRPr="0015415B">
              <w:rPr>
                <w:b w:val="0"/>
              </w:rPr>
              <w:t>ugerbetaling</w:t>
            </w:r>
            <w:r>
              <w:rPr>
                <w:b w:val="0"/>
              </w:rPr>
              <w:t xml:space="preserve"> for de aktiviteter, der ikke er </w:t>
            </w:r>
            <w:r w:rsidR="003E0FA1">
              <w:rPr>
                <w:b w:val="0"/>
              </w:rPr>
              <w:t xml:space="preserve">knyttet </w:t>
            </w:r>
            <w:r w:rsidRPr="0015415B">
              <w:rPr>
                <w:b w:val="0"/>
              </w:rPr>
              <w:t>direkte til den pågældende virksomhed, anlæg eller indretning m.v. eller husdyrbrug</w:t>
            </w:r>
            <w:r w:rsidR="003E0FA1">
              <w:rPr>
                <w:b w:val="0"/>
              </w:rPr>
              <w:t xml:space="preserve"> m.v. Der medregnes heller ikke aktiviteter, der </w:t>
            </w:r>
            <w:r w:rsidR="004E2F60" w:rsidRPr="004E2F60">
              <w:rPr>
                <w:b w:val="0"/>
              </w:rPr>
              <w:t>indgår i beregningen af and</w:t>
            </w:r>
            <w:r w:rsidR="003E0FA1">
              <w:rPr>
                <w:b w:val="0"/>
              </w:rPr>
              <w:t>re gebyrer m.v.</w:t>
            </w:r>
          </w:p>
          <w:p w14:paraId="582E3611" w14:textId="77777777" w:rsidR="0015415B" w:rsidRDefault="0015415B" w:rsidP="0015415B">
            <w:pPr>
              <w:pStyle w:val="Underoverskrift"/>
              <w:rPr>
                <w:b w:val="0"/>
              </w:rPr>
            </w:pPr>
          </w:p>
          <w:p w14:paraId="7FDD1B17" w14:textId="36AAB3BE" w:rsidR="00226F83" w:rsidRDefault="00226F83" w:rsidP="00226F83">
            <w:r>
              <w:t>Hvis de aktiviteter</w:t>
            </w:r>
            <w:r w:rsidRPr="00CD2FC7">
              <w:t xml:space="preserve">, der ikke skal medregnes, sker i samme arbejdsgang som opgaver, der skal medregnes (f.eks. under et tilsynsbesøg på virksomheden), må myndigheden </w:t>
            </w:r>
            <w:r w:rsidR="008D7650">
              <w:t>vurdere</w:t>
            </w:r>
            <w:r w:rsidRPr="00CD2FC7">
              <w:t>, hvor stor en del af tidsforbrug</w:t>
            </w:r>
            <w:r w:rsidR="00D577E1">
              <w:t>et</w:t>
            </w:r>
            <w:r w:rsidRPr="00CD2FC7">
              <w:t xml:space="preserve"> på besøget, der skal trækkes fra</w:t>
            </w:r>
            <w:r w:rsidR="008D7650">
              <w:t xml:space="preserve"> det samlede tidsforbrug i forbindelse med tilsyn</w:t>
            </w:r>
            <w:r w:rsidR="00877123">
              <w:t>s</w:t>
            </w:r>
            <w:r w:rsidR="008D7650">
              <w:t>besøget.</w:t>
            </w:r>
          </w:p>
          <w:p w14:paraId="6065374A" w14:textId="77777777" w:rsidR="00226F83" w:rsidRDefault="00226F83" w:rsidP="0015415B">
            <w:pPr>
              <w:pStyle w:val="Underoverskrift"/>
              <w:rPr>
                <w:b w:val="0"/>
              </w:rPr>
            </w:pPr>
          </w:p>
          <w:p w14:paraId="26070E7E" w14:textId="7B50A5EF" w:rsidR="0015415B" w:rsidRDefault="0015415B" w:rsidP="0015415B">
            <w:pPr>
              <w:pStyle w:val="Underoverskrift"/>
              <w:rPr>
                <w:b w:val="0"/>
              </w:rPr>
            </w:pPr>
            <w:r>
              <w:rPr>
                <w:b w:val="0"/>
              </w:rPr>
              <w:t>Nedenfor kan du finde nogle eksempler på aktiviteter, som ikke er brugerbetalingsbelagte. Vær opmærksom på, at listen ikke er u</w:t>
            </w:r>
            <w:r w:rsidRPr="0015415B">
              <w:rPr>
                <w:b w:val="0"/>
              </w:rPr>
              <w:t>dtømmende</w:t>
            </w:r>
            <w:r>
              <w:rPr>
                <w:b w:val="0"/>
              </w:rPr>
              <w:t>.</w:t>
            </w:r>
          </w:p>
          <w:p w14:paraId="77C3ADDE" w14:textId="77777777" w:rsidR="0015415B" w:rsidRDefault="0015415B" w:rsidP="0015415B">
            <w:pPr>
              <w:pStyle w:val="Underoverskrift"/>
            </w:pPr>
          </w:p>
          <w:p w14:paraId="7A7C8CCC" w14:textId="5703EBDC" w:rsidR="00681594" w:rsidRPr="00333843" w:rsidRDefault="00681594" w:rsidP="00F34D49">
            <w:pPr>
              <w:rPr>
                <w:b/>
              </w:rPr>
            </w:pPr>
            <w:r w:rsidRPr="00333843">
              <w:rPr>
                <w:b/>
              </w:rPr>
              <w:t>Kørsel</w:t>
            </w:r>
          </w:p>
          <w:p w14:paraId="4C7C31D9" w14:textId="0A3CD855" w:rsidR="00681594" w:rsidRPr="00681594" w:rsidRDefault="00681594" w:rsidP="00F34D49">
            <w:r>
              <w:t>Der kan ikke opkræves brugerbetaling for kørsel.</w:t>
            </w:r>
          </w:p>
          <w:p w14:paraId="02CF5C76" w14:textId="003F60CE" w:rsidR="00681594" w:rsidRDefault="00681594" w:rsidP="00F34D49">
            <w:pPr>
              <w:rPr>
                <w:b/>
                <w:i/>
              </w:rPr>
            </w:pPr>
          </w:p>
          <w:p w14:paraId="1A716726" w14:textId="4BD3A550" w:rsidR="00681594" w:rsidRPr="00333843" w:rsidRDefault="004314BF" w:rsidP="00F34D49">
            <w:pPr>
              <w:rPr>
                <w:b/>
              </w:rPr>
            </w:pPr>
            <w:r w:rsidRPr="00333843">
              <w:rPr>
                <w:b/>
              </w:rPr>
              <w:t>Det indledende t</w:t>
            </w:r>
            <w:r w:rsidR="00681594" w:rsidRPr="00333843">
              <w:rPr>
                <w:b/>
              </w:rPr>
              <w:t>ilsynsarbejde, som alene udføres på baggrund af oplysninger fra naboer eller andre tredjeparter</w:t>
            </w:r>
          </w:p>
          <w:p w14:paraId="0500CA59" w14:textId="4DBE4841" w:rsidR="00681594" w:rsidRDefault="00681594" w:rsidP="00F34D49">
            <w:pPr>
              <w:rPr>
                <w:b/>
                <w:i/>
              </w:rPr>
            </w:pPr>
            <w:r>
              <w:t>Tilsynsarbejde, som alene udføres på baggrund af oplysninger fra naboer eller andre tredjeparter (fx miljøorganisationer), medregnes som udgangspunkt ikke. Et tilsyn kan godt starte på baggrund af en naboklage, med det er først fra det øjeblik, hvor tilsynsmyndigheden ved tilsynet selv konstaterer, at der er noget</w:t>
            </w:r>
            <w:r w:rsidR="004314BF">
              <w:t xml:space="preserve">, der giver anledning til en forsat tilsynsindsats, at tilsynsindsatsen kan medregnes (forudsat, at virksomheden eller husdyrbruget m.v. er omfattet af </w:t>
            </w:r>
            <w:r w:rsidR="004314BF" w:rsidRPr="002C3111">
              <w:rPr>
                <w:color w:val="00B050"/>
              </w:rPr>
              <w:t>brugerbetalingsbekendtgørelsens</w:t>
            </w:r>
            <w:r w:rsidR="004314BF">
              <w:t xml:space="preserve"> § 2 og er i drift). Det har ingen betydning for brugerbetalingspligten, om tilsynet giver anledning til efterfølgende håndhævelse. </w:t>
            </w:r>
          </w:p>
          <w:p w14:paraId="0B914891" w14:textId="77777777" w:rsidR="00681594" w:rsidRDefault="00681594" w:rsidP="00F34D49">
            <w:pPr>
              <w:rPr>
                <w:b/>
                <w:i/>
              </w:rPr>
            </w:pPr>
          </w:p>
          <w:p w14:paraId="28F22366" w14:textId="7D444180" w:rsidR="0015415B" w:rsidRPr="00333843" w:rsidRDefault="0015415B" w:rsidP="00F34D49">
            <w:pPr>
              <w:rPr>
                <w:b/>
              </w:rPr>
            </w:pPr>
            <w:r w:rsidRPr="00333843">
              <w:rPr>
                <w:b/>
              </w:rPr>
              <w:t>Gener</w:t>
            </w:r>
            <w:r w:rsidR="00ED2B18" w:rsidRPr="00333843">
              <w:rPr>
                <w:b/>
              </w:rPr>
              <w:t>e</w:t>
            </w:r>
            <w:r w:rsidRPr="00333843">
              <w:rPr>
                <w:b/>
              </w:rPr>
              <w:t>l planlægning</w:t>
            </w:r>
          </w:p>
          <w:p w14:paraId="6C44BC5F" w14:textId="4B424FF9" w:rsidR="0015415B" w:rsidRDefault="0015415B" w:rsidP="00F34D49">
            <w:r w:rsidRPr="0015415B">
              <w:t>Generel planlægning af tilsynsarbejde, generel vidensopbygning, efteruddannelse o. lign. samt arbejde med fastlæggelse af en generel praksis, herunder ved behandling i udvalg, kommunalbestyrelse m.v., medregnes ikke. Dette gælder også, selv om f.eks. fastlæggelse af generel praksis sker med anledning i en konkret sag, eller selv om vidensopbygning sker i forbindelse med behandlingen af en konkret sag, hvis der er tale om generel viden, som medarbejdere med de pågældende opgaver bør være i besiddelse af</w:t>
            </w:r>
            <w:r w:rsidR="00097CE8">
              <w:t>. Det kan</w:t>
            </w:r>
            <w:r w:rsidRPr="0015415B">
              <w:t xml:space="preserve"> f</w:t>
            </w:r>
            <w:r w:rsidR="000265EB">
              <w:t>x være viden</w:t>
            </w:r>
            <w:r w:rsidRPr="0015415B">
              <w:t xml:space="preserve"> om lovgivning og vejledninger eller generelt præget teknisk viden, og hvor den konkrete sag således blot er en anledning til at skaffe sig en mere generelt nødvendig viden.</w:t>
            </w:r>
          </w:p>
          <w:p w14:paraId="23FB6AD2" w14:textId="77777777" w:rsidR="0015415B" w:rsidRDefault="0015415B" w:rsidP="00F34D49"/>
          <w:p w14:paraId="7F3DB9C0" w14:textId="747C3AA0" w:rsidR="0015415B" w:rsidRPr="00333843" w:rsidRDefault="0015415B" w:rsidP="00F34D49">
            <w:pPr>
              <w:rPr>
                <w:b/>
              </w:rPr>
            </w:pPr>
            <w:r w:rsidRPr="00333843">
              <w:rPr>
                <w:b/>
              </w:rPr>
              <w:t>Gener</w:t>
            </w:r>
            <w:r w:rsidR="00ED2B18" w:rsidRPr="00333843">
              <w:rPr>
                <w:b/>
              </w:rPr>
              <w:t>e</w:t>
            </w:r>
            <w:r w:rsidRPr="00333843">
              <w:rPr>
                <w:b/>
              </w:rPr>
              <w:t>l vejledning og dialog om forhold, som ikke er reguleret i forhold til den konkrete virksomhed</w:t>
            </w:r>
            <w:r w:rsidR="00226F83" w:rsidRPr="00333843">
              <w:rPr>
                <w:b/>
              </w:rPr>
              <w:t xml:space="preserve"> eller husdyrbrug</w:t>
            </w:r>
            <w:r w:rsidR="00097CE8" w:rsidRPr="00333843">
              <w:rPr>
                <w:b/>
              </w:rPr>
              <w:t xml:space="preserve"> m</w:t>
            </w:r>
            <w:r w:rsidR="00386E56" w:rsidRPr="00333843">
              <w:rPr>
                <w:b/>
              </w:rPr>
              <w:t>.</w:t>
            </w:r>
            <w:r w:rsidR="00097CE8" w:rsidRPr="00333843">
              <w:rPr>
                <w:b/>
              </w:rPr>
              <w:t>v.</w:t>
            </w:r>
          </w:p>
          <w:p w14:paraId="1A179322" w14:textId="2D3B6D0F" w:rsidR="003D324B" w:rsidRDefault="0015415B" w:rsidP="0015415B">
            <w:r>
              <w:t>A</w:t>
            </w:r>
            <w:r w:rsidRPr="00EB574B">
              <w:t xml:space="preserve">lmindelig, generel vejledning om gældende regler m.v. </w:t>
            </w:r>
            <w:r>
              <w:t xml:space="preserve">er </w:t>
            </w:r>
            <w:r w:rsidRPr="00EB574B">
              <w:t>ikke omfattet</w:t>
            </w:r>
            <w:r>
              <w:t xml:space="preserve"> af brugerbetaling. Ligeledes skal d</w:t>
            </w:r>
            <w:r w:rsidRPr="00CD2FC7">
              <w:t xml:space="preserve">ialog om forhold, som ikke er reguleret i forhold til den konkrete virksomhed, og som ikke er en integreret og nødvendig del af de egentlige </w:t>
            </w:r>
            <w:r>
              <w:t xml:space="preserve">tilsynsopgaver, </w:t>
            </w:r>
            <w:r w:rsidRPr="00CD2FC7">
              <w:t>ikke medregnes</w:t>
            </w:r>
            <w:r>
              <w:t xml:space="preserve">. </w:t>
            </w:r>
            <w:r w:rsidR="00097CE8">
              <w:t>Det betyder, at d</w:t>
            </w:r>
            <w:r w:rsidR="00226F83">
              <w:t xml:space="preserve">ialog om forhold, som ikke er reguleret </w:t>
            </w:r>
            <w:r w:rsidR="009F091B">
              <w:t>eller</w:t>
            </w:r>
            <w:r w:rsidR="003D324B">
              <w:t xml:space="preserve"> </w:t>
            </w:r>
            <w:r w:rsidR="003D324B" w:rsidRPr="003D324B">
              <w:t xml:space="preserve">som </w:t>
            </w:r>
            <w:r w:rsidR="003D324B">
              <w:t xml:space="preserve">ikke </w:t>
            </w:r>
            <w:r w:rsidR="003D324B" w:rsidRPr="003D324B">
              <w:t xml:space="preserve">overvejes reguleret i påbud </w:t>
            </w:r>
            <w:r w:rsidR="003D324B" w:rsidRPr="003D324B">
              <w:lastRenderedPageBreak/>
              <w:t xml:space="preserve">eller vilkår i forhold til virksomheden m.v. eller husdyrbruget m.v., </w:t>
            </w:r>
            <w:r w:rsidR="00226F83">
              <w:t xml:space="preserve">og som ikke er en integreret og nødvendig del af de egentlige godkendelses- eller tilsynsopgaver, ikke </w:t>
            </w:r>
            <w:r w:rsidR="00097CE8">
              <w:t xml:space="preserve">skal </w:t>
            </w:r>
            <w:r w:rsidR="00226F83">
              <w:t xml:space="preserve">medregnes. </w:t>
            </w:r>
            <w:r w:rsidR="00097CE8">
              <w:t>Du</w:t>
            </w:r>
            <w:r w:rsidR="00226F83">
              <w:t xml:space="preserve"> skal således ikke medregne drøftelser, som måske nok har afsæt i godkendelsesansøgningen eller et konkret tilsyn, men som ikke er nødvendig for hverken kommunens behandling af ansøgningen eller tilrettelæggelse af tilsyn, eller er affødt af virksomhedens eller husdyrbrugets m.v. behov for en konkret vejledning. </w:t>
            </w:r>
          </w:p>
          <w:p w14:paraId="28EAFCDE" w14:textId="77777777" w:rsidR="003D324B" w:rsidRDefault="003D324B" w:rsidP="0015415B"/>
          <w:p w14:paraId="6F76A1E8" w14:textId="4069F8E3" w:rsidR="003D324B" w:rsidRDefault="003D324B" w:rsidP="0015415B">
            <w:r>
              <w:t xml:space="preserve">Fx skal </w:t>
            </w:r>
            <w:r w:rsidRPr="003D324B">
              <w:t>frivillig indførelse af miljøledelsessystemer og renere produkter ikke medregnes, medmindre den er en integreret og nødvendig del af en godkendelses- eller tilsynsopgave, f.eks. fordi virksomhedens miljøledelsessystem vil have betydning for udformning af egenkontrolvilkår eller for den tilsynsmæssige kategorisering af virksomheden eller tilrettelæggelsen af tilsynet i øvrigt.</w:t>
            </w:r>
          </w:p>
          <w:p w14:paraId="4601185B" w14:textId="77777777" w:rsidR="003D324B" w:rsidRDefault="003D324B" w:rsidP="0015415B"/>
          <w:p w14:paraId="2BC9DE6C" w14:textId="3C7DE54C" w:rsidR="0015415B" w:rsidRDefault="00226F83" w:rsidP="0015415B">
            <w:r>
              <w:t xml:space="preserve">Det beror på </w:t>
            </w:r>
            <w:r w:rsidR="00097CE8">
              <w:t>din</w:t>
            </w:r>
            <w:r>
              <w:t xml:space="preserve"> konkret</w:t>
            </w:r>
            <w:r w:rsidR="00097CE8">
              <w:t>e</w:t>
            </w:r>
            <w:r>
              <w:t xml:space="preserve"> vurdering af</w:t>
            </w:r>
            <w:r w:rsidR="0055353F">
              <w:t>,</w:t>
            </w:r>
            <w:r>
              <w:t xml:space="preserve"> hvorvidt </w:t>
            </w:r>
            <w:r w:rsidR="009F091B">
              <w:t>der er tale om helt generel vejledning i gældende regler</w:t>
            </w:r>
            <w:r w:rsidR="0055353F">
              <w:t>,</w:t>
            </w:r>
            <w:r w:rsidR="009F091B">
              <w:t xml:space="preserve"> eller om vejledningen vedrører reglernes konkrete anvendelse på virksomheden, eller husdyrbruget m.v.</w:t>
            </w:r>
            <w:r w:rsidR="0055353F">
              <w:t>,</w:t>
            </w:r>
            <w:r w:rsidR="009F091B">
              <w:t xml:space="preserve"> og hvordan virksomheden eller husdyrbruget m.v. kan leve op til reglerne.</w:t>
            </w:r>
          </w:p>
          <w:p w14:paraId="7A66A0AF" w14:textId="77777777" w:rsidR="0015415B" w:rsidRDefault="0015415B" w:rsidP="0015415B"/>
          <w:p w14:paraId="4E2F5667" w14:textId="77777777" w:rsidR="00F34D49" w:rsidRPr="00333843" w:rsidRDefault="0015415B" w:rsidP="00F34D49">
            <w:pPr>
              <w:pStyle w:val="Underoverskrift"/>
            </w:pPr>
            <w:r w:rsidRPr="00333843">
              <w:t>Afgivelse af oplysninger til Miljøstyrelsen</w:t>
            </w:r>
          </w:p>
          <w:p w14:paraId="5D6C5553" w14:textId="1164CD9E" w:rsidR="00F34D49" w:rsidRDefault="00F34D49" w:rsidP="002B6A2E">
            <w:pPr>
              <w:pStyle w:val="Underoverskrift"/>
              <w:rPr>
                <w:b w:val="0"/>
              </w:rPr>
            </w:pPr>
            <w:r w:rsidRPr="00E40EB7">
              <w:rPr>
                <w:b w:val="0"/>
              </w:rPr>
              <w:t>Kommunernes opgave med at afgive oplysninger til Miljøstyrelsen, herunder stamoplysninger og oplysninger om tilsynsmyndighedernes tilsyn, godkendelser og eventuelle håndhævelser, er ikke en opgave</w:t>
            </w:r>
            <w:r w:rsidR="00097CE8">
              <w:rPr>
                <w:b w:val="0"/>
              </w:rPr>
              <w:t>, der er</w:t>
            </w:r>
            <w:r w:rsidRPr="00E40EB7">
              <w:rPr>
                <w:b w:val="0"/>
              </w:rPr>
              <w:t xml:space="preserve"> omfattet af</w:t>
            </w:r>
            <w:r>
              <w:rPr>
                <w:b w:val="0"/>
              </w:rPr>
              <w:t xml:space="preserve"> brugerbetalingsbekendtgørelsen</w:t>
            </w:r>
            <w:r w:rsidR="002B6A2E">
              <w:rPr>
                <w:b w:val="0"/>
              </w:rPr>
              <w:t xml:space="preserve">s § 1, da </w:t>
            </w:r>
            <w:r w:rsidR="002B6A2E" w:rsidRPr="002B6A2E">
              <w:rPr>
                <w:b w:val="0"/>
              </w:rPr>
              <w:t xml:space="preserve">afgivelsen sker med det formål, der fremgår af miljøbeskyttelseslovens § 73, stk. 3, og </w:t>
            </w:r>
            <w:proofErr w:type="spellStart"/>
            <w:r w:rsidR="002B6A2E" w:rsidRPr="002B6A2E">
              <w:rPr>
                <w:b w:val="0"/>
              </w:rPr>
              <w:t>husdyrbruglovens</w:t>
            </w:r>
            <w:proofErr w:type="spellEnd"/>
            <w:r w:rsidR="002B6A2E" w:rsidRPr="002B6A2E">
              <w:rPr>
                <w:b w:val="0"/>
              </w:rPr>
              <w:t xml:space="preserve"> § 54, stk. 3. De </w:t>
            </w:r>
            <w:proofErr w:type="spellStart"/>
            <w:r w:rsidR="002B6A2E" w:rsidRPr="002B6A2E">
              <w:rPr>
                <w:b w:val="0"/>
                <w:bCs/>
              </w:rPr>
              <w:t>videregive</w:t>
            </w:r>
            <w:r w:rsidR="00097CE8">
              <w:rPr>
                <w:b w:val="0"/>
                <w:bCs/>
              </w:rPr>
              <w:t>de</w:t>
            </w:r>
            <w:proofErr w:type="spellEnd"/>
            <w:r w:rsidR="002B6A2E" w:rsidRPr="002B6A2E">
              <w:rPr>
                <w:b w:val="0"/>
                <w:bCs/>
              </w:rPr>
              <w:t xml:space="preserve"> oplysninger </w:t>
            </w:r>
            <w:r w:rsidR="002B6A2E" w:rsidRPr="002B6A2E">
              <w:rPr>
                <w:b w:val="0"/>
              </w:rPr>
              <w:t xml:space="preserve">bruges til </w:t>
            </w:r>
            <w:r w:rsidR="00097CE8">
              <w:rPr>
                <w:b w:val="0"/>
              </w:rPr>
              <w:t xml:space="preserve">at </w:t>
            </w:r>
            <w:r w:rsidR="002B6A2E" w:rsidRPr="002B6A2E">
              <w:rPr>
                <w:b w:val="0"/>
              </w:rPr>
              <w:t>udarbejde den årlige vurdering af tilsyns- og godkendelsesindsatsen, jf. miljøtilsynsbekendtgørelsens § 21, til at kunne se sammenhænge og mønstre ved lovens administration</w:t>
            </w:r>
            <w:r w:rsidR="001C258B">
              <w:rPr>
                <w:b w:val="0"/>
              </w:rPr>
              <w:t xml:space="preserve">, </w:t>
            </w:r>
            <w:r w:rsidR="002B6A2E" w:rsidRPr="002B6A2E">
              <w:rPr>
                <w:b w:val="0"/>
              </w:rPr>
              <w:t xml:space="preserve">til vidensdeling og til information til offentligheden. Der kan derfor ikke opkræves brugerbetaling for afgivelse af de ovennævnte oplysninger til Miljøstyrelsen. </w:t>
            </w:r>
          </w:p>
          <w:p w14:paraId="41666006" w14:textId="4F251A3C" w:rsidR="002B6A2E" w:rsidRPr="004D7ABE" w:rsidRDefault="002B6A2E" w:rsidP="002B6A2E">
            <w:pPr>
              <w:pStyle w:val="Underoverskrift"/>
            </w:pPr>
          </w:p>
        </w:tc>
      </w:tr>
    </w:tbl>
    <w:p w14:paraId="6A3480D6" w14:textId="77777777" w:rsidR="00E1298C" w:rsidRDefault="00E1298C" w:rsidP="002534E3"/>
    <w:p w14:paraId="7B3F946A" w14:textId="77777777" w:rsidR="00E1298C" w:rsidRDefault="00E1298C" w:rsidP="002534E3"/>
    <w:p w14:paraId="49D4AD40" w14:textId="77777777" w:rsidR="00E1298C" w:rsidRDefault="00E1298C" w:rsidP="002534E3"/>
    <w:p w14:paraId="7F074FB5" w14:textId="77777777" w:rsidR="00E1298C" w:rsidRDefault="00E1298C" w:rsidP="002534E3"/>
    <w:p w14:paraId="5689BC54" w14:textId="77777777" w:rsidR="00E1298C" w:rsidRDefault="00E1298C" w:rsidP="002534E3"/>
    <w:p w14:paraId="7D0AB9CE" w14:textId="77777777" w:rsidR="00E1298C" w:rsidRDefault="00E1298C" w:rsidP="002534E3"/>
    <w:p w14:paraId="1F870521" w14:textId="77777777" w:rsidR="00E1298C" w:rsidRDefault="00E1298C" w:rsidP="002534E3"/>
    <w:sectPr w:rsidR="00E1298C">
      <w:headerReference w:type="even" r:id="rId9"/>
      <w:headerReference w:type="default" r:id="rId10"/>
      <w:foot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88CD9" w14:textId="77777777" w:rsidR="004B2B32" w:rsidRDefault="004B2B32" w:rsidP="002534E3">
      <w:r>
        <w:separator/>
      </w:r>
    </w:p>
  </w:endnote>
  <w:endnote w:type="continuationSeparator" w:id="0">
    <w:p w14:paraId="1E2712D3" w14:textId="77777777" w:rsidR="004B2B32" w:rsidRDefault="004B2B32"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5806"/>
      <w:docPartObj>
        <w:docPartGallery w:val="Page Numbers (Bottom of Page)"/>
        <w:docPartUnique/>
      </w:docPartObj>
    </w:sdtPr>
    <w:sdtEndPr>
      <w:rPr>
        <w:sz w:val="18"/>
        <w:szCs w:val="18"/>
      </w:rPr>
    </w:sdtEndPr>
    <w:sdtContent>
      <w:p w14:paraId="048B2667" w14:textId="2E7C29FE" w:rsidR="00682D23" w:rsidRPr="00682D23" w:rsidRDefault="00682D23">
        <w:pPr>
          <w:pStyle w:val="Sidefod"/>
          <w:jc w:val="center"/>
          <w:rPr>
            <w:sz w:val="18"/>
            <w:szCs w:val="18"/>
          </w:rPr>
        </w:pPr>
        <w:r w:rsidRPr="00682D23">
          <w:rPr>
            <w:sz w:val="18"/>
            <w:szCs w:val="18"/>
          </w:rPr>
          <w:fldChar w:fldCharType="begin"/>
        </w:r>
        <w:r w:rsidRPr="00682D23">
          <w:rPr>
            <w:sz w:val="18"/>
            <w:szCs w:val="18"/>
          </w:rPr>
          <w:instrText>PAGE   \* MERGEFORMAT</w:instrText>
        </w:r>
        <w:r w:rsidRPr="00682D23">
          <w:rPr>
            <w:sz w:val="18"/>
            <w:szCs w:val="18"/>
          </w:rPr>
          <w:fldChar w:fldCharType="separate"/>
        </w:r>
        <w:r w:rsidR="00C21EC4">
          <w:rPr>
            <w:noProof/>
            <w:sz w:val="18"/>
            <w:szCs w:val="18"/>
          </w:rPr>
          <w:t>7</w:t>
        </w:r>
        <w:r w:rsidRPr="00682D23">
          <w:rPr>
            <w:sz w:val="18"/>
            <w:szCs w:val="18"/>
          </w:rPr>
          <w:fldChar w:fldCharType="end"/>
        </w:r>
      </w:p>
    </w:sdtContent>
  </w:sdt>
  <w:p w14:paraId="2EDCCCAE" w14:textId="77777777" w:rsidR="00E2725B" w:rsidRDefault="00E272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CECC9" w14:textId="77777777" w:rsidR="004B2B32" w:rsidRDefault="004B2B32" w:rsidP="002534E3">
      <w:r>
        <w:separator/>
      </w:r>
    </w:p>
  </w:footnote>
  <w:footnote w:type="continuationSeparator" w:id="0">
    <w:p w14:paraId="5D502955" w14:textId="77777777" w:rsidR="004B2B32" w:rsidRDefault="004B2B32"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954D" w14:textId="6438483C" w:rsidR="00E2725B" w:rsidRDefault="00C21EC4">
    <w:pPr>
      <w:pStyle w:val="Sidehoved"/>
    </w:pPr>
    <w:r>
      <w:rPr>
        <w:noProof/>
      </w:rPr>
      <w:pict w14:anchorId="37EB9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59641"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7B10" w14:textId="1C8959EA" w:rsidR="00E2725B" w:rsidRDefault="00C21EC4">
    <w:pPr>
      <w:pStyle w:val="Sidehoved"/>
    </w:pPr>
    <w:r>
      <w:rPr>
        <w:noProof/>
      </w:rPr>
      <w:pict w14:anchorId="6C9EA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59642"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F7D0" w14:textId="274020ED" w:rsidR="00E2725B" w:rsidRDefault="00C21EC4">
    <w:pPr>
      <w:pStyle w:val="Sidehoved"/>
    </w:pPr>
    <w:r>
      <w:rPr>
        <w:noProof/>
      </w:rPr>
      <w:pict w14:anchorId="2E69A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59640"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45644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5C7A8E"/>
    <w:multiLevelType w:val="singleLevel"/>
    <w:tmpl w:val="0406000F"/>
    <w:lvl w:ilvl="0">
      <w:start w:val="1"/>
      <w:numFmt w:val="decimal"/>
      <w:lvlText w:val="%1."/>
      <w:lvlJc w:val="left"/>
      <w:pPr>
        <w:ind w:left="360" w:hanging="360"/>
      </w:pPr>
    </w:lvl>
  </w:abstractNum>
  <w:abstractNum w:abstractNumId="3"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5"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6"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7" w15:restartNumberingAfterBreak="0">
    <w:nsid w:val="2BEE7E0C"/>
    <w:multiLevelType w:val="singleLevel"/>
    <w:tmpl w:val="04060011"/>
    <w:lvl w:ilvl="0">
      <w:start w:val="1"/>
      <w:numFmt w:val="decimal"/>
      <w:lvlText w:val="%1)"/>
      <w:lvlJc w:val="left"/>
      <w:pPr>
        <w:ind w:left="360" w:hanging="360"/>
      </w:pPr>
    </w:lvl>
  </w:abstractNum>
  <w:abstractNum w:abstractNumId="8" w15:restartNumberingAfterBreak="0">
    <w:nsid w:val="3037762E"/>
    <w:multiLevelType w:val="hybridMultilevel"/>
    <w:tmpl w:val="1AD843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1440485"/>
    <w:multiLevelType w:val="hybridMultilevel"/>
    <w:tmpl w:val="2E3877C6"/>
    <w:lvl w:ilvl="0" w:tplc="821E5436">
      <w:start w:val="1"/>
      <w:numFmt w:val="decimal"/>
      <w:lvlText w:val="%1)"/>
      <w:lvlJc w:val="left"/>
      <w:pPr>
        <w:ind w:left="1308" w:hanging="1308"/>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11"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14"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15" w15:restartNumberingAfterBreak="0">
    <w:nsid w:val="5F952007"/>
    <w:multiLevelType w:val="hybridMultilevel"/>
    <w:tmpl w:val="747C18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17"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18"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12"/>
  </w:num>
  <w:num w:numId="3">
    <w:abstractNumId w:val="0"/>
  </w:num>
  <w:num w:numId="4">
    <w:abstractNumId w:val="5"/>
  </w:num>
  <w:num w:numId="5">
    <w:abstractNumId w:val="13"/>
  </w:num>
  <w:num w:numId="6">
    <w:abstractNumId w:val="11"/>
  </w:num>
  <w:num w:numId="7">
    <w:abstractNumId w:val="14"/>
  </w:num>
  <w:num w:numId="8">
    <w:abstractNumId w:val="17"/>
  </w:num>
  <w:num w:numId="9">
    <w:abstractNumId w:val="2"/>
  </w:num>
  <w:num w:numId="10">
    <w:abstractNumId w:val="18"/>
  </w:num>
  <w:num w:numId="11">
    <w:abstractNumId w:val="10"/>
  </w:num>
  <w:num w:numId="12">
    <w:abstractNumId w:val="6"/>
  </w:num>
  <w:num w:numId="13">
    <w:abstractNumId w:val="16"/>
  </w:num>
  <w:num w:numId="14">
    <w:abstractNumId w:val="4"/>
  </w:num>
  <w:num w:numId="15">
    <w:abstractNumId w:val="7"/>
  </w:num>
  <w:num w:numId="16">
    <w:abstractNumId w:val="3"/>
  </w:num>
  <w:num w:numId="17">
    <w:abstractNumId w:val="1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121CA"/>
    <w:rsid w:val="000142EC"/>
    <w:rsid w:val="000265EB"/>
    <w:rsid w:val="00027101"/>
    <w:rsid w:val="000279F0"/>
    <w:rsid w:val="00035AD1"/>
    <w:rsid w:val="00056381"/>
    <w:rsid w:val="000672E7"/>
    <w:rsid w:val="000808BA"/>
    <w:rsid w:val="00085024"/>
    <w:rsid w:val="00093EAE"/>
    <w:rsid w:val="00097CE8"/>
    <w:rsid w:val="000A2B1F"/>
    <w:rsid w:val="000C3C5B"/>
    <w:rsid w:val="000F1B6B"/>
    <w:rsid w:val="000F2C8B"/>
    <w:rsid w:val="00100FE8"/>
    <w:rsid w:val="00105F79"/>
    <w:rsid w:val="00110701"/>
    <w:rsid w:val="00117026"/>
    <w:rsid w:val="00125B14"/>
    <w:rsid w:val="00144223"/>
    <w:rsid w:val="00153006"/>
    <w:rsid w:val="0015415B"/>
    <w:rsid w:val="00157052"/>
    <w:rsid w:val="001840E5"/>
    <w:rsid w:val="001C258B"/>
    <w:rsid w:val="001D6666"/>
    <w:rsid w:val="001E0470"/>
    <w:rsid w:val="00212935"/>
    <w:rsid w:val="0022377A"/>
    <w:rsid w:val="002244D9"/>
    <w:rsid w:val="00226F83"/>
    <w:rsid w:val="002409EB"/>
    <w:rsid w:val="00252A74"/>
    <w:rsid w:val="002534E3"/>
    <w:rsid w:val="002552FE"/>
    <w:rsid w:val="00266991"/>
    <w:rsid w:val="00295EA8"/>
    <w:rsid w:val="002B6A2E"/>
    <w:rsid w:val="002C3111"/>
    <w:rsid w:val="002D7F53"/>
    <w:rsid w:val="002F168A"/>
    <w:rsid w:val="00305A45"/>
    <w:rsid w:val="00314478"/>
    <w:rsid w:val="0031487D"/>
    <w:rsid w:val="00327A23"/>
    <w:rsid w:val="00333843"/>
    <w:rsid w:val="003367D7"/>
    <w:rsid w:val="00362FC1"/>
    <w:rsid w:val="00367BA4"/>
    <w:rsid w:val="003747A2"/>
    <w:rsid w:val="00386E56"/>
    <w:rsid w:val="003D324B"/>
    <w:rsid w:val="003E0FA1"/>
    <w:rsid w:val="003F02BC"/>
    <w:rsid w:val="003F0EB1"/>
    <w:rsid w:val="003F11A6"/>
    <w:rsid w:val="004008DD"/>
    <w:rsid w:val="00403BA7"/>
    <w:rsid w:val="00407B88"/>
    <w:rsid w:val="004314BF"/>
    <w:rsid w:val="004455CC"/>
    <w:rsid w:val="00445B20"/>
    <w:rsid w:val="00463D15"/>
    <w:rsid w:val="0047605B"/>
    <w:rsid w:val="00486183"/>
    <w:rsid w:val="0049583B"/>
    <w:rsid w:val="004A0343"/>
    <w:rsid w:val="004A08F4"/>
    <w:rsid w:val="004B2B32"/>
    <w:rsid w:val="004B3D6A"/>
    <w:rsid w:val="004C53E8"/>
    <w:rsid w:val="004D7ABE"/>
    <w:rsid w:val="004E2F60"/>
    <w:rsid w:val="004F2F9C"/>
    <w:rsid w:val="0050114F"/>
    <w:rsid w:val="00501C81"/>
    <w:rsid w:val="00507847"/>
    <w:rsid w:val="00514433"/>
    <w:rsid w:val="005365C5"/>
    <w:rsid w:val="005400CC"/>
    <w:rsid w:val="00547CB1"/>
    <w:rsid w:val="0055353F"/>
    <w:rsid w:val="005B7463"/>
    <w:rsid w:val="005F2A5E"/>
    <w:rsid w:val="005F4400"/>
    <w:rsid w:val="0060377E"/>
    <w:rsid w:val="00606B56"/>
    <w:rsid w:val="0061613C"/>
    <w:rsid w:val="00622216"/>
    <w:rsid w:val="00630716"/>
    <w:rsid w:val="00681594"/>
    <w:rsid w:val="00682D23"/>
    <w:rsid w:val="006834D5"/>
    <w:rsid w:val="006952E9"/>
    <w:rsid w:val="006B4059"/>
    <w:rsid w:val="006E24B1"/>
    <w:rsid w:val="006E6E75"/>
    <w:rsid w:val="00720FDB"/>
    <w:rsid w:val="0073144C"/>
    <w:rsid w:val="00732D29"/>
    <w:rsid w:val="00736FB6"/>
    <w:rsid w:val="007613A3"/>
    <w:rsid w:val="00762121"/>
    <w:rsid w:val="0076364D"/>
    <w:rsid w:val="007637F9"/>
    <w:rsid w:val="00786EF1"/>
    <w:rsid w:val="00792EAA"/>
    <w:rsid w:val="00793D43"/>
    <w:rsid w:val="0079574D"/>
    <w:rsid w:val="007A62C7"/>
    <w:rsid w:val="007D12BF"/>
    <w:rsid w:val="007E269C"/>
    <w:rsid w:val="007E33AE"/>
    <w:rsid w:val="007E5B73"/>
    <w:rsid w:val="007E60B4"/>
    <w:rsid w:val="00806A51"/>
    <w:rsid w:val="00834C35"/>
    <w:rsid w:val="00841FA4"/>
    <w:rsid w:val="008576C9"/>
    <w:rsid w:val="008636C3"/>
    <w:rsid w:val="0087120A"/>
    <w:rsid w:val="008737CE"/>
    <w:rsid w:val="00877123"/>
    <w:rsid w:val="008A05F3"/>
    <w:rsid w:val="008A77E7"/>
    <w:rsid w:val="008B1190"/>
    <w:rsid w:val="008B23F8"/>
    <w:rsid w:val="008B3210"/>
    <w:rsid w:val="008C3F97"/>
    <w:rsid w:val="008D6B64"/>
    <w:rsid w:val="008D704D"/>
    <w:rsid w:val="008D7650"/>
    <w:rsid w:val="008E049E"/>
    <w:rsid w:val="009027A9"/>
    <w:rsid w:val="00912B09"/>
    <w:rsid w:val="009210F4"/>
    <w:rsid w:val="0092209F"/>
    <w:rsid w:val="00923F81"/>
    <w:rsid w:val="009408C3"/>
    <w:rsid w:val="00966117"/>
    <w:rsid w:val="0097373A"/>
    <w:rsid w:val="00977D7C"/>
    <w:rsid w:val="009D01C1"/>
    <w:rsid w:val="009E6A90"/>
    <w:rsid w:val="009F091B"/>
    <w:rsid w:val="00A059E2"/>
    <w:rsid w:val="00A20D8F"/>
    <w:rsid w:val="00A25C20"/>
    <w:rsid w:val="00A35A4E"/>
    <w:rsid w:val="00A74B71"/>
    <w:rsid w:val="00AB4F3F"/>
    <w:rsid w:val="00AB5974"/>
    <w:rsid w:val="00AC15D2"/>
    <w:rsid w:val="00AC7A57"/>
    <w:rsid w:val="00AD07F5"/>
    <w:rsid w:val="00AF00C0"/>
    <w:rsid w:val="00AF2E26"/>
    <w:rsid w:val="00AF59DB"/>
    <w:rsid w:val="00B07E37"/>
    <w:rsid w:val="00B20D0B"/>
    <w:rsid w:val="00B27B08"/>
    <w:rsid w:val="00B341DB"/>
    <w:rsid w:val="00B372D2"/>
    <w:rsid w:val="00B423F8"/>
    <w:rsid w:val="00B675B0"/>
    <w:rsid w:val="00B860D8"/>
    <w:rsid w:val="00B92E8D"/>
    <w:rsid w:val="00BA18AC"/>
    <w:rsid w:val="00BA5A9D"/>
    <w:rsid w:val="00BB079A"/>
    <w:rsid w:val="00BE4A9B"/>
    <w:rsid w:val="00BF43BB"/>
    <w:rsid w:val="00BF7849"/>
    <w:rsid w:val="00C13251"/>
    <w:rsid w:val="00C21EC4"/>
    <w:rsid w:val="00C309AB"/>
    <w:rsid w:val="00C4335C"/>
    <w:rsid w:val="00C61C66"/>
    <w:rsid w:val="00C6430D"/>
    <w:rsid w:val="00C66F6E"/>
    <w:rsid w:val="00C756EB"/>
    <w:rsid w:val="00C77097"/>
    <w:rsid w:val="00C8518F"/>
    <w:rsid w:val="00C90B7F"/>
    <w:rsid w:val="00C95883"/>
    <w:rsid w:val="00C97D83"/>
    <w:rsid w:val="00CC0871"/>
    <w:rsid w:val="00CD0CE8"/>
    <w:rsid w:val="00CF2240"/>
    <w:rsid w:val="00CF3AAC"/>
    <w:rsid w:val="00D109EB"/>
    <w:rsid w:val="00D25F94"/>
    <w:rsid w:val="00D57347"/>
    <w:rsid w:val="00D577E1"/>
    <w:rsid w:val="00D705B8"/>
    <w:rsid w:val="00D74E8A"/>
    <w:rsid w:val="00D75CD9"/>
    <w:rsid w:val="00D93F5E"/>
    <w:rsid w:val="00DA3C8E"/>
    <w:rsid w:val="00DC5B6D"/>
    <w:rsid w:val="00DD3BAC"/>
    <w:rsid w:val="00DF0D23"/>
    <w:rsid w:val="00E1298C"/>
    <w:rsid w:val="00E24BC9"/>
    <w:rsid w:val="00E2725B"/>
    <w:rsid w:val="00E40EB7"/>
    <w:rsid w:val="00E81D6B"/>
    <w:rsid w:val="00E839F9"/>
    <w:rsid w:val="00E951AD"/>
    <w:rsid w:val="00E964FD"/>
    <w:rsid w:val="00E96E61"/>
    <w:rsid w:val="00EA2A9D"/>
    <w:rsid w:val="00EB38EF"/>
    <w:rsid w:val="00ED2B18"/>
    <w:rsid w:val="00ED30EC"/>
    <w:rsid w:val="00EE4DC4"/>
    <w:rsid w:val="00EF3669"/>
    <w:rsid w:val="00F065E6"/>
    <w:rsid w:val="00F308DB"/>
    <w:rsid w:val="00F34D49"/>
    <w:rsid w:val="00F40A9B"/>
    <w:rsid w:val="00F9183E"/>
    <w:rsid w:val="00FC28C5"/>
    <w:rsid w:val="00FD073C"/>
    <w:rsid w:val="00FD29A9"/>
    <w:rsid w:val="00FD4F63"/>
    <w:rsid w:val="00FE1B4D"/>
    <w:rsid w:val="00FE2428"/>
    <w:rsid w:val="00FE33DE"/>
    <w:rsid w:val="00FF2D05"/>
    <w:rsid w:val="00FF54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89F988"/>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uiPriority w:val="99"/>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99"/>
    <w:qFormat/>
    <w:rsid w:val="002534E3"/>
    <w:pPr>
      <w:ind w:left="720"/>
      <w:contextualSpacing/>
    </w:pPr>
  </w:style>
  <w:style w:type="character" w:styleId="Fremhv">
    <w:name w:val="Emphasis"/>
    <w:basedOn w:val="Standardskrifttypeiafsnit"/>
    <w:qFormat/>
    <w:rsid w:val="002534E3"/>
    <w:rPr>
      <w:i/>
      <w:iCs/>
    </w:rPr>
  </w:style>
  <w:style w:type="character" w:styleId="Strk">
    <w:name w:val="Strong"/>
    <w:basedOn w:val="Standardskrifttypeiafsnit"/>
    <w:qFormat/>
    <w:rsid w:val="008D704D"/>
    <w:rPr>
      <w:b/>
      <w:bCs/>
    </w:rPr>
  </w:style>
  <w:style w:type="character" w:styleId="Kommentarhenvisning">
    <w:name w:val="annotation reference"/>
    <w:basedOn w:val="Standardskrifttypeiafsnit"/>
    <w:rsid w:val="00F308DB"/>
    <w:rPr>
      <w:sz w:val="16"/>
      <w:szCs w:val="16"/>
    </w:rPr>
  </w:style>
  <w:style w:type="paragraph" w:styleId="Kommentartekst">
    <w:name w:val="annotation text"/>
    <w:basedOn w:val="Normal"/>
    <w:link w:val="KommentartekstTegn"/>
    <w:rsid w:val="00F308DB"/>
    <w:rPr>
      <w:sz w:val="20"/>
      <w:szCs w:val="20"/>
    </w:rPr>
  </w:style>
  <w:style w:type="character" w:customStyle="1" w:styleId="KommentartekstTegn">
    <w:name w:val="Kommentartekst Tegn"/>
    <w:basedOn w:val="Standardskrifttypeiafsnit"/>
    <w:link w:val="Kommentartekst"/>
    <w:rsid w:val="00F308DB"/>
  </w:style>
  <w:style w:type="paragraph" w:styleId="Kommentaremne">
    <w:name w:val="annotation subject"/>
    <w:basedOn w:val="Kommentartekst"/>
    <w:next w:val="Kommentartekst"/>
    <w:link w:val="KommentaremneTegn"/>
    <w:rsid w:val="00F308DB"/>
    <w:rPr>
      <w:b/>
      <w:bCs/>
    </w:rPr>
  </w:style>
  <w:style w:type="character" w:customStyle="1" w:styleId="KommentaremneTegn">
    <w:name w:val="Kommentaremne Tegn"/>
    <w:basedOn w:val="KommentartekstTegn"/>
    <w:link w:val="Kommentaremne"/>
    <w:rsid w:val="00F308DB"/>
    <w:rPr>
      <w:b/>
      <w:bCs/>
    </w:rPr>
  </w:style>
  <w:style w:type="paragraph" w:styleId="Korrektur">
    <w:name w:val="Revision"/>
    <w:hidden/>
    <w:uiPriority w:val="99"/>
    <w:semiHidden/>
    <w:rsid w:val="00FF54CA"/>
    <w:rPr>
      <w:sz w:val="24"/>
      <w:szCs w:val="24"/>
    </w:rPr>
  </w:style>
  <w:style w:type="paragraph" w:customStyle="1" w:styleId="Default">
    <w:name w:val="Default"/>
    <w:rsid w:val="00841F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1825">
      <w:bodyDiv w:val="1"/>
      <w:marLeft w:val="0"/>
      <w:marRight w:val="0"/>
      <w:marTop w:val="0"/>
      <w:marBottom w:val="0"/>
      <w:divBdr>
        <w:top w:val="none" w:sz="0" w:space="0" w:color="auto"/>
        <w:left w:val="none" w:sz="0" w:space="0" w:color="auto"/>
        <w:bottom w:val="none" w:sz="0" w:space="0" w:color="auto"/>
        <w:right w:val="none" w:sz="0" w:space="0" w:color="auto"/>
      </w:divBdr>
    </w:div>
    <w:div w:id="1543052272">
      <w:bodyDiv w:val="1"/>
      <w:marLeft w:val="0"/>
      <w:marRight w:val="0"/>
      <w:marTop w:val="0"/>
      <w:marBottom w:val="0"/>
      <w:divBdr>
        <w:top w:val="none" w:sz="0" w:space="0" w:color="auto"/>
        <w:left w:val="none" w:sz="0" w:space="0" w:color="auto"/>
        <w:bottom w:val="none" w:sz="0" w:space="0" w:color="auto"/>
        <w:right w:val="none" w:sz="0" w:space="0" w:color="auto"/>
      </w:divBdr>
      <w:divsChild>
        <w:div w:id="543179212">
          <w:marLeft w:val="0"/>
          <w:marRight w:val="0"/>
          <w:marTop w:val="0"/>
          <w:marBottom w:val="300"/>
          <w:divBdr>
            <w:top w:val="none" w:sz="0" w:space="0" w:color="auto"/>
            <w:left w:val="none" w:sz="0" w:space="0" w:color="auto"/>
            <w:bottom w:val="none" w:sz="0" w:space="0" w:color="auto"/>
            <w:right w:val="none" w:sz="0" w:space="0" w:color="auto"/>
          </w:divBdr>
          <w:divsChild>
            <w:div w:id="2025858542">
              <w:marLeft w:val="0"/>
              <w:marRight w:val="0"/>
              <w:marTop w:val="0"/>
              <w:marBottom w:val="0"/>
              <w:divBdr>
                <w:top w:val="none" w:sz="0" w:space="0" w:color="auto"/>
                <w:left w:val="single" w:sz="6" w:space="1" w:color="FFFFFF"/>
                <w:bottom w:val="none" w:sz="0" w:space="0" w:color="auto"/>
                <w:right w:val="single" w:sz="6" w:space="1" w:color="FFFFFF"/>
              </w:divBdr>
              <w:divsChild>
                <w:div w:id="443616940">
                  <w:marLeft w:val="0"/>
                  <w:marRight w:val="0"/>
                  <w:marTop w:val="0"/>
                  <w:marBottom w:val="0"/>
                  <w:divBdr>
                    <w:top w:val="none" w:sz="0" w:space="0" w:color="auto"/>
                    <w:left w:val="none" w:sz="0" w:space="0" w:color="auto"/>
                    <w:bottom w:val="none" w:sz="0" w:space="0" w:color="auto"/>
                    <w:right w:val="none" w:sz="0" w:space="0" w:color="auto"/>
                  </w:divBdr>
                  <w:divsChild>
                    <w:div w:id="675352818">
                      <w:marLeft w:val="0"/>
                      <w:marRight w:val="0"/>
                      <w:marTop w:val="0"/>
                      <w:marBottom w:val="0"/>
                      <w:divBdr>
                        <w:top w:val="none" w:sz="0" w:space="0" w:color="auto"/>
                        <w:left w:val="none" w:sz="0" w:space="0" w:color="auto"/>
                        <w:bottom w:val="none" w:sz="0" w:space="0" w:color="auto"/>
                        <w:right w:val="none" w:sz="0" w:space="0" w:color="auto"/>
                      </w:divBdr>
                      <w:divsChild>
                        <w:div w:id="216822056">
                          <w:marLeft w:val="0"/>
                          <w:marRight w:val="0"/>
                          <w:marTop w:val="0"/>
                          <w:marBottom w:val="0"/>
                          <w:divBdr>
                            <w:top w:val="none" w:sz="0" w:space="0" w:color="auto"/>
                            <w:left w:val="none" w:sz="0" w:space="0" w:color="auto"/>
                            <w:bottom w:val="none" w:sz="0" w:space="0" w:color="auto"/>
                            <w:right w:val="none" w:sz="0" w:space="0" w:color="auto"/>
                          </w:divBdr>
                          <w:divsChild>
                            <w:div w:id="1800682857">
                              <w:marLeft w:val="0"/>
                              <w:marRight w:val="0"/>
                              <w:marTop w:val="0"/>
                              <w:marBottom w:val="0"/>
                              <w:divBdr>
                                <w:top w:val="none" w:sz="0" w:space="0" w:color="auto"/>
                                <w:left w:val="none" w:sz="0" w:space="0" w:color="auto"/>
                                <w:bottom w:val="none" w:sz="0" w:space="0" w:color="auto"/>
                                <w:right w:val="none" w:sz="0" w:space="0" w:color="auto"/>
                              </w:divBdr>
                              <w:divsChild>
                                <w:div w:id="2094862386">
                                  <w:marLeft w:val="0"/>
                                  <w:marRight w:val="0"/>
                                  <w:marTop w:val="0"/>
                                  <w:marBottom w:val="0"/>
                                  <w:divBdr>
                                    <w:top w:val="none" w:sz="0" w:space="0" w:color="auto"/>
                                    <w:left w:val="none" w:sz="0" w:space="0" w:color="auto"/>
                                    <w:bottom w:val="none" w:sz="0" w:space="0" w:color="auto"/>
                                    <w:right w:val="none" w:sz="0" w:space="0" w:color="auto"/>
                                  </w:divBdr>
                                  <w:divsChild>
                                    <w:div w:id="8375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t.dk/erhverv/industri/brugerbeta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4A83-96E6-44F0-8F9E-EFC36BE0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2226</Words>
  <Characters>13759</Characters>
  <Application>Microsoft Office Word</Application>
  <DocSecurity>0</DocSecurity>
  <Lines>280</Lines>
  <Paragraphs>107</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15878</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6</cp:revision>
  <dcterms:created xsi:type="dcterms:W3CDTF">2020-02-11T10:49:00Z</dcterms:created>
  <dcterms:modified xsi:type="dcterms:W3CDTF">2020-02-14T12:59:00Z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