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5D" w:rsidRPr="009F1907" w:rsidRDefault="0036355D" w:rsidP="00FE40BF">
      <w:pPr>
        <w:spacing w:line="288" w:lineRule="auto"/>
        <w:jc w:val="both"/>
        <w:rPr>
          <w:color w:val="000000"/>
          <w:lang w:val="da-DK"/>
        </w:rPr>
      </w:pPr>
      <w:r w:rsidRPr="009F1907">
        <w:rPr>
          <w:color w:val="000000"/>
          <w:lang w:val="da-DK"/>
        </w:rPr>
        <w:t xml:space="preserve">Skatteministeriet </w:t>
      </w:r>
      <w:r w:rsidRPr="009F1907">
        <w:rPr>
          <w:color w:val="000000"/>
          <w:lang w:val="da-DK"/>
        </w:rPr>
        <w:fldChar w:fldCharType="begin"/>
      </w:r>
      <w:r w:rsidRPr="009F1907">
        <w:rPr>
          <w:color w:val="000000"/>
          <w:lang w:val="da-DK"/>
        </w:rPr>
        <w:instrText>ADVANCE \r255</w:instrText>
      </w:r>
      <w:r w:rsidRPr="009F1907">
        <w:rPr>
          <w:color w:val="000000"/>
          <w:lang w:val="da-DK"/>
        </w:rPr>
        <w:fldChar w:fldCharType="end"/>
      </w:r>
      <w:r w:rsidRPr="009F1907">
        <w:rPr>
          <w:color w:val="000000"/>
          <w:lang w:val="da-DK"/>
        </w:rPr>
        <w:t xml:space="preserve">J. nr. </w:t>
      </w:r>
      <w:r w:rsidR="00CD12E0">
        <w:rPr>
          <w:color w:val="000000"/>
          <w:lang w:val="da-DK"/>
        </w:rPr>
        <w:t>13-</w:t>
      </w:r>
      <w:r w:rsidR="00126746">
        <w:rPr>
          <w:color w:val="000000"/>
          <w:lang w:val="da-DK"/>
        </w:rPr>
        <w:t>5733898</w:t>
      </w:r>
    </w:p>
    <w:p w:rsidR="0036355D" w:rsidRPr="009F1907" w:rsidRDefault="00E439FB" w:rsidP="0036355D">
      <w:pPr>
        <w:spacing w:line="288" w:lineRule="auto"/>
        <w:jc w:val="both"/>
        <w:rPr>
          <w:color w:val="000000"/>
          <w:lang w:val="da-DK"/>
        </w:rPr>
      </w:pPr>
      <w:r>
        <w:rPr>
          <w:color w:val="000000"/>
          <w:lang w:val="da-DK"/>
        </w:rPr>
        <w:t xml:space="preserve">Udkast </w:t>
      </w:r>
    </w:p>
    <w:p w:rsidR="0036355D" w:rsidRPr="009F1907" w:rsidRDefault="0036355D" w:rsidP="0036355D">
      <w:pPr>
        <w:spacing w:line="288" w:lineRule="auto"/>
        <w:jc w:val="both"/>
        <w:rPr>
          <w:color w:val="000000"/>
          <w:lang w:val="da-DK"/>
        </w:rPr>
      </w:pPr>
    </w:p>
    <w:p w:rsidR="0036355D" w:rsidRPr="009F1907" w:rsidRDefault="0036355D" w:rsidP="0036355D">
      <w:pPr>
        <w:spacing w:line="288" w:lineRule="auto"/>
        <w:jc w:val="both"/>
        <w:rPr>
          <w:color w:val="000000"/>
          <w:lang w:val="da-DK"/>
        </w:rPr>
      </w:pPr>
    </w:p>
    <w:p w:rsidR="0036355D" w:rsidRPr="009F1907" w:rsidRDefault="0036355D" w:rsidP="0036355D">
      <w:pPr>
        <w:spacing w:line="288" w:lineRule="auto"/>
        <w:jc w:val="both"/>
        <w:rPr>
          <w:color w:val="000000"/>
          <w:lang w:val="da-DK"/>
        </w:rPr>
      </w:pPr>
    </w:p>
    <w:p w:rsidR="0036355D" w:rsidRPr="009F1907" w:rsidRDefault="0036355D" w:rsidP="0036355D">
      <w:pPr>
        <w:spacing w:line="288" w:lineRule="auto"/>
        <w:jc w:val="both"/>
        <w:rPr>
          <w:color w:val="000000"/>
          <w:lang w:val="da-DK"/>
        </w:rPr>
      </w:pPr>
    </w:p>
    <w:p w:rsidR="0036355D" w:rsidRPr="009F1907" w:rsidRDefault="0036355D" w:rsidP="0036355D">
      <w:pPr>
        <w:jc w:val="center"/>
        <w:rPr>
          <w:b/>
          <w:bCs/>
          <w:color w:val="000000"/>
          <w:sz w:val="28"/>
          <w:lang w:val="da-DK"/>
        </w:rPr>
      </w:pPr>
      <w:bookmarkStart w:id="0" w:name="_Toc207591971"/>
      <w:bookmarkStart w:id="1" w:name="_Toc207684802"/>
      <w:bookmarkStart w:id="2" w:name="_Toc210026133"/>
      <w:r w:rsidRPr="009F1907">
        <w:rPr>
          <w:b/>
          <w:bCs/>
          <w:color w:val="000000"/>
          <w:sz w:val="28"/>
          <w:lang w:val="da-DK"/>
        </w:rPr>
        <w:t xml:space="preserve">Forslag </w:t>
      </w:r>
    </w:p>
    <w:p w:rsidR="0036355D" w:rsidRPr="009F1907" w:rsidRDefault="0036355D" w:rsidP="0036355D">
      <w:pPr>
        <w:jc w:val="center"/>
        <w:rPr>
          <w:color w:val="000000"/>
          <w:lang w:val="da-DK"/>
        </w:rPr>
      </w:pPr>
      <w:r w:rsidRPr="009F1907">
        <w:rPr>
          <w:color w:val="000000"/>
          <w:lang w:val="da-DK"/>
        </w:rPr>
        <w:t xml:space="preserve">til </w:t>
      </w:r>
    </w:p>
    <w:p w:rsidR="0036355D" w:rsidRPr="009F1907" w:rsidRDefault="0036355D" w:rsidP="0036355D">
      <w:pPr>
        <w:jc w:val="center"/>
        <w:rPr>
          <w:b/>
          <w:color w:val="000000"/>
          <w:sz w:val="28"/>
          <w:lang w:val="da-DK"/>
        </w:rPr>
      </w:pPr>
      <w:r w:rsidRPr="009F1907">
        <w:rPr>
          <w:b/>
          <w:color w:val="000000"/>
          <w:sz w:val="28"/>
          <w:lang w:val="da-DK"/>
        </w:rPr>
        <w:t xml:space="preserve">Lov om ændring af </w:t>
      </w:r>
      <w:r w:rsidR="00CD12E0">
        <w:rPr>
          <w:b/>
          <w:color w:val="000000"/>
          <w:sz w:val="28"/>
          <w:lang w:val="da-DK"/>
        </w:rPr>
        <w:t>ligningsloven</w:t>
      </w:r>
    </w:p>
    <w:p w:rsidR="0036355D" w:rsidRPr="009F1907" w:rsidRDefault="0036355D" w:rsidP="0036355D">
      <w:pPr>
        <w:jc w:val="center"/>
        <w:rPr>
          <w:color w:val="000000"/>
          <w:lang w:val="da-DK"/>
        </w:rPr>
      </w:pPr>
      <w:r w:rsidRPr="009F1907">
        <w:rPr>
          <w:color w:val="000000"/>
          <w:lang w:val="da-DK"/>
        </w:rPr>
        <w:t>(</w:t>
      </w:r>
      <w:r w:rsidR="00CD12E0">
        <w:rPr>
          <w:color w:val="000000"/>
          <w:lang w:val="da-DK"/>
        </w:rPr>
        <w:t>Forhøjelse af loftet over fradrag for fagforeningskontingenter</w:t>
      </w:r>
      <w:r w:rsidRPr="009F1907">
        <w:rPr>
          <w:color w:val="000000"/>
          <w:lang w:val="da-DK"/>
        </w:rPr>
        <w:t>)</w:t>
      </w:r>
    </w:p>
    <w:p w:rsidR="0036355D" w:rsidRPr="009F1907" w:rsidRDefault="0036355D" w:rsidP="0036355D">
      <w:pPr>
        <w:spacing w:line="288" w:lineRule="auto"/>
        <w:jc w:val="center"/>
        <w:rPr>
          <w:color w:val="000000"/>
          <w:lang w:val="da-DK"/>
        </w:rPr>
      </w:pPr>
    </w:p>
    <w:p w:rsidR="0036355D" w:rsidRPr="009F1907" w:rsidRDefault="0036355D" w:rsidP="0036355D">
      <w:pPr>
        <w:spacing w:line="288" w:lineRule="auto"/>
        <w:jc w:val="both"/>
        <w:rPr>
          <w:color w:val="000000"/>
          <w:lang w:val="da-DK"/>
        </w:rPr>
      </w:pPr>
    </w:p>
    <w:p w:rsidR="0036355D" w:rsidRPr="009F1907" w:rsidRDefault="0036355D" w:rsidP="0036355D">
      <w:pPr>
        <w:ind w:left="3600" w:firstLine="720"/>
        <w:rPr>
          <w:color w:val="000000"/>
          <w:lang w:val="da-DK"/>
        </w:rPr>
      </w:pPr>
      <w:r w:rsidRPr="009F1907">
        <w:rPr>
          <w:b/>
          <w:color w:val="000000"/>
          <w:lang w:val="da-DK"/>
        </w:rPr>
        <w:t>§ 1</w:t>
      </w:r>
      <w:r w:rsidRPr="009F1907">
        <w:rPr>
          <w:color w:val="000000"/>
          <w:lang w:val="da-DK"/>
        </w:rPr>
        <w:t xml:space="preserve"> </w:t>
      </w:r>
    </w:p>
    <w:p w:rsidR="0036355D" w:rsidRPr="009F1907" w:rsidRDefault="0036355D" w:rsidP="0036355D">
      <w:pPr>
        <w:jc w:val="center"/>
        <w:rPr>
          <w:color w:val="000000"/>
          <w:lang w:val="da-DK"/>
        </w:rPr>
      </w:pPr>
    </w:p>
    <w:p w:rsidR="0036355D" w:rsidRPr="009F1907" w:rsidRDefault="0036355D" w:rsidP="00543670">
      <w:pPr>
        <w:spacing w:line="288" w:lineRule="auto"/>
        <w:ind w:firstLine="720"/>
        <w:rPr>
          <w:color w:val="000000"/>
          <w:lang w:val="da-DK"/>
        </w:rPr>
      </w:pPr>
      <w:r w:rsidRPr="009F1907">
        <w:rPr>
          <w:rStyle w:val="Fodnotehenvisning"/>
          <w:rFonts w:eastAsia="Arial Unicode MS"/>
          <w:color w:val="000000"/>
          <w:lang w:val="da-DK"/>
        </w:rPr>
        <w:t>I</w:t>
      </w:r>
      <w:r w:rsidRPr="009F1907">
        <w:rPr>
          <w:color w:val="000000"/>
          <w:lang w:val="da-DK"/>
        </w:rPr>
        <w:t xml:space="preserve"> </w:t>
      </w:r>
      <w:r w:rsidR="00126746">
        <w:rPr>
          <w:color w:val="000000"/>
          <w:lang w:val="da-DK"/>
        </w:rPr>
        <w:t>ligningsloven</w:t>
      </w:r>
      <w:r w:rsidRPr="009F1907">
        <w:rPr>
          <w:color w:val="000000"/>
          <w:lang w:val="da-DK"/>
        </w:rPr>
        <w:t>, jf. lovbekendtgørelse nr.</w:t>
      </w:r>
      <w:r w:rsidR="00DF3425">
        <w:rPr>
          <w:color w:val="000000"/>
          <w:lang w:val="da-DK"/>
        </w:rPr>
        <w:t xml:space="preserve"> </w:t>
      </w:r>
      <w:r w:rsidR="00126746">
        <w:rPr>
          <w:color w:val="000000"/>
          <w:lang w:val="da-DK"/>
        </w:rPr>
        <w:t xml:space="preserve">405 af 22. april 2013, </w:t>
      </w:r>
      <w:r w:rsidR="0008218E">
        <w:rPr>
          <w:color w:val="000000"/>
          <w:lang w:val="da-DK"/>
        </w:rPr>
        <w:t xml:space="preserve">som ændret </w:t>
      </w:r>
      <w:r w:rsidR="00126746">
        <w:rPr>
          <w:color w:val="000000"/>
          <w:lang w:val="da-DK"/>
        </w:rPr>
        <w:t xml:space="preserve">senest ved § 2 i lov nr. 748 af 25. juni 2014, foretages følgende </w:t>
      </w:r>
      <w:r w:rsidRPr="009F1907">
        <w:rPr>
          <w:color w:val="000000"/>
          <w:lang w:val="da-DK"/>
        </w:rPr>
        <w:t>ændring:</w:t>
      </w:r>
    </w:p>
    <w:p w:rsidR="0036355D" w:rsidRPr="009F1907" w:rsidRDefault="0036355D" w:rsidP="00543670">
      <w:pPr>
        <w:spacing w:line="288" w:lineRule="auto"/>
        <w:rPr>
          <w:color w:val="000000"/>
          <w:lang w:val="da-DK"/>
        </w:rPr>
      </w:pPr>
    </w:p>
    <w:p w:rsidR="00FE40BF" w:rsidRDefault="0036355D" w:rsidP="00543670">
      <w:pPr>
        <w:tabs>
          <w:tab w:val="left" w:pos="0"/>
          <w:tab w:val="left" w:pos="284"/>
        </w:tabs>
        <w:spacing w:line="288" w:lineRule="auto"/>
        <w:rPr>
          <w:bCs/>
          <w:color w:val="000000"/>
          <w:lang w:val="da-DK"/>
        </w:rPr>
      </w:pPr>
      <w:r w:rsidRPr="009F1907">
        <w:rPr>
          <w:b/>
          <w:bCs/>
          <w:color w:val="000000"/>
          <w:lang w:val="da-DK"/>
        </w:rPr>
        <w:t xml:space="preserve">1. </w:t>
      </w:r>
      <w:r w:rsidR="00FE40BF" w:rsidRPr="00FE40BF">
        <w:rPr>
          <w:bCs/>
          <w:color w:val="000000"/>
          <w:lang w:val="da-DK"/>
        </w:rPr>
        <w:t>I</w:t>
      </w:r>
      <w:r w:rsidR="00FE40BF">
        <w:rPr>
          <w:b/>
          <w:bCs/>
          <w:color w:val="000000"/>
          <w:lang w:val="da-DK"/>
        </w:rPr>
        <w:t xml:space="preserve"> </w:t>
      </w:r>
      <w:r w:rsidR="00FE40BF">
        <w:rPr>
          <w:bCs/>
          <w:i/>
          <w:color w:val="000000"/>
          <w:lang w:val="da-DK"/>
        </w:rPr>
        <w:t>§ 1</w:t>
      </w:r>
      <w:r w:rsidR="00126746">
        <w:rPr>
          <w:bCs/>
          <w:i/>
          <w:color w:val="000000"/>
          <w:lang w:val="da-DK"/>
        </w:rPr>
        <w:t>3, stk. 1, 2.</w:t>
      </w:r>
      <w:r w:rsidR="00556A54">
        <w:rPr>
          <w:bCs/>
          <w:i/>
          <w:color w:val="000000"/>
          <w:lang w:val="da-DK"/>
        </w:rPr>
        <w:t xml:space="preserve"> </w:t>
      </w:r>
      <w:r w:rsidR="00126746">
        <w:rPr>
          <w:bCs/>
          <w:i/>
          <w:color w:val="000000"/>
          <w:lang w:val="da-DK"/>
        </w:rPr>
        <w:t>pkt.,</w:t>
      </w:r>
      <w:r w:rsidR="00FE40BF">
        <w:rPr>
          <w:bCs/>
          <w:i/>
          <w:color w:val="000000"/>
          <w:lang w:val="da-DK"/>
        </w:rPr>
        <w:t xml:space="preserve"> </w:t>
      </w:r>
      <w:r w:rsidR="00FE40BF">
        <w:rPr>
          <w:bCs/>
          <w:color w:val="000000"/>
          <w:lang w:val="da-DK"/>
        </w:rPr>
        <w:t xml:space="preserve">ændres </w:t>
      </w:r>
      <w:r w:rsidR="00126746">
        <w:rPr>
          <w:bCs/>
          <w:color w:val="000000"/>
          <w:lang w:val="da-DK"/>
        </w:rPr>
        <w:t>”3.000 kr.” til: ”6.000 kr.”</w:t>
      </w:r>
    </w:p>
    <w:p w:rsidR="00FE40BF" w:rsidRDefault="00FE40BF" w:rsidP="00543670">
      <w:pPr>
        <w:tabs>
          <w:tab w:val="left" w:pos="284"/>
        </w:tabs>
        <w:spacing w:line="288" w:lineRule="auto"/>
        <w:rPr>
          <w:b/>
          <w:color w:val="000000"/>
          <w:lang w:val="da-DK"/>
        </w:rPr>
      </w:pPr>
    </w:p>
    <w:p w:rsidR="00FE40BF" w:rsidRPr="009F1907" w:rsidRDefault="00FE40BF" w:rsidP="00CA337E">
      <w:pPr>
        <w:ind w:left="3600" w:firstLine="720"/>
        <w:jc w:val="both"/>
        <w:rPr>
          <w:color w:val="000000"/>
          <w:lang w:val="da-DK"/>
        </w:rPr>
      </w:pPr>
      <w:r>
        <w:rPr>
          <w:b/>
          <w:color w:val="000000"/>
          <w:lang w:val="da-DK"/>
        </w:rPr>
        <w:t>§ 2</w:t>
      </w:r>
      <w:r w:rsidRPr="009F1907">
        <w:rPr>
          <w:color w:val="000000"/>
          <w:lang w:val="da-DK"/>
        </w:rPr>
        <w:t xml:space="preserve"> </w:t>
      </w:r>
    </w:p>
    <w:p w:rsidR="00FE40BF" w:rsidRDefault="00FE40BF" w:rsidP="00543670">
      <w:pPr>
        <w:tabs>
          <w:tab w:val="left" w:pos="284"/>
        </w:tabs>
        <w:spacing w:line="288" w:lineRule="auto"/>
        <w:rPr>
          <w:b/>
          <w:color w:val="000000"/>
          <w:lang w:val="da-DK"/>
        </w:rPr>
      </w:pPr>
    </w:p>
    <w:p w:rsidR="0036355D" w:rsidRPr="009F1907" w:rsidRDefault="0036355D" w:rsidP="00543670">
      <w:pPr>
        <w:rPr>
          <w:i/>
          <w:iCs/>
          <w:color w:val="000000"/>
          <w:lang w:val="da-DK"/>
        </w:rPr>
      </w:pPr>
    </w:p>
    <w:p w:rsidR="0036355D" w:rsidRPr="009F1907" w:rsidRDefault="0036355D" w:rsidP="00543670">
      <w:pPr>
        <w:tabs>
          <w:tab w:val="left" w:pos="284"/>
        </w:tabs>
        <w:spacing w:line="288" w:lineRule="auto"/>
        <w:rPr>
          <w:iCs/>
          <w:color w:val="000000"/>
          <w:lang w:val="da-DK"/>
        </w:rPr>
      </w:pPr>
      <w:r w:rsidRPr="009F1907">
        <w:rPr>
          <w:i/>
          <w:iCs/>
          <w:color w:val="000000"/>
          <w:lang w:val="da-DK"/>
        </w:rPr>
        <w:tab/>
        <w:t xml:space="preserve">Stk. 1. </w:t>
      </w:r>
      <w:r w:rsidRPr="009F1907">
        <w:rPr>
          <w:iCs/>
          <w:color w:val="000000"/>
          <w:lang w:val="da-DK"/>
        </w:rPr>
        <w:t xml:space="preserve">Loven træder i kraft </w:t>
      </w:r>
      <w:r w:rsidR="00126746">
        <w:rPr>
          <w:iCs/>
          <w:color w:val="000000"/>
          <w:lang w:val="da-DK"/>
        </w:rPr>
        <w:t>dagen efter bekendtgørelsen i Lovtidende.</w:t>
      </w:r>
    </w:p>
    <w:p w:rsidR="00507E80" w:rsidRDefault="0036355D" w:rsidP="00543670">
      <w:pPr>
        <w:tabs>
          <w:tab w:val="left" w:pos="284"/>
        </w:tabs>
        <w:spacing w:line="288" w:lineRule="auto"/>
        <w:rPr>
          <w:i/>
          <w:iCs/>
          <w:color w:val="000000"/>
          <w:sz w:val="28"/>
          <w:lang w:val="da-DK"/>
        </w:rPr>
      </w:pPr>
      <w:r w:rsidRPr="009F1907">
        <w:rPr>
          <w:i/>
          <w:iCs/>
          <w:color w:val="000000"/>
          <w:lang w:val="da-DK"/>
        </w:rPr>
        <w:tab/>
        <w:t>Stk. 2.</w:t>
      </w:r>
      <w:r w:rsidRPr="009F1907">
        <w:rPr>
          <w:iCs/>
          <w:color w:val="000000"/>
          <w:lang w:val="da-DK"/>
        </w:rPr>
        <w:t xml:space="preserve"> </w:t>
      </w:r>
      <w:r w:rsidR="00373D00">
        <w:rPr>
          <w:iCs/>
          <w:color w:val="000000"/>
          <w:lang w:val="da-DK"/>
        </w:rPr>
        <w:t>Loven har virkning</w:t>
      </w:r>
      <w:r w:rsidR="00126746">
        <w:rPr>
          <w:iCs/>
          <w:color w:val="000000"/>
          <w:lang w:val="da-DK"/>
        </w:rPr>
        <w:t xml:space="preserve"> f</w:t>
      </w:r>
      <w:r w:rsidR="00995DE0">
        <w:rPr>
          <w:iCs/>
          <w:color w:val="000000"/>
          <w:lang w:val="da-DK"/>
        </w:rPr>
        <w:t>ra og med</w:t>
      </w:r>
      <w:r w:rsidR="00126746">
        <w:rPr>
          <w:iCs/>
          <w:color w:val="000000"/>
          <w:lang w:val="da-DK"/>
        </w:rPr>
        <w:t xml:space="preserve"> indkomståret 2015.</w:t>
      </w:r>
    </w:p>
    <w:p w:rsidR="00507E80" w:rsidRPr="00507E80" w:rsidRDefault="00507E80" w:rsidP="00543670">
      <w:pPr>
        <w:tabs>
          <w:tab w:val="left" w:pos="284"/>
        </w:tabs>
        <w:spacing w:line="288" w:lineRule="auto"/>
        <w:rPr>
          <w:i/>
          <w:iCs/>
          <w:color w:val="000000"/>
          <w:sz w:val="28"/>
          <w:lang w:val="da-DK"/>
        </w:rPr>
      </w:pPr>
      <w:r>
        <w:rPr>
          <w:i/>
          <w:iCs/>
          <w:lang w:val="da-DK"/>
        </w:rPr>
        <w:tab/>
      </w:r>
      <w:r w:rsidRPr="00507E80">
        <w:rPr>
          <w:i/>
          <w:iCs/>
          <w:lang w:val="da-DK"/>
        </w:rPr>
        <w:t>Stk. 3.</w:t>
      </w:r>
      <w:r w:rsidRPr="00507E80">
        <w:rPr>
          <w:iCs/>
          <w:lang w:val="da-DK"/>
        </w:rPr>
        <w:t xml:space="preserve"> Ved opgørelsen af en kommunes slutskat og kirkeskat for indkomståret 2015 efter § 16 i</w:t>
      </w:r>
      <w:r>
        <w:rPr>
          <w:iCs/>
          <w:lang w:val="da-DK"/>
        </w:rPr>
        <w:t xml:space="preserve"> </w:t>
      </w:r>
      <w:r w:rsidRPr="00507E80">
        <w:rPr>
          <w:iCs/>
          <w:lang w:val="da-DK"/>
        </w:rPr>
        <w:t xml:space="preserve">lov om kommunal indkomstskat korrigeres den opgjorte slutskat for den beregnede virkning af de ændringer i udskrivningsgrundlaget for kommuneskat og kirkeskat for 2015, der følger af </w:t>
      </w:r>
      <w:r>
        <w:rPr>
          <w:iCs/>
          <w:lang w:val="da-DK"/>
        </w:rPr>
        <w:t>ligning</w:t>
      </w:r>
      <w:r>
        <w:rPr>
          <w:iCs/>
          <w:lang w:val="da-DK"/>
        </w:rPr>
        <w:t>s</w:t>
      </w:r>
      <w:r>
        <w:rPr>
          <w:iCs/>
          <w:lang w:val="da-DK"/>
        </w:rPr>
        <w:t>lovens</w:t>
      </w:r>
      <w:r w:rsidRPr="00507E80">
        <w:rPr>
          <w:iCs/>
          <w:lang w:val="da-DK"/>
        </w:rPr>
        <w:t xml:space="preserve"> § </w:t>
      </w:r>
      <w:r>
        <w:rPr>
          <w:iCs/>
          <w:lang w:val="da-DK"/>
        </w:rPr>
        <w:t>13</w:t>
      </w:r>
      <w:r w:rsidRPr="00507E80">
        <w:rPr>
          <w:iCs/>
          <w:lang w:val="da-DK"/>
        </w:rPr>
        <w:t>, stk.</w:t>
      </w:r>
      <w:r>
        <w:rPr>
          <w:iCs/>
          <w:lang w:val="da-DK"/>
        </w:rPr>
        <w:t>1</w:t>
      </w:r>
      <w:r w:rsidRPr="00507E80">
        <w:rPr>
          <w:iCs/>
          <w:lang w:val="da-DK"/>
        </w:rPr>
        <w:t>,</w:t>
      </w:r>
      <w:r>
        <w:rPr>
          <w:iCs/>
          <w:lang w:val="da-DK"/>
        </w:rPr>
        <w:t xml:space="preserve"> 2.</w:t>
      </w:r>
      <w:r w:rsidR="008F77DE">
        <w:rPr>
          <w:iCs/>
          <w:lang w:val="da-DK"/>
        </w:rPr>
        <w:t xml:space="preserve"> </w:t>
      </w:r>
      <w:r>
        <w:rPr>
          <w:iCs/>
          <w:lang w:val="da-DK"/>
        </w:rPr>
        <w:t>pkt.</w:t>
      </w:r>
      <w:r w:rsidRPr="00507E80">
        <w:rPr>
          <w:iCs/>
          <w:lang w:val="da-DK"/>
        </w:rPr>
        <w:t xml:space="preserve">, </w:t>
      </w:r>
      <w:r w:rsidR="008F77DE">
        <w:rPr>
          <w:iCs/>
          <w:lang w:val="da-DK"/>
        </w:rPr>
        <w:t xml:space="preserve">som ændret ved </w:t>
      </w:r>
      <w:r w:rsidRPr="00507E80">
        <w:rPr>
          <w:iCs/>
          <w:lang w:val="da-DK"/>
        </w:rPr>
        <w:t>denne lovs § 1</w:t>
      </w:r>
      <w:r w:rsidR="008F77DE">
        <w:rPr>
          <w:iCs/>
          <w:lang w:val="da-DK"/>
        </w:rPr>
        <w:t>, nr. 1</w:t>
      </w:r>
      <w:r w:rsidRPr="00507E80">
        <w:rPr>
          <w:iCs/>
          <w:lang w:val="da-DK"/>
        </w:rPr>
        <w:t>.</w:t>
      </w:r>
    </w:p>
    <w:p w:rsidR="00DF3425" w:rsidRDefault="00507E80" w:rsidP="00543670">
      <w:pPr>
        <w:spacing w:line="288" w:lineRule="auto"/>
        <w:ind w:firstLine="240"/>
        <w:rPr>
          <w:iCs/>
          <w:lang w:val="da-DK"/>
        </w:rPr>
      </w:pPr>
      <w:r w:rsidRPr="00507E80">
        <w:rPr>
          <w:i/>
          <w:iCs/>
          <w:lang w:val="da-DK"/>
        </w:rPr>
        <w:t>Stk. 4.</w:t>
      </w:r>
      <w:r w:rsidRPr="00507E80">
        <w:rPr>
          <w:iCs/>
          <w:lang w:val="da-DK"/>
        </w:rPr>
        <w:t xml:space="preserve"> Den beregnede korrektion af kommunens slutskat og kirkeskat efter stk. 3 fastsættes af økonomi- og indenrigsministeren på grundlag af de oplysninger vedrørende indkomståret 2015, der foreligger pr. 1. maj 2017.</w:t>
      </w:r>
    </w:p>
    <w:p w:rsidR="0036355D" w:rsidRPr="009F1907" w:rsidRDefault="00DF3425" w:rsidP="00DF3425">
      <w:pPr>
        <w:spacing w:line="288" w:lineRule="auto"/>
        <w:ind w:left="240"/>
        <w:jc w:val="center"/>
        <w:rPr>
          <w:i/>
          <w:iCs/>
          <w:color w:val="000000"/>
          <w:sz w:val="28"/>
          <w:lang w:val="da-DK"/>
        </w:rPr>
      </w:pPr>
      <w:r>
        <w:rPr>
          <w:iCs/>
          <w:lang w:val="da-DK"/>
        </w:rPr>
        <w:br w:type="page"/>
      </w:r>
      <w:r w:rsidR="0036355D" w:rsidRPr="009F1907">
        <w:rPr>
          <w:i/>
          <w:iCs/>
          <w:color w:val="000000"/>
          <w:sz w:val="28"/>
          <w:lang w:val="da-DK"/>
        </w:rPr>
        <w:lastRenderedPageBreak/>
        <w:t>Bemærkninger til lovforslaget</w:t>
      </w:r>
    </w:p>
    <w:p w:rsidR="0036355D" w:rsidRPr="009F1907" w:rsidRDefault="0036355D" w:rsidP="0036355D">
      <w:pPr>
        <w:pStyle w:val="Overskrift2"/>
        <w:spacing w:line="240" w:lineRule="auto"/>
        <w:jc w:val="center"/>
        <w:rPr>
          <w:rFonts w:ascii="Times New Roman" w:hAnsi="Times New Roman" w:cs="Times New Roman"/>
          <w:i/>
          <w:color w:val="000000"/>
          <w:sz w:val="24"/>
        </w:rPr>
      </w:pPr>
    </w:p>
    <w:p w:rsidR="0036355D" w:rsidRPr="009F1907" w:rsidRDefault="0036355D" w:rsidP="00CA337E">
      <w:pPr>
        <w:pStyle w:val="Overskrift2"/>
        <w:spacing w:line="288" w:lineRule="auto"/>
        <w:jc w:val="center"/>
        <w:rPr>
          <w:rFonts w:ascii="Times New Roman" w:hAnsi="Times New Roman" w:cs="Times New Roman"/>
          <w:i/>
          <w:color w:val="000000"/>
          <w:sz w:val="24"/>
        </w:rPr>
      </w:pPr>
      <w:r w:rsidRPr="009F1907">
        <w:rPr>
          <w:rFonts w:ascii="Times New Roman" w:hAnsi="Times New Roman" w:cs="Times New Roman"/>
          <w:i/>
          <w:color w:val="000000"/>
          <w:sz w:val="24"/>
        </w:rPr>
        <w:t>Almindelige bemærkninger</w:t>
      </w:r>
      <w:bookmarkEnd w:id="0"/>
      <w:bookmarkEnd w:id="1"/>
      <w:bookmarkEnd w:id="2"/>
    </w:p>
    <w:p w:rsidR="00126746" w:rsidRDefault="00126746" w:rsidP="00CA337E">
      <w:pPr>
        <w:spacing w:line="288" w:lineRule="auto"/>
        <w:jc w:val="both"/>
        <w:rPr>
          <w:i/>
          <w:iCs/>
          <w:color w:val="000000"/>
          <w:lang w:val="da-DK"/>
        </w:rPr>
      </w:pPr>
    </w:p>
    <w:p w:rsidR="00126746" w:rsidRDefault="00126746" w:rsidP="00CA337E">
      <w:pPr>
        <w:spacing w:line="288" w:lineRule="auto"/>
        <w:jc w:val="both"/>
        <w:rPr>
          <w:i/>
          <w:iCs/>
          <w:color w:val="000000"/>
          <w:lang w:val="da-DK"/>
        </w:rPr>
      </w:pPr>
      <w:r w:rsidRPr="009F1907">
        <w:rPr>
          <w:i/>
          <w:iCs/>
          <w:color w:val="000000"/>
          <w:lang w:val="da-DK"/>
        </w:rPr>
        <w:t>1. Indledning</w:t>
      </w:r>
    </w:p>
    <w:p w:rsidR="00126746" w:rsidRDefault="00126746" w:rsidP="00CA337E">
      <w:pPr>
        <w:spacing w:line="288" w:lineRule="auto"/>
        <w:jc w:val="both"/>
        <w:rPr>
          <w:iCs/>
          <w:color w:val="000000"/>
          <w:lang w:val="da-DK"/>
        </w:rPr>
      </w:pPr>
      <w:r>
        <w:rPr>
          <w:iCs/>
          <w:color w:val="000000"/>
          <w:lang w:val="da-DK"/>
        </w:rPr>
        <w:t>Det foreslås at forhøje loftet over fradra</w:t>
      </w:r>
      <w:r w:rsidR="008F2BAA">
        <w:rPr>
          <w:iCs/>
          <w:color w:val="000000"/>
          <w:lang w:val="da-DK"/>
        </w:rPr>
        <w:t>get for fagforeningskontingenter fr</w:t>
      </w:r>
      <w:r w:rsidR="0002019B">
        <w:rPr>
          <w:iCs/>
          <w:color w:val="000000"/>
          <w:lang w:val="da-DK"/>
        </w:rPr>
        <w:t>a 3.000 kr. til 6.000 kr. fra og</w:t>
      </w:r>
      <w:r w:rsidR="008F2BAA">
        <w:rPr>
          <w:iCs/>
          <w:color w:val="000000"/>
          <w:lang w:val="da-DK"/>
        </w:rPr>
        <w:t xml:space="preserve"> med indkomståret 2015. </w:t>
      </w:r>
    </w:p>
    <w:p w:rsidR="008F2BAA" w:rsidRPr="00126746" w:rsidRDefault="008F2BAA" w:rsidP="00CA337E">
      <w:pPr>
        <w:spacing w:line="288" w:lineRule="auto"/>
        <w:jc w:val="both"/>
        <w:rPr>
          <w:iCs/>
          <w:color w:val="000000"/>
          <w:lang w:val="da-DK"/>
        </w:rPr>
      </w:pPr>
    </w:p>
    <w:p w:rsidR="00126746" w:rsidRDefault="00126746" w:rsidP="00CA337E">
      <w:pPr>
        <w:spacing w:line="288" w:lineRule="auto"/>
        <w:jc w:val="both"/>
        <w:rPr>
          <w:i/>
          <w:iCs/>
          <w:color w:val="000000"/>
          <w:lang w:val="da-DK"/>
        </w:rPr>
      </w:pPr>
      <w:r w:rsidRPr="009F1907">
        <w:rPr>
          <w:i/>
          <w:iCs/>
          <w:color w:val="000000"/>
          <w:lang w:val="da-DK"/>
        </w:rPr>
        <w:t xml:space="preserve">2. Lovforslagets formål og baggrund </w:t>
      </w:r>
    </w:p>
    <w:p w:rsidR="008F2BAA" w:rsidRPr="008F2BAA" w:rsidRDefault="008F2BAA" w:rsidP="00CA337E">
      <w:pPr>
        <w:spacing w:line="288" w:lineRule="auto"/>
        <w:jc w:val="both"/>
        <w:rPr>
          <w:lang w:val="da-DK"/>
        </w:rPr>
      </w:pPr>
      <w:r w:rsidRPr="008F2BAA">
        <w:rPr>
          <w:iCs/>
          <w:lang w:val="da-DK"/>
        </w:rPr>
        <w:t>Lovforslaget går ud på</w:t>
      </w:r>
      <w:r w:rsidRPr="008F2BAA">
        <w:rPr>
          <w:lang w:val="da-DK"/>
        </w:rPr>
        <w:t xml:space="preserve"> at forhøje loftet over fradraget for fagforeningskontingenter. Det foreslås således, at den beløbsmæssige grænse for fradrag for fag</w:t>
      </w:r>
      <w:r>
        <w:rPr>
          <w:lang w:val="da-DK"/>
        </w:rPr>
        <w:t>foreningskontingenter</w:t>
      </w:r>
      <w:r w:rsidRPr="008F2BAA">
        <w:rPr>
          <w:lang w:val="da-DK"/>
        </w:rPr>
        <w:t xml:space="preserve"> forhøjes fra 3.000 kr. til 6.000 kr. fra og med indkomståret 2015.</w:t>
      </w:r>
    </w:p>
    <w:p w:rsidR="008F2BAA" w:rsidRPr="008F2BAA" w:rsidRDefault="008F2BAA" w:rsidP="00CA337E">
      <w:pPr>
        <w:spacing w:line="288" w:lineRule="auto"/>
        <w:jc w:val="both"/>
        <w:rPr>
          <w:lang w:val="da-DK"/>
        </w:rPr>
      </w:pPr>
    </w:p>
    <w:p w:rsidR="00C443DB" w:rsidRDefault="008F2BAA" w:rsidP="00CA337E">
      <w:pPr>
        <w:spacing w:line="288" w:lineRule="auto"/>
        <w:jc w:val="both"/>
        <w:rPr>
          <w:lang w:val="da-DK"/>
        </w:rPr>
      </w:pPr>
      <w:r w:rsidRPr="008F2BAA">
        <w:rPr>
          <w:lang w:val="da-DK"/>
        </w:rPr>
        <w:t xml:space="preserve">I forbindelse med Genopretningsaftalen </w:t>
      </w:r>
      <w:r w:rsidR="00DF3425">
        <w:rPr>
          <w:lang w:val="da-DK"/>
        </w:rPr>
        <w:t xml:space="preserve">fra maj 2010 </w:t>
      </w:r>
      <w:r w:rsidRPr="008F2BAA">
        <w:rPr>
          <w:lang w:val="da-DK"/>
        </w:rPr>
        <w:t xml:space="preserve">indførte den daværende VK-regering og Dansk Folkeparti </w:t>
      </w:r>
      <w:r w:rsidR="00DF3425">
        <w:rPr>
          <w:lang w:val="da-DK"/>
        </w:rPr>
        <w:t>fra</w:t>
      </w:r>
      <w:r w:rsidRPr="008F2BAA">
        <w:rPr>
          <w:lang w:val="da-DK"/>
        </w:rPr>
        <w:t xml:space="preserve"> 2011 et loft på 3.000 kr. for fradrag for fagforeningskontingenter. </w:t>
      </w:r>
    </w:p>
    <w:p w:rsidR="00C443DB" w:rsidRDefault="00C443DB" w:rsidP="00CA337E">
      <w:pPr>
        <w:spacing w:line="288" w:lineRule="auto"/>
        <w:jc w:val="both"/>
        <w:rPr>
          <w:lang w:val="da-DK"/>
        </w:rPr>
      </w:pPr>
    </w:p>
    <w:p w:rsidR="008F2BAA" w:rsidRPr="008F2BAA" w:rsidRDefault="008F2BAA" w:rsidP="00CA337E">
      <w:pPr>
        <w:spacing w:line="288" w:lineRule="auto"/>
        <w:jc w:val="both"/>
        <w:rPr>
          <w:lang w:val="da-DK"/>
        </w:rPr>
      </w:pPr>
      <w:r>
        <w:rPr>
          <w:lang w:val="da-DK"/>
        </w:rPr>
        <w:t>For at</w:t>
      </w:r>
      <w:r w:rsidR="00B81D51">
        <w:rPr>
          <w:lang w:val="da-DK"/>
        </w:rPr>
        <w:t xml:space="preserve"> styrke organisationsgraden på arbejdsmarkedet og </w:t>
      </w:r>
      <w:r>
        <w:rPr>
          <w:lang w:val="da-DK"/>
        </w:rPr>
        <w:t>understøtte</w:t>
      </w:r>
      <w:r w:rsidR="002D122E">
        <w:rPr>
          <w:lang w:val="da-DK"/>
        </w:rPr>
        <w:t xml:space="preserve"> den danske arbejdsmarked</w:t>
      </w:r>
      <w:r w:rsidR="002D122E">
        <w:rPr>
          <w:lang w:val="da-DK"/>
        </w:rPr>
        <w:t>s</w:t>
      </w:r>
      <w:r w:rsidR="002D122E">
        <w:rPr>
          <w:lang w:val="da-DK"/>
        </w:rPr>
        <w:t>model</w:t>
      </w:r>
      <w:r>
        <w:rPr>
          <w:lang w:val="da-DK"/>
        </w:rPr>
        <w:t xml:space="preserve"> foreslås det at </w:t>
      </w:r>
      <w:r w:rsidRPr="008F2BAA">
        <w:rPr>
          <w:lang w:val="da-DK"/>
        </w:rPr>
        <w:t>forhøje fradrag</w:t>
      </w:r>
      <w:r w:rsidR="00DF3425">
        <w:rPr>
          <w:lang w:val="da-DK"/>
        </w:rPr>
        <w:t>sloft</w:t>
      </w:r>
      <w:r w:rsidRPr="008F2BAA">
        <w:rPr>
          <w:lang w:val="da-DK"/>
        </w:rPr>
        <w:t>et</w:t>
      </w:r>
      <w:r>
        <w:rPr>
          <w:lang w:val="da-DK"/>
        </w:rPr>
        <w:t>. Forslaget</w:t>
      </w:r>
      <w:r w:rsidRPr="008F2BAA">
        <w:rPr>
          <w:lang w:val="da-DK"/>
        </w:rPr>
        <w:t xml:space="preserve"> betyder, at langt de fleste, der er medlem af en fagforening, vil opnå fuldt fradrag for deres fagforeningskontingenter. Det skønnes, at ca. 60 pct. af de skatteydere, der benytter fradraget, er omfattet af det gælde</w:t>
      </w:r>
      <w:r w:rsidR="004820C6">
        <w:rPr>
          <w:lang w:val="da-DK"/>
        </w:rPr>
        <w:t>nde loft</w:t>
      </w:r>
      <w:r w:rsidRPr="008F2BAA">
        <w:rPr>
          <w:lang w:val="da-DK"/>
        </w:rPr>
        <w:t>, sva</w:t>
      </w:r>
      <w:r w:rsidR="00B81D51">
        <w:rPr>
          <w:lang w:val="da-DK"/>
        </w:rPr>
        <w:t>rende til at ca. 1,</w:t>
      </w:r>
      <w:r w:rsidRPr="008F2BAA">
        <w:rPr>
          <w:lang w:val="da-DK"/>
        </w:rPr>
        <w:t xml:space="preserve">3 mio. personer er fradragsbegrænset. </w:t>
      </w:r>
    </w:p>
    <w:p w:rsidR="008F2BAA" w:rsidRPr="008F2BAA" w:rsidRDefault="008F2BAA" w:rsidP="00CA337E">
      <w:pPr>
        <w:spacing w:line="288" w:lineRule="auto"/>
        <w:rPr>
          <w:iCs/>
          <w:lang w:val="da-DK"/>
        </w:rPr>
      </w:pPr>
    </w:p>
    <w:p w:rsidR="008F2BAA" w:rsidRDefault="008F2BAA" w:rsidP="00CA337E">
      <w:pPr>
        <w:spacing w:line="288" w:lineRule="auto"/>
        <w:jc w:val="both"/>
        <w:rPr>
          <w:iCs/>
          <w:sz w:val="22"/>
          <w:szCs w:val="22"/>
          <w:lang w:val="da-DK"/>
        </w:rPr>
      </w:pPr>
      <w:r w:rsidRPr="008F2BAA">
        <w:rPr>
          <w:iCs/>
          <w:lang w:val="da-DK"/>
        </w:rPr>
        <w:t>Lovforslaget udmønter en del af regering</w:t>
      </w:r>
      <w:r w:rsidR="00DF3425">
        <w:rPr>
          <w:iCs/>
          <w:lang w:val="da-DK"/>
        </w:rPr>
        <w:t>en</w:t>
      </w:r>
      <w:r w:rsidRPr="008F2BAA">
        <w:rPr>
          <w:iCs/>
          <w:lang w:val="da-DK"/>
        </w:rPr>
        <w:t>s finanslovsforslag for 2015</w:t>
      </w:r>
      <w:r w:rsidRPr="008F2BAA">
        <w:rPr>
          <w:iCs/>
          <w:sz w:val="22"/>
          <w:szCs w:val="22"/>
          <w:lang w:val="da-DK"/>
        </w:rPr>
        <w:t>.</w:t>
      </w:r>
    </w:p>
    <w:p w:rsidR="008F2BAA" w:rsidRDefault="008F2BAA" w:rsidP="00CA337E">
      <w:pPr>
        <w:spacing w:line="288" w:lineRule="auto"/>
        <w:jc w:val="both"/>
        <w:rPr>
          <w:iCs/>
          <w:sz w:val="22"/>
          <w:szCs w:val="22"/>
          <w:lang w:val="da-DK"/>
        </w:rPr>
      </w:pPr>
    </w:p>
    <w:p w:rsidR="00126746" w:rsidRDefault="00126746" w:rsidP="00CA337E">
      <w:pPr>
        <w:spacing w:line="288" w:lineRule="auto"/>
        <w:jc w:val="both"/>
        <w:rPr>
          <w:i/>
          <w:iCs/>
          <w:color w:val="000000"/>
          <w:lang w:val="da-DK"/>
        </w:rPr>
      </w:pPr>
      <w:r w:rsidRPr="009F1907">
        <w:rPr>
          <w:i/>
          <w:iCs/>
          <w:color w:val="000000"/>
          <w:lang w:val="da-DK"/>
        </w:rPr>
        <w:t>3. Gældende ret</w:t>
      </w:r>
    </w:p>
    <w:p w:rsidR="00684A98" w:rsidRPr="008D598B" w:rsidRDefault="00684A98" w:rsidP="00543670">
      <w:pPr>
        <w:spacing w:line="288" w:lineRule="auto"/>
        <w:jc w:val="both"/>
        <w:rPr>
          <w:iCs/>
          <w:lang w:val="da-DK"/>
        </w:rPr>
      </w:pPr>
      <w:r w:rsidRPr="008D598B">
        <w:rPr>
          <w:iCs/>
          <w:lang w:val="da-DK"/>
        </w:rPr>
        <w:t>Ved opgørelsen af den skattepligtige indkomst kan der fradrages udgifter til kontingenter til fagfo</w:t>
      </w:r>
      <w:r w:rsidRPr="008D598B">
        <w:rPr>
          <w:iCs/>
          <w:lang w:val="da-DK"/>
        </w:rPr>
        <w:t>r</w:t>
      </w:r>
      <w:r w:rsidRPr="008D598B">
        <w:rPr>
          <w:iCs/>
          <w:lang w:val="da-DK"/>
        </w:rPr>
        <w:t>eninger, arbejdsgiverforeninger og andre faglige sammenslutninger, der har til hovedformål at var</w:t>
      </w:r>
      <w:r w:rsidRPr="008D598B">
        <w:rPr>
          <w:iCs/>
          <w:lang w:val="da-DK"/>
        </w:rPr>
        <w:t>e</w:t>
      </w:r>
      <w:r w:rsidRPr="008D598B">
        <w:rPr>
          <w:iCs/>
          <w:lang w:val="da-DK"/>
        </w:rPr>
        <w:t>tage de økonomiske interesser for den erhvervsgruppe, hvortil den skattepligtige hører.</w:t>
      </w:r>
    </w:p>
    <w:p w:rsidR="00684A98" w:rsidRDefault="00684A98" w:rsidP="00543670">
      <w:pPr>
        <w:spacing w:line="288" w:lineRule="auto"/>
        <w:jc w:val="both"/>
        <w:rPr>
          <w:iCs/>
          <w:lang w:val="da-DK"/>
        </w:rPr>
      </w:pPr>
    </w:p>
    <w:p w:rsidR="008F77DE" w:rsidRPr="006D7E22" w:rsidRDefault="00684A98" w:rsidP="008F77DE">
      <w:pPr>
        <w:spacing w:line="288" w:lineRule="auto"/>
        <w:jc w:val="both"/>
        <w:rPr>
          <w:lang w:val="da-DK"/>
        </w:rPr>
      </w:pPr>
      <w:r w:rsidRPr="008D598B">
        <w:rPr>
          <w:iCs/>
          <w:lang w:val="da-DK"/>
        </w:rPr>
        <w:t>Fradraget er betinget af, at den faglige forening</w:t>
      </w:r>
      <w:r w:rsidR="008F77DE">
        <w:rPr>
          <w:iCs/>
          <w:lang w:val="da-DK"/>
        </w:rPr>
        <w:t>, hvis den er indberetningspligtig efter skattekontro</w:t>
      </w:r>
      <w:r w:rsidR="008F77DE">
        <w:rPr>
          <w:iCs/>
          <w:lang w:val="da-DK"/>
        </w:rPr>
        <w:t>l</w:t>
      </w:r>
      <w:r w:rsidR="008F77DE">
        <w:rPr>
          <w:iCs/>
          <w:lang w:val="da-DK"/>
        </w:rPr>
        <w:t>lovens § 8 T,</w:t>
      </w:r>
      <w:r w:rsidRPr="008D598B">
        <w:rPr>
          <w:iCs/>
          <w:lang w:val="da-DK"/>
        </w:rPr>
        <w:t xml:space="preserve"> har indberettet </w:t>
      </w:r>
      <w:r>
        <w:rPr>
          <w:iCs/>
          <w:lang w:val="da-DK"/>
        </w:rPr>
        <w:t>medlemmets kontingentbetalinger</w:t>
      </w:r>
      <w:r w:rsidRPr="008D598B">
        <w:rPr>
          <w:iCs/>
          <w:lang w:val="da-DK"/>
        </w:rPr>
        <w:t xml:space="preserve"> til SKAT</w:t>
      </w:r>
      <w:r>
        <w:rPr>
          <w:iCs/>
          <w:lang w:val="da-DK"/>
        </w:rPr>
        <w:t>.</w:t>
      </w:r>
      <w:r w:rsidR="008F77DE">
        <w:rPr>
          <w:iCs/>
          <w:lang w:val="da-DK"/>
        </w:rPr>
        <w:t xml:space="preserve"> </w:t>
      </w:r>
    </w:p>
    <w:p w:rsidR="00684A98" w:rsidRDefault="00684A98" w:rsidP="00543670">
      <w:pPr>
        <w:spacing w:line="288" w:lineRule="auto"/>
        <w:jc w:val="both"/>
        <w:rPr>
          <w:iCs/>
          <w:lang w:val="da-DK"/>
        </w:rPr>
      </w:pPr>
    </w:p>
    <w:p w:rsidR="00684A98" w:rsidRDefault="00684A98" w:rsidP="00543670">
      <w:pPr>
        <w:spacing w:line="288" w:lineRule="auto"/>
        <w:jc w:val="both"/>
        <w:rPr>
          <w:iCs/>
          <w:lang w:val="da-DK"/>
        </w:rPr>
      </w:pPr>
      <w:r>
        <w:rPr>
          <w:iCs/>
          <w:lang w:val="da-DK"/>
        </w:rPr>
        <w:t>Fradragsretten for fag</w:t>
      </w:r>
      <w:r w:rsidR="00B81D51">
        <w:rPr>
          <w:iCs/>
          <w:lang w:val="da-DK"/>
        </w:rPr>
        <w:t>forenings</w:t>
      </w:r>
      <w:r>
        <w:rPr>
          <w:iCs/>
          <w:lang w:val="da-DK"/>
        </w:rPr>
        <w:t>kontingenter er for lønmodtagere begrænset til højst 3.000 kr. Fr</w:t>
      </w:r>
      <w:r>
        <w:rPr>
          <w:iCs/>
          <w:lang w:val="da-DK"/>
        </w:rPr>
        <w:t>a</w:t>
      </w:r>
      <w:r>
        <w:rPr>
          <w:iCs/>
          <w:lang w:val="da-DK"/>
        </w:rPr>
        <w:t xml:space="preserve">draget gives </w:t>
      </w:r>
      <w:r w:rsidR="008F77DE">
        <w:rPr>
          <w:iCs/>
          <w:lang w:val="da-DK"/>
        </w:rPr>
        <w:t>ved</w:t>
      </w:r>
      <w:r>
        <w:rPr>
          <w:iCs/>
          <w:lang w:val="da-DK"/>
        </w:rPr>
        <w:t xml:space="preserve"> opgørelsen af den skattepligtige indkomst. Der er tale om et ligningsmæs</w:t>
      </w:r>
      <w:r w:rsidR="00B81D51">
        <w:rPr>
          <w:iCs/>
          <w:lang w:val="da-DK"/>
        </w:rPr>
        <w:t>sigt fr</w:t>
      </w:r>
      <w:r w:rsidR="00B81D51">
        <w:rPr>
          <w:iCs/>
          <w:lang w:val="da-DK"/>
        </w:rPr>
        <w:t>a</w:t>
      </w:r>
      <w:r w:rsidR="00B81D51">
        <w:rPr>
          <w:iCs/>
          <w:lang w:val="da-DK"/>
        </w:rPr>
        <w:t>drag. Skatteværdien af et ligningsmæssigt fradrag udgør ca. 3</w:t>
      </w:r>
      <w:r w:rsidR="00AC1CBB">
        <w:rPr>
          <w:iCs/>
          <w:lang w:val="da-DK"/>
        </w:rPr>
        <w:t>0,</w:t>
      </w:r>
      <w:r w:rsidR="00B81D51">
        <w:rPr>
          <w:iCs/>
          <w:lang w:val="da-DK"/>
        </w:rPr>
        <w:t>6 pct. i 2014</w:t>
      </w:r>
      <w:r>
        <w:rPr>
          <w:iCs/>
          <w:lang w:val="da-DK"/>
        </w:rPr>
        <w:t xml:space="preserve"> </w:t>
      </w:r>
      <w:r w:rsidR="00B81D51">
        <w:rPr>
          <w:iCs/>
          <w:lang w:val="da-DK"/>
        </w:rPr>
        <w:t xml:space="preserve">i en kommune med en skatteprocent svarende til landsgennemsnittet. </w:t>
      </w:r>
    </w:p>
    <w:p w:rsidR="00B81D51" w:rsidRDefault="00B81D51" w:rsidP="00543670">
      <w:pPr>
        <w:spacing w:line="288" w:lineRule="auto"/>
        <w:jc w:val="both"/>
        <w:rPr>
          <w:iCs/>
          <w:lang w:val="da-DK"/>
        </w:rPr>
      </w:pPr>
    </w:p>
    <w:p w:rsidR="00684A98" w:rsidRPr="00684A98" w:rsidRDefault="00684A98" w:rsidP="00543670">
      <w:pPr>
        <w:spacing w:line="288" w:lineRule="auto"/>
        <w:jc w:val="both"/>
        <w:rPr>
          <w:iCs/>
          <w:lang w:val="da-DK"/>
        </w:rPr>
      </w:pPr>
      <w:r>
        <w:rPr>
          <w:iCs/>
          <w:lang w:val="da-DK"/>
        </w:rPr>
        <w:t>Selvstændigt erhvervsdrivende og selskaber m.v.</w:t>
      </w:r>
      <w:r w:rsidR="008F77DE">
        <w:rPr>
          <w:iCs/>
          <w:lang w:val="da-DK"/>
        </w:rPr>
        <w:t xml:space="preserve"> (juridiske personer)</w:t>
      </w:r>
      <w:r>
        <w:rPr>
          <w:iCs/>
          <w:lang w:val="da-DK"/>
        </w:rPr>
        <w:t xml:space="preserve"> har på tilsvarende vis muli</w:t>
      </w:r>
      <w:r>
        <w:rPr>
          <w:iCs/>
          <w:lang w:val="da-DK"/>
        </w:rPr>
        <w:t>g</w:t>
      </w:r>
      <w:r>
        <w:rPr>
          <w:iCs/>
          <w:lang w:val="da-DK"/>
        </w:rPr>
        <w:t xml:space="preserve">hed for at fradrage udgifter til kontingent til en fagforening eller andre faglige sammenslutninger </w:t>
      </w:r>
      <w:r w:rsidR="008F77DE">
        <w:rPr>
          <w:iCs/>
          <w:lang w:val="da-DK"/>
        </w:rPr>
        <w:lastRenderedPageBreak/>
        <w:t xml:space="preserve">ved opgørelsen af </w:t>
      </w:r>
      <w:r>
        <w:rPr>
          <w:iCs/>
          <w:lang w:val="da-DK"/>
        </w:rPr>
        <w:t>den skattepligtige indkomst som et ligningsmæssigt fradrag. Loftet over fradrag for faglige kontingenter gælder dog ikke for denne gruppe.</w:t>
      </w:r>
    </w:p>
    <w:p w:rsidR="00684A98" w:rsidRDefault="00684A98" w:rsidP="00543670">
      <w:pPr>
        <w:spacing w:line="288" w:lineRule="auto"/>
        <w:jc w:val="both"/>
        <w:rPr>
          <w:i/>
          <w:iCs/>
          <w:color w:val="000000"/>
          <w:lang w:val="da-DK"/>
        </w:rPr>
      </w:pPr>
    </w:p>
    <w:p w:rsidR="00126746" w:rsidRDefault="00126746" w:rsidP="00CA337E">
      <w:pPr>
        <w:spacing w:line="288" w:lineRule="auto"/>
        <w:jc w:val="both"/>
        <w:rPr>
          <w:i/>
          <w:iCs/>
          <w:color w:val="000000"/>
          <w:lang w:val="da-DK"/>
        </w:rPr>
      </w:pPr>
      <w:r w:rsidRPr="009F1907">
        <w:rPr>
          <w:i/>
          <w:iCs/>
          <w:color w:val="000000"/>
          <w:lang w:val="da-DK"/>
        </w:rPr>
        <w:t>4. Lovforslaget</w:t>
      </w:r>
    </w:p>
    <w:p w:rsidR="00B81D51" w:rsidRDefault="00B81D51" w:rsidP="00543670">
      <w:pPr>
        <w:spacing w:line="288" w:lineRule="auto"/>
        <w:jc w:val="both"/>
        <w:rPr>
          <w:iCs/>
          <w:color w:val="000000"/>
          <w:lang w:val="da-DK"/>
        </w:rPr>
      </w:pPr>
      <w:r>
        <w:rPr>
          <w:iCs/>
          <w:color w:val="000000"/>
          <w:lang w:val="da-DK"/>
        </w:rPr>
        <w:t xml:space="preserve">Det foreslås at </w:t>
      </w:r>
      <w:r w:rsidR="00B420AF">
        <w:rPr>
          <w:iCs/>
          <w:color w:val="000000"/>
          <w:lang w:val="da-DK"/>
        </w:rPr>
        <w:t>forhøje</w:t>
      </w:r>
      <w:r w:rsidR="009B6B41">
        <w:rPr>
          <w:iCs/>
          <w:color w:val="000000"/>
          <w:lang w:val="da-DK"/>
        </w:rPr>
        <w:t xml:space="preserve"> </w:t>
      </w:r>
      <w:r>
        <w:rPr>
          <w:iCs/>
          <w:color w:val="000000"/>
          <w:lang w:val="da-DK"/>
        </w:rPr>
        <w:t xml:space="preserve">loftet over fagforeningskontingenter fra 3.000 kr. til 6.000 kr. </w:t>
      </w:r>
      <w:r w:rsidR="00AC1CBB">
        <w:rPr>
          <w:iCs/>
          <w:color w:val="000000"/>
          <w:lang w:val="da-DK"/>
        </w:rPr>
        <w:t xml:space="preserve">fra og med </w:t>
      </w:r>
      <w:r w:rsidR="008F77DE">
        <w:rPr>
          <w:iCs/>
          <w:color w:val="000000"/>
          <w:lang w:val="da-DK"/>
        </w:rPr>
        <w:t xml:space="preserve">indkomståret </w:t>
      </w:r>
      <w:r w:rsidR="00AC1CBB">
        <w:rPr>
          <w:iCs/>
          <w:color w:val="000000"/>
          <w:lang w:val="da-DK"/>
        </w:rPr>
        <w:t xml:space="preserve">2015. Det betyder, at en lønmodtager fra og med </w:t>
      </w:r>
      <w:r w:rsidR="00B420AF">
        <w:rPr>
          <w:iCs/>
          <w:color w:val="000000"/>
          <w:lang w:val="da-DK"/>
        </w:rPr>
        <w:t xml:space="preserve">indkomståret </w:t>
      </w:r>
      <w:r w:rsidR="00AC1CBB">
        <w:rPr>
          <w:iCs/>
          <w:color w:val="000000"/>
          <w:lang w:val="da-DK"/>
        </w:rPr>
        <w:t>2015 ved opgørelsen af den skattepligtige indkomst kan få et fradrag på op til 6.000 kr. for sine udgifter til fagforeningsko</w:t>
      </w:r>
      <w:r w:rsidR="00AC1CBB">
        <w:rPr>
          <w:iCs/>
          <w:color w:val="000000"/>
          <w:lang w:val="da-DK"/>
        </w:rPr>
        <w:t>n</w:t>
      </w:r>
      <w:r w:rsidR="00AC1CBB">
        <w:rPr>
          <w:iCs/>
          <w:color w:val="000000"/>
          <w:lang w:val="da-DK"/>
        </w:rPr>
        <w:t xml:space="preserve">tingent.  </w:t>
      </w:r>
    </w:p>
    <w:p w:rsidR="00AC1CBB" w:rsidRDefault="00AC1CBB" w:rsidP="00543670">
      <w:pPr>
        <w:spacing w:line="288" w:lineRule="auto"/>
        <w:jc w:val="both"/>
        <w:rPr>
          <w:iCs/>
          <w:color w:val="000000"/>
          <w:lang w:val="da-DK"/>
        </w:rPr>
      </w:pPr>
    </w:p>
    <w:p w:rsidR="00AC1CBB" w:rsidRDefault="00AC1CBB" w:rsidP="00543670">
      <w:pPr>
        <w:spacing w:line="288" w:lineRule="auto"/>
        <w:jc w:val="both"/>
        <w:rPr>
          <w:iCs/>
          <w:color w:val="000000"/>
          <w:lang w:val="da-DK"/>
        </w:rPr>
      </w:pPr>
      <w:r>
        <w:rPr>
          <w:iCs/>
          <w:color w:val="000000"/>
          <w:lang w:val="da-DK"/>
        </w:rPr>
        <w:t>Den foreslåede for</w:t>
      </w:r>
      <w:r w:rsidR="00B420AF">
        <w:rPr>
          <w:iCs/>
          <w:color w:val="000000"/>
          <w:lang w:val="da-DK"/>
        </w:rPr>
        <w:t>højelse</w:t>
      </w:r>
      <w:r>
        <w:rPr>
          <w:iCs/>
          <w:color w:val="000000"/>
          <w:lang w:val="da-DK"/>
        </w:rPr>
        <w:t xml:space="preserve"> af loftet over fradrag for fagforeningskontingenter medfører ingen æ</w:t>
      </w:r>
      <w:r>
        <w:rPr>
          <w:iCs/>
          <w:color w:val="000000"/>
          <w:lang w:val="da-DK"/>
        </w:rPr>
        <w:t>n</w:t>
      </w:r>
      <w:r>
        <w:rPr>
          <w:iCs/>
          <w:color w:val="000000"/>
          <w:lang w:val="da-DK"/>
        </w:rPr>
        <w:t>dringer i fradragsretten for selvstændigt erhvervsdrivende og selskaber m.v</w:t>
      </w:r>
      <w:r w:rsidR="002D122E">
        <w:rPr>
          <w:iCs/>
          <w:color w:val="000000"/>
          <w:lang w:val="da-DK"/>
        </w:rPr>
        <w:t>.</w:t>
      </w:r>
      <w:r w:rsidR="009D7B30">
        <w:rPr>
          <w:iCs/>
          <w:color w:val="000000"/>
          <w:lang w:val="da-DK"/>
        </w:rPr>
        <w:t xml:space="preserve"> (juridiske personer)</w:t>
      </w:r>
      <w:r>
        <w:rPr>
          <w:iCs/>
          <w:color w:val="000000"/>
          <w:lang w:val="da-DK"/>
        </w:rPr>
        <w:t>.</w:t>
      </w:r>
    </w:p>
    <w:p w:rsidR="00B81D51" w:rsidRDefault="00B81D51" w:rsidP="00543670">
      <w:pPr>
        <w:spacing w:line="288" w:lineRule="auto"/>
        <w:jc w:val="both"/>
        <w:rPr>
          <w:iCs/>
          <w:color w:val="000000"/>
          <w:lang w:val="da-DK"/>
        </w:rPr>
      </w:pPr>
    </w:p>
    <w:p w:rsidR="00AC1CBB" w:rsidRDefault="00126746" w:rsidP="00543670">
      <w:pPr>
        <w:spacing w:line="288" w:lineRule="auto"/>
        <w:jc w:val="both"/>
        <w:rPr>
          <w:i/>
          <w:iCs/>
          <w:color w:val="000000"/>
          <w:spacing w:val="-5"/>
          <w:lang w:val="da-DK"/>
        </w:rPr>
      </w:pPr>
      <w:r w:rsidRPr="009F1907">
        <w:rPr>
          <w:i/>
          <w:iCs/>
          <w:color w:val="000000"/>
          <w:lang w:val="da-DK"/>
        </w:rPr>
        <w:t xml:space="preserve">5. </w:t>
      </w:r>
      <w:r w:rsidRPr="009F1907">
        <w:rPr>
          <w:i/>
          <w:iCs/>
          <w:color w:val="000000"/>
          <w:spacing w:val="-5"/>
          <w:lang w:val="da-DK"/>
        </w:rPr>
        <w:t>Økonomiske konsekvenser for det offentlige</w:t>
      </w:r>
    </w:p>
    <w:p w:rsidR="0070425C" w:rsidRDefault="009B6B41" w:rsidP="00543670">
      <w:pPr>
        <w:spacing w:line="288" w:lineRule="auto"/>
        <w:jc w:val="both"/>
        <w:rPr>
          <w:iCs/>
          <w:color w:val="000000"/>
          <w:lang w:val="da-DK"/>
        </w:rPr>
      </w:pPr>
      <w:r>
        <w:rPr>
          <w:iCs/>
          <w:color w:val="000000"/>
          <w:spacing w:val="-5"/>
          <w:lang w:val="da-DK"/>
        </w:rPr>
        <w:t xml:space="preserve">Forhøjelsen af </w:t>
      </w:r>
      <w:r>
        <w:rPr>
          <w:iCs/>
          <w:color w:val="000000"/>
          <w:lang w:val="da-DK"/>
        </w:rPr>
        <w:t>loftet over fagforeningskontingenter fra 3.000 kr. til 6.000 kr. skønnes at medføre</w:t>
      </w:r>
      <w:r w:rsidR="00DF3425">
        <w:rPr>
          <w:iCs/>
          <w:color w:val="000000"/>
          <w:lang w:val="da-DK"/>
        </w:rPr>
        <w:t>,</w:t>
      </w:r>
      <w:r>
        <w:rPr>
          <w:iCs/>
          <w:color w:val="000000"/>
          <w:lang w:val="da-DK"/>
        </w:rPr>
        <w:t xml:space="preserve"> at fradragene for fagforeningskontingenter stiger med ca. 2,7 mia. kr. i 2015. </w:t>
      </w:r>
    </w:p>
    <w:p w:rsidR="009B6B41" w:rsidRDefault="009B6B41" w:rsidP="00543670">
      <w:pPr>
        <w:spacing w:line="288" w:lineRule="auto"/>
        <w:jc w:val="both"/>
        <w:rPr>
          <w:iCs/>
          <w:color w:val="000000"/>
          <w:lang w:val="da-DK"/>
        </w:rPr>
      </w:pPr>
    </w:p>
    <w:p w:rsidR="009B6B41" w:rsidRDefault="009B6B41" w:rsidP="00543670">
      <w:pPr>
        <w:spacing w:line="288" w:lineRule="auto"/>
        <w:jc w:val="both"/>
        <w:rPr>
          <w:iCs/>
          <w:color w:val="000000"/>
          <w:lang w:val="da-DK"/>
        </w:rPr>
      </w:pPr>
      <w:r>
        <w:rPr>
          <w:iCs/>
          <w:color w:val="000000"/>
          <w:lang w:val="da-DK"/>
        </w:rPr>
        <w:t xml:space="preserve">Det </w:t>
      </w:r>
      <w:r w:rsidR="00840772">
        <w:rPr>
          <w:iCs/>
          <w:color w:val="000000"/>
          <w:lang w:val="da-DK"/>
        </w:rPr>
        <w:t xml:space="preserve">umiddelbare mindreprovenu </w:t>
      </w:r>
      <w:r w:rsidR="00DF3425">
        <w:rPr>
          <w:iCs/>
          <w:color w:val="000000"/>
          <w:lang w:val="da-DK"/>
        </w:rPr>
        <w:t xml:space="preserve">herved </w:t>
      </w:r>
      <w:r w:rsidR="00840772">
        <w:rPr>
          <w:iCs/>
          <w:color w:val="000000"/>
          <w:lang w:val="da-DK"/>
        </w:rPr>
        <w:t xml:space="preserve">skønnes i 2015 at udgøre ca. 810 mio. kr., </w:t>
      </w:r>
      <w:r w:rsidR="00840772" w:rsidRPr="001A4FFA">
        <w:rPr>
          <w:i/>
          <w:iCs/>
          <w:color w:val="000000"/>
          <w:lang w:val="da-DK"/>
        </w:rPr>
        <w:t>jf. tabel 1</w:t>
      </w:r>
      <w:r w:rsidR="00840772">
        <w:rPr>
          <w:iCs/>
          <w:color w:val="000000"/>
          <w:lang w:val="da-DK"/>
        </w:rPr>
        <w:t>. Efter tilbageløb og adfærd skønnes mindreprovenuet at udgøre ca. 5</w:t>
      </w:r>
      <w:r w:rsidR="0056045E">
        <w:rPr>
          <w:iCs/>
          <w:color w:val="000000"/>
          <w:lang w:val="da-DK"/>
        </w:rPr>
        <w:t>7</w:t>
      </w:r>
      <w:r w:rsidR="00840772">
        <w:rPr>
          <w:iCs/>
          <w:color w:val="000000"/>
          <w:lang w:val="da-DK"/>
        </w:rPr>
        <w:t xml:space="preserve">0 mio. kr. </w:t>
      </w:r>
    </w:p>
    <w:p w:rsidR="00AC0584" w:rsidRDefault="00AC0584" w:rsidP="00543670">
      <w:pPr>
        <w:spacing w:line="288" w:lineRule="auto"/>
        <w:jc w:val="both"/>
        <w:rPr>
          <w:iCs/>
          <w:color w:val="000000"/>
          <w:lang w:val="da-DK"/>
        </w:rPr>
      </w:pPr>
    </w:p>
    <w:p w:rsidR="00AC0584" w:rsidRPr="00840772" w:rsidRDefault="00AC0584" w:rsidP="00543670">
      <w:pPr>
        <w:spacing w:line="288" w:lineRule="auto"/>
        <w:jc w:val="both"/>
        <w:rPr>
          <w:iCs/>
          <w:color w:val="000000"/>
          <w:lang w:val="da-DK"/>
        </w:rPr>
      </w:pPr>
      <w:r>
        <w:rPr>
          <w:iCs/>
          <w:color w:val="000000"/>
          <w:lang w:val="da-DK"/>
        </w:rPr>
        <w:t>På sigt vil mindreprovenuet være faldende</w:t>
      </w:r>
      <w:r w:rsidR="00647E47">
        <w:rPr>
          <w:iCs/>
          <w:color w:val="000000"/>
          <w:lang w:val="da-DK"/>
        </w:rPr>
        <w:t>,</w:t>
      </w:r>
      <w:r>
        <w:rPr>
          <w:iCs/>
          <w:color w:val="000000"/>
          <w:lang w:val="da-DK"/>
        </w:rPr>
        <w:t xml:space="preserve"> dels p</w:t>
      </w:r>
      <w:r w:rsidR="008F77DE">
        <w:rPr>
          <w:iCs/>
          <w:color w:val="000000"/>
          <w:lang w:val="da-DK"/>
        </w:rPr>
        <w:t>å grund af</w:t>
      </w:r>
      <w:r>
        <w:rPr>
          <w:iCs/>
          <w:color w:val="000000"/>
          <w:lang w:val="da-DK"/>
        </w:rPr>
        <w:t xml:space="preserve"> den faldende skatteværdi </w:t>
      </w:r>
      <w:r w:rsidR="00647E47">
        <w:rPr>
          <w:iCs/>
          <w:color w:val="000000"/>
          <w:lang w:val="da-DK"/>
        </w:rPr>
        <w:t xml:space="preserve">af </w:t>
      </w:r>
      <w:r w:rsidR="00B0255F">
        <w:rPr>
          <w:iCs/>
          <w:color w:val="000000"/>
          <w:lang w:val="da-DK"/>
        </w:rPr>
        <w:t xml:space="preserve">de </w:t>
      </w:r>
      <w:r w:rsidR="00647E47">
        <w:rPr>
          <w:iCs/>
          <w:color w:val="000000"/>
          <w:lang w:val="da-DK"/>
        </w:rPr>
        <w:t>li</w:t>
      </w:r>
      <w:r w:rsidR="00647E47">
        <w:rPr>
          <w:iCs/>
          <w:color w:val="000000"/>
          <w:lang w:val="da-DK"/>
        </w:rPr>
        <w:t>g</w:t>
      </w:r>
      <w:r w:rsidR="00647E47">
        <w:rPr>
          <w:iCs/>
          <w:color w:val="000000"/>
          <w:lang w:val="da-DK"/>
        </w:rPr>
        <w:t xml:space="preserve">ningsmæssige fradrag </w:t>
      </w:r>
      <w:r>
        <w:rPr>
          <w:iCs/>
          <w:color w:val="000000"/>
          <w:lang w:val="da-DK"/>
        </w:rPr>
        <w:t>frem mod 2019, dels p</w:t>
      </w:r>
      <w:r w:rsidR="008F77DE">
        <w:rPr>
          <w:iCs/>
          <w:color w:val="000000"/>
          <w:lang w:val="da-DK"/>
        </w:rPr>
        <w:t>å grund af</w:t>
      </w:r>
      <w:r>
        <w:rPr>
          <w:iCs/>
          <w:color w:val="000000"/>
          <w:lang w:val="da-DK"/>
        </w:rPr>
        <w:t xml:space="preserve"> </w:t>
      </w:r>
      <w:r w:rsidR="00647E47">
        <w:rPr>
          <w:iCs/>
          <w:color w:val="000000"/>
          <w:lang w:val="da-DK"/>
        </w:rPr>
        <w:t>at</w:t>
      </w:r>
      <w:r>
        <w:rPr>
          <w:iCs/>
          <w:color w:val="000000"/>
          <w:lang w:val="da-DK"/>
        </w:rPr>
        <w:t xml:space="preserve"> loftet </w:t>
      </w:r>
      <w:r w:rsidR="00647E47">
        <w:rPr>
          <w:iCs/>
          <w:color w:val="000000"/>
          <w:lang w:val="da-DK"/>
        </w:rPr>
        <w:t xml:space="preserve">som hidtil </w:t>
      </w:r>
      <w:r>
        <w:rPr>
          <w:iCs/>
          <w:color w:val="000000"/>
          <w:lang w:val="da-DK"/>
        </w:rPr>
        <w:t xml:space="preserve">er </w:t>
      </w:r>
      <w:r w:rsidR="00647E47">
        <w:rPr>
          <w:iCs/>
          <w:color w:val="000000"/>
          <w:lang w:val="da-DK"/>
        </w:rPr>
        <w:t xml:space="preserve">fastsat </w:t>
      </w:r>
      <w:r>
        <w:rPr>
          <w:iCs/>
          <w:color w:val="000000"/>
          <w:lang w:val="da-DK"/>
        </w:rPr>
        <w:t>nominel</w:t>
      </w:r>
      <w:r w:rsidR="00647E47">
        <w:rPr>
          <w:iCs/>
          <w:color w:val="000000"/>
          <w:lang w:val="da-DK"/>
        </w:rPr>
        <w:t>t</w:t>
      </w:r>
      <w:r>
        <w:rPr>
          <w:iCs/>
          <w:color w:val="000000"/>
          <w:lang w:val="da-DK"/>
        </w:rPr>
        <w:t xml:space="preserve"> og</w:t>
      </w:r>
      <w:r w:rsidR="00DC5592">
        <w:rPr>
          <w:iCs/>
          <w:color w:val="000000"/>
          <w:lang w:val="da-DK"/>
        </w:rPr>
        <w:t xml:space="preserve"> derfor ikke </w:t>
      </w:r>
      <w:r>
        <w:rPr>
          <w:iCs/>
          <w:color w:val="000000"/>
          <w:lang w:val="da-DK"/>
        </w:rPr>
        <w:t>reguleres.</w:t>
      </w:r>
      <w:r w:rsidR="00B0255F">
        <w:rPr>
          <w:iCs/>
          <w:color w:val="000000"/>
          <w:lang w:val="da-DK"/>
        </w:rPr>
        <w:t xml:space="preserve"> Den faldende skatteværdi betyder isoleret set, at den maksimale forhøjelse på 3.000 kr. er ca. 120 kr. mindre værd i 2019</w:t>
      </w:r>
      <w:r w:rsidR="00B94925">
        <w:rPr>
          <w:iCs/>
          <w:color w:val="000000"/>
          <w:lang w:val="da-DK"/>
        </w:rPr>
        <w:t xml:space="preserve"> for den enkelte borger</w:t>
      </w:r>
      <w:r w:rsidR="00B0255F">
        <w:rPr>
          <w:iCs/>
          <w:color w:val="000000"/>
          <w:lang w:val="da-DK"/>
        </w:rPr>
        <w:t xml:space="preserve">, mens den </w:t>
      </w:r>
      <w:r w:rsidR="00AC5498">
        <w:rPr>
          <w:iCs/>
          <w:color w:val="000000"/>
          <w:lang w:val="da-DK"/>
        </w:rPr>
        <w:t xml:space="preserve">nominelle fastholdelse </w:t>
      </w:r>
      <w:r w:rsidR="00B0255F">
        <w:rPr>
          <w:iCs/>
          <w:color w:val="000000"/>
          <w:lang w:val="da-DK"/>
        </w:rPr>
        <w:t xml:space="preserve">isoleret </w:t>
      </w:r>
      <w:r w:rsidR="00AC5498">
        <w:rPr>
          <w:iCs/>
          <w:color w:val="000000"/>
          <w:lang w:val="da-DK"/>
        </w:rPr>
        <w:t>set mindsker værdien af fradraget med op til ca. 25 kr. om året</w:t>
      </w:r>
      <w:r w:rsidR="00B94925">
        <w:rPr>
          <w:iCs/>
          <w:color w:val="000000"/>
          <w:lang w:val="da-DK"/>
        </w:rPr>
        <w:t xml:space="preserve"> for den enkelte borger</w:t>
      </w:r>
      <w:r w:rsidR="00AC5498">
        <w:rPr>
          <w:iCs/>
          <w:color w:val="000000"/>
          <w:lang w:val="da-DK"/>
        </w:rPr>
        <w:t xml:space="preserve">. </w:t>
      </w:r>
    </w:p>
    <w:p w:rsidR="005959B1" w:rsidRDefault="005959B1" w:rsidP="005959B1">
      <w:pPr>
        <w:spacing w:line="288" w:lineRule="auto"/>
        <w:rPr>
          <w:iCs/>
          <w:color w:val="000000"/>
          <w:spacing w:val="-5"/>
          <w:lang w:val="da-DK"/>
        </w:rPr>
      </w:pPr>
    </w:p>
    <w:p w:rsidR="005959B1" w:rsidRDefault="00AC5498" w:rsidP="005959B1">
      <w:pPr>
        <w:spacing w:line="288" w:lineRule="auto"/>
        <w:rPr>
          <w:iCs/>
          <w:color w:val="000000"/>
          <w:spacing w:val="-5"/>
          <w:lang w:val="da-DK"/>
        </w:rPr>
      </w:pPr>
      <w:r>
        <w:rPr>
          <w:iCs/>
          <w:color w:val="000000"/>
          <w:spacing w:val="-5"/>
          <w:lang w:val="da-DK"/>
        </w:rPr>
        <w:t xml:space="preserve">For finansåret 2015 skønnes det umiddelbare mindreprovenu at udgøre ca. </w:t>
      </w:r>
      <w:r w:rsidR="00105821">
        <w:rPr>
          <w:iCs/>
          <w:color w:val="000000"/>
          <w:spacing w:val="-5"/>
          <w:lang w:val="da-DK"/>
        </w:rPr>
        <w:t xml:space="preserve">450 </w:t>
      </w:r>
      <w:r>
        <w:rPr>
          <w:iCs/>
          <w:color w:val="000000"/>
          <w:spacing w:val="-5"/>
          <w:lang w:val="da-DK"/>
        </w:rPr>
        <w:t xml:space="preserve">mio. kr. </w:t>
      </w:r>
      <w:r w:rsidR="00105821">
        <w:rPr>
          <w:iCs/>
          <w:color w:val="000000"/>
          <w:spacing w:val="-5"/>
          <w:lang w:val="da-DK"/>
        </w:rPr>
        <w:t>Den resterende del af mindreprovenuet for 2015 vil blive udmøntet som overskydende skat eller reduceret restskat i fo</w:t>
      </w:r>
      <w:r w:rsidR="00105821">
        <w:rPr>
          <w:iCs/>
          <w:color w:val="000000"/>
          <w:spacing w:val="-5"/>
          <w:lang w:val="da-DK"/>
        </w:rPr>
        <w:t>r</w:t>
      </w:r>
      <w:r w:rsidR="00105821">
        <w:rPr>
          <w:iCs/>
          <w:color w:val="000000"/>
          <w:spacing w:val="-5"/>
          <w:lang w:val="da-DK"/>
        </w:rPr>
        <w:t>bindelse med årsopgørelsen for 2015 i foråret 2016.</w:t>
      </w:r>
    </w:p>
    <w:p w:rsidR="005959B1" w:rsidRDefault="005959B1" w:rsidP="005959B1">
      <w:pPr>
        <w:spacing w:line="288" w:lineRule="auto"/>
        <w:rPr>
          <w:iCs/>
          <w:color w:val="000000"/>
          <w:spacing w:val="-5"/>
          <w:lang w:val="da-DK"/>
        </w:rPr>
      </w:pPr>
    </w:p>
    <w:p w:rsidR="00840772" w:rsidRDefault="00840772" w:rsidP="00543670">
      <w:pPr>
        <w:spacing w:line="288" w:lineRule="auto"/>
        <w:jc w:val="both"/>
        <w:rPr>
          <w:iCs/>
          <w:color w:val="000000"/>
          <w:lang w:val="da-DK"/>
        </w:rPr>
      </w:pPr>
    </w:p>
    <w:tbl>
      <w:tblPr>
        <w:tblW w:w="5000" w:type="pct"/>
        <w:tblLayout w:type="fixed"/>
        <w:tblCellMar>
          <w:left w:w="57" w:type="dxa"/>
          <w:right w:w="57" w:type="dxa"/>
        </w:tblCellMar>
        <w:tblLook w:val="04A0" w:firstRow="1" w:lastRow="0" w:firstColumn="1" w:lastColumn="0" w:noHBand="0" w:noVBand="1"/>
      </w:tblPr>
      <w:tblGrid>
        <w:gridCol w:w="2747"/>
        <w:gridCol w:w="875"/>
        <w:gridCol w:w="876"/>
        <w:gridCol w:w="876"/>
        <w:gridCol w:w="876"/>
        <w:gridCol w:w="876"/>
        <w:gridCol w:w="876"/>
        <w:gridCol w:w="876"/>
        <w:gridCol w:w="874"/>
      </w:tblGrid>
      <w:tr w:rsidR="0037602B" w:rsidRPr="00DC27F4" w:rsidTr="0037602B">
        <w:trPr>
          <w:trHeight w:val="255"/>
        </w:trPr>
        <w:tc>
          <w:tcPr>
            <w:tcW w:w="5000" w:type="pct"/>
            <w:gridSpan w:val="9"/>
            <w:tcBorders>
              <w:top w:val="single" w:sz="4" w:space="0" w:color="auto"/>
              <w:left w:val="nil"/>
              <w:bottom w:val="single" w:sz="4" w:space="0" w:color="auto"/>
              <w:right w:val="nil"/>
            </w:tcBorders>
            <w:shd w:val="clear" w:color="auto" w:fill="auto"/>
            <w:vAlign w:val="center"/>
            <w:hideMark/>
          </w:tcPr>
          <w:p w:rsidR="0037602B" w:rsidRPr="0037602B" w:rsidRDefault="0037602B" w:rsidP="00CA337E">
            <w:pPr>
              <w:keepNext/>
              <w:rPr>
                <w:b/>
                <w:bCs/>
                <w:sz w:val="18"/>
                <w:szCs w:val="18"/>
                <w:lang w:val="da-DK"/>
              </w:rPr>
            </w:pPr>
            <w:r w:rsidRPr="001A4FFA">
              <w:rPr>
                <w:b/>
                <w:bCs/>
                <w:sz w:val="18"/>
                <w:szCs w:val="18"/>
                <w:lang w:val="da-DK"/>
              </w:rPr>
              <w:t xml:space="preserve">Tabel 1. Provenumæssige konsekvenser af </w:t>
            </w:r>
            <w:r>
              <w:rPr>
                <w:b/>
                <w:bCs/>
                <w:sz w:val="18"/>
                <w:szCs w:val="18"/>
                <w:lang w:val="da-DK"/>
              </w:rPr>
              <w:t>f</w:t>
            </w:r>
            <w:r w:rsidRPr="001A4FFA">
              <w:rPr>
                <w:b/>
                <w:bCs/>
                <w:sz w:val="18"/>
                <w:szCs w:val="18"/>
                <w:lang w:val="da-DK"/>
              </w:rPr>
              <w:t xml:space="preserve">orhøjelsen af loftet over fagforeningskontingenter fra 3.000 kr. til 6.000 kr. </w:t>
            </w:r>
          </w:p>
        </w:tc>
      </w:tr>
      <w:tr w:rsidR="00840772" w:rsidRPr="004044C6" w:rsidTr="00A462DB">
        <w:trPr>
          <w:trHeight w:val="450"/>
        </w:trPr>
        <w:tc>
          <w:tcPr>
            <w:tcW w:w="1409" w:type="pct"/>
            <w:tcBorders>
              <w:top w:val="nil"/>
              <w:left w:val="nil"/>
              <w:bottom w:val="single" w:sz="4" w:space="0" w:color="auto"/>
              <w:right w:val="nil"/>
            </w:tcBorders>
            <w:shd w:val="clear" w:color="auto" w:fill="auto"/>
            <w:vAlign w:val="bottom"/>
            <w:hideMark/>
          </w:tcPr>
          <w:p w:rsidR="00840772" w:rsidRPr="004044C6" w:rsidRDefault="00840772" w:rsidP="00CA337E">
            <w:pPr>
              <w:keepNext/>
              <w:rPr>
                <w:color w:val="000000"/>
                <w:sz w:val="18"/>
                <w:szCs w:val="18"/>
              </w:rPr>
            </w:pPr>
            <w:r w:rsidRPr="004044C6">
              <w:rPr>
                <w:color w:val="000000"/>
                <w:sz w:val="18"/>
                <w:szCs w:val="18"/>
              </w:rPr>
              <w:t>Mio. kr. (2015-niveau)</w:t>
            </w:r>
          </w:p>
        </w:tc>
        <w:tc>
          <w:tcPr>
            <w:tcW w:w="449" w:type="pct"/>
            <w:tcBorders>
              <w:top w:val="nil"/>
              <w:left w:val="single" w:sz="4" w:space="0" w:color="auto"/>
              <w:bottom w:val="single" w:sz="4" w:space="0" w:color="auto"/>
              <w:right w:val="single" w:sz="4" w:space="0" w:color="auto"/>
            </w:tcBorders>
            <w:shd w:val="clear" w:color="auto" w:fill="auto"/>
            <w:vAlign w:val="center"/>
            <w:hideMark/>
          </w:tcPr>
          <w:p w:rsidR="00840772" w:rsidRPr="005959B1" w:rsidRDefault="00840772" w:rsidP="00CA337E">
            <w:pPr>
              <w:keepNext/>
              <w:jc w:val="center"/>
              <w:rPr>
                <w:color w:val="000000"/>
                <w:sz w:val="18"/>
                <w:szCs w:val="18"/>
                <w:lang w:val="da-DK"/>
              </w:rPr>
            </w:pPr>
            <w:r w:rsidRPr="005959B1">
              <w:rPr>
                <w:color w:val="000000"/>
                <w:sz w:val="18"/>
                <w:szCs w:val="18"/>
                <w:lang w:val="da-DK"/>
              </w:rPr>
              <w:t>Varig virkning</w:t>
            </w:r>
          </w:p>
        </w:tc>
        <w:tc>
          <w:tcPr>
            <w:tcW w:w="449" w:type="pct"/>
            <w:tcBorders>
              <w:top w:val="nil"/>
              <w:left w:val="nil"/>
              <w:bottom w:val="single" w:sz="4" w:space="0" w:color="auto"/>
              <w:right w:val="nil"/>
            </w:tcBorders>
            <w:shd w:val="clear" w:color="auto" w:fill="auto"/>
            <w:vAlign w:val="bottom"/>
            <w:hideMark/>
          </w:tcPr>
          <w:p w:rsidR="00840772" w:rsidRPr="005959B1" w:rsidRDefault="00840772" w:rsidP="00CA337E">
            <w:pPr>
              <w:keepNext/>
              <w:jc w:val="center"/>
              <w:rPr>
                <w:color w:val="000000"/>
                <w:sz w:val="18"/>
                <w:szCs w:val="18"/>
                <w:lang w:val="da-DK"/>
              </w:rPr>
            </w:pPr>
            <w:r w:rsidRPr="005959B1">
              <w:rPr>
                <w:color w:val="000000"/>
                <w:sz w:val="18"/>
                <w:szCs w:val="18"/>
                <w:lang w:val="da-DK"/>
              </w:rPr>
              <w:t>2015</w:t>
            </w:r>
          </w:p>
        </w:tc>
        <w:tc>
          <w:tcPr>
            <w:tcW w:w="449" w:type="pct"/>
            <w:tcBorders>
              <w:top w:val="nil"/>
              <w:left w:val="nil"/>
              <w:bottom w:val="single" w:sz="4" w:space="0" w:color="auto"/>
              <w:right w:val="nil"/>
            </w:tcBorders>
            <w:shd w:val="clear" w:color="auto" w:fill="auto"/>
            <w:vAlign w:val="bottom"/>
            <w:hideMark/>
          </w:tcPr>
          <w:p w:rsidR="00840772" w:rsidRPr="005959B1" w:rsidRDefault="00840772" w:rsidP="00CA337E">
            <w:pPr>
              <w:keepNext/>
              <w:jc w:val="center"/>
              <w:rPr>
                <w:color w:val="000000"/>
                <w:sz w:val="18"/>
                <w:szCs w:val="18"/>
                <w:lang w:val="da-DK"/>
              </w:rPr>
            </w:pPr>
            <w:r w:rsidRPr="005959B1">
              <w:rPr>
                <w:color w:val="000000"/>
                <w:sz w:val="18"/>
                <w:szCs w:val="18"/>
                <w:lang w:val="da-DK"/>
              </w:rPr>
              <w:t>2016</w:t>
            </w:r>
          </w:p>
        </w:tc>
        <w:tc>
          <w:tcPr>
            <w:tcW w:w="449" w:type="pct"/>
            <w:tcBorders>
              <w:top w:val="nil"/>
              <w:left w:val="nil"/>
              <w:bottom w:val="single" w:sz="4" w:space="0" w:color="auto"/>
              <w:right w:val="nil"/>
            </w:tcBorders>
            <w:shd w:val="clear" w:color="auto" w:fill="auto"/>
            <w:vAlign w:val="bottom"/>
            <w:hideMark/>
          </w:tcPr>
          <w:p w:rsidR="00840772" w:rsidRPr="005959B1" w:rsidRDefault="00840772" w:rsidP="00CA337E">
            <w:pPr>
              <w:keepNext/>
              <w:jc w:val="center"/>
              <w:rPr>
                <w:color w:val="000000"/>
                <w:sz w:val="18"/>
                <w:szCs w:val="18"/>
                <w:lang w:val="da-DK"/>
              </w:rPr>
            </w:pPr>
            <w:r w:rsidRPr="005959B1">
              <w:rPr>
                <w:color w:val="000000"/>
                <w:sz w:val="18"/>
                <w:szCs w:val="18"/>
                <w:lang w:val="da-DK"/>
              </w:rPr>
              <w:t>2017</w:t>
            </w:r>
          </w:p>
        </w:tc>
        <w:tc>
          <w:tcPr>
            <w:tcW w:w="449" w:type="pct"/>
            <w:tcBorders>
              <w:top w:val="nil"/>
              <w:left w:val="nil"/>
              <w:bottom w:val="single" w:sz="4" w:space="0" w:color="auto"/>
              <w:right w:val="nil"/>
            </w:tcBorders>
            <w:shd w:val="clear" w:color="auto" w:fill="auto"/>
            <w:vAlign w:val="bottom"/>
            <w:hideMark/>
          </w:tcPr>
          <w:p w:rsidR="00840772" w:rsidRPr="005959B1" w:rsidRDefault="00840772" w:rsidP="00CA337E">
            <w:pPr>
              <w:keepNext/>
              <w:jc w:val="center"/>
              <w:rPr>
                <w:color w:val="000000"/>
                <w:sz w:val="18"/>
                <w:szCs w:val="18"/>
                <w:lang w:val="da-DK"/>
              </w:rPr>
            </w:pPr>
            <w:r w:rsidRPr="005959B1">
              <w:rPr>
                <w:color w:val="000000"/>
                <w:sz w:val="18"/>
                <w:szCs w:val="18"/>
                <w:lang w:val="da-DK"/>
              </w:rPr>
              <w:t>2018</w:t>
            </w:r>
          </w:p>
        </w:tc>
        <w:tc>
          <w:tcPr>
            <w:tcW w:w="449" w:type="pct"/>
            <w:tcBorders>
              <w:top w:val="nil"/>
              <w:left w:val="nil"/>
              <w:bottom w:val="single" w:sz="4" w:space="0" w:color="auto"/>
              <w:right w:val="nil"/>
            </w:tcBorders>
            <w:shd w:val="clear" w:color="auto" w:fill="auto"/>
            <w:vAlign w:val="bottom"/>
            <w:hideMark/>
          </w:tcPr>
          <w:p w:rsidR="00840772" w:rsidRPr="005959B1" w:rsidRDefault="00840772" w:rsidP="00CA337E">
            <w:pPr>
              <w:keepNext/>
              <w:jc w:val="center"/>
              <w:rPr>
                <w:color w:val="000000"/>
                <w:sz w:val="18"/>
                <w:szCs w:val="18"/>
                <w:lang w:val="da-DK"/>
              </w:rPr>
            </w:pPr>
            <w:r w:rsidRPr="005959B1">
              <w:rPr>
                <w:color w:val="000000"/>
                <w:sz w:val="18"/>
                <w:szCs w:val="18"/>
                <w:lang w:val="da-DK"/>
              </w:rPr>
              <w:t>2019</w:t>
            </w:r>
          </w:p>
        </w:tc>
        <w:tc>
          <w:tcPr>
            <w:tcW w:w="449" w:type="pct"/>
            <w:tcBorders>
              <w:top w:val="nil"/>
              <w:left w:val="nil"/>
              <w:bottom w:val="single" w:sz="4" w:space="0" w:color="auto"/>
              <w:right w:val="single" w:sz="4" w:space="0" w:color="auto"/>
            </w:tcBorders>
            <w:shd w:val="clear" w:color="auto" w:fill="auto"/>
            <w:vAlign w:val="bottom"/>
            <w:hideMark/>
          </w:tcPr>
          <w:p w:rsidR="00840772" w:rsidRPr="005959B1" w:rsidRDefault="00840772" w:rsidP="00CA337E">
            <w:pPr>
              <w:keepNext/>
              <w:jc w:val="center"/>
              <w:rPr>
                <w:color w:val="000000"/>
                <w:sz w:val="18"/>
                <w:szCs w:val="18"/>
                <w:lang w:val="da-DK"/>
              </w:rPr>
            </w:pPr>
            <w:r w:rsidRPr="005959B1">
              <w:rPr>
                <w:color w:val="000000"/>
                <w:sz w:val="18"/>
                <w:szCs w:val="18"/>
                <w:lang w:val="da-DK"/>
              </w:rPr>
              <w:t>2020</w:t>
            </w:r>
          </w:p>
        </w:tc>
        <w:tc>
          <w:tcPr>
            <w:tcW w:w="447" w:type="pct"/>
            <w:tcBorders>
              <w:top w:val="nil"/>
              <w:left w:val="nil"/>
              <w:bottom w:val="single" w:sz="4" w:space="0" w:color="auto"/>
              <w:right w:val="nil"/>
            </w:tcBorders>
            <w:shd w:val="clear" w:color="auto" w:fill="auto"/>
            <w:vAlign w:val="center"/>
            <w:hideMark/>
          </w:tcPr>
          <w:p w:rsidR="00840772" w:rsidRPr="005959B1" w:rsidRDefault="00840772" w:rsidP="00CA337E">
            <w:pPr>
              <w:keepNext/>
              <w:jc w:val="center"/>
              <w:rPr>
                <w:color w:val="000000"/>
                <w:sz w:val="18"/>
                <w:szCs w:val="18"/>
                <w:lang w:val="da-DK"/>
              </w:rPr>
            </w:pPr>
            <w:r w:rsidRPr="005959B1">
              <w:rPr>
                <w:color w:val="000000"/>
                <w:sz w:val="18"/>
                <w:szCs w:val="18"/>
                <w:lang w:val="da-DK"/>
              </w:rPr>
              <w:t>Finan</w:t>
            </w:r>
            <w:r w:rsidRPr="005959B1">
              <w:rPr>
                <w:color w:val="000000"/>
                <w:sz w:val="18"/>
                <w:szCs w:val="18"/>
                <w:lang w:val="da-DK"/>
              </w:rPr>
              <w:t>s</w:t>
            </w:r>
            <w:r w:rsidRPr="005959B1">
              <w:rPr>
                <w:color w:val="000000"/>
                <w:sz w:val="18"/>
                <w:szCs w:val="18"/>
                <w:lang w:val="da-DK"/>
              </w:rPr>
              <w:t>årsvir</w:t>
            </w:r>
            <w:r w:rsidRPr="005959B1">
              <w:rPr>
                <w:color w:val="000000"/>
                <w:sz w:val="18"/>
                <w:szCs w:val="18"/>
                <w:lang w:val="da-DK"/>
              </w:rPr>
              <w:t>k</w:t>
            </w:r>
            <w:r w:rsidRPr="005959B1">
              <w:rPr>
                <w:color w:val="000000"/>
                <w:sz w:val="18"/>
                <w:szCs w:val="18"/>
                <w:lang w:val="da-DK"/>
              </w:rPr>
              <w:t>ning</w:t>
            </w:r>
            <w:r w:rsidR="00647E47" w:rsidRPr="005959B1">
              <w:rPr>
                <w:color w:val="000000"/>
                <w:sz w:val="18"/>
                <w:szCs w:val="18"/>
                <w:lang w:val="da-DK"/>
              </w:rPr>
              <w:t xml:space="preserve"> 2015</w:t>
            </w:r>
          </w:p>
        </w:tc>
      </w:tr>
      <w:tr w:rsidR="00A462DB" w:rsidRPr="004044C6" w:rsidTr="00A462DB">
        <w:trPr>
          <w:trHeight w:val="255"/>
        </w:trPr>
        <w:tc>
          <w:tcPr>
            <w:tcW w:w="1409" w:type="pct"/>
            <w:tcBorders>
              <w:top w:val="nil"/>
              <w:left w:val="nil"/>
              <w:bottom w:val="nil"/>
              <w:right w:val="nil"/>
            </w:tcBorders>
            <w:shd w:val="clear" w:color="auto" w:fill="auto"/>
            <w:vAlign w:val="center"/>
            <w:hideMark/>
          </w:tcPr>
          <w:p w:rsidR="00A462DB" w:rsidRPr="005959B1" w:rsidRDefault="00A462DB" w:rsidP="00CA337E">
            <w:pPr>
              <w:keepNext/>
              <w:rPr>
                <w:color w:val="000000"/>
                <w:sz w:val="18"/>
                <w:szCs w:val="18"/>
                <w:lang w:val="da-DK"/>
              </w:rPr>
            </w:pPr>
            <w:r w:rsidRPr="005959B1">
              <w:rPr>
                <w:color w:val="000000"/>
                <w:sz w:val="18"/>
                <w:szCs w:val="18"/>
                <w:lang w:val="da-DK"/>
              </w:rPr>
              <w:t>Umiddelbart mindreprovenu</w:t>
            </w:r>
          </w:p>
        </w:tc>
        <w:tc>
          <w:tcPr>
            <w:tcW w:w="449" w:type="pct"/>
            <w:tcBorders>
              <w:top w:val="nil"/>
              <w:left w:val="single" w:sz="4" w:space="0" w:color="auto"/>
              <w:bottom w:val="nil"/>
              <w:right w:val="single" w:sz="4" w:space="0" w:color="auto"/>
            </w:tcBorders>
            <w:shd w:val="clear" w:color="auto" w:fill="auto"/>
            <w:vAlign w:val="bottom"/>
            <w:hideMark/>
          </w:tcPr>
          <w:p w:rsidR="00A462DB" w:rsidRPr="004044C6" w:rsidRDefault="00DC27F4" w:rsidP="0037602B">
            <w:pPr>
              <w:keepNext/>
              <w:ind w:right="170"/>
              <w:jc w:val="right"/>
              <w:rPr>
                <w:color w:val="000000"/>
                <w:sz w:val="18"/>
                <w:szCs w:val="18"/>
              </w:rPr>
            </w:pPr>
            <w:r>
              <w:rPr>
                <w:color w:val="000000"/>
                <w:sz w:val="18"/>
                <w:szCs w:val="18"/>
              </w:rPr>
              <w:t>365</w:t>
            </w:r>
          </w:p>
        </w:tc>
        <w:tc>
          <w:tcPr>
            <w:tcW w:w="449" w:type="pct"/>
            <w:tcBorders>
              <w:top w:val="nil"/>
              <w:left w:val="nil"/>
              <w:bottom w:val="nil"/>
              <w:right w:val="nil"/>
            </w:tcBorders>
            <w:shd w:val="clear" w:color="auto" w:fill="auto"/>
            <w:vAlign w:val="bottom"/>
            <w:hideMark/>
          </w:tcPr>
          <w:p w:rsidR="00A462DB" w:rsidRPr="00A462DB" w:rsidRDefault="00A462DB" w:rsidP="00A462DB">
            <w:pPr>
              <w:keepNext/>
              <w:ind w:right="170"/>
              <w:jc w:val="right"/>
              <w:rPr>
                <w:bCs/>
                <w:color w:val="000000"/>
                <w:sz w:val="18"/>
                <w:szCs w:val="18"/>
              </w:rPr>
            </w:pPr>
            <w:r w:rsidRPr="00A462DB">
              <w:rPr>
                <w:bCs/>
                <w:color w:val="000000"/>
                <w:sz w:val="18"/>
                <w:szCs w:val="18"/>
              </w:rPr>
              <w:t>810</w:t>
            </w:r>
          </w:p>
        </w:tc>
        <w:tc>
          <w:tcPr>
            <w:tcW w:w="449" w:type="pct"/>
            <w:tcBorders>
              <w:top w:val="nil"/>
              <w:left w:val="nil"/>
              <w:bottom w:val="nil"/>
              <w:right w:val="nil"/>
            </w:tcBorders>
            <w:shd w:val="clear" w:color="auto" w:fill="auto"/>
            <w:vAlign w:val="bottom"/>
            <w:hideMark/>
          </w:tcPr>
          <w:p w:rsidR="00A462DB" w:rsidRPr="00A462DB" w:rsidRDefault="00A462DB" w:rsidP="00A462DB">
            <w:pPr>
              <w:keepNext/>
              <w:ind w:right="170"/>
              <w:jc w:val="right"/>
              <w:rPr>
                <w:bCs/>
                <w:color w:val="000000"/>
                <w:sz w:val="18"/>
                <w:szCs w:val="18"/>
              </w:rPr>
            </w:pPr>
            <w:r w:rsidRPr="00A462DB">
              <w:rPr>
                <w:bCs/>
                <w:color w:val="000000"/>
                <w:sz w:val="18"/>
                <w:szCs w:val="18"/>
              </w:rPr>
              <w:t>780</w:t>
            </w:r>
          </w:p>
        </w:tc>
        <w:tc>
          <w:tcPr>
            <w:tcW w:w="449" w:type="pct"/>
            <w:tcBorders>
              <w:top w:val="nil"/>
              <w:left w:val="nil"/>
              <w:bottom w:val="nil"/>
              <w:right w:val="nil"/>
            </w:tcBorders>
            <w:shd w:val="clear" w:color="auto" w:fill="auto"/>
            <w:vAlign w:val="bottom"/>
            <w:hideMark/>
          </w:tcPr>
          <w:p w:rsidR="00A462DB" w:rsidRPr="00A462DB" w:rsidRDefault="00A462DB" w:rsidP="00A462DB">
            <w:pPr>
              <w:keepNext/>
              <w:ind w:right="170"/>
              <w:jc w:val="right"/>
              <w:rPr>
                <w:bCs/>
                <w:color w:val="000000"/>
                <w:sz w:val="18"/>
                <w:szCs w:val="18"/>
              </w:rPr>
            </w:pPr>
            <w:r w:rsidRPr="00A462DB">
              <w:rPr>
                <w:bCs/>
                <w:color w:val="000000"/>
                <w:sz w:val="18"/>
                <w:szCs w:val="18"/>
              </w:rPr>
              <w:t>760</w:t>
            </w:r>
          </w:p>
        </w:tc>
        <w:tc>
          <w:tcPr>
            <w:tcW w:w="449" w:type="pct"/>
            <w:tcBorders>
              <w:top w:val="nil"/>
              <w:left w:val="nil"/>
              <w:bottom w:val="nil"/>
              <w:right w:val="nil"/>
            </w:tcBorders>
            <w:shd w:val="clear" w:color="auto" w:fill="auto"/>
            <w:vAlign w:val="bottom"/>
            <w:hideMark/>
          </w:tcPr>
          <w:p w:rsidR="00A462DB" w:rsidRPr="00A462DB" w:rsidRDefault="00A462DB" w:rsidP="00A462DB">
            <w:pPr>
              <w:keepNext/>
              <w:ind w:right="170"/>
              <w:jc w:val="right"/>
              <w:rPr>
                <w:bCs/>
                <w:color w:val="000000"/>
                <w:sz w:val="18"/>
                <w:szCs w:val="18"/>
              </w:rPr>
            </w:pPr>
            <w:r w:rsidRPr="00A462DB">
              <w:rPr>
                <w:bCs/>
                <w:color w:val="000000"/>
                <w:sz w:val="18"/>
                <w:szCs w:val="18"/>
              </w:rPr>
              <w:t>740</w:t>
            </w:r>
          </w:p>
        </w:tc>
        <w:tc>
          <w:tcPr>
            <w:tcW w:w="449" w:type="pct"/>
            <w:tcBorders>
              <w:top w:val="nil"/>
              <w:left w:val="nil"/>
              <w:bottom w:val="nil"/>
              <w:right w:val="nil"/>
            </w:tcBorders>
            <w:shd w:val="clear" w:color="auto" w:fill="auto"/>
            <w:vAlign w:val="bottom"/>
            <w:hideMark/>
          </w:tcPr>
          <w:p w:rsidR="00A462DB" w:rsidRPr="00A462DB" w:rsidRDefault="00A462DB" w:rsidP="00A462DB">
            <w:pPr>
              <w:keepNext/>
              <w:ind w:right="170"/>
              <w:jc w:val="right"/>
              <w:rPr>
                <w:bCs/>
                <w:color w:val="000000"/>
                <w:sz w:val="18"/>
                <w:szCs w:val="18"/>
              </w:rPr>
            </w:pPr>
            <w:r w:rsidRPr="00A462DB">
              <w:rPr>
                <w:bCs/>
                <w:color w:val="000000"/>
                <w:sz w:val="18"/>
                <w:szCs w:val="18"/>
              </w:rPr>
              <w:t>720</w:t>
            </w:r>
          </w:p>
        </w:tc>
        <w:tc>
          <w:tcPr>
            <w:tcW w:w="449" w:type="pct"/>
            <w:tcBorders>
              <w:top w:val="nil"/>
              <w:left w:val="nil"/>
              <w:bottom w:val="nil"/>
              <w:right w:val="single" w:sz="4" w:space="0" w:color="auto"/>
            </w:tcBorders>
            <w:shd w:val="clear" w:color="auto" w:fill="auto"/>
            <w:vAlign w:val="bottom"/>
            <w:hideMark/>
          </w:tcPr>
          <w:p w:rsidR="00A462DB" w:rsidRPr="00A462DB" w:rsidRDefault="00A462DB" w:rsidP="00A462DB">
            <w:pPr>
              <w:keepNext/>
              <w:ind w:right="170"/>
              <w:jc w:val="right"/>
              <w:rPr>
                <w:bCs/>
                <w:color w:val="000000"/>
                <w:sz w:val="18"/>
                <w:szCs w:val="18"/>
              </w:rPr>
            </w:pPr>
            <w:r w:rsidRPr="00A462DB">
              <w:rPr>
                <w:bCs/>
                <w:color w:val="000000"/>
                <w:sz w:val="18"/>
                <w:szCs w:val="18"/>
              </w:rPr>
              <w:t>720</w:t>
            </w:r>
          </w:p>
        </w:tc>
        <w:tc>
          <w:tcPr>
            <w:tcW w:w="447" w:type="pct"/>
            <w:tcBorders>
              <w:top w:val="nil"/>
              <w:left w:val="nil"/>
              <w:bottom w:val="nil"/>
              <w:right w:val="nil"/>
            </w:tcBorders>
            <w:shd w:val="clear" w:color="auto" w:fill="auto"/>
            <w:vAlign w:val="bottom"/>
            <w:hideMark/>
          </w:tcPr>
          <w:p w:rsidR="00A462DB" w:rsidRPr="004044C6" w:rsidRDefault="005B3EE0" w:rsidP="005B3EE0">
            <w:pPr>
              <w:keepNext/>
              <w:ind w:right="170"/>
              <w:jc w:val="right"/>
              <w:rPr>
                <w:color w:val="000000"/>
                <w:sz w:val="18"/>
                <w:szCs w:val="18"/>
              </w:rPr>
            </w:pPr>
            <w:r>
              <w:rPr>
                <w:color w:val="000000"/>
                <w:sz w:val="18"/>
                <w:szCs w:val="18"/>
              </w:rPr>
              <w:t>450</w:t>
            </w:r>
          </w:p>
        </w:tc>
      </w:tr>
      <w:tr w:rsidR="00A462DB" w:rsidRPr="004044C6" w:rsidTr="00A462DB">
        <w:trPr>
          <w:trHeight w:val="255"/>
        </w:trPr>
        <w:tc>
          <w:tcPr>
            <w:tcW w:w="1409" w:type="pct"/>
            <w:tcBorders>
              <w:top w:val="nil"/>
              <w:left w:val="nil"/>
              <w:bottom w:val="nil"/>
              <w:right w:val="nil"/>
            </w:tcBorders>
            <w:shd w:val="clear" w:color="auto" w:fill="auto"/>
            <w:vAlign w:val="center"/>
            <w:hideMark/>
          </w:tcPr>
          <w:p w:rsidR="00A462DB" w:rsidRPr="005959B1" w:rsidRDefault="00A462DB" w:rsidP="00CA337E">
            <w:pPr>
              <w:keepNext/>
              <w:rPr>
                <w:color w:val="000000"/>
                <w:sz w:val="18"/>
                <w:szCs w:val="18"/>
                <w:lang w:val="da-DK"/>
              </w:rPr>
            </w:pPr>
            <w:r w:rsidRPr="005959B1">
              <w:rPr>
                <w:color w:val="000000"/>
                <w:sz w:val="18"/>
                <w:szCs w:val="18"/>
                <w:lang w:val="da-DK"/>
              </w:rPr>
              <w:t>Mindreprovenu efter tilbageløb</w:t>
            </w:r>
          </w:p>
        </w:tc>
        <w:tc>
          <w:tcPr>
            <w:tcW w:w="449" w:type="pct"/>
            <w:tcBorders>
              <w:top w:val="nil"/>
              <w:left w:val="single" w:sz="4" w:space="0" w:color="auto"/>
              <w:bottom w:val="nil"/>
              <w:right w:val="single" w:sz="4" w:space="0" w:color="auto"/>
            </w:tcBorders>
            <w:shd w:val="clear" w:color="auto" w:fill="auto"/>
            <w:vAlign w:val="bottom"/>
            <w:hideMark/>
          </w:tcPr>
          <w:p w:rsidR="00A462DB" w:rsidRPr="004044C6" w:rsidRDefault="00DC27F4" w:rsidP="007F13AE">
            <w:pPr>
              <w:keepNext/>
              <w:ind w:right="170"/>
              <w:jc w:val="right"/>
              <w:rPr>
                <w:color w:val="000000"/>
                <w:sz w:val="18"/>
                <w:szCs w:val="18"/>
              </w:rPr>
            </w:pPr>
            <w:r>
              <w:rPr>
                <w:color w:val="000000"/>
                <w:sz w:val="18"/>
                <w:szCs w:val="18"/>
              </w:rPr>
              <w:t>275</w:t>
            </w:r>
          </w:p>
        </w:tc>
        <w:tc>
          <w:tcPr>
            <w:tcW w:w="449" w:type="pct"/>
            <w:tcBorders>
              <w:top w:val="nil"/>
              <w:left w:val="nil"/>
              <w:bottom w:val="nil"/>
              <w:right w:val="nil"/>
            </w:tcBorders>
            <w:shd w:val="clear" w:color="auto" w:fill="auto"/>
            <w:vAlign w:val="bottom"/>
            <w:hideMark/>
          </w:tcPr>
          <w:p w:rsidR="00A462DB" w:rsidRPr="00A462DB" w:rsidRDefault="00A462DB" w:rsidP="00A462DB">
            <w:pPr>
              <w:keepNext/>
              <w:ind w:right="170"/>
              <w:jc w:val="right"/>
              <w:rPr>
                <w:bCs/>
                <w:color w:val="000000"/>
                <w:sz w:val="18"/>
                <w:szCs w:val="18"/>
              </w:rPr>
            </w:pPr>
            <w:r w:rsidRPr="00A462DB">
              <w:rPr>
                <w:bCs/>
                <w:color w:val="000000"/>
                <w:sz w:val="18"/>
                <w:szCs w:val="18"/>
              </w:rPr>
              <w:t>615</w:t>
            </w:r>
          </w:p>
        </w:tc>
        <w:tc>
          <w:tcPr>
            <w:tcW w:w="449" w:type="pct"/>
            <w:tcBorders>
              <w:top w:val="nil"/>
              <w:left w:val="nil"/>
              <w:bottom w:val="nil"/>
              <w:right w:val="nil"/>
            </w:tcBorders>
            <w:shd w:val="clear" w:color="auto" w:fill="auto"/>
            <w:vAlign w:val="bottom"/>
            <w:hideMark/>
          </w:tcPr>
          <w:p w:rsidR="00A462DB" w:rsidRPr="00A462DB" w:rsidRDefault="00A462DB" w:rsidP="00A462DB">
            <w:pPr>
              <w:keepNext/>
              <w:ind w:right="170"/>
              <w:jc w:val="right"/>
              <w:rPr>
                <w:bCs/>
                <w:color w:val="000000"/>
                <w:sz w:val="18"/>
                <w:szCs w:val="18"/>
              </w:rPr>
            </w:pPr>
            <w:r w:rsidRPr="00A462DB">
              <w:rPr>
                <w:bCs/>
                <w:color w:val="000000"/>
                <w:sz w:val="18"/>
                <w:szCs w:val="18"/>
              </w:rPr>
              <w:t>590</w:t>
            </w:r>
          </w:p>
        </w:tc>
        <w:tc>
          <w:tcPr>
            <w:tcW w:w="449" w:type="pct"/>
            <w:tcBorders>
              <w:top w:val="nil"/>
              <w:left w:val="nil"/>
              <w:bottom w:val="nil"/>
              <w:right w:val="nil"/>
            </w:tcBorders>
            <w:shd w:val="clear" w:color="auto" w:fill="auto"/>
            <w:vAlign w:val="bottom"/>
            <w:hideMark/>
          </w:tcPr>
          <w:p w:rsidR="00A462DB" w:rsidRPr="00A462DB" w:rsidRDefault="00A462DB" w:rsidP="00A462DB">
            <w:pPr>
              <w:keepNext/>
              <w:ind w:right="170"/>
              <w:jc w:val="right"/>
              <w:rPr>
                <w:bCs/>
                <w:color w:val="000000"/>
                <w:sz w:val="18"/>
                <w:szCs w:val="18"/>
              </w:rPr>
            </w:pPr>
            <w:r w:rsidRPr="00A462DB">
              <w:rPr>
                <w:bCs/>
                <w:color w:val="000000"/>
                <w:sz w:val="18"/>
                <w:szCs w:val="18"/>
              </w:rPr>
              <w:t>575</w:t>
            </w:r>
          </w:p>
        </w:tc>
        <w:tc>
          <w:tcPr>
            <w:tcW w:w="449" w:type="pct"/>
            <w:tcBorders>
              <w:top w:val="nil"/>
              <w:left w:val="nil"/>
              <w:bottom w:val="nil"/>
              <w:right w:val="nil"/>
            </w:tcBorders>
            <w:shd w:val="clear" w:color="auto" w:fill="auto"/>
            <w:vAlign w:val="bottom"/>
            <w:hideMark/>
          </w:tcPr>
          <w:p w:rsidR="00A462DB" w:rsidRPr="00A462DB" w:rsidRDefault="00A462DB" w:rsidP="00A462DB">
            <w:pPr>
              <w:keepNext/>
              <w:ind w:right="170"/>
              <w:jc w:val="right"/>
              <w:rPr>
                <w:bCs/>
                <w:color w:val="000000"/>
                <w:sz w:val="18"/>
                <w:szCs w:val="18"/>
              </w:rPr>
            </w:pPr>
            <w:r w:rsidRPr="00A462DB">
              <w:rPr>
                <w:bCs/>
                <w:color w:val="000000"/>
                <w:sz w:val="18"/>
                <w:szCs w:val="18"/>
              </w:rPr>
              <w:t>560</w:t>
            </w:r>
          </w:p>
        </w:tc>
        <w:tc>
          <w:tcPr>
            <w:tcW w:w="449" w:type="pct"/>
            <w:tcBorders>
              <w:top w:val="nil"/>
              <w:left w:val="nil"/>
              <w:bottom w:val="nil"/>
              <w:right w:val="nil"/>
            </w:tcBorders>
            <w:shd w:val="clear" w:color="auto" w:fill="auto"/>
            <w:vAlign w:val="bottom"/>
            <w:hideMark/>
          </w:tcPr>
          <w:p w:rsidR="00A462DB" w:rsidRPr="00A462DB" w:rsidRDefault="00A462DB" w:rsidP="00A462DB">
            <w:pPr>
              <w:keepNext/>
              <w:ind w:right="170"/>
              <w:jc w:val="right"/>
              <w:rPr>
                <w:bCs/>
                <w:color w:val="000000"/>
                <w:sz w:val="18"/>
                <w:szCs w:val="18"/>
              </w:rPr>
            </w:pPr>
            <w:r w:rsidRPr="00A462DB">
              <w:rPr>
                <w:bCs/>
                <w:color w:val="000000"/>
                <w:sz w:val="18"/>
                <w:szCs w:val="18"/>
              </w:rPr>
              <w:t>540</w:t>
            </w:r>
          </w:p>
        </w:tc>
        <w:tc>
          <w:tcPr>
            <w:tcW w:w="449" w:type="pct"/>
            <w:tcBorders>
              <w:top w:val="nil"/>
              <w:left w:val="nil"/>
              <w:bottom w:val="nil"/>
              <w:right w:val="single" w:sz="4" w:space="0" w:color="auto"/>
            </w:tcBorders>
            <w:shd w:val="clear" w:color="auto" w:fill="auto"/>
            <w:vAlign w:val="bottom"/>
            <w:hideMark/>
          </w:tcPr>
          <w:p w:rsidR="00A462DB" w:rsidRPr="00A462DB" w:rsidRDefault="00553698" w:rsidP="00A462DB">
            <w:pPr>
              <w:keepNext/>
              <w:ind w:right="170"/>
              <w:jc w:val="right"/>
              <w:rPr>
                <w:bCs/>
                <w:color w:val="000000"/>
                <w:sz w:val="18"/>
                <w:szCs w:val="18"/>
              </w:rPr>
            </w:pPr>
            <w:r>
              <w:rPr>
                <w:bCs/>
                <w:color w:val="000000"/>
                <w:sz w:val="18"/>
                <w:szCs w:val="18"/>
              </w:rPr>
              <w:t>540</w:t>
            </w:r>
          </w:p>
        </w:tc>
        <w:tc>
          <w:tcPr>
            <w:tcW w:w="447" w:type="pct"/>
            <w:tcBorders>
              <w:top w:val="nil"/>
              <w:left w:val="nil"/>
              <w:bottom w:val="nil"/>
              <w:right w:val="nil"/>
            </w:tcBorders>
            <w:shd w:val="clear" w:color="auto" w:fill="auto"/>
            <w:vAlign w:val="bottom"/>
            <w:hideMark/>
          </w:tcPr>
          <w:p w:rsidR="00A462DB" w:rsidRPr="004044C6" w:rsidRDefault="00A462DB" w:rsidP="0037602B">
            <w:pPr>
              <w:keepNext/>
              <w:ind w:right="170"/>
              <w:jc w:val="right"/>
              <w:rPr>
                <w:color w:val="000000"/>
                <w:sz w:val="18"/>
                <w:szCs w:val="18"/>
              </w:rPr>
            </w:pPr>
            <w:r>
              <w:rPr>
                <w:color w:val="000000"/>
                <w:sz w:val="18"/>
                <w:szCs w:val="18"/>
              </w:rPr>
              <w:t>-</w:t>
            </w:r>
          </w:p>
        </w:tc>
      </w:tr>
      <w:tr w:rsidR="00A462DB" w:rsidRPr="004044C6" w:rsidTr="00A462DB">
        <w:trPr>
          <w:trHeight w:val="255"/>
        </w:trPr>
        <w:tc>
          <w:tcPr>
            <w:tcW w:w="1409" w:type="pct"/>
            <w:tcBorders>
              <w:top w:val="single" w:sz="4" w:space="0" w:color="auto"/>
              <w:left w:val="nil"/>
              <w:bottom w:val="single" w:sz="4" w:space="0" w:color="auto"/>
              <w:right w:val="nil"/>
            </w:tcBorders>
            <w:shd w:val="clear" w:color="auto" w:fill="auto"/>
            <w:vAlign w:val="center"/>
            <w:hideMark/>
          </w:tcPr>
          <w:p w:rsidR="00A462DB" w:rsidRPr="005959B1" w:rsidRDefault="00A462DB" w:rsidP="00CA337E">
            <w:pPr>
              <w:keepNext/>
              <w:rPr>
                <w:b/>
                <w:bCs/>
                <w:color w:val="000000"/>
                <w:sz w:val="18"/>
                <w:szCs w:val="18"/>
                <w:lang w:val="da-DK"/>
              </w:rPr>
            </w:pPr>
            <w:r w:rsidRPr="005959B1">
              <w:rPr>
                <w:b/>
                <w:bCs/>
                <w:color w:val="000000"/>
                <w:sz w:val="18"/>
                <w:szCs w:val="18"/>
                <w:lang w:val="da-DK"/>
              </w:rPr>
              <w:t>Mindreprovenu efter tilbageløb og adfærd</w:t>
            </w:r>
          </w:p>
        </w:tc>
        <w:tc>
          <w:tcPr>
            <w:tcW w:w="4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462DB" w:rsidRPr="00840772" w:rsidRDefault="00A462DB" w:rsidP="00DC27F4">
            <w:pPr>
              <w:keepNext/>
              <w:ind w:right="170"/>
              <w:jc w:val="right"/>
              <w:rPr>
                <w:b/>
                <w:bCs/>
                <w:color w:val="000000"/>
                <w:sz w:val="18"/>
                <w:szCs w:val="18"/>
              </w:rPr>
            </w:pPr>
            <w:r>
              <w:rPr>
                <w:b/>
                <w:bCs/>
                <w:color w:val="000000"/>
                <w:sz w:val="18"/>
                <w:szCs w:val="18"/>
              </w:rPr>
              <w:t>2</w:t>
            </w:r>
            <w:r w:rsidR="00DC27F4">
              <w:rPr>
                <w:b/>
                <w:bCs/>
                <w:color w:val="000000"/>
                <w:sz w:val="18"/>
                <w:szCs w:val="18"/>
              </w:rPr>
              <w:t>55</w:t>
            </w:r>
          </w:p>
        </w:tc>
        <w:tc>
          <w:tcPr>
            <w:tcW w:w="449" w:type="pct"/>
            <w:tcBorders>
              <w:top w:val="single" w:sz="4" w:space="0" w:color="auto"/>
              <w:left w:val="nil"/>
              <w:bottom w:val="single" w:sz="4" w:space="0" w:color="auto"/>
              <w:right w:val="nil"/>
            </w:tcBorders>
            <w:shd w:val="clear" w:color="auto" w:fill="auto"/>
            <w:vAlign w:val="bottom"/>
            <w:hideMark/>
          </w:tcPr>
          <w:p w:rsidR="00A462DB" w:rsidRPr="00A462DB" w:rsidRDefault="0056045E" w:rsidP="00A462DB">
            <w:pPr>
              <w:keepNext/>
              <w:ind w:right="170"/>
              <w:jc w:val="right"/>
              <w:rPr>
                <w:b/>
                <w:bCs/>
                <w:color w:val="000000"/>
                <w:sz w:val="18"/>
                <w:szCs w:val="18"/>
              </w:rPr>
            </w:pPr>
            <w:r>
              <w:rPr>
                <w:b/>
                <w:bCs/>
                <w:color w:val="000000"/>
                <w:sz w:val="18"/>
                <w:szCs w:val="18"/>
              </w:rPr>
              <w:t>57</w:t>
            </w:r>
            <w:r w:rsidR="00A462DB" w:rsidRPr="00A462DB">
              <w:rPr>
                <w:b/>
                <w:bCs/>
                <w:color w:val="000000"/>
                <w:sz w:val="18"/>
                <w:szCs w:val="18"/>
              </w:rPr>
              <w:t>0</w:t>
            </w:r>
          </w:p>
        </w:tc>
        <w:tc>
          <w:tcPr>
            <w:tcW w:w="449" w:type="pct"/>
            <w:tcBorders>
              <w:top w:val="single" w:sz="4" w:space="0" w:color="auto"/>
              <w:left w:val="nil"/>
              <w:bottom w:val="single" w:sz="4" w:space="0" w:color="auto"/>
              <w:right w:val="nil"/>
            </w:tcBorders>
            <w:shd w:val="clear" w:color="auto" w:fill="auto"/>
            <w:vAlign w:val="bottom"/>
            <w:hideMark/>
          </w:tcPr>
          <w:p w:rsidR="00A462DB" w:rsidRPr="00A462DB" w:rsidRDefault="00A462DB" w:rsidP="0056045E">
            <w:pPr>
              <w:keepNext/>
              <w:ind w:right="170"/>
              <w:jc w:val="right"/>
              <w:rPr>
                <w:b/>
                <w:bCs/>
                <w:color w:val="000000"/>
                <w:sz w:val="18"/>
                <w:szCs w:val="18"/>
              </w:rPr>
            </w:pPr>
            <w:r w:rsidRPr="00A462DB">
              <w:rPr>
                <w:b/>
                <w:bCs/>
                <w:color w:val="000000"/>
                <w:sz w:val="18"/>
                <w:szCs w:val="18"/>
              </w:rPr>
              <w:t>5</w:t>
            </w:r>
            <w:r w:rsidR="0056045E">
              <w:rPr>
                <w:b/>
                <w:bCs/>
                <w:color w:val="000000"/>
                <w:sz w:val="18"/>
                <w:szCs w:val="18"/>
              </w:rPr>
              <w:t>5</w:t>
            </w:r>
            <w:r w:rsidRPr="00A462DB">
              <w:rPr>
                <w:b/>
                <w:bCs/>
                <w:color w:val="000000"/>
                <w:sz w:val="18"/>
                <w:szCs w:val="18"/>
              </w:rPr>
              <w:t>0</w:t>
            </w:r>
          </w:p>
        </w:tc>
        <w:tc>
          <w:tcPr>
            <w:tcW w:w="449" w:type="pct"/>
            <w:tcBorders>
              <w:top w:val="single" w:sz="4" w:space="0" w:color="auto"/>
              <w:left w:val="nil"/>
              <w:bottom w:val="single" w:sz="4" w:space="0" w:color="auto"/>
              <w:right w:val="nil"/>
            </w:tcBorders>
            <w:shd w:val="clear" w:color="auto" w:fill="auto"/>
            <w:vAlign w:val="bottom"/>
            <w:hideMark/>
          </w:tcPr>
          <w:p w:rsidR="00A462DB" w:rsidRPr="00A462DB" w:rsidRDefault="0056045E" w:rsidP="00A462DB">
            <w:pPr>
              <w:keepNext/>
              <w:ind w:right="170"/>
              <w:jc w:val="right"/>
              <w:rPr>
                <w:b/>
                <w:bCs/>
                <w:color w:val="000000"/>
                <w:sz w:val="18"/>
                <w:szCs w:val="18"/>
              </w:rPr>
            </w:pPr>
            <w:r>
              <w:rPr>
                <w:b/>
                <w:bCs/>
                <w:color w:val="000000"/>
                <w:sz w:val="18"/>
                <w:szCs w:val="18"/>
              </w:rPr>
              <w:t>53</w:t>
            </w:r>
            <w:r w:rsidR="00A462DB" w:rsidRPr="00A462DB">
              <w:rPr>
                <w:b/>
                <w:bCs/>
                <w:color w:val="000000"/>
                <w:sz w:val="18"/>
                <w:szCs w:val="18"/>
              </w:rPr>
              <w:t>5</w:t>
            </w:r>
          </w:p>
        </w:tc>
        <w:tc>
          <w:tcPr>
            <w:tcW w:w="449" w:type="pct"/>
            <w:tcBorders>
              <w:top w:val="single" w:sz="4" w:space="0" w:color="auto"/>
              <w:left w:val="nil"/>
              <w:bottom w:val="single" w:sz="4" w:space="0" w:color="auto"/>
              <w:right w:val="nil"/>
            </w:tcBorders>
            <w:shd w:val="clear" w:color="auto" w:fill="auto"/>
            <w:vAlign w:val="bottom"/>
            <w:hideMark/>
          </w:tcPr>
          <w:p w:rsidR="00A462DB" w:rsidRPr="00A462DB" w:rsidRDefault="00A462DB" w:rsidP="0056045E">
            <w:pPr>
              <w:keepNext/>
              <w:ind w:right="170"/>
              <w:jc w:val="right"/>
              <w:rPr>
                <w:b/>
                <w:bCs/>
                <w:color w:val="000000"/>
                <w:sz w:val="18"/>
                <w:szCs w:val="18"/>
              </w:rPr>
            </w:pPr>
            <w:r w:rsidRPr="00A462DB">
              <w:rPr>
                <w:b/>
                <w:bCs/>
                <w:color w:val="000000"/>
                <w:sz w:val="18"/>
                <w:szCs w:val="18"/>
              </w:rPr>
              <w:t>5</w:t>
            </w:r>
            <w:r w:rsidR="0056045E">
              <w:rPr>
                <w:b/>
                <w:bCs/>
                <w:color w:val="000000"/>
                <w:sz w:val="18"/>
                <w:szCs w:val="18"/>
              </w:rPr>
              <w:t>2</w:t>
            </w:r>
            <w:r w:rsidRPr="00A462DB">
              <w:rPr>
                <w:b/>
                <w:bCs/>
                <w:color w:val="000000"/>
                <w:sz w:val="18"/>
                <w:szCs w:val="18"/>
              </w:rPr>
              <w:t>0</w:t>
            </w:r>
          </w:p>
        </w:tc>
        <w:tc>
          <w:tcPr>
            <w:tcW w:w="449" w:type="pct"/>
            <w:tcBorders>
              <w:top w:val="single" w:sz="4" w:space="0" w:color="auto"/>
              <w:left w:val="nil"/>
              <w:bottom w:val="single" w:sz="4" w:space="0" w:color="auto"/>
              <w:right w:val="nil"/>
            </w:tcBorders>
            <w:shd w:val="clear" w:color="auto" w:fill="auto"/>
            <w:vAlign w:val="bottom"/>
            <w:hideMark/>
          </w:tcPr>
          <w:p w:rsidR="00A462DB" w:rsidRPr="00A462DB" w:rsidRDefault="00A462DB" w:rsidP="0056045E">
            <w:pPr>
              <w:keepNext/>
              <w:ind w:right="170"/>
              <w:jc w:val="right"/>
              <w:rPr>
                <w:b/>
                <w:bCs/>
                <w:color w:val="000000"/>
                <w:sz w:val="18"/>
                <w:szCs w:val="18"/>
              </w:rPr>
            </w:pPr>
            <w:r w:rsidRPr="00A462DB">
              <w:rPr>
                <w:b/>
                <w:bCs/>
                <w:color w:val="000000"/>
                <w:sz w:val="18"/>
                <w:szCs w:val="18"/>
              </w:rPr>
              <w:t>5</w:t>
            </w:r>
            <w:r w:rsidR="0056045E">
              <w:rPr>
                <w:b/>
                <w:bCs/>
                <w:color w:val="000000"/>
                <w:sz w:val="18"/>
                <w:szCs w:val="18"/>
              </w:rPr>
              <w:t>0</w:t>
            </w:r>
            <w:r w:rsidRPr="00A462DB">
              <w:rPr>
                <w:b/>
                <w:bCs/>
                <w:color w:val="000000"/>
                <w:sz w:val="18"/>
                <w:szCs w:val="18"/>
              </w:rPr>
              <w:t>5</w:t>
            </w:r>
          </w:p>
        </w:tc>
        <w:tc>
          <w:tcPr>
            <w:tcW w:w="449" w:type="pct"/>
            <w:tcBorders>
              <w:top w:val="single" w:sz="4" w:space="0" w:color="auto"/>
              <w:left w:val="nil"/>
              <w:bottom w:val="single" w:sz="4" w:space="0" w:color="auto"/>
              <w:right w:val="single" w:sz="4" w:space="0" w:color="auto"/>
            </w:tcBorders>
            <w:shd w:val="clear" w:color="auto" w:fill="auto"/>
            <w:vAlign w:val="bottom"/>
            <w:hideMark/>
          </w:tcPr>
          <w:p w:rsidR="00A462DB" w:rsidRPr="00A462DB" w:rsidRDefault="00A462DB" w:rsidP="0056045E">
            <w:pPr>
              <w:keepNext/>
              <w:ind w:right="170"/>
              <w:jc w:val="right"/>
              <w:rPr>
                <w:b/>
                <w:bCs/>
                <w:color w:val="000000"/>
                <w:sz w:val="18"/>
                <w:szCs w:val="18"/>
              </w:rPr>
            </w:pPr>
            <w:r w:rsidRPr="00A462DB">
              <w:rPr>
                <w:b/>
                <w:bCs/>
                <w:color w:val="000000"/>
                <w:sz w:val="18"/>
                <w:szCs w:val="18"/>
              </w:rPr>
              <w:t>5</w:t>
            </w:r>
            <w:r w:rsidR="0056045E">
              <w:rPr>
                <w:b/>
                <w:bCs/>
                <w:color w:val="000000"/>
                <w:sz w:val="18"/>
                <w:szCs w:val="18"/>
              </w:rPr>
              <w:t>0</w:t>
            </w:r>
            <w:r w:rsidRPr="00A462DB">
              <w:rPr>
                <w:b/>
                <w:bCs/>
                <w:color w:val="000000"/>
                <w:sz w:val="18"/>
                <w:szCs w:val="18"/>
              </w:rPr>
              <w:t>5</w:t>
            </w:r>
          </w:p>
        </w:tc>
        <w:tc>
          <w:tcPr>
            <w:tcW w:w="447" w:type="pct"/>
            <w:tcBorders>
              <w:top w:val="single" w:sz="4" w:space="0" w:color="auto"/>
              <w:left w:val="nil"/>
              <w:bottom w:val="single" w:sz="4" w:space="0" w:color="auto"/>
              <w:right w:val="nil"/>
            </w:tcBorders>
            <w:shd w:val="clear" w:color="auto" w:fill="auto"/>
            <w:vAlign w:val="bottom"/>
            <w:hideMark/>
          </w:tcPr>
          <w:p w:rsidR="00A462DB" w:rsidRPr="004044C6" w:rsidRDefault="00A462DB" w:rsidP="0037602B">
            <w:pPr>
              <w:keepNext/>
              <w:ind w:right="170"/>
              <w:jc w:val="right"/>
              <w:rPr>
                <w:b/>
                <w:bCs/>
                <w:color w:val="000000"/>
                <w:sz w:val="18"/>
                <w:szCs w:val="18"/>
              </w:rPr>
            </w:pPr>
            <w:r>
              <w:rPr>
                <w:b/>
                <w:bCs/>
                <w:color w:val="000000"/>
                <w:sz w:val="18"/>
                <w:szCs w:val="18"/>
              </w:rPr>
              <w:t>-</w:t>
            </w:r>
          </w:p>
        </w:tc>
      </w:tr>
      <w:tr w:rsidR="00840772" w:rsidRPr="004044C6" w:rsidTr="00A462DB">
        <w:trPr>
          <w:trHeight w:val="255"/>
        </w:trPr>
        <w:tc>
          <w:tcPr>
            <w:tcW w:w="1409" w:type="pct"/>
            <w:tcBorders>
              <w:top w:val="single" w:sz="4" w:space="0" w:color="auto"/>
              <w:left w:val="nil"/>
              <w:bottom w:val="single" w:sz="4" w:space="0" w:color="auto"/>
              <w:right w:val="nil"/>
            </w:tcBorders>
            <w:shd w:val="clear" w:color="auto" w:fill="auto"/>
            <w:vAlign w:val="center"/>
          </w:tcPr>
          <w:p w:rsidR="00840772" w:rsidRPr="005959B1" w:rsidRDefault="00840772" w:rsidP="00CA337E">
            <w:pPr>
              <w:keepNext/>
              <w:rPr>
                <w:bCs/>
                <w:color w:val="000000"/>
                <w:sz w:val="18"/>
                <w:szCs w:val="18"/>
                <w:lang w:val="da-DK"/>
              </w:rPr>
            </w:pPr>
            <w:r w:rsidRPr="005959B1">
              <w:rPr>
                <w:bCs/>
                <w:color w:val="000000"/>
                <w:sz w:val="18"/>
                <w:szCs w:val="18"/>
                <w:lang w:val="da-DK"/>
              </w:rPr>
              <w:t>Provenuvirkning for kommunerne</w:t>
            </w:r>
          </w:p>
        </w:tc>
        <w:tc>
          <w:tcPr>
            <w:tcW w:w="449" w:type="pct"/>
            <w:tcBorders>
              <w:top w:val="single" w:sz="4" w:space="0" w:color="auto"/>
              <w:left w:val="single" w:sz="4" w:space="0" w:color="auto"/>
              <w:bottom w:val="single" w:sz="4" w:space="0" w:color="auto"/>
              <w:right w:val="single" w:sz="4" w:space="0" w:color="auto"/>
            </w:tcBorders>
            <w:shd w:val="clear" w:color="auto" w:fill="auto"/>
            <w:vAlign w:val="bottom"/>
          </w:tcPr>
          <w:p w:rsidR="00840772" w:rsidRPr="002E1C43" w:rsidRDefault="00840772" w:rsidP="0037602B">
            <w:pPr>
              <w:keepNext/>
              <w:ind w:right="170"/>
              <w:jc w:val="right"/>
              <w:rPr>
                <w:bCs/>
                <w:color w:val="000000"/>
                <w:sz w:val="18"/>
                <w:szCs w:val="18"/>
              </w:rPr>
            </w:pPr>
          </w:p>
        </w:tc>
        <w:tc>
          <w:tcPr>
            <w:tcW w:w="449" w:type="pct"/>
            <w:tcBorders>
              <w:top w:val="single" w:sz="4" w:space="0" w:color="auto"/>
              <w:left w:val="nil"/>
              <w:bottom w:val="single" w:sz="4" w:space="0" w:color="auto"/>
              <w:right w:val="nil"/>
            </w:tcBorders>
            <w:shd w:val="clear" w:color="auto" w:fill="auto"/>
            <w:vAlign w:val="bottom"/>
          </w:tcPr>
          <w:p w:rsidR="00840772" w:rsidRPr="002E1C43" w:rsidRDefault="00840772" w:rsidP="0037602B">
            <w:pPr>
              <w:keepNext/>
              <w:ind w:right="170"/>
              <w:jc w:val="right"/>
              <w:rPr>
                <w:bCs/>
                <w:color w:val="000000"/>
                <w:sz w:val="18"/>
                <w:szCs w:val="18"/>
              </w:rPr>
            </w:pPr>
            <w:r w:rsidRPr="002E1C43">
              <w:rPr>
                <w:bCs/>
                <w:color w:val="000000"/>
                <w:sz w:val="18"/>
                <w:szCs w:val="18"/>
              </w:rPr>
              <w:t>-</w:t>
            </w:r>
            <w:r>
              <w:rPr>
                <w:bCs/>
                <w:color w:val="000000"/>
                <w:sz w:val="18"/>
                <w:szCs w:val="18"/>
              </w:rPr>
              <w:t>700</w:t>
            </w:r>
          </w:p>
        </w:tc>
        <w:tc>
          <w:tcPr>
            <w:tcW w:w="449" w:type="pct"/>
            <w:tcBorders>
              <w:top w:val="single" w:sz="4" w:space="0" w:color="auto"/>
              <w:left w:val="nil"/>
              <w:bottom w:val="single" w:sz="4" w:space="0" w:color="auto"/>
              <w:right w:val="nil"/>
            </w:tcBorders>
            <w:shd w:val="clear" w:color="auto" w:fill="auto"/>
            <w:vAlign w:val="bottom"/>
          </w:tcPr>
          <w:p w:rsidR="00840772" w:rsidRPr="002E1C43" w:rsidRDefault="00840772" w:rsidP="0037602B">
            <w:pPr>
              <w:keepNext/>
              <w:ind w:right="170"/>
              <w:jc w:val="right"/>
              <w:rPr>
                <w:bCs/>
                <w:color w:val="000000"/>
                <w:sz w:val="18"/>
                <w:szCs w:val="18"/>
              </w:rPr>
            </w:pPr>
            <w:r>
              <w:rPr>
                <w:bCs/>
                <w:color w:val="000000"/>
                <w:sz w:val="18"/>
                <w:szCs w:val="18"/>
              </w:rPr>
              <w:t>-700</w:t>
            </w:r>
          </w:p>
        </w:tc>
        <w:tc>
          <w:tcPr>
            <w:tcW w:w="449" w:type="pct"/>
            <w:tcBorders>
              <w:top w:val="single" w:sz="4" w:space="0" w:color="auto"/>
              <w:left w:val="nil"/>
              <w:bottom w:val="single" w:sz="4" w:space="0" w:color="auto"/>
              <w:right w:val="nil"/>
            </w:tcBorders>
            <w:shd w:val="clear" w:color="auto" w:fill="auto"/>
            <w:vAlign w:val="bottom"/>
          </w:tcPr>
          <w:p w:rsidR="00840772" w:rsidRDefault="00840772" w:rsidP="0037602B">
            <w:pPr>
              <w:keepNext/>
              <w:ind w:right="170"/>
              <w:jc w:val="right"/>
            </w:pPr>
            <w:r>
              <w:rPr>
                <w:bCs/>
                <w:color w:val="000000"/>
                <w:sz w:val="18"/>
                <w:szCs w:val="18"/>
              </w:rPr>
              <w:t>-705</w:t>
            </w:r>
          </w:p>
        </w:tc>
        <w:tc>
          <w:tcPr>
            <w:tcW w:w="449" w:type="pct"/>
            <w:tcBorders>
              <w:top w:val="single" w:sz="4" w:space="0" w:color="auto"/>
              <w:left w:val="nil"/>
              <w:bottom w:val="single" w:sz="4" w:space="0" w:color="auto"/>
              <w:right w:val="nil"/>
            </w:tcBorders>
            <w:shd w:val="clear" w:color="auto" w:fill="auto"/>
            <w:vAlign w:val="bottom"/>
          </w:tcPr>
          <w:p w:rsidR="00840772" w:rsidRDefault="00840772" w:rsidP="0037602B">
            <w:pPr>
              <w:keepNext/>
              <w:ind w:right="170"/>
              <w:jc w:val="right"/>
            </w:pPr>
            <w:r>
              <w:rPr>
                <w:bCs/>
                <w:color w:val="000000"/>
                <w:sz w:val="18"/>
                <w:szCs w:val="18"/>
              </w:rPr>
              <w:t>-715</w:t>
            </w:r>
          </w:p>
        </w:tc>
        <w:tc>
          <w:tcPr>
            <w:tcW w:w="449" w:type="pct"/>
            <w:tcBorders>
              <w:top w:val="single" w:sz="4" w:space="0" w:color="auto"/>
              <w:left w:val="nil"/>
              <w:bottom w:val="single" w:sz="4" w:space="0" w:color="auto"/>
              <w:right w:val="nil"/>
            </w:tcBorders>
            <w:shd w:val="clear" w:color="auto" w:fill="auto"/>
            <w:vAlign w:val="bottom"/>
          </w:tcPr>
          <w:p w:rsidR="00840772" w:rsidRDefault="00840772" w:rsidP="0037602B">
            <w:pPr>
              <w:keepNext/>
              <w:ind w:right="170"/>
              <w:jc w:val="right"/>
            </w:pPr>
            <w:r>
              <w:rPr>
                <w:bCs/>
                <w:color w:val="000000"/>
                <w:sz w:val="18"/>
                <w:szCs w:val="18"/>
              </w:rPr>
              <w:t>-715</w:t>
            </w:r>
          </w:p>
        </w:tc>
        <w:tc>
          <w:tcPr>
            <w:tcW w:w="449" w:type="pct"/>
            <w:tcBorders>
              <w:top w:val="single" w:sz="4" w:space="0" w:color="auto"/>
              <w:left w:val="nil"/>
              <w:bottom w:val="single" w:sz="4" w:space="0" w:color="auto"/>
              <w:right w:val="single" w:sz="4" w:space="0" w:color="auto"/>
            </w:tcBorders>
            <w:shd w:val="clear" w:color="auto" w:fill="auto"/>
            <w:vAlign w:val="bottom"/>
          </w:tcPr>
          <w:p w:rsidR="00840772" w:rsidRDefault="00840772" w:rsidP="0037602B">
            <w:pPr>
              <w:keepNext/>
              <w:ind w:right="170"/>
              <w:jc w:val="right"/>
            </w:pPr>
            <w:r>
              <w:rPr>
                <w:bCs/>
                <w:color w:val="000000"/>
                <w:sz w:val="18"/>
                <w:szCs w:val="18"/>
              </w:rPr>
              <w:t>-715</w:t>
            </w:r>
          </w:p>
        </w:tc>
        <w:tc>
          <w:tcPr>
            <w:tcW w:w="447" w:type="pct"/>
            <w:tcBorders>
              <w:top w:val="single" w:sz="4" w:space="0" w:color="auto"/>
              <w:left w:val="nil"/>
              <w:bottom w:val="single" w:sz="4" w:space="0" w:color="auto"/>
              <w:right w:val="nil"/>
            </w:tcBorders>
            <w:shd w:val="clear" w:color="auto" w:fill="auto"/>
            <w:vAlign w:val="bottom"/>
          </w:tcPr>
          <w:p w:rsidR="00840772" w:rsidRPr="002E1C43" w:rsidRDefault="00840772" w:rsidP="0037602B">
            <w:pPr>
              <w:keepNext/>
              <w:ind w:right="170"/>
              <w:jc w:val="right"/>
              <w:rPr>
                <w:bCs/>
                <w:color w:val="000000"/>
                <w:sz w:val="18"/>
                <w:szCs w:val="18"/>
              </w:rPr>
            </w:pPr>
            <w:r w:rsidRPr="002E1C43">
              <w:rPr>
                <w:bCs/>
                <w:color w:val="000000"/>
                <w:sz w:val="18"/>
                <w:szCs w:val="18"/>
              </w:rPr>
              <w:t>-</w:t>
            </w:r>
          </w:p>
        </w:tc>
      </w:tr>
    </w:tbl>
    <w:p w:rsidR="00AC5498" w:rsidRDefault="00AC5498" w:rsidP="00CA337E">
      <w:pPr>
        <w:spacing w:line="288" w:lineRule="auto"/>
        <w:rPr>
          <w:iCs/>
          <w:color w:val="000000"/>
          <w:spacing w:val="-5"/>
          <w:lang w:val="da-DK"/>
        </w:rPr>
      </w:pPr>
    </w:p>
    <w:p w:rsidR="00E80059" w:rsidRDefault="00E80059" w:rsidP="00CA337E">
      <w:pPr>
        <w:spacing w:line="288" w:lineRule="auto"/>
        <w:rPr>
          <w:lang w:val="da-DK"/>
        </w:rPr>
      </w:pPr>
      <w:r w:rsidRPr="00E80059">
        <w:rPr>
          <w:lang w:val="da-DK"/>
        </w:rPr>
        <w:t xml:space="preserve">Forslaget </w:t>
      </w:r>
      <w:r>
        <w:rPr>
          <w:lang w:val="da-DK"/>
        </w:rPr>
        <w:t>skønnes, at medføre</w:t>
      </w:r>
      <w:r w:rsidRPr="00E80059">
        <w:rPr>
          <w:lang w:val="da-DK"/>
        </w:rPr>
        <w:t xml:space="preserve"> et mindreprovenu for kommunerne på ca. </w:t>
      </w:r>
      <w:r>
        <w:rPr>
          <w:lang w:val="da-DK"/>
        </w:rPr>
        <w:t xml:space="preserve">700 </w:t>
      </w:r>
      <w:r w:rsidRPr="00E80059">
        <w:rPr>
          <w:lang w:val="da-DK"/>
        </w:rPr>
        <w:t>mio.</w:t>
      </w:r>
      <w:r>
        <w:rPr>
          <w:lang w:val="da-DK"/>
        </w:rPr>
        <w:t xml:space="preserve"> kr., </w:t>
      </w:r>
      <w:r>
        <w:rPr>
          <w:i/>
          <w:lang w:val="da-DK"/>
        </w:rPr>
        <w:t xml:space="preserve">jf. tabel 1. </w:t>
      </w:r>
      <w:r w:rsidRPr="00E80059">
        <w:rPr>
          <w:iCs/>
          <w:lang w:val="da-DK"/>
        </w:rPr>
        <w:t xml:space="preserve">Forslaget får dog ingen umiddelbare økonomiske virkninger for kommunerne for indkomståret 2015, da det af tidsmæssige grunde ikke har været muligt at indarbejde virkningen af forslaget i det </w:t>
      </w:r>
      <w:r w:rsidRPr="00E80059">
        <w:rPr>
          <w:iCs/>
          <w:lang w:val="da-DK"/>
        </w:rPr>
        <w:lastRenderedPageBreak/>
        <w:t>stats</w:t>
      </w:r>
      <w:r w:rsidRPr="00E80059">
        <w:rPr>
          <w:iCs/>
          <w:lang w:val="da-DK"/>
        </w:rPr>
        <w:softHyphen/>
        <w:t xml:space="preserve">garanterede udskrivningsgrundlag for 2015. For </w:t>
      </w:r>
      <w:r>
        <w:rPr>
          <w:iCs/>
          <w:lang w:val="da-DK"/>
        </w:rPr>
        <w:t xml:space="preserve">de </w:t>
      </w:r>
      <w:r w:rsidRPr="00E80059">
        <w:rPr>
          <w:iCs/>
          <w:lang w:val="da-DK"/>
        </w:rPr>
        <w:t>selvbudgettere</w:t>
      </w:r>
      <w:r>
        <w:rPr>
          <w:iCs/>
          <w:lang w:val="da-DK"/>
        </w:rPr>
        <w:t xml:space="preserve">nde kommuner vil der </w:t>
      </w:r>
      <w:r w:rsidRPr="00E80059">
        <w:rPr>
          <w:iCs/>
          <w:lang w:val="da-DK"/>
        </w:rPr>
        <w:t>ske en neutralisering af lovforslagets virkning i forbindelse med afregningen af de kommunale skatter ve</w:t>
      </w:r>
      <w:r w:rsidRPr="00E80059">
        <w:rPr>
          <w:iCs/>
          <w:lang w:val="da-DK"/>
        </w:rPr>
        <w:t>d</w:t>
      </w:r>
      <w:r w:rsidRPr="00E80059">
        <w:rPr>
          <w:iCs/>
          <w:lang w:val="da-DK"/>
        </w:rPr>
        <w:t xml:space="preserve">rørende indkomståret 2015 i 2018. </w:t>
      </w:r>
    </w:p>
    <w:p w:rsidR="00A462DB" w:rsidRDefault="00A462DB" w:rsidP="00A462DB">
      <w:pPr>
        <w:spacing w:line="288" w:lineRule="auto"/>
        <w:rPr>
          <w:lang w:val="da-DK"/>
        </w:rPr>
      </w:pPr>
    </w:p>
    <w:p w:rsidR="00A462DB" w:rsidRDefault="00A462DB" w:rsidP="00A462DB">
      <w:pPr>
        <w:spacing w:line="288" w:lineRule="auto"/>
        <w:rPr>
          <w:lang w:val="da-DK"/>
        </w:rPr>
      </w:pPr>
      <w:r>
        <w:rPr>
          <w:lang w:val="da-DK"/>
        </w:rPr>
        <w:t>Det eksisterende loft over fradrag for fagforeningskontingenter betragtes som en skattesanktion.</w:t>
      </w:r>
      <w:r w:rsidRPr="000A485D">
        <w:rPr>
          <w:lang w:val="da-DK"/>
        </w:rPr>
        <w:t xml:space="preserve"> Med forslaget skønnes den eksisterende </w:t>
      </w:r>
      <w:r>
        <w:rPr>
          <w:lang w:val="da-DK"/>
        </w:rPr>
        <w:t xml:space="preserve">skattesanktion </w:t>
      </w:r>
      <w:r w:rsidRPr="000A485D">
        <w:rPr>
          <w:lang w:val="da-DK"/>
        </w:rPr>
        <w:t xml:space="preserve">at blive </w:t>
      </w:r>
      <w:r>
        <w:rPr>
          <w:lang w:val="da-DK"/>
        </w:rPr>
        <w:t>mindsket</w:t>
      </w:r>
      <w:r w:rsidRPr="000A485D">
        <w:rPr>
          <w:lang w:val="da-DK"/>
        </w:rPr>
        <w:t xml:space="preserve"> svarende til ca. </w:t>
      </w:r>
      <w:r>
        <w:rPr>
          <w:lang w:val="da-DK"/>
        </w:rPr>
        <w:t xml:space="preserve">550 </w:t>
      </w:r>
      <w:r w:rsidRPr="000A485D">
        <w:rPr>
          <w:lang w:val="da-DK"/>
        </w:rPr>
        <w:t xml:space="preserve">mio. kr. </w:t>
      </w:r>
      <w:r>
        <w:rPr>
          <w:lang w:val="da-DK"/>
        </w:rPr>
        <w:t>i 2015.</w:t>
      </w:r>
    </w:p>
    <w:p w:rsidR="00126746" w:rsidRPr="009F1907" w:rsidRDefault="00126746" w:rsidP="00CA337E">
      <w:pPr>
        <w:spacing w:line="288" w:lineRule="auto"/>
        <w:rPr>
          <w:i/>
          <w:iCs/>
          <w:color w:val="000000"/>
          <w:spacing w:val="-5"/>
          <w:lang w:val="da-DK"/>
        </w:rPr>
      </w:pPr>
    </w:p>
    <w:p w:rsidR="00126746" w:rsidRDefault="00126746" w:rsidP="00543670">
      <w:pPr>
        <w:spacing w:line="288" w:lineRule="auto"/>
        <w:jc w:val="both"/>
        <w:rPr>
          <w:i/>
          <w:iCs/>
          <w:color w:val="000000"/>
          <w:lang w:val="da-DK"/>
        </w:rPr>
      </w:pPr>
      <w:r w:rsidRPr="009F1907">
        <w:rPr>
          <w:i/>
          <w:iCs/>
          <w:color w:val="000000"/>
          <w:lang w:val="da-DK"/>
        </w:rPr>
        <w:t xml:space="preserve">6. Administrative konsekvenser for det offentlige </w:t>
      </w:r>
    </w:p>
    <w:p w:rsidR="00AC1CBB" w:rsidRPr="002D122E" w:rsidRDefault="0070425C" w:rsidP="00543670">
      <w:pPr>
        <w:spacing w:line="288" w:lineRule="auto"/>
        <w:jc w:val="both"/>
        <w:rPr>
          <w:lang w:val="da-DK"/>
        </w:rPr>
      </w:pPr>
      <w:r w:rsidRPr="002D122E">
        <w:rPr>
          <w:lang w:val="da-DK"/>
        </w:rPr>
        <w:t>Det skønnes, at forslaget vil medføre engangsomkostninger til tilretning af forskuds- og SLUT-systemerne på i alt ca. 0,5 mio. kr.</w:t>
      </w:r>
    </w:p>
    <w:p w:rsidR="0070425C" w:rsidRPr="002D122E" w:rsidRDefault="0070425C" w:rsidP="00543670">
      <w:pPr>
        <w:spacing w:line="288" w:lineRule="auto"/>
        <w:jc w:val="both"/>
        <w:rPr>
          <w:iCs/>
          <w:color w:val="000000"/>
          <w:lang w:val="da-DK"/>
        </w:rPr>
      </w:pPr>
    </w:p>
    <w:p w:rsidR="00126746" w:rsidRDefault="00126746" w:rsidP="00543670">
      <w:pPr>
        <w:spacing w:line="288" w:lineRule="auto"/>
        <w:jc w:val="both"/>
        <w:rPr>
          <w:i/>
          <w:iCs/>
          <w:color w:val="000000"/>
          <w:lang w:val="da-DK"/>
        </w:rPr>
      </w:pPr>
      <w:r w:rsidRPr="009F1907">
        <w:rPr>
          <w:i/>
          <w:iCs/>
          <w:color w:val="000000"/>
          <w:lang w:val="da-DK"/>
        </w:rPr>
        <w:t xml:space="preserve">7. Økonomiske konsekvenser for erhvervslivet </w:t>
      </w:r>
    </w:p>
    <w:p w:rsidR="00AC1CBB" w:rsidRPr="002D122E" w:rsidRDefault="0070425C" w:rsidP="00543670">
      <w:pPr>
        <w:spacing w:line="288" w:lineRule="auto"/>
        <w:jc w:val="both"/>
        <w:rPr>
          <w:lang w:val="da-DK"/>
        </w:rPr>
      </w:pPr>
      <w:r w:rsidRPr="002D122E">
        <w:rPr>
          <w:lang w:val="da-DK"/>
        </w:rPr>
        <w:t xml:space="preserve">Lovforslaget </w:t>
      </w:r>
      <w:r w:rsidR="00647E47" w:rsidRPr="002D122E">
        <w:rPr>
          <w:lang w:val="da-DK"/>
        </w:rPr>
        <w:t xml:space="preserve">har </w:t>
      </w:r>
      <w:r w:rsidRPr="002D122E">
        <w:rPr>
          <w:lang w:val="da-DK"/>
        </w:rPr>
        <w:t>ikke erhvervsøkonomiske konsekvenser.</w:t>
      </w:r>
    </w:p>
    <w:p w:rsidR="0070425C" w:rsidRPr="0070425C" w:rsidRDefault="0070425C" w:rsidP="00543670">
      <w:pPr>
        <w:spacing w:line="288" w:lineRule="auto"/>
        <w:jc w:val="both"/>
        <w:rPr>
          <w:iCs/>
          <w:color w:val="000000"/>
          <w:lang w:val="da-DK"/>
        </w:rPr>
      </w:pPr>
    </w:p>
    <w:p w:rsidR="00AC1CBB" w:rsidRDefault="00126746" w:rsidP="00543670">
      <w:pPr>
        <w:spacing w:line="288" w:lineRule="auto"/>
        <w:jc w:val="both"/>
        <w:rPr>
          <w:i/>
          <w:iCs/>
          <w:color w:val="000000"/>
          <w:lang w:val="da-DK"/>
        </w:rPr>
      </w:pPr>
      <w:r w:rsidRPr="009F1907">
        <w:rPr>
          <w:i/>
          <w:iCs/>
          <w:color w:val="000000"/>
          <w:lang w:val="da-DK"/>
        </w:rPr>
        <w:t>8. Administrative konsekvenser for erhvervslivet</w:t>
      </w:r>
    </w:p>
    <w:p w:rsidR="00126746" w:rsidRDefault="00126746" w:rsidP="00543670">
      <w:pPr>
        <w:spacing w:line="288" w:lineRule="auto"/>
        <w:jc w:val="both"/>
        <w:rPr>
          <w:iCs/>
          <w:color w:val="000000"/>
          <w:lang w:val="da-DK"/>
        </w:rPr>
      </w:pPr>
      <w:r w:rsidRPr="009F1907">
        <w:rPr>
          <w:i/>
          <w:iCs/>
          <w:color w:val="000000"/>
          <w:lang w:val="da-DK"/>
        </w:rPr>
        <w:t xml:space="preserve"> </w:t>
      </w:r>
      <w:r w:rsidR="0070425C">
        <w:rPr>
          <w:iCs/>
          <w:color w:val="000000"/>
          <w:lang w:val="da-DK"/>
        </w:rPr>
        <w:t xml:space="preserve">Lovforslaget </w:t>
      </w:r>
      <w:r w:rsidR="00647E47">
        <w:rPr>
          <w:iCs/>
          <w:color w:val="000000"/>
          <w:lang w:val="da-DK"/>
        </w:rPr>
        <w:t xml:space="preserve">har </w:t>
      </w:r>
      <w:r w:rsidR="0070425C">
        <w:rPr>
          <w:iCs/>
          <w:color w:val="000000"/>
          <w:lang w:val="da-DK"/>
        </w:rPr>
        <w:t>ikke administrative konsekvenser for erhvervslivet.</w:t>
      </w:r>
    </w:p>
    <w:p w:rsidR="0070425C" w:rsidRPr="0070425C" w:rsidRDefault="0070425C" w:rsidP="00543670">
      <w:pPr>
        <w:spacing w:line="288" w:lineRule="auto"/>
        <w:jc w:val="both"/>
        <w:rPr>
          <w:color w:val="000000"/>
          <w:lang w:val="da-DK"/>
        </w:rPr>
      </w:pPr>
    </w:p>
    <w:p w:rsidR="00AC1CBB" w:rsidRDefault="00126746" w:rsidP="00543670">
      <w:pPr>
        <w:spacing w:line="288" w:lineRule="auto"/>
        <w:jc w:val="both"/>
        <w:rPr>
          <w:i/>
          <w:iCs/>
          <w:color w:val="000000"/>
          <w:lang w:val="da-DK"/>
        </w:rPr>
      </w:pPr>
      <w:r w:rsidRPr="009F1907">
        <w:rPr>
          <w:i/>
          <w:iCs/>
          <w:color w:val="000000"/>
          <w:lang w:val="da-DK"/>
        </w:rPr>
        <w:t xml:space="preserve">9. Administrative konsekvenser for borgerne </w:t>
      </w:r>
    </w:p>
    <w:p w:rsidR="00553698" w:rsidRPr="002D122E" w:rsidRDefault="002D122E" w:rsidP="00553698">
      <w:pPr>
        <w:spacing w:line="288" w:lineRule="auto"/>
        <w:rPr>
          <w:iCs/>
          <w:color w:val="000000"/>
          <w:spacing w:val="-5"/>
          <w:lang w:val="da-DK"/>
        </w:rPr>
      </w:pPr>
      <w:r w:rsidRPr="002D122E">
        <w:rPr>
          <w:lang w:val="da-DK"/>
        </w:rPr>
        <w:t>Borger</w:t>
      </w:r>
      <w:r w:rsidR="0070425C" w:rsidRPr="002D122E">
        <w:rPr>
          <w:lang w:val="da-DK"/>
        </w:rPr>
        <w:t>n</w:t>
      </w:r>
      <w:r w:rsidRPr="002D122E">
        <w:rPr>
          <w:lang w:val="da-DK"/>
        </w:rPr>
        <w:t>e</w:t>
      </w:r>
      <w:r w:rsidR="0070425C" w:rsidRPr="002D122E">
        <w:rPr>
          <w:lang w:val="da-DK"/>
        </w:rPr>
        <w:t xml:space="preserve"> kan selv rette deres forskudsop</w:t>
      </w:r>
      <w:r w:rsidR="00AC5155">
        <w:rPr>
          <w:lang w:val="da-DK"/>
        </w:rPr>
        <w:t xml:space="preserve">gørelse efter lovens ikrafttrædelse </w:t>
      </w:r>
      <w:r w:rsidR="0070425C" w:rsidRPr="002D122E">
        <w:rPr>
          <w:lang w:val="da-DK"/>
        </w:rPr>
        <w:t>og få gavn af skattele</w:t>
      </w:r>
      <w:r w:rsidR="0070425C" w:rsidRPr="002D122E">
        <w:rPr>
          <w:lang w:val="da-DK"/>
        </w:rPr>
        <w:t>t</w:t>
      </w:r>
      <w:r w:rsidR="0070425C" w:rsidRPr="002D122E">
        <w:rPr>
          <w:lang w:val="da-DK"/>
        </w:rPr>
        <w:t>telsen</w:t>
      </w:r>
      <w:r w:rsidRPr="002D122E">
        <w:rPr>
          <w:lang w:val="da-DK"/>
        </w:rPr>
        <w:t xml:space="preserve"> allerede i forskudsskatten for 2015</w:t>
      </w:r>
      <w:r w:rsidR="0070425C" w:rsidRPr="002D122E">
        <w:rPr>
          <w:lang w:val="da-DK"/>
        </w:rPr>
        <w:t>. Det forventes at kunne ske fra 1. februar 2015. Skattele</w:t>
      </w:r>
      <w:r w:rsidR="0070425C" w:rsidRPr="002D122E">
        <w:rPr>
          <w:lang w:val="da-DK"/>
        </w:rPr>
        <w:t>t</w:t>
      </w:r>
      <w:r w:rsidR="0070425C" w:rsidRPr="002D122E">
        <w:rPr>
          <w:lang w:val="da-DK"/>
        </w:rPr>
        <w:t xml:space="preserve">telsen vil også komme med i AutoForskud2015. </w:t>
      </w:r>
      <w:r w:rsidR="00553698" w:rsidRPr="002D122E">
        <w:rPr>
          <w:iCs/>
          <w:color w:val="000000"/>
          <w:spacing w:val="-5"/>
          <w:lang w:val="da-DK"/>
        </w:rPr>
        <w:t>De borgere, som ikke retter eller får rettet deres fo</w:t>
      </w:r>
      <w:r w:rsidR="00553698" w:rsidRPr="002D122E">
        <w:rPr>
          <w:iCs/>
          <w:color w:val="000000"/>
          <w:spacing w:val="-5"/>
          <w:lang w:val="da-DK"/>
        </w:rPr>
        <w:t>r</w:t>
      </w:r>
      <w:r w:rsidR="00553698" w:rsidRPr="002D122E">
        <w:rPr>
          <w:iCs/>
          <w:color w:val="000000"/>
          <w:spacing w:val="-5"/>
          <w:lang w:val="da-DK"/>
        </w:rPr>
        <w:t>skudsopgørelse, vil få skattelettelsen i forbindelse med årsopgørelsen i foråret 2016.</w:t>
      </w:r>
    </w:p>
    <w:p w:rsidR="0070425C" w:rsidRPr="0070425C" w:rsidRDefault="0070425C" w:rsidP="00543670">
      <w:pPr>
        <w:spacing w:line="288" w:lineRule="auto"/>
        <w:jc w:val="both"/>
        <w:rPr>
          <w:iCs/>
          <w:color w:val="000000"/>
          <w:lang w:val="da-DK"/>
        </w:rPr>
      </w:pPr>
    </w:p>
    <w:p w:rsidR="00126746" w:rsidRDefault="00126746" w:rsidP="00543670">
      <w:pPr>
        <w:spacing w:line="288" w:lineRule="auto"/>
        <w:jc w:val="both"/>
        <w:rPr>
          <w:i/>
          <w:iCs/>
          <w:color w:val="000000"/>
          <w:lang w:val="da-DK"/>
        </w:rPr>
      </w:pPr>
      <w:r w:rsidRPr="009F1907">
        <w:rPr>
          <w:i/>
          <w:iCs/>
          <w:color w:val="000000"/>
          <w:lang w:val="da-DK"/>
        </w:rPr>
        <w:t>10. Miljømæssige konsekvenser</w:t>
      </w:r>
    </w:p>
    <w:p w:rsidR="00AC1CBB" w:rsidRDefault="0070425C" w:rsidP="00543670">
      <w:pPr>
        <w:spacing w:line="288" w:lineRule="auto"/>
        <w:jc w:val="both"/>
        <w:rPr>
          <w:iCs/>
          <w:color w:val="000000"/>
          <w:lang w:val="da-DK"/>
        </w:rPr>
      </w:pPr>
      <w:r>
        <w:rPr>
          <w:iCs/>
          <w:color w:val="000000"/>
          <w:lang w:val="da-DK"/>
        </w:rPr>
        <w:t xml:space="preserve">Lovforslaget har ikke miljømæssige konsekvenser. </w:t>
      </w:r>
    </w:p>
    <w:p w:rsidR="0070425C" w:rsidRPr="00AC1CBB" w:rsidRDefault="0070425C" w:rsidP="00543670">
      <w:pPr>
        <w:spacing w:line="288" w:lineRule="auto"/>
        <w:jc w:val="both"/>
        <w:rPr>
          <w:iCs/>
          <w:color w:val="000000"/>
          <w:lang w:val="da-DK"/>
        </w:rPr>
      </w:pPr>
    </w:p>
    <w:p w:rsidR="00126746" w:rsidRDefault="00126746" w:rsidP="00543670">
      <w:pPr>
        <w:spacing w:line="288" w:lineRule="auto"/>
        <w:jc w:val="both"/>
        <w:rPr>
          <w:i/>
          <w:iCs/>
          <w:color w:val="000000"/>
          <w:lang w:val="da-DK"/>
        </w:rPr>
      </w:pPr>
      <w:r w:rsidRPr="009F1907">
        <w:rPr>
          <w:i/>
          <w:iCs/>
          <w:color w:val="000000"/>
          <w:lang w:val="da-DK"/>
        </w:rPr>
        <w:t>11. Forholdet til EU-retten</w:t>
      </w:r>
    </w:p>
    <w:p w:rsidR="00AC1CBB" w:rsidRPr="00601778" w:rsidRDefault="00AC1CBB" w:rsidP="00543670">
      <w:pPr>
        <w:spacing w:line="288" w:lineRule="auto"/>
        <w:jc w:val="both"/>
        <w:rPr>
          <w:iCs/>
          <w:lang w:val="da-DK"/>
        </w:rPr>
      </w:pPr>
      <w:r w:rsidRPr="00601778">
        <w:rPr>
          <w:iCs/>
          <w:lang w:val="da-DK"/>
        </w:rPr>
        <w:t>Lovforslaget indeholder ikke EU-retlige aspekter.</w:t>
      </w:r>
    </w:p>
    <w:p w:rsidR="00AC1CBB" w:rsidRPr="00AC1CBB" w:rsidRDefault="00AC1CBB" w:rsidP="00543670">
      <w:pPr>
        <w:spacing w:line="288" w:lineRule="auto"/>
        <w:jc w:val="both"/>
        <w:rPr>
          <w:iCs/>
          <w:color w:val="000000"/>
          <w:lang w:val="da-DK"/>
        </w:rPr>
      </w:pPr>
    </w:p>
    <w:p w:rsidR="00126746" w:rsidRDefault="00126746" w:rsidP="00543670">
      <w:pPr>
        <w:spacing w:line="288" w:lineRule="auto"/>
        <w:jc w:val="both"/>
        <w:rPr>
          <w:i/>
          <w:iCs/>
          <w:color w:val="000000"/>
          <w:lang w:val="da-DK"/>
        </w:rPr>
      </w:pPr>
      <w:r w:rsidRPr="009F1907">
        <w:rPr>
          <w:i/>
          <w:iCs/>
          <w:color w:val="000000"/>
          <w:lang w:val="da-DK"/>
        </w:rPr>
        <w:t xml:space="preserve">12. Hørte myndigheder og organisationer m.v.  </w:t>
      </w:r>
    </w:p>
    <w:p w:rsidR="00AC1CBB" w:rsidRPr="00650380" w:rsidRDefault="00AC1CBB" w:rsidP="00543670">
      <w:pPr>
        <w:spacing w:line="288" w:lineRule="auto"/>
        <w:jc w:val="both"/>
        <w:rPr>
          <w:lang w:val="da-DK"/>
        </w:rPr>
      </w:pPr>
      <w:r w:rsidRPr="00C12558">
        <w:rPr>
          <w:lang w:val="da-DK"/>
        </w:rPr>
        <w:t xml:space="preserve">Et udkast til lovforslaget har i perioden </w:t>
      </w:r>
      <w:r w:rsidR="00EF2CDA">
        <w:rPr>
          <w:lang w:val="da-DK"/>
        </w:rPr>
        <w:t>19</w:t>
      </w:r>
      <w:r w:rsidRPr="00C12558">
        <w:rPr>
          <w:lang w:val="da-DK"/>
        </w:rPr>
        <w:t>.</w:t>
      </w:r>
      <w:r w:rsidR="00EF2CDA">
        <w:rPr>
          <w:lang w:val="da-DK"/>
        </w:rPr>
        <w:t xml:space="preserve"> september </w:t>
      </w:r>
      <w:r>
        <w:rPr>
          <w:lang w:val="da-DK"/>
        </w:rPr>
        <w:t xml:space="preserve">– </w:t>
      </w:r>
      <w:r w:rsidR="00EF2CDA">
        <w:rPr>
          <w:lang w:val="da-DK"/>
        </w:rPr>
        <w:t>20.</w:t>
      </w:r>
      <w:r w:rsidR="00650380">
        <w:rPr>
          <w:lang w:val="da-DK"/>
        </w:rPr>
        <w:t xml:space="preserve"> </w:t>
      </w:r>
      <w:r w:rsidR="00EF2CDA">
        <w:rPr>
          <w:lang w:val="da-DK"/>
        </w:rPr>
        <w:t xml:space="preserve">oktober </w:t>
      </w:r>
      <w:r>
        <w:rPr>
          <w:lang w:val="da-DK"/>
        </w:rPr>
        <w:t>2014</w:t>
      </w:r>
      <w:r w:rsidRPr="00C12558">
        <w:rPr>
          <w:lang w:val="da-DK"/>
        </w:rPr>
        <w:t xml:space="preserve"> været sendt i høring hos følgende myndigheder og organisationer m.v.:</w:t>
      </w:r>
      <w:r w:rsidR="00650380">
        <w:rPr>
          <w:lang w:val="da-DK"/>
        </w:rPr>
        <w:t xml:space="preserve"> </w:t>
      </w:r>
      <w:r w:rsidR="00650380" w:rsidRPr="00650380">
        <w:rPr>
          <w:lang w:val="da-DK"/>
        </w:rPr>
        <w:t>3F, Advokat</w:t>
      </w:r>
      <w:r w:rsidR="00924711">
        <w:rPr>
          <w:lang w:val="da-DK"/>
        </w:rPr>
        <w:t>samfundet</w:t>
      </w:r>
      <w:r w:rsidR="00650380" w:rsidRPr="00650380">
        <w:rPr>
          <w:lang w:val="da-DK"/>
        </w:rPr>
        <w:t>,</w:t>
      </w:r>
      <w:r w:rsidR="00650380" w:rsidRPr="00650380">
        <w:rPr>
          <w:iCs/>
          <w:lang w:val="da-DK"/>
        </w:rPr>
        <w:t xml:space="preserve"> AmCham Denmark, </w:t>
      </w:r>
      <w:r w:rsidR="00650380" w:rsidRPr="00650380">
        <w:rPr>
          <w:lang w:val="da-DK"/>
        </w:rPr>
        <w:t>Ar</w:t>
      </w:r>
      <w:r w:rsidR="00650380">
        <w:rPr>
          <w:lang w:val="da-DK"/>
        </w:rPr>
        <w:t>be</w:t>
      </w:r>
      <w:r w:rsidR="00650380">
        <w:rPr>
          <w:lang w:val="da-DK"/>
        </w:rPr>
        <w:t>j</w:t>
      </w:r>
      <w:r w:rsidR="00650380">
        <w:rPr>
          <w:lang w:val="da-DK"/>
        </w:rPr>
        <w:t xml:space="preserve">derbevægelsens </w:t>
      </w:r>
      <w:r w:rsidR="00650380" w:rsidRPr="00650380">
        <w:rPr>
          <w:lang w:val="da-DK"/>
        </w:rPr>
        <w:t xml:space="preserve">Erhvervsråd, </w:t>
      </w:r>
      <w:r w:rsidR="00650380" w:rsidRPr="00650380">
        <w:rPr>
          <w:iCs/>
          <w:lang w:val="da-DK"/>
        </w:rPr>
        <w:t>ATP,</w:t>
      </w:r>
      <w:r w:rsidR="00650380">
        <w:rPr>
          <w:iCs/>
          <w:lang w:val="da-DK"/>
        </w:rPr>
        <w:t xml:space="preserve"> </w:t>
      </w:r>
      <w:r w:rsidR="00924711">
        <w:rPr>
          <w:lang w:val="da-DK"/>
        </w:rPr>
        <w:t>BDO Kommunernes revision,</w:t>
      </w:r>
      <w:r w:rsidR="00650380" w:rsidRPr="00650380">
        <w:rPr>
          <w:lang w:val="da-DK"/>
        </w:rPr>
        <w:t xml:space="preserve"> Business Danmark, CEPOS,</w:t>
      </w:r>
      <w:r w:rsidR="00650380" w:rsidRPr="00650380">
        <w:rPr>
          <w:iCs/>
          <w:lang w:val="da-DK"/>
        </w:rPr>
        <w:t xml:space="preserve"> </w:t>
      </w:r>
      <w:r w:rsidR="00650380">
        <w:rPr>
          <w:iCs/>
          <w:lang w:val="da-DK"/>
        </w:rPr>
        <w:t>C</w:t>
      </w:r>
      <w:r w:rsidR="00650380">
        <w:rPr>
          <w:iCs/>
          <w:lang w:val="da-DK"/>
        </w:rPr>
        <w:t>e</w:t>
      </w:r>
      <w:r w:rsidR="00650380">
        <w:rPr>
          <w:iCs/>
          <w:lang w:val="da-DK"/>
        </w:rPr>
        <w:t>vea</w:t>
      </w:r>
      <w:r w:rsidR="00650380" w:rsidRPr="00650380">
        <w:rPr>
          <w:lang w:val="da-DK"/>
        </w:rPr>
        <w:t xml:space="preserve">, Dansk Arbejdsgiverforening, Dansk Byggeri, Dansk Erhverv, Dansk Funktionærforbund, Dansk Gartneri, </w:t>
      </w:r>
      <w:r w:rsidR="00650380" w:rsidRPr="00650380">
        <w:rPr>
          <w:iCs/>
          <w:lang w:val="da-DK"/>
        </w:rPr>
        <w:t xml:space="preserve">Dansk Iværksætterforening, </w:t>
      </w:r>
      <w:r w:rsidR="00650380" w:rsidRPr="00650380">
        <w:rPr>
          <w:lang w:val="da-DK"/>
        </w:rPr>
        <w:t>Dansk Journalistforbund, Dansk Landbrugsrådgivning,</w:t>
      </w:r>
      <w:r w:rsidR="00650380">
        <w:rPr>
          <w:lang w:val="da-DK"/>
        </w:rPr>
        <w:t xml:space="preserve"> </w:t>
      </w:r>
      <w:r w:rsidR="00650380" w:rsidRPr="00650380">
        <w:rPr>
          <w:lang w:val="da-DK"/>
        </w:rPr>
        <w:t>Dansk Metal, Dansk Told- og Skatteforbund</w:t>
      </w:r>
      <w:r w:rsidR="00650380" w:rsidRPr="00650380">
        <w:rPr>
          <w:lang w:val="da-DK"/>
        </w:rPr>
        <w:tab/>
        <w:t>, Dansk Transport og Logistik, Danske Advokate</w:t>
      </w:r>
      <w:r w:rsidR="00922A06">
        <w:rPr>
          <w:lang w:val="da-DK"/>
        </w:rPr>
        <w:t xml:space="preserve">r, Danske Regioner, </w:t>
      </w:r>
      <w:r w:rsidR="00650380" w:rsidRPr="00650380">
        <w:rPr>
          <w:iCs/>
          <w:lang w:val="da-DK"/>
        </w:rPr>
        <w:t>Den Danske Dommerforening</w:t>
      </w:r>
      <w:r w:rsidR="00650380" w:rsidRPr="00650380">
        <w:rPr>
          <w:lang w:val="da-DK"/>
        </w:rPr>
        <w:t xml:space="preserve">, Den Danske Skatteborgerforening, </w:t>
      </w:r>
      <w:r w:rsidR="00650380" w:rsidRPr="00650380">
        <w:rPr>
          <w:iCs/>
          <w:lang w:val="da-DK"/>
        </w:rPr>
        <w:t>DI, Domme</w:t>
      </w:r>
      <w:r w:rsidR="00650380" w:rsidRPr="00650380">
        <w:rPr>
          <w:iCs/>
          <w:lang w:val="da-DK"/>
        </w:rPr>
        <w:t>r</w:t>
      </w:r>
      <w:r w:rsidR="00650380" w:rsidRPr="00650380">
        <w:rPr>
          <w:iCs/>
          <w:lang w:val="da-DK"/>
        </w:rPr>
        <w:t xml:space="preserve">fuldmægtigforeningen, Domstolsstyrelsen, DVCA, </w:t>
      </w:r>
      <w:r w:rsidR="00650380" w:rsidRPr="00650380">
        <w:rPr>
          <w:lang w:val="da-DK"/>
        </w:rPr>
        <w:t>Erhvervsstyrelsen – Team Effekti</w:t>
      </w:r>
      <w:r w:rsidR="00924711">
        <w:rPr>
          <w:lang w:val="da-DK"/>
        </w:rPr>
        <w:t xml:space="preserve">v Regulering, </w:t>
      </w:r>
      <w:r w:rsidR="00650380" w:rsidRPr="00650380">
        <w:rPr>
          <w:lang w:val="da-DK"/>
        </w:rPr>
        <w:t>F</w:t>
      </w:r>
      <w:r w:rsidR="00924711">
        <w:rPr>
          <w:lang w:val="da-DK"/>
        </w:rPr>
        <w:t>inansrådet, FOA, Foreningen af Rådgivende I</w:t>
      </w:r>
      <w:r w:rsidR="00650380" w:rsidRPr="00650380">
        <w:rPr>
          <w:lang w:val="da-DK"/>
        </w:rPr>
        <w:t xml:space="preserve">ngeniører, Forsikring &amp; Pension, Frie Funktionærer, </w:t>
      </w:r>
      <w:r w:rsidR="00650380" w:rsidRPr="00650380">
        <w:rPr>
          <w:lang w:val="da-DK"/>
        </w:rPr>
        <w:lastRenderedPageBreak/>
        <w:t>FSR – danske r</w:t>
      </w:r>
      <w:r w:rsidR="00650380">
        <w:rPr>
          <w:lang w:val="da-DK"/>
        </w:rPr>
        <w:t>evisorer</w:t>
      </w:r>
      <w:r w:rsidR="00650380" w:rsidRPr="00650380">
        <w:rPr>
          <w:lang w:val="da-DK"/>
        </w:rPr>
        <w:t>, FTF, HK-Kommunal, HK-Privat</w:t>
      </w:r>
      <w:r w:rsidR="00650380">
        <w:rPr>
          <w:lang w:val="da-DK"/>
        </w:rPr>
        <w:t xml:space="preserve">, </w:t>
      </w:r>
      <w:r w:rsidR="00650380" w:rsidRPr="00650380">
        <w:rPr>
          <w:lang w:val="da-DK"/>
        </w:rPr>
        <w:t>HORESTA, Håndværksrådet, Ingeniø</w:t>
      </w:r>
      <w:r w:rsidR="00650380" w:rsidRPr="00650380">
        <w:rPr>
          <w:lang w:val="da-DK"/>
        </w:rPr>
        <w:t>r</w:t>
      </w:r>
      <w:r w:rsidR="00650380" w:rsidRPr="00650380">
        <w:rPr>
          <w:lang w:val="da-DK"/>
        </w:rPr>
        <w:t>foreningen, In</w:t>
      </w:r>
      <w:r w:rsidR="00650380">
        <w:rPr>
          <w:lang w:val="da-DK"/>
        </w:rPr>
        <w:t xml:space="preserve">ternational </w:t>
      </w:r>
      <w:r w:rsidR="00924711">
        <w:rPr>
          <w:lang w:val="da-DK"/>
        </w:rPr>
        <w:t>Transport Danmark,</w:t>
      </w:r>
      <w:r w:rsidR="00650380">
        <w:rPr>
          <w:iCs/>
          <w:lang w:val="da-DK"/>
        </w:rPr>
        <w:t xml:space="preserve"> </w:t>
      </w:r>
      <w:r w:rsidR="00924711">
        <w:rPr>
          <w:lang w:val="da-DK"/>
        </w:rPr>
        <w:t>KL,</w:t>
      </w:r>
      <w:r w:rsidR="00650380" w:rsidRPr="00650380">
        <w:rPr>
          <w:lang w:val="da-DK"/>
        </w:rPr>
        <w:t xml:space="preserve"> Kraka, Københavns Kommune, L</w:t>
      </w:r>
      <w:r w:rsidR="00924711">
        <w:rPr>
          <w:lang w:val="da-DK"/>
        </w:rPr>
        <w:t>O</w:t>
      </w:r>
      <w:r w:rsidR="00650380" w:rsidRPr="00650380">
        <w:rPr>
          <w:lang w:val="da-DK"/>
        </w:rPr>
        <w:t>, Landsska</w:t>
      </w:r>
      <w:r w:rsidR="00650380" w:rsidRPr="00650380">
        <w:rPr>
          <w:lang w:val="da-DK"/>
        </w:rPr>
        <w:t>t</w:t>
      </w:r>
      <w:r w:rsidR="00650380" w:rsidRPr="00650380">
        <w:rPr>
          <w:lang w:val="da-DK"/>
        </w:rPr>
        <w:t>teretten, Ledernes Hovedorganisa</w:t>
      </w:r>
      <w:r w:rsidR="00650380">
        <w:rPr>
          <w:lang w:val="da-DK"/>
        </w:rPr>
        <w:t xml:space="preserve">tion, </w:t>
      </w:r>
      <w:r w:rsidR="00924711">
        <w:rPr>
          <w:lang w:val="da-DK"/>
        </w:rPr>
        <w:t xml:space="preserve">Borger- og </w:t>
      </w:r>
      <w:r w:rsidR="00650380" w:rsidRPr="00650380">
        <w:rPr>
          <w:lang w:val="da-DK"/>
        </w:rPr>
        <w:t>Retssikkerhedschefen</w:t>
      </w:r>
      <w:r w:rsidR="00924711">
        <w:rPr>
          <w:lang w:val="da-DK"/>
        </w:rPr>
        <w:t xml:space="preserve"> i SKAT</w:t>
      </w:r>
      <w:r w:rsidR="00650380" w:rsidRPr="00650380">
        <w:rPr>
          <w:lang w:val="da-DK"/>
        </w:rPr>
        <w:t xml:space="preserve">, </w:t>
      </w:r>
      <w:r w:rsidR="00650380" w:rsidRPr="00650380">
        <w:rPr>
          <w:iCs/>
          <w:lang w:val="da-DK"/>
        </w:rPr>
        <w:t xml:space="preserve">Realkreditrådet, SKAT, </w:t>
      </w:r>
      <w:r w:rsidR="00650380" w:rsidRPr="00650380">
        <w:rPr>
          <w:lang w:val="da-DK"/>
        </w:rPr>
        <w:t>Skatteankestyrelsen, S</w:t>
      </w:r>
      <w:r w:rsidR="00924711">
        <w:rPr>
          <w:lang w:val="da-DK"/>
        </w:rPr>
        <w:t>RF Skattefaglig Fore</w:t>
      </w:r>
      <w:r w:rsidR="00650380" w:rsidRPr="00650380">
        <w:rPr>
          <w:lang w:val="da-DK"/>
        </w:rPr>
        <w:t>nin</w:t>
      </w:r>
      <w:r w:rsidR="00924711">
        <w:rPr>
          <w:lang w:val="da-DK"/>
        </w:rPr>
        <w:t>g</w:t>
      </w:r>
      <w:r w:rsidR="00650380" w:rsidRPr="00650380">
        <w:rPr>
          <w:lang w:val="da-DK"/>
        </w:rPr>
        <w:t>,</w:t>
      </w:r>
      <w:r w:rsidR="00650380" w:rsidRPr="00650380">
        <w:rPr>
          <w:rStyle w:val="Hyperlink"/>
          <w:color w:val="auto"/>
          <w:u w:val="none"/>
          <w:lang w:val="da-DK"/>
        </w:rPr>
        <w:t xml:space="preserve"> </w:t>
      </w:r>
      <w:r w:rsidR="00650380" w:rsidRPr="00650380">
        <w:rPr>
          <w:lang w:val="da-DK"/>
        </w:rPr>
        <w:t>Viden</w:t>
      </w:r>
      <w:r w:rsidR="00924711">
        <w:rPr>
          <w:lang w:val="da-DK"/>
        </w:rPr>
        <w:t>centret for L</w:t>
      </w:r>
      <w:r w:rsidR="00650380" w:rsidRPr="00650380">
        <w:rPr>
          <w:lang w:val="da-DK"/>
        </w:rPr>
        <w:t>andbrug, Ældre</w:t>
      </w:r>
      <w:r w:rsidR="00924711">
        <w:rPr>
          <w:lang w:val="da-DK"/>
        </w:rPr>
        <w:t>sagen.</w:t>
      </w:r>
      <w:r w:rsidR="00650380" w:rsidRPr="00650380">
        <w:rPr>
          <w:lang w:val="da-DK"/>
        </w:rPr>
        <w:tab/>
      </w:r>
    </w:p>
    <w:p w:rsidR="00AC1CBB" w:rsidRPr="00C12558" w:rsidRDefault="00AC1CBB" w:rsidP="00543670">
      <w:pPr>
        <w:spacing w:line="288" w:lineRule="auto"/>
        <w:jc w:val="both"/>
        <w:rPr>
          <w:lang w:val="da-DK"/>
        </w:rPr>
      </w:pPr>
    </w:p>
    <w:p w:rsidR="00126746" w:rsidRPr="009F1907" w:rsidRDefault="00126746" w:rsidP="00543670">
      <w:pPr>
        <w:spacing w:line="288" w:lineRule="auto"/>
        <w:jc w:val="both"/>
        <w:rPr>
          <w:i/>
          <w:iCs/>
          <w:color w:val="000000"/>
          <w:lang w:val="da-DK"/>
        </w:rPr>
      </w:pPr>
      <w:r w:rsidRPr="009F1907">
        <w:rPr>
          <w:i/>
          <w:iCs/>
          <w:color w:val="000000"/>
          <w:lang w:val="da-DK"/>
        </w:rPr>
        <w:t xml:space="preserve">13. Sammenfattende skema </w:t>
      </w:r>
    </w:p>
    <w:p w:rsidR="00126746" w:rsidRPr="009F1907" w:rsidRDefault="00126746" w:rsidP="00543670">
      <w:pPr>
        <w:spacing w:line="288" w:lineRule="auto"/>
        <w:jc w:val="both"/>
        <w:rPr>
          <w:i/>
          <w:iCs/>
          <w:color w:val="000000"/>
          <w:lang w:val="da-DK"/>
        </w:rPr>
      </w:pPr>
    </w:p>
    <w:p w:rsidR="0036355D" w:rsidRPr="009F1907" w:rsidRDefault="0036355D" w:rsidP="00CA337E">
      <w:pPr>
        <w:spacing w:line="288" w:lineRule="auto"/>
        <w:ind w:right="1"/>
        <w:jc w:val="center"/>
        <w:rPr>
          <w:b/>
          <w:bCs/>
          <w:color w:val="000000"/>
          <w:lang w:val="da-DK"/>
        </w:rPr>
      </w:pPr>
    </w:p>
    <w:p w:rsidR="0036355D" w:rsidRPr="009F1907" w:rsidRDefault="0036355D" w:rsidP="00CA337E">
      <w:pPr>
        <w:spacing w:line="288" w:lineRule="auto"/>
        <w:ind w:right="1"/>
        <w:jc w:val="center"/>
        <w:rPr>
          <w:b/>
          <w:bCs/>
          <w:color w:val="000000"/>
          <w:lang w:val="da-DK"/>
        </w:rPr>
      </w:pPr>
      <w:r w:rsidRPr="009F1907">
        <w:rPr>
          <w:b/>
          <w:bCs/>
          <w:color w:val="000000"/>
          <w:lang w:val="da-DK"/>
        </w:rPr>
        <w:t>Samlet vurdering af konsekvenser af lovforslaget</w:t>
      </w:r>
    </w:p>
    <w:p w:rsidR="0036355D" w:rsidRPr="009F1907" w:rsidRDefault="0036355D" w:rsidP="00CA337E">
      <w:pPr>
        <w:spacing w:line="288" w:lineRule="auto"/>
        <w:ind w:right="1"/>
        <w:jc w:val="center"/>
        <w:rPr>
          <w:b/>
          <w:bCs/>
          <w:color w:val="000000"/>
          <w:lang w:val="da-DK"/>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3449"/>
        <w:gridCol w:w="3313"/>
      </w:tblGrid>
      <w:tr w:rsidR="0036355D" w:rsidRPr="00CE31F8" w:rsidTr="004D2147">
        <w:trPr>
          <w:jc w:val="right"/>
        </w:trPr>
        <w:tc>
          <w:tcPr>
            <w:tcW w:w="1569" w:type="pct"/>
            <w:tcBorders>
              <w:top w:val="single" w:sz="4" w:space="0" w:color="auto"/>
              <w:left w:val="single" w:sz="4" w:space="0" w:color="auto"/>
              <w:bottom w:val="single" w:sz="4" w:space="0" w:color="auto"/>
              <w:right w:val="single" w:sz="4" w:space="0" w:color="auto"/>
            </w:tcBorders>
          </w:tcPr>
          <w:p w:rsidR="0036355D" w:rsidRPr="009F1907" w:rsidRDefault="0036355D" w:rsidP="004D2147">
            <w:pPr>
              <w:widowControl w:val="0"/>
              <w:autoSpaceDE w:val="0"/>
              <w:autoSpaceDN w:val="0"/>
              <w:adjustRightInd w:val="0"/>
              <w:rPr>
                <w:color w:val="000000"/>
                <w:lang w:val="da-DK"/>
              </w:rPr>
            </w:pPr>
          </w:p>
        </w:tc>
        <w:tc>
          <w:tcPr>
            <w:tcW w:w="1750"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Positive konsekvenser/ mindre udgifter  </w:t>
            </w:r>
          </w:p>
        </w:tc>
        <w:tc>
          <w:tcPr>
            <w:tcW w:w="1681"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Negative konsekve</w:t>
            </w:r>
            <w:r w:rsidRPr="009F1907">
              <w:rPr>
                <w:color w:val="000000"/>
                <w:lang w:val="da-DK"/>
              </w:rPr>
              <w:t>n</w:t>
            </w:r>
            <w:r w:rsidRPr="009F1907">
              <w:rPr>
                <w:color w:val="000000"/>
                <w:lang w:val="da-DK"/>
              </w:rPr>
              <w:t>ser/merudgifter</w:t>
            </w:r>
          </w:p>
        </w:tc>
      </w:tr>
      <w:tr w:rsidR="0036355D" w:rsidRPr="00DC27F4" w:rsidTr="004D2147">
        <w:trPr>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Økonomiske konsekvenser for det offentlige </w:t>
            </w:r>
          </w:p>
        </w:tc>
        <w:tc>
          <w:tcPr>
            <w:tcW w:w="1750" w:type="pct"/>
            <w:tcBorders>
              <w:top w:val="single" w:sz="4" w:space="0" w:color="auto"/>
              <w:left w:val="single" w:sz="4" w:space="0" w:color="auto"/>
              <w:bottom w:val="single" w:sz="4" w:space="0" w:color="auto"/>
              <w:right w:val="single" w:sz="4" w:space="0" w:color="auto"/>
            </w:tcBorders>
          </w:tcPr>
          <w:p w:rsidR="0036355D" w:rsidRPr="009F1907" w:rsidRDefault="00107175" w:rsidP="004D2147">
            <w:pPr>
              <w:pStyle w:val="Sidefod"/>
              <w:tabs>
                <w:tab w:val="left" w:pos="1304"/>
              </w:tabs>
              <w:rPr>
                <w:color w:val="000000"/>
                <w:sz w:val="24"/>
              </w:rPr>
            </w:pPr>
            <w:r>
              <w:rPr>
                <w:color w:val="000000"/>
                <w:sz w:val="24"/>
              </w:rPr>
              <w:t>Ingen</w:t>
            </w:r>
          </w:p>
        </w:tc>
        <w:tc>
          <w:tcPr>
            <w:tcW w:w="1681" w:type="pct"/>
            <w:tcBorders>
              <w:top w:val="single" w:sz="4" w:space="0" w:color="auto"/>
              <w:left w:val="single" w:sz="4" w:space="0" w:color="auto"/>
              <w:bottom w:val="single" w:sz="4" w:space="0" w:color="auto"/>
              <w:right w:val="single" w:sz="4" w:space="0" w:color="auto"/>
            </w:tcBorders>
          </w:tcPr>
          <w:p w:rsidR="002F5444" w:rsidRPr="000A485D" w:rsidRDefault="002F5444" w:rsidP="002F5444">
            <w:pPr>
              <w:rPr>
                <w:lang w:val="da-DK"/>
              </w:rPr>
            </w:pPr>
            <w:r w:rsidRPr="000A485D">
              <w:rPr>
                <w:lang w:val="da-DK"/>
              </w:rPr>
              <w:t>Forslaget skønnes at medføre et årligt umiddelbart mindrepr</w:t>
            </w:r>
            <w:r w:rsidRPr="000A485D">
              <w:rPr>
                <w:lang w:val="da-DK"/>
              </w:rPr>
              <w:t>o</w:t>
            </w:r>
            <w:r w:rsidRPr="000A485D">
              <w:rPr>
                <w:lang w:val="da-DK"/>
              </w:rPr>
              <w:t xml:space="preserve">venu på ca. </w:t>
            </w:r>
            <w:r>
              <w:rPr>
                <w:lang w:val="da-DK"/>
              </w:rPr>
              <w:t>810</w:t>
            </w:r>
            <w:r w:rsidRPr="000A485D">
              <w:rPr>
                <w:lang w:val="da-DK"/>
              </w:rPr>
              <w:t xml:space="preserve"> mio. kr. og ca. </w:t>
            </w:r>
            <w:r w:rsidR="0056045E">
              <w:rPr>
                <w:lang w:val="da-DK"/>
              </w:rPr>
              <w:t>57</w:t>
            </w:r>
            <w:r w:rsidR="00E80059">
              <w:rPr>
                <w:lang w:val="da-DK"/>
              </w:rPr>
              <w:t>0</w:t>
            </w:r>
            <w:r w:rsidRPr="000A485D">
              <w:rPr>
                <w:lang w:val="da-DK"/>
              </w:rPr>
              <w:t xml:space="preserve"> mio. kr. efter tilbageløb og adfærd. Det varige mindrepr</w:t>
            </w:r>
            <w:r w:rsidRPr="000A485D">
              <w:rPr>
                <w:lang w:val="da-DK"/>
              </w:rPr>
              <w:t>o</w:t>
            </w:r>
            <w:r w:rsidRPr="000A485D">
              <w:rPr>
                <w:lang w:val="da-DK"/>
              </w:rPr>
              <w:t xml:space="preserve">venu udgør ca. </w:t>
            </w:r>
            <w:r w:rsidR="00E80059">
              <w:rPr>
                <w:lang w:val="da-DK"/>
              </w:rPr>
              <w:t>2</w:t>
            </w:r>
            <w:r w:rsidR="00DC27F4">
              <w:rPr>
                <w:lang w:val="da-DK"/>
              </w:rPr>
              <w:t>55</w:t>
            </w:r>
            <w:r w:rsidRPr="000A485D">
              <w:rPr>
                <w:lang w:val="da-DK"/>
              </w:rPr>
              <w:t xml:space="preserve"> mio. kr. årligt</w:t>
            </w:r>
            <w:r>
              <w:rPr>
                <w:lang w:val="da-DK"/>
              </w:rPr>
              <w:t xml:space="preserve"> efter tilbageløb og a</w:t>
            </w:r>
            <w:r>
              <w:rPr>
                <w:lang w:val="da-DK"/>
              </w:rPr>
              <w:t>d</w:t>
            </w:r>
            <w:r>
              <w:rPr>
                <w:lang w:val="da-DK"/>
              </w:rPr>
              <w:t>færd.</w:t>
            </w:r>
            <w:bookmarkStart w:id="3" w:name="_GoBack"/>
            <w:bookmarkEnd w:id="3"/>
          </w:p>
          <w:p w:rsidR="002F5444" w:rsidRPr="000A485D" w:rsidRDefault="002F5444" w:rsidP="002F5444">
            <w:pPr>
              <w:rPr>
                <w:lang w:val="da-DK"/>
              </w:rPr>
            </w:pPr>
          </w:p>
          <w:p w:rsidR="0036355D" w:rsidRPr="002F5444" w:rsidRDefault="002F5444" w:rsidP="002F5444">
            <w:pPr>
              <w:widowControl w:val="0"/>
              <w:autoSpaceDE w:val="0"/>
              <w:autoSpaceDN w:val="0"/>
              <w:adjustRightInd w:val="0"/>
              <w:rPr>
                <w:color w:val="000000"/>
                <w:lang w:val="da-DK"/>
              </w:rPr>
            </w:pPr>
            <w:r w:rsidRPr="000A485D">
              <w:rPr>
                <w:lang w:val="da-DK"/>
              </w:rPr>
              <w:t>Forslaget medfører et mindr</w:t>
            </w:r>
            <w:r w:rsidRPr="000A485D">
              <w:rPr>
                <w:lang w:val="da-DK"/>
              </w:rPr>
              <w:t>e</w:t>
            </w:r>
            <w:r w:rsidRPr="000A485D">
              <w:rPr>
                <w:lang w:val="da-DK"/>
              </w:rPr>
              <w:t xml:space="preserve">provenu for kommunerne på ca. </w:t>
            </w:r>
            <w:r>
              <w:rPr>
                <w:lang w:val="da-DK"/>
              </w:rPr>
              <w:t xml:space="preserve">700 </w:t>
            </w:r>
            <w:r w:rsidRPr="000A485D">
              <w:rPr>
                <w:lang w:val="da-DK"/>
              </w:rPr>
              <w:t>mio. kr.</w:t>
            </w:r>
            <w:r>
              <w:rPr>
                <w:lang w:val="da-DK"/>
              </w:rPr>
              <w:t xml:space="preserve"> i 2015.</w:t>
            </w:r>
          </w:p>
        </w:tc>
      </w:tr>
      <w:tr w:rsidR="0036355D" w:rsidRPr="00DC27F4" w:rsidTr="004D2147">
        <w:trPr>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Administrative konsekvenser for det offentlige</w:t>
            </w:r>
          </w:p>
        </w:tc>
        <w:tc>
          <w:tcPr>
            <w:tcW w:w="1750" w:type="pct"/>
            <w:tcBorders>
              <w:top w:val="single" w:sz="4" w:space="0" w:color="auto"/>
              <w:left w:val="single" w:sz="4" w:space="0" w:color="auto"/>
              <w:bottom w:val="single" w:sz="4" w:space="0" w:color="auto"/>
              <w:right w:val="single" w:sz="4" w:space="0" w:color="auto"/>
            </w:tcBorders>
          </w:tcPr>
          <w:p w:rsidR="0036355D" w:rsidRPr="009F1907" w:rsidRDefault="0070425C" w:rsidP="004D2147">
            <w:pPr>
              <w:widowControl w:val="0"/>
              <w:autoSpaceDE w:val="0"/>
              <w:autoSpaceDN w:val="0"/>
              <w:adjustRightInd w:val="0"/>
              <w:rPr>
                <w:color w:val="000000"/>
                <w:lang w:val="da-DK"/>
              </w:rPr>
            </w:pPr>
            <w:r>
              <w:rPr>
                <w:color w:val="000000"/>
                <w:lang w:val="da-DK"/>
              </w:rPr>
              <w:t>Ingen</w:t>
            </w:r>
          </w:p>
        </w:tc>
        <w:tc>
          <w:tcPr>
            <w:tcW w:w="1681" w:type="pct"/>
            <w:tcBorders>
              <w:top w:val="single" w:sz="4" w:space="0" w:color="auto"/>
              <w:left w:val="single" w:sz="4" w:space="0" w:color="auto"/>
              <w:bottom w:val="single" w:sz="4" w:space="0" w:color="auto"/>
              <w:right w:val="single" w:sz="4" w:space="0" w:color="auto"/>
            </w:tcBorders>
          </w:tcPr>
          <w:p w:rsidR="0036355D" w:rsidRPr="00DD2F55" w:rsidRDefault="0070425C" w:rsidP="00454BB9">
            <w:pPr>
              <w:rPr>
                <w:lang w:val="da-DK"/>
              </w:rPr>
            </w:pPr>
            <w:r w:rsidRPr="00DD2F55">
              <w:rPr>
                <w:lang w:val="da-DK"/>
              </w:rPr>
              <w:t>Det skønnes, at forslaget vil medføre engangsomkostninger til tilretning af forskuds- og SLUT-systemerne på i alt ca. 0,5 mio. kr.</w:t>
            </w:r>
          </w:p>
        </w:tc>
      </w:tr>
      <w:tr w:rsidR="0036355D" w:rsidRPr="00FE40BF" w:rsidTr="004D2147">
        <w:trPr>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Økonomiske konsekvenser for erhvervslivet</w:t>
            </w:r>
          </w:p>
        </w:tc>
        <w:tc>
          <w:tcPr>
            <w:tcW w:w="1750" w:type="pct"/>
            <w:tcBorders>
              <w:top w:val="single" w:sz="4" w:space="0" w:color="auto"/>
              <w:left w:val="single" w:sz="4" w:space="0" w:color="auto"/>
              <w:bottom w:val="single" w:sz="4" w:space="0" w:color="auto"/>
              <w:right w:val="single" w:sz="4" w:space="0" w:color="auto"/>
            </w:tcBorders>
          </w:tcPr>
          <w:p w:rsidR="0036355D" w:rsidRPr="009F1907" w:rsidRDefault="0070425C" w:rsidP="004D2147">
            <w:pPr>
              <w:widowControl w:val="0"/>
              <w:autoSpaceDE w:val="0"/>
              <w:autoSpaceDN w:val="0"/>
              <w:adjustRightInd w:val="0"/>
              <w:rPr>
                <w:color w:val="000000"/>
                <w:lang w:val="da-DK"/>
              </w:rPr>
            </w:pPr>
            <w:r>
              <w:rPr>
                <w:color w:val="000000"/>
                <w:lang w:val="da-DK"/>
              </w:rPr>
              <w:t>Ingen</w:t>
            </w:r>
          </w:p>
        </w:tc>
        <w:tc>
          <w:tcPr>
            <w:tcW w:w="1681" w:type="pct"/>
            <w:tcBorders>
              <w:top w:val="single" w:sz="4" w:space="0" w:color="auto"/>
              <w:left w:val="single" w:sz="4" w:space="0" w:color="auto"/>
              <w:bottom w:val="single" w:sz="4" w:space="0" w:color="auto"/>
              <w:right w:val="single" w:sz="4" w:space="0" w:color="auto"/>
            </w:tcBorders>
          </w:tcPr>
          <w:p w:rsidR="0036355D" w:rsidRPr="009F1907" w:rsidRDefault="0070425C" w:rsidP="004D2147">
            <w:pPr>
              <w:widowControl w:val="0"/>
              <w:autoSpaceDE w:val="0"/>
              <w:autoSpaceDN w:val="0"/>
              <w:adjustRightInd w:val="0"/>
              <w:rPr>
                <w:color w:val="000000"/>
                <w:lang w:val="da-DK"/>
              </w:rPr>
            </w:pPr>
            <w:r>
              <w:rPr>
                <w:color w:val="000000"/>
                <w:lang w:val="da-DK"/>
              </w:rPr>
              <w:t>Ingen</w:t>
            </w:r>
          </w:p>
        </w:tc>
      </w:tr>
      <w:tr w:rsidR="0036355D" w:rsidRPr="00FE40BF" w:rsidTr="004D2147">
        <w:trPr>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Administrative konsekvenser for erhvervslivet </w:t>
            </w:r>
          </w:p>
        </w:tc>
        <w:tc>
          <w:tcPr>
            <w:tcW w:w="1750" w:type="pct"/>
            <w:tcBorders>
              <w:top w:val="single" w:sz="4" w:space="0" w:color="auto"/>
              <w:left w:val="single" w:sz="4" w:space="0" w:color="auto"/>
              <w:bottom w:val="single" w:sz="4" w:space="0" w:color="auto"/>
              <w:right w:val="single" w:sz="4" w:space="0" w:color="auto"/>
            </w:tcBorders>
          </w:tcPr>
          <w:p w:rsidR="0036355D" w:rsidRPr="009F1907" w:rsidRDefault="0070425C" w:rsidP="004D2147">
            <w:pPr>
              <w:widowControl w:val="0"/>
              <w:autoSpaceDE w:val="0"/>
              <w:autoSpaceDN w:val="0"/>
              <w:adjustRightInd w:val="0"/>
              <w:rPr>
                <w:color w:val="000000"/>
                <w:lang w:val="da-DK"/>
              </w:rPr>
            </w:pPr>
            <w:r>
              <w:rPr>
                <w:color w:val="000000"/>
                <w:lang w:val="da-DK"/>
              </w:rPr>
              <w:t>Ingen</w:t>
            </w:r>
          </w:p>
        </w:tc>
        <w:tc>
          <w:tcPr>
            <w:tcW w:w="1681" w:type="pct"/>
            <w:tcBorders>
              <w:top w:val="single" w:sz="4" w:space="0" w:color="auto"/>
              <w:left w:val="single" w:sz="4" w:space="0" w:color="auto"/>
              <w:bottom w:val="single" w:sz="4" w:space="0" w:color="auto"/>
              <w:right w:val="single" w:sz="4" w:space="0" w:color="auto"/>
            </w:tcBorders>
          </w:tcPr>
          <w:p w:rsidR="0036355D" w:rsidRPr="009F1907" w:rsidRDefault="0070425C" w:rsidP="004D2147">
            <w:pPr>
              <w:widowControl w:val="0"/>
              <w:autoSpaceDE w:val="0"/>
              <w:autoSpaceDN w:val="0"/>
              <w:adjustRightInd w:val="0"/>
              <w:rPr>
                <w:color w:val="000000"/>
                <w:lang w:val="da-DK"/>
              </w:rPr>
            </w:pPr>
            <w:r>
              <w:rPr>
                <w:color w:val="000000"/>
                <w:lang w:val="da-DK"/>
              </w:rPr>
              <w:t>Ingen</w:t>
            </w:r>
          </w:p>
        </w:tc>
      </w:tr>
      <w:tr w:rsidR="0036355D" w:rsidRPr="00DC27F4" w:rsidTr="004D2147">
        <w:trPr>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Administrative konsekvenser for borgerne  </w:t>
            </w:r>
          </w:p>
        </w:tc>
        <w:tc>
          <w:tcPr>
            <w:tcW w:w="1750" w:type="pct"/>
            <w:tcBorders>
              <w:top w:val="single" w:sz="4" w:space="0" w:color="auto"/>
              <w:left w:val="single" w:sz="4" w:space="0" w:color="auto"/>
              <w:bottom w:val="single" w:sz="4" w:space="0" w:color="auto"/>
              <w:right w:val="single" w:sz="4" w:space="0" w:color="auto"/>
            </w:tcBorders>
          </w:tcPr>
          <w:p w:rsidR="0036355D" w:rsidRPr="009F1907" w:rsidRDefault="0070425C" w:rsidP="004D2147">
            <w:pPr>
              <w:widowControl w:val="0"/>
              <w:autoSpaceDE w:val="0"/>
              <w:autoSpaceDN w:val="0"/>
              <w:adjustRightInd w:val="0"/>
              <w:rPr>
                <w:color w:val="000000"/>
                <w:lang w:val="da-DK"/>
              </w:rPr>
            </w:pPr>
            <w:r>
              <w:rPr>
                <w:color w:val="000000"/>
                <w:lang w:val="da-DK"/>
              </w:rPr>
              <w:t>Ingen</w:t>
            </w:r>
          </w:p>
        </w:tc>
        <w:tc>
          <w:tcPr>
            <w:tcW w:w="1681" w:type="pct"/>
            <w:tcBorders>
              <w:top w:val="single" w:sz="4" w:space="0" w:color="auto"/>
              <w:left w:val="single" w:sz="4" w:space="0" w:color="auto"/>
              <w:bottom w:val="single" w:sz="4" w:space="0" w:color="auto"/>
              <w:right w:val="single" w:sz="4" w:space="0" w:color="auto"/>
            </w:tcBorders>
          </w:tcPr>
          <w:p w:rsidR="0036355D" w:rsidRPr="00DD2F55" w:rsidRDefault="002D122E" w:rsidP="00DC5A6E">
            <w:pPr>
              <w:rPr>
                <w:lang w:val="da-DK"/>
              </w:rPr>
            </w:pPr>
            <w:r>
              <w:rPr>
                <w:lang w:val="da-DK"/>
              </w:rPr>
              <w:t>Borger</w:t>
            </w:r>
            <w:r w:rsidR="00DC5A6E" w:rsidRPr="00DD2F55">
              <w:rPr>
                <w:lang w:val="da-DK"/>
              </w:rPr>
              <w:t>n</w:t>
            </w:r>
            <w:r>
              <w:rPr>
                <w:lang w:val="da-DK"/>
              </w:rPr>
              <w:t>e</w:t>
            </w:r>
            <w:r w:rsidR="00DC5A6E" w:rsidRPr="00DD2F55">
              <w:rPr>
                <w:lang w:val="da-DK"/>
              </w:rPr>
              <w:t xml:space="preserve"> kan selv rette deres forskudso</w:t>
            </w:r>
            <w:r w:rsidR="00AC5155">
              <w:rPr>
                <w:lang w:val="da-DK"/>
              </w:rPr>
              <w:t>pgørelse efter lovens ikrafttrædelse</w:t>
            </w:r>
            <w:r w:rsidR="00DC5A6E" w:rsidRPr="00DD2F55">
              <w:rPr>
                <w:lang w:val="da-DK"/>
              </w:rPr>
              <w:t xml:space="preserve"> og få gavn af skattelettelsen</w:t>
            </w:r>
            <w:r>
              <w:rPr>
                <w:lang w:val="da-DK"/>
              </w:rPr>
              <w:t xml:space="preserve"> allerede i fo</w:t>
            </w:r>
            <w:r>
              <w:rPr>
                <w:lang w:val="da-DK"/>
              </w:rPr>
              <w:t>r</w:t>
            </w:r>
            <w:r>
              <w:rPr>
                <w:lang w:val="da-DK"/>
              </w:rPr>
              <w:t>skudsskatten for 2015</w:t>
            </w:r>
            <w:r w:rsidR="00DC5A6E" w:rsidRPr="00DD2F55">
              <w:rPr>
                <w:lang w:val="da-DK"/>
              </w:rPr>
              <w:t>. Det fo</w:t>
            </w:r>
            <w:r w:rsidR="00DC5A6E" w:rsidRPr="00DD2F55">
              <w:rPr>
                <w:lang w:val="da-DK"/>
              </w:rPr>
              <w:t>r</w:t>
            </w:r>
            <w:r w:rsidR="00DC5A6E" w:rsidRPr="00DD2F55">
              <w:rPr>
                <w:lang w:val="da-DK"/>
              </w:rPr>
              <w:t>ventes at kunne ske fra 1. f</w:t>
            </w:r>
            <w:r w:rsidR="00DC5A6E" w:rsidRPr="00DD2F55">
              <w:rPr>
                <w:lang w:val="da-DK"/>
              </w:rPr>
              <w:t>e</w:t>
            </w:r>
            <w:r w:rsidR="00DC5A6E" w:rsidRPr="00DD2F55">
              <w:rPr>
                <w:lang w:val="da-DK"/>
              </w:rPr>
              <w:t>bruar 2015. Skattelettelsen vil også komme med i AutoFo</w:t>
            </w:r>
            <w:r w:rsidR="00DC5A6E" w:rsidRPr="00DD2F55">
              <w:rPr>
                <w:lang w:val="da-DK"/>
              </w:rPr>
              <w:t>r</w:t>
            </w:r>
            <w:r w:rsidR="00DC5A6E" w:rsidRPr="00DD2F55">
              <w:rPr>
                <w:lang w:val="da-DK"/>
              </w:rPr>
              <w:t xml:space="preserve">skud2015. </w:t>
            </w:r>
          </w:p>
        </w:tc>
      </w:tr>
      <w:tr w:rsidR="0036355D" w:rsidRPr="00CE31F8" w:rsidTr="004D2147">
        <w:trPr>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Miljømæssige konsekvenser </w:t>
            </w:r>
          </w:p>
        </w:tc>
        <w:tc>
          <w:tcPr>
            <w:tcW w:w="1750" w:type="pct"/>
            <w:tcBorders>
              <w:top w:val="single" w:sz="4" w:space="0" w:color="auto"/>
              <w:left w:val="single" w:sz="4" w:space="0" w:color="auto"/>
              <w:bottom w:val="single" w:sz="4" w:space="0" w:color="auto"/>
              <w:right w:val="single" w:sz="4" w:space="0" w:color="auto"/>
            </w:tcBorders>
          </w:tcPr>
          <w:p w:rsidR="0036355D" w:rsidRPr="009F1907" w:rsidRDefault="0070425C" w:rsidP="004D2147">
            <w:pPr>
              <w:widowControl w:val="0"/>
              <w:autoSpaceDE w:val="0"/>
              <w:autoSpaceDN w:val="0"/>
              <w:adjustRightInd w:val="0"/>
              <w:rPr>
                <w:color w:val="000000"/>
                <w:lang w:val="da-DK"/>
              </w:rPr>
            </w:pPr>
            <w:r>
              <w:rPr>
                <w:color w:val="000000"/>
                <w:lang w:val="da-DK"/>
              </w:rPr>
              <w:t>Ingen</w:t>
            </w:r>
          </w:p>
        </w:tc>
        <w:tc>
          <w:tcPr>
            <w:tcW w:w="1681" w:type="pct"/>
            <w:tcBorders>
              <w:top w:val="single" w:sz="4" w:space="0" w:color="auto"/>
              <w:left w:val="single" w:sz="4" w:space="0" w:color="auto"/>
              <w:bottom w:val="single" w:sz="4" w:space="0" w:color="auto"/>
              <w:right w:val="single" w:sz="4" w:space="0" w:color="auto"/>
            </w:tcBorders>
          </w:tcPr>
          <w:p w:rsidR="0036355D" w:rsidRPr="009F1907" w:rsidRDefault="00D21BCE" w:rsidP="004D2147">
            <w:pPr>
              <w:widowControl w:val="0"/>
              <w:autoSpaceDE w:val="0"/>
              <w:autoSpaceDN w:val="0"/>
              <w:adjustRightInd w:val="0"/>
              <w:rPr>
                <w:color w:val="000000"/>
                <w:lang w:val="da-DK"/>
              </w:rPr>
            </w:pPr>
            <w:r>
              <w:rPr>
                <w:color w:val="000000"/>
                <w:lang w:val="da-DK"/>
              </w:rPr>
              <w:t>Ingen</w:t>
            </w:r>
          </w:p>
        </w:tc>
      </w:tr>
      <w:tr w:rsidR="0036355D" w:rsidRPr="00DC27F4" w:rsidTr="004D2147">
        <w:trPr>
          <w:cantSplit/>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Forholdet til EU-retten </w:t>
            </w:r>
          </w:p>
        </w:tc>
        <w:tc>
          <w:tcPr>
            <w:tcW w:w="3431" w:type="pct"/>
            <w:gridSpan w:val="2"/>
            <w:tcBorders>
              <w:top w:val="single" w:sz="4" w:space="0" w:color="auto"/>
              <w:left w:val="single" w:sz="4" w:space="0" w:color="auto"/>
              <w:bottom w:val="single" w:sz="4" w:space="0" w:color="auto"/>
              <w:right w:val="single" w:sz="4" w:space="0" w:color="auto"/>
            </w:tcBorders>
          </w:tcPr>
          <w:p w:rsidR="0036355D" w:rsidRPr="009F1907" w:rsidRDefault="0070425C" w:rsidP="004D2147">
            <w:pPr>
              <w:widowControl w:val="0"/>
              <w:autoSpaceDE w:val="0"/>
              <w:autoSpaceDN w:val="0"/>
              <w:adjustRightInd w:val="0"/>
              <w:jc w:val="both"/>
              <w:rPr>
                <w:color w:val="000000"/>
                <w:lang w:val="da-DK"/>
              </w:rPr>
            </w:pPr>
            <w:r>
              <w:rPr>
                <w:color w:val="000000"/>
                <w:lang w:val="da-DK"/>
              </w:rPr>
              <w:t>Lovforslaget indeholder ikke EU-retlige aspekter.</w:t>
            </w:r>
          </w:p>
        </w:tc>
      </w:tr>
    </w:tbl>
    <w:p w:rsidR="0036355D" w:rsidRPr="009F1907" w:rsidRDefault="0036355D" w:rsidP="00CA337E">
      <w:pPr>
        <w:spacing w:line="288" w:lineRule="auto"/>
        <w:ind w:right="1"/>
        <w:rPr>
          <w:color w:val="000000"/>
          <w:lang w:val="da-DK"/>
        </w:rPr>
      </w:pPr>
    </w:p>
    <w:p w:rsidR="00601778" w:rsidRPr="00C12558" w:rsidRDefault="00601778" w:rsidP="00CA337E">
      <w:pPr>
        <w:spacing w:line="288" w:lineRule="auto"/>
        <w:ind w:right="1"/>
        <w:rPr>
          <w:b/>
          <w:lang w:val="da-DK"/>
        </w:rPr>
      </w:pPr>
      <w:r w:rsidRPr="00C12558">
        <w:rPr>
          <w:b/>
          <w:lang w:val="da-DK"/>
        </w:rPr>
        <w:t xml:space="preserve">  </w:t>
      </w:r>
    </w:p>
    <w:p w:rsidR="0036355D" w:rsidRPr="009F1907" w:rsidRDefault="0036355D" w:rsidP="00CA337E">
      <w:pPr>
        <w:spacing w:line="288" w:lineRule="auto"/>
        <w:ind w:right="1"/>
        <w:rPr>
          <w:color w:val="000000"/>
          <w:lang w:val="da-DK"/>
        </w:rPr>
      </w:pPr>
    </w:p>
    <w:p w:rsidR="0036355D" w:rsidRPr="009F1907" w:rsidRDefault="0036355D" w:rsidP="00CA337E">
      <w:pPr>
        <w:spacing w:line="288" w:lineRule="auto"/>
        <w:ind w:right="1"/>
        <w:rPr>
          <w:color w:val="000000"/>
          <w:lang w:val="da-DK"/>
        </w:rPr>
      </w:pPr>
    </w:p>
    <w:p w:rsidR="0036355D" w:rsidRPr="009F1907" w:rsidRDefault="0036355D" w:rsidP="00CA337E">
      <w:pPr>
        <w:spacing w:line="288" w:lineRule="auto"/>
        <w:ind w:right="1"/>
        <w:rPr>
          <w:color w:val="000000"/>
          <w:lang w:val="da-DK"/>
        </w:rPr>
      </w:pPr>
    </w:p>
    <w:p w:rsidR="0036355D" w:rsidRPr="009F1907" w:rsidRDefault="0036355D" w:rsidP="00CA337E">
      <w:pPr>
        <w:spacing w:line="288" w:lineRule="auto"/>
        <w:ind w:right="1"/>
        <w:rPr>
          <w:b/>
          <w:color w:val="000000"/>
          <w:lang w:val="da-DK"/>
        </w:rPr>
      </w:pPr>
    </w:p>
    <w:p w:rsidR="0036355D" w:rsidRPr="009F1907" w:rsidRDefault="0036355D" w:rsidP="00CA337E">
      <w:pPr>
        <w:spacing w:line="288" w:lineRule="auto"/>
        <w:jc w:val="center"/>
        <w:rPr>
          <w:i/>
          <w:iCs/>
          <w:color w:val="000000"/>
          <w:lang w:val="da-DK"/>
        </w:rPr>
      </w:pPr>
      <w:r w:rsidRPr="009F1907">
        <w:rPr>
          <w:i/>
          <w:iCs/>
          <w:color w:val="000000"/>
          <w:lang w:val="da-DK"/>
        </w:rPr>
        <w:t>Bemærkninger til lovforslagets enkelte bestemmelser</w:t>
      </w:r>
    </w:p>
    <w:p w:rsidR="0036355D" w:rsidRPr="009F1907" w:rsidRDefault="0036355D" w:rsidP="00CA337E">
      <w:pPr>
        <w:spacing w:line="288" w:lineRule="auto"/>
        <w:rPr>
          <w:color w:val="000000"/>
          <w:lang w:val="da-DK"/>
        </w:rPr>
      </w:pPr>
    </w:p>
    <w:p w:rsidR="0036355D" w:rsidRPr="009F1907" w:rsidRDefault="0036355D" w:rsidP="00CA337E">
      <w:pPr>
        <w:spacing w:line="288" w:lineRule="auto"/>
        <w:rPr>
          <w:color w:val="000000"/>
          <w:lang w:val="da-DK"/>
        </w:rPr>
      </w:pPr>
    </w:p>
    <w:p w:rsidR="0036355D" w:rsidRPr="009F1907" w:rsidRDefault="0036355D" w:rsidP="00CA337E">
      <w:pPr>
        <w:spacing w:line="288" w:lineRule="auto"/>
        <w:jc w:val="center"/>
        <w:rPr>
          <w:i/>
          <w:iCs/>
          <w:color w:val="000000"/>
          <w:lang w:val="da-DK"/>
        </w:rPr>
      </w:pPr>
      <w:r w:rsidRPr="009F1907">
        <w:rPr>
          <w:i/>
          <w:iCs/>
          <w:color w:val="000000"/>
          <w:lang w:val="da-DK"/>
        </w:rPr>
        <w:t>Til § 1</w:t>
      </w:r>
    </w:p>
    <w:p w:rsidR="0036355D" w:rsidRPr="009F1907" w:rsidRDefault="0036355D" w:rsidP="00CA337E">
      <w:pPr>
        <w:spacing w:line="288" w:lineRule="auto"/>
        <w:rPr>
          <w:color w:val="000000"/>
          <w:lang w:val="da-DK"/>
        </w:rPr>
      </w:pPr>
      <w:r w:rsidRPr="009F1907">
        <w:rPr>
          <w:color w:val="000000"/>
          <w:lang w:val="da-DK"/>
        </w:rPr>
        <w:t>Til nr. 1</w:t>
      </w:r>
    </w:p>
    <w:p w:rsidR="0036355D" w:rsidRDefault="00D21BCE" w:rsidP="00CA337E">
      <w:pPr>
        <w:spacing w:line="288" w:lineRule="auto"/>
        <w:jc w:val="both"/>
        <w:rPr>
          <w:color w:val="000000"/>
          <w:lang w:val="da-DK"/>
        </w:rPr>
      </w:pPr>
      <w:r>
        <w:rPr>
          <w:color w:val="000000"/>
          <w:lang w:val="da-DK"/>
        </w:rPr>
        <w:t xml:space="preserve">Det foreslås at </w:t>
      </w:r>
      <w:r w:rsidR="00B420AF">
        <w:rPr>
          <w:color w:val="000000"/>
          <w:lang w:val="da-DK"/>
        </w:rPr>
        <w:t>forhøje</w:t>
      </w:r>
      <w:r>
        <w:rPr>
          <w:color w:val="000000"/>
          <w:lang w:val="da-DK"/>
        </w:rPr>
        <w:t xml:space="preserve"> loftet over fra</w:t>
      </w:r>
      <w:r w:rsidR="006D7E22">
        <w:rPr>
          <w:color w:val="000000"/>
          <w:lang w:val="da-DK"/>
        </w:rPr>
        <w:t>drag for fagforeningskontingenter. Forslaget betyder, at</w:t>
      </w:r>
      <w:r>
        <w:rPr>
          <w:color w:val="000000"/>
          <w:lang w:val="da-DK"/>
        </w:rPr>
        <w:t xml:space="preserve"> lø</w:t>
      </w:r>
      <w:r>
        <w:rPr>
          <w:color w:val="000000"/>
          <w:lang w:val="da-DK"/>
        </w:rPr>
        <w:t>n</w:t>
      </w:r>
      <w:r>
        <w:rPr>
          <w:color w:val="000000"/>
          <w:lang w:val="da-DK"/>
        </w:rPr>
        <w:t xml:space="preserve">modtagere fra og med indkomståret 2015 kan få fradrag for op til 6.000 kr. pr. år for udgifter til fagforeningskontingenter. Hermed </w:t>
      </w:r>
      <w:r w:rsidR="00B420AF">
        <w:rPr>
          <w:color w:val="000000"/>
          <w:lang w:val="da-DK"/>
        </w:rPr>
        <w:t>forhøjes</w:t>
      </w:r>
      <w:r>
        <w:rPr>
          <w:color w:val="000000"/>
          <w:lang w:val="da-DK"/>
        </w:rPr>
        <w:t xml:space="preserve"> loftet over fradrag for fagforeningskontingenter fra 3.000 kr. til 6.000 kr. årligt.</w:t>
      </w:r>
      <w:r w:rsidR="006D7E22">
        <w:rPr>
          <w:color w:val="000000"/>
          <w:lang w:val="da-DK"/>
        </w:rPr>
        <w:t xml:space="preserve"> Udgifter til fagforeningskontingenter, der overstiger beløbsgrænsen på 6.000 kr. pr. år, kan ikke fradrages. </w:t>
      </w:r>
    </w:p>
    <w:p w:rsidR="006D7E22" w:rsidRDefault="006D7E22" w:rsidP="00CA337E">
      <w:pPr>
        <w:spacing w:line="288" w:lineRule="auto"/>
        <w:jc w:val="both"/>
        <w:rPr>
          <w:color w:val="000000"/>
          <w:lang w:val="da-DK"/>
        </w:rPr>
      </w:pPr>
    </w:p>
    <w:p w:rsidR="006D7E22" w:rsidRDefault="006D7E22" w:rsidP="00CA337E">
      <w:pPr>
        <w:spacing w:line="288" w:lineRule="auto"/>
        <w:jc w:val="both"/>
        <w:rPr>
          <w:color w:val="000000"/>
          <w:lang w:val="da-DK"/>
        </w:rPr>
      </w:pPr>
      <w:r>
        <w:rPr>
          <w:color w:val="000000"/>
          <w:lang w:val="da-DK"/>
        </w:rPr>
        <w:t>Loftet over fradrag for fagforeningskontingenter gælder som hidtil ikke for selvstændigt erhverv</w:t>
      </w:r>
      <w:r>
        <w:rPr>
          <w:color w:val="000000"/>
          <w:lang w:val="da-DK"/>
        </w:rPr>
        <w:t>s</w:t>
      </w:r>
      <w:r>
        <w:rPr>
          <w:color w:val="000000"/>
          <w:lang w:val="da-DK"/>
        </w:rPr>
        <w:t>drivende og selskaber m.v. (juridiske personer).</w:t>
      </w:r>
    </w:p>
    <w:p w:rsidR="006D7E22" w:rsidRDefault="006D7E22" w:rsidP="00CA337E">
      <w:pPr>
        <w:spacing w:line="288" w:lineRule="auto"/>
        <w:jc w:val="both"/>
        <w:rPr>
          <w:color w:val="000000"/>
          <w:lang w:val="da-DK"/>
        </w:rPr>
      </w:pPr>
    </w:p>
    <w:p w:rsidR="006D7E22" w:rsidRDefault="006D7E22" w:rsidP="00CA337E">
      <w:pPr>
        <w:spacing w:line="288" w:lineRule="auto"/>
        <w:jc w:val="both"/>
        <w:rPr>
          <w:lang w:val="da-DK"/>
        </w:rPr>
      </w:pPr>
      <w:r>
        <w:rPr>
          <w:color w:val="000000"/>
          <w:lang w:val="da-DK"/>
        </w:rPr>
        <w:t>Der ændres ikke i øvrigt i betingelserne for at få fradrag for fagforeningskontingenter. Som hidtil er det således en betingelse, at kontingentbetalingen sker til en fagforening eller anden faglig samme</w:t>
      </w:r>
      <w:r>
        <w:rPr>
          <w:color w:val="000000"/>
          <w:lang w:val="da-DK"/>
        </w:rPr>
        <w:t>n</w:t>
      </w:r>
      <w:r>
        <w:rPr>
          <w:color w:val="000000"/>
          <w:lang w:val="da-DK"/>
        </w:rPr>
        <w:t xml:space="preserve">slutning, </w:t>
      </w:r>
      <w:r w:rsidRPr="006D7E22">
        <w:rPr>
          <w:lang w:val="da-DK"/>
        </w:rPr>
        <w:t>der har til hovedformål at varetage de økonomiske interesser for den erhvervsgruppe, hvortil den skattepligtige hører.</w:t>
      </w:r>
    </w:p>
    <w:p w:rsidR="006D7E22" w:rsidRDefault="006D7E22" w:rsidP="00CA337E">
      <w:pPr>
        <w:spacing w:line="288" w:lineRule="auto"/>
        <w:jc w:val="both"/>
        <w:rPr>
          <w:lang w:val="da-DK"/>
        </w:rPr>
      </w:pPr>
    </w:p>
    <w:p w:rsidR="006D7E22" w:rsidRPr="006D7E22" w:rsidRDefault="00DD2F55" w:rsidP="00CA337E">
      <w:pPr>
        <w:spacing w:line="288" w:lineRule="auto"/>
        <w:jc w:val="both"/>
        <w:rPr>
          <w:lang w:val="da-DK"/>
        </w:rPr>
      </w:pPr>
      <w:r>
        <w:rPr>
          <w:lang w:val="da-DK"/>
        </w:rPr>
        <w:t xml:space="preserve">Fradragsretten er ligeledes </w:t>
      </w:r>
      <w:r w:rsidR="0002019B">
        <w:rPr>
          <w:lang w:val="da-DK"/>
        </w:rPr>
        <w:t xml:space="preserve">som hidtil </w:t>
      </w:r>
      <w:r w:rsidR="006D7E22" w:rsidRPr="006D7E22">
        <w:rPr>
          <w:lang w:val="da-DK"/>
        </w:rPr>
        <w:t>betinget af, at den faglige forening, hvis den er indberetning</w:t>
      </w:r>
      <w:r w:rsidR="006D7E22" w:rsidRPr="006D7E22">
        <w:rPr>
          <w:lang w:val="da-DK"/>
        </w:rPr>
        <w:t>s</w:t>
      </w:r>
      <w:r w:rsidR="006D7E22" w:rsidRPr="006D7E22">
        <w:rPr>
          <w:lang w:val="da-DK"/>
        </w:rPr>
        <w:t xml:space="preserve">pligtig efter skattekontrollovens § 8 T, har indberettet kontingentudgiften til </w:t>
      </w:r>
      <w:r w:rsidR="006D7E22">
        <w:rPr>
          <w:lang w:val="da-DK"/>
        </w:rPr>
        <w:t>SKAT</w:t>
      </w:r>
      <w:r w:rsidR="006D7E22" w:rsidRPr="006D7E22">
        <w:rPr>
          <w:lang w:val="da-DK"/>
        </w:rPr>
        <w:t>.</w:t>
      </w:r>
    </w:p>
    <w:p w:rsidR="0036355D" w:rsidRPr="009F1907" w:rsidRDefault="0036355D" w:rsidP="00CA337E">
      <w:pPr>
        <w:spacing w:line="288" w:lineRule="auto"/>
        <w:jc w:val="both"/>
        <w:rPr>
          <w:color w:val="000000"/>
          <w:lang w:val="da-DK"/>
        </w:rPr>
      </w:pPr>
    </w:p>
    <w:p w:rsidR="00373D00" w:rsidRPr="00373D00" w:rsidRDefault="00373D00" w:rsidP="00CA337E">
      <w:pPr>
        <w:spacing w:line="288" w:lineRule="auto"/>
        <w:jc w:val="both"/>
        <w:rPr>
          <w:color w:val="000000"/>
          <w:lang w:val="da-DK"/>
        </w:rPr>
      </w:pPr>
    </w:p>
    <w:p w:rsidR="00373D00" w:rsidRPr="009F1907" w:rsidRDefault="00373D00" w:rsidP="00CA337E">
      <w:pPr>
        <w:spacing w:line="288" w:lineRule="auto"/>
        <w:jc w:val="center"/>
        <w:rPr>
          <w:i/>
          <w:iCs/>
          <w:color w:val="000000"/>
          <w:lang w:val="da-DK"/>
        </w:rPr>
      </w:pPr>
      <w:r w:rsidRPr="009F1907">
        <w:rPr>
          <w:i/>
          <w:iCs/>
          <w:color w:val="000000"/>
          <w:lang w:val="da-DK"/>
        </w:rPr>
        <w:t xml:space="preserve">Til § </w:t>
      </w:r>
      <w:r w:rsidR="00D21BCE">
        <w:rPr>
          <w:i/>
          <w:iCs/>
          <w:color w:val="000000"/>
          <w:lang w:val="da-DK"/>
        </w:rPr>
        <w:t>2</w:t>
      </w:r>
    </w:p>
    <w:p w:rsidR="00373D00" w:rsidRPr="009F1907" w:rsidRDefault="00373D00" w:rsidP="00CA337E">
      <w:pPr>
        <w:spacing w:line="288" w:lineRule="auto"/>
        <w:rPr>
          <w:b/>
          <w:bCs/>
          <w:color w:val="000000"/>
          <w:lang w:val="da-DK"/>
        </w:rPr>
      </w:pPr>
    </w:p>
    <w:p w:rsidR="00B663A2" w:rsidRDefault="00B663A2" w:rsidP="00CA337E">
      <w:pPr>
        <w:spacing w:line="288" w:lineRule="auto"/>
        <w:rPr>
          <w:color w:val="000000"/>
          <w:lang w:val="da-DK"/>
        </w:rPr>
      </w:pPr>
      <w:r>
        <w:rPr>
          <w:color w:val="000000"/>
          <w:lang w:val="da-DK"/>
        </w:rPr>
        <w:t>Til stk. 1</w:t>
      </w:r>
    </w:p>
    <w:p w:rsidR="00B420AF" w:rsidRDefault="00B420AF" w:rsidP="00CA337E">
      <w:pPr>
        <w:spacing w:line="288" w:lineRule="auto"/>
        <w:rPr>
          <w:color w:val="000000"/>
          <w:lang w:val="da-DK"/>
        </w:rPr>
      </w:pPr>
      <w:r>
        <w:rPr>
          <w:color w:val="000000"/>
          <w:lang w:val="da-DK"/>
        </w:rPr>
        <w:t>Det foreslås</w:t>
      </w:r>
      <w:r w:rsidR="00107175">
        <w:rPr>
          <w:color w:val="000000"/>
          <w:lang w:val="da-DK"/>
        </w:rPr>
        <w:t>,</w:t>
      </w:r>
      <w:r>
        <w:rPr>
          <w:color w:val="000000"/>
          <w:lang w:val="da-DK"/>
        </w:rPr>
        <w:t xml:space="preserve"> at forslaget om at forhøje loftet over fagforeningskontingenter træder i kraft dagen efter bekendtgørelsen i Lovtidende. Det er vigtigt at lovforslaget træder i kraft hurtigst muligt, så SKAT kan tilrette systemerne med henblik på, at der tages højde for ændringen, når borgerne </w:t>
      </w:r>
      <w:r w:rsidR="00107175">
        <w:rPr>
          <w:color w:val="000000"/>
          <w:lang w:val="da-DK"/>
        </w:rPr>
        <w:t xml:space="preserve">evt. </w:t>
      </w:r>
      <w:r>
        <w:rPr>
          <w:color w:val="000000"/>
          <w:lang w:val="da-DK"/>
        </w:rPr>
        <w:t>ændrer deres forskudsopgørelse for 2015.</w:t>
      </w:r>
    </w:p>
    <w:p w:rsidR="00B663A2" w:rsidRDefault="00B663A2" w:rsidP="00CA337E">
      <w:pPr>
        <w:spacing w:line="288" w:lineRule="auto"/>
        <w:rPr>
          <w:color w:val="000000"/>
          <w:lang w:val="da-DK"/>
        </w:rPr>
      </w:pPr>
    </w:p>
    <w:p w:rsidR="00373D00" w:rsidRDefault="00B663A2" w:rsidP="00CA337E">
      <w:pPr>
        <w:spacing w:line="288" w:lineRule="auto"/>
        <w:rPr>
          <w:color w:val="000000"/>
          <w:lang w:val="da-DK"/>
        </w:rPr>
      </w:pPr>
      <w:r>
        <w:rPr>
          <w:color w:val="000000"/>
          <w:lang w:val="da-DK"/>
        </w:rPr>
        <w:t>Til stk. 2</w:t>
      </w:r>
    </w:p>
    <w:p w:rsidR="00B420AF" w:rsidRDefault="00B420AF" w:rsidP="00CA337E">
      <w:pPr>
        <w:spacing w:line="288" w:lineRule="auto"/>
        <w:rPr>
          <w:color w:val="000000"/>
          <w:lang w:val="da-DK"/>
        </w:rPr>
      </w:pPr>
      <w:r>
        <w:rPr>
          <w:color w:val="000000"/>
          <w:lang w:val="da-DK"/>
        </w:rPr>
        <w:t>Det foreslås</w:t>
      </w:r>
      <w:r w:rsidR="00107175">
        <w:rPr>
          <w:color w:val="000000"/>
          <w:lang w:val="da-DK"/>
        </w:rPr>
        <w:t>,</w:t>
      </w:r>
      <w:r>
        <w:rPr>
          <w:color w:val="000000"/>
          <w:lang w:val="da-DK"/>
        </w:rPr>
        <w:t xml:space="preserve"> at forslaget om at forhøje loftet over fagforeningskontingenter har virkning fra og med indkomståret 2015. </w:t>
      </w:r>
    </w:p>
    <w:p w:rsidR="00373D00" w:rsidRDefault="00373D00" w:rsidP="00CA337E">
      <w:pPr>
        <w:tabs>
          <w:tab w:val="left" w:pos="0"/>
          <w:tab w:val="left" w:pos="900"/>
        </w:tabs>
        <w:spacing w:line="288" w:lineRule="auto"/>
        <w:jc w:val="right"/>
        <w:rPr>
          <w:color w:val="000000"/>
          <w:lang w:val="da-DK"/>
        </w:rPr>
      </w:pPr>
    </w:p>
    <w:p w:rsidR="00B663A2" w:rsidRDefault="00107175" w:rsidP="00CA337E">
      <w:pPr>
        <w:tabs>
          <w:tab w:val="left" w:pos="0"/>
          <w:tab w:val="left" w:pos="900"/>
        </w:tabs>
        <w:spacing w:line="288" w:lineRule="auto"/>
        <w:rPr>
          <w:color w:val="000000"/>
          <w:lang w:val="da-DK"/>
        </w:rPr>
      </w:pPr>
      <w:r>
        <w:rPr>
          <w:color w:val="000000"/>
          <w:lang w:val="da-DK"/>
        </w:rPr>
        <w:t>Til stk. 3 og 4</w:t>
      </w:r>
    </w:p>
    <w:p w:rsidR="00112A9C" w:rsidRPr="001A4FFA" w:rsidRDefault="00112A9C" w:rsidP="00CA337E">
      <w:pPr>
        <w:tabs>
          <w:tab w:val="left" w:pos="0"/>
          <w:tab w:val="left" w:pos="900"/>
        </w:tabs>
        <w:spacing w:line="288" w:lineRule="auto"/>
        <w:ind w:right="1"/>
        <w:jc w:val="both"/>
        <w:rPr>
          <w:lang w:val="da-DK"/>
        </w:rPr>
      </w:pPr>
      <w:r w:rsidRPr="001A4FFA">
        <w:rPr>
          <w:lang w:val="da-DK"/>
        </w:rPr>
        <w:lastRenderedPageBreak/>
        <w:t>De foreslåede bestemmelser i stk. 3 og 4 indebærer, at de økonomiske virkninger af lovforslaget for indkomståret 2015 neutraliseres for kommunerne og folkekirken, for så vidt angår de kommuner, der for 2015 vælger at budgettere med deres eget skøn over udskrivningsgrundlaget for den perso</w:t>
      </w:r>
      <w:r w:rsidRPr="001A4FFA">
        <w:rPr>
          <w:lang w:val="da-DK"/>
        </w:rPr>
        <w:t>n</w:t>
      </w:r>
      <w:r w:rsidRPr="001A4FFA">
        <w:rPr>
          <w:lang w:val="da-DK"/>
        </w:rPr>
        <w:t>lige indkomstskat.</w:t>
      </w:r>
    </w:p>
    <w:p w:rsidR="00112A9C" w:rsidRPr="001A4FFA" w:rsidRDefault="00112A9C" w:rsidP="00CA337E">
      <w:pPr>
        <w:tabs>
          <w:tab w:val="left" w:pos="0"/>
          <w:tab w:val="left" w:pos="900"/>
        </w:tabs>
        <w:spacing w:line="288" w:lineRule="auto"/>
        <w:ind w:right="1"/>
        <w:jc w:val="both"/>
        <w:rPr>
          <w:lang w:val="da-DK"/>
        </w:rPr>
      </w:pPr>
    </w:p>
    <w:p w:rsidR="00112A9C" w:rsidRPr="001A4FFA" w:rsidRDefault="00112A9C" w:rsidP="00CA337E">
      <w:pPr>
        <w:tabs>
          <w:tab w:val="left" w:pos="0"/>
          <w:tab w:val="left" w:pos="900"/>
        </w:tabs>
        <w:spacing w:line="288" w:lineRule="auto"/>
        <w:ind w:right="1"/>
        <w:jc w:val="both"/>
        <w:rPr>
          <w:lang w:val="da-DK"/>
        </w:rPr>
      </w:pPr>
      <w:r w:rsidRPr="001A4FFA">
        <w:rPr>
          <w:lang w:val="da-DK"/>
        </w:rPr>
        <w:t xml:space="preserve">Det skyldes, at det tidsmæssigt ikke har været muligt at indarbejde konsekvenserne af lovforslaget i det statsgaranterede kommunale udskrivningsgrundlag for 2015. </w:t>
      </w:r>
    </w:p>
    <w:p w:rsidR="00112A9C" w:rsidRPr="001A4FFA" w:rsidRDefault="00112A9C" w:rsidP="00CA337E">
      <w:pPr>
        <w:tabs>
          <w:tab w:val="left" w:pos="0"/>
          <w:tab w:val="left" w:pos="900"/>
        </w:tabs>
        <w:spacing w:line="288" w:lineRule="auto"/>
        <w:ind w:right="1"/>
        <w:jc w:val="both"/>
        <w:rPr>
          <w:lang w:val="da-DK"/>
        </w:rPr>
      </w:pPr>
    </w:p>
    <w:p w:rsidR="00112A9C" w:rsidRPr="001A4FFA" w:rsidRDefault="00112A9C" w:rsidP="00CA337E">
      <w:pPr>
        <w:tabs>
          <w:tab w:val="left" w:pos="0"/>
          <w:tab w:val="left" w:pos="900"/>
        </w:tabs>
        <w:spacing w:line="288" w:lineRule="auto"/>
        <w:ind w:right="1"/>
        <w:jc w:val="both"/>
        <w:rPr>
          <w:lang w:val="da-DK"/>
        </w:rPr>
      </w:pPr>
      <w:r w:rsidRPr="001A4FFA">
        <w:rPr>
          <w:lang w:val="da-DK"/>
        </w:rPr>
        <w:t xml:space="preserve">Den foreslåede </w:t>
      </w:r>
      <w:r w:rsidR="00107175">
        <w:rPr>
          <w:lang w:val="da-DK"/>
        </w:rPr>
        <w:t>forhøjelse af fradragsloftet</w:t>
      </w:r>
      <w:r w:rsidRPr="001A4FFA">
        <w:rPr>
          <w:lang w:val="da-DK"/>
        </w:rPr>
        <w:t xml:space="preserve"> vil medføre et fald i udskrivningsgrundlaget i forhold til det udmeldte statsgaranterede udskrivningsgrundlag, jf. også bemærkningerne om de økonomiske konsekvenser for kommunerne i </w:t>
      </w:r>
      <w:r w:rsidR="00924711">
        <w:rPr>
          <w:lang w:val="da-DK"/>
        </w:rPr>
        <w:t>de almindelige bemærkninger</w:t>
      </w:r>
      <w:r w:rsidRPr="001A4FFA">
        <w:rPr>
          <w:lang w:val="da-DK"/>
        </w:rPr>
        <w:t>.</w:t>
      </w:r>
    </w:p>
    <w:p w:rsidR="00112A9C" w:rsidRPr="001A4FFA" w:rsidRDefault="00112A9C" w:rsidP="00CA337E">
      <w:pPr>
        <w:tabs>
          <w:tab w:val="left" w:pos="0"/>
          <w:tab w:val="left" w:pos="900"/>
        </w:tabs>
        <w:spacing w:line="288" w:lineRule="auto"/>
        <w:ind w:right="1"/>
        <w:jc w:val="both"/>
        <w:rPr>
          <w:lang w:val="da-DK"/>
        </w:rPr>
      </w:pPr>
    </w:p>
    <w:p w:rsidR="00373D00" w:rsidRDefault="00112A9C" w:rsidP="00CA337E">
      <w:pPr>
        <w:tabs>
          <w:tab w:val="left" w:pos="0"/>
          <w:tab w:val="left" w:pos="900"/>
        </w:tabs>
        <w:spacing w:line="288" w:lineRule="auto"/>
        <w:ind w:right="1"/>
        <w:jc w:val="both"/>
        <w:rPr>
          <w:color w:val="000000"/>
          <w:lang w:val="da-DK"/>
        </w:rPr>
      </w:pPr>
      <w:r w:rsidRPr="001A4FFA">
        <w:rPr>
          <w:lang w:val="da-DK"/>
        </w:rPr>
        <w:t>For de af kommunerne, der evt. for 2015 vælger at budgettere med deres eget skøn over udskri</w:t>
      </w:r>
      <w:r w:rsidRPr="001A4FFA">
        <w:rPr>
          <w:lang w:val="da-DK"/>
        </w:rPr>
        <w:t>v</w:t>
      </w:r>
      <w:r w:rsidRPr="001A4FFA">
        <w:rPr>
          <w:lang w:val="da-DK"/>
        </w:rPr>
        <w:t>ningsgrundlaget, vil efterreguleringen af indkomstskatten, herunder også kirkeskatten, for 2015, som opgøres i 2017 og afregnes i 2018, blive korrigeret efter denne bestemmelse.</w:t>
      </w:r>
    </w:p>
    <w:p w:rsidR="00601778" w:rsidRPr="00601778" w:rsidRDefault="00CA337E" w:rsidP="00601778">
      <w:pPr>
        <w:ind w:right="1"/>
        <w:rPr>
          <w:lang w:val="da-DK"/>
        </w:rPr>
      </w:pPr>
      <w:r>
        <w:rPr>
          <w:b/>
          <w:bCs/>
          <w:lang w:val="da-DK"/>
        </w:rPr>
        <w:br w:type="page"/>
      </w:r>
      <w:r w:rsidR="00601778" w:rsidRPr="00601778" w:rsidDel="00CF4AB4">
        <w:rPr>
          <w:b/>
          <w:bCs/>
          <w:lang w:val="da-DK"/>
        </w:rPr>
        <w:lastRenderedPageBreak/>
        <w:t xml:space="preserve"> </w:t>
      </w:r>
    </w:p>
    <w:p w:rsidR="00601778" w:rsidRPr="00601778" w:rsidRDefault="00601778" w:rsidP="00601778">
      <w:pPr>
        <w:ind w:right="1"/>
        <w:rPr>
          <w:b/>
          <w:lang w:val="da-DK"/>
        </w:rPr>
      </w:pP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lang w:val="da-DK"/>
        </w:rPr>
        <w:tab/>
      </w:r>
      <w:r w:rsidR="00B420AF">
        <w:rPr>
          <w:b/>
          <w:lang w:val="da-DK"/>
        </w:rPr>
        <w:t>Bilag 1</w:t>
      </w:r>
    </w:p>
    <w:p w:rsidR="00601778" w:rsidRPr="00601778" w:rsidRDefault="00601778" w:rsidP="00601778">
      <w:pPr>
        <w:ind w:left="720" w:firstLine="720"/>
        <w:rPr>
          <w:b/>
          <w:bCs/>
          <w:lang w:val="da-DK"/>
        </w:rPr>
      </w:pPr>
    </w:p>
    <w:p w:rsidR="00601778" w:rsidRDefault="00601778" w:rsidP="00601778">
      <w:pPr>
        <w:ind w:left="1440" w:firstLine="720"/>
        <w:rPr>
          <w:b/>
          <w:bCs/>
          <w:lang w:val="da-DK"/>
        </w:rPr>
      </w:pPr>
      <w:r w:rsidRPr="00601778">
        <w:rPr>
          <w:b/>
          <w:bCs/>
          <w:lang w:val="da-DK"/>
        </w:rPr>
        <w:t>Lovforslaget sammenholdt med gældende lov</w:t>
      </w:r>
    </w:p>
    <w:p w:rsidR="00C9358D" w:rsidRPr="00601778" w:rsidRDefault="00C9358D" w:rsidP="00601778">
      <w:pPr>
        <w:ind w:left="1440" w:firstLine="720"/>
        <w:rPr>
          <w:b/>
          <w:bCs/>
          <w:lang w:val="da-DK"/>
        </w:rPr>
      </w:pPr>
    </w:p>
    <w:tbl>
      <w:tblPr>
        <w:tblW w:w="0" w:type="auto"/>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3"/>
        <w:gridCol w:w="4306"/>
      </w:tblGrid>
      <w:tr w:rsidR="00601778" w:rsidRPr="00BC172D" w:rsidTr="00CB6F17">
        <w:trPr>
          <w:jc w:val="center"/>
        </w:trPr>
        <w:tc>
          <w:tcPr>
            <w:tcW w:w="4593" w:type="dxa"/>
          </w:tcPr>
          <w:p w:rsidR="00601778" w:rsidRPr="00601778" w:rsidRDefault="00601778" w:rsidP="00910A2B">
            <w:pPr>
              <w:spacing w:line="264" w:lineRule="auto"/>
              <w:rPr>
                <w:b/>
                <w:bCs/>
                <w:lang w:val="da-DK"/>
              </w:rPr>
            </w:pPr>
          </w:p>
          <w:p w:rsidR="00601778" w:rsidRPr="00C9358D" w:rsidRDefault="00601778" w:rsidP="00910A2B">
            <w:pPr>
              <w:spacing w:line="264" w:lineRule="auto"/>
              <w:jc w:val="center"/>
              <w:rPr>
                <w:b/>
                <w:bCs/>
                <w:lang w:val="da-DK"/>
              </w:rPr>
            </w:pPr>
            <w:r w:rsidRPr="00C9358D">
              <w:rPr>
                <w:bCs/>
                <w:i/>
                <w:lang w:val="da-DK"/>
              </w:rPr>
              <w:t>Gældende formulering</w:t>
            </w:r>
          </w:p>
        </w:tc>
        <w:tc>
          <w:tcPr>
            <w:tcW w:w="4306" w:type="dxa"/>
          </w:tcPr>
          <w:p w:rsidR="00CB6F17" w:rsidRDefault="00CB6F17" w:rsidP="00CB6F17">
            <w:pPr>
              <w:spacing w:line="264" w:lineRule="auto"/>
              <w:jc w:val="center"/>
              <w:rPr>
                <w:bCs/>
                <w:i/>
                <w:lang w:val="da-DK"/>
              </w:rPr>
            </w:pPr>
          </w:p>
          <w:p w:rsidR="00601778" w:rsidRPr="00912739" w:rsidRDefault="00601778" w:rsidP="00CB6F17">
            <w:pPr>
              <w:spacing w:line="264" w:lineRule="auto"/>
              <w:jc w:val="center"/>
              <w:rPr>
                <w:bCs/>
                <w:i/>
              </w:rPr>
            </w:pPr>
            <w:r w:rsidRPr="00C9358D">
              <w:rPr>
                <w:bCs/>
                <w:i/>
                <w:lang w:val="da-DK"/>
              </w:rPr>
              <w:t>Lovforslaget</w:t>
            </w:r>
          </w:p>
          <w:p w:rsidR="00601778" w:rsidRPr="00BC172D" w:rsidRDefault="00601778" w:rsidP="00C9358D">
            <w:pPr>
              <w:spacing w:line="264" w:lineRule="auto"/>
              <w:rPr>
                <w:b/>
                <w:bCs/>
              </w:rPr>
            </w:pPr>
          </w:p>
        </w:tc>
      </w:tr>
      <w:tr w:rsidR="00601778" w:rsidRPr="00DC27F4" w:rsidTr="00CB6F17">
        <w:trPr>
          <w:jc w:val="center"/>
        </w:trPr>
        <w:tc>
          <w:tcPr>
            <w:tcW w:w="4593" w:type="dxa"/>
          </w:tcPr>
          <w:p w:rsidR="00601778" w:rsidRPr="00126746" w:rsidRDefault="00601778" w:rsidP="00910A2B">
            <w:pPr>
              <w:spacing w:line="264" w:lineRule="auto"/>
              <w:rPr>
                <w:b/>
                <w:bCs/>
                <w:lang w:val="da-DK"/>
              </w:rPr>
            </w:pPr>
          </w:p>
          <w:p w:rsidR="00B420AF" w:rsidRDefault="00B420AF" w:rsidP="00910A2B">
            <w:pPr>
              <w:pStyle w:val="paragraf"/>
              <w:spacing w:line="264" w:lineRule="auto"/>
              <w:rPr>
                <w:rStyle w:val="paragrafnr1"/>
                <w:rFonts w:ascii="Times New Roman" w:hAnsi="Times New Roman" w:cs="Times New Roman"/>
              </w:rPr>
            </w:pPr>
          </w:p>
          <w:p w:rsidR="00B420AF" w:rsidRDefault="00B420AF" w:rsidP="00910A2B">
            <w:pPr>
              <w:pStyle w:val="paragraf"/>
              <w:spacing w:line="264" w:lineRule="auto"/>
              <w:rPr>
                <w:rStyle w:val="paragrafnr1"/>
                <w:rFonts w:ascii="Times New Roman" w:hAnsi="Times New Roman" w:cs="Times New Roman"/>
              </w:rPr>
            </w:pPr>
          </w:p>
          <w:p w:rsidR="00B420AF" w:rsidRDefault="00B420AF" w:rsidP="00910A2B">
            <w:pPr>
              <w:pStyle w:val="paragraf"/>
              <w:spacing w:line="264" w:lineRule="auto"/>
              <w:rPr>
                <w:rStyle w:val="paragrafnr1"/>
                <w:rFonts w:ascii="Times New Roman" w:hAnsi="Times New Roman" w:cs="Times New Roman"/>
              </w:rPr>
            </w:pPr>
          </w:p>
          <w:p w:rsidR="00B420AF" w:rsidRDefault="00B420AF" w:rsidP="00910A2B">
            <w:pPr>
              <w:pStyle w:val="paragraf"/>
              <w:spacing w:line="264" w:lineRule="auto"/>
              <w:rPr>
                <w:rStyle w:val="paragrafnr1"/>
                <w:rFonts w:ascii="Times New Roman" w:hAnsi="Times New Roman" w:cs="Times New Roman"/>
              </w:rPr>
            </w:pPr>
          </w:p>
          <w:p w:rsidR="00126746" w:rsidRDefault="00126746" w:rsidP="00910A2B">
            <w:pPr>
              <w:pStyle w:val="paragraf"/>
              <w:spacing w:line="264" w:lineRule="auto"/>
              <w:rPr>
                <w:rFonts w:ascii="Times New Roman" w:hAnsi="Times New Roman" w:cs="Times New Roman"/>
              </w:rPr>
            </w:pPr>
            <w:r w:rsidRPr="00126746">
              <w:rPr>
                <w:rStyle w:val="paragrafnr1"/>
                <w:rFonts w:ascii="Times New Roman" w:hAnsi="Times New Roman" w:cs="Times New Roman"/>
              </w:rPr>
              <w:t>§ 13.</w:t>
            </w:r>
            <w:r w:rsidRPr="00126746">
              <w:rPr>
                <w:rFonts w:ascii="Times New Roman" w:hAnsi="Times New Roman" w:cs="Times New Roman"/>
              </w:rPr>
              <w:t xml:space="preserve"> Ved opgørelsen af den skattepligtige indkomst kan fradrages udgifter til konti</w:t>
            </w:r>
            <w:r w:rsidRPr="00126746">
              <w:rPr>
                <w:rFonts w:ascii="Times New Roman" w:hAnsi="Times New Roman" w:cs="Times New Roman"/>
              </w:rPr>
              <w:t>n</w:t>
            </w:r>
            <w:r w:rsidRPr="00126746">
              <w:rPr>
                <w:rFonts w:ascii="Times New Roman" w:hAnsi="Times New Roman" w:cs="Times New Roman"/>
              </w:rPr>
              <w:t>genter til arbejdsgiverforeninger, fagforeni</w:t>
            </w:r>
            <w:r w:rsidRPr="00126746">
              <w:rPr>
                <w:rFonts w:ascii="Times New Roman" w:hAnsi="Times New Roman" w:cs="Times New Roman"/>
              </w:rPr>
              <w:t>n</w:t>
            </w:r>
            <w:r w:rsidRPr="00126746">
              <w:rPr>
                <w:rFonts w:ascii="Times New Roman" w:hAnsi="Times New Roman" w:cs="Times New Roman"/>
              </w:rPr>
              <w:t>ger og andre faglige sammenslutninger, der har til hovedformål at varetage de økonom</w:t>
            </w:r>
            <w:r w:rsidRPr="00126746">
              <w:rPr>
                <w:rFonts w:ascii="Times New Roman" w:hAnsi="Times New Roman" w:cs="Times New Roman"/>
              </w:rPr>
              <w:t>i</w:t>
            </w:r>
            <w:r w:rsidRPr="00126746">
              <w:rPr>
                <w:rFonts w:ascii="Times New Roman" w:hAnsi="Times New Roman" w:cs="Times New Roman"/>
              </w:rPr>
              <w:t>ske interesser for den erhvervsgruppe, hvortil den skattepligtige hører. Det årlige fradrag efter 1. pkt. kan ikke overstige et beløb på 3.000 kr. 2. pkt. finder dog ikke anvendelse for selvstændigt erhvervsdrivende og selsk</w:t>
            </w:r>
            <w:r w:rsidRPr="00126746">
              <w:rPr>
                <w:rFonts w:ascii="Times New Roman" w:hAnsi="Times New Roman" w:cs="Times New Roman"/>
              </w:rPr>
              <w:t>a</w:t>
            </w:r>
            <w:r w:rsidRPr="00126746">
              <w:rPr>
                <w:rFonts w:ascii="Times New Roman" w:hAnsi="Times New Roman" w:cs="Times New Roman"/>
              </w:rPr>
              <w:t>ber m.v. (juridiske personer). Erstatninger eller ydelser, der udbetales til medlemmerne af sammenslutninger som nævnt i 1. pkt., medregnes til modtagerens skattepligtige indkomst, jf. dog §§ 30 og 31.</w:t>
            </w:r>
          </w:p>
          <w:p w:rsidR="00924711" w:rsidRDefault="00032D78" w:rsidP="00924711">
            <w:pPr>
              <w:pStyle w:val="paragraf"/>
              <w:spacing w:line="264" w:lineRule="auto"/>
              <w:ind w:firstLine="0"/>
              <w:rPr>
                <w:rFonts w:ascii="Times New Roman" w:hAnsi="Times New Roman" w:cs="Times New Roman"/>
              </w:rPr>
            </w:pPr>
            <w:r w:rsidRPr="00032D78">
              <w:rPr>
                <w:rFonts w:ascii="Times New Roman" w:hAnsi="Times New Roman" w:cs="Times New Roman"/>
                <w:i/>
              </w:rPr>
              <w:t>Stk. 2</w:t>
            </w:r>
            <w:r>
              <w:rPr>
                <w:rFonts w:ascii="Times New Roman" w:hAnsi="Times New Roman" w:cs="Times New Roman"/>
              </w:rPr>
              <w:t>.----</w:t>
            </w:r>
          </w:p>
          <w:p w:rsidR="00924711" w:rsidRPr="00126746" w:rsidRDefault="00924711" w:rsidP="00910A2B">
            <w:pPr>
              <w:pStyle w:val="paragraf"/>
              <w:spacing w:line="264" w:lineRule="auto"/>
              <w:rPr>
                <w:rFonts w:ascii="Times New Roman" w:hAnsi="Times New Roman" w:cs="Times New Roman"/>
              </w:rPr>
            </w:pPr>
          </w:p>
          <w:p w:rsidR="00601778" w:rsidRPr="00126746" w:rsidRDefault="00601778" w:rsidP="00910A2B">
            <w:pPr>
              <w:pStyle w:val="stk2"/>
              <w:spacing w:line="264" w:lineRule="auto"/>
              <w:rPr>
                <w:b/>
                <w:bCs/>
              </w:rPr>
            </w:pPr>
          </w:p>
        </w:tc>
        <w:tc>
          <w:tcPr>
            <w:tcW w:w="4306" w:type="dxa"/>
          </w:tcPr>
          <w:p w:rsidR="00601778" w:rsidRPr="00126746" w:rsidRDefault="00601778" w:rsidP="00C9358D">
            <w:pPr>
              <w:spacing w:line="264" w:lineRule="auto"/>
              <w:rPr>
                <w:b/>
                <w:bCs/>
                <w:lang w:val="da-DK"/>
              </w:rPr>
            </w:pPr>
          </w:p>
          <w:p w:rsidR="00B420AF" w:rsidRPr="00507E80" w:rsidRDefault="00B420AF" w:rsidP="00C9358D">
            <w:pPr>
              <w:spacing w:line="264" w:lineRule="auto"/>
              <w:jc w:val="center"/>
              <w:rPr>
                <w:b/>
                <w:lang w:val="da-DK"/>
              </w:rPr>
            </w:pPr>
            <w:r w:rsidRPr="00507E80">
              <w:rPr>
                <w:b/>
                <w:lang w:val="da-DK"/>
              </w:rPr>
              <w:t>§ 1</w:t>
            </w:r>
          </w:p>
          <w:p w:rsidR="00B420AF" w:rsidRPr="00507E80" w:rsidRDefault="00B420AF" w:rsidP="00C9358D">
            <w:pPr>
              <w:spacing w:line="264" w:lineRule="auto"/>
              <w:rPr>
                <w:b/>
                <w:lang w:val="da-DK"/>
              </w:rPr>
            </w:pPr>
          </w:p>
          <w:p w:rsidR="00B420AF" w:rsidRPr="009F1907" w:rsidRDefault="00B420AF" w:rsidP="00C9358D">
            <w:pPr>
              <w:spacing w:line="264" w:lineRule="auto"/>
              <w:rPr>
                <w:color w:val="000000"/>
                <w:lang w:val="da-DK"/>
              </w:rPr>
            </w:pPr>
            <w:r w:rsidRPr="009F1907">
              <w:rPr>
                <w:rStyle w:val="Fodnotehenvisning"/>
                <w:rFonts w:eastAsia="Arial Unicode MS"/>
                <w:color w:val="000000"/>
                <w:lang w:val="da-DK"/>
              </w:rPr>
              <w:t>I</w:t>
            </w:r>
            <w:r w:rsidRPr="009F1907">
              <w:rPr>
                <w:color w:val="000000"/>
                <w:lang w:val="da-DK"/>
              </w:rPr>
              <w:t xml:space="preserve"> </w:t>
            </w:r>
            <w:r>
              <w:rPr>
                <w:color w:val="000000"/>
                <w:lang w:val="da-DK"/>
              </w:rPr>
              <w:t>ligningsloven</w:t>
            </w:r>
            <w:r w:rsidRPr="009F1907">
              <w:rPr>
                <w:color w:val="000000"/>
                <w:lang w:val="da-DK"/>
              </w:rPr>
              <w:t>, jf. lovbekendtgørelse nr.</w:t>
            </w:r>
            <w:r w:rsidR="00DD2F55">
              <w:rPr>
                <w:color w:val="000000"/>
                <w:lang w:val="da-DK"/>
              </w:rPr>
              <w:t xml:space="preserve"> </w:t>
            </w:r>
            <w:r>
              <w:rPr>
                <w:color w:val="000000"/>
                <w:lang w:val="da-DK"/>
              </w:rPr>
              <w:t>405 af 22. april 2013, som ændret senest ved § 2 i lov nr. 748 af 25. juni 2014, f</w:t>
            </w:r>
            <w:r>
              <w:rPr>
                <w:color w:val="000000"/>
                <w:lang w:val="da-DK"/>
              </w:rPr>
              <w:t>o</w:t>
            </w:r>
            <w:r>
              <w:rPr>
                <w:color w:val="000000"/>
                <w:lang w:val="da-DK"/>
              </w:rPr>
              <w:t xml:space="preserve">retages følgende </w:t>
            </w:r>
            <w:r w:rsidRPr="009F1907">
              <w:rPr>
                <w:color w:val="000000"/>
                <w:lang w:val="da-DK"/>
              </w:rPr>
              <w:t>ændring:</w:t>
            </w:r>
          </w:p>
          <w:p w:rsidR="00B420AF" w:rsidRPr="009F1907" w:rsidRDefault="00B420AF" w:rsidP="00C9358D">
            <w:pPr>
              <w:spacing w:line="264" w:lineRule="auto"/>
              <w:rPr>
                <w:color w:val="000000"/>
                <w:lang w:val="da-DK"/>
              </w:rPr>
            </w:pPr>
          </w:p>
          <w:p w:rsidR="00B420AF" w:rsidRDefault="00B420AF" w:rsidP="00C9358D">
            <w:pPr>
              <w:tabs>
                <w:tab w:val="left" w:pos="0"/>
                <w:tab w:val="left" w:pos="284"/>
              </w:tabs>
              <w:spacing w:line="264" w:lineRule="auto"/>
              <w:rPr>
                <w:bCs/>
                <w:color w:val="000000"/>
                <w:lang w:val="da-DK"/>
              </w:rPr>
            </w:pPr>
            <w:r w:rsidRPr="009F1907">
              <w:rPr>
                <w:b/>
                <w:bCs/>
                <w:color w:val="000000"/>
                <w:lang w:val="da-DK"/>
              </w:rPr>
              <w:t xml:space="preserve">1. </w:t>
            </w:r>
            <w:r w:rsidRPr="00FE40BF">
              <w:rPr>
                <w:bCs/>
                <w:color w:val="000000"/>
                <w:lang w:val="da-DK"/>
              </w:rPr>
              <w:t>I</w:t>
            </w:r>
            <w:r>
              <w:rPr>
                <w:b/>
                <w:bCs/>
                <w:color w:val="000000"/>
                <w:lang w:val="da-DK"/>
              </w:rPr>
              <w:t xml:space="preserve"> </w:t>
            </w:r>
            <w:r>
              <w:rPr>
                <w:bCs/>
                <w:i/>
                <w:color w:val="000000"/>
                <w:lang w:val="da-DK"/>
              </w:rPr>
              <w:t xml:space="preserve">§ 13, stk. 1, 2. pkt., </w:t>
            </w:r>
            <w:r>
              <w:rPr>
                <w:bCs/>
                <w:color w:val="000000"/>
                <w:lang w:val="da-DK"/>
              </w:rPr>
              <w:t>ændres ”3.000 kr.” til: ”6.000 kr.”</w:t>
            </w:r>
          </w:p>
          <w:p w:rsidR="00B420AF" w:rsidRDefault="00B420AF" w:rsidP="00C9358D">
            <w:pPr>
              <w:tabs>
                <w:tab w:val="left" w:pos="284"/>
              </w:tabs>
              <w:spacing w:line="264" w:lineRule="auto"/>
              <w:rPr>
                <w:b/>
                <w:color w:val="000000"/>
                <w:lang w:val="da-DK"/>
              </w:rPr>
            </w:pPr>
          </w:p>
          <w:p w:rsidR="00B420AF" w:rsidRDefault="00B420AF" w:rsidP="00C9358D">
            <w:pPr>
              <w:spacing w:line="264" w:lineRule="auto"/>
              <w:ind w:left="3600" w:firstLine="720"/>
              <w:rPr>
                <w:b/>
                <w:color w:val="000000"/>
                <w:lang w:val="da-DK"/>
              </w:rPr>
            </w:pPr>
            <w:r>
              <w:rPr>
                <w:b/>
                <w:color w:val="000000"/>
                <w:lang w:val="da-DK"/>
              </w:rPr>
              <w:t xml:space="preserve">§ </w:t>
            </w:r>
          </w:p>
          <w:p w:rsidR="00B420AF" w:rsidRDefault="00B420AF" w:rsidP="00C9358D">
            <w:pPr>
              <w:spacing w:line="264" w:lineRule="auto"/>
              <w:ind w:left="3600" w:firstLine="720"/>
              <w:rPr>
                <w:b/>
                <w:color w:val="000000"/>
                <w:lang w:val="da-DK"/>
              </w:rPr>
            </w:pPr>
          </w:p>
          <w:p w:rsidR="00B420AF" w:rsidRDefault="00B420AF" w:rsidP="00C9358D">
            <w:pPr>
              <w:spacing w:line="264" w:lineRule="auto"/>
              <w:ind w:left="3600" w:firstLine="720"/>
              <w:rPr>
                <w:b/>
                <w:color w:val="000000"/>
                <w:lang w:val="da-DK"/>
              </w:rPr>
            </w:pPr>
          </w:p>
          <w:p w:rsidR="00B420AF" w:rsidRDefault="00B420AF" w:rsidP="00C9358D">
            <w:pPr>
              <w:spacing w:line="264" w:lineRule="auto"/>
              <w:ind w:left="3600" w:firstLine="720"/>
              <w:rPr>
                <w:b/>
                <w:color w:val="000000"/>
                <w:lang w:val="da-DK"/>
              </w:rPr>
            </w:pPr>
          </w:p>
          <w:p w:rsidR="00B420AF" w:rsidRDefault="00B420AF" w:rsidP="00C9358D">
            <w:pPr>
              <w:spacing w:line="264" w:lineRule="auto"/>
              <w:ind w:left="3600" w:firstLine="720"/>
              <w:rPr>
                <w:b/>
                <w:color w:val="000000"/>
                <w:lang w:val="da-DK"/>
              </w:rPr>
            </w:pPr>
          </w:p>
          <w:p w:rsidR="00B420AF" w:rsidRDefault="00B420AF" w:rsidP="00C9358D">
            <w:pPr>
              <w:spacing w:line="264" w:lineRule="auto"/>
              <w:ind w:left="3600" w:firstLine="720"/>
              <w:rPr>
                <w:b/>
                <w:color w:val="000000"/>
                <w:lang w:val="da-DK"/>
              </w:rPr>
            </w:pPr>
          </w:p>
          <w:p w:rsidR="00B420AF" w:rsidRPr="00B420AF" w:rsidRDefault="00B420AF" w:rsidP="00C9358D">
            <w:pPr>
              <w:spacing w:line="264" w:lineRule="auto"/>
              <w:ind w:left="3600" w:firstLine="720"/>
              <w:rPr>
                <w:color w:val="000000"/>
                <w:lang w:val="da-DK"/>
              </w:rPr>
            </w:pPr>
            <w:r>
              <w:rPr>
                <w:b/>
                <w:color w:val="000000"/>
                <w:lang w:val="da-DK"/>
              </w:rPr>
              <w:t>2</w:t>
            </w:r>
          </w:p>
          <w:p w:rsidR="00B420AF" w:rsidRDefault="00B420AF" w:rsidP="00C9358D">
            <w:pPr>
              <w:tabs>
                <w:tab w:val="left" w:pos="284"/>
              </w:tabs>
              <w:spacing w:line="264" w:lineRule="auto"/>
              <w:rPr>
                <w:b/>
                <w:color w:val="000000"/>
                <w:lang w:val="da-DK"/>
              </w:rPr>
            </w:pPr>
          </w:p>
          <w:p w:rsidR="00B420AF" w:rsidRDefault="00B420AF" w:rsidP="00C9358D">
            <w:pPr>
              <w:tabs>
                <w:tab w:val="left" w:pos="284"/>
              </w:tabs>
              <w:spacing w:line="264" w:lineRule="auto"/>
              <w:rPr>
                <w:b/>
                <w:color w:val="000000"/>
                <w:lang w:val="da-DK"/>
              </w:rPr>
            </w:pPr>
          </w:p>
          <w:p w:rsidR="00B420AF" w:rsidRDefault="00B420AF" w:rsidP="00C9358D">
            <w:pPr>
              <w:tabs>
                <w:tab w:val="left" w:pos="284"/>
              </w:tabs>
              <w:spacing w:line="264" w:lineRule="auto"/>
              <w:rPr>
                <w:b/>
                <w:color w:val="000000"/>
                <w:lang w:val="da-DK"/>
              </w:rPr>
            </w:pPr>
          </w:p>
          <w:p w:rsidR="00032D78" w:rsidRDefault="00032D78" w:rsidP="00C9358D">
            <w:pPr>
              <w:tabs>
                <w:tab w:val="left" w:pos="284"/>
              </w:tabs>
              <w:spacing w:line="264" w:lineRule="auto"/>
              <w:rPr>
                <w:b/>
                <w:color w:val="000000"/>
                <w:lang w:val="da-DK"/>
              </w:rPr>
            </w:pPr>
          </w:p>
          <w:p w:rsidR="00032D78" w:rsidRDefault="00032D78" w:rsidP="00C9358D">
            <w:pPr>
              <w:tabs>
                <w:tab w:val="left" w:pos="284"/>
              </w:tabs>
              <w:spacing w:line="264" w:lineRule="auto"/>
              <w:rPr>
                <w:b/>
                <w:color w:val="000000"/>
                <w:lang w:val="da-DK"/>
              </w:rPr>
            </w:pPr>
          </w:p>
          <w:p w:rsidR="00032D78" w:rsidRDefault="00032D78" w:rsidP="00C9358D">
            <w:pPr>
              <w:tabs>
                <w:tab w:val="left" w:pos="284"/>
              </w:tabs>
              <w:spacing w:line="264" w:lineRule="auto"/>
              <w:rPr>
                <w:b/>
                <w:color w:val="000000"/>
                <w:lang w:val="da-DK"/>
              </w:rPr>
            </w:pPr>
          </w:p>
          <w:p w:rsidR="00032D78" w:rsidRDefault="00032D78" w:rsidP="00C9358D">
            <w:pPr>
              <w:tabs>
                <w:tab w:val="left" w:pos="284"/>
              </w:tabs>
              <w:spacing w:line="264" w:lineRule="auto"/>
              <w:rPr>
                <w:b/>
                <w:color w:val="000000"/>
                <w:lang w:val="da-DK"/>
              </w:rPr>
            </w:pPr>
          </w:p>
          <w:p w:rsidR="00032D78" w:rsidRDefault="00032D78" w:rsidP="00C9358D">
            <w:pPr>
              <w:tabs>
                <w:tab w:val="left" w:pos="284"/>
              </w:tabs>
              <w:spacing w:line="264" w:lineRule="auto"/>
              <w:rPr>
                <w:b/>
                <w:color w:val="000000"/>
                <w:lang w:val="da-DK"/>
              </w:rPr>
            </w:pPr>
          </w:p>
          <w:p w:rsidR="00B420AF" w:rsidRDefault="00B420AF" w:rsidP="00C9358D">
            <w:pPr>
              <w:tabs>
                <w:tab w:val="left" w:pos="284"/>
              </w:tabs>
              <w:spacing w:line="264" w:lineRule="auto"/>
              <w:rPr>
                <w:b/>
                <w:color w:val="000000"/>
                <w:lang w:val="da-DK"/>
              </w:rPr>
            </w:pPr>
          </w:p>
          <w:p w:rsidR="00B420AF" w:rsidRDefault="00B420AF" w:rsidP="00C9358D">
            <w:pPr>
              <w:tabs>
                <w:tab w:val="left" w:pos="284"/>
              </w:tabs>
              <w:spacing w:line="264" w:lineRule="auto"/>
              <w:jc w:val="center"/>
              <w:rPr>
                <w:b/>
                <w:color w:val="000000"/>
                <w:lang w:val="da-DK"/>
              </w:rPr>
            </w:pPr>
            <w:r>
              <w:rPr>
                <w:b/>
                <w:color w:val="000000"/>
                <w:lang w:val="da-DK"/>
              </w:rPr>
              <w:t>§ 2</w:t>
            </w:r>
          </w:p>
          <w:p w:rsidR="00B420AF" w:rsidRPr="009F1907" w:rsidRDefault="00B420AF" w:rsidP="00C9358D">
            <w:pPr>
              <w:spacing w:line="264" w:lineRule="auto"/>
              <w:rPr>
                <w:i/>
                <w:iCs/>
                <w:color w:val="000000"/>
                <w:lang w:val="da-DK"/>
              </w:rPr>
            </w:pPr>
          </w:p>
          <w:p w:rsidR="00B420AF" w:rsidRPr="009F1907" w:rsidRDefault="00B420AF" w:rsidP="00C9358D">
            <w:pPr>
              <w:tabs>
                <w:tab w:val="left" w:pos="284"/>
              </w:tabs>
              <w:spacing w:line="264" w:lineRule="auto"/>
              <w:rPr>
                <w:iCs/>
                <w:color w:val="000000"/>
                <w:lang w:val="da-DK"/>
              </w:rPr>
            </w:pPr>
            <w:r w:rsidRPr="009F1907">
              <w:rPr>
                <w:i/>
                <w:iCs/>
                <w:color w:val="000000"/>
                <w:lang w:val="da-DK"/>
              </w:rPr>
              <w:tab/>
              <w:t xml:space="preserve">Stk. 1. </w:t>
            </w:r>
            <w:r w:rsidRPr="009F1907">
              <w:rPr>
                <w:iCs/>
                <w:color w:val="000000"/>
                <w:lang w:val="da-DK"/>
              </w:rPr>
              <w:t xml:space="preserve">Loven træder i kraft </w:t>
            </w:r>
            <w:r>
              <w:rPr>
                <w:iCs/>
                <w:color w:val="000000"/>
                <w:lang w:val="da-DK"/>
              </w:rPr>
              <w:t>dagen efter bekendtgørelsen i Lovtidende.</w:t>
            </w:r>
          </w:p>
          <w:p w:rsidR="00B420AF" w:rsidRDefault="00B420AF" w:rsidP="00C9358D">
            <w:pPr>
              <w:tabs>
                <w:tab w:val="left" w:pos="284"/>
              </w:tabs>
              <w:spacing w:line="264" w:lineRule="auto"/>
              <w:rPr>
                <w:iCs/>
                <w:color w:val="000000"/>
                <w:lang w:val="da-DK"/>
              </w:rPr>
            </w:pPr>
            <w:r w:rsidRPr="009F1907">
              <w:rPr>
                <w:i/>
                <w:iCs/>
                <w:color w:val="000000"/>
                <w:lang w:val="da-DK"/>
              </w:rPr>
              <w:tab/>
              <w:t>Stk. 2.</w:t>
            </w:r>
            <w:r w:rsidRPr="009F1907">
              <w:rPr>
                <w:iCs/>
                <w:color w:val="000000"/>
                <w:lang w:val="da-DK"/>
              </w:rPr>
              <w:t xml:space="preserve"> </w:t>
            </w:r>
            <w:r>
              <w:rPr>
                <w:iCs/>
                <w:color w:val="000000"/>
                <w:lang w:val="da-DK"/>
              </w:rPr>
              <w:t>Loven har virkning f</w:t>
            </w:r>
            <w:r w:rsidR="00995DE0">
              <w:rPr>
                <w:iCs/>
                <w:color w:val="000000"/>
                <w:lang w:val="da-DK"/>
              </w:rPr>
              <w:t>ra og med</w:t>
            </w:r>
            <w:r>
              <w:rPr>
                <w:iCs/>
                <w:color w:val="000000"/>
                <w:lang w:val="da-DK"/>
              </w:rPr>
              <w:t xml:space="preserve"> indkomståret 2015.</w:t>
            </w:r>
          </w:p>
          <w:p w:rsidR="001A4FFA" w:rsidRPr="00507E80" w:rsidRDefault="001A4FFA" w:rsidP="00C9358D">
            <w:pPr>
              <w:tabs>
                <w:tab w:val="left" w:pos="216"/>
              </w:tabs>
              <w:spacing w:line="264" w:lineRule="auto"/>
              <w:rPr>
                <w:i/>
                <w:iCs/>
                <w:color w:val="000000"/>
                <w:sz w:val="28"/>
                <w:lang w:val="da-DK"/>
              </w:rPr>
            </w:pPr>
            <w:r>
              <w:rPr>
                <w:i/>
                <w:iCs/>
                <w:lang w:val="da-DK"/>
              </w:rPr>
              <w:tab/>
            </w:r>
            <w:r w:rsidRPr="00507E80">
              <w:rPr>
                <w:i/>
                <w:iCs/>
                <w:lang w:val="da-DK"/>
              </w:rPr>
              <w:t>Stk. 3.</w:t>
            </w:r>
            <w:r w:rsidRPr="00507E80">
              <w:rPr>
                <w:iCs/>
                <w:lang w:val="da-DK"/>
              </w:rPr>
              <w:t xml:space="preserve"> Ved opgørelsen af en kommunes slutskat og kirkeskat for indkomståret </w:t>
            </w:r>
            <w:r w:rsidRPr="00507E80">
              <w:rPr>
                <w:iCs/>
                <w:lang w:val="da-DK"/>
              </w:rPr>
              <w:lastRenderedPageBreak/>
              <w:t>2015 efter § 16 i</w:t>
            </w:r>
            <w:r>
              <w:rPr>
                <w:iCs/>
                <w:lang w:val="da-DK"/>
              </w:rPr>
              <w:t xml:space="preserve"> </w:t>
            </w:r>
            <w:r w:rsidRPr="00507E80">
              <w:rPr>
                <w:iCs/>
                <w:lang w:val="da-DK"/>
              </w:rPr>
              <w:t>lov om kommunal in</w:t>
            </w:r>
            <w:r w:rsidRPr="00507E80">
              <w:rPr>
                <w:iCs/>
                <w:lang w:val="da-DK"/>
              </w:rPr>
              <w:t>d</w:t>
            </w:r>
            <w:r w:rsidRPr="00507E80">
              <w:rPr>
                <w:iCs/>
                <w:lang w:val="da-DK"/>
              </w:rPr>
              <w:t>komstskat korrigeres den opgjorte slutskat for den beregnede virkning af de ændri</w:t>
            </w:r>
            <w:r w:rsidRPr="00507E80">
              <w:rPr>
                <w:iCs/>
                <w:lang w:val="da-DK"/>
              </w:rPr>
              <w:t>n</w:t>
            </w:r>
            <w:r w:rsidRPr="00507E80">
              <w:rPr>
                <w:iCs/>
                <w:lang w:val="da-DK"/>
              </w:rPr>
              <w:t>ger i udskrivningsgrundlaget for komm</w:t>
            </w:r>
            <w:r w:rsidRPr="00507E80">
              <w:rPr>
                <w:iCs/>
                <w:lang w:val="da-DK"/>
              </w:rPr>
              <w:t>u</w:t>
            </w:r>
            <w:r w:rsidRPr="00507E80">
              <w:rPr>
                <w:iCs/>
                <w:lang w:val="da-DK"/>
              </w:rPr>
              <w:t xml:space="preserve">neskat og kirkeskat for 2015, der følger af </w:t>
            </w:r>
            <w:r>
              <w:rPr>
                <w:iCs/>
                <w:lang w:val="da-DK"/>
              </w:rPr>
              <w:t>ligningslovens</w:t>
            </w:r>
            <w:r w:rsidRPr="00507E80">
              <w:rPr>
                <w:iCs/>
                <w:lang w:val="da-DK"/>
              </w:rPr>
              <w:t xml:space="preserve"> § </w:t>
            </w:r>
            <w:r>
              <w:rPr>
                <w:iCs/>
                <w:lang w:val="da-DK"/>
              </w:rPr>
              <w:t>13</w:t>
            </w:r>
            <w:r w:rsidRPr="00507E80">
              <w:rPr>
                <w:iCs/>
                <w:lang w:val="da-DK"/>
              </w:rPr>
              <w:t>, stk.</w:t>
            </w:r>
            <w:r>
              <w:rPr>
                <w:iCs/>
                <w:lang w:val="da-DK"/>
              </w:rPr>
              <w:t>1</w:t>
            </w:r>
            <w:r w:rsidRPr="00507E80">
              <w:rPr>
                <w:iCs/>
                <w:lang w:val="da-DK"/>
              </w:rPr>
              <w:t>,</w:t>
            </w:r>
            <w:r>
              <w:rPr>
                <w:iCs/>
                <w:lang w:val="da-DK"/>
              </w:rPr>
              <w:t xml:space="preserve"> 2.</w:t>
            </w:r>
            <w:r w:rsidR="008F77DE">
              <w:rPr>
                <w:iCs/>
                <w:lang w:val="da-DK"/>
              </w:rPr>
              <w:t xml:space="preserve"> </w:t>
            </w:r>
            <w:r>
              <w:rPr>
                <w:iCs/>
                <w:lang w:val="da-DK"/>
              </w:rPr>
              <w:t>pkt.</w:t>
            </w:r>
            <w:r w:rsidRPr="00507E80">
              <w:rPr>
                <w:iCs/>
                <w:lang w:val="da-DK"/>
              </w:rPr>
              <w:t xml:space="preserve">, </w:t>
            </w:r>
            <w:r w:rsidR="008F77DE">
              <w:rPr>
                <w:iCs/>
                <w:lang w:val="da-DK"/>
              </w:rPr>
              <w:t xml:space="preserve">som ændret ved </w:t>
            </w:r>
            <w:r w:rsidRPr="00507E80">
              <w:rPr>
                <w:iCs/>
                <w:lang w:val="da-DK"/>
              </w:rPr>
              <w:t>denne lovs § 1</w:t>
            </w:r>
            <w:r w:rsidR="008F77DE">
              <w:rPr>
                <w:iCs/>
                <w:lang w:val="da-DK"/>
              </w:rPr>
              <w:t>, nr. 1</w:t>
            </w:r>
            <w:r w:rsidRPr="00507E80">
              <w:rPr>
                <w:iCs/>
                <w:lang w:val="da-DK"/>
              </w:rPr>
              <w:t>.</w:t>
            </w:r>
          </w:p>
          <w:p w:rsidR="001A4FFA" w:rsidRDefault="001A4FFA" w:rsidP="00C9358D">
            <w:pPr>
              <w:tabs>
                <w:tab w:val="left" w:pos="284"/>
              </w:tabs>
              <w:spacing w:line="264" w:lineRule="auto"/>
              <w:rPr>
                <w:i/>
                <w:iCs/>
                <w:color w:val="000000"/>
                <w:sz w:val="28"/>
                <w:lang w:val="da-DK"/>
              </w:rPr>
            </w:pPr>
            <w:r>
              <w:rPr>
                <w:i/>
                <w:iCs/>
                <w:lang w:val="da-DK"/>
              </w:rPr>
              <w:tab/>
            </w:r>
            <w:r w:rsidRPr="00507E80">
              <w:rPr>
                <w:i/>
                <w:iCs/>
                <w:lang w:val="da-DK"/>
              </w:rPr>
              <w:t>Stk. 4.</w:t>
            </w:r>
            <w:r w:rsidRPr="00507E80">
              <w:rPr>
                <w:iCs/>
                <w:lang w:val="da-DK"/>
              </w:rPr>
              <w:t xml:space="preserve"> Den beregnede korrektion af kommunens slutskat og kirkeskat efter stk. 3 fastsættes af økonomi- og inde</w:t>
            </w:r>
            <w:r w:rsidRPr="00507E80">
              <w:rPr>
                <w:iCs/>
                <w:lang w:val="da-DK"/>
              </w:rPr>
              <w:t>n</w:t>
            </w:r>
            <w:r w:rsidRPr="00507E80">
              <w:rPr>
                <w:iCs/>
                <w:lang w:val="da-DK"/>
              </w:rPr>
              <w:t>rigsministeren på grundlag af de oply</w:t>
            </w:r>
            <w:r w:rsidRPr="00507E80">
              <w:rPr>
                <w:iCs/>
                <w:lang w:val="da-DK"/>
              </w:rPr>
              <w:t>s</w:t>
            </w:r>
            <w:r w:rsidRPr="00507E80">
              <w:rPr>
                <w:iCs/>
                <w:lang w:val="da-DK"/>
              </w:rPr>
              <w:t>ninger vedrørende indkomståret 2015, der foreligger pr. 1. maj 2017.</w:t>
            </w:r>
          </w:p>
          <w:p w:rsidR="00601778" w:rsidRPr="00B420AF" w:rsidRDefault="00601778" w:rsidP="00C9358D">
            <w:pPr>
              <w:spacing w:line="264" w:lineRule="auto"/>
              <w:rPr>
                <w:b/>
                <w:bCs/>
                <w:lang w:val="da-DK"/>
              </w:rPr>
            </w:pPr>
          </w:p>
        </w:tc>
      </w:tr>
    </w:tbl>
    <w:p w:rsidR="00601778" w:rsidRPr="00B420AF" w:rsidRDefault="00601778" w:rsidP="00601778">
      <w:pPr>
        <w:rPr>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73D00">
      <w:pPr>
        <w:tabs>
          <w:tab w:val="left" w:pos="0"/>
          <w:tab w:val="left" w:pos="900"/>
        </w:tabs>
        <w:spacing w:line="288" w:lineRule="auto"/>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6355D" w:rsidRPr="009F1907" w:rsidRDefault="0036355D" w:rsidP="0036355D">
      <w:pPr>
        <w:tabs>
          <w:tab w:val="left" w:pos="0"/>
          <w:tab w:val="left" w:pos="900"/>
        </w:tabs>
        <w:spacing w:line="288" w:lineRule="auto"/>
        <w:jc w:val="right"/>
        <w:rPr>
          <w:b/>
          <w:bCs/>
          <w:color w:val="000000"/>
          <w:lang w:val="da-DK"/>
        </w:rPr>
      </w:pPr>
      <w:r w:rsidRPr="009F1907">
        <w:rPr>
          <w:color w:val="000000"/>
          <w:lang w:val="da-DK"/>
        </w:rPr>
        <w:tab/>
      </w:r>
      <w:r w:rsidRPr="009F1907">
        <w:rPr>
          <w:color w:val="000000"/>
          <w:lang w:val="da-DK"/>
        </w:rPr>
        <w:tab/>
      </w:r>
      <w:r w:rsidRPr="009F1907">
        <w:rPr>
          <w:color w:val="000000"/>
          <w:lang w:val="da-DK"/>
        </w:rPr>
        <w:tab/>
      </w:r>
      <w:r w:rsidRPr="009F1907">
        <w:rPr>
          <w:color w:val="000000"/>
          <w:lang w:val="da-DK"/>
        </w:rPr>
        <w:tab/>
      </w:r>
    </w:p>
    <w:sectPr w:rsidR="0036355D" w:rsidRPr="009F1907" w:rsidSect="00621B84">
      <w:headerReference w:type="default" r:id="rId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E4" w:rsidRDefault="00A85EE4" w:rsidP="00CD6DE5">
      <w:r>
        <w:separator/>
      </w:r>
    </w:p>
  </w:endnote>
  <w:endnote w:type="continuationSeparator" w:id="0">
    <w:p w:rsidR="00A85EE4" w:rsidRDefault="00A85EE4" w:rsidP="00CD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E4" w:rsidRDefault="00A85EE4" w:rsidP="00CD6DE5">
      <w:r>
        <w:separator/>
      </w:r>
    </w:p>
  </w:footnote>
  <w:footnote w:type="continuationSeparator" w:id="0">
    <w:p w:rsidR="00A85EE4" w:rsidRDefault="00A85EE4" w:rsidP="00CD6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BF" w:rsidRDefault="00FE40BF">
    <w:pPr>
      <w:pStyle w:val="Sidehoved"/>
      <w:jc w:val="center"/>
    </w:pPr>
    <w:r>
      <w:fldChar w:fldCharType="begin"/>
    </w:r>
    <w:r>
      <w:instrText>PAGE   \* MERGEFORMAT</w:instrText>
    </w:r>
    <w:r>
      <w:fldChar w:fldCharType="separate"/>
    </w:r>
    <w:r w:rsidR="00DC27F4" w:rsidRPr="00DC27F4">
      <w:rPr>
        <w:noProof/>
        <w:lang w:val="da-DK"/>
      </w:rPr>
      <w:t>5</w:t>
    </w:r>
    <w:r>
      <w:fldChar w:fldCharType="end"/>
    </w:r>
  </w:p>
  <w:p w:rsidR="00FE40BF" w:rsidRDefault="00FE40BF">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autoHyphenation/>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E84"/>
    <w:rsid w:val="00002536"/>
    <w:rsid w:val="0002019B"/>
    <w:rsid w:val="000268DF"/>
    <w:rsid w:val="00032D78"/>
    <w:rsid w:val="00071C89"/>
    <w:rsid w:val="0008218E"/>
    <w:rsid w:val="000A485D"/>
    <w:rsid w:val="000B0BA5"/>
    <w:rsid w:val="000D47F7"/>
    <w:rsid w:val="000E3C9A"/>
    <w:rsid w:val="000F37FB"/>
    <w:rsid w:val="00105821"/>
    <w:rsid w:val="00107175"/>
    <w:rsid w:val="001113B2"/>
    <w:rsid w:val="001128BE"/>
    <w:rsid w:val="00112A9C"/>
    <w:rsid w:val="001169AC"/>
    <w:rsid w:val="00126746"/>
    <w:rsid w:val="00136602"/>
    <w:rsid w:val="00155992"/>
    <w:rsid w:val="00180A15"/>
    <w:rsid w:val="001948BE"/>
    <w:rsid w:val="001A1E72"/>
    <w:rsid w:val="001A2DAA"/>
    <w:rsid w:val="001A4FFA"/>
    <w:rsid w:val="001C5AB2"/>
    <w:rsid w:val="001D31C2"/>
    <w:rsid w:val="001E482D"/>
    <w:rsid w:val="00215FA8"/>
    <w:rsid w:val="00216DD9"/>
    <w:rsid w:val="00276BEC"/>
    <w:rsid w:val="002A64E2"/>
    <w:rsid w:val="002B1EA9"/>
    <w:rsid w:val="002B24BF"/>
    <w:rsid w:val="002C1DB3"/>
    <w:rsid w:val="002C2138"/>
    <w:rsid w:val="002D122E"/>
    <w:rsid w:val="002D1237"/>
    <w:rsid w:val="002E7500"/>
    <w:rsid w:val="002F5444"/>
    <w:rsid w:val="00345BD5"/>
    <w:rsid w:val="00354FCF"/>
    <w:rsid w:val="0036355D"/>
    <w:rsid w:val="00367779"/>
    <w:rsid w:val="00372151"/>
    <w:rsid w:val="00373D00"/>
    <w:rsid w:val="0037602B"/>
    <w:rsid w:val="003760DC"/>
    <w:rsid w:val="003866B9"/>
    <w:rsid w:val="003B6A6E"/>
    <w:rsid w:val="003B7FDB"/>
    <w:rsid w:val="003C2D99"/>
    <w:rsid w:val="003C75F6"/>
    <w:rsid w:val="003D1021"/>
    <w:rsid w:val="003D3D3A"/>
    <w:rsid w:val="003F2684"/>
    <w:rsid w:val="004061F4"/>
    <w:rsid w:val="00421554"/>
    <w:rsid w:val="004222F5"/>
    <w:rsid w:val="004477F5"/>
    <w:rsid w:val="00454BB9"/>
    <w:rsid w:val="004820C6"/>
    <w:rsid w:val="004A1454"/>
    <w:rsid w:val="004D2147"/>
    <w:rsid w:val="004E5C3C"/>
    <w:rsid w:val="00503B02"/>
    <w:rsid w:val="00507E80"/>
    <w:rsid w:val="00512DF2"/>
    <w:rsid w:val="0051448F"/>
    <w:rsid w:val="00515C4D"/>
    <w:rsid w:val="00543670"/>
    <w:rsid w:val="005462CC"/>
    <w:rsid w:val="00553698"/>
    <w:rsid w:val="00556A54"/>
    <w:rsid w:val="00557D32"/>
    <w:rsid w:val="0056045E"/>
    <w:rsid w:val="00576E93"/>
    <w:rsid w:val="00591D84"/>
    <w:rsid w:val="005959B1"/>
    <w:rsid w:val="005B3EE0"/>
    <w:rsid w:val="005C6027"/>
    <w:rsid w:val="005E6B2D"/>
    <w:rsid w:val="005F7A13"/>
    <w:rsid w:val="006002BB"/>
    <w:rsid w:val="00601778"/>
    <w:rsid w:val="00607980"/>
    <w:rsid w:val="00621B84"/>
    <w:rsid w:val="00633828"/>
    <w:rsid w:val="00641A90"/>
    <w:rsid w:val="00647E47"/>
    <w:rsid w:val="00650380"/>
    <w:rsid w:val="00684A98"/>
    <w:rsid w:val="0068755D"/>
    <w:rsid w:val="006A027B"/>
    <w:rsid w:val="006A722A"/>
    <w:rsid w:val="006B31AB"/>
    <w:rsid w:val="006B5BDF"/>
    <w:rsid w:val="006B7DC6"/>
    <w:rsid w:val="006D7E22"/>
    <w:rsid w:val="006F03B1"/>
    <w:rsid w:val="006F303C"/>
    <w:rsid w:val="0070425C"/>
    <w:rsid w:val="0071267B"/>
    <w:rsid w:val="00713D6B"/>
    <w:rsid w:val="00722194"/>
    <w:rsid w:val="00732A9D"/>
    <w:rsid w:val="00772093"/>
    <w:rsid w:val="00773A07"/>
    <w:rsid w:val="00780CB7"/>
    <w:rsid w:val="007C348F"/>
    <w:rsid w:val="007E5FC2"/>
    <w:rsid w:val="007F13AE"/>
    <w:rsid w:val="007F6CBE"/>
    <w:rsid w:val="00830496"/>
    <w:rsid w:val="00831870"/>
    <w:rsid w:val="00840772"/>
    <w:rsid w:val="008471E9"/>
    <w:rsid w:val="0085319D"/>
    <w:rsid w:val="00861A3F"/>
    <w:rsid w:val="008A3092"/>
    <w:rsid w:val="008C4F30"/>
    <w:rsid w:val="008F21D6"/>
    <w:rsid w:val="008F2BAA"/>
    <w:rsid w:val="008F77DE"/>
    <w:rsid w:val="00910A2B"/>
    <w:rsid w:val="0091309C"/>
    <w:rsid w:val="009134E5"/>
    <w:rsid w:val="00922A06"/>
    <w:rsid w:val="00924711"/>
    <w:rsid w:val="00925984"/>
    <w:rsid w:val="00930E84"/>
    <w:rsid w:val="00952D31"/>
    <w:rsid w:val="00965223"/>
    <w:rsid w:val="00965D89"/>
    <w:rsid w:val="00980AD4"/>
    <w:rsid w:val="0099267F"/>
    <w:rsid w:val="00992EA8"/>
    <w:rsid w:val="00995DE0"/>
    <w:rsid w:val="009B640C"/>
    <w:rsid w:val="009B6B41"/>
    <w:rsid w:val="009D7B30"/>
    <w:rsid w:val="00A03C91"/>
    <w:rsid w:val="00A25859"/>
    <w:rsid w:val="00A3710A"/>
    <w:rsid w:val="00A37B31"/>
    <w:rsid w:val="00A462DB"/>
    <w:rsid w:val="00A51395"/>
    <w:rsid w:val="00A61556"/>
    <w:rsid w:val="00A6498B"/>
    <w:rsid w:val="00A8332E"/>
    <w:rsid w:val="00A85EE4"/>
    <w:rsid w:val="00AA0F2C"/>
    <w:rsid w:val="00AC0584"/>
    <w:rsid w:val="00AC1CBB"/>
    <w:rsid w:val="00AC5155"/>
    <w:rsid w:val="00AC5498"/>
    <w:rsid w:val="00AD1F15"/>
    <w:rsid w:val="00AD75C5"/>
    <w:rsid w:val="00AF4F03"/>
    <w:rsid w:val="00B00099"/>
    <w:rsid w:val="00B0255F"/>
    <w:rsid w:val="00B170A8"/>
    <w:rsid w:val="00B2199C"/>
    <w:rsid w:val="00B27CF2"/>
    <w:rsid w:val="00B420AF"/>
    <w:rsid w:val="00B46140"/>
    <w:rsid w:val="00B479E4"/>
    <w:rsid w:val="00B53EEF"/>
    <w:rsid w:val="00B602F8"/>
    <w:rsid w:val="00B663A2"/>
    <w:rsid w:val="00B666D5"/>
    <w:rsid w:val="00B81D51"/>
    <w:rsid w:val="00B83C06"/>
    <w:rsid w:val="00B8559E"/>
    <w:rsid w:val="00B94925"/>
    <w:rsid w:val="00BA2EDF"/>
    <w:rsid w:val="00BA4560"/>
    <w:rsid w:val="00BC61DF"/>
    <w:rsid w:val="00BE1A10"/>
    <w:rsid w:val="00BF7700"/>
    <w:rsid w:val="00C12558"/>
    <w:rsid w:val="00C32EAA"/>
    <w:rsid w:val="00C443DB"/>
    <w:rsid w:val="00C6155C"/>
    <w:rsid w:val="00C75C60"/>
    <w:rsid w:val="00C9358D"/>
    <w:rsid w:val="00CA337E"/>
    <w:rsid w:val="00CA438E"/>
    <w:rsid w:val="00CB6F17"/>
    <w:rsid w:val="00CC11AE"/>
    <w:rsid w:val="00CC1234"/>
    <w:rsid w:val="00CD12E0"/>
    <w:rsid w:val="00CD6DE5"/>
    <w:rsid w:val="00CE0FF3"/>
    <w:rsid w:val="00CE31F8"/>
    <w:rsid w:val="00CF0A85"/>
    <w:rsid w:val="00CF51C6"/>
    <w:rsid w:val="00CF7A0C"/>
    <w:rsid w:val="00D0289E"/>
    <w:rsid w:val="00D07B06"/>
    <w:rsid w:val="00D21BCE"/>
    <w:rsid w:val="00D257CF"/>
    <w:rsid w:val="00D6204C"/>
    <w:rsid w:val="00D7712A"/>
    <w:rsid w:val="00D81D6B"/>
    <w:rsid w:val="00D941FC"/>
    <w:rsid w:val="00DA2A11"/>
    <w:rsid w:val="00DA2B86"/>
    <w:rsid w:val="00DA6219"/>
    <w:rsid w:val="00DC27F4"/>
    <w:rsid w:val="00DC5592"/>
    <w:rsid w:val="00DC5A6E"/>
    <w:rsid w:val="00DD2F55"/>
    <w:rsid w:val="00DD6BB4"/>
    <w:rsid w:val="00DD6E9F"/>
    <w:rsid w:val="00DE30E0"/>
    <w:rsid w:val="00DF3425"/>
    <w:rsid w:val="00E02996"/>
    <w:rsid w:val="00E04573"/>
    <w:rsid w:val="00E15E7E"/>
    <w:rsid w:val="00E2064C"/>
    <w:rsid w:val="00E260F0"/>
    <w:rsid w:val="00E30C98"/>
    <w:rsid w:val="00E439FB"/>
    <w:rsid w:val="00E447CA"/>
    <w:rsid w:val="00E64731"/>
    <w:rsid w:val="00E649D3"/>
    <w:rsid w:val="00E80059"/>
    <w:rsid w:val="00EA1B0A"/>
    <w:rsid w:val="00ED0E2C"/>
    <w:rsid w:val="00ED5993"/>
    <w:rsid w:val="00EE3051"/>
    <w:rsid w:val="00EF2CDA"/>
    <w:rsid w:val="00EF5F8D"/>
    <w:rsid w:val="00EF78DF"/>
    <w:rsid w:val="00F00B09"/>
    <w:rsid w:val="00F01F42"/>
    <w:rsid w:val="00F14F2D"/>
    <w:rsid w:val="00F165A3"/>
    <w:rsid w:val="00F16EAC"/>
    <w:rsid w:val="00F24413"/>
    <w:rsid w:val="00F4749E"/>
    <w:rsid w:val="00F64B13"/>
    <w:rsid w:val="00F815C6"/>
    <w:rsid w:val="00F827AF"/>
    <w:rsid w:val="00FA596F"/>
    <w:rsid w:val="00FB180D"/>
    <w:rsid w:val="00FD700F"/>
    <w:rsid w:val="00FE3914"/>
    <w:rsid w:val="00FE40BF"/>
    <w:rsid w:val="00FE7D55"/>
    <w:rsid w:val="00FF420B"/>
    <w:rsid w:val="00FF7A8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Overskrift2">
    <w:name w:val="heading 2"/>
    <w:basedOn w:val="Normal"/>
    <w:next w:val="Normal"/>
    <w:link w:val="Overskrift2Tegn"/>
    <w:semiHidden/>
    <w:unhideWhenUsed/>
    <w:qFormat/>
    <w:rsid w:val="000268DF"/>
    <w:pPr>
      <w:keepNext/>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jc w:val="both"/>
      <w:outlineLvl w:val="1"/>
    </w:pPr>
    <w:rPr>
      <w:rFonts w:ascii="Arial" w:eastAsia="Arial Unicode MS" w:hAnsi="Arial" w:cs="Arial"/>
      <w:sz w:val="30"/>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semiHidden/>
    <w:rsid w:val="000268DF"/>
    <w:rPr>
      <w:rFonts w:ascii="Arial" w:eastAsia="Arial Unicode MS" w:hAnsi="Arial" w:cs="Arial"/>
      <w:sz w:val="30"/>
      <w:szCs w:val="24"/>
    </w:rPr>
  </w:style>
  <w:style w:type="character" w:styleId="Hyperlink">
    <w:name w:val="Hyperlink"/>
    <w:semiHidden/>
    <w:unhideWhenUsed/>
    <w:rsid w:val="000268DF"/>
    <w:rPr>
      <w:color w:val="0000FF"/>
      <w:u w:val="single"/>
    </w:rPr>
  </w:style>
  <w:style w:type="paragraph" w:styleId="Fodnotetekst">
    <w:name w:val="footnote text"/>
    <w:basedOn w:val="Normal"/>
    <w:link w:val="FodnotetekstTegn"/>
    <w:unhideWhenUsed/>
    <w:rsid w:val="000268DF"/>
    <w:pPr>
      <w:widowControl w:val="0"/>
      <w:autoSpaceDE w:val="0"/>
      <w:autoSpaceDN w:val="0"/>
      <w:adjustRightInd w:val="0"/>
    </w:pPr>
    <w:rPr>
      <w:sz w:val="20"/>
      <w:szCs w:val="20"/>
      <w:lang w:val="da-DK" w:eastAsia="da-DK"/>
    </w:rPr>
  </w:style>
  <w:style w:type="character" w:customStyle="1" w:styleId="FodnotetekstTegn">
    <w:name w:val="Fodnotetekst Tegn"/>
    <w:basedOn w:val="Standardskrifttypeiafsnit"/>
    <w:link w:val="Fodnotetekst"/>
    <w:rsid w:val="000268DF"/>
  </w:style>
  <w:style w:type="paragraph" w:styleId="Sidefod">
    <w:name w:val="footer"/>
    <w:basedOn w:val="Normal"/>
    <w:link w:val="SidefodTegn"/>
    <w:unhideWhenUsed/>
    <w:rsid w:val="000268DF"/>
    <w:pPr>
      <w:widowControl w:val="0"/>
      <w:tabs>
        <w:tab w:val="center" w:pos="4819"/>
        <w:tab w:val="right" w:pos="9638"/>
      </w:tabs>
      <w:autoSpaceDE w:val="0"/>
      <w:autoSpaceDN w:val="0"/>
      <w:adjustRightInd w:val="0"/>
    </w:pPr>
    <w:rPr>
      <w:sz w:val="20"/>
      <w:lang w:val="da-DK" w:eastAsia="da-DK"/>
    </w:rPr>
  </w:style>
  <w:style w:type="character" w:customStyle="1" w:styleId="SidefodTegn">
    <w:name w:val="Sidefod Tegn"/>
    <w:link w:val="Sidefod"/>
    <w:rsid w:val="000268DF"/>
    <w:rPr>
      <w:szCs w:val="24"/>
    </w:rPr>
  </w:style>
  <w:style w:type="character" w:styleId="Fodnotehenvisning">
    <w:name w:val="footnote reference"/>
    <w:semiHidden/>
    <w:unhideWhenUsed/>
    <w:rsid w:val="000268DF"/>
  </w:style>
  <w:style w:type="paragraph" w:styleId="Markeringsbobletekst">
    <w:name w:val="Balloon Text"/>
    <w:basedOn w:val="Normal"/>
    <w:link w:val="MarkeringsbobletekstTegn"/>
    <w:uiPriority w:val="99"/>
    <w:semiHidden/>
    <w:unhideWhenUsed/>
    <w:rsid w:val="00DE30E0"/>
    <w:rPr>
      <w:rFonts w:ascii="Tahoma" w:hAnsi="Tahoma" w:cs="Tahoma"/>
      <w:sz w:val="16"/>
      <w:szCs w:val="16"/>
    </w:rPr>
  </w:style>
  <w:style w:type="character" w:customStyle="1" w:styleId="MarkeringsbobletekstTegn">
    <w:name w:val="Markeringsbobletekst Tegn"/>
    <w:link w:val="Markeringsbobletekst"/>
    <w:uiPriority w:val="99"/>
    <w:semiHidden/>
    <w:rsid w:val="00DE30E0"/>
    <w:rPr>
      <w:rFonts w:ascii="Tahoma" w:hAnsi="Tahoma" w:cs="Tahoma"/>
      <w:sz w:val="16"/>
      <w:szCs w:val="16"/>
      <w:lang w:val="en-GB" w:eastAsia="en-US"/>
    </w:rPr>
  </w:style>
  <w:style w:type="paragraph" w:styleId="Sidehoved">
    <w:name w:val="header"/>
    <w:basedOn w:val="Normal"/>
    <w:link w:val="SidehovedTegn"/>
    <w:uiPriority w:val="99"/>
    <w:unhideWhenUsed/>
    <w:rsid w:val="00F165A3"/>
    <w:pPr>
      <w:tabs>
        <w:tab w:val="center" w:pos="4819"/>
        <w:tab w:val="right" w:pos="9638"/>
      </w:tabs>
    </w:pPr>
  </w:style>
  <w:style w:type="character" w:customStyle="1" w:styleId="SidehovedTegn">
    <w:name w:val="Sidehoved Tegn"/>
    <w:link w:val="Sidehoved"/>
    <w:uiPriority w:val="99"/>
    <w:rsid w:val="00F165A3"/>
    <w:rPr>
      <w:sz w:val="24"/>
      <w:szCs w:val="24"/>
      <w:lang w:val="en-GB" w:eastAsia="en-US"/>
    </w:rPr>
  </w:style>
  <w:style w:type="paragraph" w:customStyle="1" w:styleId="Modtageradresseibrevhoved">
    <w:name w:val="Modtageradresse i brevhoved"/>
    <w:basedOn w:val="Brdtekst"/>
    <w:rsid w:val="00CC11AE"/>
    <w:pPr>
      <w:spacing w:after="0" w:line="240" w:lineRule="atLeast"/>
    </w:pPr>
    <w:rPr>
      <w:rFonts w:ascii="Garamond" w:hAnsi="Garamond"/>
      <w:kern w:val="18"/>
      <w:sz w:val="20"/>
      <w:szCs w:val="20"/>
      <w:lang w:val="da-DK" w:eastAsia="da-DK"/>
    </w:rPr>
  </w:style>
  <w:style w:type="paragraph" w:styleId="Brdtekst">
    <w:name w:val="Body Text"/>
    <w:basedOn w:val="Normal"/>
    <w:link w:val="BrdtekstTegn"/>
    <w:uiPriority w:val="99"/>
    <w:semiHidden/>
    <w:unhideWhenUsed/>
    <w:rsid w:val="00CC11AE"/>
    <w:pPr>
      <w:spacing w:after="120"/>
    </w:pPr>
  </w:style>
  <w:style w:type="character" w:customStyle="1" w:styleId="BrdtekstTegn">
    <w:name w:val="Brødtekst Tegn"/>
    <w:link w:val="Brdtekst"/>
    <w:uiPriority w:val="99"/>
    <w:semiHidden/>
    <w:rsid w:val="00CC11AE"/>
    <w:rPr>
      <w:sz w:val="24"/>
      <w:szCs w:val="24"/>
      <w:lang w:val="en-GB" w:eastAsia="en-US"/>
    </w:rPr>
  </w:style>
  <w:style w:type="paragraph" w:customStyle="1" w:styleId="Default">
    <w:name w:val="Default"/>
    <w:rsid w:val="00E649D3"/>
    <w:pPr>
      <w:autoSpaceDE w:val="0"/>
      <w:autoSpaceDN w:val="0"/>
      <w:adjustRightInd w:val="0"/>
    </w:pPr>
    <w:rPr>
      <w:color w:val="000000"/>
      <w:sz w:val="24"/>
      <w:szCs w:val="24"/>
    </w:rPr>
  </w:style>
  <w:style w:type="paragraph" w:customStyle="1" w:styleId="paragraf">
    <w:name w:val="paragraf"/>
    <w:basedOn w:val="Normal"/>
    <w:rsid w:val="00126746"/>
    <w:pPr>
      <w:spacing w:before="200"/>
      <w:ind w:firstLine="240"/>
    </w:pPr>
    <w:rPr>
      <w:rFonts w:ascii="Tahoma" w:hAnsi="Tahoma" w:cs="Tahoma"/>
      <w:color w:val="000000"/>
      <w:lang w:val="da-DK" w:eastAsia="da-DK"/>
    </w:rPr>
  </w:style>
  <w:style w:type="paragraph" w:customStyle="1" w:styleId="stk2">
    <w:name w:val="stk2"/>
    <w:basedOn w:val="Normal"/>
    <w:rsid w:val="00126746"/>
    <w:pPr>
      <w:ind w:firstLine="240"/>
    </w:pPr>
    <w:rPr>
      <w:rFonts w:ascii="Tahoma" w:hAnsi="Tahoma" w:cs="Tahoma"/>
      <w:color w:val="000000"/>
      <w:lang w:val="da-DK" w:eastAsia="da-DK"/>
    </w:rPr>
  </w:style>
  <w:style w:type="character" w:customStyle="1" w:styleId="paragrafnr1">
    <w:name w:val="paragrafnr1"/>
    <w:rsid w:val="00126746"/>
    <w:rPr>
      <w:rFonts w:ascii="Tahoma" w:hAnsi="Tahoma" w:cs="Tahoma" w:hint="default"/>
      <w:b/>
      <w:bCs/>
      <w:color w:val="000000"/>
      <w:sz w:val="24"/>
      <w:szCs w:val="24"/>
      <w:shd w:val="clear" w:color="auto" w:fill="auto"/>
    </w:rPr>
  </w:style>
  <w:style w:type="character" w:customStyle="1" w:styleId="stknr1">
    <w:name w:val="stknr1"/>
    <w:rsid w:val="00126746"/>
    <w:rPr>
      <w:rFonts w:ascii="Tahoma" w:hAnsi="Tahoma" w:cs="Tahoma" w:hint="default"/>
      <w:i/>
      <w:iCs/>
      <w:color w:val="000000"/>
      <w:sz w:val="24"/>
      <w:szCs w:val="24"/>
      <w:shd w:val="clear" w:color="auto" w:fill="auto"/>
    </w:rPr>
  </w:style>
  <w:style w:type="character" w:styleId="Kommentarhenvisning">
    <w:name w:val="annotation reference"/>
    <w:basedOn w:val="Standardskrifttypeiafsnit"/>
    <w:rsid w:val="002F5444"/>
    <w:rPr>
      <w:sz w:val="16"/>
      <w:szCs w:val="16"/>
    </w:rPr>
  </w:style>
  <w:style w:type="paragraph" w:styleId="Kommentartekst">
    <w:name w:val="annotation text"/>
    <w:basedOn w:val="Normal"/>
    <w:link w:val="KommentartekstTegn"/>
    <w:rsid w:val="002F5444"/>
    <w:pPr>
      <w:widowControl w:val="0"/>
      <w:autoSpaceDE w:val="0"/>
      <w:autoSpaceDN w:val="0"/>
      <w:adjustRightInd w:val="0"/>
    </w:pPr>
    <w:rPr>
      <w:sz w:val="20"/>
      <w:szCs w:val="20"/>
      <w:lang w:val="da-DK" w:eastAsia="da-DK"/>
    </w:rPr>
  </w:style>
  <w:style w:type="character" w:customStyle="1" w:styleId="KommentartekstTegn">
    <w:name w:val="Kommentartekst Tegn"/>
    <w:basedOn w:val="Standardskrifttypeiafsnit"/>
    <w:link w:val="Kommentartekst"/>
    <w:rsid w:val="002F54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599">
      <w:bodyDiv w:val="1"/>
      <w:marLeft w:val="0"/>
      <w:marRight w:val="0"/>
      <w:marTop w:val="0"/>
      <w:marBottom w:val="0"/>
      <w:divBdr>
        <w:top w:val="none" w:sz="0" w:space="0" w:color="auto"/>
        <w:left w:val="none" w:sz="0" w:space="0" w:color="auto"/>
        <w:bottom w:val="none" w:sz="0" w:space="0" w:color="auto"/>
        <w:right w:val="none" w:sz="0" w:space="0" w:color="auto"/>
      </w:divBdr>
    </w:div>
    <w:div w:id="614293093">
      <w:bodyDiv w:val="1"/>
      <w:marLeft w:val="0"/>
      <w:marRight w:val="0"/>
      <w:marTop w:val="0"/>
      <w:marBottom w:val="0"/>
      <w:divBdr>
        <w:top w:val="none" w:sz="0" w:space="0" w:color="auto"/>
        <w:left w:val="none" w:sz="0" w:space="0" w:color="auto"/>
        <w:bottom w:val="none" w:sz="0" w:space="0" w:color="auto"/>
        <w:right w:val="none" w:sz="0" w:space="0" w:color="auto"/>
      </w:divBdr>
    </w:div>
    <w:div w:id="681706259">
      <w:bodyDiv w:val="1"/>
      <w:marLeft w:val="0"/>
      <w:marRight w:val="0"/>
      <w:marTop w:val="0"/>
      <w:marBottom w:val="0"/>
      <w:divBdr>
        <w:top w:val="none" w:sz="0" w:space="0" w:color="auto"/>
        <w:left w:val="none" w:sz="0" w:space="0" w:color="auto"/>
        <w:bottom w:val="none" w:sz="0" w:space="0" w:color="auto"/>
        <w:right w:val="none" w:sz="0" w:space="0" w:color="auto"/>
      </w:divBdr>
    </w:div>
    <w:div w:id="703792500">
      <w:bodyDiv w:val="1"/>
      <w:marLeft w:val="45"/>
      <w:marRight w:val="45"/>
      <w:marTop w:val="0"/>
      <w:marBottom w:val="0"/>
      <w:divBdr>
        <w:top w:val="none" w:sz="0" w:space="0" w:color="auto"/>
        <w:left w:val="none" w:sz="0" w:space="0" w:color="auto"/>
        <w:bottom w:val="none" w:sz="0" w:space="0" w:color="auto"/>
        <w:right w:val="none" w:sz="0" w:space="0" w:color="auto"/>
      </w:divBdr>
    </w:div>
    <w:div w:id="1413312143">
      <w:bodyDiv w:val="1"/>
      <w:marLeft w:val="0"/>
      <w:marRight w:val="0"/>
      <w:marTop w:val="0"/>
      <w:marBottom w:val="0"/>
      <w:divBdr>
        <w:top w:val="none" w:sz="0" w:space="0" w:color="auto"/>
        <w:left w:val="none" w:sz="0" w:space="0" w:color="auto"/>
        <w:bottom w:val="none" w:sz="0" w:space="0" w:color="auto"/>
        <w:right w:val="none" w:sz="0" w:space="0" w:color="auto"/>
      </w:divBdr>
    </w:div>
    <w:div w:id="1427113897">
      <w:bodyDiv w:val="1"/>
      <w:marLeft w:val="0"/>
      <w:marRight w:val="0"/>
      <w:marTop w:val="0"/>
      <w:marBottom w:val="0"/>
      <w:divBdr>
        <w:top w:val="none" w:sz="0" w:space="0" w:color="auto"/>
        <w:left w:val="none" w:sz="0" w:space="0" w:color="auto"/>
        <w:bottom w:val="none" w:sz="0" w:space="0" w:color="auto"/>
        <w:right w:val="none" w:sz="0" w:space="0" w:color="auto"/>
      </w:divBdr>
    </w:div>
    <w:div w:id="1500610104">
      <w:bodyDiv w:val="1"/>
      <w:marLeft w:val="0"/>
      <w:marRight w:val="0"/>
      <w:marTop w:val="0"/>
      <w:marBottom w:val="0"/>
      <w:divBdr>
        <w:top w:val="none" w:sz="0" w:space="0" w:color="auto"/>
        <w:left w:val="none" w:sz="0" w:space="0" w:color="auto"/>
        <w:bottom w:val="none" w:sz="0" w:space="0" w:color="auto"/>
        <w:right w:val="none" w:sz="0" w:space="0" w:color="auto"/>
      </w:divBdr>
    </w:div>
    <w:div w:id="1842501355">
      <w:bodyDiv w:val="1"/>
      <w:marLeft w:val="0"/>
      <w:marRight w:val="0"/>
      <w:marTop w:val="0"/>
      <w:marBottom w:val="0"/>
      <w:divBdr>
        <w:top w:val="none" w:sz="0" w:space="0" w:color="auto"/>
        <w:left w:val="none" w:sz="0" w:space="0" w:color="auto"/>
        <w:bottom w:val="none" w:sz="0" w:space="0" w:color="auto"/>
        <w:right w:val="none" w:sz="0" w:space="0" w:color="auto"/>
      </w:divBdr>
    </w:div>
    <w:div w:id="2043746334">
      <w:bodyDiv w:val="1"/>
      <w:marLeft w:val="0"/>
      <w:marRight w:val="0"/>
      <w:marTop w:val="0"/>
      <w:marBottom w:val="0"/>
      <w:divBdr>
        <w:top w:val="none" w:sz="0" w:space="0" w:color="auto"/>
        <w:left w:val="none" w:sz="0" w:space="0" w:color="auto"/>
        <w:bottom w:val="none" w:sz="0" w:space="0" w:color="auto"/>
        <w:right w:val="none" w:sz="0" w:space="0" w:color="auto"/>
      </w:divBdr>
    </w:div>
    <w:div w:id="2102485712">
      <w:bodyDiv w:val="1"/>
      <w:marLeft w:val="0"/>
      <w:marRight w:val="0"/>
      <w:marTop w:val="0"/>
      <w:marBottom w:val="0"/>
      <w:divBdr>
        <w:top w:val="none" w:sz="0" w:space="0" w:color="auto"/>
        <w:left w:val="none" w:sz="0" w:space="0" w:color="auto"/>
        <w:bottom w:val="none" w:sz="0" w:space="0" w:color="auto"/>
        <w:right w:val="none" w:sz="0" w:space="0" w:color="auto"/>
      </w:divBdr>
      <w:divsChild>
        <w:div w:id="1037125340">
          <w:marLeft w:val="0"/>
          <w:marRight w:val="0"/>
          <w:marTop w:val="0"/>
          <w:marBottom w:val="300"/>
          <w:divBdr>
            <w:top w:val="none" w:sz="0" w:space="0" w:color="auto"/>
            <w:left w:val="none" w:sz="0" w:space="0" w:color="auto"/>
            <w:bottom w:val="none" w:sz="0" w:space="0" w:color="auto"/>
            <w:right w:val="none" w:sz="0" w:space="0" w:color="auto"/>
          </w:divBdr>
          <w:divsChild>
            <w:div w:id="687413218">
              <w:marLeft w:val="0"/>
              <w:marRight w:val="0"/>
              <w:marTop w:val="0"/>
              <w:marBottom w:val="0"/>
              <w:divBdr>
                <w:top w:val="none" w:sz="0" w:space="0" w:color="auto"/>
                <w:left w:val="single" w:sz="6" w:space="1" w:color="FFFFFF"/>
                <w:bottom w:val="none" w:sz="0" w:space="0" w:color="auto"/>
                <w:right w:val="single" w:sz="6" w:space="1" w:color="FFFFFF"/>
              </w:divBdr>
              <w:divsChild>
                <w:div w:id="472450406">
                  <w:marLeft w:val="0"/>
                  <w:marRight w:val="0"/>
                  <w:marTop w:val="0"/>
                  <w:marBottom w:val="0"/>
                  <w:divBdr>
                    <w:top w:val="none" w:sz="0" w:space="0" w:color="auto"/>
                    <w:left w:val="none" w:sz="0" w:space="0" w:color="auto"/>
                    <w:bottom w:val="none" w:sz="0" w:space="0" w:color="auto"/>
                    <w:right w:val="none" w:sz="0" w:space="0" w:color="auto"/>
                  </w:divBdr>
                  <w:divsChild>
                    <w:div w:id="1183783605">
                      <w:marLeft w:val="0"/>
                      <w:marRight w:val="0"/>
                      <w:marTop w:val="0"/>
                      <w:marBottom w:val="0"/>
                      <w:divBdr>
                        <w:top w:val="none" w:sz="0" w:space="0" w:color="auto"/>
                        <w:left w:val="none" w:sz="0" w:space="0" w:color="auto"/>
                        <w:bottom w:val="none" w:sz="0" w:space="0" w:color="auto"/>
                        <w:right w:val="none" w:sz="0" w:space="0" w:color="auto"/>
                      </w:divBdr>
                      <w:divsChild>
                        <w:div w:id="1206986143">
                          <w:marLeft w:val="0"/>
                          <w:marRight w:val="0"/>
                          <w:marTop w:val="0"/>
                          <w:marBottom w:val="0"/>
                          <w:divBdr>
                            <w:top w:val="none" w:sz="0" w:space="0" w:color="auto"/>
                            <w:left w:val="none" w:sz="0" w:space="0" w:color="auto"/>
                            <w:bottom w:val="none" w:sz="0" w:space="0" w:color="auto"/>
                            <w:right w:val="none" w:sz="0" w:space="0" w:color="auto"/>
                          </w:divBdr>
                          <w:divsChild>
                            <w:div w:id="1499806356">
                              <w:marLeft w:val="0"/>
                              <w:marRight w:val="0"/>
                              <w:marTop w:val="0"/>
                              <w:marBottom w:val="0"/>
                              <w:divBdr>
                                <w:top w:val="none" w:sz="0" w:space="0" w:color="auto"/>
                                <w:left w:val="none" w:sz="0" w:space="0" w:color="auto"/>
                                <w:bottom w:val="none" w:sz="0" w:space="0" w:color="auto"/>
                                <w:right w:val="none" w:sz="0" w:space="0" w:color="auto"/>
                              </w:divBdr>
                              <w:divsChild>
                                <w:div w:id="2036078132">
                                  <w:marLeft w:val="0"/>
                                  <w:marRight w:val="0"/>
                                  <w:marTop w:val="0"/>
                                  <w:marBottom w:val="0"/>
                                  <w:divBdr>
                                    <w:top w:val="none" w:sz="0" w:space="0" w:color="auto"/>
                                    <w:left w:val="none" w:sz="0" w:space="0" w:color="auto"/>
                                    <w:bottom w:val="none" w:sz="0" w:space="0" w:color="auto"/>
                                    <w:right w:val="none" w:sz="0" w:space="0" w:color="auto"/>
                                  </w:divBdr>
                                  <w:divsChild>
                                    <w:div w:id="7187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1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1268-0161-46A0-B7C2-951AFA15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9</Pages>
  <Words>2014</Words>
  <Characters>12208</Characters>
  <Application>Microsoft Office Word</Application>
  <DocSecurity>0</DocSecurity>
  <Lines>230</Lines>
  <Paragraphs>65</Paragraphs>
  <ScaleCrop>false</ScaleCrop>
  <HeadingPairs>
    <vt:vector size="2" baseType="variant">
      <vt:variant>
        <vt:lpstr>Titel</vt:lpstr>
      </vt:variant>
      <vt:variant>
        <vt:i4>1</vt:i4>
      </vt:variant>
    </vt:vector>
  </HeadingPairs>
  <TitlesOfParts>
    <vt:vector size="1" baseType="lpstr">
      <vt:lpstr/>
    </vt:vector>
  </TitlesOfParts>
  <Company>Skatteministeriet</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Mads Borregaard</cp:lastModifiedBy>
  <cp:revision>4</cp:revision>
  <cp:lastPrinted>2014-09-12T06:42:00Z</cp:lastPrinted>
  <dcterms:created xsi:type="dcterms:W3CDTF">2014-09-18T10:59:00Z</dcterms:created>
  <dcterms:modified xsi:type="dcterms:W3CDTF">2014-09-19T08:27:00Z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C:\Users\w17829\AppData\Local\Temp\Scanjour\Captia\SJ20140919082553162 [DOK62096829].DOCX</vt:lpwstr>
  </property>
  <property fmtid="{D5CDD505-2E9C-101B-9397-08002B2CF9AE}" pid="3" name="title">
    <vt:lpwstr>Lovforslag om fradrag for fagforeningskontingenter 19-09-14 (DOK62096829)</vt:lpwstr>
  </property>
  <property fmtid="{D5CDD505-2E9C-101B-9397-08002B2CF9AE}" pid="4" name="command">
    <vt:lpwstr/>
  </property>
</Properties>
</file>