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78" w:type="dxa"/>
        <w:tblCellMar>
          <w:left w:w="0" w:type="dxa"/>
          <w:right w:w="0" w:type="dxa"/>
        </w:tblCellMar>
        <w:tblLook w:val="0620" w:firstRow="1" w:lastRow="0" w:firstColumn="0" w:lastColumn="0" w:noHBand="1" w:noVBand="1"/>
      </w:tblPr>
      <w:tblGrid>
        <w:gridCol w:w="6520"/>
        <w:gridCol w:w="3458"/>
      </w:tblGrid>
      <w:tr w:rsidR="00447719" w14:paraId="72AC6AE7" w14:textId="77777777" w:rsidTr="00213607">
        <w:trPr>
          <w:trHeight w:hRule="exact" w:val="1191"/>
        </w:trPr>
        <w:tc>
          <w:tcPr>
            <w:tcW w:w="6520" w:type="dxa"/>
            <w:tcMar>
              <w:right w:w="567" w:type="dxa"/>
            </w:tcMar>
          </w:tcPr>
          <w:p w14:paraId="18790768" w14:textId="77777777" w:rsidR="00447719" w:rsidRDefault="00E703D2" w:rsidP="00E54017">
            <w:pPr>
              <w:pStyle w:val="Template-Dokumenttype"/>
            </w:pPr>
            <w:bookmarkStart w:id="0" w:name="Dokumenttype" w:colFirst="0" w:colLast="0"/>
            <w:r>
              <w:t>Hørings</w:t>
            </w:r>
            <w:r w:rsidR="007C3067">
              <w:t>Notat</w:t>
            </w:r>
          </w:p>
        </w:tc>
        <w:tc>
          <w:tcPr>
            <w:tcW w:w="3458" w:type="dxa"/>
          </w:tcPr>
          <w:p w14:paraId="761DDCCC" w14:textId="77777777" w:rsidR="00447719" w:rsidRDefault="00447719" w:rsidP="00E54017">
            <w:pPr>
              <w:pStyle w:val="Template-Dokumenttype"/>
              <w:rPr>
                <w:noProof/>
                <w:lang w:eastAsia="da-DK"/>
              </w:rPr>
            </w:pPr>
          </w:p>
        </w:tc>
      </w:tr>
      <w:tr w:rsidR="00FF7F66" w14:paraId="5186237B" w14:textId="77777777" w:rsidTr="00213607">
        <w:trPr>
          <w:trHeight w:hRule="exact" w:val="1417"/>
        </w:trPr>
        <w:tc>
          <w:tcPr>
            <w:tcW w:w="6520" w:type="dxa"/>
            <w:tcMar>
              <w:bottom w:w="567" w:type="dxa"/>
              <w:right w:w="567" w:type="dxa"/>
            </w:tcMar>
          </w:tcPr>
          <w:p w14:paraId="5B8E163A" w14:textId="77777777" w:rsidR="00FF7F66" w:rsidRPr="00A519EC" w:rsidRDefault="00FF7F66" w:rsidP="00FF7F66">
            <w:pPr>
              <w:pStyle w:val="Normaludenluft"/>
            </w:pPr>
            <w:bookmarkStart w:id="1" w:name="Dokumentdato" w:colFirst="1" w:colLast="1"/>
            <w:bookmarkStart w:id="2" w:name="Brevmodtager" w:colFirst="0" w:colLast="0"/>
            <w:bookmarkEnd w:id="0"/>
          </w:p>
        </w:tc>
        <w:tc>
          <w:tcPr>
            <w:tcW w:w="3458" w:type="dxa"/>
          </w:tcPr>
          <w:p w14:paraId="74F7A814" w14:textId="7F1D19F5" w:rsidR="00FF7F66" w:rsidRDefault="00FF7F66" w:rsidP="00FF7F66">
            <w:pPr>
              <w:pStyle w:val="Template-Adresse"/>
            </w:pPr>
          </w:p>
          <w:p w14:paraId="5BF7EE84" w14:textId="77777777" w:rsidR="0038614C" w:rsidRDefault="0038614C" w:rsidP="000B2BA1">
            <w:pPr>
              <w:pStyle w:val="Template-Adresse"/>
            </w:pPr>
            <w:r>
              <w:t>J</w:t>
            </w:r>
            <w:r w:rsidR="000B2BA1">
              <w:t>-</w:t>
            </w:r>
            <w:r>
              <w:t>n</w:t>
            </w:r>
            <w:r w:rsidR="00E060F6">
              <w:t>r.</w:t>
            </w:r>
            <w:r>
              <w:t xml:space="preserve">: </w:t>
            </w:r>
            <w:r w:rsidR="001F41F6">
              <w:t>2022-820</w:t>
            </w:r>
          </w:p>
        </w:tc>
      </w:tr>
    </w:tbl>
    <w:bookmarkEnd w:id="1"/>
    <w:bookmarkEnd w:id="2"/>
    <w:p w14:paraId="220C043F" w14:textId="77777777" w:rsidR="00E703D2" w:rsidRPr="0038614C" w:rsidRDefault="00E703D2" w:rsidP="00E703D2">
      <w:pPr>
        <w:rPr>
          <w:rFonts w:ascii="Georgia" w:eastAsia="Times New Roman" w:hAnsi="Georgia"/>
          <w:b/>
          <w:color w:val="0D0D0D"/>
          <w:szCs w:val="20"/>
          <w:lang w:eastAsia="da-DK"/>
        </w:rPr>
      </w:pPr>
      <w:r w:rsidRPr="0038614C">
        <w:rPr>
          <w:rFonts w:ascii="Georgia" w:eastAsia="Times New Roman" w:hAnsi="Georgia"/>
          <w:b/>
          <w:color w:val="0D0D0D"/>
          <w:szCs w:val="20"/>
          <w:lang w:eastAsia="da-DK"/>
        </w:rPr>
        <w:t xml:space="preserve">Notat om de indkomne høringssvar vedrørende udkast til bekendtgørelse om </w:t>
      </w:r>
      <w:r w:rsidR="0038614C" w:rsidRPr="0038614C">
        <w:rPr>
          <w:b/>
        </w:rPr>
        <w:t xml:space="preserve">ordregiveres indgåelse af aftaler om retten til at virke som operatør af offentligt tilgængelige </w:t>
      </w:r>
      <w:bookmarkStart w:id="3" w:name="_GoBack"/>
      <w:bookmarkEnd w:id="3"/>
      <w:r w:rsidR="0038614C" w:rsidRPr="0038614C">
        <w:rPr>
          <w:b/>
        </w:rPr>
        <w:t>ladepunkter</w:t>
      </w:r>
    </w:p>
    <w:p w14:paraId="420BA134" w14:textId="77777777" w:rsidR="00E703D2" w:rsidRPr="00D73A21" w:rsidRDefault="00E703D2" w:rsidP="000A7150">
      <w:pPr>
        <w:rPr>
          <w:rFonts w:eastAsia="Times New Roman"/>
        </w:rPr>
      </w:pPr>
      <w:r w:rsidRPr="00D73A21">
        <w:rPr>
          <w:rFonts w:eastAsia="Times New Roman"/>
        </w:rPr>
        <w:t xml:space="preserve">Transportministeriet hørte den </w:t>
      </w:r>
      <w:r w:rsidR="001F41F6">
        <w:rPr>
          <w:rFonts w:eastAsia="Times New Roman"/>
        </w:rPr>
        <w:t>12. april</w:t>
      </w:r>
      <w:r w:rsidRPr="00D73A21">
        <w:rPr>
          <w:rFonts w:eastAsia="Times New Roman"/>
        </w:rPr>
        <w:t xml:space="preserve"> 2022 en række myndigheder og organisationer</w:t>
      </w:r>
      <w:r w:rsidR="00067E4B">
        <w:rPr>
          <w:rFonts w:eastAsia="Times New Roman"/>
        </w:rPr>
        <w:t xml:space="preserve"> </w:t>
      </w:r>
      <w:r w:rsidRPr="00D73A21">
        <w:rPr>
          <w:rFonts w:eastAsia="Times New Roman"/>
        </w:rPr>
        <w:t>over udkast til</w:t>
      </w:r>
      <w:r w:rsidRPr="00D73A21">
        <w:rPr>
          <w:rFonts w:eastAsia="Times New Roman"/>
          <w:b/>
          <w:szCs w:val="20"/>
          <w:lang w:eastAsia="da-DK"/>
        </w:rPr>
        <w:t xml:space="preserve"> </w:t>
      </w:r>
      <w:r w:rsidRPr="00D73A21">
        <w:rPr>
          <w:rFonts w:eastAsia="Times New Roman"/>
          <w:szCs w:val="20"/>
          <w:lang w:eastAsia="da-DK"/>
        </w:rPr>
        <w:t xml:space="preserve">bekendtgørelse om </w:t>
      </w:r>
      <w:r w:rsidR="001F41F6">
        <w:t>ordregiveres indgåelse af aftaler om retten til at virke som operatør af offentligt tilgængelige ladepunkter</w:t>
      </w:r>
      <w:r w:rsidRPr="00D73A21">
        <w:rPr>
          <w:rFonts w:eastAsia="Times New Roman"/>
        </w:rPr>
        <w:t xml:space="preserve">. Høringsfristen udløb den </w:t>
      </w:r>
      <w:r w:rsidR="001F41F6">
        <w:rPr>
          <w:rFonts w:eastAsia="Times New Roman"/>
        </w:rPr>
        <w:t>10. maj</w:t>
      </w:r>
      <w:r w:rsidRPr="00D73A21">
        <w:rPr>
          <w:rFonts w:eastAsia="Times New Roman"/>
        </w:rPr>
        <w:t xml:space="preserve"> 2022.</w:t>
      </w:r>
    </w:p>
    <w:p w14:paraId="53342A32" w14:textId="77777777" w:rsidR="00E703D2" w:rsidRPr="00D73A21" w:rsidRDefault="00E703D2" w:rsidP="000A7150">
      <w:pPr>
        <w:rPr>
          <w:rFonts w:eastAsia="Times New Roman"/>
        </w:rPr>
      </w:pPr>
      <w:r w:rsidRPr="00D73A21">
        <w:rPr>
          <w:rFonts w:eastAsia="Times New Roman"/>
        </w:rPr>
        <w:t xml:space="preserve">1. Følgende myndigheder og organisationer har afgivet bemærkninger til </w:t>
      </w:r>
      <w:r w:rsidR="00402D2D" w:rsidRPr="00D73A21">
        <w:rPr>
          <w:rFonts w:eastAsia="Times New Roman"/>
        </w:rPr>
        <w:t>bekendtgørelsen</w:t>
      </w:r>
      <w:r w:rsidRPr="00D73A21">
        <w:rPr>
          <w:rFonts w:eastAsia="Times New Roman"/>
        </w:rPr>
        <w:t xml:space="preserve">: </w:t>
      </w:r>
      <w:r w:rsidR="000A7150">
        <w:rPr>
          <w:rFonts w:eastAsia="Times New Roman"/>
        </w:rPr>
        <w:t>Dansk E-mobilitet</w:t>
      </w:r>
      <w:r w:rsidR="008008ED">
        <w:rPr>
          <w:rFonts w:eastAsia="Times New Roman"/>
        </w:rPr>
        <w:t xml:space="preserve"> (tidligere </w:t>
      </w:r>
      <w:r w:rsidR="008008ED">
        <w:t>Dansk Elbil Alliance)</w:t>
      </w:r>
      <w:r w:rsidR="000A7150">
        <w:rPr>
          <w:rFonts w:eastAsia="Times New Roman"/>
        </w:rPr>
        <w:t xml:space="preserve">, </w:t>
      </w:r>
      <w:r w:rsidR="000A7150">
        <w:t xml:space="preserve">Dansk Erhverv, </w:t>
      </w:r>
      <w:r w:rsidR="00A76414">
        <w:t xml:space="preserve">De Danske Bilimportører, Drivkraft Danmark, </w:t>
      </w:r>
      <w:proofErr w:type="spellStart"/>
      <w:r w:rsidR="00A76414">
        <w:t>E.On</w:t>
      </w:r>
      <w:proofErr w:type="spellEnd"/>
      <w:r w:rsidR="00A76414">
        <w:t>, FDEL, Forenede Danske Motorejere – FDM, Frederiksberg Komm</w:t>
      </w:r>
      <w:r w:rsidR="00A76414" w:rsidRPr="00E84A1F">
        <w:t xml:space="preserve">une, </w:t>
      </w:r>
      <w:r w:rsidR="000A7150" w:rsidRPr="00E84A1F">
        <w:t>KL</w:t>
      </w:r>
      <w:r w:rsidR="008008ED" w:rsidRPr="00E84A1F">
        <w:t xml:space="preserve">, Konkurrence- og Forbrugerstyrelsen </w:t>
      </w:r>
      <w:r w:rsidR="000A7150" w:rsidRPr="00E84A1F">
        <w:t>o</w:t>
      </w:r>
      <w:r w:rsidR="000A7150">
        <w:t xml:space="preserve">g </w:t>
      </w:r>
      <w:proofErr w:type="spellStart"/>
      <w:r w:rsidR="00A76414" w:rsidRPr="001E1403">
        <w:t>Sperto</w:t>
      </w:r>
      <w:proofErr w:type="spellEnd"/>
      <w:r w:rsidR="00A76414" w:rsidRPr="001E1403">
        <w:t xml:space="preserve"> ApS</w:t>
      </w:r>
      <w:r w:rsidR="000A7150">
        <w:t>.</w:t>
      </w:r>
      <w:r w:rsidR="00A76414">
        <w:t xml:space="preserve"> </w:t>
      </w:r>
    </w:p>
    <w:p w14:paraId="1343A5FF" w14:textId="77777777" w:rsidR="00E703D2" w:rsidRPr="00D73A21" w:rsidRDefault="00E703D2" w:rsidP="000A7150">
      <w:pPr>
        <w:rPr>
          <w:rFonts w:eastAsia="Times New Roman"/>
        </w:rPr>
      </w:pPr>
      <w:r w:rsidRPr="00D73A21">
        <w:rPr>
          <w:rFonts w:eastAsia="Times New Roman"/>
        </w:rPr>
        <w:t>2. Følgende myndigheder og organisati</w:t>
      </w:r>
      <w:r w:rsidR="00402D2D" w:rsidRPr="00D73A21">
        <w:rPr>
          <w:rFonts w:eastAsia="Times New Roman"/>
        </w:rPr>
        <w:t xml:space="preserve">oner har ikke haft bemærkninger </w:t>
      </w:r>
      <w:r w:rsidRPr="00D73A21">
        <w:rPr>
          <w:rFonts w:eastAsia="Times New Roman"/>
        </w:rPr>
        <w:t xml:space="preserve">til </w:t>
      </w:r>
      <w:r w:rsidR="00402D2D" w:rsidRPr="00D73A21">
        <w:rPr>
          <w:rFonts w:eastAsia="Times New Roman"/>
        </w:rPr>
        <w:t>bekendtgørelsen</w:t>
      </w:r>
      <w:r w:rsidRPr="00D73A21">
        <w:rPr>
          <w:rFonts w:eastAsia="Times New Roman"/>
        </w:rPr>
        <w:t xml:space="preserve">: </w:t>
      </w:r>
      <w:r w:rsidR="00A76414">
        <w:t>Dansk Bilbrancheråd,</w:t>
      </w:r>
      <w:r w:rsidR="00A76414" w:rsidRPr="00A76414">
        <w:t xml:space="preserve"> </w:t>
      </w:r>
      <w:r w:rsidR="00A76414">
        <w:t>Region Nordjylland, Region M</w:t>
      </w:r>
      <w:r w:rsidR="000A7150">
        <w:t xml:space="preserve">idtjylland og </w:t>
      </w:r>
      <w:r w:rsidR="00A76414">
        <w:t>Rigsrevisionen</w:t>
      </w:r>
      <w:r w:rsidR="000A7150">
        <w:t>.</w:t>
      </w:r>
    </w:p>
    <w:p w14:paraId="2543D558" w14:textId="77777777" w:rsidR="00D73A21" w:rsidRPr="00D73A21" w:rsidRDefault="00E703D2" w:rsidP="000A7150">
      <w:pPr>
        <w:rPr>
          <w:rFonts w:eastAsia="Times New Roman"/>
        </w:rPr>
      </w:pPr>
      <w:r w:rsidRPr="00D73A21">
        <w:rPr>
          <w:rFonts w:eastAsia="Times New Roman"/>
        </w:rPr>
        <w:t xml:space="preserve">3. Følgende myndigheder og organisationer har ikke afgivet høringssvar </w:t>
      </w:r>
      <w:r w:rsidR="00D73A21" w:rsidRPr="00D73A21">
        <w:rPr>
          <w:rFonts w:eastAsia="Times New Roman"/>
        </w:rPr>
        <w:t xml:space="preserve">til </w:t>
      </w:r>
      <w:r w:rsidR="00402D2D" w:rsidRPr="00D73A21">
        <w:rPr>
          <w:rFonts w:eastAsia="Times New Roman"/>
        </w:rPr>
        <w:t>bekendtgørelsen</w:t>
      </w:r>
      <w:r w:rsidRPr="00D73A21">
        <w:rPr>
          <w:rFonts w:eastAsia="Times New Roman"/>
        </w:rPr>
        <w:t xml:space="preserve">: </w:t>
      </w:r>
      <w:r w:rsidR="001E1403">
        <w:t xml:space="preserve">Arbejdstilsynet, AUTIG (Automobilbranchens Handels- og Industriforening), Bilbranchen, Biogas Danmark, Brintbranchen, Clever, Copenhagen Electric, Danmarks Motor Union, Danmarks Naturfredningsforening, Danmarks Rederiforening, Danmarks Statistik, Danske Havne, Danske Regioner, Dansk Bilforhandler Union, Dansk Energi, Dansk Erhvervsfremme, Dansk Industri (DI), Dansk </w:t>
      </w:r>
      <w:proofErr w:type="spellStart"/>
      <w:r w:rsidR="001E1403">
        <w:t>Ledningsejerforum</w:t>
      </w:r>
      <w:proofErr w:type="spellEnd"/>
      <w:r w:rsidR="001E1403">
        <w:t>, Dansk Parkeringsforening, Dansk Transport og Logistik – DTL, Dansk Vand- og Spildevandsforening</w:t>
      </w:r>
      <w:hyperlink r:id="rId8" w:history="1">
        <w:r w:rsidR="001E1403">
          <w:rPr>
            <w:rStyle w:val="Hyperlink"/>
          </w:rPr>
          <w:t>,</w:t>
        </w:r>
      </w:hyperlink>
      <w:r w:rsidR="001E1403">
        <w:t xml:space="preserve"> Dansk Vejforening, Datatilsynet, DI Transport, DPT, DTU Transport, Energiklagenævnet, Energinet, Energitilsynet, </w:t>
      </w:r>
      <w:proofErr w:type="spellStart"/>
      <w:r w:rsidR="001E1403">
        <w:t>ERFAgruppen</w:t>
      </w:r>
      <w:proofErr w:type="spellEnd"/>
      <w:r w:rsidR="001E1403">
        <w:t xml:space="preserve">-bilsyn, Foreningen af Vognimportører i Danmark,  Foreningen Tekniske Konsulenter for Vejtransport, Forsyningstilsynet, HMN Naturgas I/S, ITD, Landdistrikternes Fællesråd,  NOAH-Trafik, </w:t>
      </w:r>
      <w:proofErr w:type="spellStart"/>
      <w:r w:rsidR="001E1403" w:rsidRPr="001E1403">
        <w:t>Norlys</w:t>
      </w:r>
      <w:proofErr w:type="spellEnd"/>
      <w:r w:rsidR="001E1403">
        <w:t xml:space="preserve">, OK a.m.b.a., Rambøll, Rådet for Bæredygtig Trafik, Rådet for Sikker Trafik, </w:t>
      </w:r>
      <w:r w:rsidR="001E1403" w:rsidRPr="001E1403">
        <w:t>SEAS NV</w:t>
      </w:r>
      <w:r w:rsidR="001E1403">
        <w:t xml:space="preserve">E, </w:t>
      </w:r>
      <w:proofErr w:type="spellStart"/>
      <w:r w:rsidR="001E1403" w:rsidRPr="001E1403">
        <w:t>Share</w:t>
      </w:r>
      <w:proofErr w:type="spellEnd"/>
      <w:r w:rsidR="001E1403" w:rsidRPr="001E1403">
        <w:t xml:space="preserve"> Now</w:t>
      </w:r>
      <w:r w:rsidR="001E1403">
        <w:t xml:space="preserve">, </w:t>
      </w:r>
      <w:r w:rsidR="001E1403" w:rsidRPr="001E1403">
        <w:lastRenderedPageBreak/>
        <w:t>SLD</w:t>
      </w:r>
      <w:r w:rsidR="001E1403">
        <w:t xml:space="preserve">, </w:t>
      </w:r>
      <w:proofErr w:type="spellStart"/>
      <w:r w:rsidR="001E1403" w:rsidRPr="001E1403">
        <w:t>Spirii</w:t>
      </w:r>
      <w:proofErr w:type="spellEnd"/>
      <w:r w:rsidR="001E1403">
        <w:t xml:space="preserve">, </w:t>
      </w:r>
      <w:r w:rsidR="001E1403" w:rsidRPr="001E1403">
        <w:t>Teknisk Landsforbund</w:t>
      </w:r>
      <w:r w:rsidR="001E1403">
        <w:t xml:space="preserve">, Teknologisk Institut, </w:t>
      </w:r>
      <w:proofErr w:type="spellStart"/>
      <w:r w:rsidR="001E1403">
        <w:t>Tesla</w:t>
      </w:r>
      <w:proofErr w:type="spellEnd"/>
      <w:r w:rsidR="001E1403">
        <w:t>, Trafikforbundet, Viggo HQ ApS</w:t>
      </w:r>
      <w:r w:rsidR="00A76414">
        <w:t>, Ørsted A/S samt 3 af de 5 regioner og 97 af de 98 kommuner.</w:t>
      </w:r>
    </w:p>
    <w:p w14:paraId="365C632A" w14:textId="77777777" w:rsidR="00E703D2" w:rsidRDefault="00402D2D" w:rsidP="000A7150">
      <w:pPr>
        <w:rPr>
          <w:rFonts w:eastAsia="Times New Roman"/>
          <w:color w:val="0D0D0D"/>
        </w:rPr>
      </w:pPr>
      <w:r w:rsidRPr="00D73A21">
        <w:rPr>
          <w:rFonts w:eastAsia="Times New Roman"/>
        </w:rPr>
        <w:t xml:space="preserve">4. Følgende myndigheder og organisationer har afgivet høringssvar, men ikke fundet, at bekendtgørelsen har </w:t>
      </w:r>
      <w:r w:rsidR="00067E4B">
        <w:rPr>
          <w:rFonts w:eastAsia="Times New Roman"/>
        </w:rPr>
        <w:t xml:space="preserve">relevans for </w:t>
      </w:r>
      <w:r w:rsidRPr="00D73A21">
        <w:rPr>
          <w:rFonts w:eastAsia="Times New Roman"/>
        </w:rPr>
        <w:t>deres ansvarsområder</w:t>
      </w:r>
      <w:r w:rsidR="000A7150">
        <w:rPr>
          <w:rFonts w:eastAsia="Times New Roman"/>
        </w:rPr>
        <w:t xml:space="preserve"> eller vurderet, at stillingtagen til udkastet kan prioriteres</w:t>
      </w:r>
      <w:r w:rsidR="0003584C">
        <w:rPr>
          <w:rFonts w:eastAsia="Times New Roman"/>
        </w:rPr>
        <w:t xml:space="preserve"> blandt andre aktuelle opgaver</w:t>
      </w:r>
      <w:r w:rsidRPr="00D73A21">
        <w:rPr>
          <w:rFonts w:eastAsia="Times New Roman"/>
        </w:rPr>
        <w:t xml:space="preserve">: </w:t>
      </w:r>
      <w:r w:rsidR="000A7150">
        <w:t>Forbrugerrådet Tænk.</w:t>
      </w:r>
    </w:p>
    <w:p w14:paraId="11552611" w14:textId="77777777" w:rsidR="00E703D2" w:rsidRDefault="00E703D2" w:rsidP="000A7150">
      <w:pPr>
        <w:rPr>
          <w:rFonts w:ascii="Georgia" w:eastAsia="Times New Roman" w:hAnsi="Georgia"/>
          <w:b/>
          <w:color w:val="0D0D0D"/>
          <w:u w:val="single"/>
        </w:rPr>
      </w:pPr>
      <w:r>
        <w:rPr>
          <w:rFonts w:ascii="Georgia" w:eastAsia="Times New Roman" w:hAnsi="Georgia"/>
          <w:b/>
          <w:color w:val="0D0D0D"/>
          <w:u w:val="single"/>
        </w:rPr>
        <w:t>Bemærkninger til lovforslaget</w:t>
      </w:r>
    </w:p>
    <w:p w14:paraId="0AA20B8F" w14:textId="77777777" w:rsidR="00E703D2" w:rsidRDefault="00E703D2" w:rsidP="000A7150">
      <w:pPr>
        <w:rPr>
          <w:rFonts w:ascii="Georgia" w:eastAsia="Times New Roman" w:hAnsi="Georgia"/>
          <w:color w:val="0D0D0D"/>
        </w:rPr>
      </w:pPr>
      <w:r>
        <w:rPr>
          <w:rFonts w:ascii="Georgia" w:eastAsia="Times New Roman" w:hAnsi="Georgia"/>
          <w:color w:val="0D0D0D"/>
        </w:rPr>
        <w:t>I det følgende gengives hovedindholdet af de modtagne høringssvar til udkastet til bekendtgørelsen samt Transportministeriets bemærkninger hertil.</w:t>
      </w:r>
    </w:p>
    <w:p w14:paraId="05A214F7" w14:textId="77777777" w:rsidR="00E703D2" w:rsidRDefault="00067E4B" w:rsidP="000A7150">
      <w:pPr>
        <w:rPr>
          <w:rFonts w:ascii="Georgia" w:eastAsia="Times New Roman" w:hAnsi="Georgia"/>
          <w:color w:val="0D0D0D"/>
        </w:rPr>
      </w:pPr>
      <w:r>
        <w:rPr>
          <w:rFonts w:ascii="Georgia" w:eastAsia="Times New Roman" w:hAnsi="Georgia"/>
          <w:color w:val="0D0D0D"/>
        </w:rPr>
        <w:t>T</w:t>
      </w:r>
      <w:r w:rsidR="00E703D2">
        <w:rPr>
          <w:rFonts w:ascii="Georgia" w:eastAsia="Times New Roman" w:hAnsi="Georgia"/>
          <w:color w:val="0D0D0D"/>
        </w:rPr>
        <w:t>ransportministeriet kan for en fuldstændig gennemgang af samtlige indsendte synspunkter henvise til høringssvarene, som offentliggøres på Høringsportalen.dk.</w:t>
      </w:r>
    </w:p>
    <w:p w14:paraId="360AFB0F" w14:textId="77777777" w:rsidR="00E703D2" w:rsidRDefault="00F20385" w:rsidP="000A7150">
      <w:pPr>
        <w:rPr>
          <w:rFonts w:ascii="Georgia" w:eastAsia="Times New Roman" w:hAnsi="Georgia"/>
          <w:b/>
          <w:color w:val="0D0D0D"/>
        </w:rPr>
      </w:pPr>
      <w:r>
        <w:rPr>
          <w:rFonts w:ascii="Georgia" w:eastAsia="Times New Roman" w:hAnsi="Georgia"/>
          <w:b/>
          <w:color w:val="0D0D0D"/>
        </w:rPr>
        <w:t>1. Generelle bemærkninger</w:t>
      </w:r>
    </w:p>
    <w:p w14:paraId="5E4E322F" w14:textId="77777777" w:rsidR="004330A6" w:rsidRDefault="004330A6" w:rsidP="0003584C">
      <w:pPr>
        <w:rPr>
          <w:rFonts w:ascii="Georgia" w:eastAsiaTheme="minorHAnsi" w:hAnsi="Georgia"/>
          <w:color w:val="auto"/>
          <w:sz w:val="22"/>
          <w:szCs w:val="22"/>
          <w:u w:val="single"/>
        </w:rPr>
      </w:pPr>
      <w:r w:rsidRPr="007607D0">
        <w:rPr>
          <w:u w:val="single"/>
        </w:rPr>
        <w:t>Forenede Danske Motorejere – FDM</w:t>
      </w:r>
      <w:r>
        <w:t xml:space="preserve"> anfører, at d</w:t>
      </w:r>
      <w:r w:rsidRPr="004330A6">
        <w:rPr>
          <w:rFonts w:eastAsiaTheme="minorHAnsi"/>
        </w:rPr>
        <w:t xml:space="preserve">er </w:t>
      </w:r>
      <w:r>
        <w:rPr>
          <w:rFonts w:eastAsiaTheme="minorHAnsi"/>
        </w:rPr>
        <w:t xml:space="preserve">ikke er </w:t>
      </w:r>
      <w:r w:rsidRPr="004330A6">
        <w:rPr>
          <w:rFonts w:eastAsiaTheme="minorHAnsi"/>
        </w:rPr>
        <w:t xml:space="preserve">tvivl om, at et velfungerende </w:t>
      </w:r>
      <w:proofErr w:type="spellStart"/>
      <w:r w:rsidRPr="004330A6">
        <w:rPr>
          <w:rFonts w:eastAsiaTheme="minorHAnsi"/>
        </w:rPr>
        <w:t>lademarked</w:t>
      </w:r>
      <w:proofErr w:type="spellEnd"/>
      <w:r w:rsidRPr="004330A6">
        <w:rPr>
          <w:rFonts w:eastAsiaTheme="minorHAnsi"/>
        </w:rPr>
        <w:t xml:space="preserve"> med den fornødne gennemskuelig</w:t>
      </w:r>
      <w:r w:rsidR="00C56C0A">
        <w:rPr>
          <w:rFonts w:eastAsiaTheme="minorHAnsi"/>
        </w:rPr>
        <w:t>hed</w:t>
      </w:r>
      <w:r w:rsidRPr="004330A6">
        <w:rPr>
          <w:rFonts w:eastAsiaTheme="minorHAnsi"/>
        </w:rPr>
        <w:t xml:space="preserve"> og forbrugersikkerhed er afgørende for den grønne omstillings succes på transportområdet. Markedet for opladning er dog endnu ikke et fuldt ud modnet marked med høj konkurrence mellem udbyderne. Selvom FDM principielt er imod prisregulering, er</w:t>
      </w:r>
      <w:r w:rsidR="007607D0">
        <w:rPr>
          <w:rFonts w:eastAsiaTheme="minorHAnsi"/>
        </w:rPr>
        <w:t xml:space="preserve"> anerkender</w:t>
      </w:r>
      <w:r w:rsidRPr="004330A6">
        <w:rPr>
          <w:rFonts w:eastAsiaTheme="minorHAnsi"/>
        </w:rPr>
        <w:t xml:space="preserve"> </w:t>
      </w:r>
      <w:r w:rsidR="007607D0">
        <w:rPr>
          <w:rFonts w:eastAsiaTheme="minorHAnsi"/>
        </w:rPr>
        <w:t>FDM</w:t>
      </w:r>
      <w:r w:rsidRPr="004330A6">
        <w:rPr>
          <w:rFonts w:eastAsiaTheme="minorHAnsi"/>
        </w:rPr>
        <w:t xml:space="preserve"> dog, at </w:t>
      </w:r>
      <w:r w:rsidR="007607D0">
        <w:rPr>
          <w:rFonts w:eastAsiaTheme="minorHAnsi"/>
        </w:rPr>
        <w:t>det kan være</w:t>
      </w:r>
      <w:r w:rsidRPr="004330A6">
        <w:rPr>
          <w:rFonts w:eastAsiaTheme="minorHAnsi"/>
        </w:rPr>
        <w:t xml:space="preserve"> nødvendigt </w:t>
      </w:r>
      <w:r w:rsidR="007607D0">
        <w:rPr>
          <w:rFonts w:eastAsiaTheme="minorHAnsi"/>
        </w:rPr>
        <w:t xml:space="preserve">for </w:t>
      </w:r>
      <w:r w:rsidRPr="004330A6">
        <w:rPr>
          <w:rFonts w:eastAsiaTheme="minorHAnsi"/>
        </w:rPr>
        <w:t xml:space="preserve">at </w:t>
      </w:r>
      <w:r w:rsidR="007607D0">
        <w:rPr>
          <w:rFonts w:eastAsiaTheme="minorHAnsi"/>
        </w:rPr>
        <w:t>hjælpe markedet på vej.</w:t>
      </w:r>
      <w:r w:rsidR="007607D0" w:rsidRPr="00DD426A">
        <w:rPr>
          <w:rFonts w:eastAsiaTheme="minorHAnsi"/>
        </w:rPr>
        <w:t xml:space="preserve"> </w:t>
      </w:r>
      <w:r w:rsidR="007607D0" w:rsidRPr="00DD426A">
        <w:t>FDM</w:t>
      </w:r>
      <w:r w:rsidR="007607D0">
        <w:t xml:space="preserve"> giver udtryk for, at den foreslåede regulering kan give usikkerheder for udenlandske investorer og derfor mindske investeringer i den danske </w:t>
      </w:r>
      <w:proofErr w:type="spellStart"/>
      <w:r w:rsidR="007607D0">
        <w:t>ladeinfrastruktur</w:t>
      </w:r>
      <w:proofErr w:type="spellEnd"/>
      <w:r w:rsidR="007607D0">
        <w:t xml:space="preserve"> og mindske konkurrencen.</w:t>
      </w:r>
    </w:p>
    <w:p w14:paraId="78E816B4" w14:textId="77777777" w:rsidR="003446E4" w:rsidRDefault="003446E4" w:rsidP="004330A6">
      <w:pPr>
        <w:rPr>
          <w:rFonts w:eastAsiaTheme="minorHAnsi"/>
        </w:rPr>
      </w:pPr>
      <w:r w:rsidRPr="003446E4">
        <w:rPr>
          <w:rFonts w:eastAsiaTheme="minorHAnsi"/>
          <w:u w:val="single"/>
        </w:rPr>
        <w:t>FDEL</w:t>
      </w:r>
      <w:r>
        <w:rPr>
          <w:rFonts w:eastAsiaTheme="minorHAnsi"/>
        </w:rPr>
        <w:t xml:space="preserve"> finder det meget positivt, at der tages initiativ til at sikre rimelige priser på ad hoc-opladning, idet </w:t>
      </w:r>
      <w:proofErr w:type="spellStart"/>
      <w:r>
        <w:rPr>
          <w:rFonts w:eastAsiaTheme="minorHAnsi"/>
        </w:rPr>
        <w:t>ladeabonnementer</w:t>
      </w:r>
      <w:proofErr w:type="spellEnd"/>
      <w:r>
        <w:rPr>
          <w:rFonts w:eastAsiaTheme="minorHAnsi"/>
        </w:rPr>
        <w:t xml:space="preserve"> binder forbrugerne til en bestemt </w:t>
      </w:r>
      <w:proofErr w:type="spellStart"/>
      <w:r>
        <w:rPr>
          <w:rFonts w:eastAsiaTheme="minorHAnsi"/>
        </w:rPr>
        <w:t>ladestanderoperatør</w:t>
      </w:r>
      <w:proofErr w:type="spellEnd"/>
      <w:r>
        <w:rPr>
          <w:rFonts w:eastAsiaTheme="minorHAnsi"/>
        </w:rPr>
        <w:t xml:space="preserve">, hvilket kan betyde kødannelse og dårlig udnyttelse af </w:t>
      </w:r>
      <w:proofErr w:type="spellStart"/>
      <w:r>
        <w:rPr>
          <w:rFonts w:eastAsiaTheme="minorHAnsi"/>
        </w:rPr>
        <w:t>ladestanderkapaciteten</w:t>
      </w:r>
      <w:proofErr w:type="spellEnd"/>
      <w:r>
        <w:rPr>
          <w:rFonts w:eastAsiaTheme="minorHAnsi"/>
        </w:rPr>
        <w:t>. FDEL er i den forbindelse enige i, at det ikke i alle tilfælde kan overlades til markedet at sikre rimelige priser på ad hoc-opladning, og at der kan opstå ”lokale monopoler”, hvilket vil kunne give mulighed for at kræve så høje priser, at det kan bremse den grønne omstilling.</w:t>
      </w:r>
    </w:p>
    <w:p w14:paraId="7ABBEB3A" w14:textId="77777777" w:rsidR="00BD176B" w:rsidRDefault="00BD176B" w:rsidP="00BD176B">
      <w:pPr>
        <w:rPr>
          <w:rFonts w:eastAsiaTheme="minorHAnsi"/>
        </w:rPr>
      </w:pPr>
      <w:proofErr w:type="spellStart"/>
      <w:r w:rsidRPr="00BD176B">
        <w:rPr>
          <w:u w:val="single"/>
        </w:rPr>
        <w:t>Sperto</w:t>
      </w:r>
      <w:proofErr w:type="spellEnd"/>
      <w:r>
        <w:t xml:space="preserve"> bakker op om bekendtgørelsens formål om at sikre reel konkurrence, når offentlige ordregivere skal indgå samarbejde med </w:t>
      </w:r>
      <w:proofErr w:type="spellStart"/>
      <w:r>
        <w:t>ladeoperatører</w:t>
      </w:r>
      <w:proofErr w:type="spellEnd"/>
      <w:r>
        <w:t xml:space="preserve">, samt indbyrdes priskonkurrence blandt </w:t>
      </w:r>
      <w:proofErr w:type="spellStart"/>
      <w:r>
        <w:t>ladeoperatører</w:t>
      </w:r>
      <w:proofErr w:type="spellEnd"/>
      <w:r>
        <w:t xml:space="preserve"> i forhold til slutkunderne. </w:t>
      </w:r>
    </w:p>
    <w:p w14:paraId="163C0962" w14:textId="77777777" w:rsidR="003446E4" w:rsidRDefault="003446E4" w:rsidP="003446E4">
      <w:pPr>
        <w:autoSpaceDE w:val="0"/>
        <w:autoSpaceDN w:val="0"/>
        <w:adjustRightInd w:val="0"/>
        <w:spacing w:after="0" w:line="240" w:lineRule="auto"/>
        <w:rPr>
          <w:rFonts w:ascii="Georgia" w:eastAsia="Times New Roman" w:hAnsi="Georgia"/>
          <w:color w:val="0D0D0D"/>
          <w:u w:val="single"/>
        </w:rPr>
      </w:pPr>
    </w:p>
    <w:p w14:paraId="1840AB14" w14:textId="7244ACE0" w:rsidR="00D62DB3" w:rsidRDefault="00F63221" w:rsidP="00D62DB3">
      <w:proofErr w:type="spellStart"/>
      <w:r>
        <w:rPr>
          <w:rFonts w:ascii="Georgia" w:eastAsia="Times New Roman" w:hAnsi="Georgia"/>
          <w:color w:val="0D0D0D"/>
          <w:u w:val="single"/>
        </w:rPr>
        <w:t>E.On</w:t>
      </w:r>
      <w:proofErr w:type="spellEnd"/>
      <w:r w:rsidRPr="00753307">
        <w:rPr>
          <w:rFonts w:ascii="Georgia" w:eastAsia="Times New Roman" w:hAnsi="Georgia"/>
          <w:color w:val="0D0D0D"/>
        </w:rPr>
        <w:t xml:space="preserve"> hilser AFI-loven velkommen, herunder </w:t>
      </w:r>
      <w:r w:rsidRPr="00F63221">
        <w:rPr>
          <w:rFonts w:eastAsiaTheme="minorHAnsi"/>
        </w:rPr>
        <w:t xml:space="preserve">muligheden for at kommuner kan sende udrulning af </w:t>
      </w:r>
      <w:proofErr w:type="spellStart"/>
      <w:r w:rsidRPr="00F63221">
        <w:rPr>
          <w:rFonts w:eastAsiaTheme="minorHAnsi"/>
        </w:rPr>
        <w:t>ladeinfrastruktur</w:t>
      </w:r>
      <w:proofErr w:type="spellEnd"/>
      <w:r w:rsidRPr="00F63221">
        <w:rPr>
          <w:rFonts w:eastAsiaTheme="minorHAnsi"/>
        </w:rPr>
        <w:t xml:space="preserve"> i udbud. </w:t>
      </w:r>
      <w:proofErr w:type="spellStart"/>
      <w:r w:rsidR="00753307">
        <w:rPr>
          <w:rFonts w:eastAsiaTheme="minorHAnsi"/>
        </w:rPr>
        <w:t>E.On</w:t>
      </w:r>
      <w:proofErr w:type="spellEnd"/>
      <w:r w:rsidR="00753307">
        <w:rPr>
          <w:rFonts w:eastAsiaTheme="minorHAnsi"/>
        </w:rPr>
        <w:t xml:space="preserve"> har </w:t>
      </w:r>
      <w:r w:rsidRPr="00F63221">
        <w:rPr>
          <w:rFonts w:eastAsiaTheme="minorHAnsi"/>
        </w:rPr>
        <w:t xml:space="preserve">været fortalere for, at flere operatører bør operere i samme kommune, sådan at udbud laves pr. placering eller anden måde, så man ikke laver et udbud på en hel kommune til én operatør, men sikrer adgang til flere operatører i de enkelte kommuner. Dette vil netop sikre, at der ikke opstår monopoltilstand på </w:t>
      </w:r>
      <w:proofErr w:type="spellStart"/>
      <w:r w:rsidRPr="00F63221">
        <w:rPr>
          <w:rFonts w:eastAsiaTheme="minorHAnsi"/>
        </w:rPr>
        <w:t>ladeinfrastruktur</w:t>
      </w:r>
      <w:proofErr w:type="spellEnd"/>
      <w:r w:rsidRPr="00F63221">
        <w:rPr>
          <w:rFonts w:eastAsiaTheme="minorHAnsi"/>
        </w:rPr>
        <w:t xml:space="preserve"> i fx kommuner i yderområder, hvor den kommerciel</w:t>
      </w:r>
      <w:r w:rsidR="00753307">
        <w:rPr>
          <w:rFonts w:eastAsiaTheme="minorHAnsi"/>
        </w:rPr>
        <w:t xml:space="preserve">le interesse typisk er lavere. </w:t>
      </w:r>
      <w:proofErr w:type="spellStart"/>
      <w:r w:rsidR="00D62DB3" w:rsidRPr="00443C8B">
        <w:rPr>
          <w:u w:val="single"/>
        </w:rPr>
        <w:t>E.On</w:t>
      </w:r>
      <w:proofErr w:type="spellEnd"/>
      <w:r w:rsidR="00D62DB3" w:rsidRPr="00753307">
        <w:t xml:space="preserve"> udtrykker </w:t>
      </w:r>
      <w:r w:rsidR="00D62DB3">
        <w:t>endvider</w:t>
      </w:r>
      <w:r w:rsidR="00D62DB3" w:rsidRPr="00753307">
        <w:t>e, at der er stor tilslutning og mange aktører, når der udbydes pladser med støtte fra fx Vejdirektoratet, og effekten af den konkurrencesituation</w:t>
      </w:r>
      <w:r w:rsidR="00D62DB3">
        <w:t xml:space="preserve"> endnu er uken</w:t>
      </w:r>
      <w:r w:rsidR="002E074D">
        <w:t>d</w:t>
      </w:r>
      <w:r w:rsidR="00D62DB3">
        <w:t>t</w:t>
      </w:r>
      <w:r w:rsidR="00D62DB3" w:rsidRPr="00753307">
        <w:t>, hvorfor en prisregulering på nuværende tidspunkt primært vil hæmme investeringslysten og produktinnovationen i markedet.</w:t>
      </w:r>
    </w:p>
    <w:p w14:paraId="03EFD3C5" w14:textId="4FA8F4DA" w:rsidR="00DD426A" w:rsidRDefault="00086064" w:rsidP="00DD426A">
      <w:pPr>
        <w:rPr>
          <w:rFonts w:eastAsiaTheme="minorHAnsi"/>
        </w:rPr>
      </w:pPr>
      <w:r>
        <w:rPr>
          <w:rFonts w:ascii="Georgia" w:eastAsia="Times New Roman" w:hAnsi="Georgia"/>
          <w:color w:val="0D0D0D"/>
          <w:u w:val="single"/>
        </w:rPr>
        <w:t>Drivkraft Danmark</w:t>
      </w:r>
      <w:r w:rsidRPr="00086064">
        <w:rPr>
          <w:rFonts w:ascii="Georgia" w:eastAsia="Times New Roman" w:hAnsi="Georgia"/>
          <w:color w:val="0D0D0D"/>
        </w:rPr>
        <w:t xml:space="preserve"> er m</w:t>
      </w:r>
      <w:r>
        <w:rPr>
          <w:rFonts w:eastAsiaTheme="minorHAnsi"/>
        </w:rPr>
        <w:t xml:space="preserve">eget positive over for, at offentlige myndigheder nu skal konkurrenceudsætte opgaven med opsætning af </w:t>
      </w:r>
      <w:proofErr w:type="spellStart"/>
      <w:r>
        <w:rPr>
          <w:rFonts w:eastAsiaTheme="minorHAnsi"/>
        </w:rPr>
        <w:t>ladestandere</w:t>
      </w:r>
      <w:proofErr w:type="spellEnd"/>
      <w:r>
        <w:rPr>
          <w:rFonts w:eastAsiaTheme="minorHAnsi"/>
        </w:rPr>
        <w:t xml:space="preserve">, når de indgår aftaler med private </w:t>
      </w:r>
      <w:proofErr w:type="spellStart"/>
      <w:r>
        <w:rPr>
          <w:rFonts w:eastAsiaTheme="minorHAnsi"/>
        </w:rPr>
        <w:t>ladeoperatører</w:t>
      </w:r>
      <w:proofErr w:type="spellEnd"/>
      <w:r>
        <w:rPr>
          <w:rFonts w:eastAsiaTheme="minorHAnsi"/>
        </w:rPr>
        <w:t>, men er kritiske over</w:t>
      </w:r>
      <w:r w:rsidR="007607D0">
        <w:rPr>
          <w:rFonts w:eastAsiaTheme="minorHAnsi"/>
        </w:rPr>
        <w:t xml:space="preserve"> </w:t>
      </w:r>
      <w:r>
        <w:rPr>
          <w:rFonts w:eastAsiaTheme="minorHAnsi"/>
        </w:rPr>
        <w:t xml:space="preserve">for den foreslåede prisregulering, som efter Drivkraft Danmarks opfattelse vil hæmme en fri udvikling af markedet for </w:t>
      </w:r>
      <w:proofErr w:type="spellStart"/>
      <w:r>
        <w:rPr>
          <w:rFonts w:eastAsiaTheme="minorHAnsi"/>
        </w:rPr>
        <w:t>ladestandere</w:t>
      </w:r>
      <w:proofErr w:type="spellEnd"/>
      <w:r>
        <w:rPr>
          <w:rFonts w:eastAsiaTheme="minorHAnsi"/>
        </w:rPr>
        <w:t>.</w:t>
      </w:r>
      <w:r w:rsidR="00DD426A" w:rsidRPr="00DD426A">
        <w:rPr>
          <w:rFonts w:ascii="Georgia" w:eastAsia="Times New Roman" w:hAnsi="Georgia"/>
          <w:color w:val="0D0D0D"/>
          <w:u w:val="single"/>
        </w:rPr>
        <w:t xml:space="preserve"> </w:t>
      </w:r>
      <w:r w:rsidR="00DD426A">
        <w:rPr>
          <w:rFonts w:eastAsiaTheme="minorHAnsi"/>
        </w:rPr>
        <w:t>Drivkraft Danmark finder, at det i stedet bør være op til Konkurrence- og Forbrugerstyrelsen at løse evt. konkurrenceproblemer inden for deres beføjelser.</w:t>
      </w:r>
    </w:p>
    <w:p w14:paraId="229BD435" w14:textId="77777777" w:rsidR="0087781D" w:rsidRPr="0087781D" w:rsidRDefault="0087781D" w:rsidP="000A7150">
      <w:pPr>
        <w:rPr>
          <w:rFonts w:ascii="Georgia" w:eastAsia="Times New Roman" w:hAnsi="Georgia"/>
          <w:color w:val="0D0D0D"/>
        </w:rPr>
      </w:pPr>
      <w:r>
        <w:rPr>
          <w:rFonts w:ascii="Georgia" w:eastAsia="Times New Roman" w:hAnsi="Georgia"/>
          <w:color w:val="0D0D0D"/>
          <w:u w:val="single"/>
        </w:rPr>
        <w:t>De Danske Bilimportører</w:t>
      </w:r>
      <w:r>
        <w:rPr>
          <w:rFonts w:ascii="Georgia" w:eastAsia="Times New Roman" w:hAnsi="Georgia"/>
          <w:color w:val="0D0D0D"/>
        </w:rPr>
        <w:t xml:space="preserve"> støtter det foreliggende udkast til bekendtgørelsen og betoner i den sammenhæng, at det er væsentligt, at reguleringen så vidt muligt understøtter </w:t>
      </w:r>
      <w:r w:rsidR="00086064">
        <w:rPr>
          <w:rFonts w:ascii="Georgia" w:eastAsia="Times New Roman" w:hAnsi="Georgia"/>
          <w:color w:val="0D0D0D"/>
        </w:rPr>
        <w:t xml:space="preserve">fastsættelse af </w:t>
      </w:r>
      <w:r>
        <w:rPr>
          <w:rFonts w:ascii="Georgia" w:eastAsia="Times New Roman" w:hAnsi="Georgia"/>
          <w:color w:val="0D0D0D"/>
        </w:rPr>
        <w:t>rimelige og ikke-diskriminerende priser</w:t>
      </w:r>
      <w:r w:rsidR="00086064">
        <w:rPr>
          <w:rFonts w:ascii="Georgia" w:eastAsia="Times New Roman" w:hAnsi="Georgia"/>
          <w:color w:val="0D0D0D"/>
        </w:rPr>
        <w:t xml:space="preserve">, </w:t>
      </w:r>
      <w:r>
        <w:rPr>
          <w:rFonts w:ascii="Georgia" w:eastAsia="Times New Roman" w:hAnsi="Georgia"/>
          <w:color w:val="0D0D0D"/>
        </w:rPr>
        <w:t>og at priserne sættes på markedsvilkår.</w:t>
      </w:r>
    </w:p>
    <w:p w14:paraId="4F28AC1A" w14:textId="1FC62331" w:rsidR="00DD426A" w:rsidRDefault="00F20385" w:rsidP="000A7150">
      <w:pPr>
        <w:rPr>
          <w:rFonts w:ascii="Georgia" w:eastAsia="Times New Roman" w:hAnsi="Georgia"/>
          <w:color w:val="0D0D0D"/>
          <w:u w:val="single"/>
        </w:rPr>
      </w:pPr>
      <w:r>
        <w:rPr>
          <w:rFonts w:ascii="Georgia" w:eastAsia="Times New Roman" w:hAnsi="Georgia"/>
          <w:color w:val="0D0D0D"/>
          <w:u w:val="single"/>
        </w:rPr>
        <w:t xml:space="preserve">Dansk e-Mobilitet </w:t>
      </w:r>
      <w:r>
        <w:rPr>
          <w:rFonts w:ascii="Georgia" w:eastAsia="Times New Roman" w:hAnsi="Georgia"/>
          <w:color w:val="0D0D0D"/>
        </w:rPr>
        <w:t xml:space="preserve">anfører, at den foreslåede prisregulering vil mindske konkurrencen på </w:t>
      </w:r>
      <w:proofErr w:type="spellStart"/>
      <w:r>
        <w:rPr>
          <w:rFonts w:ascii="Georgia" w:eastAsia="Times New Roman" w:hAnsi="Georgia"/>
          <w:color w:val="0D0D0D"/>
        </w:rPr>
        <w:t>lademarkedet</w:t>
      </w:r>
      <w:proofErr w:type="spellEnd"/>
      <w:r>
        <w:rPr>
          <w:rFonts w:ascii="Georgia" w:eastAsia="Times New Roman" w:hAnsi="Georgia"/>
          <w:color w:val="0D0D0D"/>
        </w:rPr>
        <w:t xml:space="preserve"> i tyndt befolkede områder, hvor der er størst risiko for lokale monopoler, herunder særligt for de operatører, der udbyder ladning via abonnementer med fast månedlig betaling og all-</w:t>
      </w:r>
      <w:proofErr w:type="spellStart"/>
      <w:r>
        <w:rPr>
          <w:rFonts w:ascii="Georgia" w:eastAsia="Times New Roman" w:hAnsi="Georgia"/>
          <w:color w:val="0D0D0D"/>
        </w:rPr>
        <w:t>inclusive</w:t>
      </w:r>
      <w:proofErr w:type="spellEnd"/>
      <w:r>
        <w:rPr>
          <w:rFonts w:ascii="Georgia" w:eastAsia="Times New Roman" w:hAnsi="Georgia"/>
          <w:color w:val="0D0D0D"/>
        </w:rPr>
        <w:t xml:space="preserve"> abonnementer, fordi de yder større rabatter end den foreslåede regulering tillader. </w:t>
      </w:r>
      <w:r w:rsidRPr="007C7449">
        <w:rPr>
          <w:rFonts w:ascii="Georgia" w:eastAsia="Times New Roman" w:hAnsi="Georgia"/>
          <w:color w:val="0D0D0D"/>
          <w:u w:val="single"/>
        </w:rPr>
        <w:t>Dansk e-Mobilitet</w:t>
      </w:r>
      <w:r w:rsidR="007C7449" w:rsidRPr="007C7449">
        <w:rPr>
          <w:rFonts w:ascii="Georgia" w:eastAsia="Times New Roman" w:hAnsi="Georgia"/>
          <w:color w:val="0D0D0D"/>
          <w:u w:val="single"/>
        </w:rPr>
        <w:t xml:space="preserve"> og Dansk Erhverv</w:t>
      </w:r>
      <w:r>
        <w:rPr>
          <w:rFonts w:ascii="Georgia" w:eastAsia="Times New Roman" w:hAnsi="Georgia"/>
          <w:color w:val="0D0D0D"/>
        </w:rPr>
        <w:t xml:space="preserve"> anbefaler at minimere reguleringen af markedet for </w:t>
      </w:r>
      <w:proofErr w:type="spellStart"/>
      <w:r>
        <w:rPr>
          <w:rFonts w:ascii="Georgia" w:eastAsia="Times New Roman" w:hAnsi="Georgia"/>
          <w:color w:val="0D0D0D"/>
        </w:rPr>
        <w:t>ladeinfrastruktur</w:t>
      </w:r>
      <w:proofErr w:type="spellEnd"/>
      <w:r>
        <w:rPr>
          <w:rFonts w:ascii="Georgia" w:eastAsia="Times New Roman" w:hAnsi="Georgia"/>
          <w:color w:val="0D0D0D"/>
        </w:rPr>
        <w:t xml:space="preserve"> og dermed undgå at dæmpe investeringslysten fra investorer og dermed hurtig udrulning af </w:t>
      </w:r>
      <w:proofErr w:type="spellStart"/>
      <w:r>
        <w:rPr>
          <w:rFonts w:ascii="Georgia" w:eastAsia="Times New Roman" w:hAnsi="Georgia"/>
          <w:color w:val="0D0D0D"/>
        </w:rPr>
        <w:t>ladeinfrastrukturen</w:t>
      </w:r>
      <w:proofErr w:type="spellEnd"/>
      <w:r>
        <w:rPr>
          <w:rFonts w:ascii="Georgia" w:eastAsia="Times New Roman" w:hAnsi="Georgia"/>
          <w:color w:val="0D0D0D"/>
        </w:rPr>
        <w:t>. Det anbefales i den sammenhæng at lade eventuel regulering afvente den rapport, som Konkurrencerådet er i gang med at udarbejde på området og kun indføre prisregulering, hvis Konkurrencerådet anbefaler det.</w:t>
      </w:r>
    </w:p>
    <w:p w14:paraId="665F39C9" w14:textId="45F92678" w:rsidR="000237B9" w:rsidRPr="007607D0" w:rsidRDefault="000237B9" w:rsidP="000237B9">
      <w:pPr>
        <w:rPr>
          <w:rFonts w:ascii="Georgia" w:eastAsia="Times New Roman" w:hAnsi="Georgia"/>
          <w:color w:val="0D0D0D"/>
        </w:rPr>
      </w:pPr>
      <w:r w:rsidRPr="000237B9">
        <w:rPr>
          <w:rFonts w:eastAsiaTheme="minorHAnsi"/>
          <w:u w:val="single"/>
        </w:rPr>
        <w:t>KL</w:t>
      </w:r>
      <w:r w:rsidRPr="000237B9">
        <w:rPr>
          <w:rFonts w:eastAsiaTheme="minorHAnsi"/>
        </w:rPr>
        <w:t xml:space="preserve"> anfører, at kommunerne står over for en ny og stor opgave, og </w:t>
      </w:r>
      <w:r>
        <w:rPr>
          <w:rFonts w:eastAsiaTheme="minorHAnsi"/>
        </w:rPr>
        <w:t>at be</w:t>
      </w:r>
      <w:r w:rsidRPr="000237B9">
        <w:rPr>
          <w:rFonts w:eastAsiaTheme="minorHAnsi"/>
        </w:rPr>
        <w:t>kendtgørelse</w:t>
      </w:r>
      <w:r>
        <w:rPr>
          <w:rFonts w:eastAsiaTheme="minorHAnsi"/>
        </w:rPr>
        <w:t>sudkastet</w:t>
      </w:r>
      <w:r w:rsidRPr="000237B9">
        <w:rPr>
          <w:rFonts w:eastAsiaTheme="minorHAnsi"/>
        </w:rPr>
        <w:t xml:space="preserve"> </w:t>
      </w:r>
      <w:r>
        <w:rPr>
          <w:rFonts w:eastAsiaTheme="minorHAnsi"/>
        </w:rPr>
        <w:t xml:space="preserve">blot </w:t>
      </w:r>
      <w:r w:rsidRPr="000237B9">
        <w:rPr>
          <w:rFonts w:eastAsiaTheme="minorHAnsi"/>
        </w:rPr>
        <w:t xml:space="preserve">understreger kompleksiteten af det område, kommunerne skal navigere i. </w:t>
      </w:r>
      <w:r w:rsidR="00E41533">
        <w:rPr>
          <w:rFonts w:eastAsiaTheme="minorHAnsi"/>
        </w:rPr>
        <w:t xml:space="preserve">KL gør opmærksom på, at bekendtgørelsen fastsætter centrale elementer i kommunernes udbud af offentligt tilgængelige ladepunkter, hvorfor der er brug for klarhed om reglerne, hvis kommunerne skal kunne nå at gennemføre udbud og ansøge om midler i puljen til </w:t>
      </w:r>
      <w:r w:rsidR="00E41533" w:rsidRPr="00E41533">
        <w:rPr>
          <w:rFonts w:eastAsiaTheme="minorHAnsi"/>
        </w:rPr>
        <w:t xml:space="preserve">medfinansiering af offentligt tilgængelige </w:t>
      </w:r>
      <w:proofErr w:type="spellStart"/>
      <w:r w:rsidR="00E41533" w:rsidRPr="00E41533">
        <w:rPr>
          <w:rFonts w:eastAsiaTheme="minorHAnsi"/>
        </w:rPr>
        <w:t>ladestandere</w:t>
      </w:r>
      <w:proofErr w:type="spellEnd"/>
      <w:r w:rsidR="00E41533" w:rsidRPr="00E41533">
        <w:rPr>
          <w:rFonts w:eastAsiaTheme="minorHAnsi"/>
        </w:rPr>
        <w:t xml:space="preserve"> på kommunale arealer </w:t>
      </w:r>
      <w:r w:rsidR="00E41533">
        <w:rPr>
          <w:rFonts w:eastAsiaTheme="minorHAnsi"/>
        </w:rPr>
        <w:t xml:space="preserve">inden udløb af fristen 1. november 2022. </w:t>
      </w:r>
      <w:r w:rsidRPr="000237B9">
        <w:rPr>
          <w:rFonts w:eastAsiaTheme="minorHAnsi"/>
        </w:rPr>
        <w:t xml:space="preserve">KL opfordrer </w:t>
      </w:r>
      <w:r w:rsidR="00E41533">
        <w:rPr>
          <w:rFonts w:eastAsiaTheme="minorHAnsi"/>
        </w:rPr>
        <w:t xml:space="preserve">endvidere </w:t>
      </w:r>
      <w:r w:rsidRPr="000237B9">
        <w:rPr>
          <w:rFonts w:eastAsiaTheme="minorHAnsi"/>
        </w:rPr>
        <w:t xml:space="preserve">til, at der på finansloven for 2023 afsættes finansiering til et nationalt </w:t>
      </w:r>
      <w:proofErr w:type="spellStart"/>
      <w:r w:rsidRPr="000237B9">
        <w:rPr>
          <w:rFonts w:eastAsiaTheme="minorHAnsi"/>
        </w:rPr>
        <w:t>videncenter</w:t>
      </w:r>
      <w:proofErr w:type="spellEnd"/>
      <w:r w:rsidRPr="000237B9">
        <w:rPr>
          <w:rFonts w:eastAsiaTheme="minorHAnsi"/>
        </w:rPr>
        <w:t xml:space="preserve"> for </w:t>
      </w:r>
      <w:proofErr w:type="spellStart"/>
      <w:r w:rsidRPr="000237B9">
        <w:rPr>
          <w:rFonts w:eastAsiaTheme="minorHAnsi"/>
        </w:rPr>
        <w:t>ladeinfrastruktur</w:t>
      </w:r>
      <w:proofErr w:type="spellEnd"/>
      <w:r w:rsidRPr="000237B9">
        <w:rPr>
          <w:rFonts w:eastAsiaTheme="minorHAnsi"/>
        </w:rPr>
        <w:t xml:space="preserve"> og e-mobilitet.</w:t>
      </w:r>
    </w:p>
    <w:p w14:paraId="6E38B3C7" w14:textId="77777777" w:rsidR="0090320C" w:rsidRDefault="0090320C" w:rsidP="0090320C">
      <w:pPr>
        <w:rPr>
          <w:rFonts w:ascii="Georgia" w:eastAsia="Times New Roman" w:hAnsi="Georgia"/>
          <w:i/>
          <w:color w:val="0D0D0D"/>
        </w:rPr>
      </w:pPr>
      <w:r w:rsidRPr="00F20385">
        <w:rPr>
          <w:rFonts w:ascii="Georgia" w:eastAsia="Times New Roman" w:hAnsi="Georgia"/>
          <w:i/>
          <w:color w:val="0D0D0D"/>
        </w:rPr>
        <w:t xml:space="preserve">Transportministeriet skal hertil </w:t>
      </w:r>
      <w:r>
        <w:rPr>
          <w:rFonts w:ascii="Georgia" w:eastAsia="Times New Roman" w:hAnsi="Georgia"/>
          <w:i/>
          <w:color w:val="0D0D0D"/>
        </w:rPr>
        <w:t xml:space="preserve">indledningsvist </w:t>
      </w:r>
      <w:r w:rsidRPr="00F20385">
        <w:rPr>
          <w:rFonts w:ascii="Georgia" w:eastAsia="Times New Roman" w:hAnsi="Georgia"/>
          <w:i/>
          <w:color w:val="0D0D0D"/>
        </w:rPr>
        <w:t xml:space="preserve">bemærke, at </w:t>
      </w:r>
      <w:r>
        <w:rPr>
          <w:rFonts w:ascii="Georgia" w:eastAsia="Times New Roman" w:hAnsi="Georgia"/>
          <w:i/>
          <w:color w:val="0D0D0D"/>
        </w:rPr>
        <w:t>termen ”lokale monopoler” i bekendtgørelsen efter dialog med Konkurrence- og Forbrugerstyrelsen er ændret til ”begrænset konkurrence”, hvorefter det sikres, at forholdet reguleres ved et konkurrenceretligt kendt begreb. Der er indholdsmæssigt tale om det samme.</w:t>
      </w:r>
    </w:p>
    <w:p w14:paraId="1055B861" w14:textId="0245A0F7" w:rsidR="00594F77" w:rsidRDefault="00F20385" w:rsidP="000A7150">
      <w:pPr>
        <w:rPr>
          <w:rFonts w:ascii="Georgia" w:eastAsia="Times New Roman" w:hAnsi="Georgia"/>
          <w:i/>
          <w:color w:val="0D0D0D"/>
        </w:rPr>
      </w:pPr>
      <w:r w:rsidRPr="00F20385">
        <w:rPr>
          <w:rFonts w:ascii="Georgia" w:eastAsia="Times New Roman" w:hAnsi="Georgia"/>
          <w:i/>
          <w:color w:val="0D0D0D"/>
        </w:rPr>
        <w:t xml:space="preserve">Transportministeriet skal </w:t>
      </w:r>
      <w:r w:rsidR="0090320C">
        <w:rPr>
          <w:rFonts w:ascii="Georgia" w:eastAsia="Times New Roman" w:hAnsi="Georgia"/>
          <w:i/>
          <w:color w:val="0D0D0D"/>
        </w:rPr>
        <w:t>endvidere</w:t>
      </w:r>
      <w:r w:rsidRPr="00F20385">
        <w:rPr>
          <w:rFonts w:ascii="Georgia" w:eastAsia="Times New Roman" w:hAnsi="Georgia"/>
          <w:i/>
          <w:color w:val="0D0D0D"/>
        </w:rPr>
        <w:t xml:space="preserve"> bemærke, at </w:t>
      </w:r>
      <w:r w:rsidR="002E074D">
        <w:rPr>
          <w:rFonts w:ascii="Georgia" w:eastAsia="Times New Roman" w:hAnsi="Georgia"/>
          <w:i/>
          <w:color w:val="0D0D0D"/>
        </w:rPr>
        <w:t>et af hovedformålene med AFI-loven, jf. lov nr. 412 af 4. april 2022,</w:t>
      </w:r>
      <w:r w:rsidR="00F01276">
        <w:rPr>
          <w:rFonts w:ascii="Georgia" w:eastAsia="Times New Roman" w:hAnsi="Georgia"/>
          <w:i/>
          <w:color w:val="0D0D0D"/>
        </w:rPr>
        <w:t xml:space="preserve"> </w:t>
      </w:r>
      <w:r w:rsidR="002E074D">
        <w:rPr>
          <w:rFonts w:ascii="Georgia" w:eastAsia="Times New Roman" w:hAnsi="Georgia"/>
          <w:i/>
          <w:color w:val="0D0D0D"/>
        </w:rPr>
        <w:t xml:space="preserve">som bekendt er at tilvejebringe en retlig ramme, som sikrer, at brugere af elektriske køretøjer har nem adgang til at bruge et samlet netværk af offentligt tilgængelige ladepunkter, </w:t>
      </w:r>
      <w:r w:rsidR="00594F77">
        <w:rPr>
          <w:rFonts w:ascii="Georgia" w:eastAsia="Times New Roman" w:hAnsi="Georgia"/>
          <w:i/>
          <w:color w:val="0D0D0D"/>
        </w:rPr>
        <w:t xml:space="preserve">som er etableret på markedsvilkår, og </w:t>
      </w:r>
      <w:r w:rsidR="002E074D">
        <w:rPr>
          <w:rFonts w:ascii="Georgia" w:eastAsia="Times New Roman" w:hAnsi="Georgia"/>
          <w:i/>
          <w:color w:val="0D0D0D"/>
        </w:rPr>
        <w:t xml:space="preserve">hvor opladningen kan gennemføres på ad hoc-basis til rimelige og ikke-diskriminerende priser. Det er </w:t>
      </w:r>
      <w:r w:rsidR="00C5735E">
        <w:rPr>
          <w:rFonts w:ascii="Georgia" w:eastAsia="Times New Roman" w:hAnsi="Georgia"/>
          <w:i/>
          <w:color w:val="0D0D0D"/>
        </w:rPr>
        <w:t>Transport</w:t>
      </w:r>
      <w:r w:rsidR="002E074D">
        <w:rPr>
          <w:rFonts w:ascii="Georgia" w:eastAsia="Times New Roman" w:hAnsi="Georgia"/>
          <w:i/>
          <w:color w:val="0D0D0D"/>
        </w:rPr>
        <w:t>ministeriets forventning, at</w:t>
      </w:r>
      <w:r w:rsidR="00594F77">
        <w:rPr>
          <w:rFonts w:ascii="Georgia" w:eastAsia="Times New Roman" w:hAnsi="Georgia"/>
          <w:i/>
          <w:color w:val="0D0D0D"/>
        </w:rPr>
        <w:t xml:space="preserve"> etableringen af offentligt tilgængelige ladepunkter for hovedpartens vedkommende vil blive gennemført i områder, hvor der vil være fri konkurrence mellem flere operatører. </w:t>
      </w:r>
    </w:p>
    <w:p w14:paraId="438F280C" w14:textId="08A64CF4" w:rsidR="00D448DF" w:rsidRPr="00B26A3D" w:rsidRDefault="00594F77" w:rsidP="00B26A3D">
      <w:pPr>
        <w:rPr>
          <w:rFonts w:ascii="Georgia" w:eastAsia="Times New Roman" w:hAnsi="Georgia"/>
          <w:i/>
          <w:color w:val="0D0D0D"/>
        </w:rPr>
      </w:pPr>
      <w:r>
        <w:rPr>
          <w:rFonts w:ascii="Georgia" w:eastAsia="Times New Roman" w:hAnsi="Georgia"/>
          <w:i/>
          <w:color w:val="0D0D0D"/>
        </w:rPr>
        <w:t xml:space="preserve">Men det er samtidig vurderingen, at der vil være områder af Danmark, herunder særligt tyndtbefolkede områder, hvor det ikke forventes, at den kommercielle interesse fra operatørernes side for at etablere offentligt tilgængelige ladepunkter vil være høj. I disse tilfælde, hvor der eventuelt kun er en operatør i markedet, har Transportministeriet fundet det hensigtsmæssigt, at den retlige ramme for etableringen understøtter formålet om at sikre forbrugerne rimelige og ikke-diskriminerende priser ved at fastsætte en ramme for prisfastsættelsen; nærmere bestemt ramme for at yde rabatter til abonnenter. Dermed sikres </w:t>
      </w:r>
      <w:r w:rsidR="00B26A3D">
        <w:rPr>
          <w:rFonts w:ascii="Georgia" w:eastAsia="Times New Roman" w:hAnsi="Georgia"/>
          <w:i/>
          <w:color w:val="0D0D0D"/>
        </w:rPr>
        <w:t xml:space="preserve">et værn mod </w:t>
      </w:r>
      <w:r w:rsidR="00882734" w:rsidRPr="00B26A3D">
        <w:rPr>
          <w:rFonts w:ascii="Georgia" w:eastAsia="Times New Roman" w:hAnsi="Georgia"/>
          <w:i/>
          <w:color w:val="0D0D0D"/>
        </w:rPr>
        <w:t xml:space="preserve">koncessionskontrakter med risiko for </w:t>
      </w:r>
      <w:r w:rsidR="0090320C">
        <w:rPr>
          <w:rFonts w:ascii="Georgia" w:eastAsia="Times New Roman" w:hAnsi="Georgia"/>
          <w:i/>
          <w:color w:val="0D0D0D"/>
        </w:rPr>
        <w:t>begrænset konkurrence</w:t>
      </w:r>
      <w:r w:rsidR="00B26A3D">
        <w:rPr>
          <w:rFonts w:ascii="Georgia" w:eastAsia="Times New Roman" w:hAnsi="Georgia"/>
          <w:i/>
          <w:color w:val="0D0D0D"/>
        </w:rPr>
        <w:t>. O</w:t>
      </w:r>
      <w:r w:rsidR="00882734" w:rsidRPr="00B26A3D">
        <w:rPr>
          <w:rFonts w:ascii="Georgia" w:eastAsia="Times New Roman" w:hAnsi="Georgia"/>
          <w:i/>
          <w:color w:val="0D0D0D"/>
        </w:rPr>
        <w:t xml:space="preserve">rdregivere </w:t>
      </w:r>
      <w:r w:rsidR="00B26A3D">
        <w:rPr>
          <w:rFonts w:ascii="Georgia" w:eastAsia="Times New Roman" w:hAnsi="Georgia"/>
          <w:i/>
          <w:color w:val="0D0D0D"/>
        </w:rPr>
        <w:t xml:space="preserve">kan således </w:t>
      </w:r>
      <w:r w:rsidR="00882734" w:rsidRPr="00B26A3D">
        <w:rPr>
          <w:rFonts w:ascii="Georgia" w:eastAsia="Times New Roman" w:hAnsi="Georgia"/>
          <w:i/>
          <w:color w:val="0D0D0D"/>
        </w:rPr>
        <w:t xml:space="preserve">bruge standardkrav, som begrænser operatørernes mulighed for at give store rabatter til faste kunder sammenlignet </w:t>
      </w:r>
      <w:r w:rsidR="00B26A3D">
        <w:rPr>
          <w:rFonts w:ascii="Georgia" w:eastAsia="Times New Roman" w:hAnsi="Georgia"/>
          <w:i/>
          <w:color w:val="0D0D0D"/>
        </w:rPr>
        <w:t xml:space="preserve">med </w:t>
      </w:r>
      <w:r w:rsidR="00882734" w:rsidRPr="00B26A3D">
        <w:rPr>
          <w:rFonts w:ascii="Georgia" w:eastAsia="Times New Roman" w:hAnsi="Georgia"/>
          <w:i/>
          <w:color w:val="0D0D0D"/>
        </w:rPr>
        <w:t>listeprisen.</w:t>
      </w:r>
    </w:p>
    <w:p w14:paraId="660020C9" w14:textId="6BE82BA2" w:rsidR="00D62DB3" w:rsidRDefault="00B26A3D" w:rsidP="000A7150">
      <w:pPr>
        <w:rPr>
          <w:rFonts w:ascii="Georgia" w:eastAsia="Times New Roman" w:hAnsi="Georgia"/>
          <w:i/>
          <w:color w:val="0D0D0D"/>
        </w:rPr>
      </w:pPr>
      <w:r>
        <w:rPr>
          <w:rFonts w:ascii="Georgia" w:eastAsia="Times New Roman" w:hAnsi="Georgia"/>
          <w:i/>
          <w:color w:val="0D0D0D"/>
        </w:rPr>
        <w:t>Tran</w:t>
      </w:r>
      <w:r w:rsidR="005469CF">
        <w:rPr>
          <w:rFonts w:ascii="Georgia" w:eastAsia="Times New Roman" w:hAnsi="Georgia"/>
          <w:i/>
          <w:color w:val="0D0D0D"/>
        </w:rPr>
        <w:t>sportministeriet er bekendt med, at K</w:t>
      </w:r>
      <w:r w:rsidR="00D62DB3">
        <w:rPr>
          <w:rFonts w:ascii="Georgia" w:eastAsia="Times New Roman" w:hAnsi="Georgia"/>
          <w:i/>
          <w:color w:val="0D0D0D"/>
        </w:rPr>
        <w:t>onkurrencerådet</w:t>
      </w:r>
      <w:r w:rsidR="005469CF">
        <w:rPr>
          <w:rFonts w:ascii="Georgia" w:eastAsia="Times New Roman" w:hAnsi="Georgia"/>
          <w:i/>
          <w:color w:val="0D0D0D"/>
        </w:rPr>
        <w:t xml:space="preserve"> er undervejs med en redegørelse på området, men fundet, at behovet for at sikre rimelige og ikke-diskriminerende priser i områder med risiko for </w:t>
      </w:r>
      <w:r w:rsidR="0090320C" w:rsidRPr="0090320C">
        <w:rPr>
          <w:rFonts w:ascii="Georgia" w:eastAsia="Times New Roman" w:hAnsi="Georgia"/>
          <w:i/>
          <w:color w:val="0D0D0D"/>
        </w:rPr>
        <w:t>begrænset konkurrence</w:t>
      </w:r>
      <w:r w:rsidR="005469CF">
        <w:rPr>
          <w:rFonts w:ascii="Georgia" w:eastAsia="Times New Roman" w:hAnsi="Georgia"/>
          <w:i/>
          <w:color w:val="0D0D0D"/>
        </w:rPr>
        <w:t xml:space="preserve"> vægter højest. Ministeriet følger i sagens natur Konkurrencerådets arbejde tæt og vil tage bestik af, om der er behov for at justere reglerne i lyset af rådets anbefalinger.</w:t>
      </w:r>
    </w:p>
    <w:p w14:paraId="2DF6A35A" w14:textId="77777777" w:rsidR="0078130F" w:rsidRDefault="0078130F" w:rsidP="000A7150">
      <w:pPr>
        <w:rPr>
          <w:rFonts w:ascii="Georgia" w:eastAsia="Times New Roman" w:hAnsi="Georgia"/>
          <w:i/>
          <w:color w:val="0D0D0D"/>
        </w:rPr>
      </w:pPr>
      <w:r>
        <w:rPr>
          <w:rFonts w:ascii="Georgia" w:eastAsia="Times New Roman" w:hAnsi="Georgia"/>
          <w:i/>
          <w:color w:val="0D0D0D"/>
        </w:rPr>
        <w:t xml:space="preserve">Vedrørende det af KL fremførte ønske på vegne af kommunerne om at kunne anvende bekendtgørelsen i deres kommende udbud af offentlig tilgængelig </w:t>
      </w:r>
      <w:proofErr w:type="spellStart"/>
      <w:r>
        <w:rPr>
          <w:rFonts w:ascii="Georgia" w:eastAsia="Times New Roman" w:hAnsi="Georgia"/>
          <w:i/>
          <w:color w:val="0D0D0D"/>
        </w:rPr>
        <w:t>ladeinfrastruktur</w:t>
      </w:r>
      <w:proofErr w:type="spellEnd"/>
      <w:r>
        <w:rPr>
          <w:rFonts w:ascii="Georgia" w:eastAsia="Times New Roman" w:hAnsi="Georgia"/>
          <w:i/>
          <w:color w:val="0D0D0D"/>
        </w:rPr>
        <w:t xml:space="preserve">, gør Transportministeriet opmærksom på, at udbud indtil </w:t>
      </w:r>
      <w:r w:rsidR="00F860CB">
        <w:rPr>
          <w:rFonts w:ascii="Georgia" w:eastAsia="Times New Roman" w:hAnsi="Georgia"/>
          <w:i/>
          <w:color w:val="0D0D0D"/>
        </w:rPr>
        <w:t xml:space="preserve">reglerne er trådt i kraft </w:t>
      </w:r>
      <w:r>
        <w:rPr>
          <w:rFonts w:ascii="Georgia" w:eastAsia="Times New Roman" w:hAnsi="Georgia"/>
          <w:i/>
          <w:color w:val="0D0D0D"/>
        </w:rPr>
        <w:t xml:space="preserve">kan finde sted uden anvendelse af reglerne i den kommende bekendtgørelse. Endvidere er det </w:t>
      </w:r>
      <w:r w:rsidR="00F860CB">
        <w:rPr>
          <w:rFonts w:ascii="Georgia" w:eastAsia="Times New Roman" w:hAnsi="Georgia"/>
          <w:i/>
          <w:color w:val="0D0D0D"/>
        </w:rPr>
        <w:t xml:space="preserve">politisk </w:t>
      </w:r>
      <w:r>
        <w:rPr>
          <w:rFonts w:ascii="Georgia" w:eastAsia="Times New Roman" w:hAnsi="Georgia"/>
          <w:i/>
          <w:color w:val="0D0D0D"/>
        </w:rPr>
        <w:t xml:space="preserve">besluttet, at evt. </w:t>
      </w:r>
      <w:proofErr w:type="spellStart"/>
      <w:r>
        <w:rPr>
          <w:rFonts w:ascii="Georgia" w:eastAsia="Times New Roman" w:hAnsi="Georgia"/>
          <w:i/>
          <w:color w:val="0D0D0D"/>
        </w:rPr>
        <w:t>uforbrugte</w:t>
      </w:r>
      <w:proofErr w:type="spellEnd"/>
      <w:r>
        <w:rPr>
          <w:rFonts w:ascii="Georgia" w:eastAsia="Times New Roman" w:hAnsi="Georgia"/>
          <w:i/>
          <w:color w:val="0D0D0D"/>
        </w:rPr>
        <w:t xml:space="preserve"> midler i puljen efter 1. november 2022 føres ud i kommunerne på baggrund af en fordelingsnøgle, der bygger på befolkningstallet i de enkelte kommuner.</w:t>
      </w:r>
    </w:p>
    <w:p w14:paraId="69E56F7C" w14:textId="36071A97" w:rsidR="002E074D" w:rsidRDefault="005469CF" w:rsidP="002714D2">
      <w:pPr>
        <w:rPr>
          <w:rFonts w:ascii="Georgia" w:eastAsia="Times New Roman" w:hAnsi="Georgia"/>
          <w:i/>
          <w:color w:val="0D0D0D"/>
        </w:rPr>
      </w:pPr>
      <w:r>
        <w:rPr>
          <w:rFonts w:ascii="Georgia" w:eastAsia="Times New Roman" w:hAnsi="Georgia"/>
          <w:i/>
          <w:color w:val="0D0D0D"/>
        </w:rPr>
        <w:t xml:space="preserve">For så vidt angår </w:t>
      </w:r>
      <w:r w:rsidR="002E074D">
        <w:rPr>
          <w:rFonts w:ascii="Georgia" w:eastAsia="Times New Roman" w:hAnsi="Georgia"/>
          <w:i/>
          <w:color w:val="0D0D0D"/>
        </w:rPr>
        <w:t>KL</w:t>
      </w:r>
      <w:r>
        <w:rPr>
          <w:rFonts w:ascii="Georgia" w:eastAsia="Times New Roman" w:hAnsi="Georgia"/>
          <w:i/>
          <w:color w:val="0D0D0D"/>
        </w:rPr>
        <w:t>´</w:t>
      </w:r>
      <w:r w:rsidR="002E074D">
        <w:rPr>
          <w:rFonts w:ascii="Georgia" w:eastAsia="Times New Roman" w:hAnsi="Georgia"/>
          <w:i/>
          <w:color w:val="0D0D0D"/>
        </w:rPr>
        <w:t xml:space="preserve">s </w:t>
      </w:r>
      <w:r>
        <w:rPr>
          <w:rFonts w:ascii="Georgia" w:eastAsia="Times New Roman" w:hAnsi="Georgia"/>
          <w:i/>
          <w:color w:val="0D0D0D"/>
        </w:rPr>
        <w:t xml:space="preserve">forslag </w:t>
      </w:r>
      <w:r w:rsidR="002E074D">
        <w:rPr>
          <w:rFonts w:ascii="Georgia" w:eastAsia="Times New Roman" w:hAnsi="Georgia"/>
          <w:i/>
          <w:color w:val="0D0D0D"/>
        </w:rPr>
        <w:t xml:space="preserve">om </w:t>
      </w:r>
      <w:r>
        <w:rPr>
          <w:rFonts w:ascii="Georgia" w:eastAsia="Times New Roman" w:hAnsi="Georgia"/>
          <w:i/>
          <w:color w:val="0D0D0D"/>
        </w:rPr>
        <w:t xml:space="preserve">et </w:t>
      </w:r>
      <w:r w:rsidR="002E074D">
        <w:rPr>
          <w:rFonts w:ascii="Georgia" w:eastAsia="Times New Roman" w:hAnsi="Georgia"/>
          <w:i/>
          <w:color w:val="0D0D0D"/>
        </w:rPr>
        <w:t xml:space="preserve">nationalt </w:t>
      </w:r>
      <w:proofErr w:type="spellStart"/>
      <w:r w:rsidR="002E074D">
        <w:rPr>
          <w:rFonts w:ascii="Georgia" w:eastAsia="Times New Roman" w:hAnsi="Georgia"/>
          <w:i/>
          <w:color w:val="0D0D0D"/>
        </w:rPr>
        <w:t>videncenter</w:t>
      </w:r>
      <w:proofErr w:type="spellEnd"/>
      <w:r>
        <w:rPr>
          <w:rFonts w:ascii="Georgia" w:eastAsia="Times New Roman" w:hAnsi="Georgia"/>
          <w:i/>
          <w:color w:val="0D0D0D"/>
        </w:rPr>
        <w:t xml:space="preserve"> kan Transportministeriet oplyse, at et sådant initiativ ikke er indgået i arbejdet med AFI-loven og bekendtgørelserne. Transportministeriet deltager dog gerne i </w:t>
      </w:r>
      <w:r w:rsidR="002714D2">
        <w:rPr>
          <w:rFonts w:ascii="Georgia" w:eastAsia="Times New Roman" w:hAnsi="Georgia"/>
          <w:i/>
          <w:color w:val="0D0D0D"/>
        </w:rPr>
        <w:t xml:space="preserve">aktiviteter </w:t>
      </w:r>
      <w:r>
        <w:rPr>
          <w:rFonts w:ascii="Georgia" w:eastAsia="Times New Roman" w:hAnsi="Georgia"/>
          <w:i/>
          <w:color w:val="0D0D0D"/>
        </w:rPr>
        <w:t xml:space="preserve">med det formål at udveksle </w:t>
      </w:r>
      <w:r w:rsidR="002714D2">
        <w:rPr>
          <w:rFonts w:ascii="Georgia" w:eastAsia="Times New Roman" w:hAnsi="Georgia"/>
          <w:i/>
          <w:color w:val="0D0D0D"/>
        </w:rPr>
        <w:t xml:space="preserve">viden om og </w:t>
      </w:r>
      <w:r>
        <w:rPr>
          <w:rFonts w:ascii="Georgia" w:eastAsia="Times New Roman" w:hAnsi="Georgia"/>
          <w:i/>
          <w:color w:val="0D0D0D"/>
        </w:rPr>
        <w:t>erfaringer med de nye regler</w:t>
      </w:r>
      <w:r w:rsidR="002714D2">
        <w:rPr>
          <w:rFonts w:ascii="Georgia" w:eastAsia="Times New Roman" w:hAnsi="Georgia"/>
          <w:i/>
          <w:color w:val="0D0D0D"/>
        </w:rPr>
        <w:t>, herunder kan det oplyses, at Vejdirektoratet er på vej med en håndbog om p</w:t>
      </w:r>
      <w:r w:rsidR="002714D2" w:rsidRPr="002714D2">
        <w:rPr>
          <w:rFonts w:ascii="Georgia" w:eastAsia="Times New Roman" w:hAnsi="Georgia"/>
          <w:i/>
          <w:color w:val="0D0D0D"/>
        </w:rPr>
        <w:t xml:space="preserve">lanlægning og etablering af </w:t>
      </w:r>
      <w:proofErr w:type="spellStart"/>
      <w:r w:rsidR="002714D2" w:rsidRPr="002714D2">
        <w:rPr>
          <w:rFonts w:ascii="Georgia" w:eastAsia="Times New Roman" w:hAnsi="Georgia"/>
          <w:i/>
          <w:color w:val="0D0D0D"/>
        </w:rPr>
        <w:t>ladeinfrastruktur</w:t>
      </w:r>
      <w:proofErr w:type="spellEnd"/>
      <w:r w:rsidR="002714D2" w:rsidRPr="002714D2">
        <w:rPr>
          <w:rFonts w:ascii="Georgia" w:eastAsia="Times New Roman" w:hAnsi="Georgia"/>
          <w:i/>
          <w:color w:val="0D0D0D"/>
        </w:rPr>
        <w:t xml:space="preserve"> til</w:t>
      </w:r>
      <w:r w:rsidR="002714D2">
        <w:rPr>
          <w:rFonts w:ascii="Georgia" w:eastAsia="Times New Roman" w:hAnsi="Georgia"/>
          <w:i/>
          <w:color w:val="0D0D0D"/>
        </w:rPr>
        <w:t xml:space="preserve"> </w:t>
      </w:r>
      <w:r w:rsidR="002714D2" w:rsidRPr="002714D2">
        <w:rPr>
          <w:rFonts w:ascii="Georgia" w:eastAsia="Times New Roman" w:hAnsi="Georgia"/>
          <w:i/>
          <w:color w:val="0D0D0D"/>
        </w:rPr>
        <w:t>elbiler</w:t>
      </w:r>
      <w:r>
        <w:rPr>
          <w:rFonts w:ascii="Georgia" w:eastAsia="Times New Roman" w:hAnsi="Georgia"/>
          <w:i/>
          <w:color w:val="0D0D0D"/>
        </w:rPr>
        <w:t>.</w:t>
      </w:r>
    </w:p>
    <w:p w14:paraId="21F2E64E" w14:textId="7E87A36A" w:rsidR="00132825" w:rsidRDefault="00DD426A" w:rsidP="000A7150">
      <w:pPr>
        <w:rPr>
          <w:rFonts w:ascii="Georgia" w:eastAsia="Times New Roman" w:hAnsi="Georgia"/>
          <w:b/>
          <w:color w:val="0D0D0D"/>
        </w:rPr>
      </w:pPr>
      <w:r>
        <w:rPr>
          <w:rFonts w:ascii="Georgia" w:eastAsia="Times New Roman" w:hAnsi="Georgia"/>
          <w:b/>
          <w:color w:val="0D0D0D"/>
        </w:rPr>
        <w:t>2</w:t>
      </w:r>
      <w:r w:rsidR="00132825">
        <w:rPr>
          <w:rFonts w:ascii="Georgia" w:eastAsia="Times New Roman" w:hAnsi="Georgia"/>
          <w:b/>
          <w:color w:val="0D0D0D"/>
        </w:rPr>
        <w:t xml:space="preserve">. </w:t>
      </w:r>
      <w:r w:rsidR="008F4E5E">
        <w:rPr>
          <w:rFonts w:ascii="Georgia" w:eastAsia="Times New Roman" w:hAnsi="Georgia"/>
          <w:b/>
          <w:color w:val="0D0D0D"/>
        </w:rPr>
        <w:t>Begrænset konkurrence/lokale monopoler</w:t>
      </w:r>
    </w:p>
    <w:p w14:paraId="7E79F448" w14:textId="77777777" w:rsidR="00DD426A" w:rsidRDefault="00132825" w:rsidP="00753307">
      <w:pPr>
        <w:pStyle w:val="Normalindrykket"/>
        <w:ind w:left="0"/>
        <w:rPr>
          <w:sz w:val="22"/>
          <w:szCs w:val="22"/>
        </w:rPr>
      </w:pPr>
      <w:r w:rsidRPr="00132825">
        <w:rPr>
          <w:rFonts w:ascii="Georgia" w:eastAsia="Times New Roman" w:hAnsi="Georgia"/>
          <w:color w:val="0D0D0D"/>
          <w:u w:val="single"/>
        </w:rPr>
        <w:t>Dansk e-M</w:t>
      </w:r>
      <w:r w:rsidR="007C7449">
        <w:rPr>
          <w:rFonts w:ascii="Georgia" w:eastAsia="Times New Roman" w:hAnsi="Georgia"/>
          <w:color w:val="0D0D0D"/>
          <w:u w:val="single"/>
        </w:rPr>
        <w:t>obilitet</w:t>
      </w:r>
      <w:r w:rsidR="00747B89">
        <w:rPr>
          <w:rFonts w:ascii="Georgia" w:eastAsia="Times New Roman" w:hAnsi="Georgia"/>
          <w:color w:val="0D0D0D"/>
          <w:u w:val="single"/>
        </w:rPr>
        <w:t xml:space="preserve">, </w:t>
      </w:r>
      <w:proofErr w:type="spellStart"/>
      <w:r w:rsidR="001C1AC8">
        <w:rPr>
          <w:rFonts w:ascii="Georgia" w:eastAsia="Times New Roman" w:hAnsi="Georgia"/>
          <w:color w:val="0D0D0D"/>
          <w:u w:val="single"/>
        </w:rPr>
        <w:t>Sperto</w:t>
      </w:r>
      <w:proofErr w:type="spellEnd"/>
      <w:r w:rsidR="001C1AC8">
        <w:rPr>
          <w:rFonts w:ascii="Georgia" w:eastAsia="Times New Roman" w:hAnsi="Georgia"/>
          <w:color w:val="0D0D0D"/>
          <w:u w:val="single"/>
        </w:rPr>
        <w:t xml:space="preserve">, </w:t>
      </w:r>
      <w:r w:rsidR="00747B89">
        <w:rPr>
          <w:rFonts w:ascii="Georgia" w:eastAsia="Times New Roman" w:hAnsi="Georgia"/>
          <w:color w:val="0D0D0D"/>
          <w:u w:val="single"/>
        </w:rPr>
        <w:t>Frederiksberg Kommune</w:t>
      </w:r>
      <w:r w:rsidR="00E24A8A">
        <w:rPr>
          <w:rFonts w:ascii="Georgia" w:eastAsia="Times New Roman" w:hAnsi="Georgia"/>
          <w:color w:val="0D0D0D"/>
          <w:u w:val="single"/>
        </w:rPr>
        <w:t xml:space="preserve"> </w:t>
      </w:r>
      <w:r w:rsidR="007C7449">
        <w:rPr>
          <w:rFonts w:ascii="Georgia" w:eastAsia="Times New Roman" w:hAnsi="Georgia"/>
          <w:color w:val="0D0D0D"/>
          <w:u w:val="single"/>
        </w:rPr>
        <w:t xml:space="preserve">og Dansk Erhverv, </w:t>
      </w:r>
      <w:r w:rsidRPr="00132825">
        <w:rPr>
          <w:rFonts w:ascii="Georgia" w:eastAsia="Times New Roman" w:hAnsi="Georgia"/>
          <w:color w:val="0D0D0D"/>
        </w:rPr>
        <w:t>anfører, at</w:t>
      </w:r>
      <w:r w:rsidRPr="00132825">
        <w:rPr>
          <w:rFonts w:ascii="Georgia" w:eastAsiaTheme="minorHAnsi" w:hAnsi="Georgia" w:cs="Arial"/>
          <w:color w:val="000000"/>
        </w:rPr>
        <w:t xml:space="preserve"> begrebet ”lokalt monopol” ikke </w:t>
      </w:r>
      <w:r w:rsidR="00C6206D">
        <w:rPr>
          <w:rFonts w:ascii="Georgia" w:eastAsiaTheme="minorHAnsi" w:hAnsi="Georgia" w:cs="Arial"/>
          <w:color w:val="000000"/>
        </w:rPr>
        <w:t xml:space="preserve">er </w:t>
      </w:r>
      <w:r w:rsidRPr="00132825">
        <w:rPr>
          <w:rFonts w:ascii="Georgia" w:eastAsiaTheme="minorHAnsi" w:hAnsi="Georgia" w:cs="Arial"/>
          <w:color w:val="000000"/>
        </w:rPr>
        <w:t xml:space="preserve">nærmere fastlagt, og </w:t>
      </w:r>
      <w:r>
        <w:rPr>
          <w:rFonts w:ascii="Georgia" w:eastAsiaTheme="minorHAnsi" w:hAnsi="Georgia" w:cs="Arial"/>
          <w:color w:val="000000"/>
        </w:rPr>
        <w:t xml:space="preserve">at </w:t>
      </w:r>
      <w:r w:rsidRPr="00132825">
        <w:rPr>
          <w:rFonts w:ascii="Georgia" w:eastAsiaTheme="minorHAnsi" w:hAnsi="Georgia" w:cs="Arial"/>
          <w:color w:val="000000"/>
        </w:rPr>
        <w:t>bekendtgørelse</w:t>
      </w:r>
      <w:r>
        <w:rPr>
          <w:rFonts w:ascii="Georgia" w:eastAsiaTheme="minorHAnsi" w:hAnsi="Georgia" w:cs="Arial"/>
          <w:color w:val="000000"/>
        </w:rPr>
        <w:t>sudkastet</w:t>
      </w:r>
      <w:r w:rsidRPr="00132825">
        <w:rPr>
          <w:rFonts w:ascii="Georgia" w:eastAsiaTheme="minorHAnsi" w:hAnsi="Georgia" w:cs="Arial"/>
          <w:color w:val="000000"/>
        </w:rPr>
        <w:t xml:space="preserve"> </w:t>
      </w:r>
      <w:r>
        <w:rPr>
          <w:rFonts w:ascii="Georgia" w:eastAsiaTheme="minorHAnsi" w:hAnsi="Georgia" w:cs="Arial"/>
          <w:color w:val="000000"/>
        </w:rPr>
        <w:t xml:space="preserve">ikke </w:t>
      </w:r>
      <w:r w:rsidRPr="00132825">
        <w:rPr>
          <w:rFonts w:ascii="Georgia" w:eastAsiaTheme="minorHAnsi" w:hAnsi="Georgia" w:cs="Arial"/>
          <w:color w:val="000000"/>
        </w:rPr>
        <w:t xml:space="preserve">bidrager til en afklaring af, hvornår et ”lokalt monopol” foreligger i forhold til opsætning af </w:t>
      </w:r>
      <w:proofErr w:type="spellStart"/>
      <w:r w:rsidRPr="00132825">
        <w:rPr>
          <w:rFonts w:ascii="Georgia" w:eastAsiaTheme="minorHAnsi" w:hAnsi="Georgia" w:cs="Arial"/>
          <w:color w:val="000000"/>
        </w:rPr>
        <w:t>ladestandere</w:t>
      </w:r>
      <w:proofErr w:type="spellEnd"/>
      <w:r w:rsidRPr="00132825">
        <w:rPr>
          <w:rFonts w:ascii="Georgia" w:eastAsiaTheme="minorHAnsi" w:hAnsi="Georgia" w:cs="Arial"/>
          <w:color w:val="000000"/>
        </w:rPr>
        <w:t xml:space="preserve"> i et givet område, og efter hvilke kriterier dette skal afgøres.</w:t>
      </w:r>
      <w:r>
        <w:rPr>
          <w:rFonts w:ascii="Georgia" w:eastAsiaTheme="minorHAnsi" w:hAnsi="Georgia" w:cs="Arial"/>
          <w:color w:val="000000"/>
        </w:rPr>
        <w:t xml:space="preserve"> </w:t>
      </w:r>
      <w:r w:rsidR="00747B89" w:rsidRPr="00747B89">
        <w:rPr>
          <w:rFonts w:ascii="Georgia" w:eastAsiaTheme="minorHAnsi" w:hAnsi="Georgia" w:cs="Arial"/>
          <w:color w:val="000000"/>
        </w:rPr>
        <w:t>D</w:t>
      </w:r>
      <w:r w:rsidR="00747B89" w:rsidRPr="00747B89">
        <w:rPr>
          <w:rFonts w:ascii="Georgia" w:eastAsia="Times New Roman" w:hAnsi="Georgia"/>
          <w:color w:val="0D0D0D"/>
        </w:rPr>
        <w:t>ansk e-Mobilitet</w:t>
      </w:r>
      <w:r w:rsidR="00747B89">
        <w:rPr>
          <w:rFonts w:ascii="Georgia" w:eastAsiaTheme="minorHAnsi" w:hAnsi="Georgia" w:cs="Arial"/>
          <w:color w:val="000000"/>
        </w:rPr>
        <w:t xml:space="preserve"> mener, at f</w:t>
      </w:r>
      <w:r>
        <w:rPr>
          <w:rFonts w:ascii="Georgia" w:eastAsiaTheme="minorHAnsi" w:hAnsi="Georgia" w:cs="Arial"/>
          <w:color w:val="000000"/>
        </w:rPr>
        <w:t xml:space="preserve">astlæggelse af et lokalt monopol kræver konkurrenceøkonomisk indsigt og bør ikke vurderes af den enkelte kommune, men af en myndighed med rette kompetencer hertil. </w:t>
      </w:r>
      <w:r>
        <w:rPr>
          <w:sz w:val="22"/>
          <w:szCs w:val="22"/>
        </w:rPr>
        <w:t>Der er behov for at definere ”lokalt monopol” helt entydigt, således at administrationen bliver ensartet.</w:t>
      </w:r>
      <w:r w:rsidR="00753307">
        <w:rPr>
          <w:sz w:val="22"/>
          <w:szCs w:val="22"/>
        </w:rPr>
        <w:t xml:space="preserve"> </w:t>
      </w:r>
      <w:r w:rsidR="002B6CF2" w:rsidRPr="00C6206D">
        <w:rPr>
          <w:rFonts w:eastAsia="Times New Roman"/>
          <w:u w:val="single"/>
        </w:rPr>
        <w:t>Dansk e-Mobilitet</w:t>
      </w:r>
      <w:r w:rsidR="002B6CF2" w:rsidRPr="00132825">
        <w:rPr>
          <w:rFonts w:eastAsia="Times New Roman"/>
          <w:u w:val="single"/>
        </w:rPr>
        <w:t xml:space="preserve"> </w:t>
      </w:r>
      <w:r w:rsidR="002B6CF2" w:rsidRPr="00132825">
        <w:rPr>
          <w:rFonts w:eastAsia="Times New Roman"/>
        </w:rPr>
        <w:t>anfører, at</w:t>
      </w:r>
      <w:r w:rsidR="002B6CF2">
        <w:rPr>
          <w:rFonts w:eastAsia="Times New Roman"/>
        </w:rPr>
        <w:t xml:space="preserve"> de lokale monopoler antageligt primært vil opstå i mindre byer m.v., og at disse områder i udgangspunktet vil være mest attraktive for operatører af </w:t>
      </w:r>
      <w:proofErr w:type="spellStart"/>
      <w:r w:rsidR="002B6CF2">
        <w:rPr>
          <w:rFonts w:eastAsia="Times New Roman"/>
        </w:rPr>
        <w:t>normalladestandere</w:t>
      </w:r>
      <w:proofErr w:type="spellEnd"/>
      <w:r w:rsidR="002B6CF2">
        <w:rPr>
          <w:rFonts w:eastAsia="Times New Roman"/>
        </w:rPr>
        <w:t xml:space="preserve"> (11/22 kW).  Det anføres i den forbindelse, at </w:t>
      </w:r>
      <w:r w:rsidR="002B6CF2">
        <w:rPr>
          <w:sz w:val="22"/>
          <w:szCs w:val="22"/>
        </w:rPr>
        <w:t xml:space="preserve">disse </w:t>
      </w:r>
      <w:proofErr w:type="spellStart"/>
      <w:r w:rsidR="002B6CF2">
        <w:rPr>
          <w:sz w:val="22"/>
          <w:szCs w:val="22"/>
        </w:rPr>
        <w:t>ladeoperatører</w:t>
      </w:r>
      <w:proofErr w:type="spellEnd"/>
      <w:r w:rsidR="002B6CF2">
        <w:rPr>
          <w:sz w:val="22"/>
          <w:szCs w:val="22"/>
        </w:rPr>
        <w:t xml:space="preserve"> ofte tilbyder kunderne et abonnement med en månedlig betaling på 80-150 kr. kombineret med en lavere pris pr. kilowatt-time, hvormed den foreslåede prisregulering gør det mindre attraktivt at byde på </w:t>
      </w:r>
      <w:proofErr w:type="spellStart"/>
      <w:r w:rsidR="002B6CF2">
        <w:rPr>
          <w:sz w:val="22"/>
          <w:szCs w:val="22"/>
        </w:rPr>
        <w:t>lokationen</w:t>
      </w:r>
      <w:proofErr w:type="spellEnd"/>
      <w:r w:rsidR="002B6CF2">
        <w:rPr>
          <w:sz w:val="22"/>
          <w:szCs w:val="22"/>
        </w:rPr>
        <w:t xml:space="preserve"> med den konsekvens, at kun få operatører vil byde på opgaven og dermed formentlig øge behovet for kommunale tilskud.</w:t>
      </w:r>
    </w:p>
    <w:p w14:paraId="279D65F8" w14:textId="77777777" w:rsidR="00DD426A" w:rsidRDefault="00753307" w:rsidP="00753307">
      <w:pPr>
        <w:pStyle w:val="Normalindrykket"/>
        <w:ind w:left="0"/>
        <w:rPr>
          <w:u w:val="single"/>
        </w:rPr>
      </w:pPr>
      <w:proofErr w:type="spellStart"/>
      <w:r w:rsidRPr="00747B89">
        <w:rPr>
          <w:u w:val="single"/>
        </w:rPr>
        <w:t>E.On</w:t>
      </w:r>
      <w:proofErr w:type="spellEnd"/>
      <w:r w:rsidRPr="00753307">
        <w:t xml:space="preserve"> anfører, at gældende konkurrencelovgivning allerede har et fuldt funktionelt begrebsapparat omkring monopoler. At lade kommunerne selv definere, hvornår der opstår et lokalt monopol, vil gøre det unødigt svært for kommunerne at lave udbud og aftaler om </w:t>
      </w:r>
      <w:proofErr w:type="spellStart"/>
      <w:r w:rsidRPr="00753307">
        <w:t>ladeinfrastruktur</w:t>
      </w:r>
      <w:proofErr w:type="spellEnd"/>
      <w:r w:rsidRPr="00753307">
        <w:t xml:space="preserve">. </w:t>
      </w:r>
    </w:p>
    <w:p w14:paraId="5C5D9FA7" w14:textId="77777777" w:rsidR="00DD426A" w:rsidRDefault="007607D0" w:rsidP="00753307">
      <w:pPr>
        <w:pStyle w:val="Normalindrykket"/>
        <w:ind w:left="0"/>
        <w:rPr>
          <w:sz w:val="20"/>
          <w:szCs w:val="20"/>
        </w:rPr>
      </w:pPr>
      <w:r w:rsidRPr="007607D0">
        <w:rPr>
          <w:u w:val="single"/>
        </w:rPr>
        <w:t>Forenede Danske Motorejere – FDM</w:t>
      </w:r>
      <w:r>
        <w:t xml:space="preserve"> giver tilsvarende udtryk for, at den foreslåede regulering </w:t>
      </w:r>
      <w:r w:rsidR="00747B89">
        <w:t xml:space="preserve">af lokale monopoler </w:t>
      </w:r>
      <w:r>
        <w:t>kan mindske lysten til at byde på opgaver i yderområder og dermed også mindske konkurrencen og øge behovet for kommunalt tilskud.</w:t>
      </w:r>
      <w:r w:rsidR="008E6FDD" w:rsidRPr="008E6FDD">
        <w:rPr>
          <w:sz w:val="20"/>
          <w:szCs w:val="20"/>
        </w:rPr>
        <w:t xml:space="preserve"> </w:t>
      </w:r>
    </w:p>
    <w:p w14:paraId="0EC2AB3A" w14:textId="77777777" w:rsidR="00753307" w:rsidRDefault="008E6FDD" w:rsidP="00753307">
      <w:pPr>
        <w:pStyle w:val="Normalindrykket"/>
        <w:ind w:left="0"/>
      </w:pPr>
      <w:r w:rsidRPr="008E6FDD">
        <w:rPr>
          <w:u w:val="single"/>
        </w:rPr>
        <w:t xml:space="preserve">KL </w:t>
      </w:r>
      <w:r w:rsidRPr="008E6FDD">
        <w:t>konstaterer, at det ikke fremgår tydeligt, hvordan og på hvilke parametre kommunerne skal vurdere, at der er tale om et lokalt monopol. Såfremt kommunerne har ansvaret for denne vurdering, er der tale om en betydelig og ressourcekrævende opgave. KL finder, at der er derfor behov for, at det enten i bekendtgørelsen eller i en vejledning hertil tydeliggøres, hvem der har ansvaret for at leve op til kravet, samt hvordan det skal kontrolleres og håndhæves.</w:t>
      </w:r>
    </w:p>
    <w:p w14:paraId="5D2F9694" w14:textId="77777777" w:rsidR="00E24A8A" w:rsidRDefault="00E24A8A" w:rsidP="00E24A8A">
      <w:pPr>
        <w:rPr>
          <w:sz w:val="22"/>
          <w:szCs w:val="22"/>
        </w:rPr>
      </w:pPr>
      <w:r w:rsidRPr="00E24A8A">
        <w:rPr>
          <w:u w:val="single"/>
        </w:rPr>
        <w:t>Konkurrence- og Forbrugerstyrelsen</w:t>
      </w:r>
      <w:r>
        <w:t xml:space="preserve"> bemærker, at kriteriet om</w:t>
      </w:r>
      <w:r w:rsidR="00BD3C1D">
        <w:t>, at</w:t>
      </w:r>
      <w:r>
        <w:t xml:space="preserve"> </w:t>
      </w:r>
      <w:r w:rsidR="00BD3C1D">
        <w:t xml:space="preserve">operatører frit kan yde rabatter i de tilfælde, hvor der ikke er tale om </w:t>
      </w:r>
      <w:r>
        <w:t xml:space="preserve">lokale monopoler, bør stå i </w:t>
      </w:r>
      <w:r w:rsidR="00BD3C1D">
        <w:t xml:space="preserve">selve </w:t>
      </w:r>
      <w:r>
        <w:t>bekendtgørelsen</w:t>
      </w:r>
      <w:r w:rsidR="00BD3C1D">
        <w:t xml:space="preserve"> – og ikke kun i bilaget. Styrelsen finder endvidere, at lokale monopoler</w:t>
      </w:r>
      <w:r>
        <w:t xml:space="preserve"> bør være defineret</w:t>
      </w:r>
      <w:r w:rsidR="00BD3C1D">
        <w:t xml:space="preserve"> og anf</w:t>
      </w:r>
      <w:r>
        <w:t xml:space="preserve">ører i den forbindelse, at der har været overvejelse om klarere kriterier i form af antal aktører inden for en bestemt radius. Uanset, at der </w:t>
      </w:r>
      <w:r w:rsidRPr="00E46C2D">
        <w:t>påtænkes en vejl</w:t>
      </w:r>
      <w:r>
        <w:t>edning om, hvornår der fritages, bør det indsætte</w:t>
      </w:r>
      <w:r w:rsidR="00BD3C1D">
        <w:t>s</w:t>
      </w:r>
      <w:r>
        <w:t xml:space="preserve"> direkte i bekendtgørelsen. </w:t>
      </w:r>
    </w:p>
    <w:p w14:paraId="49539B0B" w14:textId="762B4227" w:rsidR="006A432E" w:rsidRDefault="0090320C" w:rsidP="00153EF2">
      <w:pPr>
        <w:spacing w:after="0"/>
        <w:rPr>
          <w:i/>
        </w:rPr>
      </w:pPr>
      <w:r>
        <w:rPr>
          <w:rFonts w:ascii="Georgia" w:eastAsia="Times New Roman" w:hAnsi="Georgia"/>
          <w:i/>
          <w:color w:val="0D0D0D"/>
        </w:rPr>
        <w:t xml:space="preserve">For så vidt angår </w:t>
      </w:r>
      <w:r w:rsidR="00C6206D">
        <w:rPr>
          <w:rFonts w:ascii="Georgia" w:eastAsia="Times New Roman" w:hAnsi="Georgia"/>
          <w:i/>
          <w:color w:val="0D0D0D"/>
        </w:rPr>
        <w:t xml:space="preserve">spørgsmålet om at fastlægge en fast definition af, hvornår der foreligger </w:t>
      </w:r>
      <w:r>
        <w:rPr>
          <w:rFonts w:ascii="Georgia" w:eastAsia="Times New Roman" w:hAnsi="Georgia"/>
          <w:i/>
          <w:color w:val="0D0D0D"/>
        </w:rPr>
        <w:t>begrænset konkurrence, kan ministeriet oplyse,</w:t>
      </w:r>
      <w:r w:rsidR="00C6206D">
        <w:rPr>
          <w:rFonts w:ascii="Georgia" w:eastAsia="Times New Roman" w:hAnsi="Georgia"/>
          <w:i/>
          <w:color w:val="0D0D0D"/>
        </w:rPr>
        <w:t xml:space="preserve"> </w:t>
      </w:r>
      <w:r>
        <w:rPr>
          <w:rFonts w:ascii="Georgia" w:eastAsia="Times New Roman" w:hAnsi="Georgia"/>
          <w:i/>
          <w:color w:val="0D0D0D"/>
        </w:rPr>
        <w:t xml:space="preserve">at det </w:t>
      </w:r>
      <w:r w:rsidR="00C6206D">
        <w:rPr>
          <w:rFonts w:ascii="Georgia" w:eastAsia="Times New Roman" w:hAnsi="Georgia"/>
          <w:i/>
          <w:color w:val="0D0D0D"/>
        </w:rPr>
        <w:t xml:space="preserve">har været indgående overvejet i løbet af det lovforberedende arbejde. </w:t>
      </w:r>
      <w:r w:rsidR="0084501F">
        <w:rPr>
          <w:rFonts w:ascii="Georgia" w:eastAsia="Times New Roman" w:hAnsi="Georgia"/>
          <w:i/>
          <w:color w:val="0D0D0D"/>
        </w:rPr>
        <w:t>D</w:t>
      </w:r>
      <w:r w:rsidR="00C6206D">
        <w:rPr>
          <w:rFonts w:ascii="Georgia" w:eastAsia="Times New Roman" w:hAnsi="Georgia"/>
          <w:i/>
          <w:color w:val="0D0D0D"/>
        </w:rPr>
        <w:t xml:space="preserve">et </w:t>
      </w:r>
      <w:r w:rsidR="0084501F">
        <w:rPr>
          <w:rFonts w:ascii="Georgia" w:eastAsia="Times New Roman" w:hAnsi="Georgia"/>
          <w:i/>
          <w:color w:val="0D0D0D"/>
        </w:rPr>
        <w:t xml:space="preserve">er udfordrende </w:t>
      </w:r>
      <w:r w:rsidR="00D30540">
        <w:rPr>
          <w:rFonts w:ascii="Georgia" w:eastAsia="Times New Roman" w:hAnsi="Georgia"/>
          <w:i/>
          <w:color w:val="0D0D0D"/>
        </w:rPr>
        <w:t xml:space="preserve">på en betryggende og tilpas operationel måde </w:t>
      </w:r>
      <w:r w:rsidR="00C6206D">
        <w:rPr>
          <w:rFonts w:ascii="Georgia" w:eastAsia="Times New Roman" w:hAnsi="Georgia"/>
          <w:i/>
          <w:color w:val="0D0D0D"/>
        </w:rPr>
        <w:t>at define</w:t>
      </w:r>
      <w:r w:rsidR="00D30540">
        <w:rPr>
          <w:rFonts w:ascii="Georgia" w:eastAsia="Times New Roman" w:hAnsi="Georgia"/>
          <w:i/>
          <w:color w:val="0D0D0D"/>
        </w:rPr>
        <w:t xml:space="preserve">re begrebet ud fra fælles objektive kriterier, som sikrer anvendelighed for offentlige ordregivere på tværs af landet samtidig med at understøtte formålet om at sikre rimelige og ikke-diskriminerende priser for forbrugerne. Spørgsmålet om, hvornår der foreligger </w:t>
      </w:r>
      <w:r>
        <w:rPr>
          <w:rFonts w:ascii="Georgia" w:eastAsia="Times New Roman" w:hAnsi="Georgia"/>
          <w:i/>
          <w:color w:val="0D0D0D"/>
        </w:rPr>
        <w:t>begrænset konkurrence</w:t>
      </w:r>
      <w:r w:rsidR="00D30540">
        <w:rPr>
          <w:rFonts w:ascii="Georgia" w:eastAsia="Times New Roman" w:hAnsi="Georgia"/>
          <w:i/>
          <w:color w:val="0D0D0D"/>
        </w:rPr>
        <w:t xml:space="preserve"> vil i alle tilfælde være en konkret vurdering af de lokale forhold, som gør sig gældende for etablering af offentligt tilgængelige ladepunkter i et givent område. </w:t>
      </w:r>
      <w:r w:rsidR="0084501F">
        <w:rPr>
          <w:rFonts w:ascii="Georgia" w:eastAsia="Times New Roman" w:hAnsi="Georgia"/>
          <w:i/>
          <w:color w:val="0D0D0D"/>
        </w:rPr>
        <w:t xml:space="preserve">Ministeriet anerkender på baggrund af de indkomne høringssvar, at der er behov for at supplere bekendtgørelsen med et parameter, som offentlige ordregivere kan anvende ved vurderingen af, hvorvidt der foreligger </w:t>
      </w:r>
      <w:r>
        <w:rPr>
          <w:rFonts w:ascii="Georgia" w:eastAsia="Times New Roman" w:hAnsi="Georgia"/>
          <w:i/>
          <w:color w:val="0D0D0D"/>
        </w:rPr>
        <w:t>begrænset konkurrence</w:t>
      </w:r>
      <w:r w:rsidR="0084501F">
        <w:rPr>
          <w:rFonts w:ascii="Georgia" w:eastAsia="Times New Roman" w:hAnsi="Georgia"/>
          <w:i/>
          <w:color w:val="0D0D0D"/>
        </w:rPr>
        <w:t xml:space="preserve">. På den baggrund er bekendtgørelsen nu blevet justeret, således at det tydeligt fremgår, at det afgørende parameter i forhold til at vurdere </w:t>
      </w:r>
      <w:r>
        <w:rPr>
          <w:rFonts w:ascii="Georgia" w:eastAsia="Times New Roman" w:hAnsi="Georgia"/>
          <w:i/>
          <w:color w:val="0D0D0D"/>
        </w:rPr>
        <w:t>spørgsmålet</w:t>
      </w:r>
      <w:r w:rsidR="0084501F">
        <w:rPr>
          <w:rFonts w:ascii="Georgia" w:eastAsia="Times New Roman" w:hAnsi="Georgia"/>
          <w:i/>
          <w:color w:val="0D0D0D"/>
        </w:rPr>
        <w:t xml:space="preserve"> er </w:t>
      </w:r>
      <w:r w:rsidR="00F8236C">
        <w:rPr>
          <w:rFonts w:ascii="Georgia" w:eastAsia="Times New Roman" w:hAnsi="Georgia"/>
          <w:i/>
          <w:color w:val="0D0D0D"/>
        </w:rPr>
        <w:t>en passende gå- eller køre</w:t>
      </w:r>
      <w:r w:rsidR="0084501F">
        <w:rPr>
          <w:rFonts w:ascii="Georgia" w:eastAsia="Times New Roman" w:hAnsi="Georgia"/>
          <w:i/>
          <w:color w:val="0D0D0D"/>
        </w:rPr>
        <w:t xml:space="preserve">afstand til nærmeste tilsvarende offentligt tilgængelige </w:t>
      </w:r>
      <w:proofErr w:type="spellStart"/>
      <w:r w:rsidR="0084501F">
        <w:rPr>
          <w:rFonts w:ascii="Georgia" w:eastAsia="Times New Roman" w:hAnsi="Georgia"/>
          <w:i/>
          <w:color w:val="0D0D0D"/>
        </w:rPr>
        <w:t>ladepunkt</w:t>
      </w:r>
      <w:proofErr w:type="spellEnd"/>
      <w:r w:rsidR="0084501F">
        <w:rPr>
          <w:rFonts w:ascii="Georgia" w:eastAsia="Times New Roman" w:hAnsi="Georgia"/>
          <w:i/>
          <w:color w:val="0D0D0D"/>
        </w:rPr>
        <w:t xml:space="preserve"> fra en konkurrent</w:t>
      </w:r>
      <w:r w:rsidR="00F8236C">
        <w:rPr>
          <w:rFonts w:ascii="Georgia" w:eastAsia="Times New Roman" w:hAnsi="Georgia"/>
          <w:i/>
          <w:color w:val="0D0D0D"/>
        </w:rPr>
        <w:t>, jf. det nye § 3, stk. 2, nr. 2</w:t>
      </w:r>
      <w:r w:rsidR="0084501F">
        <w:rPr>
          <w:rFonts w:ascii="Georgia" w:eastAsia="Times New Roman" w:hAnsi="Georgia"/>
          <w:i/>
          <w:color w:val="0D0D0D"/>
        </w:rPr>
        <w:t>. Denne afstand kan</w:t>
      </w:r>
      <w:r w:rsidR="00F8236C">
        <w:rPr>
          <w:rFonts w:ascii="Georgia" w:eastAsia="Times New Roman" w:hAnsi="Georgia"/>
          <w:i/>
          <w:color w:val="0D0D0D"/>
        </w:rPr>
        <w:t xml:space="preserve">, som det fremgår af den valgte ordlyd ”passende gå- eller køreafstand”, </w:t>
      </w:r>
      <w:r w:rsidR="0084501F">
        <w:rPr>
          <w:rFonts w:ascii="Georgia" w:eastAsia="Times New Roman" w:hAnsi="Georgia"/>
          <w:i/>
          <w:color w:val="0D0D0D"/>
        </w:rPr>
        <w:t xml:space="preserve">variere </w:t>
      </w:r>
      <w:r>
        <w:rPr>
          <w:rFonts w:ascii="Georgia" w:eastAsia="Times New Roman" w:hAnsi="Georgia"/>
          <w:i/>
          <w:color w:val="0D0D0D"/>
        </w:rPr>
        <w:t xml:space="preserve">alt efter, om der er tale om et </w:t>
      </w:r>
      <w:proofErr w:type="spellStart"/>
      <w:r>
        <w:rPr>
          <w:rFonts w:ascii="Georgia" w:eastAsia="Times New Roman" w:hAnsi="Georgia"/>
          <w:i/>
          <w:color w:val="0D0D0D"/>
        </w:rPr>
        <w:t>ladepunkt</w:t>
      </w:r>
      <w:proofErr w:type="spellEnd"/>
      <w:r>
        <w:rPr>
          <w:rFonts w:ascii="Georgia" w:eastAsia="Times New Roman" w:hAnsi="Georgia"/>
          <w:i/>
          <w:color w:val="0D0D0D"/>
        </w:rPr>
        <w:t xml:space="preserve"> med </w:t>
      </w:r>
      <w:r w:rsidR="0084501F">
        <w:rPr>
          <w:rFonts w:ascii="Georgia" w:eastAsia="Times New Roman" w:hAnsi="Georgia"/>
          <w:i/>
          <w:color w:val="0D0D0D"/>
        </w:rPr>
        <w:t xml:space="preserve">laveffekt eller højeffekt, idet det lægges til grund, at ejere af elektriske køretøjer er villige til at </w:t>
      </w:r>
      <w:r w:rsidR="00F8236C">
        <w:rPr>
          <w:rFonts w:ascii="Georgia" w:eastAsia="Times New Roman" w:hAnsi="Georgia"/>
          <w:i/>
          <w:color w:val="0D0D0D"/>
        </w:rPr>
        <w:t xml:space="preserve">acceptere længere afstand til </w:t>
      </w:r>
      <w:r w:rsidR="0084501F">
        <w:rPr>
          <w:rFonts w:ascii="Georgia" w:eastAsia="Times New Roman" w:hAnsi="Georgia"/>
          <w:i/>
          <w:color w:val="0D0D0D"/>
        </w:rPr>
        <w:t xml:space="preserve">en </w:t>
      </w:r>
      <w:proofErr w:type="spellStart"/>
      <w:r w:rsidR="0084501F">
        <w:rPr>
          <w:rFonts w:ascii="Georgia" w:eastAsia="Times New Roman" w:hAnsi="Georgia"/>
          <w:i/>
          <w:color w:val="0D0D0D"/>
        </w:rPr>
        <w:t>højeffektladestander</w:t>
      </w:r>
      <w:proofErr w:type="spellEnd"/>
      <w:r w:rsidR="0084501F">
        <w:rPr>
          <w:rFonts w:ascii="Georgia" w:eastAsia="Times New Roman" w:hAnsi="Georgia"/>
          <w:i/>
          <w:color w:val="0D0D0D"/>
        </w:rPr>
        <w:t>. Det vil dog fortsat være sådan, at det præcise afstandskrav må vurderes fra sag til sag, idet lokale forhold kan påvirke</w:t>
      </w:r>
      <w:r>
        <w:rPr>
          <w:rFonts w:ascii="Georgia" w:eastAsia="Times New Roman" w:hAnsi="Georgia"/>
          <w:i/>
          <w:color w:val="0D0D0D"/>
        </w:rPr>
        <w:t xml:space="preserve"> den afstand, som tilsiger, at </w:t>
      </w:r>
      <w:r w:rsidR="0084501F">
        <w:rPr>
          <w:rFonts w:ascii="Georgia" w:eastAsia="Times New Roman" w:hAnsi="Georgia"/>
          <w:i/>
          <w:color w:val="0D0D0D"/>
        </w:rPr>
        <w:t xml:space="preserve">der er tale om </w:t>
      </w:r>
      <w:r w:rsidR="00F8236C">
        <w:rPr>
          <w:rFonts w:ascii="Georgia" w:eastAsia="Times New Roman" w:hAnsi="Georgia"/>
          <w:i/>
          <w:color w:val="0D0D0D"/>
        </w:rPr>
        <w:t xml:space="preserve">et område med </w:t>
      </w:r>
      <w:r>
        <w:rPr>
          <w:rFonts w:ascii="Georgia" w:eastAsia="Times New Roman" w:hAnsi="Georgia"/>
          <w:i/>
          <w:color w:val="0D0D0D"/>
        </w:rPr>
        <w:t>begrænset konkurrence</w:t>
      </w:r>
      <w:r w:rsidR="0084501F">
        <w:rPr>
          <w:rFonts w:ascii="Georgia" w:eastAsia="Times New Roman" w:hAnsi="Georgia"/>
          <w:i/>
          <w:color w:val="0D0D0D"/>
        </w:rPr>
        <w:t xml:space="preserve">. </w:t>
      </w:r>
      <w:r w:rsidR="00D30540">
        <w:rPr>
          <w:rFonts w:ascii="Georgia" w:eastAsia="Times New Roman" w:hAnsi="Georgia"/>
          <w:i/>
          <w:color w:val="0D0D0D"/>
        </w:rPr>
        <w:t xml:space="preserve">En sådan vurdering kan ikke foretages af andre end den offentlige ordregiver, som tilrettelægger udrulning af offentlig tilgængelig </w:t>
      </w:r>
      <w:proofErr w:type="spellStart"/>
      <w:r w:rsidR="00D30540">
        <w:rPr>
          <w:rFonts w:ascii="Georgia" w:eastAsia="Times New Roman" w:hAnsi="Georgia"/>
          <w:i/>
          <w:color w:val="0D0D0D"/>
        </w:rPr>
        <w:t>ladeinfrastruktur</w:t>
      </w:r>
      <w:proofErr w:type="spellEnd"/>
      <w:r w:rsidR="00D30540">
        <w:rPr>
          <w:rFonts w:ascii="Georgia" w:eastAsia="Times New Roman" w:hAnsi="Georgia"/>
          <w:i/>
          <w:color w:val="0D0D0D"/>
        </w:rPr>
        <w:t xml:space="preserve"> i et givent område. </w:t>
      </w:r>
      <w:r w:rsidR="0084501F">
        <w:rPr>
          <w:rFonts w:ascii="Georgia" w:eastAsia="Times New Roman" w:hAnsi="Georgia"/>
          <w:i/>
          <w:color w:val="0D0D0D"/>
        </w:rPr>
        <w:t xml:space="preserve">Derfor </w:t>
      </w:r>
      <w:r w:rsidR="00F8236C">
        <w:rPr>
          <w:rFonts w:ascii="Georgia" w:eastAsia="Times New Roman" w:hAnsi="Georgia"/>
          <w:i/>
          <w:color w:val="0D0D0D"/>
        </w:rPr>
        <w:t xml:space="preserve">fremgår det af </w:t>
      </w:r>
      <w:r w:rsidR="0084501F">
        <w:rPr>
          <w:rFonts w:ascii="Georgia" w:eastAsia="Times New Roman" w:hAnsi="Georgia"/>
          <w:i/>
          <w:color w:val="0D0D0D"/>
        </w:rPr>
        <w:t>bekendtgørelsen</w:t>
      </w:r>
      <w:r w:rsidR="00F8236C">
        <w:rPr>
          <w:rFonts w:ascii="Georgia" w:eastAsia="Times New Roman" w:hAnsi="Georgia"/>
          <w:i/>
          <w:color w:val="0D0D0D"/>
        </w:rPr>
        <w:t xml:space="preserve">, </w:t>
      </w:r>
      <w:r w:rsidR="0084501F">
        <w:rPr>
          <w:rFonts w:ascii="Georgia" w:eastAsia="Times New Roman" w:hAnsi="Georgia"/>
          <w:i/>
          <w:color w:val="0D0D0D"/>
        </w:rPr>
        <w:t xml:space="preserve">at det vil være op til den enkelte offentlige ordregiver i det enkelte aftaleforhold at definere </w:t>
      </w:r>
      <w:r>
        <w:rPr>
          <w:rFonts w:ascii="Georgia" w:eastAsia="Times New Roman" w:hAnsi="Georgia"/>
          <w:i/>
          <w:color w:val="0D0D0D"/>
        </w:rPr>
        <w:t xml:space="preserve">det </w:t>
      </w:r>
      <w:r w:rsidR="0084501F">
        <w:rPr>
          <w:rFonts w:ascii="Georgia" w:eastAsia="Times New Roman" w:hAnsi="Georgia"/>
          <w:i/>
          <w:color w:val="0D0D0D"/>
        </w:rPr>
        <w:t>afstandskrav</w:t>
      </w:r>
      <w:r>
        <w:rPr>
          <w:rFonts w:ascii="Georgia" w:eastAsia="Times New Roman" w:hAnsi="Georgia"/>
          <w:i/>
          <w:color w:val="0D0D0D"/>
        </w:rPr>
        <w:t>, som skal benyttes</w:t>
      </w:r>
      <w:r w:rsidR="0084501F">
        <w:rPr>
          <w:rFonts w:ascii="Georgia" w:eastAsia="Times New Roman" w:hAnsi="Georgia"/>
          <w:i/>
          <w:color w:val="0D0D0D"/>
        </w:rPr>
        <w:t xml:space="preserve">. </w:t>
      </w:r>
      <w:r w:rsidR="00F8236C" w:rsidRPr="00F8236C">
        <w:rPr>
          <w:rFonts w:ascii="Georgia" w:eastAsia="Times New Roman" w:hAnsi="Georgia"/>
          <w:i/>
          <w:color w:val="0D0D0D"/>
        </w:rPr>
        <w:t xml:space="preserve">Endvidere skal ministeriet henlede opmærksomheden på det ny § 3, stk. 2, nr. 6, hvoraf det følger, at </w:t>
      </w:r>
      <w:r w:rsidR="00F8236C" w:rsidRPr="00153EF2">
        <w:rPr>
          <w:i/>
        </w:rPr>
        <w:t>det påhviler såvel den offentlige ordregiver som operatøren løbende at vurdere konkurrencesituationen med henblik på at fastslå, om ladepunkter omfattet af aftaleforholdet er i begrænset konkurrence og dermed omfattet af begrænsningen på at yde rabat.</w:t>
      </w:r>
      <w:r w:rsidR="00F8236C">
        <w:rPr>
          <w:i/>
        </w:rPr>
        <w:t xml:space="preserve"> Denne justering ændrer ikke på det, som hele tiden har været forudsat ved den foreslåede regulering, men tydeliggør det forhold, at vurderingen af begrænset konkurrence i et givent område er dynamisk og kan ændre sig undervejs i et aftaleforhold; f.eks. hvis en konkurrent etablerer offentligt tilgængelige ladepunkter i nær afstand. Indebærer en sådan udvikling på markedet, at der ikke længere er tale om begrænset konkurrence </w:t>
      </w:r>
      <w:r w:rsidR="00372612">
        <w:rPr>
          <w:i/>
        </w:rPr>
        <w:t>i et givent område, bortfalder den begrænsning i adgangen til at yde rabatter, som følger af bekendtgørelsen, også.</w:t>
      </w:r>
    </w:p>
    <w:p w14:paraId="2E729878" w14:textId="77777777" w:rsidR="006A432E" w:rsidRPr="00372612" w:rsidRDefault="006A432E" w:rsidP="00153EF2">
      <w:pPr>
        <w:spacing w:after="0"/>
        <w:rPr>
          <w:i/>
        </w:rPr>
      </w:pPr>
    </w:p>
    <w:p w14:paraId="3D21B7B8" w14:textId="7495C9E7" w:rsidR="00C6206D" w:rsidRDefault="000845F0" w:rsidP="00132825">
      <w:pPr>
        <w:rPr>
          <w:rFonts w:ascii="Georgia" w:eastAsia="Times New Roman" w:hAnsi="Georgia"/>
          <w:i/>
          <w:color w:val="0D0D0D"/>
        </w:rPr>
      </w:pPr>
      <w:r>
        <w:rPr>
          <w:rFonts w:ascii="Georgia" w:eastAsia="Times New Roman" w:hAnsi="Georgia"/>
          <w:i/>
          <w:color w:val="0D0D0D"/>
        </w:rPr>
        <w:t xml:space="preserve">For så vidt angår spørgsmålet om kontrol og håndhævelse af, at offentlige ordregivere forvalter </w:t>
      </w:r>
      <w:r w:rsidR="0090320C">
        <w:rPr>
          <w:rFonts w:ascii="Georgia" w:eastAsia="Times New Roman" w:hAnsi="Georgia"/>
          <w:i/>
          <w:color w:val="0D0D0D"/>
        </w:rPr>
        <w:t>området med begrænset konkurrence</w:t>
      </w:r>
      <w:r>
        <w:rPr>
          <w:rFonts w:ascii="Georgia" w:eastAsia="Times New Roman" w:hAnsi="Georgia"/>
          <w:i/>
          <w:color w:val="0D0D0D"/>
        </w:rPr>
        <w:t xml:space="preserve"> i overensstemmelse med reglerne vil det i første række være omfattet af Transportministeriets almindelige sektortilsyn. Det er hensigten, at ministeriet i regi af Færdselsstyrelsen udarbejder specifikke tilsynsregler på området, hvilket forventes at være klar til årsskiftet. Det betyder, at der indtil videre kan rettes henvendelse til Transportministeriet, hvis man finder, at en given offentlig ordregiver forvalter i strid med reglerne.</w:t>
      </w:r>
    </w:p>
    <w:p w14:paraId="66AB4826" w14:textId="0989F178" w:rsidR="00C6206D" w:rsidRDefault="000845F0" w:rsidP="00132825">
      <w:pPr>
        <w:rPr>
          <w:rFonts w:ascii="Georgia" w:eastAsia="Times New Roman" w:hAnsi="Georgia"/>
          <w:i/>
          <w:color w:val="0D0D0D"/>
        </w:rPr>
      </w:pPr>
      <w:r>
        <w:rPr>
          <w:rFonts w:ascii="Georgia" w:eastAsia="Times New Roman" w:hAnsi="Georgia"/>
          <w:i/>
          <w:color w:val="0D0D0D"/>
        </w:rPr>
        <w:t xml:space="preserve">I forhold til Konkurrence- og Forbrugerstyrelsens bemærkning om, at kriteriet om lokale monopoler bør fremgå af selve bekendtgørelsesteksten – og ikke kun af bilaget – er Transportministeriet enig. Ministeriet </w:t>
      </w:r>
      <w:r w:rsidR="0084501F">
        <w:rPr>
          <w:rFonts w:ascii="Georgia" w:eastAsia="Times New Roman" w:hAnsi="Georgia"/>
          <w:i/>
          <w:color w:val="0D0D0D"/>
        </w:rPr>
        <w:t>har bl.a. på den baggrund</w:t>
      </w:r>
      <w:r>
        <w:rPr>
          <w:rFonts w:ascii="Georgia" w:eastAsia="Times New Roman" w:hAnsi="Georgia"/>
          <w:i/>
          <w:color w:val="0D0D0D"/>
        </w:rPr>
        <w:t>ændre</w:t>
      </w:r>
      <w:r w:rsidR="0084501F">
        <w:rPr>
          <w:rFonts w:ascii="Georgia" w:eastAsia="Times New Roman" w:hAnsi="Georgia"/>
          <w:i/>
          <w:color w:val="0D0D0D"/>
        </w:rPr>
        <w:t>t</w:t>
      </w:r>
      <w:r>
        <w:rPr>
          <w:rFonts w:ascii="Georgia" w:eastAsia="Times New Roman" w:hAnsi="Georgia"/>
          <w:i/>
          <w:color w:val="0D0D0D"/>
        </w:rPr>
        <w:t xml:space="preserve"> bekendtgørelsen</w:t>
      </w:r>
      <w:r w:rsidR="0084501F">
        <w:rPr>
          <w:rFonts w:ascii="Georgia" w:eastAsia="Times New Roman" w:hAnsi="Georgia"/>
          <w:i/>
          <w:color w:val="0D0D0D"/>
        </w:rPr>
        <w:t>, hvorefter bilaget helt er fjernet. Til gengæld fremgår det nu af selve bekendtgørelsens § 3, hvilke forhold der skal fastsættes nærmere med konkrete aftalevilkår. Bortset fra ovennævnte supplement vedr. afstandskravet er der tale om samme materielle indhold.</w:t>
      </w:r>
    </w:p>
    <w:p w14:paraId="53FBBE5C" w14:textId="0C014F41" w:rsidR="00132825" w:rsidRDefault="00DD426A" w:rsidP="00132825">
      <w:pPr>
        <w:rPr>
          <w:rFonts w:ascii="Georgia" w:eastAsia="Times New Roman" w:hAnsi="Georgia"/>
          <w:b/>
          <w:color w:val="0D0D0D"/>
        </w:rPr>
      </w:pPr>
      <w:r>
        <w:rPr>
          <w:rFonts w:ascii="Georgia" w:eastAsia="Times New Roman" w:hAnsi="Georgia"/>
          <w:b/>
          <w:color w:val="0D0D0D"/>
        </w:rPr>
        <w:t>3</w:t>
      </w:r>
      <w:r w:rsidR="00132825">
        <w:rPr>
          <w:rFonts w:ascii="Georgia" w:eastAsia="Times New Roman" w:hAnsi="Georgia"/>
          <w:b/>
          <w:color w:val="0D0D0D"/>
        </w:rPr>
        <w:t xml:space="preserve">. Maksimal rabat ved </w:t>
      </w:r>
      <w:r w:rsidR="0090320C">
        <w:rPr>
          <w:rFonts w:ascii="Georgia" w:eastAsia="Times New Roman" w:hAnsi="Georgia"/>
          <w:b/>
          <w:color w:val="0D0D0D"/>
        </w:rPr>
        <w:t>begrænset konkurrence</w:t>
      </w:r>
    </w:p>
    <w:p w14:paraId="7BC2A01E" w14:textId="77777777" w:rsidR="00DD426A" w:rsidRDefault="000B2BA1" w:rsidP="0003584C">
      <w:pPr>
        <w:rPr>
          <w:sz w:val="22"/>
          <w:szCs w:val="22"/>
        </w:rPr>
      </w:pPr>
      <w:r w:rsidRPr="00DD426A">
        <w:rPr>
          <w:sz w:val="22"/>
          <w:szCs w:val="22"/>
          <w:u w:val="single"/>
        </w:rPr>
        <w:t>Dansk e-Mobilitet</w:t>
      </w:r>
      <w:r>
        <w:rPr>
          <w:sz w:val="22"/>
          <w:szCs w:val="22"/>
        </w:rPr>
        <w:t xml:space="preserve"> anfører</w:t>
      </w:r>
      <w:r w:rsidR="00C6206D">
        <w:rPr>
          <w:sz w:val="22"/>
          <w:szCs w:val="22"/>
        </w:rPr>
        <w:t xml:space="preserve"> endvidere</w:t>
      </w:r>
      <w:r>
        <w:rPr>
          <w:sz w:val="22"/>
          <w:szCs w:val="22"/>
        </w:rPr>
        <w:t>, at den metode til beregning af den maksimale rabat, som fremgår af bekendtgørelsesudkastet, jf. bilaget pkt. 3.1., er uklar, herunder om baggrunden for og indholdet af begrebet ”administrative besparelser” samt visse uhensigtsmæssigheder mellem udregning af rabat/ad hoc-pris ift. kendte abonnementsformer.</w:t>
      </w:r>
      <w:r w:rsidR="004330A6">
        <w:rPr>
          <w:sz w:val="22"/>
          <w:szCs w:val="22"/>
        </w:rPr>
        <w:t xml:space="preserve"> </w:t>
      </w:r>
    </w:p>
    <w:p w14:paraId="748590C9" w14:textId="77777777" w:rsidR="004330A6" w:rsidRDefault="004330A6" w:rsidP="0003584C">
      <w:pPr>
        <w:rPr>
          <w:sz w:val="22"/>
          <w:szCs w:val="22"/>
        </w:rPr>
      </w:pPr>
      <w:r>
        <w:rPr>
          <w:sz w:val="22"/>
          <w:szCs w:val="22"/>
        </w:rPr>
        <w:t xml:space="preserve">Tilsvarende efterlyser </w:t>
      </w:r>
      <w:r w:rsidRPr="004330A6">
        <w:rPr>
          <w:sz w:val="22"/>
          <w:szCs w:val="22"/>
          <w:u w:val="single"/>
        </w:rPr>
        <w:t>FDEL</w:t>
      </w:r>
      <w:r>
        <w:rPr>
          <w:sz w:val="22"/>
          <w:szCs w:val="22"/>
        </w:rPr>
        <w:t xml:space="preserve"> en klarere regulering af, hvordan </w:t>
      </w:r>
      <w:r>
        <w:rPr>
          <w:rFonts w:eastAsiaTheme="minorHAnsi"/>
          <w:color w:val="auto"/>
          <w:sz w:val="22"/>
          <w:szCs w:val="22"/>
        </w:rPr>
        <w:t xml:space="preserve">prisreguleringen i forhold til abonnenter omfattet af pkt. 3.4. i bilaget til bekendtgørelsesudkastet skal foregå i praksis. Det bør præciseres, om den beregnede pris alene skal have betydning for den ad hoc-pris, den pågældende </w:t>
      </w:r>
      <w:proofErr w:type="spellStart"/>
      <w:r>
        <w:rPr>
          <w:rFonts w:eastAsiaTheme="minorHAnsi"/>
          <w:color w:val="auto"/>
          <w:sz w:val="22"/>
          <w:szCs w:val="22"/>
        </w:rPr>
        <w:t>ladeoperatør</w:t>
      </w:r>
      <w:proofErr w:type="spellEnd"/>
      <w:r>
        <w:rPr>
          <w:rFonts w:eastAsiaTheme="minorHAnsi"/>
          <w:color w:val="auto"/>
          <w:sz w:val="22"/>
          <w:szCs w:val="22"/>
        </w:rPr>
        <w:t xml:space="preserve"> må opkræve i næste faktureringsperiode, eller om der skal ske en bagudrettet regulering af allerede gennemførte betalinger. Endelig finder FDEL det uklart, om strøm, der er leveret gennem private </w:t>
      </w:r>
      <w:proofErr w:type="spellStart"/>
      <w:r>
        <w:rPr>
          <w:rFonts w:eastAsiaTheme="minorHAnsi"/>
          <w:color w:val="auto"/>
          <w:sz w:val="22"/>
          <w:szCs w:val="22"/>
        </w:rPr>
        <w:t>ladebokse</w:t>
      </w:r>
      <w:proofErr w:type="spellEnd"/>
      <w:r>
        <w:rPr>
          <w:rFonts w:eastAsiaTheme="minorHAnsi"/>
          <w:color w:val="auto"/>
          <w:sz w:val="22"/>
          <w:szCs w:val="22"/>
        </w:rPr>
        <w:t>, skal regnes med prisen for de abonnenter, der er omfattet af pkt. 3.4. i bilaget til bekendtgørelsesudkastet.</w:t>
      </w:r>
    </w:p>
    <w:p w14:paraId="431072D2" w14:textId="23EB0542" w:rsidR="00753307" w:rsidRDefault="00753307" w:rsidP="004330A6">
      <w:proofErr w:type="spellStart"/>
      <w:r w:rsidRPr="00753307">
        <w:rPr>
          <w:u w:val="single"/>
        </w:rPr>
        <w:t>E.On</w:t>
      </w:r>
      <w:proofErr w:type="spellEnd"/>
      <w:r w:rsidRPr="00753307">
        <w:t xml:space="preserve"> anfører, at det fra EU allerede er defineret, at der skal være åben adgang med rimelige og ikke-diskriminerende priser på </w:t>
      </w:r>
      <w:proofErr w:type="spellStart"/>
      <w:r w:rsidRPr="00753307">
        <w:t>ladestandere</w:t>
      </w:r>
      <w:proofErr w:type="spellEnd"/>
      <w:r w:rsidRPr="00753307">
        <w:t xml:space="preserve">. </w:t>
      </w:r>
      <w:proofErr w:type="spellStart"/>
      <w:r w:rsidRPr="00753307">
        <w:rPr>
          <w:u w:val="single"/>
        </w:rPr>
        <w:t>E.On</w:t>
      </w:r>
      <w:proofErr w:type="spellEnd"/>
      <w:r w:rsidRPr="00753307">
        <w:t xml:space="preserve"> anbefaler at benytte EU-direktivet på området, da adgangen til </w:t>
      </w:r>
      <w:proofErr w:type="spellStart"/>
      <w:r w:rsidRPr="00753307">
        <w:t>ladestandere</w:t>
      </w:r>
      <w:proofErr w:type="spellEnd"/>
      <w:r w:rsidRPr="00753307">
        <w:t xml:space="preserve"> bør samstemme med Danmarks internationale naboer, så mobiliteten på tværs af grænser også ensrettes. </w:t>
      </w:r>
    </w:p>
    <w:p w14:paraId="6911A93E" w14:textId="77777777" w:rsidR="00753307" w:rsidRDefault="00BD176B" w:rsidP="0003584C">
      <w:pPr>
        <w:rPr>
          <w:sz w:val="22"/>
          <w:szCs w:val="22"/>
        </w:rPr>
      </w:pPr>
      <w:proofErr w:type="spellStart"/>
      <w:r w:rsidRPr="00BD176B">
        <w:rPr>
          <w:rFonts w:eastAsia="Times New Roman"/>
          <w:u w:val="single"/>
        </w:rPr>
        <w:t>Sperto</w:t>
      </w:r>
      <w:proofErr w:type="spellEnd"/>
      <w:r>
        <w:rPr>
          <w:rFonts w:eastAsia="Times New Roman"/>
        </w:rPr>
        <w:t xml:space="preserve"> </w:t>
      </w:r>
      <w:r w:rsidRPr="00BD176B">
        <w:rPr>
          <w:rFonts w:eastAsia="Times New Roman"/>
        </w:rPr>
        <w:t xml:space="preserve">vurderer, at bestemmelsen </w:t>
      </w:r>
      <w:r>
        <w:rPr>
          <w:rFonts w:eastAsia="Times New Roman"/>
        </w:rPr>
        <w:t>om en maksimal rabat på 10 pct. bør gælde overalt, og at rabatten e</w:t>
      </w:r>
      <w:r w:rsidRPr="00BD176B">
        <w:rPr>
          <w:rFonts w:eastAsia="Times New Roman"/>
        </w:rPr>
        <w:t xml:space="preserve">r </w:t>
      </w:r>
      <w:r>
        <w:rPr>
          <w:rFonts w:eastAsia="Times New Roman"/>
        </w:rPr>
        <w:t xml:space="preserve">for </w:t>
      </w:r>
      <w:r w:rsidRPr="00BD176B">
        <w:rPr>
          <w:rFonts w:eastAsia="Times New Roman"/>
        </w:rPr>
        <w:t>begrænsende i forhold til</w:t>
      </w:r>
      <w:r>
        <w:rPr>
          <w:rFonts w:eastAsia="Times New Roman"/>
        </w:rPr>
        <w:t>,</w:t>
      </w:r>
      <w:r w:rsidRPr="00BD176B">
        <w:rPr>
          <w:rFonts w:eastAsia="Times New Roman"/>
        </w:rPr>
        <w:t xml:space="preserve"> at </w:t>
      </w:r>
      <w:proofErr w:type="spellStart"/>
      <w:r w:rsidRPr="00BD176B">
        <w:rPr>
          <w:rFonts w:eastAsia="Times New Roman"/>
        </w:rPr>
        <w:t>ladeoperatører</w:t>
      </w:r>
      <w:proofErr w:type="spellEnd"/>
      <w:r w:rsidRPr="00BD176B">
        <w:rPr>
          <w:rFonts w:eastAsia="Times New Roman"/>
        </w:rPr>
        <w:t xml:space="preserve"> kan udvikle forskellige rimelige </w:t>
      </w:r>
      <w:r w:rsidR="00C6206D">
        <w:rPr>
          <w:rFonts w:eastAsia="Times New Roman"/>
        </w:rPr>
        <w:t>forretnings</w:t>
      </w:r>
      <w:r w:rsidRPr="00BD176B">
        <w:rPr>
          <w:rFonts w:eastAsia="Times New Roman"/>
        </w:rPr>
        <w:t xml:space="preserve">koncepter. </w:t>
      </w:r>
      <w:proofErr w:type="spellStart"/>
      <w:r>
        <w:rPr>
          <w:rFonts w:eastAsia="Times New Roman"/>
        </w:rPr>
        <w:t>Sperto</w:t>
      </w:r>
      <w:proofErr w:type="spellEnd"/>
      <w:r>
        <w:rPr>
          <w:rFonts w:eastAsia="Times New Roman"/>
        </w:rPr>
        <w:t xml:space="preserve"> foreslår, at b</w:t>
      </w:r>
      <w:r w:rsidRPr="00BD176B">
        <w:rPr>
          <w:rFonts w:eastAsia="Times New Roman"/>
        </w:rPr>
        <w:t>estemmelsen erstattes med et forbud mod fastprisabonnementer på opladning af elektriske køretøjer, da sådanne abonnementer tilskynder til et unødigt stort energiforbrug, hvilket oplagt ikke er i samfundets interesse, eller</w:t>
      </w:r>
      <w:r w:rsidRPr="00BD176B">
        <w:rPr>
          <w:rFonts w:ascii="Calibri" w:eastAsia="Times New Roman" w:hAnsi="Calibri"/>
          <w:sz w:val="22"/>
          <w:szCs w:val="22"/>
        </w:rPr>
        <w:t xml:space="preserve"> </w:t>
      </w:r>
      <w:r>
        <w:rPr>
          <w:rFonts w:ascii="Calibri" w:eastAsia="Times New Roman" w:hAnsi="Calibri"/>
          <w:sz w:val="22"/>
          <w:szCs w:val="22"/>
        </w:rPr>
        <w:t>at b</w:t>
      </w:r>
      <w:r w:rsidRPr="00BD176B">
        <w:rPr>
          <w:rFonts w:eastAsia="Times New Roman"/>
        </w:rPr>
        <w:t xml:space="preserve">estemmelsen fastholdes, </w:t>
      </w:r>
      <w:r>
        <w:rPr>
          <w:rFonts w:eastAsia="Times New Roman"/>
        </w:rPr>
        <w:t>men skal</w:t>
      </w:r>
      <w:r w:rsidRPr="00BD176B">
        <w:rPr>
          <w:rFonts w:eastAsia="Times New Roman"/>
        </w:rPr>
        <w:t xml:space="preserve"> gælde overalt</w:t>
      </w:r>
      <w:r>
        <w:rPr>
          <w:rFonts w:eastAsia="Times New Roman"/>
        </w:rPr>
        <w:t>,</w:t>
      </w:r>
      <w:r w:rsidRPr="00BD176B">
        <w:rPr>
          <w:rFonts w:eastAsia="Times New Roman"/>
        </w:rPr>
        <w:t xml:space="preserve"> og </w:t>
      </w:r>
      <w:r w:rsidR="00C6206D">
        <w:rPr>
          <w:rFonts w:eastAsia="Times New Roman"/>
        </w:rPr>
        <w:t xml:space="preserve">at </w:t>
      </w:r>
      <w:r w:rsidRPr="00BD176B">
        <w:rPr>
          <w:rFonts w:eastAsia="Times New Roman"/>
        </w:rPr>
        <w:t xml:space="preserve">den maksimale rabat </w:t>
      </w:r>
      <w:r w:rsidR="00C6206D">
        <w:rPr>
          <w:rFonts w:eastAsia="Times New Roman"/>
        </w:rPr>
        <w:t xml:space="preserve">i så fald </w:t>
      </w:r>
      <w:r w:rsidRPr="00BD176B">
        <w:rPr>
          <w:rFonts w:eastAsia="Times New Roman"/>
        </w:rPr>
        <w:t>skal forøges til 20</w:t>
      </w:r>
      <w:r>
        <w:rPr>
          <w:rFonts w:eastAsia="Times New Roman"/>
        </w:rPr>
        <w:t xml:space="preserve"> pct</w:t>
      </w:r>
      <w:r w:rsidRPr="00BD176B">
        <w:rPr>
          <w:rFonts w:eastAsia="Times New Roman"/>
        </w:rPr>
        <w:t>.</w:t>
      </w:r>
    </w:p>
    <w:p w14:paraId="6596B040" w14:textId="77777777" w:rsidR="00F07D40" w:rsidRDefault="000B2BA1" w:rsidP="000B2BA1">
      <w:pPr>
        <w:rPr>
          <w:rFonts w:ascii="Georgia" w:eastAsia="Times New Roman" w:hAnsi="Georgia"/>
          <w:i/>
          <w:color w:val="0D0D0D"/>
        </w:rPr>
      </w:pPr>
      <w:r w:rsidRPr="00F20385">
        <w:rPr>
          <w:rFonts w:ascii="Georgia" w:eastAsia="Times New Roman" w:hAnsi="Georgia"/>
          <w:i/>
          <w:color w:val="0D0D0D"/>
        </w:rPr>
        <w:t xml:space="preserve">Transportministeriet skal hertil bemærke, at </w:t>
      </w:r>
      <w:r w:rsidR="008E1AAC">
        <w:rPr>
          <w:rFonts w:ascii="Georgia" w:eastAsia="Times New Roman" w:hAnsi="Georgia"/>
          <w:i/>
          <w:color w:val="0D0D0D"/>
        </w:rPr>
        <w:t xml:space="preserve">formålet med bekendtgørelsen netop er at implementere direktivets bestemmelser om </w:t>
      </w:r>
      <w:r w:rsidR="008E1AAC" w:rsidRPr="008E1AAC">
        <w:rPr>
          <w:rFonts w:ascii="Georgia" w:eastAsia="Times New Roman" w:hAnsi="Georgia"/>
          <w:i/>
          <w:color w:val="0D0D0D"/>
        </w:rPr>
        <w:t>rimelige og ikke-diskriminerende priser</w:t>
      </w:r>
      <w:r w:rsidR="008E1AAC">
        <w:rPr>
          <w:rFonts w:ascii="Georgia" w:eastAsia="Times New Roman" w:hAnsi="Georgia"/>
          <w:i/>
          <w:color w:val="0D0D0D"/>
        </w:rPr>
        <w:t>.</w:t>
      </w:r>
    </w:p>
    <w:p w14:paraId="60F46356" w14:textId="77777777" w:rsidR="002B1579" w:rsidRDefault="00F07D40" w:rsidP="000B2BA1">
      <w:pPr>
        <w:rPr>
          <w:rFonts w:ascii="Georgia" w:eastAsia="Times New Roman" w:hAnsi="Georgia"/>
          <w:i/>
          <w:color w:val="0D0D0D"/>
        </w:rPr>
      </w:pPr>
      <w:proofErr w:type="spellStart"/>
      <w:r>
        <w:rPr>
          <w:rFonts w:ascii="Georgia" w:eastAsia="Times New Roman" w:hAnsi="Georgia"/>
          <w:i/>
          <w:color w:val="0D0D0D"/>
        </w:rPr>
        <w:t>Spertos</w:t>
      </w:r>
      <w:proofErr w:type="spellEnd"/>
      <w:r>
        <w:rPr>
          <w:rFonts w:ascii="Georgia" w:eastAsia="Times New Roman" w:hAnsi="Georgia"/>
          <w:i/>
          <w:color w:val="0D0D0D"/>
        </w:rPr>
        <w:t xml:space="preserve"> forslag om et egentligt </w:t>
      </w:r>
      <w:r w:rsidR="002B1579">
        <w:rPr>
          <w:rFonts w:ascii="Georgia" w:eastAsia="Times New Roman" w:hAnsi="Georgia"/>
          <w:i/>
          <w:color w:val="0D0D0D"/>
        </w:rPr>
        <w:t xml:space="preserve">forbud mod abonnementer med fast pris vurderes for nuværende at være </w:t>
      </w:r>
      <w:r>
        <w:rPr>
          <w:rFonts w:ascii="Georgia" w:eastAsia="Times New Roman" w:hAnsi="Georgia"/>
          <w:i/>
          <w:color w:val="0D0D0D"/>
        </w:rPr>
        <w:t xml:space="preserve">et </w:t>
      </w:r>
      <w:proofErr w:type="spellStart"/>
      <w:r>
        <w:rPr>
          <w:rFonts w:ascii="Georgia" w:eastAsia="Times New Roman" w:hAnsi="Georgia"/>
          <w:i/>
          <w:color w:val="0D0D0D"/>
        </w:rPr>
        <w:t>uproportionalt</w:t>
      </w:r>
      <w:proofErr w:type="spellEnd"/>
      <w:r>
        <w:rPr>
          <w:rFonts w:ascii="Georgia" w:eastAsia="Times New Roman" w:hAnsi="Georgia"/>
          <w:i/>
          <w:color w:val="0D0D0D"/>
        </w:rPr>
        <w:t xml:space="preserve"> tiltag i forhold til at sikre ad hoc brugerne </w:t>
      </w:r>
      <w:r w:rsidRPr="008E1AAC">
        <w:rPr>
          <w:rFonts w:ascii="Georgia" w:eastAsia="Times New Roman" w:hAnsi="Georgia"/>
          <w:i/>
          <w:color w:val="0D0D0D"/>
        </w:rPr>
        <w:t>rimelige og ikke-diskriminerende priser</w:t>
      </w:r>
      <w:r>
        <w:rPr>
          <w:rFonts w:ascii="Georgia" w:eastAsia="Times New Roman" w:hAnsi="Georgia"/>
          <w:i/>
          <w:color w:val="0D0D0D"/>
        </w:rPr>
        <w:t>. Et loft på rabat uden forklaring på 10 % vurderes henset til typiske rabatter på fossile tankstationer at være et passende niveau for fastsættelsen af denne grænse. Operatøren kan give dog give en rabat på f.eks. 2o %, hvis operatøren kan begrunde dette rabatniveau.</w:t>
      </w:r>
    </w:p>
    <w:p w14:paraId="1A93BD26" w14:textId="7E141EA5" w:rsidR="008E1AAC" w:rsidRDefault="006A432E" w:rsidP="000B2BA1">
      <w:pPr>
        <w:rPr>
          <w:rFonts w:ascii="Georgia" w:eastAsia="Times New Roman" w:hAnsi="Georgia"/>
          <w:i/>
          <w:color w:val="0D0D0D"/>
        </w:rPr>
      </w:pPr>
      <w:r>
        <w:rPr>
          <w:rFonts w:ascii="Georgia" w:eastAsia="Times New Roman" w:hAnsi="Georgia"/>
          <w:i/>
          <w:color w:val="0D0D0D"/>
        </w:rPr>
        <w:t>M</w:t>
      </w:r>
      <w:r w:rsidR="00710EB1">
        <w:rPr>
          <w:rFonts w:ascii="Georgia" w:eastAsia="Times New Roman" w:hAnsi="Georgia"/>
          <w:i/>
          <w:color w:val="0D0D0D"/>
        </w:rPr>
        <w:t>inisteriet har i bekendtgørelse</w:t>
      </w:r>
      <w:r w:rsidR="002B1579">
        <w:rPr>
          <w:rFonts w:ascii="Georgia" w:eastAsia="Times New Roman" w:hAnsi="Georgia"/>
          <w:i/>
          <w:color w:val="0D0D0D"/>
        </w:rPr>
        <w:t xml:space="preserve">steksten </w:t>
      </w:r>
      <w:r w:rsidR="008E1AAC">
        <w:rPr>
          <w:rFonts w:ascii="Georgia" w:eastAsia="Times New Roman" w:hAnsi="Georgia"/>
          <w:i/>
          <w:color w:val="0D0D0D"/>
        </w:rPr>
        <w:t>anvendte begreb</w:t>
      </w:r>
      <w:r w:rsidR="00710EB1">
        <w:rPr>
          <w:rFonts w:ascii="Georgia" w:eastAsia="Times New Roman" w:hAnsi="Georgia"/>
          <w:i/>
          <w:color w:val="0D0D0D"/>
        </w:rPr>
        <w:t>et</w:t>
      </w:r>
      <w:r w:rsidR="008E1AAC">
        <w:rPr>
          <w:rFonts w:ascii="Georgia" w:eastAsia="Times New Roman" w:hAnsi="Georgia"/>
          <w:i/>
          <w:color w:val="0D0D0D"/>
        </w:rPr>
        <w:t xml:space="preserve"> administrative besparelser</w:t>
      </w:r>
      <w:r w:rsidR="00710EB1">
        <w:rPr>
          <w:rFonts w:ascii="Georgia" w:eastAsia="Times New Roman" w:hAnsi="Georgia"/>
          <w:i/>
          <w:color w:val="0D0D0D"/>
        </w:rPr>
        <w:t xml:space="preserve"> i en begrænse</w:t>
      </w:r>
      <w:r w:rsidR="002B1579">
        <w:rPr>
          <w:rFonts w:ascii="Georgia" w:eastAsia="Times New Roman" w:hAnsi="Georgia"/>
          <w:i/>
          <w:color w:val="0D0D0D"/>
        </w:rPr>
        <w:t xml:space="preserve">nde </w:t>
      </w:r>
      <w:r w:rsidR="00710EB1">
        <w:rPr>
          <w:rFonts w:ascii="Georgia" w:eastAsia="Times New Roman" w:hAnsi="Georgia"/>
          <w:i/>
          <w:color w:val="0D0D0D"/>
        </w:rPr>
        <w:t xml:space="preserve">form, hvilket ikke skal fortolkes </w:t>
      </w:r>
      <w:r w:rsidR="008E1AAC">
        <w:rPr>
          <w:rFonts w:ascii="Georgia" w:eastAsia="Times New Roman" w:hAnsi="Georgia"/>
          <w:i/>
          <w:color w:val="0D0D0D"/>
        </w:rPr>
        <w:t>således</w:t>
      </w:r>
      <w:r w:rsidR="002B1579">
        <w:rPr>
          <w:rFonts w:ascii="Georgia" w:eastAsia="Times New Roman" w:hAnsi="Georgia"/>
          <w:i/>
          <w:color w:val="0D0D0D"/>
        </w:rPr>
        <w:t>,</w:t>
      </w:r>
      <w:r w:rsidR="008E1AAC">
        <w:rPr>
          <w:rFonts w:ascii="Georgia" w:eastAsia="Times New Roman" w:hAnsi="Georgia"/>
          <w:i/>
          <w:color w:val="0D0D0D"/>
        </w:rPr>
        <w:t xml:space="preserve"> </w:t>
      </w:r>
      <w:r w:rsidR="00710EB1">
        <w:rPr>
          <w:rFonts w:ascii="Georgia" w:eastAsia="Times New Roman" w:hAnsi="Georgia"/>
          <w:i/>
          <w:color w:val="0D0D0D"/>
        </w:rPr>
        <w:t xml:space="preserve">at </w:t>
      </w:r>
      <w:r w:rsidR="008E1AAC">
        <w:rPr>
          <w:rFonts w:ascii="Georgia" w:eastAsia="Times New Roman" w:hAnsi="Georgia"/>
          <w:i/>
          <w:color w:val="0D0D0D"/>
        </w:rPr>
        <w:t>økonomiske besparelser i bred forstand</w:t>
      </w:r>
      <w:r w:rsidR="00710EB1">
        <w:rPr>
          <w:rFonts w:ascii="Georgia" w:eastAsia="Times New Roman" w:hAnsi="Georgia"/>
          <w:i/>
          <w:color w:val="0D0D0D"/>
        </w:rPr>
        <w:t xml:space="preserve"> kan indgå i begrebet</w:t>
      </w:r>
      <w:r w:rsidR="008E1AAC">
        <w:rPr>
          <w:rFonts w:ascii="Georgia" w:eastAsia="Times New Roman" w:hAnsi="Georgia"/>
          <w:i/>
          <w:color w:val="0D0D0D"/>
        </w:rPr>
        <w:t>.</w:t>
      </w:r>
      <w:r w:rsidR="00710EB1">
        <w:rPr>
          <w:rFonts w:ascii="Georgia" w:eastAsia="Times New Roman" w:hAnsi="Georgia"/>
          <w:i/>
          <w:color w:val="0D0D0D"/>
        </w:rPr>
        <w:t xml:space="preserve"> Ligeledes skal bekendtgørelsens del om begrundelse forstås bogstaveligt, således at</w:t>
      </w:r>
      <w:r w:rsidR="002B1579">
        <w:rPr>
          <w:rFonts w:ascii="Georgia" w:eastAsia="Times New Roman" w:hAnsi="Georgia"/>
          <w:i/>
          <w:color w:val="0D0D0D"/>
        </w:rPr>
        <w:t xml:space="preserve"> i det tilfælde </w:t>
      </w:r>
      <w:r w:rsidR="00710EB1">
        <w:rPr>
          <w:rFonts w:ascii="Georgia" w:eastAsia="Times New Roman" w:hAnsi="Georgia"/>
          <w:i/>
          <w:color w:val="0D0D0D"/>
        </w:rPr>
        <w:t xml:space="preserve">en operatør giver en rabat på </w:t>
      </w:r>
      <w:r w:rsidR="00710EB1" w:rsidRPr="00710EB1">
        <w:rPr>
          <w:rFonts w:ascii="Georgia" w:eastAsia="Times New Roman" w:hAnsi="Georgia"/>
          <w:i/>
          <w:color w:val="0D0D0D"/>
        </w:rPr>
        <w:t>12 %</w:t>
      </w:r>
      <w:r w:rsidR="002B1579">
        <w:rPr>
          <w:rFonts w:ascii="Georgia" w:eastAsia="Times New Roman" w:hAnsi="Georgia"/>
          <w:i/>
          <w:color w:val="0D0D0D"/>
        </w:rPr>
        <w:t>,</w:t>
      </w:r>
      <w:r w:rsidR="00710EB1" w:rsidRPr="00710EB1">
        <w:rPr>
          <w:rFonts w:ascii="Georgia" w:eastAsia="Times New Roman" w:hAnsi="Georgia"/>
          <w:i/>
          <w:color w:val="0D0D0D"/>
        </w:rPr>
        <w:t xml:space="preserve"> er det de 12 %, som </w:t>
      </w:r>
      <w:r w:rsidR="002B1579">
        <w:rPr>
          <w:rFonts w:ascii="Georgia" w:eastAsia="Times New Roman" w:hAnsi="Georgia"/>
          <w:i/>
          <w:color w:val="0D0D0D"/>
        </w:rPr>
        <w:t xml:space="preserve">operatøren er forpligtet til at kunne </w:t>
      </w:r>
      <w:r w:rsidR="00710EB1" w:rsidRPr="00710EB1">
        <w:rPr>
          <w:rFonts w:ascii="Georgia" w:eastAsia="Times New Roman" w:hAnsi="Georgia"/>
          <w:i/>
          <w:color w:val="0D0D0D"/>
        </w:rPr>
        <w:t>begrunde</w:t>
      </w:r>
      <w:r w:rsidR="002B1579">
        <w:rPr>
          <w:rFonts w:ascii="Georgia" w:eastAsia="Times New Roman" w:hAnsi="Georgia"/>
          <w:i/>
          <w:color w:val="0D0D0D"/>
        </w:rPr>
        <w:t xml:space="preserve"> ud fra </w:t>
      </w:r>
      <w:r w:rsidR="00710EB1">
        <w:rPr>
          <w:rFonts w:ascii="Georgia" w:eastAsia="Times New Roman" w:hAnsi="Georgia"/>
          <w:i/>
          <w:color w:val="0D0D0D"/>
        </w:rPr>
        <w:t>administrative besparelser.</w:t>
      </w:r>
    </w:p>
    <w:p w14:paraId="30CC2BA7" w14:textId="5F405D2F" w:rsidR="00C341CA" w:rsidRDefault="00710EB1" w:rsidP="000B2BA1">
      <w:pPr>
        <w:rPr>
          <w:rFonts w:ascii="Georgia" w:eastAsia="Times New Roman" w:hAnsi="Georgia"/>
          <w:i/>
          <w:color w:val="0D0D0D"/>
        </w:rPr>
      </w:pPr>
      <w:r>
        <w:rPr>
          <w:rFonts w:ascii="Georgia" w:eastAsia="Times New Roman" w:hAnsi="Georgia"/>
          <w:i/>
          <w:color w:val="0D0D0D"/>
        </w:rPr>
        <w:t>En række høringsparter har påpeget, at den fakturerede gennemsnitspris i abonnementsordninger med e</w:t>
      </w:r>
      <w:r w:rsidR="002B1579">
        <w:rPr>
          <w:rFonts w:ascii="Georgia" w:eastAsia="Times New Roman" w:hAnsi="Georgia"/>
          <w:i/>
          <w:color w:val="0D0D0D"/>
        </w:rPr>
        <w:t xml:space="preserve">t </w:t>
      </w:r>
      <w:r>
        <w:rPr>
          <w:rFonts w:ascii="Georgia" w:eastAsia="Times New Roman" w:hAnsi="Georgia"/>
          <w:i/>
          <w:color w:val="0D0D0D"/>
        </w:rPr>
        <w:t xml:space="preserve">fast </w:t>
      </w:r>
      <w:r w:rsidR="002B1579">
        <w:rPr>
          <w:rFonts w:ascii="Georgia" w:eastAsia="Times New Roman" w:hAnsi="Georgia"/>
          <w:i/>
          <w:color w:val="0D0D0D"/>
        </w:rPr>
        <w:t xml:space="preserve">element i </w:t>
      </w:r>
      <w:r>
        <w:rPr>
          <w:rFonts w:ascii="Georgia" w:eastAsia="Times New Roman" w:hAnsi="Georgia"/>
          <w:i/>
          <w:color w:val="0D0D0D"/>
        </w:rPr>
        <w:t>betaling</w:t>
      </w:r>
      <w:r w:rsidR="002B1579">
        <w:rPr>
          <w:rFonts w:ascii="Georgia" w:eastAsia="Times New Roman" w:hAnsi="Georgia"/>
          <w:i/>
          <w:color w:val="0D0D0D"/>
        </w:rPr>
        <w:t>en</w:t>
      </w:r>
      <w:r>
        <w:rPr>
          <w:rFonts w:ascii="Georgia" w:eastAsia="Times New Roman" w:hAnsi="Georgia"/>
          <w:i/>
          <w:color w:val="0D0D0D"/>
        </w:rPr>
        <w:t xml:space="preserve"> typisk først kan opgøres efter </w:t>
      </w:r>
      <w:r w:rsidR="000A6F12">
        <w:rPr>
          <w:rFonts w:ascii="Georgia" w:eastAsia="Times New Roman" w:hAnsi="Georgia"/>
          <w:i/>
          <w:color w:val="0D0D0D"/>
        </w:rPr>
        <w:t xml:space="preserve">faktureringsperiodens udløb. Det kan </w:t>
      </w:r>
      <w:r w:rsidR="007F10EC">
        <w:rPr>
          <w:rFonts w:ascii="Georgia" w:eastAsia="Times New Roman" w:hAnsi="Georgia"/>
          <w:i/>
          <w:color w:val="0D0D0D"/>
        </w:rPr>
        <w:t xml:space="preserve">efter høringsparternes vurdering </w:t>
      </w:r>
      <w:r w:rsidR="000A6F12">
        <w:rPr>
          <w:rFonts w:ascii="Georgia" w:eastAsia="Times New Roman" w:hAnsi="Georgia"/>
          <w:i/>
          <w:color w:val="0D0D0D"/>
        </w:rPr>
        <w:t xml:space="preserve">principielt betyde, at ad hoc prisen først kan fastsættes efter faktureringsperioden. </w:t>
      </w:r>
      <w:r w:rsidR="007F10EC">
        <w:rPr>
          <w:rFonts w:ascii="Georgia" w:eastAsia="Times New Roman" w:hAnsi="Georgia"/>
          <w:i/>
          <w:color w:val="0D0D0D"/>
        </w:rPr>
        <w:t xml:space="preserve">Det anføres imidlertid ikke i bekendtgørelsen, at det nødvendigvis skal være den igangværende faktureringsperiode, der lægges til grund. Det er Transportministeriets opfattelse, at operatøren vil have adgang til at tage udgangspunkt i f.eks. </w:t>
      </w:r>
      <w:r w:rsidR="002B1579">
        <w:rPr>
          <w:rFonts w:ascii="Georgia" w:eastAsia="Times New Roman" w:hAnsi="Georgia"/>
          <w:i/>
          <w:color w:val="0D0D0D"/>
        </w:rPr>
        <w:t>d</w:t>
      </w:r>
      <w:r w:rsidR="007F10EC">
        <w:rPr>
          <w:rFonts w:ascii="Georgia" w:eastAsia="Times New Roman" w:hAnsi="Georgia"/>
          <w:i/>
          <w:color w:val="0D0D0D"/>
        </w:rPr>
        <w:t xml:space="preserve">en senest tilgængelige faktureringsperiode. Det er dermed ministeriets opfattelse, at loftet på rabat uden begrundelse </w:t>
      </w:r>
      <w:r w:rsidR="00C341CA">
        <w:rPr>
          <w:rFonts w:ascii="Georgia" w:eastAsia="Times New Roman" w:hAnsi="Georgia"/>
          <w:i/>
          <w:color w:val="0D0D0D"/>
        </w:rPr>
        <w:t xml:space="preserve">blot </w:t>
      </w:r>
      <w:r w:rsidR="007F10EC">
        <w:rPr>
          <w:rFonts w:ascii="Georgia" w:eastAsia="Times New Roman" w:hAnsi="Georgia"/>
          <w:i/>
          <w:color w:val="0D0D0D"/>
        </w:rPr>
        <w:t xml:space="preserve">skal </w:t>
      </w:r>
      <w:r w:rsidR="00C341CA">
        <w:rPr>
          <w:rFonts w:ascii="Georgia" w:eastAsia="Times New Roman" w:hAnsi="Georgia"/>
          <w:i/>
          <w:color w:val="0D0D0D"/>
        </w:rPr>
        <w:t xml:space="preserve">efterleves </w:t>
      </w:r>
      <w:r w:rsidR="007F10EC">
        <w:rPr>
          <w:rFonts w:ascii="Georgia" w:eastAsia="Times New Roman" w:hAnsi="Georgia"/>
          <w:i/>
          <w:color w:val="0D0D0D"/>
        </w:rPr>
        <w:t>ove</w:t>
      </w:r>
      <w:r w:rsidR="002B1579">
        <w:rPr>
          <w:rFonts w:ascii="Georgia" w:eastAsia="Times New Roman" w:hAnsi="Georgia"/>
          <w:i/>
          <w:color w:val="0D0D0D"/>
        </w:rPr>
        <w:t>r et antal faktureringsperioder, således at perioder med en effektivt højere rabat til brugere med abonnements, skal efterfølges af perioder med lavere rabat til denne brugergruppe.</w:t>
      </w:r>
    </w:p>
    <w:p w14:paraId="23B37F22" w14:textId="41E93822" w:rsidR="00C341CA" w:rsidRDefault="00C341CA" w:rsidP="000B2BA1">
      <w:pPr>
        <w:rPr>
          <w:rFonts w:ascii="Georgia" w:eastAsia="Times New Roman" w:hAnsi="Georgia"/>
          <w:i/>
          <w:color w:val="0D0D0D"/>
        </w:rPr>
      </w:pPr>
      <w:r>
        <w:rPr>
          <w:rFonts w:ascii="Georgia" w:eastAsia="Times New Roman" w:hAnsi="Georgia"/>
          <w:i/>
          <w:color w:val="0D0D0D"/>
        </w:rPr>
        <w:t xml:space="preserve">I forhold til høringssvaret fra </w:t>
      </w:r>
      <w:proofErr w:type="spellStart"/>
      <w:r>
        <w:rPr>
          <w:rFonts w:ascii="Georgia" w:eastAsia="Times New Roman" w:hAnsi="Georgia"/>
          <w:i/>
          <w:color w:val="0D0D0D"/>
        </w:rPr>
        <w:t>Sperto</w:t>
      </w:r>
      <w:proofErr w:type="spellEnd"/>
      <w:r>
        <w:rPr>
          <w:rFonts w:ascii="Georgia" w:eastAsia="Times New Roman" w:hAnsi="Georgia"/>
          <w:i/>
          <w:color w:val="0D0D0D"/>
        </w:rPr>
        <w:t xml:space="preserve"> om strøm via private ladepunkter afhænger anvendelsen af bekendtgørelsen af, om brugerens kWh-pris for at oplade ved det offentligt tilgængelige </w:t>
      </w:r>
      <w:proofErr w:type="spellStart"/>
      <w:r>
        <w:rPr>
          <w:rFonts w:ascii="Georgia" w:eastAsia="Times New Roman" w:hAnsi="Georgia"/>
          <w:i/>
          <w:color w:val="0D0D0D"/>
        </w:rPr>
        <w:t>ladepunkt</w:t>
      </w:r>
      <w:proofErr w:type="spellEnd"/>
      <w:r>
        <w:rPr>
          <w:rFonts w:ascii="Georgia" w:eastAsia="Times New Roman" w:hAnsi="Georgia"/>
          <w:i/>
          <w:color w:val="0D0D0D"/>
        </w:rPr>
        <w:t xml:space="preserve"> er knyttet sammen med forbruget på det private </w:t>
      </w:r>
      <w:proofErr w:type="spellStart"/>
      <w:r>
        <w:rPr>
          <w:rFonts w:ascii="Georgia" w:eastAsia="Times New Roman" w:hAnsi="Georgia"/>
          <w:i/>
          <w:color w:val="0D0D0D"/>
        </w:rPr>
        <w:t>ladepunkt</w:t>
      </w:r>
      <w:proofErr w:type="spellEnd"/>
      <w:r>
        <w:rPr>
          <w:rFonts w:ascii="Georgia" w:eastAsia="Times New Roman" w:hAnsi="Georgia"/>
          <w:i/>
          <w:color w:val="0D0D0D"/>
        </w:rPr>
        <w:t xml:space="preserve">. Hvis dette er tilfældet, skal det private </w:t>
      </w:r>
      <w:proofErr w:type="spellStart"/>
      <w:r>
        <w:rPr>
          <w:rFonts w:ascii="Georgia" w:eastAsia="Times New Roman" w:hAnsi="Georgia"/>
          <w:i/>
          <w:color w:val="0D0D0D"/>
        </w:rPr>
        <w:t>ladepunkt</w:t>
      </w:r>
      <w:proofErr w:type="spellEnd"/>
      <w:r>
        <w:rPr>
          <w:rFonts w:ascii="Georgia" w:eastAsia="Times New Roman" w:hAnsi="Georgia"/>
          <w:i/>
          <w:color w:val="0D0D0D"/>
        </w:rPr>
        <w:t xml:space="preserve"> indgå opgørelsen. </w:t>
      </w:r>
      <w:r w:rsidR="006A432E">
        <w:rPr>
          <w:rFonts w:ascii="Georgia" w:eastAsia="Times New Roman" w:hAnsi="Georgia"/>
          <w:i/>
          <w:color w:val="0D0D0D"/>
        </w:rPr>
        <w:t>M</w:t>
      </w:r>
      <w:r>
        <w:rPr>
          <w:rFonts w:ascii="Georgia" w:eastAsia="Times New Roman" w:hAnsi="Georgia"/>
          <w:i/>
          <w:color w:val="0D0D0D"/>
        </w:rPr>
        <w:t>inisteriet henleder her opm</w:t>
      </w:r>
      <w:r w:rsidR="002B1579">
        <w:rPr>
          <w:rFonts w:ascii="Georgia" w:eastAsia="Times New Roman" w:hAnsi="Georgia"/>
          <w:i/>
          <w:color w:val="0D0D0D"/>
        </w:rPr>
        <w:t xml:space="preserve">ærksomheden på, at operatøren i disse situationer skal tage udgangspunkt i den </w:t>
      </w:r>
      <w:r w:rsidRPr="00153EF2">
        <w:rPr>
          <w:rFonts w:ascii="Georgia" w:eastAsia="Times New Roman" w:hAnsi="Georgia"/>
          <w:i/>
          <w:color w:val="0D0D0D"/>
        </w:rPr>
        <w:t xml:space="preserve">mest udbredte abonnementsordning hos operatøren </w:t>
      </w:r>
      <w:r w:rsidR="002B1579">
        <w:rPr>
          <w:rFonts w:ascii="Georgia" w:eastAsia="Times New Roman" w:hAnsi="Georgia"/>
          <w:i/>
          <w:color w:val="0D0D0D"/>
        </w:rPr>
        <w:t xml:space="preserve">og her opgøre, hvad der </w:t>
      </w:r>
      <w:r w:rsidRPr="00153EF2">
        <w:rPr>
          <w:rFonts w:ascii="Georgia" w:eastAsia="Times New Roman" w:hAnsi="Georgia"/>
          <w:i/>
          <w:color w:val="0D0D0D"/>
        </w:rPr>
        <w:t xml:space="preserve">effektivt </w:t>
      </w:r>
      <w:r w:rsidR="002B1579">
        <w:rPr>
          <w:rFonts w:ascii="Georgia" w:eastAsia="Times New Roman" w:hAnsi="Georgia"/>
          <w:i/>
          <w:color w:val="0D0D0D"/>
        </w:rPr>
        <w:t xml:space="preserve">er </w:t>
      </w:r>
      <w:r w:rsidRPr="00153EF2">
        <w:rPr>
          <w:rFonts w:ascii="Georgia" w:eastAsia="Times New Roman" w:hAnsi="Georgia"/>
          <w:i/>
          <w:color w:val="0D0D0D"/>
        </w:rPr>
        <w:t>betalt for forbrug</w:t>
      </w:r>
      <w:r w:rsidR="002B1579">
        <w:rPr>
          <w:rFonts w:ascii="Georgia" w:eastAsia="Times New Roman" w:hAnsi="Georgia"/>
          <w:i/>
          <w:color w:val="0D0D0D"/>
        </w:rPr>
        <w:t>et</w:t>
      </w:r>
      <w:r w:rsidRPr="00153EF2">
        <w:rPr>
          <w:rFonts w:ascii="Georgia" w:eastAsia="Times New Roman" w:hAnsi="Georgia"/>
          <w:i/>
          <w:color w:val="0D0D0D"/>
        </w:rPr>
        <w:t xml:space="preserve"> af opladningstjenester</w:t>
      </w:r>
      <w:r w:rsidR="002B1579" w:rsidRPr="002B1579">
        <w:rPr>
          <w:rFonts w:ascii="Georgia" w:eastAsia="Times New Roman" w:hAnsi="Georgia"/>
          <w:i/>
          <w:color w:val="0D0D0D"/>
        </w:rPr>
        <w:t>.</w:t>
      </w:r>
    </w:p>
    <w:p w14:paraId="6784927D" w14:textId="77777777" w:rsidR="00DD426A" w:rsidRPr="000237B9" w:rsidRDefault="00DD426A" w:rsidP="00DD426A">
      <w:pPr>
        <w:rPr>
          <w:b/>
        </w:rPr>
      </w:pPr>
      <w:r>
        <w:rPr>
          <w:b/>
        </w:rPr>
        <w:t>4</w:t>
      </w:r>
      <w:r w:rsidRPr="000237B9">
        <w:rPr>
          <w:b/>
        </w:rPr>
        <w:t>. Definition af udbudsloven</w:t>
      </w:r>
      <w:r>
        <w:rPr>
          <w:b/>
        </w:rPr>
        <w:t xml:space="preserve"> samt øvrige henvisninger til udbudsloven</w:t>
      </w:r>
    </w:p>
    <w:p w14:paraId="63F4B820" w14:textId="77777777" w:rsidR="00DD426A" w:rsidRDefault="00DD426A" w:rsidP="00DD426A">
      <w:r w:rsidRPr="000237B9">
        <w:rPr>
          <w:u w:val="single"/>
        </w:rPr>
        <w:t>KL</w:t>
      </w:r>
      <w:r>
        <w:t xml:space="preserve"> finder, at d</w:t>
      </w:r>
      <w:r w:rsidRPr="000237B9">
        <w:rPr>
          <w:rFonts w:eastAsiaTheme="minorHAnsi"/>
        </w:rPr>
        <w:t xml:space="preserve">er </w:t>
      </w:r>
      <w:r>
        <w:t xml:space="preserve">i bekendtgørelsesudkastets § 1 </w:t>
      </w:r>
      <w:r w:rsidRPr="000237B9">
        <w:rPr>
          <w:rFonts w:eastAsiaTheme="minorHAnsi"/>
        </w:rPr>
        <w:t xml:space="preserve">med fordel </w:t>
      </w:r>
      <w:r>
        <w:t xml:space="preserve">kan </w:t>
      </w:r>
      <w:r w:rsidRPr="000237B9">
        <w:rPr>
          <w:rFonts w:eastAsiaTheme="minorHAnsi"/>
        </w:rPr>
        <w:t>indsættes en definition af udbudsloven, og hvordan denne skal anvendes i forbindelse med lovgivningen.</w:t>
      </w:r>
      <w:r>
        <w:rPr>
          <w:rFonts w:eastAsiaTheme="minorHAnsi"/>
        </w:rPr>
        <w:t xml:space="preserve"> </w:t>
      </w:r>
      <w:r w:rsidRPr="000B4653">
        <w:t xml:space="preserve">KL anfører herudover, at henvisningen til udbudsloven i § 2, stk. 1, umiddelbart bør omfatte §§ 191-192 og ikke kun § 192. </w:t>
      </w:r>
    </w:p>
    <w:p w14:paraId="3E4880FC" w14:textId="77777777" w:rsidR="00DD426A" w:rsidRDefault="00DD426A" w:rsidP="00DD426A">
      <w:r w:rsidRPr="000B4653">
        <w:t>Endelig anføres det, at der i bekendtgørelsesudkastets § 2, stk. 2</w:t>
      </w:r>
      <w:r>
        <w:t>,</w:t>
      </w:r>
      <w:r w:rsidRPr="000B4653">
        <w:t xml:space="preserve"> henvises til udbudslovens § 193. KL noterer</w:t>
      </w:r>
      <w:r>
        <w:t xml:space="preserve"> i den forbindelse</w:t>
      </w:r>
      <w:r w:rsidRPr="000B4653">
        <w:t>, at bestemmelsen giver anledning til mindre konkurrenceudsættelse, end der formentlig lægges op til med denne bekendtgørelse, samt øgede udgifter til administration (dokumentation mm.).</w:t>
      </w:r>
    </w:p>
    <w:p w14:paraId="7E8929D2" w14:textId="77777777" w:rsidR="00DD426A" w:rsidRDefault="00DD426A" w:rsidP="00DD426A">
      <w:pPr>
        <w:rPr>
          <w:rFonts w:eastAsiaTheme="minorHAnsi"/>
        </w:rPr>
      </w:pPr>
      <w:r>
        <w:rPr>
          <w:rFonts w:ascii="Georgia" w:eastAsia="Times New Roman" w:hAnsi="Georgia"/>
          <w:color w:val="0D0D0D"/>
          <w:u w:val="single"/>
        </w:rPr>
        <w:t>Drivkraft Danmark udtrykke</w:t>
      </w:r>
      <w:r>
        <w:rPr>
          <w:rFonts w:ascii="Georgia" w:eastAsia="Times New Roman" w:hAnsi="Georgia"/>
          <w:color w:val="0D0D0D"/>
        </w:rPr>
        <w:t>r bekymring for, om p</w:t>
      </w:r>
      <w:r>
        <w:rPr>
          <w:rFonts w:eastAsiaTheme="minorHAnsi"/>
        </w:rPr>
        <w:t xml:space="preserve">kt. 2 i § 193 i udbudsloven, hvorefter der er krav om at indhente to eller flere tilbud, er nok til at skabe den nødvendige konkurrence, når markedet for kantstensladere pt. netop er domineret af to </w:t>
      </w:r>
      <w:proofErr w:type="spellStart"/>
      <w:r>
        <w:rPr>
          <w:rFonts w:eastAsiaTheme="minorHAnsi"/>
        </w:rPr>
        <w:t>ladeoperatører</w:t>
      </w:r>
      <w:proofErr w:type="spellEnd"/>
      <w:r>
        <w:rPr>
          <w:rFonts w:eastAsiaTheme="minorHAnsi"/>
        </w:rPr>
        <w:t xml:space="preserve">, der er aktive i hele landet. Drivkraft Danmark mener således, at der minimum bør indhentes tre tilbud. Det er herudover Drivkraft Danmarks vurdering af </w:t>
      </w:r>
      <w:proofErr w:type="spellStart"/>
      <w:r>
        <w:rPr>
          <w:rFonts w:eastAsiaTheme="minorHAnsi"/>
        </w:rPr>
        <w:t>lademarkedet</w:t>
      </w:r>
      <w:proofErr w:type="spellEnd"/>
      <w:r>
        <w:rPr>
          <w:rFonts w:eastAsiaTheme="minorHAnsi"/>
        </w:rPr>
        <w:t xml:space="preserve">, at der ofte vil være tale om en opgave med grænseoverskridende interesse, når opsætning og drift af </w:t>
      </w:r>
      <w:proofErr w:type="spellStart"/>
      <w:r>
        <w:rPr>
          <w:rFonts w:eastAsiaTheme="minorHAnsi"/>
        </w:rPr>
        <w:t>ladestandere</w:t>
      </w:r>
      <w:proofErr w:type="spellEnd"/>
      <w:r>
        <w:rPr>
          <w:rFonts w:eastAsiaTheme="minorHAnsi"/>
        </w:rPr>
        <w:t xml:space="preserve"> sendes i udbud. Opgaven kræver specialiseret viden samt kapital, og derfor er mange </w:t>
      </w:r>
      <w:proofErr w:type="spellStart"/>
      <w:r>
        <w:rPr>
          <w:rFonts w:eastAsiaTheme="minorHAnsi"/>
        </w:rPr>
        <w:t>ladeoperatører</w:t>
      </w:r>
      <w:proofErr w:type="spellEnd"/>
      <w:r>
        <w:rPr>
          <w:rFonts w:eastAsiaTheme="minorHAnsi"/>
        </w:rPr>
        <w:t xml:space="preserve"> aktive i flere lande. Opgaven med opsætning med </w:t>
      </w:r>
      <w:proofErr w:type="spellStart"/>
      <w:r>
        <w:rPr>
          <w:rFonts w:eastAsiaTheme="minorHAnsi"/>
        </w:rPr>
        <w:t>ladestandere</w:t>
      </w:r>
      <w:proofErr w:type="spellEnd"/>
      <w:r>
        <w:rPr>
          <w:rFonts w:eastAsiaTheme="minorHAnsi"/>
        </w:rPr>
        <w:t xml:space="preserve"> på offentlig grund, bør derfor som hovedregel altid annonceres bredt, så hele markedet får kendskab til opgaven.</w:t>
      </w:r>
    </w:p>
    <w:p w14:paraId="6F165B2B" w14:textId="77777777" w:rsidR="00DD426A" w:rsidRDefault="00DD426A" w:rsidP="00DD426A">
      <w:pPr>
        <w:rPr>
          <w:rFonts w:eastAsia="Times New Roman"/>
        </w:rPr>
      </w:pPr>
      <w:proofErr w:type="spellStart"/>
      <w:r w:rsidRPr="00BD176B">
        <w:rPr>
          <w:rFonts w:eastAsia="Times New Roman"/>
          <w:bCs/>
          <w:u w:val="single"/>
        </w:rPr>
        <w:t>Sperto</w:t>
      </w:r>
      <w:proofErr w:type="spellEnd"/>
      <w:r w:rsidRPr="00BD176B">
        <w:rPr>
          <w:rFonts w:eastAsia="Times New Roman"/>
          <w:bCs/>
        </w:rPr>
        <w:t xml:space="preserve"> bemærker, at der i bekendtgørelsesudkastets § 2, stk</w:t>
      </w:r>
      <w:r w:rsidRPr="00BD176B">
        <w:rPr>
          <w:rFonts w:eastAsia="Times New Roman"/>
        </w:rPr>
        <w:t xml:space="preserve">. </w:t>
      </w:r>
      <w:r w:rsidRPr="00BD176B">
        <w:rPr>
          <w:rFonts w:eastAsia="Times New Roman"/>
          <w:bCs/>
        </w:rPr>
        <w:t>2,</w:t>
      </w:r>
      <w:r>
        <w:rPr>
          <w:rFonts w:eastAsia="Times New Roman"/>
          <w:b/>
          <w:bCs/>
        </w:rPr>
        <w:t xml:space="preserve"> </w:t>
      </w:r>
      <w:r w:rsidRPr="00BD176B">
        <w:rPr>
          <w:rFonts w:eastAsia="Times New Roman"/>
        </w:rPr>
        <w:t xml:space="preserve">henvises til udbudslovens § 193. </w:t>
      </w:r>
      <w:proofErr w:type="spellStart"/>
      <w:r>
        <w:rPr>
          <w:rFonts w:eastAsia="Times New Roman"/>
        </w:rPr>
        <w:t>Sperto</w:t>
      </w:r>
      <w:proofErr w:type="spellEnd"/>
      <w:r w:rsidRPr="00BD176B">
        <w:rPr>
          <w:rFonts w:eastAsia="Times New Roman"/>
        </w:rPr>
        <w:t xml:space="preserve"> foreslår at ændre formuleringen til: </w:t>
      </w:r>
      <w:proofErr w:type="gramStart"/>
      <w:r w:rsidRPr="00BD176B">
        <w:rPr>
          <w:rFonts w:eastAsia="Times New Roman"/>
        </w:rPr>
        <w:t>”</w:t>
      </w:r>
      <w:r w:rsidRPr="00BD176B">
        <w:rPr>
          <w:rFonts w:eastAsia="Times New Roman"/>
          <w:i/>
          <w:iCs/>
        </w:rPr>
        <w:t>…i</w:t>
      </w:r>
      <w:proofErr w:type="gramEnd"/>
      <w:r w:rsidRPr="00BD176B">
        <w:rPr>
          <w:rFonts w:eastAsia="Times New Roman"/>
          <w:i/>
          <w:iCs/>
        </w:rPr>
        <w:t xml:space="preserve"> overensstemmelse med udbudslovens § 193 dog undtaget stk. 1, pkt. 1.</w:t>
      </w:r>
      <w:r w:rsidRPr="00BD176B">
        <w:rPr>
          <w:rFonts w:eastAsia="Times New Roman"/>
        </w:rPr>
        <w:t xml:space="preserve">” Det bør således ikke være tilladt at indgå aftale om offentlige </w:t>
      </w:r>
      <w:proofErr w:type="spellStart"/>
      <w:r w:rsidRPr="00BD176B">
        <w:rPr>
          <w:rFonts w:eastAsia="Times New Roman"/>
        </w:rPr>
        <w:t>ladestandere</w:t>
      </w:r>
      <w:proofErr w:type="spellEnd"/>
      <w:r w:rsidRPr="00BD176B">
        <w:rPr>
          <w:rFonts w:eastAsia="Times New Roman"/>
        </w:rPr>
        <w:t xml:space="preserve"> alene ved markedsafdækning og ét tilbud. I så fald bliver bestemmelsen alt for let at omgå.</w:t>
      </w:r>
    </w:p>
    <w:p w14:paraId="47B46074" w14:textId="77777777" w:rsidR="00CA6FCF" w:rsidRDefault="00CA6FCF" w:rsidP="00CA6FCF">
      <w:pPr>
        <w:rPr>
          <w:rFonts w:ascii="Georgia" w:hAnsi="Georgia"/>
          <w:i/>
          <w:iCs/>
          <w:color w:val="auto"/>
        </w:rPr>
      </w:pPr>
      <w:r w:rsidRPr="00CA6FCF">
        <w:rPr>
          <w:rFonts w:ascii="Georgia" w:hAnsi="Georgia"/>
          <w:i/>
          <w:iCs/>
          <w:color w:val="auto"/>
        </w:rPr>
        <w:t xml:space="preserve">Transportministeriet skal hertil bemærke, at </w:t>
      </w:r>
      <w:r w:rsidR="00D07454">
        <w:rPr>
          <w:rFonts w:ascii="Georgia" w:hAnsi="Georgia"/>
          <w:i/>
          <w:iCs/>
          <w:color w:val="auto"/>
        </w:rPr>
        <w:t>der ikke efter ministeriets opfattelse kan være tvivl om, hvad der menes med en henvisning til ”udbudsloven” i dansk ret. Med henvisningen menes således den til enhver tid gældende udbudslov</w:t>
      </w:r>
      <w:r w:rsidRPr="00CA6FCF">
        <w:rPr>
          <w:rFonts w:ascii="Georgia" w:hAnsi="Georgia"/>
          <w:i/>
          <w:iCs/>
          <w:color w:val="auto"/>
        </w:rPr>
        <w:t xml:space="preserve">. </w:t>
      </w:r>
      <w:r w:rsidR="00CD76FC">
        <w:rPr>
          <w:rFonts w:ascii="Georgia" w:hAnsi="Georgia"/>
          <w:i/>
          <w:iCs/>
          <w:color w:val="auto"/>
        </w:rPr>
        <w:t>Der tilføjes således ikke en definition heraf i bekendtgørelsen.</w:t>
      </w:r>
    </w:p>
    <w:p w14:paraId="6DE52844" w14:textId="77777777" w:rsidR="00CD76FC" w:rsidRPr="00CA6FCF" w:rsidRDefault="00CD76FC" w:rsidP="00CA6FCF">
      <w:pPr>
        <w:rPr>
          <w:rFonts w:ascii="Georgia" w:hAnsi="Georgia"/>
          <w:i/>
          <w:iCs/>
          <w:color w:val="auto"/>
        </w:rPr>
      </w:pPr>
      <w:r>
        <w:rPr>
          <w:rFonts w:ascii="Georgia" w:hAnsi="Georgia"/>
          <w:i/>
          <w:iCs/>
          <w:color w:val="auto"/>
        </w:rPr>
        <w:t>For så vidt angår KL´s bemærkning om den manglende henvisning til udbudslovens § 191, har ministeriet præciseret bekendtgørelsen, således at der i tilknytning til henvisningen til udbudslovens § 192 i bekendtgørelsesudkastets § 2, stk. 1, også henvises til de regler</w:t>
      </w:r>
      <w:r w:rsidR="008F4E5E">
        <w:rPr>
          <w:rFonts w:ascii="Georgia" w:hAnsi="Georgia"/>
          <w:i/>
          <w:iCs/>
          <w:color w:val="auto"/>
        </w:rPr>
        <w:t>,</w:t>
      </w:r>
      <w:r>
        <w:rPr>
          <w:rFonts w:ascii="Georgia" w:hAnsi="Georgia"/>
          <w:i/>
          <w:iCs/>
          <w:color w:val="auto"/>
        </w:rPr>
        <w:t xml:space="preserve"> der er indført efter udbudslovens § 191, stk. 2. </w:t>
      </w:r>
    </w:p>
    <w:p w14:paraId="0B46A8A6" w14:textId="77777777" w:rsidR="00CA6FCF" w:rsidRDefault="00CA6FCF" w:rsidP="00CA6FCF">
      <w:pPr>
        <w:rPr>
          <w:rFonts w:ascii="Georgia" w:hAnsi="Georgia"/>
          <w:i/>
          <w:iCs/>
          <w:color w:val="auto"/>
        </w:rPr>
      </w:pPr>
      <w:r w:rsidRPr="00CA6FCF">
        <w:rPr>
          <w:rFonts w:ascii="Georgia" w:hAnsi="Georgia"/>
          <w:i/>
          <w:iCs/>
          <w:color w:val="auto"/>
        </w:rPr>
        <w:t>Henvisningen til udbudslovens § 193 i bekendtgørelsens § 2, stk. 2</w:t>
      </w:r>
      <w:r>
        <w:rPr>
          <w:rFonts w:ascii="Georgia" w:hAnsi="Georgia"/>
          <w:i/>
          <w:iCs/>
          <w:color w:val="auto"/>
        </w:rPr>
        <w:t>,</w:t>
      </w:r>
      <w:r w:rsidRPr="00CA6FCF">
        <w:rPr>
          <w:rFonts w:ascii="Georgia" w:hAnsi="Georgia"/>
          <w:i/>
          <w:iCs/>
          <w:color w:val="auto"/>
        </w:rPr>
        <w:t xml:space="preserve"> bibeholdes, idet det er intentionen, at ordregivere ikke pålægges at annoncere eller udbyde koncessioner med en begrænset værdi under den i bek</w:t>
      </w:r>
      <w:r w:rsidRPr="005C7677">
        <w:rPr>
          <w:rFonts w:ascii="Georgia" w:hAnsi="Georgia"/>
          <w:i/>
          <w:iCs/>
          <w:color w:val="auto"/>
        </w:rPr>
        <w:t>endtgørelsen anførte tærskelværdi</w:t>
      </w:r>
      <w:r w:rsidR="005C7677" w:rsidRPr="005C7677">
        <w:rPr>
          <w:rFonts w:ascii="Georgia" w:hAnsi="Georgia"/>
          <w:i/>
          <w:iCs/>
          <w:color w:val="auto"/>
        </w:rPr>
        <w:t xml:space="preserve"> i de tilfælde, hvor de markedsmæssige vilkår kan opnås ved brug af udbudslovens § 193, stk. 1, nr. 1-2</w:t>
      </w:r>
      <w:r w:rsidRPr="005C7677">
        <w:rPr>
          <w:rFonts w:ascii="Georgia" w:hAnsi="Georgia"/>
          <w:i/>
          <w:iCs/>
          <w:color w:val="auto"/>
        </w:rPr>
        <w:t xml:space="preserve">. </w:t>
      </w:r>
    </w:p>
    <w:p w14:paraId="30C0AA2B" w14:textId="77777777" w:rsidR="00800C07" w:rsidRPr="00CA6FCF" w:rsidRDefault="00800C07" w:rsidP="00CA6FCF">
      <w:pPr>
        <w:rPr>
          <w:rFonts w:ascii="Times New Roman" w:hAnsi="Times New Roman" w:cs="Times New Roman"/>
          <w:color w:val="auto"/>
          <w:sz w:val="24"/>
          <w:szCs w:val="24"/>
          <w:lang w:eastAsia="da-DK"/>
        </w:rPr>
      </w:pPr>
      <w:r w:rsidRPr="00800C07">
        <w:rPr>
          <w:rFonts w:ascii="Georgia" w:hAnsi="Georgia"/>
          <w:i/>
          <w:iCs/>
          <w:color w:val="auto"/>
        </w:rPr>
        <w:t xml:space="preserve">Endelig skal Transportministeriet bemærke, at der med bekendtgørelsen sigtes efter så vidt muligt at følge udbudslovens regler, således at administrationen bliver så enkel som mulig for offentlige ordregivere, herunder også i forhold til muligheden for at indhente to eller flere tilbud efter udbudslovens § 193, stk. 1, 2. pkt. </w:t>
      </w:r>
    </w:p>
    <w:p w14:paraId="6A4D007F" w14:textId="77777777" w:rsidR="00DD426A" w:rsidRPr="00747B89" w:rsidRDefault="00DD426A" w:rsidP="00DD426A">
      <w:pPr>
        <w:rPr>
          <w:rFonts w:ascii="Arial" w:eastAsiaTheme="minorHAnsi" w:hAnsi="Arial" w:cs="Arial"/>
          <w:color w:val="000000"/>
          <w:sz w:val="24"/>
          <w:szCs w:val="24"/>
        </w:rPr>
      </w:pPr>
      <w:r>
        <w:rPr>
          <w:b/>
          <w:sz w:val="22"/>
          <w:szCs w:val="22"/>
        </w:rPr>
        <w:t xml:space="preserve">5. Værdifastsættelse af koncessioner </w:t>
      </w:r>
    </w:p>
    <w:p w14:paraId="2718EFEA" w14:textId="77777777" w:rsidR="00DD426A" w:rsidRDefault="00DD426A" w:rsidP="00DD426A">
      <w:pPr>
        <w:rPr>
          <w:rFonts w:eastAsiaTheme="minorHAnsi"/>
        </w:rPr>
      </w:pPr>
      <w:r w:rsidRPr="00D37086">
        <w:rPr>
          <w:rFonts w:eastAsiaTheme="minorHAnsi"/>
          <w:u w:val="single"/>
        </w:rPr>
        <w:t>Frederiksberg Kommune</w:t>
      </w:r>
      <w:r w:rsidRPr="00D37086">
        <w:rPr>
          <w:rFonts w:eastAsiaTheme="minorHAnsi"/>
        </w:rPr>
        <w:t xml:space="preserve"> ser flere udfordringer i, at det er de enkelte kommuner, der skal afgøre værdien af en koncessionsaftale. Dels drejer det sig om et marked, som kommunerne ikke har tilstrækkeligt indblik i, og en teknologi og område, som udvikler sig eksplosivt. Derudover anfører kommunen, at det bør tydeliggøres, om udbud af </w:t>
      </w:r>
      <w:proofErr w:type="spellStart"/>
      <w:r w:rsidRPr="00D37086">
        <w:rPr>
          <w:rFonts w:eastAsiaTheme="minorHAnsi"/>
        </w:rPr>
        <w:t>ladestandere</w:t>
      </w:r>
      <w:proofErr w:type="spellEnd"/>
      <w:r w:rsidRPr="00D37086">
        <w:rPr>
          <w:rFonts w:eastAsiaTheme="minorHAnsi"/>
        </w:rPr>
        <w:t xml:space="preserve"> i en kommune altid skal ses som en samlet koncession, selvom koncessioner tildeles i form af separate delkontrakter eller, om hvert udbud ses som en selvstændig koncession. Hvis alle udbud af </w:t>
      </w:r>
      <w:proofErr w:type="spellStart"/>
      <w:r w:rsidRPr="00D37086">
        <w:rPr>
          <w:rFonts w:eastAsiaTheme="minorHAnsi"/>
        </w:rPr>
        <w:t>ladestandere</w:t>
      </w:r>
      <w:proofErr w:type="spellEnd"/>
      <w:r w:rsidRPr="00D37086">
        <w:rPr>
          <w:rFonts w:eastAsiaTheme="minorHAnsi"/>
        </w:rPr>
        <w:t xml:space="preserve"> i kommunen, jf. direktivet, ses som en samlet koncession, bør det præciseres, hvornår der kan indgås aftaler i en ny koncession, f.eks. næstkommende kalenderår.</w:t>
      </w:r>
    </w:p>
    <w:p w14:paraId="02B8AD71" w14:textId="77777777" w:rsidR="00DD426A" w:rsidRPr="00D37086" w:rsidRDefault="00DD426A" w:rsidP="00DD426A">
      <w:pPr>
        <w:rPr>
          <w:rFonts w:eastAsiaTheme="minorHAnsi"/>
        </w:rPr>
      </w:pPr>
      <w:r w:rsidRPr="000B4653">
        <w:rPr>
          <w:u w:val="single"/>
        </w:rPr>
        <w:t>KL</w:t>
      </w:r>
      <w:r w:rsidRPr="000B4653">
        <w:t xml:space="preserve"> </w:t>
      </w:r>
      <w:r>
        <w:t>mener, at værdifastsættelse efter koncessionsdirektivets bestemmelser synes umiddelbart vanskeligt, og at der bør fremsættes mere præcise krav til, hvad der bør indgå i beregningen, særligt når det også gælder meget små kontrakter mellem 0 og 1 mio. kr. Hvis dette ikke kan konkretiseres nærmere i bekendtgørelsen, bør det som minimum angives, at der er tale om beregning efter principperne i koncessionsdirektivet.</w:t>
      </w:r>
    </w:p>
    <w:p w14:paraId="01E27BD5" w14:textId="77777777" w:rsidR="00CA6FCF" w:rsidRPr="00CA6FCF" w:rsidRDefault="00CA6FCF" w:rsidP="00CA6FCF">
      <w:pPr>
        <w:rPr>
          <w:rFonts w:ascii="Georgia" w:hAnsi="Georgia"/>
          <w:i/>
          <w:iCs/>
          <w:color w:val="auto"/>
        </w:rPr>
      </w:pPr>
      <w:r w:rsidRPr="00CA6FCF">
        <w:rPr>
          <w:rFonts w:ascii="Georgia" w:hAnsi="Georgia"/>
          <w:i/>
          <w:iCs/>
          <w:color w:val="auto"/>
        </w:rPr>
        <w:t>Transportministeriet skal hertil bemærke, at bekendtgørelsens regel om værdifastsættelse i § 2, stk. 3</w:t>
      </w:r>
      <w:r>
        <w:rPr>
          <w:rFonts w:ascii="Georgia" w:hAnsi="Georgia"/>
          <w:i/>
          <w:iCs/>
          <w:color w:val="auto"/>
        </w:rPr>
        <w:t>,</w:t>
      </w:r>
      <w:r w:rsidRPr="00CA6FCF">
        <w:rPr>
          <w:rFonts w:ascii="Georgia" w:hAnsi="Georgia"/>
          <w:i/>
          <w:iCs/>
          <w:color w:val="auto"/>
        </w:rPr>
        <w:t xml:space="preserve"> bibeholdes uændret. Det er Transportministeriets vurdering, at det er mest hensigtsmæssigt at fastholde</w:t>
      </w:r>
      <w:r>
        <w:rPr>
          <w:rFonts w:ascii="Georgia" w:hAnsi="Georgia"/>
          <w:i/>
          <w:iCs/>
          <w:color w:val="auto"/>
        </w:rPr>
        <w:t>,</w:t>
      </w:r>
      <w:r w:rsidRPr="00CA6FCF">
        <w:rPr>
          <w:rFonts w:ascii="Georgia" w:hAnsi="Georgia"/>
          <w:i/>
          <w:iCs/>
          <w:color w:val="auto"/>
        </w:rPr>
        <w:t xml:space="preserve"> at de koncessioner, som er omfattet af bekendtgørelsen, skal opgøres efter metoden i koncessionsdirektivet, som også gælder for øvrige koncessioner. </w:t>
      </w:r>
    </w:p>
    <w:p w14:paraId="68B53B33" w14:textId="77777777" w:rsidR="00CA6FCF" w:rsidRPr="00CA6FCF" w:rsidRDefault="00CA6FCF" w:rsidP="00CA6FCF">
      <w:pPr>
        <w:rPr>
          <w:rFonts w:ascii="Georgia" w:hAnsi="Georgia"/>
          <w:i/>
          <w:iCs/>
          <w:color w:val="auto"/>
        </w:rPr>
      </w:pPr>
      <w:r w:rsidRPr="00CA6FCF">
        <w:rPr>
          <w:rFonts w:ascii="Georgia" w:hAnsi="Georgia"/>
          <w:i/>
          <w:iCs/>
          <w:color w:val="auto"/>
        </w:rPr>
        <w:t>En differentieret værdiansættelse</w:t>
      </w:r>
      <w:r>
        <w:rPr>
          <w:rFonts w:ascii="Georgia" w:hAnsi="Georgia"/>
          <w:i/>
          <w:iCs/>
          <w:color w:val="auto"/>
        </w:rPr>
        <w:t>,</w:t>
      </w:r>
      <w:r w:rsidRPr="00CA6FCF">
        <w:rPr>
          <w:rFonts w:ascii="Georgia" w:hAnsi="Georgia"/>
          <w:i/>
          <w:iCs/>
          <w:color w:val="auto"/>
        </w:rPr>
        <w:t xml:space="preserve"> hvor bekendtgørelsen indeholder en særlig metode for værdiansættelse af </w:t>
      </w:r>
      <w:proofErr w:type="spellStart"/>
      <w:r w:rsidRPr="00CA6FCF">
        <w:rPr>
          <w:rFonts w:ascii="Georgia" w:hAnsi="Georgia"/>
          <w:i/>
          <w:iCs/>
          <w:color w:val="auto"/>
        </w:rPr>
        <w:t>ladepunktskoncessioner</w:t>
      </w:r>
      <w:proofErr w:type="spellEnd"/>
      <w:r w:rsidRPr="00CA6FCF">
        <w:rPr>
          <w:rFonts w:ascii="Georgia" w:hAnsi="Georgia"/>
          <w:i/>
          <w:iCs/>
          <w:color w:val="auto"/>
        </w:rPr>
        <w:t xml:space="preserve"> i forhold til både koncessions forretningsmæssige indhold og dens eventuelle opdeling i delkontrakter, vil indebære en risiko for, at </w:t>
      </w:r>
      <w:proofErr w:type="spellStart"/>
      <w:r w:rsidRPr="00CA6FCF">
        <w:rPr>
          <w:rFonts w:ascii="Georgia" w:hAnsi="Georgia"/>
          <w:i/>
          <w:iCs/>
          <w:color w:val="auto"/>
        </w:rPr>
        <w:t>ladepunktskoncessionerne</w:t>
      </w:r>
      <w:proofErr w:type="spellEnd"/>
      <w:r w:rsidRPr="00CA6FCF">
        <w:rPr>
          <w:rFonts w:ascii="Georgia" w:hAnsi="Georgia"/>
          <w:i/>
          <w:iCs/>
          <w:color w:val="auto"/>
        </w:rPr>
        <w:t xml:space="preserve"> værdisættes forskelligt i forhold til reglerne i koncessionsdirektivet og dermed ikke udbydes efter det korrekte regelsæt. </w:t>
      </w:r>
    </w:p>
    <w:p w14:paraId="0BACF36F" w14:textId="77777777" w:rsidR="00CA6FCF" w:rsidRDefault="00CA6FCF" w:rsidP="00CA6FCF">
      <w:pPr>
        <w:rPr>
          <w:rFonts w:ascii="Georgia" w:hAnsi="Georgia"/>
          <w:i/>
          <w:iCs/>
          <w:color w:val="1F497D"/>
        </w:rPr>
      </w:pPr>
      <w:r w:rsidRPr="00CA6FCF">
        <w:rPr>
          <w:rFonts w:ascii="Georgia" w:hAnsi="Georgia"/>
          <w:i/>
          <w:iCs/>
          <w:color w:val="auto"/>
        </w:rPr>
        <w:t>En differentiering med en særlig værdifastsættelsesmodel for bekendtgørelsens tærskelværdier vil dermed medføre, at ordregivere i visse tilfælde vil skulle opgøre den samme koncessions værdi to gange efter to forskellige regelsæt i form af både bekendtgørelsens metode og koncessionsdirektivets.</w:t>
      </w:r>
      <w:r>
        <w:rPr>
          <w:rFonts w:ascii="Georgia" w:hAnsi="Georgia"/>
          <w:i/>
          <w:iCs/>
          <w:color w:val="1F497D"/>
        </w:rPr>
        <w:t xml:space="preserve"> </w:t>
      </w:r>
    </w:p>
    <w:p w14:paraId="0503A858" w14:textId="77777777" w:rsidR="00DD426A" w:rsidRDefault="00DD426A" w:rsidP="00DD426A">
      <w:pPr>
        <w:rPr>
          <w:rFonts w:ascii="Georgia" w:eastAsia="Times New Roman" w:hAnsi="Georgia"/>
          <w:b/>
          <w:color w:val="0D0D0D"/>
        </w:rPr>
      </w:pPr>
      <w:r>
        <w:rPr>
          <w:rFonts w:ascii="Georgia" w:eastAsia="Times New Roman" w:hAnsi="Georgia"/>
          <w:b/>
          <w:color w:val="0D0D0D"/>
        </w:rPr>
        <w:t>6. Definition af ad hoc, hhv. abonnementskunder</w:t>
      </w:r>
    </w:p>
    <w:p w14:paraId="785DE23A" w14:textId="77777777" w:rsidR="00B27C99" w:rsidRDefault="00DD426A" w:rsidP="00DD426A">
      <w:pPr>
        <w:rPr>
          <w:rFonts w:ascii="Georgia" w:eastAsia="Times New Roman" w:hAnsi="Georgia"/>
          <w:color w:val="0D0D0D"/>
        </w:rPr>
      </w:pPr>
      <w:r>
        <w:rPr>
          <w:rFonts w:ascii="Georgia" w:eastAsia="Times New Roman" w:hAnsi="Georgia"/>
          <w:color w:val="0D0D0D"/>
          <w:u w:val="single"/>
        </w:rPr>
        <w:t xml:space="preserve">Dansk e-Mobilitet </w:t>
      </w:r>
      <w:r>
        <w:rPr>
          <w:rFonts w:ascii="Georgia" w:eastAsia="Times New Roman" w:hAnsi="Georgia"/>
          <w:color w:val="0D0D0D"/>
        </w:rPr>
        <w:t>anfører, at abonnementskunder bl.a. er defineret ved, at de registrerer sig hos udbyder af en opladningstjeneste, men det fremgår ikke af bekendtgørelsesudkastet, hvad der skal til for, at en kunde kan anses for registreret.</w:t>
      </w:r>
    </w:p>
    <w:p w14:paraId="44BCB5FE" w14:textId="0A35708C" w:rsidR="00DD426A" w:rsidRDefault="00DD426A" w:rsidP="00B27C99">
      <w:pPr>
        <w:rPr>
          <w:rFonts w:ascii="Georgia" w:eastAsia="Times New Roman" w:hAnsi="Georgia"/>
          <w:i/>
          <w:color w:val="0D0D0D"/>
        </w:rPr>
      </w:pPr>
      <w:r w:rsidRPr="00F20385">
        <w:rPr>
          <w:rFonts w:ascii="Georgia" w:eastAsia="Times New Roman" w:hAnsi="Georgia"/>
          <w:i/>
          <w:color w:val="0D0D0D"/>
        </w:rPr>
        <w:t>Transportministeriet skal hertil bemærke, at</w:t>
      </w:r>
      <w:r w:rsidR="00F07D40">
        <w:rPr>
          <w:rFonts w:ascii="Georgia" w:eastAsia="Times New Roman" w:hAnsi="Georgia"/>
          <w:i/>
          <w:color w:val="0D0D0D"/>
        </w:rPr>
        <w:t xml:space="preserve"> det i bekendtgørelsens definitionsbestemmelser </w:t>
      </w:r>
      <w:r w:rsidR="00B27C99">
        <w:rPr>
          <w:rFonts w:ascii="Georgia" w:eastAsia="Times New Roman" w:hAnsi="Georgia"/>
          <w:i/>
          <w:color w:val="0D0D0D"/>
        </w:rPr>
        <w:t xml:space="preserve">er gjort klart, at </w:t>
      </w:r>
      <w:r w:rsidR="005F2576">
        <w:rPr>
          <w:rFonts w:ascii="Georgia" w:eastAsia="Times New Roman" w:hAnsi="Georgia"/>
          <w:i/>
          <w:color w:val="0D0D0D"/>
        </w:rPr>
        <w:t>en bruger, der ud</w:t>
      </w:r>
      <w:r w:rsidR="00F07D40" w:rsidRPr="00F07D40">
        <w:rPr>
          <w:rFonts w:ascii="Georgia" w:eastAsia="Times New Roman" w:hAnsi="Georgia"/>
          <w:i/>
          <w:color w:val="0D0D0D"/>
        </w:rPr>
        <w:t>over blot at købe opladningstjenesten, registrerer sig, indgår en skriftlig aftale eller indgår et længerevarende aftaleforhold med operatøren</w:t>
      </w:r>
      <w:r w:rsidR="00B27C99">
        <w:rPr>
          <w:rFonts w:ascii="Georgia" w:eastAsia="Times New Roman" w:hAnsi="Georgia"/>
          <w:i/>
          <w:color w:val="0D0D0D"/>
        </w:rPr>
        <w:t xml:space="preserve"> skal betragtes som en bruger med abonnement. Den re</w:t>
      </w:r>
      <w:r w:rsidR="005F2576">
        <w:rPr>
          <w:rFonts w:ascii="Georgia" w:eastAsia="Times New Roman" w:hAnsi="Georgia"/>
          <w:i/>
          <w:color w:val="0D0D0D"/>
        </w:rPr>
        <w:t xml:space="preserve">gistrering der evt. finder sted, </w:t>
      </w:r>
      <w:r w:rsidR="00B27C99">
        <w:rPr>
          <w:rFonts w:ascii="Georgia" w:eastAsia="Times New Roman" w:hAnsi="Georgia"/>
          <w:i/>
          <w:color w:val="0D0D0D"/>
        </w:rPr>
        <w:t xml:space="preserve">og som udelukkende har til formål at afregne brugerens elforbrug ved opladning på et offentligt tilgængeligt </w:t>
      </w:r>
      <w:proofErr w:type="spellStart"/>
      <w:r w:rsidR="00B27C99">
        <w:rPr>
          <w:rFonts w:ascii="Georgia" w:eastAsia="Times New Roman" w:hAnsi="Georgia"/>
          <w:i/>
          <w:color w:val="0D0D0D"/>
        </w:rPr>
        <w:t>ladepunkt</w:t>
      </w:r>
      <w:proofErr w:type="spellEnd"/>
      <w:r w:rsidR="005F2576">
        <w:rPr>
          <w:rFonts w:ascii="Georgia" w:eastAsia="Times New Roman" w:hAnsi="Georgia"/>
          <w:i/>
          <w:color w:val="0D0D0D"/>
        </w:rPr>
        <w:t>,</w:t>
      </w:r>
      <w:r w:rsidR="00B27C99">
        <w:rPr>
          <w:rFonts w:ascii="Georgia" w:eastAsia="Times New Roman" w:hAnsi="Georgia"/>
          <w:i/>
          <w:color w:val="0D0D0D"/>
        </w:rPr>
        <w:t xml:space="preserve"> betyder efter Transportministeriets vurdering ikke, at brugeren dermed bliver abonnementskunde hos operatøren.</w:t>
      </w:r>
    </w:p>
    <w:p w14:paraId="169EB2E8" w14:textId="77777777" w:rsidR="00014BE7" w:rsidRDefault="00DD426A" w:rsidP="00014BE7">
      <w:pPr>
        <w:rPr>
          <w:rFonts w:ascii="Georgia" w:eastAsia="Times New Roman" w:hAnsi="Georgia"/>
          <w:b/>
          <w:color w:val="0D0D0D"/>
        </w:rPr>
      </w:pPr>
      <w:r>
        <w:rPr>
          <w:rFonts w:ascii="Georgia" w:eastAsia="Times New Roman" w:hAnsi="Georgia"/>
          <w:b/>
          <w:color w:val="0D0D0D"/>
        </w:rPr>
        <w:t>7</w:t>
      </w:r>
      <w:r w:rsidR="00014BE7">
        <w:rPr>
          <w:rFonts w:ascii="Georgia" w:eastAsia="Times New Roman" w:hAnsi="Georgia"/>
          <w:b/>
          <w:color w:val="0D0D0D"/>
        </w:rPr>
        <w:t>. Sondring mellem normalopladning og højeffektopladning</w:t>
      </w:r>
    </w:p>
    <w:p w14:paraId="61423BC1" w14:textId="77777777" w:rsidR="00014BE7" w:rsidRDefault="00014BE7" w:rsidP="00014BE7">
      <w:pPr>
        <w:rPr>
          <w:rFonts w:eastAsia="Times New Roman"/>
          <w:b/>
          <w:color w:val="0D0D0D"/>
        </w:rPr>
      </w:pPr>
      <w:r w:rsidRPr="00014BE7">
        <w:rPr>
          <w:rFonts w:eastAsiaTheme="minorHAnsi"/>
          <w:u w:val="single"/>
        </w:rPr>
        <w:t>FDEL</w:t>
      </w:r>
      <w:r>
        <w:rPr>
          <w:rFonts w:eastAsiaTheme="minorHAnsi"/>
        </w:rPr>
        <w:t xml:space="preserve"> anfører, at markedet for normalopladning primært henvender sig til elbilister, der ikke har mulighed for at etablere deres egen private </w:t>
      </w:r>
      <w:proofErr w:type="spellStart"/>
      <w:r>
        <w:rPr>
          <w:rFonts w:eastAsiaTheme="minorHAnsi"/>
        </w:rPr>
        <w:t>ladeboks</w:t>
      </w:r>
      <w:proofErr w:type="spellEnd"/>
      <w:r>
        <w:rPr>
          <w:rFonts w:eastAsiaTheme="minorHAnsi"/>
        </w:rPr>
        <w:t>, hvorimod højeffektopladning henvender sig til elbilister – primært når de kører til en destination, som ligger ud over batteriets rækkevidde. Langt de fleste elbilister benytter derfor kun højeffektopladning lejlighedsvis og er derfor villige til at betale en højere pris for højeffektopladning. FDEL bemærker således, at det vil være meget uheldigt, hvis der indføres regler, som kan medføre, at prisen på normalopladning bliver højere, hvilket synes at kunne blive tilfældet, hvis prisen på ad hoc-opladning fastsættes for normalopladning og højeffektopladning under ét.</w:t>
      </w:r>
    </w:p>
    <w:p w14:paraId="44FB5446" w14:textId="53893B01" w:rsidR="00014BE7" w:rsidRDefault="00014BE7" w:rsidP="00014BE7">
      <w:pPr>
        <w:rPr>
          <w:rFonts w:ascii="Georgia" w:eastAsia="Times New Roman" w:hAnsi="Georgia"/>
          <w:i/>
          <w:color w:val="0D0D0D"/>
        </w:rPr>
      </w:pPr>
      <w:r w:rsidRPr="00F20385">
        <w:rPr>
          <w:rFonts w:ascii="Georgia" w:eastAsia="Times New Roman" w:hAnsi="Georgia"/>
          <w:i/>
          <w:color w:val="0D0D0D"/>
        </w:rPr>
        <w:t>Transportministeriet skal hertil bemærke, at</w:t>
      </w:r>
      <w:r w:rsidR="005F2576">
        <w:rPr>
          <w:rFonts w:ascii="Georgia" w:eastAsia="Times New Roman" w:hAnsi="Georgia"/>
          <w:i/>
          <w:color w:val="0D0D0D"/>
        </w:rPr>
        <w:t xml:space="preserve"> bekendtgørelsen ikke indeholder regulering, der betyder, at operatørerne ikke kan anvende forskellige priser på forskellige typer ladepunkter f.eks. normale </w:t>
      </w:r>
      <w:proofErr w:type="spellStart"/>
      <w:r w:rsidR="005F2576">
        <w:rPr>
          <w:rFonts w:ascii="Georgia" w:eastAsia="Times New Roman" w:hAnsi="Georgia"/>
          <w:i/>
          <w:color w:val="0D0D0D"/>
        </w:rPr>
        <w:t>ladepunkter</w:t>
      </w:r>
      <w:proofErr w:type="spellEnd"/>
      <w:r w:rsidR="005F2576">
        <w:rPr>
          <w:rFonts w:ascii="Georgia" w:eastAsia="Times New Roman" w:hAnsi="Georgia"/>
          <w:i/>
          <w:color w:val="0D0D0D"/>
        </w:rPr>
        <w:t xml:space="preserve"> og </w:t>
      </w:r>
      <w:proofErr w:type="spellStart"/>
      <w:r w:rsidR="005F2576">
        <w:rPr>
          <w:rFonts w:ascii="Georgia" w:eastAsia="Times New Roman" w:hAnsi="Georgia"/>
          <w:i/>
          <w:color w:val="0D0D0D"/>
        </w:rPr>
        <w:t>lynladepunkter</w:t>
      </w:r>
      <w:proofErr w:type="spellEnd"/>
      <w:r w:rsidR="005F2576">
        <w:rPr>
          <w:rFonts w:ascii="Georgia" w:eastAsia="Times New Roman" w:hAnsi="Georgia"/>
          <w:i/>
          <w:color w:val="0D0D0D"/>
        </w:rPr>
        <w:t>.</w:t>
      </w:r>
      <w:r w:rsidRPr="00F20385">
        <w:rPr>
          <w:rFonts w:ascii="Georgia" w:eastAsia="Times New Roman" w:hAnsi="Georgia"/>
          <w:i/>
          <w:color w:val="0D0D0D"/>
        </w:rPr>
        <w:t xml:space="preserve"> </w:t>
      </w:r>
    </w:p>
    <w:p w14:paraId="78DCD040" w14:textId="77777777" w:rsidR="00086064" w:rsidRDefault="005C0FE5" w:rsidP="00086064">
      <w:pPr>
        <w:rPr>
          <w:b/>
          <w:sz w:val="22"/>
          <w:szCs w:val="22"/>
        </w:rPr>
      </w:pPr>
      <w:r>
        <w:rPr>
          <w:b/>
          <w:sz w:val="22"/>
          <w:szCs w:val="22"/>
        </w:rPr>
        <w:t>8</w:t>
      </w:r>
      <w:r w:rsidR="004330A6" w:rsidRPr="004330A6">
        <w:rPr>
          <w:b/>
          <w:sz w:val="22"/>
          <w:szCs w:val="22"/>
        </w:rPr>
        <w:t>. Konsekvenser ved overtrædelse af bekendtgørelsen</w:t>
      </w:r>
    </w:p>
    <w:p w14:paraId="4A2E2AC0" w14:textId="77777777" w:rsidR="004330A6" w:rsidRPr="004330A6" w:rsidRDefault="004330A6" w:rsidP="00086064">
      <w:pPr>
        <w:rPr>
          <w:sz w:val="22"/>
          <w:szCs w:val="22"/>
        </w:rPr>
      </w:pPr>
      <w:r w:rsidRPr="004330A6">
        <w:rPr>
          <w:sz w:val="22"/>
          <w:szCs w:val="22"/>
          <w:u w:val="single"/>
        </w:rPr>
        <w:t>FDEL</w:t>
      </w:r>
      <w:r w:rsidRPr="004330A6">
        <w:rPr>
          <w:sz w:val="22"/>
          <w:szCs w:val="22"/>
        </w:rPr>
        <w:t xml:space="preserve"> anbefaler, at bekendtgørelsen også regulerer konsekvenser, dvs. sanktioner, for manglende overholdelse af reglerne.</w:t>
      </w:r>
    </w:p>
    <w:p w14:paraId="682AD932" w14:textId="77777777" w:rsidR="00372612" w:rsidRDefault="004330A6" w:rsidP="004330A6">
      <w:pPr>
        <w:rPr>
          <w:rFonts w:ascii="Georgia" w:eastAsia="Times New Roman" w:hAnsi="Georgia"/>
          <w:i/>
          <w:color w:val="0D0D0D"/>
        </w:rPr>
      </w:pPr>
      <w:r w:rsidRPr="00F20385">
        <w:rPr>
          <w:rFonts w:ascii="Georgia" w:eastAsia="Times New Roman" w:hAnsi="Georgia"/>
          <w:i/>
          <w:color w:val="0D0D0D"/>
        </w:rPr>
        <w:t>Transportministeriet skal hertil bemærke, at</w:t>
      </w:r>
      <w:r w:rsidR="00372612">
        <w:rPr>
          <w:rFonts w:ascii="Georgia" w:eastAsia="Times New Roman" w:hAnsi="Georgia"/>
          <w:i/>
          <w:color w:val="0D0D0D"/>
        </w:rPr>
        <w:t xml:space="preserve"> bekendtgørelsen fastsætter rammen for de forhold, som den offentlige ordregiver og operatørerne ved etablering af offentligt tilgængelige ladepunkter skal fastsætte aftalevilkår om. Tvister om de på den baggrund indgåede aftaler skal således i udgangspunktet løses aftaleretligt. </w:t>
      </w:r>
    </w:p>
    <w:p w14:paraId="4EDB3E03" w14:textId="06846E7A" w:rsidR="004330A6" w:rsidRDefault="00372612" w:rsidP="004330A6">
      <w:pPr>
        <w:rPr>
          <w:rFonts w:ascii="Georgia" w:eastAsia="Times New Roman" w:hAnsi="Georgia"/>
          <w:i/>
          <w:color w:val="0D0D0D"/>
        </w:rPr>
      </w:pPr>
      <w:r>
        <w:rPr>
          <w:rFonts w:ascii="Georgia" w:eastAsia="Times New Roman" w:hAnsi="Georgia"/>
          <w:i/>
          <w:color w:val="0D0D0D"/>
        </w:rPr>
        <w:t>Som nævnt ovenfor vil det endvidere være muligt i første række at henvende sig ved Transportministeriet, som i medfør af det almindelige sektortilsyn er ansvarlig for bekendtgørelsen. Det er endeligt forventningen, at der vil blive fastsat konkrete tilsynsregler for AFI-området ved årsskiftet i regi af Færdselsstyrelsen.</w:t>
      </w:r>
    </w:p>
    <w:p w14:paraId="4BE6D3AE" w14:textId="77777777" w:rsidR="005D5F95" w:rsidRPr="005D5F95" w:rsidRDefault="005C0FE5" w:rsidP="005D5F95">
      <w:pPr>
        <w:rPr>
          <w:rFonts w:eastAsiaTheme="minorHAnsi"/>
          <w:b/>
        </w:rPr>
      </w:pPr>
      <w:r>
        <w:rPr>
          <w:rFonts w:eastAsiaTheme="minorHAnsi"/>
          <w:b/>
        </w:rPr>
        <w:t>9</w:t>
      </w:r>
      <w:r w:rsidR="005D5F95" w:rsidRPr="005D5F95">
        <w:rPr>
          <w:rFonts w:eastAsiaTheme="minorHAnsi"/>
          <w:b/>
        </w:rPr>
        <w:t>. Anvendelse for aftaler efter juni 2022</w:t>
      </w:r>
    </w:p>
    <w:p w14:paraId="715384D6" w14:textId="77777777" w:rsidR="00D37086" w:rsidRDefault="005D5F95" w:rsidP="005D5F95">
      <w:pPr>
        <w:rPr>
          <w:rFonts w:eastAsiaTheme="minorHAnsi"/>
        </w:rPr>
      </w:pPr>
      <w:r w:rsidRPr="005D5F95">
        <w:rPr>
          <w:rFonts w:eastAsiaTheme="minorHAnsi"/>
          <w:u w:val="single"/>
        </w:rPr>
        <w:t>Frederiksberg Kommune</w:t>
      </w:r>
      <w:r>
        <w:rPr>
          <w:rFonts w:eastAsiaTheme="minorHAnsi"/>
        </w:rPr>
        <w:t xml:space="preserve"> anfører, at det i </w:t>
      </w:r>
      <w:r w:rsidRPr="005D5F95">
        <w:rPr>
          <w:rFonts w:eastAsiaTheme="minorHAnsi"/>
        </w:rPr>
        <w:t>bekendtgørelsens § 3 stk. 3, beskrives, at stk. 1 gælder for aftaler, som udbydes, annonceres eller</w:t>
      </w:r>
      <w:r w:rsidR="000B4653">
        <w:rPr>
          <w:rFonts w:eastAsiaTheme="minorHAnsi"/>
        </w:rPr>
        <w:t>,</w:t>
      </w:r>
      <w:r w:rsidRPr="005D5F95">
        <w:rPr>
          <w:rFonts w:eastAsiaTheme="minorHAnsi"/>
        </w:rPr>
        <w:t xml:space="preserve"> hvis aftalen ikke skal udbydes eller annonceres</w:t>
      </w:r>
      <w:r w:rsidR="000B4653">
        <w:rPr>
          <w:rFonts w:eastAsiaTheme="minorHAnsi"/>
        </w:rPr>
        <w:t>,</w:t>
      </w:r>
      <w:r w:rsidRPr="005D5F95">
        <w:rPr>
          <w:rFonts w:eastAsiaTheme="minorHAnsi"/>
        </w:rPr>
        <w:t xml:space="preserve"> bliver indgået efter [x]. juni 2022. Kommune</w:t>
      </w:r>
      <w:r>
        <w:rPr>
          <w:rFonts w:eastAsiaTheme="minorHAnsi"/>
        </w:rPr>
        <w:t>n</w:t>
      </w:r>
      <w:r w:rsidRPr="005D5F95">
        <w:rPr>
          <w:rFonts w:eastAsiaTheme="minorHAnsi"/>
        </w:rPr>
        <w:t xml:space="preserve"> ønsker at få præciseret, hvilke aftaler der kan indgås efter [x]. juni 2022, og som ikke skal udbydes eller annonceres.</w:t>
      </w:r>
    </w:p>
    <w:p w14:paraId="2C1C02A6" w14:textId="77777777" w:rsidR="00CA6FCF" w:rsidRPr="00CA6FCF" w:rsidRDefault="00CA6FCF" w:rsidP="00CA6FCF">
      <w:pPr>
        <w:rPr>
          <w:rFonts w:ascii="Georgia" w:eastAsiaTheme="minorHAnsi" w:hAnsi="Georgia" w:cs="Calibri"/>
          <w:i/>
          <w:iCs/>
          <w:color w:val="auto"/>
          <w:sz w:val="22"/>
          <w:szCs w:val="22"/>
        </w:rPr>
      </w:pPr>
      <w:r w:rsidRPr="00CA6FCF">
        <w:rPr>
          <w:rFonts w:ascii="Georgia" w:hAnsi="Georgia"/>
          <w:i/>
          <w:iCs/>
          <w:color w:val="auto"/>
        </w:rPr>
        <w:t>Transportministeriet skal hertil bemærke, at bekendtgørelsens § 2, stk. 2</w:t>
      </w:r>
      <w:r>
        <w:rPr>
          <w:rFonts w:ascii="Georgia" w:hAnsi="Georgia"/>
          <w:i/>
          <w:iCs/>
          <w:color w:val="auto"/>
        </w:rPr>
        <w:t>,</w:t>
      </w:r>
      <w:r w:rsidRPr="00CA6FCF">
        <w:rPr>
          <w:rFonts w:ascii="Georgia" w:hAnsi="Georgia"/>
          <w:i/>
          <w:iCs/>
          <w:color w:val="auto"/>
        </w:rPr>
        <w:t xml:space="preserve"> henviser til udbudslovens § 193</w:t>
      </w:r>
      <w:r>
        <w:rPr>
          <w:rFonts w:ascii="Georgia" w:hAnsi="Georgia"/>
          <w:i/>
          <w:iCs/>
          <w:color w:val="auto"/>
        </w:rPr>
        <w:t>,</w:t>
      </w:r>
      <w:r w:rsidRPr="00CA6FCF">
        <w:rPr>
          <w:rFonts w:ascii="Georgia" w:hAnsi="Georgia"/>
          <w:i/>
          <w:iCs/>
          <w:color w:val="auto"/>
        </w:rPr>
        <w:t xml:space="preserve"> hvorefter det er muligt at indgå kontrakter efter markedsafdækning eller tilbudsindhentning. Ordregiveren kan dermed anvende en af de øvrige tildelingsmetode efter udbudslovens § 193 i form af markedsafdækning eller tilbudsindhentning, som ikke nødvendigvis indebærer et udbud eller en annoncering, hvis det er muligt at dokumentere de nødvendige markedsmæssige vilkår i overensstemmelse med bestemmelsen. </w:t>
      </w:r>
    </w:p>
    <w:p w14:paraId="499E6C5A" w14:textId="218EFF83" w:rsidR="000237B9" w:rsidRPr="000B4653" w:rsidRDefault="000B4653" w:rsidP="000237B9">
      <w:pPr>
        <w:rPr>
          <w:b/>
        </w:rPr>
      </w:pPr>
      <w:r w:rsidRPr="000B4653">
        <w:rPr>
          <w:b/>
        </w:rPr>
        <w:t>1</w:t>
      </w:r>
      <w:r w:rsidR="00DD426A">
        <w:rPr>
          <w:b/>
        </w:rPr>
        <w:t>0</w:t>
      </w:r>
      <w:r w:rsidRPr="000B4653">
        <w:rPr>
          <w:b/>
        </w:rPr>
        <w:t xml:space="preserve">. </w:t>
      </w:r>
      <w:r w:rsidR="00A76038">
        <w:rPr>
          <w:b/>
        </w:rPr>
        <w:t>Krav om begrundelse for at undlade aftalevilkår om rimelige og ikke-diskriminerende priser</w:t>
      </w:r>
    </w:p>
    <w:p w14:paraId="32FD0A4C" w14:textId="77777777" w:rsidR="000B4653" w:rsidRDefault="000B4653" w:rsidP="000B4653">
      <w:r w:rsidRPr="000B4653">
        <w:rPr>
          <w:u w:val="single"/>
        </w:rPr>
        <w:t>KL</w:t>
      </w:r>
      <w:r>
        <w:t xml:space="preserve"> anfører endvidere, at det af bekendtgørelsesudkastets § 3, stk. 2, fremgår, at den offentlige ordregiver inden indgåelsen af aftalen skal offentliggøre en begrundelse for, at det ikke er fundet nødvendigt at anvende reguleringen af rimelige og ikke-diskriminerende priser i et konkret aftaleforhold.” KL mener, der er behov for en konkretisering af, på hvilken måde en sådan offentliggørelse skal finde sted for at opfylde kravene.</w:t>
      </w:r>
      <w:r w:rsidR="001C1AC8">
        <w:t xml:space="preserve"> </w:t>
      </w:r>
      <w:proofErr w:type="spellStart"/>
      <w:r w:rsidR="001C1AC8" w:rsidRPr="00BD176B">
        <w:rPr>
          <w:u w:val="single"/>
        </w:rPr>
        <w:t>Sperto</w:t>
      </w:r>
      <w:proofErr w:type="spellEnd"/>
      <w:r w:rsidR="001C1AC8">
        <w:t xml:space="preserve"> anbefaler helt at fjerne bestemmelsen, da den efter </w:t>
      </w:r>
      <w:proofErr w:type="spellStart"/>
      <w:r w:rsidR="001C1AC8">
        <w:t>Spertos</w:t>
      </w:r>
      <w:proofErr w:type="spellEnd"/>
      <w:r w:rsidR="001C1AC8">
        <w:t xml:space="preserve"> opfattelse gør det for nemt at omgå formålet </w:t>
      </w:r>
      <w:r w:rsidR="00BD176B">
        <w:t>med loven.</w:t>
      </w:r>
    </w:p>
    <w:p w14:paraId="3080D33D" w14:textId="77777777" w:rsidR="00A76038" w:rsidRPr="00A76038" w:rsidRDefault="000B4653" w:rsidP="000B4653">
      <w:pPr>
        <w:rPr>
          <w:i/>
        </w:rPr>
      </w:pPr>
      <w:r w:rsidRPr="00A76038">
        <w:rPr>
          <w:rFonts w:ascii="Georgia" w:eastAsia="Times New Roman" w:hAnsi="Georgia"/>
          <w:i/>
          <w:color w:val="0D0D0D"/>
        </w:rPr>
        <w:t xml:space="preserve">Transportministeriet skal hertil bemærke, at </w:t>
      </w:r>
      <w:r w:rsidR="00372612" w:rsidRPr="00A76038">
        <w:rPr>
          <w:rFonts w:ascii="Georgia" w:eastAsia="Times New Roman" w:hAnsi="Georgia"/>
          <w:i/>
          <w:color w:val="0D0D0D"/>
        </w:rPr>
        <w:t>bekendtgørelsen på dette punkt er blevet justeret, således at det – nu af s</w:t>
      </w:r>
      <w:r w:rsidR="00372612" w:rsidRPr="00A76038">
        <w:rPr>
          <w:i/>
        </w:rPr>
        <w:t xml:space="preserve">tk. 3. i stedet for stk. 2 – fremgår, at den offentlige ordregiver kan undlade at medtage aftalevilkår, jf. § 3 stk. 1 og 2, hvis særlige forhold taler herfor, og den offentlige ordregiver på den baggrund vurderer, at reguleringen af rimelige og ikke-diskriminerende priser ikke er nødvendig i det konkrete aftaleforhold. </w:t>
      </w:r>
      <w:r w:rsidR="00A76038" w:rsidRPr="00A76038">
        <w:rPr>
          <w:i/>
        </w:rPr>
        <w:t>Ministeriet vil udarbejde vejledningsmateriale om, hvilke særlige forhold, der kan begrunde undtagelsen.</w:t>
      </w:r>
    </w:p>
    <w:p w14:paraId="4EF378FD" w14:textId="6190A9B0" w:rsidR="000B4653" w:rsidRPr="004330A6" w:rsidRDefault="00372612" w:rsidP="000B4653">
      <w:r w:rsidRPr="00A76038">
        <w:rPr>
          <w:i/>
        </w:rPr>
        <w:t>Den offentlige ordregiver skal inden indgåelsen af aftalen offentliggøre en begrundelse for</w:t>
      </w:r>
      <w:r w:rsidR="00A76038">
        <w:rPr>
          <w:i/>
        </w:rPr>
        <w:t>, at der foreligger</w:t>
      </w:r>
      <w:r w:rsidRPr="00A76038">
        <w:rPr>
          <w:i/>
        </w:rPr>
        <w:t xml:space="preserve"> sådanne særlige forhold.</w:t>
      </w:r>
      <w:r w:rsidR="00A76038">
        <w:rPr>
          <w:i/>
        </w:rPr>
        <w:t xml:space="preserve"> Det vil være op til den enkelte offentlige ordregiver at sikre en offentliggørelse, som på passende vis giver reel mulighed for, at relevante aktører kan gøre sig bekendt med de konkrete særlige forhold. Det kunne f.eks. være på den offentlige ordregivers hjemmeside.</w:t>
      </w:r>
    </w:p>
    <w:sectPr w:rsidR="000B4653" w:rsidRPr="004330A6" w:rsidSect="00A32AD7">
      <w:headerReference w:type="even" r:id="rId9"/>
      <w:headerReference w:type="default" r:id="rId10"/>
      <w:footerReference w:type="even" r:id="rId11"/>
      <w:footerReference w:type="default" r:id="rId12"/>
      <w:headerReference w:type="first" r:id="rId13"/>
      <w:footerReference w:type="first" r:id="rId14"/>
      <w:pgSz w:w="11906" w:h="16838" w:code="9"/>
      <w:pgMar w:top="1418" w:right="4309" w:bottom="1418" w:left="1361" w:header="62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4D05E" w14:textId="77777777" w:rsidR="00B650A3" w:rsidRDefault="00B650A3" w:rsidP="00A56EBB">
      <w:pPr>
        <w:spacing w:line="240" w:lineRule="auto"/>
      </w:pPr>
      <w:r>
        <w:separator/>
      </w:r>
    </w:p>
  </w:endnote>
  <w:endnote w:type="continuationSeparator" w:id="0">
    <w:p w14:paraId="72022631" w14:textId="77777777" w:rsidR="00B650A3" w:rsidRDefault="00B650A3" w:rsidP="00A56E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KBH Teks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40BA1" w14:textId="77777777" w:rsidR="00153EF2" w:rsidRDefault="00153EF2">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DBA17" w14:textId="77777777" w:rsidR="00153EF2" w:rsidRDefault="00153EF2">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C3B29" w14:textId="77777777" w:rsidR="00153EF2" w:rsidRDefault="00153EF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7E53F" w14:textId="77777777" w:rsidR="00B650A3" w:rsidRDefault="00B650A3" w:rsidP="00A56EBB">
      <w:pPr>
        <w:spacing w:line="240" w:lineRule="auto"/>
      </w:pPr>
      <w:r>
        <w:separator/>
      </w:r>
    </w:p>
  </w:footnote>
  <w:footnote w:type="continuationSeparator" w:id="0">
    <w:p w14:paraId="20F7A284" w14:textId="77777777" w:rsidR="00B650A3" w:rsidRDefault="00B650A3" w:rsidP="00A56E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3C970" w14:textId="77777777" w:rsidR="00153EF2" w:rsidRDefault="00153EF2">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Layout w:type="fixed"/>
      <w:tblCellMar>
        <w:left w:w="0" w:type="dxa"/>
        <w:right w:w="0" w:type="dxa"/>
      </w:tblCellMar>
      <w:tblLook w:val="0000" w:firstRow="0" w:lastRow="0" w:firstColumn="0" w:lastColumn="0" w:noHBand="0" w:noVBand="0"/>
    </w:tblPr>
    <w:tblGrid>
      <w:gridCol w:w="6521"/>
      <w:gridCol w:w="3402"/>
    </w:tblGrid>
    <w:tr w:rsidR="00E24A8A" w14:paraId="57961053" w14:textId="77777777" w:rsidTr="00A32AD7">
      <w:trPr>
        <w:trHeight w:hRule="exact" w:val="794"/>
      </w:trPr>
      <w:tc>
        <w:tcPr>
          <w:tcW w:w="6521" w:type="dxa"/>
        </w:tcPr>
        <w:p w14:paraId="00E07289" w14:textId="77777777" w:rsidR="00E24A8A" w:rsidRDefault="00E24A8A" w:rsidP="00630E97">
          <w:pPr>
            <w:pStyle w:val="Billedfelt"/>
          </w:pPr>
          <w:bookmarkStart w:id="4" w:name="Logo_Side2" w:colFirst="1" w:colLast="1"/>
        </w:p>
      </w:tc>
      <w:tc>
        <w:tcPr>
          <w:tcW w:w="3402" w:type="dxa"/>
        </w:tcPr>
        <w:p w14:paraId="3D96A71E" w14:textId="77777777" w:rsidR="00E24A8A" w:rsidRDefault="00E24A8A" w:rsidP="00630E97">
          <w:pPr>
            <w:pStyle w:val="Billedfelt"/>
          </w:pPr>
          <w:r>
            <w:rPr>
              <w:noProof/>
              <w:lang w:eastAsia="da-DK"/>
            </w:rPr>
            <w:drawing>
              <wp:inline distT="0" distB="0" distL="0" distR="0" wp14:anchorId="77459795" wp14:editId="43D51A20">
                <wp:extent cx="297181" cy="217932"/>
                <wp:effectExtent l="0" t="0" r="7620" b="0"/>
                <wp:docPr id="3" name="Billede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297181" cy="217932"/>
                        </a:xfrm>
                        <a:prstGeom prst="rect">
                          <a:avLst/>
                        </a:prstGeom>
                      </pic:spPr>
                    </pic:pic>
                  </a:graphicData>
                </a:graphic>
              </wp:inline>
            </w:drawing>
          </w:r>
        </w:p>
      </w:tc>
    </w:tr>
    <w:tr w:rsidR="00E24A8A" w14:paraId="41F7E1A1" w14:textId="77777777" w:rsidTr="00B06CE9">
      <w:trPr>
        <w:trHeight w:hRule="exact" w:val="680"/>
      </w:trPr>
      <w:tc>
        <w:tcPr>
          <w:tcW w:w="6521" w:type="dxa"/>
          <w:vAlign w:val="bottom"/>
        </w:tcPr>
        <w:p w14:paraId="32FD3112" w14:textId="77777777" w:rsidR="00E24A8A" w:rsidRDefault="00E24A8A" w:rsidP="00B06CE9">
          <w:bookmarkStart w:id="5" w:name="Sidetal" w:colFirst="1" w:colLast="1"/>
          <w:bookmarkEnd w:id="4"/>
        </w:p>
      </w:tc>
      <w:tc>
        <w:tcPr>
          <w:tcW w:w="3402" w:type="dxa"/>
          <w:vAlign w:val="bottom"/>
        </w:tcPr>
        <w:p w14:paraId="36504F1D" w14:textId="11711854" w:rsidR="00E24A8A" w:rsidRPr="00B06CE9" w:rsidRDefault="00E24A8A" w:rsidP="0027154C">
          <w:pPr>
            <w:pStyle w:val="Sidenummerering"/>
          </w:pPr>
          <w:r w:rsidRPr="00B06CE9">
            <w:t xml:space="preserve">Side </w:t>
          </w:r>
          <w:r w:rsidRPr="00B06CE9">
            <w:fldChar w:fldCharType="begin"/>
          </w:r>
          <w:r w:rsidRPr="00B06CE9">
            <w:instrText xml:space="preserve"> PAGE </w:instrText>
          </w:r>
          <w:r w:rsidRPr="00B06CE9">
            <w:fldChar w:fldCharType="separate"/>
          </w:r>
          <w:r w:rsidR="00FB1B7D">
            <w:t>2</w:t>
          </w:r>
          <w:r w:rsidRPr="00B06CE9">
            <w:fldChar w:fldCharType="end"/>
          </w:r>
          <w:r w:rsidRPr="00B06CE9">
            <w:t>/</w:t>
          </w:r>
          <w:r>
            <w:fldChar w:fldCharType="begin"/>
          </w:r>
          <w:r>
            <w:instrText xml:space="preserve"> NUMPAGES </w:instrText>
          </w:r>
          <w:r>
            <w:fldChar w:fldCharType="separate"/>
          </w:r>
          <w:r w:rsidR="00FB1B7D">
            <w:t>14</w:t>
          </w:r>
          <w:r>
            <w:fldChar w:fldCharType="end"/>
          </w:r>
        </w:p>
      </w:tc>
    </w:tr>
    <w:tr w:rsidR="00E24A8A" w14:paraId="34700C56" w14:textId="77777777" w:rsidTr="00B06CE9">
      <w:trPr>
        <w:trHeight w:hRule="exact" w:val="397"/>
      </w:trPr>
      <w:tc>
        <w:tcPr>
          <w:tcW w:w="6521" w:type="dxa"/>
          <w:vAlign w:val="bottom"/>
        </w:tcPr>
        <w:p w14:paraId="5D97AC03" w14:textId="77777777" w:rsidR="00E24A8A" w:rsidRDefault="00E24A8A" w:rsidP="00B06CE9">
          <w:bookmarkStart w:id="6" w:name="AfstandEfterSidehoved2" w:colFirst="1" w:colLast="1"/>
          <w:bookmarkEnd w:id="5"/>
        </w:p>
      </w:tc>
      <w:tc>
        <w:tcPr>
          <w:tcW w:w="3402" w:type="dxa"/>
          <w:vAlign w:val="bottom"/>
        </w:tcPr>
        <w:p w14:paraId="1EAED6B8" w14:textId="77777777" w:rsidR="00E24A8A" w:rsidRPr="00B06CE9" w:rsidRDefault="00E24A8A" w:rsidP="0027154C">
          <w:pPr>
            <w:pStyle w:val="Sidenummerering"/>
          </w:pPr>
        </w:p>
      </w:tc>
    </w:tr>
    <w:bookmarkEnd w:id="6"/>
  </w:tbl>
  <w:p w14:paraId="4996219F" w14:textId="77777777" w:rsidR="00E24A8A" w:rsidRPr="00B06CE9" w:rsidRDefault="00E24A8A" w:rsidP="001C5895">
    <w:pPr>
      <w:pStyle w:val="Minimeretafsni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78" w:type="dxa"/>
      <w:tblLayout w:type="fixed"/>
      <w:tblCellMar>
        <w:left w:w="0" w:type="dxa"/>
        <w:right w:w="0" w:type="dxa"/>
      </w:tblCellMar>
      <w:tblLook w:val="0000" w:firstRow="0" w:lastRow="0" w:firstColumn="0" w:lastColumn="0" w:noHBand="0" w:noVBand="0"/>
    </w:tblPr>
    <w:tblGrid>
      <w:gridCol w:w="6520"/>
      <w:gridCol w:w="3458"/>
    </w:tblGrid>
    <w:tr w:rsidR="00E24A8A" w14:paraId="30B623E9" w14:textId="77777777" w:rsidTr="00213607">
      <w:trPr>
        <w:trHeight w:hRule="exact" w:val="794"/>
      </w:trPr>
      <w:tc>
        <w:tcPr>
          <w:tcW w:w="6520" w:type="dxa"/>
        </w:tcPr>
        <w:p w14:paraId="2838E6E6" w14:textId="77777777" w:rsidR="00E24A8A" w:rsidRPr="00630E97" w:rsidRDefault="00E24A8A" w:rsidP="00630E97">
          <w:pPr>
            <w:pStyle w:val="Billedfelt"/>
          </w:pPr>
          <w:bookmarkStart w:id="7" w:name="Logo_Side1" w:colFirst="1" w:colLast="1"/>
          <w:bookmarkStart w:id="8" w:name="AfstandHøjre_Logo1" w:colFirst="0" w:colLast="0"/>
        </w:p>
      </w:tc>
      <w:tc>
        <w:tcPr>
          <w:tcW w:w="3458" w:type="dxa"/>
        </w:tcPr>
        <w:p w14:paraId="29FED821" w14:textId="77777777" w:rsidR="00E24A8A" w:rsidRPr="00630E97" w:rsidRDefault="00E24A8A" w:rsidP="00630E97">
          <w:pPr>
            <w:pStyle w:val="Billedfelt"/>
          </w:pPr>
          <w:r>
            <w:rPr>
              <w:noProof/>
              <w:lang w:eastAsia="da-DK"/>
            </w:rPr>
            <w:drawing>
              <wp:inline distT="0" distB="0" distL="0" distR="0" wp14:anchorId="61582626" wp14:editId="0DBC688F">
                <wp:extent cx="2162560" cy="466345"/>
                <wp:effectExtent l="0" t="0" r="0" b="0"/>
                <wp:docPr id="4" name="Billede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2162560" cy="466345"/>
                        </a:xfrm>
                        <a:prstGeom prst="rect">
                          <a:avLst/>
                        </a:prstGeom>
                      </pic:spPr>
                    </pic:pic>
                  </a:graphicData>
                </a:graphic>
              </wp:inline>
            </w:drawing>
          </w:r>
        </w:p>
      </w:tc>
    </w:tr>
  </w:tbl>
  <w:bookmarkEnd w:id="7"/>
  <w:bookmarkEnd w:id="8"/>
  <w:p w14:paraId="568C64C7" w14:textId="77777777" w:rsidR="00E24A8A" w:rsidRPr="00B06CE9" w:rsidRDefault="00E24A8A" w:rsidP="001C5895">
    <w:pPr>
      <w:pStyle w:val="Minimeretafsnit"/>
    </w:pPr>
    <w:r w:rsidRPr="00B06CE9">
      <w:rPr>
        <w:noProof/>
        <w:lang w:eastAsia="da-DK"/>
      </w:rPr>
      <mc:AlternateContent>
        <mc:Choice Requires="wps">
          <w:drawing>
            <wp:anchor distT="0" distB="0" distL="114300" distR="114300" simplePos="0" relativeHeight="251659264" behindDoc="0" locked="1" layoutInCell="1" allowOverlap="1" wp14:anchorId="1003E6E1" wp14:editId="00BD10AC">
              <wp:simplePos x="0" y="0"/>
              <wp:positionH relativeFrom="page">
                <wp:posOffset>5010150</wp:posOffset>
              </wp:positionH>
              <wp:positionV relativeFrom="page">
                <wp:posOffset>1181100</wp:posOffset>
              </wp:positionV>
              <wp:extent cx="2339975" cy="2076450"/>
              <wp:effectExtent l="0" t="0" r="3175" b="0"/>
              <wp:wrapNone/>
              <wp:docPr id="15" name="kolof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2076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Gitter"/>
                            <w:tblW w:w="3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58"/>
                          </w:tblGrid>
                          <w:tr w:rsidR="00E24A8A" w14:paraId="45524BD6" w14:textId="77777777" w:rsidTr="002136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8" w:type="dxa"/>
                                <w:tcMar>
                                  <w:left w:w="0" w:type="dxa"/>
                                </w:tcMar>
                                <w:vAlign w:val="center"/>
                              </w:tcPr>
                              <w:p w14:paraId="70353C2C" w14:textId="77777777" w:rsidR="00E24A8A" w:rsidRPr="00447719" w:rsidRDefault="00E24A8A" w:rsidP="00A32AD7">
                                <w:pPr>
                                  <w:pStyle w:val="Ministernavn"/>
                                </w:pPr>
                                <w:bookmarkStart w:id="9" w:name="Ministernavn" w:colFirst="0" w:colLast="0"/>
                              </w:p>
                            </w:tc>
                          </w:tr>
                          <w:tr w:rsidR="00E24A8A" w14:paraId="49A2E42E" w14:textId="77777777" w:rsidTr="00F849CA">
                            <w:trPr>
                              <w:trHeight w:hRule="exact" w:val="1134"/>
                            </w:trPr>
                            <w:tc>
                              <w:tcPr>
                                <w:cnfStyle w:val="001000000000" w:firstRow="0" w:lastRow="0" w:firstColumn="1" w:lastColumn="0" w:oddVBand="0" w:evenVBand="0" w:oddHBand="0" w:evenHBand="0" w:firstRowFirstColumn="0" w:firstRowLastColumn="0" w:lastRowFirstColumn="0" w:lastRowLastColumn="0"/>
                                <w:tcW w:w="3458" w:type="dxa"/>
                                <w:tcMar>
                                  <w:left w:w="0" w:type="dxa"/>
                                </w:tcMar>
                              </w:tcPr>
                              <w:p w14:paraId="01342CAF" w14:textId="77777777" w:rsidR="00E24A8A" w:rsidRDefault="00E24A8A" w:rsidP="00447719">
                                <w:pPr>
                                  <w:pStyle w:val="Template-Adresse"/>
                                </w:pPr>
                                <w:bookmarkStart w:id="10" w:name="AfstandFørDato" w:colFirst="0" w:colLast="0"/>
                                <w:bookmarkEnd w:id="9"/>
                              </w:p>
                            </w:tc>
                          </w:tr>
                          <w:tr w:rsidR="00E24A8A" w14:paraId="0E9E49A8" w14:textId="77777777" w:rsidTr="00213607">
                            <w:tc>
                              <w:tcPr>
                                <w:cnfStyle w:val="001000000000" w:firstRow="0" w:lastRow="0" w:firstColumn="1" w:lastColumn="0" w:oddVBand="0" w:evenVBand="0" w:oddHBand="0" w:evenHBand="0" w:firstRowFirstColumn="0" w:firstRowLastColumn="0" w:lastRowFirstColumn="0" w:lastRowLastColumn="0"/>
                                <w:tcW w:w="3458" w:type="dxa"/>
                                <w:tcMar>
                                  <w:left w:w="0" w:type="dxa"/>
                                </w:tcMar>
                              </w:tcPr>
                              <w:p w14:paraId="091891CE" w14:textId="77777777" w:rsidR="00E24A8A" w:rsidRDefault="00E24A8A" w:rsidP="00447719">
                                <w:pPr>
                                  <w:pStyle w:val="Template-Adresse"/>
                                </w:pPr>
                                <w:bookmarkStart w:id="11" w:name="Adresse" w:colFirst="0" w:colLast="0"/>
                                <w:bookmarkEnd w:id="10"/>
                              </w:p>
                            </w:tc>
                          </w:tr>
                          <w:tr w:rsidR="00E24A8A" w14:paraId="63776799" w14:textId="77777777" w:rsidTr="00213607">
                            <w:tc>
                              <w:tcPr>
                                <w:cnfStyle w:val="001000000000" w:firstRow="0" w:lastRow="0" w:firstColumn="1" w:lastColumn="0" w:oddVBand="0" w:evenVBand="0" w:oddHBand="0" w:evenHBand="0" w:firstRowFirstColumn="0" w:firstRowLastColumn="0" w:lastRowFirstColumn="0" w:lastRowLastColumn="0"/>
                                <w:tcW w:w="3458" w:type="dxa"/>
                                <w:tcMar>
                                  <w:left w:w="0" w:type="dxa"/>
                                </w:tcMar>
                              </w:tcPr>
                              <w:p w14:paraId="697C5FE3" w14:textId="77777777" w:rsidR="00E24A8A" w:rsidRDefault="00E24A8A" w:rsidP="00447719">
                                <w:pPr>
                                  <w:pStyle w:val="Template-Adresse"/>
                                </w:pPr>
                                <w:bookmarkStart w:id="12" w:name="AfstandFørTelefon" w:colFirst="0" w:colLast="0"/>
                                <w:bookmarkEnd w:id="11"/>
                              </w:p>
                            </w:tc>
                          </w:tr>
                          <w:tr w:rsidR="00E24A8A" w14:paraId="5FB347EE" w14:textId="77777777" w:rsidTr="00213607">
                            <w:tc>
                              <w:tcPr>
                                <w:cnfStyle w:val="001000000000" w:firstRow="0" w:lastRow="0" w:firstColumn="1" w:lastColumn="0" w:oddVBand="0" w:evenVBand="0" w:oddHBand="0" w:evenHBand="0" w:firstRowFirstColumn="0" w:firstRowLastColumn="0" w:lastRowFirstColumn="0" w:lastRowLastColumn="0"/>
                                <w:tcW w:w="3458" w:type="dxa"/>
                                <w:tcMar>
                                  <w:left w:w="0" w:type="dxa"/>
                                </w:tcMar>
                                <w:vAlign w:val="bottom"/>
                              </w:tcPr>
                              <w:p w14:paraId="76CE3424" w14:textId="77777777" w:rsidR="00E24A8A" w:rsidRDefault="00E24A8A" w:rsidP="00447719">
                                <w:pPr>
                                  <w:pStyle w:val="Template-Adresse"/>
                                </w:pPr>
                                <w:bookmarkStart w:id="13" w:name="Telefon" w:colFirst="0" w:colLast="0"/>
                                <w:bookmarkEnd w:id="12"/>
                              </w:p>
                            </w:tc>
                          </w:tr>
                          <w:tr w:rsidR="00E24A8A" w14:paraId="2A7AAC3F" w14:textId="77777777" w:rsidTr="00213607">
                            <w:tc>
                              <w:tcPr>
                                <w:cnfStyle w:val="001000000000" w:firstRow="0" w:lastRow="0" w:firstColumn="1" w:lastColumn="0" w:oddVBand="0" w:evenVBand="0" w:oddHBand="0" w:evenHBand="0" w:firstRowFirstColumn="0" w:firstRowLastColumn="0" w:lastRowFirstColumn="0" w:lastRowLastColumn="0"/>
                                <w:tcW w:w="3458" w:type="dxa"/>
                                <w:tcMar>
                                  <w:left w:w="0" w:type="dxa"/>
                                </w:tcMar>
                                <w:vAlign w:val="bottom"/>
                              </w:tcPr>
                              <w:p w14:paraId="7BDB633A" w14:textId="77777777" w:rsidR="00E24A8A" w:rsidRDefault="00E24A8A" w:rsidP="00A32AD7">
                                <w:pPr>
                                  <w:pStyle w:val="Template-Adresse"/>
                                </w:pPr>
                                <w:bookmarkStart w:id="14" w:name="Mail_Web" w:colFirst="0" w:colLast="0"/>
                                <w:bookmarkEnd w:id="13"/>
                              </w:p>
                            </w:tc>
                          </w:tr>
                          <w:tr w:rsidR="00E24A8A" w14:paraId="7D2C4609" w14:textId="77777777" w:rsidTr="00213607">
                            <w:tc>
                              <w:tcPr>
                                <w:cnfStyle w:val="001000000000" w:firstRow="0" w:lastRow="0" w:firstColumn="1" w:lastColumn="0" w:oddVBand="0" w:evenVBand="0" w:oddHBand="0" w:evenHBand="0" w:firstRowFirstColumn="0" w:firstRowLastColumn="0" w:lastRowFirstColumn="0" w:lastRowLastColumn="0"/>
                                <w:tcW w:w="3458" w:type="dxa"/>
                                <w:tcMar>
                                  <w:left w:w="0" w:type="dxa"/>
                                </w:tcMar>
                                <w:vAlign w:val="bottom"/>
                              </w:tcPr>
                              <w:p w14:paraId="3F2EB03F" w14:textId="77777777" w:rsidR="00E24A8A" w:rsidRDefault="00E24A8A" w:rsidP="00A32AD7">
                                <w:pPr>
                                  <w:pStyle w:val="Template-Adresse"/>
                                </w:pPr>
                              </w:p>
                            </w:tc>
                          </w:tr>
                          <w:bookmarkEnd w:id="14"/>
                        </w:tbl>
                        <w:p w14:paraId="2687CFB7" w14:textId="77777777" w:rsidR="00E24A8A" w:rsidRDefault="00E24A8A" w:rsidP="00447719">
                          <w:pPr>
                            <w:tabs>
                              <w:tab w:val="left" w:pos="709"/>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03E6E1" id="_x0000_t202" coordsize="21600,21600" o:spt="202" path="m,l,21600r21600,l21600,xe">
              <v:stroke joinstyle="miter"/>
              <v:path gradientshapeok="t" o:connecttype="rect"/>
            </v:shapetype>
            <v:shape id="kolofon" o:spid="_x0000_s1026" type="#_x0000_t202" style="position:absolute;margin-left:394.5pt;margin-top:93pt;width:184.25pt;height:16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" filled="f" stroked="f">
              <v:textbox inset="0,0,0,0">
                <w:txbxContent>
                  <w:tbl>
                    <w:tblPr>
                      <w:tblStyle w:val="Tabel-Gitter"/>
                      <w:tblW w:w="3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58"/>
                    </w:tblGrid>
                    <w:tr w:rsidR="00E24A8A" w14:paraId="45524BD6" w14:textId="77777777" w:rsidTr="002136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8" w:type="dxa"/>
                          <w:tcMar>
                            <w:left w:w="0" w:type="dxa"/>
                          </w:tcMar>
                          <w:vAlign w:val="center"/>
                        </w:tcPr>
                        <w:p w14:paraId="70353C2C" w14:textId="77777777" w:rsidR="00E24A8A" w:rsidRPr="00447719" w:rsidRDefault="00E24A8A" w:rsidP="00A32AD7">
                          <w:pPr>
                            <w:pStyle w:val="Ministernavn"/>
                          </w:pPr>
                          <w:bookmarkStart w:id="15" w:name="Ministernavn" w:colFirst="0" w:colLast="0"/>
                        </w:p>
                      </w:tc>
                    </w:tr>
                    <w:tr w:rsidR="00E24A8A" w14:paraId="49A2E42E" w14:textId="77777777" w:rsidTr="00F849CA">
                      <w:trPr>
                        <w:trHeight w:hRule="exact" w:val="1134"/>
                      </w:trPr>
                      <w:tc>
                        <w:tcPr>
                          <w:cnfStyle w:val="001000000000" w:firstRow="0" w:lastRow="0" w:firstColumn="1" w:lastColumn="0" w:oddVBand="0" w:evenVBand="0" w:oddHBand="0" w:evenHBand="0" w:firstRowFirstColumn="0" w:firstRowLastColumn="0" w:lastRowFirstColumn="0" w:lastRowLastColumn="0"/>
                          <w:tcW w:w="3458" w:type="dxa"/>
                          <w:tcMar>
                            <w:left w:w="0" w:type="dxa"/>
                          </w:tcMar>
                        </w:tcPr>
                        <w:p w14:paraId="01342CAF" w14:textId="77777777" w:rsidR="00E24A8A" w:rsidRDefault="00E24A8A" w:rsidP="00447719">
                          <w:pPr>
                            <w:pStyle w:val="Template-Adresse"/>
                          </w:pPr>
                          <w:bookmarkStart w:id="16" w:name="AfstandFørDato" w:colFirst="0" w:colLast="0"/>
                          <w:bookmarkEnd w:id="15"/>
                        </w:p>
                      </w:tc>
                    </w:tr>
                    <w:tr w:rsidR="00E24A8A" w14:paraId="0E9E49A8" w14:textId="77777777" w:rsidTr="00213607">
                      <w:tc>
                        <w:tcPr>
                          <w:cnfStyle w:val="001000000000" w:firstRow="0" w:lastRow="0" w:firstColumn="1" w:lastColumn="0" w:oddVBand="0" w:evenVBand="0" w:oddHBand="0" w:evenHBand="0" w:firstRowFirstColumn="0" w:firstRowLastColumn="0" w:lastRowFirstColumn="0" w:lastRowLastColumn="0"/>
                          <w:tcW w:w="3458" w:type="dxa"/>
                          <w:tcMar>
                            <w:left w:w="0" w:type="dxa"/>
                          </w:tcMar>
                        </w:tcPr>
                        <w:p w14:paraId="091891CE" w14:textId="77777777" w:rsidR="00E24A8A" w:rsidRDefault="00E24A8A" w:rsidP="00447719">
                          <w:pPr>
                            <w:pStyle w:val="Template-Adresse"/>
                          </w:pPr>
                          <w:bookmarkStart w:id="17" w:name="Adresse" w:colFirst="0" w:colLast="0"/>
                          <w:bookmarkEnd w:id="16"/>
                        </w:p>
                      </w:tc>
                    </w:tr>
                    <w:tr w:rsidR="00E24A8A" w14:paraId="63776799" w14:textId="77777777" w:rsidTr="00213607">
                      <w:tc>
                        <w:tcPr>
                          <w:cnfStyle w:val="001000000000" w:firstRow="0" w:lastRow="0" w:firstColumn="1" w:lastColumn="0" w:oddVBand="0" w:evenVBand="0" w:oddHBand="0" w:evenHBand="0" w:firstRowFirstColumn="0" w:firstRowLastColumn="0" w:lastRowFirstColumn="0" w:lastRowLastColumn="0"/>
                          <w:tcW w:w="3458" w:type="dxa"/>
                          <w:tcMar>
                            <w:left w:w="0" w:type="dxa"/>
                          </w:tcMar>
                        </w:tcPr>
                        <w:p w14:paraId="697C5FE3" w14:textId="77777777" w:rsidR="00E24A8A" w:rsidRDefault="00E24A8A" w:rsidP="00447719">
                          <w:pPr>
                            <w:pStyle w:val="Template-Adresse"/>
                          </w:pPr>
                          <w:bookmarkStart w:id="18" w:name="AfstandFørTelefon" w:colFirst="0" w:colLast="0"/>
                          <w:bookmarkEnd w:id="17"/>
                        </w:p>
                      </w:tc>
                    </w:tr>
                    <w:tr w:rsidR="00E24A8A" w14:paraId="5FB347EE" w14:textId="77777777" w:rsidTr="00213607">
                      <w:tc>
                        <w:tcPr>
                          <w:cnfStyle w:val="001000000000" w:firstRow="0" w:lastRow="0" w:firstColumn="1" w:lastColumn="0" w:oddVBand="0" w:evenVBand="0" w:oddHBand="0" w:evenHBand="0" w:firstRowFirstColumn="0" w:firstRowLastColumn="0" w:lastRowFirstColumn="0" w:lastRowLastColumn="0"/>
                          <w:tcW w:w="3458" w:type="dxa"/>
                          <w:tcMar>
                            <w:left w:w="0" w:type="dxa"/>
                          </w:tcMar>
                          <w:vAlign w:val="bottom"/>
                        </w:tcPr>
                        <w:p w14:paraId="76CE3424" w14:textId="77777777" w:rsidR="00E24A8A" w:rsidRDefault="00E24A8A" w:rsidP="00447719">
                          <w:pPr>
                            <w:pStyle w:val="Template-Adresse"/>
                          </w:pPr>
                          <w:bookmarkStart w:id="19" w:name="Telefon" w:colFirst="0" w:colLast="0"/>
                          <w:bookmarkEnd w:id="18"/>
                        </w:p>
                      </w:tc>
                    </w:tr>
                    <w:tr w:rsidR="00E24A8A" w14:paraId="2A7AAC3F" w14:textId="77777777" w:rsidTr="00213607">
                      <w:tc>
                        <w:tcPr>
                          <w:cnfStyle w:val="001000000000" w:firstRow="0" w:lastRow="0" w:firstColumn="1" w:lastColumn="0" w:oddVBand="0" w:evenVBand="0" w:oddHBand="0" w:evenHBand="0" w:firstRowFirstColumn="0" w:firstRowLastColumn="0" w:lastRowFirstColumn="0" w:lastRowLastColumn="0"/>
                          <w:tcW w:w="3458" w:type="dxa"/>
                          <w:tcMar>
                            <w:left w:w="0" w:type="dxa"/>
                          </w:tcMar>
                          <w:vAlign w:val="bottom"/>
                        </w:tcPr>
                        <w:p w14:paraId="7BDB633A" w14:textId="77777777" w:rsidR="00E24A8A" w:rsidRDefault="00E24A8A" w:rsidP="00A32AD7">
                          <w:pPr>
                            <w:pStyle w:val="Template-Adresse"/>
                          </w:pPr>
                          <w:bookmarkStart w:id="20" w:name="Mail_Web" w:colFirst="0" w:colLast="0"/>
                          <w:bookmarkEnd w:id="19"/>
                        </w:p>
                      </w:tc>
                    </w:tr>
                    <w:tr w:rsidR="00E24A8A" w14:paraId="7D2C4609" w14:textId="77777777" w:rsidTr="00213607">
                      <w:tc>
                        <w:tcPr>
                          <w:cnfStyle w:val="001000000000" w:firstRow="0" w:lastRow="0" w:firstColumn="1" w:lastColumn="0" w:oddVBand="0" w:evenVBand="0" w:oddHBand="0" w:evenHBand="0" w:firstRowFirstColumn="0" w:firstRowLastColumn="0" w:lastRowFirstColumn="0" w:lastRowLastColumn="0"/>
                          <w:tcW w:w="3458" w:type="dxa"/>
                          <w:tcMar>
                            <w:left w:w="0" w:type="dxa"/>
                          </w:tcMar>
                          <w:vAlign w:val="bottom"/>
                        </w:tcPr>
                        <w:p w14:paraId="3F2EB03F" w14:textId="77777777" w:rsidR="00E24A8A" w:rsidRDefault="00E24A8A" w:rsidP="00A32AD7">
                          <w:pPr>
                            <w:pStyle w:val="Template-Adresse"/>
                          </w:pPr>
                        </w:p>
                      </w:tc>
                    </w:tr>
                    <w:bookmarkEnd w:id="20"/>
                  </w:tbl>
                  <w:p w14:paraId="2687CFB7" w14:textId="77777777" w:rsidR="00E24A8A" w:rsidRDefault="00E24A8A" w:rsidP="00447719">
                    <w:pPr>
                      <w:tabs>
                        <w:tab w:val="left" w:pos="709"/>
                      </w:tabs>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F94B92"/>
    <w:multiLevelType w:val="hybridMultilevel"/>
    <w:tmpl w:val="1CAA0CD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 w15:restartNumberingAfterBreak="0">
    <w:nsid w:val="043F0362"/>
    <w:multiLevelType w:val="hybridMultilevel"/>
    <w:tmpl w:val="3FF6306C"/>
    <w:lvl w:ilvl="0" w:tplc="FFFFFFFF">
      <w:start w:val="1"/>
      <w:numFmt w:val="bullet"/>
      <w:lvlText w:val=""/>
      <w:lvlJc w:val="left"/>
      <w:pPr>
        <w:ind w:left="720" w:hanging="360"/>
      </w:pPr>
      <w:rPr>
        <w:rFonts w:ascii="Symbol" w:hAnsi="Symbol" w:hint="default"/>
      </w:rPr>
    </w:lvl>
    <w:lvl w:ilvl="1" w:tplc="0B423CDE">
      <w:start w:val="1"/>
      <w:numFmt w:val="lowerLetter"/>
      <w:lvlText w:val="%2)"/>
      <w:lvlJc w:val="left"/>
      <w:pPr>
        <w:ind w:left="1440" w:hanging="360"/>
      </w:pPr>
      <w:rPr>
        <w:b/>
        <w:bCs/>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08B24D59"/>
    <w:multiLevelType w:val="hybridMultilevel"/>
    <w:tmpl w:val="F3C09E2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4" w15:restartNumberingAfterBreak="0">
    <w:nsid w:val="08EC76A7"/>
    <w:multiLevelType w:val="hybridMultilevel"/>
    <w:tmpl w:val="540CC6B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 w15:restartNumberingAfterBreak="0">
    <w:nsid w:val="116040DE"/>
    <w:multiLevelType w:val="hybridMultilevel"/>
    <w:tmpl w:val="13A89B5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5A85C76"/>
    <w:multiLevelType w:val="hybridMultilevel"/>
    <w:tmpl w:val="6452F9CC"/>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7" w15:restartNumberingAfterBreak="0">
    <w:nsid w:val="34A279C7"/>
    <w:multiLevelType w:val="hybridMultilevel"/>
    <w:tmpl w:val="E08C1290"/>
    <w:lvl w:ilvl="0" w:tplc="DE90B93A">
      <w:start w:val="1"/>
      <w:numFmt w:val="bullet"/>
      <w:pStyle w:val="Normal-Punktliste"/>
      <w:lvlText w:val=""/>
      <w:lvlJc w:val="left"/>
      <w:pPr>
        <w:tabs>
          <w:tab w:val="num" w:pos="340"/>
        </w:tabs>
        <w:ind w:left="340" w:hanging="340"/>
      </w:pPr>
      <w:rPr>
        <w:rFonts w:ascii="Symbol" w:hAnsi="Symbol" w:hint="default"/>
        <w:color w:val="auto"/>
        <w:sz w:val="16"/>
        <w:szCs w:val="16"/>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4751E4"/>
    <w:multiLevelType w:val="multilevel"/>
    <w:tmpl w:val="1ABC033E"/>
    <w:lvl w:ilvl="0">
      <w:start w:val="1"/>
      <w:numFmt w:val="decimal"/>
      <w:pStyle w:val="Normal-Talliste"/>
      <w:lvlText w:val="%1."/>
      <w:lvlJc w:val="left"/>
      <w:pPr>
        <w:tabs>
          <w:tab w:val="num" w:pos="340"/>
        </w:tabs>
        <w:ind w:left="340" w:hanging="340"/>
      </w:pPr>
      <w:rPr>
        <w:rFonts w:hint="default"/>
      </w:rPr>
    </w:lvl>
    <w:lvl w:ilvl="1">
      <w:start w:val="1"/>
      <w:numFmt w:val="decimal"/>
      <w:lvlText w:val="./.      %2"/>
      <w:lvlJc w:val="left"/>
      <w:pPr>
        <w:tabs>
          <w:tab w:val="num" w:pos="720"/>
        </w:tabs>
        <w:ind w:left="720" w:hanging="360"/>
      </w:pPr>
      <w:rPr>
        <w:rFonts w:hint="default"/>
      </w:rPr>
    </w:lvl>
    <w:lvl w:ilvl="2">
      <w:start w:val="1"/>
      <w:numFmt w:val="decimal"/>
      <w:lvlText w:val="./.      %3 "/>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6A951DC3"/>
    <w:multiLevelType w:val="hybridMultilevel"/>
    <w:tmpl w:val="F940D424"/>
    <w:lvl w:ilvl="0" w:tplc="1020F9E6">
      <w:start w:val="1"/>
      <w:numFmt w:val="bullet"/>
      <w:lvlText w:val="−"/>
      <w:lvlJc w:val="left"/>
      <w:pPr>
        <w:tabs>
          <w:tab w:val="num" w:pos="720"/>
        </w:tabs>
        <w:ind w:left="720" w:hanging="360"/>
      </w:pPr>
      <w:rPr>
        <w:rFonts w:ascii="Calibri" w:hAnsi="Calibri" w:hint="default"/>
      </w:rPr>
    </w:lvl>
    <w:lvl w:ilvl="1" w:tplc="A882FF0C">
      <w:start w:val="1"/>
      <w:numFmt w:val="bullet"/>
      <w:lvlText w:val="−"/>
      <w:lvlJc w:val="left"/>
      <w:pPr>
        <w:tabs>
          <w:tab w:val="num" w:pos="1440"/>
        </w:tabs>
        <w:ind w:left="1440" w:hanging="360"/>
      </w:pPr>
      <w:rPr>
        <w:rFonts w:ascii="Calibri" w:hAnsi="Calibri" w:hint="default"/>
      </w:rPr>
    </w:lvl>
    <w:lvl w:ilvl="2" w:tplc="F7503A10" w:tentative="1">
      <w:start w:val="1"/>
      <w:numFmt w:val="bullet"/>
      <w:lvlText w:val="−"/>
      <w:lvlJc w:val="left"/>
      <w:pPr>
        <w:tabs>
          <w:tab w:val="num" w:pos="2160"/>
        </w:tabs>
        <w:ind w:left="2160" w:hanging="360"/>
      </w:pPr>
      <w:rPr>
        <w:rFonts w:ascii="Calibri" w:hAnsi="Calibri" w:hint="default"/>
      </w:rPr>
    </w:lvl>
    <w:lvl w:ilvl="3" w:tplc="C33ED182" w:tentative="1">
      <w:start w:val="1"/>
      <w:numFmt w:val="bullet"/>
      <w:lvlText w:val="−"/>
      <w:lvlJc w:val="left"/>
      <w:pPr>
        <w:tabs>
          <w:tab w:val="num" w:pos="2880"/>
        </w:tabs>
        <w:ind w:left="2880" w:hanging="360"/>
      </w:pPr>
      <w:rPr>
        <w:rFonts w:ascii="Calibri" w:hAnsi="Calibri" w:hint="default"/>
      </w:rPr>
    </w:lvl>
    <w:lvl w:ilvl="4" w:tplc="E3A8477A" w:tentative="1">
      <w:start w:val="1"/>
      <w:numFmt w:val="bullet"/>
      <w:lvlText w:val="−"/>
      <w:lvlJc w:val="left"/>
      <w:pPr>
        <w:tabs>
          <w:tab w:val="num" w:pos="3600"/>
        </w:tabs>
        <w:ind w:left="3600" w:hanging="360"/>
      </w:pPr>
      <w:rPr>
        <w:rFonts w:ascii="Calibri" w:hAnsi="Calibri" w:hint="default"/>
      </w:rPr>
    </w:lvl>
    <w:lvl w:ilvl="5" w:tplc="69B01984" w:tentative="1">
      <w:start w:val="1"/>
      <w:numFmt w:val="bullet"/>
      <w:lvlText w:val="−"/>
      <w:lvlJc w:val="left"/>
      <w:pPr>
        <w:tabs>
          <w:tab w:val="num" w:pos="4320"/>
        </w:tabs>
        <w:ind w:left="4320" w:hanging="360"/>
      </w:pPr>
      <w:rPr>
        <w:rFonts w:ascii="Calibri" w:hAnsi="Calibri" w:hint="default"/>
      </w:rPr>
    </w:lvl>
    <w:lvl w:ilvl="6" w:tplc="43244DD4" w:tentative="1">
      <w:start w:val="1"/>
      <w:numFmt w:val="bullet"/>
      <w:lvlText w:val="−"/>
      <w:lvlJc w:val="left"/>
      <w:pPr>
        <w:tabs>
          <w:tab w:val="num" w:pos="5040"/>
        </w:tabs>
        <w:ind w:left="5040" w:hanging="360"/>
      </w:pPr>
      <w:rPr>
        <w:rFonts w:ascii="Calibri" w:hAnsi="Calibri" w:hint="default"/>
      </w:rPr>
    </w:lvl>
    <w:lvl w:ilvl="7" w:tplc="57D85D16" w:tentative="1">
      <w:start w:val="1"/>
      <w:numFmt w:val="bullet"/>
      <w:lvlText w:val="−"/>
      <w:lvlJc w:val="left"/>
      <w:pPr>
        <w:tabs>
          <w:tab w:val="num" w:pos="5760"/>
        </w:tabs>
        <w:ind w:left="5760" w:hanging="360"/>
      </w:pPr>
      <w:rPr>
        <w:rFonts w:ascii="Calibri" w:hAnsi="Calibri" w:hint="default"/>
      </w:rPr>
    </w:lvl>
    <w:lvl w:ilvl="8" w:tplc="ABA6A21C" w:tentative="1">
      <w:start w:val="1"/>
      <w:numFmt w:val="bullet"/>
      <w:lvlText w:val="−"/>
      <w:lvlJc w:val="left"/>
      <w:pPr>
        <w:tabs>
          <w:tab w:val="num" w:pos="6480"/>
        </w:tabs>
        <w:ind w:left="6480" w:hanging="360"/>
      </w:pPr>
      <w:rPr>
        <w:rFonts w:ascii="Calibri" w:hAnsi="Calibri" w:hint="default"/>
      </w:rPr>
    </w:lvl>
  </w:abstractNum>
  <w:num w:numId="1">
    <w:abstractNumId w:val="7"/>
  </w:num>
  <w:num w:numId="2">
    <w:abstractNumId w:val="8"/>
  </w:num>
  <w:num w:numId="3">
    <w:abstractNumId w:val="0"/>
  </w:num>
  <w:num w:numId="4">
    <w:abstractNumId w:val="7"/>
  </w:num>
  <w:num w:numId="5">
    <w:abstractNumId w:val="1"/>
  </w:num>
  <w:num w:numId="6">
    <w:abstractNumId w:val="1"/>
  </w:num>
  <w:num w:numId="7">
    <w:abstractNumId w:val="6"/>
  </w:num>
  <w:num w:numId="8">
    <w:abstractNumId w:val="3"/>
  </w:num>
  <w:num w:numId="9">
    <w:abstractNumId w:val="4"/>
  </w:num>
  <w:num w:numId="10">
    <w:abstractNumId w:val="2"/>
    <w:lvlOverride w:ilvl="0"/>
    <w:lvlOverride w:ilvl="1">
      <w:startOverride w:val="1"/>
    </w:lvlOverride>
    <w:lvlOverride w:ilvl="2"/>
    <w:lvlOverride w:ilvl="3"/>
    <w:lvlOverride w:ilvl="4"/>
    <w:lvlOverride w:ilvl="5"/>
    <w:lvlOverride w:ilvl="6"/>
    <w:lvlOverride w:ilvl="7"/>
    <w:lvlOverride w:ilvl="8"/>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1304"/>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EAA"/>
    <w:rsid w:val="00014BE7"/>
    <w:rsid w:val="00016421"/>
    <w:rsid w:val="00021748"/>
    <w:rsid w:val="000237B9"/>
    <w:rsid w:val="000348F5"/>
    <w:rsid w:val="00034F5F"/>
    <w:rsid w:val="0003584C"/>
    <w:rsid w:val="00055044"/>
    <w:rsid w:val="00061AE8"/>
    <w:rsid w:val="00065083"/>
    <w:rsid w:val="00067E4B"/>
    <w:rsid w:val="000845F0"/>
    <w:rsid w:val="00086064"/>
    <w:rsid w:val="000A6F12"/>
    <w:rsid w:val="000A7150"/>
    <w:rsid w:val="000B02E8"/>
    <w:rsid w:val="000B2BA1"/>
    <w:rsid w:val="000B4653"/>
    <w:rsid w:val="000C5EAA"/>
    <w:rsid w:val="000D6EFE"/>
    <w:rsid w:val="000E3C87"/>
    <w:rsid w:val="000F3CD3"/>
    <w:rsid w:val="00107FA5"/>
    <w:rsid w:val="00115054"/>
    <w:rsid w:val="00132825"/>
    <w:rsid w:val="00153EF2"/>
    <w:rsid w:val="00166E12"/>
    <w:rsid w:val="001A1309"/>
    <w:rsid w:val="001C04DB"/>
    <w:rsid w:val="001C1AC8"/>
    <w:rsid w:val="001C5895"/>
    <w:rsid w:val="001D1AB1"/>
    <w:rsid w:val="001D31D5"/>
    <w:rsid w:val="001E1403"/>
    <w:rsid w:val="001E4B9B"/>
    <w:rsid w:val="001E69D1"/>
    <w:rsid w:val="001F41F6"/>
    <w:rsid w:val="00213607"/>
    <w:rsid w:val="00226B28"/>
    <w:rsid w:val="00245731"/>
    <w:rsid w:val="00252317"/>
    <w:rsid w:val="00256B21"/>
    <w:rsid w:val="0025719F"/>
    <w:rsid w:val="002632FC"/>
    <w:rsid w:val="002714D2"/>
    <w:rsid w:val="0027154C"/>
    <w:rsid w:val="00277ADB"/>
    <w:rsid w:val="002A07F8"/>
    <w:rsid w:val="002A0B45"/>
    <w:rsid w:val="002B1579"/>
    <w:rsid w:val="002B6CF2"/>
    <w:rsid w:val="002E074D"/>
    <w:rsid w:val="002F4BFB"/>
    <w:rsid w:val="00314764"/>
    <w:rsid w:val="003243C9"/>
    <w:rsid w:val="00330B03"/>
    <w:rsid w:val="00330EA7"/>
    <w:rsid w:val="00334AE0"/>
    <w:rsid w:val="003370DF"/>
    <w:rsid w:val="00340CEF"/>
    <w:rsid w:val="003444D0"/>
    <w:rsid w:val="003446E4"/>
    <w:rsid w:val="00345EB2"/>
    <w:rsid w:val="0036246E"/>
    <w:rsid w:val="00372612"/>
    <w:rsid w:val="00373331"/>
    <w:rsid w:val="0037357C"/>
    <w:rsid w:val="00383EB6"/>
    <w:rsid w:val="0038614C"/>
    <w:rsid w:val="003A2015"/>
    <w:rsid w:val="003B3C77"/>
    <w:rsid w:val="003B6DDA"/>
    <w:rsid w:val="003C5046"/>
    <w:rsid w:val="004002F2"/>
    <w:rsid w:val="00402D2D"/>
    <w:rsid w:val="00421E8A"/>
    <w:rsid w:val="004330A6"/>
    <w:rsid w:val="00441A40"/>
    <w:rsid w:val="00443C8B"/>
    <w:rsid w:val="00447719"/>
    <w:rsid w:val="00453356"/>
    <w:rsid w:val="004639E2"/>
    <w:rsid w:val="00467BA2"/>
    <w:rsid w:val="00473292"/>
    <w:rsid w:val="004A0D79"/>
    <w:rsid w:val="004B386A"/>
    <w:rsid w:val="004C570F"/>
    <w:rsid w:val="004F17D3"/>
    <w:rsid w:val="004F5D4A"/>
    <w:rsid w:val="00530A37"/>
    <w:rsid w:val="00530AF7"/>
    <w:rsid w:val="005425FF"/>
    <w:rsid w:val="005469CF"/>
    <w:rsid w:val="005753BF"/>
    <w:rsid w:val="005854AB"/>
    <w:rsid w:val="00594F77"/>
    <w:rsid w:val="005B126C"/>
    <w:rsid w:val="005B5B0B"/>
    <w:rsid w:val="005C0FE5"/>
    <w:rsid w:val="005C484C"/>
    <w:rsid w:val="005C7677"/>
    <w:rsid w:val="005D173D"/>
    <w:rsid w:val="005D5F95"/>
    <w:rsid w:val="005E0353"/>
    <w:rsid w:val="005E394C"/>
    <w:rsid w:val="005E4A2D"/>
    <w:rsid w:val="005E5363"/>
    <w:rsid w:val="005F2576"/>
    <w:rsid w:val="00616D97"/>
    <w:rsid w:val="00617895"/>
    <w:rsid w:val="00630E97"/>
    <w:rsid w:val="00633515"/>
    <w:rsid w:val="00640F19"/>
    <w:rsid w:val="006A117C"/>
    <w:rsid w:val="006A1325"/>
    <w:rsid w:val="006A432E"/>
    <w:rsid w:val="006E1899"/>
    <w:rsid w:val="006F0AA7"/>
    <w:rsid w:val="00702228"/>
    <w:rsid w:val="00710EB1"/>
    <w:rsid w:val="00723CCD"/>
    <w:rsid w:val="00724433"/>
    <w:rsid w:val="007302E0"/>
    <w:rsid w:val="00730564"/>
    <w:rsid w:val="0073127D"/>
    <w:rsid w:val="0074515B"/>
    <w:rsid w:val="00747B89"/>
    <w:rsid w:val="00752F78"/>
    <w:rsid w:val="00753307"/>
    <w:rsid w:val="007568C4"/>
    <w:rsid w:val="007607D0"/>
    <w:rsid w:val="00766FAD"/>
    <w:rsid w:val="0078130F"/>
    <w:rsid w:val="007A33A8"/>
    <w:rsid w:val="007B7B63"/>
    <w:rsid w:val="007C0F16"/>
    <w:rsid w:val="007C3067"/>
    <w:rsid w:val="007C7449"/>
    <w:rsid w:val="007D7CE2"/>
    <w:rsid w:val="007E7FEA"/>
    <w:rsid w:val="007F10EC"/>
    <w:rsid w:val="007F48D0"/>
    <w:rsid w:val="008008ED"/>
    <w:rsid w:val="00800C07"/>
    <w:rsid w:val="0084501F"/>
    <w:rsid w:val="0086484F"/>
    <w:rsid w:val="0087781D"/>
    <w:rsid w:val="00882734"/>
    <w:rsid w:val="00885CFB"/>
    <w:rsid w:val="008912FD"/>
    <w:rsid w:val="008A4512"/>
    <w:rsid w:val="008A5EAA"/>
    <w:rsid w:val="008B04D1"/>
    <w:rsid w:val="008B2837"/>
    <w:rsid w:val="008E1AAC"/>
    <w:rsid w:val="008E6FDD"/>
    <w:rsid w:val="008F4E5E"/>
    <w:rsid w:val="008F7E27"/>
    <w:rsid w:val="009024D8"/>
    <w:rsid w:val="0090320C"/>
    <w:rsid w:val="0090472D"/>
    <w:rsid w:val="00935DD1"/>
    <w:rsid w:val="00936696"/>
    <w:rsid w:val="009768E6"/>
    <w:rsid w:val="009978E9"/>
    <w:rsid w:val="00997E41"/>
    <w:rsid w:val="009A10D0"/>
    <w:rsid w:val="009A2A10"/>
    <w:rsid w:val="009A3416"/>
    <w:rsid w:val="009A37B2"/>
    <w:rsid w:val="009A50EF"/>
    <w:rsid w:val="009C59D3"/>
    <w:rsid w:val="009D6F99"/>
    <w:rsid w:val="009E0D9C"/>
    <w:rsid w:val="009E65B5"/>
    <w:rsid w:val="009F2D78"/>
    <w:rsid w:val="009F5A0C"/>
    <w:rsid w:val="00A02DFA"/>
    <w:rsid w:val="00A06F36"/>
    <w:rsid w:val="00A2528E"/>
    <w:rsid w:val="00A32AD7"/>
    <w:rsid w:val="00A519EC"/>
    <w:rsid w:val="00A56EBB"/>
    <w:rsid w:val="00A619E9"/>
    <w:rsid w:val="00A636D2"/>
    <w:rsid w:val="00A76038"/>
    <w:rsid w:val="00A76414"/>
    <w:rsid w:val="00AA46DD"/>
    <w:rsid w:val="00B06CE9"/>
    <w:rsid w:val="00B13569"/>
    <w:rsid w:val="00B22A5F"/>
    <w:rsid w:val="00B24EB5"/>
    <w:rsid w:val="00B26A3D"/>
    <w:rsid w:val="00B27C99"/>
    <w:rsid w:val="00B3485E"/>
    <w:rsid w:val="00B37648"/>
    <w:rsid w:val="00B650A3"/>
    <w:rsid w:val="00B7452A"/>
    <w:rsid w:val="00B85E8E"/>
    <w:rsid w:val="00BD176B"/>
    <w:rsid w:val="00BD294F"/>
    <w:rsid w:val="00BD3C1D"/>
    <w:rsid w:val="00BE543C"/>
    <w:rsid w:val="00BE73D0"/>
    <w:rsid w:val="00C0593A"/>
    <w:rsid w:val="00C21C9A"/>
    <w:rsid w:val="00C25366"/>
    <w:rsid w:val="00C341CA"/>
    <w:rsid w:val="00C34A5A"/>
    <w:rsid w:val="00C56C0A"/>
    <w:rsid w:val="00C5735E"/>
    <w:rsid w:val="00C6206D"/>
    <w:rsid w:val="00C671D3"/>
    <w:rsid w:val="00C736C6"/>
    <w:rsid w:val="00CA0161"/>
    <w:rsid w:val="00CA6FCF"/>
    <w:rsid w:val="00CC4256"/>
    <w:rsid w:val="00CC630A"/>
    <w:rsid w:val="00CD76FC"/>
    <w:rsid w:val="00D0532D"/>
    <w:rsid w:val="00D07454"/>
    <w:rsid w:val="00D237AE"/>
    <w:rsid w:val="00D30540"/>
    <w:rsid w:val="00D37086"/>
    <w:rsid w:val="00D448DF"/>
    <w:rsid w:val="00D56605"/>
    <w:rsid w:val="00D567DB"/>
    <w:rsid w:val="00D56B91"/>
    <w:rsid w:val="00D62DB3"/>
    <w:rsid w:val="00D73A21"/>
    <w:rsid w:val="00D84AC5"/>
    <w:rsid w:val="00D946E8"/>
    <w:rsid w:val="00D94B80"/>
    <w:rsid w:val="00DB558C"/>
    <w:rsid w:val="00DC5B8A"/>
    <w:rsid w:val="00DD426A"/>
    <w:rsid w:val="00E060F6"/>
    <w:rsid w:val="00E24A8A"/>
    <w:rsid w:val="00E41533"/>
    <w:rsid w:val="00E419CB"/>
    <w:rsid w:val="00E54017"/>
    <w:rsid w:val="00E56E39"/>
    <w:rsid w:val="00E703D2"/>
    <w:rsid w:val="00E74E0F"/>
    <w:rsid w:val="00E84A1F"/>
    <w:rsid w:val="00EA2DFA"/>
    <w:rsid w:val="00EC7CF6"/>
    <w:rsid w:val="00F01276"/>
    <w:rsid w:val="00F07D40"/>
    <w:rsid w:val="00F20385"/>
    <w:rsid w:val="00F24855"/>
    <w:rsid w:val="00F47FD8"/>
    <w:rsid w:val="00F63221"/>
    <w:rsid w:val="00F8236C"/>
    <w:rsid w:val="00F849CA"/>
    <w:rsid w:val="00F860CB"/>
    <w:rsid w:val="00F8797B"/>
    <w:rsid w:val="00F96D54"/>
    <w:rsid w:val="00FA6734"/>
    <w:rsid w:val="00FB1B7D"/>
    <w:rsid w:val="00FC68F9"/>
    <w:rsid w:val="00FD4B9D"/>
    <w:rsid w:val="00FF5577"/>
    <w:rsid w:val="00FF71F5"/>
    <w:rsid w:val="00FF7F6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78B247"/>
  <w15:docId w15:val="{6C16DC66-3A85-4D1F-BF48-42F75095E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lsdException w:name="FollowedHyperlink" w:semiHidden="1" w:uiPriority="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21748"/>
    <w:pPr>
      <w:spacing w:after="280" w:line="280" w:lineRule="atLeast"/>
    </w:pPr>
    <w:rPr>
      <w:rFonts w:eastAsiaTheme="minorEastAsia" w:cs="Georgia"/>
      <w:color w:val="0D0D0D" w:themeColor="text1" w:themeTint="F2"/>
      <w:sz w:val="21"/>
      <w:szCs w:val="21"/>
    </w:rPr>
  </w:style>
  <w:style w:type="paragraph" w:styleId="Overskrift1">
    <w:name w:val="heading 1"/>
    <w:basedOn w:val="Normal"/>
    <w:next w:val="Normal"/>
    <w:link w:val="Overskrift1Tegn"/>
    <w:qFormat/>
    <w:rsid w:val="00021748"/>
    <w:pPr>
      <w:keepNext/>
      <w:outlineLvl w:val="0"/>
    </w:pPr>
    <w:rPr>
      <w:rFonts w:asciiTheme="majorHAnsi" w:hAnsiTheme="majorHAnsi" w:cs="Arial"/>
      <w:b/>
      <w:bCs/>
      <w:kern w:val="32"/>
      <w:sz w:val="24"/>
      <w:szCs w:val="32"/>
    </w:rPr>
  </w:style>
  <w:style w:type="paragraph" w:styleId="Overskrift2">
    <w:name w:val="heading 2"/>
    <w:basedOn w:val="Normal"/>
    <w:next w:val="Normal"/>
    <w:link w:val="Overskrift2Tegn"/>
    <w:qFormat/>
    <w:rsid w:val="00021748"/>
    <w:pPr>
      <w:keepNext/>
      <w:outlineLvl w:val="1"/>
    </w:pPr>
    <w:rPr>
      <w:rFonts w:asciiTheme="majorHAnsi" w:hAnsiTheme="majorHAnsi" w:cs="Arial"/>
      <w:b/>
      <w:bCs/>
      <w:iCs/>
      <w:szCs w:val="28"/>
    </w:rPr>
  </w:style>
  <w:style w:type="paragraph" w:styleId="Overskrift3">
    <w:name w:val="heading 3"/>
    <w:basedOn w:val="Normal"/>
    <w:next w:val="Normal"/>
    <w:link w:val="Overskrift3Tegn"/>
    <w:qFormat/>
    <w:rsid w:val="00021748"/>
    <w:pPr>
      <w:keepNext/>
      <w:outlineLvl w:val="2"/>
    </w:pPr>
    <w:rPr>
      <w:rFonts w:asciiTheme="majorHAnsi" w:hAnsiTheme="majorHAnsi" w:cs="Arial"/>
      <w:b/>
      <w:bCs/>
      <w:i/>
      <w:szCs w:val="26"/>
    </w:rPr>
  </w:style>
  <w:style w:type="paragraph" w:styleId="Overskrift4">
    <w:name w:val="heading 4"/>
    <w:basedOn w:val="Normal"/>
    <w:next w:val="Normal"/>
    <w:link w:val="Overskrift4Tegn"/>
    <w:qFormat/>
    <w:rsid w:val="00021748"/>
    <w:pPr>
      <w:keepNext/>
      <w:keepLines/>
      <w:outlineLvl w:val="3"/>
    </w:pPr>
    <w:rPr>
      <w:rFonts w:asciiTheme="majorHAnsi" w:eastAsiaTheme="majorEastAsia" w:hAnsiTheme="majorHAnsi" w:cstheme="majorBidi"/>
      <w:bCs/>
      <w:iCs/>
      <w:u w:val="single"/>
    </w:rPr>
  </w:style>
  <w:style w:type="paragraph" w:styleId="Overskrift5">
    <w:name w:val="heading 5"/>
    <w:basedOn w:val="Normal"/>
    <w:next w:val="Normal"/>
    <w:link w:val="Overskrift5Tegn"/>
    <w:uiPriority w:val="9"/>
    <w:semiHidden/>
    <w:qFormat/>
    <w:rsid w:val="00021748"/>
    <w:pPr>
      <w:keepNext/>
      <w:keepLines/>
      <w:spacing w:before="200"/>
      <w:outlineLvl w:val="4"/>
    </w:pPr>
    <w:rPr>
      <w:rFonts w:eastAsiaTheme="majorEastAsia" w:cstheme="majorBidi"/>
      <w:color w:val="00536F" w:themeColor="accent1" w:themeShade="7F"/>
    </w:rPr>
  </w:style>
  <w:style w:type="paragraph" w:styleId="Overskrift6">
    <w:name w:val="heading 6"/>
    <w:basedOn w:val="Normal"/>
    <w:next w:val="Normal"/>
    <w:link w:val="Overskrift6Tegn"/>
    <w:uiPriority w:val="9"/>
    <w:semiHidden/>
    <w:qFormat/>
    <w:rsid w:val="00021748"/>
    <w:pPr>
      <w:keepNext/>
      <w:keepLines/>
      <w:spacing w:before="200"/>
      <w:outlineLvl w:val="5"/>
    </w:pPr>
    <w:rPr>
      <w:rFonts w:eastAsiaTheme="majorEastAsia" w:cstheme="majorBidi"/>
      <w:i/>
      <w:iCs/>
      <w:color w:val="00536F" w:themeColor="accent1" w:themeShade="7F"/>
    </w:rPr>
  </w:style>
  <w:style w:type="paragraph" w:styleId="Overskrift7">
    <w:name w:val="heading 7"/>
    <w:basedOn w:val="Normal"/>
    <w:next w:val="Normal"/>
    <w:link w:val="Overskrift7Tegn"/>
    <w:uiPriority w:val="9"/>
    <w:semiHidden/>
    <w:qFormat/>
    <w:rsid w:val="00021748"/>
    <w:pPr>
      <w:keepNext/>
      <w:keepLines/>
      <w:spacing w:before="200"/>
      <w:outlineLvl w:val="6"/>
    </w:pPr>
    <w:rPr>
      <w:rFonts w:eastAsiaTheme="majorEastAsia" w:cstheme="majorBidi"/>
      <w:i/>
      <w:iCs/>
      <w:color w:val="404040" w:themeColor="text1" w:themeTint="BF"/>
    </w:rPr>
  </w:style>
  <w:style w:type="paragraph" w:styleId="Overskrift8">
    <w:name w:val="heading 8"/>
    <w:basedOn w:val="Normal"/>
    <w:next w:val="Normal"/>
    <w:link w:val="Overskrift8Tegn"/>
    <w:uiPriority w:val="9"/>
    <w:semiHidden/>
    <w:qFormat/>
    <w:rsid w:val="00021748"/>
    <w:pPr>
      <w:keepNext/>
      <w:keepLines/>
      <w:spacing w:before="200"/>
      <w:outlineLvl w:val="7"/>
    </w:pPr>
    <w:rPr>
      <w:rFonts w:eastAsiaTheme="majorEastAsia" w:cstheme="majorBidi"/>
      <w:color w:val="00A9E0"/>
      <w:sz w:val="20"/>
      <w:szCs w:val="20"/>
    </w:rPr>
  </w:style>
  <w:style w:type="paragraph" w:styleId="Overskrift9">
    <w:name w:val="heading 9"/>
    <w:basedOn w:val="Normal"/>
    <w:next w:val="Normal"/>
    <w:link w:val="Overskrift9Tegn"/>
    <w:uiPriority w:val="9"/>
    <w:semiHidden/>
    <w:qFormat/>
    <w:rsid w:val="00021748"/>
    <w:pPr>
      <w:keepNext/>
      <w:keepLines/>
      <w:spacing w:before="200"/>
      <w:outlineLvl w:val="8"/>
    </w:pPr>
    <w:rPr>
      <w:rFonts w:eastAsiaTheme="majorEastAsia"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semiHidden/>
    <w:unhideWhenUsed/>
    <w:rsid w:val="00021748"/>
    <w:pPr>
      <w:spacing w:line="240" w:lineRule="auto"/>
    </w:pPr>
    <w:rPr>
      <w:rFonts w:cs="Consolas"/>
    </w:rPr>
  </w:style>
  <w:style w:type="character" w:customStyle="1" w:styleId="AlmindeligtekstTegn">
    <w:name w:val="Almindelig tekst Tegn"/>
    <w:basedOn w:val="Standardskrifttypeiafsnit"/>
    <w:link w:val="Almindeligtekst"/>
    <w:uiPriority w:val="99"/>
    <w:semiHidden/>
    <w:rsid w:val="00021748"/>
    <w:rPr>
      <w:rFonts w:eastAsiaTheme="minorEastAsia" w:cs="Consolas"/>
      <w:color w:val="0D0D0D" w:themeColor="text1" w:themeTint="F2"/>
      <w:sz w:val="21"/>
      <w:szCs w:val="21"/>
    </w:rPr>
  </w:style>
  <w:style w:type="character" w:styleId="BesgtLink">
    <w:name w:val="FollowedHyperlink"/>
    <w:basedOn w:val="Standardskrifttypeiafsnit"/>
    <w:uiPriority w:val="1"/>
    <w:semiHidden/>
    <w:rsid w:val="00021748"/>
    <w:rPr>
      <w:rFonts w:ascii="Georgia" w:hAnsi="Georgia"/>
      <w:color w:val="800080"/>
      <w:u w:val="single"/>
    </w:rPr>
  </w:style>
  <w:style w:type="paragraph" w:styleId="Billedtekst">
    <w:name w:val="caption"/>
    <w:basedOn w:val="Normal"/>
    <w:next w:val="Normal"/>
    <w:uiPriority w:val="35"/>
    <w:semiHidden/>
    <w:unhideWhenUsed/>
    <w:qFormat/>
    <w:rsid w:val="00021748"/>
    <w:pPr>
      <w:spacing w:line="240" w:lineRule="auto"/>
    </w:pPr>
    <w:rPr>
      <w:b/>
      <w:bCs/>
      <w:color w:val="00A9E0" w:themeColor="accent1"/>
      <w:sz w:val="18"/>
      <w:szCs w:val="18"/>
    </w:rPr>
  </w:style>
  <w:style w:type="paragraph" w:styleId="Bloktekst">
    <w:name w:val="Block Text"/>
    <w:basedOn w:val="Normal"/>
    <w:uiPriority w:val="99"/>
    <w:semiHidden/>
    <w:unhideWhenUsed/>
    <w:rsid w:val="00021748"/>
    <w:pPr>
      <w:pBdr>
        <w:top w:val="single" w:sz="2" w:space="10" w:color="00A9E0"/>
        <w:left w:val="single" w:sz="2" w:space="10" w:color="00A9E0"/>
        <w:bottom w:val="single" w:sz="2" w:space="10" w:color="00A9E0"/>
        <w:right w:val="single" w:sz="2" w:space="10" w:color="00A9E0"/>
      </w:pBdr>
      <w:ind w:left="1152" w:right="1152"/>
    </w:pPr>
    <w:rPr>
      <w:rFonts w:cstheme="minorBidi"/>
      <w:i/>
      <w:iCs/>
      <w:color w:val="00A9E0"/>
    </w:rPr>
  </w:style>
  <w:style w:type="table" w:customStyle="1" w:styleId="Tabel-TRMtal">
    <w:name w:val="Tabel - TRM tal"/>
    <w:basedOn w:val="Tabel-Normal"/>
    <w:rsid w:val="00021748"/>
    <w:pPr>
      <w:jc w:val="right"/>
    </w:pPr>
    <w:rPr>
      <w:rFonts w:ascii="Georgia" w:eastAsia="Times New Roman" w:hAnsi="Georgia" w:cs="Times New Roman"/>
      <w:color w:val="0D0D0D" w:themeColor="text1" w:themeTint="F2"/>
      <w:sz w:val="19"/>
      <w:szCs w:val="17"/>
      <w:lang w:eastAsia="da-DK"/>
    </w:rPr>
    <w:tblPr>
      <w:tblStyleRowBandSize w:val="1"/>
      <w:tblStyleColBandSize w:val="1"/>
      <w:tblInd w:w="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8" w:type="dxa"/>
        <w:left w:w="57" w:type="dxa"/>
        <w:bottom w:w="28" w:type="dxa"/>
        <w:right w:w="57" w:type="dxa"/>
      </w:tblCellMar>
    </w:tblPr>
    <w:tcPr>
      <w:shd w:val="clear" w:color="auto" w:fill="D2EAF8"/>
    </w:tcPr>
    <w:tblStylePr w:type="firstRow">
      <w:pPr>
        <w:wordWrap/>
        <w:ind w:leftChars="0" w:left="0" w:rightChars="0" w:right="0"/>
        <w:jc w:val="center"/>
      </w:pPr>
      <w:rPr>
        <w:rFonts w:ascii="Georgia" w:hAnsi="Georgia"/>
        <w:b/>
        <w:i w:val="0"/>
        <w:sz w:val="19"/>
      </w:rPr>
      <w:tblPr/>
      <w:tcPr>
        <w:shd w:val="clear" w:color="auto" w:fill="8DCBEC"/>
      </w:tcPr>
    </w:tblStylePr>
    <w:tblStylePr w:type="lastRow">
      <w:pPr>
        <w:wordWrap/>
        <w:ind w:rightChars="0" w:right="0"/>
        <w:jc w:val="right"/>
      </w:pPr>
      <w:rPr>
        <w:rFonts w:ascii="Georgia" w:hAnsi="Georgia"/>
        <w:b/>
        <w:sz w:val="19"/>
      </w:rPr>
      <w:tblPr/>
      <w:tcPr>
        <w:shd w:val="clear" w:color="auto" w:fill="8DCBEC"/>
      </w:tcPr>
    </w:tblStylePr>
    <w:tblStylePr w:type="firstCol">
      <w:pPr>
        <w:jc w:val="left"/>
      </w:pPr>
      <w:rPr>
        <w:rFonts w:ascii="Georgia" w:hAnsi="Georgia"/>
        <w:b/>
        <w:sz w:val="19"/>
      </w:rPr>
      <w:tblPr/>
      <w:tcPr>
        <w:shd w:val="clear" w:color="auto" w:fill="8DCBEC"/>
      </w:tcPr>
    </w:tblStylePr>
    <w:tblStylePr w:type="lastCol">
      <w:rPr>
        <w:b/>
      </w:rPr>
      <w:tblPr/>
      <w:tcPr>
        <w:shd w:val="clear" w:color="auto" w:fill="8DCBEC"/>
      </w:tcPr>
    </w:tblStylePr>
    <w:tblStylePr w:type="band2Vert">
      <w:tblPr>
        <w:tblCellMar>
          <w:top w:w="28" w:type="dxa"/>
          <w:left w:w="57" w:type="dxa"/>
          <w:bottom w:w="28" w:type="dxa"/>
          <w:right w:w="57" w:type="dxa"/>
        </w:tblCellMar>
      </w:tblPr>
      <w:tcPr>
        <w:shd w:val="clear" w:color="auto" w:fill="D2EAF8" w:themeFill="text2"/>
      </w:tcPr>
    </w:tblStylePr>
    <w:tblStylePr w:type="band2Horz">
      <w:tblPr/>
      <w:tcPr>
        <w:shd w:val="clear" w:color="auto" w:fill="D2EAF8" w:themeFill="text2"/>
      </w:tcPr>
    </w:tblStylePr>
  </w:style>
  <w:style w:type="paragraph" w:styleId="Brdtekst">
    <w:name w:val="Body Text"/>
    <w:basedOn w:val="Normal"/>
    <w:link w:val="BrdtekstTegn"/>
    <w:uiPriority w:val="99"/>
    <w:semiHidden/>
    <w:unhideWhenUsed/>
    <w:rsid w:val="00021748"/>
    <w:pPr>
      <w:spacing w:after="120"/>
    </w:pPr>
  </w:style>
  <w:style w:type="character" w:customStyle="1" w:styleId="BrdtekstTegn">
    <w:name w:val="Brødtekst Tegn"/>
    <w:basedOn w:val="Standardskrifttypeiafsnit"/>
    <w:link w:val="Brdtekst"/>
    <w:uiPriority w:val="99"/>
    <w:semiHidden/>
    <w:rsid w:val="00021748"/>
    <w:rPr>
      <w:rFonts w:eastAsiaTheme="minorEastAsia" w:cs="Georgia"/>
      <w:color w:val="0D0D0D" w:themeColor="text1" w:themeTint="F2"/>
      <w:sz w:val="21"/>
      <w:szCs w:val="21"/>
    </w:rPr>
  </w:style>
  <w:style w:type="paragraph" w:styleId="Citat">
    <w:name w:val="Quote"/>
    <w:basedOn w:val="Normal"/>
    <w:next w:val="Normal"/>
    <w:link w:val="CitatTegn"/>
    <w:uiPriority w:val="29"/>
    <w:semiHidden/>
    <w:rsid w:val="00021748"/>
    <w:rPr>
      <w:i/>
      <w:iCs/>
      <w:color w:val="000000" w:themeColor="text1"/>
    </w:rPr>
  </w:style>
  <w:style w:type="character" w:customStyle="1" w:styleId="CitatTegn">
    <w:name w:val="Citat Tegn"/>
    <w:basedOn w:val="Standardskrifttypeiafsnit"/>
    <w:link w:val="Citat"/>
    <w:uiPriority w:val="29"/>
    <w:semiHidden/>
    <w:rsid w:val="00021748"/>
    <w:rPr>
      <w:rFonts w:eastAsiaTheme="minorEastAsia" w:cs="Georgia"/>
      <w:i/>
      <w:iCs/>
      <w:color w:val="000000" w:themeColor="text1"/>
      <w:sz w:val="21"/>
      <w:szCs w:val="21"/>
    </w:rPr>
  </w:style>
  <w:style w:type="character" w:styleId="Fremhv">
    <w:name w:val="Emphasis"/>
    <w:basedOn w:val="Standardskrifttypeiafsnit"/>
    <w:uiPriority w:val="20"/>
    <w:semiHidden/>
    <w:rsid w:val="00021748"/>
    <w:rPr>
      <w:i/>
      <w:iCs/>
    </w:rPr>
  </w:style>
  <w:style w:type="character" w:styleId="Hyperlink">
    <w:name w:val="Hyperlink"/>
    <w:basedOn w:val="Standardskrifttypeiafsnit"/>
    <w:uiPriority w:val="1"/>
    <w:semiHidden/>
    <w:rsid w:val="00021748"/>
    <w:rPr>
      <w:rFonts w:ascii="Georgia" w:hAnsi="Georgia"/>
      <w:color w:val="0000FF"/>
      <w:u w:val="single"/>
    </w:rPr>
  </w:style>
  <w:style w:type="paragraph" w:styleId="Indholdsfortegnelse1">
    <w:name w:val="toc 1"/>
    <w:basedOn w:val="Normal"/>
    <w:next w:val="Normal"/>
    <w:autoRedefine/>
    <w:uiPriority w:val="39"/>
    <w:semiHidden/>
    <w:unhideWhenUsed/>
    <w:rsid w:val="00021748"/>
    <w:pPr>
      <w:spacing w:after="100"/>
    </w:pPr>
  </w:style>
  <w:style w:type="character" w:styleId="Kraftigfremhvning">
    <w:name w:val="Intense Emphasis"/>
    <w:basedOn w:val="Standardskrifttypeiafsnit"/>
    <w:uiPriority w:val="21"/>
    <w:semiHidden/>
    <w:rsid w:val="00021748"/>
    <w:rPr>
      <w:b/>
      <w:bCs/>
      <w:i/>
      <w:iCs/>
      <w:color w:val="00A9E0" w:themeColor="accent1"/>
    </w:rPr>
  </w:style>
  <w:style w:type="table" w:customStyle="1" w:styleId="Tabel-TRMtekst">
    <w:name w:val="Tabel - TRM tekst"/>
    <w:basedOn w:val="Tabel-Gitter"/>
    <w:uiPriority w:val="99"/>
    <w:rsid w:val="000217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8" w:type="dxa"/>
        <w:left w:w="57" w:type="dxa"/>
        <w:bottom w:w="28" w:type="dxa"/>
        <w:right w:w="57" w:type="dxa"/>
      </w:tblCellMar>
    </w:tblPr>
    <w:tcPr>
      <w:shd w:val="clear" w:color="auto" w:fill="D2EAF8" w:themeFill="text2"/>
    </w:tcPr>
    <w:tblStylePr w:type="firstRow">
      <w:pPr>
        <w:wordWrap/>
        <w:ind w:leftChars="0" w:left="0" w:rightChars="0" w:right="0"/>
        <w:jc w:val="left"/>
      </w:pPr>
      <w:rPr>
        <w:rFonts w:ascii="Georgia" w:hAnsi="Georgia"/>
        <w:b/>
      </w:rPr>
      <w:tblPr/>
      <w:tcPr>
        <w:shd w:val="clear" w:color="auto" w:fill="8DCBEC"/>
      </w:tcPr>
    </w:tblStylePr>
    <w:tblStylePr w:type="lastRow">
      <w:rPr>
        <w:b/>
      </w:rPr>
      <w:tblPr/>
      <w:tcPr>
        <w:shd w:val="clear" w:color="auto" w:fill="8DCBEC"/>
      </w:tcPr>
    </w:tblStylePr>
    <w:tblStylePr w:type="firstCol">
      <w:pPr>
        <w:wordWrap/>
        <w:jc w:val="left"/>
      </w:pPr>
      <w:rPr>
        <w:b/>
      </w:rPr>
      <w:tblPr/>
      <w:tcPr>
        <w:shd w:val="clear" w:color="auto" w:fill="8DCBEC"/>
      </w:tcPr>
    </w:tblStylePr>
    <w:tblStylePr w:type="lastCol">
      <w:rPr>
        <w:b/>
      </w:rPr>
      <w:tblPr/>
      <w:tcPr>
        <w:shd w:val="clear" w:color="auto" w:fill="8DCBEC"/>
      </w:tcPr>
    </w:tblStylePr>
    <w:tblStylePr w:type="band1Vert">
      <w:tblPr/>
      <w:tcPr>
        <w:shd w:val="clear" w:color="auto" w:fill="D2EAF8" w:themeFill="text2"/>
      </w:tcPr>
    </w:tblStylePr>
    <w:tblStylePr w:type="band2Vert">
      <w:tblPr/>
      <w:tcPr>
        <w:shd w:val="clear" w:color="auto" w:fill="D2EAF8" w:themeFill="text2"/>
      </w:tcPr>
    </w:tblStylePr>
    <w:tblStylePr w:type="band1Horz">
      <w:tblPr/>
      <w:tcPr>
        <w:shd w:val="clear" w:color="auto" w:fill="D2EAF8" w:themeFill="text2"/>
      </w:tcPr>
    </w:tblStylePr>
    <w:tblStylePr w:type="band2Horz">
      <w:tblPr/>
      <w:tcPr>
        <w:shd w:val="clear" w:color="auto" w:fill="D2EAF8" w:themeFill="text2"/>
      </w:tcPr>
    </w:tblStylePr>
  </w:style>
  <w:style w:type="paragraph" w:styleId="Listeafsnit">
    <w:name w:val="List Paragraph"/>
    <w:basedOn w:val="Normal"/>
    <w:uiPriority w:val="34"/>
    <w:qFormat/>
    <w:rsid w:val="00021748"/>
    <w:pPr>
      <w:contextualSpacing/>
    </w:pPr>
  </w:style>
  <w:style w:type="table" w:styleId="Lysskygge">
    <w:name w:val="Light Shading"/>
    <w:basedOn w:val="Tabel-Normal"/>
    <w:uiPriority w:val="60"/>
    <w:rsid w:val="00021748"/>
    <w:rPr>
      <w:rFonts w:ascii="Georgia" w:eastAsiaTheme="minorEastAsia" w:hAnsi="Georgia" w:cs="Georgia"/>
      <w:color w:val="000000" w:themeColor="text1" w:themeShade="BF"/>
      <w:sz w:val="21"/>
      <w:szCs w:val="2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arkeringsbobletekst">
    <w:name w:val="Balloon Text"/>
    <w:basedOn w:val="Normal"/>
    <w:link w:val="MarkeringsbobletekstTegn"/>
    <w:uiPriority w:val="99"/>
    <w:semiHidden/>
    <w:unhideWhenUsed/>
    <w:rsid w:val="00021748"/>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21748"/>
    <w:rPr>
      <w:rFonts w:ascii="Tahoma" w:eastAsiaTheme="minorEastAsia" w:hAnsi="Tahoma" w:cs="Tahoma"/>
      <w:color w:val="0D0D0D" w:themeColor="text1" w:themeTint="F2"/>
      <w:sz w:val="16"/>
      <w:szCs w:val="16"/>
    </w:rPr>
  </w:style>
  <w:style w:type="paragraph" w:customStyle="1" w:styleId="Normal-Afdeling">
    <w:name w:val="Normal - Afdeling"/>
    <w:basedOn w:val="Normal"/>
    <w:semiHidden/>
    <w:rsid w:val="00021748"/>
    <w:pPr>
      <w:spacing w:line="190" w:lineRule="atLeast"/>
    </w:pPr>
    <w:rPr>
      <w:caps/>
      <w:color w:val="00A9E0"/>
      <w:sz w:val="15"/>
    </w:rPr>
  </w:style>
  <w:style w:type="paragraph" w:customStyle="1" w:styleId="Normal-Emne">
    <w:name w:val="Normal - Emne"/>
    <w:basedOn w:val="Normal"/>
    <w:link w:val="Normal-EmneChar"/>
    <w:semiHidden/>
    <w:rsid w:val="00021748"/>
    <w:pPr>
      <w:spacing w:before="20"/>
    </w:pPr>
    <w:rPr>
      <w:caps/>
      <w:color w:val="F9BA04"/>
      <w:sz w:val="40"/>
    </w:rPr>
  </w:style>
  <w:style w:type="character" w:customStyle="1" w:styleId="Normal-EmneChar">
    <w:name w:val="Normal - Emne Char"/>
    <w:basedOn w:val="Standardskrifttypeiafsnit"/>
    <w:link w:val="Normal-Emne"/>
    <w:semiHidden/>
    <w:rsid w:val="00021748"/>
    <w:rPr>
      <w:rFonts w:eastAsiaTheme="minorEastAsia" w:cs="Georgia"/>
      <w:caps/>
      <w:color w:val="F9BA04"/>
      <w:sz w:val="40"/>
      <w:szCs w:val="21"/>
    </w:rPr>
  </w:style>
  <w:style w:type="paragraph" w:customStyle="1" w:styleId="Normaludenluft">
    <w:name w:val="Normal uden luft"/>
    <w:basedOn w:val="Normal"/>
    <w:uiPriority w:val="1"/>
    <w:qFormat/>
    <w:rsid w:val="00021748"/>
    <w:pPr>
      <w:spacing w:after="0"/>
    </w:pPr>
  </w:style>
  <w:style w:type="paragraph" w:customStyle="1" w:styleId="Normal-Punktliste">
    <w:name w:val="Normal - Punktliste"/>
    <w:basedOn w:val="Normal"/>
    <w:uiPriority w:val="2"/>
    <w:qFormat/>
    <w:rsid w:val="00021748"/>
    <w:pPr>
      <w:numPr>
        <w:numId w:val="1"/>
      </w:numPr>
    </w:pPr>
  </w:style>
  <w:style w:type="paragraph" w:customStyle="1" w:styleId="Normal-Talliste">
    <w:name w:val="Normal - Talliste"/>
    <w:basedOn w:val="Normal"/>
    <w:uiPriority w:val="2"/>
    <w:qFormat/>
    <w:rsid w:val="00021748"/>
    <w:pPr>
      <w:numPr>
        <w:numId w:val="2"/>
      </w:numPr>
      <w:tabs>
        <w:tab w:val="left" w:pos="567"/>
      </w:tabs>
    </w:pPr>
  </w:style>
  <w:style w:type="character" w:customStyle="1" w:styleId="Overskrift1Tegn">
    <w:name w:val="Overskrift 1 Tegn"/>
    <w:basedOn w:val="Standardskrifttypeiafsnit"/>
    <w:link w:val="Overskrift1"/>
    <w:rsid w:val="00021748"/>
    <w:rPr>
      <w:rFonts w:asciiTheme="majorHAnsi" w:eastAsiaTheme="minorEastAsia" w:hAnsiTheme="majorHAnsi" w:cs="Arial"/>
      <w:b/>
      <w:bCs/>
      <w:color w:val="0D0D0D" w:themeColor="text1" w:themeTint="F2"/>
      <w:kern w:val="32"/>
      <w:sz w:val="24"/>
      <w:szCs w:val="32"/>
    </w:rPr>
  </w:style>
  <w:style w:type="paragraph" w:styleId="Overskrift">
    <w:name w:val="TOC Heading"/>
    <w:basedOn w:val="Overskrift1"/>
    <w:next w:val="Normal"/>
    <w:uiPriority w:val="39"/>
    <w:semiHidden/>
    <w:unhideWhenUsed/>
    <w:qFormat/>
    <w:rsid w:val="00021748"/>
    <w:pPr>
      <w:outlineLvl w:val="9"/>
    </w:pPr>
  </w:style>
  <w:style w:type="character" w:customStyle="1" w:styleId="Overskrift2Tegn">
    <w:name w:val="Overskrift 2 Tegn"/>
    <w:basedOn w:val="Standardskrifttypeiafsnit"/>
    <w:link w:val="Overskrift2"/>
    <w:rsid w:val="00021748"/>
    <w:rPr>
      <w:rFonts w:asciiTheme="majorHAnsi" w:eastAsiaTheme="minorEastAsia" w:hAnsiTheme="majorHAnsi" w:cs="Arial"/>
      <w:b/>
      <w:bCs/>
      <w:iCs/>
      <w:color w:val="0D0D0D" w:themeColor="text1" w:themeTint="F2"/>
      <w:sz w:val="21"/>
      <w:szCs w:val="28"/>
    </w:rPr>
  </w:style>
  <w:style w:type="character" w:customStyle="1" w:styleId="Overskrift3Tegn">
    <w:name w:val="Overskrift 3 Tegn"/>
    <w:basedOn w:val="Standardskrifttypeiafsnit"/>
    <w:link w:val="Overskrift3"/>
    <w:rsid w:val="00021748"/>
    <w:rPr>
      <w:rFonts w:asciiTheme="majorHAnsi" w:eastAsiaTheme="minorEastAsia" w:hAnsiTheme="majorHAnsi" w:cs="Arial"/>
      <w:b/>
      <w:bCs/>
      <w:i/>
      <w:color w:val="0D0D0D" w:themeColor="text1" w:themeTint="F2"/>
      <w:sz w:val="21"/>
      <w:szCs w:val="26"/>
    </w:rPr>
  </w:style>
  <w:style w:type="character" w:customStyle="1" w:styleId="Overskrift4Tegn">
    <w:name w:val="Overskrift 4 Tegn"/>
    <w:basedOn w:val="Standardskrifttypeiafsnit"/>
    <w:link w:val="Overskrift4"/>
    <w:rsid w:val="00021748"/>
    <w:rPr>
      <w:rFonts w:asciiTheme="majorHAnsi" w:eastAsiaTheme="majorEastAsia" w:hAnsiTheme="majorHAnsi" w:cstheme="majorBidi"/>
      <w:bCs/>
      <w:iCs/>
      <w:color w:val="0D0D0D" w:themeColor="text1" w:themeTint="F2"/>
      <w:sz w:val="21"/>
      <w:szCs w:val="21"/>
      <w:u w:val="single"/>
    </w:rPr>
  </w:style>
  <w:style w:type="character" w:customStyle="1" w:styleId="Overskrift5Tegn">
    <w:name w:val="Overskrift 5 Tegn"/>
    <w:basedOn w:val="Standardskrifttypeiafsnit"/>
    <w:link w:val="Overskrift5"/>
    <w:uiPriority w:val="9"/>
    <w:semiHidden/>
    <w:rsid w:val="00021748"/>
    <w:rPr>
      <w:rFonts w:eastAsiaTheme="majorEastAsia" w:cstheme="majorBidi"/>
      <w:color w:val="00536F" w:themeColor="accent1" w:themeShade="7F"/>
      <w:sz w:val="21"/>
      <w:szCs w:val="21"/>
    </w:rPr>
  </w:style>
  <w:style w:type="character" w:customStyle="1" w:styleId="Overskrift6Tegn">
    <w:name w:val="Overskrift 6 Tegn"/>
    <w:basedOn w:val="Standardskrifttypeiafsnit"/>
    <w:link w:val="Overskrift6"/>
    <w:uiPriority w:val="9"/>
    <w:semiHidden/>
    <w:rsid w:val="00021748"/>
    <w:rPr>
      <w:rFonts w:eastAsiaTheme="majorEastAsia" w:cstheme="majorBidi"/>
      <w:i/>
      <w:iCs/>
      <w:color w:val="00536F" w:themeColor="accent1" w:themeShade="7F"/>
      <w:sz w:val="21"/>
      <w:szCs w:val="21"/>
    </w:rPr>
  </w:style>
  <w:style w:type="character" w:customStyle="1" w:styleId="Overskrift7Tegn">
    <w:name w:val="Overskrift 7 Tegn"/>
    <w:basedOn w:val="Standardskrifttypeiafsnit"/>
    <w:link w:val="Overskrift7"/>
    <w:uiPriority w:val="9"/>
    <w:semiHidden/>
    <w:rsid w:val="00021748"/>
    <w:rPr>
      <w:rFonts w:eastAsiaTheme="majorEastAsia" w:cstheme="majorBidi"/>
      <w:i/>
      <w:iCs/>
      <w:color w:val="404040" w:themeColor="text1" w:themeTint="BF"/>
      <w:sz w:val="21"/>
      <w:szCs w:val="21"/>
    </w:rPr>
  </w:style>
  <w:style w:type="character" w:customStyle="1" w:styleId="Overskrift8Tegn">
    <w:name w:val="Overskrift 8 Tegn"/>
    <w:basedOn w:val="Standardskrifttypeiafsnit"/>
    <w:link w:val="Overskrift8"/>
    <w:uiPriority w:val="9"/>
    <w:semiHidden/>
    <w:rsid w:val="00021748"/>
    <w:rPr>
      <w:rFonts w:eastAsiaTheme="majorEastAsia" w:cstheme="majorBidi"/>
      <w:color w:val="00A9E0"/>
      <w:sz w:val="20"/>
      <w:szCs w:val="20"/>
    </w:rPr>
  </w:style>
  <w:style w:type="character" w:customStyle="1" w:styleId="Overskrift9Tegn">
    <w:name w:val="Overskrift 9 Tegn"/>
    <w:basedOn w:val="Standardskrifttypeiafsnit"/>
    <w:link w:val="Overskrift9"/>
    <w:uiPriority w:val="9"/>
    <w:semiHidden/>
    <w:rsid w:val="00021748"/>
    <w:rPr>
      <w:rFonts w:eastAsiaTheme="majorEastAsia" w:cstheme="majorBidi"/>
      <w:i/>
      <w:iCs/>
      <w:color w:val="404040" w:themeColor="text1" w:themeTint="BF"/>
      <w:sz w:val="20"/>
      <w:szCs w:val="20"/>
    </w:rPr>
  </w:style>
  <w:style w:type="paragraph" w:customStyle="1" w:styleId="Rammeindhold">
    <w:name w:val="Rammeindhold"/>
    <w:basedOn w:val="Brdtekst"/>
    <w:uiPriority w:val="2"/>
    <w:semiHidden/>
    <w:rsid w:val="00021748"/>
    <w:pPr>
      <w:suppressAutoHyphens/>
    </w:pPr>
    <w:rPr>
      <w:rFonts w:eastAsia="Times New Roman"/>
      <w:szCs w:val="24"/>
      <w:lang w:eastAsia="ar-SA"/>
    </w:rPr>
  </w:style>
  <w:style w:type="paragraph" w:styleId="Sidefod">
    <w:name w:val="footer"/>
    <w:basedOn w:val="Normal"/>
    <w:link w:val="SidefodTegn"/>
    <w:semiHidden/>
    <w:rsid w:val="00021748"/>
    <w:pPr>
      <w:tabs>
        <w:tab w:val="center" w:pos="4819"/>
        <w:tab w:val="right" w:pos="9638"/>
      </w:tabs>
      <w:spacing w:line="190" w:lineRule="atLeast"/>
      <w:ind w:right="-2268"/>
    </w:pPr>
    <w:rPr>
      <w:sz w:val="15"/>
    </w:rPr>
  </w:style>
  <w:style w:type="character" w:customStyle="1" w:styleId="SidefodTegn">
    <w:name w:val="Sidefod Tegn"/>
    <w:basedOn w:val="Standardskrifttypeiafsnit"/>
    <w:link w:val="Sidefod"/>
    <w:semiHidden/>
    <w:rsid w:val="00021748"/>
    <w:rPr>
      <w:rFonts w:eastAsiaTheme="minorEastAsia" w:cs="Georgia"/>
      <w:color w:val="0D0D0D" w:themeColor="text1" w:themeTint="F2"/>
      <w:sz w:val="15"/>
      <w:szCs w:val="21"/>
    </w:rPr>
  </w:style>
  <w:style w:type="paragraph" w:styleId="Sidehoved">
    <w:name w:val="header"/>
    <w:basedOn w:val="Normal"/>
    <w:link w:val="SidehovedTegn"/>
    <w:semiHidden/>
    <w:rsid w:val="00021748"/>
    <w:pPr>
      <w:tabs>
        <w:tab w:val="center" w:pos="4819"/>
        <w:tab w:val="right" w:pos="9638"/>
      </w:tabs>
    </w:pPr>
  </w:style>
  <w:style w:type="character" w:customStyle="1" w:styleId="SidehovedTegn">
    <w:name w:val="Sidehoved Tegn"/>
    <w:basedOn w:val="Standardskrifttypeiafsnit"/>
    <w:link w:val="Sidehoved"/>
    <w:semiHidden/>
    <w:rsid w:val="00021748"/>
    <w:rPr>
      <w:rFonts w:eastAsiaTheme="minorEastAsia" w:cs="Georgia"/>
      <w:color w:val="0D0D0D" w:themeColor="text1" w:themeTint="F2"/>
      <w:sz w:val="21"/>
      <w:szCs w:val="21"/>
    </w:rPr>
  </w:style>
  <w:style w:type="character" w:styleId="Sidetal">
    <w:name w:val="page number"/>
    <w:basedOn w:val="Standardskrifttypeiafsnit"/>
    <w:semiHidden/>
    <w:rsid w:val="00021748"/>
    <w:rPr>
      <w:rFonts w:ascii="Georgia" w:hAnsi="Georgia"/>
      <w:sz w:val="21"/>
    </w:rPr>
  </w:style>
  <w:style w:type="character" w:styleId="Strk">
    <w:name w:val="Strong"/>
    <w:basedOn w:val="Standardskrifttypeiafsnit"/>
    <w:uiPriority w:val="22"/>
    <w:semiHidden/>
    <w:rsid w:val="00021748"/>
    <w:rPr>
      <w:b/>
      <w:bCs/>
    </w:rPr>
  </w:style>
  <w:style w:type="paragraph" w:styleId="Strktcitat">
    <w:name w:val="Intense Quote"/>
    <w:basedOn w:val="Normal"/>
    <w:next w:val="Normal"/>
    <w:link w:val="StrktcitatTegn"/>
    <w:uiPriority w:val="30"/>
    <w:semiHidden/>
    <w:rsid w:val="00021748"/>
    <w:pPr>
      <w:pBdr>
        <w:bottom w:val="single" w:sz="4" w:space="4" w:color="00A9E0"/>
      </w:pBdr>
      <w:spacing w:before="200"/>
      <w:ind w:left="936" w:right="936"/>
    </w:pPr>
    <w:rPr>
      <w:b/>
      <w:bCs/>
      <w:i/>
      <w:iCs/>
      <w:color w:val="00A9E0"/>
    </w:rPr>
  </w:style>
  <w:style w:type="character" w:customStyle="1" w:styleId="StrktcitatTegn">
    <w:name w:val="Stærkt citat Tegn"/>
    <w:basedOn w:val="Standardskrifttypeiafsnit"/>
    <w:link w:val="Strktcitat"/>
    <w:uiPriority w:val="30"/>
    <w:semiHidden/>
    <w:rsid w:val="00021748"/>
    <w:rPr>
      <w:rFonts w:eastAsiaTheme="minorEastAsia" w:cs="Georgia"/>
      <w:b/>
      <w:bCs/>
      <w:i/>
      <w:iCs/>
      <w:color w:val="00A9E0"/>
      <w:sz w:val="21"/>
      <w:szCs w:val="21"/>
    </w:rPr>
  </w:style>
  <w:style w:type="character" w:styleId="Svagfremhvning">
    <w:name w:val="Subtle Emphasis"/>
    <w:basedOn w:val="Standardskrifttypeiafsnit"/>
    <w:uiPriority w:val="19"/>
    <w:semiHidden/>
    <w:rsid w:val="00021748"/>
    <w:rPr>
      <w:i/>
      <w:iCs/>
      <w:color w:val="808080" w:themeColor="text1" w:themeTint="7F"/>
    </w:rPr>
  </w:style>
  <w:style w:type="table" w:styleId="Tabel-Gitter">
    <w:name w:val="Table Grid"/>
    <w:basedOn w:val="Tabel-Normal"/>
    <w:rsid w:val="00021748"/>
    <w:pPr>
      <w:spacing w:line="280" w:lineRule="atLeast"/>
      <w:jc w:val="right"/>
    </w:pPr>
    <w:rPr>
      <w:rFonts w:ascii="Georgia" w:eastAsia="Times New Roman" w:hAnsi="Georgia" w:cs="Times New Roman"/>
      <w:color w:val="0D0D0D" w:themeColor="text1" w:themeTint="F2"/>
      <w:sz w:val="19"/>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left"/>
      </w:pPr>
      <w:rPr>
        <w:rFonts w:ascii="Georgia" w:hAnsi="Georgia"/>
      </w:rPr>
    </w:tblStylePr>
    <w:tblStylePr w:type="firstCol">
      <w:pPr>
        <w:wordWrap/>
        <w:jc w:val="left"/>
      </w:pPr>
    </w:tblStylePr>
  </w:style>
  <w:style w:type="table" w:customStyle="1" w:styleId="Tabel-Gitter0TRM">
    <w:name w:val="Tabel - Gitter 0 TRM"/>
    <w:basedOn w:val="Tabel-Normal"/>
    <w:rsid w:val="00021748"/>
    <w:pPr>
      <w:jc w:val="right"/>
    </w:pPr>
    <w:rPr>
      <w:rFonts w:ascii="Georgia" w:eastAsia="Times New Roman" w:hAnsi="Georgia" w:cs="Times New Roman"/>
      <w:color w:val="0D0D0D" w:themeColor="text1" w:themeTint="F2"/>
      <w:sz w:val="19"/>
      <w:szCs w:val="17"/>
      <w:lang w:eastAsia="da-DK"/>
    </w:rPr>
    <w:tblPr>
      <w:tblInd w:w="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left w:w="57" w:type="dxa"/>
        <w:bottom w:w="57" w:type="dxa"/>
        <w:right w:w="57" w:type="dxa"/>
      </w:tblCellMar>
    </w:tblPr>
    <w:tcPr>
      <w:shd w:val="clear" w:color="auto" w:fill="D2EAF8"/>
    </w:tcPr>
    <w:tblStylePr w:type="firstRow">
      <w:pPr>
        <w:wordWrap/>
        <w:ind w:leftChars="0" w:left="0" w:rightChars="0" w:right="0"/>
        <w:jc w:val="center"/>
      </w:pPr>
      <w:rPr>
        <w:rFonts w:ascii="Georgia" w:hAnsi="Georgia"/>
        <w:b/>
        <w:i w:val="0"/>
        <w:sz w:val="19"/>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8DCBEC"/>
      </w:tcPr>
    </w:tblStylePr>
    <w:tblStylePr w:type="lastRow">
      <w:rPr>
        <w:rFonts w:ascii="Georgia" w:hAnsi="Georgia"/>
        <w:b w:val="0"/>
        <w:sz w:val="19"/>
      </w:rPr>
    </w:tblStylePr>
    <w:tblStylePr w:type="firstCol">
      <w:pPr>
        <w:jc w:val="left"/>
      </w:pPr>
      <w:rPr>
        <w:rFonts w:ascii="Georgia" w:hAnsi="Georgia"/>
        <w:sz w:val="19"/>
      </w:rPr>
    </w:tblStylePr>
  </w:style>
  <w:style w:type="paragraph" w:customStyle="1" w:styleId="Tabel-Tekstformatering">
    <w:name w:val="Tabel - Tekstformatering"/>
    <w:basedOn w:val="Normal"/>
    <w:semiHidden/>
    <w:qFormat/>
    <w:rsid w:val="00021748"/>
    <w:pPr>
      <w:spacing w:line="240" w:lineRule="auto"/>
    </w:pPr>
    <w:rPr>
      <w:sz w:val="19"/>
      <w:szCs w:val="17"/>
    </w:rPr>
  </w:style>
  <w:style w:type="paragraph" w:customStyle="1" w:styleId="Template-Adresse">
    <w:name w:val="Template - Adresse"/>
    <w:basedOn w:val="Normaludenluft"/>
    <w:semiHidden/>
    <w:rsid w:val="00021748"/>
    <w:pPr>
      <w:tabs>
        <w:tab w:val="left" w:pos="709"/>
      </w:tabs>
      <w:spacing w:line="220" w:lineRule="atLeast"/>
      <w:ind w:left="85"/>
    </w:pPr>
    <w:rPr>
      <w:noProof/>
      <w:sz w:val="16"/>
      <w:lang w:eastAsia="da-DK"/>
    </w:rPr>
  </w:style>
  <w:style w:type="paragraph" w:customStyle="1" w:styleId="Template-Dokumenttype">
    <w:name w:val="Template - Dokumenttype"/>
    <w:basedOn w:val="Normaludenluft"/>
    <w:link w:val="Template-DokumenttypeTegn"/>
    <w:uiPriority w:val="9"/>
    <w:semiHidden/>
    <w:rsid w:val="00021748"/>
    <w:pPr>
      <w:spacing w:line="240" w:lineRule="exact"/>
    </w:pPr>
    <w:rPr>
      <w:rFonts w:ascii="Verdana" w:hAnsi="Verdana"/>
      <w:b/>
      <w:caps/>
      <w:color w:val="auto"/>
      <w:sz w:val="24"/>
    </w:rPr>
  </w:style>
  <w:style w:type="character" w:customStyle="1" w:styleId="Template-DokumenttypeTegn">
    <w:name w:val="Template - Dokumenttype Tegn"/>
    <w:basedOn w:val="Standardskrifttypeiafsnit"/>
    <w:link w:val="Template-Dokumenttype"/>
    <w:uiPriority w:val="9"/>
    <w:semiHidden/>
    <w:rsid w:val="00021748"/>
    <w:rPr>
      <w:rFonts w:ascii="Verdana" w:eastAsiaTheme="minorEastAsia" w:hAnsi="Verdana" w:cs="Georgia"/>
      <w:b/>
      <w:caps/>
      <w:sz w:val="24"/>
      <w:szCs w:val="21"/>
    </w:rPr>
  </w:style>
  <w:style w:type="paragraph" w:styleId="Titel">
    <w:name w:val="Title"/>
    <w:basedOn w:val="Normal"/>
    <w:next w:val="Normal"/>
    <w:link w:val="TitelTegn"/>
    <w:uiPriority w:val="10"/>
    <w:semiHidden/>
    <w:rsid w:val="00021748"/>
    <w:pPr>
      <w:pBdr>
        <w:bottom w:val="single" w:sz="8" w:space="4" w:color="00A9E0" w:themeColor="accent1"/>
      </w:pBdr>
      <w:spacing w:after="300" w:line="240" w:lineRule="auto"/>
      <w:contextualSpacing/>
    </w:pPr>
    <w:rPr>
      <w:rFonts w:asciiTheme="majorHAnsi" w:eastAsiaTheme="majorEastAsia" w:hAnsiTheme="majorHAnsi" w:cstheme="majorBidi"/>
      <w:color w:val="6EBBE8" w:themeColor="text2" w:themeShade="BF"/>
      <w:spacing w:val="5"/>
      <w:kern w:val="28"/>
      <w:sz w:val="52"/>
      <w:szCs w:val="52"/>
    </w:rPr>
  </w:style>
  <w:style w:type="character" w:customStyle="1" w:styleId="TitelTegn">
    <w:name w:val="Titel Tegn"/>
    <w:basedOn w:val="Standardskrifttypeiafsnit"/>
    <w:link w:val="Titel"/>
    <w:uiPriority w:val="10"/>
    <w:semiHidden/>
    <w:rsid w:val="00021748"/>
    <w:rPr>
      <w:rFonts w:asciiTheme="majorHAnsi" w:eastAsiaTheme="majorEastAsia" w:hAnsiTheme="majorHAnsi" w:cstheme="majorBidi"/>
      <w:color w:val="6EBBE8" w:themeColor="text2" w:themeShade="BF"/>
      <w:spacing w:val="5"/>
      <w:kern w:val="28"/>
      <w:sz w:val="52"/>
      <w:szCs w:val="52"/>
    </w:rPr>
  </w:style>
  <w:style w:type="paragraph" w:styleId="Undertitel">
    <w:name w:val="Subtitle"/>
    <w:basedOn w:val="Normal"/>
    <w:next w:val="Normal"/>
    <w:link w:val="UndertitelTegn"/>
    <w:uiPriority w:val="11"/>
    <w:semiHidden/>
    <w:rsid w:val="00021748"/>
    <w:pPr>
      <w:numPr>
        <w:ilvl w:val="1"/>
      </w:numPr>
    </w:pPr>
    <w:rPr>
      <w:rFonts w:asciiTheme="majorHAnsi" w:eastAsiaTheme="majorEastAsia" w:hAnsiTheme="majorHAnsi" w:cstheme="majorBidi"/>
      <w:i/>
      <w:iCs/>
      <w:color w:val="00A9E0" w:themeColor="accent1"/>
      <w:spacing w:val="15"/>
      <w:sz w:val="24"/>
      <w:szCs w:val="24"/>
    </w:rPr>
  </w:style>
  <w:style w:type="character" w:customStyle="1" w:styleId="UndertitelTegn">
    <w:name w:val="Undertitel Tegn"/>
    <w:basedOn w:val="Standardskrifttypeiafsnit"/>
    <w:link w:val="Undertitel"/>
    <w:uiPriority w:val="11"/>
    <w:semiHidden/>
    <w:rsid w:val="00021748"/>
    <w:rPr>
      <w:rFonts w:asciiTheme="majorHAnsi" w:eastAsiaTheme="majorEastAsia" w:hAnsiTheme="majorHAnsi" w:cstheme="majorBidi"/>
      <w:i/>
      <w:iCs/>
      <w:color w:val="00A9E0" w:themeColor="accent1"/>
      <w:spacing w:val="15"/>
      <w:sz w:val="24"/>
      <w:szCs w:val="24"/>
    </w:rPr>
  </w:style>
  <w:style w:type="paragraph" w:customStyle="1" w:styleId="FORTROLIGT">
    <w:name w:val="FORTROLIGT"/>
    <w:basedOn w:val="Normaludenluft"/>
    <w:uiPriority w:val="3"/>
    <w:semiHidden/>
    <w:rsid w:val="00021748"/>
    <w:rPr>
      <w:caps/>
      <w:color w:val="FF0000"/>
      <w:sz w:val="36"/>
      <w:szCs w:val="32"/>
    </w:rPr>
  </w:style>
  <w:style w:type="paragraph" w:styleId="Sluthilsen">
    <w:name w:val="Closing"/>
    <w:basedOn w:val="Normal"/>
    <w:link w:val="SluthilsenTegn"/>
    <w:uiPriority w:val="99"/>
    <w:semiHidden/>
    <w:rsid w:val="00021748"/>
    <w:pPr>
      <w:spacing w:before="560" w:after="560"/>
    </w:pPr>
  </w:style>
  <w:style w:type="character" w:customStyle="1" w:styleId="SluthilsenTegn">
    <w:name w:val="Sluthilsen Tegn"/>
    <w:basedOn w:val="Standardskrifttypeiafsnit"/>
    <w:link w:val="Sluthilsen"/>
    <w:uiPriority w:val="99"/>
    <w:semiHidden/>
    <w:rsid w:val="00021748"/>
    <w:rPr>
      <w:rFonts w:eastAsiaTheme="minorEastAsia" w:cs="Georgia"/>
      <w:color w:val="0D0D0D" w:themeColor="text1" w:themeTint="F2"/>
      <w:sz w:val="21"/>
      <w:szCs w:val="21"/>
    </w:rPr>
  </w:style>
  <w:style w:type="paragraph" w:customStyle="1" w:styleId="Ministernavn">
    <w:name w:val="Ministernavn"/>
    <w:basedOn w:val="Template-Adresse"/>
    <w:uiPriority w:val="99"/>
    <w:semiHidden/>
    <w:rsid w:val="00021748"/>
    <w:pPr>
      <w:spacing w:line="280" w:lineRule="atLeast"/>
    </w:pPr>
    <w:rPr>
      <w:rFonts w:asciiTheme="majorHAnsi" w:hAnsiTheme="majorHAnsi"/>
      <w:b/>
      <w:bCs/>
      <w:color w:val="00A9E0" w:themeColor="accent1"/>
      <w:sz w:val="20"/>
    </w:rPr>
  </w:style>
  <w:style w:type="character" w:customStyle="1" w:styleId="UnresolvedMention">
    <w:name w:val="Unresolved Mention"/>
    <w:basedOn w:val="Standardskrifttypeiafsnit"/>
    <w:uiPriority w:val="99"/>
    <w:semiHidden/>
    <w:unhideWhenUsed/>
    <w:rsid w:val="00021748"/>
    <w:rPr>
      <w:color w:val="605E5C"/>
      <w:shd w:val="clear" w:color="auto" w:fill="E1DFDD"/>
    </w:rPr>
  </w:style>
  <w:style w:type="paragraph" w:customStyle="1" w:styleId="Minimeretafsnit">
    <w:name w:val="Minimeret afsnit"/>
    <w:basedOn w:val="Normaludenluft"/>
    <w:uiPriority w:val="99"/>
    <w:semiHidden/>
    <w:rsid w:val="00021748"/>
    <w:pPr>
      <w:spacing w:line="20" w:lineRule="exact"/>
    </w:pPr>
    <w:rPr>
      <w:sz w:val="2"/>
      <w:szCs w:val="2"/>
    </w:rPr>
  </w:style>
  <w:style w:type="paragraph" w:customStyle="1" w:styleId="Sidenummerering">
    <w:name w:val="Sidenummerering"/>
    <w:basedOn w:val="Template-Adresse"/>
    <w:uiPriority w:val="1"/>
    <w:semiHidden/>
    <w:rsid w:val="00021748"/>
    <w:pPr>
      <w:spacing w:line="280" w:lineRule="atLeast"/>
    </w:pPr>
    <w:rPr>
      <w:sz w:val="21"/>
    </w:rPr>
  </w:style>
  <w:style w:type="paragraph" w:customStyle="1" w:styleId="Billedfelt">
    <w:name w:val="Billedfelt"/>
    <w:basedOn w:val="Normal"/>
    <w:uiPriority w:val="99"/>
    <w:semiHidden/>
    <w:rsid w:val="00021748"/>
    <w:pPr>
      <w:spacing w:line="240" w:lineRule="auto"/>
    </w:pPr>
  </w:style>
  <w:style w:type="paragraph" w:customStyle="1" w:styleId="Normalindrykket">
    <w:name w:val="Normal indrykket"/>
    <w:basedOn w:val="Normal"/>
    <w:uiPriority w:val="1"/>
    <w:qFormat/>
    <w:rsid w:val="00021748"/>
    <w:pPr>
      <w:ind w:left="340"/>
    </w:pPr>
  </w:style>
  <w:style w:type="paragraph" w:customStyle="1" w:styleId="Tabelkildehenvisning">
    <w:name w:val="Tabelkildehenvisning"/>
    <w:basedOn w:val="Normaludenluft"/>
    <w:link w:val="TabelkildehenvisningTegn"/>
    <w:uiPriority w:val="99"/>
    <w:rsid w:val="00021748"/>
    <w:pPr>
      <w:spacing w:after="200" w:line="180" w:lineRule="exact"/>
    </w:pPr>
    <w:rPr>
      <w:rFonts w:ascii="Arial" w:eastAsia="Calibri" w:hAnsi="Arial" w:cs="Times New Roman"/>
      <w:color w:val="auto"/>
      <w:sz w:val="14"/>
      <w:szCs w:val="22"/>
    </w:rPr>
  </w:style>
  <w:style w:type="character" w:customStyle="1" w:styleId="TabelkildehenvisningTegn">
    <w:name w:val="Tabelkildehenvisning Tegn"/>
    <w:link w:val="Tabelkildehenvisning"/>
    <w:uiPriority w:val="99"/>
    <w:rsid w:val="00021748"/>
    <w:rPr>
      <w:rFonts w:ascii="Arial" w:eastAsia="Calibri" w:hAnsi="Arial" w:cs="Times New Roman"/>
      <w:sz w:val="14"/>
    </w:rPr>
  </w:style>
  <w:style w:type="paragraph" w:customStyle="1" w:styleId="Tabelkolonneoverskrift">
    <w:name w:val="Tabelkolonneoverskrift"/>
    <w:basedOn w:val="Normal"/>
    <w:uiPriority w:val="99"/>
    <w:qFormat/>
    <w:rsid w:val="00021748"/>
    <w:pPr>
      <w:framePr w:hSpace="142" w:wrap="around" w:vAnchor="text" w:hAnchor="margin" w:x="1" w:y="1"/>
      <w:autoSpaceDE w:val="0"/>
      <w:autoSpaceDN w:val="0"/>
      <w:adjustRightInd w:val="0"/>
      <w:spacing w:after="0"/>
      <w:suppressOverlap/>
      <w:jc w:val="right"/>
    </w:pPr>
    <w:rPr>
      <w:rFonts w:cs="Cambria"/>
      <w:b/>
      <w:bCs/>
      <w:color w:val="000000"/>
      <w:sz w:val="14"/>
      <w:szCs w:val="14"/>
    </w:rPr>
  </w:style>
  <w:style w:type="paragraph" w:customStyle="1" w:styleId="Overskrift2blstreg">
    <w:name w:val="Overskrift 2 blå streg"/>
    <w:basedOn w:val="Overskrift2"/>
    <w:next w:val="Normal"/>
    <w:uiPriority w:val="99"/>
    <w:semiHidden/>
    <w:qFormat/>
    <w:rsid w:val="00021748"/>
    <w:pPr>
      <w:pBdr>
        <w:top w:val="single" w:sz="18" w:space="5" w:color="00A9E0" w:themeColor="accent1"/>
      </w:pBdr>
    </w:pPr>
  </w:style>
  <w:style w:type="paragraph" w:customStyle="1" w:styleId="Tabeltekst">
    <w:name w:val="Tabeltekst"/>
    <w:basedOn w:val="Normal"/>
    <w:uiPriority w:val="99"/>
    <w:semiHidden/>
    <w:qFormat/>
    <w:rsid w:val="00021748"/>
    <w:pPr>
      <w:framePr w:hSpace="142" w:wrap="around" w:vAnchor="text" w:hAnchor="margin" w:x="1" w:y="1"/>
      <w:autoSpaceDE w:val="0"/>
      <w:autoSpaceDN w:val="0"/>
      <w:adjustRightInd w:val="0"/>
      <w:spacing w:after="0"/>
      <w:suppressOverlap/>
    </w:pPr>
    <w:rPr>
      <w:rFonts w:cs="Cambria"/>
      <w:bCs/>
      <w:color w:val="000000"/>
      <w:sz w:val="14"/>
      <w:szCs w:val="14"/>
    </w:rPr>
  </w:style>
  <w:style w:type="paragraph" w:customStyle="1" w:styleId="Tabelrkkeoverskrift">
    <w:name w:val="Tabelrækkeoverskrift"/>
    <w:basedOn w:val="Tabeltekst"/>
    <w:uiPriority w:val="99"/>
    <w:semiHidden/>
    <w:qFormat/>
    <w:rsid w:val="00021748"/>
    <w:pPr>
      <w:framePr w:wrap="around"/>
    </w:pPr>
    <w:rPr>
      <w:b/>
    </w:rPr>
  </w:style>
  <w:style w:type="paragraph" w:customStyle="1" w:styleId="Default">
    <w:name w:val="Default"/>
    <w:rsid w:val="00402D2D"/>
    <w:pPr>
      <w:autoSpaceDE w:val="0"/>
      <w:autoSpaceDN w:val="0"/>
      <w:adjustRightInd w:val="0"/>
      <w:spacing w:after="0" w:line="240" w:lineRule="auto"/>
    </w:pPr>
    <w:rPr>
      <w:rFonts w:ascii="KBH Tekst" w:hAnsi="KBH Tekst" w:cs="KBH Tekst"/>
      <w:color w:val="000000"/>
      <w:sz w:val="24"/>
      <w:szCs w:val="24"/>
    </w:rPr>
  </w:style>
  <w:style w:type="character" w:styleId="Kommentarhenvisning">
    <w:name w:val="annotation reference"/>
    <w:basedOn w:val="Standardskrifttypeiafsnit"/>
    <w:uiPriority w:val="99"/>
    <w:semiHidden/>
    <w:unhideWhenUsed/>
    <w:rsid w:val="00115054"/>
    <w:rPr>
      <w:sz w:val="16"/>
      <w:szCs w:val="16"/>
    </w:rPr>
  </w:style>
  <w:style w:type="paragraph" w:styleId="Kommentartekst">
    <w:name w:val="annotation text"/>
    <w:basedOn w:val="Normal"/>
    <w:link w:val="KommentartekstTegn"/>
    <w:uiPriority w:val="99"/>
    <w:unhideWhenUsed/>
    <w:rsid w:val="00115054"/>
    <w:pPr>
      <w:spacing w:line="240" w:lineRule="auto"/>
    </w:pPr>
    <w:rPr>
      <w:sz w:val="20"/>
      <w:szCs w:val="20"/>
    </w:rPr>
  </w:style>
  <w:style w:type="character" w:customStyle="1" w:styleId="KommentartekstTegn">
    <w:name w:val="Kommentartekst Tegn"/>
    <w:basedOn w:val="Standardskrifttypeiafsnit"/>
    <w:link w:val="Kommentartekst"/>
    <w:uiPriority w:val="99"/>
    <w:rsid w:val="00115054"/>
    <w:rPr>
      <w:rFonts w:eastAsiaTheme="minorEastAsia" w:cs="Georgia"/>
      <w:color w:val="0D0D0D" w:themeColor="text1" w:themeTint="F2"/>
      <w:sz w:val="20"/>
      <w:szCs w:val="20"/>
    </w:rPr>
  </w:style>
  <w:style w:type="paragraph" w:styleId="Kommentaremne">
    <w:name w:val="annotation subject"/>
    <w:basedOn w:val="Kommentartekst"/>
    <w:next w:val="Kommentartekst"/>
    <w:link w:val="KommentaremneTegn"/>
    <w:uiPriority w:val="99"/>
    <w:semiHidden/>
    <w:unhideWhenUsed/>
    <w:rsid w:val="00115054"/>
    <w:rPr>
      <w:b/>
      <w:bCs/>
    </w:rPr>
  </w:style>
  <w:style w:type="character" w:customStyle="1" w:styleId="KommentaremneTegn">
    <w:name w:val="Kommentaremne Tegn"/>
    <w:basedOn w:val="KommentartekstTegn"/>
    <w:link w:val="Kommentaremne"/>
    <w:uiPriority w:val="99"/>
    <w:semiHidden/>
    <w:rsid w:val="00115054"/>
    <w:rPr>
      <w:rFonts w:eastAsiaTheme="minorEastAsia" w:cs="Georgia"/>
      <w:b/>
      <w:bCs/>
      <w:color w:val="0D0D0D" w:themeColor="text1" w:themeTint="F2"/>
      <w:sz w:val="20"/>
      <w:szCs w:val="20"/>
    </w:rPr>
  </w:style>
  <w:style w:type="paragraph" w:styleId="Korrektur">
    <w:name w:val="Revision"/>
    <w:hidden/>
    <w:uiPriority w:val="99"/>
    <w:semiHidden/>
    <w:rsid w:val="00C56C0A"/>
    <w:pPr>
      <w:spacing w:after="0" w:line="240" w:lineRule="auto"/>
    </w:pPr>
    <w:rPr>
      <w:rFonts w:eastAsiaTheme="minorEastAsia" w:cs="Georgia"/>
      <w:color w:val="0D0D0D" w:themeColor="text1" w:themeTint="F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21667">
      <w:bodyDiv w:val="1"/>
      <w:marLeft w:val="0"/>
      <w:marRight w:val="0"/>
      <w:marTop w:val="0"/>
      <w:marBottom w:val="0"/>
      <w:divBdr>
        <w:top w:val="none" w:sz="0" w:space="0" w:color="auto"/>
        <w:left w:val="none" w:sz="0" w:space="0" w:color="auto"/>
        <w:bottom w:val="none" w:sz="0" w:space="0" w:color="auto"/>
        <w:right w:val="none" w:sz="0" w:space="0" w:color="auto"/>
      </w:divBdr>
    </w:div>
    <w:div w:id="150490544">
      <w:bodyDiv w:val="1"/>
      <w:marLeft w:val="0"/>
      <w:marRight w:val="0"/>
      <w:marTop w:val="0"/>
      <w:marBottom w:val="0"/>
      <w:divBdr>
        <w:top w:val="none" w:sz="0" w:space="0" w:color="auto"/>
        <w:left w:val="none" w:sz="0" w:space="0" w:color="auto"/>
        <w:bottom w:val="none" w:sz="0" w:space="0" w:color="auto"/>
        <w:right w:val="none" w:sz="0" w:space="0" w:color="auto"/>
      </w:divBdr>
    </w:div>
    <w:div w:id="274405369">
      <w:bodyDiv w:val="1"/>
      <w:marLeft w:val="0"/>
      <w:marRight w:val="0"/>
      <w:marTop w:val="0"/>
      <w:marBottom w:val="0"/>
      <w:divBdr>
        <w:top w:val="none" w:sz="0" w:space="0" w:color="auto"/>
        <w:left w:val="none" w:sz="0" w:space="0" w:color="auto"/>
        <w:bottom w:val="none" w:sz="0" w:space="0" w:color="auto"/>
        <w:right w:val="none" w:sz="0" w:space="0" w:color="auto"/>
      </w:divBdr>
    </w:div>
    <w:div w:id="824856516">
      <w:bodyDiv w:val="1"/>
      <w:marLeft w:val="0"/>
      <w:marRight w:val="0"/>
      <w:marTop w:val="0"/>
      <w:marBottom w:val="0"/>
      <w:divBdr>
        <w:top w:val="none" w:sz="0" w:space="0" w:color="auto"/>
        <w:left w:val="none" w:sz="0" w:space="0" w:color="auto"/>
        <w:bottom w:val="none" w:sz="0" w:space="0" w:color="auto"/>
        <w:right w:val="none" w:sz="0" w:space="0" w:color="auto"/>
      </w:divBdr>
    </w:div>
    <w:div w:id="1116484036">
      <w:bodyDiv w:val="1"/>
      <w:marLeft w:val="0"/>
      <w:marRight w:val="0"/>
      <w:marTop w:val="0"/>
      <w:marBottom w:val="0"/>
      <w:divBdr>
        <w:top w:val="none" w:sz="0" w:space="0" w:color="auto"/>
        <w:left w:val="none" w:sz="0" w:space="0" w:color="auto"/>
        <w:bottom w:val="none" w:sz="0" w:space="0" w:color="auto"/>
        <w:right w:val="none" w:sz="0" w:space="0" w:color="auto"/>
      </w:divBdr>
    </w:div>
    <w:div w:id="1389840495">
      <w:bodyDiv w:val="1"/>
      <w:marLeft w:val="0"/>
      <w:marRight w:val="0"/>
      <w:marTop w:val="0"/>
      <w:marBottom w:val="0"/>
      <w:divBdr>
        <w:top w:val="none" w:sz="0" w:space="0" w:color="auto"/>
        <w:left w:val="none" w:sz="0" w:space="0" w:color="auto"/>
        <w:bottom w:val="none" w:sz="0" w:space="0" w:color="auto"/>
        <w:right w:val="none" w:sz="0" w:space="0" w:color="auto"/>
      </w:divBdr>
    </w:div>
    <w:div w:id="1432164061">
      <w:bodyDiv w:val="1"/>
      <w:marLeft w:val="0"/>
      <w:marRight w:val="0"/>
      <w:marTop w:val="0"/>
      <w:marBottom w:val="0"/>
      <w:divBdr>
        <w:top w:val="none" w:sz="0" w:space="0" w:color="auto"/>
        <w:left w:val="none" w:sz="0" w:space="0" w:color="auto"/>
        <w:bottom w:val="none" w:sz="0" w:space="0" w:color="auto"/>
        <w:right w:val="none" w:sz="0" w:space="0" w:color="auto"/>
      </w:divBdr>
      <w:divsChild>
        <w:div w:id="279191413">
          <w:marLeft w:val="562"/>
          <w:marRight w:val="0"/>
          <w:marTop w:val="120"/>
          <w:marBottom w:val="0"/>
          <w:divBdr>
            <w:top w:val="none" w:sz="0" w:space="0" w:color="auto"/>
            <w:left w:val="none" w:sz="0" w:space="0" w:color="auto"/>
            <w:bottom w:val="none" w:sz="0" w:space="0" w:color="auto"/>
            <w:right w:val="none" w:sz="0" w:space="0" w:color="auto"/>
          </w:divBdr>
        </w:div>
      </w:divsChild>
    </w:div>
    <w:div w:id="1464929720">
      <w:bodyDiv w:val="1"/>
      <w:marLeft w:val="0"/>
      <w:marRight w:val="0"/>
      <w:marTop w:val="0"/>
      <w:marBottom w:val="0"/>
      <w:divBdr>
        <w:top w:val="none" w:sz="0" w:space="0" w:color="auto"/>
        <w:left w:val="none" w:sz="0" w:space="0" w:color="auto"/>
        <w:bottom w:val="none" w:sz="0" w:space="0" w:color="auto"/>
        <w:right w:val="none" w:sz="0" w:space="0" w:color="auto"/>
      </w:divBdr>
    </w:div>
    <w:div w:id="1577011772">
      <w:bodyDiv w:val="1"/>
      <w:marLeft w:val="0"/>
      <w:marRight w:val="0"/>
      <w:marTop w:val="0"/>
      <w:marBottom w:val="0"/>
      <w:divBdr>
        <w:top w:val="none" w:sz="0" w:space="0" w:color="auto"/>
        <w:left w:val="none" w:sz="0" w:space="0" w:color="auto"/>
        <w:bottom w:val="none" w:sz="0" w:space="0" w:color="auto"/>
        <w:right w:val="none" w:sz="0" w:space="0" w:color="auto"/>
      </w:divBdr>
    </w:div>
    <w:div w:id="159613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va@danva.d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j\AppData\Local\cBrain\F2\.tmp\3d8903899df74b349b8c8007dcc1bb7b.dotx" TargetMode="External"/></Relationships>
</file>

<file path=word/theme/theme1.xml><?xml version="1.0" encoding="utf-8"?>
<a:theme xmlns:a="http://schemas.openxmlformats.org/drawingml/2006/main" name="Kontortema">
  <a:themeElements>
    <a:clrScheme name="Transportministeriet">
      <a:dk1>
        <a:sysClr val="windowText" lastClr="000000"/>
      </a:dk1>
      <a:lt1>
        <a:sysClr val="window" lastClr="FFFFFF"/>
      </a:lt1>
      <a:dk2>
        <a:srgbClr val="D2EAF8"/>
      </a:dk2>
      <a:lt2>
        <a:srgbClr val="FBFEFF"/>
      </a:lt2>
      <a:accent1>
        <a:srgbClr val="00A9E0"/>
      </a:accent1>
      <a:accent2>
        <a:srgbClr val="F9BA04"/>
      </a:accent2>
      <a:accent3>
        <a:srgbClr val="ADAFAF"/>
      </a:accent3>
      <a:accent4>
        <a:srgbClr val="DFDF00"/>
      </a:accent4>
      <a:accent5>
        <a:srgbClr val="C6BDD2"/>
      </a:accent5>
      <a:accent6>
        <a:srgbClr val="5BC6E8"/>
      </a:accent6>
      <a:hlink>
        <a:srgbClr val="548DD4"/>
      </a:hlink>
      <a:folHlink>
        <a:srgbClr val="800080"/>
      </a:folHlink>
    </a:clrScheme>
    <a:fontScheme name="TRM fonte">
      <a:majorFont>
        <a:latin typeface="Verdana"/>
        <a:ea typeface=""/>
        <a:cs typeface=""/>
      </a:majorFont>
      <a:minorFont>
        <a:latin typeface="Georgi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5E65E-BA6F-4B08-8237-FEEE30E89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3d8903899df74b349b8c8007dcc1bb7b.dotx</Template>
  <TotalTime>0</TotalTime>
  <Pages>14</Pages>
  <Words>4565</Words>
  <Characters>27850</Characters>
  <Application>Microsoft Office Word</Application>
  <DocSecurity>4</DocSecurity>
  <Lines>232</Lines>
  <Paragraphs>64</Paragraphs>
  <ScaleCrop>false</ScaleCrop>
  <HeadingPairs>
    <vt:vector size="2" baseType="variant">
      <vt:variant>
        <vt:lpstr>Titel</vt:lpstr>
      </vt:variant>
      <vt:variant>
        <vt:i4>1</vt:i4>
      </vt:variant>
    </vt:vector>
  </HeadingPairs>
  <TitlesOfParts>
    <vt:vector size="1" baseType="lpstr">
      <vt:lpstr/>
    </vt:vector>
  </TitlesOfParts>
  <Company>TRM</Company>
  <LinksUpToDate>false</LinksUpToDate>
  <CharactersWithSpaces>32351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TRM Lars Damkjær Jespersen</dc:creator>
  <cp:lastModifiedBy>TRM Malene Lysdahl</cp:lastModifiedBy>
  <cp:revision>2</cp:revision>
  <dcterms:created xsi:type="dcterms:W3CDTF">2022-09-07T13:44:00Z</dcterms:created>
  <dcterms:modified xsi:type="dcterms:W3CDTF">2022-09-07T13:44:00Z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rgentype">
    <vt:lpwstr>Bred</vt:lpwstr>
  </property>
  <property fmtid="{D5CDD505-2E9C-101B-9397-08002B2CF9AE}" pid="3" name="Sidehovedtype">
    <vt:lpwstr>Standard</vt:lpwstr>
  </property>
  <property fmtid="{D5CDD505-2E9C-101B-9397-08002B2CF9AE}" pid="4" name="Dokumenttype">
    <vt:lpwstr>Notat</vt:lpwstr>
  </property>
</Properties>
</file>