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3CE48" w14:textId="7B978CBC" w:rsidR="0029533F" w:rsidRDefault="007A77CE" w:rsidP="00DA1434">
      <w:pPr>
        <w:pStyle w:val="Pagedecouverture"/>
      </w:pPr>
      <w:r>
        <w:rPr>
          <w:noProof/>
        </w:rPr>
        <w:drawing>
          <wp:inline distT="0" distB="0" distL="0" distR="0" wp14:anchorId="0A9E80F6" wp14:editId="0023E1BC">
            <wp:extent cx="5762625" cy="4572000"/>
            <wp:effectExtent l="0" t="0" r="0" b="0"/>
            <wp:docPr id="1" name="Billede 1" descr="96AD59E3-1375-4E9F-A5AD-A81CA0288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6AD59E3-1375-4E9F-A5AD-A81CA02881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4572000"/>
                    </a:xfrm>
                    <a:prstGeom prst="rect">
                      <a:avLst/>
                    </a:prstGeom>
                    <a:noFill/>
                    <a:ln>
                      <a:noFill/>
                    </a:ln>
                  </pic:spPr>
                </pic:pic>
              </a:graphicData>
            </a:graphic>
          </wp:inline>
        </w:drawing>
      </w:r>
    </w:p>
    <w:p w14:paraId="611D6071" w14:textId="77777777" w:rsidR="001236A2" w:rsidRPr="00922C91" w:rsidRDefault="001236A2">
      <w:pPr>
        <w:sectPr w:rsidR="001236A2" w:rsidRPr="00922C91" w:rsidSect="00DA1434">
          <w:footerReference w:type="even" r:id="rId9"/>
          <w:footerReference w:type="default" r:id="rId10"/>
          <w:pgSz w:w="11907" w:h="16839"/>
          <w:pgMar w:top="1134" w:right="1417" w:bottom="1134" w:left="1417" w:header="709" w:footer="709" w:gutter="0"/>
          <w:pgNumType w:start="0"/>
          <w:cols w:space="720"/>
          <w:docGrid w:linePitch="360"/>
        </w:sectPr>
      </w:pPr>
    </w:p>
    <w:p w14:paraId="3F09C969" w14:textId="40177AE1" w:rsidR="001236A2" w:rsidRPr="00922C91" w:rsidRDefault="00DA1434" w:rsidP="00DA1434">
      <w:pPr>
        <w:pStyle w:val="Typedudocument"/>
      </w:pPr>
      <w:r w:rsidRPr="00DA1434">
        <w:lastRenderedPageBreak/>
        <w:t>COMMISSION IMPLEMENTING REGULATION (EU) …/...</w:t>
      </w:r>
    </w:p>
    <w:p w14:paraId="75808C5F" w14:textId="18903A44" w:rsidR="001236A2" w:rsidRPr="00922C91" w:rsidRDefault="00DA1434" w:rsidP="00DA1434">
      <w:pPr>
        <w:pStyle w:val="Datedadoption"/>
      </w:pPr>
      <w:r w:rsidRPr="00DA1434">
        <w:t xml:space="preserve">of </w:t>
      </w:r>
      <w:r w:rsidRPr="00DA1434">
        <w:rPr>
          <w:rStyle w:val="Marker2"/>
        </w:rPr>
        <w:t>XXX</w:t>
      </w:r>
    </w:p>
    <w:p w14:paraId="5F960070" w14:textId="652ED325" w:rsidR="001236A2" w:rsidRPr="00922C91" w:rsidRDefault="00DA1434" w:rsidP="00DA1434">
      <w:pPr>
        <w:pStyle w:val="Titreobjet"/>
      </w:pPr>
      <w:r w:rsidRPr="00DA1434">
        <w:rPr>
          <w:rStyle w:val="Marker"/>
        </w:rPr>
        <w:t>amending Commission Implementing Regulation (EU) 2019/627 as regards the facilitation of practical arrangements for meat inspection in low-capacity slaughterhouses and game-handling establishments</w:t>
      </w:r>
    </w:p>
    <w:p w14:paraId="189BA022" w14:textId="1E825E7C" w:rsidR="001236A2" w:rsidRPr="001236A2" w:rsidRDefault="00DA1434" w:rsidP="00DA1434">
      <w:pPr>
        <w:pStyle w:val="IntrtEEE"/>
      </w:pPr>
      <w:r w:rsidRPr="00DA1434">
        <w:t>(Text with EEA relevance)</w:t>
      </w:r>
    </w:p>
    <w:p w14:paraId="255AEADB" w14:textId="77777777" w:rsidR="001236A2" w:rsidRPr="00922C91" w:rsidRDefault="001236A2" w:rsidP="004E1EF9">
      <w:pPr>
        <w:pStyle w:val="Institutionquiagit"/>
      </w:pPr>
      <w:r w:rsidRPr="00922C91">
        <w:t>THE EUROPEAN COMMISSION,</w:t>
      </w:r>
    </w:p>
    <w:p w14:paraId="2BF0975F" w14:textId="77777777" w:rsidR="001236A2" w:rsidRPr="00922C91" w:rsidRDefault="001236A2" w:rsidP="004E1EF9">
      <w:r w:rsidRPr="00922C91">
        <w:rPr>
          <w:color w:val="000000"/>
        </w:rPr>
        <w:t>Having regard to the Treaty on the Functioning of the European Union</w:t>
      </w:r>
      <w:r w:rsidRPr="00922C91">
        <w:t>,</w:t>
      </w:r>
    </w:p>
    <w:p w14:paraId="697F3F16" w14:textId="18FC0629" w:rsidR="001236A2" w:rsidRPr="001254FE" w:rsidRDefault="001236A2" w:rsidP="001236A2">
      <w:r w:rsidRPr="005E5DDA">
        <w:t xml:space="preserve">Having regard to Regulation (EU) 2017/625 of the European Parliament and of the Council of 15 March 2017 on official controls and other official activities performed to ensure the application of food and feed law, rules on animal health and welfare, plant health and plant protection products, amending Regulations (EC) No 999/2001, (EC) </w:t>
      </w:r>
      <w:r w:rsidRPr="005E5DDA">
        <w:rPr>
          <w:lang w:val="en-US"/>
        </w:rPr>
        <w:t xml:space="preserve">No 396/2005, (EC) No 1069/2009, (EC) No 1107/2009, (EU) No 1151/2012, (EU) No 652/2014, (EU) 2016/429 and (EU) </w:t>
      </w:r>
      <w:r w:rsidRPr="005E5DDA">
        <w:t>2016/2031 of the European Parliament and of the Council, Council Regulations (EC) No 1/2005 and (EC) No 1099/2009 and Council Directives 98/58/EC, 1999/74/EC, 2007/43/EC, 2008/119/EC and 2008/120/EC, and repealing Regulations (EC) No 854/2004 and (EC) No 882/2004 of the European Parliament and of the Council, Council Directives 89/608/EEC, 89/662/EEC, 90/425/EEC, 91/496/EEC, 96/23/EC, 96/93/EC and 97/78/EC and Council Decision 92/438/EEC (Official Controls Regulation)</w:t>
      </w:r>
      <w:r w:rsidRPr="005E5DDA">
        <w:rPr>
          <w:rStyle w:val="Fodnotehenvisning"/>
        </w:rPr>
        <w:footnoteReference w:id="1"/>
      </w:r>
      <w:r w:rsidRPr="005E5DDA">
        <w:t>, and in particular Article 18(8), point</w:t>
      </w:r>
      <w:r>
        <w:t xml:space="preserve"> </w:t>
      </w:r>
      <w:r w:rsidRPr="005E5DDA">
        <w:t>(d) thereof,</w:t>
      </w:r>
    </w:p>
    <w:p w14:paraId="3E0D641B" w14:textId="4AA588AE" w:rsidR="001236A2" w:rsidRPr="00922C91" w:rsidRDefault="001236A2" w:rsidP="004E1EF9">
      <w:r w:rsidRPr="002667DE">
        <w:t xml:space="preserve">After </w:t>
      </w:r>
      <w:r w:rsidRPr="001236A2">
        <w:t xml:space="preserve">consulting the </w:t>
      </w:r>
      <w:r w:rsidRPr="001236A2">
        <w:rPr>
          <w:rStyle w:val="Marker"/>
          <w:color w:val="auto"/>
        </w:rPr>
        <w:t>Standing Committee on Plants, Animals, Food and Feed</w:t>
      </w:r>
      <w:r w:rsidRPr="001236A2">
        <w:t xml:space="preserve">, </w:t>
      </w:r>
    </w:p>
    <w:p w14:paraId="22C632FB" w14:textId="77777777" w:rsidR="001236A2" w:rsidRPr="00922C91" w:rsidRDefault="001236A2" w:rsidP="004E1EF9">
      <w:r w:rsidRPr="00922C91">
        <w:t>Whereas:</w:t>
      </w:r>
    </w:p>
    <w:p w14:paraId="67CD5382" w14:textId="1E63A8BF" w:rsidR="001236A2" w:rsidRDefault="001236A2" w:rsidP="001236A2">
      <w:pPr>
        <w:pStyle w:val="Considrant"/>
      </w:pPr>
      <w:r w:rsidRPr="00DC6E5B">
        <w:t xml:space="preserve">Commission </w:t>
      </w:r>
      <w:bookmarkStart w:id="0" w:name="_Hlk175126083"/>
      <w:r w:rsidRPr="00DC6E5B">
        <w:t>Implementing Regulation (EU) 2019/627</w:t>
      </w:r>
      <w:bookmarkEnd w:id="0"/>
      <w:r w:rsidRPr="00DC6E5B">
        <w:rPr>
          <w:rStyle w:val="Fodnotehenvisning"/>
        </w:rPr>
        <w:footnoteReference w:id="2"/>
      </w:r>
      <w:r w:rsidRPr="00DC6E5B">
        <w:t xml:space="preserve"> lays down uniform practical arrangements for the performance of official controls on products of animal origin intended for human consumption in accordance with Regulation (EU) 2017/625</w:t>
      </w:r>
      <w:r>
        <w:t>, including for meat inspection in slaughterhouses and game handling establishments</w:t>
      </w:r>
      <w:r w:rsidRPr="00DC6E5B">
        <w:t>.</w:t>
      </w:r>
    </w:p>
    <w:p w14:paraId="281B10E4" w14:textId="21AC3E21" w:rsidR="001236A2" w:rsidRDefault="006162B0" w:rsidP="001236A2">
      <w:pPr>
        <w:pStyle w:val="Considrant"/>
      </w:pPr>
      <w:r>
        <w:t xml:space="preserve">In particular, </w:t>
      </w:r>
      <w:r w:rsidR="00466106">
        <w:t>Implementing Regulation (EU) 2019/627 lays down requirements for ante-mortem inspection in slaughterhouses and for post-mortem inspection in slaughterhouses and game-handing establishments. Computer-based technologies that may use artificial intelligence (e.g. the analysis of picture</w:t>
      </w:r>
      <w:r w:rsidR="00874DFA">
        <w:t>s</w:t>
      </w:r>
      <w:r w:rsidR="00466106">
        <w:t xml:space="preserve"> of animals and/or carcases made by cameras) have been developed and validated by </w:t>
      </w:r>
      <w:r w:rsidR="00874DFA">
        <w:t xml:space="preserve">food business operators or </w:t>
      </w:r>
      <w:r w:rsidR="00466106">
        <w:t>competent authorities of certain Member States. They</w:t>
      </w:r>
      <w:r>
        <w:t xml:space="preserve"> </w:t>
      </w:r>
      <w:r w:rsidR="00466106">
        <w:t xml:space="preserve">provide a useful, supplementary tool for </w:t>
      </w:r>
      <w:r w:rsidR="00E970C8">
        <w:t xml:space="preserve">facilitating </w:t>
      </w:r>
      <w:r w:rsidR="00466106">
        <w:t xml:space="preserve">meat inspection. It should </w:t>
      </w:r>
      <w:r w:rsidR="00E970C8">
        <w:t xml:space="preserve">be </w:t>
      </w:r>
      <w:r w:rsidR="00466106">
        <w:t>clarified that such technologies can be used in slaughterhouses for that purpose</w:t>
      </w:r>
      <w:r w:rsidR="00DA1434">
        <w:t>. T</w:t>
      </w:r>
      <w:r w:rsidR="00466106">
        <w:t xml:space="preserve">he data obtained </w:t>
      </w:r>
      <w:r w:rsidR="00DA1434">
        <w:t xml:space="preserve">by such technologies </w:t>
      </w:r>
      <w:r w:rsidR="00466106">
        <w:t xml:space="preserve">should be made available to the competent authorities for </w:t>
      </w:r>
      <w:r w:rsidR="00E970C8">
        <w:t xml:space="preserve">the detection and evaluating </w:t>
      </w:r>
      <w:r w:rsidR="00E970C8">
        <w:lastRenderedPageBreak/>
        <w:t>of possible abnormalities relevant for meat inspection. Articles 11 and 12 of Implementing Regulation (EU) 2019/627 should be amended accordingly.</w:t>
      </w:r>
    </w:p>
    <w:p w14:paraId="78ACAFF5" w14:textId="4274D1A6" w:rsidR="00A0613F" w:rsidRDefault="00E970C8" w:rsidP="001236A2">
      <w:pPr>
        <w:pStyle w:val="Considrant"/>
      </w:pPr>
      <w:r>
        <w:t>Article 13 of Implementing Regulation (EU) 2019/627 provides for a derogation on the timing of post-mortem inspection in low-capacity slaughterhouses and game-handling establishments by allowing a delay of 24 hours</w:t>
      </w:r>
      <w:r w:rsidR="00A0613F">
        <w:t xml:space="preserve"> based on a scientific opinion of the European Food Safety Authority (EFSA) on the evaluation of public and animal health risks in case of a delayed post-mortem inspection in ungulates</w:t>
      </w:r>
      <w:r w:rsidR="00A0613F">
        <w:rPr>
          <w:rStyle w:val="Fodnotehenvisning"/>
        </w:rPr>
        <w:footnoteReference w:id="3"/>
      </w:r>
      <w:r w:rsidR="00A0613F">
        <w:t xml:space="preserve">. The EFSA opinion does not identify major differences in the sensitivity of detecting </w:t>
      </w:r>
      <w:r w:rsidR="00DA1434">
        <w:t xml:space="preserve">most </w:t>
      </w:r>
      <w:r w:rsidR="00A0613F">
        <w:t>public and animal health hazard between a delay of 24 or 72h</w:t>
      </w:r>
      <w:r w:rsidR="00340AE2">
        <w:t xml:space="preserve"> when stored chilled</w:t>
      </w:r>
      <w:r w:rsidR="00A0613F">
        <w:t xml:space="preserve">. </w:t>
      </w:r>
      <w:r w:rsidR="0008060B">
        <w:t xml:space="preserve">Reduced sensitivity was observed for the detection of </w:t>
      </w:r>
      <w:r w:rsidR="0008060B" w:rsidRPr="009853D4">
        <w:rPr>
          <w:i/>
          <w:iCs/>
        </w:rPr>
        <w:t>Salmonella</w:t>
      </w:r>
      <w:r w:rsidR="0008060B">
        <w:t xml:space="preserve"> and</w:t>
      </w:r>
      <w:r w:rsidR="0008060B" w:rsidRPr="0008060B">
        <w:t xml:space="preserve"> for certain pharmacologically active substances, </w:t>
      </w:r>
      <w:r w:rsidR="004305BC">
        <w:t>resulting in</w:t>
      </w:r>
      <w:r w:rsidR="0008060B" w:rsidRPr="0008060B">
        <w:t xml:space="preserve"> a reduced effectiveness to detect </w:t>
      </w:r>
      <w:r w:rsidR="0008060B">
        <w:t xml:space="preserve">them. </w:t>
      </w:r>
      <w:r w:rsidR="004305BC">
        <w:t>However, s</w:t>
      </w:r>
      <w:r w:rsidR="0008060B">
        <w:t xml:space="preserve">ampling for </w:t>
      </w:r>
      <w:r w:rsidR="0008060B" w:rsidRPr="009853D4">
        <w:rPr>
          <w:i/>
          <w:iCs/>
        </w:rPr>
        <w:t>Salmonella</w:t>
      </w:r>
      <w:r w:rsidR="004305BC">
        <w:t xml:space="preserve"> is</w:t>
      </w:r>
      <w:r w:rsidR="0008060B">
        <w:t xml:space="preserve"> </w:t>
      </w:r>
      <w:r w:rsidR="004305BC">
        <w:t>to be carried out</w:t>
      </w:r>
      <w:r w:rsidR="0008060B">
        <w:t xml:space="preserve"> by the food business operator after dressing but before chilling in accordance with </w:t>
      </w:r>
      <w:r w:rsidR="004305BC">
        <w:t>rows</w:t>
      </w:r>
      <w:r w:rsidR="0008060B">
        <w:t xml:space="preserve"> 2.1.3 and 2.1.4 of Chapter 2 of Annex I to Commission Regulation (EC) No 2073/2005</w:t>
      </w:r>
      <w:r w:rsidR="0008060B">
        <w:rPr>
          <w:rStyle w:val="Fodnotehenvisning"/>
        </w:rPr>
        <w:footnoteReference w:id="4"/>
      </w:r>
      <w:r w:rsidR="004F6950">
        <w:t xml:space="preserve">. Sampling </w:t>
      </w:r>
      <w:r w:rsidR="004305BC">
        <w:t xml:space="preserve">for </w:t>
      </w:r>
      <w:r w:rsidR="004305BC" w:rsidRPr="0075564C">
        <w:rPr>
          <w:i/>
          <w:iCs/>
        </w:rPr>
        <w:t>Salmonella</w:t>
      </w:r>
      <w:r w:rsidR="004305BC">
        <w:t xml:space="preserve"> and for pharmacologically active substances</w:t>
      </w:r>
      <w:r w:rsidR="004305BC" w:rsidDel="004305BC">
        <w:t xml:space="preserve"> </w:t>
      </w:r>
      <w:r w:rsidR="004305BC">
        <w:t>for</w:t>
      </w:r>
      <w:r w:rsidR="004F6950">
        <w:t xml:space="preserve"> official controls</w:t>
      </w:r>
      <w:r w:rsidR="004305BC">
        <w:t xml:space="preserve"> purposes</w:t>
      </w:r>
      <w:r w:rsidR="005606F1">
        <w:t>, in accordance</w:t>
      </w:r>
      <w:r w:rsidR="004F6950">
        <w:t xml:space="preserve"> </w:t>
      </w:r>
      <w:r w:rsidR="005606F1">
        <w:t>with Articles 35 and 37(1)</w:t>
      </w:r>
      <w:r w:rsidR="004305BC">
        <w:t xml:space="preserve">, point </w:t>
      </w:r>
      <w:r w:rsidR="005606F1">
        <w:t>(c)</w:t>
      </w:r>
      <w:r w:rsidR="004305BC">
        <w:t>,</w:t>
      </w:r>
      <w:r w:rsidR="005606F1">
        <w:t xml:space="preserve"> of Implementing Regulation (EU) 2019/627</w:t>
      </w:r>
      <w:r w:rsidR="004305BC" w:rsidRPr="004305BC">
        <w:t xml:space="preserve"> </w:t>
      </w:r>
      <w:r w:rsidR="004305BC">
        <w:t>respectively</w:t>
      </w:r>
      <w:r w:rsidR="005606F1">
        <w:t xml:space="preserve">, is only required on a limited number of animals and therefore can occur on the most recently slaughtered animals. A reduced sensitivity can </w:t>
      </w:r>
      <w:r w:rsidR="004305BC">
        <w:t xml:space="preserve">therefore </w:t>
      </w:r>
      <w:r w:rsidR="005606F1">
        <w:t>be avoided despite a delay of post-mortem inspection until 72h after slaughter.</w:t>
      </w:r>
      <w:r w:rsidR="00FC18C4">
        <w:t xml:space="preserve"> The EFSA opinion </w:t>
      </w:r>
      <w:r w:rsidR="00DC3862">
        <w:t xml:space="preserve">did not indicate </w:t>
      </w:r>
      <w:r w:rsidR="002846A2">
        <w:t>a</w:t>
      </w:r>
      <w:r w:rsidR="00DC3862">
        <w:t xml:space="preserve"> substantial reduction</w:t>
      </w:r>
      <w:r w:rsidR="00DC3862" w:rsidRPr="00DC3862">
        <w:t xml:space="preserve"> </w:t>
      </w:r>
      <w:r w:rsidR="00DC3862">
        <w:t xml:space="preserve">of sensitivity </w:t>
      </w:r>
      <w:r w:rsidR="00DC3862" w:rsidRPr="00DC3862">
        <w:t>on the detection of officially controlled animal health diseases</w:t>
      </w:r>
      <w:r w:rsidR="00DC3862">
        <w:t xml:space="preserve"> </w:t>
      </w:r>
      <w:r w:rsidR="002846A2">
        <w:t>by</w:t>
      </w:r>
      <w:r w:rsidR="00FC18C4">
        <w:t xml:space="preserve"> delayed post-mortem inspection</w:t>
      </w:r>
      <w:r w:rsidR="00DC3862">
        <w:t xml:space="preserve">. However, </w:t>
      </w:r>
      <w:r w:rsidR="00C90202">
        <w:t>timely</w:t>
      </w:r>
      <w:r w:rsidR="00DC3862">
        <w:t xml:space="preserve"> detection of such diseases is essential to impose without any delay control measures. </w:t>
      </w:r>
      <w:r w:rsidR="00FC18C4">
        <w:t xml:space="preserve">Delayed post-mortem inspection should therefore not be allowed in situation of increased </w:t>
      </w:r>
      <w:r w:rsidR="002846A2">
        <w:t xml:space="preserve">risk </w:t>
      </w:r>
      <w:r w:rsidR="00FC18C4">
        <w:t xml:space="preserve">to such </w:t>
      </w:r>
      <w:r w:rsidR="00DC3862">
        <w:t xml:space="preserve">animal health </w:t>
      </w:r>
      <w:r w:rsidR="00FC18C4">
        <w:t>diseases.</w:t>
      </w:r>
    </w:p>
    <w:p w14:paraId="6A7264AE" w14:textId="41968036" w:rsidR="00E970C8" w:rsidRDefault="00A0613F" w:rsidP="001236A2">
      <w:pPr>
        <w:pStyle w:val="Considrant"/>
      </w:pPr>
      <w:r>
        <w:t>At the same time, c</w:t>
      </w:r>
      <w:r w:rsidR="00E970C8">
        <w:t xml:space="preserve">ompetent authorities in many Member States </w:t>
      </w:r>
      <w:r>
        <w:t xml:space="preserve">are facing difficulties to comply with the requirements on the presence of the official veterinarian during post-mortem inspection. Allowing post-mortem inspection </w:t>
      </w:r>
      <w:r w:rsidR="00A008CC">
        <w:t xml:space="preserve">with a delay until 72h </w:t>
      </w:r>
      <w:r w:rsidR="00A008CC" w:rsidRPr="00A008CC">
        <w:t>in low-capacity slaughterhouses and game-handling establishments</w:t>
      </w:r>
      <w:r w:rsidR="00A008CC">
        <w:t>, provides facilitation on the presence of the official veterinarian without providing a significant public or animal health risk.</w:t>
      </w:r>
    </w:p>
    <w:p w14:paraId="3F96060A" w14:textId="45C15DD3" w:rsidR="00A008CC" w:rsidRDefault="00A008CC" w:rsidP="001236A2">
      <w:pPr>
        <w:pStyle w:val="Considrant"/>
      </w:pPr>
      <w:r>
        <w:t xml:space="preserve">In addition, Member States </w:t>
      </w:r>
      <w:r w:rsidR="0099236B">
        <w:t xml:space="preserve">submitted data </w:t>
      </w:r>
      <w:r>
        <w:t xml:space="preserve">on the </w:t>
      </w:r>
      <w:r w:rsidR="005606F1">
        <w:t xml:space="preserve">size </w:t>
      </w:r>
      <w:r>
        <w:t>of slaughterhouses and game-handling establishments</w:t>
      </w:r>
      <w:r w:rsidR="0099236B">
        <w:t>. These data</w:t>
      </w:r>
      <w:r>
        <w:t xml:space="preserve"> demonstrate that increasing the threshold to apply the delay of post-mortem inspection in low-capacity slaughterhouses and game-handling establishments from 5 to 10% of the total amount of fresh meat produced in a</w:t>
      </w:r>
      <w:r w:rsidR="0099236B">
        <w:t xml:space="preserve"> Member State, would further facilitate </w:t>
      </w:r>
      <w:r w:rsidR="0099236B" w:rsidRPr="0099236B">
        <w:t xml:space="preserve">the requirements on the </w:t>
      </w:r>
      <w:r w:rsidR="00B81C8E">
        <w:t xml:space="preserve">permanent </w:t>
      </w:r>
      <w:r w:rsidR="0099236B" w:rsidRPr="0099236B">
        <w:t>presence of the official veterinarian during meat post-mortem inspection</w:t>
      </w:r>
      <w:r w:rsidR="0099236B">
        <w:t xml:space="preserve"> in </w:t>
      </w:r>
      <w:r w:rsidR="00B81C8E">
        <w:t xml:space="preserve">more </w:t>
      </w:r>
      <w:r w:rsidR="0099236B">
        <w:t xml:space="preserve">slaughterhouses and game-handing establishments. </w:t>
      </w:r>
    </w:p>
    <w:p w14:paraId="77FC92D5" w14:textId="46306F16" w:rsidR="0099236B" w:rsidRDefault="0099236B" w:rsidP="001236A2">
      <w:pPr>
        <w:pStyle w:val="Considrant"/>
      </w:pPr>
      <w:r>
        <w:t>Article 13 of Implementing Regulation (EU) 2019/627 should be amended accordingly.</w:t>
      </w:r>
    </w:p>
    <w:p w14:paraId="076029CD" w14:textId="697015E3" w:rsidR="001236A2" w:rsidRPr="00922C91" w:rsidRDefault="001236A2" w:rsidP="00B155C7">
      <w:pPr>
        <w:pStyle w:val="Considrant"/>
      </w:pPr>
      <w:r w:rsidRPr="00922C91">
        <w:t xml:space="preserve">The measures provided for in this Regulation are in accordance with the opinion of </w:t>
      </w:r>
      <w:r w:rsidRPr="001236A2">
        <w:t xml:space="preserve">the </w:t>
      </w:r>
      <w:r w:rsidRPr="001236A2">
        <w:rPr>
          <w:rStyle w:val="Marker"/>
          <w:color w:val="auto"/>
        </w:rPr>
        <w:t>Standing Committee on Plants, Animals, Food and Feed,</w:t>
      </w:r>
    </w:p>
    <w:p w14:paraId="0F304962" w14:textId="77777777" w:rsidR="001236A2" w:rsidRPr="00922C91" w:rsidRDefault="001236A2" w:rsidP="004E1EF9">
      <w:pPr>
        <w:pStyle w:val="Formuledadoption"/>
      </w:pPr>
      <w:r w:rsidRPr="00922C91">
        <w:lastRenderedPageBreak/>
        <w:t>HAS ADOPTED THIS REGULATION:</w:t>
      </w:r>
    </w:p>
    <w:p w14:paraId="4A7BF903" w14:textId="77777777" w:rsidR="001236A2" w:rsidRPr="00922C91" w:rsidRDefault="001236A2" w:rsidP="004E1EF9">
      <w:pPr>
        <w:pStyle w:val="Titrearticle"/>
      </w:pPr>
      <w:r w:rsidRPr="00922C91">
        <w:t>Article 1</w:t>
      </w:r>
    </w:p>
    <w:p w14:paraId="25F35464" w14:textId="31AF58F4" w:rsidR="003711B8" w:rsidRPr="00FA42BF" w:rsidRDefault="003711B8" w:rsidP="003711B8">
      <w:pPr>
        <w:rPr>
          <w:rStyle w:val="Marker"/>
          <w:i/>
          <w:color w:val="auto"/>
        </w:rPr>
      </w:pPr>
      <w:r>
        <w:rPr>
          <w:rStyle w:val="Marker"/>
          <w:color w:val="auto"/>
        </w:rPr>
        <w:t>Implementing</w:t>
      </w:r>
      <w:r w:rsidRPr="00FA42BF">
        <w:rPr>
          <w:rStyle w:val="Marker"/>
          <w:color w:val="auto"/>
        </w:rPr>
        <w:t xml:space="preserve"> Regulation (E</w:t>
      </w:r>
      <w:r>
        <w:rPr>
          <w:rStyle w:val="Marker"/>
          <w:color w:val="auto"/>
        </w:rPr>
        <w:t>U</w:t>
      </w:r>
      <w:r w:rsidRPr="00FA42BF">
        <w:rPr>
          <w:rStyle w:val="Marker"/>
          <w:color w:val="auto"/>
        </w:rPr>
        <w:t xml:space="preserve">) </w:t>
      </w:r>
      <w:r>
        <w:rPr>
          <w:rStyle w:val="Marker"/>
          <w:color w:val="auto"/>
        </w:rPr>
        <w:t>2019/627</w:t>
      </w:r>
      <w:r w:rsidRPr="00FA42BF">
        <w:rPr>
          <w:rStyle w:val="Marker"/>
          <w:color w:val="auto"/>
        </w:rPr>
        <w:t xml:space="preserve"> is amended as follows:</w:t>
      </w:r>
    </w:p>
    <w:p w14:paraId="02F944E4" w14:textId="1A1A7C7C" w:rsidR="003711B8" w:rsidRDefault="003711B8" w:rsidP="003711B8">
      <w:pPr>
        <w:pStyle w:val="Listeafsnit"/>
        <w:numPr>
          <w:ilvl w:val="0"/>
          <w:numId w:val="18"/>
        </w:numPr>
        <w:rPr>
          <w:rStyle w:val="Marker"/>
          <w:color w:val="auto"/>
        </w:rPr>
      </w:pPr>
      <w:r w:rsidRPr="00FA42BF">
        <w:rPr>
          <w:rStyle w:val="Marker"/>
          <w:color w:val="auto"/>
        </w:rPr>
        <w:t xml:space="preserve">in </w:t>
      </w:r>
      <w:r>
        <w:rPr>
          <w:rStyle w:val="Marker"/>
          <w:color w:val="auto"/>
        </w:rPr>
        <w:t>Article 11</w:t>
      </w:r>
      <w:r w:rsidRPr="00FA42BF">
        <w:rPr>
          <w:rStyle w:val="Marker"/>
          <w:color w:val="auto"/>
        </w:rPr>
        <w:t>, the following</w:t>
      </w:r>
      <w:r>
        <w:rPr>
          <w:rStyle w:val="Marker"/>
          <w:color w:val="auto"/>
        </w:rPr>
        <w:t xml:space="preserve"> paragraph 7 is added</w:t>
      </w:r>
      <w:r w:rsidRPr="00FA42BF">
        <w:rPr>
          <w:rStyle w:val="Marker"/>
          <w:color w:val="auto"/>
        </w:rPr>
        <w:t>:</w:t>
      </w:r>
    </w:p>
    <w:p w14:paraId="63CBB040" w14:textId="3EE5FF62" w:rsidR="00A37D0B" w:rsidRPr="00A37D0B" w:rsidRDefault="003E4066" w:rsidP="00A37D0B">
      <w:pPr>
        <w:rPr>
          <w:rStyle w:val="Marker"/>
          <w:b/>
          <w:bCs/>
          <w:color w:val="auto"/>
          <w:u w:val="single"/>
        </w:rPr>
      </w:pPr>
      <w:r w:rsidRPr="003E4066">
        <w:rPr>
          <w:rStyle w:val="Marker"/>
          <w:b/>
          <w:bCs/>
          <w:color w:val="auto"/>
          <w:u w:val="single"/>
        </w:rPr>
        <w:t>‘</w:t>
      </w:r>
      <w:r w:rsidR="00A37D0B" w:rsidRPr="00A37D0B">
        <w:rPr>
          <w:rStyle w:val="Marker"/>
          <w:b/>
          <w:bCs/>
          <w:color w:val="auto"/>
          <w:u w:val="single"/>
        </w:rPr>
        <w:t>7(a) Competent authorities may use data generated by computer-based technologies, including artificial intelligence (AI), to supplement or support ante-mortem inspections and their outcomes, provided that such technologies have been validated</w:t>
      </w:r>
      <w:r w:rsidR="001B7F50">
        <w:rPr>
          <w:rStyle w:val="Marker"/>
          <w:b/>
          <w:bCs/>
          <w:color w:val="auto"/>
          <w:u w:val="single"/>
        </w:rPr>
        <w:t xml:space="preserve"> by the food business operator to the satisfaction of the competent authorities</w:t>
      </w:r>
      <w:r w:rsidR="00A37D0B" w:rsidRPr="00A37D0B">
        <w:rPr>
          <w:rStyle w:val="Marker"/>
          <w:b/>
          <w:bCs/>
          <w:color w:val="auto"/>
          <w:u w:val="single"/>
        </w:rPr>
        <w:t>.</w:t>
      </w:r>
    </w:p>
    <w:p w14:paraId="1835619E" w14:textId="188323D4" w:rsidR="00A37D0B" w:rsidRPr="00A37D0B" w:rsidRDefault="00A37D0B" w:rsidP="00A37D0B">
      <w:pPr>
        <w:rPr>
          <w:rStyle w:val="Marker"/>
          <w:b/>
          <w:bCs/>
          <w:color w:val="auto"/>
          <w:u w:val="single"/>
        </w:rPr>
      </w:pPr>
      <w:r w:rsidRPr="00A37D0B">
        <w:rPr>
          <w:rStyle w:val="Marker"/>
          <w:b/>
          <w:bCs/>
          <w:color w:val="auto"/>
          <w:u w:val="single"/>
        </w:rPr>
        <w:t xml:space="preserve">(b) Prior to the routine use of any computer-based technology, Member States shall </w:t>
      </w:r>
      <w:r w:rsidR="00874DFA">
        <w:rPr>
          <w:rStyle w:val="Marker"/>
          <w:b/>
          <w:bCs/>
          <w:color w:val="auto"/>
          <w:u w:val="single"/>
        </w:rPr>
        <w:t>inform</w:t>
      </w:r>
      <w:r w:rsidR="00874DFA" w:rsidRPr="00A37D0B">
        <w:rPr>
          <w:rStyle w:val="Marker"/>
          <w:b/>
          <w:bCs/>
          <w:color w:val="auto"/>
          <w:u w:val="single"/>
        </w:rPr>
        <w:t xml:space="preserve"> </w:t>
      </w:r>
      <w:r w:rsidRPr="00A37D0B">
        <w:rPr>
          <w:rStyle w:val="Marker"/>
          <w:b/>
          <w:bCs/>
          <w:color w:val="auto"/>
          <w:u w:val="single"/>
        </w:rPr>
        <w:t>the European Commission and other Member States of the validation results through the Standing Committee on Plants, Animals, Food and Feed (PAFF Committee).</w:t>
      </w:r>
    </w:p>
    <w:p w14:paraId="4219DCB4" w14:textId="06E6B286" w:rsidR="003E4066" w:rsidRPr="003E4066" w:rsidRDefault="00A37D0B" w:rsidP="00A37D0B">
      <w:pPr>
        <w:rPr>
          <w:rStyle w:val="Marker"/>
          <w:b/>
          <w:bCs/>
          <w:color w:val="auto"/>
          <w:u w:val="single"/>
        </w:rPr>
      </w:pPr>
      <w:r w:rsidRPr="00A37D0B">
        <w:rPr>
          <w:rStyle w:val="Marker"/>
          <w:b/>
          <w:bCs/>
          <w:color w:val="auto"/>
          <w:u w:val="single"/>
        </w:rPr>
        <w:t>(c) Food business operators shall ensure that data generated by such validated technologies are made available to the competent authorities</w:t>
      </w:r>
      <w:r w:rsidR="003E4066" w:rsidRPr="003E4066">
        <w:rPr>
          <w:rStyle w:val="Marker"/>
          <w:b/>
          <w:bCs/>
          <w:color w:val="auto"/>
          <w:u w:val="single"/>
        </w:rPr>
        <w:t>.’</w:t>
      </w:r>
    </w:p>
    <w:p w14:paraId="52ED4D1D" w14:textId="6BBB61F1" w:rsidR="003711B8" w:rsidRDefault="003711B8" w:rsidP="003711B8">
      <w:pPr>
        <w:pStyle w:val="Listeafsnit"/>
        <w:numPr>
          <w:ilvl w:val="0"/>
          <w:numId w:val="18"/>
        </w:numPr>
        <w:rPr>
          <w:rStyle w:val="Marker"/>
          <w:color w:val="auto"/>
        </w:rPr>
      </w:pPr>
      <w:r w:rsidRPr="003711B8">
        <w:rPr>
          <w:rStyle w:val="Marker"/>
          <w:color w:val="auto"/>
        </w:rPr>
        <w:t>in Article 1</w:t>
      </w:r>
      <w:r>
        <w:rPr>
          <w:rStyle w:val="Marker"/>
          <w:color w:val="auto"/>
        </w:rPr>
        <w:t>2</w:t>
      </w:r>
      <w:r w:rsidRPr="003711B8">
        <w:rPr>
          <w:rStyle w:val="Marker"/>
          <w:color w:val="auto"/>
        </w:rPr>
        <w:t xml:space="preserve">, the following paragraph </w:t>
      </w:r>
      <w:r>
        <w:rPr>
          <w:rStyle w:val="Marker"/>
          <w:color w:val="auto"/>
        </w:rPr>
        <w:t>5</w:t>
      </w:r>
      <w:r w:rsidRPr="003711B8">
        <w:rPr>
          <w:rStyle w:val="Marker"/>
          <w:color w:val="auto"/>
        </w:rPr>
        <w:t xml:space="preserve"> is added:</w:t>
      </w:r>
    </w:p>
    <w:p w14:paraId="07BF56FC" w14:textId="36587B92" w:rsidR="00A37D0B" w:rsidRPr="00A37D0B" w:rsidRDefault="003E4066" w:rsidP="00A37D0B">
      <w:pPr>
        <w:rPr>
          <w:rStyle w:val="Marker"/>
          <w:b/>
          <w:bCs/>
          <w:color w:val="auto"/>
          <w:u w:val="single"/>
        </w:rPr>
      </w:pPr>
      <w:r w:rsidRPr="003E4066">
        <w:rPr>
          <w:rStyle w:val="Marker"/>
          <w:b/>
          <w:bCs/>
          <w:color w:val="auto"/>
          <w:u w:val="single"/>
        </w:rPr>
        <w:t>‘</w:t>
      </w:r>
      <w:r w:rsidR="00A37D0B">
        <w:rPr>
          <w:rStyle w:val="Marker"/>
          <w:b/>
          <w:bCs/>
          <w:color w:val="auto"/>
          <w:u w:val="single"/>
        </w:rPr>
        <w:t>5</w:t>
      </w:r>
      <w:r w:rsidR="00A37D0B" w:rsidRPr="00A37D0B">
        <w:rPr>
          <w:rStyle w:val="Marker"/>
          <w:b/>
          <w:bCs/>
          <w:color w:val="auto"/>
          <w:u w:val="single"/>
        </w:rPr>
        <w:t xml:space="preserve">(a) Competent authorities may use data generated by computer-based technologies, including artificial intelligence (AI), to supplement or support </w:t>
      </w:r>
      <w:r w:rsidR="00A37D0B">
        <w:rPr>
          <w:rStyle w:val="Marker"/>
          <w:b/>
          <w:bCs/>
          <w:color w:val="auto"/>
          <w:u w:val="single"/>
        </w:rPr>
        <w:t>post</w:t>
      </w:r>
      <w:r w:rsidR="00A37D0B" w:rsidRPr="00A37D0B">
        <w:rPr>
          <w:rStyle w:val="Marker"/>
          <w:b/>
          <w:bCs/>
          <w:color w:val="auto"/>
          <w:u w:val="single"/>
        </w:rPr>
        <w:t>-mortem inspections and their outcomes, provided that such technologies have been validated</w:t>
      </w:r>
      <w:r w:rsidR="00874DFA">
        <w:rPr>
          <w:rStyle w:val="Marker"/>
          <w:b/>
          <w:bCs/>
          <w:color w:val="auto"/>
          <w:u w:val="single"/>
        </w:rPr>
        <w:t xml:space="preserve"> by the food business operator to the satisfaction of the competent authorities</w:t>
      </w:r>
      <w:r w:rsidR="00A37D0B" w:rsidRPr="00A37D0B">
        <w:rPr>
          <w:rStyle w:val="Marker"/>
          <w:b/>
          <w:bCs/>
          <w:color w:val="auto"/>
          <w:u w:val="single"/>
        </w:rPr>
        <w:t>.</w:t>
      </w:r>
    </w:p>
    <w:p w14:paraId="5278B46C" w14:textId="7B89648E" w:rsidR="00A37D0B" w:rsidRPr="00A37D0B" w:rsidRDefault="00A37D0B" w:rsidP="00A37D0B">
      <w:pPr>
        <w:rPr>
          <w:rStyle w:val="Marker"/>
          <w:b/>
          <w:bCs/>
          <w:color w:val="auto"/>
          <w:u w:val="single"/>
        </w:rPr>
      </w:pPr>
      <w:r w:rsidRPr="00A37D0B">
        <w:rPr>
          <w:rStyle w:val="Marker"/>
          <w:b/>
          <w:bCs/>
          <w:color w:val="auto"/>
          <w:u w:val="single"/>
        </w:rPr>
        <w:t xml:space="preserve">(b) Prior to the routine use of any computer-based technology, Member States shall </w:t>
      </w:r>
      <w:r w:rsidR="00874DFA">
        <w:rPr>
          <w:rStyle w:val="Marker"/>
          <w:b/>
          <w:bCs/>
          <w:color w:val="auto"/>
          <w:u w:val="single"/>
        </w:rPr>
        <w:t>inform</w:t>
      </w:r>
      <w:r w:rsidR="00874DFA" w:rsidRPr="00A37D0B">
        <w:rPr>
          <w:rStyle w:val="Marker"/>
          <w:b/>
          <w:bCs/>
          <w:color w:val="auto"/>
          <w:u w:val="single"/>
        </w:rPr>
        <w:t xml:space="preserve"> </w:t>
      </w:r>
      <w:r w:rsidRPr="00A37D0B">
        <w:rPr>
          <w:rStyle w:val="Marker"/>
          <w:b/>
          <w:bCs/>
          <w:color w:val="auto"/>
          <w:u w:val="single"/>
        </w:rPr>
        <w:t>the European Commission and other Member States of the validation results through the Standing Committee on Plants, Animals, Food and Feed (PAFF Committee).</w:t>
      </w:r>
    </w:p>
    <w:p w14:paraId="5C5E7E53" w14:textId="3D9111EB" w:rsidR="003E4066" w:rsidRPr="003E4066" w:rsidRDefault="00A37D0B" w:rsidP="00A37D0B">
      <w:pPr>
        <w:rPr>
          <w:rStyle w:val="Marker"/>
          <w:b/>
          <w:bCs/>
          <w:color w:val="auto"/>
          <w:u w:val="single"/>
        </w:rPr>
      </w:pPr>
      <w:r w:rsidRPr="00A37D0B">
        <w:rPr>
          <w:rStyle w:val="Marker"/>
          <w:b/>
          <w:bCs/>
          <w:color w:val="auto"/>
          <w:u w:val="single"/>
        </w:rPr>
        <w:t>(c) Food business operators shall ensure that data generated by such validated technologies are made available to the competent authorities</w:t>
      </w:r>
      <w:r w:rsidR="003E4066" w:rsidRPr="003E4066">
        <w:rPr>
          <w:rStyle w:val="Marker"/>
          <w:b/>
          <w:bCs/>
          <w:color w:val="auto"/>
          <w:u w:val="single"/>
        </w:rPr>
        <w:t>.’</w:t>
      </w:r>
    </w:p>
    <w:p w14:paraId="54036486" w14:textId="1E151F13" w:rsidR="00340AE2" w:rsidRDefault="001F28BC" w:rsidP="003711B8">
      <w:pPr>
        <w:pStyle w:val="Listeafsnit"/>
        <w:numPr>
          <w:ilvl w:val="0"/>
          <w:numId w:val="18"/>
        </w:numPr>
        <w:rPr>
          <w:rStyle w:val="Marker"/>
          <w:color w:val="auto"/>
        </w:rPr>
      </w:pPr>
      <w:r>
        <w:rPr>
          <w:rStyle w:val="Marker"/>
          <w:color w:val="auto"/>
        </w:rPr>
        <w:t>Article 13</w:t>
      </w:r>
      <w:r w:rsidR="00340AE2">
        <w:rPr>
          <w:rStyle w:val="Marker"/>
          <w:color w:val="auto"/>
        </w:rPr>
        <w:t xml:space="preserve"> is amended as follows:</w:t>
      </w:r>
    </w:p>
    <w:p w14:paraId="623F4BFF" w14:textId="309E0677" w:rsidR="003711B8" w:rsidRDefault="003711B8" w:rsidP="00340AE2">
      <w:pPr>
        <w:pStyle w:val="Listeafsnit"/>
        <w:numPr>
          <w:ilvl w:val="0"/>
          <w:numId w:val="24"/>
        </w:numPr>
        <w:rPr>
          <w:rStyle w:val="Marker"/>
          <w:color w:val="auto"/>
        </w:rPr>
      </w:pPr>
      <w:r>
        <w:rPr>
          <w:rStyle w:val="Marker"/>
          <w:color w:val="auto"/>
        </w:rPr>
        <w:t>paragraphs 1 and 2 are replaced by the following:</w:t>
      </w:r>
    </w:p>
    <w:p w14:paraId="69F58322" w14:textId="3544E15F" w:rsidR="00842DD3" w:rsidRDefault="00842DD3" w:rsidP="00842DD3">
      <w:r>
        <w:t>‘1</w:t>
      </w:r>
      <w:r w:rsidR="003F1598">
        <w:t xml:space="preserve">. </w:t>
      </w:r>
      <w:r>
        <w:t xml:space="preserve">By way of derogation from Article 12(1), the competent authorities may allow that, when neither the official veterinarian nor the official auxiliary are present in the game-handling establishment or slaughterhouse during slaughter and dressing, the post-mortem inspection is delayed by a maximum period of </w:t>
      </w:r>
      <w:r w:rsidRPr="00842DD3">
        <w:rPr>
          <w:strike/>
        </w:rPr>
        <w:t xml:space="preserve">24 </w:t>
      </w:r>
      <w:r w:rsidRPr="00842DD3">
        <w:rPr>
          <w:b/>
          <w:bCs/>
          <w:u w:val="single"/>
        </w:rPr>
        <w:t>72</w:t>
      </w:r>
      <w:r>
        <w:t xml:space="preserve"> hours from slaughter or arrival in the game-handling establishment, provided that: </w:t>
      </w:r>
    </w:p>
    <w:p w14:paraId="794E5BC2" w14:textId="77777777" w:rsidR="00842DD3" w:rsidRDefault="00842DD3" w:rsidP="00842DD3">
      <w:pPr>
        <w:pStyle w:val="Point0letter"/>
      </w:pPr>
      <w:r>
        <w:t xml:space="preserve">the animals concerned are slaughtered in a low-capacity slaughterhouse or handled in a low-capacity game-handling establishment that slaughters or handles: </w:t>
      </w:r>
    </w:p>
    <w:p w14:paraId="3462A6E0" w14:textId="47A89C84" w:rsidR="00842DD3" w:rsidRDefault="00842DD3" w:rsidP="00842DD3">
      <w:pPr>
        <w:pStyle w:val="Point1letter"/>
        <w:numPr>
          <w:ilvl w:val="0"/>
          <w:numId w:val="20"/>
        </w:numPr>
      </w:pPr>
      <w:r>
        <w:t xml:space="preserve">fewer than 1 000 livestock units per year; or </w:t>
      </w:r>
    </w:p>
    <w:p w14:paraId="741EE01A" w14:textId="4E231ED5" w:rsidR="00842DD3" w:rsidRDefault="00842DD3" w:rsidP="00842DD3">
      <w:pPr>
        <w:pStyle w:val="Point1letter"/>
        <w:numPr>
          <w:ilvl w:val="0"/>
          <w:numId w:val="20"/>
        </w:numPr>
      </w:pPr>
      <w:r>
        <w:t xml:space="preserve">(ii) fewer than 150 000 poultry, lagomorphs and small wild game per year; </w:t>
      </w:r>
    </w:p>
    <w:p w14:paraId="0669AB25" w14:textId="1F08E935" w:rsidR="00842DD3" w:rsidRDefault="00842DD3" w:rsidP="00842DD3">
      <w:pPr>
        <w:pStyle w:val="Point0letter"/>
      </w:pPr>
      <w:r>
        <w:t xml:space="preserve">sufficient facilities exist within an establishment to store the fresh meat and offal </w:t>
      </w:r>
      <w:r w:rsidR="00340AE2" w:rsidRPr="00340AE2">
        <w:rPr>
          <w:b/>
          <w:bCs/>
          <w:u w:val="single"/>
        </w:rPr>
        <w:t>at the temperature requirements laid down in point 1(a) of Chapter VII to Section I of Annex III to Regulation (EC) No 853/2004</w:t>
      </w:r>
      <w:r w:rsidR="00340AE2">
        <w:t xml:space="preserve">, </w:t>
      </w:r>
      <w:r>
        <w:t xml:space="preserve">so that they can be examined; </w:t>
      </w:r>
    </w:p>
    <w:p w14:paraId="3A89D2ED" w14:textId="7EB4A361" w:rsidR="005606F1" w:rsidRDefault="00842DD3" w:rsidP="00842DD3">
      <w:pPr>
        <w:pStyle w:val="Point0letter"/>
      </w:pPr>
      <w:r>
        <w:t>the post-mortem inspection is carried out by the official veterinarian</w:t>
      </w:r>
      <w:r w:rsidR="005606F1">
        <w:t>;</w:t>
      </w:r>
    </w:p>
    <w:p w14:paraId="19B8D369" w14:textId="1119B3A7" w:rsidR="00842DD3" w:rsidRPr="009853D4" w:rsidRDefault="00874DFA" w:rsidP="00842DD3">
      <w:pPr>
        <w:pStyle w:val="Point0letter"/>
        <w:rPr>
          <w:b/>
          <w:bCs/>
        </w:rPr>
      </w:pPr>
      <w:r>
        <w:rPr>
          <w:b/>
          <w:bCs/>
        </w:rPr>
        <w:lastRenderedPageBreak/>
        <w:t xml:space="preserve">official </w:t>
      </w:r>
      <w:r w:rsidR="005606F1" w:rsidRPr="009853D4">
        <w:rPr>
          <w:b/>
          <w:bCs/>
        </w:rPr>
        <w:t xml:space="preserve">sampling for the verification of compliance with the requirements on </w:t>
      </w:r>
      <w:r w:rsidR="005606F1" w:rsidRPr="009853D4">
        <w:rPr>
          <w:b/>
          <w:bCs/>
          <w:i/>
          <w:iCs/>
        </w:rPr>
        <w:t>Salmonella</w:t>
      </w:r>
      <w:r w:rsidR="005606F1" w:rsidRPr="009853D4">
        <w:rPr>
          <w:b/>
          <w:bCs/>
        </w:rPr>
        <w:t xml:space="preserve"> and pharmacologically active substances, respectively in accordance with Articles 35 and 37(1)(c), is carried out on animals no longer than 24h after slaughter.</w:t>
      </w:r>
    </w:p>
    <w:p w14:paraId="71F07F59" w14:textId="77777777" w:rsidR="00842DD3" w:rsidRDefault="00842DD3" w:rsidP="00842DD3">
      <w:r>
        <w:t xml:space="preserve">2. The competent authorities may increase the thresholds laid down in point (a) (i) and (ii) of paragraph 1 ensuring that the derogation is applied in the smallest slaughterhouses and game-handling establishments complying with the definition of low-capacity slaughterhouse or low-capacity game-handling establishment and provided that the combined annual production of these establishments does not exceed </w:t>
      </w:r>
      <w:r w:rsidRPr="00842DD3">
        <w:rPr>
          <w:strike/>
        </w:rPr>
        <w:t>5</w:t>
      </w:r>
      <w:r>
        <w:t xml:space="preserve"> </w:t>
      </w:r>
      <w:r w:rsidRPr="00842DD3">
        <w:rPr>
          <w:b/>
          <w:bCs/>
          <w:u w:val="single"/>
        </w:rPr>
        <w:t xml:space="preserve">10 </w:t>
      </w:r>
      <w:r>
        <w:t xml:space="preserve">% of the total amount of fresh meat produced in a Member State: </w:t>
      </w:r>
    </w:p>
    <w:p w14:paraId="20669605" w14:textId="77777777" w:rsidR="00842DD3" w:rsidRDefault="00842DD3" w:rsidP="00842DD3">
      <w:pPr>
        <w:ind w:left="426"/>
      </w:pPr>
      <w:r>
        <w:t xml:space="preserve">(a) for the species concerned; </w:t>
      </w:r>
    </w:p>
    <w:p w14:paraId="07A3E169" w14:textId="77777777" w:rsidR="00842DD3" w:rsidRDefault="00842DD3" w:rsidP="00842DD3">
      <w:pPr>
        <w:ind w:left="426"/>
      </w:pPr>
      <w:r>
        <w:t xml:space="preserve">(b) or for all ungulates together; </w:t>
      </w:r>
    </w:p>
    <w:p w14:paraId="3D0AE1EF" w14:textId="77777777" w:rsidR="00842DD3" w:rsidRDefault="00842DD3" w:rsidP="00842DD3">
      <w:pPr>
        <w:ind w:left="426"/>
      </w:pPr>
      <w:r>
        <w:t xml:space="preserve">(c) of all poultry together; or, </w:t>
      </w:r>
    </w:p>
    <w:p w14:paraId="088AC3A3" w14:textId="31E1C337" w:rsidR="00842DD3" w:rsidRDefault="00842DD3" w:rsidP="00842DD3">
      <w:pPr>
        <w:ind w:left="426"/>
      </w:pPr>
      <w:r>
        <w:t xml:space="preserve">(d) of all birds and lagomorphs together. </w:t>
      </w:r>
    </w:p>
    <w:p w14:paraId="37F05CF3" w14:textId="76F50C32" w:rsidR="00842DD3" w:rsidRPr="003443C9" w:rsidRDefault="00842DD3" w:rsidP="00842DD3">
      <w:r>
        <w:t xml:space="preserve">In such case, the competent authorities shall notify this derogation and the evidence to support it in accordance with the procedure laid down in Directive (EU) 2015/1535 of the European </w:t>
      </w:r>
      <w:r w:rsidRPr="003443C9">
        <w:t>Parliament and of the Council (</w:t>
      </w:r>
      <w:r w:rsidRPr="003443C9">
        <w:rPr>
          <w:vertAlign w:val="superscript"/>
        </w:rPr>
        <w:t>10</w:t>
      </w:r>
      <w:r w:rsidRPr="003443C9">
        <w:t>).’</w:t>
      </w:r>
    </w:p>
    <w:p w14:paraId="165B8F86" w14:textId="232FD366" w:rsidR="00340AE2" w:rsidRPr="003443C9" w:rsidRDefault="00340AE2" w:rsidP="00FC18C4">
      <w:pPr>
        <w:pStyle w:val="Listeafsnit"/>
        <w:numPr>
          <w:ilvl w:val="0"/>
          <w:numId w:val="24"/>
        </w:numPr>
        <w:rPr>
          <w:rStyle w:val="Marker"/>
          <w:b/>
          <w:bCs/>
          <w:color w:val="auto"/>
          <w:u w:val="single"/>
        </w:rPr>
      </w:pPr>
      <w:r w:rsidRPr="003443C9">
        <w:rPr>
          <w:rStyle w:val="Marker"/>
          <w:b/>
          <w:bCs/>
          <w:color w:val="auto"/>
          <w:u w:val="single"/>
        </w:rPr>
        <w:t xml:space="preserve">the following paragraph 4 is added: </w:t>
      </w:r>
    </w:p>
    <w:p w14:paraId="3302A538" w14:textId="77777777" w:rsidR="00E577FA" w:rsidRPr="003443C9" w:rsidRDefault="00E577FA" w:rsidP="00E577FA">
      <w:pPr>
        <w:rPr>
          <w:b/>
          <w:bCs/>
          <w:u w:val="single"/>
        </w:rPr>
      </w:pPr>
      <w:r w:rsidRPr="003443C9">
        <w:rPr>
          <w:rStyle w:val="Marker"/>
          <w:b/>
          <w:bCs/>
          <w:color w:val="auto"/>
          <w:u w:val="single"/>
        </w:rPr>
        <w:t>‘</w:t>
      </w:r>
      <w:r w:rsidRPr="003443C9">
        <w:rPr>
          <w:b/>
          <w:bCs/>
          <w:u w:val="single"/>
        </w:rPr>
        <w:t xml:space="preserve">4. The derogation in paragraph 1 shall not apply: </w:t>
      </w:r>
    </w:p>
    <w:p w14:paraId="1FCACDD2" w14:textId="77777777" w:rsidR="00E577FA" w:rsidRPr="003443C9" w:rsidRDefault="00E577FA" w:rsidP="00E577FA">
      <w:pPr>
        <w:rPr>
          <w:b/>
          <w:bCs/>
          <w:u w:val="single"/>
        </w:rPr>
      </w:pPr>
      <w:r w:rsidRPr="003443C9">
        <w:rPr>
          <w:b/>
          <w:bCs/>
          <w:u w:val="single"/>
        </w:rPr>
        <w:t xml:space="preserve">(a) to animals suspected of having a disease or condition that may adversely affect human health; </w:t>
      </w:r>
    </w:p>
    <w:p w14:paraId="067A3B70" w14:textId="08D39E4D" w:rsidR="00E577FA" w:rsidRPr="003443C9" w:rsidRDefault="00E577FA" w:rsidP="00FC18C4">
      <w:pPr>
        <w:rPr>
          <w:b/>
          <w:bCs/>
          <w:u w:val="single"/>
        </w:rPr>
      </w:pPr>
      <w:r w:rsidRPr="003443C9">
        <w:rPr>
          <w:b/>
          <w:bCs/>
          <w:u w:val="single"/>
        </w:rPr>
        <w:t xml:space="preserve">(b) to bovine animals from establishments defined in Article 4, point (27), of Regulation (EU) 2016/429 of the European Parliament and of the Council (*), which have not been granted the status “free from infection with </w:t>
      </w:r>
      <w:r w:rsidRPr="003443C9">
        <w:rPr>
          <w:b/>
          <w:bCs/>
          <w:i/>
          <w:iCs/>
          <w:u w:val="single"/>
        </w:rPr>
        <w:t>Mycobacterium tuberculosis</w:t>
      </w:r>
      <w:r w:rsidRPr="003443C9">
        <w:rPr>
          <w:b/>
          <w:bCs/>
          <w:u w:val="single"/>
        </w:rPr>
        <w:t xml:space="preserve"> complex” (</w:t>
      </w:r>
      <w:r w:rsidRPr="003443C9">
        <w:rPr>
          <w:b/>
          <w:bCs/>
          <w:i/>
          <w:iCs/>
          <w:u w:val="single"/>
        </w:rPr>
        <w:t>M. bovis, M. caprae</w:t>
      </w:r>
      <w:r w:rsidRPr="003443C9">
        <w:rPr>
          <w:b/>
          <w:bCs/>
          <w:u w:val="single"/>
        </w:rPr>
        <w:t xml:space="preserve"> and </w:t>
      </w:r>
      <w:r w:rsidRPr="003443C9">
        <w:rPr>
          <w:b/>
          <w:bCs/>
          <w:i/>
          <w:iCs/>
          <w:u w:val="single"/>
        </w:rPr>
        <w:t>M. tuberculosis</w:t>
      </w:r>
      <w:r w:rsidRPr="003443C9">
        <w:rPr>
          <w:b/>
          <w:bCs/>
          <w:u w:val="single"/>
        </w:rPr>
        <w:t>) as laid down in Part II, Chapter 1, Sections 1 and 2, of Annex IV to Commission Delegated Regulation (EU) 2020/689 (*</w:t>
      </w:r>
      <w:r w:rsidR="00FC18C4" w:rsidRPr="003443C9">
        <w:rPr>
          <w:b/>
          <w:bCs/>
          <w:u w:val="single"/>
        </w:rPr>
        <w:t>*</w:t>
      </w:r>
      <w:r w:rsidRPr="003443C9">
        <w:rPr>
          <w:b/>
          <w:bCs/>
          <w:u w:val="single"/>
        </w:rPr>
        <w:t>);</w:t>
      </w:r>
    </w:p>
    <w:p w14:paraId="5C0E2849" w14:textId="6F39A690" w:rsidR="00E577FA" w:rsidRPr="003443C9" w:rsidRDefault="00E577FA" w:rsidP="00E577FA">
      <w:pPr>
        <w:rPr>
          <w:b/>
          <w:bCs/>
          <w:u w:val="single"/>
        </w:rPr>
      </w:pPr>
      <w:r w:rsidRPr="003443C9">
        <w:rPr>
          <w:b/>
          <w:bCs/>
          <w:u w:val="single"/>
        </w:rPr>
        <w:t>(</w:t>
      </w:r>
      <w:r w:rsidR="00FC18C4" w:rsidRPr="003443C9">
        <w:rPr>
          <w:b/>
          <w:bCs/>
          <w:u w:val="single"/>
        </w:rPr>
        <w:t>c</w:t>
      </w:r>
      <w:r w:rsidRPr="003443C9">
        <w:rPr>
          <w:b/>
          <w:bCs/>
          <w:u w:val="single"/>
        </w:rPr>
        <w:t>)</w:t>
      </w:r>
      <w:r w:rsidR="00FC18C4" w:rsidRPr="003443C9">
        <w:rPr>
          <w:b/>
          <w:bCs/>
          <w:u w:val="single"/>
        </w:rPr>
        <w:t xml:space="preserve"> </w:t>
      </w:r>
      <w:r w:rsidRPr="003443C9">
        <w:rPr>
          <w:b/>
          <w:bCs/>
          <w:u w:val="single"/>
        </w:rPr>
        <w:t xml:space="preserve">to bovine, ovine or caprine animals from establishments defined in Article 4, point (27), of Regulation (EU) 2016/429, which have not been granted the status “free from infection with </w:t>
      </w:r>
      <w:r w:rsidRPr="003443C9">
        <w:rPr>
          <w:b/>
          <w:bCs/>
          <w:i/>
          <w:iCs/>
          <w:u w:val="single"/>
        </w:rPr>
        <w:t>Brucella abortus</w:t>
      </w:r>
      <w:r w:rsidRPr="003443C9">
        <w:rPr>
          <w:b/>
          <w:bCs/>
          <w:u w:val="single"/>
        </w:rPr>
        <w:t xml:space="preserve">, </w:t>
      </w:r>
      <w:r w:rsidRPr="003443C9">
        <w:rPr>
          <w:b/>
          <w:bCs/>
          <w:i/>
          <w:iCs/>
          <w:u w:val="single"/>
        </w:rPr>
        <w:t>B. melitensis</w:t>
      </w:r>
      <w:r w:rsidRPr="003443C9">
        <w:rPr>
          <w:b/>
          <w:bCs/>
          <w:u w:val="single"/>
        </w:rPr>
        <w:t xml:space="preserve"> and </w:t>
      </w:r>
      <w:r w:rsidRPr="003443C9">
        <w:rPr>
          <w:b/>
          <w:bCs/>
          <w:i/>
          <w:iCs/>
          <w:u w:val="single"/>
        </w:rPr>
        <w:t>B. suis</w:t>
      </w:r>
      <w:r w:rsidRPr="003443C9">
        <w:rPr>
          <w:b/>
          <w:bCs/>
          <w:u w:val="single"/>
        </w:rPr>
        <w:t xml:space="preserve"> without vaccination” as laid down in Part I, Chapter 1, Sections 1 and 2 of Annex IV to Delegated Regulation (EU) 2020/689;</w:t>
      </w:r>
    </w:p>
    <w:p w14:paraId="44D0C28C" w14:textId="77777777" w:rsidR="00FC18C4" w:rsidRPr="003443C9" w:rsidRDefault="00E577FA" w:rsidP="00E577FA">
      <w:pPr>
        <w:rPr>
          <w:b/>
          <w:bCs/>
          <w:u w:val="single"/>
        </w:rPr>
      </w:pPr>
      <w:r w:rsidRPr="003443C9">
        <w:rPr>
          <w:b/>
          <w:bCs/>
          <w:u w:val="single"/>
        </w:rPr>
        <w:t>(</w:t>
      </w:r>
      <w:r w:rsidR="00FC18C4" w:rsidRPr="003443C9">
        <w:rPr>
          <w:b/>
          <w:bCs/>
          <w:u w:val="single"/>
        </w:rPr>
        <w:t>d</w:t>
      </w:r>
      <w:r w:rsidRPr="003443C9">
        <w:rPr>
          <w:b/>
          <w:bCs/>
          <w:u w:val="single"/>
        </w:rPr>
        <w:t>)</w:t>
      </w:r>
      <w:r w:rsidR="00FC18C4" w:rsidRPr="003443C9">
        <w:rPr>
          <w:b/>
          <w:bCs/>
          <w:u w:val="single"/>
        </w:rPr>
        <w:t xml:space="preserve"> </w:t>
      </w:r>
      <w:r w:rsidRPr="003443C9">
        <w:rPr>
          <w:b/>
          <w:bCs/>
          <w:u w:val="single"/>
        </w:rPr>
        <w:t xml:space="preserve">to animals coming from a restricted zone referred to in Article 126(1), point (b)(iii), of Regulation (EU) 2016/429 and subject to restrictions within that zone; </w:t>
      </w:r>
    </w:p>
    <w:p w14:paraId="1EA440B5" w14:textId="30E7B9D4" w:rsidR="00E577FA" w:rsidRPr="003443C9" w:rsidRDefault="00E577FA" w:rsidP="00E577FA">
      <w:pPr>
        <w:pBdr>
          <w:bottom w:val="single" w:sz="12" w:space="1" w:color="auto"/>
        </w:pBdr>
        <w:rPr>
          <w:b/>
          <w:bCs/>
          <w:u w:val="single"/>
        </w:rPr>
      </w:pPr>
      <w:r w:rsidRPr="003443C9">
        <w:rPr>
          <w:b/>
          <w:bCs/>
          <w:u w:val="single"/>
        </w:rPr>
        <w:t>(e) to animals subject to stricter controls due to the spread of emerging diseases or particular diseases listed by the World Organisation for Animal Health.</w:t>
      </w:r>
    </w:p>
    <w:p w14:paraId="41A257C1" w14:textId="77777777" w:rsidR="00FC18C4" w:rsidRPr="003443C9" w:rsidRDefault="00FC18C4" w:rsidP="00FC18C4">
      <w:pPr>
        <w:ind w:left="567" w:hanging="567"/>
        <w:rPr>
          <w:b/>
          <w:bCs/>
          <w:u w:val="single"/>
          <w:lang w:val="en-IE"/>
        </w:rPr>
      </w:pPr>
      <w:r w:rsidRPr="003443C9">
        <w:rPr>
          <w:b/>
          <w:bCs/>
          <w:u w:val="single"/>
          <w:lang w:val="en-IE"/>
        </w:rPr>
        <w:t>*</w:t>
      </w:r>
      <w:r w:rsidRPr="003443C9">
        <w:rPr>
          <w:b/>
          <w:bCs/>
          <w:u w:val="single"/>
          <w:lang w:val="en-IE"/>
        </w:rPr>
        <w:tab/>
        <w:t>Regulation (EU) 2016/429 of the European Parliament and of the Council of 9 March 2016 on transmissible animal diseases and amending and repealing certain acts in the area of animal health (“Animal Health Law”) (OJ L 84, 31.3.2016, p. 1,</w:t>
      </w:r>
      <w:r w:rsidRPr="003443C9">
        <w:rPr>
          <w:b/>
          <w:bCs/>
          <w:u w:val="single"/>
        </w:rPr>
        <w:t xml:space="preserve"> </w:t>
      </w:r>
      <w:r w:rsidRPr="003443C9">
        <w:rPr>
          <w:b/>
          <w:bCs/>
          <w:u w:val="single"/>
          <w:lang w:val="en-IE"/>
        </w:rPr>
        <w:t xml:space="preserve">ELI: </w:t>
      </w:r>
      <w:hyperlink r:id="rId11" w:history="1">
        <w:r w:rsidRPr="003443C9">
          <w:rPr>
            <w:b/>
            <w:bCs/>
            <w:color w:val="0000FF" w:themeColor="hyperlink"/>
            <w:u w:val="single"/>
            <w:lang w:val="en-IE"/>
          </w:rPr>
          <w:t>http://data.europa.eu/eli/reg/2016/429/oj</w:t>
        </w:r>
      </w:hyperlink>
      <w:r w:rsidRPr="003443C9">
        <w:rPr>
          <w:b/>
          <w:bCs/>
          <w:color w:val="0000FF" w:themeColor="hyperlink"/>
          <w:u w:val="single"/>
          <w:lang w:val="en-IE"/>
        </w:rPr>
        <w:t>)</w:t>
      </w:r>
      <w:r w:rsidRPr="003443C9">
        <w:rPr>
          <w:b/>
          <w:bCs/>
          <w:u w:val="single"/>
          <w:lang w:val="en-IE"/>
        </w:rPr>
        <w:t>.</w:t>
      </w:r>
    </w:p>
    <w:p w14:paraId="41E490F2" w14:textId="2487D3F4" w:rsidR="00FC18C4" w:rsidRPr="00FC18C4" w:rsidRDefault="00FC18C4" w:rsidP="00FC18C4">
      <w:pPr>
        <w:ind w:left="567" w:hanging="567"/>
        <w:rPr>
          <w:b/>
          <w:bCs/>
          <w:u w:val="single"/>
          <w:lang w:val="de-DE"/>
        </w:rPr>
      </w:pPr>
      <w:r w:rsidRPr="003443C9">
        <w:rPr>
          <w:b/>
          <w:bCs/>
          <w:u w:val="single"/>
          <w:lang w:val="en-IE"/>
        </w:rPr>
        <w:t>**</w:t>
      </w:r>
      <w:r w:rsidRPr="003443C9">
        <w:rPr>
          <w:b/>
          <w:bCs/>
          <w:u w:val="single"/>
          <w:lang w:val="en-IE"/>
        </w:rPr>
        <w:tab/>
        <w:t>Commission Delegated Regulation (EU) 2020/689 of 17 December 2019 supplementing Regulation (EU) 2016/429 of the European Parliament and of the Council as regards rules for surveillance, eradication programmes, and disease-free status for certain listed and emerging diseases (OJ L 174, 3.</w:t>
      </w:r>
      <w:r w:rsidRPr="003443C9">
        <w:rPr>
          <w:b/>
          <w:bCs/>
          <w:u w:val="single"/>
          <w:lang w:val="de-DE"/>
        </w:rPr>
        <w:t xml:space="preserve">6.2020, p. 211, ELI: </w:t>
      </w:r>
      <w:hyperlink r:id="rId12" w:history="1">
        <w:r w:rsidRPr="003443C9">
          <w:rPr>
            <w:b/>
            <w:bCs/>
            <w:color w:val="0000FF" w:themeColor="hyperlink"/>
            <w:u w:val="single"/>
            <w:lang w:val="de-DE"/>
          </w:rPr>
          <w:t>http://data.europa.eu/eli/reg_del/2020/689/oj</w:t>
        </w:r>
      </w:hyperlink>
      <w:r w:rsidRPr="003443C9">
        <w:rPr>
          <w:b/>
          <w:bCs/>
          <w:color w:val="0000FF" w:themeColor="hyperlink"/>
          <w:u w:val="single"/>
          <w:lang w:val="de-DE"/>
        </w:rPr>
        <w:t>)</w:t>
      </w:r>
      <w:r w:rsidRPr="003443C9">
        <w:rPr>
          <w:b/>
          <w:bCs/>
          <w:u w:val="single"/>
          <w:lang w:val="de-DE"/>
        </w:rPr>
        <w:t>.’</w:t>
      </w:r>
    </w:p>
    <w:p w14:paraId="308A03DE" w14:textId="15C7F61C" w:rsidR="001236A2" w:rsidRPr="00922C91" w:rsidRDefault="001236A2" w:rsidP="004E1EF9">
      <w:pPr>
        <w:pStyle w:val="Titrearticle"/>
      </w:pPr>
      <w:r w:rsidRPr="00922C91">
        <w:lastRenderedPageBreak/>
        <w:t xml:space="preserve">Article </w:t>
      </w:r>
      <w:r w:rsidR="00842DD3" w:rsidRPr="00842DD3">
        <w:rPr>
          <w:rStyle w:val="Marker"/>
          <w:color w:val="auto"/>
        </w:rPr>
        <w:t>2</w:t>
      </w:r>
    </w:p>
    <w:p w14:paraId="39C331D1" w14:textId="6A482551" w:rsidR="001236A2" w:rsidRPr="00922C91" w:rsidRDefault="001236A2" w:rsidP="004E1EF9">
      <w:r w:rsidRPr="00922C91">
        <w:t>This Regulation shall enter into force on the</w:t>
      </w:r>
      <w:r w:rsidRPr="003711B8">
        <w:t xml:space="preserve"> </w:t>
      </w:r>
      <w:r w:rsidR="003711B8" w:rsidRPr="003711B8">
        <w:rPr>
          <w:rStyle w:val="Marker"/>
          <w:color w:val="auto"/>
        </w:rPr>
        <w:t>twentieth</w:t>
      </w:r>
      <w:r w:rsidRPr="003711B8">
        <w:t xml:space="preserve"> </w:t>
      </w:r>
      <w:r w:rsidRPr="00922C91">
        <w:t xml:space="preserve">day following that of its publication in the </w:t>
      </w:r>
      <w:r w:rsidRPr="00922C91">
        <w:rPr>
          <w:i/>
        </w:rPr>
        <w:t>Official Journal of the European Union</w:t>
      </w:r>
      <w:r w:rsidRPr="00922C91">
        <w:t>.</w:t>
      </w:r>
    </w:p>
    <w:p w14:paraId="0C5F9061" w14:textId="77777777" w:rsidR="001236A2" w:rsidRPr="00922C91" w:rsidRDefault="001236A2" w:rsidP="004E1EF9">
      <w:pPr>
        <w:pStyle w:val="Applicationdirecte"/>
      </w:pPr>
      <w:r w:rsidRPr="00922C91">
        <w:t>This Regulation shall be binding in its entirety and directly applicable in all Member States.</w:t>
      </w:r>
    </w:p>
    <w:p w14:paraId="348F0BAB" w14:textId="5C1CBAD4" w:rsidR="001236A2" w:rsidRDefault="00DA1434" w:rsidP="00DA1434">
      <w:pPr>
        <w:pStyle w:val="Fait"/>
      </w:pPr>
      <w:r w:rsidRPr="00DA1434">
        <w:t>Done at Brussels,</w:t>
      </w:r>
    </w:p>
    <w:p w14:paraId="6EBF774F" w14:textId="77777777" w:rsidR="001236A2" w:rsidRDefault="001236A2" w:rsidP="001236A2">
      <w:pPr>
        <w:pStyle w:val="Institutionquisigne"/>
      </w:pPr>
      <w:r w:rsidRPr="001236A2">
        <w:tab/>
        <w:t>For the Commission</w:t>
      </w:r>
    </w:p>
    <w:p w14:paraId="425109E2" w14:textId="655D87A9" w:rsidR="001236A2" w:rsidRPr="001236A2" w:rsidRDefault="001236A2" w:rsidP="001236A2">
      <w:pPr>
        <w:pStyle w:val="Personnequisigne"/>
      </w:pPr>
      <w:r w:rsidRPr="001236A2">
        <w:tab/>
        <w:t>The President</w:t>
      </w:r>
      <w:r w:rsidRPr="001236A2">
        <w:br/>
      </w:r>
      <w:r w:rsidRPr="001236A2">
        <w:tab/>
      </w:r>
      <w:r w:rsidR="003711B8" w:rsidRPr="003711B8">
        <w:rPr>
          <w:rStyle w:val="Marker"/>
          <w:color w:val="auto"/>
        </w:rPr>
        <w:t>Ursula VON DER LEYEN</w:t>
      </w:r>
      <w:r w:rsidRPr="001236A2">
        <w:br/>
      </w:r>
      <w:r w:rsidRPr="001236A2">
        <w:tab/>
      </w:r>
      <w:r w:rsidRPr="001236A2">
        <w:br/>
      </w:r>
    </w:p>
    <w:sectPr w:rsidR="001236A2" w:rsidRPr="001236A2" w:rsidSect="00DA1434">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1DC49" w14:textId="77777777" w:rsidR="00D36E6F" w:rsidRDefault="00D36E6F" w:rsidP="001236A2">
      <w:pPr>
        <w:spacing w:before="0" w:after="0"/>
      </w:pPr>
      <w:r>
        <w:separator/>
      </w:r>
    </w:p>
  </w:endnote>
  <w:endnote w:type="continuationSeparator" w:id="0">
    <w:p w14:paraId="4A90ACC1" w14:textId="77777777" w:rsidR="00D36E6F" w:rsidRDefault="00D36E6F" w:rsidP="001236A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84B3" w14:textId="33CA5781" w:rsidR="001236A2" w:rsidRPr="00DA1434" w:rsidRDefault="00DA1434" w:rsidP="00DA1434">
    <w:pPr>
      <w:pStyle w:val="Sidefod"/>
      <w:rPr>
        <w:rFonts w:ascii="Arial" w:hAnsi="Arial" w:cs="Arial"/>
        <w:b/>
        <w:sz w:val="48"/>
      </w:rPr>
    </w:pPr>
    <w:r w:rsidRPr="00DA1434">
      <w:rPr>
        <w:rFonts w:ascii="Arial" w:hAnsi="Arial" w:cs="Arial"/>
        <w:b/>
        <w:sz w:val="48"/>
      </w:rPr>
      <w:t>EN</w:t>
    </w:r>
    <w:r w:rsidRPr="00DA1434">
      <w:rPr>
        <w:rFonts w:ascii="Arial" w:hAnsi="Arial" w:cs="Arial"/>
        <w:b/>
        <w:sz w:val="48"/>
      </w:rPr>
      <w:tab/>
    </w:r>
    <w:r w:rsidRPr="00DA1434">
      <w:rPr>
        <w:rFonts w:ascii="Arial" w:hAnsi="Arial" w:cs="Arial"/>
        <w:b/>
        <w:sz w:val="48"/>
      </w:rPr>
      <w:tab/>
    </w:r>
    <w:r w:rsidRPr="00DA1434">
      <w:tab/>
    </w:r>
    <w:r w:rsidRPr="00DA1434">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42D02" w14:textId="12D9DA59" w:rsidR="001236A2" w:rsidRPr="00DA1434" w:rsidRDefault="00DA1434" w:rsidP="00DA1434">
    <w:pPr>
      <w:pStyle w:val="Sidefod"/>
      <w:rPr>
        <w:rFonts w:ascii="Arial" w:hAnsi="Arial" w:cs="Arial"/>
        <w:b/>
        <w:sz w:val="48"/>
      </w:rPr>
    </w:pPr>
    <w:r w:rsidRPr="00DA1434">
      <w:rPr>
        <w:rFonts w:ascii="Arial" w:hAnsi="Arial" w:cs="Arial"/>
        <w:b/>
        <w:sz w:val="48"/>
      </w:rPr>
      <w:t>EN</w:t>
    </w:r>
    <w:r w:rsidRPr="00DA1434">
      <w:rPr>
        <w:rFonts w:ascii="Arial" w:hAnsi="Arial" w:cs="Arial"/>
        <w:b/>
        <w:sz w:val="48"/>
      </w:rPr>
      <w:tab/>
    </w:r>
    <w:r w:rsidRPr="00DA1434">
      <w:rPr>
        <w:rFonts w:ascii="Arial" w:hAnsi="Arial" w:cs="Arial"/>
        <w:b/>
        <w:sz w:val="48"/>
      </w:rPr>
      <w:tab/>
    </w:r>
    <w:r w:rsidRPr="00DA1434">
      <w:tab/>
    </w:r>
    <w:r w:rsidRPr="00DA1434">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26B8" w14:textId="77777777" w:rsidR="001236A2" w:rsidRPr="001236A2" w:rsidRDefault="001236A2" w:rsidP="001236A2">
    <w:pPr>
      <w:pStyle w:val="Sidefod"/>
      <w:rPr>
        <w:rFonts w:ascii="Arial" w:hAnsi="Arial" w:cs="Arial"/>
        <w:b/>
        <w:sz w:val="48"/>
      </w:rPr>
    </w:pPr>
    <w:r w:rsidRPr="001236A2">
      <w:rPr>
        <w:rFonts w:ascii="Arial" w:hAnsi="Arial" w:cs="Arial"/>
        <w:b/>
        <w:sz w:val="48"/>
      </w:rPr>
      <w:t>EN</w:t>
    </w:r>
    <w:r w:rsidRPr="001236A2">
      <w:rPr>
        <w:rFonts w:ascii="Arial" w:hAnsi="Arial" w:cs="Arial"/>
        <w:b/>
        <w:sz w:val="48"/>
      </w:rPr>
      <w:tab/>
    </w:r>
    <w:r w:rsidRPr="001236A2">
      <w:rPr>
        <w:rFonts w:ascii="Arial" w:hAnsi="Arial" w:cs="Arial"/>
        <w:b/>
        <w:sz w:val="48"/>
      </w:rPr>
      <w:tab/>
    </w:r>
    <w:r w:rsidRPr="001236A2">
      <w:tab/>
    </w:r>
    <w:r w:rsidRPr="001236A2">
      <w:rPr>
        <w:rFonts w:ascii="Arial" w:hAnsi="Arial" w:cs="Arial"/>
        <w:b/>
        <w:sz w:val="48"/>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19401" w14:textId="6DFC3888" w:rsidR="00DA1434" w:rsidRPr="00DA1434" w:rsidRDefault="00DA1434" w:rsidP="00DA1434">
    <w:pPr>
      <w:pStyle w:val="Sidefod"/>
      <w:rPr>
        <w:rFonts w:ascii="Arial" w:hAnsi="Arial" w:cs="Arial"/>
        <w:b/>
        <w:sz w:val="48"/>
      </w:rPr>
    </w:pPr>
    <w:r w:rsidRPr="00DA1434">
      <w:rPr>
        <w:rFonts w:ascii="Arial" w:hAnsi="Arial" w:cs="Arial"/>
        <w:b/>
        <w:sz w:val="48"/>
      </w:rPr>
      <w:t>EN</w:t>
    </w:r>
    <w:r w:rsidRPr="00DA1434">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DA1434">
      <w:tab/>
    </w:r>
    <w:r w:rsidRPr="00DA1434">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B44A" w14:textId="77777777" w:rsidR="001236A2" w:rsidRPr="001236A2" w:rsidRDefault="001236A2" w:rsidP="00DA14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4E1C5" w14:textId="77777777" w:rsidR="00D36E6F" w:rsidRDefault="00D36E6F" w:rsidP="001236A2">
      <w:pPr>
        <w:spacing w:before="0" w:after="0"/>
      </w:pPr>
      <w:r>
        <w:separator/>
      </w:r>
    </w:p>
  </w:footnote>
  <w:footnote w:type="continuationSeparator" w:id="0">
    <w:p w14:paraId="51C5078E" w14:textId="77777777" w:rsidR="00D36E6F" w:rsidRDefault="00D36E6F" w:rsidP="001236A2">
      <w:pPr>
        <w:spacing w:before="0" w:after="0"/>
      </w:pPr>
      <w:r>
        <w:continuationSeparator/>
      </w:r>
    </w:p>
  </w:footnote>
  <w:footnote w:id="1">
    <w:p w14:paraId="51A41259" w14:textId="77777777" w:rsidR="001236A2" w:rsidRPr="00E35A3F" w:rsidRDefault="001236A2" w:rsidP="001236A2">
      <w:pPr>
        <w:pStyle w:val="Fodnotetekst"/>
        <w:ind w:left="360" w:hanging="360"/>
        <w:rPr>
          <w:lang w:val="sv-SE"/>
        </w:rPr>
      </w:pPr>
      <w:r w:rsidRPr="007418FD">
        <w:rPr>
          <w:rStyle w:val="Fodnotehenvisning"/>
        </w:rPr>
        <w:footnoteRef/>
      </w:r>
      <w:r>
        <w:rPr>
          <w:lang w:val="sv-SE"/>
        </w:rPr>
        <w:tab/>
      </w:r>
      <w:r>
        <w:rPr>
          <w:lang w:val="sv-SE"/>
        </w:rPr>
        <w:tab/>
      </w:r>
      <w:r w:rsidRPr="00E35A3F">
        <w:rPr>
          <w:lang w:val="sv-SE"/>
        </w:rPr>
        <w:t>OJ L 95, 7.4.2017, p. 1</w:t>
      </w:r>
      <w:r>
        <w:rPr>
          <w:lang w:val="sv-SE"/>
        </w:rPr>
        <w:t>,</w:t>
      </w:r>
      <w:r w:rsidRPr="00E35A3F">
        <w:rPr>
          <w:lang w:val="sv-SE"/>
        </w:rPr>
        <w:t xml:space="preserve"> ELI: http://data.europa.eu/eli/reg/2017/625/oj</w:t>
      </w:r>
      <w:r>
        <w:rPr>
          <w:lang w:val="sv-SE"/>
        </w:rPr>
        <w:t>.</w:t>
      </w:r>
    </w:p>
  </w:footnote>
  <w:footnote w:id="2">
    <w:p w14:paraId="4B0989DA" w14:textId="77777777" w:rsidR="001236A2" w:rsidRPr="007853D9" w:rsidRDefault="001236A2" w:rsidP="001236A2">
      <w:pPr>
        <w:pStyle w:val="Fodnotetekst"/>
        <w:ind w:left="360" w:hanging="360"/>
        <w:rPr>
          <w:lang w:val="en-US"/>
        </w:rPr>
      </w:pPr>
      <w:r w:rsidRPr="007418FD">
        <w:rPr>
          <w:rStyle w:val="Fodnotehenvisning"/>
        </w:rPr>
        <w:footnoteRef/>
      </w:r>
      <w:r>
        <w:tab/>
      </w:r>
      <w:r>
        <w:rPr>
          <w:lang w:val="sv-SE"/>
        </w:rPr>
        <w:tab/>
      </w:r>
      <w:r w:rsidRPr="00C92456">
        <w:rPr>
          <w:lang w:val="en-US"/>
        </w:rPr>
        <w:t xml:space="preserve">Commission Implementing Regulation (EU) 2019/627 of 15 March 2019 laying down uniform practical </w:t>
      </w:r>
      <w:r>
        <w:rPr>
          <w:lang w:val="sv-SE"/>
        </w:rPr>
        <w:tab/>
      </w:r>
      <w:r w:rsidRPr="00C92456">
        <w:rPr>
          <w:lang w:val="en-US"/>
        </w:rPr>
        <w:t xml:space="preserve">arrangements for the performance of official controls on products of animal origin intended for human </w:t>
      </w:r>
      <w:r>
        <w:rPr>
          <w:lang w:val="sv-SE"/>
        </w:rPr>
        <w:tab/>
      </w:r>
      <w:r w:rsidRPr="00E35A3F">
        <w:rPr>
          <w:shd w:val="clear" w:color="auto" w:fill="FFFFFF"/>
        </w:rPr>
        <w:t>consumption</w:t>
      </w:r>
      <w:r w:rsidRPr="00C92456">
        <w:rPr>
          <w:lang w:val="en-US"/>
        </w:rPr>
        <w:t xml:space="preserve"> in accordance with Regulation (EU) 2017/625 of the European Parliament and of the </w:t>
      </w:r>
      <w:r>
        <w:rPr>
          <w:lang w:val="sv-SE"/>
        </w:rPr>
        <w:tab/>
      </w:r>
      <w:r w:rsidRPr="00C92456">
        <w:rPr>
          <w:lang w:val="en-US"/>
        </w:rPr>
        <w:t>Council and amending Commission Regulation (EC) No 2074/2005 as regards official controls</w:t>
      </w:r>
      <w:r>
        <w:rPr>
          <w:lang w:val="en-US"/>
        </w:rPr>
        <w:t xml:space="preserve"> (</w:t>
      </w:r>
      <w:r w:rsidRPr="00C92456">
        <w:rPr>
          <w:lang w:val="en-US"/>
        </w:rPr>
        <w:t xml:space="preserve">OJ L </w:t>
      </w:r>
      <w:r>
        <w:rPr>
          <w:lang w:val="sv-SE"/>
        </w:rPr>
        <w:tab/>
      </w:r>
      <w:r w:rsidRPr="00C92456">
        <w:rPr>
          <w:lang w:val="en-US"/>
        </w:rPr>
        <w:t>131, 17.5.2019</w:t>
      </w:r>
      <w:r>
        <w:rPr>
          <w:lang w:val="en-US"/>
        </w:rPr>
        <w:t xml:space="preserve">, p. 51, </w:t>
      </w:r>
      <w:r w:rsidRPr="00C92456">
        <w:rPr>
          <w:lang w:val="en-US"/>
        </w:rPr>
        <w:t>ELI:</w:t>
      </w:r>
      <w:r w:rsidRPr="008E4B5C">
        <w:rPr>
          <w:shd w:val="clear" w:color="auto" w:fill="FFFFFF"/>
        </w:rPr>
        <w:t> </w:t>
      </w:r>
      <w:r w:rsidRPr="00C92456">
        <w:rPr>
          <w:lang w:val="en-US"/>
        </w:rPr>
        <w:t>http://data.europa.eu/eli/reg_impl/2019/627/oj</w:t>
      </w:r>
      <w:r>
        <w:rPr>
          <w:lang w:val="en-US"/>
        </w:rPr>
        <w:t>).</w:t>
      </w:r>
    </w:p>
  </w:footnote>
  <w:footnote w:id="3">
    <w:p w14:paraId="4333F7A6" w14:textId="10E74967" w:rsidR="00A0613F" w:rsidRPr="001F28BC" w:rsidRDefault="00A0613F">
      <w:pPr>
        <w:pStyle w:val="Fodnotetekst"/>
      </w:pPr>
      <w:r>
        <w:rPr>
          <w:rStyle w:val="Fodnotehenvisning"/>
        </w:rPr>
        <w:footnoteRef/>
      </w:r>
      <w:r>
        <w:t xml:space="preserve"> </w:t>
      </w:r>
      <w:r w:rsidRPr="001F28BC">
        <w:tab/>
      </w:r>
      <w:hyperlink r:id="rId1" w:history="1">
        <w:r>
          <w:rPr>
            <w:rStyle w:val="Hyperlink"/>
          </w:rPr>
          <w:t>Evaluation of public and animal health risks in case of a delayed post‐mortem inspection in ungulates - - 2020 - EFSA Journal - Wiley Online Library</w:t>
        </w:r>
      </w:hyperlink>
    </w:p>
  </w:footnote>
  <w:footnote w:id="4">
    <w:p w14:paraId="02AE451B" w14:textId="34D72196" w:rsidR="0008060B" w:rsidRPr="00FE7745" w:rsidRDefault="0008060B">
      <w:pPr>
        <w:pStyle w:val="Fodnotetekst"/>
      </w:pPr>
      <w:r>
        <w:rPr>
          <w:rStyle w:val="Fodnotehenvisning"/>
        </w:rPr>
        <w:footnoteRef/>
      </w:r>
      <w:r>
        <w:t xml:space="preserve"> </w:t>
      </w:r>
      <w:r w:rsidRPr="009853D4">
        <w:tab/>
        <w:t>Commission Regulation (EC) No 2073/2005 of 14 November 2005 on microbiological criteria for foodstuffs (OJ L 338, 22.12.2005, p. 1</w:t>
      </w:r>
      <w:r w:rsidR="004F6950" w:rsidRPr="009853D4">
        <w:t>,</w:t>
      </w:r>
      <w:r w:rsidRPr="009853D4">
        <w:t xml:space="preserve"> </w:t>
      </w:r>
      <w:r w:rsidR="004F6950" w:rsidRPr="009853D4">
        <w:t xml:space="preserve">ELI: </w:t>
      </w:r>
      <w:hyperlink r:id="rId2" w:history="1">
        <w:r w:rsidR="004F6950" w:rsidRPr="009853D4">
          <w:rPr>
            <w:rStyle w:val="Hyperlink"/>
          </w:rPr>
          <w:t>http://data.europa.eu/eli/reg/2005/2073/2020-03-08</w:t>
        </w:r>
      </w:hyperlink>
      <w:r w:rsidR="004F6950" w:rsidRPr="009853D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3B8F" w14:textId="77777777" w:rsidR="001236A2" w:rsidRPr="001236A2" w:rsidRDefault="001236A2" w:rsidP="001236A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0578" w14:textId="77777777" w:rsidR="001236A2" w:rsidRPr="001236A2" w:rsidRDefault="001236A2" w:rsidP="001236A2">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744CFC0"/>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7E8B898"/>
    <w:lvl w:ilvl="0">
      <w:start w:val="1"/>
      <w:numFmt w:val="bullet"/>
      <w:pStyle w:val="Opstilling-punktteg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E9CF08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4" w15:restartNumberingAfterBreak="0">
    <w:nsid w:val="179B5164"/>
    <w:multiLevelType w:val="hybridMultilevel"/>
    <w:tmpl w:val="E8B05CA8"/>
    <w:lvl w:ilvl="0" w:tplc="CD421500">
      <w:start w:val="1"/>
      <w:numFmt w:val="decimal"/>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35E83A63"/>
    <w:multiLevelType w:val="hybridMultilevel"/>
    <w:tmpl w:val="B896D81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DE70C96"/>
    <w:multiLevelType w:val="hybridMultilevel"/>
    <w:tmpl w:val="014E7912"/>
    <w:lvl w:ilvl="0" w:tplc="080C001B">
      <w:start w:val="1"/>
      <w:numFmt w:val="lowerRoman"/>
      <w:lvlText w:val="%1."/>
      <w:lvlJc w:val="right"/>
      <w:pPr>
        <w:ind w:left="1440" w:hanging="360"/>
      </w:p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15:restartNumberingAfterBreak="0">
    <w:nsid w:val="5E940CBF"/>
    <w:multiLevelType w:val="multilevel"/>
    <w:tmpl w:val="21FE7234"/>
    <w:name w:val="LegalNumber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4A12FA4"/>
    <w:multiLevelType w:val="multilevel"/>
    <w:tmpl w:val="428ECF3E"/>
    <w:name w:val="Heading"/>
    <w:lvl w:ilvl="0">
      <w:start w:val="1"/>
      <w:numFmt w:val="decimal"/>
      <w:lvlRestart w:val="0"/>
      <w:pStyle w:val="Overskrift1"/>
      <w:lvlText w:val="%1."/>
      <w:lvlJc w:val="left"/>
      <w:pPr>
        <w:tabs>
          <w:tab w:val="num" w:pos="850"/>
        </w:tabs>
        <w:ind w:left="850" w:hanging="850"/>
      </w:pPr>
    </w:lvl>
    <w:lvl w:ilvl="1">
      <w:start w:val="1"/>
      <w:numFmt w:val="decimal"/>
      <w:pStyle w:val="Overskrift2"/>
      <w:lvlText w:val="%1.%2."/>
      <w:lvlJc w:val="left"/>
      <w:pPr>
        <w:tabs>
          <w:tab w:val="num" w:pos="850"/>
        </w:tabs>
        <w:ind w:left="850" w:hanging="850"/>
      </w:pPr>
    </w:lvl>
    <w:lvl w:ilvl="2">
      <w:start w:val="1"/>
      <w:numFmt w:val="decimal"/>
      <w:pStyle w:val="Overskrift3"/>
      <w:lvlText w:val="%1.%2.%3."/>
      <w:lvlJc w:val="left"/>
      <w:pPr>
        <w:tabs>
          <w:tab w:val="num" w:pos="850"/>
        </w:tabs>
        <w:ind w:left="850" w:hanging="850"/>
      </w:pPr>
    </w:lvl>
    <w:lvl w:ilvl="3">
      <w:start w:val="1"/>
      <w:numFmt w:val="decimal"/>
      <w:pStyle w:val="Overskrift4"/>
      <w:lvlText w:val="%1.%2.%3.%4."/>
      <w:lvlJc w:val="left"/>
      <w:pPr>
        <w:tabs>
          <w:tab w:val="num" w:pos="850"/>
        </w:tabs>
        <w:ind w:left="850" w:hanging="850"/>
      </w:pPr>
    </w:lvl>
    <w:lvl w:ilvl="4">
      <w:start w:val="1"/>
      <w:numFmt w:val="decimal"/>
      <w:pStyle w:val="Overskrift5"/>
      <w:lvlText w:val="%1.%2.%3.%4.%5."/>
      <w:lvlJc w:val="left"/>
      <w:pPr>
        <w:tabs>
          <w:tab w:val="num" w:pos="1417"/>
        </w:tabs>
        <w:ind w:left="1417" w:hanging="1417"/>
      </w:pPr>
    </w:lvl>
    <w:lvl w:ilvl="5">
      <w:start w:val="1"/>
      <w:numFmt w:val="decimal"/>
      <w:pStyle w:val="Overskrift6"/>
      <w:lvlText w:val="%1.%2.%3.%4.%5.%6."/>
      <w:lvlJc w:val="left"/>
      <w:pPr>
        <w:tabs>
          <w:tab w:val="num" w:pos="1417"/>
        </w:tabs>
        <w:ind w:left="1417" w:hanging="1417"/>
      </w:pPr>
    </w:lvl>
    <w:lvl w:ilvl="6">
      <w:start w:val="1"/>
      <w:numFmt w:val="decimal"/>
      <w:pStyle w:val="Overskrift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0437D45"/>
    <w:multiLevelType w:val="hybridMultilevel"/>
    <w:tmpl w:val="54C47544"/>
    <w:lvl w:ilvl="0" w:tplc="FAD2ECFE">
      <w:start w:val="1"/>
      <w:numFmt w:val="lowerRoman"/>
      <w:lvlText w:val="(%1)"/>
      <w:lvlJc w:val="left"/>
      <w:pPr>
        <w:ind w:left="2137" w:hanging="720"/>
      </w:pPr>
      <w:rPr>
        <w:rFonts w:hint="default"/>
      </w:rPr>
    </w:lvl>
    <w:lvl w:ilvl="1" w:tplc="080C0019" w:tentative="1">
      <w:start w:val="1"/>
      <w:numFmt w:val="lowerLetter"/>
      <w:lvlText w:val="%2."/>
      <w:lvlJc w:val="left"/>
      <w:pPr>
        <w:ind w:left="2497" w:hanging="360"/>
      </w:pPr>
    </w:lvl>
    <w:lvl w:ilvl="2" w:tplc="080C001B" w:tentative="1">
      <w:start w:val="1"/>
      <w:numFmt w:val="lowerRoman"/>
      <w:lvlText w:val="%3."/>
      <w:lvlJc w:val="right"/>
      <w:pPr>
        <w:ind w:left="3217" w:hanging="180"/>
      </w:pPr>
    </w:lvl>
    <w:lvl w:ilvl="3" w:tplc="080C000F" w:tentative="1">
      <w:start w:val="1"/>
      <w:numFmt w:val="decimal"/>
      <w:lvlText w:val="%4."/>
      <w:lvlJc w:val="left"/>
      <w:pPr>
        <w:ind w:left="3937" w:hanging="360"/>
      </w:pPr>
    </w:lvl>
    <w:lvl w:ilvl="4" w:tplc="080C0019" w:tentative="1">
      <w:start w:val="1"/>
      <w:numFmt w:val="lowerLetter"/>
      <w:lvlText w:val="%5."/>
      <w:lvlJc w:val="left"/>
      <w:pPr>
        <w:ind w:left="4657" w:hanging="360"/>
      </w:pPr>
    </w:lvl>
    <w:lvl w:ilvl="5" w:tplc="080C001B" w:tentative="1">
      <w:start w:val="1"/>
      <w:numFmt w:val="lowerRoman"/>
      <w:lvlText w:val="%6."/>
      <w:lvlJc w:val="right"/>
      <w:pPr>
        <w:ind w:left="5377" w:hanging="180"/>
      </w:pPr>
    </w:lvl>
    <w:lvl w:ilvl="6" w:tplc="080C000F" w:tentative="1">
      <w:start w:val="1"/>
      <w:numFmt w:val="decimal"/>
      <w:lvlText w:val="%7."/>
      <w:lvlJc w:val="left"/>
      <w:pPr>
        <w:ind w:left="6097" w:hanging="360"/>
      </w:pPr>
    </w:lvl>
    <w:lvl w:ilvl="7" w:tplc="080C0019" w:tentative="1">
      <w:start w:val="1"/>
      <w:numFmt w:val="lowerLetter"/>
      <w:lvlText w:val="%8."/>
      <w:lvlJc w:val="left"/>
      <w:pPr>
        <w:ind w:left="6817" w:hanging="360"/>
      </w:pPr>
    </w:lvl>
    <w:lvl w:ilvl="8" w:tplc="080C001B" w:tentative="1">
      <w:start w:val="1"/>
      <w:numFmt w:val="lowerRoman"/>
      <w:lvlText w:val="%9."/>
      <w:lvlJc w:val="right"/>
      <w:pPr>
        <w:ind w:left="7537" w:hanging="180"/>
      </w:pPr>
    </w:lvl>
  </w:abstractNum>
  <w:abstractNum w:abstractNumId="23" w15:restartNumberingAfterBreak="0">
    <w:nsid w:val="759F206D"/>
    <w:multiLevelType w:val="multilevel"/>
    <w:tmpl w:val="703C4AA2"/>
    <w:name w:val="Default"/>
    <w:lvl w:ilvl="0">
      <w:start w:val="1"/>
      <w:numFmt w:val="decimal"/>
      <w:lvlRestart w:val="0"/>
      <w:lvlText w:val="%1."/>
      <w:lvlJc w:val="left"/>
      <w:pPr>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2089693441">
    <w:abstractNumId w:val="18"/>
  </w:num>
  <w:num w:numId="2" w16cid:durableId="1693998065">
    <w:abstractNumId w:val="11"/>
  </w:num>
  <w:num w:numId="3" w16cid:durableId="788817884">
    <w:abstractNumId w:val="21"/>
  </w:num>
  <w:num w:numId="4" w16cid:durableId="1535464848">
    <w:abstractNumId w:val="8"/>
  </w:num>
  <w:num w:numId="5" w16cid:durableId="639657071">
    <w:abstractNumId w:val="12"/>
  </w:num>
  <w:num w:numId="6" w16cid:durableId="361050661">
    <w:abstractNumId w:val="13"/>
  </w:num>
  <w:num w:numId="7" w16cid:durableId="472790552">
    <w:abstractNumId w:val="6"/>
  </w:num>
  <w:num w:numId="8" w16cid:durableId="384646725">
    <w:abstractNumId w:val="20"/>
  </w:num>
  <w:num w:numId="9" w16cid:durableId="2031682509">
    <w:abstractNumId w:val="5"/>
  </w:num>
  <w:num w:numId="10" w16cid:durableId="150604668">
    <w:abstractNumId w:val="14"/>
  </w:num>
  <w:num w:numId="11" w16cid:durableId="472332852">
    <w:abstractNumId w:val="16"/>
  </w:num>
  <w:num w:numId="12" w16cid:durableId="1298296966">
    <w:abstractNumId w:val="17"/>
  </w:num>
  <w:num w:numId="13" w16cid:durableId="1306230484">
    <w:abstractNumId w:val="7"/>
  </w:num>
  <w:num w:numId="14" w16cid:durableId="24066917">
    <w:abstractNumId w:val="15"/>
  </w:num>
  <w:num w:numId="15" w16cid:durableId="485436588">
    <w:abstractNumId w:val="24"/>
  </w:num>
  <w:num w:numId="16" w16cid:durableId="552959595">
    <w:abstractNumId w:val="3"/>
  </w:num>
  <w:num w:numId="17" w16cid:durableId="1550065954">
    <w:abstractNumId w:val="24"/>
    <w:lvlOverride w:ilvl="0">
      <w:startOverride w:val="1"/>
    </w:lvlOverride>
  </w:num>
  <w:num w:numId="18" w16cid:durableId="612132819">
    <w:abstractNumId w:val="4"/>
  </w:num>
  <w:num w:numId="19" w16cid:durableId="231355871">
    <w:abstractNumId w:val="9"/>
  </w:num>
  <w:num w:numId="20" w16cid:durableId="94401383">
    <w:abstractNumId w:val="22"/>
  </w:num>
  <w:num w:numId="21" w16cid:durableId="133105214">
    <w:abstractNumId w:val="2"/>
  </w:num>
  <w:num w:numId="22" w16cid:durableId="1051226171">
    <w:abstractNumId w:val="1"/>
  </w:num>
  <w:num w:numId="23" w16cid:durableId="1013146704">
    <w:abstractNumId w:val="0"/>
  </w:num>
  <w:num w:numId="24" w16cid:durableId="6271285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Status" w:val="Red"/>
    <w:docVar w:name="LW_CORRIGENDUM" w:val="&lt;UNUSED&gt;"/>
    <w:docVar w:name="LW_COVERPAGE_EXISTS" w:val="True"/>
    <w:docVar w:name="LW_COVERPAGE_GUID" w:val="96AD59E3-1375-4E9F-A5AD-A81CA02881B0"/>
    <w:docVar w:name="LW_COVERPAGE_TYPE" w:val="1"/>
    <w:docVar w:name="LW_CreatedUtc" w:val="2026-02-09T10:59:27.5951520Z"/>
    <w:docVar w:name="LW_CROSSREFERENCE" w:val="&lt;UNUSED&gt;"/>
    <w:docVar w:name="LW_DATE.ADOPT.CP" w:val="of XXX"/>
    <w:docVar w:name="LW_DATE.ADOPT.CP_DATEFORMAT" w:val="of %DATE%"/>
    <w:docVar w:name="LW_DATE.ADOPT.CP_ISODATE" w:val="&lt;EMPTY&gt;"/>
    <w:docVar w:name="LW_DocType" w:val="COM"/>
    <w:docVar w:name="LW_EMISSION" w:val="&lt;EMPTY&gt;"/>
    <w:docVar w:name="LW_EMISSION_ISODATE" w:val="&lt;EMPTY&gt;"/>
    <w:docVar w:name="LW_EMISSION_LOCATION" w:val="BRX"/>
    <w:docVar w:name="LW_EMISSION_PREFIX" w:val="Brussels, "/>
    <w:docVar w:name="LW_EMISSION_SUFFIX" w:val=" "/>
    <w:docVar w:name="LW_ID_DOCMODEL" w:val="SJ-004"/>
    <w:docVar w:name="LW_ID_DOCSIGNATURE" w:val="SJ-004"/>
    <w:docVar w:name="LW_ID_DOCSTRUCTURE" w:val="COM/AA"/>
    <w:docVar w:name="LW_ID_DOCTYPE" w:val="SJ-004"/>
    <w:docVar w:name="LW_INTERETEEE.CP" w:val="(Text with EEA relevance)"/>
    <w:docVar w:name="LW_LANGUE" w:val="EN"/>
    <w:docVar w:name="LW_LANGUESFAISANTFOI.CP" w:val="&lt;UNUSED&gt;"/>
    <w:docVar w:name="LW_LEVEL_OF_SENSITIVITY" w:val="Standard treatment"/>
    <w:docVar w:name="LW_NOM.INST" w:val="EUROPEAN COMMISSION"/>
    <w:docVar w:name="LW_NOM.INST_JOINTDOC" w:val="&lt;EMPTY&gt;"/>
    <w:docVar w:name="LW_PART_NBR" w:val="1"/>
    <w:docVar w:name="LW_PART_NBR_TOTAL" w:val="1"/>
    <w:docVar w:name="LW_REF.INST.NEW" w:val="&lt;EMPTY&gt;"/>
    <w:docVar w:name="LW_REF.INST.NEW_ADOPTED" w:val="draft"/>
    <w:docVar w:name="LW_REF.INST.NEW_TEXT" w:val="(2026) XXX"/>
    <w:docVar w:name="LW_REF.INTERNE" w:val="PLAN/2026/713"/>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Style_Marker&gt;amending Commission Implementing Regulation (EU) 2019/627 as regards the facilitation of practical arrangements for meat inspection in low-capacity slaughterhouses and game-handling establishments&lt;/FMT&gt;"/>
    <w:docVar w:name="LW_TYPE.DOC.CP" w:val="COMMISSION IMPLEMENTING REGULATION (EU) \u8230?/..."/>
  </w:docVars>
  <w:rsids>
    <w:rsidRoot w:val="001236A2"/>
    <w:rsid w:val="000262B2"/>
    <w:rsid w:val="0003233C"/>
    <w:rsid w:val="0008060B"/>
    <w:rsid w:val="000F368C"/>
    <w:rsid w:val="001065F5"/>
    <w:rsid w:val="001236A2"/>
    <w:rsid w:val="001238EF"/>
    <w:rsid w:val="0016028B"/>
    <w:rsid w:val="00172FE5"/>
    <w:rsid w:val="00197613"/>
    <w:rsid w:val="001A4801"/>
    <w:rsid w:val="001B7F50"/>
    <w:rsid w:val="001F28BC"/>
    <w:rsid w:val="001F541C"/>
    <w:rsid w:val="00233DC7"/>
    <w:rsid w:val="00247779"/>
    <w:rsid w:val="00255438"/>
    <w:rsid w:val="00261BD6"/>
    <w:rsid w:val="00273016"/>
    <w:rsid w:val="002846A2"/>
    <w:rsid w:val="00285BEE"/>
    <w:rsid w:val="0029533F"/>
    <w:rsid w:val="002B30AF"/>
    <w:rsid w:val="002B34FB"/>
    <w:rsid w:val="002D0602"/>
    <w:rsid w:val="003036FA"/>
    <w:rsid w:val="00313D27"/>
    <w:rsid w:val="0033344A"/>
    <w:rsid w:val="00340AE2"/>
    <w:rsid w:val="003443C9"/>
    <w:rsid w:val="003711B8"/>
    <w:rsid w:val="003C63E3"/>
    <w:rsid w:val="003E4066"/>
    <w:rsid w:val="003F1598"/>
    <w:rsid w:val="0042648E"/>
    <w:rsid w:val="004305BC"/>
    <w:rsid w:val="004500F5"/>
    <w:rsid w:val="00454AAA"/>
    <w:rsid w:val="00466106"/>
    <w:rsid w:val="00475E01"/>
    <w:rsid w:val="004936D2"/>
    <w:rsid w:val="004B3044"/>
    <w:rsid w:val="004F6950"/>
    <w:rsid w:val="004F7048"/>
    <w:rsid w:val="005606F1"/>
    <w:rsid w:val="005B1EB6"/>
    <w:rsid w:val="005D1F90"/>
    <w:rsid w:val="005F37E5"/>
    <w:rsid w:val="006162B0"/>
    <w:rsid w:val="006223DB"/>
    <w:rsid w:val="006451DE"/>
    <w:rsid w:val="0066692B"/>
    <w:rsid w:val="006738E2"/>
    <w:rsid w:val="00681318"/>
    <w:rsid w:val="006A167F"/>
    <w:rsid w:val="006E5AFF"/>
    <w:rsid w:val="00737344"/>
    <w:rsid w:val="00773331"/>
    <w:rsid w:val="00781B63"/>
    <w:rsid w:val="00784442"/>
    <w:rsid w:val="007932EF"/>
    <w:rsid w:val="007A77CE"/>
    <w:rsid w:val="007C6A38"/>
    <w:rsid w:val="007E05B0"/>
    <w:rsid w:val="00817CC8"/>
    <w:rsid w:val="00821FD1"/>
    <w:rsid w:val="00842DD3"/>
    <w:rsid w:val="00874D22"/>
    <w:rsid w:val="00874DFA"/>
    <w:rsid w:val="008A2914"/>
    <w:rsid w:val="008B6FF1"/>
    <w:rsid w:val="008E4D8E"/>
    <w:rsid w:val="008E7BBB"/>
    <w:rsid w:val="009060AA"/>
    <w:rsid w:val="0090679C"/>
    <w:rsid w:val="00921C4A"/>
    <w:rsid w:val="009461DC"/>
    <w:rsid w:val="009853D4"/>
    <w:rsid w:val="00986ABD"/>
    <w:rsid w:val="0099236B"/>
    <w:rsid w:val="009C5C6C"/>
    <w:rsid w:val="009C66A5"/>
    <w:rsid w:val="00A008CC"/>
    <w:rsid w:val="00A0613F"/>
    <w:rsid w:val="00A364D1"/>
    <w:rsid w:val="00A37D0B"/>
    <w:rsid w:val="00AF3B82"/>
    <w:rsid w:val="00B01B86"/>
    <w:rsid w:val="00B16C5A"/>
    <w:rsid w:val="00B81C8E"/>
    <w:rsid w:val="00B844A4"/>
    <w:rsid w:val="00BB11B3"/>
    <w:rsid w:val="00BF4814"/>
    <w:rsid w:val="00BF6376"/>
    <w:rsid w:val="00C12301"/>
    <w:rsid w:val="00C2783C"/>
    <w:rsid w:val="00C90202"/>
    <w:rsid w:val="00CD378B"/>
    <w:rsid w:val="00CE1F09"/>
    <w:rsid w:val="00CF7068"/>
    <w:rsid w:val="00D20381"/>
    <w:rsid w:val="00D36E6F"/>
    <w:rsid w:val="00DA1434"/>
    <w:rsid w:val="00DC27FE"/>
    <w:rsid w:val="00DC3862"/>
    <w:rsid w:val="00E577FA"/>
    <w:rsid w:val="00E664ED"/>
    <w:rsid w:val="00E71EB0"/>
    <w:rsid w:val="00E82D81"/>
    <w:rsid w:val="00E970C8"/>
    <w:rsid w:val="00FC18C4"/>
    <w:rsid w:val="00FC38F8"/>
    <w:rsid w:val="00FD0A7E"/>
    <w:rsid w:val="00FE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DD63E"/>
  <w15:docId w15:val="{013B7012-AEBA-4339-A1D6-BFB38281C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Overskrift1">
    <w:name w:val="heading 1"/>
    <w:basedOn w:val="Normal"/>
    <w:next w:val="Text1"/>
    <w:link w:val="Overskrift1Tegn"/>
    <w:uiPriority w:val="9"/>
    <w:qFormat/>
    <w:pPr>
      <w:keepNext/>
      <w:numPr>
        <w:numId w:val="8"/>
      </w:numPr>
      <w:spacing w:before="360"/>
      <w:outlineLvl w:val="0"/>
    </w:pPr>
    <w:rPr>
      <w:rFonts w:eastAsiaTheme="majorEastAsia"/>
      <w:b/>
      <w:bCs/>
      <w:smallCaps/>
      <w:szCs w:val="28"/>
    </w:rPr>
  </w:style>
  <w:style w:type="paragraph" w:styleId="Overskrift2">
    <w:name w:val="heading 2"/>
    <w:basedOn w:val="Normal"/>
    <w:next w:val="Text1"/>
    <w:link w:val="Overskrift2Tegn"/>
    <w:uiPriority w:val="9"/>
    <w:semiHidden/>
    <w:unhideWhenUsed/>
    <w:qFormat/>
    <w:pPr>
      <w:keepNext/>
      <w:numPr>
        <w:ilvl w:val="1"/>
        <w:numId w:val="8"/>
      </w:numPr>
      <w:outlineLvl w:val="1"/>
    </w:pPr>
    <w:rPr>
      <w:rFonts w:eastAsiaTheme="majorEastAsia"/>
      <w:b/>
      <w:bCs/>
      <w:szCs w:val="26"/>
    </w:rPr>
  </w:style>
  <w:style w:type="paragraph" w:styleId="Overskrift3">
    <w:name w:val="heading 3"/>
    <w:basedOn w:val="Normal"/>
    <w:next w:val="Text1"/>
    <w:link w:val="Overskrift3Tegn"/>
    <w:uiPriority w:val="9"/>
    <w:semiHidden/>
    <w:unhideWhenUsed/>
    <w:qFormat/>
    <w:pPr>
      <w:keepNext/>
      <w:numPr>
        <w:ilvl w:val="2"/>
        <w:numId w:val="8"/>
      </w:numPr>
      <w:outlineLvl w:val="2"/>
    </w:pPr>
    <w:rPr>
      <w:rFonts w:eastAsiaTheme="majorEastAsia"/>
      <w:bCs/>
      <w:i/>
    </w:rPr>
  </w:style>
  <w:style w:type="paragraph" w:styleId="Overskrift4">
    <w:name w:val="heading 4"/>
    <w:basedOn w:val="Normal"/>
    <w:next w:val="Text1"/>
    <w:link w:val="Overskrift4Tegn"/>
    <w:uiPriority w:val="9"/>
    <w:semiHidden/>
    <w:unhideWhenUsed/>
    <w:qFormat/>
    <w:pPr>
      <w:keepNext/>
      <w:numPr>
        <w:ilvl w:val="3"/>
        <w:numId w:val="8"/>
      </w:numPr>
      <w:outlineLvl w:val="3"/>
    </w:pPr>
    <w:rPr>
      <w:rFonts w:eastAsiaTheme="majorEastAsia"/>
      <w:bCs/>
      <w:iCs/>
    </w:rPr>
  </w:style>
  <w:style w:type="paragraph" w:styleId="Overskrift5">
    <w:name w:val="heading 5"/>
    <w:basedOn w:val="Normal"/>
    <w:next w:val="Text2"/>
    <w:link w:val="Overskrift5Tegn"/>
    <w:uiPriority w:val="9"/>
    <w:semiHidden/>
    <w:unhideWhenUsed/>
    <w:qFormat/>
    <w:pPr>
      <w:keepNext/>
      <w:numPr>
        <w:ilvl w:val="4"/>
        <w:numId w:val="8"/>
      </w:numPr>
      <w:outlineLvl w:val="4"/>
    </w:pPr>
    <w:rPr>
      <w:rFonts w:eastAsiaTheme="majorEastAsia"/>
    </w:rPr>
  </w:style>
  <w:style w:type="paragraph" w:styleId="Overskrift6">
    <w:name w:val="heading 6"/>
    <w:basedOn w:val="Normal"/>
    <w:next w:val="Text2"/>
    <w:link w:val="Overskrift6Tegn"/>
    <w:uiPriority w:val="9"/>
    <w:semiHidden/>
    <w:unhideWhenUsed/>
    <w:qFormat/>
    <w:pPr>
      <w:keepNext/>
      <w:numPr>
        <w:ilvl w:val="5"/>
        <w:numId w:val="8"/>
      </w:numPr>
      <w:outlineLvl w:val="5"/>
    </w:pPr>
    <w:rPr>
      <w:rFonts w:eastAsiaTheme="majorEastAsia"/>
      <w:iCs/>
    </w:rPr>
  </w:style>
  <w:style w:type="paragraph" w:styleId="Overskrift7">
    <w:name w:val="heading 7"/>
    <w:basedOn w:val="Normal"/>
    <w:next w:val="Text2"/>
    <w:link w:val="Overskrift7Tegn"/>
    <w:uiPriority w:val="9"/>
    <w:semiHidden/>
    <w:unhideWhenUsed/>
    <w:qFormat/>
    <w:pPr>
      <w:keepNext/>
      <w:numPr>
        <w:ilvl w:val="6"/>
        <w:numId w:val="8"/>
      </w:numPr>
      <w:outlineLvl w:val="6"/>
    </w:pPr>
    <w:rPr>
      <w:rFonts w:eastAsiaTheme="majorEastAsia"/>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DA1434"/>
    <w:pPr>
      <w:tabs>
        <w:tab w:val="center" w:pos="4535"/>
        <w:tab w:val="right" w:pos="9071"/>
      </w:tabs>
      <w:spacing w:before="0"/>
    </w:pPr>
  </w:style>
  <w:style w:type="character" w:customStyle="1" w:styleId="SidehovedTegn">
    <w:name w:val="Sidehoved Tegn"/>
    <w:basedOn w:val="Standardskrifttypeiafsnit"/>
    <w:link w:val="Sidehoved"/>
    <w:uiPriority w:val="99"/>
    <w:rsid w:val="00DA1434"/>
    <w:rPr>
      <w:rFonts w:ascii="Times New Roman" w:hAnsi="Times New Roman" w:cs="Times New Roman"/>
      <w:sz w:val="24"/>
      <w:lang w:val="en-GB"/>
    </w:rPr>
  </w:style>
  <w:style w:type="paragraph" w:styleId="Sidefod">
    <w:name w:val="footer"/>
    <w:basedOn w:val="Normal"/>
    <w:link w:val="SidefodTegn"/>
    <w:uiPriority w:val="99"/>
    <w:unhideWhenUsed/>
    <w:rsid w:val="00DA1434"/>
    <w:pPr>
      <w:tabs>
        <w:tab w:val="center" w:pos="4535"/>
        <w:tab w:val="right" w:pos="9071"/>
        <w:tab w:val="right" w:pos="9921"/>
      </w:tabs>
      <w:spacing w:before="360" w:after="0"/>
      <w:ind w:left="-850" w:right="-850"/>
      <w:jc w:val="left"/>
    </w:pPr>
  </w:style>
  <w:style w:type="character" w:customStyle="1" w:styleId="SidefodTegn">
    <w:name w:val="Sidefod Tegn"/>
    <w:basedOn w:val="Standardskrifttypeiafsnit"/>
    <w:link w:val="Sidefod"/>
    <w:uiPriority w:val="99"/>
    <w:rsid w:val="00DA1434"/>
    <w:rPr>
      <w:rFonts w:ascii="Times New Roman" w:hAnsi="Times New Roman" w:cs="Times New Roman"/>
      <w:sz w:val="24"/>
      <w:lang w:val="en-GB"/>
    </w:rPr>
  </w:style>
  <w:style w:type="paragraph" w:styleId="Fodnotetekst">
    <w:name w:val="footnote text"/>
    <w:basedOn w:val="Normal"/>
    <w:link w:val="FodnotetekstTegn"/>
    <w:uiPriority w:val="99"/>
    <w:semiHidden/>
    <w:unhideWhenUsed/>
    <w:pPr>
      <w:spacing w:before="0" w:after="0"/>
      <w:ind w:left="720" w:hanging="720"/>
    </w:pPr>
    <w:rPr>
      <w:sz w:val="20"/>
      <w:szCs w:val="20"/>
    </w:rPr>
  </w:style>
  <w:style w:type="character" w:customStyle="1" w:styleId="FodnotetekstTegn">
    <w:name w:val="Fodnotetekst Tegn"/>
    <w:basedOn w:val="Standardskrifttypeiafsnit"/>
    <w:link w:val="Fodnotetekst"/>
    <w:uiPriority w:val="99"/>
    <w:semiHidden/>
    <w:rPr>
      <w:rFonts w:ascii="Times New Roman" w:hAnsi="Times New Roman" w:cs="Times New Roman"/>
      <w:sz w:val="20"/>
      <w:szCs w:val="20"/>
      <w:shd w:val="clear" w:color="auto" w:fill="auto"/>
      <w:lang w:val="en-GB"/>
    </w:rPr>
  </w:style>
  <w:style w:type="character" w:customStyle="1" w:styleId="Overskrift1Tegn">
    <w:name w:val="Overskrift 1 Tegn"/>
    <w:basedOn w:val="Standardskrifttypeiafsnit"/>
    <w:link w:val="Overskrift1"/>
    <w:uiPriority w:val="9"/>
    <w:rPr>
      <w:rFonts w:ascii="Times New Roman" w:eastAsiaTheme="majorEastAsia" w:hAnsi="Times New Roman" w:cs="Times New Roman"/>
      <w:b/>
      <w:bCs/>
      <w:smallCaps/>
      <w:sz w:val="24"/>
      <w:szCs w:val="28"/>
      <w:shd w:val="clear" w:color="auto" w:fill="auto"/>
      <w:lang w:val="en-GB"/>
    </w:rPr>
  </w:style>
  <w:style w:type="character" w:customStyle="1" w:styleId="Overskrift2Tegn">
    <w:name w:val="Overskrift 2 Tegn"/>
    <w:basedOn w:val="Standardskrifttypeiafsnit"/>
    <w:link w:val="Overskrift2"/>
    <w:uiPriority w:val="9"/>
    <w:semiHidden/>
    <w:rPr>
      <w:rFonts w:ascii="Times New Roman" w:eastAsiaTheme="majorEastAsia" w:hAnsi="Times New Roman" w:cs="Times New Roman"/>
      <w:b/>
      <w:bCs/>
      <w:sz w:val="24"/>
      <w:szCs w:val="26"/>
      <w:shd w:val="clear" w:color="auto" w:fill="auto"/>
      <w:lang w:val="en-GB"/>
    </w:rPr>
  </w:style>
  <w:style w:type="character" w:customStyle="1" w:styleId="Overskrift3Tegn">
    <w:name w:val="Overskrift 3 Tegn"/>
    <w:basedOn w:val="Standardskrifttypeiafsnit"/>
    <w:link w:val="Overskrift3"/>
    <w:uiPriority w:val="9"/>
    <w:semiHidden/>
    <w:rPr>
      <w:rFonts w:ascii="Times New Roman" w:eastAsiaTheme="majorEastAsia" w:hAnsi="Times New Roman" w:cs="Times New Roman"/>
      <w:bCs/>
      <w:i/>
      <w:sz w:val="24"/>
      <w:shd w:val="clear" w:color="auto" w:fill="auto"/>
      <w:lang w:val="en-GB"/>
    </w:rPr>
  </w:style>
  <w:style w:type="character" w:customStyle="1" w:styleId="Overskrift4Tegn">
    <w:name w:val="Overskrift 4 Tegn"/>
    <w:basedOn w:val="Standardskrifttypeiafsnit"/>
    <w:link w:val="Overskrift4"/>
    <w:uiPriority w:val="9"/>
    <w:semiHidden/>
    <w:rPr>
      <w:rFonts w:ascii="Times New Roman" w:eastAsiaTheme="majorEastAsia" w:hAnsi="Times New Roman" w:cs="Times New Roman"/>
      <w:bCs/>
      <w:iCs/>
      <w:sz w:val="24"/>
      <w:shd w:val="clear" w:color="auto" w:fill="auto"/>
      <w:lang w:val="en-GB"/>
    </w:rPr>
  </w:style>
  <w:style w:type="character" w:customStyle="1" w:styleId="Overskrift5Tegn">
    <w:name w:val="Overskrift 5 Tegn"/>
    <w:basedOn w:val="Standardskrifttypeiafsnit"/>
    <w:link w:val="Overskrift5"/>
    <w:uiPriority w:val="9"/>
    <w:semiHidden/>
    <w:rPr>
      <w:rFonts w:ascii="Times New Roman" w:eastAsiaTheme="majorEastAsia" w:hAnsi="Times New Roman" w:cs="Times New Roman"/>
      <w:sz w:val="24"/>
      <w:shd w:val="clear" w:color="auto" w:fill="auto"/>
      <w:lang w:val="en-GB"/>
    </w:rPr>
  </w:style>
  <w:style w:type="character" w:customStyle="1" w:styleId="Overskrift6Tegn">
    <w:name w:val="Overskrift 6 Tegn"/>
    <w:basedOn w:val="Standardskrifttypeiafsnit"/>
    <w:link w:val="Overskrift6"/>
    <w:uiPriority w:val="9"/>
    <w:semiHidden/>
    <w:rPr>
      <w:rFonts w:ascii="Times New Roman" w:eastAsiaTheme="majorEastAsia" w:hAnsi="Times New Roman" w:cs="Times New Roman"/>
      <w:iCs/>
      <w:sz w:val="24"/>
      <w:shd w:val="clear" w:color="auto" w:fill="auto"/>
      <w:lang w:val="en-GB"/>
    </w:rPr>
  </w:style>
  <w:style w:type="character" w:customStyle="1" w:styleId="Overskrift7Tegn">
    <w:name w:val="Overskrift 7 Tegn"/>
    <w:basedOn w:val="Standardskrifttypeiafsnit"/>
    <w:link w:val="Overskrift7"/>
    <w:uiPriority w:val="9"/>
    <w:semiHidden/>
    <w:rPr>
      <w:rFonts w:ascii="Times New Roman" w:eastAsiaTheme="majorEastAsia" w:hAnsi="Times New Roman" w:cs="Times New Roman"/>
      <w:iCs/>
      <w:sz w:val="24"/>
      <w:shd w:val="clear" w:color="auto" w:fill="auto"/>
      <w:lang w:val="en-GB"/>
    </w:rPr>
  </w:style>
  <w:style w:type="paragraph" w:styleId="Overskrift">
    <w:name w:val="TOC Heading"/>
    <w:basedOn w:val="Normal"/>
    <w:next w:val="Normal"/>
    <w:uiPriority w:val="39"/>
    <w:semiHidden/>
    <w:unhideWhenUsed/>
    <w:qFormat/>
    <w:pPr>
      <w:spacing w:after="240"/>
      <w:jc w:val="center"/>
    </w:pPr>
    <w:rPr>
      <w:b/>
      <w:sz w:val="28"/>
    </w:rPr>
  </w:style>
  <w:style w:type="paragraph" w:styleId="Indholdsfortegnelse1">
    <w:name w:val="toc 1"/>
    <w:basedOn w:val="Normal"/>
    <w:next w:val="Normal"/>
    <w:uiPriority w:val="39"/>
    <w:semiHidden/>
    <w:unhideWhenUsed/>
    <w:pPr>
      <w:tabs>
        <w:tab w:val="right" w:leader="dot" w:pos="9071"/>
      </w:tabs>
      <w:spacing w:before="60"/>
      <w:ind w:left="850" w:hanging="850"/>
      <w:jc w:val="left"/>
    </w:pPr>
  </w:style>
  <w:style w:type="paragraph" w:styleId="Indholdsfortegnelse2">
    <w:name w:val="toc 2"/>
    <w:basedOn w:val="Normal"/>
    <w:next w:val="Normal"/>
    <w:uiPriority w:val="39"/>
    <w:semiHidden/>
    <w:unhideWhenUsed/>
    <w:pPr>
      <w:tabs>
        <w:tab w:val="right" w:leader="dot" w:pos="9071"/>
      </w:tabs>
      <w:spacing w:before="60"/>
      <w:ind w:left="850" w:hanging="850"/>
      <w:jc w:val="left"/>
    </w:pPr>
  </w:style>
  <w:style w:type="paragraph" w:styleId="Indholdsfortegnelse3">
    <w:name w:val="toc 3"/>
    <w:basedOn w:val="Normal"/>
    <w:next w:val="Normal"/>
    <w:uiPriority w:val="39"/>
    <w:semiHidden/>
    <w:unhideWhenUsed/>
    <w:pPr>
      <w:tabs>
        <w:tab w:val="right" w:leader="dot" w:pos="9071"/>
      </w:tabs>
      <w:spacing w:before="60"/>
      <w:ind w:left="850" w:hanging="850"/>
      <w:jc w:val="left"/>
    </w:pPr>
  </w:style>
  <w:style w:type="paragraph" w:styleId="Indholdsfortegnelse4">
    <w:name w:val="toc 4"/>
    <w:basedOn w:val="Normal"/>
    <w:next w:val="Normal"/>
    <w:uiPriority w:val="39"/>
    <w:semiHidden/>
    <w:unhideWhenUsed/>
    <w:pPr>
      <w:tabs>
        <w:tab w:val="right" w:leader="dot" w:pos="9071"/>
      </w:tabs>
      <w:spacing w:before="60"/>
      <w:ind w:left="850" w:hanging="850"/>
      <w:jc w:val="left"/>
    </w:pPr>
  </w:style>
  <w:style w:type="paragraph" w:styleId="Indholdsfortegnelse5">
    <w:name w:val="toc 5"/>
    <w:basedOn w:val="Normal"/>
    <w:next w:val="Normal"/>
    <w:uiPriority w:val="39"/>
    <w:semiHidden/>
    <w:unhideWhenUsed/>
    <w:pPr>
      <w:tabs>
        <w:tab w:val="right" w:leader="dot" w:pos="9071"/>
      </w:tabs>
      <w:spacing w:before="300"/>
      <w:jc w:val="left"/>
    </w:pPr>
  </w:style>
  <w:style w:type="paragraph" w:styleId="Indholdsfortegnelse6">
    <w:name w:val="toc 6"/>
    <w:basedOn w:val="Normal"/>
    <w:next w:val="Normal"/>
    <w:uiPriority w:val="39"/>
    <w:semiHidden/>
    <w:unhideWhenUsed/>
    <w:pPr>
      <w:tabs>
        <w:tab w:val="right" w:leader="dot" w:pos="9071"/>
      </w:tabs>
      <w:spacing w:before="240"/>
      <w:jc w:val="left"/>
    </w:pPr>
  </w:style>
  <w:style w:type="paragraph" w:styleId="Indholdsfortegnelse7">
    <w:name w:val="toc 7"/>
    <w:basedOn w:val="Normal"/>
    <w:next w:val="Normal"/>
    <w:uiPriority w:val="39"/>
    <w:semiHidden/>
    <w:unhideWhenUsed/>
    <w:pPr>
      <w:tabs>
        <w:tab w:val="right" w:leader="dot" w:pos="9071"/>
      </w:tabs>
      <w:spacing w:before="180"/>
      <w:jc w:val="left"/>
    </w:pPr>
  </w:style>
  <w:style w:type="paragraph" w:styleId="Indholdsfortegnelse8">
    <w:name w:val="toc 8"/>
    <w:basedOn w:val="Normal"/>
    <w:next w:val="Normal"/>
    <w:uiPriority w:val="39"/>
    <w:semiHidden/>
    <w:unhideWhenUsed/>
    <w:pPr>
      <w:tabs>
        <w:tab w:val="right" w:leader="dot" w:pos="9071"/>
      </w:tabs>
      <w:jc w:val="left"/>
    </w:pPr>
  </w:style>
  <w:style w:type="paragraph" w:styleId="Indholdsfortegnelse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DA1434"/>
    <w:pPr>
      <w:tabs>
        <w:tab w:val="center" w:pos="7285"/>
        <w:tab w:val="right" w:pos="14003"/>
      </w:tabs>
      <w:spacing w:before="0"/>
    </w:pPr>
  </w:style>
  <w:style w:type="paragraph" w:customStyle="1" w:styleId="FooterLandscape">
    <w:name w:val="FooterLandscape"/>
    <w:basedOn w:val="Normal"/>
    <w:rsid w:val="00DA1434"/>
    <w:pPr>
      <w:tabs>
        <w:tab w:val="center" w:pos="7285"/>
        <w:tab w:val="center" w:pos="10913"/>
        <w:tab w:val="right" w:pos="15137"/>
      </w:tabs>
      <w:spacing w:before="360" w:after="0"/>
      <w:ind w:left="-567" w:right="-567"/>
      <w:jc w:val="left"/>
    </w:pPr>
  </w:style>
  <w:style w:type="character" w:styleId="Fodnotehenvisning">
    <w:name w:val="footnote reference"/>
    <w:basedOn w:val="Standardskrifttypeiafsnit"/>
    <w:uiPriority w:val="99"/>
    <w:semiHidden/>
    <w:unhideWhenUsed/>
    <w:rPr>
      <w:shd w:val="clear" w:color="auto" w:fill="auto"/>
      <w:vertAlign w:val="superscript"/>
    </w:rPr>
  </w:style>
  <w:style w:type="paragraph" w:customStyle="1" w:styleId="HeaderSensitivity">
    <w:name w:val="Header Sensitivity"/>
    <w:basedOn w:val="Normal"/>
    <w:rsid w:val="00DA143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DA1434"/>
    <w:pPr>
      <w:spacing w:before="0"/>
      <w:jc w:val="right"/>
    </w:pPr>
    <w:rPr>
      <w:sz w:val="28"/>
    </w:rPr>
  </w:style>
  <w:style w:type="paragraph" w:customStyle="1" w:styleId="FooterSensitivity">
    <w:name w:val="Footer Sensitivity"/>
    <w:basedOn w:val="Normal"/>
    <w:rsid w:val="00DA143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Tiret5">
    <w:name w:val="Tiret 5"/>
    <w:basedOn w:val="Point5"/>
    <w:pPr>
      <w:numPr>
        <w:numId w:val="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
      </w:numPr>
    </w:pPr>
  </w:style>
  <w:style w:type="paragraph" w:customStyle="1" w:styleId="NumPar2">
    <w:name w:val="NumPar 2"/>
    <w:basedOn w:val="Normal"/>
    <w:next w:val="Text1"/>
    <w:pPr>
      <w:numPr>
        <w:ilvl w:val="1"/>
        <w:numId w:val="7"/>
      </w:numPr>
    </w:pPr>
  </w:style>
  <w:style w:type="paragraph" w:customStyle="1" w:styleId="NumPar3">
    <w:name w:val="NumPar 3"/>
    <w:basedOn w:val="Normal"/>
    <w:next w:val="Text1"/>
    <w:pPr>
      <w:numPr>
        <w:ilvl w:val="2"/>
        <w:numId w:val="7"/>
      </w:numPr>
    </w:pPr>
  </w:style>
  <w:style w:type="paragraph" w:customStyle="1" w:styleId="NumPar4">
    <w:name w:val="NumPar 4"/>
    <w:basedOn w:val="Normal"/>
    <w:next w:val="Text1"/>
    <w:pPr>
      <w:numPr>
        <w:ilvl w:val="3"/>
        <w:numId w:val="7"/>
      </w:numPr>
    </w:pPr>
  </w:style>
  <w:style w:type="paragraph" w:customStyle="1" w:styleId="NumPar5">
    <w:name w:val="NumPar 5"/>
    <w:basedOn w:val="Normal"/>
    <w:next w:val="Text2"/>
    <w:pPr>
      <w:numPr>
        <w:ilvl w:val="4"/>
        <w:numId w:val="7"/>
      </w:numPr>
    </w:pPr>
  </w:style>
  <w:style w:type="paragraph" w:customStyle="1" w:styleId="NumPar6">
    <w:name w:val="NumPar 6"/>
    <w:basedOn w:val="Normal"/>
    <w:next w:val="Text2"/>
    <w:pPr>
      <w:numPr>
        <w:ilvl w:val="5"/>
        <w:numId w:val="7"/>
      </w:numPr>
    </w:pPr>
  </w:style>
  <w:style w:type="paragraph" w:customStyle="1" w:styleId="NumPar7">
    <w:name w:val="NumPar 7"/>
    <w:basedOn w:val="Normal"/>
    <w:next w:val="Text2"/>
    <w:pPr>
      <w:numPr>
        <w:ilvl w:val="6"/>
        <w:numId w:val="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Overskrift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Standardskrifttypeiafsnit"/>
    <w:rPr>
      <w:color w:val="0000FF"/>
      <w:shd w:val="clear" w:color="auto" w:fill="auto"/>
    </w:rPr>
  </w:style>
  <w:style w:type="character" w:customStyle="1" w:styleId="Marker1">
    <w:name w:val="Marker1"/>
    <w:basedOn w:val="Standardskrifttypeiafsnit"/>
    <w:rPr>
      <w:color w:val="008000"/>
      <w:shd w:val="clear" w:color="auto" w:fill="auto"/>
    </w:rPr>
  </w:style>
  <w:style w:type="character" w:customStyle="1" w:styleId="Marker2">
    <w:name w:val="Marker2"/>
    <w:basedOn w:val="Standardskrifttypeiafsnit"/>
    <w:rPr>
      <w:color w:val="FF0000"/>
      <w:shd w:val="clear" w:color="auto" w:fill="auto"/>
    </w:rPr>
  </w:style>
  <w:style w:type="paragraph" w:customStyle="1" w:styleId="Point0number">
    <w:name w:val="Point 0 (number)"/>
    <w:basedOn w:val="Normal"/>
    <w:pPr>
      <w:numPr>
        <w:numId w:val="9"/>
      </w:numPr>
    </w:pPr>
  </w:style>
  <w:style w:type="paragraph" w:customStyle="1" w:styleId="Point1number">
    <w:name w:val="Point 1 (number)"/>
    <w:basedOn w:val="Normal"/>
    <w:pPr>
      <w:numPr>
        <w:ilvl w:val="2"/>
        <w:numId w:val="9"/>
      </w:numPr>
    </w:pPr>
  </w:style>
  <w:style w:type="paragraph" w:customStyle="1" w:styleId="Point2number">
    <w:name w:val="Point 2 (number)"/>
    <w:basedOn w:val="Normal"/>
    <w:pPr>
      <w:numPr>
        <w:ilvl w:val="4"/>
        <w:numId w:val="9"/>
      </w:numPr>
    </w:pPr>
  </w:style>
  <w:style w:type="paragraph" w:customStyle="1" w:styleId="Point3number">
    <w:name w:val="Point 3 (number)"/>
    <w:basedOn w:val="Normal"/>
    <w:pPr>
      <w:numPr>
        <w:ilvl w:val="6"/>
        <w:numId w:val="9"/>
      </w:numPr>
    </w:pPr>
  </w:style>
  <w:style w:type="paragraph" w:customStyle="1" w:styleId="Point0letter">
    <w:name w:val="Point 0 (letter)"/>
    <w:basedOn w:val="Normal"/>
    <w:pPr>
      <w:numPr>
        <w:ilvl w:val="1"/>
        <w:numId w:val="9"/>
      </w:numPr>
    </w:pPr>
  </w:style>
  <w:style w:type="paragraph" w:customStyle="1" w:styleId="Point1letter">
    <w:name w:val="Point 1 (letter)"/>
    <w:basedOn w:val="Normal"/>
    <w:pPr>
      <w:numPr>
        <w:ilvl w:val="3"/>
        <w:numId w:val="9"/>
      </w:numPr>
    </w:pPr>
  </w:style>
  <w:style w:type="paragraph" w:customStyle="1" w:styleId="Point2letter">
    <w:name w:val="Point 2 (letter)"/>
    <w:basedOn w:val="Normal"/>
    <w:pPr>
      <w:numPr>
        <w:ilvl w:val="5"/>
        <w:numId w:val="9"/>
      </w:numPr>
    </w:pPr>
  </w:style>
  <w:style w:type="paragraph" w:customStyle="1" w:styleId="Point3letter">
    <w:name w:val="Point 3 (letter)"/>
    <w:basedOn w:val="Normal"/>
    <w:pPr>
      <w:numPr>
        <w:ilvl w:val="7"/>
        <w:numId w:val="9"/>
      </w:numPr>
    </w:pPr>
  </w:style>
  <w:style w:type="paragraph" w:customStyle="1" w:styleId="Point4letter">
    <w:name w:val="Point 4 (letter)"/>
    <w:basedOn w:val="Normal"/>
    <w:pPr>
      <w:numPr>
        <w:ilvl w:val="8"/>
        <w:numId w:val="9"/>
      </w:numPr>
    </w:pPr>
  </w:style>
  <w:style w:type="paragraph" w:customStyle="1" w:styleId="Bullet0">
    <w:name w:val="Bullet 0"/>
    <w:basedOn w:val="Normal"/>
    <w:pPr>
      <w:numPr>
        <w:numId w:val="10"/>
      </w:numPr>
    </w:pPr>
  </w:style>
  <w:style w:type="paragraph" w:customStyle="1" w:styleId="Bullet1">
    <w:name w:val="Bullet 1"/>
    <w:basedOn w:val="Normal"/>
    <w:pPr>
      <w:numPr>
        <w:numId w:val="11"/>
      </w:numPr>
    </w:pPr>
  </w:style>
  <w:style w:type="paragraph" w:customStyle="1" w:styleId="Bullet2">
    <w:name w:val="Bullet 2"/>
    <w:basedOn w:val="Normal"/>
    <w:pPr>
      <w:numPr>
        <w:numId w:val="12"/>
      </w:numPr>
    </w:pPr>
  </w:style>
  <w:style w:type="paragraph" w:customStyle="1" w:styleId="Bullet3">
    <w:name w:val="Bullet 3"/>
    <w:basedOn w:val="Normal"/>
    <w:pPr>
      <w:numPr>
        <w:numId w:val="13"/>
      </w:numPr>
    </w:pPr>
  </w:style>
  <w:style w:type="paragraph" w:customStyle="1" w:styleId="Bullet4">
    <w:name w:val="Bullet 4"/>
    <w:basedOn w:val="Normal"/>
    <w:pPr>
      <w:numPr>
        <w:numId w:val="1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Standardskrifttypeiafsnit"/>
    <w:rPr>
      <w:b/>
      <w:u w:val="single"/>
      <w:shd w:val="clear" w:color="auto" w:fill="auto"/>
    </w:rPr>
  </w:style>
  <w:style w:type="character" w:customStyle="1" w:styleId="Deleted">
    <w:name w:val="Deleted"/>
    <w:basedOn w:val="Standardskrifttypeiafsni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Opstilling-punkttegn">
    <w:name w:val="List Bullet"/>
    <w:basedOn w:val="Normal"/>
    <w:rsid w:val="001236A2"/>
    <w:pPr>
      <w:numPr>
        <w:numId w:val="16"/>
      </w:numPr>
      <w:tabs>
        <w:tab w:val="clear" w:pos="360"/>
      </w:tabs>
      <w:ind w:left="0" w:firstLine="0"/>
    </w:pPr>
    <w:rPr>
      <w:rFonts w:eastAsia="Times New Roman"/>
      <w:lang w:eastAsia="en-GB"/>
    </w:rPr>
  </w:style>
  <w:style w:type="character" w:styleId="Hyperlink">
    <w:name w:val="Hyperlink"/>
    <w:basedOn w:val="Standardskrifttypeiafsnit"/>
    <w:uiPriority w:val="99"/>
    <w:unhideWhenUsed/>
    <w:rsid w:val="00A0613F"/>
    <w:rPr>
      <w:color w:val="0000FF"/>
      <w:u w:val="single"/>
    </w:rPr>
  </w:style>
  <w:style w:type="character" w:styleId="Kommentarhenvisning">
    <w:name w:val="annotation reference"/>
    <w:basedOn w:val="Standardskrifttypeiafsnit"/>
    <w:uiPriority w:val="99"/>
    <w:semiHidden/>
    <w:unhideWhenUsed/>
    <w:rsid w:val="00A0613F"/>
    <w:rPr>
      <w:sz w:val="16"/>
      <w:szCs w:val="16"/>
    </w:rPr>
  </w:style>
  <w:style w:type="paragraph" w:styleId="Kommentartekst">
    <w:name w:val="annotation text"/>
    <w:basedOn w:val="Normal"/>
    <w:link w:val="KommentartekstTegn"/>
    <w:uiPriority w:val="99"/>
    <w:unhideWhenUsed/>
    <w:rsid w:val="00A0613F"/>
    <w:rPr>
      <w:sz w:val="20"/>
      <w:szCs w:val="20"/>
    </w:rPr>
  </w:style>
  <w:style w:type="character" w:customStyle="1" w:styleId="KommentartekstTegn">
    <w:name w:val="Kommentartekst Tegn"/>
    <w:basedOn w:val="Standardskrifttypeiafsnit"/>
    <w:link w:val="Kommentartekst"/>
    <w:uiPriority w:val="99"/>
    <w:rsid w:val="00A0613F"/>
    <w:rPr>
      <w:rFonts w:ascii="Times New Roman" w:hAnsi="Times New Roman"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A0613F"/>
    <w:rPr>
      <w:b/>
      <w:bCs/>
    </w:rPr>
  </w:style>
  <w:style w:type="character" w:customStyle="1" w:styleId="KommentaremneTegn">
    <w:name w:val="Kommentaremne Tegn"/>
    <w:basedOn w:val="KommentartekstTegn"/>
    <w:link w:val="Kommentaremne"/>
    <w:uiPriority w:val="99"/>
    <w:semiHidden/>
    <w:rsid w:val="00A0613F"/>
    <w:rPr>
      <w:rFonts w:ascii="Times New Roman" w:hAnsi="Times New Roman" w:cs="Times New Roman"/>
      <w:b/>
      <w:bCs/>
      <w:sz w:val="20"/>
      <w:szCs w:val="20"/>
      <w:lang w:val="en-GB"/>
    </w:rPr>
  </w:style>
  <w:style w:type="paragraph" w:styleId="Listeafsnit">
    <w:name w:val="List Paragraph"/>
    <w:basedOn w:val="Normal"/>
    <w:uiPriority w:val="34"/>
    <w:qFormat/>
    <w:rsid w:val="003711B8"/>
    <w:pPr>
      <w:ind w:left="720"/>
      <w:contextualSpacing/>
    </w:pPr>
  </w:style>
  <w:style w:type="paragraph" w:styleId="Opstilling-punkttegn2">
    <w:name w:val="List Bullet 2"/>
    <w:basedOn w:val="Normal"/>
    <w:uiPriority w:val="99"/>
    <w:semiHidden/>
    <w:unhideWhenUsed/>
    <w:rsid w:val="001F28BC"/>
    <w:pPr>
      <w:numPr>
        <w:numId w:val="21"/>
      </w:numPr>
      <w:contextualSpacing/>
    </w:pPr>
  </w:style>
  <w:style w:type="paragraph" w:styleId="Opstilling-punkttegn3">
    <w:name w:val="List Bullet 3"/>
    <w:basedOn w:val="Normal"/>
    <w:uiPriority w:val="99"/>
    <w:semiHidden/>
    <w:unhideWhenUsed/>
    <w:rsid w:val="001F28BC"/>
    <w:pPr>
      <w:numPr>
        <w:numId w:val="22"/>
      </w:numPr>
      <w:contextualSpacing/>
    </w:pPr>
  </w:style>
  <w:style w:type="paragraph" w:styleId="Opstilling-punkttegn4">
    <w:name w:val="List Bullet 4"/>
    <w:basedOn w:val="Normal"/>
    <w:uiPriority w:val="99"/>
    <w:semiHidden/>
    <w:unhideWhenUsed/>
    <w:rsid w:val="001F28BC"/>
    <w:pPr>
      <w:numPr>
        <w:numId w:val="23"/>
      </w:numPr>
      <w:contextualSpacing/>
    </w:pPr>
  </w:style>
  <w:style w:type="paragraph" w:styleId="Korrektur">
    <w:name w:val="Revision"/>
    <w:hidden/>
    <w:uiPriority w:val="99"/>
    <w:semiHidden/>
    <w:rsid w:val="001F28BC"/>
    <w:pPr>
      <w:spacing w:after="0" w:line="240" w:lineRule="auto"/>
    </w:pPr>
    <w:rPr>
      <w:rFonts w:ascii="Times New Roman" w:hAnsi="Times New Roman" w:cs="Times New Roman"/>
      <w:sz w:val="24"/>
      <w:lang w:val="en-GB"/>
    </w:rPr>
  </w:style>
  <w:style w:type="character" w:styleId="Ulstomtale">
    <w:name w:val="Unresolved Mention"/>
    <w:basedOn w:val="Standardskrifttypeiafsnit"/>
    <w:uiPriority w:val="99"/>
    <w:semiHidden/>
    <w:unhideWhenUsed/>
    <w:rsid w:val="004F6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ta.europa.eu/eli/reg_del/2020/689/oj"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ta.europa.eu/eli/reg/2016/429/oj"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05/2073/2020-03-08" TargetMode="External"/><Relationship Id="rId1" Type="http://schemas.openxmlformats.org/officeDocument/2006/relationships/hyperlink" Target="https://efsa.onlinelibrary.wiley.com/doi/10.2903/j.efsa.2020.6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4E68-75BC-4908-968D-B24BC837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1746</Words>
  <Characters>10110</Characters>
  <Application>Microsoft Office Word</Application>
  <DocSecurity>0</DocSecurity>
  <Lines>174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SMET Kris (SANTE)</dc:creator>
  <cp:keywords/>
  <dc:description/>
  <cp:lastModifiedBy>Alice Sørensen</cp:lastModifiedBy>
  <cp:revision>2</cp:revision>
  <dcterms:created xsi:type="dcterms:W3CDTF">2026-05-08T08:57:00Z</dcterms:created>
  <dcterms:modified xsi:type="dcterms:W3CDTF">2026-05-08T08:57:00Z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9.2, Build 20250828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DQCStatus">
    <vt:lpwstr>Red (DQC version 03)</vt:lpwstr>
  </property>
  <property fmtid="{D5CDD505-2E9C-101B-9397-08002B2CF9AE}" pid="11" name="MSIP_Label_6bd9ddd1-4d20-43f6-abfa-fc3c07406f94_Enabled">
    <vt:lpwstr>true</vt:lpwstr>
  </property>
  <property fmtid="{D5CDD505-2E9C-101B-9397-08002B2CF9AE}" pid="12" name="MSIP_Label_6bd9ddd1-4d20-43f6-abfa-fc3c07406f94_SetDate">
    <vt:lpwstr>2026-02-09T11:31:48Z</vt:lpwstr>
  </property>
  <property fmtid="{D5CDD505-2E9C-101B-9397-08002B2CF9AE}" pid="13" name="MSIP_Label_6bd9ddd1-4d20-43f6-abfa-fc3c07406f94_Method">
    <vt:lpwstr>Standard</vt:lpwstr>
  </property>
  <property fmtid="{D5CDD505-2E9C-101B-9397-08002B2CF9AE}" pid="14" name="MSIP_Label_6bd9ddd1-4d20-43f6-abfa-fc3c07406f94_Name">
    <vt:lpwstr>Commission Use</vt:lpwstr>
  </property>
  <property fmtid="{D5CDD505-2E9C-101B-9397-08002B2CF9AE}" pid="15" name="MSIP_Label_6bd9ddd1-4d20-43f6-abfa-fc3c07406f94_SiteId">
    <vt:lpwstr>b24c8b06-522c-46fe-9080-70926f8dddb1</vt:lpwstr>
  </property>
  <property fmtid="{D5CDD505-2E9C-101B-9397-08002B2CF9AE}" pid="16" name="MSIP_Label_6bd9ddd1-4d20-43f6-abfa-fc3c07406f94_ActionId">
    <vt:lpwstr>46e3ad56-cb06-426b-94b7-ec273d26c619</vt:lpwstr>
  </property>
  <property fmtid="{D5CDD505-2E9C-101B-9397-08002B2CF9AE}" pid="17" name="MSIP_Label_6bd9ddd1-4d20-43f6-abfa-fc3c07406f94_ContentBits">
    <vt:lpwstr>0</vt:lpwstr>
  </property>
  <property fmtid="{D5CDD505-2E9C-101B-9397-08002B2CF9AE}" pid="18" name="MSIP_Label_6bd9ddd1-4d20-43f6-abfa-fc3c07406f94_Tag">
    <vt:lpwstr>10, 3, 0, 1</vt:lpwstr>
  </property>
</Properties>
</file>